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597"/>
      <w:bookmarkStart w:id="2" w:name="_Toc15377425"/>
      <w:bookmarkStart w:id="3" w:name="_Toc15396475"/>
      <w:bookmarkStart w:id="4" w:name="_Toc15378441"/>
      <w:bookmarkStart w:id="5" w:name="_Toc15377193"/>
      <w:r>
        <w:rPr>
          <w:rFonts w:ascii="黑体" w:hAnsi="黑体" w:eastAsia="黑体"/>
          <w:sz w:val="72"/>
          <w:szCs w:val="72"/>
        </w:rPr>
        <w:t>202</w:t>
      </w:r>
      <w:r>
        <w:rPr>
          <w:rFonts w:hint="eastAsia" w:ascii="黑体" w:hAnsi="黑体" w:eastAsia="黑体"/>
          <w:sz w:val="72"/>
          <w:szCs w:val="72"/>
          <w:lang w:val="en-US" w:eastAsia="zh-CN"/>
        </w:rPr>
        <w:t>1</w:t>
      </w:r>
      <w:r>
        <w:rPr>
          <w:rFonts w:hint="eastAsia" w:ascii="黑体" w:hAnsi="黑体" w:eastAsia="黑体"/>
          <w:sz w:val="72"/>
          <w:szCs w:val="72"/>
        </w:rPr>
        <w:t>年度</w:t>
      </w:r>
      <w:bookmarkEnd w:id="1"/>
      <w:bookmarkEnd w:id="2"/>
      <w:bookmarkEnd w:id="3"/>
      <w:bookmarkEnd w:id="4"/>
      <w:bookmarkEnd w:id="5"/>
    </w:p>
    <w:p>
      <w:pPr>
        <w:jc w:val="center"/>
        <w:rPr>
          <w:rFonts w:hint="eastAsia" w:ascii="方正小标宋简体" w:eastAsia="方正小标宋简体"/>
          <w:sz w:val="72"/>
          <w:szCs w:val="72"/>
          <w:lang w:eastAsia="zh-CN"/>
        </w:rPr>
      </w:pPr>
      <w:bookmarkStart w:id="6" w:name="_Toc15378442"/>
      <w:bookmarkStart w:id="7" w:name="_Toc15396476"/>
      <w:bookmarkStart w:id="8" w:name="_Toc15377194"/>
      <w:bookmarkStart w:id="9" w:name="_Toc15377426"/>
      <w:bookmarkStart w:id="10" w:name="_Toc15396598"/>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lang w:eastAsia="zh-CN"/>
        </w:rPr>
        <w:t>九寨沟县</w:t>
      </w:r>
    </w:p>
    <w:p>
      <w:pPr>
        <w:jc w:val="center"/>
        <w:rPr>
          <w:rFonts w:ascii="方正小标宋简体" w:eastAsia="方正小标宋简体"/>
          <w:sz w:val="52"/>
          <w:szCs w:val="52"/>
        </w:rPr>
      </w:pPr>
      <w:r>
        <w:rPr>
          <w:rFonts w:hint="eastAsia" w:ascii="方正小标宋简体" w:eastAsia="方正小标宋简体"/>
          <w:sz w:val="72"/>
          <w:szCs w:val="72"/>
          <w:lang w:eastAsia="zh-CN"/>
        </w:rPr>
        <w:t>政协办</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6"/>
        <w:jc w:val="center"/>
        <w:rPr>
          <w:rFonts w:hAnsiTheme="minorHAnsi"/>
          <w:b w:val="0"/>
          <w:bCs w:val="0"/>
          <w:sz w:val="24"/>
          <w:szCs w:val="24"/>
        </w:rPr>
      </w:pPr>
      <w:r>
        <w:rPr>
          <w:rFonts w:hint="eastAsia" w:hAnsiTheme="minorHAnsi"/>
          <w:b w:val="0"/>
          <w:bCs w:val="0"/>
          <w:sz w:val="24"/>
          <w:szCs w:val="24"/>
        </w:rPr>
        <w:t xml:space="preserve">公开时间：2021年 </w:t>
      </w:r>
      <w:r>
        <w:rPr>
          <w:rFonts w:hint="eastAsia" w:hAnsiTheme="minorHAnsi"/>
          <w:b w:val="0"/>
          <w:bCs w:val="0"/>
          <w:sz w:val="24"/>
          <w:szCs w:val="24"/>
          <w:lang w:val="en-US" w:eastAsia="zh-CN"/>
        </w:rPr>
        <w:t>9</w:t>
      </w:r>
      <w:r>
        <w:rPr>
          <w:rFonts w:hint="eastAsia" w:hAnsiTheme="minorHAnsi"/>
          <w:b w:val="0"/>
          <w:bCs w:val="0"/>
          <w:sz w:val="24"/>
          <w:szCs w:val="24"/>
        </w:rPr>
        <w:t>月</w:t>
      </w:r>
      <w:r>
        <w:rPr>
          <w:rFonts w:hint="eastAsia" w:hAnsiTheme="minorHAnsi"/>
          <w:b w:val="0"/>
          <w:bCs w:val="0"/>
          <w:sz w:val="24"/>
          <w:szCs w:val="24"/>
          <w:lang w:val="en-US" w:eastAsia="zh-CN"/>
        </w:rPr>
        <w:t>20</w:t>
      </w:r>
      <w:r>
        <w:rPr>
          <w:rFonts w:hint="eastAsia" w:hAnsiTheme="minorHAnsi"/>
          <w:b w:val="0"/>
          <w:bCs w:val="0"/>
          <w:sz w:val="24"/>
          <w:szCs w:val="24"/>
        </w:rPr>
        <w:t xml:space="preserve"> 日</w:t>
      </w:r>
    </w:p>
    <w:p>
      <w:pPr>
        <w:pStyle w:val="16"/>
        <w:tabs>
          <w:tab w:val="right" w:leader="dot" w:pos="8296"/>
        </w:tabs>
        <w:rPr>
          <w:rFonts w:hint="eastAsia" w:hAnsiTheme="minorHAnsi" w:eastAsiaTheme="minorHAnsi" w:cstheme="minorBidi"/>
          <w:b w:val="0"/>
          <w:bCs w:val="0"/>
          <w:caps w:val="0"/>
          <w:sz w:val="21"/>
          <w:szCs w:val="22"/>
          <w:lang w:eastAsia="zh-CN"/>
        </w:rPr>
      </w:pPr>
      <w:r>
        <w:rPr>
          <w:b w:val="0"/>
          <w:bCs w:val="0"/>
          <w:caps w:val="0"/>
        </w:rPr>
        <w:fldChar w:fldCharType="begin"/>
      </w:r>
      <w:r>
        <w:rPr>
          <w:b w:val="0"/>
          <w:bCs w:val="0"/>
          <w:caps w:val="0"/>
        </w:rPr>
        <w:instrText xml:space="preserve"> TOC \o \u </w:instrText>
      </w:r>
      <w:r>
        <w:rPr>
          <w:b w:val="0"/>
          <w:bCs w:val="0"/>
          <w:caps w:val="0"/>
        </w:rPr>
        <w:fldChar w:fldCharType="separate"/>
      </w:r>
      <w:r>
        <w:rPr>
          <w:rFonts w:ascii="黑体" w:hAnsi="黑体" w:eastAsia="黑体"/>
          <w:b w:val="0"/>
        </w:rPr>
        <w:t xml:space="preserve">第一部分 </w:t>
      </w:r>
      <w:r>
        <w:rPr>
          <w:rFonts w:ascii="黑体" w:hAnsi="黑体" w:eastAsia="黑体"/>
          <w:b w:val="0"/>
          <w:bCs w:val="0"/>
        </w:rPr>
        <w:t>部门概况</w:t>
      </w:r>
      <w:r>
        <w:tab/>
      </w:r>
      <w:r>
        <w:rPr>
          <w:rFonts w:hint="eastAsia"/>
          <w:lang w:val="en-US" w:eastAsia="zh-CN"/>
        </w:rPr>
        <w:t>5</w:t>
      </w:r>
    </w:p>
    <w:p>
      <w:pPr>
        <w:pStyle w:val="19"/>
        <w:tabs>
          <w:tab w:val="right" w:leader="dot" w:pos="8296"/>
        </w:tabs>
        <w:rPr>
          <w:rFonts w:hint="eastAsia" w:hAnsiTheme="minorHAnsi" w:eastAsiaTheme="minorHAnsi" w:cstheme="minorBidi"/>
          <w:smallCaps w:val="0"/>
          <w:sz w:val="21"/>
          <w:szCs w:val="22"/>
          <w:lang w:eastAsia="zh-CN"/>
        </w:rPr>
      </w:pPr>
      <w:r>
        <w:rPr>
          <w:rFonts w:ascii="黑体" w:hAnsi="黑体" w:eastAsia="黑体"/>
          <w:color w:val="000000"/>
        </w:rPr>
        <w:t>一、基</w:t>
      </w:r>
      <w:r>
        <w:rPr>
          <w:rFonts w:ascii="黑体" w:hAnsi="黑体" w:eastAsia="黑体"/>
        </w:rPr>
        <w:t>本职能及主要工作</w:t>
      </w:r>
      <w:r>
        <w:tab/>
      </w:r>
      <w:r>
        <w:rPr>
          <w:rFonts w:hint="eastAsia"/>
          <w:lang w:val="en-US" w:eastAsia="zh-CN"/>
        </w:rPr>
        <w:t>5</w:t>
      </w:r>
    </w:p>
    <w:p>
      <w:pPr>
        <w:pStyle w:val="11"/>
        <w:tabs>
          <w:tab w:val="right" w:leader="dot" w:pos="8296"/>
        </w:tabs>
        <w:rPr>
          <w:rFonts w:hint="eastAsia" w:hAnsiTheme="minorHAnsi" w:eastAsiaTheme="minorHAnsi" w:cstheme="minorBidi"/>
          <w:i w:val="0"/>
          <w:iCs w:val="0"/>
          <w:sz w:val="21"/>
          <w:szCs w:val="22"/>
          <w:lang w:eastAsia="zh-CN"/>
        </w:rPr>
      </w:pPr>
      <w:r>
        <w:rPr>
          <w:rFonts w:ascii="仿宋" w:hAnsi="仿宋" w:eastAsia="仿宋"/>
          <w:bCs/>
          <w:color w:val="000000"/>
        </w:rPr>
        <w:t>（一）主要职能。</w:t>
      </w:r>
      <w:r>
        <w:tab/>
      </w:r>
      <w:r>
        <w:rPr>
          <w:rFonts w:hint="eastAsia"/>
          <w:lang w:val="en-US" w:eastAsia="zh-CN"/>
        </w:rPr>
        <w:t>5</w:t>
      </w:r>
    </w:p>
    <w:p>
      <w:pPr>
        <w:pStyle w:val="11"/>
        <w:tabs>
          <w:tab w:val="right" w:leader="dot" w:pos="8296"/>
        </w:tabs>
        <w:rPr>
          <w:rFonts w:hint="eastAsia" w:hAnsiTheme="minorHAnsi" w:eastAsiaTheme="minorHAnsi" w:cstheme="minorBidi"/>
          <w:i w:val="0"/>
          <w:iCs w:val="0"/>
          <w:sz w:val="21"/>
          <w:szCs w:val="22"/>
          <w:lang w:val="en-US" w:eastAsia="zh-CN"/>
        </w:rPr>
      </w:pPr>
      <w:r>
        <w:rPr>
          <w:rFonts w:ascii="仿宋" w:hAnsi="仿宋" w:eastAsia="仿宋"/>
          <w:bCs/>
          <w:color w:val="000000"/>
        </w:rPr>
        <w:t>（二）202</w:t>
      </w:r>
      <w:r>
        <w:rPr>
          <w:rFonts w:hint="eastAsia" w:ascii="仿宋" w:hAnsi="仿宋" w:eastAsia="仿宋"/>
          <w:bCs/>
          <w:color w:val="000000"/>
          <w:lang w:val="en-US" w:eastAsia="zh-CN"/>
        </w:rPr>
        <w:t>1</w:t>
      </w:r>
      <w:r>
        <w:rPr>
          <w:rFonts w:ascii="仿宋" w:hAnsi="仿宋" w:eastAsia="仿宋"/>
          <w:bCs/>
          <w:color w:val="000000"/>
        </w:rPr>
        <w:t>年重点工作完成情况。</w:t>
      </w:r>
      <w:r>
        <w:tab/>
      </w:r>
      <w:r>
        <w:rPr>
          <w:rFonts w:hint="eastAsia"/>
          <w:lang w:val="en-US" w:eastAsia="zh-CN"/>
        </w:rPr>
        <w:t>7</w:t>
      </w:r>
    </w:p>
    <w:p>
      <w:pPr>
        <w:pStyle w:val="19"/>
        <w:tabs>
          <w:tab w:val="right" w:leader="dot" w:pos="8296"/>
        </w:tabs>
        <w:rPr>
          <w:rFonts w:hint="default" w:hAnsiTheme="minorHAnsi" w:eastAsiaTheme="minorHAnsi" w:cstheme="minorBidi"/>
          <w:i w:val="0"/>
          <w:iCs w:val="0"/>
          <w:sz w:val="21"/>
          <w:szCs w:val="22"/>
          <w:lang w:val="en-US" w:eastAsia="zh-CN"/>
        </w:rPr>
      </w:pPr>
      <w:r>
        <w:rPr>
          <w:rFonts w:ascii="黑体" w:eastAsia="黑体"/>
          <w:color w:val="000000"/>
        </w:rPr>
        <w:t>二、</w:t>
      </w:r>
      <w:r>
        <w:rPr>
          <w:rFonts w:ascii="黑体" w:hAnsi="黑体" w:eastAsia="黑体"/>
          <w:color w:val="000000"/>
        </w:rPr>
        <w:t>机</w:t>
      </w:r>
      <w:r>
        <w:rPr>
          <w:rFonts w:ascii="黑体" w:hAnsi="黑体" w:eastAsia="黑体"/>
        </w:rPr>
        <w:t>构设置</w:t>
      </w:r>
      <w:r>
        <w:tab/>
      </w:r>
      <w:r>
        <w:rPr>
          <w:rFonts w:hint="eastAsia"/>
          <w:lang w:val="en-US" w:eastAsia="zh-CN"/>
        </w:rPr>
        <w:t>10</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b w:val="0"/>
          <w:color w:val="000000"/>
        </w:rPr>
        <w:t>第二部分</w:t>
      </w:r>
      <w:r>
        <w:rPr>
          <w:rFonts w:ascii="黑体" w:hAnsi="黑体" w:eastAsia="黑体"/>
          <w:color w:val="000000"/>
        </w:rPr>
        <w:t xml:space="preserve"> </w:t>
      </w:r>
      <w:r>
        <w:rPr>
          <w:rFonts w:ascii="黑体" w:hAnsi="黑体" w:eastAsia="黑体"/>
          <w:b w:val="0"/>
          <w:bCs w:val="0"/>
        </w:rPr>
        <w:t>202</w:t>
      </w:r>
      <w:r>
        <w:rPr>
          <w:rFonts w:hint="eastAsia" w:ascii="黑体" w:hAnsi="黑体" w:eastAsia="黑体"/>
          <w:b w:val="0"/>
          <w:bCs w:val="0"/>
          <w:lang w:val="en-US" w:eastAsia="zh-CN"/>
        </w:rPr>
        <w:t>1</w:t>
      </w:r>
      <w:r>
        <w:rPr>
          <w:rFonts w:ascii="黑体" w:hAnsi="黑体" w:eastAsia="黑体"/>
          <w:b w:val="0"/>
          <w:bCs w:val="0"/>
        </w:rPr>
        <w:t>年度部门决算情况说明</w:t>
      </w:r>
      <w:r>
        <w:tab/>
      </w:r>
      <w:r>
        <w:rPr>
          <w:rFonts w:hint="eastAsia"/>
          <w:lang w:val="en-US" w:eastAsia="zh-CN"/>
        </w:rPr>
        <w:t>11</w:t>
      </w:r>
    </w:p>
    <w:p>
      <w:pPr>
        <w:pStyle w:val="19"/>
        <w:tabs>
          <w:tab w:val="left" w:pos="840"/>
          <w:tab w:val="right" w:leader="dot" w:pos="8296"/>
        </w:tabs>
        <w:rPr>
          <w:rFonts w:hint="default" w:hAnsiTheme="minorHAnsi" w:eastAsiaTheme="minorHAnsi" w:cstheme="minorBidi"/>
          <w:smallCaps w:val="0"/>
          <w:sz w:val="21"/>
          <w:szCs w:val="22"/>
          <w:lang w:val="en-US" w:eastAsia="zh-CN"/>
        </w:rPr>
      </w:pPr>
      <w:r>
        <w:rPr>
          <w:rFonts w:ascii="黑体" w:hAnsi="黑体" w:eastAsia="黑体"/>
          <w:bCs/>
        </w:rPr>
        <w:t>一、</w:t>
      </w:r>
      <w:r>
        <w:rPr>
          <w:rFonts w:hAnsiTheme="minorHAnsi" w:eastAsiaTheme="minorEastAsia" w:cstheme="minorBidi"/>
          <w:smallCaps w:val="0"/>
          <w:sz w:val="21"/>
          <w:szCs w:val="22"/>
        </w:rPr>
        <w:tab/>
      </w:r>
      <w:r>
        <w:rPr>
          <w:rFonts w:ascii="黑体" w:hAnsi="黑体" w:eastAsia="黑体"/>
          <w:color w:val="000000"/>
        </w:rPr>
        <w:t>收</w:t>
      </w:r>
      <w:r>
        <w:rPr>
          <w:rFonts w:ascii="黑体" w:hAnsi="黑体" w:eastAsia="黑体"/>
          <w:bCs/>
        </w:rPr>
        <w:t>入支出决算总体情况说明</w:t>
      </w:r>
      <w:r>
        <w:tab/>
      </w:r>
      <w:r>
        <w:rPr>
          <w:rFonts w:hint="eastAsia"/>
          <w:lang w:val="en-US" w:eastAsia="zh-CN"/>
        </w:rPr>
        <w:t>11</w:t>
      </w:r>
    </w:p>
    <w:p>
      <w:pPr>
        <w:pStyle w:val="19"/>
        <w:tabs>
          <w:tab w:val="left" w:pos="840"/>
          <w:tab w:val="right" w:leader="dot" w:pos="8296"/>
        </w:tabs>
        <w:rPr>
          <w:rFonts w:hint="default" w:hAnsiTheme="minorHAnsi" w:eastAsiaTheme="minorHAnsi" w:cstheme="minorBidi"/>
          <w:smallCaps w:val="0"/>
          <w:sz w:val="21"/>
          <w:szCs w:val="22"/>
          <w:lang w:val="en-US" w:eastAsia="zh-CN"/>
        </w:rPr>
      </w:pPr>
      <w:r>
        <w:rPr>
          <w:rFonts w:ascii="黑体" w:hAnsi="黑体" w:eastAsia="黑体"/>
          <w:bCs/>
        </w:rPr>
        <w:t>二、</w:t>
      </w:r>
      <w:r>
        <w:rPr>
          <w:rFonts w:hAnsiTheme="minorHAnsi" w:eastAsiaTheme="minorEastAsia" w:cstheme="minorBidi"/>
          <w:smallCaps w:val="0"/>
          <w:sz w:val="21"/>
          <w:szCs w:val="22"/>
        </w:rPr>
        <w:tab/>
      </w:r>
      <w:r>
        <w:rPr>
          <w:rFonts w:ascii="黑体" w:hAnsi="黑体" w:eastAsia="黑体"/>
          <w:color w:val="000000"/>
        </w:rPr>
        <w:t>收</w:t>
      </w:r>
      <w:r>
        <w:rPr>
          <w:rFonts w:ascii="黑体" w:hAnsi="黑体" w:eastAsia="黑体"/>
          <w:bCs/>
        </w:rPr>
        <w:t>入决算情况说明</w:t>
      </w:r>
      <w:r>
        <w:tab/>
      </w:r>
      <w:r>
        <w:rPr>
          <w:rFonts w:hint="eastAsia"/>
          <w:lang w:val="en-US" w:eastAsia="zh-CN"/>
        </w:rPr>
        <w:t>11</w:t>
      </w:r>
    </w:p>
    <w:p>
      <w:pPr>
        <w:pStyle w:val="19"/>
        <w:tabs>
          <w:tab w:val="left" w:pos="840"/>
          <w:tab w:val="right" w:leader="dot" w:pos="8296"/>
        </w:tabs>
        <w:rPr>
          <w:rFonts w:hint="default" w:hAnsiTheme="minorHAnsi" w:eastAsiaTheme="minorHAnsi" w:cstheme="minorBidi"/>
          <w:smallCaps w:val="0"/>
          <w:sz w:val="21"/>
          <w:szCs w:val="22"/>
          <w:lang w:val="en-US" w:eastAsia="zh-CN"/>
        </w:rPr>
      </w:pPr>
      <w:r>
        <w:rPr>
          <w:rFonts w:ascii="黑体" w:hAnsi="黑体" w:eastAsia="黑体"/>
          <w:bCs/>
        </w:rPr>
        <w:t>三、</w:t>
      </w:r>
      <w:r>
        <w:rPr>
          <w:rFonts w:hAnsiTheme="minorHAnsi" w:eastAsiaTheme="minorEastAsia" w:cstheme="minorBidi"/>
          <w:smallCaps w:val="0"/>
          <w:sz w:val="21"/>
          <w:szCs w:val="22"/>
        </w:rPr>
        <w:tab/>
      </w:r>
      <w:r>
        <w:rPr>
          <w:rFonts w:ascii="黑体" w:hAnsi="黑体" w:eastAsia="黑体"/>
          <w:color w:val="000000"/>
        </w:rPr>
        <w:t>支</w:t>
      </w:r>
      <w:r>
        <w:rPr>
          <w:rFonts w:ascii="黑体" w:hAnsi="黑体" w:eastAsia="黑体"/>
          <w:bCs/>
        </w:rPr>
        <w:t>出决算情况说明</w:t>
      </w:r>
      <w:r>
        <w:tab/>
      </w:r>
      <w:r>
        <w:rPr>
          <w:rFonts w:hint="eastAsia"/>
          <w:lang w:val="en-US" w:eastAsia="zh-CN"/>
        </w:rPr>
        <w:t>11</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hAnsi="黑体" w:eastAsia="黑体"/>
          <w:color w:val="000000"/>
        </w:rPr>
        <w:t>四、财</w:t>
      </w:r>
      <w:r>
        <w:rPr>
          <w:rFonts w:ascii="黑体" w:hAnsi="黑体" w:eastAsia="黑体"/>
          <w:bCs/>
        </w:rPr>
        <w:t>政拨款收入支出决算总体情况说明</w:t>
      </w:r>
      <w:r>
        <w:tab/>
      </w:r>
      <w:r>
        <w:rPr>
          <w:rFonts w:hint="eastAsia"/>
          <w:lang w:val="en-US" w:eastAsia="zh-CN"/>
        </w:rPr>
        <w:t>11</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hAnsi="黑体" w:eastAsia="黑体"/>
          <w:color w:val="000000"/>
        </w:rPr>
        <w:t>五、</w:t>
      </w:r>
      <w:r>
        <w:rPr>
          <w:rFonts w:ascii="黑体" w:hAnsi="黑体" w:eastAsia="黑体"/>
          <w:b/>
          <w:color w:val="000000"/>
        </w:rPr>
        <w:t>一</w:t>
      </w:r>
      <w:r>
        <w:rPr>
          <w:rFonts w:ascii="黑体" w:hAnsi="黑体" w:eastAsia="黑体"/>
          <w:bCs/>
        </w:rPr>
        <w:t>般公共预算财政拨款支出决算情况说明</w:t>
      </w:r>
      <w:r>
        <w:tab/>
      </w:r>
      <w:r>
        <w:rPr>
          <w:rFonts w:hint="eastAsia"/>
          <w:lang w:val="en-US" w:eastAsia="zh-CN"/>
        </w:rPr>
        <w:t>12</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（一）一般公共预算财政拨款支出决算总体情况</w:t>
      </w:r>
      <w:r>
        <w:tab/>
      </w:r>
      <w:r>
        <w:rPr>
          <w:rFonts w:hint="eastAsia"/>
          <w:lang w:val="en-US" w:eastAsia="zh-CN"/>
        </w:rPr>
        <w:t>12</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（二）一般公共预算财政拨款支出决算结构情况</w:t>
      </w:r>
      <w:r>
        <w:tab/>
      </w:r>
      <w:r>
        <w:rPr>
          <w:rFonts w:hint="eastAsia"/>
          <w:lang w:val="en-US" w:eastAsia="zh-CN"/>
        </w:rPr>
        <w:t>12</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（三）一般公共预算财政拨款支出决算具体情况</w:t>
      </w:r>
      <w:r>
        <w:tab/>
      </w:r>
      <w:r>
        <w:rPr>
          <w:rFonts w:hint="eastAsia"/>
          <w:lang w:val="en-US" w:eastAsia="zh-CN"/>
        </w:rPr>
        <w:t>12</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eastAsia="黑体"/>
          <w:color w:val="000000"/>
        </w:rPr>
        <w:t>六</w:t>
      </w:r>
      <w:r>
        <w:rPr>
          <w:rFonts w:ascii="黑体" w:eastAsia="黑体"/>
          <w:b/>
          <w:color w:val="000000"/>
        </w:rPr>
        <w:t>、</w:t>
      </w:r>
      <w:r>
        <w:rPr>
          <w:rFonts w:ascii="黑体" w:hAnsi="黑体" w:eastAsia="黑体"/>
          <w:b/>
          <w:color w:val="000000"/>
        </w:rPr>
        <w:t>一</w:t>
      </w:r>
      <w:r>
        <w:rPr>
          <w:rFonts w:ascii="黑体" w:hAnsi="黑体" w:eastAsia="黑体"/>
          <w:bCs/>
        </w:rPr>
        <w:t>般公共预算财政拨款基本支出决算情况说明</w:t>
      </w:r>
      <w:r>
        <w:tab/>
      </w:r>
      <w:r>
        <w:rPr>
          <w:rFonts w:hint="eastAsia"/>
          <w:lang w:val="en-US" w:eastAsia="zh-CN"/>
        </w:rPr>
        <w:t>13</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eastAsia="黑体"/>
          <w:color w:val="000000"/>
        </w:rPr>
        <w:t>七、</w:t>
      </w:r>
      <w:r>
        <w:rPr>
          <w:rFonts w:ascii="黑体" w:hAnsi="黑体" w:eastAsia="黑体"/>
          <w:b/>
          <w:bCs/>
        </w:rPr>
        <w:t>“</w:t>
      </w:r>
      <w:r>
        <w:rPr>
          <w:rFonts w:ascii="黑体" w:hAnsi="黑体" w:eastAsia="黑体"/>
          <w:bCs/>
        </w:rPr>
        <w:t>三公”经费财政拨款支出决算情况说明</w:t>
      </w:r>
      <w:r>
        <w:tab/>
      </w:r>
      <w:r>
        <w:rPr>
          <w:rFonts w:hint="eastAsia"/>
          <w:lang w:val="en-US" w:eastAsia="zh-CN"/>
        </w:rPr>
        <w:t>14</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（一）“三公”经费财政拨款支出决算总体情况说明</w:t>
      </w:r>
      <w:r>
        <w:tab/>
      </w:r>
      <w:r>
        <w:rPr>
          <w:rFonts w:hint="eastAsia"/>
          <w:lang w:val="en-US" w:eastAsia="zh-CN"/>
        </w:rPr>
        <w:t>14</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（二）“三公”经费财政拨款支出决算具体情况说明</w:t>
      </w:r>
      <w:r>
        <w:tab/>
      </w:r>
      <w:r>
        <w:rPr>
          <w:rFonts w:hint="eastAsia"/>
          <w:lang w:val="en-US" w:eastAsia="zh-CN"/>
        </w:rPr>
        <w:t>14</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eastAsia="黑体"/>
          <w:color w:val="000000"/>
        </w:rPr>
        <w:t>八、</w:t>
      </w:r>
      <w:r>
        <w:rPr>
          <w:rFonts w:ascii="黑体" w:hAnsi="黑体" w:eastAsia="黑体"/>
          <w:bCs/>
        </w:rPr>
        <w:t>政府性基金预算支出决算情况说明</w:t>
      </w:r>
      <w:r>
        <w:tab/>
      </w:r>
      <w:r>
        <w:rPr>
          <w:rFonts w:hint="eastAsia"/>
          <w:lang w:val="en-US" w:eastAsia="zh-CN"/>
        </w:rPr>
        <w:t>15</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hAnsi="黑体" w:eastAsia="黑体"/>
          <w:bCs/>
        </w:rPr>
        <w:t>九、 国有资本经营预算支出决算情况说明</w:t>
      </w:r>
      <w:r>
        <w:tab/>
      </w:r>
      <w:r>
        <w:rPr>
          <w:rFonts w:hint="eastAsia"/>
          <w:lang w:val="en-US" w:eastAsia="zh-CN"/>
        </w:rPr>
        <w:t>15</w:t>
      </w:r>
    </w:p>
    <w:p>
      <w:pPr>
        <w:pStyle w:val="19"/>
        <w:tabs>
          <w:tab w:val="right" w:leader="dot" w:pos="8296"/>
        </w:tabs>
        <w:rPr>
          <w:rFonts w:hint="default" w:hAnsiTheme="minorHAnsi" w:eastAsiaTheme="minorHAnsi" w:cstheme="minorBidi"/>
          <w:smallCaps w:val="0"/>
          <w:sz w:val="21"/>
          <w:szCs w:val="22"/>
          <w:lang w:val="en-US" w:eastAsia="zh-CN"/>
        </w:rPr>
      </w:pPr>
      <w:r>
        <w:rPr>
          <w:rFonts w:ascii="黑体" w:hAnsi="黑体" w:eastAsia="黑体"/>
          <w:color w:val="000000"/>
        </w:rPr>
        <w:t>十</w:t>
      </w:r>
      <w:r>
        <w:rPr>
          <w:rFonts w:ascii="黑体" w:hAnsi="黑体" w:eastAsia="黑体"/>
          <w:b/>
          <w:bCs/>
        </w:rPr>
        <w:t>、</w:t>
      </w:r>
      <w:r>
        <w:rPr>
          <w:rFonts w:ascii="黑体" w:hAnsi="黑体" w:eastAsia="黑体"/>
          <w:bCs/>
        </w:rPr>
        <w:t>其他重要事项的情况说明</w:t>
      </w:r>
      <w:r>
        <w:tab/>
      </w:r>
      <w:r>
        <w:rPr>
          <w:rFonts w:hint="eastAsia"/>
          <w:lang w:val="en-US" w:eastAsia="zh-CN"/>
        </w:rPr>
        <w:t>16</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（一）机关运行经费支出情况</w:t>
      </w:r>
      <w:r>
        <w:tab/>
      </w:r>
      <w:r>
        <w:rPr>
          <w:rFonts w:hint="eastAsia"/>
          <w:lang w:val="en-US" w:eastAsia="zh-CN"/>
        </w:rPr>
        <w:t>16</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（二）政府采购支出情况</w:t>
      </w:r>
      <w:r>
        <w:tab/>
      </w:r>
      <w:r>
        <w:rPr>
          <w:rFonts w:hint="eastAsia"/>
          <w:lang w:val="en-US" w:eastAsia="zh-CN"/>
        </w:rPr>
        <w:t>16</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（三）国有资产占有使用情况</w:t>
      </w:r>
      <w:r>
        <w:tab/>
      </w:r>
      <w:r>
        <w:rPr>
          <w:rFonts w:hint="eastAsia"/>
          <w:lang w:val="en-US" w:eastAsia="zh-CN"/>
        </w:rPr>
        <w:t>16</w:t>
      </w:r>
    </w:p>
    <w:p>
      <w:pPr>
        <w:pStyle w:val="11"/>
        <w:tabs>
          <w:tab w:val="right" w:leader="dot" w:pos="8296"/>
        </w:tabs>
        <w:rPr>
          <w:rFonts w:hint="default" w:hAnsiTheme="minorHAnsi" w:eastAsiaTheme="minorHAnsi" w:cstheme="minorBidi"/>
          <w:i w:val="0"/>
          <w:iCs w:val="0"/>
          <w:sz w:val="21"/>
          <w:szCs w:val="22"/>
          <w:lang w:val="en-US" w:eastAsia="zh-CN"/>
        </w:rPr>
      </w:pPr>
      <w:r>
        <w:rPr>
          <w:rFonts w:ascii="仿宋" w:hAnsi="仿宋" w:eastAsia="仿宋"/>
          <w:b/>
          <w:color w:val="000000"/>
        </w:rPr>
        <w:t>（四）预算绩效管理情况。</w:t>
      </w:r>
      <w:r>
        <w:tab/>
      </w:r>
      <w:r>
        <w:rPr>
          <w:rFonts w:hint="eastAsia"/>
          <w:lang w:val="en-US" w:eastAsia="zh-CN"/>
        </w:rPr>
        <w:t>17</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kern w:val="44"/>
        </w:rPr>
        <w:t>第三部分</w:t>
      </w:r>
      <w:r>
        <w:rPr>
          <w:rFonts w:ascii="黑体" w:hAnsi="黑体" w:eastAsia="黑体"/>
          <w:color w:val="000000"/>
        </w:rPr>
        <w:t xml:space="preserve"> 名</w:t>
      </w:r>
      <w:r>
        <w:rPr>
          <w:rFonts w:ascii="黑体" w:hAnsi="黑体" w:eastAsia="黑体"/>
          <w:kern w:val="44"/>
        </w:rPr>
        <w:t>词解释</w:t>
      </w:r>
      <w:r>
        <w:tab/>
      </w:r>
      <w:r>
        <w:rPr>
          <w:rFonts w:hint="eastAsia"/>
          <w:lang w:val="en-US" w:eastAsia="zh-CN"/>
        </w:rPr>
        <w:t>21</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color w:val="000000"/>
        </w:rPr>
        <w:t>第</w:t>
      </w:r>
      <w:r>
        <w:rPr>
          <w:rFonts w:ascii="黑体" w:hAnsi="黑体" w:eastAsia="黑体"/>
          <w:kern w:val="44"/>
        </w:rPr>
        <w:t>四部分 附件</w:t>
      </w:r>
      <w:r>
        <w:tab/>
      </w:r>
      <w:r>
        <w:rPr>
          <w:rFonts w:hint="eastAsia"/>
          <w:lang w:val="en-US" w:eastAsia="zh-CN"/>
        </w:rPr>
        <w:t>24</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cs="黑体"/>
        </w:rPr>
        <w:t>附件1</w:t>
      </w:r>
      <w:r>
        <w:tab/>
      </w:r>
      <w:r>
        <w:rPr>
          <w:rFonts w:hint="eastAsia"/>
          <w:lang w:val="en-US" w:eastAsia="zh-CN"/>
        </w:rPr>
        <w:t>24</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方正小标宋简体" w:hAnsi="黑体" w:eastAsia="方正小标宋简体" w:cs="黑体"/>
        </w:rPr>
        <w:t>部门202</w:t>
      </w:r>
      <w:r>
        <w:rPr>
          <w:rFonts w:hint="eastAsia" w:ascii="方正小标宋简体" w:hAnsi="黑体" w:eastAsia="方正小标宋简体" w:cs="黑体"/>
          <w:lang w:val="en-US" w:eastAsia="zh-CN"/>
        </w:rPr>
        <w:t>1</w:t>
      </w:r>
      <w:r>
        <w:rPr>
          <w:rFonts w:ascii="方正小标宋简体" w:hAnsi="黑体" w:eastAsia="方正小标宋简体" w:cs="黑体"/>
        </w:rPr>
        <w:t>年部门整体支出绩效评价报告</w:t>
      </w:r>
      <w:r>
        <w:tab/>
      </w:r>
      <w:r>
        <w:rPr>
          <w:rFonts w:hint="eastAsia"/>
          <w:lang w:val="en-US" w:eastAsia="zh-CN"/>
        </w:rPr>
        <w:t>25</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cs="黑体"/>
        </w:rPr>
        <w:t>附件2</w:t>
      </w:r>
      <w:r>
        <w:tab/>
      </w:r>
      <w:r>
        <w:rPr>
          <w:rFonts w:hint="eastAsia"/>
          <w:lang w:val="en-US" w:eastAsia="zh-CN"/>
        </w:rPr>
        <w:t>25</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方正小标宋简体" w:hAnsi="黑体" w:eastAsia="方正小标宋简体" w:cs="黑体"/>
        </w:rPr>
        <w:t>项目202</w:t>
      </w:r>
      <w:r>
        <w:rPr>
          <w:rFonts w:hint="eastAsia" w:ascii="方正小标宋简体" w:hAnsi="黑体" w:eastAsia="方正小标宋简体" w:cs="黑体"/>
          <w:lang w:val="en-US" w:eastAsia="zh-CN"/>
        </w:rPr>
        <w:t>1</w:t>
      </w:r>
      <w:r>
        <w:rPr>
          <w:rFonts w:ascii="方正小标宋简体" w:hAnsi="黑体" w:eastAsia="方正小标宋简体" w:cs="黑体"/>
        </w:rPr>
        <w:t>年绩效评价报告</w:t>
      </w:r>
      <w:r>
        <w:tab/>
      </w:r>
      <w:r>
        <w:rPr>
          <w:rFonts w:hint="eastAsia"/>
          <w:lang w:val="en-US" w:eastAsia="zh-CN"/>
        </w:rPr>
        <w:t>25</w:t>
      </w:r>
    </w:p>
    <w:p>
      <w:pPr>
        <w:pStyle w:val="16"/>
        <w:tabs>
          <w:tab w:val="right" w:leader="dot" w:pos="8296"/>
        </w:tabs>
        <w:rPr>
          <w:rFonts w:hint="default" w:hAnsiTheme="minorHAnsi" w:eastAsiaTheme="minorHAnsi" w:cstheme="minorBidi"/>
          <w:b w:val="0"/>
          <w:bCs w:val="0"/>
          <w:caps w:val="0"/>
          <w:sz w:val="21"/>
          <w:szCs w:val="22"/>
          <w:lang w:val="en-US" w:eastAsia="zh-CN"/>
        </w:rPr>
      </w:pPr>
      <w:r>
        <w:rPr>
          <w:rFonts w:ascii="黑体" w:hAnsi="黑体" w:eastAsia="黑体"/>
          <w:color w:val="000000"/>
        </w:rPr>
        <w:t>第</w:t>
      </w:r>
      <w:r>
        <w:rPr>
          <w:rFonts w:ascii="黑体" w:hAnsi="黑体" w:eastAsia="黑体"/>
          <w:kern w:val="44"/>
        </w:rPr>
        <w:t>五部分 附表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color w:val="000000"/>
        </w:rPr>
        <w:t>一、收</w:t>
      </w:r>
      <w:r>
        <w:rPr>
          <w:rFonts w:ascii="仿宋" w:hAnsi="仿宋" w:eastAsia="仿宋"/>
        </w:rPr>
        <w:t>入支出决算总表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color w:val="000000"/>
        </w:rPr>
        <w:t>二、收</w:t>
      </w:r>
      <w:r>
        <w:rPr>
          <w:rFonts w:ascii="仿宋" w:hAnsi="仿宋" w:eastAsia="仿宋"/>
        </w:rPr>
        <w:t>入决算表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三、</w:t>
      </w:r>
      <w:r>
        <w:rPr>
          <w:rFonts w:ascii="仿宋" w:hAnsi="仿宋" w:eastAsia="仿宋"/>
          <w:color w:val="000000"/>
        </w:rPr>
        <w:t>支</w:t>
      </w:r>
      <w:r>
        <w:rPr>
          <w:rFonts w:ascii="仿宋" w:hAnsi="仿宋" w:eastAsia="仿宋"/>
        </w:rPr>
        <w:t>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四、</w:t>
      </w:r>
      <w:r>
        <w:rPr>
          <w:rFonts w:ascii="仿宋" w:hAnsi="仿宋" w:eastAsia="仿宋"/>
          <w:color w:val="000000"/>
        </w:rPr>
        <w:t>财</w:t>
      </w:r>
      <w:r>
        <w:rPr>
          <w:rFonts w:ascii="仿宋" w:hAnsi="仿宋" w:eastAsia="仿宋"/>
        </w:rPr>
        <w:t>政拨款收入支出决算总表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五、</w:t>
      </w:r>
      <w:r>
        <w:rPr>
          <w:rFonts w:ascii="仿宋" w:hAnsi="仿宋" w:eastAsia="仿宋"/>
          <w:color w:val="000000"/>
        </w:rPr>
        <w:t>财</w:t>
      </w:r>
      <w:r>
        <w:rPr>
          <w:rFonts w:ascii="仿宋" w:hAnsi="仿宋" w:eastAsia="仿宋"/>
        </w:rPr>
        <w:t>政拨款支出决算明细表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六、</w:t>
      </w:r>
      <w:r>
        <w:rPr>
          <w:rFonts w:ascii="仿宋" w:hAnsi="仿宋" w:eastAsia="仿宋"/>
          <w:color w:val="000000"/>
        </w:rPr>
        <w:t>一</w:t>
      </w:r>
      <w:r>
        <w:rPr>
          <w:rFonts w:ascii="仿宋" w:hAnsi="仿宋" w:eastAsia="仿宋"/>
        </w:rPr>
        <w:t>般公共预算财政拨款支出决算表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七、</w:t>
      </w:r>
      <w:r>
        <w:rPr>
          <w:rFonts w:ascii="仿宋" w:hAnsi="仿宋" w:eastAsia="仿宋"/>
          <w:color w:val="000000"/>
        </w:rPr>
        <w:t>一</w:t>
      </w:r>
      <w:r>
        <w:rPr>
          <w:rFonts w:ascii="仿宋" w:hAnsi="仿宋" w:eastAsia="仿宋"/>
        </w:rPr>
        <w:t>般公共预算财政拨款支出决算明细表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八、</w:t>
      </w:r>
      <w:r>
        <w:rPr>
          <w:rFonts w:ascii="仿宋" w:hAnsi="仿宋" w:eastAsia="仿宋"/>
          <w:color w:val="000000"/>
        </w:rPr>
        <w:t>一</w:t>
      </w:r>
      <w:r>
        <w:rPr>
          <w:rFonts w:ascii="仿宋" w:hAnsi="仿宋" w:eastAsia="仿宋"/>
        </w:rPr>
        <w:t>般公共预算财政拨款基本支出决算表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九、</w:t>
      </w:r>
      <w:r>
        <w:rPr>
          <w:rFonts w:ascii="仿宋" w:hAnsi="仿宋" w:eastAsia="仿宋"/>
          <w:color w:val="000000"/>
        </w:rPr>
        <w:t>一</w:t>
      </w:r>
      <w:r>
        <w:rPr>
          <w:rFonts w:ascii="仿宋" w:hAnsi="仿宋" w:eastAsia="仿宋"/>
        </w:rPr>
        <w:t>般公共预算财政拨款项目支出决算表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w:t>
      </w:r>
      <w:r>
        <w:rPr>
          <w:rFonts w:ascii="仿宋" w:hAnsi="仿宋" w:eastAsia="仿宋"/>
          <w:color w:val="000000"/>
        </w:rPr>
        <w:t>一</w:t>
      </w:r>
      <w:r>
        <w:rPr>
          <w:rFonts w:ascii="仿宋" w:hAnsi="仿宋" w:eastAsia="仿宋"/>
        </w:rPr>
        <w:t>般公共预算财政拨款“三公”经费支出决算表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十一、</w:t>
      </w:r>
      <w:r>
        <w:rPr>
          <w:rFonts w:ascii="仿宋" w:hAnsi="仿宋" w:eastAsia="仿宋"/>
          <w:color w:val="000000"/>
        </w:rPr>
        <w:t>政</w:t>
      </w:r>
      <w:r>
        <w:rPr>
          <w:rFonts w:ascii="仿宋" w:hAnsi="仿宋" w:eastAsia="仿宋"/>
        </w:rPr>
        <w:t>府性基金预算财政拨款收入支出决算表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十二、</w:t>
      </w:r>
      <w:r>
        <w:rPr>
          <w:rFonts w:ascii="仿宋" w:hAnsi="仿宋" w:eastAsia="仿宋"/>
          <w:color w:val="000000"/>
        </w:rPr>
        <w:t>政</w:t>
      </w:r>
      <w:r>
        <w:rPr>
          <w:rFonts w:ascii="仿宋" w:hAnsi="仿宋" w:eastAsia="仿宋"/>
        </w:rPr>
        <w:t>府性基金预算财政拨款“三公”经费支出决算表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十三、</w:t>
      </w:r>
      <w:r>
        <w:rPr>
          <w:rFonts w:ascii="仿宋" w:hAnsi="仿宋" w:eastAsia="仿宋"/>
          <w:color w:val="000000"/>
        </w:rPr>
        <w:t>国</w:t>
      </w:r>
      <w:r>
        <w:rPr>
          <w:rFonts w:ascii="仿宋" w:hAnsi="仿宋" w:eastAsia="仿宋"/>
        </w:rPr>
        <w:t>有资本经营预算财政拨款支出决算表</w:t>
      </w:r>
      <w:r>
        <w:tab/>
      </w:r>
      <w:r>
        <w:rPr>
          <w:rFonts w:hint="eastAsia"/>
          <w:lang w:val="en-US" w:eastAsia="zh-CN"/>
        </w:rPr>
        <w:t>26</w:t>
      </w:r>
    </w:p>
    <w:p>
      <w:pPr>
        <w:pStyle w:val="19"/>
        <w:tabs>
          <w:tab w:val="right" w:leader="dot" w:pos="8296"/>
        </w:tabs>
        <w:rPr>
          <w:rFonts w:hint="default" w:hAnsiTheme="minorHAnsi" w:eastAsiaTheme="minorHAnsi" w:cstheme="minorBidi"/>
          <w:smallCaps w:val="0"/>
          <w:sz w:val="21"/>
          <w:szCs w:val="22"/>
          <w:lang w:val="en-US" w:eastAsia="zh-CN"/>
        </w:rPr>
      </w:pPr>
      <w:r>
        <w:rPr>
          <w:rFonts w:ascii="仿宋" w:hAnsi="仿宋" w:eastAsia="仿宋"/>
        </w:rPr>
        <w:t>十四、国有资本经营预算财政拨款支出决算表</w:t>
      </w:r>
      <w:r>
        <w:tab/>
      </w:r>
      <w:r>
        <w:rPr>
          <w:rFonts w:hint="eastAsia"/>
          <w:lang w:val="en-US" w:eastAsia="zh-CN"/>
        </w:rPr>
        <w:t>26</w:t>
      </w:r>
    </w:p>
    <w:p>
      <w:pPr>
        <w:rPr>
          <w:rFonts w:ascii="仿宋" w:hAnsi="仿宋" w:eastAsia="仿宋"/>
          <w:color w:val="FF0000"/>
          <w:sz w:val="24"/>
        </w:rPr>
      </w:pPr>
      <w:r>
        <w:rPr>
          <w:rFonts w:asciiTheme="minorHAnsi" w:eastAsiaTheme="minorHAnsi"/>
          <w:b/>
          <w:bCs/>
          <w:caps/>
          <w:sz w:val="20"/>
          <w:szCs w:val="20"/>
        </w:rPr>
        <w:fldChar w:fldCharType="end"/>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26"/>
          <w:rFonts w:ascii="黑体" w:hAnsi="黑体" w:eastAsia="黑体"/>
          <w:b/>
          <w:bCs w:val="0"/>
        </w:rPr>
      </w:pPr>
      <w:bookmarkStart w:id="14" w:name="_Toc79163601"/>
      <w:bookmarkStart w:id="15" w:name="_Toc79163851"/>
      <w:r>
        <w:rPr>
          <w:rFonts w:hint="eastAsia" w:ascii="黑体" w:hAnsi="黑体" w:eastAsia="黑体"/>
          <w:b w:val="0"/>
        </w:rPr>
        <w:t>第一部分</w:t>
      </w:r>
      <w:r>
        <w:rPr>
          <w:rFonts w:ascii="黑体" w:hAnsi="黑体" w:eastAsia="黑体"/>
          <w:b w:val="0"/>
        </w:rPr>
        <w:t xml:space="preserve"> </w:t>
      </w:r>
      <w:r>
        <w:rPr>
          <w:rStyle w:val="26"/>
          <w:rFonts w:hint="eastAsia" w:ascii="黑体" w:hAns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5"/>
        <w:rPr>
          <w:rStyle w:val="27"/>
          <w:rFonts w:ascii="仿宋" w:hAnsi="仿宋" w:eastAsia="仿宋"/>
          <w:b w:val="0"/>
          <w:bCs w:val="0"/>
        </w:rPr>
      </w:pPr>
      <w:bookmarkStart w:id="16" w:name="_Toc15377197"/>
      <w:bookmarkStart w:id="17" w:name="_Toc79163852"/>
      <w:bookmarkStart w:id="18" w:name="_Toc15396600"/>
      <w:bookmarkStart w:id="19" w:name="_Toc79163602"/>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6"/>
      <w:bookmarkEnd w:id="17"/>
      <w:bookmarkEnd w:id="18"/>
      <w:bookmarkEnd w:id="19"/>
    </w:p>
    <w:p>
      <w:pPr>
        <w:pStyle w:val="9"/>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79163603"/>
      <w:bookmarkStart w:id="21" w:name="_Toc79163853"/>
      <w:bookmarkStart w:id="22" w:name="_Toc15378445"/>
      <w:bookmarkStart w:id="23" w:name="_Toc15377198"/>
      <w:r>
        <w:rPr>
          <w:rFonts w:hint="eastAsia" w:ascii="仿宋" w:hAnsi="仿宋" w:eastAsia="仿宋"/>
          <w:bCs/>
          <w:color w:val="000000"/>
          <w:sz w:val="32"/>
          <w:szCs w:val="32"/>
        </w:rPr>
        <w:t>（一）主要职能。</w:t>
      </w:r>
      <w:bookmarkEnd w:id="20"/>
      <w:bookmarkEnd w:id="21"/>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中国人民政治协商会议九寨沟县委员会是中共九寨沟县委员会领导的联系和团结全县各族各界人士的爱国统一战线组织和政治协商职能的重要机构。</w:t>
      </w:r>
    </w:p>
    <w:p>
      <w:pPr>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九寨沟县政协机关下设四委一室</w:t>
      </w:r>
      <w:r>
        <w:rPr>
          <w:rFonts w:hint="eastAsia" w:ascii="仿宋_GB2312" w:hAnsi="仿宋_GB2312" w:eastAsia="仿宋_GB2312" w:cs="仿宋_GB2312"/>
          <w:color w:val="000000"/>
          <w:sz w:val="32"/>
          <w:szCs w:val="32"/>
          <w:lang w:eastAsia="zh-CN"/>
        </w:rPr>
        <w:t>：</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1、提案社会工作委员会</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（1）根据政协《章程》规定，提案社会工作委员会在常委会的领导下，负责提案的审查立案、转送、督办、催办、反馈、追踪等系例工作，每年将提案办理情况向全体委员会报告。</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围绕稳定、发展、参与抓法制宣传，调动一切积极因素，发挥群团组织在两个文明建设中的积极作用，积极参与社会治安综合治理工作，为我县兴旅、强农、建市目标作好调查研究，主动建言献策，密切联系所在人民团体的委员，及时了解社情民意。</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2、经济教育卫生委员会</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济教育卫生委员会在常委会的领导下，围绕我县经济建设这个中心，组织委员经常性的专题调查、视察、座谈、密切联系委员，就我县的经济建设，社会发展，改革开放等重大决策的实施情况提出建议、批评和民主监督，为县委、政府决策提供依据。</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（2）参与贯彻教育、文化、卫生等方面的法律、法规的宣传教育和具体实施中的监督，组织委员对此项工作的调查、视察和座谈，及时关心和反映科技人员的工作、生活等方面的困难和要求。</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3、文史、民族宗教委员会</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（1）搜集、征集、整理文史资料，全面系统地挖掘史料，及时研究和出版文史资料，为我县的两个文明建设服务。</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（2）认真贯彻党的民族宗教政策和《民族区域自治法》，参与政府部门组织的宗教寺庙管理和民族纠纷问题的调解，并提出意见和建议，团结各族各界人士，为我县的政治稳定、经济发展、社会进步作出贡献。</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4、综合办公室</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(1)在常委会和主席会的领导下，负责综合协调，密切与专门委员会和县级各部门的工作联系。</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(2)认真作好常委会、主席会、全体委员会议的筹备工作，作好会议记录，文书档案，草拟有关文字材料。</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(3)组织政协机关的学习及其他活动，传达贯彻上级和有关部门的会议精神，作好上传下达等工作</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(4)搞好政协委员的联系、接待和人民群众来信来访等工作。</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(5)搞好本机关的后勤保障工作及有关离退休人员的服务工作，完成常委会议、主席会交办的其他工作。</w:t>
      </w:r>
    </w:p>
    <w:p>
      <w:pPr>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(6)承办县政府交办的其他事项。</w:t>
      </w:r>
    </w:p>
    <w:p>
      <w:pPr>
        <w:ind w:firstLine="800" w:firstLineChars="25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5、委员联络室</w:t>
      </w:r>
    </w:p>
    <w:p>
      <w:pPr>
        <w:ind w:firstLine="800" w:firstLineChars="250"/>
        <w:rPr>
          <w:rFonts w:ascii="仿宋" w:hAnsi="仿宋" w:eastAsia="仿宋"/>
          <w:sz w:val="32"/>
          <w:szCs w:val="32"/>
        </w:rPr>
      </w:pPr>
      <w:r>
        <w:rPr>
          <w:rFonts w:hint="eastAsia" w:ascii="仿宋_GB2312" w:hAnsi="仿宋_GB2312" w:eastAsia="仿宋_GB2312" w:cs="仿宋_GB2312"/>
          <w:color w:val="000000"/>
          <w:sz w:val="32"/>
          <w:szCs w:val="32"/>
          <w:lang w:val="en-US" w:eastAsia="zh-CN"/>
        </w:rPr>
        <w:t>负责委员联络、服务、管理与考核工作；组织委员培训工作；委员活动小组、界别组活动的联系指导工作；负责特约监督员工作；负责驻九寨沟县的全国、省、州政协委员出席会议、视察和委员小组活动的组织、协调及服务等工作。</w:t>
      </w:r>
    </w:p>
    <w:p>
      <w:pPr>
        <w:pStyle w:val="8"/>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方正仿宋_GBK" w:hAnsi="方正仿宋_GBK" w:eastAsia="方正仿宋_GBK" w:cs="方正仿宋_GBK"/>
          <w:b w:val="0"/>
          <w:bCs w:val="0"/>
          <w:color w:val="000000"/>
          <w:kern w:val="2"/>
          <w:sz w:val="32"/>
          <w:szCs w:val="32"/>
          <w:lang w:val="en-US" w:eastAsia="zh-CN" w:bidi="ar-SA"/>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21</w:t>
      </w:r>
      <w:r>
        <w:rPr>
          <w:rFonts w:hint="eastAsia" w:ascii="仿宋" w:hAnsi="仿宋" w:eastAsia="仿宋"/>
          <w:bCs/>
          <w:color w:val="000000"/>
          <w:sz w:val="32"/>
          <w:szCs w:val="32"/>
        </w:rPr>
        <w:t>年重点工作完成情况。</w:t>
      </w:r>
      <w:r>
        <w:rPr>
          <w:rFonts w:hint="eastAsia" w:ascii="仿宋" w:hAnsi="仿宋" w:eastAsia="仿宋"/>
          <w:bCs/>
          <w:color w:val="000000"/>
          <w:sz w:val="32"/>
          <w:szCs w:val="32"/>
          <w:lang w:val="en-US" w:eastAsia="zh-CN"/>
        </w:rPr>
        <w:t>1、</w:t>
      </w:r>
      <w:r>
        <w:rPr>
          <w:rFonts w:hint="eastAsia" w:ascii="楷体_GB2312" w:hAnsi="楷体_GB2312" w:eastAsia="楷体_GB2312" w:cs="楷体_GB2312"/>
          <w:b/>
          <w:bCs/>
          <w:sz w:val="32"/>
          <w:szCs w:val="32"/>
          <w:lang w:val="en-US" w:eastAsia="zh-CN"/>
        </w:rPr>
        <w:t>抓实思想政治建设。坚持政治原则。</w:t>
      </w:r>
      <w:r>
        <w:rPr>
          <w:rFonts w:hint="eastAsia" w:ascii="仿宋_GB2312" w:hAnsi="仿宋_GB2312" w:eastAsia="仿宋_GB2312" w:cs="仿宋_GB2312"/>
          <w:sz w:val="32"/>
          <w:szCs w:val="32"/>
        </w:rPr>
        <w:t>县委作出的工作安排第一时间抓好贯彻、抓好执行，自觉将政协各项工作置于县委的全面领导下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color w:val="000000"/>
          <w:sz w:val="32"/>
          <w:szCs w:val="32"/>
          <w:lang w:val="en-US" w:eastAsia="zh-CN"/>
        </w:rPr>
        <w:t>保持政治觉悟。</w:t>
      </w:r>
      <w:r>
        <w:rPr>
          <w:rFonts w:hint="eastAsia" w:ascii="仿宋_GB2312" w:hAnsi="仿宋_GB2312" w:eastAsia="仿宋_GB2312" w:cs="仿宋_GB2312"/>
          <w:sz w:val="32"/>
          <w:szCs w:val="32"/>
        </w:rPr>
        <w:t>坚持执行“双周”学习会议制度，结合“全国政协委员读书活动”，精心制定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w:t>
      </w:r>
      <w:r>
        <w:rPr>
          <w:rFonts w:hint="eastAsia" w:ascii="仿宋_GB2312" w:hAnsi="仿宋_GB2312" w:eastAsia="仿宋_GB2312" w:cs="仿宋_GB2312"/>
          <w:sz w:val="32"/>
          <w:szCs w:val="32"/>
          <w:lang w:eastAsia="zh-CN"/>
        </w:rPr>
        <w:t>理论学习计划</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sz w:val="32"/>
          <w:szCs w:val="32"/>
          <w:lang w:val="en-US" w:eastAsia="zh-CN"/>
        </w:rPr>
        <w:t>严守政治底线。</w:t>
      </w:r>
      <w:r>
        <w:rPr>
          <w:rFonts w:hint="eastAsia" w:ascii="仿宋_GB2312" w:hAnsi="仿宋_GB2312" w:eastAsia="仿宋_GB2312" w:cs="仿宋_GB2312"/>
          <w:sz w:val="32"/>
          <w:szCs w:val="32"/>
          <w:lang w:val="en-US" w:eastAsia="zh-CN"/>
        </w:rPr>
        <w:t>全面落实党风廉政建设主体责任，严格执行“一岗双责”，</w:t>
      </w:r>
      <w:r>
        <w:rPr>
          <w:rFonts w:hint="eastAsia" w:ascii="仿宋_GB2312" w:hAnsi="宋体" w:eastAsia="仿宋_GB2312"/>
          <w:color w:val="000000"/>
          <w:kern w:val="0"/>
          <w:sz w:val="32"/>
          <w:szCs w:val="32"/>
          <w:u w:val="none" w:color="000000"/>
          <w:lang w:val="en-US" w:eastAsia="zh-CN"/>
        </w:rPr>
        <w:t>坚持会前学法学纪，逢会必讲党风廉政建设工作。</w:t>
      </w:r>
      <w:r>
        <w:rPr>
          <w:rFonts w:hint="eastAsia" w:ascii="仿宋_GB2312" w:hAnsi="仿宋_GB2312" w:eastAsia="仿宋_GB2312" w:cs="仿宋_GB2312"/>
          <w:color w:val="auto"/>
          <w:sz w:val="32"/>
          <w:szCs w:val="32"/>
          <w:lang w:val="en-US" w:eastAsia="zh-CN"/>
        </w:rPr>
        <w:t>指导政协机关修订完善《公务用车》《出差下乡审批》等机关内部管理制度，不断强化</w:t>
      </w:r>
      <w:r>
        <w:rPr>
          <w:rFonts w:hint="eastAsia" w:ascii="仿宋_GB2312" w:hAnsi="仿宋_GB2312" w:eastAsia="仿宋_GB2312" w:cs="仿宋_GB2312"/>
          <w:sz w:val="32"/>
          <w:szCs w:val="32"/>
        </w:rPr>
        <w:t>干部队伍管理，</w:t>
      </w:r>
      <w:r>
        <w:rPr>
          <w:rFonts w:hint="eastAsia" w:ascii="仿宋_GB2312" w:hAnsi="仿宋_GB2312" w:eastAsia="仿宋_GB2312" w:cs="仿宋_GB2312"/>
          <w:color w:val="auto"/>
          <w:sz w:val="32"/>
          <w:szCs w:val="32"/>
        </w:rPr>
        <w:t>为政协</w:t>
      </w:r>
      <w:r>
        <w:rPr>
          <w:rFonts w:hint="eastAsia" w:ascii="仿宋_GB2312" w:hAnsi="仿宋_GB2312" w:eastAsia="仿宋_GB2312" w:cs="仿宋_GB2312"/>
          <w:color w:val="auto"/>
          <w:sz w:val="32"/>
          <w:szCs w:val="32"/>
          <w:lang w:eastAsia="zh-CN"/>
        </w:rPr>
        <w:t>各项</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有序</w:t>
      </w:r>
      <w:r>
        <w:rPr>
          <w:rFonts w:hint="eastAsia" w:ascii="仿宋_GB2312" w:hAnsi="仿宋_GB2312" w:eastAsia="仿宋_GB2312" w:cs="仿宋_GB2312"/>
          <w:color w:val="auto"/>
          <w:sz w:val="32"/>
          <w:szCs w:val="32"/>
        </w:rPr>
        <w:t>开展提供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有力的政治和纪律</w:t>
      </w:r>
      <w:r>
        <w:rPr>
          <w:rFonts w:hint="eastAsia" w:ascii="仿宋_GB2312" w:hAnsi="仿宋_GB2312" w:eastAsia="仿宋_GB2312" w:cs="仿宋_GB2312"/>
          <w:color w:val="auto"/>
          <w:sz w:val="32"/>
          <w:szCs w:val="32"/>
          <w:lang w:eastAsia="zh-CN"/>
        </w:rPr>
        <w:t>保证</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bCs/>
          <w:sz w:val="32"/>
          <w:szCs w:val="32"/>
          <w:lang w:val="en-US" w:eastAsia="zh-CN"/>
        </w:rPr>
        <w:t>2、深入开展</w:t>
      </w:r>
      <w:r>
        <w:rPr>
          <w:rFonts w:hint="eastAsia" w:ascii="仿宋_GB2312" w:hAnsi="仿宋_GB2312" w:eastAsia="仿宋_GB2312" w:cs="仿宋_GB2312"/>
          <w:b/>
          <w:bCs/>
          <w:sz w:val="32"/>
          <w:szCs w:val="32"/>
        </w:rPr>
        <w:t>疫情防控</w:t>
      </w:r>
      <w:r>
        <w:rPr>
          <w:rFonts w:hint="eastAsia" w:ascii="仿宋_GB2312" w:hAnsi="仿宋_GB2312" w:eastAsia="仿宋_GB2312" w:cs="仿宋_GB2312"/>
          <w:b/>
          <w:bCs/>
          <w:sz w:val="32"/>
          <w:szCs w:val="32"/>
          <w:lang w:eastAsia="zh-CN"/>
        </w:rPr>
        <w:t>和走访企业等工作</w:t>
      </w:r>
      <w:r>
        <w:rPr>
          <w:rFonts w:hint="eastAsia" w:ascii="仿宋_GB2312" w:hAnsi="仿宋_GB2312" w:eastAsia="仿宋_GB2312" w:cs="仿宋_GB2312"/>
          <w:b/>
          <w:bCs/>
          <w:sz w:val="32"/>
          <w:szCs w:val="32"/>
        </w:rPr>
        <w:t>。</w:t>
      </w:r>
      <w:r>
        <w:rPr>
          <w:rFonts w:hint="eastAsia" w:ascii="方正仿宋_GBK" w:hAnsi="方正仿宋_GBK" w:eastAsia="方正仿宋_GBK" w:cs="方正仿宋_GBK"/>
          <w:b w:val="0"/>
          <w:bCs w:val="0"/>
          <w:color w:val="000000"/>
          <w:kern w:val="2"/>
          <w:sz w:val="32"/>
          <w:szCs w:val="32"/>
          <w:lang w:val="en-US" w:eastAsia="zh-CN" w:bidi="ar-SA"/>
        </w:rPr>
        <w:t>常态化开展疫情防控工作情况进行监督性视察。机关干部职工和委员接种新冠疫苗达到全覆盖。切实履行联系企业职责，先后走访企业</w:t>
      </w:r>
      <w:r>
        <w:rPr>
          <w:rFonts w:hint="default" w:ascii="方正仿宋_GBK" w:hAnsi="方正仿宋_GBK" w:eastAsia="方正仿宋_GBK" w:cs="方正仿宋_GBK"/>
          <w:b w:val="0"/>
          <w:bCs w:val="0"/>
          <w:color w:val="000000"/>
          <w:kern w:val="2"/>
          <w:sz w:val="32"/>
          <w:szCs w:val="32"/>
          <w:lang w:val="en-US" w:eastAsia="zh-CN" w:bidi="ar-SA"/>
        </w:rPr>
        <w:t>50</w:t>
      </w:r>
      <w:r>
        <w:rPr>
          <w:rFonts w:hint="eastAsia" w:ascii="方正仿宋_GBK" w:hAnsi="方正仿宋_GBK" w:eastAsia="方正仿宋_GBK" w:cs="方正仿宋_GBK"/>
          <w:b w:val="0"/>
          <w:bCs w:val="0"/>
          <w:color w:val="000000"/>
          <w:kern w:val="2"/>
          <w:sz w:val="32"/>
          <w:szCs w:val="32"/>
          <w:lang w:val="en-US" w:eastAsia="zh-CN" w:bidi="ar-SA"/>
        </w:rPr>
        <w:t>余家次，走访困难群众</w:t>
      </w:r>
      <w:r>
        <w:rPr>
          <w:rFonts w:hint="default" w:ascii="方正仿宋_GBK" w:hAnsi="方正仿宋_GBK" w:eastAsia="方正仿宋_GBK" w:cs="方正仿宋_GBK"/>
          <w:b w:val="0"/>
          <w:bCs w:val="0"/>
          <w:color w:val="000000"/>
          <w:kern w:val="2"/>
          <w:sz w:val="32"/>
          <w:szCs w:val="32"/>
          <w:lang w:val="en-US" w:eastAsia="zh-CN" w:bidi="ar-SA"/>
        </w:rPr>
        <w:t>530</w:t>
      </w:r>
      <w:r>
        <w:rPr>
          <w:rFonts w:hint="eastAsia" w:ascii="方正仿宋_GBK" w:hAnsi="方正仿宋_GBK" w:eastAsia="方正仿宋_GBK" w:cs="方正仿宋_GBK"/>
          <w:b w:val="0"/>
          <w:bCs w:val="0"/>
          <w:color w:val="000000"/>
          <w:kern w:val="2"/>
          <w:sz w:val="32"/>
          <w:szCs w:val="32"/>
          <w:lang w:val="en-US" w:eastAsia="zh-CN" w:bidi="ar-SA"/>
        </w:rPr>
        <w:t>余户，搜集群众诉求和企业建议</w:t>
      </w:r>
      <w:r>
        <w:rPr>
          <w:rFonts w:hint="default" w:ascii="方正仿宋_GBK" w:hAnsi="方正仿宋_GBK" w:eastAsia="方正仿宋_GBK" w:cs="方正仿宋_GBK"/>
          <w:b w:val="0"/>
          <w:bCs w:val="0"/>
          <w:color w:val="000000"/>
          <w:kern w:val="2"/>
          <w:sz w:val="32"/>
          <w:szCs w:val="32"/>
          <w:lang w:val="en-US" w:eastAsia="zh-CN" w:bidi="ar-SA"/>
        </w:rPr>
        <w:t>230</w:t>
      </w:r>
      <w:r>
        <w:rPr>
          <w:rFonts w:hint="eastAsia" w:ascii="方正仿宋_GBK" w:hAnsi="方正仿宋_GBK" w:eastAsia="方正仿宋_GBK" w:cs="方正仿宋_GBK"/>
          <w:b w:val="0"/>
          <w:bCs w:val="0"/>
          <w:color w:val="000000"/>
          <w:kern w:val="2"/>
          <w:sz w:val="32"/>
          <w:szCs w:val="32"/>
          <w:lang w:val="en-US" w:eastAsia="zh-CN" w:bidi="ar-SA"/>
        </w:rPr>
        <w:t>余条，帮助协调解决物资短缺、营销渠道不畅等具体问题</w:t>
      </w:r>
      <w:r>
        <w:rPr>
          <w:rFonts w:hint="default" w:ascii="方正仿宋_GBK" w:hAnsi="方正仿宋_GBK" w:eastAsia="方正仿宋_GBK" w:cs="方正仿宋_GBK"/>
          <w:b w:val="0"/>
          <w:bCs w:val="0"/>
          <w:color w:val="000000"/>
          <w:kern w:val="2"/>
          <w:sz w:val="32"/>
          <w:szCs w:val="32"/>
          <w:lang w:val="en-US" w:eastAsia="zh-CN" w:bidi="ar-SA"/>
        </w:rPr>
        <w:t>150</w:t>
      </w:r>
      <w:r>
        <w:rPr>
          <w:rFonts w:hint="eastAsia" w:ascii="方正仿宋_GBK" w:hAnsi="方正仿宋_GBK" w:eastAsia="方正仿宋_GBK" w:cs="方正仿宋_GBK"/>
          <w:b w:val="0"/>
          <w:bCs w:val="0"/>
          <w:color w:val="000000"/>
          <w:kern w:val="2"/>
          <w:sz w:val="32"/>
          <w:szCs w:val="32"/>
          <w:lang w:val="en-US" w:eastAsia="zh-CN" w:bidi="ar-SA"/>
        </w:rPr>
        <w:t>余个，着力推动重点企业和县域经济高质量发展。</w:t>
      </w:r>
      <w:r>
        <w:rPr>
          <w:rFonts w:hint="default" w:ascii="方正仿宋_GBK" w:hAnsi="方正仿宋_GBK" w:eastAsia="方正仿宋_GBK" w:cs="方正仿宋_GBK"/>
          <w:b w:val="0"/>
          <w:bCs w:val="0"/>
          <w:color w:val="000000"/>
          <w:kern w:val="2"/>
          <w:sz w:val="32"/>
          <w:szCs w:val="32"/>
          <w:lang w:val="en-US" w:eastAsia="zh-CN" w:bidi="ar-SA"/>
        </w:rPr>
        <w:t>2021</w:t>
      </w:r>
      <w:r>
        <w:rPr>
          <w:rFonts w:hint="eastAsia" w:ascii="方正仿宋_GBK" w:hAnsi="方正仿宋_GBK" w:eastAsia="方正仿宋_GBK" w:cs="方正仿宋_GBK"/>
          <w:b w:val="0"/>
          <w:bCs w:val="0"/>
          <w:color w:val="000000"/>
          <w:kern w:val="2"/>
          <w:sz w:val="32"/>
          <w:szCs w:val="32"/>
          <w:lang w:val="en-US" w:eastAsia="zh-CN" w:bidi="ar-SA"/>
        </w:rPr>
        <w:t>年，获县委县政府疫情防控先进集体称号。</w:t>
      </w:r>
      <w:r>
        <w:rPr>
          <w:rFonts w:hint="eastAsia" w:ascii="仿宋_GB2312" w:hAnsi="仿宋_GB2312" w:eastAsia="仿宋_GB2312" w:cs="仿宋_GB2312"/>
          <w:b/>
          <w:bCs/>
          <w:color w:val="000000"/>
          <w:sz w:val="32"/>
          <w:szCs w:val="32"/>
          <w:lang w:val="en-US" w:eastAsia="zh-CN"/>
        </w:rPr>
        <w:t>积极助推重点工作。</w:t>
      </w:r>
      <w:r>
        <w:rPr>
          <w:rFonts w:hint="eastAsia" w:ascii="方正仿宋_GBK" w:hAnsi="方正仿宋_GBK" w:eastAsia="方正仿宋_GBK" w:cs="方正仿宋_GBK"/>
          <w:b w:val="0"/>
          <w:bCs w:val="0"/>
          <w:color w:val="000000"/>
          <w:kern w:val="2"/>
          <w:sz w:val="32"/>
          <w:szCs w:val="32"/>
          <w:lang w:val="en-US" w:eastAsia="zh-CN" w:bidi="ar-SA"/>
        </w:rPr>
        <w:t>按照县委安排，积极参与省文旅大会筹备、魅力小镇建设等专项督查及综合督导工作，聚焦宜居县城建设，助力全国文明城市创建，全力保障省旅发大会顺利召开。积极引导宗教界人士和信教群众，为维护全县民族团结、宗教和谐、社会稳定，发挥和传播正能量。持续开展“生态保护委员在行动”“我为全域旅游做件事”等活动，宣传文化旅游、生态保护等政策法规</w:t>
      </w:r>
      <w:r>
        <w:rPr>
          <w:rFonts w:hint="default" w:ascii="方正仿宋_GBK" w:hAnsi="方正仿宋_GBK" w:eastAsia="方正仿宋_GBK" w:cs="方正仿宋_GBK"/>
          <w:b w:val="0"/>
          <w:bCs w:val="0"/>
          <w:color w:val="000000"/>
          <w:kern w:val="2"/>
          <w:sz w:val="32"/>
          <w:szCs w:val="32"/>
          <w:lang w:val="en-US" w:eastAsia="zh-CN" w:bidi="ar-SA"/>
        </w:rPr>
        <w:t>500</w:t>
      </w:r>
      <w:r>
        <w:rPr>
          <w:rFonts w:hint="eastAsia" w:ascii="方正仿宋_GBK" w:hAnsi="方正仿宋_GBK" w:eastAsia="方正仿宋_GBK" w:cs="方正仿宋_GBK"/>
          <w:b w:val="0"/>
          <w:bCs w:val="0"/>
          <w:color w:val="000000"/>
          <w:kern w:val="2"/>
          <w:sz w:val="32"/>
          <w:szCs w:val="32"/>
          <w:lang w:val="en-US" w:eastAsia="zh-CN" w:bidi="ar-SA"/>
        </w:rPr>
        <w:t>余人次，参与环境治理、创建国家级文明城市志愿服务</w:t>
      </w:r>
      <w:r>
        <w:rPr>
          <w:rFonts w:hint="default" w:ascii="方正仿宋_GBK" w:hAnsi="方正仿宋_GBK" w:eastAsia="方正仿宋_GBK" w:cs="方正仿宋_GBK"/>
          <w:b w:val="0"/>
          <w:bCs w:val="0"/>
          <w:color w:val="000000"/>
          <w:kern w:val="2"/>
          <w:sz w:val="32"/>
          <w:szCs w:val="32"/>
          <w:lang w:val="en-US" w:eastAsia="zh-CN" w:bidi="ar-SA"/>
        </w:rPr>
        <w:t>700</w:t>
      </w:r>
      <w:r>
        <w:rPr>
          <w:rFonts w:hint="eastAsia" w:ascii="方正仿宋_GBK" w:hAnsi="方正仿宋_GBK" w:eastAsia="方正仿宋_GBK" w:cs="方正仿宋_GBK"/>
          <w:b w:val="0"/>
          <w:bCs w:val="0"/>
          <w:color w:val="000000"/>
          <w:kern w:val="2"/>
          <w:sz w:val="32"/>
          <w:szCs w:val="32"/>
          <w:lang w:val="en-US" w:eastAsia="zh-CN" w:bidi="ar-SA"/>
        </w:rPr>
        <w:t>余人次、委员植树</w:t>
      </w:r>
      <w:r>
        <w:rPr>
          <w:rFonts w:hint="default" w:ascii="方正仿宋_GBK" w:hAnsi="方正仿宋_GBK" w:eastAsia="方正仿宋_GBK" w:cs="方正仿宋_GBK"/>
          <w:b w:val="0"/>
          <w:bCs w:val="0"/>
          <w:color w:val="000000"/>
          <w:kern w:val="2"/>
          <w:sz w:val="32"/>
          <w:szCs w:val="32"/>
          <w:lang w:val="en-US" w:eastAsia="zh-CN" w:bidi="ar-SA"/>
        </w:rPr>
        <w:t>1600</w:t>
      </w:r>
      <w:r>
        <w:rPr>
          <w:rFonts w:hint="eastAsia" w:ascii="方正仿宋_GBK" w:hAnsi="方正仿宋_GBK" w:eastAsia="方正仿宋_GBK" w:cs="方正仿宋_GBK"/>
          <w:b w:val="0"/>
          <w:bCs w:val="0"/>
          <w:color w:val="000000"/>
          <w:kern w:val="2"/>
          <w:sz w:val="32"/>
          <w:szCs w:val="32"/>
          <w:lang w:val="en-US" w:eastAsia="zh-CN" w:bidi="ar-SA"/>
        </w:rPr>
        <w:t>余株。</w:t>
      </w:r>
      <w:r>
        <w:rPr>
          <w:rFonts w:hint="eastAsia" w:ascii="仿宋_GB2312" w:hAnsi="仿宋_GB2312" w:eastAsia="仿宋_GB2312" w:cs="仿宋_GB2312"/>
          <w:b/>
          <w:bCs/>
          <w:color w:val="auto"/>
          <w:sz w:val="32"/>
          <w:szCs w:val="32"/>
          <w:lang w:val="en-US" w:eastAsia="zh-CN"/>
        </w:rPr>
        <w:t>持续</w:t>
      </w:r>
      <w:r>
        <w:rPr>
          <w:rFonts w:hint="eastAsia" w:ascii="仿宋_GB2312" w:hAnsi="仿宋_GB2312" w:eastAsia="仿宋_GB2312" w:cs="仿宋_GB2312"/>
          <w:b/>
          <w:bCs/>
          <w:sz w:val="32"/>
          <w:szCs w:val="32"/>
        </w:rPr>
        <w:t>助力</w:t>
      </w:r>
      <w:r>
        <w:rPr>
          <w:rFonts w:hint="eastAsia" w:ascii="仿宋_GB2312" w:hAnsi="仿宋_GB2312" w:eastAsia="仿宋_GB2312" w:cs="仿宋_GB2312"/>
          <w:b/>
          <w:bCs/>
          <w:sz w:val="32"/>
          <w:szCs w:val="32"/>
          <w:lang w:eastAsia="zh-CN"/>
        </w:rPr>
        <w:t>巩固</w:t>
      </w:r>
      <w:r>
        <w:rPr>
          <w:rFonts w:hint="eastAsia" w:ascii="仿宋_GB2312" w:hAnsi="仿宋_GB2312" w:eastAsia="仿宋_GB2312" w:cs="仿宋_GB2312"/>
          <w:b/>
          <w:bCs/>
          <w:sz w:val="32"/>
          <w:szCs w:val="32"/>
        </w:rPr>
        <w:t>脱贫</w:t>
      </w:r>
      <w:r>
        <w:rPr>
          <w:rFonts w:hint="eastAsia" w:ascii="仿宋_GB2312" w:hAnsi="仿宋_GB2312" w:eastAsia="仿宋_GB2312" w:cs="仿宋_GB2312"/>
          <w:b/>
          <w:bCs/>
          <w:sz w:val="32"/>
          <w:szCs w:val="32"/>
          <w:lang w:eastAsia="zh-CN"/>
        </w:rPr>
        <w:t>助推乡村振兴</w:t>
      </w:r>
      <w:r>
        <w:rPr>
          <w:rFonts w:hint="eastAsia" w:ascii="仿宋_GB2312" w:hAnsi="仿宋_GB2312" w:eastAsia="仿宋_GB2312" w:cs="仿宋_GB2312"/>
          <w:b/>
          <w:bCs/>
          <w:sz w:val="32"/>
          <w:szCs w:val="32"/>
        </w:rPr>
        <w:t>。</w:t>
      </w:r>
      <w:r>
        <w:rPr>
          <w:rFonts w:hint="eastAsia" w:ascii="方正仿宋_GBK" w:hAnsi="方正仿宋_GBK" w:eastAsia="方正仿宋_GBK" w:cs="方正仿宋_GBK"/>
          <w:b w:val="0"/>
          <w:bCs w:val="0"/>
          <w:color w:val="000000"/>
          <w:kern w:val="2"/>
          <w:sz w:val="32"/>
          <w:szCs w:val="32"/>
          <w:lang w:val="en-US" w:eastAsia="zh-CN" w:bidi="ar-SA"/>
        </w:rPr>
        <w:t>持续深化“两联一进”活动，在政协系统内部全面启动“助力巩固脱贫、助推乡村振兴”双助活动。全体机关党员干部，常态化走访联系乡镇村（社区）群众、寺庙僧尼，扎实推进“我为群众办实事”实践活动走深走实、见到实效，2021年至今共帮助协调解决困难群众具体问题和诉求30余件，捐助和协调解决资金、物资3万余元。</w:t>
      </w:r>
      <w:r>
        <w:rPr>
          <w:rFonts w:hint="eastAsia" w:ascii="仿宋_GB2312" w:hAnsi="仿宋_GB2312" w:eastAsia="仿宋_GB2312" w:cs="仿宋_GB2312"/>
          <w:color w:val="auto"/>
          <w:sz w:val="32"/>
          <w:szCs w:val="32"/>
          <w:lang w:val="en-US" w:eastAsia="zh-CN"/>
        </w:rPr>
        <w:t>3、</w:t>
      </w:r>
      <w:r>
        <w:rPr>
          <w:rFonts w:hint="eastAsia" w:ascii="楷体_GB2312" w:hAnsi="楷体_GB2312" w:eastAsia="楷体_GB2312" w:cs="楷体_GB2312"/>
          <w:b/>
          <w:bCs/>
          <w:color w:val="auto"/>
          <w:sz w:val="32"/>
          <w:szCs w:val="32"/>
          <w:lang w:val="en-US" w:eastAsia="zh-CN"/>
        </w:rPr>
        <w:t>认真履行政协职能。</w:t>
      </w:r>
      <w:r>
        <w:rPr>
          <w:rFonts w:hint="eastAsia" w:ascii="仿宋_GB2312" w:hAnsi="仿宋_GB2312" w:eastAsia="仿宋_GB2312" w:cs="仿宋_GB2312"/>
          <w:b/>
          <w:bCs/>
          <w:color w:val="auto"/>
          <w:sz w:val="32"/>
          <w:szCs w:val="32"/>
          <w:lang w:val="en-US" w:eastAsia="zh-CN"/>
        </w:rPr>
        <w:t>政治协商规范有序。</w:t>
      </w:r>
      <w:r>
        <w:rPr>
          <w:rFonts w:hint="eastAsia" w:ascii="方正仿宋_GBK" w:hAnsi="方正仿宋_GBK" w:eastAsia="方正仿宋_GBK" w:cs="方正仿宋_GBK"/>
          <w:b w:val="0"/>
          <w:bCs w:val="0"/>
          <w:color w:val="000000"/>
          <w:sz w:val="32"/>
          <w:szCs w:val="32"/>
          <w:lang w:val="en-US" w:eastAsia="zh-CN"/>
        </w:rPr>
        <w:t>2021年以来</w:t>
      </w:r>
      <w:r>
        <w:rPr>
          <w:rFonts w:hint="eastAsia" w:ascii="方正仿宋_GBK" w:hAnsi="方正仿宋_GBK" w:eastAsia="方正仿宋_GBK" w:cs="方正仿宋_GBK"/>
          <w:b w:val="0"/>
          <w:bCs w:val="0"/>
          <w:color w:val="000000"/>
          <w:sz w:val="32"/>
          <w:szCs w:val="32"/>
          <w:lang w:eastAsia="zh-CN"/>
        </w:rPr>
        <w:t>，共组织党组和主席会集体学习</w:t>
      </w:r>
      <w:r>
        <w:rPr>
          <w:rFonts w:hint="default" w:ascii="方正仿宋_GBK" w:hAnsi="方正仿宋_GBK" w:eastAsia="方正仿宋_GBK" w:cs="方正仿宋_GBK"/>
          <w:b w:val="0"/>
          <w:bCs w:val="0"/>
          <w:color w:val="000000"/>
          <w:sz w:val="32"/>
          <w:szCs w:val="32"/>
          <w:lang w:eastAsia="zh-CN"/>
        </w:rPr>
        <w:t>15</w:t>
      </w:r>
      <w:r>
        <w:rPr>
          <w:rFonts w:hint="eastAsia" w:ascii="方正仿宋_GBK" w:hAnsi="方正仿宋_GBK" w:eastAsia="方正仿宋_GBK" w:cs="方正仿宋_GBK"/>
          <w:b w:val="0"/>
          <w:bCs w:val="0"/>
          <w:color w:val="000000"/>
          <w:sz w:val="32"/>
          <w:szCs w:val="32"/>
          <w:lang w:eastAsia="zh-CN"/>
        </w:rPr>
        <w:t>次，举办学习讲座</w:t>
      </w:r>
      <w:r>
        <w:rPr>
          <w:rFonts w:hint="default" w:ascii="方正仿宋_GBK" w:hAnsi="方正仿宋_GBK" w:eastAsia="方正仿宋_GBK" w:cs="方正仿宋_GBK"/>
          <w:b w:val="0"/>
          <w:bCs w:val="0"/>
          <w:color w:val="000000"/>
          <w:sz w:val="32"/>
          <w:szCs w:val="32"/>
          <w:lang w:eastAsia="zh-CN"/>
        </w:rPr>
        <w:t>15</w:t>
      </w:r>
      <w:r>
        <w:rPr>
          <w:rFonts w:hint="eastAsia" w:ascii="方正仿宋_GBK" w:hAnsi="方正仿宋_GBK" w:eastAsia="方正仿宋_GBK" w:cs="方正仿宋_GBK"/>
          <w:b w:val="0"/>
          <w:bCs w:val="0"/>
          <w:color w:val="000000"/>
          <w:sz w:val="32"/>
          <w:szCs w:val="32"/>
          <w:lang w:eastAsia="zh-CN"/>
        </w:rPr>
        <w:t>期。</w:t>
      </w:r>
      <w:r>
        <w:rPr>
          <w:rFonts w:hint="eastAsia" w:ascii="方正仿宋_GBK" w:hAnsi="方正仿宋_GBK" w:eastAsia="方正仿宋_GBK" w:cs="方正仿宋_GBK"/>
          <w:b w:val="0"/>
          <w:bCs w:val="0"/>
          <w:color w:val="000000"/>
          <w:kern w:val="2"/>
          <w:sz w:val="32"/>
          <w:szCs w:val="32"/>
          <w:lang w:val="en-US" w:eastAsia="zh-CN" w:bidi="ar-SA"/>
        </w:rPr>
        <w:t>建立健全“三重一大”、主席会议、提案工作规则等</w:t>
      </w:r>
      <w:r>
        <w:rPr>
          <w:rFonts w:hint="default" w:ascii="方正仿宋_GBK" w:hAnsi="方正仿宋_GBK" w:eastAsia="方正仿宋_GBK" w:cs="方正仿宋_GBK"/>
          <w:b w:val="0"/>
          <w:bCs w:val="0"/>
          <w:color w:val="000000"/>
          <w:kern w:val="2"/>
          <w:sz w:val="32"/>
          <w:szCs w:val="32"/>
          <w:lang w:val="en-US" w:eastAsia="zh-CN" w:bidi="ar-SA"/>
        </w:rPr>
        <w:t>8</w:t>
      </w:r>
      <w:r>
        <w:rPr>
          <w:rFonts w:hint="eastAsia" w:ascii="方正仿宋_GBK" w:hAnsi="方正仿宋_GBK" w:eastAsia="方正仿宋_GBK" w:cs="方正仿宋_GBK"/>
          <w:b w:val="0"/>
          <w:bCs w:val="0"/>
          <w:color w:val="000000"/>
          <w:kern w:val="2"/>
          <w:sz w:val="32"/>
          <w:szCs w:val="32"/>
          <w:lang w:val="en-US" w:eastAsia="zh-CN" w:bidi="ar-SA"/>
        </w:rPr>
        <w:t>项制度。先后在省、州政协期刊发表宣传稿</w:t>
      </w:r>
      <w:r>
        <w:rPr>
          <w:rFonts w:hint="default" w:ascii="方正仿宋_GBK" w:hAnsi="方正仿宋_GBK" w:eastAsia="方正仿宋_GBK" w:cs="方正仿宋_GBK"/>
          <w:b w:val="0"/>
          <w:bCs w:val="0"/>
          <w:color w:val="000000"/>
          <w:kern w:val="2"/>
          <w:sz w:val="32"/>
          <w:szCs w:val="32"/>
          <w:lang w:val="en-US" w:eastAsia="zh-CN" w:bidi="ar-SA"/>
        </w:rPr>
        <w:t>4</w:t>
      </w:r>
      <w:r>
        <w:rPr>
          <w:rFonts w:hint="eastAsia" w:ascii="方正仿宋_GBK" w:hAnsi="方正仿宋_GBK" w:eastAsia="方正仿宋_GBK" w:cs="方正仿宋_GBK"/>
          <w:b w:val="0"/>
          <w:bCs w:val="0"/>
          <w:color w:val="000000"/>
          <w:kern w:val="2"/>
          <w:sz w:val="32"/>
          <w:szCs w:val="32"/>
          <w:lang w:val="en-US" w:eastAsia="zh-CN" w:bidi="ar-SA"/>
        </w:rPr>
        <w:t>篇，县政协门户网站更新信息近</w:t>
      </w:r>
      <w:r>
        <w:rPr>
          <w:rFonts w:hint="default" w:ascii="方正仿宋_GBK" w:hAnsi="方正仿宋_GBK" w:eastAsia="方正仿宋_GBK" w:cs="方正仿宋_GBK"/>
          <w:b w:val="0"/>
          <w:bCs w:val="0"/>
          <w:color w:val="000000"/>
          <w:kern w:val="2"/>
          <w:sz w:val="32"/>
          <w:szCs w:val="32"/>
          <w:lang w:val="en-US" w:eastAsia="zh-CN" w:bidi="ar-SA"/>
        </w:rPr>
        <w:t>60</w:t>
      </w:r>
      <w:r>
        <w:rPr>
          <w:rFonts w:hint="eastAsia" w:ascii="方正仿宋_GBK" w:hAnsi="方正仿宋_GBK" w:eastAsia="方正仿宋_GBK" w:cs="方正仿宋_GBK"/>
          <w:b w:val="0"/>
          <w:bCs w:val="0"/>
          <w:color w:val="000000"/>
          <w:kern w:val="2"/>
          <w:sz w:val="32"/>
          <w:szCs w:val="32"/>
          <w:lang w:val="en-US" w:eastAsia="zh-CN" w:bidi="ar-SA"/>
        </w:rPr>
        <w:t>余条，编发手机报</w:t>
      </w:r>
      <w:r>
        <w:rPr>
          <w:rFonts w:hint="default" w:ascii="方正仿宋_GBK" w:hAnsi="方正仿宋_GBK" w:eastAsia="方正仿宋_GBK" w:cs="方正仿宋_GBK"/>
          <w:b w:val="0"/>
          <w:bCs w:val="0"/>
          <w:color w:val="000000"/>
          <w:kern w:val="2"/>
          <w:sz w:val="32"/>
          <w:szCs w:val="32"/>
          <w:lang w:val="en-US" w:eastAsia="zh-CN" w:bidi="ar-SA"/>
        </w:rPr>
        <w:t>60</w:t>
      </w:r>
      <w:r>
        <w:rPr>
          <w:rFonts w:hint="eastAsia" w:ascii="方正仿宋_GBK" w:hAnsi="方正仿宋_GBK" w:eastAsia="方正仿宋_GBK" w:cs="方正仿宋_GBK"/>
          <w:b w:val="0"/>
          <w:bCs w:val="0"/>
          <w:color w:val="000000"/>
          <w:kern w:val="2"/>
          <w:sz w:val="32"/>
          <w:szCs w:val="32"/>
          <w:lang w:val="en-US" w:eastAsia="zh-CN" w:bidi="ar-SA"/>
        </w:rPr>
        <w:t>多期。完成《九寨沟县民间民俗文化集成之南坪曲子大全》《九寨沟县乡村社区三十年巨变画册》组稿。分两批组织全县</w:t>
      </w:r>
      <w:r>
        <w:rPr>
          <w:rFonts w:hint="default" w:ascii="方正仿宋_GBK" w:hAnsi="方正仿宋_GBK" w:eastAsia="方正仿宋_GBK" w:cs="方正仿宋_GBK"/>
          <w:b w:val="0"/>
          <w:bCs w:val="0"/>
          <w:color w:val="000000"/>
          <w:kern w:val="2"/>
          <w:sz w:val="32"/>
          <w:szCs w:val="32"/>
          <w:lang w:val="en-US" w:eastAsia="zh-CN" w:bidi="ar-SA"/>
        </w:rPr>
        <w:t>120</w:t>
      </w:r>
      <w:r>
        <w:rPr>
          <w:rFonts w:hint="eastAsia" w:ascii="方正仿宋_GBK" w:hAnsi="方正仿宋_GBK" w:eastAsia="方正仿宋_GBK" w:cs="方正仿宋_GBK"/>
          <w:b w:val="0"/>
          <w:bCs w:val="0"/>
          <w:color w:val="000000"/>
          <w:kern w:val="2"/>
          <w:sz w:val="32"/>
          <w:szCs w:val="32"/>
          <w:lang w:val="en-US" w:eastAsia="zh-CN" w:bidi="ar-SA"/>
        </w:rPr>
        <w:t>名政协委员和政协机关工作人员，赴广西壮族自治区南宁市、百色市和桂林市开展履职能力提升暨党史</w:t>
      </w:r>
      <w:bookmarkStart w:id="157" w:name="_GoBack"/>
      <w:bookmarkEnd w:id="157"/>
      <w:r>
        <w:rPr>
          <w:rFonts w:hint="eastAsia" w:ascii="方正仿宋_GBK" w:hAnsi="方正仿宋_GBK" w:eastAsia="方正仿宋_GBK" w:cs="方正仿宋_GBK"/>
          <w:b w:val="0"/>
          <w:bCs w:val="0"/>
          <w:color w:val="000000"/>
          <w:kern w:val="2"/>
          <w:sz w:val="32"/>
          <w:szCs w:val="32"/>
          <w:lang w:val="en-US" w:eastAsia="zh-CN" w:bidi="ar-SA"/>
        </w:rPr>
        <w:t>学习教育培训，撰写心得体会</w:t>
      </w:r>
      <w:r>
        <w:rPr>
          <w:rFonts w:hint="default" w:ascii="方正仿宋_GBK" w:hAnsi="方正仿宋_GBK" w:eastAsia="方正仿宋_GBK" w:cs="方正仿宋_GBK"/>
          <w:b w:val="0"/>
          <w:bCs w:val="0"/>
          <w:color w:val="000000"/>
          <w:kern w:val="2"/>
          <w:sz w:val="32"/>
          <w:szCs w:val="32"/>
          <w:lang w:val="en-US" w:eastAsia="zh-CN" w:bidi="ar-SA"/>
        </w:rPr>
        <w:t>100</w:t>
      </w:r>
      <w:r>
        <w:rPr>
          <w:rFonts w:hint="eastAsia" w:ascii="方正仿宋_GBK" w:hAnsi="方正仿宋_GBK" w:eastAsia="方正仿宋_GBK" w:cs="方正仿宋_GBK"/>
          <w:b w:val="0"/>
          <w:bCs w:val="0"/>
          <w:color w:val="000000"/>
          <w:kern w:val="2"/>
          <w:sz w:val="32"/>
          <w:szCs w:val="32"/>
          <w:lang w:val="en-US" w:eastAsia="zh-CN" w:bidi="ar-SA"/>
        </w:rPr>
        <w:t>余篇。积极发挥专门协商机构作用，不断规范民主协商秩序，提升民主协商质效。积极探索建立“九寨议事会.有事来协商”议政平台，构建了“</w:t>
      </w:r>
      <w:r>
        <w:rPr>
          <w:rFonts w:hint="default" w:ascii="方正仿宋_GBK" w:hAnsi="方正仿宋_GBK" w:eastAsia="方正仿宋_GBK" w:cs="方正仿宋_GBK"/>
          <w:b w:val="0"/>
          <w:bCs w:val="0"/>
          <w:color w:val="000000"/>
          <w:kern w:val="2"/>
          <w:sz w:val="32"/>
          <w:szCs w:val="32"/>
          <w:lang w:val="en-US" w:eastAsia="zh-CN" w:bidi="ar-SA"/>
        </w:rPr>
        <w:t>1+2+4+N</w:t>
      </w:r>
      <w:r>
        <w:rPr>
          <w:rFonts w:hint="eastAsia" w:ascii="方正仿宋_GBK" w:hAnsi="方正仿宋_GBK" w:eastAsia="方正仿宋_GBK" w:cs="方正仿宋_GBK"/>
          <w:b w:val="0"/>
          <w:bCs w:val="0"/>
          <w:color w:val="000000"/>
          <w:kern w:val="2"/>
          <w:sz w:val="32"/>
          <w:szCs w:val="32"/>
          <w:lang w:val="en-US" w:eastAsia="zh-CN" w:bidi="ar-SA"/>
        </w:rPr>
        <w:t>”协商平台体系。县政协提案委和办公室组织的规范共享单车管理，确保安全使用”和“居民小区治理”专题协商议政会，取得了良好的社会效果。圆满召开县政协十三届五次会议，收集社情民意</w:t>
      </w:r>
      <w:r>
        <w:rPr>
          <w:rFonts w:hint="default" w:ascii="方正仿宋_GBK" w:hAnsi="方正仿宋_GBK" w:eastAsia="方正仿宋_GBK" w:cs="方正仿宋_GBK"/>
          <w:b w:val="0"/>
          <w:bCs w:val="0"/>
          <w:color w:val="000000"/>
          <w:kern w:val="2"/>
          <w:sz w:val="32"/>
          <w:szCs w:val="32"/>
          <w:lang w:val="en-US" w:eastAsia="zh-CN" w:bidi="ar-SA"/>
        </w:rPr>
        <w:t>53</w:t>
      </w:r>
      <w:r>
        <w:rPr>
          <w:rFonts w:hint="eastAsia" w:ascii="方正仿宋_GBK" w:hAnsi="方正仿宋_GBK" w:eastAsia="方正仿宋_GBK" w:cs="方正仿宋_GBK"/>
          <w:b w:val="0"/>
          <w:bCs w:val="0"/>
          <w:color w:val="000000"/>
          <w:kern w:val="2"/>
          <w:sz w:val="32"/>
          <w:szCs w:val="32"/>
          <w:lang w:val="en-US" w:eastAsia="zh-CN" w:bidi="ar-SA"/>
        </w:rPr>
        <w:t>件。意见建议受到县委、县政府高度重视，转交相关部门逐项研究落实，及时反馈办理结果。</w:t>
      </w:r>
      <w:r>
        <w:rPr>
          <w:rFonts w:hint="eastAsia" w:ascii="仿宋_GB2312" w:hAnsi="仿宋_GB2312" w:eastAsia="仿宋_GB2312" w:cs="仿宋_GB2312"/>
          <w:b/>
          <w:bCs/>
          <w:color w:val="auto"/>
          <w:sz w:val="32"/>
          <w:szCs w:val="32"/>
          <w:lang w:val="en-US" w:eastAsia="zh-CN"/>
        </w:rPr>
        <w:t>民主监督扎实有力。</w:t>
      </w:r>
      <w:r>
        <w:rPr>
          <w:rFonts w:hint="eastAsia" w:ascii="方正仿宋_GBK" w:hAnsi="方正仿宋_GBK" w:eastAsia="方正仿宋_GBK" w:cs="方正仿宋_GBK"/>
          <w:b w:val="0"/>
          <w:bCs w:val="0"/>
          <w:color w:val="000000"/>
          <w:kern w:val="2"/>
          <w:sz w:val="32"/>
          <w:szCs w:val="32"/>
          <w:lang w:val="en-US" w:eastAsia="zh-CN" w:bidi="ar-SA"/>
        </w:rPr>
        <w:t>2021年以来，对我县非遗保护传承情况、民族特色村寨保护与发展、养老服务体系建设、全域环境综合治理情况情况等进行了专题调研，针对性的提出</w:t>
      </w:r>
      <w:r>
        <w:rPr>
          <w:rFonts w:hint="default" w:ascii="方正仿宋_GBK" w:hAnsi="方正仿宋_GBK" w:eastAsia="方正仿宋_GBK" w:cs="方正仿宋_GBK"/>
          <w:b w:val="0"/>
          <w:bCs w:val="0"/>
          <w:color w:val="000000"/>
          <w:kern w:val="2"/>
          <w:sz w:val="32"/>
          <w:szCs w:val="32"/>
          <w:lang w:val="en-US" w:eastAsia="zh-CN" w:bidi="ar-SA"/>
        </w:rPr>
        <w:t>20</w:t>
      </w:r>
      <w:r>
        <w:rPr>
          <w:rFonts w:hint="eastAsia" w:ascii="方正仿宋_GBK" w:hAnsi="方正仿宋_GBK" w:eastAsia="方正仿宋_GBK" w:cs="方正仿宋_GBK"/>
          <w:b w:val="0"/>
          <w:bCs w:val="0"/>
          <w:color w:val="000000"/>
          <w:kern w:val="2"/>
          <w:sz w:val="32"/>
          <w:szCs w:val="32"/>
          <w:lang w:val="en-US" w:eastAsia="zh-CN" w:bidi="ar-SA"/>
        </w:rPr>
        <w:t>多条意见建议，县委县政府高度重视，并责成相关部门和乡镇落实。组织委员对我县文明城市创建、省旅发大会、乡村振兴、森林草原防灭火、县乡换届选举等工作进行了现场视察和民主监督，有力地促进了各项工作开展。着力发挥提案在促进发展中的重要作用，加大提案督办力度，今年政协委员共提出提案</w:t>
      </w:r>
      <w:r>
        <w:rPr>
          <w:rFonts w:hint="default" w:ascii="方正仿宋_GBK" w:hAnsi="方正仿宋_GBK" w:eastAsia="方正仿宋_GBK" w:cs="方正仿宋_GBK"/>
          <w:b w:val="0"/>
          <w:bCs w:val="0"/>
          <w:color w:val="000000"/>
          <w:kern w:val="2"/>
          <w:sz w:val="32"/>
          <w:szCs w:val="32"/>
          <w:lang w:val="en-US" w:eastAsia="zh-CN" w:bidi="ar-SA"/>
        </w:rPr>
        <w:t>73</w:t>
      </w:r>
      <w:r>
        <w:rPr>
          <w:rFonts w:hint="eastAsia" w:ascii="方正仿宋_GBK" w:hAnsi="方正仿宋_GBK" w:eastAsia="方正仿宋_GBK" w:cs="方正仿宋_GBK"/>
          <w:b w:val="0"/>
          <w:bCs w:val="0"/>
          <w:color w:val="000000"/>
          <w:kern w:val="2"/>
          <w:sz w:val="32"/>
          <w:szCs w:val="32"/>
          <w:lang w:val="en-US" w:eastAsia="zh-CN" w:bidi="ar-SA"/>
        </w:rPr>
        <w:t>件，立案</w:t>
      </w:r>
      <w:r>
        <w:rPr>
          <w:rFonts w:hint="default" w:ascii="方正仿宋_GBK" w:hAnsi="方正仿宋_GBK" w:eastAsia="方正仿宋_GBK" w:cs="方正仿宋_GBK"/>
          <w:b w:val="0"/>
          <w:bCs w:val="0"/>
          <w:color w:val="000000"/>
          <w:kern w:val="2"/>
          <w:sz w:val="32"/>
          <w:szCs w:val="32"/>
          <w:lang w:val="en-US" w:eastAsia="zh-CN" w:bidi="ar-SA"/>
        </w:rPr>
        <w:t>48</w:t>
      </w:r>
      <w:r>
        <w:rPr>
          <w:rFonts w:hint="eastAsia" w:ascii="方正仿宋_GBK" w:hAnsi="方正仿宋_GBK" w:eastAsia="方正仿宋_GBK" w:cs="方正仿宋_GBK"/>
          <w:b w:val="0"/>
          <w:bCs w:val="0"/>
          <w:color w:val="000000"/>
          <w:kern w:val="2"/>
          <w:sz w:val="32"/>
          <w:szCs w:val="32"/>
          <w:lang w:val="en-US" w:eastAsia="zh-CN" w:bidi="ar-SA"/>
        </w:rPr>
        <w:t>件。并将涉及民生的</w:t>
      </w:r>
      <w:r>
        <w:rPr>
          <w:rFonts w:hint="default" w:ascii="方正仿宋_GBK" w:hAnsi="方正仿宋_GBK" w:eastAsia="方正仿宋_GBK" w:cs="方正仿宋_GBK"/>
          <w:b w:val="0"/>
          <w:bCs w:val="0"/>
          <w:color w:val="000000"/>
          <w:kern w:val="2"/>
          <w:sz w:val="32"/>
          <w:szCs w:val="32"/>
          <w:lang w:val="en-US" w:eastAsia="zh-CN" w:bidi="ar-SA"/>
        </w:rPr>
        <w:t>8</w:t>
      </w:r>
      <w:r>
        <w:rPr>
          <w:rFonts w:hint="eastAsia" w:ascii="方正仿宋_GBK" w:hAnsi="方正仿宋_GBK" w:eastAsia="方正仿宋_GBK" w:cs="方正仿宋_GBK"/>
          <w:b w:val="0"/>
          <w:bCs w:val="0"/>
          <w:color w:val="000000"/>
          <w:kern w:val="2"/>
          <w:sz w:val="32"/>
          <w:szCs w:val="32"/>
          <w:lang w:val="en-US" w:eastAsia="zh-CN" w:bidi="ar-SA"/>
        </w:rPr>
        <w:t>件提案列为重点提案，由县政协领导领衔督办。</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 w:hAnsi="仿宋" w:eastAsia="仿宋"/>
          <w:bCs/>
          <w:color w:val="000000"/>
          <w:sz w:val="32"/>
          <w:szCs w:val="32"/>
        </w:rPr>
      </w:pPr>
      <w:r>
        <w:rPr>
          <w:rFonts w:hint="eastAsia" w:ascii="仿宋_GB2312" w:hAnsi="仿宋_GB2312" w:eastAsia="仿宋_GB2312" w:cs="仿宋_GB2312"/>
          <w:b/>
          <w:bCs/>
          <w:color w:val="auto"/>
          <w:sz w:val="32"/>
          <w:szCs w:val="32"/>
          <w:lang w:val="en-US" w:eastAsia="zh-CN"/>
        </w:rPr>
        <w:t>参政议政紧扣中心。</w:t>
      </w:r>
      <w:r>
        <w:rPr>
          <w:rFonts w:hint="eastAsia" w:ascii="仿宋_GB2312" w:hAnsi="仿宋_GB2312" w:eastAsia="仿宋_GB2312" w:cs="仿宋_GB2312"/>
          <w:sz w:val="32"/>
          <w:szCs w:val="32"/>
          <w:lang w:val="en-US" w:eastAsia="zh-CN"/>
        </w:rPr>
        <w:t>根据县委总体布局，认真研究制定2021年度《协商计划》《工作要点》，科学选定视察调研课题，先后组织相关界别政协委员、有关部门就全县文旅产业融合发展、疫情防控网格化管理工作、脱贫攻坚成效、创建全国民族团结进步示范县等情况进行专项视察调研，并形成报告供县委政府决策参考。</w:t>
      </w:r>
      <w:r>
        <w:rPr>
          <w:rFonts w:hint="eastAsia" w:ascii="仿宋_GB2312" w:hAnsi="仿宋_GB2312" w:eastAsia="仿宋_GB2312" w:cs="仿宋_GB2312"/>
          <w:b/>
          <w:bCs/>
          <w:sz w:val="32"/>
          <w:szCs w:val="32"/>
          <w:lang w:eastAsia="zh-CN"/>
        </w:rPr>
        <w:t>始终坚持团结民主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拓展团结联谊的途径和形式，努力营造畅所欲言、平等协商、合作共事的政治氛围，</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为</w:t>
      </w:r>
      <w:r>
        <w:rPr>
          <w:rFonts w:hint="eastAsia" w:ascii="仿宋_GB2312" w:hAnsi="仿宋_GB2312" w:eastAsia="仿宋_GB2312" w:cs="仿宋_GB2312"/>
          <w:color w:val="auto"/>
          <w:sz w:val="32"/>
          <w:szCs w:val="32"/>
          <w:lang w:eastAsia="zh-CN"/>
        </w:rPr>
        <w:t>全县经济社会高质量发展</w:t>
      </w:r>
      <w:r>
        <w:rPr>
          <w:rFonts w:hint="eastAsia" w:ascii="仿宋_GB2312" w:hAnsi="仿宋_GB2312" w:eastAsia="仿宋_GB2312" w:cs="仿宋_GB2312"/>
          <w:sz w:val="32"/>
          <w:szCs w:val="32"/>
        </w:rPr>
        <w:t>增加助力、形成合力。</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lang w:val="en-US" w:eastAsia="zh-CN"/>
        </w:rPr>
        <w:t>获全州民族团结进步示范机关和“两联一进”先进集体称号</w:t>
      </w:r>
      <w:bookmarkEnd w:id="22"/>
      <w:bookmarkEnd w:id="23"/>
      <w:r>
        <w:rPr>
          <w:rFonts w:hint="eastAsia" w:ascii="仿宋_GB2312" w:hAnsi="仿宋_GB2312" w:eastAsia="仿宋_GB2312" w:cs="仿宋_GB2312"/>
          <w:color w:val="auto"/>
          <w:sz w:val="32"/>
          <w:szCs w:val="32"/>
          <w:lang w:val="en-US" w:eastAsia="zh-CN"/>
        </w:rPr>
        <w:t>。</w:t>
      </w:r>
    </w:p>
    <w:p>
      <w:pPr>
        <w:pStyle w:val="5"/>
        <w:rPr>
          <w:rStyle w:val="27"/>
          <w:b w:val="0"/>
          <w:bCs w:val="0"/>
        </w:rPr>
      </w:pPr>
      <w:bookmarkStart w:id="24" w:name="_Toc15396601"/>
      <w:bookmarkStart w:id="25" w:name="_Toc15377200"/>
      <w:bookmarkStart w:id="26" w:name="_Toc79163605"/>
      <w:bookmarkStart w:id="27" w:name="_Toc79163855"/>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4"/>
      <w:bookmarkEnd w:id="25"/>
      <w:bookmarkEnd w:id="26"/>
      <w:bookmarkEnd w:id="27"/>
    </w:p>
    <w:p>
      <w:pPr>
        <w:spacing w:line="576" w:lineRule="exact"/>
        <w:ind w:firstLine="640" w:firstLineChars="200"/>
        <w:rPr>
          <w:rFonts w:ascii="仿宋_GB2312" w:hAnsi="宋体" w:eastAsia="仿宋_GB2312"/>
          <w:sz w:val="32"/>
          <w:szCs w:val="32"/>
        </w:rPr>
      </w:pPr>
      <w:r>
        <w:rPr>
          <w:rFonts w:hint="eastAsia" w:ascii="仿宋_GB2312" w:hAnsi="宋体" w:eastAsia="仿宋_GB2312"/>
          <w:sz w:val="32"/>
          <w:szCs w:val="32"/>
        </w:rPr>
        <w:t>县政协机关为行政单位，根据上述职责，机关内设机构编制数</w:t>
      </w:r>
      <w:r>
        <w:rPr>
          <w:rFonts w:hint="eastAsia" w:ascii="仿宋_GB2312" w:hAnsi="宋体" w:eastAsia="仿宋_GB2312"/>
          <w:sz w:val="32"/>
          <w:szCs w:val="32"/>
          <w:lang w:val="en-US" w:eastAsia="zh-CN"/>
        </w:rPr>
        <w:t>5</w:t>
      </w:r>
      <w:r>
        <w:rPr>
          <w:rFonts w:hint="eastAsia" w:ascii="仿宋_GB2312" w:hAnsi="宋体" w:eastAsia="仿宋_GB2312"/>
          <w:sz w:val="32"/>
          <w:szCs w:val="32"/>
        </w:rPr>
        <w:t>个：3委</w:t>
      </w:r>
      <w:r>
        <w:rPr>
          <w:rFonts w:hint="eastAsia" w:ascii="仿宋_GB2312" w:hAnsi="宋体" w:eastAsia="仿宋_GB2312"/>
          <w:sz w:val="32"/>
          <w:szCs w:val="32"/>
          <w:lang w:val="en-US" w:eastAsia="zh-CN"/>
        </w:rPr>
        <w:t>2</w:t>
      </w:r>
      <w:r>
        <w:rPr>
          <w:rFonts w:hint="eastAsia" w:ascii="仿宋_GB2312" w:hAnsi="宋体" w:eastAsia="仿宋_GB2312"/>
          <w:sz w:val="32"/>
          <w:szCs w:val="32"/>
        </w:rPr>
        <w:t>室（提案社会工作委员会；经济教育卫生委员会；文史、民族宗教委员会；综合办公室</w:t>
      </w:r>
      <w:r>
        <w:rPr>
          <w:rFonts w:hint="eastAsia" w:ascii="仿宋_GB2312" w:hAnsi="宋体" w:eastAsia="仿宋_GB2312"/>
          <w:sz w:val="32"/>
          <w:szCs w:val="32"/>
          <w:lang w:eastAsia="zh-CN"/>
        </w:rPr>
        <w:t>，委员联络室</w:t>
      </w:r>
      <w:r>
        <w:rPr>
          <w:rFonts w:hint="eastAsia" w:ascii="仿宋_GB2312" w:hAnsi="宋体" w:eastAsia="仿宋_GB2312"/>
          <w:sz w:val="32"/>
          <w:szCs w:val="32"/>
        </w:rPr>
        <w:t>），机关核定行政编制人数为15人，</w:t>
      </w:r>
      <w:r>
        <w:rPr>
          <w:rFonts w:hint="eastAsia" w:ascii="仿宋_GB2312" w:hAnsi="宋体" w:eastAsia="仿宋_GB2312"/>
          <w:sz w:val="32"/>
          <w:szCs w:val="32"/>
          <w:lang w:eastAsia="zh-CN"/>
        </w:rPr>
        <w:t>事业编制</w:t>
      </w:r>
      <w:r>
        <w:rPr>
          <w:rFonts w:hint="eastAsia" w:ascii="仿宋_GB2312" w:hAnsi="宋体" w:eastAsia="仿宋_GB2312"/>
          <w:sz w:val="32"/>
          <w:szCs w:val="32"/>
          <w:lang w:val="en-US" w:eastAsia="zh-CN"/>
        </w:rPr>
        <w:t>2人，</w:t>
      </w:r>
      <w:r>
        <w:rPr>
          <w:rFonts w:hint="eastAsia" w:ascii="仿宋_GB2312" w:hAnsi="宋体" w:eastAsia="仿宋_GB2312"/>
          <w:sz w:val="32"/>
          <w:szCs w:val="32"/>
        </w:rPr>
        <w:t>其中：行政</w:t>
      </w:r>
      <w:r>
        <w:rPr>
          <w:rFonts w:hint="eastAsia" w:ascii="仿宋_GB2312" w:hAnsi="宋体" w:eastAsia="仿宋_GB2312"/>
          <w:sz w:val="32"/>
          <w:szCs w:val="32"/>
          <w:lang w:eastAsia="zh-CN"/>
        </w:rPr>
        <w:t>公务员</w:t>
      </w:r>
      <w:r>
        <w:rPr>
          <w:rFonts w:hint="eastAsia" w:ascii="仿宋_GB2312" w:hAnsi="宋体" w:eastAsia="仿宋_GB2312"/>
          <w:sz w:val="32"/>
          <w:szCs w:val="32"/>
        </w:rPr>
        <w:t>编制13个，行政工勤编制数为2人</w:t>
      </w:r>
      <w:r>
        <w:rPr>
          <w:rFonts w:hint="eastAsia" w:ascii="仿宋_GB2312" w:hAnsi="宋体" w:eastAsia="仿宋_GB2312"/>
          <w:sz w:val="32"/>
          <w:szCs w:val="32"/>
          <w:lang w:eastAsia="zh-CN"/>
        </w:rPr>
        <w:t>，事业编制管理人员</w:t>
      </w:r>
      <w:r>
        <w:rPr>
          <w:rFonts w:hint="eastAsia" w:ascii="仿宋_GB2312" w:hAnsi="宋体" w:eastAsia="仿宋_GB2312"/>
          <w:sz w:val="32"/>
          <w:szCs w:val="32"/>
          <w:lang w:val="en-US" w:eastAsia="zh-CN"/>
        </w:rPr>
        <w:t>2人。</w:t>
      </w:r>
      <w:r>
        <w:rPr>
          <w:rFonts w:hint="eastAsia" w:ascii="仿宋_GB2312" w:hAnsi="宋体" w:eastAsia="仿宋_GB2312"/>
          <w:sz w:val="32"/>
          <w:szCs w:val="32"/>
        </w:rPr>
        <w:t>截止20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年12月31日，实有在职人数为2</w:t>
      </w:r>
      <w:r>
        <w:rPr>
          <w:rFonts w:hint="eastAsia" w:ascii="仿宋_GB2312" w:hAnsi="宋体" w:eastAsia="仿宋_GB2312"/>
          <w:sz w:val="32"/>
          <w:szCs w:val="32"/>
          <w:lang w:val="en-US" w:eastAsia="zh-CN"/>
        </w:rPr>
        <w:t>1</w:t>
      </w:r>
      <w:r>
        <w:rPr>
          <w:rFonts w:hint="eastAsia" w:ascii="仿宋_GB2312" w:hAnsi="宋体" w:eastAsia="仿宋_GB2312"/>
          <w:sz w:val="32"/>
          <w:szCs w:val="32"/>
        </w:rPr>
        <w:t>人，其中</w:t>
      </w:r>
      <w:r>
        <w:rPr>
          <w:rFonts w:hint="eastAsia" w:ascii="仿宋_GB2312" w:hAnsi="宋体" w:eastAsia="仿宋_GB2312"/>
          <w:sz w:val="32"/>
          <w:szCs w:val="32"/>
          <w:lang w:eastAsia="zh-CN"/>
        </w:rPr>
        <w:t>机关公务员</w:t>
      </w:r>
      <w:r>
        <w:rPr>
          <w:rFonts w:hint="eastAsia" w:ascii="仿宋_GB2312" w:hAnsi="宋体" w:eastAsia="仿宋_GB2312"/>
          <w:sz w:val="32"/>
          <w:szCs w:val="32"/>
          <w:lang w:val="en-US" w:eastAsia="zh-CN"/>
        </w:rPr>
        <w:t>17</w:t>
      </w:r>
      <w:r>
        <w:rPr>
          <w:rFonts w:hint="eastAsia" w:ascii="仿宋_GB2312" w:hAnsi="宋体" w:eastAsia="仿宋_GB2312"/>
          <w:sz w:val="32"/>
          <w:szCs w:val="32"/>
        </w:rPr>
        <w:t>人，</w:t>
      </w:r>
      <w:r>
        <w:rPr>
          <w:rFonts w:hint="eastAsia" w:ascii="仿宋_GB2312" w:hAnsi="宋体" w:eastAsia="仿宋_GB2312"/>
          <w:sz w:val="32"/>
          <w:szCs w:val="32"/>
          <w:lang w:eastAsia="zh-CN"/>
        </w:rPr>
        <w:t>事业管理</w:t>
      </w:r>
      <w:r>
        <w:rPr>
          <w:rFonts w:hint="eastAsia" w:ascii="仿宋_GB2312" w:hAnsi="宋体" w:eastAsia="仿宋_GB2312"/>
          <w:sz w:val="32"/>
          <w:szCs w:val="32"/>
          <w:lang w:val="en-US" w:eastAsia="zh-CN"/>
        </w:rPr>
        <w:t>1人，</w:t>
      </w:r>
      <w:r>
        <w:rPr>
          <w:rFonts w:hint="eastAsia" w:ascii="仿宋_GB2312" w:hAnsi="宋体" w:eastAsia="仿宋_GB2312"/>
          <w:sz w:val="32"/>
          <w:szCs w:val="32"/>
        </w:rPr>
        <w:t>行政工勤在职人数为3人，编制内临时聘用人数为3人，离休人员1人，遗属供养为</w:t>
      </w:r>
      <w:r>
        <w:rPr>
          <w:rFonts w:hint="eastAsia" w:ascii="仿宋_GB2312" w:hAnsi="宋体" w:eastAsia="仿宋_GB2312"/>
          <w:sz w:val="32"/>
          <w:szCs w:val="32"/>
          <w:lang w:val="en-US" w:eastAsia="zh-CN"/>
        </w:rPr>
        <w:t>4</w:t>
      </w:r>
      <w:r>
        <w:rPr>
          <w:rFonts w:hint="eastAsia" w:ascii="仿宋_GB2312" w:hAnsi="宋体" w:eastAsia="仿宋_GB2312"/>
          <w:sz w:val="32"/>
          <w:szCs w:val="32"/>
        </w:rPr>
        <w:t>人。</w:t>
      </w:r>
    </w:p>
    <w:p>
      <w:pPr>
        <w:pStyle w:val="9"/>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纳入县政协办20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年度部门决算编制范围的预算单位还包括：</w:t>
      </w:r>
      <w:r>
        <w:rPr>
          <w:rFonts w:hint="eastAsia" w:hAnsi="仿宋"/>
          <w:color w:val="000000"/>
          <w:sz w:val="32"/>
          <w:szCs w:val="32"/>
        </w:rPr>
        <w:t>1、</w:t>
      </w:r>
      <w:r>
        <w:rPr>
          <w:rFonts w:hint="eastAsia" w:hAnsi="宋体"/>
          <w:sz w:val="32"/>
          <w:szCs w:val="32"/>
        </w:rPr>
        <w:t>县工商联。2、县佛协。均为独立的法人机构，因其人员数量少，财政没有分户，县工商联有编制数3人，行政编制2人，工勤编制1人；截止20</w:t>
      </w:r>
      <w:r>
        <w:rPr>
          <w:rFonts w:hint="eastAsia" w:hAnsi="宋体"/>
          <w:sz w:val="32"/>
          <w:szCs w:val="32"/>
          <w:lang w:val="en-US" w:eastAsia="zh-CN"/>
        </w:rPr>
        <w:t>21</w:t>
      </w:r>
      <w:r>
        <w:rPr>
          <w:rFonts w:hint="eastAsia" w:hAnsi="宋体"/>
          <w:sz w:val="32"/>
          <w:szCs w:val="32"/>
        </w:rPr>
        <w:t>年12月31日，实有在职行政人数为</w:t>
      </w:r>
      <w:r>
        <w:rPr>
          <w:rFonts w:hint="eastAsia" w:hAnsi="宋体"/>
          <w:sz w:val="32"/>
          <w:szCs w:val="32"/>
          <w:lang w:val="en-US" w:eastAsia="zh-CN"/>
        </w:rPr>
        <w:t>4</w:t>
      </w:r>
      <w:r>
        <w:rPr>
          <w:rFonts w:hint="eastAsia" w:hAnsi="宋体"/>
          <w:sz w:val="32"/>
          <w:szCs w:val="32"/>
        </w:rPr>
        <w:t>人，行政工勤在职人数1人；县佛协有编制数2人，行政编制1人，工勤编制1人，截止20</w:t>
      </w:r>
      <w:r>
        <w:rPr>
          <w:rFonts w:hint="eastAsia" w:hAnsi="宋体"/>
          <w:sz w:val="32"/>
          <w:szCs w:val="32"/>
          <w:lang w:val="en-US" w:eastAsia="zh-CN"/>
        </w:rPr>
        <w:t>21</w:t>
      </w:r>
      <w:r>
        <w:rPr>
          <w:rFonts w:hint="eastAsia" w:hAnsi="宋体"/>
          <w:sz w:val="32"/>
          <w:szCs w:val="32"/>
        </w:rPr>
        <w:t>年12月31日实有在职行政人数</w:t>
      </w:r>
      <w:r>
        <w:rPr>
          <w:rFonts w:hint="eastAsia" w:hAnsi="宋体"/>
          <w:sz w:val="32"/>
          <w:szCs w:val="32"/>
          <w:lang w:val="en-US" w:eastAsia="zh-CN"/>
        </w:rPr>
        <w:t>1</w:t>
      </w:r>
      <w:r>
        <w:rPr>
          <w:rFonts w:hint="eastAsia" w:hAnsi="宋体"/>
          <w:sz w:val="32"/>
          <w:szCs w:val="32"/>
        </w:rPr>
        <w:t>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4"/>
        <w:ind w:right="440"/>
        <w:jc w:val="right"/>
        <w:rPr>
          <w:rStyle w:val="26"/>
          <w:rFonts w:ascii="黑体" w:hAnsi="黑体" w:eastAsia="黑体"/>
          <w:b w:val="0"/>
          <w:bCs w:val="0"/>
        </w:rPr>
      </w:pPr>
      <w:bookmarkStart w:id="28" w:name="_Toc15377204"/>
      <w:bookmarkStart w:id="29" w:name="_Toc79163609"/>
      <w:bookmarkStart w:id="30" w:name="_Toc79163859"/>
      <w:bookmarkStart w:id="31" w:name="_Toc15396602"/>
      <w:r>
        <w:rPr>
          <w:rFonts w:hint="eastAsia" w:ascii="黑体" w:hAnsi="黑体" w:eastAsia="黑体"/>
          <w:b w:val="0"/>
          <w:color w:val="000000"/>
        </w:rPr>
        <w:t>第二部分</w:t>
      </w:r>
      <w:r>
        <w:rPr>
          <w:rFonts w:ascii="黑体" w:hAnsi="黑体" w:eastAsia="黑体"/>
          <w:color w:val="000000"/>
        </w:rPr>
        <w:t xml:space="preserve"> </w:t>
      </w:r>
      <w:r>
        <w:rPr>
          <w:rStyle w:val="26"/>
          <w:rFonts w:ascii="黑体" w:hAnsi="黑体" w:eastAsia="黑体"/>
          <w:b w:val="0"/>
          <w:bCs w:val="0"/>
        </w:rPr>
        <w:t>202</w:t>
      </w:r>
      <w:r>
        <w:rPr>
          <w:rStyle w:val="26"/>
          <w:rFonts w:hint="eastAsia" w:ascii="黑体" w:hAnsi="黑体" w:eastAsia="黑体"/>
          <w:b w:val="0"/>
          <w:bCs w:val="0"/>
          <w:lang w:val="en-US" w:eastAsia="zh-CN"/>
        </w:rPr>
        <w:t>1</w:t>
      </w:r>
      <w:r>
        <w:rPr>
          <w:rStyle w:val="26"/>
          <w:rFonts w:hint="eastAsia" w:ascii="黑体" w:hAnsi="黑体" w:eastAsia="黑体"/>
          <w:b w:val="0"/>
          <w:bCs w:val="0"/>
        </w:rPr>
        <w:t>年度部门决算情况说明</w:t>
      </w:r>
      <w:bookmarkEnd w:id="28"/>
      <w:bookmarkEnd w:id="29"/>
      <w:bookmarkEnd w:id="30"/>
      <w:bookmarkEnd w:id="31"/>
    </w:p>
    <w:p/>
    <w:p>
      <w:pPr>
        <w:pStyle w:val="37"/>
        <w:numPr>
          <w:ilvl w:val="0"/>
          <w:numId w:val="1"/>
        </w:numPr>
        <w:spacing w:line="600" w:lineRule="exact"/>
        <w:ind w:firstLineChars="0"/>
        <w:outlineLvl w:val="1"/>
        <w:rPr>
          <w:rStyle w:val="27"/>
          <w:rFonts w:ascii="黑体" w:hAnsi="黑体" w:eastAsia="黑体"/>
          <w:b w:val="0"/>
        </w:rPr>
      </w:pPr>
      <w:bookmarkStart w:id="32" w:name="_Toc79163860"/>
      <w:bookmarkStart w:id="33" w:name="_Toc15396603"/>
      <w:bookmarkStart w:id="34" w:name="_Toc79163610"/>
      <w:bookmarkStart w:id="3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32"/>
      <w:bookmarkEnd w:id="33"/>
      <w:bookmarkEnd w:id="34"/>
      <w:bookmarkEnd w:id="35"/>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年度收</w:t>
      </w:r>
      <w:r>
        <w:rPr>
          <w:rFonts w:hint="eastAsia" w:ascii="仿宋_GB2312" w:hAnsi="仿宋_GB2312" w:eastAsia="仿宋_GB2312" w:cs="仿宋_GB2312"/>
          <w:color w:val="000000"/>
          <w:sz w:val="32"/>
          <w:szCs w:val="32"/>
          <w:lang w:eastAsia="zh-CN"/>
        </w:rPr>
        <w:t>、支</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980.92</w:t>
      </w:r>
      <w:r>
        <w:rPr>
          <w:rFonts w:hint="eastAsia" w:ascii="仿宋_GB2312" w:hAnsi="仿宋_GB2312" w:eastAsia="仿宋_GB2312" w:cs="仿宋_GB2312"/>
          <w:color w:val="000000"/>
          <w:sz w:val="32"/>
          <w:szCs w:val="32"/>
        </w:rPr>
        <w:t>万元。与20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年相比，收</w:t>
      </w:r>
      <w:r>
        <w:rPr>
          <w:rFonts w:hint="eastAsia" w:ascii="仿宋_GB2312" w:hAnsi="仿宋_GB2312" w:eastAsia="仿宋_GB2312" w:cs="仿宋_GB2312"/>
          <w:color w:val="000000"/>
          <w:sz w:val="32"/>
          <w:szCs w:val="32"/>
          <w:lang w:eastAsia="zh-CN"/>
        </w:rPr>
        <w:t>、支总计增加</w:t>
      </w:r>
      <w:r>
        <w:rPr>
          <w:rFonts w:hint="eastAsia" w:ascii="仿宋_GB2312" w:hAnsi="仿宋_GB2312" w:eastAsia="仿宋_GB2312" w:cs="仿宋_GB2312"/>
          <w:color w:val="000000"/>
          <w:sz w:val="32"/>
          <w:szCs w:val="32"/>
          <w:lang w:val="en-US" w:eastAsia="zh-CN"/>
        </w:rPr>
        <w:t>252.12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25.70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其中：一般公共预算财政拨款收入</w:t>
      </w:r>
      <w:r>
        <w:rPr>
          <w:rFonts w:hint="eastAsia" w:ascii="仿宋_GB2312" w:hAnsi="仿宋_GB2312" w:eastAsia="仿宋_GB2312" w:cs="仿宋_GB2312"/>
          <w:color w:val="000000"/>
          <w:sz w:val="32"/>
          <w:szCs w:val="32"/>
          <w:lang w:val="en-US" w:eastAsia="zh-CN"/>
        </w:rPr>
        <w:t>886.45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90.37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；年初财政拨款结转结余</w:t>
      </w:r>
      <w:r>
        <w:rPr>
          <w:rFonts w:hint="eastAsia" w:ascii="仿宋_GB2312" w:hAnsi="仿宋_GB2312" w:eastAsia="仿宋_GB2312" w:cs="仿宋_GB2312"/>
          <w:color w:val="000000"/>
          <w:sz w:val="32"/>
          <w:szCs w:val="32"/>
          <w:lang w:val="en-US" w:eastAsia="zh-CN"/>
        </w:rPr>
        <w:t>94.48万元，占9.63%；</w:t>
      </w:r>
      <w:r>
        <w:rPr>
          <w:rFonts w:hint="eastAsia" w:ascii="仿宋_GB2312" w:hAnsi="仿宋_GB2312" w:eastAsia="仿宋_GB2312" w:cs="仿宋_GB2312"/>
          <w:color w:val="000000"/>
          <w:sz w:val="32"/>
          <w:szCs w:val="32"/>
          <w:lang w:eastAsia="zh-CN"/>
        </w:rPr>
        <w:t>增加原因是人员经费标准提高以及当年工作任务增加。</w:t>
      </w:r>
    </w:p>
    <w:p>
      <w:pPr>
        <w:pStyle w:val="37"/>
        <w:numPr>
          <w:ilvl w:val="0"/>
          <w:numId w:val="1"/>
        </w:numPr>
        <w:spacing w:line="600" w:lineRule="exact"/>
        <w:ind w:firstLineChars="0"/>
        <w:outlineLvl w:val="1"/>
        <w:rPr>
          <w:rStyle w:val="27"/>
          <w:rFonts w:ascii="黑体" w:hAnsi="黑体" w:eastAsia="黑体"/>
          <w:b w:val="0"/>
        </w:rPr>
      </w:pPr>
      <w:bookmarkStart w:id="36" w:name="_Toc79163611"/>
      <w:bookmarkStart w:id="37" w:name="_Toc79163861"/>
      <w:bookmarkStart w:id="38" w:name="_Toc15396604"/>
      <w:bookmarkStart w:id="39"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36"/>
      <w:bookmarkEnd w:id="37"/>
      <w:bookmarkEnd w:id="38"/>
      <w:bookmarkEnd w:id="39"/>
    </w:p>
    <w:p>
      <w:pPr>
        <w:spacing w:line="600" w:lineRule="exact"/>
        <w:ind w:firstLine="640" w:firstLineChars="200"/>
        <w:rPr>
          <w:rFonts w:ascii="仿宋_GB2312" w:eastAsia="仿宋_GB2312"/>
          <w:color w:val="FF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886.45</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886.45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；年初财政拨款结转结余</w:t>
      </w:r>
      <w:r>
        <w:rPr>
          <w:rFonts w:hint="eastAsia" w:ascii="仿宋_GB2312" w:hAnsi="仿宋_GB2312" w:eastAsia="仿宋_GB2312" w:cs="仿宋_GB2312"/>
          <w:color w:val="000000"/>
          <w:sz w:val="32"/>
          <w:szCs w:val="32"/>
          <w:lang w:val="en-US" w:eastAsia="zh-CN"/>
        </w:rPr>
        <w:t>94.48万元，占100%，其中：基本支出结转97.09万元，项目支出结转结余27.39万元；</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Style w:val="37"/>
        <w:numPr>
          <w:ilvl w:val="0"/>
          <w:numId w:val="1"/>
        </w:numPr>
        <w:spacing w:line="600" w:lineRule="exact"/>
        <w:ind w:firstLineChars="0"/>
        <w:outlineLvl w:val="1"/>
        <w:rPr>
          <w:rStyle w:val="27"/>
          <w:rFonts w:ascii="黑体" w:hAnsi="黑体" w:eastAsia="黑体"/>
          <w:b w:val="0"/>
        </w:rPr>
      </w:pPr>
      <w:bookmarkStart w:id="40" w:name="_Toc15377207"/>
      <w:bookmarkStart w:id="41" w:name="_Toc15396605"/>
      <w:bookmarkStart w:id="42" w:name="_Toc79163612"/>
      <w:bookmarkStart w:id="43" w:name="_Toc79163862"/>
      <w:r>
        <w:rPr>
          <w:rFonts w:hint="eastAsia" w:ascii="黑体" w:hAnsi="黑体" w:eastAsia="黑体"/>
          <w:color w:val="000000"/>
          <w:sz w:val="32"/>
          <w:szCs w:val="32"/>
        </w:rPr>
        <w:t>支</w:t>
      </w:r>
      <w:r>
        <w:rPr>
          <w:rStyle w:val="27"/>
          <w:rFonts w:hint="eastAsia" w:ascii="黑体" w:hAnsi="黑体" w:eastAsia="黑体"/>
          <w:b w:val="0"/>
        </w:rPr>
        <w:t>出决算情况说明</w:t>
      </w:r>
      <w:bookmarkEnd w:id="40"/>
      <w:bookmarkEnd w:id="41"/>
      <w:bookmarkEnd w:id="42"/>
      <w:bookmarkEnd w:id="43"/>
    </w:p>
    <w:p>
      <w:pPr>
        <w:spacing w:line="600" w:lineRule="exact"/>
        <w:ind w:firstLine="640" w:firstLineChars="200"/>
        <w:rPr>
          <w:rFonts w:ascii="仿宋_GB2312" w:eastAsia="仿宋_GB2312"/>
          <w:color w:val="FF0000"/>
          <w:sz w:val="32"/>
          <w:szCs w:val="32"/>
        </w:rPr>
      </w:pP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年本年支出合计</w:t>
      </w:r>
      <w:r>
        <w:rPr>
          <w:rFonts w:hint="eastAsia" w:ascii="仿宋_GB2312" w:eastAsia="仿宋_GB2312"/>
          <w:sz w:val="32"/>
          <w:szCs w:val="32"/>
          <w:lang w:val="en-US" w:eastAsia="zh-CN"/>
        </w:rPr>
        <w:t>980.92</w:t>
      </w:r>
      <w:r>
        <w:rPr>
          <w:rFonts w:hint="eastAsia" w:ascii="仿宋_GB2312" w:eastAsia="仿宋_GB2312"/>
          <w:sz w:val="32"/>
          <w:szCs w:val="32"/>
        </w:rPr>
        <w:t>万元，其中：基本支出</w:t>
      </w:r>
      <w:r>
        <w:rPr>
          <w:rFonts w:hint="eastAsia" w:ascii="仿宋_GB2312" w:eastAsia="仿宋_GB2312"/>
          <w:sz w:val="32"/>
          <w:szCs w:val="32"/>
          <w:lang w:val="en-US" w:eastAsia="zh-CN"/>
        </w:rPr>
        <w:t>857.98</w:t>
      </w:r>
      <w:r>
        <w:rPr>
          <w:rFonts w:hint="eastAsia" w:ascii="仿宋_GB2312" w:eastAsia="仿宋_GB2312"/>
          <w:sz w:val="32"/>
          <w:szCs w:val="32"/>
        </w:rPr>
        <w:t>万元，占</w:t>
      </w:r>
      <w:r>
        <w:rPr>
          <w:rFonts w:hint="eastAsia" w:ascii="仿宋_GB2312" w:eastAsia="仿宋_GB2312"/>
          <w:sz w:val="32"/>
          <w:szCs w:val="32"/>
          <w:lang w:val="en-US" w:eastAsia="zh-CN"/>
        </w:rPr>
        <w:t>87.47</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122.94</w:t>
      </w:r>
      <w:r>
        <w:rPr>
          <w:rFonts w:hint="eastAsia" w:ascii="仿宋_GB2312" w:eastAsia="仿宋_GB2312"/>
          <w:sz w:val="32"/>
          <w:szCs w:val="32"/>
        </w:rPr>
        <w:t>万元，占</w:t>
      </w:r>
      <w:r>
        <w:rPr>
          <w:rFonts w:hint="eastAsia" w:ascii="仿宋_GB2312" w:eastAsia="仿宋_GB2312"/>
          <w:sz w:val="32"/>
          <w:szCs w:val="32"/>
          <w:lang w:val="en-US" w:eastAsia="zh-CN"/>
        </w:rPr>
        <w:t>12.53</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outlineLvl w:val="1"/>
        <w:rPr>
          <w:rStyle w:val="27"/>
          <w:rFonts w:ascii="黑体" w:hAnsi="黑体" w:eastAsia="黑体"/>
          <w:b w:val="0"/>
        </w:rPr>
      </w:pPr>
      <w:bookmarkStart w:id="44" w:name="_Toc79163863"/>
      <w:bookmarkStart w:id="45" w:name="_Toc15396606"/>
      <w:bookmarkStart w:id="46" w:name="_Toc15377208"/>
      <w:bookmarkStart w:id="47" w:name="_Toc79163613"/>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44"/>
      <w:bookmarkEnd w:id="45"/>
      <w:bookmarkEnd w:id="46"/>
      <w:bookmarkEnd w:id="47"/>
    </w:p>
    <w:p>
      <w:pPr>
        <w:spacing w:line="600" w:lineRule="exact"/>
        <w:ind w:firstLine="640"/>
        <w:rPr>
          <w:rFonts w:ascii="仿宋" w:hAnsi="仿宋" w:eastAsia="仿宋"/>
          <w:b/>
          <w:color w:val="00B05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年财政拨款收</w:t>
      </w:r>
      <w:r>
        <w:rPr>
          <w:rFonts w:hint="eastAsia" w:ascii="仿宋_GB2312" w:hAnsi="仿宋_GB2312" w:eastAsia="仿宋_GB2312" w:cs="仿宋_GB2312"/>
          <w:color w:val="000000"/>
          <w:sz w:val="32"/>
          <w:szCs w:val="32"/>
          <w:lang w:eastAsia="zh-CN"/>
        </w:rPr>
        <w:t>入总计</w:t>
      </w:r>
      <w:r>
        <w:rPr>
          <w:rFonts w:hint="eastAsia" w:ascii="仿宋_GB2312" w:hAnsi="仿宋_GB2312" w:eastAsia="仿宋_GB2312" w:cs="仿宋_GB2312"/>
          <w:color w:val="000000"/>
          <w:sz w:val="32"/>
          <w:szCs w:val="32"/>
          <w:lang w:val="en-US" w:eastAsia="zh-CN"/>
        </w:rPr>
        <w:t>886.45万元，</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年相比，财政拨款收</w:t>
      </w:r>
      <w:r>
        <w:rPr>
          <w:rFonts w:hint="eastAsia" w:ascii="仿宋_GB2312" w:hAnsi="仿宋_GB2312" w:eastAsia="仿宋_GB2312" w:cs="仿宋_GB2312"/>
          <w:color w:val="000000"/>
          <w:sz w:val="32"/>
          <w:szCs w:val="32"/>
          <w:lang w:eastAsia="zh-CN"/>
        </w:rPr>
        <w:t>入增加</w:t>
      </w:r>
      <w:r>
        <w:rPr>
          <w:rFonts w:hint="eastAsia" w:ascii="仿宋_GB2312" w:hAnsi="仿宋_GB2312" w:eastAsia="仿宋_GB2312" w:cs="仿宋_GB2312"/>
          <w:color w:val="000000"/>
          <w:sz w:val="32"/>
          <w:szCs w:val="32"/>
          <w:lang w:val="en-US" w:eastAsia="zh-CN"/>
        </w:rPr>
        <w:t>157.65万元，增加17.78%，</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980.92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252.12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25.7</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是人员经费标准提高，当年工作任务增加以及项目进一步实施。</w:t>
      </w:r>
    </w:p>
    <w:p>
      <w:pPr>
        <w:spacing w:line="600" w:lineRule="exact"/>
        <w:ind w:firstLine="640" w:firstLineChars="200"/>
        <w:outlineLvl w:val="1"/>
        <w:rPr>
          <w:rStyle w:val="27"/>
          <w:rFonts w:ascii="黑体" w:hAnsi="黑体" w:eastAsia="黑体"/>
          <w:b w:val="0"/>
        </w:rPr>
      </w:pPr>
      <w:bookmarkStart w:id="48" w:name="_Toc79163864"/>
      <w:bookmarkStart w:id="49" w:name="_Toc79163614"/>
      <w:bookmarkStart w:id="50" w:name="_Toc15396607"/>
      <w:bookmarkStart w:id="5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48"/>
      <w:bookmarkEnd w:id="49"/>
      <w:bookmarkEnd w:id="50"/>
      <w:bookmarkEnd w:id="51"/>
    </w:p>
    <w:p>
      <w:pPr>
        <w:spacing w:line="600" w:lineRule="exact"/>
        <w:ind w:firstLine="643" w:firstLineChars="200"/>
        <w:outlineLvl w:val="2"/>
        <w:rPr>
          <w:rFonts w:ascii="仿宋" w:hAnsi="仿宋" w:eastAsia="仿宋"/>
          <w:b/>
          <w:color w:val="000000"/>
          <w:sz w:val="32"/>
          <w:szCs w:val="32"/>
        </w:rPr>
      </w:pPr>
      <w:bookmarkStart w:id="52" w:name="_Toc79163865"/>
      <w:bookmarkStart w:id="53" w:name="_Toc79163615"/>
      <w:bookmarkStart w:id="54" w:name="_Toc15377210"/>
      <w:r>
        <w:rPr>
          <w:rFonts w:hint="eastAsia" w:ascii="仿宋" w:hAnsi="仿宋" w:eastAsia="仿宋"/>
          <w:b/>
          <w:color w:val="000000"/>
          <w:sz w:val="32"/>
          <w:szCs w:val="32"/>
        </w:rPr>
        <w:t>（一）一般公共预算财政拨款支出决算总体情况</w:t>
      </w:r>
      <w:bookmarkEnd w:id="52"/>
      <w:bookmarkEnd w:id="53"/>
      <w:bookmarkEnd w:id="54"/>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980.92</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252.12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25.7</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是人员经费标准提高，当年工作任务增加。</w:t>
      </w:r>
    </w:p>
    <w:p>
      <w:pPr>
        <w:spacing w:line="600" w:lineRule="exact"/>
        <w:ind w:firstLine="643" w:firstLineChars="200"/>
        <w:outlineLvl w:val="2"/>
        <w:rPr>
          <w:rFonts w:ascii="仿宋" w:hAnsi="仿宋" w:eastAsia="仿宋"/>
          <w:b/>
          <w:color w:val="000000"/>
          <w:sz w:val="32"/>
          <w:szCs w:val="32"/>
        </w:rPr>
      </w:pPr>
      <w:bookmarkStart w:id="55" w:name="_Toc15377211"/>
      <w:bookmarkStart w:id="56" w:name="_Toc79163866"/>
      <w:bookmarkStart w:id="57" w:name="_Toc79163616"/>
      <w:r>
        <w:rPr>
          <w:rFonts w:hint="eastAsia" w:ascii="仿宋" w:hAnsi="仿宋" w:eastAsia="仿宋"/>
          <w:b/>
          <w:color w:val="000000"/>
          <w:sz w:val="32"/>
          <w:szCs w:val="32"/>
        </w:rPr>
        <w:t>（二）一般公共预算财政拨款支出决算结构情况</w:t>
      </w:r>
      <w:bookmarkEnd w:id="55"/>
      <w:bookmarkEnd w:id="56"/>
      <w:bookmarkEnd w:id="57"/>
    </w:p>
    <w:p>
      <w:pPr>
        <w:spacing w:line="600" w:lineRule="exact"/>
        <w:ind w:firstLine="640"/>
        <w:rPr>
          <w:rFonts w:hint="eastAsia" w:ascii="仿宋" w:hAnsi="仿宋" w:eastAsia="仿宋"/>
          <w:b/>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980.92</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w:t>
      </w:r>
      <w:r>
        <w:rPr>
          <w:rFonts w:hint="eastAsia" w:ascii="仿宋" w:hAnsi="仿宋" w:eastAsia="仿宋"/>
          <w:b/>
          <w:color w:val="000000"/>
          <w:sz w:val="32"/>
          <w:szCs w:val="32"/>
          <w:lang w:val="en-US" w:eastAsia="zh-CN"/>
        </w:rPr>
        <w:t>201</w:t>
      </w:r>
      <w:r>
        <w:rPr>
          <w:rFonts w:hint="eastAsia" w:ascii="仿宋" w:hAnsi="仿宋" w:eastAsia="仿宋"/>
          <w:b/>
          <w:color w:val="000000"/>
          <w:sz w:val="32"/>
          <w:szCs w:val="32"/>
        </w:rPr>
        <w:t>）</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806.8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82.25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0</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b/>
          <w:color w:val="000000"/>
          <w:sz w:val="32"/>
          <w:szCs w:val="32"/>
          <w:lang w:val="en-US" w:eastAsia="zh-CN"/>
        </w:rPr>
        <w:t>208</w:t>
      </w:r>
      <w:r>
        <w:rPr>
          <w:rFonts w:hint="eastAsia" w:ascii="仿宋" w:hAnsi="仿宋" w:eastAsia="仿宋"/>
          <w:b/>
          <w:color w:val="000000"/>
          <w:sz w:val="32"/>
          <w:szCs w:val="32"/>
        </w:rPr>
        <w:t>）</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90.51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210</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rPr>
        <w:t>支出</w:t>
      </w:r>
      <w:r>
        <w:rPr>
          <w:rFonts w:hint="eastAsia" w:ascii="仿宋" w:hAnsi="仿宋" w:eastAsia="仿宋"/>
          <w:b/>
          <w:bCs/>
          <w:color w:val="000000"/>
          <w:sz w:val="32"/>
          <w:szCs w:val="32"/>
          <w:lang w:val="en-US" w:eastAsia="zh-CN"/>
        </w:rPr>
        <w:t>37.63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3.84</w:t>
      </w:r>
      <w:r>
        <w:rPr>
          <w:rFonts w:ascii="仿宋" w:hAnsi="仿宋" w:eastAsia="仿宋"/>
          <w:color w:val="000000"/>
          <w:sz w:val="32"/>
          <w:szCs w:val="32"/>
        </w:rPr>
        <w:t>%</w:t>
      </w:r>
      <w:r>
        <w:rPr>
          <w:rFonts w:hint="eastAsia" w:ascii="仿宋" w:hAnsi="仿宋" w:eastAsia="仿宋"/>
          <w:color w:val="000000"/>
          <w:sz w:val="32"/>
          <w:szCs w:val="32"/>
        </w:rPr>
        <w:t>；住房保障</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221</w:t>
      </w:r>
      <w:r>
        <w:rPr>
          <w:rFonts w:hint="eastAsia" w:ascii="仿宋" w:hAnsi="仿宋" w:eastAsia="仿宋"/>
          <w:color w:val="000000"/>
          <w:sz w:val="32"/>
          <w:szCs w:val="32"/>
          <w:lang w:eastAsia="zh-CN"/>
        </w:rPr>
        <w:t>）</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45.98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4.68</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3" w:firstLineChars="200"/>
        <w:outlineLvl w:val="2"/>
        <w:rPr>
          <w:rFonts w:ascii="仿宋" w:hAnsi="仿宋" w:eastAsia="仿宋"/>
          <w:b/>
          <w:color w:val="000000"/>
          <w:sz w:val="32"/>
          <w:szCs w:val="32"/>
        </w:rPr>
      </w:pPr>
      <w:bookmarkStart w:id="58" w:name="_Toc15377212"/>
      <w:bookmarkStart w:id="59" w:name="_Toc79163617"/>
      <w:bookmarkStart w:id="60" w:name="_Toc79163867"/>
      <w:r>
        <w:rPr>
          <w:rFonts w:hint="eastAsia" w:ascii="仿宋" w:hAnsi="仿宋" w:eastAsia="仿宋"/>
          <w:b/>
          <w:color w:val="000000"/>
          <w:sz w:val="32"/>
          <w:szCs w:val="32"/>
        </w:rPr>
        <w:t>（三）一般公共预算财政拨款支出决算具体情况</w:t>
      </w:r>
      <w:bookmarkEnd w:id="58"/>
      <w:bookmarkEnd w:id="59"/>
      <w:bookmarkEnd w:id="60"/>
    </w:p>
    <w:p>
      <w:pPr>
        <w:spacing w:line="600" w:lineRule="exact"/>
        <w:ind w:firstLine="643" w:firstLineChars="200"/>
        <w:rPr>
          <w:rFonts w:ascii="仿宋_GB2312" w:eastAsia="仿宋_GB2312"/>
          <w:b/>
          <w:bCs/>
          <w:sz w:val="32"/>
          <w:szCs w:val="32"/>
        </w:rPr>
      </w:pPr>
      <w:bookmarkStart w:id="61" w:name="_Toc15377444"/>
      <w:bookmarkStart w:id="62" w:name="_Toc15377213"/>
      <w:bookmarkStart w:id="63" w:name="_Toc15378460"/>
      <w:r>
        <w:rPr>
          <w:rFonts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980.92</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1"/>
      <w:bookmarkEnd w:id="62"/>
      <w:bookmarkEnd w:id="63"/>
    </w:p>
    <w:p>
      <w:pPr>
        <w:spacing w:line="600" w:lineRule="exact"/>
        <w:ind w:firstLine="643" w:firstLineChars="200"/>
        <w:rPr>
          <w:rFonts w:hint="eastAsia" w:ascii="仿宋" w:hAnsi="仿宋" w:eastAsia="仿宋"/>
          <w:b/>
          <w:color w:val="000000"/>
          <w:sz w:val="32"/>
          <w:szCs w:val="32"/>
          <w:lang w:eastAsia="zh-CN"/>
        </w:rPr>
      </w:pPr>
      <w:r>
        <w:rPr>
          <w:rStyle w:val="24"/>
          <w:rFonts w:ascii="仿宋" w:hAnsi="仿宋" w:eastAsia="仿宋"/>
          <w:bCs/>
          <w:color w:val="000000"/>
          <w:sz w:val="32"/>
          <w:szCs w:val="32"/>
        </w:rPr>
        <w:t>1.</w:t>
      </w:r>
      <w:r>
        <w:rPr>
          <w:rStyle w:val="24"/>
          <w:rFonts w:hint="eastAsia" w:ascii="仿宋" w:hAnsi="仿宋" w:eastAsia="仿宋"/>
          <w:bCs/>
          <w:color w:val="000000"/>
          <w:sz w:val="32"/>
          <w:szCs w:val="32"/>
        </w:rPr>
        <w:t>一般公共服务（</w:t>
      </w:r>
      <w:r>
        <w:rPr>
          <w:rStyle w:val="24"/>
          <w:rFonts w:hint="eastAsia" w:ascii="仿宋" w:hAnsi="仿宋" w:eastAsia="仿宋"/>
          <w:bCs/>
          <w:color w:val="000000"/>
          <w:sz w:val="32"/>
          <w:szCs w:val="32"/>
          <w:lang w:val="en-US" w:eastAsia="zh-CN"/>
        </w:rPr>
        <w:t>201</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政协事务</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02</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行政运行</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01</w:t>
      </w:r>
      <w:r>
        <w:rPr>
          <w:rStyle w:val="24"/>
          <w:rFonts w:hint="eastAsia" w:ascii="仿宋" w:hAnsi="仿宋" w:eastAsia="仿宋"/>
          <w:bCs/>
          <w:color w:val="000000"/>
          <w:sz w:val="32"/>
          <w:szCs w:val="32"/>
        </w:rPr>
        <w:t>）</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806.8</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24"/>
          <w:rFonts w:hint="eastAsia" w:ascii="仿宋" w:hAnsi="仿宋" w:eastAsia="仿宋"/>
          <w:bCs/>
          <w:color w:val="000000"/>
          <w:sz w:val="32"/>
          <w:szCs w:val="32"/>
          <w:lang w:val="en-US" w:eastAsia="zh-CN"/>
        </w:rPr>
        <w:t>2</w:t>
      </w:r>
      <w:r>
        <w:rPr>
          <w:rStyle w:val="24"/>
          <w:rFonts w:ascii="仿宋" w:hAnsi="仿宋" w:eastAsia="仿宋"/>
          <w:bCs/>
          <w:color w:val="000000"/>
          <w:sz w:val="32"/>
          <w:szCs w:val="32"/>
        </w:rPr>
        <w:t>.</w:t>
      </w:r>
      <w:r>
        <w:rPr>
          <w:rStyle w:val="24"/>
          <w:rFonts w:hint="eastAsia" w:ascii="仿宋" w:hAnsi="仿宋" w:eastAsia="仿宋"/>
          <w:bCs/>
          <w:color w:val="000000"/>
          <w:sz w:val="32"/>
          <w:szCs w:val="32"/>
        </w:rPr>
        <w:t>社会保障和就业（</w:t>
      </w:r>
      <w:r>
        <w:rPr>
          <w:rStyle w:val="24"/>
          <w:rFonts w:hint="eastAsia" w:ascii="仿宋" w:hAnsi="仿宋" w:eastAsia="仿宋"/>
          <w:bCs/>
          <w:color w:val="000000"/>
          <w:sz w:val="32"/>
          <w:szCs w:val="32"/>
          <w:lang w:val="en-US" w:eastAsia="zh-CN"/>
        </w:rPr>
        <w:t>208</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行政事业单位离退休</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05</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机关事业单位基本养老保险缴费支出</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05</w:t>
      </w:r>
      <w:r>
        <w:rPr>
          <w:rStyle w:val="24"/>
          <w:rFonts w:hint="eastAsia" w:ascii="仿宋" w:hAnsi="仿宋" w:eastAsia="仿宋"/>
          <w:bCs/>
          <w:color w:val="000000"/>
          <w:sz w:val="32"/>
          <w:szCs w:val="32"/>
        </w:rPr>
        <w:t>）</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90.51</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r>
        <w:rPr>
          <w:rStyle w:val="24"/>
          <w:rFonts w:hint="eastAsia" w:ascii="仿宋" w:hAnsi="仿宋" w:eastAsia="仿宋"/>
          <w:b w:val="0"/>
          <w:bCs/>
          <w:color w:val="000000"/>
          <w:sz w:val="32"/>
          <w:szCs w:val="32"/>
        </w:rPr>
        <w:t>决算数</w:t>
      </w:r>
      <w:r>
        <w:rPr>
          <w:rStyle w:val="24"/>
          <w:rFonts w:hint="eastAsia" w:ascii="仿宋" w:hAnsi="仿宋" w:eastAsia="仿宋"/>
          <w:b w:val="0"/>
          <w:bCs/>
          <w:color w:val="000000"/>
          <w:sz w:val="32"/>
          <w:szCs w:val="32"/>
          <w:lang w:eastAsia="zh-CN"/>
        </w:rPr>
        <w:t>与预算数持平</w:t>
      </w:r>
      <w:r>
        <w:rPr>
          <w:rStyle w:val="24"/>
          <w:rFonts w:hint="eastAsia" w:ascii="仿宋" w:hAnsi="仿宋" w:eastAsia="仿宋"/>
          <w:b w:val="0"/>
          <w:bCs/>
          <w:color w:val="000000"/>
          <w:sz w:val="32"/>
          <w:szCs w:val="32"/>
        </w:rPr>
        <w:t>。</w:t>
      </w:r>
    </w:p>
    <w:p>
      <w:pPr>
        <w:spacing w:line="600" w:lineRule="exact"/>
        <w:ind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lang w:val="en-US" w:eastAsia="zh-CN"/>
        </w:rPr>
        <w:t>3</w:t>
      </w:r>
      <w:r>
        <w:rPr>
          <w:rStyle w:val="24"/>
          <w:rFonts w:ascii="仿宋" w:hAnsi="仿宋" w:eastAsia="仿宋"/>
          <w:bCs/>
          <w:color w:val="000000"/>
          <w:sz w:val="32"/>
          <w:szCs w:val="32"/>
        </w:rPr>
        <w:t>.</w:t>
      </w:r>
      <w:r>
        <w:rPr>
          <w:rFonts w:hint="eastAsia" w:ascii="仿宋" w:hAnsi="仿宋" w:eastAsia="仿宋"/>
          <w:b/>
          <w:bCs/>
          <w:color w:val="000000"/>
          <w:sz w:val="32"/>
          <w:szCs w:val="32"/>
        </w:rPr>
        <w:t>卫生健康</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210</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行政事业医疗</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11</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eastAsia="zh-CN"/>
        </w:rPr>
        <w:t>行政单位医疗</w:t>
      </w:r>
      <w:r>
        <w:rPr>
          <w:rStyle w:val="24"/>
          <w:rFonts w:hint="eastAsia" w:ascii="仿宋" w:hAnsi="仿宋" w:eastAsia="仿宋"/>
          <w:bCs/>
          <w:color w:val="000000"/>
          <w:sz w:val="32"/>
          <w:szCs w:val="32"/>
        </w:rPr>
        <w:t>（</w:t>
      </w:r>
      <w:r>
        <w:rPr>
          <w:rStyle w:val="24"/>
          <w:rFonts w:hint="eastAsia" w:ascii="仿宋" w:hAnsi="仿宋" w:eastAsia="仿宋"/>
          <w:bCs/>
          <w:color w:val="000000"/>
          <w:sz w:val="32"/>
          <w:szCs w:val="32"/>
          <w:lang w:val="en-US" w:eastAsia="zh-CN"/>
        </w:rPr>
        <w:t>01</w:t>
      </w:r>
      <w:r>
        <w:rPr>
          <w:rStyle w:val="24"/>
          <w:rFonts w:hint="eastAsia" w:ascii="仿宋" w:hAnsi="仿宋" w:eastAsia="仿宋"/>
          <w:bCs/>
          <w:color w:val="000000"/>
          <w:sz w:val="32"/>
          <w:szCs w:val="32"/>
        </w:rPr>
        <w:t>）</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37.63</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r>
        <w:rPr>
          <w:rStyle w:val="24"/>
          <w:rFonts w:hint="eastAsia" w:ascii="仿宋" w:hAnsi="仿宋" w:eastAsia="仿宋"/>
          <w:b w:val="0"/>
          <w:bCs/>
          <w:color w:val="000000"/>
          <w:sz w:val="32"/>
          <w:szCs w:val="32"/>
        </w:rPr>
        <w:t>决算数</w:t>
      </w:r>
      <w:r>
        <w:rPr>
          <w:rStyle w:val="24"/>
          <w:rFonts w:hint="eastAsia" w:ascii="仿宋" w:hAnsi="仿宋" w:eastAsia="仿宋"/>
          <w:b w:val="0"/>
          <w:bCs/>
          <w:color w:val="000000"/>
          <w:sz w:val="32"/>
          <w:szCs w:val="32"/>
          <w:lang w:eastAsia="zh-CN"/>
        </w:rPr>
        <w:t>与预算数持平</w:t>
      </w:r>
      <w:r>
        <w:rPr>
          <w:rStyle w:val="2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FF0000"/>
          <w:sz w:val="32"/>
          <w:szCs w:val="32"/>
        </w:rPr>
      </w:pPr>
      <w:r>
        <w:rPr>
          <w:rStyle w:val="24"/>
          <w:rFonts w:ascii="仿宋" w:hAnsi="仿宋" w:eastAsia="仿宋"/>
          <w:bCs/>
          <w:color w:val="000000"/>
          <w:sz w:val="32"/>
          <w:szCs w:val="32"/>
        </w:rPr>
        <w:t>4.</w:t>
      </w:r>
      <w:r>
        <w:rPr>
          <w:rStyle w:val="24"/>
          <w:rFonts w:hint="eastAsia" w:ascii="仿宋" w:hAnsi="仿宋" w:eastAsia="仿宋"/>
          <w:bCs/>
          <w:color w:val="000000"/>
          <w:sz w:val="32"/>
          <w:szCs w:val="32"/>
        </w:rPr>
        <w:t>住房保障支出（221）住房改革支出（02）住房公积金（01）</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45.98</w:t>
      </w:r>
      <w:r>
        <w:rPr>
          <w:rStyle w:val="24"/>
          <w:rFonts w:hint="eastAsia" w:ascii="仿宋" w:hAnsi="仿宋" w:eastAsia="仿宋"/>
          <w:b w:val="0"/>
          <w:bCs/>
          <w:color w:val="000000"/>
          <w:sz w:val="32"/>
          <w:szCs w:val="32"/>
        </w:rPr>
        <w:t>万元，完成预算100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w:t>
      </w:r>
    </w:p>
    <w:p>
      <w:pPr>
        <w:tabs>
          <w:tab w:val="right" w:pos="8306"/>
        </w:tabs>
        <w:spacing w:line="600" w:lineRule="exact"/>
        <w:ind w:firstLine="640" w:firstLineChars="200"/>
        <w:outlineLvl w:val="1"/>
        <w:rPr>
          <w:rStyle w:val="27"/>
        </w:rPr>
      </w:pPr>
      <w:bookmarkStart w:id="64" w:name="_Toc15396608"/>
      <w:bookmarkStart w:id="65" w:name="_Toc79163618"/>
      <w:bookmarkStart w:id="66" w:name="_Toc79163868"/>
      <w:bookmarkStart w:id="6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64"/>
      <w:bookmarkEnd w:id="65"/>
      <w:bookmarkEnd w:id="66"/>
      <w:bookmarkEnd w:id="67"/>
      <w:r>
        <w:rPr>
          <w:rStyle w:val="27"/>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lang w:val="en-US" w:eastAsia="zh-CN"/>
        </w:rPr>
        <w:t>980.92</w:t>
      </w:r>
      <w:r>
        <w:rPr>
          <w:rFonts w:hint="eastAsia" w:ascii="仿宋_GB2312" w:hAnsi="仿宋_GB2312" w:eastAsia="仿宋_GB2312" w:cs="仿宋_GB2312"/>
          <w:color w:val="000000"/>
          <w:sz w:val="32"/>
          <w:szCs w:val="32"/>
        </w:rPr>
        <w:t>元，其中：</w:t>
      </w:r>
    </w:p>
    <w:p>
      <w:pPr>
        <w:spacing w:line="600" w:lineRule="exact"/>
        <w:ind w:firstLine="64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743.06</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FF0000"/>
          <w:sz w:val="32"/>
          <w:szCs w:val="32"/>
        </w:rPr>
      </w:pPr>
      <w:r>
        <w:rPr>
          <w:rFonts w:hint="eastAsia" w:ascii="仿宋_GB2312" w:hAnsi="仿宋_GB2312" w:eastAsia="仿宋_GB2312" w:cs="仿宋_GB2312"/>
          <w:color w:val="000000"/>
          <w:sz w:val="32"/>
          <w:szCs w:val="32"/>
        </w:rPr>
        <w:t>　　日常公用经费</w:t>
      </w:r>
      <w:r>
        <w:rPr>
          <w:rFonts w:hint="eastAsia" w:ascii="仿宋_GB2312" w:hAnsi="仿宋_GB2312" w:eastAsia="仿宋_GB2312" w:cs="仿宋_GB2312"/>
          <w:color w:val="000000"/>
          <w:sz w:val="32"/>
          <w:szCs w:val="32"/>
          <w:lang w:val="en-US" w:eastAsia="zh-CN"/>
        </w:rPr>
        <w:t>237.86</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7"/>
          <w:rFonts w:ascii="黑体" w:hAnsi="黑体" w:eastAsia="黑体"/>
          <w:b w:val="0"/>
        </w:rPr>
      </w:pPr>
      <w:bookmarkStart w:id="68" w:name="_Toc79163619"/>
      <w:bookmarkStart w:id="69" w:name="_Toc79163869"/>
      <w:bookmarkStart w:id="70" w:name="_Toc15396609"/>
      <w:bookmarkStart w:id="71"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68"/>
      <w:bookmarkEnd w:id="69"/>
      <w:bookmarkEnd w:id="70"/>
      <w:bookmarkEnd w:id="71"/>
    </w:p>
    <w:p>
      <w:pPr>
        <w:spacing w:line="600" w:lineRule="exact"/>
        <w:ind w:firstLine="640"/>
        <w:outlineLvl w:val="2"/>
        <w:rPr>
          <w:rFonts w:ascii="仿宋" w:hAnsi="仿宋" w:eastAsia="仿宋"/>
          <w:b/>
          <w:color w:val="000000"/>
          <w:sz w:val="32"/>
          <w:szCs w:val="32"/>
        </w:rPr>
      </w:pPr>
      <w:bookmarkStart w:id="72" w:name="_Toc79163870"/>
      <w:bookmarkStart w:id="73" w:name="_Toc79163620"/>
      <w:bookmarkStart w:id="74" w:name="_Toc15377216"/>
      <w:r>
        <w:rPr>
          <w:rFonts w:hint="eastAsia" w:ascii="仿宋" w:hAnsi="仿宋" w:eastAsia="仿宋"/>
          <w:b/>
          <w:color w:val="000000"/>
          <w:sz w:val="32"/>
          <w:szCs w:val="32"/>
        </w:rPr>
        <w:t>（一）“三公”经费财政拨款支出决算总体情况说明</w:t>
      </w:r>
      <w:bookmarkEnd w:id="72"/>
      <w:bookmarkEnd w:id="73"/>
      <w:bookmarkEnd w:id="74"/>
    </w:p>
    <w:p>
      <w:pPr>
        <w:spacing w:line="600" w:lineRule="exact"/>
        <w:ind w:firstLine="640"/>
        <w:rPr>
          <w:rFonts w:ascii="仿宋" w:hAnsi="仿宋" w:eastAsia="仿宋"/>
          <w:b/>
          <w:color w:val="FF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年“三公”经费财政拨款支出决算为</w:t>
      </w:r>
      <w:r>
        <w:rPr>
          <w:rFonts w:hint="eastAsia" w:ascii="仿宋_GB2312" w:hAnsi="仿宋_GB2312" w:eastAsia="仿宋_GB2312" w:cs="仿宋_GB2312"/>
          <w:color w:val="000000"/>
          <w:sz w:val="32"/>
          <w:szCs w:val="32"/>
          <w:lang w:val="en-US" w:eastAsia="zh-CN"/>
        </w:rPr>
        <w:t>46.26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spacing w:line="600" w:lineRule="exact"/>
        <w:ind w:firstLine="640"/>
        <w:outlineLvl w:val="2"/>
        <w:rPr>
          <w:rFonts w:ascii="仿宋" w:hAnsi="仿宋" w:eastAsia="仿宋"/>
          <w:b/>
          <w:color w:val="000000"/>
          <w:sz w:val="32"/>
          <w:szCs w:val="32"/>
        </w:rPr>
      </w:pPr>
      <w:bookmarkStart w:id="75" w:name="_Toc15377217"/>
      <w:bookmarkStart w:id="76" w:name="_Toc79163621"/>
      <w:bookmarkStart w:id="77" w:name="_Toc79163871"/>
      <w:r>
        <w:rPr>
          <w:rFonts w:hint="eastAsia" w:ascii="仿宋" w:hAnsi="仿宋" w:eastAsia="仿宋"/>
          <w:b/>
          <w:color w:val="000000"/>
          <w:sz w:val="32"/>
          <w:szCs w:val="32"/>
        </w:rPr>
        <w:t>（二）“三公”经费财政拨款支出决算具体情况说明</w:t>
      </w:r>
      <w:bookmarkEnd w:id="75"/>
      <w:bookmarkEnd w:id="76"/>
      <w:bookmarkEnd w:id="77"/>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45.37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98.08</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0.89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1.92</w:t>
      </w:r>
      <w:r>
        <w:rPr>
          <w:rFonts w:hint="eastAsia" w:ascii="仿宋_GB2312" w:hAnsi="仿宋_GB2312" w:eastAsia="仿宋_GB2312" w:cs="仿宋_GB2312"/>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24"/>
          <w:rFonts w:hint="eastAsia" w:ascii="仿宋" w:hAnsi="仿宋" w:eastAsia="仿宋"/>
          <w:b w:val="0"/>
          <w:bCs/>
          <w:color w:val="000000"/>
          <w:sz w:val="32"/>
          <w:szCs w:val="32"/>
        </w:rPr>
        <w:t>完成预算</w:t>
      </w:r>
      <w:r>
        <w:rPr>
          <w:rStyle w:val="24"/>
          <w:rFonts w:hint="eastAsia" w:ascii="仿宋" w:hAnsi="仿宋" w:eastAsia="仿宋"/>
          <w:b w:val="0"/>
          <w:bCs/>
          <w:color w:val="000000"/>
          <w:sz w:val="32"/>
          <w:szCs w:val="32"/>
          <w:lang w:val="en-US" w:eastAsia="zh-CN"/>
        </w:rPr>
        <w:t>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没有安排出国境</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val="0"/>
          <w:bCs/>
          <w:color w:val="000000"/>
          <w:sz w:val="32"/>
          <w:szCs w:val="32"/>
          <w:lang w:val="en-US" w:eastAsia="zh-CN"/>
        </w:rPr>
        <w:t>45.37</w:t>
      </w:r>
      <w:r>
        <w:rPr>
          <w:rFonts w:hint="eastAsia" w:ascii="仿宋_GB2312" w:eastAsia="仿宋_GB2312"/>
          <w:color w:val="000000"/>
          <w:sz w:val="32"/>
          <w:szCs w:val="32"/>
        </w:rPr>
        <w:t>万元</w:t>
      </w:r>
      <w:r>
        <w:rPr>
          <w:rFonts w:ascii="仿宋_GB2312" w:eastAsia="仿宋_GB2312"/>
          <w:color w:val="000000"/>
          <w:sz w:val="32"/>
          <w:szCs w:val="32"/>
        </w:rPr>
        <w:t>,</w:t>
      </w:r>
      <w:r>
        <w:rPr>
          <w:rStyle w:val="24"/>
          <w:rFonts w:hint="eastAsia" w:ascii="仿宋" w:hAnsi="仿宋" w:eastAsia="仿宋"/>
          <w:b w:val="0"/>
          <w:bCs/>
          <w:color w:val="000000"/>
          <w:sz w:val="32"/>
          <w:szCs w:val="32"/>
        </w:rPr>
        <w:t>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3.92</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是加强公务用车管理，严格派车制度，节约开支</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val="0"/>
          <w:bCs/>
          <w:color w:val="000000"/>
          <w:sz w:val="32"/>
          <w:szCs w:val="32"/>
          <w:lang w:val="en-US" w:eastAsia="zh-CN"/>
        </w:rPr>
        <w:t>45.37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本机关工作人员县外出差，县内下乡</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val="0"/>
          <w:bCs/>
          <w:color w:val="000000"/>
          <w:sz w:val="32"/>
          <w:szCs w:val="32"/>
          <w:lang w:val="en-US" w:eastAsia="zh-CN"/>
        </w:rPr>
        <w:t>0.89</w:t>
      </w:r>
      <w:r>
        <w:rPr>
          <w:rFonts w:hint="eastAsia" w:ascii="仿宋_GB2312" w:eastAsia="仿宋_GB2312"/>
          <w:color w:val="000000"/>
          <w:sz w:val="32"/>
          <w:szCs w:val="32"/>
        </w:rPr>
        <w:t>万元，</w:t>
      </w:r>
      <w:r>
        <w:rPr>
          <w:rStyle w:val="24"/>
          <w:rFonts w:hint="eastAsia" w:ascii="仿宋" w:hAnsi="仿宋" w:eastAsia="仿宋"/>
          <w:b w:val="0"/>
          <w:bCs/>
          <w:color w:val="000000"/>
          <w:sz w:val="32"/>
          <w:szCs w:val="32"/>
        </w:rPr>
        <w:t>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0.14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接待任务增加，接待人数增加</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val="0"/>
          <w:bCs/>
          <w:color w:val="000000"/>
          <w:sz w:val="32"/>
          <w:szCs w:val="32"/>
          <w:lang w:val="en-US" w:eastAsia="zh-CN"/>
        </w:rPr>
        <w:t>0.89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上级机关，同级部门</w:t>
      </w:r>
      <w:r>
        <w:rPr>
          <w:rFonts w:ascii="仿宋_GB2312" w:eastAsia="仿宋_GB2312"/>
          <w:color w:val="000000"/>
          <w:sz w:val="32"/>
          <w:szCs w:val="32"/>
        </w:rPr>
        <w:t>(</w:t>
      </w:r>
      <w:r>
        <w:rPr>
          <w:rFonts w:hint="eastAsia" w:ascii="仿宋_GB2312" w:eastAsia="仿宋_GB2312"/>
          <w:color w:val="000000"/>
          <w:sz w:val="32"/>
          <w:szCs w:val="32"/>
        </w:rPr>
        <w:t>执行公务、开展业务活动开支的交通费、住宿费、用餐费等</w:t>
      </w:r>
      <w:r>
        <w:rPr>
          <w:rFonts w:ascii="仿宋_GB2312" w:eastAsia="仿宋_GB2312"/>
          <w:color w:val="000000"/>
          <w:sz w:val="32"/>
          <w:szCs w:val="32"/>
        </w:rPr>
        <w:t>)</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161</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0.89</w:t>
      </w:r>
      <w:r>
        <w:rPr>
          <w:rFonts w:hint="eastAsia" w:ascii="仿宋_GB2312" w:eastAsia="仿宋_GB2312"/>
          <w:color w:val="000000"/>
          <w:sz w:val="32"/>
          <w:szCs w:val="32"/>
        </w:rPr>
        <w:t>万元。</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b w:val="0"/>
          <w:bCs/>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本年度无外事接待。</w:t>
      </w:r>
    </w:p>
    <w:p>
      <w:pPr>
        <w:spacing w:line="600" w:lineRule="exact"/>
        <w:ind w:firstLine="640" w:firstLineChars="200"/>
        <w:outlineLvl w:val="1"/>
        <w:rPr>
          <w:rStyle w:val="27"/>
          <w:rFonts w:ascii="黑体" w:hAnsi="黑体" w:eastAsia="黑体"/>
        </w:rPr>
      </w:pPr>
      <w:bookmarkStart w:id="78" w:name="_Toc15396610"/>
      <w:bookmarkStart w:id="79" w:name="_Toc15377218"/>
      <w:bookmarkStart w:id="80" w:name="_Toc79163622"/>
      <w:bookmarkStart w:id="81" w:name="_Toc79163872"/>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78"/>
      <w:bookmarkEnd w:id="79"/>
      <w:bookmarkEnd w:id="80"/>
      <w:bookmarkEnd w:id="81"/>
    </w:p>
    <w:p>
      <w:pPr>
        <w:spacing w:line="600" w:lineRule="exact"/>
        <w:ind w:firstLine="640"/>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7"/>
          <w:rFonts w:ascii="黑体" w:hAnsi="黑体" w:eastAsia="黑体"/>
          <w:b w:val="0"/>
        </w:rPr>
      </w:pPr>
      <w:bookmarkStart w:id="82" w:name="_Toc15377219"/>
      <w:bookmarkStart w:id="83" w:name="_Toc15396611"/>
      <w:bookmarkStart w:id="84" w:name="_Toc79163623"/>
      <w:bookmarkStart w:id="85" w:name="_Toc79163873"/>
      <w:r>
        <w:rPr>
          <w:rStyle w:val="27"/>
          <w:rFonts w:hint="eastAsia" w:ascii="黑体" w:hAnsi="黑体" w:eastAsia="黑体"/>
          <w:b w:val="0"/>
        </w:rPr>
        <w:t>国有资本经营预算支出决算情况说明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rPr>
      </w:pPr>
      <w:bookmarkStart w:id="86" w:name="_Toc15396612"/>
      <w:bookmarkStart w:id="87" w:name="_Toc15377221"/>
      <w:bookmarkStart w:id="88" w:name="_Toc79163624"/>
      <w:bookmarkStart w:id="89" w:name="_Toc79163874"/>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86"/>
      <w:bookmarkEnd w:id="87"/>
      <w:bookmarkEnd w:id="88"/>
      <w:bookmarkEnd w:id="89"/>
    </w:p>
    <w:p>
      <w:pPr>
        <w:spacing w:line="600" w:lineRule="exact"/>
        <w:ind w:firstLine="643" w:firstLineChars="200"/>
        <w:outlineLvl w:val="2"/>
        <w:rPr>
          <w:rFonts w:ascii="仿宋" w:hAnsi="仿宋" w:eastAsia="仿宋"/>
          <w:color w:val="000000"/>
          <w:sz w:val="32"/>
          <w:szCs w:val="32"/>
        </w:rPr>
      </w:pPr>
      <w:bookmarkStart w:id="90" w:name="_Toc15377222"/>
      <w:bookmarkStart w:id="91" w:name="_Toc79163625"/>
      <w:bookmarkStart w:id="92" w:name="_Toc79163875"/>
      <w:r>
        <w:rPr>
          <w:rFonts w:hint="eastAsia" w:ascii="仿宋" w:hAnsi="仿宋" w:eastAsia="仿宋"/>
          <w:b/>
          <w:color w:val="000000"/>
          <w:sz w:val="32"/>
          <w:szCs w:val="32"/>
        </w:rPr>
        <w:t>（一）机关运行经费支出情况</w:t>
      </w:r>
      <w:bookmarkEnd w:id="90"/>
      <w:bookmarkEnd w:id="91"/>
      <w:bookmarkEnd w:id="9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政协</w:t>
      </w:r>
      <w:r>
        <w:rPr>
          <w:rFonts w:hint="eastAsia" w:ascii="仿宋_GB2312" w:eastAsia="仿宋_GB2312"/>
          <w:color w:val="000000"/>
          <w:sz w:val="32"/>
          <w:szCs w:val="32"/>
        </w:rPr>
        <w:t>机关</w:t>
      </w:r>
      <w:r>
        <w:rPr>
          <w:rFonts w:hint="eastAsia" w:ascii="仿宋_GB2312" w:eastAsia="仿宋_GB2312"/>
          <w:color w:val="000000"/>
          <w:sz w:val="32"/>
          <w:szCs w:val="32"/>
          <w:lang w:val="en-US" w:eastAsia="zh-CN"/>
        </w:rPr>
        <w:t>(含工商联、佛协)</w:t>
      </w:r>
      <w:r>
        <w:rPr>
          <w:rFonts w:hint="eastAsia" w:ascii="仿宋_GB2312" w:eastAsia="仿宋_GB2312"/>
          <w:color w:val="000000"/>
          <w:sz w:val="32"/>
          <w:szCs w:val="32"/>
        </w:rPr>
        <w:t>运行经费支出</w:t>
      </w:r>
      <w:r>
        <w:rPr>
          <w:rFonts w:hint="eastAsia" w:ascii="仿宋_GB2312" w:eastAsia="仿宋_GB2312"/>
          <w:color w:val="000000"/>
          <w:sz w:val="32"/>
          <w:szCs w:val="32"/>
          <w:lang w:val="en-US" w:eastAsia="zh-CN"/>
        </w:rPr>
        <w:t>683.86</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200.78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29.36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工作任务重，事情增加，运行经费增加。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3" w:name="_Toc15377223"/>
      <w:bookmarkStart w:id="94" w:name="_Toc79163626"/>
      <w:bookmarkStart w:id="95" w:name="_Toc79163876"/>
      <w:r>
        <w:rPr>
          <w:rFonts w:hint="eastAsia" w:ascii="仿宋" w:hAnsi="仿宋" w:eastAsia="仿宋"/>
          <w:b/>
          <w:color w:val="000000"/>
          <w:sz w:val="32"/>
          <w:szCs w:val="32"/>
        </w:rPr>
        <w:t>（二）政府采购支出情况</w:t>
      </w:r>
      <w:bookmarkEnd w:id="93"/>
      <w:bookmarkEnd w:id="94"/>
      <w:bookmarkEnd w:id="95"/>
    </w:p>
    <w:p>
      <w:pPr>
        <w:spacing w:line="600" w:lineRule="exact"/>
        <w:ind w:firstLine="640" w:firstLineChars="200"/>
        <w:rPr>
          <w:rFonts w:hint="eastAsia" w:ascii="仿宋_GB2312" w:hAnsi="仿宋_GB2312" w:eastAsia="仿宋_GB2312" w:cs="仿宋_GB2312"/>
          <w:b/>
          <w:color w:val="FF0000"/>
          <w:sz w:val="32"/>
          <w:szCs w:val="32"/>
          <w:lang w:val="en-US" w:eastAsia="zh-CN"/>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政协机关</w:t>
      </w:r>
      <w:r>
        <w:rPr>
          <w:rFonts w:hint="eastAsia" w:ascii="仿宋_GB2312" w:hAnsi="仿宋_GB2312" w:eastAsia="仿宋_GB2312" w:cs="仿宋_GB2312"/>
          <w:color w:val="000000"/>
          <w:sz w:val="32"/>
          <w:szCs w:val="32"/>
        </w:rPr>
        <w:t>政府采购支出总额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万元，其中：政府采购货物支出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万元、政府采购工程支出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万元、政府采购服务支出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万元。授予中小企业合同金额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%，其中：授予小微企业合同金额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6" w:name="_Toc15377224"/>
      <w:bookmarkStart w:id="97" w:name="_Toc79163627"/>
      <w:bookmarkStart w:id="98" w:name="_Toc79163877"/>
      <w:r>
        <w:rPr>
          <w:rFonts w:hint="eastAsia" w:ascii="仿宋" w:hAnsi="仿宋" w:eastAsia="仿宋"/>
          <w:b/>
          <w:color w:val="000000"/>
          <w:sz w:val="32"/>
          <w:szCs w:val="32"/>
        </w:rPr>
        <w:t>（三）国有资产占有使用情况</w:t>
      </w:r>
      <w:bookmarkEnd w:id="96"/>
      <w:bookmarkEnd w:id="97"/>
      <w:bookmarkEnd w:id="9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九寨沟县政协、九寨沟县工商联、九寨沟县佛协</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9" w:name="_Toc79163628"/>
      <w:bookmarkStart w:id="100" w:name="_Toc79163878"/>
      <w:r>
        <w:rPr>
          <w:rFonts w:hint="eastAsia" w:ascii="仿宋" w:hAnsi="仿宋" w:eastAsia="仿宋"/>
          <w:b/>
          <w:color w:val="000000"/>
          <w:sz w:val="32"/>
          <w:szCs w:val="32"/>
        </w:rPr>
        <w:t>（四）预算绩效管理情况。</w:t>
      </w:r>
      <w:bookmarkEnd w:id="99"/>
      <w:bookmarkEnd w:id="10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pStyle w:val="8"/>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年部门整体支出开展绩效自评，从评价情况来看完成了20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年重点工作，逐步完善了整体协商、专题协商、对口协商、界别协商、提案办理协商的协商层次和协商格局，使协商议政的成效更加显著。</w:t>
      </w:r>
      <w:r>
        <w:rPr>
          <w:rFonts w:hint="eastAsia" w:ascii="仿宋_GB2312" w:hAnsi="仿宋_GB2312" w:eastAsia="仿宋_GB2312" w:cs="仿宋_GB2312"/>
          <w:b w:val="0"/>
          <w:bCs w:val="0"/>
          <w:color w:val="000000"/>
          <w:kern w:val="2"/>
          <w:sz w:val="32"/>
          <w:szCs w:val="32"/>
          <w:lang w:val="en-US" w:eastAsia="zh-CN" w:bidi="ar-SA"/>
        </w:rPr>
        <w:t>今年是中国共产党成立100周年，也是“十四五”规划开局之年，县政协坚持与县委、县政府同频共振，组织引导广大政协委员和干部职工，积极投身“三地一典范”建设大局，为加快我县经济社会发展贡献智慧和力量。</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firstLine="640" w:firstLineChars="200"/>
        <w:textAlignment w:val="auto"/>
        <w:rPr>
          <w:rFonts w:hint="default" w:ascii="仿宋_GB2312" w:eastAsia="仿宋_GB2312" w:hAnsiTheme="minorEastAsia"/>
          <w:color w:val="333333"/>
          <w:sz w:val="32"/>
          <w:szCs w:val="32"/>
          <w:shd w:val="clear" w:color="auto" w:fill="FBFBFB"/>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组织各专委会先后开展了“</w:t>
      </w:r>
      <w:r>
        <w:rPr>
          <w:rFonts w:hint="eastAsia" w:ascii="仿宋_GB2312" w:hAnsi="仿宋_GB2312" w:eastAsia="仿宋_GB2312" w:cs="仿宋_GB2312"/>
          <w:color w:val="000000" w:themeColor="text1"/>
          <w:sz w:val="32"/>
          <w:szCs w:val="32"/>
          <w14:textFill>
            <w14:solidFill>
              <w14:schemeClr w14:val="tx1"/>
            </w14:solidFill>
          </w14:textFill>
        </w:rPr>
        <w:t>全域旅游产业发展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”“宜居县城建设”“乡村振兴”等协商议政活动，</w:t>
      </w:r>
      <w:r>
        <w:rPr>
          <w:rFonts w:hint="eastAsia" w:ascii="仿宋_GB2312" w:hAnsi="仿宋_GB2312" w:eastAsia="仿宋_GB2312" w:cs="仿宋_GB2312"/>
          <w:b w:val="0"/>
          <w:bCs w:val="0"/>
          <w:color w:val="000000"/>
          <w:kern w:val="2"/>
          <w:sz w:val="32"/>
          <w:szCs w:val="32"/>
          <w:lang w:val="en-US" w:eastAsia="zh-CN" w:bidi="ar-SA"/>
        </w:rPr>
        <w:t>持续开展“生态保护委员在行动”“我为全域旅游做件事”等活动，宣传文化旅游、生态保护等政策法规500余人次，参与环境治理、创建国家级文明城市志愿服务700余人次、委员植树1600余株。2、持续助力巩固脱贫助推乡村振兴，持续深化“两联一进”活动，在政协系统内部全面启动“助力巩固脱贫、助推乡村振兴”双助活动。全体机关党员干部，常态化走访联系乡镇村（社区）群众、寺庙僧尼，扎实推进“我为群众办实事”实践活动走深走实、见到实效，2021年至今共帮助协调解决困难群众具体问题和诉求30余件，捐助和协调解决资金、物资3万余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lang w:val="en-US" w:eastAsia="zh-CN"/>
        </w:rPr>
        <w:t>获全州民族团结进步示范机关和“两联一进”先进集体称号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扎</w:t>
      </w:r>
      <w:r>
        <w:rPr>
          <w:rFonts w:hint="eastAsia" w:ascii="仿宋_GB2312" w:hAnsi="仿宋_GB2312" w:eastAsia="仿宋_GB2312" w:cs="仿宋_GB2312"/>
          <w:b w:val="0"/>
          <w:bCs w:val="0"/>
          <w:color w:val="000000"/>
          <w:kern w:val="2"/>
          <w:sz w:val="32"/>
          <w:szCs w:val="32"/>
          <w:lang w:val="en-US" w:eastAsia="zh-CN" w:bidi="ar-SA"/>
        </w:rPr>
        <w:t>实履行联系企业职责，先后走访企业50余家次，走访困难群众530余户，搜集群众诉求和企业建议230余条，帮助协调解决物资短缺、营销渠道不畅等具体问题150余个，着力推动重点企业和县域经济高质量发展。2021年，获县委县政府疫情防控先进集体称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kern w:val="2"/>
          <w:sz w:val="32"/>
          <w:szCs w:val="32"/>
          <w:lang w:val="en-US" w:eastAsia="zh-CN" w:bidi="ar-SA"/>
        </w:rPr>
        <w:t>常态化开展疫情防控工作情况进行监督性视察。机关干部职工和委员接种新冠疫苗达到全覆盖。2021年，获县委县政府疫情防控先进集体称号。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本部门无专项预算项目，因此未组织开展</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支出绩效评价。</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2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hint="default" w:ascii="宋体" w:eastAsia="宋体" w:cs="宋体"/>
                <w:color w:val="000000"/>
                <w:sz w:val="36"/>
                <w:szCs w:val="36"/>
                <w:lang w:val="en-US" w:eastAsia="zh-CN"/>
              </w:rPr>
            </w:pPr>
            <w:r>
              <w:rPr>
                <w:rFonts w:hint="eastAsia" w:ascii="宋体" w:cs="宋体"/>
                <w:b/>
                <w:bCs/>
                <w:color w:val="000000"/>
                <w:kern w:val="0"/>
                <w:sz w:val="36"/>
                <w:szCs w:val="36"/>
                <w:lang w:val="en-US" w:eastAsia="zh-CN" w:bidi="ar"/>
              </w:rPr>
              <w:t xml:space="preserve">               </w:t>
            </w: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r>
              <w:rPr>
                <w:rFonts w:hint="eastAsia" w:ascii="宋体" w:hAnsi="宋体" w:cs="宋体"/>
                <w:color w:val="000000"/>
                <w:kern w:val="0"/>
                <w:sz w:val="36"/>
                <w:szCs w:val="36"/>
                <w:lang w:val="en-US" w:eastAsia="zh-CN" w:bidi="ar"/>
              </w:rPr>
              <w:t xml:space="preserve">      此表无内容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bl>
    <w:p>
      <w:pPr>
        <w:spacing w:line="580" w:lineRule="exact"/>
        <w:ind w:left="63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九寨沟县政协委员会办公室</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年部门整体支出绩效评价报告》见附件。</w:t>
      </w:r>
    </w:p>
    <w:p>
      <w:pPr>
        <w:spacing w:line="580"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6"/>
          <w:rFonts w:ascii="黑体" w:hAnsi="黑体" w:eastAsia="黑体"/>
          <w:b w:val="0"/>
        </w:rPr>
      </w:pPr>
      <w:bookmarkStart w:id="101" w:name="_Toc15396613"/>
      <w:bookmarkStart w:id="102" w:name="_Toc15377225"/>
      <w:bookmarkStart w:id="103" w:name="_Toc79163629"/>
      <w:bookmarkStart w:id="104" w:name="_Toc79163879"/>
      <w:r>
        <w:rPr>
          <w:rFonts w:hint="eastAsia" w:ascii="黑体" w:hAnsi="黑体" w:eastAsia="黑体"/>
          <w:color w:val="000000"/>
          <w:sz w:val="44"/>
          <w:szCs w:val="44"/>
        </w:rPr>
        <w:t>名</w:t>
      </w:r>
      <w:r>
        <w:rPr>
          <w:rStyle w:val="26"/>
          <w:rFonts w:hint="eastAsia" w:ascii="黑体" w:hAnsi="黑体" w:eastAsia="黑体"/>
          <w:b w:val="0"/>
        </w:rPr>
        <w:t>词解释</w:t>
      </w:r>
      <w:bookmarkEnd w:id="101"/>
      <w:bookmarkEnd w:id="102"/>
      <w:bookmarkEnd w:id="103"/>
      <w:bookmarkEnd w:id="104"/>
    </w:p>
    <w:p>
      <w:pPr>
        <w:spacing w:line="600" w:lineRule="exact"/>
        <w:jc w:val="left"/>
        <w:rPr>
          <w:rFonts w:ascii="宋体"/>
          <w:b/>
          <w:color w:val="000000"/>
          <w:sz w:val="44"/>
          <w:szCs w:val="44"/>
        </w:rPr>
      </w:pPr>
    </w:p>
    <w:p>
      <w:pPr>
        <w:pStyle w:val="3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hAnsi="宋体" w:eastAsia="仿宋_GB2312"/>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一般公共服务（201）政协事务（02）行政事务（01）：</w:t>
      </w:r>
      <w:r>
        <w:rPr>
          <w:rFonts w:hint="eastAsia" w:ascii="仿宋_GB2312" w:hAnsi="宋体" w:eastAsia="仿宋_GB2312"/>
          <w:color w:val="000000"/>
          <w:sz w:val="32"/>
          <w:szCs w:val="32"/>
        </w:rPr>
        <w:t>指政协机关</w:t>
      </w:r>
      <w:r>
        <w:rPr>
          <w:rFonts w:hint="eastAsia" w:ascii="仿宋_GB2312" w:hAnsi="宋体" w:eastAsia="仿宋_GB2312"/>
          <w:sz w:val="32"/>
          <w:szCs w:val="32"/>
        </w:rPr>
        <w:t>人员工资、日常运转以及为完成财政特定行政工作任务和事业发展目标而安排年度项目支出，主要包括办公费、培训费、邮电费、差旅费、会议费、公务用车运行维护费等方面支出。</w:t>
      </w:r>
    </w:p>
    <w:p>
      <w:pPr>
        <w:spacing w:line="580" w:lineRule="exact"/>
        <w:ind w:firstLine="640" w:firstLineChars="200"/>
        <w:rPr>
          <w:rFonts w:ascii="宋体" w:hAnsi="宋体"/>
          <w:sz w:val="32"/>
          <w:szCs w:val="32"/>
        </w:rPr>
      </w:pPr>
      <w:r>
        <w:rPr>
          <w:rFonts w:hint="eastAsia" w:ascii="仿宋_GB2312" w:hAnsi="宋体" w:eastAsia="仿宋_GB2312"/>
          <w:sz w:val="32"/>
          <w:szCs w:val="32"/>
        </w:rPr>
        <w:t>10.一般公共服务</w:t>
      </w:r>
      <w:r>
        <w:rPr>
          <w:rFonts w:hint="eastAsia" w:ascii="仿宋_GB2312" w:eastAsia="仿宋_GB2312"/>
          <w:color w:val="000000"/>
          <w:sz w:val="32"/>
          <w:szCs w:val="32"/>
        </w:rPr>
        <w:t>（201）民主党派及工商联事务（28）行政运行（01）：</w:t>
      </w:r>
      <w:r>
        <w:rPr>
          <w:rFonts w:hint="eastAsia" w:ascii="仿宋_GB2312" w:hAnsi="宋体" w:eastAsia="仿宋_GB2312"/>
          <w:color w:val="000000"/>
          <w:sz w:val="32"/>
          <w:szCs w:val="32"/>
        </w:rPr>
        <w:t>指工商联、佛协</w:t>
      </w:r>
      <w:r>
        <w:rPr>
          <w:rFonts w:hint="eastAsia" w:ascii="仿宋_GB2312" w:hAnsi="宋体" w:eastAsia="仿宋_GB2312"/>
          <w:sz w:val="32"/>
          <w:szCs w:val="32"/>
        </w:rPr>
        <w:t>人员工资、日常运转以及为完成财政特定行政工作任务和事业发展目标而安排年度项目支出，主要包括办公费、培训费、邮电费、差旅费、会议费、公务用车运行维护费等方面支出</w:t>
      </w:r>
      <w:r>
        <w:rPr>
          <w:rFonts w:hint="eastAsia" w:ascii="宋体" w:hAnsi="宋体"/>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hAnsi="宋体" w:eastAsia="仿宋_GB2312"/>
          <w:sz w:val="32"/>
          <w:szCs w:val="32"/>
          <w:shd w:val="clear" w:color="auto" w:fill="FFFFFF"/>
        </w:rPr>
        <w:t xml:space="preserve"> 社会保障和就业(208)行政事业单位离退休(05)</w:t>
      </w:r>
      <w:r>
        <w:rPr>
          <w:rFonts w:hint="eastAsia" w:ascii="仿宋_GB2312" w:hAnsi="宋体" w:eastAsia="仿宋_GB2312"/>
          <w:sz w:val="32"/>
          <w:szCs w:val="32"/>
        </w:rPr>
        <w:t xml:space="preserve"> </w:t>
      </w:r>
      <w:r>
        <w:rPr>
          <w:rFonts w:hint="eastAsia" w:ascii="仿宋_GB2312" w:hAnsi="宋体" w:eastAsia="仿宋_GB2312"/>
          <w:sz w:val="32"/>
          <w:szCs w:val="32"/>
          <w:shd w:val="clear" w:color="auto" w:fill="FFFFFF"/>
        </w:rPr>
        <w:t>机关事业单位基本养老保险缴费(05)：指实施养老保险制度后，部门按规定由单位缴纳的基本养老保险费支出。</w:t>
      </w:r>
    </w:p>
    <w:p>
      <w:pPr>
        <w:spacing w:line="580" w:lineRule="exact"/>
        <w:ind w:firstLine="640" w:firstLineChars="200"/>
        <w:rPr>
          <w:rFonts w:ascii="宋体" w:hAnsi="宋体"/>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宋体" w:hAnsi="宋体"/>
          <w:sz w:val="32"/>
          <w:szCs w:val="32"/>
          <w:shd w:val="clear" w:color="auto" w:fill="FFFFFF"/>
        </w:rPr>
        <w:t xml:space="preserve"> </w:t>
      </w:r>
      <w:r>
        <w:rPr>
          <w:rFonts w:hint="eastAsia" w:ascii="仿宋_GB2312" w:hAnsi="宋体" w:eastAsia="仿宋_GB2312"/>
          <w:sz w:val="32"/>
          <w:szCs w:val="32"/>
          <w:shd w:val="clear" w:color="auto" w:fill="FFFFFF"/>
        </w:rPr>
        <w:t>医疗卫生与计划生育(210)医疗保障(11)行政单位医疗(01):指</w:t>
      </w:r>
      <w:r>
        <w:rPr>
          <w:rFonts w:hint="eastAsia" w:ascii="仿宋_GB2312" w:hAnsi="宋体" w:eastAsia="仿宋_GB2312"/>
          <w:sz w:val="32"/>
          <w:szCs w:val="32"/>
        </w:rPr>
        <w:t>按照规定标准为职工缴纳的基本医疗保险及公务员医疗补助等支出。</w:t>
      </w:r>
    </w:p>
    <w:p>
      <w:pPr>
        <w:spacing w:line="580" w:lineRule="exact"/>
        <w:ind w:firstLine="640" w:firstLineChars="200"/>
        <w:rPr>
          <w:rFonts w:ascii="仿宋_GB2312" w:hAnsi="宋体" w:eastAsia="仿宋_GB2312"/>
          <w:b/>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hint="eastAsia" w:ascii="宋体" w:hAnsi="宋体"/>
          <w:sz w:val="32"/>
          <w:szCs w:val="32"/>
        </w:rPr>
        <w:t>.</w:t>
      </w:r>
      <w:r>
        <w:rPr>
          <w:rStyle w:val="24"/>
          <w:rFonts w:hint="eastAsia" w:ascii="仿宋_GB2312" w:hAnsi="宋体" w:eastAsia="仿宋_GB2312"/>
          <w:b w:val="0"/>
          <w:color w:val="000000"/>
          <w:sz w:val="32"/>
          <w:szCs w:val="32"/>
        </w:rPr>
        <w:t>住房保障</w:t>
      </w:r>
      <w:r>
        <w:rPr>
          <w:rFonts w:hint="eastAsia" w:ascii="仿宋_GB2312" w:hAnsi="宋体" w:eastAsia="仿宋_GB2312"/>
          <w:sz w:val="32"/>
          <w:szCs w:val="32"/>
          <w:shd w:val="clear" w:color="auto" w:fill="FFFFFF"/>
        </w:rPr>
        <w:t>(221)住房改革(02)住房公积金(01)</w:t>
      </w:r>
      <w:r>
        <w:rPr>
          <w:rStyle w:val="24"/>
          <w:rFonts w:hint="eastAsia" w:ascii="仿宋_GB2312" w:hAnsi="宋体" w:eastAsia="仿宋_GB2312"/>
          <w:b w:val="0"/>
          <w:color w:val="000000"/>
          <w:sz w:val="32"/>
          <w:szCs w:val="32"/>
        </w:rPr>
        <w:t>：指</w:t>
      </w:r>
      <w:r>
        <w:rPr>
          <w:rFonts w:hint="eastAsia" w:ascii="仿宋_GB2312" w:hAnsi="宋体" w:eastAsia="仿宋_GB2312"/>
          <w:sz w:val="32"/>
          <w:szCs w:val="32"/>
        </w:rPr>
        <w:t>按照规定标准为职工缴纳住房公积金等支出。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b/>
          <w:color w:val="000000"/>
          <w:sz w:val="32"/>
          <w:szCs w:val="32"/>
        </w:rPr>
      </w:pPr>
    </w:p>
    <w:p>
      <w:pPr>
        <w:spacing w:line="600" w:lineRule="exact"/>
        <w:jc w:val="center"/>
        <w:outlineLvl w:val="0"/>
        <w:rPr>
          <w:rStyle w:val="26"/>
          <w:rFonts w:ascii="黑体" w:hAnsi="黑体" w:eastAsia="黑体"/>
          <w:b w:val="0"/>
        </w:rPr>
      </w:pPr>
      <w:bookmarkStart w:id="105" w:name="_Toc15377226"/>
      <w:r>
        <w:rPr>
          <w:rFonts w:ascii="宋体"/>
          <w:b/>
          <w:color w:val="000000"/>
          <w:sz w:val="44"/>
          <w:szCs w:val="44"/>
        </w:rPr>
        <w:br w:type="page"/>
      </w:r>
      <w:bookmarkStart w:id="106" w:name="_Toc15396614"/>
      <w:bookmarkStart w:id="107" w:name="_Toc79163630"/>
      <w:bookmarkStart w:id="108" w:name="_Toc79163880"/>
      <w:r>
        <w:rPr>
          <w:rFonts w:hint="eastAsia" w:ascii="黑体" w:hAnsi="黑体" w:eastAsia="黑体"/>
          <w:color w:val="000000"/>
          <w:sz w:val="44"/>
          <w:szCs w:val="44"/>
        </w:rPr>
        <w:t>第</w:t>
      </w:r>
      <w:r>
        <w:rPr>
          <w:rStyle w:val="26"/>
          <w:rFonts w:hint="eastAsia" w:ascii="黑体" w:hAnsi="黑体" w:eastAsia="黑体"/>
          <w:b w:val="0"/>
        </w:rPr>
        <w:t>四部分</w:t>
      </w:r>
      <w:r>
        <w:rPr>
          <w:rStyle w:val="26"/>
          <w:rFonts w:ascii="黑体" w:hAnsi="黑体" w:eastAsia="黑体"/>
          <w:b w:val="0"/>
        </w:rPr>
        <w:t xml:space="preserve"> </w:t>
      </w:r>
      <w:r>
        <w:rPr>
          <w:rStyle w:val="26"/>
          <w:rFonts w:hint="eastAsia" w:ascii="黑体" w:hAnsi="黑体" w:eastAsia="黑体"/>
          <w:b w:val="0"/>
        </w:rPr>
        <w:t>附件</w:t>
      </w:r>
      <w:bookmarkEnd w:id="106"/>
      <w:bookmarkEnd w:id="107"/>
      <w:bookmarkEnd w:id="108"/>
    </w:p>
    <w:p>
      <w:pPr>
        <w:spacing w:line="600" w:lineRule="exact"/>
        <w:jc w:val="left"/>
        <w:outlineLvl w:val="0"/>
        <w:rPr>
          <w:rFonts w:ascii="方正小标宋简体" w:hAnsi="方正小标宋简体" w:eastAsia="方正小标宋简体" w:cs="方正小标宋简体"/>
          <w:sz w:val="32"/>
          <w:szCs w:val="32"/>
        </w:rPr>
      </w:pPr>
      <w:bookmarkStart w:id="109" w:name="_Toc79163631"/>
      <w:bookmarkStart w:id="110" w:name="_Toc79163881"/>
      <w:r>
        <w:rPr>
          <w:rFonts w:hint="eastAsia" w:ascii="黑体" w:hAnsi="黑体" w:eastAsia="黑体" w:cs="黑体"/>
          <w:sz w:val="32"/>
          <w:szCs w:val="32"/>
        </w:rPr>
        <w:t>附件</w:t>
      </w:r>
      <w:r>
        <w:rPr>
          <w:rFonts w:ascii="黑体" w:hAnsi="黑体" w:eastAsia="黑体" w:cs="黑体"/>
          <w:sz w:val="32"/>
          <w:szCs w:val="32"/>
        </w:rPr>
        <w:t>1</w:t>
      </w:r>
      <w:bookmarkEnd w:id="109"/>
      <w:bookmarkEnd w:id="11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黑体" w:eastAsia="方正小标宋简体" w:cs="黑体"/>
          <w:sz w:val="44"/>
          <w:szCs w:val="44"/>
        </w:rPr>
      </w:pPr>
      <w:bookmarkStart w:id="111" w:name="_Toc79163632"/>
      <w:bookmarkStart w:id="112" w:name="_Toc79163882"/>
      <w:r>
        <w:rPr>
          <w:rFonts w:hint="eastAsia" w:ascii="方正小标宋简体" w:hAnsi="黑体" w:eastAsia="方正小标宋简体" w:cs="黑体"/>
          <w:sz w:val="44"/>
          <w:szCs w:val="44"/>
          <w:lang w:eastAsia="zh-CN"/>
        </w:rPr>
        <w:t>九寨沟县政协委员会办公室</w:t>
      </w:r>
      <w:r>
        <w:rPr>
          <w:rFonts w:ascii="方正小标宋简体" w:hAnsi="黑体" w:eastAsia="方正小标宋简体" w:cs="黑体"/>
          <w:sz w:val="44"/>
          <w:szCs w:val="44"/>
        </w:rPr>
        <w:t>202</w:t>
      </w:r>
      <w:r>
        <w:rPr>
          <w:rFonts w:hint="eastAsia" w:ascii="方正小标宋简体" w:hAnsi="黑体" w:eastAsia="方正小标宋简体" w:cs="黑体"/>
          <w:sz w:val="44"/>
          <w:szCs w:val="44"/>
          <w:lang w:val="en-US" w:eastAsia="zh-CN"/>
        </w:rPr>
        <w:t>1</w:t>
      </w:r>
      <w:r>
        <w:rPr>
          <w:rFonts w:hint="eastAsia" w:ascii="方正小标宋简体" w:hAnsi="黑体" w:eastAsia="方正小标宋简体" w:cs="黑体"/>
          <w:sz w:val="44"/>
          <w:szCs w:val="44"/>
        </w:rPr>
        <w:t>年部门整体支出绩效评价报告</w:t>
      </w:r>
      <w:bookmarkEnd w:id="111"/>
      <w:bookmarkEnd w:id="112"/>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76" w:lineRule="exact"/>
        <w:ind w:firstLine="640" w:firstLineChars="200"/>
        <w:rPr>
          <w:rFonts w:hint="default" w:ascii="仿宋_GB2312" w:hAnsi="宋体" w:eastAsia="仿宋_GB2312"/>
          <w:sz w:val="32"/>
          <w:szCs w:val="32"/>
          <w:lang w:val="en-US" w:eastAsia="zh-CN"/>
        </w:rPr>
      </w:pPr>
      <w:r>
        <w:rPr>
          <w:rFonts w:ascii="仿宋" w:hAnsi="仿宋" w:eastAsia="仿宋" w:cs="仿宋_GB2312"/>
          <w:sz w:val="32"/>
          <w:szCs w:val="32"/>
        </w:rPr>
        <w:t>（一）机构组成。</w:t>
      </w:r>
      <w:r>
        <w:rPr>
          <w:rFonts w:hint="eastAsia" w:ascii="仿宋_GB2312" w:hAnsi="宋体" w:eastAsia="仿宋_GB2312"/>
          <w:sz w:val="32"/>
          <w:szCs w:val="32"/>
        </w:rPr>
        <w:t>县政协机关为行政单位，根据三定方案，机关内设机构编制数</w:t>
      </w:r>
      <w:r>
        <w:rPr>
          <w:rFonts w:hint="eastAsia" w:ascii="仿宋_GB2312" w:hAnsi="宋体" w:eastAsia="仿宋_GB2312"/>
          <w:sz w:val="32"/>
          <w:szCs w:val="32"/>
          <w:lang w:val="en-US" w:eastAsia="zh-CN"/>
        </w:rPr>
        <w:t>5</w:t>
      </w:r>
      <w:r>
        <w:rPr>
          <w:rFonts w:hint="eastAsia" w:ascii="仿宋_GB2312" w:hAnsi="宋体" w:eastAsia="仿宋_GB2312"/>
          <w:sz w:val="32"/>
          <w:szCs w:val="32"/>
        </w:rPr>
        <w:t>个：3委</w:t>
      </w:r>
      <w:r>
        <w:rPr>
          <w:rFonts w:hint="eastAsia" w:ascii="仿宋_GB2312" w:hAnsi="宋体" w:eastAsia="仿宋_GB2312"/>
          <w:sz w:val="32"/>
          <w:szCs w:val="32"/>
          <w:lang w:val="en-US" w:eastAsia="zh-CN"/>
        </w:rPr>
        <w:t>2</w:t>
      </w:r>
      <w:r>
        <w:rPr>
          <w:rFonts w:hint="eastAsia" w:ascii="仿宋_GB2312" w:hAnsi="宋体" w:eastAsia="仿宋_GB2312"/>
          <w:sz w:val="32"/>
          <w:szCs w:val="32"/>
        </w:rPr>
        <w:t>室（提案社会工作委员会；经济教育卫生委员会；文史、民族宗教委员会；综合办公室</w:t>
      </w:r>
      <w:r>
        <w:rPr>
          <w:rFonts w:hint="eastAsia" w:ascii="仿宋_GB2312" w:hAnsi="宋体" w:eastAsia="仿宋_GB2312"/>
          <w:sz w:val="32"/>
          <w:szCs w:val="32"/>
          <w:lang w:eastAsia="zh-CN"/>
        </w:rPr>
        <w:t>、委员联络室</w:t>
      </w:r>
      <w:r>
        <w:rPr>
          <w:rFonts w:hint="eastAsia" w:ascii="仿宋_GB2312" w:hAnsi="宋体" w:eastAsia="仿宋_GB2312"/>
          <w:sz w:val="32"/>
          <w:szCs w:val="32"/>
        </w:rPr>
        <w:t>），机关核定行政编制人数为15人，其中：行政编制13个，行政工勤编制数为2人</w:t>
      </w:r>
      <w:r>
        <w:rPr>
          <w:rFonts w:hint="eastAsia" w:ascii="仿宋_GB2312" w:hAnsi="宋体" w:eastAsia="仿宋_GB2312"/>
          <w:sz w:val="32"/>
          <w:szCs w:val="32"/>
          <w:lang w:eastAsia="zh-CN"/>
        </w:rPr>
        <w:t>，事业管理人员编制</w:t>
      </w:r>
      <w:r>
        <w:rPr>
          <w:rFonts w:hint="eastAsia" w:ascii="仿宋_GB2312" w:hAnsi="宋体" w:eastAsia="仿宋_GB2312"/>
          <w:sz w:val="32"/>
          <w:szCs w:val="32"/>
          <w:lang w:val="en-US" w:eastAsia="zh-CN"/>
        </w:rPr>
        <w:t>2人。</w:t>
      </w:r>
    </w:p>
    <w:p>
      <w:pPr>
        <w:spacing w:line="580" w:lineRule="exact"/>
        <w:ind w:firstLine="640" w:firstLineChars="200"/>
        <w:rPr>
          <w:rFonts w:ascii="仿宋_GB2312" w:hAnsi="仿宋" w:eastAsia="仿宋_GB2312" w:cs="仿宋_GB2312"/>
          <w:sz w:val="32"/>
          <w:szCs w:val="32"/>
        </w:rPr>
      </w:pPr>
      <w:r>
        <w:rPr>
          <w:rFonts w:ascii="仿宋" w:hAnsi="仿宋" w:eastAsia="仿宋" w:cs="仿宋_GB2312"/>
          <w:sz w:val="32"/>
          <w:szCs w:val="32"/>
        </w:rPr>
        <w:t>（二）机构职能。</w:t>
      </w:r>
      <w:r>
        <w:rPr>
          <w:rFonts w:hint="eastAsia" w:ascii="仿宋_GB2312" w:eastAsia="仿宋_GB2312"/>
          <w:color w:val="333333"/>
          <w:sz w:val="32"/>
          <w:szCs w:val="32"/>
          <w:shd w:val="clear" w:color="auto" w:fill="FBFBFB"/>
        </w:rPr>
        <w:t>中国人民政治协商会议九寨沟县委员会是中共九寨沟县委员会领导的联系和团结全县各族各界人士的爱国统一战线组织和政治协商职能的重要机构</w:t>
      </w:r>
      <w:r>
        <w:rPr>
          <w:rFonts w:hint="eastAsia" w:ascii="仿宋_GB2312" w:eastAsia="仿宋_GB2312"/>
          <w:color w:val="000000"/>
          <w:sz w:val="32"/>
          <w:szCs w:val="32"/>
          <w:shd w:val="clear" w:color="auto" w:fill="FBFBFB"/>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r>
        <w:rPr>
          <w:rFonts w:hint="eastAsia" w:ascii="仿宋_GB2312" w:hAnsi="仿宋" w:eastAsia="仿宋_GB2312" w:cs="仿宋_GB2312"/>
          <w:sz w:val="32"/>
          <w:szCs w:val="32"/>
        </w:rPr>
        <w:t>截止20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年12月31日，政协机关、（包括工商联、佛协）</w:t>
      </w:r>
      <w:r>
        <w:rPr>
          <w:rFonts w:hint="eastAsia" w:ascii="仿宋_GB2312" w:hAnsi="宋体" w:eastAsia="仿宋_GB2312"/>
          <w:sz w:val="32"/>
          <w:szCs w:val="32"/>
        </w:rPr>
        <w:t>实有在职人数为2</w:t>
      </w:r>
      <w:r>
        <w:rPr>
          <w:rFonts w:hint="eastAsia" w:ascii="仿宋_GB2312" w:hAnsi="宋体" w:eastAsia="仿宋_GB2312"/>
          <w:sz w:val="32"/>
          <w:szCs w:val="32"/>
          <w:lang w:val="en-US" w:eastAsia="zh-CN"/>
        </w:rPr>
        <w:t>7</w:t>
      </w:r>
      <w:r>
        <w:rPr>
          <w:rFonts w:hint="eastAsia" w:ascii="仿宋_GB2312" w:hAnsi="宋体" w:eastAsia="仿宋_GB2312"/>
          <w:sz w:val="32"/>
          <w:szCs w:val="32"/>
        </w:rPr>
        <w:t>人，其中行政在职人数为2</w:t>
      </w:r>
      <w:r>
        <w:rPr>
          <w:rFonts w:hint="eastAsia" w:ascii="仿宋_GB2312" w:hAnsi="宋体" w:eastAsia="仿宋_GB2312"/>
          <w:sz w:val="32"/>
          <w:szCs w:val="32"/>
          <w:lang w:val="en-US" w:eastAsia="zh-CN"/>
        </w:rPr>
        <w:t>1</w:t>
      </w:r>
      <w:r>
        <w:rPr>
          <w:rFonts w:hint="eastAsia" w:ascii="仿宋_GB2312" w:hAnsi="宋体" w:eastAsia="仿宋_GB2312"/>
          <w:sz w:val="32"/>
          <w:szCs w:val="32"/>
        </w:rPr>
        <w:t>人，行政工勤在职人数为4人，</w:t>
      </w:r>
      <w:r>
        <w:rPr>
          <w:rFonts w:hint="eastAsia" w:ascii="仿宋_GB2312" w:hAnsi="宋体" w:eastAsia="仿宋_GB2312"/>
          <w:sz w:val="32"/>
          <w:szCs w:val="32"/>
          <w:lang w:eastAsia="zh-CN"/>
        </w:rPr>
        <w:t>事业管理</w:t>
      </w:r>
      <w:r>
        <w:rPr>
          <w:rFonts w:hint="eastAsia" w:ascii="仿宋_GB2312" w:hAnsi="宋体" w:eastAsia="仿宋_GB2312"/>
          <w:sz w:val="32"/>
          <w:szCs w:val="32"/>
          <w:lang w:val="en-US" w:eastAsia="zh-CN"/>
        </w:rPr>
        <w:t>1人，</w:t>
      </w:r>
      <w:r>
        <w:rPr>
          <w:rFonts w:hint="eastAsia" w:ascii="仿宋_GB2312" w:hAnsi="宋体" w:eastAsia="仿宋_GB2312"/>
          <w:sz w:val="32"/>
          <w:szCs w:val="32"/>
        </w:rPr>
        <w:t>编制内临时聘用人数为3人，离休人员1人，退休人员2</w:t>
      </w:r>
      <w:r>
        <w:rPr>
          <w:rFonts w:hint="eastAsia" w:ascii="仿宋_GB2312" w:hAnsi="宋体" w:eastAsia="仿宋_GB2312"/>
          <w:sz w:val="32"/>
          <w:szCs w:val="32"/>
          <w:lang w:val="en-US" w:eastAsia="zh-CN"/>
        </w:rPr>
        <w:t>7</w:t>
      </w:r>
      <w:r>
        <w:rPr>
          <w:rFonts w:hint="eastAsia" w:ascii="仿宋_GB2312" w:hAnsi="宋体" w:eastAsia="仿宋_GB2312"/>
          <w:sz w:val="32"/>
          <w:szCs w:val="32"/>
        </w:rPr>
        <w:t>人，遗属供养为</w:t>
      </w:r>
      <w:r>
        <w:rPr>
          <w:rFonts w:hint="eastAsia" w:ascii="仿宋_GB2312" w:hAnsi="宋体" w:eastAsia="仿宋_GB2312"/>
          <w:sz w:val="32"/>
          <w:szCs w:val="32"/>
          <w:lang w:val="en-US" w:eastAsia="zh-CN"/>
        </w:rPr>
        <w:t>4</w:t>
      </w:r>
      <w:r>
        <w:rPr>
          <w:rFonts w:hint="eastAsia" w:ascii="仿宋_GB2312" w:hAnsi="宋体" w:eastAsia="仿宋_GB2312"/>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_GB2312" w:hAnsi="Calibri" w:eastAsia="仿宋_GB2312"/>
          <w:sz w:val="32"/>
          <w:szCs w:val="32"/>
        </w:rPr>
      </w:pPr>
      <w:r>
        <w:rPr>
          <w:rFonts w:ascii="仿宋" w:hAnsi="仿宋" w:eastAsia="仿宋" w:cs="仿宋_GB2312"/>
          <w:sz w:val="32"/>
          <w:szCs w:val="32"/>
        </w:rPr>
        <w:t>（一）部门财政资金收入情况。</w:t>
      </w:r>
      <w:r>
        <w:rPr>
          <w:rFonts w:hint="eastAsia" w:ascii="仿宋_GB2312" w:hAnsi="Calibri" w:eastAsia="仿宋_GB2312"/>
          <w:sz w:val="32"/>
          <w:szCs w:val="32"/>
        </w:rPr>
        <w:t>20</w:t>
      </w:r>
      <w:r>
        <w:rPr>
          <w:rFonts w:hint="eastAsia" w:ascii="仿宋_GB2312" w:hAnsi="Calibri" w:eastAsia="仿宋_GB2312"/>
          <w:sz w:val="32"/>
          <w:szCs w:val="32"/>
          <w:lang w:val="en-US" w:eastAsia="zh-CN"/>
        </w:rPr>
        <w:t>21</w:t>
      </w:r>
      <w:r>
        <w:rPr>
          <w:rFonts w:hint="eastAsia" w:ascii="仿宋_GB2312" w:hAnsi="Calibri" w:eastAsia="仿宋_GB2312"/>
          <w:sz w:val="32"/>
          <w:szCs w:val="32"/>
        </w:rPr>
        <w:t>年本年</w:t>
      </w:r>
      <w:r>
        <w:rPr>
          <w:rFonts w:hint="eastAsia" w:ascii="仿宋_GB2312" w:hAnsi="Calibri" w:eastAsia="仿宋_GB2312"/>
          <w:sz w:val="32"/>
          <w:szCs w:val="32"/>
          <w:lang w:eastAsia="zh-CN"/>
        </w:rPr>
        <w:t>一般公共预算</w:t>
      </w:r>
      <w:r>
        <w:rPr>
          <w:rFonts w:hint="eastAsia" w:ascii="仿宋_GB2312" w:hAnsi="Calibri" w:eastAsia="仿宋_GB2312"/>
          <w:sz w:val="32"/>
          <w:szCs w:val="32"/>
        </w:rPr>
        <w:t>财政拨款收入</w:t>
      </w:r>
      <w:r>
        <w:rPr>
          <w:rFonts w:hint="eastAsia" w:ascii="仿宋_GB2312" w:hAnsi="Calibri" w:eastAsia="仿宋_GB2312"/>
          <w:sz w:val="32"/>
          <w:szCs w:val="32"/>
          <w:lang w:val="en-US" w:eastAsia="zh-CN"/>
        </w:rPr>
        <w:t>886.45</w:t>
      </w:r>
      <w:r>
        <w:rPr>
          <w:rFonts w:hint="eastAsia" w:ascii="仿宋_GB2312" w:hAnsi="Calibri" w:eastAsia="仿宋_GB2312"/>
          <w:sz w:val="32"/>
          <w:szCs w:val="32"/>
        </w:rPr>
        <w:t>万元，</w:t>
      </w:r>
      <w:r>
        <w:rPr>
          <w:rFonts w:hint="eastAsia" w:ascii="仿宋" w:hAnsi="仿宋" w:eastAsia="仿宋"/>
          <w:color w:val="000000"/>
          <w:sz w:val="32"/>
          <w:szCs w:val="32"/>
          <w:lang w:eastAsia="zh-CN"/>
        </w:rPr>
        <w:t>年初财政拨款结转结余</w:t>
      </w:r>
      <w:r>
        <w:rPr>
          <w:rFonts w:hint="eastAsia" w:ascii="仿宋" w:hAnsi="仿宋" w:eastAsia="仿宋"/>
          <w:color w:val="000000"/>
          <w:sz w:val="32"/>
          <w:szCs w:val="32"/>
          <w:lang w:val="en-US" w:eastAsia="zh-CN"/>
        </w:rPr>
        <w:t>94.48万元，</w:t>
      </w:r>
      <w:r>
        <w:rPr>
          <w:rFonts w:hint="eastAsia" w:ascii="仿宋_GB2312" w:hAnsi="Calibri" w:eastAsia="仿宋_GB2312"/>
          <w:sz w:val="32"/>
          <w:szCs w:val="32"/>
        </w:rPr>
        <w:t>收入总计</w:t>
      </w:r>
      <w:r>
        <w:rPr>
          <w:rFonts w:hint="eastAsia" w:ascii="仿宋_GB2312" w:hAnsi="Calibri" w:eastAsia="仿宋_GB2312"/>
          <w:sz w:val="32"/>
          <w:szCs w:val="32"/>
          <w:lang w:val="en-US" w:eastAsia="zh-CN"/>
        </w:rPr>
        <w:t>980.92</w:t>
      </w:r>
      <w:r>
        <w:rPr>
          <w:rFonts w:hint="eastAsia" w:ascii="仿宋_GB2312" w:hAnsi="Calibri" w:eastAsia="仿宋_GB2312"/>
          <w:sz w:val="32"/>
          <w:szCs w:val="32"/>
        </w:rPr>
        <w:t>万元。</w:t>
      </w:r>
    </w:p>
    <w:p>
      <w:pPr>
        <w:spacing w:line="580" w:lineRule="exact"/>
        <w:ind w:firstLine="480" w:firstLineChars="150"/>
        <w:rPr>
          <w:rFonts w:hint="eastAsia" w:ascii="仿宋_GB2312" w:hAnsi="Calibri" w:eastAsia="仿宋_GB2312"/>
          <w:sz w:val="32"/>
          <w:szCs w:val="32"/>
          <w:lang w:val="en-US" w:eastAsia="zh-CN"/>
        </w:rPr>
      </w:pPr>
      <w:r>
        <w:rPr>
          <w:rFonts w:ascii="仿宋" w:hAnsi="仿宋" w:eastAsia="仿宋" w:cs="仿宋_GB2312"/>
          <w:sz w:val="32"/>
          <w:szCs w:val="32"/>
        </w:rPr>
        <w:t>（二）部门财政资金支出情况。</w:t>
      </w:r>
      <w:r>
        <w:rPr>
          <w:rFonts w:hint="eastAsia" w:ascii="仿宋_GB2312" w:hAnsi="Calibri" w:eastAsia="仿宋_GB2312"/>
          <w:sz w:val="32"/>
          <w:szCs w:val="32"/>
        </w:rPr>
        <w:t>20</w:t>
      </w:r>
      <w:r>
        <w:rPr>
          <w:rFonts w:hint="eastAsia" w:ascii="仿宋_GB2312" w:hAnsi="Calibri" w:eastAsia="仿宋_GB2312"/>
          <w:sz w:val="32"/>
          <w:szCs w:val="32"/>
          <w:lang w:val="en-US" w:eastAsia="zh-CN"/>
        </w:rPr>
        <w:t>21</w:t>
      </w:r>
      <w:r>
        <w:rPr>
          <w:rFonts w:hint="eastAsia" w:ascii="仿宋_GB2312" w:hAnsi="Calibri" w:eastAsia="仿宋_GB2312"/>
          <w:sz w:val="32"/>
          <w:szCs w:val="32"/>
        </w:rPr>
        <w:t>年本年财政拨款收入</w:t>
      </w:r>
      <w:r>
        <w:rPr>
          <w:rFonts w:hint="eastAsia" w:ascii="仿宋_GB2312" w:hAnsi="Calibri" w:eastAsia="仿宋_GB2312"/>
          <w:sz w:val="32"/>
          <w:szCs w:val="32"/>
          <w:lang w:val="en-US" w:eastAsia="zh-CN"/>
        </w:rPr>
        <w:t>980.92</w:t>
      </w:r>
      <w:r>
        <w:rPr>
          <w:rFonts w:hint="eastAsia" w:ascii="仿宋_GB2312" w:hAnsi="Calibri" w:eastAsia="仿宋_GB2312"/>
          <w:sz w:val="32"/>
          <w:szCs w:val="32"/>
        </w:rPr>
        <w:t>万元，</w:t>
      </w:r>
      <w:r>
        <w:rPr>
          <w:rFonts w:ascii="仿宋_GB2312" w:hAnsi="Calibri" w:eastAsia="仿宋_GB2312"/>
          <w:sz w:val="32"/>
          <w:szCs w:val="32"/>
        </w:rPr>
        <w:t>20</w:t>
      </w:r>
      <w:r>
        <w:rPr>
          <w:rFonts w:hint="eastAsia" w:ascii="仿宋_GB2312" w:hAnsi="Calibri" w:eastAsia="仿宋_GB2312"/>
          <w:sz w:val="32"/>
          <w:szCs w:val="32"/>
          <w:lang w:val="en-US" w:eastAsia="zh-CN"/>
        </w:rPr>
        <w:t>21</w:t>
      </w:r>
      <w:r>
        <w:rPr>
          <w:rFonts w:hint="eastAsia" w:ascii="仿宋_GB2312" w:hAnsi="Calibri" w:eastAsia="仿宋_GB2312"/>
          <w:sz w:val="32"/>
          <w:szCs w:val="32"/>
        </w:rPr>
        <w:t>年一般公共服务支出</w:t>
      </w:r>
      <w:r>
        <w:rPr>
          <w:rFonts w:hint="eastAsia" w:ascii="仿宋_GB2312" w:hAnsi="Calibri" w:eastAsia="仿宋_GB2312"/>
          <w:sz w:val="32"/>
          <w:szCs w:val="32"/>
          <w:lang w:val="en-US" w:eastAsia="zh-CN"/>
        </w:rPr>
        <w:t>806.8</w:t>
      </w:r>
      <w:r>
        <w:rPr>
          <w:rFonts w:hint="eastAsia" w:ascii="仿宋_GB2312" w:hAnsi="Calibri" w:eastAsia="仿宋_GB2312"/>
          <w:sz w:val="32"/>
          <w:szCs w:val="32"/>
        </w:rPr>
        <w:t>万元，占</w:t>
      </w:r>
      <w:r>
        <w:rPr>
          <w:rFonts w:hint="eastAsia" w:ascii="仿宋_GB2312" w:hAnsi="Calibri" w:eastAsia="仿宋_GB2312"/>
          <w:sz w:val="32"/>
          <w:szCs w:val="32"/>
          <w:lang w:val="en-US" w:eastAsia="zh-CN"/>
        </w:rPr>
        <w:t>82.25</w:t>
      </w:r>
      <w:r>
        <w:rPr>
          <w:rFonts w:hint="eastAsia" w:ascii="仿宋_GB2312" w:hAnsi="Calibri" w:eastAsia="仿宋_GB2312"/>
          <w:sz w:val="32"/>
          <w:szCs w:val="32"/>
        </w:rPr>
        <w:t>%；社会保障和就业支出</w:t>
      </w:r>
      <w:r>
        <w:rPr>
          <w:rFonts w:hint="eastAsia" w:ascii="仿宋_GB2312" w:hAnsi="Calibri" w:eastAsia="仿宋_GB2312"/>
          <w:sz w:val="32"/>
          <w:szCs w:val="32"/>
          <w:lang w:val="en-US" w:eastAsia="zh-CN"/>
        </w:rPr>
        <w:t>90.51</w:t>
      </w:r>
      <w:r>
        <w:rPr>
          <w:rFonts w:hint="eastAsia" w:ascii="仿宋_GB2312" w:hAnsi="Calibri" w:eastAsia="仿宋_GB2312"/>
          <w:sz w:val="32"/>
          <w:szCs w:val="32"/>
        </w:rPr>
        <w:t>万元，占</w:t>
      </w:r>
      <w:r>
        <w:rPr>
          <w:rFonts w:hint="eastAsia" w:ascii="仿宋_GB2312" w:hAnsi="Calibri" w:eastAsia="仿宋_GB2312"/>
          <w:sz w:val="32"/>
          <w:szCs w:val="32"/>
          <w:lang w:val="en-US" w:eastAsia="zh-CN"/>
        </w:rPr>
        <w:t>9.23</w:t>
      </w:r>
      <w:r>
        <w:rPr>
          <w:rFonts w:ascii="仿宋_GB2312" w:hAnsi="Calibri" w:eastAsia="仿宋_GB2312"/>
          <w:sz w:val="32"/>
          <w:szCs w:val="32"/>
        </w:rPr>
        <w:t>%</w:t>
      </w:r>
      <w:r>
        <w:rPr>
          <w:rFonts w:hint="eastAsia" w:ascii="仿宋_GB2312" w:hAnsi="Calibri" w:eastAsia="仿宋_GB2312"/>
          <w:sz w:val="32"/>
          <w:szCs w:val="32"/>
        </w:rPr>
        <w:t>；医疗卫生支出</w:t>
      </w:r>
      <w:r>
        <w:rPr>
          <w:rFonts w:hint="eastAsia" w:ascii="仿宋_GB2312" w:hAnsi="Calibri" w:eastAsia="仿宋_GB2312"/>
          <w:sz w:val="32"/>
          <w:szCs w:val="32"/>
          <w:lang w:val="en-US" w:eastAsia="zh-CN"/>
        </w:rPr>
        <w:t>37.63</w:t>
      </w:r>
      <w:r>
        <w:rPr>
          <w:rFonts w:hint="eastAsia" w:ascii="仿宋_GB2312" w:hAnsi="Calibri" w:eastAsia="仿宋_GB2312"/>
          <w:sz w:val="32"/>
          <w:szCs w:val="32"/>
        </w:rPr>
        <w:t>万元，占</w:t>
      </w:r>
      <w:r>
        <w:rPr>
          <w:rFonts w:hint="eastAsia" w:ascii="仿宋_GB2312" w:hAnsi="Calibri" w:eastAsia="仿宋_GB2312"/>
          <w:sz w:val="32"/>
          <w:szCs w:val="32"/>
          <w:lang w:val="en-US" w:eastAsia="zh-CN"/>
        </w:rPr>
        <w:t>3.84</w:t>
      </w:r>
      <w:r>
        <w:rPr>
          <w:rFonts w:ascii="仿宋_GB2312" w:hAnsi="Calibri" w:eastAsia="仿宋_GB2312"/>
          <w:sz w:val="32"/>
          <w:szCs w:val="32"/>
        </w:rPr>
        <w:t>%</w:t>
      </w:r>
      <w:r>
        <w:rPr>
          <w:rFonts w:hint="eastAsia" w:ascii="仿宋_GB2312" w:hAnsi="Calibri" w:eastAsia="仿宋_GB2312"/>
          <w:sz w:val="32"/>
          <w:szCs w:val="32"/>
        </w:rPr>
        <w:t>；住房保障支出</w:t>
      </w:r>
      <w:r>
        <w:rPr>
          <w:rFonts w:hint="eastAsia" w:ascii="仿宋_GB2312" w:hAnsi="Calibri" w:eastAsia="仿宋_GB2312"/>
          <w:sz w:val="32"/>
          <w:szCs w:val="32"/>
          <w:lang w:val="en-US" w:eastAsia="zh-CN"/>
        </w:rPr>
        <w:t>45.98</w:t>
      </w:r>
      <w:r>
        <w:rPr>
          <w:rFonts w:hint="eastAsia" w:ascii="仿宋_GB2312" w:hAnsi="Calibri" w:eastAsia="仿宋_GB2312"/>
          <w:sz w:val="32"/>
          <w:szCs w:val="32"/>
        </w:rPr>
        <w:t>万元，占</w:t>
      </w:r>
      <w:r>
        <w:rPr>
          <w:rFonts w:hint="eastAsia" w:ascii="仿宋_GB2312" w:hAnsi="Calibri" w:eastAsia="仿宋_GB2312"/>
          <w:sz w:val="32"/>
          <w:szCs w:val="32"/>
          <w:lang w:val="en-US" w:eastAsia="zh-CN"/>
        </w:rPr>
        <w:t>4.68</w:t>
      </w:r>
      <w:r>
        <w:rPr>
          <w:rFonts w:hint="eastAsia" w:ascii="仿宋_GB2312" w:hAnsi="Calibri" w:eastAsia="仿宋_GB2312"/>
          <w:sz w:val="32"/>
          <w:szCs w:val="32"/>
        </w:rPr>
        <w:t>%</w:t>
      </w:r>
      <w:r>
        <w:rPr>
          <w:rFonts w:hint="eastAsia" w:ascii="仿宋_GB2312" w:hAnsi="Calibri" w:eastAsia="仿宋_GB2312"/>
          <w:sz w:val="32"/>
          <w:szCs w:val="32"/>
          <w:lang w:eastAsia="zh-CN"/>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pStyle w:val="21"/>
        <w:shd w:val="clear" w:color="auto" w:fill="FFFFFF"/>
        <w:spacing w:before="0" w:beforeAutospacing="0" w:after="0" w:afterAutospacing="0"/>
        <w:ind w:firstLine="628"/>
        <w:jc w:val="both"/>
        <w:rPr>
          <w:rFonts w:ascii="仿宋" w:hAnsi="仿宋" w:eastAsia="仿宋" w:cs="仿宋_GB2312"/>
          <w:sz w:val="32"/>
          <w:szCs w:val="32"/>
        </w:rPr>
      </w:pPr>
      <w:r>
        <w:rPr>
          <w:rFonts w:ascii="仿宋" w:hAnsi="仿宋" w:eastAsia="仿宋" w:cs="仿宋_GB2312"/>
          <w:sz w:val="32"/>
          <w:szCs w:val="32"/>
        </w:rPr>
        <w:t>（一）部门预算管理。</w:t>
      </w:r>
    </w:p>
    <w:p>
      <w:pPr>
        <w:pStyle w:val="21"/>
        <w:shd w:val="clear" w:color="auto" w:fill="FFFFFF"/>
        <w:spacing w:before="0" w:beforeAutospacing="0" w:after="0" w:afterAutospacing="0"/>
        <w:ind w:firstLine="628"/>
        <w:jc w:val="both"/>
        <w:rPr>
          <w:rFonts w:ascii="Times New Roman" w:hAnsi="Times New Roman"/>
          <w:color w:val="333333"/>
          <w:sz w:val="21"/>
          <w:szCs w:val="21"/>
        </w:rPr>
      </w:pPr>
      <w:r>
        <w:rPr>
          <w:rFonts w:hint="eastAsia" w:ascii="仿宋_GB2312" w:hAnsi="Times New Roman" w:eastAsia="仿宋_GB2312"/>
          <w:color w:val="000000"/>
          <w:sz w:val="32"/>
          <w:szCs w:val="32"/>
        </w:rPr>
        <w:t>1.“三公”经费控制率100%。“三公”经费预算本年列支0万元，经费支出未超标。</w:t>
      </w:r>
    </w:p>
    <w:p>
      <w:pPr>
        <w:pStyle w:val="21"/>
        <w:shd w:val="clear" w:color="auto" w:fill="FFFFFF"/>
        <w:spacing w:before="0" w:beforeAutospacing="0" w:after="0" w:afterAutospacing="0"/>
        <w:ind w:firstLine="628"/>
        <w:jc w:val="both"/>
        <w:rPr>
          <w:rFonts w:ascii="Times New Roman" w:hAnsi="Times New Roman"/>
          <w:color w:val="333333"/>
          <w:sz w:val="21"/>
          <w:szCs w:val="21"/>
        </w:rPr>
      </w:pPr>
      <w:r>
        <w:rPr>
          <w:rFonts w:hint="eastAsia" w:ascii="仿宋_GB2312" w:hAnsi="Times New Roman" w:eastAsia="仿宋_GB2312"/>
          <w:color w:val="000000"/>
          <w:sz w:val="32"/>
          <w:szCs w:val="32"/>
        </w:rPr>
        <w:t>2.管理制度进一步健全。20</w:t>
      </w:r>
      <w:r>
        <w:rPr>
          <w:rFonts w:hint="eastAsia" w:ascii="仿宋_GB2312" w:hAnsi="Times New Roman" w:eastAsia="仿宋_GB2312"/>
          <w:color w:val="000000"/>
          <w:sz w:val="32"/>
          <w:szCs w:val="32"/>
          <w:lang w:val="en-US" w:eastAsia="zh-CN"/>
        </w:rPr>
        <w:t>21</w:t>
      </w:r>
      <w:r>
        <w:rPr>
          <w:rFonts w:hint="eastAsia" w:ascii="仿宋_GB2312" w:hAnsi="Times New Roman" w:eastAsia="仿宋_GB2312"/>
          <w:color w:val="000000"/>
          <w:sz w:val="32"/>
          <w:szCs w:val="32"/>
        </w:rPr>
        <w:t>年我单位制定了财务管理制度和会计核算等管理制度，明确了财务职责，制定了厉行节约制度，管理制度依照有关国家法律法规而制定的，具有合法性、合规性、完整性、同时相关制度得到认真执行。</w:t>
      </w:r>
    </w:p>
    <w:p>
      <w:pPr>
        <w:pStyle w:val="21"/>
        <w:shd w:val="clear" w:color="auto" w:fill="FFFFFF"/>
        <w:spacing w:before="0" w:beforeAutospacing="0" w:after="0" w:afterAutospacing="0"/>
        <w:ind w:firstLine="628"/>
        <w:jc w:val="both"/>
        <w:rPr>
          <w:rFonts w:ascii="Times New Roman" w:hAnsi="Times New Roman"/>
          <w:color w:val="333333"/>
          <w:sz w:val="21"/>
          <w:szCs w:val="21"/>
        </w:rPr>
      </w:pPr>
      <w:r>
        <w:rPr>
          <w:rFonts w:hint="eastAsia" w:ascii="仿宋_GB2312" w:hAnsi="Times New Roman" w:eastAsia="仿宋_GB2312"/>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spacing w:line="580" w:lineRule="exact"/>
        <w:ind w:firstLine="640" w:firstLineChars="200"/>
        <w:rPr>
          <w:rFonts w:ascii="黑体" w:hAnsi="黑体" w:eastAsia="黑体" w:cs="黑体"/>
          <w:sz w:val="32"/>
          <w:szCs w:val="32"/>
        </w:rPr>
      </w:pPr>
      <w:r>
        <w:rPr>
          <w:rFonts w:hint="eastAsia" w:ascii="仿宋_GB2312" w:eastAsia="仿宋_GB2312"/>
          <w:color w:val="000000"/>
          <w:sz w:val="32"/>
          <w:szCs w:val="32"/>
        </w:rPr>
        <w:t>5.预算信息公开性。按照规定的内容、时间公开预算信息，做到基础数据信息和会计资金真实、完整、准确。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autoSpaceDN w:val="0"/>
        <w:spacing w:line="580" w:lineRule="exact"/>
        <w:ind w:firstLine="800" w:firstLineChars="25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年度决算中反映0个专项预算。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_GB2312" w:hAnsi="仿宋" w:eastAsia="仿宋_GB2312" w:cs="仿宋_GB2312"/>
          <w:sz w:val="32"/>
          <w:szCs w:val="32"/>
        </w:rPr>
        <w:t>本部门</w:t>
      </w:r>
      <w:r>
        <w:rPr>
          <w:rFonts w:hint="eastAsia" w:ascii="仿宋_GB2312" w:hAnsi="仿宋_GB2312" w:eastAsia="仿宋_GB2312" w:cs="仿宋_GB2312"/>
          <w:sz w:val="32"/>
          <w:szCs w:val="32"/>
        </w:rPr>
        <w:t>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年部门整体支出绩效评价情况开展自评，从</w:t>
      </w:r>
      <w:r>
        <w:rPr>
          <w:rFonts w:hint="eastAsia" w:ascii="仿宋_GB2312" w:hAnsi="仿宋_GB2312" w:eastAsia="仿宋_GB2312" w:cs="仿宋_GB2312"/>
          <w:color w:val="000000"/>
          <w:sz w:val="32"/>
          <w:szCs w:val="32"/>
        </w:rPr>
        <w:t>质量指标、数量指标、时效指标、成本指标、社会效益、经济效益、生态效益、社会公众或服务对象满意度</w:t>
      </w:r>
      <w:r>
        <w:rPr>
          <w:rFonts w:hint="eastAsia" w:ascii="仿宋_GB2312" w:hAnsi="仿宋_GB2312" w:eastAsia="仿宋_GB2312" w:cs="仿宋_GB2312"/>
          <w:sz w:val="32"/>
          <w:szCs w:val="32"/>
        </w:rPr>
        <w:t>指标进行了综合评价，圆满完成工作任务，实现绩效评价与部门预算的有机结合，促进财政资金的合理分配与有效使用。</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年部门整体支出绩效评价情况开展自评，自评结论为</w:t>
      </w:r>
      <w:r>
        <w:rPr>
          <w:rFonts w:hint="eastAsia" w:ascii="仿宋_GB2312" w:hAnsi="仿宋_GB2312" w:eastAsia="仿宋_GB2312" w:cs="仿宋_GB2312"/>
          <w:sz w:val="32"/>
          <w:szCs w:val="32"/>
          <w:lang w:eastAsia="zh-CN"/>
        </w:rPr>
        <w:t>优秀</w:t>
      </w:r>
      <w:r>
        <w:rPr>
          <w:rFonts w:hint="eastAsia" w:ascii="仿宋_GB2312" w:hAnsi="仿宋_GB2312" w:eastAsia="仿宋_GB2312" w:cs="仿宋_GB2312"/>
          <w:sz w:val="32"/>
          <w:szCs w:val="32"/>
        </w:rPr>
        <w:t>。</w:t>
      </w:r>
    </w:p>
    <w:p>
      <w:pPr>
        <w:spacing w:line="580" w:lineRule="exact"/>
        <w:ind w:firstLine="640" w:firstLineChars="200"/>
        <w:rPr>
          <w:rFonts w:hint="eastAsia" w:ascii="仿宋" w:hAnsi="仿宋" w:eastAsia="仿宋_GB2312" w:cs="仿宋_GB2312"/>
          <w:sz w:val="32"/>
          <w:szCs w:val="32"/>
          <w:lang w:val="en-US" w:eastAsia="zh-CN"/>
        </w:rPr>
      </w:pPr>
      <w:r>
        <w:rPr>
          <w:rFonts w:ascii="仿宋" w:hAnsi="仿宋" w:eastAsia="仿宋" w:cs="仿宋_GB2312"/>
          <w:sz w:val="32"/>
          <w:szCs w:val="32"/>
        </w:rPr>
        <w:t>（二）存在问题。</w:t>
      </w:r>
      <w:r>
        <w:rPr>
          <w:rFonts w:hint="eastAsia" w:ascii="仿宋_GB2312" w:hAnsi="仿宋" w:eastAsia="仿宋_GB2312" w:cs="仿宋_GB2312"/>
          <w:sz w:val="32"/>
          <w:szCs w:val="32"/>
        </w:rPr>
        <w:t>部门内控制度需进一步完善，制度执行力有待加强</w:t>
      </w:r>
      <w:r>
        <w:rPr>
          <w:rFonts w:hint="eastAsia" w:ascii="仿宋_GB2312" w:hAnsi="仿宋" w:eastAsia="仿宋_GB2312" w:cs="仿宋_GB2312"/>
          <w:sz w:val="32"/>
          <w:szCs w:val="32"/>
          <w:lang w:val="en-US" w:eastAsia="zh-CN"/>
        </w:rPr>
        <w:t>.</w:t>
      </w:r>
    </w:p>
    <w:p>
      <w:pPr>
        <w:pStyle w:val="21"/>
        <w:shd w:val="clear" w:color="auto" w:fill="FFFFFF"/>
        <w:spacing w:before="93" w:beforeAutospacing="0" w:after="0" w:afterAutospacing="0" w:line="600" w:lineRule="exact"/>
        <w:ind w:firstLine="640" w:firstLineChars="200"/>
        <w:jc w:val="both"/>
        <w:rPr>
          <w:rFonts w:ascii="仿宋" w:hAnsi="仿宋" w:eastAsia="仿宋" w:cs="仿宋_GB2312"/>
          <w:sz w:val="32"/>
          <w:szCs w:val="32"/>
        </w:rPr>
      </w:pPr>
      <w:r>
        <w:rPr>
          <w:rFonts w:ascii="仿宋" w:hAnsi="仿宋" w:eastAsia="仿宋" w:cs="仿宋_GB2312"/>
          <w:sz w:val="32"/>
          <w:szCs w:val="32"/>
        </w:rPr>
        <w:t>（三）改进建议。</w:t>
      </w:r>
    </w:p>
    <w:p>
      <w:pPr>
        <w:pStyle w:val="21"/>
        <w:shd w:val="clear" w:color="auto" w:fill="FFFFFF"/>
        <w:spacing w:before="93" w:beforeAutospacing="0" w:after="0" w:afterAutospacing="0" w:line="600" w:lineRule="exact"/>
        <w:ind w:firstLine="640" w:firstLineChars="200"/>
        <w:jc w:val="both"/>
        <w:rPr>
          <w:rFonts w:ascii="仿宋_GB2312" w:eastAsia="仿宋_GB2312"/>
          <w:color w:val="333333"/>
          <w:sz w:val="32"/>
          <w:szCs w:val="32"/>
        </w:rPr>
      </w:pPr>
      <w:r>
        <w:rPr>
          <w:rFonts w:hint="eastAsia"/>
          <w:color w:val="000000"/>
          <w:sz w:val="32"/>
          <w:szCs w:val="32"/>
        </w:rPr>
        <w:t>1</w:t>
      </w:r>
      <w:r>
        <w:rPr>
          <w:rFonts w:hint="eastAsia"/>
          <w:color w:val="000000"/>
          <w:sz w:val="32"/>
          <w:szCs w:val="32"/>
          <w:lang w:eastAsia="zh-CN"/>
        </w:rPr>
        <w:t>、</w:t>
      </w:r>
      <w:r>
        <w:rPr>
          <w:rFonts w:hint="eastAsia" w:ascii="仿宋_GB2312" w:eastAsia="仿宋_GB2312"/>
          <w:color w:val="000000"/>
          <w:sz w:val="32"/>
          <w:szCs w:val="32"/>
        </w:rPr>
        <w:t>将财务制度落实到位，规范财经纪律，严格控制非生产性开支。</w:t>
      </w:r>
    </w:p>
    <w:p>
      <w:pPr>
        <w:widowControl/>
        <w:adjustRightInd w:val="0"/>
        <w:snapToGrid w:val="0"/>
        <w:spacing w:line="58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、严格执行财务管理制度，</w:t>
      </w:r>
      <w:r>
        <w:rPr>
          <w:rFonts w:hint="eastAsia" w:ascii="仿宋_GB2312" w:eastAsia="仿宋_GB2312"/>
          <w:color w:val="000000"/>
          <w:sz w:val="32"/>
          <w:szCs w:val="32"/>
        </w:rPr>
        <w:t>加强对财务监管力度</w:t>
      </w:r>
      <w:r>
        <w:rPr>
          <w:rFonts w:hint="eastAsia" w:ascii="仿宋_GB2312" w:eastAsia="仿宋_GB2312"/>
          <w:color w:val="00000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仿宋_GB2312" w:eastAsia="仿宋_GB2312"/>
          <w:color w:val="000000"/>
          <w:sz w:val="32"/>
          <w:szCs w:val="32"/>
          <w:lang w:val="en-US" w:eastAsia="zh-CN"/>
        </w:rPr>
        <w:t>3、建议</w:t>
      </w:r>
      <w:r>
        <w:rPr>
          <w:rFonts w:hint="eastAsia" w:ascii="仿宋_GB2312" w:eastAsia="仿宋_GB2312"/>
          <w:color w:val="000000"/>
          <w:sz w:val="32"/>
          <w:szCs w:val="32"/>
          <w:lang w:eastAsia="zh-CN"/>
        </w:rPr>
        <w:t>相关业务部门</w:t>
      </w:r>
      <w:r>
        <w:rPr>
          <w:rFonts w:hint="eastAsia" w:ascii="仿宋_GB2312" w:eastAsia="仿宋_GB2312"/>
          <w:color w:val="000000"/>
          <w:sz w:val="32"/>
          <w:szCs w:val="32"/>
        </w:rPr>
        <w:t>多组织财务业务培训学习。</w:t>
      </w: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bookmarkStart w:id="113" w:name="_Toc15396618"/>
      <w:bookmarkStart w:id="114" w:name="_Toc79163635"/>
      <w:bookmarkStart w:id="115" w:name="_Toc79163885"/>
      <w:r>
        <w:rPr>
          <w:rFonts w:hint="eastAsia" w:ascii="黑体" w:hAnsi="黑体" w:eastAsia="黑体"/>
          <w:color w:val="000000"/>
          <w:sz w:val="44"/>
          <w:szCs w:val="44"/>
        </w:rPr>
        <w:t>第</w:t>
      </w:r>
      <w:r>
        <w:rPr>
          <w:rStyle w:val="26"/>
          <w:rFonts w:hint="eastAsia" w:ascii="黑体" w:hAnsi="黑体" w:eastAsia="黑体"/>
          <w:b w:val="0"/>
        </w:rPr>
        <w:t>五部分</w:t>
      </w:r>
      <w:r>
        <w:rPr>
          <w:rStyle w:val="26"/>
          <w:rFonts w:ascii="黑体" w:hAnsi="黑体" w:eastAsia="黑体"/>
          <w:b w:val="0"/>
        </w:rPr>
        <w:t xml:space="preserve"> </w:t>
      </w:r>
      <w:r>
        <w:rPr>
          <w:rStyle w:val="26"/>
          <w:rFonts w:hint="eastAsia" w:ascii="黑体" w:hAnsi="黑体" w:eastAsia="黑体"/>
          <w:b w:val="0"/>
        </w:rPr>
        <w:t>附表</w:t>
      </w:r>
      <w:bookmarkEnd w:id="105"/>
      <w:bookmarkEnd w:id="113"/>
      <w:bookmarkEnd w:id="114"/>
      <w:bookmarkEnd w:id="115"/>
    </w:p>
    <w:p>
      <w:pPr>
        <w:pStyle w:val="5"/>
        <w:rPr>
          <w:rFonts w:ascii="仿宋" w:hAnsi="仿宋" w:eastAsia="仿宋"/>
          <w:color w:val="000000"/>
        </w:rPr>
      </w:pPr>
      <w:bookmarkStart w:id="116" w:name="_Toc15396619"/>
      <w:bookmarkStart w:id="117" w:name="_Toc79163636"/>
      <w:bookmarkStart w:id="118" w:name="_Toc79163886"/>
      <w:r>
        <w:rPr>
          <w:rFonts w:hint="eastAsia" w:ascii="仿宋" w:hAnsi="仿宋" w:eastAsia="仿宋"/>
          <w:b w:val="0"/>
          <w:color w:val="000000"/>
        </w:rPr>
        <w:t>一、收</w:t>
      </w:r>
      <w:r>
        <w:rPr>
          <w:rStyle w:val="27"/>
          <w:rFonts w:hint="eastAsia" w:ascii="仿宋" w:hAnsi="仿宋" w:eastAsia="仿宋"/>
          <w:b w:val="0"/>
          <w:bCs w:val="0"/>
        </w:rPr>
        <w:t>入支出决算总表</w:t>
      </w:r>
      <w:bookmarkEnd w:id="116"/>
      <w:bookmarkEnd w:id="117"/>
      <w:bookmarkEnd w:id="118"/>
    </w:p>
    <w:p>
      <w:pPr>
        <w:pStyle w:val="5"/>
        <w:rPr>
          <w:rFonts w:ascii="仿宋" w:hAnsi="仿宋" w:eastAsia="仿宋"/>
          <w:color w:val="000000"/>
        </w:rPr>
      </w:pPr>
      <w:bookmarkStart w:id="119" w:name="_Toc15396620"/>
      <w:bookmarkStart w:id="120" w:name="_Toc79163637"/>
      <w:bookmarkStart w:id="121" w:name="_Toc79163887"/>
      <w:r>
        <w:rPr>
          <w:rFonts w:hint="eastAsia" w:ascii="仿宋" w:hAnsi="仿宋" w:eastAsia="仿宋"/>
          <w:b w:val="0"/>
          <w:color w:val="000000"/>
        </w:rPr>
        <w:t>二、收</w:t>
      </w:r>
      <w:r>
        <w:rPr>
          <w:rStyle w:val="27"/>
          <w:rFonts w:hint="eastAsia" w:ascii="仿宋" w:hAnsi="仿宋" w:eastAsia="仿宋"/>
          <w:b w:val="0"/>
          <w:bCs w:val="0"/>
        </w:rPr>
        <w:t>入决算表</w:t>
      </w:r>
      <w:bookmarkEnd w:id="119"/>
      <w:bookmarkEnd w:id="120"/>
      <w:bookmarkEnd w:id="121"/>
    </w:p>
    <w:p>
      <w:pPr>
        <w:pStyle w:val="5"/>
        <w:rPr>
          <w:rFonts w:ascii="仿宋" w:hAnsi="仿宋" w:eastAsia="仿宋"/>
          <w:color w:val="000000"/>
        </w:rPr>
      </w:pPr>
      <w:bookmarkStart w:id="122" w:name="_Toc79163888"/>
      <w:bookmarkStart w:id="123" w:name="_Toc15396621"/>
      <w:bookmarkStart w:id="124" w:name="_Toc79163638"/>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122"/>
      <w:bookmarkEnd w:id="123"/>
      <w:bookmarkEnd w:id="124"/>
    </w:p>
    <w:p>
      <w:pPr>
        <w:pStyle w:val="5"/>
        <w:rPr>
          <w:rFonts w:ascii="仿宋" w:hAnsi="仿宋" w:eastAsia="仿宋"/>
          <w:b w:val="0"/>
          <w:color w:val="000000"/>
        </w:rPr>
      </w:pPr>
      <w:bookmarkStart w:id="125" w:name="_Toc79163889"/>
      <w:bookmarkStart w:id="126" w:name="_Toc79163639"/>
      <w:bookmarkStart w:id="127"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125"/>
      <w:bookmarkEnd w:id="126"/>
      <w:bookmarkEnd w:id="127"/>
    </w:p>
    <w:p>
      <w:pPr>
        <w:pStyle w:val="5"/>
        <w:rPr>
          <w:rStyle w:val="27"/>
          <w:rFonts w:ascii="仿宋" w:hAnsi="仿宋" w:eastAsia="仿宋"/>
          <w:b w:val="0"/>
          <w:bCs w:val="0"/>
        </w:rPr>
      </w:pPr>
      <w:bookmarkStart w:id="128" w:name="_Toc79163890"/>
      <w:bookmarkStart w:id="129" w:name="_Toc15396623"/>
      <w:bookmarkStart w:id="130" w:name="_Toc79163640"/>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128"/>
      <w:bookmarkEnd w:id="129"/>
      <w:bookmarkEnd w:id="130"/>
      <w:bookmarkStart w:id="131" w:name="_Toc15396624"/>
    </w:p>
    <w:p>
      <w:pPr>
        <w:pStyle w:val="5"/>
        <w:rPr>
          <w:rFonts w:ascii="仿宋" w:hAnsi="仿宋" w:eastAsia="仿宋"/>
          <w:color w:val="000000"/>
        </w:rPr>
      </w:pPr>
      <w:bookmarkStart w:id="132" w:name="_Toc79163891"/>
      <w:bookmarkStart w:id="133" w:name="_Toc79163641"/>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131"/>
      <w:bookmarkEnd w:id="132"/>
      <w:bookmarkEnd w:id="133"/>
    </w:p>
    <w:p>
      <w:pPr>
        <w:pStyle w:val="5"/>
        <w:rPr>
          <w:rFonts w:ascii="仿宋" w:hAnsi="仿宋" w:eastAsia="仿宋"/>
          <w:color w:val="000000"/>
        </w:rPr>
      </w:pPr>
      <w:bookmarkStart w:id="134" w:name="_Toc79163892"/>
      <w:bookmarkStart w:id="135" w:name="_Toc79163642"/>
      <w:bookmarkStart w:id="13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134"/>
      <w:bookmarkEnd w:id="135"/>
      <w:bookmarkEnd w:id="136"/>
    </w:p>
    <w:p>
      <w:pPr>
        <w:pStyle w:val="5"/>
        <w:rPr>
          <w:rFonts w:ascii="仿宋" w:hAnsi="仿宋" w:eastAsia="仿宋"/>
          <w:color w:val="000000"/>
        </w:rPr>
      </w:pPr>
      <w:bookmarkStart w:id="137" w:name="_Toc15396626"/>
      <w:bookmarkStart w:id="138" w:name="_Toc79163643"/>
      <w:bookmarkStart w:id="139" w:name="_Toc79163893"/>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137"/>
      <w:bookmarkEnd w:id="138"/>
      <w:bookmarkEnd w:id="139"/>
    </w:p>
    <w:p>
      <w:pPr>
        <w:pStyle w:val="5"/>
        <w:rPr>
          <w:rFonts w:ascii="仿宋" w:hAnsi="仿宋" w:eastAsia="仿宋"/>
          <w:color w:val="000000"/>
        </w:rPr>
      </w:pPr>
      <w:bookmarkStart w:id="140" w:name="_Toc15396627"/>
      <w:bookmarkStart w:id="141" w:name="_Toc79163644"/>
      <w:bookmarkStart w:id="142" w:name="_Toc79163894"/>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140"/>
      <w:bookmarkEnd w:id="141"/>
      <w:bookmarkEnd w:id="142"/>
    </w:p>
    <w:p>
      <w:pPr>
        <w:pStyle w:val="5"/>
        <w:rPr>
          <w:rFonts w:ascii="仿宋" w:hAnsi="仿宋" w:eastAsia="仿宋"/>
          <w:color w:val="000000"/>
        </w:rPr>
      </w:pPr>
      <w:bookmarkStart w:id="143" w:name="_Toc15396628"/>
      <w:bookmarkStart w:id="144" w:name="_Toc79163645"/>
      <w:bookmarkStart w:id="145" w:name="_Toc79163895"/>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143"/>
      <w:bookmarkEnd w:id="144"/>
      <w:bookmarkEnd w:id="145"/>
    </w:p>
    <w:p>
      <w:pPr>
        <w:pStyle w:val="5"/>
        <w:rPr>
          <w:rFonts w:ascii="仿宋" w:hAnsi="仿宋" w:eastAsia="仿宋"/>
          <w:color w:val="000000"/>
        </w:rPr>
      </w:pPr>
      <w:bookmarkStart w:id="146" w:name="_Toc79163896"/>
      <w:bookmarkStart w:id="147" w:name="_Toc15396629"/>
      <w:bookmarkStart w:id="148" w:name="_Toc79163646"/>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146"/>
      <w:bookmarkEnd w:id="147"/>
      <w:bookmarkEnd w:id="148"/>
    </w:p>
    <w:p>
      <w:pPr>
        <w:pStyle w:val="5"/>
        <w:rPr>
          <w:rFonts w:ascii="仿宋" w:hAnsi="仿宋" w:eastAsia="仿宋"/>
          <w:color w:val="000000"/>
        </w:rPr>
      </w:pPr>
      <w:bookmarkStart w:id="149" w:name="_Toc79163897"/>
      <w:bookmarkStart w:id="150" w:name="_Toc15396630"/>
      <w:bookmarkStart w:id="151" w:name="_Toc79163647"/>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149"/>
      <w:bookmarkEnd w:id="150"/>
      <w:bookmarkEnd w:id="151"/>
    </w:p>
    <w:p>
      <w:pPr>
        <w:pStyle w:val="5"/>
        <w:rPr>
          <w:rStyle w:val="27"/>
          <w:rFonts w:ascii="仿宋" w:hAnsi="仿宋" w:eastAsia="仿宋"/>
          <w:b w:val="0"/>
          <w:bCs w:val="0"/>
        </w:rPr>
      </w:pPr>
      <w:bookmarkStart w:id="152" w:name="_Toc15396631"/>
      <w:bookmarkStart w:id="153" w:name="_Toc79163648"/>
      <w:bookmarkStart w:id="154" w:name="_Toc79163898"/>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有资本经营预算财政拨款支出决算表</w:t>
      </w:r>
      <w:bookmarkEnd w:id="152"/>
      <w:bookmarkEnd w:id="153"/>
      <w:bookmarkEnd w:id="154"/>
    </w:p>
    <w:p>
      <w:pPr>
        <w:pStyle w:val="5"/>
        <w:rPr>
          <w:rStyle w:val="27"/>
          <w:rFonts w:ascii="仿宋" w:hAnsi="仿宋" w:eastAsia="仿宋"/>
          <w:b w:val="0"/>
          <w:bCs w:val="0"/>
        </w:rPr>
      </w:pPr>
      <w:bookmarkStart w:id="155" w:name="_Toc79163649"/>
      <w:bookmarkStart w:id="156" w:name="_Toc79163899"/>
      <w:r>
        <w:rPr>
          <w:rStyle w:val="27"/>
          <w:rFonts w:hint="eastAsia" w:ascii="仿宋" w:hAnsi="仿宋" w:eastAsia="仿宋"/>
          <w:b w:val="0"/>
          <w:bCs w:val="0"/>
        </w:rPr>
        <w:t>十四、国有资本经营预算财政拨款支出决算表</w:t>
      </w:r>
      <w:bookmarkEnd w:id="155"/>
      <w:bookmarkEnd w:id="15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3</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FB394"/>
    <w:multiLevelType w:val="singleLevel"/>
    <w:tmpl w:val="816FB394"/>
    <w:lvl w:ilvl="0" w:tentative="0">
      <w:start w:val="1"/>
      <w:numFmt w:val="decimal"/>
      <w:lvlText w:val="%1."/>
      <w:lvlJc w:val="left"/>
      <w:pPr>
        <w:tabs>
          <w:tab w:val="left" w:pos="312"/>
        </w:tabs>
      </w:pPr>
    </w:lvl>
  </w:abstractNum>
  <w:abstractNum w:abstractNumId="1">
    <w:nsid w:val="9DE5E4CF"/>
    <w:multiLevelType w:val="singleLevel"/>
    <w:tmpl w:val="9DE5E4CF"/>
    <w:lvl w:ilvl="0" w:tentative="0">
      <w:start w:val="1"/>
      <w:numFmt w:val="decimal"/>
      <w:suff w:val="nothing"/>
      <w:lvlText w:val="%1、"/>
      <w:lvlJc w:val="left"/>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hMmJmYmI0ZTM2MWI5MmMxZjkyYTI3ZTI5ZGU3Mz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527D5"/>
    <w:rsid w:val="0184070B"/>
    <w:rsid w:val="01BF073E"/>
    <w:rsid w:val="01CD0760"/>
    <w:rsid w:val="01EC5523"/>
    <w:rsid w:val="023D293E"/>
    <w:rsid w:val="02671CED"/>
    <w:rsid w:val="02750329"/>
    <w:rsid w:val="05955D14"/>
    <w:rsid w:val="067D35F7"/>
    <w:rsid w:val="077F63C9"/>
    <w:rsid w:val="07D96C64"/>
    <w:rsid w:val="08857278"/>
    <w:rsid w:val="08DD57D3"/>
    <w:rsid w:val="093865BD"/>
    <w:rsid w:val="097E0C09"/>
    <w:rsid w:val="0A2032A3"/>
    <w:rsid w:val="0BEF5A7F"/>
    <w:rsid w:val="0E687A08"/>
    <w:rsid w:val="10C055FF"/>
    <w:rsid w:val="118107EC"/>
    <w:rsid w:val="1261379A"/>
    <w:rsid w:val="129211D8"/>
    <w:rsid w:val="130D6E47"/>
    <w:rsid w:val="152F61A1"/>
    <w:rsid w:val="15393888"/>
    <w:rsid w:val="1674297A"/>
    <w:rsid w:val="16BB723D"/>
    <w:rsid w:val="16D0184C"/>
    <w:rsid w:val="17992095"/>
    <w:rsid w:val="198233AC"/>
    <w:rsid w:val="1A181B96"/>
    <w:rsid w:val="1A9F0691"/>
    <w:rsid w:val="1AA46854"/>
    <w:rsid w:val="1D155CEE"/>
    <w:rsid w:val="1FAF2E88"/>
    <w:rsid w:val="204B5BEE"/>
    <w:rsid w:val="204C0838"/>
    <w:rsid w:val="206B44F5"/>
    <w:rsid w:val="20857532"/>
    <w:rsid w:val="21124667"/>
    <w:rsid w:val="21ED577E"/>
    <w:rsid w:val="228026DD"/>
    <w:rsid w:val="240371BF"/>
    <w:rsid w:val="244D65B8"/>
    <w:rsid w:val="25826A55"/>
    <w:rsid w:val="25AA1AB0"/>
    <w:rsid w:val="26887D7C"/>
    <w:rsid w:val="27235AF3"/>
    <w:rsid w:val="2975638C"/>
    <w:rsid w:val="29963BDF"/>
    <w:rsid w:val="29FD04D3"/>
    <w:rsid w:val="2A614B6C"/>
    <w:rsid w:val="2BBA0E5D"/>
    <w:rsid w:val="2C7E78C5"/>
    <w:rsid w:val="2CCF04B2"/>
    <w:rsid w:val="2D5A70E9"/>
    <w:rsid w:val="2E7A52AD"/>
    <w:rsid w:val="2F7D5443"/>
    <w:rsid w:val="301D1535"/>
    <w:rsid w:val="30DA483C"/>
    <w:rsid w:val="31395750"/>
    <w:rsid w:val="319F7F4E"/>
    <w:rsid w:val="3501130E"/>
    <w:rsid w:val="35B56477"/>
    <w:rsid w:val="35E64C91"/>
    <w:rsid w:val="364A2958"/>
    <w:rsid w:val="36CB62E7"/>
    <w:rsid w:val="390E637E"/>
    <w:rsid w:val="3948585D"/>
    <w:rsid w:val="3AD41AA7"/>
    <w:rsid w:val="3B2C75A6"/>
    <w:rsid w:val="3EF73899"/>
    <w:rsid w:val="3F631903"/>
    <w:rsid w:val="41187806"/>
    <w:rsid w:val="428558CC"/>
    <w:rsid w:val="42AE558C"/>
    <w:rsid w:val="445A6108"/>
    <w:rsid w:val="447459AC"/>
    <w:rsid w:val="44ED2FD3"/>
    <w:rsid w:val="45D60635"/>
    <w:rsid w:val="47CA247E"/>
    <w:rsid w:val="47CD1978"/>
    <w:rsid w:val="47DD2766"/>
    <w:rsid w:val="481468E2"/>
    <w:rsid w:val="482B4ACF"/>
    <w:rsid w:val="482E1BAA"/>
    <w:rsid w:val="48C1782C"/>
    <w:rsid w:val="4A724B9A"/>
    <w:rsid w:val="4A774C59"/>
    <w:rsid w:val="4AB178BF"/>
    <w:rsid w:val="4BB26507"/>
    <w:rsid w:val="4ECE2238"/>
    <w:rsid w:val="4F054734"/>
    <w:rsid w:val="52104326"/>
    <w:rsid w:val="523A717B"/>
    <w:rsid w:val="532273B9"/>
    <w:rsid w:val="53D640B0"/>
    <w:rsid w:val="55096FC3"/>
    <w:rsid w:val="554747DA"/>
    <w:rsid w:val="555D3FFE"/>
    <w:rsid w:val="590826CD"/>
    <w:rsid w:val="59B93366"/>
    <w:rsid w:val="5A392684"/>
    <w:rsid w:val="5B30103B"/>
    <w:rsid w:val="5C24034F"/>
    <w:rsid w:val="5E5D6169"/>
    <w:rsid w:val="5E7B72A3"/>
    <w:rsid w:val="605E5475"/>
    <w:rsid w:val="61E969EE"/>
    <w:rsid w:val="624E2FF1"/>
    <w:rsid w:val="62B6173C"/>
    <w:rsid w:val="62EB798A"/>
    <w:rsid w:val="64287ECD"/>
    <w:rsid w:val="65037FF2"/>
    <w:rsid w:val="65D87CAE"/>
    <w:rsid w:val="66D67198"/>
    <w:rsid w:val="690B4CB3"/>
    <w:rsid w:val="6A6B0B13"/>
    <w:rsid w:val="6A6B5C5A"/>
    <w:rsid w:val="6A8B42DF"/>
    <w:rsid w:val="6B0B1936"/>
    <w:rsid w:val="6B96399C"/>
    <w:rsid w:val="6BDB6210"/>
    <w:rsid w:val="6C1A7EC5"/>
    <w:rsid w:val="6C4A05C8"/>
    <w:rsid w:val="6C4D70C0"/>
    <w:rsid w:val="6E354211"/>
    <w:rsid w:val="6E9B1A43"/>
    <w:rsid w:val="6EA75E92"/>
    <w:rsid w:val="6EFB31DB"/>
    <w:rsid w:val="6F3D7FAB"/>
    <w:rsid w:val="6FCD55D7"/>
    <w:rsid w:val="707F0A79"/>
    <w:rsid w:val="70E60EF4"/>
    <w:rsid w:val="717B275B"/>
    <w:rsid w:val="71E0119A"/>
    <w:rsid w:val="71F238C8"/>
    <w:rsid w:val="72001EA7"/>
    <w:rsid w:val="72734D90"/>
    <w:rsid w:val="73852C46"/>
    <w:rsid w:val="74DF3785"/>
    <w:rsid w:val="751607EA"/>
    <w:rsid w:val="76285B0A"/>
    <w:rsid w:val="77273CFA"/>
    <w:rsid w:val="77495D38"/>
    <w:rsid w:val="777313CB"/>
    <w:rsid w:val="77754D7F"/>
    <w:rsid w:val="7AF33299"/>
    <w:rsid w:val="7B1F20A1"/>
    <w:rsid w:val="7BBC1418"/>
    <w:rsid w:val="7C07632B"/>
    <w:rsid w:val="7CAF6B09"/>
    <w:rsid w:val="7D6D11A6"/>
    <w:rsid w:val="7E52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8"/>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2"/>
      <w:lang w:val="en-US" w:eastAsia="zh-CN" w:bidi="ar-SA"/>
    </w:rPr>
  </w:style>
  <w:style w:type="paragraph" w:styleId="3">
    <w:name w:val="Body Text Indent"/>
    <w:basedOn w:val="1"/>
    <w:next w:val="2"/>
    <w:qFormat/>
    <w:uiPriority w:val="0"/>
    <w:pPr>
      <w:widowControl w:val="0"/>
      <w:spacing w:after="120" w:afterLines="0" w:afterAutospacing="0"/>
      <w:ind w:left="420" w:leftChars="200"/>
      <w:jc w:val="both"/>
    </w:pPr>
    <w:rPr>
      <w:rFonts w:ascii="Calibri" w:hAnsi="Calibri" w:eastAsia="宋体" w:cs="Calibri"/>
      <w:kern w:val="2"/>
      <w:sz w:val="21"/>
      <w:szCs w:val="24"/>
      <w:lang w:val="en-US" w:eastAsia="zh-CN" w:bidi="ar-SA"/>
    </w:rPr>
  </w:style>
  <w:style w:type="paragraph" w:styleId="7">
    <w:name w:val="toc 7"/>
    <w:basedOn w:val="1"/>
    <w:next w:val="1"/>
    <w:unhideWhenUsed/>
    <w:qFormat/>
    <w:uiPriority w:val="39"/>
    <w:pPr>
      <w:ind w:left="1260"/>
      <w:jc w:val="left"/>
    </w:pPr>
    <w:rPr>
      <w:rFonts w:asciiTheme="minorHAnsi" w:eastAsiaTheme="minorHAnsi"/>
      <w:sz w:val="18"/>
      <w:szCs w:val="18"/>
    </w:rPr>
  </w:style>
  <w:style w:type="paragraph" w:styleId="8">
    <w:name w:val="index 8"/>
    <w:basedOn w:val="1"/>
    <w:next w:val="1"/>
    <w:qFormat/>
    <w:uiPriority w:val="0"/>
    <w:pPr>
      <w:ind w:left="2940"/>
      <w:jc w:val="both"/>
    </w:pPr>
  </w:style>
  <w:style w:type="paragraph" w:styleId="9">
    <w:name w:val="Body Text"/>
    <w:basedOn w:val="1"/>
    <w:link w:val="35"/>
    <w:qFormat/>
    <w:uiPriority w:val="99"/>
    <w:pPr>
      <w:spacing w:beforeLines="30"/>
    </w:pPr>
    <w:rPr>
      <w:rFonts w:ascii="仿宋_GB2312" w:eastAsia="仿宋_GB2312"/>
      <w:kern w:val="0"/>
      <w:sz w:val="24"/>
      <w:szCs w:val="20"/>
      <w:lang w:val="zh-CN" w:eastAsia="zh-CN"/>
    </w:rPr>
  </w:style>
  <w:style w:type="paragraph" w:styleId="10">
    <w:name w:val="toc 5"/>
    <w:basedOn w:val="1"/>
    <w:next w:val="1"/>
    <w:unhideWhenUsed/>
    <w:qFormat/>
    <w:uiPriority w:val="39"/>
    <w:pPr>
      <w:ind w:left="840"/>
      <w:jc w:val="left"/>
    </w:pPr>
    <w:rPr>
      <w:rFonts w:asciiTheme="minorHAnsi" w:eastAsiaTheme="minorHAnsi"/>
      <w:sz w:val="18"/>
      <w:szCs w:val="18"/>
    </w:rPr>
  </w:style>
  <w:style w:type="paragraph" w:styleId="11">
    <w:name w:val="toc 3"/>
    <w:basedOn w:val="1"/>
    <w:next w:val="1"/>
    <w:unhideWhenUsed/>
    <w:qFormat/>
    <w:uiPriority w:val="39"/>
    <w:pPr>
      <w:ind w:left="420"/>
      <w:jc w:val="left"/>
    </w:pPr>
    <w:rPr>
      <w:rFonts w:asciiTheme="minorHAnsi" w:eastAsiaTheme="minorHAnsi"/>
      <w:i/>
      <w:iCs/>
      <w:sz w:val="20"/>
      <w:szCs w:val="20"/>
    </w:rPr>
  </w:style>
  <w:style w:type="paragraph" w:styleId="12">
    <w:name w:val="toc 8"/>
    <w:basedOn w:val="1"/>
    <w:next w:val="1"/>
    <w:unhideWhenUsed/>
    <w:qFormat/>
    <w:uiPriority w:val="39"/>
    <w:pPr>
      <w:ind w:left="1470"/>
      <w:jc w:val="left"/>
    </w:pPr>
    <w:rPr>
      <w:rFonts w:asciiTheme="minorHAnsi" w:eastAsiaTheme="minorHAnsi"/>
      <w:sz w:val="18"/>
      <w:szCs w:val="18"/>
    </w:rPr>
  </w:style>
  <w:style w:type="paragraph" w:styleId="13">
    <w:name w:val="Balloon Text"/>
    <w:basedOn w:val="1"/>
    <w:link w:val="30"/>
    <w:semiHidden/>
    <w:unhideWhenUsed/>
    <w:qFormat/>
    <w:uiPriority w:val="99"/>
    <w:rPr>
      <w:sz w:val="18"/>
      <w:szCs w:val="18"/>
    </w:rPr>
  </w:style>
  <w:style w:type="paragraph" w:styleId="14">
    <w:name w:val="footer"/>
    <w:basedOn w:val="1"/>
    <w:link w:val="34"/>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5">
    <w:name w:val="header"/>
    <w:basedOn w:val="1"/>
    <w:link w:val="33"/>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6">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7">
    <w:name w:val="toc 4"/>
    <w:basedOn w:val="1"/>
    <w:next w:val="1"/>
    <w:unhideWhenUsed/>
    <w:qFormat/>
    <w:uiPriority w:val="39"/>
    <w:pPr>
      <w:ind w:left="630"/>
      <w:jc w:val="left"/>
    </w:pPr>
    <w:rPr>
      <w:rFonts w:asciiTheme="minorHAnsi" w:eastAsiaTheme="minorHAnsi"/>
      <w:sz w:val="18"/>
      <w:szCs w:val="18"/>
    </w:rPr>
  </w:style>
  <w:style w:type="paragraph" w:styleId="18">
    <w:name w:val="toc 6"/>
    <w:basedOn w:val="1"/>
    <w:next w:val="1"/>
    <w:unhideWhenUsed/>
    <w:qFormat/>
    <w:uiPriority w:val="39"/>
    <w:pPr>
      <w:ind w:left="1050"/>
      <w:jc w:val="left"/>
    </w:pPr>
    <w:rPr>
      <w:rFonts w:asciiTheme="minorHAnsi" w:eastAsiaTheme="minorHAnsi"/>
      <w:sz w:val="18"/>
      <w:szCs w:val="18"/>
    </w:rPr>
  </w:style>
  <w:style w:type="paragraph" w:styleId="19">
    <w:name w:val="toc 2"/>
    <w:basedOn w:val="1"/>
    <w:next w:val="1"/>
    <w:unhideWhenUsed/>
    <w:qFormat/>
    <w:uiPriority w:val="39"/>
    <w:pPr>
      <w:ind w:left="210"/>
      <w:jc w:val="left"/>
    </w:pPr>
    <w:rPr>
      <w:rFonts w:asciiTheme="minorHAnsi" w:eastAsiaTheme="minorHAnsi"/>
      <w:smallCaps/>
      <w:sz w:val="20"/>
      <w:szCs w:val="20"/>
    </w:rPr>
  </w:style>
  <w:style w:type="paragraph" w:styleId="20">
    <w:name w:val="toc 9"/>
    <w:basedOn w:val="1"/>
    <w:next w:val="1"/>
    <w:unhideWhenUsed/>
    <w:qFormat/>
    <w:uiPriority w:val="39"/>
    <w:pPr>
      <w:ind w:left="1680"/>
      <w:jc w:val="left"/>
    </w:pPr>
    <w:rPr>
      <w:rFonts w:asciiTheme="minorHAnsi" w:eastAsiaTheme="minorHAnsi"/>
      <w:sz w:val="18"/>
      <w:szCs w:val="18"/>
    </w:r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character" w:styleId="24">
    <w:name w:val="Strong"/>
    <w:basedOn w:val="23"/>
    <w:qFormat/>
    <w:uiPriority w:val="99"/>
    <w:rPr>
      <w:rFonts w:cs="Times New Roman"/>
      <w:b/>
    </w:rPr>
  </w:style>
  <w:style w:type="character" w:styleId="25">
    <w:name w:val="Hyperlink"/>
    <w:basedOn w:val="23"/>
    <w:unhideWhenUsed/>
    <w:qFormat/>
    <w:uiPriority w:val="99"/>
    <w:rPr>
      <w:rFonts w:cs="Times New Roman"/>
      <w:color w:val="0000FF"/>
      <w:u w:val="single"/>
    </w:rPr>
  </w:style>
  <w:style w:type="character" w:customStyle="1" w:styleId="26">
    <w:name w:val="标题 1 字符"/>
    <w:basedOn w:val="23"/>
    <w:link w:val="4"/>
    <w:qFormat/>
    <w:locked/>
    <w:uiPriority w:val="9"/>
    <w:rPr>
      <w:rFonts w:ascii="Times New Roman" w:hAnsi="Times New Roman" w:cs="Times New Roman"/>
      <w:b/>
      <w:bCs/>
      <w:kern w:val="44"/>
      <w:sz w:val="44"/>
      <w:szCs w:val="44"/>
    </w:rPr>
  </w:style>
  <w:style w:type="character" w:customStyle="1" w:styleId="27">
    <w:name w:val="标题 2 字符"/>
    <w:basedOn w:val="23"/>
    <w:link w:val="5"/>
    <w:qFormat/>
    <w:locked/>
    <w:uiPriority w:val="9"/>
    <w:rPr>
      <w:rFonts w:ascii="Cambria" w:hAnsi="Cambria" w:eastAsia="宋体" w:cs="Times New Roman"/>
      <w:b/>
      <w:bCs/>
      <w:kern w:val="2"/>
      <w:sz w:val="32"/>
      <w:szCs w:val="32"/>
    </w:rPr>
  </w:style>
  <w:style w:type="character" w:customStyle="1" w:styleId="28">
    <w:name w:val="标题 3 字符"/>
    <w:basedOn w:val="23"/>
    <w:link w:val="6"/>
    <w:qFormat/>
    <w:locked/>
    <w:uiPriority w:val="9"/>
    <w:rPr>
      <w:rFonts w:ascii="Times New Roman" w:hAnsi="Times New Roman" w:cs="Times New Roman"/>
      <w:b/>
      <w:bCs/>
      <w:kern w:val="2"/>
      <w:sz w:val="32"/>
      <w:szCs w:val="32"/>
    </w:rPr>
  </w:style>
  <w:style w:type="character" w:customStyle="1" w:styleId="29">
    <w:name w:val="Body Text Char"/>
    <w:basedOn w:val="23"/>
    <w:semiHidden/>
    <w:qFormat/>
    <w:uiPriority w:val="99"/>
    <w:rPr>
      <w:rFonts w:ascii="Times New Roman" w:hAnsi="Times New Roman" w:cs="Times New Roman"/>
      <w:sz w:val="24"/>
      <w:szCs w:val="24"/>
    </w:rPr>
  </w:style>
  <w:style w:type="character" w:customStyle="1" w:styleId="30">
    <w:name w:val="批注框文本 字符"/>
    <w:basedOn w:val="23"/>
    <w:link w:val="13"/>
    <w:semiHidden/>
    <w:qFormat/>
    <w:locked/>
    <w:uiPriority w:val="99"/>
    <w:rPr>
      <w:rFonts w:ascii="Times New Roman" w:hAnsi="Times New Roman" w:cs="Times New Roman"/>
      <w:kern w:val="2"/>
      <w:sz w:val="18"/>
      <w:szCs w:val="18"/>
    </w:rPr>
  </w:style>
  <w:style w:type="character" w:customStyle="1" w:styleId="31">
    <w:name w:val="Footer Char"/>
    <w:basedOn w:val="23"/>
    <w:semiHidden/>
    <w:qFormat/>
    <w:uiPriority w:val="99"/>
    <w:rPr>
      <w:rFonts w:ascii="Times New Roman" w:hAnsi="Times New Roman" w:cs="Times New Roman"/>
      <w:sz w:val="18"/>
      <w:szCs w:val="18"/>
    </w:rPr>
  </w:style>
  <w:style w:type="character" w:customStyle="1" w:styleId="32">
    <w:name w:val="Header Char"/>
    <w:basedOn w:val="23"/>
    <w:semiHidden/>
    <w:qFormat/>
    <w:uiPriority w:val="99"/>
    <w:rPr>
      <w:rFonts w:ascii="Times New Roman" w:hAnsi="Times New Roman" w:cs="Times New Roman"/>
      <w:sz w:val="18"/>
      <w:szCs w:val="18"/>
    </w:rPr>
  </w:style>
  <w:style w:type="character" w:customStyle="1" w:styleId="33">
    <w:name w:val="页眉 字符"/>
    <w:link w:val="15"/>
    <w:semiHidden/>
    <w:qFormat/>
    <w:locked/>
    <w:uiPriority w:val="99"/>
    <w:rPr>
      <w:sz w:val="18"/>
    </w:rPr>
  </w:style>
  <w:style w:type="character" w:customStyle="1" w:styleId="34">
    <w:name w:val="页脚 字符"/>
    <w:link w:val="14"/>
    <w:qFormat/>
    <w:locked/>
    <w:uiPriority w:val="99"/>
    <w:rPr>
      <w:sz w:val="18"/>
    </w:rPr>
  </w:style>
  <w:style w:type="character" w:customStyle="1" w:styleId="35">
    <w:name w:val="正文文本 字符"/>
    <w:link w:val="9"/>
    <w:qFormat/>
    <w:locked/>
    <w:uiPriority w:val="99"/>
    <w:rPr>
      <w:rFonts w:ascii="仿宋_GB2312" w:hAnsi="Times New Roman" w:eastAsia="仿宋_GB2312"/>
      <w:sz w:val="24"/>
    </w:rPr>
  </w:style>
  <w:style w:type="paragraph" w:customStyle="1" w:styleId="3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7">
    <w:name w:val="列表段落1"/>
    <w:basedOn w:val="1"/>
    <w:qFormat/>
    <w:uiPriority w:val="34"/>
    <w:pPr>
      <w:ind w:firstLine="420" w:firstLineChars="200"/>
    </w:pPr>
  </w:style>
  <w:style w:type="paragraph" w:customStyle="1" w:styleId="38">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9">
    <w:name w:val="TOC Heading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AE55-CD1B-4B4A-B759-66D9AAD6058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10132</Words>
  <Characters>10914</Characters>
  <Lines>74</Lines>
  <Paragraphs>21</Paragraphs>
  <TotalTime>110</TotalTime>
  <ScaleCrop>false</ScaleCrop>
  <LinksUpToDate>false</LinksUpToDate>
  <CharactersWithSpaces>11009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X。</cp:lastModifiedBy>
  <cp:lastPrinted>2022-09-19T08:06:00Z</cp:lastPrinted>
  <dcterms:modified xsi:type="dcterms:W3CDTF">2023-04-10T02:08:26Z</dcterms:modified>
  <dc:title>阿坝州部门决算说明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BB7744A469B54F8BB7B909B6675632E5</vt:lpwstr>
  </property>
</Properties>
</file>