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76" w:lineRule="exact"/>
        <w:ind w:left="0" w:leftChars="0" w:firstLine="0" w:firstLineChars="0"/>
      </w:pPr>
    </w:p>
    <w:p>
      <w:pPr>
        <w:spacing w:line="576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九寨沟县2018年决算和2019年上半年</w:t>
      </w:r>
    </w:p>
    <w:p>
      <w:pPr>
        <w:spacing w:line="576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财政预算执行情况报告</w:t>
      </w:r>
    </w:p>
    <w:p>
      <w:pPr>
        <w:spacing w:line="576" w:lineRule="exact"/>
        <w:jc w:val="center"/>
        <w:rPr>
          <w:rFonts w:eastAsia="仿宋_GB2312"/>
          <w:sz w:val="32"/>
          <w:szCs w:val="32"/>
        </w:rPr>
      </w:pPr>
    </w:p>
    <w:p>
      <w:pPr>
        <w:spacing w:line="576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主任、各位副主任、各位委员：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受县人民政府委托，向会议报告九寨沟县2018年决算和2019年上半年财政预算执行情况，请予审议。</w:t>
      </w:r>
    </w:p>
    <w:p>
      <w:pPr>
        <w:spacing w:line="576" w:lineRule="exact"/>
        <w:rPr>
          <w:rFonts w:eastAsia="仿宋_GB2312"/>
          <w:sz w:val="32"/>
          <w:szCs w:val="32"/>
        </w:rPr>
      </w:pPr>
    </w:p>
    <w:p>
      <w:pPr>
        <w:spacing w:line="576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2018年财政决算情况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2018年是全面深入贯彻落实党的十九大精神的开局之年，是我县打赢脱贫攻坚全面建成小康社会和灾后恢复重建的关键之年。面对震后错综复杂的宏观经济形势和异常严峻的财政形势，在州委、州政府和县委、县政府的坚强领导下，深入贯彻党的十九大和习近平总书记来川视察重要讲话精神，认真落实省委、州委全会部署，大力实施“全域发展、绿色崛起”总体战略，深入推进“四个全域、四个九寨”战略规划和“四个年”建设，认真贯彻积极的财政政策，按照“保工资、保运转、保基本民生”的保障级次，积极组织财政收入，调整优化支出结构，深入推进财政改革，切实加强财政监管，不断提升队伍管理水平，特别注重发挥财政的牵引作用，全力决战脱贫摘帽，高质量推动灾后恢复重建，为我县经济平稳较快发展和社会稳定提供了有力的资金保障。</w:t>
      </w:r>
    </w:p>
    <w:p>
      <w:pPr>
        <w:spacing w:line="576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一、财政收支决算及平衡情况</w:t>
      </w:r>
    </w:p>
    <w:p>
      <w:pPr>
        <w:spacing w:line="576" w:lineRule="exact"/>
        <w:ind w:firstLine="641" w:firstLineChars="200"/>
        <w:rPr>
          <w:rFonts w:eastAsia="楷体_GB2312"/>
          <w:b/>
          <w:sz w:val="32"/>
          <w:szCs w:val="32"/>
        </w:rPr>
      </w:pPr>
      <w:r>
        <w:rPr>
          <w:rFonts w:eastAsia="楷体_GB2312"/>
          <w:b/>
          <w:sz w:val="32"/>
          <w:szCs w:val="32"/>
        </w:rPr>
        <w:t>（一）一般公共预算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1.2018年，辖区内一般公共预算收入28,283万元，同比减少4,987万元，降低14.99%。其中：上划中央11,881万元、省级886万元、州级5,914万元；县本级一般公共预算收入9,606万元，为调整预算的105.91%，完成了全年收入目标任务。本级收入分类完成情况：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（1）增值税4,542万元；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（2）企业所得税461万元；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（3）个人所得税297万元；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（4）资源税409万元；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（5）城市维护建设税398万元；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（6）房产税27万元；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（7）印花税204万元；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（8）城镇土地使用税101万元；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（9）土地增值税399万元；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（10）车船税325万元；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（11）契税422万元；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（12）环境保护税5万元；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（13）专项收入902万元；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（14）行政性收费收入143万元；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（15）罚没收入156万元；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（16）国有资源（资产）有偿使用收入361万元；</w:t>
      </w:r>
    </w:p>
    <w:p>
      <w:pPr>
        <w:spacing w:line="576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（17）其他收入</w:t>
      </w:r>
      <w:r>
        <w:rPr>
          <w:rFonts w:hint="eastAsia" w:eastAsia="仿宋_GB2312"/>
          <w:sz w:val="32"/>
          <w:szCs w:val="32"/>
        </w:rPr>
        <w:t>32</w:t>
      </w:r>
      <w:r>
        <w:rPr>
          <w:rFonts w:eastAsia="仿宋_GB2312"/>
          <w:sz w:val="32"/>
          <w:szCs w:val="32"/>
        </w:rPr>
        <w:t>万元</w:t>
      </w:r>
      <w:r>
        <w:rPr>
          <w:rFonts w:hint="eastAsia" w:eastAsia="仿宋_GB2312"/>
          <w:sz w:val="32"/>
          <w:szCs w:val="32"/>
        </w:rPr>
        <w:t>；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（18）捐赠收入419万元。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2.2018年一般公共预算支出275,680万元，支出分类情况如下：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（1）一般公共服务支出20,099万元；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（2）国防支出288万元；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（3）公共安全支出9,927万元；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（4）教育支出21,248万元；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（5）科学技术支出602万元；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（6）文化体育与传媒支出3,813万元；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（7）社会保障和就业支出15,670万元；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（8）医疗卫生支出17,414万元；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（9）环境保护支出26,060万元；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（10）城乡社区事务支出22,284万元；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（11）农林水事务支出54,642万元；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（12）交通运输支出1,456万元；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（13）资源勘探电力信息等事务支出1,558万元；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（14）商业服务业等事务支出6,622万元；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（15）国土资源气象等事务支出38,031万元；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（16）住房保障支出15,462万元；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（17）粮油物资储备管理事务支出234万元；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（18）国债还本付息支出1,491万元；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（19）其他支出18,751万元；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（20）债务发行费用支出28万元。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预算平衡情况：财政总量收入297,232万元，其中：本级一般公共预算收入9,606万元、返还性收入3,245万元、一般性转移支付收入129,689万元、专项转移支付收入102,710万元、地方政府一般债券转贷收入25,779万元、上年结余11,013万元、国有资本经营预算调入3,153万元、调入预算稳定调节基金8,702万元、其他地区援助收入3,335万元。总收入减当年县本级一般公共预算支出275,680万元、上解支出529万元、地方政府债务还本支出1,875万元、安排预算稳定调节基金12,695万元，年终滚存结余6,453万元（均为按规定应结转下年继续安排使用的专项资金结余），实现了预算收支平衡。</w:t>
      </w:r>
    </w:p>
    <w:p>
      <w:pPr>
        <w:spacing w:line="576" w:lineRule="exact"/>
        <w:ind w:firstLine="641" w:firstLineChars="200"/>
        <w:rPr>
          <w:rFonts w:eastAsia="楷体_GB2312"/>
          <w:b/>
          <w:sz w:val="32"/>
          <w:szCs w:val="32"/>
        </w:rPr>
      </w:pPr>
      <w:r>
        <w:rPr>
          <w:rFonts w:eastAsia="楷体_GB2312"/>
          <w:b/>
          <w:sz w:val="32"/>
          <w:szCs w:val="32"/>
        </w:rPr>
        <w:t>（二）政府性基金预算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2018年政府性基金收入6,275万元、上级补助收入1,856万元、上年结余107万元，构成2018年政府性基金预算总收入8,238万元。2018年政府性基金支出7,586万元，年终结余652万元。</w:t>
      </w:r>
    </w:p>
    <w:p>
      <w:pPr>
        <w:spacing w:line="576" w:lineRule="exact"/>
        <w:ind w:firstLine="641" w:firstLineChars="200"/>
        <w:rPr>
          <w:rFonts w:eastAsia="楷体_GB2312"/>
          <w:b/>
          <w:sz w:val="32"/>
          <w:szCs w:val="32"/>
        </w:rPr>
      </w:pPr>
      <w:r>
        <w:rPr>
          <w:rFonts w:eastAsia="楷体_GB2312"/>
          <w:b/>
          <w:sz w:val="32"/>
          <w:szCs w:val="32"/>
        </w:rPr>
        <w:t>（三）社会保险基金预算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2018年社会保险基金预算总收入1,271万元，2018年社会保险基金支出810万元，本年结余461万元，年终累计结余3,405万元。</w:t>
      </w:r>
    </w:p>
    <w:p>
      <w:pPr>
        <w:spacing w:line="576" w:lineRule="exact"/>
        <w:ind w:firstLine="641" w:firstLineChars="200"/>
        <w:rPr>
          <w:rFonts w:eastAsia="楷体_GB2312"/>
          <w:b/>
          <w:sz w:val="32"/>
          <w:szCs w:val="32"/>
        </w:rPr>
      </w:pPr>
      <w:r>
        <w:rPr>
          <w:rFonts w:eastAsia="楷体_GB2312"/>
          <w:b/>
          <w:sz w:val="32"/>
          <w:szCs w:val="32"/>
        </w:rPr>
        <w:t>（四）国有资本经营预算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2018年国有资本经营预算收入3,153万元，全部调入一般公共预算统筹安排。</w:t>
      </w:r>
    </w:p>
    <w:p>
      <w:pPr>
        <w:spacing w:line="576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二、政府债务情况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2018年，政府性债务余额6.33亿元，同比增加1.76亿元，增长38.51%，用于脱贫攻坚、灾后恢复重建、旧城改造、旅游发展等项目建设。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以上数据是州已批复的决算，请予审查批准。</w:t>
      </w:r>
    </w:p>
    <w:p>
      <w:pPr>
        <w:spacing w:line="576" w:lineRule="exact"/>
        <w:ind w:firstLine="609" w:firstLineChars="200"/>
        <w:rPr>
          <w:b/>
          <w:bCs/>
          <w:w w:val="95"/>
          <w:sz w:val="32"/>
        </w:rPr>
      </w:pPr>
    </w:p>
    <w:p>
      <w:pPr>
        <w:spacing w:line="576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2019年上半年预算执行情况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今年以来，面对异常繁重的灾后重建任务和严峻复杂的宏观经济形势，在县委县政府的坚强领导下，我们坚定以习近平新时代中国特色社会主义思想为指导，深入贯彻习近平总书记关于九寨沟地震灾区恢复重建的重要指示，认真落实清华书记、尹力省长和刘坪书记、克宁州长来县调研指示精神，始终坚持稳中求进工作总基调，全面贯彻“巩固、增强、提升、畅通”八字方针和“两加大”“一提高”的积极财政政策，聚焦“稳增长、抓收支、促改革”目标，努力把县委决策部署转化为工作具体行动和现实生产力，推动经济稳中向好，保障财政平稳运行。</w:t>
      </w:r>
    </w:p>
    <w:p>
      <w:pPr>
        <w:spacing w:line="576" w:lineRule="exact"/>
        <w:ind w:firstLine="640" w:firstLineChars="200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一、预算收支执行情况</w:t>
      </w:r>
    </w:p>
    <w:p>
      <w:pPr>
        <w:spacing w:line="576" w:lineRule="exact"/>
        <w:ind w:firstLine="641" w:firstLineChars="200"/>
        <w:rPr>
          <w:rFonts w:eastAsia="楷体_GB2312"/>
          <w:b/>
          <w:sz w:val="32"/>
          <w:szCs w:val="32"/>
        </w:rPr>
      </w:pPr>
      <w:r>
        <w:rPr>
          <w:rFonts w:eastAsia="楷体_GB2312"/>
          <w:b/>
          <w:sz w:val="32"/>
          <w:szCs w:val="32"/>
        </w:rPr>
        <w:t>（一）一般公共预算</w:t>
      </w:r>
    </w:p>
    <w:p>
      <w:pPr>
        <w:spacing w:line="576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仿宋_GB2312"/>
          <w:b/>
          <w:kern w:val="0"/>
          <w:sz w:val="32"/>
          <w:szCs w:val="32"/>
        </w:rPr>
        <w:t>1.收入方面。</w:t>
      </w:r>
      <w:r>
        <w:rPr>
          <w:rFonts w:eastAsia="仿宋_GB2312"/>
          <w:kern w:val="0"/>
          <w:sz w:val="32"/>
          <w:szCs w:val="32"/>
        </w:rPr>
        <w:t>严格按照《中华人民共和国税收征收管理办法》规定，坚决杜绝空转虚增、提前预征、混级混库等方式人为虚增财政收入，同时加强税源分析及征收管理，确保应收尽收。上半年累计实现</w:t>
      </w:r>
      <w:r>
        <w:rPr>
          <w:rFonts w:eastAsia="仿宋_GB2312"/>
          <w:sz w:val="32"/>
          <w:szCs w:val="32"/>
        </w:rPr>
        <w:t>一般公共预算收入8,900万元，完成预算的81.73%，同比增加4,167万元，增长88.04%。其中：税收收入累计完成6,201万元，同比增长46.15%；非税收入累计完成2699万元，同比增长450.82%。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分部门完成情况：税务部门完成6,869万元，完成预算的68.42%；财政部门完成2,031万元，完成预算的238.94%。</w:t>
      </w:r>
    </w:p>
    <w:p>
      <w:pPr>
        <w:spacing w:line="576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2.支出方面。</w:t>
      </w:r>
      <w:r>
        <w:rPr>
          <w:rFonts w:eastAsia="仿宋_GB2312"/>
          <w:sz w:val="32"/>
          <w:szCs w:val="32"/>
        </w:rPr>
        <w:t>认真贯彻落实中省“三保一优”要求，加强资金统筹，不断优化支出结构，强化预算绩效管理，加快支出进度，</w:t>
      </w:r>
      <w:r>
        <w:rPr>
          <w:rFonts w:eastAsia="仿宋_GB2312"/>
          <w:kern w:val="0"/>
          <w:sz w:val="32"/>
          <w:szCs w:val="32"/>
        </w:rPr>
        <w:t>上半年累计</w:t>
      </w:r>
      <w:r>
        <w:rPr>
          <w:rFonts w:eastAsia="仿宋_GB2312"/>
          <w:sz w:val="32"/>
          <w:szCs w:val="32"/>
        </w:rPr>
        <w:t>实现一般公共预算支出69,087万元，完成州下达调整预算任务的46.69%，同比增长3.68%。</w:t>
      </w:r>
    </w:p>
    <w:p>
      <w:pPr>
        <w:spacing w:line="576" w:lineRule="exact"/>
        <w:ind w:firstLine="641" w:firstLineChars="200"/>
        <w:rPr>
          <w:rFonts w:eastAsia="楷体_GB2312"/>
          <w:b/>
          <w:sz w:val="32"/>
          <w:szCs w:val="32"/>
        </w:rPr>
      </w:pPr>
      <w:r>
        <w:rPr>
          <w:rFonts w:eastAsia="楷体_GB2312"/>
          <w:b/>
          <w:sz w:val="32"/>
          <w:szCs w:val="32"/>
        </w:rPr>
        <w:t>（二）政府性基金预算</w:t>
      </w:r>
    </w:p>
    <w:p>
      <w:pPr>
        <w:spacing w:line="576" w:lineRule="exact"/>
        <w:ind w:firstLine="640" w:firstLineChars="200"/>
        <w:rPr>
          <w:rFonts w:eastAsia="仿宋_GB2312"/>
          <w:kern w:val="0"/>
          <w:sz w:val="32"/>
          <w:szCs w:val="32"/>
          <w:shd w:val="clear" w:color="auto" w:fill="FFFFFF"/>
        </w:rPr>
      </w:pPr>
      <w:r>
        <w:rPr>
          <w:rFonts w:eastAsia="仿宋_GB2312"/>
          <w:kern w:val="0"/>
          <w:sz w:val="32"/>
          <w:szCs w:val="32"/>
          <w:shd w:val="clear" w:color="auto" w:fill="FFFFFF"/>
        </w:rPr>
        <w:t>上半年，政府性基金收入完成5,985万元，同比增加1,618万元，增长37.05%，主要是土地出让价款收入。预算安排29,263万元，同比增加24,886万元，增长568.43%，其中23,100万元属项目收益专项债券。</w:t>
      </w:r>
    </w:p>
    <w:p>
      <w:pPr>
        <w:spacing w:line="576" w:lineRule="exact"/>
        <w:ind w:firstLine="641" w:firstLineChars="200"/>
        <w:rPr>
          <w:rFonts w:eastAsia="楷体_GB2312"/>
          <w:b/>
          <w:sz w:val="32"/>
          <w:szCs w:val="32"/>
        </w:rPr>
      </w:pPr>
      <w:r>
        <w:rPr>
          <w:rFonts w:eastAsia="楷体_GB2312"/>
          <w:b/>
          <w:sz w:val="32"/>
          <w:szCs w:val="32"/>
        </w:rPr>
        <w:t>（三）社会保障基金预算</w:t>
      </w:r>
    </w:p>
    <w:p>
      <w:pPr>
        <w:spacing w:line="576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上半年，城乡居民养老保险收入完成976万元，同比增加309万元，增长46.33%。支出完成474.32万元，同比增加154.2万元，增长48.17%。</w:t>
      </w:r>
    </w:p>
    <w:p>
      <w:pPr>
        <w:spacing w:line="576" w:lineRule="exact"/>
        <w:ind w:firstLine="641" w:firstLineChars="200"/>
        <w:rPr>
          <w:rFonts w:eastAsia="楷体_GB2312"/>
          <w:b/>
          <w:sz w:val="32"/>
          <w:szCs w:val="32"/>
        </w:rPr>
      </w:pPr>
      <w:r>
        <w:rPr>
          <w:rFonts w:eastAsia="楷体_GB2312"/>
          <w:b/>
          <w:sz w:val="32"/>
          <w:szCs w:val="32"/>
        </w:rPr>
        <w:t>（四）国有资本经营预算</w:t>
      </w:r>
    </w:p>
    <w:p>
      <w:pPr>
        <w:spacing w:line="576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上半年，未产生国有资本经营收入。</w:t>
      </w:r>
    </w:p>
    <w:p>
      <w:pPr>
        <w:spacing w:line="576" w:lineRule="exact"/>
        <w:ind w:firstLine="640" w:firstLineChars="200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二、政府性债务情况</w:t>
      </w:r>
    </w:p>
    <w:p>
      <w:pPr>
        <w:spacing w:line="576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截止6月底，政府性债务余额为108,105万元，增加44,650万元，其中：新增一般债券21,500万元，安排用于灾后重建项目建设11,500万元和漳扎镇提升项目建设10,000万元；新增项目收益债券23,100万元，安排用于打造漳扎镇国际特色魅力小镇建设；化解隐形债务195万元,截止目前隐形债务已全部化解。</w:t>
      </w:r>
    </w:p>
    <w:p>
      <w:pPr>
        <w:spacing w:line="576" w:lineRule="exact"/>
        <w:ind w:firstLine="640" w:firstLineChars="200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三、财政重点工作开展情况</w:t>
      </w:r>
    </w:p>
    <w:p>
      <w:pPr>
        <w:spacing w:line="576" w:lineRule="exact"/>
        <w:ind w:firstLine="640" w:firstLineChars="200"/>
      </w:pPr>
      <w:r>
        <w:rPr>
          <w:rFonts w:eastAsia="仿宋_GB2312"/>
          <w:kern w:val="0"/>
          <w:sz w:val="32"/>
          <w:szCs w:val="32"/>
        </w:rPr>
        <w:t>今年来，因宏观经济下行、九寨沟景区闭园、持续减税降费等诸多不利因素影响，财税收入形势十分艰难。面对困境，我们迎难而上，负重前行，始终遵循公共财政取向，稳健推进财政改革，稳步优化管理体制，着力推进科学理财、创新理财，保障财政稳定运行。</w:t>
      </w:r>
    </w:p>
    <w:p>
      <w:pPr>
        <w:spacing w:line="576" w:lineRule="exact"/>
        <w:ind w:firstLine="641" w:firstLineChars="200"/>
        <w:rPr>
          <w:rFonts w:eastAsia="楷体_GB2312"/>
          <w:b/>
          <w:sz w:val="32"/>
          <w:szCs w:val="32"/>
        </w:rPr>
      </w:pPr>
      <w:r>
        <w:rPr>
          <w:rFonts w:eastAsia="楷体_GB2312"/>
          <w:b/>
          <w:sz w:val="32"/>
          <w:szCs w:val="32"/>
        </w:rPr>
        <w:t>（一）着力抓收入，调控能力显著提升</w:t>
      </w:r>
    </w:p>
    <w:p>
      <w:pPr>
        <w:spacing w:line="576" w:lineRule="exact"/>
        <w:ind w:firstLine="643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b/>
          <w:kern w:val="0"/>
          <w:sz w:val="32"/>
          <w:szCs w:val="32"/>
        </w:rPr>
        <w:t>1.抓好收入组织，确保完成目标任务。</w:t>
      </w:r>
      <w:r>
        <w:rPr>
          <w:rFonts w:eastAsia="仿宋_GB2312"/>
          <w:sz w:val="32"/>
          <w:szCs w:val="32"/>
        </w:rPr>
        <w:t>认真落实减税降费政策，进一步减轻了企业负担，促进经济平稳发展，努力把经济发展的优势转化为税收收入的增势。同时，</w:t>
      </w:r>
      <w:r>
        <w:rPr>
          <w:rFonts w:eastAsia="仿宋_GB2312"/>
          <w:kern w:val="0"/>
          <w:sz w:val="32"/>
          <w:szCs w:val="32"/>
        </w:rPr>
        <w:t>加强重点区域、重点行业、重点企业税源管控，抓重点、破难点，深挖税源，强化征管，努力组织各项收入，实现“时间过半，任务过半”。</w:t>
      </w:r>
    </w:p>
    <w:p>
      <w:pPr>
        <w:spacing w:line="576" w:lineRule="exact"/>
        <w:ind w:firstLine="643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b/>
          <w:kern w:val="0"/>
          <w:sz w:val="32"/>
          <w:szCs w:val="32"/>
        </w:rPr>
        <w:t>2.积极争取补助，缓解支出压力。</w:t>
      </w:r>
      <w:r>
        <w:rPr>
          <w:rFonts w:eastAsia="仿宋_GB2312"/>
          <w:kern w:val="0"/>
          <w:sz w:val="32"/>
          <w:szCs w:val="32"/>
        </w:rPr>
        <w:t>认真研究国家、省、州重点产业和重点领域资金投入政策，努力把中央、省、州战略方针转化为符合我县财政发展的具体实践。上半年</w:t>
      </w:r>
      <w:r>
        <w:rPr>
          <w:rFonts w:eastAsia="仿宋_GB2312"/>
          <w:sz w:val="32"/>
          <w:szCs w:val="32"/>
          <w:lang w:val="zh-TW" w:eastAsia="zh-TW"/>
        </w:rPr>
        <w:t>争取上级补助资金</w:t>
      </w:r>
      <w:r>
        <w:rPr>
          <w:rFonts w:eastAsia="仿宋_GB2312"/>
          <w:sz w:val="32"/>
          <w:szCs w:val="32"/>
          <w:lang w:val="zh-TW"/>
        </w:rPr>
        <w:t>169</w:t>
      </w:r>
      <w:r>
        <w:rPr>
          <w:rFonts w:eastAsia="PMingLiU"/>
          <w:sz w:val="32"/>
          <w:szCs w:val="32"/>
          <w:lang w:val="zh-TW" w:eastAsia="zh-TW"/>
        </w:rPr>
        <w:t>,</w:t>
      </w:r>
      <w:r>
        <w:rPr>
          <w:rFonts w:eastAsia="仿宋_GB2312"/>
          <w:sz w:val="32"/>
          <w:szCs w:val="32"/>
          <w:lang w:val="zh-TW"/>
        </w:rPr>
        <w:t>332万元</w:t>
      </w:r>
      <w:r>
        <w:rPr>
          <w:rFonts w:eastAsia="仿宋_GB2312"/>
          <w:kern w:val="0"/>
          <w:sz w:val="32"/>
          <w:szCs w:val="32"/>
        </w:rPr>
        <w:t>和地方政府债券资金44,650万元，共计213,982万元，统筹用于全县经济社会事业发展。</w:t>
      </w:r>
    </w:p>
    <w:p>
      <w:pPr>
        <w:spacing w:line="576" w:lineRule="exact"/>
        <w:ind w:firstLine="643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b/>
          <w:kern w:val="0"/>
          <w:sz w:val="32"/>
          <w:szCs w:val="32"/>
        </w:rPr>
        <w:t>3.统筹盘活存量，提高资金使用效益。</w:t>
      </w:r>
      <w:r>
        <w:rPr>
          <w:rFonts w:eastAsia="仿宋_GB2312"/>
          <w:kern w:val="0"/>
          <w:sz w:val="32"/>
          <w:szCs w:val="32"/>
        </w:rPr>
        <w:t>按照消存量优增量的工作方式，疏堵结合盘活财政沉淀资金，建立财政存量资金定期清理机制，切实提高财政资金使用效益，上半年盘活历年存量资金18,446万元（其中：清理收回单位往来资金6,069万元、部门项目结余12,377万元），统筹用于急需的重点领域，缓解财政支出压力。</w:t>
      </w:r>
    </w:p>
    <w:p>
      <w:pPr>
        <w:spacing w:line="576" w:lineRule="exact"/>
        <w:ind w:firstLine="641" w:firstLineChars="200"/>
        <w:rPr>
          <w:rFonts w:eastAsia="楷体_GB2312"/>
          <w:b/>
          <w:sz w:val="32"/>
          <w:szCs w:val="32"/>
        </w:rPr>
      </w:pPr>
      <w:r>
        <w:rPr>
          <w:rFonts w:eastAsia="楷体_GB2312"/>
          <w:b/>
          <w:sz w:val="32"/>
          <w:szCs w:val="32"/>
        </w:rPr>
        <w:t>（二）着力优结构，社会事业持续发展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不断优化支出结构，筹集资金补短板、兜底线，切实改善基本民生。建立健全民生投入稳定增长机制，有力促进灾后重建、脱贫攻坚、教育、医疗、文化等民生事业发展。</w:t>
      </w:r>
    </w:p>
    <w:p>
      <w:pPr>
        <w:spacing w:line="576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仿宋_GB2312"/>
          <w:b/>
          <w:kern w:val="0"/>
          <w:sz w:val="32"/>
          <w:szCs w:val="32"/>
        </w:rPr>
        <w:t>1.高质量推进灾后重建。</w:t>
      </w:r>
      <w:r>
        <w:rPr>
          <w:rFonts w:eastAsia="仿宋_GB2312"/>
          <w:sz w:val="32"/>
          <w:szCs w:val="32"/>
        </w:rPr>
        <w:t>坚持把保障灾后恢复重建作为中心任务，紧盯年度目标任务，创新工作思路、拓展方法手段，努力提质提速。上半年累计实现支出20</w:t>
      </w:r>
      <w:r>
        <w:rPr>
          <w:rFonts w:hint="eastAsia" w:eastAsia="仿宋_GB2312"/>
          <w:sz w:val="32"/>
          <w:szCs w:val="32"/>
        </w:rPr>
        <w:t>,</w:t>
      </w:r>
      <w:r>
        <w:rPr>
          <w:rFonts w:eastAsia="仿宋_GB2312"/>
          <w:sz w:val="32"/>
          <w:szCs w:val="32"/>
        </w:rPr>
        <w:t>242万元。</w:t>
      </w:r>
    </w:p>
    <w:p>
      <w:pPr>
        <w:spacing w:line="576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仿宋_GB2312"/>
          <w:b/>
          <w:kern w:val="0"/>
          <w:sz w:val="32"/>
          <w:szCs w:val="32"/>
        </w:rPr>
        <w:t>2.全力支持乡村振兴建设。</w:t>
      </w:r>
      <w:r>
        <w:rPr>
          <w:rFonts w:eastAsia="仿宋_GB2312"/>
          <w:sz w:val="32"/>
          <w:szCs w:val="32"/>
        </w:rPr>
        <w:t>紧紧围绕“两不愁、三保障”和“四个好”目标，集中力量筹措资金13,291万元，全力支持脱贫攻坚、乡村振兴发展。其中：整合财政涉农资金8,791万元，</w:t>
      </w:r>
      <w:r>
        <w:rPr>
          <w:rFonts w:hint="eastAsia" w:eastAsia="仿宋_GB2312"/>
          <w:sz w:val="32"/>
          <w:szCs w:val="32"/>
        </w:rPr>
        <w:t>主要用于</w:t>
      </w:r>
      <w:r>
        <w:rPr>
          <w:rFonts w:eastAsia="仿宋_GB2312"/>
          <w:sz w:val="32"/>
          <w:szCs w:val="32"/>
        </w:rPr>
        <w:t>实现20户74名贫困人口脱贫目标、巩固已退出贫困村脱贫成效；安排乡村振兴农业产业发展贷款风险保障金500万元，化解农业产业发展融资风险，撬动金融和社会资本投入，助推全县农业产业发展；安排东西援建资金4,000万元，用于乡村旅游及村集体经济发展，切实增强农村经济发展活力；安排资金820万元，全面推进农村户用卫生厕所新（改）建，彻底整治农村人居环境顽疾，切实提高广大农民群众幸福感。</w:t>
      </w:r>
    </w:p>
    <w:p>
      <w:pPr>
        <w:spacing w:line="576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仿宋_GB2312"/>
          <w:b/>
          <w:kern w:val="0"/>
          <w:sz w:val="32"/>
          <w:szCs w:val="32"/>
        </w:rPr>
        <w:t>3.医疗卫生和社会保障持续改善。</w:t>
      </w:r>
      <w:r>
        <w:rPr>
          <w:rFonts w:eastAsia="仿宋_GB2312"/>
          <w:sz w:val="32"/>
          <w:szCs w:val="32"/>
        </w:rPr>
        <w:t>全力保障困难群众病有所医，推进惠民政策落地生根，上半年安排资金19,870万元用于医疗服务能力建设、医疗救助、基本公共卫生服务、城乡医疗救助、城乡低保、养老保险、优抚对象、五保户、残疾人事业和社会福利等支出，促进公共卫生服务均等化。</w:t>
      </w:r>
    </w:p>
    <w:p>
      <w:pPr>
        <w:spacing w:line="576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仿宋_GB2312"/>
          <w:b/>
          <w:kern w:val="0"/>
          <w:sz w:val="32"/>
          <w:szCs w:val="32"/>
        </w:rPr>
        <w:t>4.推动教育改革发展。</w:t>
      </w:r>
      <w:r>
        <w:rPr>
          <w:rFonts w:eastAsia="仿宋_GB2312"/>
          <w:sz w:val="32"/>
          <w:szCs w:val="32"/>
        </w:rPr>
        <w:t>全面落实十五年免费教育和城乡义务教育经费保障机制，上半年投入资金10,347万元，重点用于义务教育学生营养餐、寄宿制学生生活补助、学前教育、贫困家庭学生资助等教育惠民政策，中小学校基础设施和教学设备逐步提升。</w:t>
      </w:r>
    </w:p>
    <w:p>
      <w:pPr>
        <w:spacing w:line="576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仿宋_GB2312"/>
          <w:b/>
          <w:kern w:val="0"/>
          <w:sz w:val="32"/>
          <w:szCs w:val="32"/>
        </w:rPr>
        <w:t>5.助推文化旅游发展。</w:t>
      </w:r>
      <w:r>
        <w:rPr>
          <w:rFonts w:eastAsia="仿宋_GB2312"/>
          <w:kern w:val="0"/>
          <w:sz w:val="32"/>
          <w:szCs w:val="32"/>
        </w:rPr>
        <w:t>突出文旅融合发展这个关键，上半年投入文化旅游建设资金23,100万元，重点用于漳扎镇国际特色魅力小镇双柳地项目、国大旅游综合停车楼、圣地九寨国际康养中心、特色民居、国际会议中心、旅游度假、特色街区、水景观、休闲广场、地下停车场等项目，全力支持文化旅游提档升级。</w:t>
      </w:r>
    </w:p>
    <w:p>
      <w:pPr>
        <w:spacing w:line="576" w:lineRule="exact"/>
        <w:ind w:firstLine="643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b/>
          <w:kern w:val="0"/>
          <w:sz w:val="32"/>
          <w:szCs w:val="32"/>
        </w:rPr>
        <w:t>6.扎实推进生态文明建设。</w:t>
      </w:r>
      <w:r>
        <w:rPr>
          <w:rFonts w:eastAsia="仿宋_GB2312"/>
          <w:kern w:val="0"/>
          <w:sz w:val="32"/>
          <w:szCs w:val="32"/>
        </w:rPr>
        <w:t>坚持绿色发展总基调，以“两山”理论实践创新基地为契机，安排资金7,125万元用于生态环境治理和基础设施提升，其中污水管网及污水集中处理设施建设等项目投入资金2,489万元，地质灾害治理投入资金218万元，林业生态保护投入资金4,418万元。</w:t>
      </w:r>
    </w:p>
    <w:p>
      <w:pPr>
        <w:spacing w:line="576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仿宋_GB2312"/>
          <w:b/>
          <w:kern w:val="0"/>
          <w:sz w:val="32"/>
          <w:szCs w:val="32"/>
        </w:rPr>
        <w:t>7.助力民营经济发展。</w:t>
      </w:r>
      <w:r>
        <w:rPr>
          <w:rFonts w:hint="eastAsia" w:eastAsia="仿宋_GB2312"/>
          <w:sz w:val="32"/>
          <w:szCs w:val="32"/>
        </w:rPr>
        <w:t>积极贯彻落实中央、省、州扶持政策，</w:t>
      </w:r>
      <w:r>
        <w:rPr>
          <w:rFonts w:eastAsia="仿宋_GB2312"/>
          <w:sz w:val="32"/>
          <w:szCs w:val="32"/>
        </w:rPr>
        <w:t>聚焦民营企业“融资难、融资贵”重点问题，积极履行财政职能，投入资金158.8万元，采取贴息、补助等方式，全力支持民营经济健康发展。上半年筹集乡村振兴农业产业发展贷款风险补偿金500万元，累计筹集风险补偿金1,287万元，引导合作银行共办理涉农融资16笔，发放风险补偿金贷款1,684万元，推动现代农业发展，促进农业产业转型升级。</w:t>
      </w:r>
    </w:p>
    <w:p>
      <w:pPr>
        <w:spacing w:line="576" w:lineRule="exact"/>
        <w:ind w:firstLine="643" w:firstLineChars="200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b/>
          <w:kern w:val="0"/>
          <w:sz w:val="32"/>
          <w:szCs w:val="32"/>
        </w:rPr>
        <w:t>8.防范控制财政运行风险。</w:t>
      </w:r>
      <w:r>
        <w:rPr>
          <w:rFonts w:eastAsia="仿宋_GB2312"/>
          <w:sz w:val="32"/>
          <w:szCs w:val="32"/>
        </w:rPr>
        <w:t>制定《九寨沟县政府性债务风险应急处理预案》《九寨沟县防范化解地方政府隐形债务风险的实施意见》，强化政府债务预算管理和限额管理，坚决杜绝任何形式的违法违规举债担保行为。严格规范地方财政暂付款项目管理，制定财政借垫款清理处置工作方案，截至目前通过预算安排和催收消化存量暂付款14,603万元，有效保障了财政资金运行的安全性、规范性和有效性。</w:t>
      </w:r>
    </w:p>
    <w:p>
      <w:pPr>
        <w:spacing w:line="576" w:lineRule="exact"/>
        <w:ind w:firstLine="641" w:firstLineChars="200"/>
        <w:rPr>
          <w:rFonts w:eastAsia="楷体_GB2312"/>
          <w:b/>
          <w:sz w:val="32"/>
          <w:szCs w:val="32"/>
        </w:rPr>
      </w:pPr>
      <w:r>
        <w:rPr>
          <w:rFonts w:eastAsia="楷体_GB2312"/>
          <w:b/>
          <w:sz w:val="32"/>
          <w:szCs w:val="32"/>
        </w:rPr>
        <w:t>（三）着力推改革，管理水平迈上新台阶</w:t>
      </w:r>
    </w:p>
    <w:p>
      <w:pPr>
        <w:spacing w:line="576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全面深化财税体制改革，加快“放管服”和“最多跑一次”等重点改革，财政管理水平不断提升，最大限度减少减税降费对县域经济的影响。</w:t>
      </w:r>
    </w:p>
    <w:p>
      <w:pPr>
        <w:spacing w:line="576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b/>
          <w:kern w:val="0"/>
          <w:sz w:val="32"/>
          <w:szCs w:val="32"/>
        </w:rPr>
        <w:t>1</w:t>
      </w:r>
      <w:r>
        <w:rPr>
          <w:rFonts w:eastAsia="仿宋_GB2312"/>
          <w:b/>
          <w:kern w:val="0"/>
          <w:sz w:val="32"/>
          <w:szCs w:val="32"/>
        </w:rPr>
        <w:t>.深化国库支付改革。</w:t>
      </w:r>
      <w:r>
        <w:rPr>
          <w:rFonts w:eastAsia="仿宋_GB2312"/>
          <w:sz w:val="32"/>
          <w:szCs w:val="32"/>
        </w:rPr>
        <w:t>建立健全动态监控运行机制，完善动态监控分析报告制度和财政国库内部控制制度，严格按照“单位、账户、资金、流程、区域、业务”六个完整改革目标，规范资金支付流程。继续深化公务卡改革，提高公务卡使用率，抓好公务卡强制结算目录执行工作，上半年累计公务卡刷卡消费1,056万元，同比增长32.33%。</w:t>
      </w:r>
    </w:p>
    <w:p>
      <w:pPr>
        <w:spacing w:line="576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b/>
          <w:kern w:val="0"/>
          <w:sz w:val="32"/>
          <w:szCs w:val="32"/>
        </w:rPr>
        <w:t>2</w:t>
      </w:r>
      <w:r>
        <w:rPr>
          <w:rFonts w:eastAsia="仿宋_GB2312"/>
          <w:b/>
          <w:kern w:val="0"/>
          <w:sz w:val="32"/>
          <w:szCs w:val="32"/>
        </w:rPr>
        <w:t>.深化预算绩效管理。</w:t>
      </w:r>
      <w:r>
        <w:rPr>
          <w:rFonts w:eastAsia="仿宋_GB2312"/>
          <w:sz w:val="32"/>
          <w:szCs w:val="32"/>
        </w:rPr>
        <w:t>深入贯彻落实十九大关于“全面实施绩效管理”的要求，</w:t>
      </w:r>
      <w:r>
        <w:rPr>
          <w:rFonts w:hint="eastAsia" w:eastAsia="仿宋_GB2312"/>
          <w:sz w:val="32"/>
          <w:szCs w:val="32"/>
        </w:rPr>
        <w:t>着力提高财政资源配置效率和使用效益，2019年对全县82个单位筛选出278个项目涉及民生、社保、农业、林业、科技、交通、扶贫等领域资金达10.22亿元进行了全面绩效评价</w:t>
      </w:r>
      <w:r>
        <w:rPr>
          <w:rFonts w:eastAsia="仿宋_GB2312"/>
          <w:sz w:val="32"/>
          <w:szCs w:val="32"/>
        </w:rPr>
        <w:t>，</w:t>
      </w:r>
      <w:r>
        <w:rPr>
          <w:rFonts w:hint="eastAsia" w:eastAsia="仿宋_GB2312"/>
          <w:sz w:val="32"/>
          <w:szCs w:val="32"/>
        </w:rPr>
        <w:t>并</w:t>
      </w:r>
      <w:r>
        <w:rPr>
          <w:rFonts w:eastAsia="仿宋_GB2312"/>
          <w:sz w:val="32"/>
          <w:szCs w:val="32"/>
        </w:rPr>
        <w:t>委托第三方</w:t>
      </w:r>
      <w:r>
        <w:rPr>
          <w:rFonts w:hint="eastAsia" w:eastAsia="仿宋_GB2312"/>
          <w:sz w:val="32"/>
          <w:szCs w:val="32"/>
        </w:rPr>
        <w:t>中介</w:t>
      </w:r>
      <w:r>
        <w:rPr>
          <w:rFonts w:eastAsia="仿宋_GB2312"/>
          <w:sz w:val="32"/>
          <w:szCs w:val="32"/>
        </w:rPr>
        <w:t>机构重点对我县中央、省、州、县四级</w:t>
      </w:r>
      <w:r>
        <w:rPr>
          <w:rFonts w:hint="eastAsia" w:eastAsia="仿宋_GB2312"/>
          <w:sz w:val="32"/>
          <w:szCs w:val="32"/>
        </w:rPr>
        <w:t>财政</w:t>
      </w:r>
      <w:r>
        <w:rPr>
          <w:rFonts w:eastAsia="仿宋_GB2312"/>
          <w:sz w:val="32"/>
          <w:szCs w:val="32"/>
        </w:rPr>
        <w:t>专项资金2</w:t>
      </w:r>
      <w:r>
        <w:rPr>
          <w:rFonts w:hint="eastAsia"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49</w:t>
      </w:r>
      <w:r>
        <w:rPr>
          <w:rFonts w:hint="eastAsia" w:eastAsia="仿宋_GB2312"/>
          <w:sz w:val="32"/>
          <w:szCs w:val="32"/>
        </w:rPr>
        <w:t>亿</w:t>
      </w:r>
      <w:r>
        <w:rPr>
          <w:rFonts w:eastAsia="仿宋_GB2312"/>
          <w:sz w:val="32"/>
          <w:szCs w:val="32"/>
        </w:rPr>
        <w:t>元进行财政支出</w:t>
      </w:r>
      <w:r>
        <w:rPr>
          <w:rFonts w:hint="eastAsia" w:eastAsia="仿宋_GB2312"/>
          <w:sz w:val="32"/>
          <w:szCs w:val="32"/>
        </w:rPr>
        <w:t>重点</w:t>
      </w:r>
      <w:r>
        <w:rPr>
          <w:rFonts w:eastAsia="仿宋_GB2312"/>
          <w:sz w:val="32"/>
          <w:szCs w:val="32"/>
        </w:rPr>
        <w:t>绩效评价，</w:t>
      </w:r>
      <w:r>
        <w:rPr>
          <w:rFonts w:hint="eastAsia" w:eastAsia="仿宋_GB2312"/>
          <w:sz w:val="32"/>
          <w:szCs w:val="32"/>
        </w:rPr>
        <w:t>主要评价项目决策、项目管理、目标完成、项目效果等内容，构建了全方位、全过程、全覆盖的县级预算绩效管理体系，切</w:t>
      </w:r>
      <w:r>
        <w:rPr>
          <w:rFonts w:eastAsia="仿宋_GB2312"/>
          <w:sz w:val="32"/>
          <w:szCs w:val="32"/>
        </w:rPr>
        <w:t>实提升绩效管理水平。</w:t>
      </w:r>
    </w:p>
    <w:p>
      <w:pPr>
        <w:spacing w:line="576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b/>
          <w:kern w:val="0"/>
          <w:sz w:val="32"/>
          <w:szCs w:val="32"/>
        </w:rPr>
        <w:t>3</w:t>
      </w:r>
      <w:r>
        <w:rPr>
          <w:rFonts w:eastAsia="仿宋_GB2312"/>
          <w:b/>
          <w:kern w:val="0"/>
          <w:sz w:val="32"/>
          <w:szCs w:val="32"/>
        </w:rPr>
        <w:t>.深化预算执行监管。</w:t>
      </w:r>
      <w:r>
        <w:rPr>
          <w:rFonts w:eastAsia="仿宋_GB2312"/>
          <w:sz w:val="32"/>
          <w:szCs w:val="32"/>
        </w:rPr>
        <w:t>狠抓政府性投资项目财政评审管理及政府采购管理工作，着力构建政府采购监督、投资评审、财政监督三位一体的监督平台。上半年完成</w:t>
      </w:r>
      <w:r>
        <w:rPr>
          <w:rFonts w:hint="eastAsia" w:eastAsia="仿宋_GB2312"/>
          <w:sz w:val="32"/>
          <w:szCs w:val="32"/>
        </w:rPr>
        <w:t>项目</w:t>
      </w:r>
      <w:r>
        <w:rPr>
          <w:rFonts w:eastAsia="仿宋_GB2312"/>
          <w:sz w:val="32"/>
          <w:szCs w:val="32"/>
        </w:rPr>
        <w:t>前期费用</w:t>
      </w:r>
      <w:r>
        <w:rPr>
          <w:rFonts w:hint="eastAsia" w:eastAsia="仿宋_GB2312"/>
          <w:sz w:val="32"/>
          <w:szCs w:val="32"/>
        </w:rPr>
        <w:t>和预算评审91件，送审金额32,904万元，审减金额1,867万元，审减率5.67％；</w:t>
      </w:r>
      <w:r>
        <w:rPr>
          <w:rFonts w:eastAsia="仿宋_GB2312"/>
          <w:sz w:val="32"/>
          <w:szCs w:val="32"/>
        </w:rPr>
        <w:t>完成政府采购审批44件，节约资金551万元，节约率7.47%。</w:t>
      </w:r>
    </w:p>
    <w:p>
      <w:pPr>
        <w:spacing w:line="576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仿宋_GB2312"/>
          <w:b/>
          <w:kern w:val="0"/>
          <w:sz w:val="32"/>
          <w:szCs w:val="32"/>
        </w:rPr>
        <w:t>4.持续深化监督检查。</w:t>
      </w:r>
      <w:r>
        <w:rPr>
          <w:rFonts w:eastAsia="仿宋_GB2312"/>
          <w:sz w:val="32"/>
          <w:szCs w:val="32"/>
        </w:rPr>
        <w:t>认真贯彻省、州、县关于财政监督工作的要求，加快构建财政活动运行、资金安全保障、财务管理规范的财政监督机制。上半年，聘请第三方会计事务所对2018年财政扶贫资金进行监督检查，配合审计厅审计组完成灾后恢复重建资金跟踪审计，</w:t>
      </w:r>
      <w:r>
        <w:rPr>
          <w:rFonts w:hint="eastAsia" w:eastAsia="仿宋_GB2312"/>
          <w:sz w:val="32"/>
          <w:szCs w:val="32"/>
        </w:rPr>
        <w:t>牵头</w:t>
      </w:r>
      <w:r>
        <w:rPr>
          <w:rFonts w:eastAsia="仿宋_GB2312"/>
          <w:sz w:val="32"/>
          <w:szCs w:val="32"/>
        </w:rPr>
        <w:t>组织各资金主管部门对惠民惠农财政补贴“一卡通”管理问题进行专项治理，覆盖全县120个村</w:t>
      </w:r>
      <w:r>
        <w:rPr>
          <w:rFonts w:hint="eastAsia" w:eastAsia="仿宋_GB2312"/>
          <w:sz w:val="32"/>
          <w:szCs w:val="32"/>
        </w:rPr>
        <w:t>，建立财政补贴资金社保卡“一卡通”长效管理机制，</w:t>
      </w:r>
      <w:r>
        <w:rPr>
          <w:rFonts w:eastAsia="仿宋_GB2312"/>
          <w:sz w:val="32"/>
          <w:szCs w:val="32"/>
        </w:rPr>
        <w:t>完成“一卡通”数据监管平台体系建设，激活惠民惠农财政补贴资金社会保障卡66801张，发放补贴资金1,776万元，进一步规范各部门财务行为，建立“大监督”格局。</w:t>
      </w:r>
    </w:p>
    <w:p>
      <w:pPr>
        <w:spacing w:line="576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仿宋_GB2312"/>
          <w:b/>
          <w:kern w:val="0"/>
          <w:sz w:val="32"/>
          <w:szCs w:val="32"/>
        </w:rPr>
        <w:t>5.深化落实税制改革。</w:t>
      </w:r>
      <w:r>
        <w:rPr>
          <w:rFonts w:eastAsia="仿宋_GB2312"/>
          <w:sz w:val="32"/>
          <w:szCs w:val="32"/>
        </w:rPr>
        <w:t>全面落实减税降费政策释放改革红利，扎实推进各项工作，确保减税降费政策落地生根，上半年各项减税降费政策累计减免税收收入2</w:t>
      </w:r>
      <w:r>
        <w:rPr>
          <w:rFonts w:hint="eastAsia" w:eastAsia="仿宋_GB2312"/>
          <w:sz w:val="32"/>
          <w:szCs w:val="32"/>
        </w:rPr>
        <w:t>,</w:t>
      </w:r>
      <w:r>
        <w:rPr>
          <w:rFonts w:eastAsia="仿宋_GB2312"/>
          <w:sz w:val="32"/>
          <w:szCs w:val="32"/>
        </w:rPr>
        <w:t>200万元，企业税费成本明显下降，有效减轻企业负担，激发了市场活力，极大支持了企业发展。</w:t>
      </w:r>
    </w:p>
    <w:p>
      <w:pPr>
        <w:spacing w:line="576" w:lineRule="exact"/>
        <w:ind w:firstLine="643" w:firstLineChars="200"/>
        <w:rPr>
          <w:rFonts w:eastAsia="仿宋_GB2312"/>
          <w:color w:val="080808"/>
          <w:sz w:val="32"/>
          <w:szCs w:val="32"/>
        </w:rPr>
      </w:pPr>
      <w:r>
        <w:rPr>
          <w:rFonts w:eastAsia="仿宋_GB2312"/>
          <w:b/>
          <w:kern w:val="0"/>
          <w:sz w:val="32"/>
          <w:szCs w:val="32"/>
        </w:rPr>
        <w:t>6.全力推动财政电子票据改革。</w:t>
      </w:r>
      <w:r>
        <w:rPr>
          <w:rFonts w:eastAsia="仿宋_GB2312"/>
          <w:color w:val="080808"/>
          <w:sz w:val="32"/>
          <w:szCs w:val="32"/>
        </w:rPr>
        <w:t>持续深化“放管服”改革部署，贯彻“互联网+政务服务”要求，着力提升财政票据监管效能。全县一级预算单位电子票据上线率达100%，全面实现财政票据电子化管理。通过主动开展上门服务活动，现场解决疑难问题，为开展好财政电子票据管理改革工作提供了坚实保障，促进财政电子票据管理改革工作高效推进。</w:t>
      </w:r>
    </w:p>
    <w:p>
      <w:pPr>
        <w:spacing w:line="576" w:lineRule="exact"/>
        <w:ind w:firstLine="640" w:firstLineChars="200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四、财政当前面临的困难与问题</w:t>
      </w:r>
    </w:p>
    <w:p>
      <w:pPr>
        <w:spacing w:line="576" w:lineRule="exact"/>
        <w:ind w:firstLine="640" w:firstLineChars="200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2019年上半年，县财政工作在上级部门的关心支持下，在县委、县政府的坚强领导和县人大、县政协及代表委员们的监督指导下，取得了阶段性进展。但我们清醒地认识到，完成全年目标仍存在一些不容忽视的问题，在财政运行中还面临很大的困难：</w:t>
      </w:r>
    </w:p>
    <w:p>
      <w:pPr>
        <w:spacing w:line="576" w:lineRule="exact"/>
        <w:ind w:firstLine="641" w:firstLineChars="200"/>
        <w:rPr>
          <w:rFonts w:eastAsia="仿宋_GB2312"/>
          <w:bCs/>
          <w:sz w:val="32"/>
          <w:szCs w:val="32"/>
        </w:rPr>
      </w:pPr>
      <w:r>
        <w:rPr>
          <w:rFonts w:eastAsia="楷体_GB2312"/>
          <w:b/>
          <w:sz w:val="32"/>
          <w:szCs w:val="32"/>
        </w:rPr>
        <w:t>（</w:t>
      </w:r>
      <w:r>
        <w:rPr>
          <w:rFonts w:hint="eastAsia" w:eastAsia="楷体_GB2312"/>
          <w:b/>
          <w:sz w:val="32"/>
          <w:szCs w:val="32"/>
        </w:rPr>
        <w:t>一</w:t>
      </w:r>
      <w:r>
        <w:rPr>
          <w:rFonts w:eastAsia="楷体_GB2312"/>
          <w:b/>
          <w:sz w:val="32"/>
          <w:szCs w:val="32"/>
        </w:rPr>
        <w:t>）财政收支矛盾问题突出。</w:t>
      </w:r>
      <w:r>
        <w:rPr>
          <w:rFonts w:hint="eastAsia" w:ascii="仿宋_GB2312" w:eastAsia="仿宋_GB2312"/>
          <w:b/>
          <w:sz w:val="32"/>
          <w:szCs w:val="32"/>
        </w:rPr>
        <w:t>一是财政增收难度加大。</w:t>
      </w:r>
      <w:r>
        <w:rPr>
          <w:rFonts w:eastAsia="仿宋_GB2312"/>
          <w:bCs/>
          <w:sz w:val="32"/>
          <w:szCs w:val="32"/>
        </w:rPr>
        <w:t>近年来，全县连续经历两次重大自然灾害，财政收入还处在缓慢恢复期，新培植的税源短期未见明显成效。</w:t>
      </w:r>
      <w:r>
        <w:rPr>
          <w:rFonts w:hint="eastAsia" w:eastAsia="仿宋_GB2312"/>
          <w:bCs/>
          <w:sz w:val="32"/>
          <w:szCs w:val="32"/>
        </w:rPr>
        <w:t>目前我县税收主要靠固定资产投资来带动，占总体税收的60%，经营性国有资产无收益，“飞地”经济收益不凸显，</w:t>
      </w:r>
      <w:r>
        <w:rPr>
          <w:rFonts w:eastAsia="仿宋_GB2312"/>
          <w:bCs/>
          <w:sz w:val="32"/>
          <w:szCs w:val="32"/>
        </w:rPr>
        <w:t>一次性收入因素较多</w:t>
      </w:r>
      <w:r>
        <w:rPr>
          <w:rFonts w:hint="eastAsia" w:eastAsia="仿宋_GB2312"/>
          <w:bCs/>
          <w:sz w:val="32"/>
          <w:szCs w:val="32"/>
        </w:rPr>
        <w:t>，收入结构不合理，</w:t>
      </w:r>
      <w:r>
        <w:rPr>
          <w:rFonts w:eastAsia="仿宋_GB2312"/>
          <w:bCs/>
          <w:sz w:val="32"/>
          <w:szCs w:val="32"/>
        </w:rPr>
        <w:t>我县财政收入短期缺乏持续性和稳定性。</w:t>
      </w:r>
      <w:r>
        <w:rPr>
          <w:rFonts w:hint="eastAsia" w:eastAsia="仿宋_GB2312"/>
          <w:b/>
          <w:bCs/>
          <w:sz w:val="32"/>
          <w:szCs w:val="32"/>
        </w:rPr>
        <w:t>二是支出需求迅猛增长。</w:t>
      </w:r>
      <w:r>
        <w:rPr>
          <w:rFonts w:hint="eastAsia" w:eastAsia="仿宋_GB2312"/>
          <w:bCs/>
          <w:sz w:val="32"/>
          <w:szCs w:val="32"/>
        </w:rPr>
        <w:t>受“三保”支出标准不断提高、项目政策增多、债务还本付息等因素影响，支出需求迅猛增长，</w:t>
      </w:r>
      <w:r>
        <w:rPr>
          <w:rFonts w:eastAsia="仿宋_GB2312"/>
          <w:bCs/>
          <w:sz w:val="32"/>
          <w:szCs w:val="32"/>
        </w:rPr>
        <w:t>同时，为促进县域经济发展，在支持乡村振兴、生态环境保护、民营经济和文化旅游发展等方面需要大量资金投入，多重支出压力交错纵横，</w:t>
      </w:r>
      <w:r>
        <w:rPr>
          <w:rFonts w:hint="eastAsia" w:eastAsia="仿宋_GB2312"/>
          <w:bCs/>
          <w:sz w:val="32"/>
          <w:szCs w:val="32"/>
        </w:rPr>
        <w:t>财政收支矛盾异常突出。</w:t>
      </w:r>
    </w:p>
    <w:p>
      <w:pPr>
        <w:spacing w:line="576" w:lineRule="exact"/>
        <w:ind w:firstLine="641" w:firstLineChars="200"/>
        <w:rPr>
          <w:rFonts w:eastAsia="仿宋_GB2312"/>
          <w:bCs/>
          <w:sz w:val="32"/>
          <w:szCs w:val="32"/>
        </w:rPr>
      </w:pPr>
      <w:r>
        <w:rPr>
          <w:rFonts w:hint="eastAsia" w:eastAsia="楷体_GB2312"/>
          <w:b/>
          <w:sz w:val="32"/>
          <w:szCs w:val="32"/>
        </w:rPr>
        <w:t>（二）财政资金使用效率低。</w:t>
      </w:r>
      <w:r>
        <w:rPr>
          <w:rFonts w:hint="eastAsia" w:eastAsia="仿宋_GB2312"/>
          <w:b/>
          <w:bCs/>
          <w:sz w:val="32"/>
          <w:szCs w:val="32"/>
        </w:rPr>
        <w:t>一是预算绩效观念不够深入，</w:t>
      </w:r>
      <w:r>
        <w:rPr>
          <w:rFonts w:hint="eastAsia" w:eastAsia="仿宋_GB2312"/>
          <w:bCs/>
          <w:sz w:val="32"/>
          <w:szCs w:val="32"/>
        </w:rPr>
        <w:t>相当一部分预算单位还未真正树立预算绩效管理的理念，对预算的管理主要还停留在“如何要钱、如何花钱和如何完成任务”上，特别在决策时，没有对项目预期绩效进行科学评估，导致有的项目在实施中效果不理想。</w:t>
      </w:r>
      <w:r>
        <w:rPr>
          <w:rFonts w:hint="eastAsia" w:eastAsia="仿宋_GB2312"/>
          <w:b/>
          <w:bCs/>
          <w:sz w:val="32"/>
          <w:szCs w:val="32"/>
        </w:rPr>
        <w:t>二是公共财政资源配置不均衡，</w:t>
      </w:r>
      <w:r>
        <w:rPr>
          <w:rFonts w:hint="eastAsia" w:eastAsia="仿宋_GB2312"/>
          <w:bCs/>
          <w:sz w:val="32"/>
          <w:szCs w:val="32"/>
        </w:rPr>
        <w:t>项目投入重基础设施建设，轻产业发展，项目资金散、小、弱共存，难以统筹，结余资金多，没有充分发挥财政资金效率。</w:t>
      </w:r>
    </w:p>
    <w:p>
      <w:pPr>
        <w:spacing w:line="576" w:lineRule="exact"/>
        <w:ind w:firstLine="641" w:firstLineChars="200"/>
        <w:rPr>
          <w:rFonts w:eastAsia="仿宋_GB2312"/>
          <w:sz w:val="32"/>
          <w:szCs w:val="32"/>
        </w:rPr>
      </w:pPr>
      <w:r>
        <w:rPr>
          <w:rFonts w:eastAsia="楷体_GB2312"/>
          <w:b/>
          <w:sz w:val="32"/>
          <w:szCs w:val="32"/>
        </w:rPr>
        <w:t>（三）国有资产</w:t>
      </w:r>
      <w:r>
        <w:rPr>
          <w:rFonts w:hint="eastAsia" w:eastAsia="楷体_GB2312"/>
          <w:b/>
          <w:sz w:val="32"/>
          <w:szCs w:val="32"/>
        </w:rPr>
        <w:t>运作能力有待提高</w:t>
      </w:r>
      <w:r>
        <w:rPr>
          <w:rFonts w:eastAsia="楷体_GB2312"/>
          <w:b/>
          <w:sz w:val="32"/>
          <w:szCs w:val="32"/>
        </w:rPr>
        <w:t>。</w:t>
      </w:r>
      <w:r>
        <w:rPr>
          <w:rFonts w:hint="eastAsia" w:eastAsia="仿宋_GB2312"/>
          <w:b/>
          <w:bCs/>
          <w:sz w:val="32"/>
          <w:szCs w:val="32"/>
        </w:rPr>
        <w:t>一是国有资产管理不规范，</w:t>
      </w:r>
      <w:r>
        <w:rPr>
          <w:rFonts w:hint="eastAsia" w:eastAsia="仿宋_GB2312"/>
          <w:bCs/>
          <w:sz w:val="32"/>
          <w:szCs w:val="32"/>
        </w:rPr>
        <w:t>形成的固定资产不及时入账，会计核算不完整，不能有效管理市场风险引起的资产价值变化。</w:t>
      </w:r>
      <w:r>
        <w:rPr>
          <w:rFonts w:hint="eastAsia" w:eastAsia="仿宋_GB2312"/>
          <w:b/>
          <w:bCs/>
          <w:sz w:val="32"/>
          <w:szCs w:val="32"/>
        </w:rPr>
        <w:t>二是经营性国有资产营运效益不高，</w:t>
      </w:r>
      <w:r>
        <w:rPr>
          <w:rFonts w:eastAsia="仿宋_GB2312"/>
          <w:bCs/>
          <w:sz w:val="32"/>
          <w:szCs w:val="32"/>
        </w:rPr>
        <w:t>重投资、轻收益，国有资产未达到保值增值</w:t>
      </w:r>
      <w:r>
        <w:rPr>
          <w:rFonts w:hint="eastAsia" w:eastAsia="仿宋_GB2312"/>
          <w:bCs/>
          <w:sz w:val="32"/>
          <w:szCs w:val="32"/>
        </w:rPr>
        <w:t>，</w:t>
      </w:r>
      <w:r>
        <w:rPr>
          <w:rFonts w:eastAsia="仿宋_GB2312"/>
          <w:bCs/>
          <w:sz w:val="32"/>
          <w:szCs w:val="32"/>
        </w:rPr>
        <w:t>在</w:t>
      </w:r>
      <w:r>
        <w:fldChar w:fldCharType="begin"/>
      </w:r>
      <w:r>
        <w:instrText xml:space="preserve"> HYPERLINK "http://www.so.com/s?q=%E5%9B%BD%E6%B0%91%E7%BB%8F%E6%B5%8E&amp;ie=utf-8&amp;src=internal_wenda_recommend_textn" \t "_blank" </w:instrText>
      </w:r>
      <w:r>
        <w:fldChar w:fldCharType="separate"/>
      </w:r>
      <w:r>
        <w:rPr>
          <w:rFonts w:eastAsia="仿宋_GB2312"/>
          <w:bCs/>
          <w:sz w:val="32"/>
          <w:szCs w:val="32"/>
        </w:rPr>
        <w:t>经济</w:t>
      </w:r>
      <w:r>
        <w:rPr>
          <w:rFonts w:eastAsia="仿宋_GB2312"/>
          <w:bCs/>
          <w:sz w:val="32"/>
          <w:szCs w:val="32"/>
        </w:rPr>
        <w:fldChar w:fldCharType="end"/>
      </w:r>
      <w:r>
        <w:rPr>
          <w:rFonts w:eastAsia="仿宋_GB2312"/>
          <w:bCs/>
          <w:sz w:val="32"/>
          <w:szCs w:val="32"/>
        </w:rPr>
        <w:t>中的主导作用不明显。</w:t>
      </w:r>
      <w:r>
        <w:rPr>
          <w:rFonts w:hint="eastAsia" w:eastAsia="仿宋_GB2312"/>
          <w:b/>
          <w:bCs/>
          <w:sz w:val="32"/>
          <w:szCs w:val="32"/>
        </w:rPr>
        <w:t>三是监管缺泛有效措施，</w:t>
      </w:r>
      <w:r>
        <w:rPr>
          <w:rFonts w:hint="eastAsia" w:eastAsia="仿宋_GB2312"/>
          <w:bCs/>
          <w:sz w:val="32"/>
          <w:szCs w:val="32"/>
        </w:rPr>
        <w:t>政府监督和社会监督的引导和监管作用没有有效发挥，资产管理部门缺泛严格的内部控制制度，风险评估方面存在不健全的问题。</w:t>
      </w:r>
    </w:p>
    <w:p>
      <w:pPr>
        <w:spacing w:line="576" w:lineRule="exact"/>
        <w:ind w:firstLine="640" w:firstLineChars="200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五、下半年工作举措</w:t>
      </w:r>
    </w:p>
    <w:p>
      <w:pPr>
        <w:spacing w:line="576" w:lineRule="exact"/>
        <w:ind w:firstLine="640" w:firstLineChars="200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下半年，我们将紧紧围绕县委、</w:t>
      </w:r>
      <w:r>
        <w:rPr>
          <w:rFonts w:hint="eastAsia" w:eastAsia="仿宋_GB2312"/>
          <w:bCs/>
          <w:sz w:val="32"/>
          <w:szCs w:val="32"/>
          <w:lang w:val="en-US" w:eastAsia="zh-Hans"/>
        </w:rPr>
        <w:t>县</w:t>
      </w:r>
      <w:bookmarkStart w:id="0" w:name="_GoBack"/>
      <w:bookmarkEnd w:id="0"/>
      <w:r>
        <w:rPr>
          <w:rFonts w:eastAsia="仿宋_GB2312"/>
          <w:bCs/>
          <w:sz w:val="32"/>
          <w:szCs w:val="32"/>
        </w:rPr>
        <w:t>政府和县人代会确定的财政重点工作，统筹兼顾、突出重点、深化改革、规范管理，继续落实积极财政政策，调整优化支出结构，全力保工资、保运转、保基本民生、保县委县政府重大决策项目实施，为全县经济高质量发展提供有力支撑。</w:t>
      </w:r>
    </w:p>
    <w:p>
      <w:pPr>
        <w:spacing w:line="576" w:lineRule="exact"/>
        <w:ind w:firstLine="641" w:firstLineChars="200"/>
        <w:rPr>
          <w:rFonts w:eastAsia="仿宋_GB2312"/>
          <w:bCs/>
          <w:sz w:val="32"/>
          <w:szCs w:val="32"/>
        </w:rPr>
      </w:pPr>
      <w:r>
        <w:rPr>
          <w:rFonts w:eastAsia="楷体_GB2312"/>
          <w:b/>
          <w:sz w:val="32"/>
          <w:szCs w:val="32"/>
        </w:rPr>
        <w:t>（一）以更大力度保障资金需求。</w:t>
      </w:r>
      <w:r>
        <w:rPr>
          <w:rFonts w:eastAsia="仿宋_GB2312"/>
          <w:bCs/>
          <w:sz w:val="32"/>
          <w:szCs w:val="32"/>
        </w:rPr>
        <w:t>加强与税务部门合作，及时掌握税源动态，强化对重点税源的研判分析，确保完成收支目标任务。继续落实积极财政政策，着力壮大主体财源、提升收入质量。强化民生支出保障，坚持民生优先，继续支持教育、医疗卫生、就业、社会保障和文化事业的发展。围绕县委、县政府决策部署，全力统筹资金，保障重点民生社会事业项目建设。</w:t>
      </w:r>
    </w:p>
    <w:p>
      <w:pPr>
        <w:spacing w:line="576" w:lineRule="exact"/>
        <w:ind w:firstLine="641" w:firstLineChars="200"/>
        <w:rPr>
          <w:rFonts w:eastAsia="仿宋_GB2312"/>
          <w:bCs/>
          <w:sz w:val="32"/>
          <w:szCs w:val="32"/>
        </w:rPr>
      </w:pPr>
      <w:r>
        <w:rPr>
          <w:rFonts w:eastAsia="楷体_GB2312"/>
          <w:b/>
          <w:sz w:val="32"/>
          <w:szCs w:val="32"/>
        </w:rPr>
        <w:t>（二）以更实措施支持经济高质量发展。</w:t>
      </w:r>
      <w:r>
        <w:rPr>
          <w:rFonts w:eastAsia="仿宋_GB2312"/>
          <w:bCs/>
          <w:sz w:val="32"/>
          <w:szCs w:val="32"/>
        </w:rPr>
        <w:t>实施更加积极的财政政策，创新激励和支持方式，全面落实减税降费政策，释放更多政策“红利”激发市场活力，推动民营经济健康发展。加快实现金融突破，深入推进乡村振兴农业产业发展贷款风险担保业务，引导社会资本投入产业发展，助力经济提质增效。</w:t>
      </w:r>
    </w:p>
    <w:p>
      <w:pPr>
        <w:spacing w:line="576" w:lineRule="exact"/>
        <w:ind w:firstLine="641" w:firstLineChars="200"/>
        <w:rPr>
          <w:rFonts w:eastAsia="仿宋_GB2312"/>
          <w:bCs/>
          <w:sz w:val="32"/>
          <w:szCs w:val="32"/>
        </w:rPr>
      </w:pPr>
      <w:r>
        <w:rPr>
          <w:rFonts w:eastAsia="楷体_GB2312"/>
          <w:b/>
          <w:sz w:val="32"/>
          <w:szCs w:val="32"/>
        </w:rPr>
        <w:t>（三）以更高标准提升财政管理绩效。</w:t>
      </w:r>
      <w:r>
        <w:rPr>
          <w:rFonts w:eastAsia="仿宋_GB2312"/>
          <w:bCs/>
          <w:sz w:val="32"/>
          <w:szCs w:val="32"/>
        </w:rPr>
        <w:t>进一步强化预算约束，严肃预算执行，确保财政资金早执行、早见效。全面深化绩效管理，将绩效管理融入预算编制、执行、监督全过程，提高财政资金配置效率和使用效益。深入开展严肃财经纪律监督检查，落实好“一卡通”专项治理、“两不愁、三保障”扶贫资金专项检查和减税降费政策实施效果监督等工作，促进依法依规使用财政资金。</w:t>
      </w:r>
    </w:p>
    <w:p>
      <w:pPr>
        <w:spacing w:line="576" w:lineRule="exact"/>
        <w:ind w:firstLine="641" w:firstLineChars="200"/>
        <w:rPr>
          <w:rFonts w:eastAsia="仿宋_GB2312"/>
          <w:bCs/>
          <w:sz w:val="32"/>
          <w:szCs w:val="32"/>
        </w:rPr>
      </w:pPr>
      <w:r>
        <w:rPr>
          <w:rFonts w:eastAsia="楷体_GB2312"/>
          <w:b/>
          <w:sz w:val="32"/>
          <w:szCs w:val="32"/>
        </w:rPr>
        <w:t>（四）以更大勇气加快财税改革落地。</w:t>
      </w:r>
      <w:r>
        <w:rPr>
          <w:rFonts w:eastAsia="仿宋_GB2312"/>
          <w:bCs/>
          <w:sz w:val="32"/>
          <w:szCs w:val="32"/>
        </w:rPr>
        <w:t>继续深化落实减税降费政策，大规模开展减税降费政策宣传辅导，健全减税降费统计核算分析体系，算清算好减税降费“铁账”，确保数据及时、准确、全面，及时将各项政策性退税和应退还留抵税款及时足额退还企业。扎实推进财政“两年攻坚”改革任务，确保按时销号，完成省、州各项改革任务。持续深化财政电子票据和公务卡管理改革，提高财政运行效率。推进涉农资金统筹整合，进一步提高支农资金规模效益。加快推进政府购买服务改革，充分发挥市场机制作用，满足群众多样化的公共服务需求。</w:t>
      </w:r>
    </w:p>
    <w:p>
      <w:pPr>
        <w:spacing w:line="576" w:lineRule="exact"/>
        <w:ind w:firstLine="641" w:firstLineChars="200"/>
        <w:rPr>
          <w:rFonts w:eastAsia="仿宋_GB2312"/>
          <w:bCs/>
          <w:sz w:val="32"/>
          <w:szCs w:val="32"/>
        </w:rPr>
      </w:pPr>
      <w:r>
        <w:rPr>
          <w:rFonts w:eastAsia="楷体_GB2312"/>
          <w:b/>
          <w:sz w:val="32"/>
          <w:szCs w:val="32"/>
        </w:rPr>
        <w:t>（五）以更严监管加快财政支出进度。</w:t>
      </w:r>
      <w:r>
        <w:rPr>
          <w:rFonts w:eastAsia="仿宋_GB2312"/>
          <w:bCs/>
          <w:sz w:val="32"/>
          <w:szCs w:val="32"/>
        </w:rPr>
        <w:t>继续加强与各部门预算单位的沟通协调，积极督促项目实施单位加快工程进度，对于达到支付条件的工程项目开辟“绿色通道”，全面提升资金拨付效率，确保尽快形成实际支出。牢固树立过“紧日子”思想，打好“铁算盘”，硬化预算约束，着力优化支出结构，统筹可用财力重点保障脱贫攻坚、生态保护和民生改善等重点支出。做大“八项支出”增量，继续提升民生支出占比。</w:t>
      </w:r>
    </w:p>
    <w:p>
      <w:pPr>
        <w:spacing w:line="576" w:lineRule="exact"/>
        <w:ind w:firstLine="641" w:firstLineChars="200"/>
        <w:rPr>
          <w:rFonts w:eastAsia="仿宋_GB2312"/>
          <w:bCs/>
          <w:sz w:val="32"/>
          <w:szCs w:val="32"/>
        </w:rPr>
      </w:pPr>
      <w:r>
        <w:rPr>
          <w:rFonts w:eastAsia="楷体_GB2312"/>
          <w:b/>
          <w:sz w:val="32"/>
          <w:szCs w:val="32"/>
        </w:rPr>
        <w:t>（六）以更实举措防范财政运行风险。</w:t>
      </w:r>
      <w:r>
        <w:rPr>
          <w:rFonts w:eastAsia="仿宋_GB2312"/>
          <w:bCs/>
          <w:sz w:val="32"/>
          <w:szCs w:val="32"/>
        </w:rPr>
        <w:t>严肃工作纪律，有效保障资金安全。将加快预算执行进度、提高财政资金使用效益和保障资金安全等有机结合起来，牢固树立依法理财意识，强化预算执行的严肃性。加强政府债务管理，严控债务规模，积极筹措资金化解存量债务和历年暂付款，并有效防范“处置风险的风险”。强化内控管理和问责机制建设，加强库款管理，确保库款在警戒线以上水平运转，有效防止发生库款支付风险。</w:t>
      </w:r>
    </w:p>
    <w:p>
      <w:pPr>
        <w:spacing w:line="576" w:lineRule="exact"/>
        <w:ind w:firstLine="641" w:firstLineChars="200"/>
        <w:rPr>
          <w:rFonts w:eastAsia="仿宋_GB2312"/>
          <w:bCs/>
          <w:sz w:val="32"/>
          <w:szCs w:val="32"/>
        </w:rPr>
      </w:pPr>
      <w:r>
        <w:rPr>
          <w:rFonts w:eastAsia="楷体_GB2312"/>
          <w:b/>
          <w:sz w:val="32"/>
          <w:szCs w:val="32"/>
        </w:rPr>
        <w:t>（七）以更大决心强化国有资产监管。</w:t>
      </w:r>
      <w:r>
        <w:rPr>
          <w:rFonts w:eastAsia="仿宋_GB2312"/>
          <w:bCs/>
          <w:sz w:val="32"/>
          <w:szCs w:val="32"/>
        </w:rPr>
        <w:t>积极履行国资监管职能，推动国有企业国有资产监督管理水平全面提升，力促国有企业转型改革落到实处。理顺国资监管流程，推动国有企业国有资产管理与预算管理、财务管理、绩效管理相结合，明确财政部门职能定位、落实国资部门监管责任、发挥国有产权代表作用，进一步提高国资监管法治化、科学化水平，确保国有资产保值增值。</w:t>
      </w:r>
    </w:p>
    <w:p>
      <w:pPr>
        <w:spacing w:line="576" w:lineRule="exact"/>
        <w:ind w:firstLine="640" w:firstLineChars="200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主任、副主任、各位委员，2019年各项财政工作任务艰巨、责任重大，我们将在县委、县政府的正确领导下，在县人大及其常委会的监督支持下，深入贯彻习近平新时代中国特色社会主义思想和党的十九大精神，不忘初心、牢记使命、真抓实干，努力完成各项财政工作任务，确保九寨沟经济平稳健康发展，以优异成绩迎接新中国成立70周年。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1247" w:gutter="0"/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简体">
    <w:panose1 w:val="02000000000000000000"/>
    <w:charset w:val="86"/>
    <w:family w:val="auto"/>
    <w:pitch w:val="default"/>
    <w:sig w:usb0="00000000" w:usb1="00000000" w:usb2="00000000" w:usb3="00000000" w:csb0="0006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汉仪楷体简">
    <w:panose1 w:val="02010600000101010101"/>
    <w:charset w:val="86"/>
    <w:family w:val="auto"/>
    <w:pitch w:val="default"/>
    <w:sig w:usb0="00000000" w:usb1="00000000" w:usb2="00000000" w:usb3="00000000" w:csb0="00060000" w:csb1="00000000"/>
  </w:font>
  <w:font w:name="PMingLiU">
    <w:altName w:val="宋体-繁"/>
    <w:panose1 w:val="02020300000000000000"/>
    <w:charset w:val="88"/>
    <w:family w:val="roman"/>
    <w:pitch w:val="default"/>
    <w:sig w:usb0="00000000" w:usb1="00000000" w:usb2="00000016" w:usb3="00000000" w:csb0="00100001" w:csb1="00000000"/>
  </w:font>
  <w:font w:name="宋体-繁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冬青黑体简体中文">
    <w:panose1 w:val="020B0300000000000000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Theme="minorEastAsia" w:hAnsiTheme="minorEastAsia" w:eastAsiaTheme="minorEastAsia"/>
        <w:sz w:val="28"/>
        <w:szCs w:val="28"/>
      </w:rPr>
      <w:id w:val="483588332"/>
    </w:sdtPr>
    <w:sdtEndPr>
      <w:rPr>
        <w:rFonts w:asciiTheme="minorEastAsia" w:hAnsiTheme="minorEastAsia" w:eastAsiaTheme="minorEastAsia"/>
        <w:sz w:val="28"/>
        <w:szCs w:val="28"/>
      </w:rPr>
    </w:sdtEndPr>
    <w:sdtContent>
      <w:p>
        <w:pPr>
          <w:pStyle w:val="6"/>
          <w:jc w:val="right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3 -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Theme="minorEastAsia" w:hAnsiTheme="minorEastAsia" w:eastAsiaTheme="minorEastAsia"/>
        <w:sz w:val="28"/>
        <w:szCs w:val="28"/>
      </w:rPr>
      <w:id w:val="1450963726"/>
    </w:sdtPr>
    <w:sdtEndPr>
      <w:rPr>
        <w:rFonts w:asciiTheme="minorEastAsia" w:hAnsiTheme="minorEastAsia" w:eastAsiaTheme="minorEastAsia"/>
        <w:sz w:val="28"/>
        <w:szCs w:val="28"/>
      </w:rPr>
    </w:sdtEndPr>
    <w:sdtContent>
      <w:p>
        <w:pPr>
          <w:pStyle w:val="6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2 -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3326D"/>
    <w:rsid w:val="0000253A"/>
    <w:rsid w:val="000026AD"/>
    <w:rsid w:val="00003852"/>
    <w:rsid w:val="00003B81"/>
    <w:rsid w:val="00013EAC"/>
    <w:rsid w:val="000145F1"/>
    <w:rsid w:val="00021C5A"/>
    <w:rsid w:val="0002235E"/>
    <w:rsid w:val="0002580A"/>
    <w:rsid w:val="0002670C"/>
    <w:rsid w:val="00037A7A"/>
    <w:rsid w:val="000504F1"/>
    <w:rsid w:val="00065032"/>
    <w:rsid w:val="00065214"/>
    <w:rsid w:val="00065868"/>
    <w:rsid w:val="00065981"/>
    <w:rsid w:val="000700D5"/>
    <w:rsid w:val="0007073D"/>
    <w:rsid w:val="0007541A"/>
    <w:rsid w:val="00080CB7"/>
    <w:rsid w:val="000813D1"/>
    <w:rsid w:val="00081ADC"/>
    <w:rsid w:val="00081D9E"/>
    <w:rsid w:val="000840D9"/>
    <w:rsid w:val="000850FB"/>
    <w:rsid w:val="00091A7C"/>
    <w:rsid w:val="00094B4E"/>
    <w:rsid w:val="00094CDA"/>
    <w:rsid w:val="000B20F3"/>
    <w:rsid w:val="000B328A"/>
    <w:rsid w:val="000C1CA0"/>
    <w:rsid w:val="000C2944"/>
    <w:rsid w:val="000C2A74"/>
    <w:rsid w:val="000D30BC"/>
    <w:rsid w:val="000D45D8"/>
    <w:rsid w:val="000E01C3"/>
    <w:rsid w:val="000E0AEC"/>
    <w:rsid w:val="000E1418"/>
    <w:rsid w:val="000E4FC7"/>
    <w:rsid w:val="000E5ECD"/>
    <w:rsid w:val="000F0DB3"/>
    <w:rsid w:val="000F1C4A"/>
    <w:rsid w:val="000F2D25"/>
    <w:rsid w:val="000F2FEF"/>
    <w:rsid w:val="001008EA"/>
    <w:rsid w:val="00132AE9"/>
    <w:rsid w:val="0013307A"/>
    <w:rsid w:val="0013392C"/>
    <w:rsid w:val="001363B6"/>
    <w:rsid w:val="00146207"/>
    <w:rsid w:val="00153A5F"/>
    <w:rsid w:val="00157193"/>
    <w:rsid w:val="00160376"/>
    <w:rsid w:val="00166A86"/>
    <w:rsid w:val="0017058B"/>
    <w:rsid w:val="001718BA"/>
    <w:rsid w:val="00171F3E"/>
    <w:rsid w:val="00183806"/>
    <w:rsid w:val="00184719"/>
    <w:rsid w:val="00194975"/>
    <w:rsid w:val="001A459A"/>
    <w:rsid w:val="001A4B44"/>
    <w:rsid w:val="001B2D3D"/>
    <w:rsid w:val="001B53D9"/>
    <w:rsid w:val="001B76DC"/>
    <w:rsid w:val="001C105C"/>
    <w:rsid w:val="001C4C3D"/>
    <w:rsid w:val="001C6937"/>
    <w:rsid w:val="001D0E1D"/>
    <w:rsid w:val="001D4384"/>
    <w:rsid w:val="001E1EB7"/>
    <w:rsid w:val="001E640E"/>
    <w:rsid w:val="001F1C5F"/>
    <w:rsid w:val="002029A9"/>
    <w:rsid w:val="00202CDA"/>
    <w:rsid w:val="00202E4F"/>
    <w:rsid w:val="002063BF"/>
    <w:rsid w:val="002114F0"/>
    <w:rsid w:val="00212CCD"/>
    <w:rsid w:val="00212CED"/>
    <w:rsid w:val="0021372F"/>
    <w:rsid w:val="00223460"/>
    <w:rsid w:val="00224AB7"/>
    <w:rsid w:val="00225B46"/>
    <w:rsid w:val="002302C4"/>
    <w:rsid w:val="00234752"/>
    <w:rsid w:val="00235C47"/>
    <w:rsid w:val="00237166"/>
    <w:rsid w:val="002448D4"/>
    <w:rsid w:val="00246979"/>
    <w:rsid w:val="00250E21"/>
    <w:rsid w:val="00253F14"/>
    <w:rsid w:val="00257394"/>
    <w:rsid w:val="00261095"/>
    <w:rsid w:val="002624CD"/>
    <w:rsid w:val="0026314D"/>
    <w:rsid w:val="00265BD0"/>
    <w:rsid w:val="00265FCF"/>
    <w:rsid w:val="00272717"/>
    <w:rsid w:val="00274352"/>
    <w:rsid w:val="00282790"/>
    <w:rsid w:val="002837F6"/>
    <w:rsid w:val="002901FB"/>
    <w:rsid w:val="0029041C"/>
    <w:rsid w:val="00294C0D"/>
    <w:rsid w:val="002A1676"/>
    <w:rsid w:val="002A17D2"/>
    <w:rsid w:val="002B6D93"/>
    <w:rsid w:val="002C1EDD"/>
    <w:rsid w:val="002C4DDE"/>
    <w:rsid w:val="002C52DE"/>
    <w:rsid w:val="002C5941"/>
    <w:rsid w:val="002C5E21"/>
    <w:rsid w:val="002C7737"/>
    <w:rsid w:val="002D5595"/>
    <w:rsid w:val="002D5955"/>
    <w:rsid w:val="002D7D64"/>
    <w:rsid w:val="002E1E0D"/>
    <w:rsid w:val="002E2091"/>
    <w:rsid w:val="002E5027"/>
    <w:rsid w:val="002E7CC6"/>
    <w:rsid w:val="002F3523"/>
    <w:rsid w:val="002F3B0C"/>
    <w:rsid w:val="002F5CFA"/>
    <w:rsid w:val="002F7458"/>
    <w:rsid w:val="0030026F"/>
    <w:rsid w:val="00310C2F"/>
    <w:rsid w:val="00311E33"/>
    <w:rsid w:val="00314B4F"/>
    <w:rsid w:val="00322CB1"/>
    <w:rsid w:val="00324E0E"/>
    <w:rsid w:val="003375B3"/>
    <w:rsid w:val="0034200F"/>
    <w:rsid w:val="0034423C"/>
    <w:rsid w:val="003465B6"/>
    <w:rsid w:val="00347171"/>
    <w:rsid w:val="00350AE0"/>
    <w:rsid w:val="003533A2"/>
    <w:rsid w:val="00353673"/>
    <w:rsid w:val="0035446B"/>
    <w:rsid w:val="0035503D"/>
    <w:rsid w:val="0036080C"/>
    <w:rsid w:val="003644C9"/>
    <w:rsid w:val="003648EB"/>
    <w:rsid w:val="00365F91"/>
    <w:rsid w:val="00367CA7"/>
    <w:rsid w:val="003732A7"/>
    <w:rsid w:val="003750AF"/>
    <w:rsid w:val="00375A8E"/>
    <w:rsid w:val="0038124E"/>
    <w:rsid w:val="003840D7"/>
    <w:rsid w:val="00390C49"/>
    <w:rsid w:val="00393758"/>
    <w:rsid w:val="00394283"/>
    <w:rsid w:val="0039444D"/>
    <w:rsid w:val="00395BBF"/>
    <w:rsid w:val="00397B27"/>
    <w:rsid w:val="003A2F55"/>
    <w:rsid w:val="003A6E6B"/>
    <w:rsid w:val="003A7128"/>
    <w:rsid w:val="003A76F8"/>
    <w:rsid w:val="003B0E50"/>
    <w:rsid w:val="003B1D06"/>
    <w:rsid w:val="003B20AB"/>
    <w:rsid w:val="003B38A2"/>
    <w:rsid w:val="003B4988"/>
    <w:rsid w:val="003B7B0D"/>
    <w:rsid w:val="003C37A4"/>
    <w:rsid w:val="003D1BD9"/>
    <w:rsid w:val="003D60DB"/>
    <w:rsid w:val="003D71FE"/>
    <w:rsid w:val="003E03A3"/>
    <w:rsid w:val="003E3CCD"/>
    <w:rsid w:val="003E647D"/>
    <w:rsid w:val="003E6B50"/>
    <w:rsid w:val="003E7736"/>
    <w:rsid w:val="003F441B"/>
    <w:rsid w:val="003F4BC2"/>
    <w:rsid w:val="003F5E52"/>
    <w:rsid w:val="003F7F70"/>
    <w:rsid w:val="0040258F"/>
    <w:rsid w:val="00402A93"/>
    <w:rsid w:val="00402BA2"/>
    <w:rsid w:val="0040771F"/>
    <w:rsid w:val="00407733"/>
    <w:rsid w:val="00410A96"/>
    <w:rsid w:val="00410BD9"/>
    <w:rsid w:val="004116B6"/>
    <w:rsid w:val="004121F4"/>
    <w:rsid w:val="004150BC"/>
    <w:rsid w:val="00416B87"/>
    <w:rsid w:val="00420432"/>
    <w:rsid w:val="00424BC1"/>
    <w:rsid w:val="00426DC9"/>
    <w:rsid w:val="00434494"/>
    <w:rsid w:val="00435108"/>
    <w:rsid w:val="00435151"/>
    <w:rsid w:val="004354D4"/>
    <w:rsid w:val="0044175C"/>
    <w:rsid w:val="00441FF9"/>
    <w:rsid w:val="00445FFF"/>
    <w:rsid w:val="0044632A"/>
    <w:rsid w:val="00453CBD"/>
    <w:rsid w:val="0046269C"/>
    <w:rsid w:val="004631C6"/>
    <w:rsid w:val="004655B3"/>
    <w:rsid w:val="00473AA9"/>
    <w:rsid w:val="00476505"/>
    <w:rsid w:val="00481B1C"/>
    <w:rsid w:val="00482963"/>
    <w:rsid w:val="00484955"/>
    <w:rsid w:val="00484F62"/>
    <w:rsid w:val="0049073C"/>
    <w:rsid w:val="0049460F"/>
    <w:rsid w:val="004A0A00"/>
    <w:rsid w:val="004A350B"/>
    <w:rsid w:val="004A4455"/>
    <w:rsid w:val="004B2A63"/>
    <w:rsid w:val="004B2DE4"/>
    <w:rsid w:val="004B3A6A"/>
    <w:rsid w:val="004B615E"/>
    <w:rsid w:val="004C34EA"/>
    <w:rsid w:val="004C3A7A"/>
    <w:rsid w:val="004C6B05"/>
    <w:rsid w:val="004D00A7"/>
    <w:rsid w:val="004D2A06"/>
    <w:rsid w:val="004D2B3D"/>
    <w:rsid w:val="004D4504"/>
    <w:rsid w:val="004D4C1F"/>
    <w:rsid w:val="004D7CC3"/>
    <w:rsid w:val="004E106C"/>
    <w:rsid w:val="004E5648"/>
    <w:rsid w:val="004E660F"/>
    <w:rsid w:val="004E6BDD"/>
    <w:rsid w:val="004F21B7"/>
    <w:rsid w:val="0050206B"/>
    <w:rsid w:val="00502237"/>
    <w:rsid w:val="00502F86"/>
    <w:rsid w:val="00503249"/>
    <w:rsid w:val="005043BC"/>
    <w:rsid w:val="0050543D"/>
    <w:rsid w:val="00507CF4"/>
    <w:rsid w:val="005104AA"/>
    <w:rsid w:val="00512A31"/>
    <w:rsid w:val="005134DD"/>
    <w:rsid w:val="005156FA"/>
    <w:rsid w:val="00517BCD"/>
    <w:rsid w:val="00525813"/>
    <w:rsid w:val="00530261"/>
    <w:rsid w:val="0053597C"/>
    <w:rsid w:val="0053617A"/>
    <w:rsid w:val="00536446"/>
    <w:rsid w:val="00546FA1"/>
    <w:rsid w:val="00550647"/>
    <w:rsid w:val="00552D5A"/>
    <w:rsid w:val="00555F28"/>
    <w:rsid w:val="0056211F"/>
    <w:rsid w:val="0056301A"/>
    <w:rsid w:val="00576637"/>
    <w:rsid w:val="0058187A"/>
    <w:rsid w:val="005878E8"/>
    <w:rsid w:val="00587BC8"/>
    <w:rsid w:val="005940F3"/>
    <w:rsid w:val="00595448"/>
    <w:rsid w:val="005A0CD9"/>
    <w:rsid w:val="005A3F3B"/>
    <w:rsid w:val="005A4B44"/>
    <w:rsid w:val="005A5315"/>
    <w:rsid w:val="005A6819"/>
    <w:rsid w:val="005B3352"/>
    <w:rsid w:val="005B4E7B"/>
    <w:rsid w:val="005B5D92"/>
    <w:rsid w:val="005B7330"/>
    <w:rsid w:val="005C34EF"/>
    <w:rsid w:val="005D055B"/>
    <w:rsid w:val="005D5898"/>
    <w:rsid w:val="005D7FB2"/>
    <w:rsid w:val="005E4011"/>
    <w:rsid w:val="005E5481"/>
    <w:rsid w:val="005E64FA"/>
    <w:rsid w:val="005E71BC"/>
    <w:rsid w:val="005F184A"/>
    <w:rsid w:val="005F4AD1"/>
    <w:rsid w:val="005F7082"/>
    <w:rsid w:val="005F762D"/>
    <w:rsid w:val="00606A7E"/>
    <w:rsid w:val="00606C27"/>
    <w:rsid w:val="006145B3"/>
    <w:rsid w:val="006214AE"/>
    <w:rsid w:val="006238E9"/>
    <w:rsid w:val="00624EE8"/>
    <w:rsid w:val="00625C38"/>
    <w:rsid w:val="00626D3D"/>
    <w:rsid w:val="00630636"/>
    <w:rsid w:val="00637700"/>
    <w:rsid w:val="00657B1A"/>
    <w:rsid w:val="0066008B"/>
    <w:rsid w:val="0066346E"/>
    <w:rsid w:val="00663E16"/>
    <w:rsid w:val="0067077C"/>
    <w:rsid w:val="00672732"/>
    <w:rsid w:val="006754C3"/>
    <w:rsid w:val="006810C8"/>
    <w:rsid w:val="00697B26"/>
    <w:rsid w:val="00697E5D"/>
    <w:rsid w:val="006A1074"/>
    <w:rsid w:val="006A24ED"/>
    <w:rsid w:val="006A47D0"/>
    <w:rsid w:val="006A7CB9"/>
    <w:rsid w:val="006B2F7D"/>
    <w:rsid w:val="006B431C"/>
    <w:rsid w:val="006B4C24"/>
    <w:rsid w:val="006C095A"/>
    <w:rsid w:val="006C64C4"/>
    <w:rsid w:val="006D7D68"/>
    <w:rsid w:val="006F029E"/>
    <w:rsid w:val="006F04D1"/>
    <w:rsid w:val="006F7327"/>
    <w:rsid w:val="006F73FB"/>
    <w:rsid w:val="007019B1"/>
    <w:rsid w:val="00703065"/>
    <w:rsid w:val="007032EF"/>
    <w:rsid w:val="00703BDF"/>
    <w:rsid w:val="00704070"/>
    <w:rsid w:val="0071611C"/>
    <w:rsid w:val="0071736B"/>
    <w:rsid w:val="00720C3F"/>
    <w:rsid w:val="00726DA5"/>
    <w:rsid w:val="007272CD"/>
    <w:rsid w:val="00730DED"/>
    <w:rsid w:val="00730EDD"/>
    <w:rsid w:val="00731733"/>
    <w:rsid w:val="00737E42"/>
    <w:rsid w:val="00741992"/>
    <w:rsid w:val="00741A62"/>
    <w:rsid w:val="00743AE1"/>
    <w:rsid w:val="00743FF3"/>
    <w:rsid w:val="00745629"/>
    <w:rsid w:val="007457FD"/>
    <w:rsid w:val="00746453"/>
    <w:rsid w:val="00750A66"/>
    <w:rsid w:val="007542B0"/>
    <w:rsid w:val="00756288"/>
    <w:rsid w:val="00757537"/>
    <w:rsid w:val="0076026E"/>
    <w:rsid w:val="00760308"/>
    <w:rsid w:val="0076394B"/>
    <w:rsid w:val="00764607"/>
    <w:rsid w:val="00764C95"/>
    <w:rsid w:val="00767FDB"/>
    <w:rsid w:val="007707FF"/>
    <w:rsid w:val="00772EBE"/>
    <w:rsid w:val="007733E3"/>
    <w:rsid w:val="0078042E"/>
    <w:rsid w:val="0078676A"/>
    <w:rsid w:val="00787CF4"/>
    <w:rsid w:val="00790E06"/>
    <w:rsid w:val="007943C3"/>
    <w:rsid w:val="007970AC"/>
    <w:rsid w:val="007A18FB"/>
    <w:rsid w:val="007A2122"/>
    <w:rsid w:val="007A7CF6"/>
    <w:rsid w:val="007B0CC6"/>
    <w:rsid w:val="007B10DD"/>
    <w:rsid w:val="007B19DB"/>
    <w:rsid w:val="007B361D"/>
    <w:rsid w:val="007B78B8"/>
    <w:rsid w:val="007C22B0"/>
    <w:rsid w:val="007C2666"/>
    <w:rsid w:val="007C3E3A"/>
    <w:rsid w:val="007D186D"/>
    <w:rsid w:val="007E212C"/>
    <w:rsid w:val="007E484B"/>
    <w:rsid w:val="007E537F"/>
    <w:rsid w:val="007F0BD5"/>
    <w:rsid w:val="007F5FE1"/>
    <w:rsid w:val="0080048E"/>
    <w:rsid w:val="00801252"/>
    <w:rsid w:val="00813A9F"/>
    <w:rsid w:val="00814543"/>
    <w:rsid w:val="008146FA"/>
    <w:rsid w:val="00821826"/>
    <w:rsid w:val="008229F4"/>
    <w:rsid w:val="00824EA9"/>
    <w:rsid w:val="00830E0F"/>
    <w:rsid w:val="008344F6"/>
    <w:rsid w:val="0084019A"/>
    <w:rsid w:val="00840918"/>
    <w:rsid w:val="00842845"/>
    <w:rsid w:val="00846F54"/>
    <w:rsid w:val="00854FA4"/>
    <w:rsid w:val="0085622D"/>
    <w:rsid w:val="008673D8"/>
    <w:rsid w:val="00867829"/>
    <w:rsid w:val="00870179"/>
    <w:rsid w:val="00880938"/>
    <w:rsid w:val="00882BE2"/>
    <w:rsid w:val="00895FB9"/>
    <w:rsid w:val="008A0AAD"/>
    <w:rsid w:val="008A6ADF"/>
    <w:rsid w:val="008A7977"/>
    <w:rsid w:val="008A7E3E"/>
    <w:rsid w:val="008B38E3"/>
    <w:rsid w:val="008B55DD"/>
    <w:rsid w:val="008B58DD"/>
    <w:rsid w:val="008B7FEE"/>
    <w:rsid w:val="008C18E3"/>
    <w:rsid w:val="008C46E2"/>
    <w:rsid w:val="008C4D32"/>
    <w:rsid w:val="008D14D3"/>
    <w:rsid w:val="008D441F"/>
    <w:rsid w:val="008F196A"/>
    <w:rsid w:val="008F3632"/>
    <w:rsid w:val="008F6214"/>
    <w:rsid w:val="008F6D47"/>
    <w:rsid w:val="008F7A42"/>
    <w:rsid w:val="00903C17"/>
    <w:rsid w:val="00904E9B"/>
    <w:rsid w:val="009052E6"/>
    <w:rsid w:val="00905FD3"/>
    <w:rsid w:val="0091325D"/>
    <w:rsid w:val="00915B0E"/>
    <w:rsid w:val="009230D2"/>
    <w:rsid w:val="0092428B"/>
    <w:rsid w:val="00935136"/>
    <w:rsid w:val="0093697D"/>
    <w:rsid w:val="00936E78"/>
    <w:rsid w:val="00957E9C"/>
    <w:rsid w:val="0096144C"/>
    <w:rsid w:val="0096535E"/>
    <w:rsid w:val="00965A81"/>
    <w:rsid w:val="009664EC"/>
    <w:rsid w:val="00974CA6"/>
    <w:rsid w:val="009763F2"/>
    <w:rsid w:val="00976440"/>
    <w:rsid w:val="00977136"/>
    <w:rsid w:val="00977C5B"/>
    <w:rsid w:val="0098471C"/>
    <w:rsid w:val="00987A23"/>
    <w:rsid w:val="00987B62"/>
    <w:rsid w:val="00992563"/>
    <w:rsid w:val="009948E8"/>
    <w:rsid w:val="00997F45"/>
    <w:rsid w:val="009A0208"/>
    <w:rsid w:val="009A317C"/>
    <w:rsid w:val="009A58E5"/>
    <w:rsid w:val="009B0208"/>
    <w:rsid w:val="009B1602"/>
    <w:rsid w:val="009B1CA7"/>
    <w:rsid w:val="009C0F23"/>
    <w:rsid w:val="009C3255"/>
    <w:rsid w:val="009C402F"/>
    <w:rsid w:val="009C4F5B"/>
    <w:rsid w:val="009C7019"/>
    <w:rsid w:val="009D06D5"/>
    <w:rsid w:val="009D1B44"/>
    <w:rsid w:val="009D2546"/>
    <w:rsid w:val="009D4249"/>
    <w:rsid w:val="009E229B"/>
    <w:rsid w:val="009E46E3"/>
    <w:rsid w:val="009F3B34"/>
    <w:rsid w:val="009F4795"/>
    <w:rsid w:val="009F5CCC"/>
    <w:rsid w:val="00A0018D"/>
    <w:rsid w:val="00A0233D"/>
    <w:rsid w:val="00A03399"/>
    <w:rsid w:val="00A07544"/>
    <w:rsid w:val="00A177BF"/>
    <w:rsid w:val="00A2412E"/>
    <w:rsid w:val="00A256B0"/>
    <w:rsid w:val="00A275D1"/>
    <w:rsid w:val="00A3326D"/>
    <w:rsid w:val="00A41536"/>
    <w:rsid w:val="00A41A14"/>
    <w:rsid w:val="00A420A7"/>
    <w:rsid w:val="00A47283"/>
    <w:rsid w:val="00A508D4"/>
    <w:rsid w:val="00A529A6"/>
    <w:rsid w:val="00A52F14"/>
    <w:rsid w:val="00A5443B"/>
    <w:rsid w:val="00A54CBB"/>
    <w:rsid w:val="00A55C7E"/>
    <w:rsid w:val="00A610F0"/>
    <w:rsid w:val="00A6293B"/>
    <w:rsid w:val="00A63E0C"/>
    <w:rsid w:val="00A741C8"/>
    <w:rsid w:val="00A744C9"/>
    <w:rsid w:val="00A75035"/>
    <w:rsid w:val="00A80BE8"/>
    <w:rsid w:val="00A873BC"/>
    <w:rsid w:val="00A92F57"/>
    <w:rsid w:val="00AA1DB2"/>
    <w:rsid w:val="00AA2DFF"/>
    <w:rsid w:val="00AB083A"/>
    <w:rsid w:val="00AC3519"/>
    <w:rsid w:val="00AD05C3"/>
    <w:rsid w:val="00AD2D6B"/>
    <w:rsid w:val="00AD4507"/>
    <w:rsid w:val="00AD7D01"/>
    <w:rsid w:val="00AF02C4"/>
    <w:rsid w:val="00B02AC5"/>
    <w:rsid w:val="00B036FB"/>
    <w:rsid w:val="00B03E5C"/>
    <w:rsid w:val="00B13DAB"/>
    <w:rsid w:val="00B17BC7"/>
    <w:rsid w:val="00B20549"/>
    <w:rsid w:val="00B207BD"/>
    <w:rsid w:val="00B26A68"/>
    <w:rsid w:val="00B27901"/>
    <w:rsid w:val="00B30A8B"/>
    <w:rsid w:val="00B3620F"/>
    <w:rsid w:val="00B41D03"/>
    <w:rsid w:val="00B458C5"/>
    <w:rsid w:val="00B46442"/>
    <w:rsid w:val="00B50A93"/>
    <w:rsid w:val="00B564E2"/>
    <w:rsid w:val="00B57485"/>
    <w:rsid w:val="00B61A84"/>
    <w:rsid w:val="00B66C4E"/>
    <w:rsid w:val="00B74EA2"/>
    <w:rsid w:val="00B7566E"/>
    <w:rsid w:val="00B776F3"/>
    <w:rsid w:val="00B80308"/>
    <w:rsid w:val="00B82111"/>
    <w:rsid w:val="00B848EF"/>
    <w:rsid w:val="00B8615C"/>
    <w:rsid w:val="00B9140D"/>
    <w:rsid w:val="00B94B6F"/>
    <w:rsid w:val="00B96C32"/>
    <w:rsid w:val="00B97977"/>
    <w:rsid w:val="00BA0EEF"/>
    <w:rsid w:val="00BA7C36"/>
    <w:rsid w:val="00BB40AB"/>
    <w:rsid w:val="00BB46A6"/>
    <w:rsid w:val="00BB6498"/>
    <w:rsid w:val="00BC0DFE"/>
    <w:rsid w:val="00BC3627"/>
    <w:rsid w:val="00BC69E8"/>
    <w:rsid w:val="00BE2150"/>
    <w:rsid w:val="00BE3112"/>
    <w:rsid w:val="00BE4302"/>
    <w:rsid w:val="00BE6721"/>
    <w:rsid w:val="00BF0CDE"/>
    <w:rsid w:val="00BF18D7"/>
    <w:rsid w:val="00BF2889"/>
    <w:rsid w:val="00BF66F9"/>
    <w:rsid w:val="00BF6919"/>
    <w:rsid w:val="00C004DA"/>
    <w:rsid w:val="00C03A5F"/>
    <w:rsid w:val="00C20C95"/>
    <w:rsid w:val="00C231C8"/>
    <w:rsid w:val="00C2657B"/>
    <w:rsid w:val="00C33F57"/>
    <w:rsid w:val="00C40C4C"/>
    <w:rsid w:val="00C414CB"/>
    <w:rsid w:val="00C4277B"/>
    <w:rsid w:val="00C45D23"/>
    <w:rsid w:val="00C5417B"/>
    <w:rsid w:val="00C61A62"/>
    <w:rsid w:val="00C66048"/>
    <w:rsid w:val="00C672F6"/>
    <w:rsid w:val="00C73FB0"/>
    <w:rsid w:val="00C7754E"/>
    <w:rsid w:val="00C802F2"/>
    <w:rsid w:val="00C80E24"/>
    <w:rsid w:val="00C82329"/>
    <w:rsid w:val="00C85F37"/>
    <w:rsid w:val="00C8638B"/>
    <w:rsid w:val="00C87BAE"/>
    <w:rsid w:val="00C91261"/>
    <w:rsid w:val="00C96826"/>
    <w:rsid w:val="00C96B0B"/>
    <w:rsid w:val="00C9797C"/>
    <w:rsid w:val="00CA1B28"/>
    <w:rsid w:val="00CA1E88"/>
    <w:rsid w:val="00CA361C"/>
    <w:rsid w:val="00CB1481"/>
    <w:rsid w:val="00CB7FF3"/>
    <w:rsid w:val="00CC2318"/>
    <w:rsid w:val="00CD14E3"/>
    <w:rsid w:val="00CE4832"/>
    <w:rsid w:val="00CF361A"/>
    <w:rsid w:val="00CF4988"/>
    <w:rsid w:val="00CF56F4"/>
    <w:rsid w:val="00D00DC1"/>
    <w:rsid w:val="00D01409"/>
    <w:rsid w:val="00D0386F"/>
    <w:rsid w:val="00D06046"/>
    <w:rsid w:val="00D06919"/>
    <w:rsid w:val="00D072F4"/>
    <w:rsid w:val="00D11504"/>
    <w:rsid w:val="00D15078"/>
    <w:rsid w:val="00D16614"/>
    <w:rsid w:val="00D2415F"/>
    <w:rsid w:val="00D34FCB"/>
    <w:rsid w:val="00D35118"/>
    <w:rsid w:val="00D364D6"/>
    <w:rsid w:val="00D368CF"/>
    <w:rsid w:val="00D36F81"/>
    <w:rsid w:val="00D424B6"/>
    <w:rsid w:val="00D46641"/>
    <w:rsid w:val="00D530FB"/>
    <w:rsid w:val="00D55B3F"/>
    <w:rsid w:val="00D570AA"/>
    <w:rsid w:val="00D60DA2"/>
    <w:rsid w:val="00D626EA"/>
    <w:rsid w:val="00D66B2E"/>
    <w:rsid w:val="00D721FC"/>
    <w:rsid w:val="00D84C8D"/>
    <w:rsid w:val="00D85641"/>
    <w:rsid w:val="00D90639"/>
    <w:rsid w:val="00D92A58"/>
    <w:rsid w:val="00DA6B68"/>
    <w:rsid w:val="00DB51E4"/>
    <w:rsid w:val="00DB561D"/>
    <w:rsid w:val="00DB6900"/>
    <w:rsid w:val="00DC2217"/>
    <w:rsid w:val="00DC7025"/>
    <w:rsid w:val="00DC70C7"/>
    <w:rsid w:val="00DD07E6"/>
    <w:rsid w:val="00DD2AC5"/>
    <w:rsid w:val="00DD2D27"/>
    <w:rsid w:val="00DD5306"/>
    <w:rsid w:val="00DD5B9F"/>
    <w:rsid w:val="00DD67D1"/>
    <w:rsid w:val="00DE1256"/>
    <w:rsid w:val="00DE136B"/>
    <w:rsid w:val="00DE7F58"/>
    <w:rsid w:val="00DF1145"/>
    <w:rsid w:val="00DF1D4B"/>
    <w:rsid w:val="00DF2E42"/>
    <w:rsid w:val="00DF7B4C"/>
    <w:rsid w:val="00E00B4B"/>
    <w:rsid w:val="00E00D8D"/>
    <w:rsid w:val="00E07FA6"/>
    <w:rsid w:val="00E11CC7"/>
    <w:rsid w:val="00E17B74"/>
    <w:rsid w:val="00E20D4D"/>
    <w:rsid w:val="00E218B2"/>
    <w:rsid w:val="00E42C9C"/>
    <w:rsid w:val="00E469A0"/>
    <w:rsid w:val="00E47201"/>
    <w:rsid w:val="00E50BFE"/>
    <w:rsid w:val="00E53F40"/>
    <w:rsid w:val="00E556F1"/>
    <w:rsid w:val="00E60A8E"/>
    <w:rsid w:val="00E62306"/>
    <w:rsid w:val="00E627E5"/>
    <w:rsid w:val="00E71014"/>
    <w:rsid w:val="00E73B86"/>
    <w:rsid w:val="00E766C2"/>
    <w:rsid w:val="00E76FA5"/>
    <w:rsid w:val="00E773FE"/>
    <w:rsid w:val="00E822E4"/>
    <w:rsid w:val="00E938F8"/>
    <w:rsid w:val="00E941E0"/>
    <w:rsid w:val="00E96060"/>
    <w:rsid w:val="00EA08A3"/>
    <w:rsid w:val="00EA46E9"/>
    <w:rsid w:val="00EB2706"/>
    <w:rsid w:val="00EB7AD1"/>
    <w:rsid w:val="00EC40E0"/>
    <w:rsid w:val="00EC7AD6"/>
    <w:rsid w:val="00ED5427"/>
    <w:rsid w:val="00EE4FB0"/>
    <w:rsid w:val="00EF4873"/>
    <w:rsid w:val="00EF7DA8"/>
    <w:rsid w:val="00F0040C"/>
    <w:rsid w:val="00F00BD2"/>
    <w:rsid w:val="00F06AD2"/>
    <w:rsid w:val="00F12046"/>
    <w:rsid w:val="00F14D1E"/>
    <w:rsid w:val="00F15A48"/>
    <w:rsid w:val="00F21A5A"/>
    <w:rsid w:val="00F231AD"/>
    <w:rsid w:val="00F25048"/>
    <w:rsid w:val="00F34D85"/>
    <w:rsid w:val="00F377B3"/>
    <w:rsid w:val="00F42122"/>
    <w:rsid w:val="00F45655"/>
    <w:rsid w:val="00F46846"/>
    <w:rsid w:val="00F51FFF"/>
    <w:rsid w:val="00F52361"/>
    <w:rsid w:val="00F579B3"/>
    <w:rsid w:val="00F64429"/>
    <w:rsid w:val="00F67C30"/>
    <w:rsid w:val="00F70BEA"/>
    <w:rsid w:val="00F7265B"/>
    <w:rsid w:val="00F74CE3"/>
    <w:rsid w:val="00F75999"/>
    <w:rsid w:val="00F80E4F"/>
    <w:rsid w:val="00F82EBA"/>
    <w:rsid w:val="00F84CA8"/>
    <w:rsid w:val="00F85EF7"/>
    <w:rsid w:val="00F916E3"/>
    <w:rsid w:val="00F91906"/>
    <w:rsid w:val="00F91E3A"/>
    <w:rsid w:val="00FA66E6"/>
    <w:rsid w:val="00FA6ED7"/>
    <w:rsid w:val="00FB3851"/>
    <w:rsid w:val="00FB6FBA"/>
    <w:rsid w:val="00FB7583"/>
    <w:rsid w:val="00FB7DB2"/>
    <w:rsid w:val="00FD1700"/>
    <w:rsid w:val="00FD198F"/>
    <w:rsid w:val="00FD69A9"/>
    <w:rsid w:val="00FD7768"/>
    <w:rsid w:val="00FE3D5B"/>
    <w:rsid w:val="00FE4546"/>
    <w:rsid w:val="00FE4BD3"/>
    <w:rsid w:val="00FF13ED"/>
    <w:rsid w:val="00FF15BC"/>
    <w:rsid w:val="00FF352E"/>
    <w:rsid w:val="00FF4DF4"/>
    <w:rsid w:val="00FF5190"/>
    <w:rsid w:val="0A994AAA"/>
    <w:rsid w:val="12E47774"/>
    <w:rsid w:val="38287576"/>
    <w:rsid w:val="77EC5303"/>
    <w:rsid w:val="7BD15DB2"/>
    <w:rsid w:val="A0F40B7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link w:val="15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link w:val="14"/>
    <w:semiHidden/>
    <w:unhideWhenUsed/>
    <w:qFormat/>
    <w:uiPriority w:val="99"/>
    <w:pPr>
      <w:spacing w:after="120"/>
      <w:ind w:left="420" w:leftChars="200"/>
    </w:pPr>
  </w:style>
  <w:style w:type="paragraph" w:styleId="4">
    <w:name w:val="Date"/>
    <w:basedOn w:val="1"/>
    <w:next w:val="1"/>
    <w:link w:val="19"/>
    <w:semiHidden/>
    <w:unhideWhenUsed/>
    <w:uiPriority w:val="99"/>
    <w:pPr>
      <w:ind w:left="100" w:leftChars="2500"/>
    </w:p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6"/>
    <w:qFormat/>
    <w:uiPriority w:val="99"/>
    <w:rPr>
      <w:sz w:val="18"/>
      <w:szCs w:val="18"/>
    </w:rPr>
  </w:style>
  <w:style w:type="character" w:customStyle="1" w:styleId="14">
    <w:name w:val="正文文本缩进 Char"/>
    <w:basedOn w:val="10"/>
    <w:link w:val="3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5">
    <w:name w:val="正文首行缩进 2 Char"/>
    <w:basedOn w:val="14"/>
    <w:link w:val="2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6">
    <w:name w:val="批注框文本 Char"/>
    <w:basedOn w:val="10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7">
    <w:name w:val="Char Char Char Char Char Char Char Char Char Char Char Char Char"/>
    <w:basedOn w:val="1"/>
    <w:semiHidden/>
    <w:qFormat/>
    <w:uiPriority w:val="0"/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日期 Char"/>
    <w:basedOn w:val="10"/>
    <w:link w:val="4"/>
    <w:semiHidden/>
    <w:uiPriority w:val="99"/>
    <w:rPr>
      <w:rFonts w:ascii="Times New Roman" w:hAnsi="Times New Roman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16</Pages>
  <Words>1282</Words>
  <Characters>7309</Characters>
  <Lines>60</Lines>
  <Paragraphs>17</Paragraphs>
  <TotalTime>4</TotalTime>
  <ScaleCrop>false</ScaleCrop>
  <LinksUpToDate>false</LinksUpToDate>
  <CharactersWithSpaces>8574</CharactersWithSpaces>
  <Application>WPS Office_5.5.1.7991_F1E327BC-269C-435d-A152-05C5408002CA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2021-05-19T10:46:00Z</dcterms:created>
  <dc:creator>W1378</dc:creator>
  <cp:lastModifiedBy>无问</cp:lastModifiedBy>
  <cp:lastPrinted>2019-06-14T14:52:00Z</cp:lastPrinted>
  <dcterms:modified xsi:type="dcterms:W3CDTF">2023-07-18T15:29:54Z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ICV">
    <vt:lpwstr>C25823952CEA8738723FB6640ADBF8F8_42</vt:lpwstr>
  </property>
</Properties>
</file>