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Times New Roman" w:hAnsi="Times New Roman" w:eastAsia="方正小标宋_GBK" w:cs="Times New Roman"/>
          <w:b/>
          <w:sz w:val="44"/>
          <w:szCs w:val="44"/>
        </w:rPr>
      </w:pPr>
      <w:r>
        <w:rPr>
          <w:rFonts w:ascii="Times New Roman" w:hAnsi="Times New Roman" w:eastAsia="方正小标宋_GBK" w:cs="Times New Roman"/>
          <w:b/>
          <w:sz w:val="44"/>
          <w:szCs w:val="44"/>
        </w:rPr>
        <w:t>九寨沟县2019年决算和2020年上半年财政</w:t>
      </w:r>
    </w:p>
    <w:p>
      <w:pPr>
        <w:spacing w:line="576" w:lineRule="exact"/>
        <w:jc w:val="center"/>
        <w:rPr>
          <w:rFonts w:ascii="Times New Roman" w:hAnsi="Times New Roman" w:eastAsia="方正小标宋_GBK" w:cs="Times New Roman"/>
          <w:b/>
          <w:sz w:val="44"/>
          <w:szCs w:val="44"/>
        </w:rPr>
      </w:pPr>
      <w:r>
        <w:rPr>
          <w:rFonts w:ascii="Times New Roman" w:hAnsi="Times New Roman" w:eastAsia="方正小标宋_GBK" w:cs="Times New Roman"/>
          <w:b/>
          <w:sz w:val="44"/>
          <w:szCs w:val="44"/>
        </w:rPr>
        <w:t>预算执行情况报告</w:t>
      </w:r>
    </w:p>
    <w:p>
      <w:pPr>
        <w:spacing w:line="576" w:lineRule="exact"/>
        <w:jc w:val="center"/>
        <w:rPr>
          <w:rFonts w:ascii="Times New Roman" w:hAnsi="Times New Roman" w:eastAsia="方正小标宋_GBK" w:cs="Times New Roman"/>
          <w:b/>
          <w:sz w:val="44"/>
          <w:szCs w:val="44"/>
        </w:rPr>
      </w:pPr>
    </w:p>
    <w:p>
      <w:pPr>
        <w:widowControl/>
        <w:spacing w:line="576" w:lineRule="exact"/>
        <w:jc w:val="center"/>
        <w:rPr>
          <w:rFonts w:ascii="Times New Roman" w:hAnsi="Times New Roman" w:eastAsia="方正楷体_GBK" w:cs="Times New Roman"/>
          <w:b/>
          <w:color w:val="000000"/>
          <w:sz w:val="32"/>
          <w:szCs w:val="36"/>
        </w:rPr>
      </w:pPr>
      <w:r>
        <w:rPr>
          <w:rFonts w:ascii="Times New Roman" w:hAnsi="Times New Roman" w:eastAsia="方正楷体_GBK" w:cs="Times New Roman"/>
          <w:b/>
          <w:color w:val="000000"/>
          <w:sz w:val="32"/>
          <w:szCs w:val="36"/>
        </w:rPr>
        <w:t>2020年8月12日在县第十四届人大常委会第44次会议上</w:t>
      </w:r>
    </w:p>
    <w:p>
      <w:pPr>
        <w:widowControl/>
        <w:spacing w:line="576" w:lineRule="exact"/>
        <w:jc w:val="center"/>
        <w:rPr>
          <w:rFonts w:ascii="Times New Roman" w:hAnsi="Times New Roman" w:eastAsia="方正楷体_GBK" w:cs="Times New Roman"/>
          <w:b/>
          <w:color w:val="000000"/>
          <w:sz w:val="32"/>
          <w:szCs w:val="36"/>
        </w:rPr>
      </w:pPr>
      <w:r>
        <w:rPr>
          <w:rFonts w:ascii="Times New Roman" w:hAnsi="Times New Roman" w:eastAsia="方正楷体_GBK" w:cs="Times New Roman"/>
          <w:b/>
          <w:color w:val="000000"/>
          <w:sz w:val="32"/>
          <w:szCs w:val="36"/>
        </w:rPr>
        <w:t>九寨沟县财政局局长  王玉梅</w:t>
      </w:r>
    </w:p>
    <w:p>
      <w:pPr>
        <w:widowControl/>
        <w:spacing w:line="576" w:lineRule="exact"/>
        <w:jc w:val="center"/>
        <w:rPr>
          <w:rFonts w:ascii="Times New Roman" w:hAnsi="Times New Roman" w:eastAsia="方正楷体_GBK" w:cs="Times New Roman"/>
          <w:b/>
          <w:color w:val="000000"/>
          <w:sz w:val="36"/>
          <w:szCs w:val="36"/>
        </w:rPr>
      </w:pPr>
    </w:p>
    <w:p>
      <w:pPr>
        <w:spacing w:line="576" w:lineRule="exact"/>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主任、各位副主任、各位委员：</w:t>
      </w:r>
    </w:p>
    <w:p>
      <w:pPr>
        <w:spacing w:line="576" w:lineRule="exact"/>
        <w:ind w:firstLine="643"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受县人民政府委托，向县人大常委会报告九寨沟县2019年决算和2020年上半年财政预算执行情况报告，请予审议。</w:t>
      </w:r>
    </w:p>
    <w:p>
      <w:pPr>
        <w:spacing w:line="576" w:lineRule="exact"/>
        <w:ind w:firstLine="643" w:firstLineChars="200"/>
        <w:rPr>
          <w:rFonts w:ascii="Times New Roman" w:hAnsi="Times New Roman" w:eastAsia="方正仿宋_GBK" w:cs="Times New Roman"/>
          <w:b/>
          <w:sz w:val="32"/>
          <w:szCs w:val="32"/>
        </w:rPr>
      </w:pPr>
    </w:p>
    <w:p>
      <w:pPr>
        <w:spacing w:line="576" w:lineRule="exact"/>
        <w:jc w:val="center"/>
        <w:rPr>
          <w:rFonts w:ascii="Times New Roman" w:hAnsi="Times New Roman" w:eastAsia="方正黑体_GBK" w:cs="Times New Roman"/>
          <w:b/>
          <w:sz w:val="36"/>
          <w:szCs w:val="32"/>
        </w:rPr>
      </w:pPr>
      <w:r>
        <w:rPr>
          <w:rFonts w:ascii="Times New Roman" w:hAnsi="Times New Roman" w:eastAsia="方正黑体_GBK" w:cs="Times New Roman"/>
          <w:b/>
          <w:sz w:val="36"/>
          <w:szCs w:val="32"/>
        </w:rPr>
        <w:t>2019年财政决算情况</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2019年，是中华人民共和国成立70周年，也是我县决战灾后恢复重建、决胜全面小康的关键之年。面对异常繁重的工作任务和严峻复杂的宏观经济形势，在县委的坚强领导下，在县人大的依法监督下，我们坚定以习近平新时代中国特色社会主义思想为指导，深入贯彻党的十九大、十九届四中全会精神和习近平总书记对九寨沟灾后恢复重建重要指示精神，坚定落实省委、州委、县委系列全会工作部署，大力实施“全域发展、绿色崛起”总体战略，全力抓好“1+4”中心工作，落实积极的财政政策，全力支持稳增长、促改革、调结构、惠民生、防风险各项工作，财政运行持续向好，呈现出恢复性快速回升态势，圆满完成了县人大批准的预算和各项财政工作任务。</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一、财政收支决算及平衡情况</w:t>
      </w:r>
    </w:p>
    <w:p>
      <w:pPr>
        <w:spacing w:line="576"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（一）一般公共预算</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1.2019年，辖区内一般公共预算收入34,348万元，同比增</w:t>
      </w:r>
      <w:r>
        <w:rPr>
          <w:rFonts w:hint="eastAsia" w:ascii="Times New Roman" w:hAnsi="Times New Roman" w:eastAsia="方正仿宋_GBK" w:cs="Times New Roman"/>
          <w:b/>
          <w:sz w:val="32"/>
          <w:szCs w:val="32"/>
        </w:rPr>
        <w:t>加</w:t>
      </w:r>
      <w:r>
        <w:rPr>
          <w:rFonts w:ascii="Times New Roman" w:hAnsi="Times New Roman" w:eastAsia="方正仿宋_GBK" w:cs="Times New Roman"/>
          <w:b/>
          <w:sz w:val="32"/>
          <w:szCs w:val="32"/>
        </w:rPr>
        <w:t>6,060万元，增长21.42%。其中：上划中央13,440万元、省级573万元、州级6,628万元；县本级一般公共预算收入13,707万元，为调整预算的125.87%，完成了全年收入目标任务。本级收入分类完成情况：</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（1）增值税5,416万元；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（2）企业所得税363万元；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（3）个人所得税339万元；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（4）资源税913万元；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（5）城市维护建设税416万元；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（6）房产税226万元；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（7）印花税346万元；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（8）城镇土地使用税488万元；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（9）土地增值税529万元；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（10）车船税311万元；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（11）契税1,031万元；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（12）环境保护税6万元；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（13）其他税收28万元；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（14）专项收入1,204万元；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（15）行政性收费收入648万元；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（16）罚没收入555万元；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（17）国有资源（资产）有偿使用收入490万元；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（18）其他收入398万元。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2.2019年一般公共预算支出268,769万元，支出分类情况如下：</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（1）一般公共服务支出21,904万元；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（2）国防支出24万元；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（3）公共安全支出9,818万元；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（4）教育支出21,768万元；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（5）科学技术支出699万元；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（6）文化旅游体育与传媒支出16,081万元；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（7）社会保障和就业支出16,929万元；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（8）卫生健康支出21,969万元；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（9）环境保护支出25,514万元；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（10）城乡社区支出20,322万元；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（11）农林水支出49,339万元；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（12）交通运输支出34,455万元；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（13）资源勘探信息等支出509万元；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（14）商业服务业等支出1,522万元；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（15）自然资源海洋气象等支出7,225万元；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（16）住房保障支出6,118万元；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（17）粮油物资储备支出276万元；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（18）灾害防治及应急管理支出6,534万元；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（19）其他支出5,237万元；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（20）债务付息支出2,500万元；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（21）债务发行费用支出26万元。</w:t>
      </w:r>
    </w:p>
    <w:p>
      <w:pPr>
        <w:spacing w:line="576" w:lineRule="exact"/>
        <w:ind w:firstLine="643" w:firstLineChars="200"/>
        <w:rPr>
          <w:rFonts w:hint="eastAsia" w:ascii="Times New Roman" w:hAnsi="Times New Roman" w:eastAsia="方正仿宋_GBK" w:cs="Times New Roman"/>
          <w:b/>
          <w:sz w:val="32"/>
          <w:szCs w:val="32"/>
        </w:rPr>
      </w:pPr>
      <w:r>
        <w:rPr>
          <w:rFonts w:ascii="Times New Roman" w:hAnsi="Times New Roman" w:eastAsia="方正仿宋_GBK" w:cs="Times New Roman"/>
          <w:b/>
          <w:sz w:val="32"/>
          <w:szCs w:val="32"/>
        </w:rPr>
        <w:t>2019年，</w:t>
      </w:r>
      <w:r>
        <w:rPr>
          <w:rFonts w:hint="eastAsia" w:ascii="Times New Roman" w:hAnsi="Times New Roman" w:eastAsia="方正仿宋_GBK" w:cs="Times New Roman"/>
          <w:b/>
          <w:sz w:val="32"/>
          <w:szCs w:val="32"/>
        </w:rPr>
        <w:t>全县</w:t>
      </w:r>
      <w:r>
        <w:rPr>
          <w:rFonts w:ascii="Times New Roman" w:hAnsi="Times New Roman" w:eastAsia="方正仿宋_GBK" w:cs="Times New Roman"/>
          <w:b/>
          <w:sz w:val="32"/>
          <w:szCs w:val="32"/>
        </w:rPr>
        <w:t>行政事业单位财政拨款“三公”经费支出1,924.7</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w:t>
      </w:r>
      <w:r>
        <w:rPr>
          <w:rFonts w:hint="eastAsia" w:ascii="Times New Roman" w:hAnsi="Times New Roman" w:eastAsia="方正仿宋_GBK" w:cs="Times New Roman"/>
          <w:b/>
          <w:sz w:val="32"/>
          <w:szCs w:val="32"/>
        </w:rPr>
        <w:t>同比</w:t>
      </w:r>
      <w:r>
        <w:rPr>
          <w:rFonts w:ascii="Times New Roman" w:hAnsi="Times New Roman" w:eastAsia="方正仿宋_GBK" w:cs="Times New Roman"/>
          <w:b/>
          <w:sz w:val="32"/>
          <w:szCs w:val="32"/>
        </w:rPr>
        <w:t>减少121.2</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元，主要是各部门牢固树立过紧日子思想，贯彻落实厉行节约有关要求，加强因公出国（境）和公务用车管理，规范公务接待活动，减少了相关支出。其中：因公出国（境）经费1.4</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w:t>
      </w:r>
      <w:r>
        <w:rPr>
          <w:rFonts w:hint="eastAsia" w:ascii="Times New Roman" w:hAnsi="Times New Roman" w:eastAsia="方正仿宋_GBK" w:cs="Times New Roman"/>
          <w:b/>
          <w:sz w:val="32"/>
          <w:szCs w:val="32"/>
        </w:rPr>
        <w:t>同比</w:t>
      </w:r>
      <w:r>
        <w:rPr>
          <w:rFonts w:ascii="Times New Roman" w:hAnsi="Times New Roman" w:eastAsia="方正仿宋_GBK" w:cs="Times New Roman"/>
          <w:b/>
          <w:sz w:val="32"/>
          <w:szCs w:val="32"/>
        </w:rPr>
        <w:t>减少2</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元；公务用车购置及运行费1,691.5</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w:t>
      </w:r>
      <w:r>
        <w:rPr>
          <w:rFonts w:hint="eastAsia" w:ascii="Times New Roman" w:hAnsi="Times New Roman" w:eastAsia="方正仿宋_GBK" w:cs="Times New Roman"/>
          <w:b/>
          <w:sz w:val="32"/>
          <w:szCs w:val="32"/>
        </w:rPr>
        <w:t>同比</w:t>
      </w:r>
      <w:r>
        <w:rPr>
          <w:rFonts w:ascii="Times New Roman" w:hAnsi="Times New Roman" w:eastAsia="方正仿宋_GBK" w:cs="Times New Roman"/>
          <w:b/>
          <w:sz w:val="32"/>
          <w:szCs w:val="32"/>
        </w:rPr>
        <w:t>减少102.8</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元；公务接待费231.8</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w:t>
      </w:r>
      <w:r>
        <w:rPr>
          <w:rFonts w:hint="eastAsia" w:ascii="Times New Roman" w:hAnsi="Times New Roman" w:eastAsia="方正仿宋_GBK" w:cs="Times New Roman"/>
          <w:b/>
          <w:sz w:val="32"/>
          <w:szCs w:val="32"/>
        </w:rPr>
        <w:t>同比</w:t>
      </w:r>
      <w:r>
        <w:rPr>
          <w:rFonts w:ascii="Times New Roman" w:hAnsi="Times New Roman" w:eastAsia="方正仿宋_GBK" w:cs="Times New Roman"/>
          <w:b/>
          <w:sz w:val="32"/>
          <w:szCs w:val="32"/>
        </w:rPr>
        <w:t>减少16.5</w:t>
      </w:r>
      <w:r>
        <w:rPr>
          <w:rFonts w:hint="eastAsia" w:ascii="Times New Roman" w:hAnsi="Times New Roman" w:eastAsia="方正仿宋_GBK" w:cs="Times New Roman"/>
          <w:b/>
          <w:sz w:val="32"/>
          <w:szCs w:val="32"/>
        </w:rPr>
        <w:t>万</w:t>
      </w:r>
      <w:r>
        <w:rPr>
          <w:rFonts w:ascii="Times New Roman" w:hAnsi="Times New Roman" w:eastAsia="方正仿宋_GBK" w:cs="Times New Roman"/>
          <w:b/>
          <w:sz w:val="32"/>
          <w:szCs w:val="32"/>
        </w:rPr>
        <w:t>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3.预算平衡情况：财政总量收入283,917万元，其中：本级一般公共预算收入13,707万元、返还性收入3,245万元、一般性转移支付收入132,823万元、专项转移支付收入87,410万元、地方政府一般债券转贷收入23,565万元、上年结余6,453万元、调入政府性基金预算17万元、调入预算稳定调节基金12,697万元、其他地区援助收入4,000万元。总收入减当年县本级一般公共预算支出268,769万元、上解支出546万元、地方政府债务还本支出2,015万元、安排预算稳定调节基金5,678万元，年终滚存结余6,909万元（均为按规定应结转下年继续安排使用的专项资金结余），实现了预算收支平衡。</w:t>
      </w:r>
    </w:p>
    <w:p>
      <w:pPr>
        <w:spacing w:line="576"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（二）政府性基金预算</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2019年政府性基金收入7,222万元、上级补助收入4,111万元、上年结余652万元、债务转贷收入23,100万元，构成2019年政府性基金预算总收入35,085万元。2019年政府性基金支出35,066万元，政府性基金预算调出17万元，年终结余2万元。</w:t>
      </w:r>
    </w:p>
    <w:p>
      <w:pPr>
        <w:spacing w:line="576"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（三）社会保险基金预算</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2019年社会保险基金预算总收入1,494万元，2019年社会保险基金支出924万元，当年结余570万元，年终累计结余3,975万元。</w:t>
      </w:r>
    </w:p>
    <w:p>
      <w:pPr>
        <w:spacing w:line="576"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（四）国有资本经营预算</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2019年</w:t>
      </w:r>
      <w:r>
        <w:rPr>
          <w:rFonts w:ascii="Times New Roman" w:hAnsi="Times New Roman" w:eastAsia="方正仿宋_GBK" w:cs="Times New Roman"/>
          <w:b/>
          <w:color w:val="000000"/>
          <w:sz w:val="32"/>
          <w:szCs w:val="32"/>
        </w:rPr>
        <w:t>未产生国有资本经营收入</w:t>
      </w:r>
      <w:r>
        <w:rPr>
          <w:rFonts w:ascii="Times New Roman" w:hAnsi="Times New Roman" w:eastAsia="方正仿宋_GBK" w:cs="Times New Roman"/>
          <w:b/>
          <w:sz w:val="32"/>
          <w:szCs w:val="32"/>
        </w:rPr>
        <w:t>。</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二、政府债务情况</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2019年，政府性债务余额10.79亿元，同比增加4.47亿元，增长70.58%，用于脱贫攻坚、灾后恢复重建、魅力小镇、旧城改造、旅游发展等项目建设。</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以上数据是州已批复的决算，请予审查批准。</w:t>
      </w:r>
    </w:p>
    <w:p>
      <w:pPr>
        <w:spacing w:line="576" w:lineRule="exact"/>
        <w:ind w:firstLine="643" w:firstLineChars="200"/>
        <w:rPr>
          <w:rFonts w:ascii="Times New Roman" w:hAnsi="Times New Roman" w:eastAsia="方正仿宋_GBK" w:cs="Times New Roman"/>
          <w:b/>
          <w:sz w:val="32"/>
          <w:szCs w:val="32"/>
        </w:rPr>
      </w:pPr>
    </w:p>
    <w:p>
      <w:pPr>
        <w:spacing w:line="576" w:lineRule="exact"/>
        <w:jc w:val="center"/>
        <w:rPr>
          <w:rFonts w:ascii="Times New Roman" w:hAnsi="Times New Roman" w:eastAsia="方正黑体_GBK" w:cs="Times New Roman"/>
          <w:b/>
          <w:sz w:val="36"/>
          <w:szCs w:val="32"/>
        </w:rPr>
      </w:pPr>
      <w:r>
        <w:rPr>
          <w:rFonts w:ascii="Times New Roman" w:hAnsi="Times New Roman" w:eastAsia="方正黑体_GBK" w:cs="Times New Roman"/>
          <w:b/>
          <w:sz w:val="36"/>
          <w:szCs w:val="32"/>
        </w:rPr>
        <w:t>2020年上半年预算执行情况</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2020年，是全面建成小康社会和“十三五”规划的收官之年，也是我县决胜灾后恢复重建和巩固脱贫攻坚成效的关键之年。上半年来，面对国内外风险挑战明显上升的复杂局面，特别是新冠肺炎疫情带来的巨大挑战，财税收入形势十分艰难。在县委的坚强领导下，在县人大的监督支持下，我们积极发挥财政职能作用，努力克服疫情影响，认真贯彻落实各项财税优惠政策，助力复工复产，稳定社会预期，提振企业信心，做到防控疫情和推动经济社会发展两手抓，取得了良好的成效，当前财政运行保持稳中向好良好态势。</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一、预算收支执行情况</w:t>
      </w:r>
    </w:p>
    <w:p>
      <w:pPr>
        <w:spacing w:line="576" w:lineRule="exact"/>
        <w:ind w:firstLine="643" w:firstLineChars="200"/>
        <w:rPr>
          <w:rFonts w:ascii="Times New Roman" w:hAnsi="Times New Roman" w:eastAsia="方正楷体_GBK" w:cs="Times New Roman"/>
          <w:b/>
          <w:color w:val="000000"/>
          <w:sz w:val="32"/>
          <w:szCs w:val="32"/>
        </w:rPr>
      </w:pPr>
      <w:r>
        <w:rPr>
          <w:rFonts w:ascii="Times New Roman" w:hAnsi="Times New Roman" w:eastAsia="方正楷体_GBK" w:cs="Times New Roman"/>
          <w:b/>
          <w:color w:val="000000"/>
          <w:sz w:val="32"/>
          <w:szCs w:val="32"/>
        </w:rPr>
        <w:t>（一）一般公共预算</w:t>
      </w:r>
    </w:p>
    <w:p>
      <w:pPr>
        <w:spacing w:line="576" w:lineRule="exact"/>
        <w:ind w:firstLine="643" w:firstLineChars="200"/>
        <w:rPr>
          <w:rFonts w:ascii="Times New Roman" w:hAnsi="Times New Roman" w:eastAsia="方正仿宋_GBK" w:cs="Times New Roman"/>
          <w:b/>
          <w:color w:val="000000"/>
          <w:sz w:val="32"/>
          <w:szCs w:val="32"/>
        </w:rPr>
      </w:pPr>
      <w:r>
        <w:rPr>
          <w:rFonts w:ascii="Times New Roman" w:hAnsi="Times New Roman" w:eastAsia="方正楷体_GBK" w:cs="Times New Roman"/>
          <w:b/>
          <w:color w:val="000000"/>
          <w:sz w:val="32"/>
          <w:szCs w:val="32"/>
        </w:rPr>
        <w:t>1.收入方面。</w:t>
      </w:r>
      <w:r>
        <w:rPr>
          <w:rFonts w:ascii="Times New Roman" w:hAnsi="Times New Roman" w:eastAsia="方正仿宋_GBK" w:cs="Times New Roman"/>
          <w:b/>
          <w:color w:val="000000"/>
          <w:sz w:val="32"/>
          <w:szCs w:val="32"/>
        </w:rPr>
        <w:t>上半年，累计完成一般公共预算收入9,350万元，为预算的61.92%，同比增长5%。其中：税收收入累计完成6,501万元，非税收入累计完成2,849万元。税收收入占财政收入的比重为69.5%。</w:t>
      </w:r>
    </w:p>
    <w:p>
      <w:pPr>
        <w:spacing w:line="576" w:lineRule="exact"/>
        <w:ind w:firstLine="643"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分部门完成情况：税务部门完成7,018万元，完成预算的54.4%；财政部门完成2,332万元，完成预算的106%。</w:t>
      </w:r>
    </w:p>
    <w:p>
      <w:pPr>
        <w:spacing w:line="576" w:lineRule="exact"/>
        <w:ind w:firstLine="643" w:firstLineChars="200"/>
        <w:rPr>
          <w:rFonts w:ascii="Times New Roman" w:hAnsi="Times New Roman" w:eastAsia="方正仿宋_GBK" w:cs="Times New Roman"/>
          <w:b/>
          <w:color w:val="000000"/>
          <w:sz w:val="32"/>
          <w:szCs w:val="32"/>
        </w:rPr>
      </w:pPr>
      <w:r>
        <w:rPr>
          <w:rFonts w:ascii="Times New Roman" w:hAnsi="Times New Roman" w:eastAsia="方正楷体_GBK" w:cs="Times New Roman"/>
          <w:b/>
          <w:color w:val="000000"/>
          <w:sz w:val="32"/>
          <w:szCs w:val="32"/>
        </w:rPr>
        <w:t>2.支出方面。</w:t>
      </w:r>
      <w:r>
        <w:rPr>
          <w:rFonts w:ascii="Times New Roman" w:hAnsi="Times New Roman" w:eastAsia="方正仿宋_GBK" w:cs="Times New Roman"/>
          <w:b/>
          <w:color w:val="000000"/>
          <w:sz w:val="32"/>
          <w:szCs w:val="32"/>
        </w:rPr>
        <w:t>上半年，累计完成一般公共预算支出136,750万元，完成调整预算任务的51.01%。</w:t>
      </w:r>
    </w:p>
    <w:p>
      <w:pPr>
        <w:spacing w:line="576" w:lineRule="exact"/>
        <w:ind w:firstLine="643" w:firstLineChars="200"/>
        <w:rPr>
          <w:rFonts w:ascii="Times New Roman" w:hAnsi="Times New Roman" w:eastAsia="方正楷体_GBK" w:cs="Times New Roman"/>
          <w:b/>
          <w:color w:val="000000"/>
          <w:sz w:val="32"/>
          <w:szCs w:val="32"/>
        </w:rPr>
      </w:pPr>
      <w:r>
        <w:rPr>
          <w:rFonts w:ascii="Times New Roman" w:hAnsi="Times New Roman" w:eastAsia="方正楷体_GBK" w:cs="Times New Roman"/>
          <w:b/>
          <w:color w:val="000000"/>
          <w:sz w:val="32"/>
          <w:szCs w:val="32"/>
        </w:rPr>
        <w:t>（二）政府性基金预算</w:t>
      </w:r>
    </w:p>
    <w:p>
      <w:pPr>
        <w:spacing w:line="576" w:lineRule="exact"/>
        <w:ind w:firstLine="643" w:firstLineChars="200"/>
        <w:rPr>
          <w:rFonts w:ascii="Times New Roman" w:hAnsi="Times New Roman" w:eastAsia="方正仿宋_GBK" w:cs="Times New Roman"/>
          <w:b/>
          <w:color w:val="FF0000"/>
          <w:sz w:val="32"/>
          <w:szCs w:val="32"/>
          <w:u w:val="single"/>
        </w:rPr>
      </w:pPr>
      <w:r>
        <w:rPr>
          <w:rFonts w:ascii="Times New Roman" w:hAnsi="Times New Roman" w:eastAsia="方正仿宋_GBK" w:cs="Times New Roman"/>
          <w:b/>
          <w:color w:val="000000"/>
          <w:sz w:val="32"/>
          <w:szCs w:val="32"/>
        </w:rPr>
        <w:t>上半年，政府性基金预算收入完成16,711万元，同比增加10,726万元，增长79.21%，主要是土地出让价款收入。预算安排9,395万元，主要用于宜居县城拆迁补偿、被征地农民养老保险、九寨宾馆企业改制补偿款等。</w:t>
      </w:r>
    </w:p>
    <w:p>
      <w:pPr>
        <w:spacing w:line="576" w:lineRule="exact"/>
        <w:ind w:firstLine="643" w:firstLineChars="200"/>
        <w:rPr>
          <w:rFonts w:ascii="Times New Roman" w:hAnsi="Times New Roman" w:eastAsia="方正楷体_GBK" w:cs="Times New Roman"/>
          <w:b/>
          <w:color w:val="000000"/>
          <w:sz w:val="32"/>
          <w:szCs w:val="32"/>
        </w:rPr>
      </w:pPr>
      <w:r>
        <w:rPr>
          <w:rFonts w:ascii="Times New Roman" w:hAnsi="Times New Roman" w:eastAsia="方正楷体_GBK" w:cs="Times New Roman"/>
          <w:b/>
          <w:color w:val="000000"/>
          <w:sz w:val="32"/>
          <w:szCs w:val="32"/>
        </w:rPr>
        <w:t>（三）社会保障基金预算</w:t>
      </w:r>
    </w:p>
    <w:p>
      <w:pPr>
        <w:spacing w:line="576" w:lineRule="exact"/>
        <w:ind w:firstLine="643"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上半年，城乡居民养老保险收入完成1,532万元，同比增加556万元，增长56.97%。支出完成596万元，同比增加121.68万元，增长25.65%。</w:t>
      </w:r>
    </w:p>
    <w:p>
      <w:pPr>
        <w:spacing w:line="576" w:lineRule="exact"/>
        <w:ind w:firstLine="643" w:firstLineChars="200"/>
        <w:rPr>
          <w:rFonts w:ascii="Times New Roman" w:hAnsi="Times New Roman" w:eastAsia="方正楷体_GBK" w:cs="Times New Roman"/>
          <w:b/>
          <w:color w:val="000000"/>
          <w:sz w:val="32"/>
          <w:szCs w:val="32"/>
        </w:rPr>
      </w:pPr>
      <w:r>
        <w:rPr>
          <w:rFonts w:ascii="Times New Roman" w:hAnsi="Times New Roman" w:eastAsia="方正楷体_GBK" w:cs="Times New Roman"/>
          <w:b/>
          <w:color w:val="000000"/>
          <w:sz w:val="32"/>
          <w:szCs w:val="32"/>
        </w:rPr>
        <w:t>（四）国有资本经营预算</w:t>
      </w:r>
    </w:p>
    <w:p>
      <w:pPr>
        <w:spacing w:line="576" w:lineRule="exact"/>
        <w:ind w:firstLine="643" w:firstLineChars="200"/>
        <w:rPr>
          <w:rFonts w:ascii="Times New Roman" w:hAnsi="Times New Roman" w:eastAsia="方正仿宋_GBK" w:cs="Times New Roman"/>
          <w:b/>
          <w:color w:val="000000"/>
          <w:sz w:val="32"/>
          <w:szCs w:val="32"/>
        </w:rPr>
      </w:pPr>
      <w:r>
        <w:rPr>
          <w:rFonts w:ascii="Times New Roman" w:hAnsi="Times New Roman" w:eastAsia="方正仿宋_GBK" w:cs="Times New Roman"/>
          <w:b/>
          <w:color w:val="000000"/>
          <w:sz w:val="32"/>
          <w:szCs w:val="32"/>
        </w:rPr>
        <w:t>上半年，未产生国有资本经营收入。</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二、政府债务情况</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近年来，我县严格按照中央决策部署，切实加强地方政府债务管理，严格控制新增隐性债务，稳妥化解债务存量，坚决守住政府性债务底线和红线。</w:t>
      </w:r>
      <w:r>
        <w:rPr>
          <w:rFonts w:ascii="Times New Roman" w:hAnsi="Times New Roman" w:eastAsia="方正仿宋_GBK" w:cs="Times New Roman"/>
          <w:b/>
          <w:color w:val="000000"/>
          <w:sz w:val="32"/>
          <w:szCs w:val="32"/>
        </w:rPr>
        <w:t>上半年，申报到位项目收益债1亿元。截至目前，全县政府性债务余额11.79亿元（其中：一般债券8.36亿元、项目收益债3.43亿元），债务率43.44%。</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三、主要财税政策落实和重点财政工作情况</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上半年，受新冠肺炎疫情、持续减税降费、经济下行压力加大等因素影响，财税收入形势十分艰难。面对困境，我们始终遵循公共财政取向，深入贯彻中央、省、州财税工作会议精神，扎实做好“六稳”工作、全面落实“六保”任务，实施积极的财政政策，调整优化支出结构，努力把县委、县政府决策部署转化为工作具体行动和现实生产力，推动经济稳中向好，保障财政平稳运行。</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（一）积极争取直达资金支持。</w:t>
      </w:r>
      <w:r>
        <w:rPr>
          <w:rFonts w:ascii="Times New Roman" w:hAnsi="Times New Roman" w:eastAsia="方正仿宋_GBK" w:cs="Times New Roman"/>
          <w:b/>
          <w:sz w:val="32"/>
          <w:szCs w:val="32"/>
        </w:rPr>
        <w:t>面对收入增幅趋缓与刚性支出不断增长的压力，我们积极对接上级财政部门争取各项资金补助。截至</w:t>
      </w:r>
      <w:r>
        <w:rPr>
          <w:rFonts w:hint="eastAsia" w:ascii="Times New Roman" w:hAnsi="Times New Roman" w:eastAsia="方正仿宋_GBK" w:cs="Times New Roman"/>
          <w:b/>
          <w:sz w:val="32"/>
          <w:szCs w:val="32"/>
        </w:rPr>
        <w:t>7月底</w:t>
      </w:r>
      <w:r>
        <w:rPr>
          <w:rFonts w:ascii="Times New Roman" w:hAnsi="Times New Roman" w:eastAsia="方正仿宋_GBK" w:cs="Times New Roman"/>
          <w:b/>
          <w:sz w:val="32"/>
          <w:szCs w:val="32"/>
        </w:rPr>
        <w:t>，我县纳入直达管理的资金共计19,225万元，其中增量资金13,698万元，包括：新增财力7,029万元、专项资金2,869万元、抗疫特别国债3,800万元。按照“六保”“六稳”工作和贫困地区基本财力保障机制要求，根据中央直达资金和抗疫特别国债的相关管理规定，目前已将资金调整安排用于“三保”支出、“三保”之外刚性支出，以及农村污水治理、公共卫生应急区域中心建设等关乎民生福祉的重点项目建设。</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（二）全力保障三保支出需求。</w:t>
      </w:r>
      <w:r>
        <w:rPr>
          <w:rFonts w:ascii="Times New Roman" w:hAnsi="Times New Roman" w:eastAsia="方正仿宋_GBK" w:cs="Times New Roman"/>
          <w:b/>
          <w:sz w:val="32"/>
          <w:szCs w:val="32"/>
        </w:rPr>
        <w:t>根据中央、省、州明确的“三保”保障范围和标准，按照“三保”支出预算的编制要求，结合2020年可用财力，截至目前，已足额编制2020年全县“三保”支出预算，确保各项支出不留缺口，涉及资金6.89亿元，其中：工资性支出5.44亿元，公用经费0.82亿元，基本民生0.63亿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（三）全面落实疫情防控政策。</w:t>
      </w:r>
      <w:r>
        <w:rPr>
          <w:rFonts w:hint="eastAsia" w:ascii="Times New Roman" w:hAnsi="Times New Roman" w:eastAsia="方正仿宋_GBK" w:cs="Times New Roman"/>
          <w:b/>
          <w:sz w:val="32"/>
          <w:szCs w:val="32"/>
        </w:rPr>
        <w:t>坚持</w:t>
      </w:r>
      <w:r>
        <w:rPr>
          <w:rFonts w:ascii="Times New Roman" w:hAnsi="Times New Roman" w:eastAsia="方正仿宋_GBK" w:cs="Times New Roman"/>
          <w:b/>
          <w:sz w:val="32"/>
          <w:szCs w:val="32"/>
        </w:rPr>
        <w:t>将</w:t>
      </w:r>
      <w:r>
        <w:rPr>
          <w:rFonts w:hint="eastAsia" w:ascii="Times New Roman" w:hAnsi="Times New Roman" w:eastAsia="方正仿宋_GBK" w:cs="Times New Roman"/>
          <w:b/>
          <w:sz w:val="32"/>
          <w:szCs w:val="32"/>
        </w:rPr>
        <w:t>疫情防控资金保障放在优先位置，积极筹措资金，切实做好资金调度工作。上半年</w:t>
      </w:r>
      <w:r>
        <w:rPr>
          <w:rFonts w:ascii="Times New Roman" w:hAnsi="Times New Roman" w:eastAsia="方正仿宋_GBK" w:cs="Times New Roman"/>
          <w:b/>
          <w:sz w:val="32"/>
          <w:szCs w:val="32"/>
        </w:rPr>
        <w:t>，筹措下达各类抗疫资金1,507万元，有力的保障了应急医疗物资采购储备和疫情防控工作开展。全面落实各级抗疫优惠政策，积极帮助中小企业纾困突围，收集整理、分类汇总各项财税、金融优惠政策28条，加强与税务、行业主管部门、金融机构沟通协调，畅通政策申报审批渠道，帮助中小企业</w:t>
      </w:r>
      <w:r>
        <w:rPr>
          <w:rFonts w:hint="eastAsia" w:ascii="Times New Roman" w:hAnsi="Times New Roman" w:eastAsia="方正仿宋_GBK" w:cs="Times New Roman"/>
          <w:b/>
          <w:sz w:val="32"/>
          <w:szCs w:val="32"/>
          <w:lang w:val="en-US" w:eastAsia="zh-Hans"/>
        </w:rPr>
        <w:t>渡过</w:t>
      </w:r>
      <w:bookmarkStart w:id="0" w:name="_GoBack"/>
      <w:bookmarkEnd w:id="0"/>
      <w:r>
        <w:rPr>
          <w:rFonts w:ascii="Times New Roman" w:hAnsi="Times New Roman" w:eastAsia="方正仿宋_GBK" w:cs="Times New Roman"/>
          <w:b/>
          <w:sz w:val="32"/>
          <w:szCs w:val="32"/>
        </w:rPr>
        <w:t>难关。</w:t>
      </w:r>
      <w:r>
        <w:rPr>
          <w:rFonts w:hint="eastAsia" w:ascii="Times New Roman" w:hAnsi="Times New Roman" w:eastAsia="方正仿宋_GBK" w:cs="Times New Roman"/>
          <w:b/>
          <w:sz w:val="32"/>
          <w:szCs w:val="32"/>
        </w:rPr>
        <w:t>上</w:t>
      </w:r>
      <w:r>
        <w:rPr>
          <w:rFonts w:ascii="Times New Roman" w:hAnsi="Times New Roman" w:eastAsia="方正仿宋_GBK" w:cs="Times New Roman"/>
          <w:b/>
          <w:sz w:val="32"/>
          <w:szCs w:val="32"/>
        </w:rPr>
        <w:t>半年，发放中、小企业稳岗补贴1,719万元，减免、缓缴社会保险费、失业工伤保险费、车船税等各项税费1,696万元。</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（四）坚决执行减税降费政策。</w:t>
      </w:r>
      <w:r>
        <w:rPr>
          <w:rFonts w:ascii="Times New Roman" w:hAnsi="Times New Roman" w:eastAsia="方正仿宋_GBK" w:cs="Times New Roman"/>
          <w:b/>
          <w:sz w:val="32"/>
          <w:szCs w:val="32"/>
        </w:rPr>
        <w:t>始终把减税降费作为实施积极财政政策，应对经济下行压力的头等大事抓紧抓好。上半年，全县辖区内累计减税降费313万元，占年度一般公共预算收入的2%，为减轻企业负担、促进居民消费、稳定市场预期和扩大就业等方面发挥了重要作用。</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（五）继续支持打好三大攻坚战。</w:t>
      </w:r>
      <w:r>
        <w:rPr>
          <w:rFonts w:ascii="Times New Roman" w:hAnsi="Times New Roman" w:eastAsia="方正仿宋_GBK" w:cs="Times New Roman"/>
          <w:b/>
          <w:sz w:val="32"/>
          <w:szCs w:val="32"/>
        </w:rPr>
        <w:t>一是大力支持脱贫攻坚。紧盯中央如期完成脱贫攻坚，实现第一个百年奋斗目标任务，进一步加大财政资金投入，强化财政涉农资金统筹整合。上半年，投入扶贫领域资金1.98亿元（县级安排2,100万元），共计统筹整合财政涉农资金1.28亿元，有力的支持了基础设施补短、乡村旅游、特色种养殖、农村人居环境整治等项目建设。二是全面落实重建工作要求。继续保持灾后恢复重建劲头不松懈，紧扣县重建委“三个百日攻坚”目标任务安排，及时掌握项目实施进度，做好中省资金对接和安排，督促项目责任单位落实好筹资任务，抓好资金平衡工作，保障重建项目资金需求。截至目前，累计到位重建资金28.55亿元、到位率93%，累计支出重建资金18.73亿元、占完成投资的63.98%。三是积极支持污染防治。将污染防治攻坚作为重点保障和优先支出领域，支持打好大气、水、土壤等污染防治标志性重大战役。上半年投入资金7,948万元，为践行“绿水青山就是金山银山”理念，推动绿色发展提供了坚实的资金保障。四是防范化解财政运行风险。紧盯中央“开前门、堵后门”的思路，严格控制新增隐性债务，并按照谁使用、谁负责的原则，严格落实专项债券项目单位偿债责任，严防专项债券风险。上半年，申请到位项目收益债券1亿元，有力推动魅力小镇建设，助力县域经济提档升级。</w:t>
      </w:r>
    </w:p>
    <w:p>
      <w:pPr>
        <w:spacing w:line="576" w:lineRule="exact"/>
        <w:ind w:firstLine="643" w:firstLineChars="200"/>
        <w:rPr>
          <w:rFonts w:ascii="Times New Roman" w:hAnsi="Times New Roman" w:eastAsia="PMingLiU" w:cs="Times New Roman"/>
          <w:b/>
          <w:sz w:val="32"/>
          <w:szCs w:val="32"/>
          <w:lang w:eastAsia="zh-TW"/>
        </w:rPr>
      </w:pPr>
      <w:r>
        <w:rPr>
          <w:rFonts w:ascii="Times New Roman" w:hAnsi="Times New Roman" w:eastAsia="方正楷体_GBK" w:cs="Times New Roman"/>
          <w:b/>
          <w:sz w:val="32"/>
          <w:szCs w:val="32"/>
        </w:rPr>
        <w:t>（六）持续助力县域经济发展。</w:t>
      </w:r>
      <w:r>
        <w:rPr>
          <w:rFonts w:ascii="Times New Roman" w:hAnsi="Times New Roman" w:eastAsia="方正仿宋_GBK" w:cs="Times New Roman"/>
          <w:b/>
          <w:sz w:val="32"/>
          <w:szCs w:val="32"/>
        </w:rPr>
        <w:t>坚持以用好财政政策、用活财政资金为抓手，不断加大和创新财政投入方式，持续夯实财源基础，壮大县域经济。上半年，注入国有企业资本金4,200万元，着力推动投资运营公司调整国</w:t>
      </w:r>
      <w:r>
        <w:rPr>
          <w:rFonts w:ascii="Times New Roman" w:hAnsi="Times New Roman" w:eastAsia="方正仿宋_GBK" w:cs="Times New Roman"/>
          <w:b/>
          <w:sz w:val="32"/>
          <w:szCs w:val="32"/>
          <w:lang w:eastAsia="zh-TW"/>
        </w:rPr>
        <w:t>有企业布局和结构，增强国有资本控制力和盈利能力；投入资金1,384万元，立足生态文明创建，构建绿色产业体系，推动影响力大、带动性强、优势突出的绿色农畜产品加工业成长发展</w:t>
      </w:r>
      <w:r>
        <w:rPr>
          <w:rFonts w:ascii="Times New Roman" w:hAnsi="Times New Roman" w:eastAsia="方正仿宋_GBK" w:cs="Times New Roman"/>
          <w:b/>
          <w:sz w:val="32"/>
          <w:szCs w:val="32"/>
        </w:rPr>
        <w:t>；投入</w:t>
      </w:r>
      <w:r>
        <w:rPr>
          <w:rFonts w:ascii="Times New Roman" w:hAnsi="Times New Roman" w:eastAsia="方正仿宋_GBK" w:cs="Times New Roman"/>
          <w:b/>
          <w:sz w:val="32"/>
          <w:szCs w:val="32"/>
          <w:lang w:eastAsia="zh-TW"/>
        </w:rPr>
        <w:t>资金3,962</w:t>
      </w:r>
      <w:r>
        <w:rPr>
          <w:rFonts w:ascii="Times New Roman" w:hAnsi="Times New Roman" w:eastAsia="方正仿宋_GBK" w:cs="Times New Roman"/>
          <w:b/>
          <w:sz w:val="32"/>
          <w:szCs w:val="32"/>
        </w:rPr>
        <w:t>万</w:t>
      </w:r>
      <w:r>
        <w:rPr>
          <w:rFonts w:ascii="Times New Roman" w:hAnsi="Times New Roman" w:eastAsia="方正仿宋_GBK" w:cs="Times New Roman"/>
          <w:b/>
          <w:sz w:val="32"/>
          <w:szCs w:val="32"/>
          <w:lang w:eastAsia="zh-TW"/>
        </w:rPr>
        <w:t>元，加快交通、公共基础设施建设，推动文旅产业融合发展，</w:t>
      </w:r>
      <w:r>
        <w:rPr>
          <w:rFonts w:ascii="Times New Roman" w:hAnsi="Times New Roman" w:eastAsia="方正仿宋_GBK" w:cs="Times New Roman"/>
          <w:b/>
          <w:sz w:val="32"/>
          <w:szCs w:val="32"/>
        </w:rPr>
        <w:t>支持“三九大”文化旅游联盟品牌建设，努力培育</w:t>
      </w:r>
      <w:r>
        <w:rPr>
          <w:rFonts w:ascii="Times New Roman" w:hAnsi="Times New Roman" w:eastAsia="方正仿宋_GBK" w:cs="Times New Roman"/>
          <w:b/>
          <w:sz w:val="32"/>
          <w:szCs w:val="32"/>
          <w:lang w:eastAsia="zh-TW"/>
        </w:rPr>
        <w:t>一批</w:t>
      </w:r>
      <w:r>
        <w:rPr>
          <w:rFonts w:ascii="Times New Roman" w:hAnsi="Times New Roman" w:eastAsia="方正仿宋_GBK" w:cs="Times New Roman"/>
          <w:b/>
          <w:sz w:val="32"/>
          <w:szCs w:val="32"/>
        </w:rPr>
        <w:t>全域旅游网红地标景点</w:t>
      </w:r>
      <w:r>
        <w:rPr>
          <w:rFonts w:ascii="Times New Roman" w:hAnsi="Times New Roman" w:eastAsia="方正仿宋_GBK" w:cs="Times New Roman"/>
          <w:b/>
          <w:sz w:val="32"/>
          <w:szCs w:val="32"/>
          <w:lang w:eastAsia="zh-TW"/>
        </w:rPr>
        <w:t>。</w:t>
      </w:r>
    </w:p>
    <w:p>
      <w:pPr>
        <w:spacing w:line="576" w:lineRule="exact"/>
        <w:ind w:firstLine="643" w:firstLineChars="200"/>
        <w:rPr>
          <w:rFonts w:ascii="Times New Roman" w:hAnsi="Times New Roman" w:eastAsia="方正仿宋_GBK" w:cs="Times New Roman"/>
          <w:b/>
          <w:sz w:val="32"/>
          <w:szCs w:val="32"/>
          <w:lang w:eastAsia="zh-TW"/>
        </w:rPr>
      </w:pPr>
      <w:r>
        <w:rPr>
          <w:rFonts w:ascii="Times New Roman" w:hAnsi="Times New Roman" w:eastAsia="方正楷体_GBK" w:cs="Times New Roman"/>
          <w:b/>
          <w:sz w:val="32"/>
          <w:szCs w:val="32"/>
        </w:rPr>
        <w:t>（七）全力支持应急能力提升。</w:t>
      </w:r>
      <w:r>
        <w:rPr>
          <w:rFonts w:ascii="Times New Roman" w:hAnsi="Times New Roman" w:eastAsia="方正仿宋_GBK" w:cs="Times New Roman"/>
          <w:b/>
          <w:sz w:val="32"/>
          <w:szCs w:val="32"/>
          <w:lang w:eastAsia="zh-TW"/>
        </w:rPr>
        <w:t>高度重视公共安全等事关群众切身利益的民生问题，切实加强财政资金保障力度，提升应对各类突发公共事件能力，维护社会安定稳定。上半年，投入资金2,900余万元，全力保障森林防火、防汛减灾、公共卫生、应急管理和应急物资储备等资金需求，最大限度降低突发公共事件造成的危害，维护人民群众的根本利益。</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（八）充分挖掘财政保障潜力。</w:t>
      </w:r>
      <w:r>
        <w:rPr>
          <w:rFonts w:ascii="Times New Roman" w:hAnsi="Times New Roman" w:eastAsia="方正仿宋_GBK" w:cs="Times New Roman"/>
          <w:b/>
          <w:sz w:val="32"/>
          <w:szCs w:val="32"/>
        </w:rPr>
        <w:t>为积极应对新冠疫情、减税降费对财政收入的影响，缓解财政收支矛盾。按照既定的财政存量资金清理机制，自3月初开始，对全县所有预算单位两年以上的结转结余资金进行了全面清理，涉及金额5.9亿元，其中在建项目原渠道下达5.04亿元，对不需按原用途使用的，按规定统筹安排用于债务化解和急需资金的重点领域，有效缓解了当前财政支出压力，提升了财政保障能力。</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（九）持续强化财政监督职能。</w:t>
      </w:r>
      <w:r>
        <w:rPr>
          <w:rFonts w:ascii="Times New Roman" w:hAnsi="Times New Roman" w:eastAsia="方正仿宋_GBK" w:cs="Times New Roman"/>
          <w:b/>
          <w:sz w:val="32"/>
          <w:szCs w:val="32"/>
        </w:rPr>
        <w:t>进一步健全“财政分配监督化，财政监督日常化”的新格局，逐步探索财政支出绩效评价及结果应用长效机制，促进财政资金使用更加高效、更加规范、更加阳光。上半年制定并完善了《九寨沟县预算绩效管理工作实施方案》，组织全县各预算单位完成了项目支出绩效自评工作；上报新增“一卡通”惠民惠农补贴资金项目46个，进一步完善“一卡通”管理平台监控体系；聘请第三方中介机构对2019年财政专项扶贫资金、统筹整合财政涉农资金、19个扶贫专项资金的管理和使用情况进行全覆盖监督检查，涉及项目141个，共计资金2.96亿元，发现57个问题并进行督促整改，保障扶贫资金的安全高效使用；常态化开展灾后重建资金进行专项检查，督促各单位严格落实筹资任务、规范资金管理、加快资金支付，</w:t>
      </w:r>
      <w:r>
        <w:rPr>
          <w:rFonts w:hint="eastAsia" w:ascii="Times New Roman" w:hAnsi="Times New Roman" w:eastAsia="方正仿宋_GBK" w:cs="Times New Roman"/>
          <w:b/>
          <w:sz w:val="32"/>
          <w:szCs w:val="32"/>
        </w:rPr>
        <w:t>确保如期</w:t>
      </w:r>
      <w:r>
        <w:rPr>
          <w:rFonts w:ascii="Times New Roman" w:hAnsi="Times New Roman" w:eastAsia="方正仿宋_GBK" w:cs="Times New Roman"/>
          <w:b/>
          <w:sz w:val="32"/>
          <w:szCs w:val="32"/>
        </w:rPr>
        <w:t>完成重建任务；</w:t>
      </w:r>
      <w:r>
        <w:rPr>
          <w:rFonts w:hint="eastAsia" w:ascii="Times New Roman" w:hAnsi="Times New Roman" w:eastAsia="方正仿宋_GBK" w:cs="Times New Roman"/>
          <w:b/>
          <w:sz w:val="32"/>
          <w:szCs w:val="32"/>
        </w:rPr>
        <w:t>制定了《关于进一步加强政府采购监管和执行若干规定的通知》，</w:t>
      </w:r>
      <w:r>
        <w:rPr>
          <w:rFonts w:ascii="Times New Roman" w:hAnsi="Times New Roman" w:eastAsia="方正仿宋_GBK" w:cs="Times New Roman"/>
          <w:b/>
          <w:sz w:val="32"/>
          <w:szCs w:val="32"/>
        </w:rPr>
        <w:t>立案</w:t>
      </w:r>
      <w:r>
        <w:rPr>
          <w:rFonts w:hint="eastAsia" w:ascii="Times New Roman" w:hAnsi="Times New Roman" w:eastAsia="方正仿宋_GBK" w:cs="Times New Roman"/>
          <w:b/>
          <w:sz w:val="32"/>
          <w:szCs w:val="32"/>
        </w:rPr>
        <w:t>调查</w:t>
      </w:r>
      <w:r>
        <w:rPr>
          <w:rFonts w:ascii="Times New Roman" w:hAnsi="Times New Roman" w:eastAsia="方正仿宋_GBK" w:cs="Times New Roman"/>
          <w:b/>
          <w:sz w:val="32"/>
          <w:szCs w:val="32"/>
        </w:rPr>
        <w:t>政府采购</w:t>
      </w:r>
      <w:r>
        <w:rPr>
          <w:rFonts w:hint="eastAsia" w:ascii="Times New Roman" w:hAnsi="Times New Roman" w:eastAsia="方正仿宋_GBK" w:cs="Times New Roman"/>
          <w:b/>
          <w:sz w:val="32"/>
          <w:szCs w:val="32"/>
        </w:rPr>
        <w:t>涉嫌违法行为3件、</w:t>
      </w:r>
      <w:r>
        <w:rPr>
          <w:rFonts w:ascii="Times New Roman" w:hAnsi="Times New Roman" w:eastAsia="方正仿宋_GBK" w:cs="Times New Roman"/>
          <w:b/>
          <w:sz w:val="32"/>
          <w:szCs w:val="32"/>
        </w:rPr>
        <w:t>处罚违法行为3件</w:t>
      </w:r>
      <w:r>
        <w:rPr>
          <w:rFonts w:hint="eastAsia" w:ascii="Times New Roman" w:hAnsi="Times New Roman" w:eastAsia="方正仿宋_GBK" w:cs="Times New Roman"/>
          <w:b/>
          <w:sz w:val="32"/>
          <w:szCs w:val="32"/>
        </w:rPr>
        <w:t>，深入推进政府采购规范化工作；</w:t>
      </w:r>
      <w:r>
        <w:rPr>
          <w:rFonts w:ascii="Times New Roman" w:hAnsi="Times New Roman" w:eastAsia="方正仿宋_GBK" w:cs="Times New Roman"/>
          <w:b/>
          <w:sz w:val="32"/>
          <w:szCs w:val="32"/>
        </w:rPr>
        <w:t>及时通过政府官方门户网站公开公示财政预决算、行政事业性收费和政府性基金目录清单等信息，努力营造全社会监督的良好氛围。</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四、面临的主要困难和问题</w:t>
      </w:r>
    </w:p>
    <w:p>
      <w:pPr>
        <w:spacing w:line="576" w:lineRule="exact"/>
        <w:ind w:firstLine="643" w:firstLineChars="200"/>
        <w:rPr>
          <w:rFonts w:ascii="Times New Roman" w:hAnsi="Times New Roman" w:eastAsia="方正楷体_GBK" w:cs="Times New Roman"/>
          <w:b/>
          <w:sz w:val="32"/>
          <w:szCs w:val="32"/>
        </w:rPr>
      </w:pPr>
      <w:r>
        <w:rPr>
          <w:rFonts w:ascii="Times New Roman" w:hAnsi="Times New Roman" w:eastAsia="方正仿宋_GBK" w:cs="Times New Roman"/>
          <w:b/>
          <w:sz w:val="32"/>
          <w:szCs w:val="32"/>
        </w:rPr>
        <w:t>今年上半年财政收支运行总体稳定，有力的保障了疫情防控和县委、县政府各项重点支出资金需求，但也面临着一些困难和问题：</w:t>
      </w:r>
      <w:r>
        <w:rPr>
          <w:rFonts w:ascii="Times New Roman" w:hAnsi="Times New Roman" w:eastAsia="方正楷体_GBK" w:cs="Times New Roman"/>
          <w:b/>
          <w:sz w:val="32"/>
          <w:szCs w:val="32"/>
        </w:rPr>
        <w:t>一是财政增收难度大。</w:t>
      </w:r>
      <w:r>
        <w:rPr>
          <w:rFonts w:ascii="Times New Roman" w:hAnsi="Times New Roman" w:eastAsia="方正仿宋_GBK" w:cs="Times New Roman"/>
          <w:b/>
          <w:sz w:val="32"/>
          <w:szCs w:val="32"/>
        </w:rPr>
        <w:t>目前我县财政收入还处在恢复期，受疫情税收优惠、持续减税降费和灾后税收优惠政策叠加影响较大，“飞地经济”、国资收益正处于培育发展期，收益不明显，当前税收主要靠固定资产投资来带动，一次性收入因素较多，财政增收空间小、难度大，缺乏持续性和稳定性。</w:t>
      </w:r>
      <w:r>
        <w:rPr>
          <w:rFonts w:ascii="Times New Roman" w:hAnsi="Times New Roman" w:eastAsia="方正楷体_GBK" w:cs="Times New Roman"/>
          <w:b/>
          <w:sz w:val="32"/>
          <w:szCs w:val="32"/>
        </w:rPr>
        <w:t>二是支出需求迅猛增长。</w:t>
      </w:r>
      <w:r>
        <w:rPr>
          <w:rFonts w:ascii="Times New Roman" w:hAnsi="Times New Roman" w:eastAsia="方正仿宋_GBK" w:cs="Times New Roman"/>
          <w:b/>
          <w:sz w:val="32"/>
          <w:szCs w:val="32"/>
        </w:rPr>
        <w:t>受“三保”外刚性支出不断提高、项目政策增多、债务还本付息等因素影响，支出需求迅猛增长。同时，为促进县域经济发展，在支持乡村振兴、生态环境保护、民营经济和文化旅游发展等方面需要大量资金投入，多重支出压力交错纵横，财政收支矛盾异常突出。</w:t>
      </w:r>
      <w:r>
        <w:rPr>
          <w:rFonts w:ascii="Times New Roman" w:hAnsi="Times New Roman" w:eastAsia="方正楷体_GBK" w:cs="Times New Roman"/>
          <w:b/>
          <w:sz w:val="32"/>
          <w:szCs w:val="32"/>
        </w:rPr>
        <w:t>三是债务负担较重。</w:t>
      </w:r>
      <w:r>
        <w:rPr>
          <w:rFonts w:ascii="Times New Roman" w:hAnsi="Times New Roman" w:eastAsia="方正仿宋_GBK" w:cs="Times New Roman"/>
          <w:b/>
          <w:sz w:val="32"/>
          <w:szCs w:val="32"/>
        </w:rPr>
        <w:t>我县长期以来积累形成的各类债务规模较大，防范化解债务风险工作任务较为艰巨。今年政府债券利息金额达4,200万元，而本级一般公共预算收入仅为1.51亿元，化解任务异常艰巨。</w:t>
      </w:r>
    </w:p>
    <w:p>
      <w:pPr>
        <w:spacing w:line="576" w:lineRule="exact"/>
        <w:ind w:firstLine="643" w:firstLineChars="200"/>
        <w:rPr>
          <w:rFonts w:ascii="Times New Roman" w:hAnsi="Times New Roman" w:eastAsia="方正黑体_GBK" w:cs="Times New Roman"/>
          <w:b/>
          <w:sz w:val="32"/>
          <w:szCs w:val="32"/>
        </w:rPr>
      </w:pPr>
      <w:r>
        <w:rPr>
          <w:rFonts w:ascii="Times New Roman" w:hAnsi="Times New Roman" w:eastAsia="方正黑体_GBK" w:cs="Times New Roman"/>
          <w:b/>
          <w:sz w:val="32"/>
          <w:szCs w:val="32"/>
        </w:rPr>
        <w:t>五、下半年工作举措</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仿宋_GBK" w:cs="Times New Roman"/>
          <w:b/>
          <w:sz w:val="32"/>
          <w:szCs w:val="32"/>
        </w:rPr>
        <w:t>我们将紧盯全国两会释放的积极财政信号，围绕做好“六稳”工作、落实“六保”任务，结合县委、县政府加快建成民族地区绿色发展脱贫奔康典范的具体要求，强化“五精”理念，狠抓工作落实，推动县域经济恢复发展。</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（一）充分激发发展活力，对冲经济下行压力。</w:t>
      </w:r>
      <w:r>
        <w:rPr>
          <w:rFonts w:ascii="Times New Roman" w:hAnsi="Times New Roman" w:eastAsia="方正仿宋_GBK" w:cs="Times New Roman"/>
          <w:b/>
          <w:sz w:val="32"/>
          <w:szCs w:val="32"/>
        </w:rPr>
        <w:t>一是深刻认识当前财政收入形势的复杂性，提前做好预判和分析，采取有效措施力保收入均衡，确保财政收入均衡入库。二是严格落实中央直达资金的相关管理要求，加强与各部门的沟通协调力度，确保资金精准用于解决特殊时期群众和企业的实际困难，作为落实“六稳”“六保”任务的有力抓手。三是认真研究落实财政、税收、融资担保、财政金融协同等方面的政策措施，充分发挥财政资金的杠杆作用，带动社会资本投入促进实体经济发展，特别是国有企业发展壮大。四是认真落实好疫情防控“财政贴息、缓交税款、减税降费”等支持政策，有效缓解中小企业生产经营困难，帮助其渡过难关，增强县域经济发展活力。</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（二）牢固树立过紧日子思想，对冲疫情减收影响。</w:t>
      </w:r>
      <w:r>
        <w:rPr>
          <w:rFonts w:ascii="Times New Roman" w:hAnsi="Times New Roman" w:eastAsia="方正仿宋_GBK" w:cs="Times New Roman"/>
          <w:b/>
          <w:sz w:val="32"/>
          <w:szCs w:val="32"/>
        </w:rPr>
        <w:t>一是认真贯彻全国两会精神，坚决落实政府过“紧日子”，群众过“好日子”的要求，分别按照10%和3%比例进一步压缩一般性支出和“三公经费”支出，根据县委、县政府战略部署，坚持有保有压的原则，重点投向供需共同受益、具有乘数效应的民生建设、基础设施短板、文化旅游提档升级等领域，促进产业和消费“双升级”。二是认真落实各级各部门关于“六稳”“六保”的工作要求，力争全年基本民生、工资发放和机构运转资金不低于6.89亿元，确保“三保”支出不留缺口。三是多渠道开源节流，继续清理盘活财政存量资金，加大资金统筹力度，提升财政保障能力。严格执行年初人大批准的部门预算，除疫情防控需要外，原则上不再追加各预算单位政府购买服务、非民生类基础设施项目、文艺活动、出版经费等非刚性支出。</w:t>
      </w:r>
    </w:p>
    <w:p>
      <w:pPr>
        <w:spacing w:line="576" w:lineRule="exact"/>
        <w:ind w:firstLine="643" w:firstLineChars="200"/>
        <w:rPr>
          <w:rFonts w:ascii="Times New Roman" w:hAnsi="Times New Roman" w:eastAsia="方正楷体_GBK" w:cs="Times New Roman"/>
          <w:b/>
          <w:sz w:val="32"/>
          <w:szCs w:val="32"/>
        </w:rPr>
      </w:pPr>
      <w:r>
        <w:rPr>
          <w:rFonts w:ascii="Times New Roman" w:hAnsi="Times New Roman" w:eastAsia="方正楷体_GBK" w:cs="Times New Roman"/>
          <w:b/>
          <w:sz w:val="32"/>
          <w:szCs w:val="32"/>
        </w:rPr>
        <w:t>（三）调整优化支出结构，助力三个典范建设。</w:t>
      </w:r>
      <w:r>
        <w:rPr>
          <w:rFonts w:ascii="Times New Roman" w:hAnsi="Times New Roman" w:eastAsia="方正仿宋_GBK" w:cs="Times New Roman"/>
          <w:b/>
          <w:sz w:val="32"/>
          <w:szCs w:val="32"/>
        </w:rPr>
        <w:t>一是支持生态文明创建工作，巩固提升“两山”实践创新基地建设成效，重点投入培育生态农业发展，构建绿色产业发展体系，强化森林防火、防汛减灾能力建设，夯实绿色发展基础。二是支持天府旅游名县和全国全域旅游示范区创建工作，着力提升完善旅游业态、公共卫生安全防控和现代服务业水平，强化文化旅游深度融合。三是筑牢返贫“防线”，巩固脱贫成效，落实好兜底保障措施。加快推进乡村振兴战略，进一步改善基础设施短板，支持经济薄弱村集体经济发展，推进特色农业产业做大做强。</w:t>
      </w:r>
    </w:p>
    <w:p>
      <w:pPr>
        <w:spacing w:line="576" w:lineRule="exact"/>
        <w:ind w:firstLine="643" w:firstLineChars="200"/>
        <w:rPr>
          <w:rFonts w:ascii="Times New Roman" w:hAnsi="Times New Roman" w:eastAsia="方正仿宋_GBK" w:cs="Times New Roman"/>
          <w:b/>
          <w:sz w:val="32"/>
          <w:szCs w:val="32"/>
        </w:rPr>
      </w:pPr>
      <w:r>
        <w:rPr>
          <w:rFonts w:ascii="Times New Roman" w:hAnsi="Times New Roman" w:eastAsia="方正楷体_GBK" w:cs="Times New Roman"/>
          <w:b/>
          <w:sz w:val="32"/>
          <w:szCs w:val="32"/>
        </w:rPr>
        <w:t>（四）持续强化财政管理，严防财政运行风险。</w:t>
      </w:r>
      <w:r>
        <w:rPr>
          <w:rFonts w:ascii="Times New Roman" w:hAnsi="Times New Roman" w:eastAsia="方正仿宋_GBK" w:cs="Times New Roman"/>
          <w:b/>
          <w:sz w:val="32"/>
          <w:szCs w:val="32"/>
        </w:rPr>
        <w:t>一是严格落实隐性债务问责机制，坚决遏制隐性债务增量，合理确定政府债务规模，确保债务风险总体可控。二是严格控制新增财政暂付款，常态化开展专项清理工作，采取强有力的措施加强催收力度，确保完成上级制定的年度化解目标。三是强化财政监督，适时对重点行业、重点部门、重大财税政策落实情况开展专项检查，督促各预算单位严格遵守财经纪律，规范财务行为，确保财政资金安全运行。</w:t>
      </w:r>
    </w:p>
    <w:p>
      <w:pPr>
        <w:spacing w:line="576" w:lineRule="exact"/>
        <w:ind w:firstLine="683" w:firstLineChars="200"/>
        <w:rPr>
          <w:rFonts w:ascii="Times New Roman" w:hAnsi="Times New Roman" w:eastAsia="方正仿宋_GBK" w:cs="Times New Roman"/>
          <w:b/>
          <w:sz w:val="34"/>
          <w:szCs w:val="34"/>
        </w:rPr>
      </w:pPr>
      <w:r>
        <w:rPr>
          <w:rFonts w:hint="eastAsia" w:ascii="Times New Roman" w:hAnsi="Times New Roman" w:eastAsia="方正仿宋_GBK" w:cs="Times New Roman"/>
          <w:b/>
          <w:sz w:val="34"/>
          <w:szCs w:val="34"/>
        </w:rPr>
        <w:t>主任、副主任、各位委员，</w:t>
      </w:r>
      <w:r>
        <w:rPr>
          <w:rFonts w:ascii="Times New Roman" w:hAnsi="Times New Roman" w:eastAsia="方正仿宋_GBK" w:cs="Times New Roman"/>
          <w:b/>
          <w:sz w:val="34"/>
          <w:szCs w:val="34"/>
        </w:rPr>
        <w:t>2020年各项财政工作任务艰巨、责任重大，我们将在县委的</w:t>
      </w:r>
      <w:r>
        <w:rPr>
          <w:rFonts w:hint="eastAsia" w:ascii="Times New Roman" w:hAnsi="Times New Roman" w:eastAsia="方正仿宋_GBK" w:cs="Times New Roman"/>
          <w:b/>
          <w:sz w:val="34"/>
          <w:szCs w:val="34"/>
        </w:rPr>
        <w:t>坚强</w:t>
      </w:r>
      <w:r>
        <w:rPr>
          <w:rFonts w:ascii="Times New Roman" w:hAnsi="Times New Roman" w:eastAsia="方正仿宋_GBK" w:cs="Times New Roman"/>
          <w:b/>
          <w:sz w:val="34"/>
          <w:szCs w:val="34"/>
        </w:rPr>
        <w:t>领导下，在县人大的监督支持下，</w:t>
      </w:r>
      <w:r>
        <w:rPr>
          <w:rFonts w:hint="eastAsia" w:ascii="Times New Roman" w:hAnsi="Times New Roman" w:eastAsia="方正仿宋_GBK" w:cs="Times New Roman"/>
          <w:b/>
          <w:sz w:val="34"/>
          <w:szCs w:val="34"/>
        </w:rPr>
        <w:t>坚持以习近平新时代中国特色社会主义思想作为根本遵循，不忘初心、牢记使命、攻坚克难、负重前行，严格依法理财，坚持改革创新，强化保障支撑，为实现“两地一典范、美丽新九寨”发展目标做出更多更大贡献！</w:t>
      </w:r>
    </w:p>
    <w:p>
      <w:pPr>
        <w:spacing w:line="576" w:lineRule="exact"/>
        <w:ind w:firstLine="683" w:firstLineChars="200"/>
        <w:rPr>
          <w:rFonts w:ascii="Times New Roman" w:hAnsi="Times New Roman" w:eastAsia="方正仿宋_GBK" w:cs="Times New Roman"/>
          <w:b/>
          <w:sz w:val="34"/>
          <w:szCs w:val="34"/>
        </w:rPr>
      </w:pPr>
      <w:r>
        <w:rPr>
          <w:rFonts w:hint="eastAsia" w:ascii="Times New Roman" w:hAnsi="Times New Roman" w:eastAsia="方正仿宋_GBK" w:cs="Times New Roman"/>
          <w:b/>
          <w:sz w:val="34"/>
          <w:szCs w:val="34"/>
        </w:rPr>
        <w:t>谢谢</w:t>
      </w:r>
      <w:r>
        <w:rPr>
          <w:rFonts w:ascii="Times New Roman" w:hAnsi="Times New Roman" w:eastAsia="方正仿宋_GBK" w:cs="Times New Roman"/>
          <w:b/>
          <w:sz w:val="34"/>
          <w:szCs w:val="34"/>
        </w:rPr>
        <w:t>大家！</w:t>
      </w:r>
    </w:p>
    <w:sectPr>
      <w:footerReference r:id="rId3" w:type="default"/>
      <w:footerReference r:id="rId4" w:type="even"/>
      <w:pgSz w:w="11900" w:h="16840"/>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方正小标宋_GBK">
    <w:panose1 w:val="02000000000000000000"/>
    <w:charset w:val="86"/>
    <w:family w:val="script"/>
    <w:pitch w:val="default"/>
    <w:sig w:usb0="00000000" w:usb1="00000000" w:usb2="00000000" w:usb3="00000000" w:csb0="00160000" w:csb1="00000000"/>
  </w:font>
  <w:font w:name="方正楷体_GBK">
    <w:panose1 w:val="02000000000000000000"/>
    <w:charset w:val="86"/>
    <w:family w:val="script"/>
    <w:pitch w:val="default"/>
    <w:sig w:usb0="00000000" w:usb1="00000000" w:usb2="00000000" w:usb3="00000000" w:csb0="00160000" w:csb1="00000000"/>
  </w:font>
  <w:font w:name="方正仿宋_GBK">
    <w:panose1 w:val="02000000000000000000"/>
    <w:charset w:val="86"/>
    <w:family w:val="script"/>
    <w:pitch w:val="default"/>
    <w:sig w:usb0="00000000" w:usb1="00000000" w:usb2="00000000" w:usb3="00000000" w:csb0="00160000" w:csb1="00000000"/>
  </w:font>
  <w:font w:name="方正黑体_GBK">
    <w:panose1 w:val="02000000000000000000"/>
    <w:charset w:val="86"/>
    <w:family w:val="script"/>
    <w:pitch w:val="default"/>
    <w:sig w:usb0="00000000" w:usb1="00000000" w:usb2="00000000" w:usb3="00000000" w:csb0="00160000" w:csb1="00000000"/>
  </w:font>
  <w:font w:name="PMingLiU">
    <w:altName w:val="宋体-繁"/>
    <w:panose1 w:val="02020500000000000000"/>
    <w:charset w:val="88"/>
    <w:family w:val="roman"/>
    <w:pitch w:val="default"/>
    <w:sig w:usb0="00000000" w:usb1="00000000" w:usb2="00000016" w:usb3="00000000" w:csb0="00100001" w:csb1="00000000"/>
  </w:font>
  <w:font w:name="宋体-繁">
    <w:panose1 w:val="02010600040101010101"/>
    <w:charset w:val="86"/>
    <w:family w:val="auto"/>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13 -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14 -</w:t>
    </w:r>
    <w:r>
      <w:rPr>
        <w:rFonts w:ascii="宋体" w:hAnsi="宋体" w:eastAsia="宋体"/>
        <w:sz w:val="28"/>
        <w:szCs w:val="28"/>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documentProtection w:enforcement="0"/>
  <w:defaultTabStop w:val="420"/>
  <w:evenAndOddHeaders w:val="1"/>
  <w:drawingGridHorizontalSpacing w:val="11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F53"/>
    <w:rsid w:val="00006451"/>
    <w:rsid w:val="00011DD2"/>
    <w:rsid w:val="000210A5"/>
    <w:rsid w:val="000248D5"/>
    <w:rsid w:val="00036CDF"/>
    <w:rsid w:val="00071FAD"/>
    <w:rsid w:val="00076BB6"/>
    <w:rsid w:val="00091915"/>
    <w:rsid w:val="000B456F"/>
    <w:rsid w:val="000D74E6"/>
    <w:rsid w:val="00140FAB"/>
    <w:rsid w:val="0014246C"/>
    <w:rsid w:val="00166E59"/>
    <w:rsid w:val="001A2C7C"/>
    <w:rsid w:val="001F40DF"/>
    <w:rsid w:val="002464AA"/>
    <w:rsid w:val="002750C2"/>
    <w:rsid w:val="002A0ACB"/>
    <w:rsid w:val="002B65AB"/>
    <w:rsid w:val="002E06F4"/>
    <w:rsid w:val="00303B5F"/>
    <w:rsid w:val="003322F4"/>
    <w:rsid w:val="00345FF9"/>
    <w:rsid w:val="00384006"/>
    <w:rsid w:val="00395D3B"/>
    <w:rsid w:val="003B07DE"/>
    <w:rsid w:val="003D108D"/>
    <w:rsid w:val="003F29C0"/>
    <w:rsid w:val="0048666B"/>
    <w:rsid w:val="004A1F98"/>
    <w:rsid w:val="004E619B"/>
    <w:rsid w:val="005404F7"/>
    <w:rsid w:val="00554161"/>
    <w:rsid w:val="00586994"/>
    <w:rsid w:val="00590464"/>
    <w:rsid w:val="005F2D4C"/>
    <w:rsid w:val="005F6F49"/>
    <w:rsid w:val="006115C0"/>
    <w:rsid w:val="00623FC3"/>
    <w:rsid w:val="006733C8"/>
    <w:rsid w:val="00677FE3"/>
    <w:rsid w:val="00682C47"/>
    <w:rsid w:val="006C0AE9"/>
    <w:rsid w:val="006D4863"/>
    <w:rsid w:val="00717F7D"/>
    <w:rsid w:val="00760D59"/>
    <w:rsid w:val="007639A7"/>
    <w:rsid w:val="00791697"/>
    <w:rsid w:val="00796A50"/>
    <w:rsid w:val="007A6D7F"/>
    <w:rsid w:val="007C5A67"/>
    <w:rsid w:val="007D01E5"/>
    <w:rsid w:val="007D13E9"/>
    <w:rsid w:val="007E18C3"/>
    <w:rsid w:val="007E4FC0"/>
    <w:rsid w:val="00810243"/>
    <w:rsid w:val="0084076A"/>
    <w:rsid w:val="00865450"/>
    <w:rsid w:val="0087765F"/>
    <w:rsid w:val="00897468"/>
    <w:rsid w:val="008B6000"/>
    <w:rsid w:val="008B6995"/>
    <w:rsid w:val="008D5169"/>
    <w:rsid w:val="0090371A"/>
    <w:rsid w:val="0091047B"/>
    <w:rsid w:val="00931DA1"/>
    <w:rsid w:val="00942BEB"/>
    <w:rsid w:val="00964013"/>
    <w:rsid w:val="00991B10"/>
    <w:rsid w:val="009B202D"/>
    <w:rsid w:val="009D455D"/>
    <w:rsid w:val="009D49E5"/>
    <w:rsid w:val="00A02E58"/>
    <w:rsid w:val="00B227E1"/>
    <w:rsid w:val="00B818DD"/>
    <w:rsid w:val="00B94C0A"/>
    <w:rsid w:val="00BA0558"/>
    <w:rsid w:val="00BA2FAC"/>
    <w:rsid w:val="00C8242B"/>
    <w:rsid w:val="00C9253C"/>
    <w:rsid w:val="00C940C4"/>
    <w:rsid w:val="00CE71EB"/>
    <w:rsid w:val="00CF5FCA"/>
    <w:rsid w:val="00D20BB4"/>
    <w:rsid w:val="00D26CA1"/>
    <w:rsid w:val="00D32FE0"/>
    <w:rsid w:val="00DC694F"/>
    <w:rsid w:val="00DD1BFF"/>
    <w:rsid w:val="00DD1EB8"/>
    <w:rsid w:val="00DD430D"/>
    <w:rsid w:val="00DF61C9"/>
    <w:rsid w:val="00E51293"/>
    <w:rsid w:val="00F0648F"/>
    <w:rsid w:val="00F22E82"/>
    <w:rsid w:val="00F64407"/>
    <w:rsid w:val="00F73EE2"/>
    <w:rsid w:val="00F877DF"/>
    <w:rsid w:val="00F951B5"/>
    <w:rsid w:val="00FC3F53"/>
    <w:rsid w:val="00FF72DF"/>
    <w:rsid w:val="FBD47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微软雅黑" w:hAnsi="微软雅黑" w:eastAsia="微软雅黑" w:cs="微软雅黑"/>
      <w:kern w:val="0"/>
      <w:sz w:val="22"/>
      <w:szCs w:val="20"/>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link w:val="12"/>
    <w:semiHidden/>
    <w:unhideWhenUsed/>
    <w:uiPriority w:val="99"/>
    <w:pPr>
      <w:spacing w:after="120"/>
      <w:ind w:left="420" w:leftChars="200"/>
    </w:pPr>
  </w:style>
  <w:style w:type="paragraph" w:styleId="3">
    <w:name w:val="Balloon Text"/>
    <w:basedOn w:val="1"/>
    <w:link w:val="10"/>
    <w:uiPriority w:val="99"/>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11"/>
    <w:uiPriority w:val="99"/>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link w:val="13"/>
    <w:unhideWhenUsed/>
    <w:qFormat/>
    <w:uiPriority w:val="99"/>
    <w:pPr>
      <w:ind w:firstLine="420" w:firstLineChars="200"/>
    </w:pPr>
    <w:rPr>
      <w:rFonts w:ascii="Times New Roman" w:hAnsi="Times New Roman" w:eastAsia="宋体" w:cs="Times New Roman"/>
      <w:kern w:val="2"/>
      <w:sz w:val="21"/>
      <w:szCs w:val="24"/>
    </w:rPr>
  </w:style>
  <w:style w:type="character" w:customStyle="1" w:styleId="9">
    <w:name w:val="页脚 Char"/>
    <w:basedOn w:val="8"/>
    <w:link w:val="4"/>
    <w:uiPriority w:val="99"/>
    <w:rPr>
      <w:rFonts w:ascii="微软雅黑" w:hAnsi="微软雅黑" w:eastAsia="微软雅黑" w:cs="微软雅黑"/>
      <w:kern w:val="0"/>
      <w:sz w:val="18"/>
      <w:szCs w:val="18"/>
    </w:rPr>
  </w:style>
  <w:style w:type="character" w:customStyle="1" w:styleId="10">
    <w:name w:val="批注框文本 Char"/>
    <w:basedOn w:val="8"/>
    <w:link w:val="3"/>
    <w:uiPriority w:val="99"/>
    <w:rPr>
      <w:rFonts w:ascii="微软雅黑" w:hAnsi="微软雅黑" w:eastAsia="微软雅黑" w:cs="微软雅黑"/>
      <w:kern w:val="0"/>
      <w:sz w:val="18"/>
      <w:szCs w:val="18"/>
    </w:rPr>
  </w:style>
  <w:style w:type="character" w:customStyle="1" w:styleId="11">
    <w:name w:val="页眉 Char"/>
    <w:basedOn w:val="8"/>
    <w:link w:val="5"/>
    <w:uiPriority w:val="99"/>
    <w:rPr>
      <w:rFonts w:ascii="微软雅黑" w:hAnsi="微软雅黑" w:eastAsia="微软雅黑" w:cs="微软雅黑"/>
      <w:kern w:val="0"/>
      <w:sz w:val="18"/>
      <w:szCs w:val="18"/>
    </w:rPr>
  </w:style>
  <w:style w:type="character" w:customStyle="1" w:styleId="12">
    <w:name w:val="正文文本缩进 Char"/>
    <w:basedOn w:val="8"/>
    <w:link w:val="2"/>
    <w:semiHidden/>
    <w:uiPriority w:val="99"/>
    <w:rPr>
      <w:rFonts w:ascii="微软雅黑" w:hAnsi="微软雅黑" w:eastAsia="微软雅黑" w:cs="微软雅黑"/>
      <w:kern w:val="0"/>
      <w:sz w:val="22"/>
      <w:szCs w:val="20"/>
    </w:rPr>
  </w:style>
  <w:style w:type="character" w:customStyle="1" w:styleId="13">
    <w:name w:val="正文首行缩进 2 Char"/>
    <w:basedOn w:val="12"/>
    <w:link w:val="6"/>
    <w:qFormat/>
    <w:uiPriority w:val="99"/>
    <w:rPr>
      <w:rFonts w:ascii="Times New Roman" w:hAnsi="Times New Roman" w:eastAsia="微软雅黑" w:cs="Times New Roman"/>
      <w:kern w:val="0"/>
      <w:sz w:val="2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1114</Words>
  <Characters>6351</Characters>
  <Lines>52</Lines>
  <Paragraphs>14</Paragraphs>
  <TotalTime>27</TotalTime>
  <ScaleCrop>false</ScaleCrop>
  <LinksUpToDate>false</LinksUpToDate>
  <CharactersWithSpaces>7451</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2020-08-10T09:07:00Z</dcterms:created>
  <dc:creator>YS-3</dc:creator>
  <cp:lastModifiedBy>无问</cp:lastModifiedBy>
  <cp:lastPrinted>2020-08-10T10:24:00Z</cp:lastPrinted>
  <dcterms:modified xsi:type="dcterms:W3CDTF">2023-07-18T15:31:18Z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6406E69147D8A5A7C63FB664CD51D9D5_42</vt:lpwstr>
  </property>
</Properties>
</file>