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40" w:line="223" w:lineRule="auto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4"/>
          <w:sz w:val="44"/>
          <w:szCs w:val="44"/>
        </w:rPr>
        <w:t>九寨沟县本级</w:t>
      </w:r>
      <w:r>
        <w:rPr>
          <w:rFonts w:hint="eastAsia" w:ascii="方正小标宋简体" w:hAnsi="方正小标宋简体" w:eastAsia="方正小标宋简体" w:cs="方正小标宋简体"/>
          <w:spacing w:val="-84"/>
          <w:sz w:val="44"/>
          <w:szCs w:val="44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4"/>
          <w:sz w:val="44"/>
          <w:szCs w:val="44"/>
        </w:rPr>
        <w:t>年“三公”经费预算执行情</w:t>
      </w:r>
    </w:p>
    <w:p>
      <w:pPr>
        <w:spacing w:before="104" w:line="206" w:lineRule="auto"/>
        <w:ind w:left="4195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"/>
          <w:sz w:val="44"/>
          <w:szCs w:val="44"/>
        </w:rPr>
        <w:t>况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76" w:lineRule="exact"/>
        <w:ind w:left="644"/>
        <w:textAlignment w:val="baseline"/>
        <w:outlineLvl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pacing w:val="6"/>
          <w:sz w:val="32"/>
          <w:szCs w:val="32"/>
        </w:rPr>
        <w:t>一、“三公”经费支出情况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4" w:line="576" w:lineRule="exact"/>
        <w:ind w:left="647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b/>
          <w:bCs/>
          <w:spacing w:val="-35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3"/>
          <w:sz w:val="32"/>
          <w:szCs w:val="32"/>
        </w:rPr>
        <w:t>、公务用车购置及运行维护费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5" w:line="576" w:lineRule="exact"/>
        <w:ind w:firstLine="63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10"/>
          <w:sz w:val="32"/>
          <w:szCs w:val="32"/>
        </w:rPr>
        <w:t>年公务用车购置及运行维护费</w:t>
      </w:r>
      <w:r>
        <w:rPr>
          <w:rFonts w:hint="default" w:ascii="Times New Roman" w:hAnsi="Times New Roman" w:eastAsia="仿宋_GB2312" w:cs="Times New Roman"/>
          <w:spacing w:val="-57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1288</w:t>
      </w:r>
      <w:r>
        <w:rPr>
          <w:rFonts w:hint="default" w:ascii="Times New Roman" w:hAnsi="Times New Roman" w:eastAsia="仿宋_GB2312" w:cs="Times New Roman"/>
          <w:spacing w:val="10"/>
          <w:sz w:val="32"/>
          <w:szCs w:val="32"/>
        </w:rPr>
        <w:t>万元。其中：公务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用车购置费</w:t>
      </w:r>
      <w:r>
        <w:rPr>
          <w:rFonts w:hint="default" w:ascii="Times New Roman" w:hAnsi="Times New Roman" w:eastAsia="仿宋_GB2312" w:cs="Times New Roman"/>
          <w:spacing w:val="-5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491</w:t>
      </w:r>
      <w:r>
        <w:rPr>
          <w:rFonts w:hint="default" w:ascii="Times New Roman" w:hAnsi="Times New Roman" w:eastAsia="仿宋_GB2312" w:cs="Times New Roman"/>
          <w:spacing w:val="31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万；公务用车运行维护费</w:t>
      </w:r>
      <w:r>
        <w:rPr>
          <w:rFonts w:hint="default" w:ascii="Times New Roman" w:hAnsi="Times New Roman" w:eastAsia="仿宋_GB2312" w:cs="Times New Roman"/>
          <w:spacing w:val="-64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797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万元。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76" w:lineRule="exact"/>
        <w:ind w:left="634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b/>
          <w:bCs/>
          <w:spacing w:val="-36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、公务接待费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3" w:line="576" w:lineRule="exact"/>
        <w:ind w:left="633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年公务接待费</w:t>
      </w:r>
      <w:r>
        <w:rPr>
          <w:rFonts w:hint="default" w:ascii="Times New Roman" w:hAnsi="Times New Roman" w:eastAsia="仿宋_GB2312" w:cs="Times New Roman"/>
          <w:spacing w:val="-5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pacing w:val="3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万元。其中国内接待费</w:t>
      </w:r>
      <w:r>
        <w:rPr>
          <w:rFonts w:hint="default" w:ascii="Times New Roman" w:hAnsi="Times New Roman" w:eastAsia="仿宋_GB2312" w:cs="Times New Roman"/>
          <w:spacing w:val="-56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万元。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3" w:line="576" w:lineRule="exact"/>
        <w:ind w:left="7089" w:right="285" w:hanging="5595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pacing w:val="4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b/>
          <w:bCs/>
          <w:spacing w:val="4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pacing w:val="4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/>
          <w:bCs/>
          <w:spacing w:val="-10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4"/>
          <w:sz w:val="32"/>
          <w:szCs w:val="32"/>
        </w:rPr>
        <w:t>“</w:t>
      </w:r>
      <w:r>
        <w:rPr>
          <w:rFonts w:hint="default" w:ascii="Times New Roman" w:hAnsi="Times New Roman" w:eastAsia="仿宋_GB2312" w:cs="Times New Roman"/>
          <w:b/>
          <w:bCs/>
          <w:spacing w:val="-119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bCs/>
          <w:spacing w:val="4"/>
          <w:sz w:val="32"/>
          <w:szCs w:val="32"/>
        </w:rPr>
        <w:t>三公”经费预算执行情况统计表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</w:p>
    <w:p>
      <w:pPr>
        <w:pStyle w:val="2"/>
        <w:spacing w:before="203" w:line="287" w:lineRule="auto"/>
        <w:ind w:left="7432" w:leftChars="3300" w:right="285" w:hanging="502" w:hangingChars="157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-20"/>
          <w:sz w:val="32"/>
          <w:szCs w:val="32"/>
        </w:rPr>
        <w:t>单位：万元</w:t>
      </w:r>
    </w:p>
    <w:tbl>
      <w:tblPr>
        <w:tblStyle w:val="5"/>
        <w:tblW w:w="8494" w:type="dxa"/>
        <w:tblInd w:w="16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1"/>
        <w:gridCol w:w="409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401" w:type="dxa"/>
            <w:vAlign w:val="top"/>
          </w:tcPr>
          <w:p>
            <w:pPr>
              <w:spacing w:before="221" w:line="224" w:lineRule="auto"/>
              <w:ind w:left="117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项目</w:t>
            </w:r>
          </w:p>
        </w:tc>
        <w:tc>
          <w:tcPr>
            <w:tcW w:w="4093" w:type="dxa"/>
            <w:vAlign w:val="top"/>
          </w:tcPr>
          <w:p>
            <w:pPr>
              <w:spacing w:before="221" w:line="222" w:lineRule="auto"/>
              <w:ind w:left="112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32"/>
                <w:szCs w:val="32"/>
              </w:rPr>
              <w:t>本年决算数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4401" w:type="dxa"/>
            <w:vAlign w:val="top"/>
          </w:tcPr>
          <w:p>
            <w:pPr>
              <w:spacing w:before="215" w:line="222" w:lineRule="auto"/>
              <w:ind w:left="117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合计</w:t>
            </w:r>
          </w:p>
        </w:tc>
        <w:tc>
          <w:tcPr>
            <w:tcW w:w="4093" w:type="dxa"/>
            <w:vAlign w:val="top"/>
          </w:tcPr>
          <w:p>
            <w:pPr>
              <w:spacing w:before="268" w:line="192" w:lineRule="auto"/>
              <w:ind w:left="1816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32"/>
                <w:szCs w:val="32"/>
                <w:lang w:val="en-US" w:eastAsia="zh-CN"/>
              </w:rPr>
              <w:t>1306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4401" w:type="dxa"/>
            <w:vAlign w:val="top"/>
          </w:tcPr>
          <w:p>
            <w:pPr>
              <w:spacing w:before="276" w:line="223" w:lineRule="auto"/>
              <w:ind w:left="138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pacing w:val="-32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pacing w:val="-91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因公出国（境）费用</w:t>
            </w:r>
          </w:p>
        </w:tc>
        <w:tc>
          <w:tcPr>
            <w:tcW w:w="4093" w:type="dxa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  <w:p>
            <w:pPr>
              <w:spacing w:before="89" w:line="192" w:lineRule="auto"/>
              <w:ind w:left="1968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4401" w:type="dxa"/>
            <w:vAlign w:val="top"/>
          </w:tcPr>
          <w:p>
            <w:pPr>
              <w:spacing w:before="276" w:line="223" w:lineRule="auto"/>
              <w:ind w:left="138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2"/>
                <w:sz w:val="32"/>
                <w:szCs w:val="32"/>
              </w:rPr>
              <w:t>、公务用车购置及运行维护费</w:t>
            </w:r>
          </w:p>
        </w:tc>
        <w:tc>
          <w:tcPr>
            <w:tcW w:w="4093" w:type="dxa"/>
            <w:vAlign w:val="top"/>
          </w:tcPr>
          <w:p>
            <w:pPr>
              <w:spacing w:before="273" w:line="192" w:lineRule="auto"/>
              <w:ind w:left="1808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32"/>
                <w:szCs w:val="32"/>
                <w:lang w:val="en-US" w:eastAsia="zh-CN"/>
              </w:rPr>
              <w:t>1288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4401" w:type="dxa"/>
            <w:vAlign w:val="top"/>
          </w:tcPr>
          <w:p>
            <w:pPr>
              <w:spacing w:before="220" w:line="220" w:lineRule="auto"/>
              <w:ind w:left="746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71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pacing w:val="-34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4"/>
                <w:sz w:val="32"/>
                <w:szCs w:val="32"/>
              </w:rPr>
              <w:t>）公务用车购置费</w:t>
            </w:r>
          </w:p>
        </w:tc>
        <w:tc>
          <w:tcPr>
            <w:tcW w:w="4093" w:type="dxa"/>
            <w:vAlign w:val="top"/>
          </w:tcPr>
          <w:p>
            <w:pPr>
              <w:spacing w:before="279" w:line="189" w:lineRule="auto"/>
              <w:ind w:left="189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32"/>
                <w:szCs w:val="32"/>
                <w:lang w:val="en-US" w:eastAsia="zh-CN"/>
              </w:rPr>
              <w:t>491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4401" w:type="dxa"/>
            <w:vAlign w:val="top"/>
          </w:tcPr>
          <w:p>
            <w:pPr>
              <w:spacing w:before="221" w:line="220" w:lineRule="auto"/>
              <w:ind w:left="746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32"/>
                <w:szCs w:val="32"/>
              </w:rPr>
              <w:t>（2）公务用车运行维护费</w:t>
            </w:r>
          </w:p>
        </w:tc>
        <w:tc>
          <w:tcPr>
            <w:tcW w:w="4093" w:type="dxa"/>
            <w:vAlign w:val="top"/>
          </w:tcPr>
          <w:p>
            <w:pPr>
              <w:spacing w:before="277" w:line="192" w:lineRule="auto"/>
              <w:ind w:firstLine="1932" w:firstLineChars="600"/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32"/>
                <w:szCs w:val="32"/>
                <w:lang w:val="en-US" w:eastAsia="zh-CN"/>
              </w:rPr>
              <w:t>797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4401" w:type="dxa"/>
            <w:vAlign w:val="top"/>
          </w:tcPr>
          <w:p>
            <w:pPr>
              <w:spacing w:before="224" w:line="222" w:lineRule="auto"/>
              <w:ind w:left="114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32"/>
                <w:szCs w:val="32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pacing w:val="-34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32"/>
                <w:szCs w:val="32"/>
              </w:rPr>
              <w:t>、公务接待费</w:t>
            </w:r>
          </w:p>
        </w:tc>
        <w:tc>
          <w:tcPr>
            <w:tcW w:w="4093" w:type="dxa"/>
            <w:vAlign w:val="top"/>
          </w:tcPr>
          <w:p>
            <w:pPr>
              <w:spacing w:before="278" w:line="192" w:lineRule="auto"/>
              <w:ind w:left="1897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5"/>
                <w:sz w:val="32"/>
                <w:szCs w:val="32"/>
                <w:lang w:val="en-US" w:eastAsia="zh-CN"/>
              </w:rPr>
              <w:t>18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7" w:line="576" w:lineRule="exact"/>
        <w:ind w:left="845"/>
        <w:textAlignment w:val="baseline"/>
        <w:outlineLvl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pacing w:val="6"/>
          <w:sz w:val="32"/>
          <w:szCs w:val="32"/>
        </w:rPr>
        <w:t>二、“三公”经费增减变化原因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9"/>
          <w:pgMar w:top="1431" w:right="1475" w:bottom="0" w:left="1600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576" w:lineRule="exact"/>
        <w:ind w:left="1" w:right="91" w:firstLine="635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年，县级</w:t>
      </w:r>
      <w:r>
        <w:rPr>
          <w:rFonts w:hint="default" w:ascii="Times New Roman" w:hAnsi="Times New Roman" w:eastAsia="仿宋_GB2312" w:cs="Times New Roman"/>
          <w:spacing w:val="-95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“</w:t>
      </w:r>
      <w:r>
        <w:rPr>
          <w:rFonts w:hint="default" w:ascii="Times New Roman" w:hAnsi="Times New Roman" w:eastAsia="仿宋_GB2312" w:cs="Times New Roman"/>
          <w:spacing w:val="-117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三公”经费财政拨款支出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1306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spacing w:val="-79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比上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年增加442万元，同比增长51.2%，其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中</w:t>
      </w:r>
      <w:r>
        <w:rPr>
          <w:rFonts w:hint="default" w:ascii="Times New Roman" w:hAnsi="Times New Roman" w:eastAsia="仿宋_GB2312" w:cs="Times New Roman"/>
          <w:spacing w:val="7"/>
          <w:sz w:val="32"/>
          <w:szCs w:val="32"/>
        </w:rPr>
        <w:t>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3" w:right="90" w:firstLine="663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1.202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年公务用车购置及运行费</w:t>
      </w:r>
      <w:r>
        <w:rPr>
          <w:rFonts w:hint="default" w:ascii="Times New Roman" w:hAnsi="Times New Roman" w:eastAsia="仿宋_GB2312" w:cs="Times New Roman"/>
          <w:spacing w:val="-61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val="en-US" w:eastAsia="zh-CN"/>
        </w:rPr>
        <w:t>1288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</w:rPr>
        <w:t>万元，比上年</w:t>
      </w:r>
      <w:r>
        <w:rPr>
          <w:rFonts w:hint="default" w:ascii="Times New Roman" w:hAnsi="Times New Roman" w:eastAsia="仿宋_GB2312" w:cs="Times New Roman"/>
          <w:spacing w:val="4"/>
          <w:sz w:val="32"/>
          <w:szCs w:val="32"/>
          <w:lang w:eastAsia="zh-CN"/>
        </w:rPr>
        <w:t>增加</w:t>
      </w:r>
      <w:r>
        <w:rPr>
          <w:rFonts w:hint="default" w:ascii="Times New Roman" w:hAnsi="Times New Roman" w:eastAsia="仿宋_GB2312" w:cs="Times New Roman"/>
          <w:spacing w:val="-68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  <w:lang w:val="en-US" w:eastAsia="zh-CN"/>
        </w:rPr>
        <w:t>506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</w:rPr>
        <w:t>同比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/>
        </w:rPr>
        <w:t>64.7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spacing w:val="-33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-SA"/>
        </w:rPr>
        <w:t>主要是因为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部分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-SA"/>
        </w:rPr>
        <w:t>公务车辆服役年限较长，车辆购置、维修养护成本随之增加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年公务接待费经费为</w:t>
      </w:r>
      <w:r>
        <w:rPr>
          <w:rFonts w:hint="default" w:ascii="Times New Roman" w:hAnsi="Times New Roman" w:eastAsia="仿宋_GB2312" w:cs="Times New Roman"/>
          <w:spacing w:val="-54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spacing w:val="-8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比上年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减少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</w:t>
      </w:r>
      <w:r>
        <w:rPr>
          <w:rFonts w:hint="default" w:ascii="Times New Roman" w:hAnsi="Times New Roman" w:eastAsia="仿宋_GB2312" w:cs="Times New Roman"/>
          <w:spacing w:val="-1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</w:rPr>
        <w:t>同比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/>
        </w:rPr>
        <w:t>78.3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</w:rPr>
        <w:t>%，国内公务接待批次</w:t>
      </w:r>
      <w:r>
        <w:rPr>
          <w:rFonts w:hint="default" w:ascii="Times New Roman" w:hAnsi="Times New Roman" w:eastAsia="仿宋_GB2312" w:cs="Times New Roman"/>
          <w:spacing w:val="-6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  <w:sz w:val="32"/>
          <w:szCs w:val="32"/>
          <w:lang w:val="en-US" w:eastAsia="zh-CN"/>
        </w:rPr>
        <w:t>202批</w:t>
      </w:r>
      <w:r>
        <w:rPr>
          <w:rFonts w:hint="default" w:ascii="Times New Roman" w:hAnsi="Times New Roman" w:eastAsia="仿宋_GB2312" w:cs="Times New Roman"/>
          <w:spacing w:val="7"/>
          <w:sz w:val="32"/>
          <w:szCs w:val="32"/>
        </w:rPr>
        <w:t>，共计接待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2205人</w:t>
      </w:r>
      <w:r>
        <w:rPr>
          <w:rFonts w:hint="default" w:ascii="Times New Roman" w:hAnsi="Times New Roman" w:eastAsia="仿宋_GB2312" w:cs="Times New Roman"/>
          <w:spacing w:val="7"/>
          <w:sz w:val="32"/>
          <w:szCs w:val="32"/>
        </w:rPr>
        <w:t>次，减少主要原因是厉行勤俭节约，严格执行中央八项规定，</w:t>
      </w:r>
      <w:r>
        <w:rPr>
          <w:rFonts w:hint="default" w:ascii="Times New Roman" w:hAnsi="Times New Roman" w:eastAsia="仿宋_GB2312" w:cs="Times New Roman"/>
          <w:spacing w:val="6"/>
          <w:sz w:val="32"/>
          <w:szCs w:val="32"/>
        </w:rPr>
        <w:t>规范公务接待，压减接待费支出。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76" w:lineRule="exact"/>
        <w:ind w:left="850"/>
        <w:textAlignment w:val="baseline"/>
        <w:outlineLvl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pacing w:val="5"/>
          <w:sz w:val="32"/>
          <w:szCs w:val="32"/>
        </w:rPr>
        <w:t>三、下一步工作计划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强化组织领导，健全专项检查工作机制。成立专项工作领导小组，完善管理制度，从制度层面规范约束“三公”经费支出行为。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从严管控支出，严格落实公务卡管理制度。多措并举压减非必要开支，推动“三公”经费逐年下降；严格执行公务卡结算规定，督促各预算单位对公务卡强制结算目录范围内的公务支出项目，按规定使用公务卡结算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完善制度体系，持续夯实“三公”经费制度建设。健全“三公”经费支出标准体系与管理规范，细化明确各项开支标准，扎紧制度管控笼子。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四是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深化信息公开，主动接受社会公众监督。依法依规公开“三公”经费预决算信息，不断拓宽公开范围、细化公开内容，持续提升“三公”经费预决算透明度。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76" w:lineRule="exact"/>
        <w:ind w:left="13" w:right="50" w:firstLine="622"/>
        <w:textAlignment w:val="baseline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五是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做实动态监控，提升预算执行数据质量。依托预算管理一体化系统，对各预算单位“三公”经费执行情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况实施实时有效监控，按规定做好相关数据报送工作，不断提高报送数据质量。</w:t>
      </w:r>
    </w:p>
    <w:sectPr>
      <w:pgSz w:w="11906" w:h="16839"/>
      <w:pgMar w:top="1431" w:right="1785" w:bottom="0" w:left="16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8503D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796</Words>
  <Characters>870</Characters>
  <TotalTime>6</TotalTime>
  <ScaleCrop>false</ScaleCrop>
  <LinksUpToDate>false</LinksUpToDate>
  <CharactersWithSpaces>902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2026-08-10T16:52:00Z</dcterms:created>
  <dc:creator>Administrator</dc:creator>
  <cp:lastModifiedBy>Administrator</cp:lastModifiedBy>
  <dcterms:modified xsi:type="dcterms:W3CDTF">2026-10-13T03:07:17Z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2026-10-13T10:46:45Z</vt:filetime>
  </property>
  <property fmtid="{D5CDD505-2E9C-101B-9397-08002B2CF9AE}" pid="4" name="KSOProductBuildVer">
    <vt:lpwstr>2052-11.8.2.12195</vt:lpwstr>
  </property>
  <property fmtid="{D5CDD505-2E9C-101B-9397-08002B2CF9AE}" pid="5" name="ICV">
    <vt:lpwstr>CE3844DFB191460EAA8D77B30CA48A5E</vt:lpwstr>
  </property>
</Properties>
</file>