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78441"/>
      <w:bookmarkStart w:id="3" w:name="_Toc15396597"/>
      <w:bookmarkStart w:id="4" w:name="_Toc15396475"/>
      <w:bookmarkStart w:id="5" w:name="_Toc15377193"/>
      <w:r>
        <w:rPr>
          <w:rFonts w:hint="eastAsia" w:ascii="黑体" w:hAnsi="黑体" w:eastAsia="黑体"/>
          <w:sz w:val="72"/>
          <w:szCs w:val="72"/>
          <w:lang w:eastAsia="zh-CN"/>
        </w:rPr>
        <w:t>202</w:t>
      </w:r>
      <w:r>
        <w:rPr>
          <w:rFonts w:hint="eastAsia" w:ascii="黑体" w:hAnsi="黑体" w:eastAsia="黑体"/>
          <w:sz w:val="72"/>
          <w:szCs w:val="72"/>
          <w:lang w:val="en-US" w:eastAsia="zh-CN"/>
        </w:rPr>
        <w:t>1</w:t>
      </w:r>
      <w:r>
        <w:rPr>
          <w:rFonts w:hint="eastAsia" w:ascii="黑体" w:hAnsi="黑体" w:eastAsia="黑体"/>
          <w:sz w:val="72"/>
          <w:szCs w:val="72"/>
        </w:rPr>
        <w:t>年度</w:t>
      </w:r>
      <w:bookmarkEnd w:id="1"/>
      <w:bookmarkEnd w:id="2"/>
      <w:bookmarkEnd w:id="3"/>
      <w:bookmarkEnd w:id="4"/>
      <w:bookmarkEnd w:id="5"/>
    </w:p>
    <w:p>
      <w:pPr>
        <w:jc w:val="center"/>
        <w:rPr>
          <w:rFonts w:hint="eastAsia" w:ascii="方正小标宋简体" w:eastAsia="方正小标宋简体"/>
          <w:sz w:val="72"/>
          <w:szCs w:val="72"/>
          <w:lang w:eastAsia="zh-CN"/>
        </w:rPr>
      </w:pPr>
      <w:bookmarkStart w:id="6" w:name="_Toc15377194"/>
      <w:bookmarkStart w:id="7" w:name="_Toc15378442"/>
      <w:bookmarkStart w:id="8" w:name="_Toc15396598"/>
      <w:bookmarkStart w:id="9" w:name="_Toc15396476"/>
      <w:bookmarkStart w:id="10" w:name="_Toc1537742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九寨沟县</w:t>
      </w:r>
    </w:p>
    <w:p>
      <w:pPr>
        <w:jc w:val="center"/>
        <w:rPr>
          <w:rFonts w:ascii="方正小标宋简体" w:eastAsia="方正小标宋简体"/>
          <w:sz w:val="72"/>
          <w:szCs w:val="72"/>
        </w:rPr>
      </w:pPr>
      <w:r>
        <w:rPr>
          <w:rFonts w:hint="eastAsia" w:ascii="方正小标宋简体" w:eastAsia="方正小标宋简体"/>
          <w:sz w:val="72"/>
          <w:szCs w:val="72"/>
          <w:lang w:eastAsia="zh-CN"/>
        </w:rPr>
        <w:t>人大预算联网监督工作室</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2</w:t>
      </w:r>
      <w:r>
        <w:rPr>
          <w:rFonts w:hint="eastAsia" w:hAnsiTheme="minorHAnsi"/>
          <w:b w:val="0"/>
          <w:bCs w:val="0"/>
          <w:sz w:val="24"/>
          <w:szCs w:val="24"/>
        </w:rPr>
        <w:t xml:space="preserve">年 </w:t>
      </w:r>
      <w:r>
        <w:rPr>
          <w:rFonts w:hAnsiTheme="minorHAnsi"/>
          <w:b w:val="0"/>
          <w:bCs w:val="0"/>
          <w:sz w:val="24"/>
          <w:szCs w:val="24"/>
        </w:rPr>
        <w:t>9</w:t>
      </w:r>
      <w:r>
        <w:rPr>
          <w:rFonts w:hint="eastAsia" w:hAnsiTheme="minorHAnsi"/>
          <w:b w:val="0"/>
          <w:bCs w:val="0"/>
          <w:sz w:val="24"/>
          <w:szCs w:val="24"/>
        </w:rPr>
        <w:t>月</w:t>
      </w:r>
      <w:r>
        <w:rPr>
          <w:rFonts w:hint="eastAsia" w:hAnsiTheme="minorHAnsi"/>
          <w:b w:val="0"/>
          <w:bCs w:val="0"/>
          <w:sz w:val="24"/>
          <w:szCs w:val="24"/>
          <w:lang w:val="en-US" w:eastAsia="zh-CN"/>
        </w:rPr>
        <w:t xml:space="preserve"> 22</w:t>
      </w:r>
      <w:r>
        <w:rPr>
          <w:rFonts w:hint="eastAsia" w:hAnsiTheme="minorHAnsi"/>
          <w:b w:val="0"/>
          <w:bCs w:val="0"/>
          <w:sz w:val="24"/>
          <w:szCs w:val="24"/>
        </w:rPr>
        <w:t xml:space="preserve"> 日</w:t>
      </w:r>
    </w:p>
    <w:p>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（二）</w:t>
      </w:r>
      <w:r>
        <w:rPr>
          <w:rFonts w:hint="eastAsia" w:ascii="仿宋" w:hAnsi="仿宋" w:eastAsia="仿宋"/>
          <w:bCs/>
          <w:color w:val="000000"/>
          <w:lang w:eastAsia="zh-CN"/>
        </w:rPr>
        <w:t>2021</w:t>
      </w:r>
      <w:r>
        <w:rPr>
          <w:rFonts w:ascii="仿宋" w:hAnsi="仿宋" w:eastAsia="仿宋"/>
          <w:bCs/>
          <w:color w:val="000000"/>
        </w:rPr>
        <w:t>年重点工作完成情况。</w:t>
      </w:r>
      <w:r>
        <w:tab/>
      </w:r>
      <w:r>
        <w:fldChar w:fldCharType="begin"/>
      </w:r>
      <w:r>
        <w:instrText xml:space="preserve"> PAGEREF _Toc79163854 \h </w:instrText>
      </w:r>
      <w:r>
        <w:fldChar w:fldCharType="separate"/>
      </w:r>
      <w:r>
        <w:t>4</w:t>
      </w:r>
      <w:r>
        <w:fldChar w:fldCharType="end"/>
      </w:r>
    </w:p>
    <w:p>
      <w:pPr>
        <w:pStyle w:val="18"/>
        <w:tabs>
          <w:tab w:val="right" w:leader="dot" w:pos="8296"/>
        </w:tabs>
        <w:rPr>
          <w:rFonts w:hAnsiTheme="minorHAnsi" w:eastAsiaTheme="minorEastAsia" w:cstheme="minorBidi"/>
          <w:i w:val="0"/>
          <w:iC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4</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hint="eastAsia" w:ascii="黑体" w:hAnsi="黑体" w:eastAsia="黑体"/>
          <w:b w:val="0"/>
          <w:bCs w:val="0"/>
          <w:lang w:eastAsia="zh-CN"/>
        </w:rPr>
        <w:t>2021</w:t>
      </w:r>
      <w:r>
        <w:rPr>
          <w:rFonts w:ascii="黑体" w:hAnsi="黑体" w:eastAsia="黑体"/>
          <w:b w:val="0"/>
          <w:bCs w:val="0"/>
        </w:rPr>
        <w:t>年度部门决算情况说明</w:t>
      </w:r>
      <w:r>
        <w:tab/>
      </w:r>
      <w:r>
        <w:fldChar w:fldCharType="begin"/>
      </w:r>
      <w:r>
        <w:instrText xml:space="preserve"> PAGEREF _Toc79163859 \h </w:instrText>
      </w:r>
      <w:r>
        <w:fldChar w:fldCharType="separate"/>
      </w:r>
      <w:r>
        <w:t>5</w:t>
      </w:r>
      <w:r>
        <w:fldChar w:fldCharType="end"/>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5</w:t>
      </w:r>
      <w:r>
        <w:fldChar w:fldCharType="end"/>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5</w:t>
      </w:r>
      <w:r>
        <w:fldChar w:fldCharType="end"/>
      </w:r>
      <w:r>
        <w:rPr>
          <w:rFonts w:hint="eastAsia"/>
          <w:lang w:val="en-US" w:eastAsia="zh-CN"/>
        </w:rPr>
        <w:t>-6</w:t>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6</w:t>
      </w:r>
      <w:r>
        <w:fldChar w:fldCharType="end"/>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6</w:t>
      </w:r>
      <w:r>
        <w:fldChar w:fldCharType="end"/>
      </w:r>
      <w:r>
        <w:rPr>
          <w:rFonts w:hint="eastAsia"/>
          <w:lang w:val="en-US" w:eastAsia="zh-CN"/>
        </w:rPr>
        <w:t>-7</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7</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7</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8</w:t>
      </w:r>
      <w:r>
        <w:fldChar w:fldCharType="end"/>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8</w:t>
      </w:r>
      <w:r>
        <w:fldChar w:fldCharType="end"/>
      </w:r>
      <w:r>
        <w:rPr>
          <w:rFonts w:hint="eastAsia"/>
          <w:lang w:val="en-US" w:eastAsia="zh-CN"/>
        </w:rPr>
        <w:t>-9</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9</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9</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9</w:t>
      </w:r>
      <w:r>
        <w:fldChar w:fldCharType="end"/>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9</w:t>
      </w:r>
      <w:r>
        <w:fldChar w:fldCharType="end"/>
      </w:r>
      <w:r>
        <w:rPr>
          <w:rFonts w:hint="eastAsia"/>
          <w:lang w:val="en-US" w:eastAsia="zh-CN"/>
        </w:rPr>
        <w:t>-10</w:t>
      </w:r>
    </w:p>
    <w:p>
      <w:pPr>
        <w:pStyle w:val="18"/>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10</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10</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10</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10</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10</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10</w:t>
      </w:r>
      <w:r>
        <w:fldChar w:fldCharType="end"/>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10</w:t>
      </w:r>
      <w:r>
        <w:fldChar w:fldCharType="end"/>
      </w:r>
      <w:r>
        <w:rPr>
          <w:rFonts w:hint="eastAsia"/>
          <w:lang w:val="en-US" w:eastAsia="zh-CN"/>
        </w:rPr>
        <w:t>-11</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w:t>
      </w:r>
      <w:r>
        <w:rPr>
          <w:rFonts w:hint="eastAsia"/>
          <w:lang w:val="en-US" w:eastAsia="zh-CN"/>
        </w:rPr>
        <w:t>2</w:t>
      </w:r>
      <w:r>
        <w:fldChar w:fldCharType="end"/>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12</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预算联网工作室2021</w:t>
      </w:r>
      <w:r>
        <w:rPr>
          <w:rFonts w:ascii="方正小标宋简体" w:hAnsi="黑体" w:eastAsia="方正小标宋简体" w:cs="黑体"/>
        </w:rPr>
        <w:t>年部门整体支出绩效评价报告</w:t>
      </w:r>
      <w:r>
        <w:tab/>
      </w:r>
      <w:r>
        <w:rPr>
          <w:rFonts w:hint="eastAsia"/>
          <w:lang w:val="en-US" w:eastAsia="zh-CN"/>
        </w:rPr>
        <w:t>12</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rPr>
          <w:rFonts w:hint="eastAsia"/>
          <w:lang w:val="en-US" w:eastAsia="zh-CN"/>
        </w:rPr>
        <w:t>13</w:t>
      </w:r>
    </w:p>
    <w:p>
      <w:pPr>
        <w:pStyle w:val="18"/>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rPr>
          <w:rFonts w:hint="eastAsia"/>
          <w:b/>
          <w:lang w:val="en-US" w:eastAsia="zh-CN"/>
        </w:rPr>
        <w:t>13</w:t>
      </w:r>
      <w:r>
        <w:fldChar w:fldCharType="end"/>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4"/>
        <w:jc w:val="center"/>
        <w:rPr>
          <w:rFonts w:ascii="黑体" w:eastAsia="黑体"/>
          <w:color w:val="000000"/>
          <w:sz w:val="32"/>
          <w:szCs w:val="32"/>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pPr>
        <w:pStyle w:val="5"/>
        <w:ind w:firstLine="640" w:firstLineChars="200"/>
        <w:rPr>
          <w:rStyle w:val="26"/>
          <w:rFonts w:ascii="仿宋" w:hAnsi="仿宋" w:eastAsia="仿宋"/>
          <w:b w:val="0"/>
          <w:bCs w:val="0"/>
        </w:rPr>
      </w:pPr>
      <w:bookmarkStart w:id="16" w:name="_Toc79163602"/>
      <w:bookmarkStart w:id="17" w:name="_Toc79163852"/>
      <w:bookmarkStart w:id="18" w:name="_Toc15396600"/>
      <w:bookmarkStart w:id="19"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pStyle w:val="8"/>
        <w:adjustRightInd w:val="0"/>
        <w:snapToGrid w:val="0"/>
        <w:spacing w:before="93" w:line="600" w:lineRule="exact"/>
        <w:ind w:firstLine="630" w:firstLineChars="210"/>
        <w:outlineLvl w:val="2"/>
        <w:rPr>
          <w:rFonts w:hint="eastAsia" w:ascii="仿宋" w:hAnsi="仿宋" w:eastAsia="仿宋" w:cs="仿宋"/>
          <w:i w:val="0"/>
          <w:caps w:val="0"/>
          <w:color w:val="333333"/>
          <w:spacing w:val="0"/>
          <w:sz w:val="32"/>
          <w:szCs w:val="32"/>
          <w:shd w:val="clear" w:fill="FFFFFF"/>
        </w:rPr>
      </w:pPr>
      <w:bookmarkStart w:id="24" w:name="_Toc79163854"/>
      <w:bookmarkStart w:id="25" w:name="_Toc15377199"/>
      <w:bookmarkStart w:id="26" w:name="_Toc79163604"/>
      <w:bookmarkStart w:id="27" w:name="_Toc15378446"/>
      <w:r>
        <w:rPr>
          <w:rFonts w:hint="eastAsia" w:ascii="宋体"/>
          <w:sz w:val="30"/>
        </w:rPr>
        <w:t>九寨沟县人大</w:t>
      </w:r>
      <w:r>
        <w:rPr>
          <w:rFonts w:hint="eastAsia" w:ascii="宋体"/>
          <w:sz w:val="30"/>
          <w:lang w:eastAsia="zh-CN"/>
        </w:rPr>
        <w:t>预算联网监督是积极运用信息技术，将人大依法履行预算审查监督职责需要的信息通过网络传输报送、提供联网查询，实现预算审查监督信息化和网络化；提升预算审查监督内容的详实性和时效性，增强预算审查监督的针对性和有效性；推进财政信息公开透明和预算行为规范有序，推动依法行政、依法理财，贯彻落实党中央方针政策和决策部署。</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hint="eastAsia" w:ascii="仿宋" w:hAnsi="仿宋" w:eastAsia="仿宋"/>
          <w:bCs/>
          <w:color w:val="000000"/>
          <w:sz w:val="32"/>
          <w:szCs w:val="32"/>
          <w:lang w:eastAsia="zh-CN"/>
        </w:rPr>
        <w:t>2021</w:t>
      </w:r>
      <w:r>
        <w:rPr>
          <w:rFonts w:hint="eastAsia" w:ascii="仿宋" w:hAnsi="仿宋" w:eastAsia="仿宋"/>
          <w:bCs/>
          <w:color w:val="000000"/>
          <w:sz w:val="32"/>
          <w:szCs w:val="32"/>
        </w:rPr>
        <w:t>年重点工作完成情况。</w:t>
      </w:r>
      <w:bookmarkEnd w:id="24"/>
      <w:bookmarkEnd w:id="25"/>
      <w:bookmarkEnd w:id="26"/>
      <w:bookmarkEnd w:id="27"/>
    </w:p>
    <w:p>
      <w:pPr>
        <w:pStyle w:val="5"/>
        <w:numPr>
          <w:ilvl w:val="0"/>
          <w:numId w:val="0"/>
        </w:numPr>
        <w:ind w:left="210" w:leftChars="0" w:firstLine="640" w:firstLineChars="200"/>
        <w:rPr>
          <w:rFonts w:hint="eastAsia" w:ascii="仿宋" w:hAnsi="仿宋" w:eastAsia="仿宋" w:cs="Times New Roman"/>
          <w:b w:val="0"/>
          <w:bCs/>
          <w:color w:val="000000"/>
          <w:kern w:val="0"/>
          <w:sz w:val="32"/>
          <w:szCs w:val="32"/>
          <w:lang w:val="en-US" w:eastAsia="zh-CN" w:bidi="ar-SA"/>
        </w:rPr>
      </w:pPr>
      <w:bookmarkStart w:id="28" w:name="_Toc79163855"/>
      <w:bookmarkStart w:id="29" w:name="_Toc15396601"/>
      <w:bookmarkStart w:id="30" w:name="_Toc15377200"/>
      <w:bookmarkStart w:id="31" w:name="_Toc79163605"/>
      <w:r>
        <w:rPr>
          <w:rFonts w:hint="eastAsia" w:ascii="仿宋" w:hAnsi="仿宋" w:eastAsia="仿宋" w:cs="Times New Roman"/>
          <w:b w:val="0"/>
          <w:bCs/>
          <w:color w:val="000000"/>
          <w:kern w:val="0"/>
          <w:sz w:val="32"/>
          <w:szCs w:val="32"/>
          <w:lang w:val="en-US" w:eastAsia="zh-CN" w:bidi="ar-SA"/>
        </w:rPr>
        <w:t>1、完成了软件的安装、调试工作。</w:t>
      </w:r>
    </w:p>
    <w:p>
      <w:pPr>
        <w:pStyle w:val="5"/>
        <w:numPr>
          <w:ilvl w:val="0"/>
          <w:numId w:val="0"/>
        </w:numPr>
        <w:ind w:left="210" w:leftChars="0" w:firstLine="640" w:firstLineChars="200"/>
        <w:rPr>
          <w:rFonts w:hint="eastAsia" w:ascii="仿宋" w:hAnsi="仿宋" w:eastAsia="仿宋" w:cs="Times New Roman"/>
          <w:b w:val="0"/>
          <w:bCs/>
          <w:color w:val="000000"/>
          <w:kern w:val="0"/>
          <w:sz w:val="32"/>
          <w:szCs w:val="32"/>
          <w:lang w:val="zh-CN" w:eastAsia="zh-CN" w:bidi="ar-SA"/>
        </w:rPr>
      </w:pPr>
      <w:r>
        <w:rPr>
          <w:rFonts w:hint="eastAsia" w:ascii="仿宋" w:hAnsi="仿宋" w:eastAsia="仿宋" w:cs="Times New Roman"/>
          <w:b w:val="0"/>
          <w:bCs/>
          <w:color w:val="000000"/>
          <w:kern w:val="0"/>
          <w:sz w:val="32"/>
          <w:szCs w:val="32"/>
          <w:lang w:val="en-US" w:eastAsia="zh-CN" w:bidi="ar-SA"/>
        </w:rPr>
        <w:t>2、</w:t>
      </w:r>
      <w:r>
        <w:rPr>
          <w:rFonts w:hint="eastAsia" w:ascii="仿宋" w:hAnsi="仿宋" w:eastAsia="仿宋" w:cs="Times New Roman"/>
          <w:b w:val="0"/>
          <w:bCs/>
          <w:color w:val="000000"/>
          <w:kern w:val="0"/>
          <w:sz w:val="32"/>
          <w:szCs w:val="32"/>
          <w:lang w:val="zh-CN" w:eastAsia="zh-CN" w:bidi="ar-SA"/>
        </w:rPr>
        <w:t>按照监督要求，对全县涉及到的单位进行数据的收集，按时间节点进行上传、整理、分析并实行全方位的监督管理。</w:t>
      </w:r>
    </w:p>
    <w:p>
      <w:pPr>
        <w:pStyle w:val="5"/>
        <w:ind w:firstLine="640" w:firstLineChars="200"/>
        <w:rPr>
          <w:rStyle w:val="26"/>
          <w:b w:val="0"/>
          <w:bCs w:val="0"/>
        </w:rPr>
      </w:pPr>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bookmarkEnd w:id="31"/>
    </w:p>
    <w:p>
      <w:pPr>
        <w:ind w:firstLine="640" w:firstLineChars="200"/>
        <w:rPr>
          <w:rFonts w:ascii="仿宋" w:hAnsi="仿宋" w:eastAsia="仿宋"/>
          <w:sz w:val="32"/>
          <w:szCs w:val="32"/>
        </w:rPr>
      </w:pPr>
      <w:bookmarkStart w:id="32" w:name="_Toc15377203"/>
      <w:bookmarkStart w:id="33" w:name="_Toc15377434"/>
      <w:bookmarkStart w:id="34" w:name="_Toc15306277"/>
      <w:bookmarkStart w:id="35" w:name="_Toc15378450"/>
      <w:bookmarkStart w:id="36" w:name="_Toc79163858"/>
      <w:bookmarkStart w:id="37" w:name="_Toc79163608"/>
      <w:r>
        <w:rPr>
          <w:rFonts w:hint="eastAsia" w:ascii="仿宋" w:hAnsi="仿宋" w:eastAsia="仿宋"/>
          <w:sz w:val="32"/>
          <w:szCs w:val="32"/>
          <w:lang w:eastAsia="zh-CN"/>
        </w:rPr>
        <w:t>县人大常预算联网监督工作室是县人大常委会办公室所</w:t>
      </w:r>
      <w:r>
        <w:rPr>
          <w:rFonts w:hint="eastAsia" w:ascii="仿宋" w:hAnsi="仿宋" w:eastAsia="仿宋"/>
          <w:sz w:val="32"/>
          <w:szCs w:val="32"/>
        </w:rPr>
        <w:t>属</w:t>
      </w:r>
      <w:r>
        <w:rPr>
          <w:rFonts w:hint="eastAsia" w:ascii="仿宋" w:hAnsi="仿宋" w:eastAsia="仿宋"/>
          <w:sz w:val="32"/>
          <w:szCs w:val="32"/>
          <w:lang w:eastAsia="zh-CN"/>
        </w:rPr>
        <w:t>事业正股级单</w:t>
      </w:r>
      <w:r>
        <w:rPr>
          <w:rFonts w:hint="eastAsia" w:ascii="仿宋" w:hAnsi="仿宋" w:eastAsia="仿宋"/>
          <w:sz w:val="32"/>
          <w:szCs w:val="32"/>
        </w:rPr>
        <w:t>位</w:t>
      </w:r>
      <w:r>
        <w:rPr>
          <w:rFonts w:hint="eastAsia" w:ascii="仿宋" w:hAnsi="仿宋" w:eastAsia="仿宋"/>
          <w:sz w:val="32"/>
          <w:szCs w:val="32"/>
          <w:lang w:eastAsia="zh-CN"/>
        </w:rPr>
        <w:t>，下属单位</w:t>
      </w:r>
      <w:r>
        <w:rPr>
          <w:rFonts w:hint="eastAsia" w:ascii="仿宋" w:hAnsi="仿宋" w:eastAsia="仿宋"/>
          <w:sz w:val="32"/>
          <w:szCs w:val="32"/>
          <w:lang w:val="en-US" w:eastAsia="zh-CN"/>
        </w:rPr>
        <w:t>0</w:t>
      </w:r>
      <w:r>
        <w:rPr>
          <w:rFonts w:hint="eastAsia" w:ascii="仿宋" w:hAnsi="仿宋" w:eastAsia="仿宋"/>
          <w:sz w:val="32"/>
          <w:szCs w:val="32"/>
        </w:rPr>
        <w:t>个</w:t>
      </w:r>
      <w:r>
        <w:rPr>
          <w:rFonts w:hint="eastAsia" w:ascii="仿宋" w:hAnsi="仿宋" w:eastAsia="仿宋"/>
          <w:sz w:val="32"/>
          <w:szCs w:val="32"/>
          <w:lang w:eastAsia="zh-CN"/>
        </w:rPr>
        <w:t>。</w:t>
      </w:r>
    </w:p>
    <w:p>
      <w:pPr>
        <w:pStyle w:val="8"/>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sz w:val="32"/>
          <w:szCs w:val="32"/>
          <w:lang w:eastAsia="zh-CN"/>
        </w:rPr>
        <w:t>县人大常预算联网监督工作室</w:t>
      </w: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年度部门决算编制范围的二级预算单位</w:t>
      </w:r>
      <w:r>
        <w:rPr>
          <w:rFonts w:hint="eastAsia" w:ascii="仿宋" w:hAnsi="仿宋" w:eastAsia="仿宋"/>
          <w:color w:val="000000"/>
          <w:sz w:val="32"/>
          <w:szCs w:val="32"/>
          <w:lang w:eastAsia="zh-CN"/>
        </w:rPr>
        <w:t>无</w:t>
      </w:r>
      <w:r>
        <w:rPr>
          <w:rFonts w:hint="eastAsia" w:ascii="仿宋" w:hAnsi="仿宋" w:eastAsia="仿宋"/>
          <w:color w:val="000000"/>
          <w:sz w:val="32"/>
          <w:szCs w:val="32"/>
        </w:rPr>
        <w:t>：</w:t>
      </w:r>
    </w:p>
    <w:bookmarkEnd w:id="32"/>
    <w:bookmarkEnd w:id="33"/>
    <w:bookmarkEnd w:id="34"/>
    <w:bookmarkEnd w:id="35"/>
    <w:bookmarkEnd w:id="36"/>
    <w:bookmarkEnd w:id="37"/>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pPr>
      <w:bookmarkStart w:id="38" w:name="_Toc79163609"/>
      <w:bookmarkStart w:id="39" w:name="_Toc15396602"/>
      <w:bookmarkStart w:id="40" w:name="_Toc79163859"/>
      <w:bookmarkStart w:id="41" w:name="_Toc15377204"/>
      <w:r>
        <w:rPr>
          <w:rFonts w:hint="eastAsia" w:ascii="黑体" w:hAnsi="黑体" w:eastAsia="黑体"/>
          <w:b w:val="0"/>
          <w:color w:val="000000"/>
        </w:rPr>
        <w:t>第二部分</w:t>
      </w:r>
      <w:r>
        <w:rPr>
          <w:rFonts w:ascii="黑体" w:hAnsi="黑体" w:eastAsia="黑体"/>
          <w:color w:val="000000"/>
        </w:rPr>
        <w:t xml:space="preserve"> </w:t>
      </w:r>
      <w:r>
        <w:rPr>
          <w:rStyle w:val="25"/>
          <w:rFonts w:hint="eastAsia" w:ascii="黑体" w:hAnsi="黑体" w:eastAsia="黑体"/>
          <w:b w:val="0"/>
          <w:bCs w:val="0"/>
          <w:lang w:eastAsia="zh-CN"/>
        </w:rPr>
        <w:t>2021</w:t>
      </w:r>
      <w:r>
        <w:rPr>
          <w:rStyle w:val="25"/>
          <w:rFonts w:hint="eastAsia" w:ascii="黑体" w:hAnsi="黑体" w:eastAsia="黑体"/>
          <w:b w:val="0"/>
          <w:bCs w:val="0"/>
        </w:rPr>
        <w:t>年度部门决算情况说明</w:t>
      </w:r>
      <w:bookmarkEnd w:id="38"/>
      <w:bookmarkEnd w:id="39"/>
      <w:bookmarkEnd w:id="40"/>
      <w:bookmarkEnd w:id="41"/>
    </w:p>
    <w:p>
      <w:pPr>
        <w:pStyle w:val="36"/>
        <w:numPr>
          <w:ilvl w:val="0"/>
          <w:numId w:val="1"/>
        </w:numPr>
        <w:spacing w:line="600" w:lineRule="exact"/>
        <w:ind w:firstLineChars="0"/>
        <w:outlineLvl w:val="1"/>
        <w:rPr>
          <w:rStyle w:val="26"/>
          <w:rFonts w:ascii="黑体" w:hAnsi="黑体" w:eastAsia="黑体"/>
          <w:b w:val="0"/>
        </w:rPr>
      </w:pPr>
      <w:bookmarkStart w:id="42" w:name="_Toc15396603"/>
      <w:bookmarkStart w:id="43" w:name="_Toc79163610"/>
      <w:bookmarkStart w:id="44" w:name="_Toc15377205"/>
      <w:bookmarkStart w:id="45" w:name="_Toc79163860"/>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42"/>
      <w:bookmarkEnd w:id="43"/>
      <w:bookmarkEnd w:id="44"/>
      <w:bookmarkEnd w:id="45"/>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年度收总计</w:t>
      </w:r>
      <w:r>
        <w:rPr>
          <w:rFonts w:hint="eastAsia" w:ascii="仿宋" w:hAnsi="仿宋" w:eastAsia="仿宋"/>
          <w:color w:val="000000"/>
          <w:sz w:val="32"/>
          <w:szCs w:val="32"/>
          <w:lang w:val="en-US" w:eastAsia="zh-CN"/>
        </w:rPr>
        <w:t>18.28</w:t>
      </w:r>
      <w:r>
        <w:rPr>
          <w:rFonts w:hint="eastAsia" w:ascii="仿宋" w:hAnsi="仿宋" w:eastAsia="仿宋"/>
          <w:color w:val="000000"/>
          <w:sz w:val="32"/>
          <w:szCs w:val="32"/>
        </w:rPr>
        <w:t>万元、支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18.28</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8.33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83.72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新增加一名工作人员。</w:t>
      </w:r>
    </w:p>
    <w:p>
      <w:pPr>
        <w:pStyle w:val="2"/>
        <w:ind w:left="1920" w:leftChars="0" w:hanging="1920" w:hangingChars="600"/>
        <w:rPr>
          <w:rFonts w:ascii="仿宋_GB2312" w:eastAsia="仿宋_GB2312"/>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612765" cy="2743200"/>
            <wp:effectExtent l="4445" t="4445" r="6350" b="107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36"/>
        <w:numPr>
          <w:ilvl w:val="0"/>
          <w:numId w:val="1"/>
        </w:numPr>
        <w:spacing w:line="600" w:lineRule="exact"/>
        <w:ind w:firstLineChars="0"/>
        <w:outlineLvl w:val="1"/>
        <w:rPr>
          <w:rStyle w:val="26"/>
          <w:rFonts w:ascii="黑体" w:hAnsi="黑体" w:eastAsia="黑体"/>
          <w:b w:val="0"/>
        </w:rPr>
      </w:pPr>
      <w:bookmarkStart w:id="46" w:name="_Toc15377206"/>
      <w:bookmarkStart w:id="47" w:name="_Toc79163611"/>
      <w:bookmarkStart w:id="48" w:name="_Toc79163861"/>
      <w:bookmarkStart w:id="49"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46"/>
      <w:bookmarkEnd w:id="47"/>
      <w:bookmarkEnd w:id="48"/>
      <w:bookmarkEnd w:id="49"/>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18.28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18.28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2"/>
        <w:ind w:left="0" w:leftChars="0" w:firstLine="0" w:firstLineChars="0"/>
        <w:rPr>
          <w:rFonts w:hint="eastAsia"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5147945" cy="2352675"/>
            <wp:effectExtent l="4445" t="4445" r="13970"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1920" w:firstLineChars="6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6"/>
        <w:numPr>
          <w:ilvl w:val="0"/>
          <w:numId w:val="1"/>
        </w:numPr>
        <w:spacing w:line="600" w:lineRule="exact"/>
        <w:ind w:firstLineChars="0"/>
        <w:outlineLvl w:val="1"/>
        <w:rPr>
          <w:rStyle w:val="26"/>
          <w:rFonts w:ascii="黑体" w:hAnsi="黑体" w:eastAsia="黑体"/>
          <w:b w:val="0"/>
        </w:rPr>
      </w:pPr>
      <w:bookmarkStart w:id="50" w:name="_Toc79163612"/>
      <w:bookmarkStart w:id="51" w:name="_Toc15396605"/>
      <w:bookmarkStart w:id="52" w:name="_Toc79163862"/>
      <w:bookmarkStart w:id="53"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50"/>
      <w:bookmarkEnd w:id="51"/>
      <w:bookmarkEnd w:id="52"/>
      <w:bookmarkEnd w:id="53"/>
    </w:p>
    <w:p>
      <w:pPr>
        <w:spacing w:line="600" w:lineRule="exact"/>
        <w:ind w:firstLine="640" w:firstLineChars="200"/>
        <w:rPr>
          <w:rFonts w:hint="eastAsia" w:ascii="仿宋" w:hAnsi="仿宋" w:eastAsia="仿宋"/>
          <w:color w:val="000000"/>
          <w:sz w:val="32"/>
          <w:szCs w:val="32"/>
        </w:rPr>
      </w:pPr>
      <w:r>
        <w:rPr>
          <w:rFonts w:hint="eastAsia" w:ascii="仿宋_GB2312" w:eastAsia="仿宋_GB2312"/>
          <w:sz w:val="32"/>
          <w:szCs w:val="32"/>
          <w:lang w:eastAsia="zh-CN"/>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18.28</w:t>
      </w:r>
      <w:r>
        <w:rPr>
          <w:rFonts w:hint="eastAsia" w:ascii="仿宋_GB2312" w:eastAsia="仿宋_GB2312"/>
          <w:sz w:val="32"/>
          <w:szCs w:val="32"/>
        </w:rPr>
        <w:t>万元，其中：基本支出</w:t>
      </w:r>
      <w:r>
        <w:rPr>
          <w:rFonts w:hint="eastAsia" w:ascii="仿宋_GB2312" w:eastAsia="仿宋_GB2312"/>
          <w:sz w:val="32"/>
          <w:szCs w:val="32"/>
          <w:lang w:val="en-US" w:eastAsia="zh-CN"/>
        </w:rPr>
        <w:t>18.28</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Style w:val="2"/>
        <w:ind w:left="0" w:leftChars="0" w:firstLine="0" w:firstLineChars="0"/>
        <w:rPr>
          <w:rFonts w:hint="eastAsia"/>
        </w:rPr>
      </w:pP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37455" cy="2118360"/>
            <wp:effectExtent l="12700" t="12700" r="24765" b="177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1920" w:firstLineChars="6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Style w:val="26"/>
          <w:rFonts w:ascii="黑体" w:hAnsi="黑体" w:eastAsia="黑体"/>
          <w:b w:val="0"/>
        </w:rPr>
      </w:pPr>
      <w:bookmarkStart w:id="54" w:name="_Toc79163863"/>
      <w:bookmarkStart w:id="55" w:name="_Toc79163613"/>
      <w:bookmarkStart w:id="56" w:name="_Toc15396606"/>
      <w:bookmarkStart w:id="57"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54"/>
      <w:bookmarkEnd w:id="55"/>
      <w:bookmarkEnd w:id="56"/>
      <w:bookmarkEnd w:id="57"/>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年度收总计</w:t>
      </w:r>
      <w:r>
        <w:rPr>
          <w:rFonts w:hint="eastAsia" w:ascii="仿宋" w:hAnsi="仿宋" w:eastAsia="仿宋"/>
          <w:color w:val="000000"/>
          <w:sz w:val="32"/>
          <w:szCs w:val="32"/>
          <w:lang w:val="en-US" w:eastAsia="zh-CN"/>
        </w:rPr>
        <w:t>18.28</w:t>
      </w:r>
      <w:r>
        <w:rPr>
          <w:rFonts w:hint="eastAsia" w:ascii="仿宋" w:hAnsi="仿宋" w:eastAsia="仿宋"/>
          <w:color w:val="000000"/>
          <w:sz w:val="32"/>
          <w:szCs w:val="32"/>
        </w:rPr>
        <w:t>万元、支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18.28</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8.33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83.72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新增加一名工作人员。</w:t>
      </w:r>
    </w:p>
    <w:p>
      <w:pPr>
        <w:pStyle w:val="2"/>
        <w:ind w:left="0" w:leftChars="0" w:firstLine="0" w:firstLineChars="0"/>
        <w:rPr>
          <w:rFonts w:hint="eastAsia"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612765" cy="2743200"/>
            <wp:effectExtent l="4445" t="4445" r="6350" b="1079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Style w:val="26"/>
          <w:rFonts w:ascii="黑体" w:hAnsi="黑体" w:eastAsia="黑体"/>
          <w:b w:val="0"/>
        </w:rPr>
      </w:pPr>
      <w:bookmarkStart w:id="58" w:name="_Toc15396607"/>
      <w:bookmarkStart w:id="59" w:name="_Toc15377209"/>
      <w:bookmarkStart w:id="60" w:name="_Toc79163614"/>
      <w:bookmarkStart w:id="61"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8"/>
      <w:bookmarkEnd w:id="59"/>
      <w:bookmarkEnd w:id="60"/>
      <w:bookmarkEnd w:id="61"/>
    </w:p>
    <w:p>
      <w:pPr>
        <w:spacing w:line="600" w:lineRule="exact"/>
        <w:ind w:firstLine="643" w:firstLineChars="200"/>
        <w:outlineLvl w:val="2"/>
        <w:rPr>
          <w:rFonts w:ascii="仿宋" w:hAnsi="仿宋" w:eastAsia="仿宋"/>
          <w:b/>
          <w:color w:val="000000"/>
          <w:sz w:val="32"/>
          <w:szCs w:val="32"/>
        </w:rPr>
      </w:pPr>
      <w:bookmarkStart w:id="62" w:name="_Toc79163865"/>
      <w:bookmarkStart w:id="63" w:name="_Toc79163615"/>
      <w:bookmarkStart w:id="64" w:name="_Toc15377210"/>
      <w:r>
        <w:rPr>
          <w:rFonts w:hint="eastAsia" w:ascii="仿宋" w:hAnsi="仿宋" w:eastAsia="仿宋"/>
          <w:b/>
          <w:color w:val="000000"/>
          <w:sz w:val="32"/>
          <w:szCs w:val="32"/>
        </w:rPr>
        <w:t>（一）一般公共预算财政拨款支出决算总体情况</w:t>
      </w:r>
      <w:bookmarkEnd w:id="62"/>
      <w:bookmarkEnd w:id="63"/>
      <w:bookmarkEnd w:id="64"/>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18.28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2020</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8.33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83.72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新增加一名工作人员。</w:t>
      </w:r>
    </w:p>
    <w:p>
      <w:pPr>
        <w:pStyle w:val="2"/>
        <w:ind w:left="0" w:leftChars="0" w:firstLine="0" w:firstLineChars="0"/>
        <w:rPr>
          <w:rFonts w:hint="eastAsia"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172075" cy="2318385"/>
            <wp:effectExtent l="4445" t="4445" r="5080" b="889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3" w:firstLineChars="200"/>
        <w:outlineLvl w:val="2"/>
        <w:rPr>
          <w:rFonts w:ascii="仿宋" w:hAnsi="仿宋" w:eastAsia="仿宋"/>
          <w:b/>
          <w:color w:val="000000"/>
          <w:sz w:val="32"/>
          <w:szCs w:val="32"/>
        </w:rPr>
      </w:pPr>
      <w:bookmarkStart w:id="65" w:name="_Toc15377211"/>
      <w:bookmarkStart w:id="66" w:name="_Toc79163616"/>
      <w:bookmarkStart w:id="67" w:name="_Toc79163866"/>
      <w:r>
        <w:rPr>
          <w:rFonts w:hint="eastAsia" w:ascii="仿宋" w:hAnsi="仿宋" w:eastAsia="仿宋"/>
          <w:b/>
          <w:color w:val="000000"/>
          <w:sz w:val="32"/>
          <w:szCs w:val="32"/>
        </w:rPr>
        <w:t>（二）一般公共预算财政拨款支出决算结构情况</w:t>
      </w:r>
      <w:bookmarkEnd w:id="65"/>
      <w:bookmarkEnd w:id="66"/>
      <w:bookmarkEnd w:id="67"/>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18.28</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b/>
          <w:color w:val="000000"/>
          <w:sz w:val="32"/>
          <w:szCs w:val="32"/>
          <w:lang w:val="en-US" w:eastAsia="zh-CN"/>
        </w:rPr>
        <w:t>201</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14.47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79.16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1.63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8.92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w:t>
      </w:r>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210</w:t>
      </w:r>
      <w:r>
        <w:rPr>
          <w:rFonts w:hint="eastAsia" w:ascii="仿宋" w:hAnsi="仿宋" w:eastAsia="仿宋"/>
          <w:b/>
          <w:color w:val="000000"/>
          <w:sz w:val="32"/>
          <w:szCs w:val="32"/>
        </w:rPr>
        <w:t>）</w:t>
      </w:r>
      <w:r>
        <w:rPr>
          <w:rFonts w:hint="eastAsia" w:ascii="仿宋" w:hAnsi="仿宋" w:eastAsia="仿宋"/>
          <w:b/>
          <w:bCs/>
          <w:color w:val="000000"/>
          <w:sz w:val="32"/>
          <w:szCs w:val="32"/>
        </w:rPr>
        <w:t>支出</w:t>
      </w:r>
      <w:r>
        <w:rPr>
          <w:rFonts w:hint="eastAsia" w:ascii="仿宋" w:hAnsi="仿宋" w:eastAsia="仿宋"/>
          <w:color w:val="000000"/>
          <w:sz w:val="32"/>
          <w:szCs w:val="32"/>
          <w:lang w:val="en-US" w:eastAsia="zh-CN"/>
        </w:rPr>
        <w:t>0.37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2.02</w:t>
      </w:r>
      <w:r>
        <w:rPr>
          <w:rFonts w:ascii="仿宋" w:hAnsi="仿宋" w:eastAsia="仿宋"/>
          <w:color w:val="000000"/>
          <w:sz w:val="32"/>
          <w:szCs w:val="32"/>
        </w:rPr>
        <w:t>%</w:t>
      </w:r>
      <w:r>
        <w:rPr>
          <w:rFonts w:hint="eastAsia" w:ascii="仿宋" w:hAnsi="仿宋" w:eastAsia="仿宋"/>
          <w:color w:val="000000"/>
          <w:sz w:val="32"/>
          <w:szCs w:val="32"/>
        </w:rPr>
        <w:t>；住房保障</w:t>
      </w:r>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221</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1.81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w:t>
      </w:r>
      <w:r>
        <w:rPr>
          <w:rFonts w:ascii="仿宋" w:hAnsi="仿宋" w:eastAsia="仿宋"/>
          <w:color w:val="000000"/>
          <w:sz w:val="32"/>
          <w:szCs w:val="32"/>
        </w:rPr>
        <w:t>%</w:t>
      </w:r>
      <w:r>
        <w:rPr>
          <w:rFonts w:hint="eastAsia" w:ascii="仿宋" w:hAnsi="仿宋" w:eastAsia="仿宋"/>
          <w:color w:val="000000"/>
          <w:sz w:val="32"/>
          <w:szCs w:val="32"/>
          <w:lang w:eastAsia="zh-CN"/>
        </w:rPr>
        <w:t>。</w:t>
      </w:r>
    </w:p>
    <w:p>
      <w:pPr>
        <w:pStyle w:val="2"/>
        <w:ind w:left="0" w:leftChars="0" w:firstLine="0" w:firstLineChars="0"/>
        <w:rPr>
          <w:rFonts w:hint="eastAsia"/>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723255" cy="2322195"/>
            <wp:effectExtent l="4445" t="5080" r="17780" b="44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960" w:firstLineChars="3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3" w:firstLineChars="200"/>
        <w:outlineLvl w:val="2"/>
        <w:rPr>
          <w:rFonts w:ascii="仿宋" w:hAnsi="仿宋" w:eastAsia="仿宋"/>
          <w:b/>
          <w:color w:val="000000"/>
          <w:sz w:val="32"/>
          <w:szCs w:val="32"/>
        </w:rPr>
      </w:pPr>
      <w:bookmarkStart w:id="68" w:name="_Toc15377212"/>
      <w:bookmarkStart w:id="69" w:name="_Toc79163617"/>
      <w:bookmarkStart w:id="70" w:name="_Toc79163867"/>
      <w:r>
        <w:rPr>
          <w:rFonts w:hint="eastAsia" w:ascii="仿宋" w:hAnsi="仿宋" w:eastAsia="仿宋"/>
          <w:b/>
          <w:color w:val="000000"/>
          <w:sz w:val="32"/>
          <w:szCs w:val="32"/>
        </w:rPr>
        <w:t>（三）一般公共预算财政拨款支出决算具体情况</w:t>
      </w:r>
      <w:bookmarkEnd w:id="68"/>
      <w:bookmarkEnd w:id="69"/>
      <w:bookmarkEnd w:id="70"/>
    </w:p>
    <w:p>
      <w:pPr>
        <w:spacing w:line="600" w:lineRule="exact"/>
        <w:ind w:firstLine="643" w:firstLineChars="200"/>
        <w:rPr>
          <w:rFonts w:ascii="仿宋_GB2312" w:eastAsia="仿宋_GB2312"/>
          <w:b/>
          <w:bCs/>
          <w:sz w:val="32"/>
          <w:szCs w:val="32"/>
        </w:rPr>
      </w:pPr>
      <w:bookmarkStart w:id="71" w:name="_Toc15377213"/>
      <w:bookmarkStart w:id="72" w:name="_Toc15377444"/>
      <w:bookmarkStart w:id="73" w:name="_Toc15378460"/>
      <w:r>
        <w:rPr>
          <w:rFonts w:hint="eastAsia" w:ascii="仿宋_GB2312" w:eastAsia="仿宋_GB2312"/>
          <w:b/>
          <w:bCs/>
          <w:sz w:val="32"/>
          <w:szCs w:val="32"/>
          <w:lang w:eastAsia="zh-CN"/>
        </w:rPr>
        <w:t>2021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18.28</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71"/>
      <w:bookmarkEnd w:id="72"/>
      <w:bookmarkEnd w:id="73"/>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1.</w:t>
      </w:r>
      <w:r>
        <w:rPr>
          <w:rStyle w:val="23"/>
          <w:rFonts w:hint="eastAsia" w:ascii="仿宋" w:hAnsi="仿宋" w:eastAsia="仿宋"/>
          <w:bCs/>
          <w:color w:val="000000"/>
          <w:sz w:val="32"/>
          <w:szCs w:val="32"/>
        </w:rPr>
        <w:t>一般公共服务（</w:t>
      </w:r>
      <w:r>
        <w:rPr>
          <w:rStyle w:val="23"/>
          <w:rFonts w:hint="eastAsia" w:ascii="仿宋" w:hAnsi="仿宋" w:eastAsia="仿宋"/>
          <w:bCs/>
          <w:color w:val="000000"/>
          <w:sz w:val="32"/>
          <w:szCs w:val="32"/>
          <w:lang w:val="en-US" w:eastAsia="zh-CN"/>
        </w:rPr>
        <w:t>201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人大事务</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事业运行</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50</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14.47</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eastAsia="zh-CN"/>
        </w:rPr>
        <w:t>与</w:t>
      </w:r>
      <w:r>
        <w:rPr>
          <w:rStyle w:val="23"/>
          <w:rFonts w:hint="eastAsia" w:ascii="仿宋" w:hAnsi="仿宋" w:eastAsia="仿宋"/>
          <w:b w:val="0"/>
          <w:bCs/>
          <w:color w:val="000000"/>
          <w:sz w:val="32"/>
          <w:szCs w:val="32"/>
        </w:rPr>
        <w:t>预算数</w:t>
      </w:r>
      <w:r>
        <w:rPr>
          <w:rStyle w:val="23"/>
          <w:rFonts w:hint="eastAsia" w:ascii="仿宋" w:hAnsi="仿宋" w:eastAsia="仿宋"/>
          <w:b w:val="0"/>
          <w:bCs/>
          <w:color w:val="000000"/>
          <w:sz w:val="32"/>
          <w:szCs w:val="32"/>
          <w:lang w:eastAsia="zh-CN"/>
        </w:rPr>
        <w:t>持平</w:t>
      </w:r>
      <w:r>
        <w:rPr>
          <w:rStyle w:val="23"/>
          <w:rFonts w:hint="eastAsia" w:ascii="仿宋" w:hAnsi="仿宋" w:eastAsia="仿宋"/>
          <w:b w:val="0"/>
          <w:bCs/>
          <w:color w:val="000000"/>
          <w:sz w:val="32"/>
          <w:szCs w:val="32"/>
        </w:rPr>
        <w:t>。</w:t>
      </w:r>
    </w:p>
    <w:p>
      <w:pPr>
        <w:spacing w:line="600" w:lineRule="exact"/>
        <w:ind w:firstLine="643" w:firstLineChars="200"/>
        <w:rPr>
          <w:rStyle w:val="23"/>
          <w:rFonts w:hint="eastAsia" w:ascii="仿宋" w:hAnsi="仿宋" w:eastAsia="仿宋"/>
          <w:b w:val="0"/>
          <w:bCs/>
          <w:color w:val="000000"/>
          <w:sz w:val="32"/>
          <w:szCs w:val="32"/>
          <w:lang w:eastAsia="zh-CN"/>
        </w:rPr>
      </w:pPr>
      <w:r>
        <w:rPr>
          <w:rStyle w:val="23"/>
          <w:rFonts w:hint="eastAsia" w:ascii="仿宋" w:hAnsi="仿宋" w:eastAsia="仿宋"/>
          <w:bCs/>
          <w:color w:val="000000"/>
          <w:sz w:val="32"/>
          <w:szCs w:val="32"/>
          <w:lang w:val="en-US" w:eastAsia="zh-CN"/>
        </w:rPr>
        <w:t>2</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社会保障和就业（</w:t>
      </w:r>
      <w:r>
        <w:rPr>
          <w:rStyle w:val="23"/>
          <w:rFonts w:hint="eastAsia" w:ascii="仿宋" w:hAnsi="仿宋" w:eastAsia="仿宋"/>
          <w:bCs/>
          <w:color w:val="000000"/>
          <w:sz w:val="32"/>
          <w:szCs w:val="32"/>
          <w:lang w:val="en-US" w:eastAsia="zh-CN"/>
        </w:rPr>
        <w:t>208</w:t>
      </w:r>
      <w:r>
        <w:rPr>
          <w:rStyle w:val="23"/>
          <w:rFonts w:hint="eastAsia" w:ascii="仿宋" w:hAnsi="仿宋" w:eastAsia="仿宋"/>
          <w:bCs/>
          <w:color w:val="000000"/>
          <w:sz w:val="32"/>
          <w:szCs w:val="32"/>
        </w:rPr>
        <w:t>）行政事业单位</w:t>
      </w:r>
      <w:r>
        <w:rPr>
          <w:rStyle w:val="23"/>
          <w:rFonts w:hint="eastAsia" w:ascii="仿宋" w:hAnsi="仿宋" w:eastAsia="仿宋"/>
          <w:bCs/>
          <w:color w:val="000000"/>
          <w:sz w:val="32"/>
          <w:szCs w:val="32"/>
          <w:lang w:eastAsia="zh-CN"/>
        </w:rPr>
        <w:t>养老支出</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）机关事业单位基本养老保险缴费支出（</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1.09</w:t>
      </w:r>
      <w:r>
        <w:rPr>
          <w:rStyle w:val="23"/>
          <w:rFonts w:hint="eastAsia" w:ascii="仿宋" w:hAnsi="仿宋" w:eastAsia="仿宋"/>
          <w:b w:val="0"/>
          <w:bCs/>
          <w:color w:val="000000"/>
          <w:sz w:val="32"/>
          <w:szCs w:val="32"/>
        </w:rPr>
        <w:t>万元</w:t>
      </w:r>
      <w:r>
        <w:rPr>
          <w:rStyle w:val="23"/>
          <w:rFonts w:hint="eastAsia" w:ascii="仿宋" w:hAnsi="仿宋" w:eastAsia="仿宋"/>
          <w:bCs/>
          <w:color w:val="000000"/>
          <w:sz w:val="32"/>
          <w:szCs w:val="32"/>
          <w:lang w:val="en-US" w:eastAsia="zh-CN"/>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eastAsia="zh-CN"/>
        </w:rPr>
        <w:t>与</w:t>
      </w:r>
      <w:r>
        <w:rPr>
          <w:rStyle w:val="23"/>
          <w:rFonts w:hint="eastAsia" w:ascii="仿宋" w:hAnsi="仿宋" w:eastAsia="仿宋"/>
          <w:b w:val="0"/>
          <w:bCs/>
          <w:color w:val="000000"/>
          <w:sz w:val="32"/>
          <w:szCs w:val="32"/>
        </w:rPr>
        <w:t>预算数</w:t>
      </w:r>
      <w:r>
        <w:rPr>
          <w:rStyle w:val="23"/>
          <w:rFonts w:hint="eastAsia" w:ascii="仿宋" w:hAnsi="仿宋" w:eastAsia="仿宋"/>
          <w:b w:val="0"/>
          <w:bCs/>
          <w:color w:val="000000"/>
          <w:sz w:val="32"/>
          <w:szCs w:val="32"/>
          <w:lang w:eastAsia="zh-CN"/>
        </w:rPr>
        <w:t>持平；</w:t>
      </w:r>
    </w:p>
    <w:p>
      <w:pPr>
        <w:spacing w:line="600" w:lineRule="exact"/>
        <w:ind w:firstLine="643" w:firstLineChars="200"/>
        <w:rPr>
          <w:rStyle w:val="23"/>
          <w:rFonts w:hint="eastAsia" w:ascii="仿宋" w:hAnsi="仿宋" w:eastAsia="仿宋"/>
          <w:b w:val="0"/>
          <w:bCs/>
          <w:color w:val="000000"/>
          <w:sz w:val="32"/>
          <w:szCs w:val="32"/>
          <w:lang w:eastAsia="zh-CN"/>
        </w:rPr>
      </w:pPr>
      <w:r>
        <w:rPr>
          <w:rStyle w:val="23"/>
          <w:rFonts w:hint="eastAsia" w:ascii="仿宋" w:hAnsi="仿宋" w:eastAsia="仿宋"/>
          <w:bCs/>
          <w:color w:val="000000"/>
          <w:sz w:val="32"/>
          <w:szCs w:val="32"/>
        </w:rPr>
        <w:t>社会保障和就业（</w:t>
      </w:r>
      <w:r>
        <w:rPr>
          <w:rStyle w:val="23"/>
          <w:rFonts w:hint="eastAsia" w:ascii="仿宋" w:hAnsi="仿宋" w:eastAsia="仿宋"/>
          <w:bCs/>
          <w:color w:val="000000"/>
          <w:sz w:val="32"/>
          <w:szCs w:val="32"/>
          <w:lang w:val="en-US" w:eastAsia="zh-CN"/>
        </w:rPr>
        <w:t>208</w:t>
      </w:r>
      <w:r>
        <w:rPr>
          <w:rStyle w:val="23"/>
          <w:rFonts w:hint="eastAsia" w:ascii="仿宋" w:hAnsi="仿宋" w:eastAsia="仿宋"/>
          <w:bCs/>
          <w:color w:val="000000"/>
          <w:sz w:val="32"/>
          <w:szCs w:val="32"/>
        </w:rPr>
        <w:t>）行政事业单位</w:t>
      </w:r>
      <w:r>
        <w:rPr>
          <w:rStyle w:val="23"/>
          <w:rFonts w:hint="eastAsia" w:ascii="仿宋" w:hAnsi="仿宋" w:eastAsia="仿宋"/>
          <w:bCs/>
          <w:color w:val="000000"/>
          <w:sz w:val="32"/>
          <w:szCs w:val="32"/>
          <w:lang w:eastAsia="zh-CN"/>
        </w:rPr>
        <w:t>养老支出</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）机关事业单位</w:t>
      </w:r>
      <w:r>
        <w:rPr>
          <w:rStyle w:val="23"/>
          <w:rFonts w:hint="eastAsia" w:ascii="仿宋" w:hAnsi="仿宋" w:eastAsia="仿宋"/>
          <w:bCs/>
          <w:color w:val="000000"/>
          <w:sz w:val="32"/>
          <w:szCs w:val="32"/>
          <w:lang w:eastAsia="zh-CN"/>
        </w:rPr>
        <w:t>职业年金</w:t>
      </w:r>
      <w:r>
        <w:rPr>
          <w:rStyle w:val="23"/>
          <w:rFonts w:hint="eastAsia" w:ascii="仿宋" w:hAnsi="仿宋" w:eastAsia="仿宋"/>
          <w:bCs/>
          <w:color w:val="000000"/>
          <w:sz w:val="32"/>
          <w:szCs w:val="32"/>
        </w:rPr>
        <w:t>缴费支出（</w:t>
      </w:r>
      <w:r>
        <w:rPr>
          <w:rStyle w:val="23"/>
          <w:rFonts w:hint="eastAsia" w:ascii="仿宋" w:hAnsi="仿宋" w:eastAsia="仿宋"/>
          <w:bCs/>
          <w:color w:val="000000"/>
          <w:sz w:val="32"/>
          <w:szCs w:val="32"/>
          <w:lang w:val="en-US" w:eastAsia="zh-CN"/>
        </w:rPr>
        <w:t>06</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0.54</w:t>
      </w:r>
      <w:r>
        <w:rPr>
          <w:rStyle w:val="23"/>
          <w:rFonts w:hint="eastAsia" w:ascii="仿宋" w:hAnsi="仿宋" w:eastAsia="仿宋"/>
          <w:b w:val="0"/>
          <w:bCs/>
          <w:color w:val="000000"/>
          <w:sz w:val="32"/>
          <w:szCs w:val="32"/>
        </w:rPr>
        <w:t>万元</w:t>
      </w:r>
      <w:r>
        <w:rPr>
          <w:rStyle w:val="23"/>
          <w:rFonts w:hint="eastAsia" w:ascii="仿宋" w:hAnsi="仿宋" w:eastAsia="仿宋"/>
          <w:bCs/>
          <w:color w:val="000000"/>
          <w:sz w:val="32"/>
          <w:szCs w:val="32"/>
          <w:lang w:val="en-US" w:eastAsia="zh-CN"/>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eastAsia="zh-CN"/>
        </w:rPr>
        <w:t>与</w:t>
      </w:r>
      <w:r>
        <w:rPr>
          <w:rStyle w:val="23"/>
          <w:rFonts w:hint="eastAsia" w:ascii="仿宋" w:hAnsi="仿宋" w:eastAsia="仿宋"/>
          <w:b w:val="0"/>
          <w:bCs/>
          <w:color w:val="000000"/>
          <w:sz w:val="32"/>
          <w:szCs w:val="32"/>
        </w:rPr>
        <w:t>预算数</w:t>
      </w:r>
      <w:r>
        <w:rPr>
          <w:rStyle w:val="23"/>
          <w:rFonts w:hint="eastAsia" w:ascii="仿宋" w:hAnsi="仿宋" w:eastAsia="仿宋"/>
          <w:b w:val="0"/>
          <w:bCs/>
          <w:color w:val="000000"/>
          <w:sz w:val="32"/>
          <w:szCs w:val="32"/>
          <w:lang w:eastAsia="zh-CN"/>
        </w:rPr>
        <w:t>持平；</w:t>
      </w:r>
    </w:p>
    <w:p>
      <w:pPr>
        <w:numPr>
          <w:ilvl w:val="0"/>
          <w:numId w:val="0"/>
        </w:numPr>
        <w:spacing w:line="600" w:lineRule="exact"/>
        <w:ind w:firstLine="643" w:firstLineChars="200"/>
        <w:rPr>
          <w:rStyle w:val="23"/>
          <w:rFonts w:hint="eastAsia" w:ascii="仿宋" w:hAnsi="仿宋" w:eastAsia="仿宋"/>
          <w:b w:val="0"/>
          <w:bCs/>
          <w:color w:val="000000"/>
          <w:sz w:val="32"/>
          <w:szCs w:val="32"/>
        </w:rPr>
      </w:pPr>
      <w:r>
        <w:rPr>
          <w:rFonts w:hint="eastAsia" w:ascii="仿宋" w:hAnsi="仿宋" w:eastAsia="仿宋"/>
          <w:b/>
          <w:bCs/>
          <w:color w:val="000000" w:themeColor="text1"/>
          <w:sz w:val="32"/>
          <w:szCs w:val="32"/>
          <w:lang w:val="en-US" w:eastAsia="zh-CN"/>
          <w14:textFill>
            <w14:solidFill>
              <w14:schemeClr w14:val="tx1"/>
            </w14:solidFill>
          </w14:textFill>
        </w:rPr>
        <w:t>3.</w:t>
      </w:r>
      <w:r>
        <w:rPr>
          <w:rFonts w:hint="eastAsia" w:ascii="仿宋" w:hAnsi="仿宋" w:eastAsia="仿宋"/>
          <w:b/>
          <w:bCs/>
          <w:color w:val="000000" w:themeColor="text1"/>
          <w:sz w:val="32"/>
          <w:szCs w:val="32"/>
          <w14:textFill>
            <w14:solidFill>
              <w14:schemeClr w14:val="tx1"/>
            </w14:solidFill>
          </w14:textFill>
        </w:rPr>
        <w:t>卫生健康</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210</w:t>
      </w:r>
      <w:r>
        <w:rPr>
          <w:rStyle w:val="23"/>
          <w:rFonts w:hint="eastAsia" w:ascii="仿宋" w:hAnsi="仿宋" w:eastAsia="仿宋"/>
          <w:bCs/>
          <w:color w:val="000000"/>
          <w:sz w:val="32"/>
          <w:szCs w:val="32"/>
        </w:rPr>
        <w:t>）行政事业单位医疗（</w:t>
      </w:r>
      <w:r>
        <w:rPr>
          <w:rStyle w:val="23"/>
          <w:rFonts w:hint="eastAsia" w:ascii="仿宋" w:hAnsi="仿宋" w:eastAsia="仿宋"/>
          <w:bCs/>
          <w:color w:val="000000"/>
          <w:sz w:val="32"/>
          <w:szCs w:val="32"/>
          <w:lang w:val="en-US" w:eastAsia="zh-CN"/>
        </w:rPr>
        <w:t>11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其他行政事业单位医疗支出</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99</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0.37</w:t>
      </w:r>
      <w:r>
        <w:rPr>
          <w:rStyle w:val="23"/>
          <w:rFonts w:hint="eastAsia" w:ascii="仿宋" w:hAnsi="仿宋" w:eastAsia="仿宋"/>
          <w:b w:val="0"/>
          <w:bCs/>
          <w:color w:val="000000"/>
          <w:sz w:val="32"/>
          <w:szCs w:val="32"/>
        </w:rPr>
        <w:t>万元</w:t>
      </w:r>
      <w:r>
        <w:rPr>
          <w:rStyle w:val="23"/>
          <w:rFonts w:hint="eastAsia" w:ascii="仿宋" w:hAnsi="仿宋" w:eastAsia="仿宋"/>
          <w:b w:val="0"/>
          <w:bCs/>
          <w:color w:val="000000"/>
          <w:sz w:val="32"/>
          <w:szCs w:val="32"/>
          <w:lang w:eastAsia="zh-CN"/>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eastAsia="zh-CN"/>
        </w:rPr>
        <w:t>与</w:t>
      </w:r>
      <w:r>
        <w:rPr>
          <w:rStyle w:val="23"/>
          <w:rFonts w:hint="eastAsia" w:ascii="仿宋" w:hAnsi="仿宋" w:eastAsia="仿宋"/>
          <w:b w:val="0"/>
          <w:bCs/>
          <w:color w:val="000000"/>
          <w:sz w:val="32"/>
          <w:szCs w:val="32"/>
        </w:rPr>
        <w:t>预算数</w:t>
      </w:r>
      <w:r>
        <w:rPr>
          <w:rStyle w:val="23"/>
          <w:rFonts w:hint="eastAsia" w:ascii="仿宋" w:hAnsi="仿宋" w:eastAsia="仿宋"/>
          <w:b w:val="0"/>
          <w:bCs/>
          <w:color w:val="000000"/>
          <w:sz w:val="32"/>
          <w:szCs w:val="32"/>
          <w:lang w:eastAsia="zh-CN"/>
        </w:rPr>
        <w:t>持平</w:t>
      </w:r>
      <w:r>
        <w:rPr>
          <w:rStyle w:val="23"/>
          <w:rFonts w:hint="eastAsia" w:ascii="仿宋" w:hAnsi="仿宋" w:eastAsia="仿宋"/>
          <w:b w:val="0"/>
          <w:bCs/>
          <w:color w:val="000000"/>
          <w:sz w:val="32"/>
          <w:szCs w:val="32"/>
        </w:rPr>
        <w:t>。</w:t>
      </w:r>
    </w:p>
    <w:p>
      <w:pPr>
        <w:pStyle w:val="2"/>
        <w:ind w:left="0" w:leftChars="0" w:firstLine="643" w:firstLineChars="200"/>
        <w:rPr>
          <w:rFonts w:ascii="仿宋" w:hAnsi="仿宋" w:eastAsia="仿宋"/>
          <w:color w:val="000000"/>
          <w:sz w:val="32"/>
          <w:szCs w:val="32"/>
        </w:rPr>
      </w:pPr>
      <w:r>
        <w:rPr>
          <w:rFonts w:hint="eastAsia" w:ascii="仿宋" w:hAnsi="仿宋" w:eastAsia="仿宋" w:cs="Times New Roman"/>
          <w:b/>
          <w:bCs/>
          <w:color w:val="000000" w:themeColor="text1"/>
          <w:kern w:val="2"/>
          <w:sz w:val="32"/>
          <w:szCs w:val="32"/>
          <w:lang w:val="en-US" w:eastAsia="zh-CN" w:bidi="ar-SA"/>
          <w14:textFill>
            <w14:solidFill>
              <w14:schemeClr w14:val="tx1"/>
            </w14:solidFill>
          </w14:textFill>
        </w:rPr>
        <w:t>4.住房保障</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221</w:t>
      </w:r>
      <w:r>
        <w:rPr>
          <w:rStyle w:val="23"/>
          <w:rFonts w:hint="eastAsia" w:ascii="仿宋" w:hAnsi="仿宋" w:eastAsia="仿宋"/>
          <w:bCs/>
          <w:color w:val="000000"/>
          <w:sz w:val="32"/>
          <w:szCs w:val="32"/>
        </w:rPr>
        <w:t>）住房改革支出（</w:t>
      </w:r>
      <w:r>
        <w:rPr>
          <w:rStyle w:val="23"/>
          <w:rFonts w:hint="eastAsia" w:ascii="仿宋" w:hAnsi="仿宋" w:eastAsia="仿宋"/>
          <w:bCs/>
          <w:color w:val="000000"/>
          <w:sz w:val="32"/>
          <w:szCs w:val="32"/>
          <w:lang w:val="en-US" w:eastAsia="zh-CN"/>
        </w:rPr>
        <w:t>02</w:t>
      </w:r>
      <w:r>
        <w:rPr>
          <w:rStyle w:val="23"/>
          <w:rFonts w:hint="eastAsia" w:ascii="仿宋" w:hAnsi="仿宋" w:eastAsia="仿宋"/>
          <w:bCs/>
          <w:color w:val="000000"/>
          <w:sz w:val="32"/>
          <w:szCs w:val="32"/>
        </w:rPr>
        <w:t>）住房公积金（</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1.81</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eastAsia="zh-CN"/>
        </w:rPr>
        <w:t>与</w:t>
      </w:r>
      <w:r>
        <w:rPr>
          <w:rStyle w:val="23"/>
          <w:rFonts w:hint="eastAsia" w:ascii="仿宋" w:hAnsi="仿宋" w:eastAsia="仿宋"/>
          <w:b w:val="0"/>
          <w:bCs/>
          <w:color w:val="000000"/>
          <w:sz w:val="32"/>
          <w:szCs w:val="32"/>
        </w:rPr>
        <w:t>预算数</w:t>
      </w:r>
      <w:r>
        <w:rPr>
          <w:rStyle w:val="23"/>
          <w:rFonts w:hint="eastAsia" w:ascii="仿宋" w:hAnsi="仿宋" w:eastAsia="仿宋"/>
          <w:b w:val="0"/>
          <w:bCs/>
          <w:color w:val="000000"/>
          <w:sz w:val="32"/>
          <w:szCs w:val="32"/>
          <w:lang w:eastAsia="zh-CN"/>
        </w:rPr>
        <w:t>持平。</w:t>
      </w:r>
    </w:p>
    <w:p>
      <w:pPr>
        <w:tabs>
          <w:tab w:val="right" w:pos="8306"/>
        </w:tabs>
        <w:spacing w:line="600" w:lineRule="exact"/>
        <w:ind w:firstLine="640"/>
        <w:outlineLvl w:val="1"/>
        <w:rPr>
          <w:rStyle w:val="26"/>
        </w:rPr>
      </w:pPr>
      <w:bookmarkStart w:id="74" w:name="_Toc79163868"/>
      <w:bookmarkStart w:id="75" w:name="_Toc79163618"/>
      <w:bookmarkStart w:id="76" w:name="_Toc15396608"/>
      <w:bookmarkStart w:id="77"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74"/>
      <w:bookmarkEnd w:id="75"/>
      <w:bookmarkEnd w:id="76"/>
      <w:bookmarkEnd w:id="77"/>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18.28</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17.78</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0.5</w:t>
      </w:r>
      <w:r>
        <w:rPr>
          <w:rFonts w:hint="eastAsia" w:ascii="仿宋" w:hAnsi="仿宋" w:eastAsia="仿宋"/>
          <w:color w:val="000000"/>
          <w:sz w:val="32"/>
          <w:szCs w:val="32"/>
        </w:rPr>
        <w:t>万元，主要包括：办公费。</w:t>
      </w:r>
    </w:p>
    <w:p>
      <w:pPr>
        <w:spacing w:line="600" w:lineRule="exact"/>
        <w:ind w:firstLine="640"/>
        <w:outlineLvl w:val="1"/>
        <w:rPr>
          <w:rStyle w:val="26"/>
          <w:rFonts w:ascii="黑体" w:hAnsi="黑体" w:eastAsia="黑体"/>
          <w:b w:val="0"/>
        </w:rPr>
      </w:pPr>
      <w:bookmarkStart w:id="78" w:name="_Toc79163869"/>
      <w:bookmarkStart w:id="79" w:name="_Toc15396609"/>
      <w:bookmarkStart w:id="80" w:name="_Toc15377215"/>
      <w:bookmarkStart w:id="81" w:name="_Toc7916361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78"/>
      <w:bookmarkEnd w:id="79"/>
      <w:bookmarkEnd w:id="80"/>
      <w:bookmarkEnd w:id="81"/>
    </w:p>
    <w:p>
      <w:pPr>
        <w:spacing w:line="600" w:lineRule="exact"/>
        <w:ind w:firstLine="640"/>
        <w:outlineLvl w:val="2"/>
        <w:rPr>
          <w:rFonts w:ascii="仿宋" w:hAnsi="仿宋" w:eastAsia="仿宋"/>
          <w:b/>
          <w:color w:val="000000"/>
          <w:sz w:val="32"/>
          <w:szCs w:val="32"/>
        </w:rPr>
      </w:pPr>
      <w:bookmarkStart w:id="82" w:name="_Toc15377216"/>
      <w:bookmarkStart w:id="83" w:name="_Toc79163870"/>
      <w:bookmarkStart w:id="84" w:name="_Toc79163620"/>
      <w:r>
        <w:rPr>
          <w:rFonts w:hint="eastAsia" w:ascii="仿宋" w:hAnsi="仿宋" w:eastAsia="仿宋"/>
          <w:b/>
          <w:color w:val="000000"/>
          <w:sz w:val="32"/>
          <w:szCs w:val="32"/>
        </w:rPr>
        <w:t>（一）“三公”经费财政拨款支出决算总体情况说明</w:t>
      </w:r>
      <w:bookmarkEnd w:id="82"/>
      <w:bookmarkEnd w:id="83"/>
      <w:bookmarkEnd w:id="84"/>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w:t>
      </w:r>
      <w:r>
        <w:rPr>
          <w:rFonts w:hint="eastAsia" w:ascii="仿宋" w:hAnsi="仿宋" w:eastAsia="仿宋"/>
          <w:color w:val="000000"/>
          <w:sz w:val="32"/>
          <w:szCs w:val="32"/>
          <w:lang w:eastAsia="zh-CN"/>
        </w:rPr>
        <w:t>纳入人大办统一核算。此报告不做反应。</w:t>
      </w:r>
    </w:p>
    <w:p>
      <w:pPr>
        <w:spacing w:line="600" w:lineRule="exact"/>
        <w:ind w:firstLine="640"/>
        <w:outlineLvl w:val="1"/>
        <w:rPr>
          <w:rStyle w:val="26"/>
          <w:rFonts w:ascii="黑体" w:hAnsi="黑体" w:eastAsia="黑体"/>
        </w:rPr>
      </w:pPr>
      <w:bookmarkStart w:id="85" w:name="_Toc15396610"/>
      <w:bookmarkStart w:id="86" w:name="_Toc15377218"/>
      <w:bookmarkStart w:id="87" w:name="_Toc79163622"/>
      <w:bookmarkStart w:id="88" w:name="_Toc79163872"/>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5"/>
      <w:bookmarkEnd w:id="86"/>
      <w:bookmarkEnd w:id="87"/>
      <w:bookmarkEnd w:id="88"/>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6"/>
          <w:rFonts w:ascii="黑体" w:hAnsi="黑体" w:eastAsia="黑体"/>
          <w:b w:val="0"/>
        </w:rPr>
      </w:pPr>
      <w:bookmarkStart w:id="89" w:name="_Toc15396611"/>
      <w:bookmarkStart w:id="90" w:name="_Toc79163623"/>
      <w:bookmarkStart w:id="91" w:name="_Toc79163873"/>
      <w:bookmarkStart w:id="92" w:name="_Toc15377219"/>
      <w:r>
        <w:rPr>
          <w:rStyle w:val="26"/>
          <w:rFonts w:hint="eastAsia" w:ascii="黑体" w:hAnsi="黑体" w:eastAsia="黑体"/>
          <w:b w:val="0"/>
        </w:rPr>
        <w:t>国有资本经营预算支出决算情况说明</w:t>
      </w:r>
      <w:bookmarkEnd w:id="89"/>
      <w:bookmarkEnd w:id="90"/>
      <w:bookmarkEnd w:id="91"/>
      <w:bookmarkEnd w:id="92"/>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eastAsia="黑体"/>
        </w:rPr>
      </w:pPr>
      <w:bookmarkStart w:id="93" w:name="_Toc15396612"/>
      <w:bookmarkStart w:id="94" w:name="_Toc15377221"/>
      <w:bookmarkStart w:id="95" w:name="_Toc79163874"/>
      <w:bookmarkStart w:id="96" w:name="_Toc79163624"/>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3"/>
      <w:bookmarkEnd w:id="94"/>
      <w:bookmarkEnd w:id="95"/>
      <w:bookmarkEnd w:id="96"/>
    </w:p>
    <w:p>
      <w:pPr>
        <w:spacing w:line="600" w:lineRule="exact"/>
        <w:ind w:firstLine="643" w:firstLineChars="200"/>
        <w:outlineLvl w:val="2"/>
        <w:rPr>
          <w:rFonts w:ascii="仿宋" w:hAnsi="仿宋" w:eastAsia="仿宋"/>
          <w:color w:val="000000"/>
          <w:sz w:val="32"/>
          <w:szCs w:val="32"/>
        </w:rPr>
      </w:pPr>
      <w:bookmarkStart w:id="97" w:name="_Toc15377222"/>
      <w:bookmarkStart w:id="98" w:name="_Toc79163625"/>
      <w:bookmarkStart w:id="99" w:name="_Toc79163875"/>
      <w:r>
        <w:rPr>
          <w:rFonts w:hint="eastAsia" w:ascii="仿宋" w:hAnsi="仿宋" w:eastAsia="仿宋"/>
          <w:b/>
          <w:color w:val="000000"/>
          <w:sz w:val="32"/>
          <w:szCs w:val="32"/>
        </w:rPr>
        <w:t>（一）机关运行经费支出情况</w:t>
      </w:r>
      <w:bookmarkEnd w:id="97"/>
      <w:bookmarkEnd w:id="98"/>
      <w:bookmarkEnd w:id="99"/>
    </w:p>
    <w:p>
      <w:pPr>
        <w:spacing w:line="600" w:lineRule="exact"/>
        <w:ind w:firstLine="640"/>
        <w:rPr>
          <w:rFonts w:hint="eastAsia" w:ascii="仿宋" w:hAnsi="仿宋" w:eastAsia="仿宋"/>
          <w:color w:val="000000"/>
          <w:sz w:val="32"/>
          <w:szCs w:val="32"/>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 w:hAnsi="仿宋" w:eastAsia="仿宋"/>
          <w:color w:val="000000"/>
          <w:sz w:val="32"/>
          <w:szCs w:val="32"/>
        </w:rPr>
        <w:t>经费</w:t>
      </w:r>
      <w:r>
        <w:rPr>
          <w:rFonts w:hint="eastAsia" w:ascii="仿宋" w:hAnsi="仿宋" w:eastAsia="仿宋"/>
          <w:color w:val="000000"/>
          <w:sz w:val="32"/>
          <w:szCs w:val="32"/>
          <w:lang w:eastAsia="zh-CN"/>
        </w:rPr>
        <w:t>纳入人大办统一核算。此报告不做反应。</w:t>
      </w:r>
    </w:p>
    <w:p>
      <w:pPr>
        <w:autoSpaceDE w:val="0"/>
        <w:autoSpaceDN w:val="0"/>
        <w:adjustRightInd w:val="0"/>
        <w:spacing w:line="600" w:lineRule="exact"/>
        <w:ind w:firstLine="321" w:firstLineChars="100"/>
        <w:jc w:val="left"/>
        <w:outlineLvl w:val="2"/>
        <w:rPr>
          <w:rFonts w:ascii="仿宋" w:hAnsi="仿宋" w:eastAsia="仿宋"/>
          <w:b/>
          <w:color w:val="000000"/>
          <w:sz w:val="32"/>
          <w:szCs w:val="32"/>
        </w:rPr>
      </w:pPr>
      <w:bookmarkStart w:id="100" w:name="_Toc79163626"/>
      <w:bookmarkStart w:id="101" w:name="_Toc15377223"/>
      <w:bookmarkStart w:id="102" w:name="_Toc79163876"/>
      <w:r>
        <w:rPr>
          <w:rFonts w:hint="eastAsia" w:ascii="仿宋" w:hAnsi="仿宋" w:eastAsia="仿宋"/>
          <w:b/>
          <w:color w:val="000000"/>
          <w:sz w:val="32"/>
          <w:szCs w:val="32"/>
        </w:rPr>
        <w:t>（二）政府采购支出情况</w:t>
      </w:r>
      <w:bookmarkEnd w:id="100"/>
      <w:bookmarkEnd w:id="101"/>
      <w:bookmarkEnd w:id="102"/>
    </w:p>
    <w:p>
      <w:pPr>
        <w:spacing w:line="600" w:lineRule="exact"/>
        <w:ind w:firstLine="640"/>
        <w:rPr>
          <w:rFonts w:ascii="仿宋" w:hAnsi="仿宋" w:eastAsia="仿宋"/>
          <w:b/>
          <w:color w:val="FF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 w:hAnsi="仿宋" w:eastAsia="仿宋"/>
          <w:color w:val="000000"/>
          <w:sz w:val="32"/>
          <w:szCs w:val="32"/>
        </w:rPr>
        <w:t>经费</w:t>
      </w:r>
      <w:r>
        <w:rPr>
          <w:rFonts w:hint="eastAsia" w:ascii="仿宋" w:hAnsi="仿宋" w:eastAsia="仿宋"/>
          <w:color w:val="000000"/>
          <w:sz w:val="32"/>
          <w:szCs w:val="32"/>
          <w:lang w:eastAsia="zh-CN"/>
        </w:rPr>
        <w:t>纳入人大办统一核算。此报告不做反应。</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627"/>
      <w:bookmarkStart w:id="104" w:name="_Toc79163877"/>
      <w:bookmarkStart w:id="105" w:name="_Toc15377224"/>
      <w:r>
        <w:rPr>
          <w:rFonts w:hint="eastAsia" w:ascii="仿宋" w:hAnsi="仿宋" w:eastAsia="仿宋"/>
          <w:b/>
          <w:color w:val="000000"/>
          <w:sz w:val="32"/>
          <w:szCs w:val="32"/>
        </w:rPr>
        <w:t>（三）国有资产占有使用情况</w:t>
      </w:r>
      <w:bookmarkEnd w:id="103"/>
      <w:bookmarkEnd w:id="104"/>
      <w:bookmarkEnd w:id="105"/>
    </w:p>
    <w:p>
      <w:pPr>
        <w:autoSpaceDE w:val="0"/>
        <w:autoSpaceDN w:val="0"/>
        <w:adjustRightInd w:val="0"/>
        <w:spacing w:line="600" w:lineRule="exact"/>
        <w:ind w:firstLine="640" w:firstLineChars="200"/>
        <w:jc w:val="left"/>
        <w:rPr>
          <w:rFonts w:ascii="仿宋" w:hAnsi="仿宋" w:eastAsia="仿宋"/>
          <w:b/>
          <w:color w:val="FF0000"/>
          <w:sz w:val="32"/>
          <w:szCs w:val="32"/>
        </w:rPr>
      </w:pPr>
      <w:bookmarkStart w:id="106" w:name="_Toc79163878"/>
      <w:bookmarkStart w:id="107" w:name="_Toc79163628"/>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 w:hAnsi="仿宋" w:eastAsia="仿宋"/>
          <w:color w:val="000000"/>
          <w:sz w:val="32"/>
          <w:szCs w:val="32"/>
        </w:rPr>
        <w:t>经费</w:t>
      </w:r>
      <w:r>
        <w:rPr>
          <w:rFonts w:hint="eastAsia" w:ascii="仿宋" w:hAnsi="仿宋" w:eastAsia="仿宋"/>
          <w:color w:val="000000"/>
          <w:sz w:val="32"/>
          <w:szCs w:val="32"/>
          <w:lang w:eastAsia="zh-CN"/>
        </w:rPr>
        <w:t>纳入人大办统一核算。此报告不做反应</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bookmarkEnd w:id="106"/>
      <w:bookmarkEnd w:id="107"/>
    </w:p>
    <w:p>
      <w:pPr>
        <w:widowControl/>
        <w:ind w:firstLine="640" w:firstLineChars="200"/>
        <w:jc w:val="left"/>
        <w:rPr>
          <w:rFonts w:ascii="仿宋_GB2312" w:eastAsia="仿宋_GB2312"/>
          <w:b/>
          <w:color w:val="000000"/>
          <w:sz w:val="32"/>
          <w:szCs w:val="32"/>
        </w:rPr>
      </w:pPr>
      <w:bookmarkStart w:id="108" w:name="_Toc79163629"/>
      <w:bookmarkStart w:id="109" w:name="_Toc15377225"/>
      <w:bookmarkStart w:id="110" w:name="_Toc15396613"/>
      <w:bookmarkStart w:id="111" w:name="_Toc79163879"/>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 w:hAnsi="仿宋" w:eastAsia="仿宋"/>
          <w:color w:val="000000"/>
          <w:sz w:val="32"/>
          <w:szCs w:val="32"/>
          <w:lang w:eastAsia="zh-CN"/>
        </w:rPr>
        <w:t>部门整体纳入人大办统一编制。此报告不做反应。</w:t>
      </w:r>
    </w:p>
    <w:p>
      <w:pPr>
        <w:numPr>
          <w:ilvl w:val="0"/>
          <w:numId w:val="3"/>
        </w:numPr>
        <w:spacing w:line="600" w:lineRule="exact"/>
        <w:ind w:firstLine="660" w:firstLineChars="150"/>
        <w:jc w:val="center"/>
        <w:outlineLvl w:val="0"/>
        <w:rPr>
          <w:rFonts w:ascii="宋体"/>
          <w:b/>
          <w:color w:val="000000"/>
          <w:sz w:val="44"/>
          <w:szCs w:val="44"/>
        </w:rPr>
      </w:pPr>
      <w:r>
        <w:rPr>
          <w:rFonts w:hint="eastAsia" w:ascii="黑体" w:hAnsi="黑体" w:eastAsia="黑体"/>
          <w:color w:val="000000"/>
          <w:sz w:val="44"/>
          <w:szCs w:val="44"/>
        </w:rPr>
        <w:t>名</w:t>
      </w:r>
      <w:r>
        <w:rPr>
          <w:rStyle w:val="25"/>
          <w:rFonts w:hint="eastAsia" w:ascii="黑体" w:hAnsi="黑体" w:eastAsia="黑体"/>
          <w:b w:val="0"/>
        </w:rPr>
        <w:t>词解释</w:t>
      </w:r>
      <w:bookmarkEnd w:id="108"/>
      <w:bookmarkEnd w:id="109"/>
      <w:bookmarkEnd w:id="110"/>
      <w:bookmarkEnd w:id="111"/>
    </w:p>
    <w:p>
      <w:pPr>
        <w:pStyle w:val="3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left="638" w:leftChars="304" w:firstLine="0" w:firstLineChars="0"/>
        <w:rPr>
          <w:rFonts w:hint="eastAsia" w:ascii="仿宋_GB2312" w:eastAsia="仿宋_GB2312"/>
          <w:color w:val="000000"/>
          <w:sz w:val="32"/>
          <w:szCs w:val="32"/>
        </w:rPr>
      </w:pPr>
      <w:bookmarkStart w:id="112" w:name="_Toc15396614"/>
      <w:bookmarkStart w:id="113" w:name="_Toc79163630"/>
      <w:bookmarkStart w:id="114" w:name="_Toc79163880"/>
      <w:bookmarkStart w:id="115" w:name="_Toc15377226"/>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）人大事务（</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运行</w:t>
      </w:r>
    </w:p>
    <w:p>
      <w:pPr>
        <w:rPr>
          <w:rFonts w:hint="eastAsia" w:ascii="仿宋_GB2312" w:eastAsia="仿宋_GB2312"/>
          <w:color w:val="000000"/>
          <w:sz w:val="32"/>
          <w:szCs w:val="32"/>
          <w:lang w:eastAsia="zh-CN"/>
        </w:rPr>
      </w:pP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ind w:left="638" w:leftChars="304" w:firstLine="0" w:firstLineChars="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w:t>
      </w:r>
      <w:r>
        <w:rPr>
          <w:rFonts w:hint="eastAsia" w:ascii="仿宋_GB2312" w:eastAsia="仿宋_GB2312"/>
          <w:color w:val="000000"/>
          <w:sz w:val="32"/>
          <w:szCs w:val="32"/>
          <w:lang w:eastAsia="zh-CN"/>
        </w:rPr>
        <w:t>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p>
    <w:p>
      <w:pPr>
        <w:rPr>
          <w:rFonts w:hint="eastAsia" w:ascii="仿宋_GB2312" w:eastAsia="仿宋_GB2312"/>
          <w:color w:val="000000"/>
          <w:sz w:val="32"/>
          <w:szCs w:val="32"/>
          <w:lang w:eastAsia="zh-CN"/>
        </w:rPr>
      </w:pPr>
      <w:r>
        <w:rPr>
          <w:rFonts w:hint="eastAsia" w:ascii="仿宋_GB2312" w:eastAsia="仿宋_GB2312"/>
          <w:color w:val="000000"/>
          <w:sz w:val="32"/>
          <w:szCs w:val="32"/>
        </w:rPr>
        <w:t>机关事业单位基本养老保险缴费支出（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ind w:left="638" w:leftChars="304" w:firstLine="0" w:firstLineChars="0"/>
        <w:rPr>
          <w:rFonts w:hint="eastAsia" w:ascii="仿宋_GB2312" w:eastAsia="仿宋_GB2312"/>
          <w:color w:val="000000"/>
          <w:sz w:val="32"/>
          <w:szCs w:val="32"/>
        </w:rPr>
      </w:pP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w:t>
      </w:r>
      <w:r>
        <w:rPr>
          <w:rFonts w:hint="eastAsia" w:ascii="仿宋_GB2312" w:eastAsia="仿宋_GB2312"/>
          <w:color w:val="000000"/>
          <w:sz w:val="32"/>
          <w:szCs w:val="32"/>
          <w:lang w:eastAsia="zh-CN"/>
        </w:rPr>
        <w:t>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p>
    <w:p>
      <w:pPr>
        <w:pStyle w:val="2"/>
        <w:ind w:left="0" w:leftChars="0" w:firstLine="0" w:firstLineChars="0"/>
        <w:rPr>
          <w:rFonts w:hint="eastAsia"/>
          <w:lang w:eastAsia="zh-CN"/>
        </w:rPr>
      </w:pPr>
      <w:r>
        <w:rPr>
          <w:rFonts w:hint="eastAsia" w:ascii="仿宋_GB2312" w:eastAsia="仿宋_GB2312"/>
          <w:color w:val="000000"/>
          <w:sz w:val="32"/>
          <w:szCs w:val="32"/>
        </w:rPr>
        <w:t>机关事业单位</w:t>
      </w:r>
      <w:r>
        <w:rPr>
          <w:rFonts w:hint="eastAsia" w:ascii="仿宋_GB2312" w:eastAsia="仿宋_GB2312"/>
          <w:color w:val="000000"/>
          <w:sz w:val="32"/>
          <w:szCs w:val="32"/>
          <w:lang w:eastAsia="zh-CN"/>
        </w:rPr>
        <w:t>职业年金</w:t>
      </w:r>
      <w:r>
        <w:rPr>
          <w:rFonts w:hint="eastAsia" w:ascii="仿宋_GB2312" w:eastAsia="仿宋_GB2312"/>
          <w:color w:val="000000"/>
          <w:sz w:val="32"/>
          <w:szCs w:val="32"/>
        </w:rPr>
        <w:t>缴费支出（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w:t>
      </w:r>
    </w:p>
    <w:p>
      <w:pPr>
        <w:numPr>
          <w:ilvl w:val="0"/>
          <w:numId w:val="4"/>
        </w:num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其他行政事业单位医疗支出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基本支出：指为保障工作</w:t>
      </w:r>
      <w:r>
        <w:rPr>
          <w:rFonts w:hint="eastAsia" w:ascii="仿宋_GB2312" w:eastAsia="仿宋_GB2312"/>
          <w:color w:val="000000"/>
          <w:sz w:val="32"/>
          <w:szCs w:val="32"/>
          <w:lang w:eastAsia="zh-CN"/>
        </w:rPr>
        <w:t>人员的基本工资福利支出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w:t>
      </w:r>
      <w:r>
        <w:rPr>
          <w:rFonts w:hint="eastAsia" w:ascii="仿宋_GB2312" w:eastAsia="仿宋_GB2312"/>
          <w:color w:val="000000"/>
          <w:sz w:val="32"/>
          <w:szCs w:val="32"/>
          <w:lang w:eastAsia="zh-CN"/>
        </w:rPr>
        <w:t>无</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经营支出：</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pStyle w:val="35"/>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w:t>
      </w:r>
      <w:r>
        <w:rPr>
          <w:rFonts w:hint="eastAsia" w:ascii="仿宋_GB2312" w:eastAsia="仿宋_GB2312"/>
          <w:sz w:val="32"/>
          <w:szCs w:val="32"/>
          <w:lang w:eastAsia="zh-CN"/>
        </w:rPr>
        <w:t>无</w:t>
      </w:r>
    </w:p>
    <w:p>
      <w:pPr>
        <w:pStyle w:val="35"/>
        <w:spacing w:line="560" w:lineRule="exact"/>
        <w:ind w:firstLine="640" w:firstLineChars="200"/>
        <w:rPr>
          <w:rFonts w:hint="eastAsia" w:ascii="黑体" w:hAnsi="黑体" w:eastAsia="黑体"/>
          <w:color w:val="000000"/>
          <w:sz w:val="44"/>
          <w:szCs w:val="44"/>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w:t>
      </w:r>
      <w:r>
        <w:rPr>
          <w:rFonts w:hint="eastAsia" w:ascii="仿宋_GB2312" w:eastAsia="仿宋_GB2312"/>
          <w:sz w:val="32"/>
          <w:szCs w:val="32"/>
          <w:lang w:eastAsia="zh-CN"/>
        </w:rPr>
        <w:t>无</w:t>
      </w:r>
    </w:p>
    <w:p>
      <w:pPr>
        <w:spacing w:line="600" w:lineRule="exact"/>
        <w:ind w:firstLine="2640" w:firstLineChars="600"/>
        <w:jc w:val="both"/>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四部分 附件</w:t>
      </w:r>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widowControl/>
        <w:spacing w:line="48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rPr>
        <w:t>九寨沟</w:t>
      </w:r>
      <w:r>
        <w:rPr>
          <w:rFonts w:ascii="方正小标宋简体" w:hAnsi="宋体" w:eastAsia="方正小标宋简体"/>
          <w:sz w:val="44"/>
          <w:szCs w:val="44"/>
        </w:rPr>
        <w:t>县</w:t>
      </w:r>
      <w:r>
        <w:rPr>
          <w:rFonts w:hint="eastAsia" w:ascii="方正小标宋简体" w:hAnsi="宋体" w:eastAsia="方正小标宋简体"/>
          <w:sz w:val="44"/>
          <w:szCs w:val="44"/>
          <w:lang w:eastAsia="zh-CN"/>
        </w:rPr>
        <w:t>人大办</w:t>
      </w:r>
    </w:p>
    <w:p>
      <w:pPr>
        <w:widowControl/>
        <w:spacing w:line="480" w:lineRule="exact"/>
        <w:jc w:val="center"/>
        <w:rPr>
          <w:rFonts w:ascii="方正小标宋简体" w:hAnsi="宋体" w:eastAsia="方正小标宋简体"/>
          <w:sz w:val="44"/>
          <w:szCs w:val="44"/>
        </w:rPr>
      </w:pPr>
      <w:r>
        <w:rPr>
          <w:rFonts w:ascii="方正小标宋简体" w:hAnsi="宋体" w:eastAsia="方正小标宋简体"/>
          <w:sz w:val="44"/>
          <w:szCs w:val="44"/>
        </w:rPr>
        <w:t>20</w:t>
      </w:r>
      <w:r>
        <w:rPr>
          <w:rFonts w:hint="eastAsia" w:ascii="方正小标宋简体" w:hAnsi="宋体" w:eastAsia="方正小标宋简体"/>
          <w:sz w:val="44"/>
          <w:szCs w:val="44"/>
        </w:rPr>
        <w:t>20年部门整体支出绩效报告</w:t>
      </w:r>
    </w:p>
    <w:p>
      <w:pPr>
        <w:widowControl/>
        <w:spacing w:line="480" w:lineRule="exact"/>
        <w:jc w:val="center"/>
        <w:rPr>
          <w:rFonts w:ascii="黑体" w:hAnsi="宋体" w:eastAsia="黑体" w:cs="宋体"/>
          <w:color w:val="000000"/>
          <w:kern w:val="0"/>
        </w:rPr>
      </w:pPr>
    </w:p>
    <w:p>
      <w:pPr>
        <w:spacing w:line="600" w:lineRule="exact"/>
        <w:jc w:val="center"/>
        <w:outlineLvl w:val="0"/>
        <w:rPr>
          <w:rFonts w:hint="eastAsia" w:ascii="黑体" w:hAnsi="黑体" w:eastAsia="黑体"/>
          <w:color w:val="000000"/>
          <w:sz w:val="44"/>
          <w:szCs w:val="44"/>
        </w:rPr>
      </w:pPr>
      <w:r>
        <w:rPr>
          <w:rFonts w:hint="eastAsia" w:ascii="黑体" w:hAnsi="黑体" w:eastAsia="黑体"/>
          <w:color w:val="000000"/>
          <w:sz w:val="44"/>
          <w:szCs w:val="44"/>
          <w:lang w:eastAsia="zh-CN"/>
        </w:rPr>
        <w:t>统一纳入人大办反映</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Style w:val="2"/>
        <w:ind w:left="0" w:leftChars="0" w:firstLine="0" w:firstLineChars="0"/>
        <w:rPr>
          <w:rFonts w:hint="eastAsia" w:ascii="黑体" w:hAnsi="黑体" w:eastAsia="黑体"/>
          <w:color w:val="000000"/>
          <w:sz w:val="44"/>
          <w:szCs w:val="44"/>
        </w:rPr>
      </w:pPr>
    </w:p>
    <w:p>
      <w:pPr>
        <w:spacing w:line="600" w:lineRule="exact"/>
        <w:jc w:val="center"/>
        <w:outlineLvl w:val="0"/>
        <w:rPr>
          <w:rStyle w:val="25"/>
          <w:rFonts w:hint="eastAsia"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 附表</w:t>
      </w:r>
    </w:p>
    <w:p>
      <w:pPr>
        <w:spacing w:line="600" w:lineRule="exact"/>
        <w:jc w:val="both"/>
        <w:outlineLvl w:val="0"/>
        <w:rPr>
          <w:rStyle w:val="26"/>
          <w:rFonts w:hint="eastAsia" w:ascii="仿宋" w:hAnsi="仿宋" w:eastAsia="仿宋"/>
          <w:b w:val="0"/>
          <w:bCs w:val="0"/>
          <w:lang w:val="en-US" w:eastAsia="zh-CN" w:bidi="ar-SA"/>
        </w:rPr>
      </w:pPr>
    </w:p>
    <w:p>
      <w:pPr>
        <w:numPr>
          <w:ilvl w:val="0"/>
          <w:numId w:val="0"/>
        </w:numPr>
        <w:spacing w:line="600" w:lineRule="exact"/>
        <w:jc w:val="both"/>
        <w:outlineLvl w:val="0"/>
        <w:rPr>
          <w:rStyle w:val="26"/>
          <w:rFonts w:hint="eastAsia" w:ascii="仿宋" w:hAnsi="仿宋" w:eastAsia="仿宋"/>
          <w:b w:val="0"/>
          <w:bCs w:val="0"/>
          <w:lang w:val="en-US" w:eastAsia="zh-CN" w:bidi="ar-SA"/>
        </w:rPr>
      </w:pPr>
      <w:r>
        <w:rPr>
          <w:rStyle w:val="26"/>
          <w:rFonts w:hint="eastAsia" w:ascii="仿宋" w:hAnsi="仿宋" w:eastAsia="仿宋"/>
          <w:b w:val="0"/>
          <w:bCs w:val="0"/>
          <w:lang w:val="en-US" w:eastAsia="zh-CN" w:bidi="ar-SA"/>
        </w:rPr>
        <w:t>一、收入支出决算总表</w:t>
      </w:r>
    </w:p>
    <w:p>
      <w:pPr>
        <w:numPr>
          <w:ilvl w:val="0"/>
          <w:numId w:val="0"/>
        </w:numPr>
        <w:spacing w:line="600" w:lineRule="exact"/>
        <w:jc w:val="both"/>
        <w:outlineLvl w:val="0"/>
        <w:rPr>
          <w:rStyle w:val="26"/>
          <w:rFonts w:hint="eastAsia" w:ascii="仿宋" w:hAnsi="仿宋" w:eastAsia="仿宋"/>
          <w:b w:val="0"/>
          <w:bCs w:val="0"/>
          <w:lang w:val="en-US" w:eastAsia="zh-CN" w:bidi="ar-SA"/>
        </w:rPr>
      </w:pPr>
      <w:r>
        <w:rPr>
          <w:rStyle w:val="26"/>
          <w:rFonts w:hint="eastAsia" w:ascii="仿宋" w:hAnsi="仿宋" w:eastAsia="仿宋"/>
          <w:b w:val="0"/>
          <w:bCs w:val="0"/>
          <w:lang w:val="en-US" w:eastAsia="zh-CN" w:bidi="ar-SA"/>
        </w:rPr>
        <w:t>二、收入决算表</w:t>
      </w:r>
    </w:p>
    <w:p>
      <w:pPr>
        <w:pStyle w:val="5"/>
        <w:rPr>
          <w:rFonts w:ascii="仿宋" w:hAnsi="仿宋" w:eastAsia="仿宋"/>
          <w:color w:val="000000"/>
        </w:rPr>
      </w:pPr>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p>
    <w:p>
      <w:pPr>
        <w:pStyle w:val="5"/>
        <w:rPr>
          <w:rFonts w:ascii="仿宋" w:hAnsi="仿宋" w:eastAsia="仿宋"/>
          <w:b w:val="0"/>
          <w:color w:val="000000"/>
        </w:rPr>
      </w:pPr>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p>
    <w:p>
      <w:pPr>
        <w:pStyle w:val="5"/>
        <w:rPr>
          <w:rStyle w:val="26"/>
          <w:rFonts w:ascii="仿宋" w:hAnsi="仿宋" w:eastAsia="仿宋"/>
          <w:b w:val="0"/>
          <w:bCs w:val="0"/>
        </w:rPr>
      </w:pPr>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p>
    <w:p>
      <w:pPr>
        <w:pStyle w:val="5"/>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p>
    <w:p>
      <w:pPr>
        <w:pStyle w:val="5"/>
        <w:rPr>
          <w:rFonts w:ascii="仿宋" w:hAnsi="仿宋" w:eastAsia="仿宋"/>
          <w:color w:val="000000"/>
        </w:rPr>
      </w:pPr>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p>
    <w:p>
      <w:pPr>
        <w:pStyle w:val="5"/>
        <w:rPr>
          <w:rFonts w:ascii="仿宋" w:hAnsi="仿宋" w:eastAsia="仿宋"/>
          <w:color w:val="000000"/>
        </w:rPr>
      </w:pPr>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p>
    <w:p>
      <w:pPr>
        <w:pStyle w:val="5"/>
        <w:rPr>
          <w:rFonts w:ascii="仿宋" w:hAnsi="仿宋" w:eastAsia="仿宋"/>
          <w:color w:val="000000"/>
        </w:rPr>
      </w:pPr>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p>
    <w:p>
      <w:pPr>
        <w:pStyle w:val="5"/>
        <w:rPr>
          <w:rFonts w:ascii="仿宋" w:hAnsi="仿宋" w:eastAsia="仿宋"/>
          <w:color w:val="000000"/>
        </w:rPr>
      </w:pPr>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p>
    <w:p>
      <w:pPr>
        <w:pStyle w:val="5"/>
        <w:rPr>
          <w:rFonts w:ascii="仿宋" w:hAnsi="仿宋" w:eastAsia="仿宋"/>
          <w:color w:val="000000"/>
        </w:rPr>
      </w:pPr>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p>
    <w:p>
      <w:pPr>
        <w:pStyle w:val="5"/>
        <w:rPr>
          <w:rFonts w:ascii="仿宋" w:hAnsi="仿宋" w:eastAsia="仿宋"/>
          <w:color w:val="000000"/>
        </w:rPr>
      </w:pPr>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p>
    <w:p>
      <w:pPr>
        <w:pStyle w:val="5"/>
        <w:rPr>
          <w:rFonts w:ascii="仿宋" w:hAnsi="仿宋" w:eastAsia="仿宋"/>
          <w:color w:val="000000" w:themeColor="text1"/>
          <w14:textFill>
            <w14:solidFill>
              <w14:schemeClr w14:val="tx1"/>
            </w14:solidFill>
          </w14:textFill>
        </w:rPr>
      </w:pPr>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p>
    <w:bookmarkEnd w:id="112"/>
    <w:bookmarkEnd w:id="113"/>
    <w:bookmarkEnd w:id="114"/>
    <w:bookmarkEnd w:id="115"/>
    <w:p>
      <w:pPr>
        <w:pStyle w:val="5"/>
        <w:rPr>
          <w:rFonts w:hint="eastAsia" w:ascii="仿宋" w:hAnsi="仿宋" w:eastAsia="仿宋"/>
          <w:b w:val="0"/>
          <w:color w:val="000000"/>
          <w:lang w:eastAsia="zh-CN"/>
        </w:rPr>
      </w:pPr>
      <w:r>
        <w:rPr>
          <w:rStyle w:val="26"/>
          <w:rFonts w:hint="eastAsia" w:ascii="仿宋" w:hAnsi="仿宋" w:eastAsia="仿宋"/>
          <w:b w:val="0"/>
          <w:bCs w:val="0"/>
          <w:lang w:eastAsia="zh-CN"/>
        </w:rPr>
        <w:t>十四、</w:t>
      </w:r>
      <w:r>
        <w:rPr>
          <w:rFonts w:hint="eastAsia" w:ascii="仿宋" w:hAnsi="仿宋" w:eastAsia="仿宋"/>
          <w:b w:val="0"/>
          <w:color w:val="000000"/>
        </w:rPr>
        <w:t>国有资本经营预算财政拨款支出决算表</w:t>
      </w:r>
      <w:bookmarkStart w:id="116" w:name="_GoBack"/>
      <w:bookmarkEnd w:id="116"/>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1785A7C4"/>
    <w:multiLevelType w:val="singleLevel"/>
    <w:tmpl w:val="1785A7C4"/>
    <w:lvl w:ilvl="0" w:tentative="0">
      <w:start w:val="11"/>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c3NjJmZjM1MjZjMWI0MjUyNDkxZDAyNWE0ODA5Ym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2197E6A"/>
    <w:rsid w:val="02DA1B88"/>
    <w:rsid w:val="07B25AB5"/>
    <w:rsid w:val="080E0B0B"/>
    <w:rsid w:val="0A2032A3"/>
    <w:rsid w:val="10C055FF"/>
    <w:rsid w:val="118107EC"/>
    <w:rsid w:val="16BB723D"/>
    <w:rsid w:val="1CE2291D"/>
    <w:rsid w:val="1D155CEE"/>
    <w:rsid w:val="240371BF"/>
    <w:rsid w:val="255215DD"/>
    <w:rsid w:val="26802C75"/>
    <w:rsid w:val="29FD04D3"/>
    <w:rsid w:val="30CD1C18"/>
    <w:rsid w:val="319F7F4E"/>
    <w:rsid w:val="35432619"/>
    <w:rsid w:val="3C605181"/>
    <w:rsid w:val="3E0E070F"/>
    <w:rsid w:val="45295FBB"/>
    <w:rsid w:val="4ECE2238"/>
    <w:rsid w:val="53B573B9"/>
    <w:rsid w:val="555C7A46"/>
    <w:rsid w:val="5A7320DF"/>
    <w:rsid w:val="5C4536D7"/>
    <w:rsid w:val="5E286108"/>
    <w:rsid w:val="5F5F1551"/>
    <w:rsid w:val="63310C4A"/>
    <w:rsid w:val="6C4A05C8"/>
    <w:rsid w:val="6F394D3C"/>
    <w:rsid w:val="72734D90"/>
    <w:rsid w:val="7C8E138F"/>
    <w:rsid w:val="7E0570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afterLines="0" w:afterAutospacing="0"/>
      <w:ind w:left="420" w:leftChars="200"/>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4"/>
    <w:qFormat/>
    <w:uiPriority w:val="99"/>
    <w:pPr>
      <w:spacing w:beforeLines="30"/>
    </w:pPr>
    <w:rPr>
      <w:rFonts w:ascii="仿宋_GB2312" w:eastAsia="仿宋_GB2312"/>
      <w:kern w:val="0"/>
      <w:sz w:val="24"/>
      <w:szCs w:val="20"/>
      <w:lang w:val="zh-CN" w:eastAsia="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9"/>
    <w:semiHidden/>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uiPriority w:val="0"/>
    <w:pPr>
      <w:spacing w:before="0" w:beforeAutospacing="1" w:after="0" w:afterAutospacing="1"/>
      <w:ind w:left="0" w:right="0"/>
      <w:jc w:val="left"/>
    </w:pPr>
    <w:rPr>
      <w:kern w:val="0"/>
      <w:sz w:val="24"/>
      <w:lang w:val="en-US" w:eastAsia="zh-CN" w:bidi="ar"/>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字符"/>
    <w:basedOn w:val="22"/>
    <w:link w:val="4"/>
    <w:qFormat/>
    <w:locked/>
    <w:uiPriority w:val="9"/>
    <w:rPr>
      <w:rFonts w:ascii="Times New Roman" w:hAnsi="Times New Roman" w:cs="Times New Roman"/>
      <w:b/>
      <w:bCs/>
      <w:kern w:val="44"/>
      <w:sz w:val="44"/>
      <w:szCs w:val="44"/>
    </w:rPr>
  </w:style>
  <w:style w:type="character" w:customStyle="1" w:styleId="26">
    <w:name w:val="标题 2 字符"/>
    <w:basedOn w:val="22"/>
    <w:link w:val="5"/>
    <w:qFormat/>
    <w:locked/>
    <w:uiPriority w:val="9"/>
    <w:rPr>
      <w:rFonts w:ascii="Cambria" w:hAnsi="Cambria" w:eastAsia="宋体" w:cs="Times New Roman"/>
      <w:b/>
      <w:bCs/>
      <w:kern w:val="2"/>
      <w:sz w:val="32"/>
      <w:szCs w:val="32"/>
    </w:rPr>
  </w:style>
  <w:style w:type="character" w:customStyle="1" w:styleId="27">
    <w:name w:val="标题 3 字符"/>
    <w:basedOn w:val="22"/>
    <w:link w:val="6"/>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字符"/>
    <w:basedOn w:val="22"/>
    <w:link w:val="12"/>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字符"/>
    <w:link w:val="14"/>
    <w:semiHidden/>
    <w:qFormat/>
    <w:locked/>
    <w:uiPriority w:val="99"/>
    <w:rPr>
      <w:sz w:val="18"/>
    </w:rPr>
  </w:style>
  <w:style w:type="character" w:customStyle="1" w:styleId="33">
    <w:name w:val="页脚 字符"/>
    <w:link w:val="13"/>
    <w:qFormat/>
    <w:locked/>
    <w:uiPriority w:val="99"/>
    <w:rPr>
      <w:sz w:val="18"/>
    </w:rPr>
  </w:style>
  <w:style w:type="character" w:customStyle="1" w:styleId="34">
    <w:name w:val="正文文本 字符"/>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9.95</c:v>
                </c:pt>
                <c:pt idx="1">
                  <c:v>18.28</c:v>
                </c:pt>
              </c:numCache>
            </c:numRef>
          </c:val>
        </c:ser>
        <c:ser>
          <c:idx val="1"/>
          <c:order val="1"/>
          <c:tx>
            <c:strRef>
              <c:f>Sheet1!$D$1</c:f>
              <c:strCache>
                <c:ptCount val="1"/>
                <c:pt idx="0">
                  <c:v>支出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2021年</c:v>
                </c:pt>
              </c:strCache>
            </c:strRef>
          </c:cat>
          <c:val>
            <c:numRef>
              <c:f>Sheet1!$D$2:$D$3</c:f>
              <c:numCache>
                <c:formatCode>General</c:formatCode>
                <c:ptCount val="2"/>
                <c:pt idx="0">
                  <c:v>9.95</c:v>
                </c:pt>
                <c:pt idx="1">
                  <c:v>18.28</c:v>
                </c:pt>
              </c:numCache>
            </c:numRef>
          </c:val>
        </c:ser>
        <c:dLbls>
          <c:showLegendKey val="0"/>
          <c:showVal val="1"/>
          <c:showCatName val="0"/>
          <c:showSerName val="0"/>
          <c:showPercent val="0"/>
          <c:showBubbleSize val="0"/>
        </c:dLbls>
        <c:gapWidth val="219"/>
        <c:overlap val="-27"/>
        <c:axId val="567223280"/>
        <c:axId val="566242452"/>
      </c:barChart>
      <c:catAx>
        <c:axId val="56722328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6242452"/>
        <c:crosses val="autoZero"/>
        <c:auto val="1"/>
        <c:lblAlgn val="ctr"/>
        <c:lblOffset val="100"/>
        <c:noMultiLvlLbl val="0"/>
      </c:catAx>
      <c:valAx>
        <c:axId val="56624245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722328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财政拨款收入</c:v>
                </c:pt>
              </c:strCache>
            </c:strRef>
          </c:cat>
          <c:val>
            <c:numRef>
              <c:f>Sheet1!$B$2</c:f>
              <c:numCache>
                <c:formatCode>General</c:formatCode>
                <c:ptCount val="1"/>
                <c:pt idx="0">
                  <c:v>7.79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7.79</c:v>
                </c:pt>
                <c:pt idx="1">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chemeClr val="dk1"/>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dk1"/>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solidFill>
              <a:latin typeface="+mn-lt"/>
              <a:ea typeface="+mn-ea"/>
              <a:cs typeface="+mn-cs"/>
            </a:defRPr>
          </a:pPr>
        </a:p>
      </c:txPr>
    </c:legend>
    <c:plotVisOnly val="1"/>
    <c:dispBlanksAs val="gap"/>
    <c:showDLblsOverMax val="0"/>
  </c:chart>
  <c:spPr>
    <a:solidFill>
      <a:schemeClr val="lt1"/>
    </a:solidFill>
    <a:ln w="25400" cap="flat" cmpd="sng" algn="ctr">
      <a:solidFill>
        <a:schemeClr val="accent1"/>
      </a:solidFill>
      <a:prstDash val="solid"/>
      <a:round/>
    </a:ln>
    <a:effectLst/>
    <a:sp3d>
      <a:extrusionClr>
        <a:srgbClr val="FFFFFF"/>
      </a:extrusionClr>
      <a:contourClr>
        <a:srgbClr val="FFFFFF"/>
      </a:contourClr>
    </a:sp3d>
  </c:spPr>
  <c:txPr>
    <a:bodyPr/>
    <a:lstStyle/>
    <a:p>
      <a:pPr>
        <a:defRPr lang="zh-CN">
          <a:solidFill>
            <a:schemeClr val="dk1"/>
          </a:solidFill>
          <a:latin typeface="+mn-lt"/>
          <a:ea typeface="+mn-ea"/>
          <a:cs typeface="+mn-c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9.95</c:v>
                </c:pt>
                <c:pt idx="1">
                  <c:v>18.28</c:v>
                </c:pt>
              </c:numCache>
            </c:numRef>
          </c:val>
        </c:ser>
        <c:ser>
          <c:idx val="1"/>
          <c:order val="1"/>
          <c:tx>
            <c:strRef>
              <c:f>Sheet1!$D$1</c:f>
              <c:strCache>
                <c:ptCount val="1"/>
                <c:pt idx="0">
                  <c:v>支出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2021年</c:v>
                </c:pt>
              </c:strCache>
            </c:strRef>
          </c:cat>
          <c:val>
            <c:numRef>
              <c:f>Sheet1!$D$2:$D$3</c:f>
              <c:numCache>
                <c:formatCode>General</c:formatCode>
                <c:ptCount val="2"/>
                <c:pt idx="0">
                  <c:v>9.95</c:v>
                </c:pt>
                <c:pt idx="1">
                  <c:v>18.28</c:v>
                </c:pt>
              </c:numCache>
            </c:numRef>
          </c:val>
        </c:ser>
        <c:dLbls>
          <c:showLegendKey val="0"/>
          <c:showVal val="1"/>
          <c:showCatName val="0"/>
          <c:showSerName val="0"/>
          <c:showPercent val="0"/>
          <c:showBubbleSize val="0"/>
        </c:dLbls>
        <c:gapWidth val="219"/>
        <c:overlap val="-27"/>
        <c:axId val="567223280"/>
        <c:axId val="566242452"/>
      </c:barChart>
      <c:catAx>
        <c:axId val="56722328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6242452"/>
        <c:crosses val="autoZero"/>
        <c:auto val="1"/>
        <c:lblAlgn val="ctr"/>
        <c:lblOffset val="100"/>
        <c:noMultiLvlLbl val="0"/>
      </c:catAx>
      <c:valAx>
        <c:axId val="56624245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722328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一般公共预算财政拨款收支</a:t>
            </a:r>
          </a:p>
        </c:rich>
      </c:tx>
      <c:layout/>
      <c:overlay val="0"/>
      <c:spPr>
        <a:noFill/>
        <a:ln>
          <a:noFill/>
        </a:ln>
        <a:effectLst/>
      </c:spPr>
    </c:title>
    <c:autoTitleDeleted val="0"/>
    <c:plotArea>
      <c:layout/>
      <c:barChart>
        <c:barDir val="col"/>
        <c:grouping val="clustered"/>
        <c:varyColors val="0"/>
        <c:ser>
          <c:idx val="1"/>
          <c:order val="0"/>
          <c:tx>
            <c:strRef>
              <c:f>Sheet1!$B$1</c:f>
              <c:strCache>
                <c:ptCount val="1"/>
                <c:pt idx="0">
                  <c:v>支出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9.95</c:v>
                </c:pt>
                <c:pt idx="1">
                  <c:v>18.28</c:v>
                </c:pt>
              </c:numCache>
            </c:numRef>
          </c:val>
        </c:ser>
        <c:dLbls>
          <c:showLegendKey val="0"/>
          <c:showVal val="1"/>
          <c:showCatName val="0"/>
          <c:showSerName val="0"/>
          <c:showPercent val="0"/>
          <c:showBubbleSize val="0"/>
        </c:dLbls>
        <c:gapWidth val="219"/>
        <c:overlap val="-27"/>
        <c:axId val="567223280"/>
        <c:axId val="566242452"/>
      </c:barChart>
      <c:catAx>
        <c:axId val="5672232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6242452"/>
        <c:crosses val="autoZero"/>
        <c:auto val="1"/>
        <c:lblAlgn val="ctr"/>
        <c:lblOffset val="100"/>
        <c:noMultiLvlLbl val="0"/>
      </c:catAx>
      <c:valAx>
        <c:axId val="5662424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722328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c:v>
                </c:pt>
                <c:pt idx="1">
                  <c:v>社会保障和就业</c:v>
                </c:pt>
                <c:pt idx="2">
                  <c:v>卫生健康支出</c:v>
                </c:pt>
                <c:pt idx="3">
                  <c:v>住房保障支出</c:v>
                </c:pt>
              </c:strCache>
            </c:strRef>
          </c:cat>
          <c:val>
            <c:numRef>
              <c:f>Sheet1!$B$2:$B$5</c:f>
              <c:numCache>
                <c:formatCode>General</c:formatCode>
                <c:ptCount val="4"/>
                <c:pt idx="0">
                  <c:v>75.4</c:v>
                </c:pt>
                <c:pt idx="1">
                  <c:v>1</c:v>
                </c:pt>
                <c:pt idx="2">
                  <c:v>0.25</c:v>
                </c:pt>
                <c:pt idx="3">
                  <c:v>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13</Pages>
  <Words>3439</Words>
  <Characters>3792</Characters>
  <Lines>74</Lines>
  <Paragraphs>21</Paragraphs>
  <TotalTime>0</TotalTime>
  <ScaleCrop>false</ScaleCrop>
  <LinksUpToDate>false</LinksUpToDate>
  <CharactersWithSpaces>10610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高永成</cp:lastModifiedBy>
  <cp:lastPrinted>2022-09-22T03:24:29Z</cp:lastPrinted>
  <dcterms:modified xsi:type="dcterms:W3CDTF">2022-09-22T03:33:40Z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3551B7E051CF488582256726FBDF98C4</vt:lpwstr>
  </property>
</Properties>
</file>