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78441"/>
      <w:bookmarkStart w:id="3" w:name="_Toc15396475"/>
      <w:bookmarkStart w:id="4" w:name="_Toc15396597"/>
      <w:bookmarkStart w:id="5" w:name="_Toc15377193"/>
      <w:r>
        <w:rPr>
          <w:rFonts w:hint="eastAsia" w:ascii="黑体" w:hAnsi="黑体" w:eastAsia="黑体"/>
          <w:sz w:val="72"/>
          <w:szCs w:val="72"/>
          <w:lang w:eastAsia="zh-CN"/>
        </w:rPr>
        <w:t>202</w:t>
      </w:r>
      <w:r>
        <w:rPr>
          <w:rFonts w:hint="eastAsia" w:ascii="黑体" w:hAnsi="黑体" w:eastAsia="黑体"/>
          <w:sz w:val="72"/>
          <w:szCs w:val="72"/>
          <w:lang w:val="en-US" w:eastAsia="zh-CN"/>
        </w:rPr>
        <w:t>1</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7194"/>
      <w:bookmarkStart w:id="8" w:name="_Toc15377426"/>
      <w:bookmarkStart w:id="9" w:name="_Toc15378442"/>
      <w:bookmarkStart w:id="10" w:name="_Toc1539647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九寨沟县人民代表大会常务委员会办公室</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2</w:t>
      </w:r>
      <w:r>
        <w:rPr>
          <w:rFonts w:hint="eastAsia" w:hAnsiTheme="minorHAnsi"/>
          <w:b w:val="0"/>
          <w:bCs w:val="0"/>
          <w:sz w:val="24"/>
          <w:szCs w:val="24"/>
        </w:rPr>
        <w:t xml:space="preserve">年 </w:t>
      </w:r>
      <w:r>
        <w:rPr>
          <w:rFonts w:hAnsiTheme="minorHAnsi"/>
          <w:b w:val="0"/>
          <w:bCs w:val="0"/>
          <w:sz w:val="24"/>
          <w:szCs w:val="24"/>
        </w:rPr>
        <w:t>9</w:t>
      </w:r>
      <w:r>
        <w:rPr>
          <w:rFonts w:hint="eastAsia" w:hAnsiTheme="minorHAnsi"/>
          <w:b w:val="0"/>
          <w:bCs w:val="0"/>
          <w:sz w:val="24"/>
          <w:szCs w:val="24"/>
        </w:rPr>
        <w:t>月</w:t>
      </w:r>
      <w:r>
        <w:rPr>
          <w:rFonts w:hint="eastAsia" w:hAnsiTheme="minorHAnsi"/>
          <w:b w:val="0"/>
          <w:bCs w:val="0"/>
          <w:sz w:val="24"/>
          <w:szCs w:val="24"/>
          <w:lang w:val="en-US" w:eastAsia="zh-CN"/>
        </w:rPr>
        <w:t xml:space="preserve"> 22</w:t>
      </w:r>
      <w:r>
        <w:rPr>
          <w:rFonts w:hint="eastAsia" w:hAnsiTheme="minorHAnsi"/>
          <w:b w:val="0"/>
          <w:bCs w:val="0"/>
          <w:sz w:val="24"/>
          <w:szCs w:val="24"/>
        </w:rPr>
        <w:t xml:space="preserve"> 日</w:t>
      </w:r>
    </w:p>
    <w:p>
      <w:pPr>
        <w:pStyle w:val="15"/>
        <w:tabs>
          <w:tab w:val="right" w:leader="dot" w:pos="8296"/>
        </w:tabs>
        <w:rPr>
          <w:rFonts w:hint="eastAsia" w:ascii="黑体" w:hAnsi="黑体" w:eastAsia="黑体" w:cs="黑体"/>
          <w:b w:val="0"/>
          <w:bCs w:val="0"/>
          <w:caps w:val="0"/>
          <w:sz w:val="20"/>
          <w:szCs w:val="20"/>
        </w:rPr>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cs="黑体"/>
          <w:b w:val="0"/>
          <w:sz w:val="20"/>
          <w:szCs w:val="20"/>
        </w:rPr>
        <w:t xml:space="preserve">第一部分 </w:t>
      </w:r>
      <w:r>
        <w:rPr>
          <w:rFonts w:hint="eastAsia" w:ascii="黑体" w:hAnsi="黑体" w:eastAsia="黑体" w:cs="黑体"/>
          <w:b w:val="0"/>
          <w:bCs w:val="0"/>
          <w:sz w:val="20"/>
          <w:szCs w:val="20"/>
        </w:rPr>
        <w:t>部门概况</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_Toc79163851 \h </w:instrText>
      </w:r>
      <w:r>
        <w:rPr>
          <w:rFonts w:hint="eastAsia" w:ascii="黑体" w:hAnsi="黑体" w:eastAsia="黑体" w:cs="黑体"/>
          <w:sz w:val="20"/>
          <w:szCs w:val="20"/>
        </w:rPr>
        <w:fldChar w:fldCharType="separate"/>
      </w:r>
      <w:r>
        <w:rPr>
          <w:rFonts w:hint="eastAsia" w:ascii="黑体" w:hAnsi="黑体" w:eastAsia="黑体" w:cs="黑体"/>
          <w:sz w:val="20"/>
          <w:szCs w:val="20"/>
        </w:rPr>
        <w:t>4</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color w:val="000000"/>
          <w:sz w:val="20"/>
          <w:szCs w:val="20"/>
        </w:rPr>
        <w:t>一、基</w:t>
      </w:r>
      <w:r>
        <w:rPr>
          <w:rFonts w:hint="eastAsia" w:ascii="黑体" w:hAnsi="黑体" w:eastAsia="黑体" w:cs="黑体"/>
          <w:sz w:val="20"/>
          <w:szCs w:val="20"/>
        </w:rPr>
        <w:t>本职能及主要工作</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_Toc79163852 \h </w:instrText>
      </w:r>
      <w:r>
        <w:rPr>
          <w:rFonts w:hint="eastAsia" w:ascii="黑体" w:hAnsi="黑体" w:eastAsia="黑体" w:cs="黑体"/>
          <w:sz w:val="20"/>
          <w:szCs w:val="20"/>
        </w:rPr>
        <w:fldChar w:fldCharType="separate"/>
      </w:r>
      <w:r>
        <w:rPr>
          <w:rFonts w:hint="eastAsia" w:ascii="黑体" w:hAnsi="黑体" w:eastAsia="黑体" w:cs="黑体"/>
          <w:sz w:val="20"/>
          <w:szCs w:val="20"/>
        </w:rPr>
        <w:t>4</w:t>
      </w:r>
      <w:r>
        <w:rPr>
          <w:rFonts w:hint="eastAsia" w:ascii="黑体" w:hAnsi="黑体" w:eastAsia="黑体" w:cs="黑体"/>
          <w:sz w:val="20"/>
          <w:szCs w:val="20"/>
        </w:rPr>
        <w:fldChar w:fldCharType="end"/>
      </w:r>
    </w:p>
    <w:p>
      <w:pPr>
        <w:pStyle w:val="10"/>
        <w:tabs>
          <w:tab w:val="right" w:leader="dot" w:pos="8296"/>
        </w:tabs>
        <w:rPr>
          <w:rFonts w:hint="eastAsia" w:ascii="黑体" w:hAnsi="黑体" w:eastAsia="黑体" w:cs="黑体"/>
          <w:i w:val="0"/>
          <w:iCs w:val="0"/>
          <w:sz w:val="20"/>
          <w:szCs w:val="20"/>
          <w:lang w:val="en-US" w:eastAsia="zh-CN"/>
        </w:rPr>
      </w:pPr>
      <w:r>
        <w:rPr>
          <w:rFonts w:hint="eastAsia" w:ascii="黑体" w:hAnsi="黑体" w:eastAsia="黑体" w:cs="黑体"/>
          <w:bCs/>
          <w:color w:val="000000"/>
          <w:sz w:val="20"/>
          <w:szCs w:val="20"/>
        </w:rPr>
        <w:t>（一）主要职能</w:t>
      </w:r>
      <w:r>
        <w:rPr>
          <w:rFonts w:hint="eastAsia" w:ascii="黑体" w:hAnsi="黑体" w:eastAsia="黑体" w:cs="黑体"/>
          <w:sz w:val="20"/>
          <w:szCs w:val="20"/>
        </w:rPr>
        <w:tab/>
      </w:r>
      <w:r>
        <w:rPr>
          <w:rFonts w:hint="eastAsia" w:ascii="黑体" w:hAnsi="黑体" w:eastAsia="黑体" w:cs="黑体"/>
          <w:sz w:val="20"/>
          <w:szCs w:val="20"/>
          <w:lang w:val="en-US" w:eastAsia="zh-CN"/>
        </w:rPr>
        <w:t>4-5</w:t>
      </w:r>
    </w:p>
    <w:p>
      <w:pPr>
        <w:pStyle w:val="10"/>
        <w:tabs>
          <w:tab w:val="right" w:leader="dot" w:pos="8296"/>
        </w:tabs>
        <w:rPr>
          <w:rFonts w:hint="eastAsia" w:ascii="黑体" w:hAnsi="黑体" w:eastAsia="黑体" w:cs="黑体"/>
          <w:i w:val="0"/>
          <w:iCs w:val="0"/>
          <w:sz w:val="20"/>
          <w:szCs w:val="20"/>
          <w:lang w:eastAsia="zh-CN"/>
        </w:rPr>
      </w:pPr>
      <w:r>
        <w:rPr>
          <w:rFonts w:hint="eastAsia" w:ascii="黑体" w:hAnsi="黑体" w:eastAsia="黑体" w:cs="黑体"/>
          <w:bCs/>
          <w:color w:val="000000"/>
          <w:sz w:val="20"/>
          <w:szCs w:val="20"/>
        </w:rPr>
        <w:t>（二）</w:t>
      </w:r>
      <w:r>
        <w:rPr>
          <w:rFonts w:hint="eastAsia" w:ascii="黑体" w:hAnsi="黑体" w:eastAsia="黑体" w:cs="黑体"/>
          <w:bCs/>
          <w:color w:val="000000"/>
          <w:sz w:val="20"/>
          <w:szCs w:val="20"/>
          <w:lang w:eastAsia="zh-CN"/>
        </w:rPr>
        <w:t>2021</w:t>
      </w:r>
      <w:r>
        <w:rPr>
          <w:rFonts w:hint="eastAsia" w:ascii="黑体" w:hAnsi="黑体" w:eastAsia="黑体" w:cs="黑体"/>
          <w:bCs/>
          <w:color w:val="000000"/>
          <w:sz w:val="20"/>
          <w:szCs w:val="20"/>
        </w:rPr>
        <w:t>年重点工作完成情况</w:t>
      </w:r>
      <w:r>
        <w:rPr>
          <w:rFonts w:hint="eastAsia" w:ascii="黑体" w:hAnsi="黑体" w:eastAsia="黑体" w:cs="黑体"/>
          <w:sz w:val="20"/>
          <w:szCs w:val="20"/>
        </w:rPr>
        <w:tab/>
      </w:r>
      <w:r>
        <w:rPr>
          <w:rFonts w:hint="eastAsia" w:ascii="黑体" w:hAnsi="黑体" w:eastAsia="黑体" w:cs="黑体"/>
          <w:sz w:val="20"/>
          <w:szCs w:val="20"/>
          <w:lang w:val="en-US" w:eastAsia="zh-CN"/>
        </w:rPr>
        <w:t>...6</w:t>
      </w:r>
    </w:p>
    <w:p>
      <w:pPr>
        <w:pStyle w:val="18"/>
        <w:tabs>
          <w:tab w:val="right" w:leader="dot" w:pos="8296"/>
        </w:tabs>
        <w:rPr>
          <w:rFonts w:hint="eastAsia" w:ascii="黑体" w:hAnsi="黑体" w:eastAsia="黑体" w:cs="黑体"/>
          <w:smallCaps w:val="0"/>
          <w:sz w:val="20"/>
          <w:szCs w:val="20"/>
          <w:lang w:eastAsia="zh-CN"/>
        </w:rPr>
      </w:pPr>
      <w:r>
        <w:rPr>
          <w:rFonts w:hint="eastAsia" w:ascii="黑体" w:hAnsi="黑体" w:eastAsia="黑体" w:cs="黑体"/>
          <w:color w:val="000000"/>
          <w:sz w:val="20"/>
          <w:szCs w:val="20"/>
        </w:rPr>
        <w:t>二、机</w:t>
      </w:r>
      <w:r>
        <w:rPr>
          <w:rFonts w:hint="eastAsia" w:ascii="黑体" w:hAnsi="黑体" w:eastAsia="黑体" w:cs="黑体"/>
          <w:sz w:val="20"/>
          <w:szCs w:val="20"/>
        </w:rPr>
        <w:t>构设置</w:t>
      </w:r>
      <w:r>
        <w:rPr>
          <w:rFonts w:hint="eastAsia" w:ascii="黑体" w:hAnsi="黑体" w:eastAsia="黑体" w:cs="黑体"/>
          <w:sz w:val="20"/>
          <w:szCs w:val="20"/>
        </w:rPr>
        <w:tab/>
      </w:r>
      <w:r>
        <w:rPr>
          <w:rFonts w:hint="eastAsia" w:ascii="黑体" w:hAnsi="黑体" w:eastAsia="黑体" w:cs="黑体"/>
          <w:sz w:val="20"/>
          <w:szCs w:val="20"/>
          <w:lang w:val="en-US" w:eastAsia="zh-CN"/>
        </w:rPr>
        <w:t>6</w:t>
      </w:r>
    </w:p>
    <w:p>
      <w:pPr>
        <w:pStyle w:val="10"/>
        <w:tabs>
          <w:tab w:val="left" w:pos="840"/>
          <w:tab w:val="right" w:leader="dot" w:pos="8296"/>
        </w:tabs>
        <w:rPr>
          <w:rFonts w:hint="eastAsia" w:ascii="黑体" w:hAnsi="黑体" w:eastAsia="黑体" w:cs="黑体"/>
          <w:sz w:val="20"/>
          <w:szCs w:val="20"/>
          <w:lang w:val="en-US" w:eastAsia="zh-CN"/>
        </w:rPr>
      </w:pPr>
      <w:r>
        <w:rPr>
          <w:rFonts w:hint="eastAsia" w:ascii="黑体" w:hAnsi="黑体" w:eastAsia="黑体" w:cs="黑体"/>
          <w:color w:val="000000"/>
          <w:sz w:val="20"/>
          <w:szCs w:val="20"/>
        </w:rPr>
        <w:t>1.</w:t>
      </w:r>
      <w:r>
        <w:rPr>
          <w:rFonts w:hint="eastAsia" w:ascii="黑体" w:hAnsi="黑体" w:eastAsia="黑体" w:cs="黑体"/>
          <w:bCs/>
          <w:i w:val="0"/>
          <w:iCs w:val="0"/>
          <w:smallCaps/>
          <w:kern w:val="2"/>
          <w:sz w:val="20"/>
          <w:szCs w:val="20"/>
          <w:lang w:val="en-US" w:eastAsia="zh-CN" w:bidi="ar-SA"/>
        </w:rPr>
        <w:tab/>
      </w:r>
      <w:r>
        <w:rPr>
          <w:rFonts w:hint="eastAsia" w:ascii="黑体" w:hAnsi="黑体" w:eastAsia="黑体" w:cs="黑体"/>
          <w:bCs/>
          <w:i w:val="0"/>
          <w:iCs w:val="0"/>
          <w:smallCaps/>
          <w:kern w:val="2"/>
          <w:sz w:val="20"/>
          <w:szCs w:val="20"/>
          <w:lang w:val="en-US" w:eastAsia="zh-CN" w:bidi="ar-SA"/>
        </w:rPr>
        <w:t>县人大常委会办公室下属二级单位</w:t>
      </w:r>
      <w:r>
        <w:rPr>
          <w:rFonts w:hint="eastAsia" w:ascii="黑体" w:hAnsi="黑体" w:eastAsia="黑体" w:cs="黑体"/>
          <w:sz w:val="20"/>
          <w:szCs w:val="20"/>
        </w:rPr>
        <w:tab/>
      </w:r>
      <w:r>
        <w:rPr>
          <w:rFonts w:hint="eastAsia" w:ascii="黑体" w:hAnsi="黑体" w:eastAsia="黑体" w:cs="黑体"/>
          <w:sz w:val="20"/>
          <w:szCs w:val="20"/>
          <w:lang w:val="en-US" w:eastAsia="zh-CN"/>
        </w:rPr>
        <w:t>6</w:t>
      </w:r>
    </w:p>
    <w:p>
      <w:pPr>
        <w:pStyle w:val="10"/>
        <w:tabs>
          <w:tab w:val="left" w:pos="840"/>
          <w:tab w:val="right" w:leader="dot" w:pos="8296"/>
        </w:tabs>
        <w:rPr>
          <w:rFonts w:hint="eastAsia" w:ascii="黑体" w:hAnsi="黑体" w:eastAsia="黑体" w:cs="黑体"/>
          <w:i w:val="0"/>
          <w:iCs w:val="0"/>
          <w:sz w:val="20"/>
          <w:szCs w:val="20"/>
          <w:lang w:val="en-US" w:eastAsia="zh-CN"/>
        </w:rPr>
      </w:pPr>
      <w:r>
        <w:rPr>
          <w:rFonts w:hint="eastAsia" w:ascii="黑体" w:hAnsi="黑体" w:eastAsia="黑体" w:cs="黑体"/>
          <w:color w:val="000000"/>
          <w:sz w:val="20"/>
          <w:szCs w:val="20"/>
          <w:lang w:val="en-US" w:eastAsia="zh-CN"/>
        </w:rPr>
        <w:t>2</w:t>
      </w:r>
      <w:r>
        <w:rPr>
          <w:rFonts w:hint="eastAsia" w:ascii="黑体" w:hAnsi="黑体" w:eastAsia="黑体" w:cs="黑体"/>
          <w:color w:val="000000"/>
          <w:sz w:val="20"/>
          <w:szCs w:val="20"/>
        </w:rPr>
        <w:t>.</w:t>
      </w:r>
      <w:r>
        <w:rPr>
          <w:rFonts w:hint="eastAsia" w:ascii="黑体" w:hAnsi="黑体" w:eastAsia="黑体" w:cs="黑体"/>
          <w:bCs/>
          <w:i w:val="0"/>
          <w:iCs w:val="0"/>
          <w:smallCaps/>
          <w:kern w:val="2"/>
          <w:sz w:val="20"/>
          <w:szCs w:val="20"/>
          <w:lang w:val="en-US" w:eastAsia="zh-CN" w:bidi="ar-SA"/>
        </w:rPr>
        <w:t>纳入县人大常委会办公室2021年度部门决算编制范围的二级预算单位</w:t>
      </w:r>
      <w:r>
        <w:rPr>
          <w:rFonts w:hint="eastAsia" w:ascii="黑体" w:hAnsi="黑体" w:eastAsia="黑体" w:cs="黑体"/>
          <w:sz w:val="20"/>
          <w:szCs w:val="20"/>
        </w:rPr>
        <w:tab/>
      </w:r>
      <w:r>
        <w:rPr>
          <w:rFonts w:hint="eastAsia" w:ascii="黑体" w:hAnsi="黑体" w:eastAsia="黑体" w:cs="黑体"/>
          <w:sz w:val="20"/>
          <w:szCs w:val="20"/>
          <w:lang w:val="en-US" w:eastAsia="zh-CN"/>
        </w:rPr>
        <w:t>6</w:t>
      </w:r>
    </w:p>
    <w:p>
      <w:pPr>
        <w:pStyle w:val="15"/>
        <w:tabs>
          <w:tab w:val="right" w:leader="dot" w:pos="8296"/>
        </w:tabs>
        <w:rPr>
          <w:rFonts w:hint="eastAsia" w:ascii="黑体" w:hAnsi="黑体" w:eastAsia="黑体" w:cs="黑体"/>
          <w:b w:val="0"/>
          <w:bCs w:val="0"/>
          <w:caps w:val="0"/>
          <w:sz w:val="20"/>
          <w:szCs w:val="20"/>
        </w:rPr>
      </w:pPr>
      <w:r>
        <w:rPr>
          <w:rFonts w:hint="eastAsia" w:ascii="黑体" w:hAnsi="黑体" w:eastAsia="黑体" w:cs="黑体"/>
          <w:b w:val="0"/>
          <w:color w:val="000000"/>
          <w:sz w:val="20"/>
          <w:szCs w:val="20"/>
        </w:rPr>
        <w:t>第二部分</w:t>
      </w:r>
      <w:r>
        <w:rPr>
          <w:rFonts w:hint="eastAsia" w:ascii="黑体" w:hAnsi="黑体" w:eastAsia="黑体" w:cs="黑体"/>
          <w:color w:val="000000"/>
          <w:sz w:val="20"/>
          <w:szCs w:val="20"/>
        </w:rPr>
        <w:t xml:space="preserve"> </w:t>
      </w:r>
      <w:r>
        <w:rPr>
          <w:rFonts w:hint="eastAsia" w:ascii="黑体" w:hAnsi="黑体" w:eastAsia="黑体" w:cs="黑体"/>
          <w:b w:val="0"/>
          <w:bCs w:val="0"/>
          <w:sz w:val="20"/>
          <w:szCs w:val="20"/>
          <w:lang w:eastAsia="zh-CN"/>
        </w:rPr>
        <w:t>2021</w:t>
      </w:r>
      <w:r>
        <w:rPr>
          <w:rFonts w:hint="eastAsia" w:ascii="黑体" w:hAnsi="黑体" w:eastAsia="黑体" w:cs="黑体"/>
          <w:b w:val="0"/>
          <w:bCs w:val="0"/>
          <w:sz w:val="20"/>
          <w:szCs w:val="20"/>
        </w:rPr>
        <w:t>年度部门决算情况说明</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_Toc79163859 \h </w:instrText>
      </w:r>
      <w:r>
        <w:rPr>
          <w:rFonts w:hint="eastAsia" w:ascii="黑体" w:hAnsi="黑体" w:eastAsia="黑体" w:cs="黑体"/>
          <w:sz w:val="20"/>
          <w:szCs w:val="20"/>
        </w:rPr>
        <w:fldChar w:fldCharType="separate"/>
      </w:r>
      <w:r>
        <w:rPr>
          <w:rFonts w:hint="eastAsia" w:ascii="黑体" w:hAnsi="黑体" w:eastAsia="黑体" w:cs="黑体"/>
          <w:sz w:val="20"/>
          <w:szCs w:val="20"/>
        </w:rPr>
        <w:t>7</w:t>
      </w:r>
      <w:r>
        <w:rPr>
          <w:rFonts w:hint="eastAsia" w:ascii="黑体" w:hAnsi="黑体" w:eastAsia="黑体" w:cs="黑体"/>
          <w:sz w:val="20"/>
          <w:szCs w:val="20"/>
        </w:rPr>
        <w:fldChar w:fldCharType="end"/>
      </w:r>
    </w:p>
    <w:p>
      <w:pPr>
        <w:pStyle w:val="18"/>
        <w:tabs>
          <w:tab w:val="left" w:pos="840"/>
          <w:tab w:val="right" w:leader="dot" w:pos="8296"/>
        </w:tabs>
        <w:rPr>
          <w:rFonts w:hint="eastAsia" w:ascii="黑体" w:hAnsi="黑体" w:eastAsia="黑体" w:cs="黑体"/>
          <w:smallCaps w:val="0"/>
          <w:sz w:val="20"/>
          <w:szCs w:val="20"/>
        </w:rPr>
      </w:pPr>
      <w:r>
        <w:rPr>
          <w:rFonts w:hint="eastAsia" w:ascii="黑体" w:hAnsi="黑体" w:eastAsia="黑体" w:cs="黑体"/>
          <w:bCs/>
          <w:sz w:val="20"/>
          <w:szCs w:val="20"/>
        </w:rPr>
        <w:t>一、</w:t>
      </w:r>
      <w:r>
        <w:rPr>
          <w:rFonts w:hint="eastAsia" w:ascii="黑体" w:hAnsi="黑体" w:eastAsia="黑体" w:cs="黑体"/>
          <w:smallCaps w:val="0"/>
          <w:sz w:val="20"/>
          <w:szCs w:val="20"/>
        </w:rPr>
        <w:tab/>
      </w:r>
      <w:r>
        <w:rPr>
          <w:rFonts w:hint="eastAsia" w:ascii="黑体" w:hAnsi="黑体" w:eastAsia="黑体" w:cs="黑体"/>
          <w:color w:val="000000"/>
          <w:sz w:val="20"/>
          <w:szCs w:val="20"/>
        </w:rPr>
        <w:t>收</w:t>
      </w:r>
      <w:r>
        <w:rPr>
          <w:rFonts w:hint="eastAsia" w:ascii="黑体" w:hAnsi="黑体" w:eastAsia="黑体" w:cs="黑体"/>
          <w:bCs/>
          <w:sz w:val="20"/>
          <w:szCs w:val="20"/>
        </w:rPr>
        <w:t>入支出决算总体情况说明</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_Toc79163860 \h </w:instrText>
      </w:r>
      <w:r>
        <w:rPr>
          <w:rFonts w:hint="eastAsia" w:ascii="黑体" w:hAnsi="黑体" w:eastAsia="黑体" w:cs="黑体"/>
          <w:sz w:val="20"/>
          <w:szCs w:val="20"/>
        </w:rPr>
        <w:fldChar w:fldCharType="separate"/>
      </w:r>
      <w:r>
        <w:rPr>
          <w:rFonts w:hint="eastAsia" w:ascii="黑体" w:hAnsi="黑体" w:eastAsia="黑体" w:cs="黑体"/>
          <w:sz w:val="20"/>
          <w:szCs w:val="20"/>
        </w:rPr>
        <w:t>7</w:t>
      </w:r>
      <w:r>
        <w:rPr>
          <w:rFonts w:hint="eastAsia" w:ascii="黑体" w:hAnsi="黑体" w:eastAsia="黑体" w:cs="黑体"/>
          <w:sz w:val="20"/>
          <w:szCs w:val="20"/>
        </w:rPr>
        <w:fldChar w:fldCharType="end"/>
      </w:r>
    </w:p>
    <w:p>
      <w:pPr>
        <w:pStyle w:val="18"/>
        <w:tabs>
          <w:tab w:val="left" w:pos="840"/>
          <w:tab w:val="right" w:leader="dot" w:pos="8296"/>
        </w:tabs>
        <w:rPr>
          <w:rFonts w:hint="default" w:ascii="黑体" w:hAnsi="黑体" w:eastAsia="黑体" w:cs="黑体"/>
          <w:smallCaps w:val="0"/>
          <w:sz w:val="20"/>
          <w:szCs w:val="20"/>
          <w:lang w:val="en-US" w:eastAsia="zh-CN"/>
        </w:rPr>
      </w:pPr>
      <w:r>
        <w:rPr>
          <w:rFonts w:hint="eastAsia" w:ascii="黑体" w:hAnsi="黑体" w:eastAsia="黑体" w:cs="黑体"/>
          <w:bCs/>
          <w:sz w:val="20"/>
          <w:szCs w:val="20"/>
        </w:rPr>
        <w:t>二、</w:t>
      </w:r>
      <w:r>
        <w:rPr>
          <w:rFonts w:hint="eastAsia" w:ascii="黑体" w:hAnsi="黑体" w:eastAsia="黑体" w:cs="黑体"/>
          <w:smallCaps w:val="0"/>
          <w:sz w:val="20"/>
          <w:szCs w:val="20"/>
        </w:rPr>
        <w:tab/>
      </w:r>
      <w:r>
        <w:rPr>
          <w:rFonts w:hint="eastAsia" w:ascii="黑体" w:hAnsi="黑体" w:eastAsia="黑体" w:cs="黑体"/>
          <w:color w:val="000000"/>
          <w:sz w:val="20"/>
          <w:szCs w:val="20"/>
        </w:rPr>
        <w:t>收</w:t>
      </w:r>
      <w:r>
        <w:rPr>
          <w:rFonts w:hint="eastAsia" w:ascii="黑体" w:hAnsi="黑体" w:eastAsia="黑体" w:cs="黑体"/>
          <w:bCs/>
          <w:sz w:val="20"/>
          <w:szCs w:val="20"/>
        </w:rPr>
        <w:t>入决算情况说明</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_Toc79163861 \h </w:instrText>
      </w:r>
      <w:r>
        <w:rPr>
          <w:rFonts w:hint="eastAsia" w:ascii="黑体" w:hAnsi="黑体" w:eastAsia="黑体" w:cs="黑体"/>
          <w:sz w:val="20"/>
          <w:szCs w:val="20"/>
        </w:rPr>
        <w:fldChar w:fldCharType="separate"/>
      </w:r>
      <w:r>
        <w:rPr>
          <w:rFonts w:hint="eastAsia" w:ascii="黑体" w:hAnsi="黑体" w:eastAsia="黑体" w:cs="黑体"/>
          <w:sz w:val="20"/>
          <w:szCs w:val="20"/>
        </w:rPr>
        <w:t>7</w:t>
      </w:r>
      <w:r>
        <w:rPr>
          <w:rFonts w:hint="eastAsia" w:ascii="黑体" w:hAnsi="黑体" w:eastAsia="黑体" w:cs="黑体"/>
          <w:sz w:val="20"/>
          <w:szCs w:val="20"/>
        </w:rPr>
        <w:fldChar w:fldCharType="end"/>
      </w:r>
      <w:r>
        <w:rPr>
          <w:rFonts w:hint="eastAsia" w:ascii="黑体" w:hAnsi="黑体" w:eastAsia="黑体" w:cs="黑体"/>
          <w:sz w:val="20"/>
          <w:szCs w:val="20"/>
          <w:lang w:val="en-US" w:eastAsia="zh-CN"/>
        </w:rPr>
        <w:t>-8</w:t>
      </w:r>
    </w:p>
    <w:p>
      <w:pPr>
        <w:pStyle w:val="18"/>
        <w:tabs>
          <w:tab w:val="left" w:pos="840"/>
          <w:tab w:val="right" w:leader="dot" w:pos="8296"/>
        </w:tabs>
        <w:rPr>
          <w:rFonts w:hint="eastAsia" w:ascii="黑体" w:hAnsi="黑体" w:eastAsia="黑体" w:cs="黑体"/>
          <w:smallCaps w:val="0"/>
          <w:sz w:val="20"/>
          <w:szCs w:val="20"/>
        </w:rPr>
      </w:pPr>
      <w:r>
        <w:rPr>
          <w:rFonts w:hint="eastAsia" w:ascii="黑体" w:hAnsi="黑体" w:eastAsia="黑体" w:cs="黑体"/>
          <w:bCs/>
          <w:sz w:val="20"/>
          <w:szCs w:val="20"/>
        </w:rPr>
        <w:t>三、</w:t>
      </w:r>
      <w:r>
        <w:rPr>
          <w:rFonts w:hint="eastAsia" w:ascii="黑体" w:hAnsi="黑体" w:eastAsia="黑体" w:cs="黑体"/>
          <w:smallCaps w:val="0"/>
          <w:sz w:val="20"/>
          <w:szCs w:val="20"/>
        </w:rPr>
        <w:tab/>
      </w:r>
      <w:r>
        <w:rPr>
          <w:rFonts w:hint="eastAsia" w:ascii="黑体" w:hAnsi="黑体" w:eastAsia="黑体" w:cs="黑体"/>
          <w:color w:val="000000"/>
          <w:sz w:val="20"/>
          <w:szCs w:val="20"/>
        </w:rPr>
        <w:t>支</w:t>
      </w:r>
      <w:r>
        <w:rPr>
          <w:rFonts w:hint="eastAsia" w:ascii="黑体" w:hAnsi="黑体" w:eastAsia="黑体" w:cs="黑体"/>
          <w:bCs/>
          <w:sz w:val="20"/>
          <w:szCs w:val="20"/>
        </w:rPr>
        <w:t>出决算情况说明</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_Toc79163862 \h </w:instrText>
      </w:r>
      <w:r>
        <w:rPr>
          <w:rFonts w:hint="eastAsia" w:ascii="黑体" w:hAnsi="黑体" w:eastAsia="黑体" w:cs="黑体"/>
          <w:sz w:val="20"/>
          <w:szCs w:val="20"/>
        </w:rPr>
        <w:fldChar w:fldCharType="separate"/>
      </w:r>
      <w:r>
        <w:rPr>
          <w:rFonts w:hint="eastAsia" w:ascii="黑体" w:hAnsi="黑体" w:eastAsia="黑体" w:cs="黑体"/>
          <w:sz w:val="20"/>
          <w:szCs w:val="20"/>
        </w:rPr>
        <w:t>8</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color w:val="000000"/>
          <w:sz w:val="20"/>
          <w:szCs w:val="20"/>
        </w:rPr>
        <w:t>四、财</w:t>
      </w:r>
      <w:r>
        <w:rPr>
          <w:rFonts w:hint="eastAsia" w:ascii="黑体" w:hAnsi="黑体" w:eastAsia="黑体" w:cs="黑体"/>
          <w:bCs/>
          <w:sz w:val="20"/>
          <w:szCs w:val="20"/>
        </w:rPr>
        <w:t>政拨款收入支出决算总体情况说明</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_Toc79163863 \h </w:instrText>
      </w:r>
      <w:r>
        <w:rPr>
          <w:rFonts w:hint="eastAsia" w:ascii="黑体" w:hAnsi="黑体" w:eastAsia="黑体" w:cs="黑体"/>
          <w:sz w:val="20"/>
          <w:szCs w:val="20"/>
        </w:rPr>
        <w:fldChar w:fldCharType="separate"/>
      </w:r>
      <w:r>
        <w:rPr>
          <w:rFonts w:hint="eastAsia" w:ascii="黑体" w:hAnsi="黑体" w:eastAsia="黑体" w:cs="黑体"/>
          <w:sz w:val="20"/>
          <w:szCs w:val="20"/>
        </w:rPr>
        <w:t>9</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color w:val="000000"/>
          <w:sz w:val="20"/>
          <w:szCs w:val="20"/>
        </w:rPr>
        <w:t>五、</w:t>
      </w:r>
      <w:r>
        <w:rPr>
          <w:rFonts w:hint="eastAsia" w:ascii="黑体" w:hAnsi="黑体" w:eastAsia="黑体" w:cs="黑体"/>
          <w:b/>
          <w:color w:val="000000"/>
          <w:sz w:val="20"/>
          <w:szCs w:val="20"/>
        </w:rPr>
        <w:t>一</w:t>
      </w:r>
      <w:r>
        <w:rPr>
          <w:rFonts w:hint="eastAsia" w:ascii="黑体" w:hAnsi="黑体" w:eastAsia="黑体" w:cs="黑体"/>
          <w:bCs/>
          <w:sz w:val="20"/>
          <w:szCs w:val="20"/>
        </w:rPr>
        <w:t>般公共预算财政拨款支出决算情况说明</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_Toc79163864 \h </w:instrText>
      </w:r>
      <w:r>
        <w:rPr>
          <w:rFonts w:hint="eastAsia" w:ascii="黑体" w:hAnsi="黑体" w:eastAsia="黑体" w:cs="黑体"/>
          <w:sz w:val="20"/>
          <w:szCs w:val="20"/>
        </w:rPr>
        <w:fldChar w:fldCharType="separate"/>
      </w:r>
      <w:r>
        <w:rPr>
          <w:rFonts w:hint="eastAsia" w:ascii="黑体" w:hAnsi="黑体" w:eastAsia="黑体" w:cs="黑体"/>
          <w:sz w:val="20"/>
          <w:szCs w:val="20"/>
        </w:rPr>
        <w:t>9</w:t>
      </w:r>
      <w:r>
        <w:rPr>
          <w:rFonts w:hint="eastAsia" w:ascii="黑体" w:hAnsi="黑体" w:eastAsia="黑体" w:cs="黑体"/>
          <w:sz w:val="20"/>
          <w:szCs w:val="20"/>
        </w:rPr>
        <w:fldChar w:fldCharType="end"/>
      </w:r>
    </w:p>
    <w:p>
      <w:pPr>
        <w:pStyle w:val="10"/>
        <w:tabs>
          <w:tab w:val="right" w:leader="dot" w:pos="8296"/>
        </w:tabs>
        <w:rPr>
          <w:rFonts w:hint="default" w:ascii="黑体" w:hAnsi="黑体" w:eastAsia="黑体" w:cs="黑体"/>
          <w:b w:val="0"/>
          <w:bCs/>
          <w:i w:val="0"/>
          <w:iCs w:val="0"/>
          <w:sz w:val="20"/>
          <w:szCs w:val="20"/>
          <w:lang w:val="en-US" w:eastAsia="zh-CN"/>
        </w:rPr>
      </w:pPr>
      <w:r>
        <w:rPr>
          <w:rFonts w:hint="eastAsia" w:ascii="黑体" w:hAnsi="黑体" w:eastAsia="黑体" w:cs="黑体"/>
          <w:b/>
          <w:color w:val="000000"/>
          <w:sz w:val="20"/>
          <w:szCs w:val="20"/>
        </w:rPr>
        <w:t>（一）</w:t>
      </w:r>
      <w:r>
        <w:rPr>
          <w:rFonts w:hint="eastAsia" w:ascii="黑体" w:hAnsi="黑体" w:eastAsia="黑体" w:cs="黑体"/>
          <w:b w:val="0"/>
          <w:bCs/>
          <w:color w:val="000000"/>
          <w:sz w:val="20"/>
          <w:szCs w:val="20"/>
        </w:rPr>
        <w:t>一般公共预算财政拨款支出决算总体情况</w:t>
      </w:r>
      <w:r>
        <w:rPr>
          <w:rFonts w:hint="eastAsia" w:ascii="黑体" w:hAnsi="黑体" w:eastAsia="黑体" w:cs="黑体"/>
          <w:b w:val="0"/>
          <w:bCs/>
          <w:sz w:val="20"/>
          <w:szCs w:val="20"/>
        </w:rPr>
        <w:tab/>
      </w:r>
      <w:r>
        <w:rPr>
          <w:rFonts w:hint="eastAsia" w:ascii="黑体" w:hAnsi="黑体" w:eastAsia="黑体" w:cs="黑体"/>
          <w:b w:val="0"/>
          <w:bCs/>
          <w:sz w:val="20"/>
          <w:szCs w:val="20"/>
        </w:rPr>
        <w:fldChar w:fldCharType="begin"/>
      </w:r>
      <w:r>
        <w:rPr>
          <w:rFonts w:hint="eastAsia" w:ascii="黑体" w:hAnsi="黑体" w:eastAsia="黑体" w:cs="黑体"/>
          <w:b w:val="0"/>
          <w:bCs/>
          <w:sz w:val="20"/>
          <w:szCs w:val="20"/>
        </w:rPr>
        <w:instrText xml:space="preserve"> PAGEREF _Toc79163865 \h </w:instrText>
      </w:r>
      <w:r>
        <w:rPr>
          <w:rFonts w:hint="eastAsia" w:ascii="黑体" w:hAnsi="黑体" w:eastAsia="黑体" w:cs="黑体"/>
          <w:b w:val="0"/>
          <w:bCs/>
          <w:sz w:val="20"/>
          <w:szCs w:val="20"/>
        </w:rPr>
        <w:fldChar w:fldCharType="separate"/>
      </w:r>
      <w:r>
        <w:rPr>
          <w:rFonts w:hint="eastAsia" w:ascii="黑体" w:hAnsi="黑体" w:eastAsia="黑体" w:cs="黑体"/>
          <w:b w:val="0"/>
          <w:bCs/>
          <w:sz w:val="20"/>
          <w:szCs w:val="20"/>
        </w:rPr>
        <w:t>9</w:t>
      </w:r>
      <w:r>
        <w:rPr>
          <w:rFonts w:hint="eastAsia" w:ascii="黑体" w:hAnsi="黑体" w:eastAsia="黑体" w:cs="黑体"/>
          <w:b w:val="0"/>
          <w:bCs/>
          <w:sz w:val="20"/>
          <w:szCs w:val="20"/>
        </w:rPr>
        <w:fldChar w:fldCharType="end"/>
      </w:r>
      <w:r>
        <w:rPr>
          <w:rFonts w:hint="eastAsia" w:ascii="黑体" w:hAnsi="黑体" w:eastAsia="黑体" w:cs="黑体"/>
          <w:b w:val="0"/>
          <w:bCs/>
          <w:sz w:val="20"/>
          <w:szCs w:val="20"/>
          <w:lang w:val="en-US" w:eastAsia="zh-CN"/>
        </w:rPr>
        <w:t>-10</w:t>
      </w:r>
    </w:p>
    <w:p>
      <w:pPr>
        <w:pStyle w:val="10"/>
        <w:tabs>
          <w:tab w:val="right" w:leader="dot" w:pos="8296"/>
        </w:tabs>
        <w:rPr>
          <w:rFonts w:hint="eastAsia" w:ascii="黑体" w:hAnsi="黑体" w:eastAsia="黑体" w:cs="黑体"/>
          <w:b w:val="0"/>
          <w:bCs/>
          <w:i w:val="0"/>
          <w:iCs w:val="0"/>
          <w:sz w:val="20"/>
          <w:szCs w:val="20"/>
          <w:lang w:val="en-US" w:eastAsia="zh-CN"/>
        </w:rPr>
      </w:pPr>
      <w:r>
        <w:rPr>
          <w:rFonts w:hint="eastAsia" w:ascii="黑体" w:hAnsi="黑体" w:eastAsia="黑体" w:cs="黑体"/>
          <w:b w:val="0"/>
          <w:bCs/>
          <w:color w:val="000000"/>
          <w:sz w:val="20"/>
          <w:szCs w:val="20"/>
        </w:rPr>
        <w:t>（二）一般公共预算财政拨款支出决算结构情况</w:t>
      </w:r>
      <w:r>
        <w:rPr>
          <w:rFonts w:hint="eastAsia" w:ascii="黑体" w:hAnsi="黑体" w:eastAsia="黑体" w:cs="黑体"/>
          <w:b w:val="0"/>
          <w:bCs/>
          <w:sz w:val="20"/>
          <w:szCs w:val="20"/>
        </w:rPr>
        <w:tab/>
      </w:r>
      <w:r>
        <w:rPr>
          <w:rFonts w:hint="eastAsia" w:ascii="黑体" w:hAnsi="黑体" w:eastAsia="黑体" w:cs="黑体"/>
          <w:b w:val="0"/>
          <w:bCs/>
          <w:sz w:val="20"/>
          <w:szCs w:val="20"/>
        </w:rPr>
        <w:fldChar w:fldCharType="begin"/>
      </w:r>
      <w:r>
        <w:rPr>
          <w:rFonts w:hint="eastAsia" w:ascii="黑体" w:hAnsi="黑体" w:eastAsia="黑体" w:cs="黑体"/>
          <w:b w:val="0"/>
          <w:bCs/>
          <w:sz w:val="20"/>
          <w:szCs w:val="20"/>
        </w:rPr>
        <w:instrText xml:space="preserve"> PAGEREF _Toc79163866 \h </w:instrText>
      </w:r>
      <w:r>
        <w:rPr>
          <w:rFonts w:hint="eastAsia" w:ascii="黑体" w:hAnsi="黑体" w:eastAsia="黑体" w:cs="黑体"/>
          <w:b w:val="0"/>
          <w:bCs/>
          <w:sz w:val="20"/>
          <w:szCs w:val="20"/>
        </w:rPr>
        <w:fldChar w:fldCharType="separate"/>
      </w:r>
      <w:r>
        <w:rPr>
          <w:rFonts w:hint="eastAsia" w:ascii="黑体" w:hAnsi="黑体" w:eastAsia="黑体" w:cs="黑体"/>
          <w:b w:val="0"/>
          <w:bCs/>
          <w:sz w:val="20"/>
          <w:szCs w:val="20"/>
        </w:rPr>
        <w:t>10</w:t>
      </w:r>
      <w:r>
        <w:rPr>
          <w:rFonts w:hint="eastAsia" w:ascii="黑体" w:hAnsi="黑体" w:eastAsia="黑体" w:cs="黑体"/>
          <w:b w:val="0"/>
          <w:bCs/>
          <w:sz w:val="20"/>
          <w:szCs w:val="20"/>
        </w:rPr>
        <w:fldChar w:fldCharType="end"/>
      </w:r>
    </w:p>
    <w:p>
      <w:pPr>
        <w:pStyle w:val="10"/>
        <w:tabs>
          <w:tab w:val="right" w:leader="dot" w:pos="8296"/>
        </w:tabs>
        <w:rPr>
          <w:rFonts w:hint="eastAsia" w:ascii="黑体" w:hAnsi="黑体" w:eastAsia="黑体" w:cs="黑体"/>
          <w:i w:val="0"/>
          <w:iCs w:val="0"/>
          <w:sz w:val="20"/>
          <w:szCs w:val="20"/>
        </w:rPr>
      </w:pPr>
      <w:r>
        <w:rPr>
          <w:rFonts w:hint="eastAsia" w:ascii="黑体" w:hAnsi="黑体" w:eastAsia="黑体" w:cs="黑体"/>
          <w:b w:val="0"/>
          <w:bCs/>
          <w:color w:val="000000"/>
          <w:sz w:val="20"/>
          <w:szCs w:val="20"/>
        </w:rPr>
        <w:t>（三）一般公共预算财政拨款支出决算具体情况</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_Toc79163867 \h </w:instrText>
      </w:r>
      <w:r>
        <w:rPr>
          <w:rFonts w:hint="eastAsia" w:ascii="黑体" w:hAnsi="黑体" w:eastAsia="黑体" w:cs="黑体"/>
          <w:sz w:val="20"/>
          <w:szCs w:val="20"/>
        </w:rPr>
        <w:fldChar w:fldCharType="separate"/>
      </w:r>
      <w:r>
        <w:rPr>
          <w:rFonts w:hint="eastAsia" w:ascii="黑体" w:hAnsi="黑体" w:eastAsia="黑体" w:cs="黑体"/>
          <w:sz w:val="20"/>
          <w:szCs w:val="20"/>
        </w:rPr>
        <w:t>11</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color w:val="000000"/>
          <w:sz w:val="20"/>
          <w:szCs w:val="20"/>
        </w:rPr>
        <w:t>六</w:t>
      </w:r>
      <w:r>
        <w:rPr>
          <w:rFonts w:hint="eastAsia" w:ascii="黑体" w:hAnsi="黑体" w:eastAsia="黑体" w:cs="黑体"/>
          <w:b/>
          <w:color w:val="000000"/>
          <w:sz w:val="20"/>
          <w:szCs w:val="20"/>
        </w:rPr>
        <w:t>、一</w:t>
      </w:r>
      <w:r>
        <w:rPr>
          <w:rFonts w:hint="eastAsia" w:ascii="黑体" w:hAnsi="黑体" w:eastAsia="黑体" w:cs="黑体"/>
          <w:bCs/>
          <w:sz w:val="20"/>
          <w:szCs w:val="20"/>
        </w:rPr>
        <w:t>般公共预算财政拨款基本支出决算情况说明</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_Toc79163868 \h </w:instrText>
      </w:r>
      <w:r>
        <w:rPr>
          <w:rFonts w:hint="eastAsia" w:ascii="黑体" w:hAnsi="黑体" w:eastAsia="黑体" w:cs="黑体"/>
          <w:sz w:val="20"/>
          <w:szCs w:val="20"/>
        </w:rPr>
        <w:fldChar w:fldCharType="separate"/>
      </w:r>
      <w:r>
        <w:rPr>
          <w:rFonts w:hint="eastAsia" w:ascii="黑体" w:hAnsi="黑体" w:eastAsia="黑体" w:cs="黑体"/>
          <w:sz w:val="20"/>
          <w:szCs w:val="20"/>
        </w:rPr>
        <w:t>12</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color w:val="000000"/>
          <w:sz w:val="20"/>
          <w:szCs w:val="20"/>
        </w:rPr>
        <w:t>七、</w:t>
      </w:r>
      <w:r>
        <w:rPr>
          <w:rFonts w:hint="eastAsia" w:ascii="黑体" w:hAnsi="黑体" w:eastAsia="黑体" w:cs="黑体"/>
          <w:b/>
          <w:bCs/>
          <w:sz w:val="20"/>
          <w:szCs w:val="20"/>
        </w:rPr>
        <w:t>“</w:t>
      </w:r>
      <w:r>
        <w:rPr>
          <w:rFonts w:hint="eastAsia" w:ascii="黑体" w:hAnsi="黑体" w:eastAsia="黑体" w:cs="黑体"/>
          <w:bCs/>
          <w:sz w:val="20"/>
          <w:szCs w:val="20"/>
        </w:rPr>
        <w:t>三公”经费财政拨款支出决算情况说明</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_Toc79163869 \h </w:instrText>
      </w:r>
      <w:r>
        <w:rPr>
          <w:rFonts w:hint="eastAsia" w:ascii="黑体" w:hAnsi="黑体" w:eastAsia="黑体" w:cs="黑体"/>
          <w:sz w:val="20"/>
          <w:szCs w:val="20"/>
        </w:rPr>
        <w:fldChar w:fldCharType="separate"/>
      </w:r>
      <w:r>
        <w:rPr>
          <w:rFonts w:hint="eastAsia" w:ascii="黑体" w:hAnsi="黑体" w:eastAsia="黑体" w:cs="黑体"/>
          <w:sz w:val="20"/>
          <w:szCs w:val="20"/>
        </w:rPr>
        <w:t>12</w:t>
      </w:r>
      <w:r>
        <w:rPr>
          <w:rFonts w:hint="eastAsia" w:ascii="黑体" w:hAnsi="黑体" w:eastAsia="黑体" w:cs="黑体"/>
          <w:sz w:val="20"/>
          <w:szCs w:val="20"/>
        </w:rPr>
        <w:fldChar w:fldCharType="end"/>
      </w:r>
    </w:p>
    <w:p>
      <w:pPr>
        <w:pStyle w:val="10"/>
        <w:tabs>
          <w:tab w:val="right" w:leader="dot" w:pos="8296"/>
        </w:tabs>
        <w:rPr>
          <w:rFonts w:hint="eastAsia" w:ascii="黑体" w:hAnsi="黑体" w:eastAsia="黑体" w:cs="黑体"/>
          <w:b w:val="0"/>
          <w:bCs/>
          <w:i w:val="0"/>
          <w:iCs w:val="0"/>
          <w:sz w:val="20"/>
          <w:szCs w:val="20"/>
        </w:rPr>
      </w:pPr>
      <w:r>
        <w:rPr>
          <w:rFonts w:hint="eastAsia" w:ascii="黑体" w:hAnsi="黑体" w:eastAsia="黑体" w:cs="黑体"/>
          <w:b/>
          <w:color w:val="000000"/>
          <w:sz w:val="20"/>
          <w:szCs w:val="20"/>
        </w:rPr>
        <w:t>（一）</w:t>
      </w:r>
      <w:r>
        <w:rPr>
          <w:rFonts w:hint="eastAsia" w:ascii="黑体" w:hAnsi="黑体" w:eastAsia="黑体" w:cs="黑体"/>
          <w:b w:val="0"/>
          <w:bCs/>
          <w:color w:val="000000"/>
          <w:sz w:val="20"/>
          <w:szCs w:val="20"/>
        </w:rPr>
        <w:t>“三公”经费财政拨款支出决算总体情况说明</w:t>
      </w:r>
      <w:r>
        <w:rPr>
          <w:rFonts w:hint="eastAsia" w:ascii="黑体" w:hAnsi="黑体" w:eastAsia="黑体" w:cs="黑体"/>
          <w:b w:val="0"/>
          <w:bCs/>
          <w:sz w:val="20"/>
          <w:szCs w:val="20"/>
        </w:rPr>
        <w:tab/>
      </w:r>
      <w:r>
        <w:rPr>
          <w:rFonts w:hint="eastAsia" w:ascii="黑体" w:hAnsi="黑体" w:eastAsia="黑体" w:cs="黑体"/>
          <w:b w:val="0"/>
          <w:bCs/>
          <w:sz w:val="20"/>
          <w:szCs w:val="20"/>
        </w:rPr>
        <w:fldChar w:fldCharType="begin"/>
      </w:r>
      <w:r>
        <w:rPr>
          <w:rFonts w:hint="eastAsia" w:ascii="黑体" w:hAnsi="黑体" w:eastAsia="黑体" w:cs="黑体"/>
          <w:b w:val="0"/>
          <w:bCs/>
          <w:sz w:val="20"/>
          <w:szCs w:val="20"/>
        </w:rPr>
        <w:instrText xml:space="preserve"> PAGEREF _Toc79163870 \h </w:instrText>
      </w:r>
      <w:r>
        <w:rPr>
          <w:rFonts w:hint="eastAsia" w:ascii="黑体" w:hAnsi="黑体" w:eastAsia="黑体" w:cs="黑体"/>
          <w:b w:val="0"/>
          <w:bCs/>
          <w:sz w:val="20"/>
          <w:szCs w:val="20"/>
        </w:rPr>
        <w:fldChar w:fldCharType="separate"/>
      </w:r>
      <w:r>
        <w:rPr>
          <w:rFonts w:hint="eastAsia" w:ascii="黑体" w:hAnsi="黑体" w:eastAsia="黑体" w:cs="黑体"/>
          <w:b w:val="0"/>
          <w:bCs/>
          <w:sz w:val="20"/>
          <w:szCs w:val="20"/>
        </w:rPr>
        <w:t>12</w:t>
      </w:r>
      <w:r>
        <w:rPr>
          <w:rFonts w:hint="eastAsia" w:ascii="黑体" w:hAnsi="黑体" w:eastAsia="黑体" w:cs="黑体"/>
          <w:b w:val="0"/>
          <w:bCs/>
          <w:sz w:val="20"/>
          <w:szCs w:val="20"/>
        </w:rPr>
        <w:fldChar w:fldCharType="end"/>
      </w:r>
    </w:p>
    <w:p>
      <w:pPr>
        <w:pStyle w:val="10"/>
        <w:tabs>
          <w:tab w:val="right" w:leader="dot" w:pos="8296"/>
        </w:tabs>
        <w:rPr>
          <w:rFonts w:hint="default" w:ascii="黑体" w:hAnsi="黑体" w:eastAsia="黑体" w:cs="黑体"/>
          <w:i w:val="0"/>
          <w:iCs w:val="0"/>
          <w:sz w:val="20"/>
          <w:szCs w:val="20"/>
          <w:lang w:val="en-US" w:eastAsia="zh-CN"/>
        </w:rPr>
      </w:pPr>
      <w:r>
        <w:rPr>
          <w:rFonts w:hint="eastAsia" w:ascii="黑体" w:hAnsi="黑体" w:eastAsia="黑体" w:cs="黑体"/>
          <w:b w:val="0"/>
          <w:bCs/>
          <w:color w:val="000000"/>
          <w:sz w:val="20"/>
          <w:szCs w:val="20"/>
        </w:rPr>
        <w:t>（二）“三公”经费财政拨款支出决算具体情况说明</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_Toc79163871 \h </w:instrText>
      </w:r>
      <w:r>
        <w:rPr>
          <w:rFonts w:hint="eastAsia" w:ascii="黑体" w:hAnsi="黑体" w:eastAsia="黑体" w:cs="黑体"/>
          <w:sz w:val="20"/>
          <w:szCs w:val="20"/>
        </w:rPr>
        <w:fldChar w:fldCharType="separate"/>
      </w:r>
      <w:r>
        <w:rPr>
          <w:rFonts w:hint="eastAsia" w:ascii="黑体" w:hAnsi="黑体" w:eastAsia="黑体" w:cs="黑体"/>
          <w:sz w:val="20"/>
          <w:szCs w:val="20"/>
        </w:rPr>
        <w:t>12</w:t>
      </w:r>
      <w:r>
        <w:rPr>
          <w:rFonts w:hint="eastAsia" w:ascii="黑体" w:hAnsi="黑体" w:eastAsia="黑体" w:cs="黑体"/>
          <w:sz w:val="20"/>
          <w:szCs w:val="20"/>
        </w:rPr>
        <w:fldChar w:fldCharType="end"/>
      </w:r>
      <w:r>
        <w:rPr>
          <w:rFonts w:hint="eastAsia" w:ascii="黑体" w:hAnsi="黑体" w:eastAsia="黑体" w:cs="黑体"/>
          <w:sz w:val="20"/>
          <w:szCs w:val="20"/>
          <w:lang w:val="en-US" w:eastAsia="zh-CN"/>
        </w:rPr>
        <w:t>-14</w:t>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color w:val="000000"/>
          <w:sz w:val="20"/>
          <w:szCs w:val="20"/>
        </w:rPr>
        <w:t>八、</w:t>
      </w:r>
      <w:r>
        <w:rPr>
          <w:rFonts w:hint="eastAsia" w:ascii="黑体" w:hAnsi="黑体" w:eastAsia="黑体" w:cs="黑体"/>
          <w:bCs/>
          <w:sz w:val="20"/>
          <w:szCs w:val="20"/>
        </w:rPr>
        <w:t>政府性基金预算支出决算情况说明</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_Toc79163872 \h </w:instrText>
      </w:r>
      <w:r>
        <w:rPr>
          <w:rFonts w:hint="eastAsia" w:ascii="黑体" w:hAnsi="黑体" w:eastAsia="黑体" w:cs="黑体"/>
          <w:sz w:val="20"/>
          <w:szCs w:val="20"/>
        </w:rPr>
        <w:fldChar w:fldCharType="separate"/>
      </w:r>
      <w:r>
        <w:rPr>
          <w:rFonts w:hint="eastAsia" w:ascii="黑体" w:hAnsi="黑体" w:eastAsia="黑体" w:cs="黑体"/>
          <w:sz w:val="20"/>
          <w:szCs w:val="20"/>
        </w:rPr>
        <w:t>14</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bCs/>
          <w:sz w:val="20"/>
          <w:szCs w:val="20"/>
        </w:rPr>
        <w:t>九、 国有资本经营预算支出决算情况说明</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_Toc79163873 \h </w:instrText>
      </w:r>
      <w:r>
        <w:rPr>
          <w:rFonts w:hint="eastAsia" w:ascii="黑体" w:hAnsi="黑体" w:eastAsia="黑体" w:cs="黑体"/>
          <w:sz w:val="20"/>
          <w:szCs w:val="20"/>
        </w:rPr>
        <w:fldChar w:fldCharType="separate"/>
      </w:r>
      <w:r>
        <w:rPr>
          <w:rFonts w:hint="eastAsia" w:ascii="黑体" w:hAnsi="黑体" w:eastAsia="黑体" w:cs="黑体"/>
          <w:sz w:val="20"/>
          <w:szCs w:val="20"/>
        </w:rPr>
        <w:t>14</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color w:val="000000"/>
          <w:sz w:val="20"/>
          <w:szCs w:val="20"/>
        </w:rPr>
        <w:t>十</w:t>
      </w:r>
      <w:r>
        <w:rPr>
          <w:rFonts w:hint="eastAsia" w:ascii="黑体" w:hAnsi="黑体" w:eastAsia="黑体" w:cs="黑体"/>
          <w:b/>
          <w:bCs/>
          <w:sz w:val="20"/>
          <w:szCs w:val="20"/>
        </w:rPr>
        <w:t>、</w:t>
      </w:r>
      <w:r>
        <w:rPr>
          <w:rFonts w:hint="eastAsia" w:ascii="黑体" w:hAnsi="黑体" w:eastAsia="黑体" w:cs="黑体"/>
          <w:bCs/>
          <w:sz w:val="20"/>
          <w:szCs w:val="20"/>
        </w:rPr>
        <w:t>其他重要事项的情况说明</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_Toc79163874 \h </w:instrText>
      </w:r>
      <w:r>
        <w:rPr>
          <w:rFonts w:hint="eastAsia" w:ascii="黑体" w:hAnsi="黑体" w:eastAsia="黑体" w:cs="黑体"/>
          <w:sz w:val="20"/>
          <w:szCs w:val="20"/>
        </w:rPr>
        <w:fldChar w:fldCharType="separate"/>
      </w:r>
      <w:r>
        <w:rPr>
          <w:rFonts w:hint="eastAsia" w:ascii="黑体" w:hAnsi="黑体" w:eastAsia="黑体" w:cs="黑体"/>
          <w:sz w:val="20"/>
          <w:szCs w:val="20"/>
        </w:rPr>
        <w:t>14</w:t>
      </w:r>
      <w:r>
        <w:rPr>
          <w:rFonts w:hint="eastAsia" w:ascii="黑体" w:hAnsi="黑体" w:eastAsia="黑体" w:cs="黑体"/>
          <w:sz w:val="20"/>
          <w:szCs w:val="20"/>
        </w:rPr>
        <w:fldChar w:fldCharType="end"/>
      </w:r>
    </w:p>
    <w:p>
      <w:pPr>
        <w:pStyle w:val="10"/>
        <w:tabs>
          <w:tab w:val="right" w:leader="dot" w:pos="8296"/>
        </w:tabs>
        <w:rPr>
          <w:rFonts w:hint="default" w:ascii="黑体" w:hAnsi="黑体" w:eastAsia="黑体" w:cs="黑体"/>
          <w:i w:val="0"/>
          <w:iCs w:val="0"/>
          <w:sz w:val="20"/>
          <w:szCs w:val="20"/>
          <w:lang w:val="en-US" w:eastAsia="zh-CN"/>
        </w:rPr>
      </w:pPr>
      <w:r>
        <w:rPr>
          <w:rFonts w:hint="eastAsia" w:ascii="黑体" w:hAnsi="黑体" w:eastAsia="黑体" w:cs="黑体"/>
          <w:b/>
          <w:color w:val="000000"/>
          <w:sz w:val="20"/>
          <w:szCs w:val="20"/>
        </w:rPr>
        <w:t>（一）机关运行经费支出情况</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_Toc79163875 \h </w:instrText>
      </w:r>
      <w:r>
        <w:rPr>
          <w:rFonts w:hint="eastAsia" w:ascii="黑体" w:hAnsi="黑体" w:eastAsia="黑体" w:cs="黑体"/>
          <w:sz w:val="20"/>
          <w:szCs w:val="20"/>
        </w:rPr>
        <w:fldChar w:fldCharType="separate"/>
      </w:r>
      <w:r>
        <w:rPr>
          <w:rFonts w:hint="eastAsia" w:ascii="黑体" w:hAnsi="黑体" w:eastAsia="黑体" w:cs="黑体"/>
          <w:sz w:val="20"/>
          <w:szCs w:val="20"/>
        </w:rPr>
        <w:t>14</w:t>
      </w:r>
      <w:r>
        <w:rPr>
          <w:rFonts w:hint="eastAsia" w:ascii="黑体" w:hAnsi="黑体" w:eastAsia="黑体" w:cs="黑体"/>
          <w:sz w:val="20"/>
          <w:szCs w:val="20"/>
        </w:rPr>
        <w:fldChar w:fldCharType="end"/>
      </w:r>
      <w:r>
        <w:rPr>
          <w:rFonts w:hint="eastAsia" w:ascii="黑体" w:hAnsi="黑体" w:eastAsia="黑体" w:cs="黑体"/>
          <w:sz w:val="20"/>
          <w:szCs w:val="20"/>
          <w:lang w:val="en-US" w:eastAsia="zh-CN"/>
        </w:rPr>
        <w:t>-15</w:t>
      </w:r>
    </w:p>
    <w:p>
      <w:pPr>
        <w:pStyle w:val="10"/>
        <w:tabs>
          <w:tab w:val="right" w:leader="dot" w:pos="8296"/>
        </w:tabs>
        <w:rPr>
          <w:rFonts w:hint="eastAsia" w:ascii="黑体" w:hAnsi="黑体" w:eastAsia="黑体" w:cs="黑体"/>
          <w:i w:val="0"/>
          <w:iCs w:val="0"/>
          <w:sz w:val="20"/>
          <w:szCs w:val="20"/>
        </w:rPr>
      </w:pPr>
      <w:r>
        <w:rPr>
          <w:rFonts w:hint="eastAsia" w:ascii="黑体" w:hAnsi="黑体" w:eastAsia="黑体" w:cs="黑体"/>
          <w:b/>
          <w:color w:val="000000"/>
          <w:sz w:val="20"/>
          <w:szCs w:val="20"/>
        </w:rPr>
        <w:t>（二）政府采购支出情况</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_Toc79163876 \h </w:instrText>
      </w:r>
      <w:r>
        <w:rPr>
          <w:rFonts w:hint="eastAsia" w:ascii="黑体" w:hAnsi="黑体" w:eastAsia="黑体" w:cs="黑体"/>
          <w:sz w:val="20"/>
          <w:szCs w:val="20"/>
        </w:rPr>
        <w:fldChar w:fldCharType="separate"/>
      </w:r>
      <w:r>
        <w:rPr>
          <w:rFonts w:hint="eastAsia" w:ascii="黑体" w:hAnsi="黑体" w:eastAsia="黑体" w:cs="黑体"/>
          <w:sz w:val="20"/>
          <w:szCs w:val="20"/>
        </w:rPr>
        <w:t>15</w:t>
      </w:r>
      <w:r>
        <w:rPr>
          <w:rFonts w:hint="eastAsia" w:ascii="黑体" w:hAnsi="黑体" w:eastAsia="黑体" w:cs="黑体"/>
          <w:sz w:val="20"/>
          <w:szCs w:val="20"/>
        </w:rPr>
        <w:fldChar w:fldCharType="end"/>
      </w:r>
    </w:p>
    <w:p>
      <w:pPr>
        <w:pStyle w:val="10"/>
        <w:tabs>
          <w:tab w:val="right" w:leader="dot" w:pos="8296"/>
        </w:tabs>
        <w:rPr>
          <w:rFonts w:hint="eastAsia" w:ascii="黑体" w:hAnsi="黑体" w:eastAsia="黑体" w:cs="黑体"/>
          <w:i w:val="0"/>
          <w:iCs w:val="0"/>
          <w:sz w:val="20"/>
          <w:szCs w:val="20"/>
        </w:rPr>
      </w:pPr>
      <w:r>
        <w:rPr>
          <w:rFonts w:hint="eastAsia" w:ascii="黑体" w:hAnsi="黑体" w:eastAsia="黑体" w:cs="黑体"/>
          <w:b/>
          <w:color w:val="000000"/>
          <w:sz w:val="20"/>
          <w:szCs w:val="20"/>
        </w:rPr>
        <w:t>（三）国有资产占有使用情况</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_Toc79163877 \h </w:instrText>
      </w:r>
      <w:r>
        <w:rPr>
          <w:rFonts w:hint="eastAsia" w:ascii="黑体" w:hAnsi="黑体" w:eastAsia="黑体" w:cs="黑体"/>
          <w:sz w:val="20"/>
          <w:szCs w:val="20"/>
        </w:rPr>
        <w:fldChar w:fldCharType="separate"/>
      </w:r>
      <w:r>
        <w:rPr>
          <w:rFonts w:hint="eastAsia" w:ascii="黑体" w:hAnsi="黑体" w:eastAsia="黑体" w:cs="黑体"/>
          <w:sz w:val="20"/>
          <w:szCs w:val="20"/>
        </w:rPr>
        <w:t>15</w:t>
      </w:r>
      <w:r>
        <w:rPr>
          <w:rFonts w:hint="eastAsia" w:ascii="黑体" w:hAnsi="黑体" w:eastAsia="黑体" w:cs="黑体"/>
          <w:sz w:val="20"/>
          <w:szCs w:val="20"/>
        </w:rPr>
        <w:fldChar w:fldCharType="end"/>
      </w:r>
    </w:p>
    <w:p>
      <w:pPr>
        <w:pStyle w:val="10"/>
        <w:tabs>
          <w:tab w:val="right" w:leader="dot" w:pos="8296"/>
        </w:tabs>
        <w:rPr>
          <w:rFonts w:hint="default" w:ascii="黑体" w:hAnsi="黑体" w:eastAsia="黑体" w:cs="黑体"/>
          <w:i w:val="0"/>
          <w:iCs w:val="0"/>
          <w:sz w:val="20"/>
          <w:szCs w:val="20"/>
          <w:lang w:val="en-US" w:eastAsia="zh-CN"/>
        </w:rPr>
      </w:pPr>
      <w:r>
        <w:rPr>
          <w:rFonts w:hint="eastAsia" w:ascii="黑体" w:hAnsi="黑体" w:eastAsia="黑体" w:cs="黑体"/>
          <w:b/>
          <w:color w:val="000000"/>
          <w:sz w:val="20"/>
          <w:szCs w:val="20"/>
        </w:rPr>
        <w:t>（四）预算绩效管理情况。</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_Toc79163878 \h </w:instrText>
      </w:r>
      <w:r>
        <w:rPr>
          <w:rFonts w:hint="eastAsia" w:ascii="黑体" w:hAnsi="黑体" w:eastAsia="黑体" w:cs="黑体"/>
          <w:sz w:val="20"/>
          <w:szCs w:val="20"/>
        </w:rPr>
        <w:fldChar w:fldCharType="separate"/>
      </w:r>
      <w:r>
        <w:rPr>
          <w:rFonts w:hint="eastAsia" w:ascii="黑体" w:hAnsi="黑体" w:eastAsia="黑体" w:cs="黑体"/>
          <w:sz w:val="20"/>
          <w:szCs w:val="20"/>
        </w:rPr>
        <w:t>15</w:t>
      </w:r>
      <w:r>
        <w:rPr>
          <w:rFonts w:hint="eastAsia" w:ascii="黑体" w:hAnsi="黑体" w:eastAsia="黑体" w:cs="黑体"/>
          <w:sz w:val="20"/>
          <w:szCs w:val="20"/>
        </w:rPr>
        <w:fldChar w:fldCharType="end"/>
      </w:r>
      <w:r>
        <w:rPr>
          <w:rFonts w:hint="eastAsia" w:ascii="黑体" w:hAnsi="黑体" w:eastAsia="黑体" w:cs="黑体"/>
          <w:sz w:val="20"/>
          <w:szCs w:val="20"/>
          <w:lang w:val="en-US" w:eastAsia="zh-CN"/>
        </w:rPr>
        <w:t>-16</w:t>
      </w:r>
    </w:p>
    <w:p>
      <w:pPr>
        <w:pStyle w:val="15"/>
        <w:tabs>
          <w:tab w:val="right" w:leader="dot" w:pos="8296"/>
        </w:tabs>
        <w:rPr>
          <w:rFonts w:hint="default" w:ascii="黑体" w:hAnsi="黑体" w:eastAsia="黑体" w:cs="黑体"/>
          <w:b w:val="0"/>
          <w:bCs w:val="0"/>
          <w:caps w:val="0"/>
          <w:sz w:val="20"/>
          <w:szCs w:val="20"/>
          <w:lang w:val="en-US" w:eastAsia="zh-CN"/>
        </w:rPr>
      </w:pPr>
      <w:r>
        <w:rPr>
          <w:rFonts w:hint="eastAsia" w:ascii="黑体" w:hAnsi="黑体" w:eastAsia="黑体" w:cs="黑体"/>
          <w:kern w:val="44"/>
          <w:sz w:val="20"/>
          <w:szCs w:val="20"/>
        </w:rPr>
        <w:t>第三部分</w:t>
      </w:r>
      <w:r>
        <w:rPr>
          <w:rFonts w:hint="eastAsia" w:ascii="黑体" w:hAnsi="黑体" w:eastAsia="黑体" w:cs="黑体"/>
          <w:color w:val="000000"/>
          <w:sz w:val="20"/>
          <w:szCs w:val="20"/>
        </w:rPr>
        <w:t xml:space="preserve"> 名</w:t>
      </w:r>
      <w:r>
        <w:rPr>
          <w:rFonts w:hint="eastAsia" w:ascii="黑体" w:hAnsi="黑体" w:eastAsia="黑体" w:cs="黑体"/>
          <w:kern w:val="44"/>
          <w:sz w:val="20"/>
          <w:szCs w:val="20"/>
        </w:rPr>
        <w:t>词解释</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_Toc79163879 \h </w:instrText>
      </w:r>
      <w:r>
        <w:rPr>
          <w:rFonts w:hint="eastAsia" w:ascii="黑体" w:hAnsi="黑体" w:eastAsia="黑体" w:cs="黑体"/>
          <w:sz w:val="20"/>
          <w:szCs w:val="20"/>
        </w:rPr>
        <w:fldChar w:fldCharType="separate"/>
      </w:r>
      <w:r>
        <w:rPr>
          <w:rFonts w:hint="eastAsia" w:ascii="黑体" w:hAnsi="黑体" w:eastAsia="黑体" w:cs="黑体"/>
          <w:sz w:val="20"/>
          <w:szCs w:val="20"/>
        </w:rPr>
        <w:t>16</w:t>
      </w:r>
      <w:r>
        <w:rPr>
          <w:rFonts w:hint="eastAsia" w:ascii="黑体" w:hAnsi="黑体" w:eastAsia="黑体" w:cs="黑体"/>
          <w:sz w:val="20"/>
          <w:szCs w:val="20"/>
        </w:rPr>
        <w:fldChar w:fldCharType="end"/>
      </w:r>
      <w:r>
        <w:rPr>
          <w:rFonts w:hint="eastAsia" w:ascii="黑体" w:hAnsi="黑体" w:eastAsia="黑体" w:cs="黑体"/>
          <w:sz w:val="20"/>
          <w:szCs w:val="20"/>
          <w:lang w:val="en-US" w:eastAsia="zh-CN"/>
        </w:rPr>
        <w:t>-18</w:t>
      </w:r>
    </w:p>
    <w:p>
      <w:pPr>
        <w:pStyle w:val="15"/>
        <w:tabs>
          <w:tab w:val="right" w:leader="dot" w:pos="8296"/>
        </w:tabs>
        <w:rPr>
          <w:rFonts w:hint="eastAsia" w:ascii="黑体" w:hAnsi="黑体" w:eastAsia="黑体" w:cs="黑体"/>
          <w:b w:val="0"/>
          <w:bCs w:val="0"/>
          <w:caps w:val="0"/>
          <w:sz w:val="20"/>
          <w:szCs w:val="20"/>
        </w:rPr>
      </w:pPr>
      <w:r>
        <w:rPr>
          <w:rFonts w:hint="eastAsia" w:ascii="黑体" w:hAnsi="黑体" w:eastAsia="黑体" w:cs="黑体"/>
          <w:color w:val="000000"/>
          <w:sz w:val="20"/>
          <w:szCs w:val="20"/>
        </w:rPr>
        <w:t>第</w:t>
      </w:r>
      <w:r>
        <w:rPr>
          <w:rFonts w:hint="eastAsia" w:ascii="黑体" w:hAnsi="黑体" w:eastAsia="黑体" w:cs="黑体"/>
          <w:kern w:val="44"/>
          <w:sz w:val="20"/>
          <w:szCs w:val="20"/>
        </w:rPr>
        <w:t>四部分 附件</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_Toc79163880 \h </w:instrText>
      </w:r>
      <w:r>
        <w:rPr>
          <w:rFonts w:hint="eastAsia" w:ascii="黑体" w:hAnsi="黑体" w:eastAsia="黑体" w:cs="黑体"/>
          <w:sz w:val="20"/>
          <w:szCs w:val="20"/>
        </w:rPr>
        <w:fldChar w:fldCharType="separate"/>
      </w:r>
      <w:r>
        <w:rPr>
          <w:rFonts w:hint="eastAsia" w:ascii="黑体" w:hAnsi="黑体" w:eastAsia="黑体" w:cs="黑体"/>
          <w:sz w:val="20"/>
          <w:szCs w:val="20"/>
        </w:rPr>
        <w:t>19</w:t>
      </w:r>
      <w:r>
        <w:rPr>
          <w:rFonts w:hint="eastAsia" w:ascii="黑体" w:hAnsi="黑体" w:eastAsia="黑体" w:cs="黑体"/>
          <w:sz w:val="20"/>
          <w:szCs w:val="20"/>
        </w:rPr>
        <w:fldChar w:fldCharType="end"/>
      </w:r>
    </w:p>
    <w:p>
      <w:pPr>
        <w:pStyle w:val="15"/>
        <w:tabs>
          <w:tab w:val="right" w:leader="dot" w:pos="8296"/>
        </w:tabs>
        <w:rPr>
          <w:rFonts w:hint="default" w:ascii="黑体" w:hAnsi="黑体" w:eastAsia="黑体" w:cs="黑体"/>
          <w:b w:val="0"/>
          <w:bCs w:val="0"/>
          <w:caps w:val="0"/>
          <w:sz w:val="20"/>
          <w:szCs w:val="20"/>
          <w:lang w:val="en-US" w:eastAsia="zh-CN"/>
        </w:rPr>
      </w:pPr>
      <w:r>
        <w:rPr>
          <w:rFonts w:hint="eastAsia" w:ascii="黑体" w:hAnsi="黑体" w:eastAsia="黑体" w:cs="黑体"/>
          <w:sz w:val="20"/>
          <w:szCs w:val="20"/>
        </w:rPr>
        <w:t>附件1</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_Toc79163881 \h </w:instrText>
      </w:r>
      <w:r>
        <w:rPr>
          <w:rFonts w:hint="eastAsia" w:ascii="黑体" w:hAnsi="黑体" w:eastAsia="黑体" w:cs="黑体"/>
          <w:sz w:val="20"/>
          <w:szCs w:val="20"/>
        </w:rPr>
        <w:fldChar w:fldCharType="separate"/>
      </w:r>
      <w:r>
        <w:rPr>
          <w:rFonts w:hint="eastAsia" w:ascii="黑体" w:hAnsi="黑体" w:eastAsia="黑体" w:cs="黑体"/>
          <w:sz w:val="20"/>
          <w:szCs w:val="20"/>
        </w:rPr>
        <w:t>19</w:t>
      </w:r>
      <w:r>
        <w:rPr>
          <w:rFonts w:hint="eastAsia" w:ascii="黑体" w:hAnsi="黑体" w:eastAsia="黑体" w:cs="黑体"/>
          <w:sz w:val="20"/>
          <w:szCs w:val="20"/>
        </w:rPr>
        <w:fldChar w:fldCharType="end"/>
      </w:r>
    </w:p>
    <w:p>
      <w:pPr>
        <w:pStyle w:val="15"/>
        <w:tabs>
          <w:tab w:val="right" w:leader="dot" w:pos="8296"/>
        </w:tabs>
        <w:rPr>
          <w:rFonts w:hint="default" w:ascii="黑体" w:hAnsi="黑体" w:eastAsia="黑体" w:cs="黑体"/>
          <w:b w:val="0"/>
          <w:bCs w:val="0"/>
          <w:caps w:val="0"/>
          <w:sz w:val="20"/>
          <w:szCs w:val="20"/>
          <w:lang w:val="en-US" w:eastAsia="zh-CN"/>
        </w:rPr>
      </w:pPr>
      <w:r>
        <w:rPr>
          <w:rFonts w:hint="eastAsia" w:ascii="黑体" w:hAnsi="黑体" w:eastAsia="黑体" w:cs="黑体"/>
          <w:sz w:val="20"/>
          <w:szCs w:val="20"/>
          <w:lang w:eastAsia="zh-CN"/>
        </w:rPr>
        <w:t>人大机关2021</w:t>
      </w:r>
      <w:r>
        <w:rPr>
          <w:rFonts w:hint="eastAsia" w:ascii="黑体" w:hAnsi="黑体" w:eastAsia="黑体" w:cs="黑体"/>
          <w:sz w:val="20"/>
          <w:szCs w:val="20"/>
        </w:rPr>
        <w:t>年部门整体支出绩效评价报告</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_Toc79163882 \h </w:instrText>
      </w:r>
      <w:r>
        <w:rPr>
          <w:rFonts w:hint="eastAsia" w:ascii="黑体" w:hAnsi="黑体" w:eastAsia="黑体" w:cs="黑体"/>
          <w:sz w:val="20"/>
          <w:szCs w:val="20"/>
        </w:rPr>
        <w:fldChar w:fldCharType="separate"/>
      </w:r>
      <w:r>
        <w:rPr>
          <w:rFonts w:hint="eastAsia" w:ascii="黑体" w:hAnsi="黑体" w:eastAsia="黑体" w:cs="黑体"/>
          <w:sz w:val="20"/>
          <w:szCs w:val="20"/>
        </w:rPr>
        <w:t>19</w:t>
      </w:r>
      <w:r>
        <w:rPr>
          <w:rFonts w:hint="eastAsia" w:ascii="黑体" w:hAnsi="黑体" w:eastAsia="黑体" w:cs="黑体"/>
          <w:sz w:val="20"/>
          <w:szCs w:val="20"/>
        </w:rPr>
        <w:fldChar w:fldCharType="end"/>
      </w:r>
      <w:r>
        <w:rPr>
          <w:rFonts w:hint="eastAsia" w:ascii="黑体" w:hAnsi="黑体" w:eastAsia="黑体" w:cs="黑体"/>
          <w:sz w:val="20"/>
          <w:szCs w:val="20"/>
          <w:lang w:val="en-US" w:eastAsia="zh-CN"/>
        </w:rPr>
        <w:t>-21</w:t>
      </w:r>
    </w:p>
    <w:p>
      <w:pPr>
        <w:pStyle w:val="15"/>
        <w:tabs>
          <w:tab w:val="right" w:leader="dot" w:pos="8296"/>
        </w:tabs>
        <w:rPr>
          <w:rFonts w:hint="eastAsia" w:ascii="黑体" w:hAnsi="黑体" w:eastAsia="黑体" w:cs="黑体"/>
          <w:b w:val="0"/>
          <w:bCs w:val="0"/>
          <w:caps w:val="0"/>
          <w:sz w:val="20"/>
          <w:szCs w:val="20"/>
          <w:lang w:eastAsia="zh-CN"/>
        </w:rPr>
      </w:pPr>
      <w:r>
        <w:rPr>
          <w:rFonts w:hint="eastAsia" w:ascii="黑体" w:hAnsi="黑体" w:eastAsia="黑体" w:cs="黑体"/>
          <w:sz w:val="20"/>
          <w:szCs w:val="20"/>
        </w:rPr>
        <w:t>附件2</w:t>
      </w:r>
      <w:r>
        <w:rPr>
          <w:rFonts w:hint="eastAsia" w:ascii="黑体" w:hAnsi="黑体" w:eastAsia="黑体" w:cs="黑体"/>
          <w:sz w:val="20"/>
          <w:szCs w:val="20"/>
        </w:rPr>
        <w:tab/>
      </w:r>
      <w:r>
        <w:rPr>
          <w:rFonts w:hint="eastAsia" w:ascii="黑体" w:hAnsi="黑体" w:eastAsia="黑体" w:cs="黑体"/>
          <w:sz w:val="20"/>
          <w:szCs w:val="20"/>
          <w:lang w:eastAsia="zh-CN"/>
        </w:rPr>
        <w:t>无</w:t>
      </w:r>
    </w:p>
    <w:p>
      <w:pPr>
        <w:pStyle w:val="15"/>
        <w:tabs>
          <w:tab w:val="right" w:leader="dot" w:pos="8296"/>
        </w:tabs>
        <w:rPr>
          <w:rFonts w:hint="eastAsia" w:ascii="黑体" w:hAnsi="黑体" w:eastAsia="黑体" w:cs="黑体"/>
          <w:b w:val="0"/>
          <w:bCs w:val="0"/>
          <w:caps w:val="0"/>
          <w:sz w:val="20"/>
          <w:szCs w:val="20"/>
        </w:rPr>
      </w:pPr>
      <w:bookmarkStart w:id="161" w:name="_GoBack"/>
      <w:bookmarkEnd w:id="161"/>
      <w:r>
        <w:rPr>
          <w:rFonts w:hint="eastAsia" w:ascii="黑体" w:hAnsi="黑体" w:eastAsia="黑体" w:cs="黑体"/>
          <w:color w:val="000000"/>
          <w:sz w:val="20"/>
          <w:szCs w:val="20"/>
        </w:rPr>
        <w:t>第</w:t>
      </w:r>
      <w:r>
        <w:rPr>
          <w:rFonts w:hint="eastAsia" w:ascii="黑体" w:hAnsi="黑体" w:eastAsia="黑体" w:cs="黑体"/>
          <w:kern w:val="44"/>
          <w:sz w:val="20"/>
          <w:szCs w:val="20"/>
        </w:rPr>
        <w:t>五部分 附表</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_Toc79163885 \h </w:instrText>
      </w:r>
      <w:r>
        <w:rPr>
          <w:rFonts w:hint="eastAsia" w:ascii="黑体" w:hAnsi="黑体" w:eastAsia="黑体" w:cs="黑体"/>
          <w:sz w:val="20"/>
          <w:szCs w:val="20"/>
        </w:rPr>
        <w:fldChar w:fldCharType="separate"/>
      </w:r>
      <w:r>
        <w:rPr>
          <w:rFonts w:hint="eastAsia" w:ascii="黑体" w:hAnsi="黑体" w:eastAsia="黑体" w:cs="黑体"/>
          <w:sz w:val="20"/>
          <w:szCs w:val="20"/>
        </w:rPr>
        <w:t>22</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color w:val="000000"/>
          <w:sz w:val="20"/>
          <w:szCs w:val="20"/>
        </w:rPr>
        <w:t>一、收</w:t>
      </w:r>
      <w:r>
        <w:rPr>
          <w:rFonts w:hint="eastAsia" w:ascii="黑体" w:hAnsi="黑体" w:eastAsia="黑体" w:cs="黑体"/>
          <w:sz w:val="20"/>
          <w:szCs w:val="20"/>
        </w:rPr>
        <w:t>入支出决算总表</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_Toc79163886 \h </w:instrText>
      </w:r>
      <w:r>
        <w:rPr>
          <w:rFonts w:hint="eastAsia" w:ascii="黑体" w:hAnsi="黑体" w:eastAsia="黑体" w:cs="黑体"/>
          <w:sz w:val="20"/>
          <w:szCs w:val="20"/>
        </w:rPr>
        <w:fldChar w:fldCharType="separate"/>
      </w:r>
      <w:r>
        <w:rPr>
          <w:rFonts w:hint="eastAsia" w:ascii="黑体" w:hAnsi="黑体" w:eastAsia="黑体" w:cs="黑体"/>
          <w:sz w:val="20"/>
          <w:szCs w:val="20"/>
        </w:rPr>
        <w:t>22</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color w:val="000000"/>
          <w:sz w:val="20"/>
          <w:szCs w:val="20"/>
        </w:rPr>
        <w:t>二、收</w:t>
      </w:r>
      <w:r>
        <w:rPr>
          <w:rFonts w:hint="eastAsia" w:ascii="黑体" w:hAnsi="黑体" w:eastAsia="黑体" w:cs="黑体"/>
          <w:sz w:val="20"/>
          <w:szCs w:val="20"/>
        </w:rPr>
        <w:t>入决算表</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_Toc79163887 \h </w:instrText>
      </w:r>
      <w:r>
        <w:rPr>
          <w:rFonts w:hint="eastAsia" w:ascii="黑体" w:hAnsi="黑体" w:eastAsia="黑体" w:cs="黑体"/>
          <w:sz w:val="20"/>
          <w:szCs w:val="20"/>
        </w:rPr>
        <w:fldChar w:fldCharType="separate"/>
      </w:r>
      <w:r>
        <w:rPr>
          <w:rFonts w:hint="eastAsia" w:ascii="黑体" w:hAnsi="黑体" w:eastAsia="黑体" w:cs="黑体"/>
          <w:sz w:val="20"/>
          <w:szCs w:val="20"/>
        </w:rPr>
        <w:t>22</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sz w:val="20"/>
          <w:szCs w:val="20"/>
        </w:rPr>
        <w:t>三、</w:t>
      </w:r>
      <w:r>
        <w:rPr>
          <w:rFonts w:hint="eastAsia" w:ascii="黑体" w:hAnsi="黑体" w:eastAsia="黑体" w:cs="黑体"/>
          <w:color w:val="000000"/>
          <w:sz w:val="20"/>
          <w:szCs w:val="20"/>
        </w:rPr>
        <w:t>支</w:t>
      </w:r>
      <w:r>
        <w:rPr>
          <w:rFonts w:hint="eastAsia" w:ascii="黑体" w:hAnsi="黑体" w:eastAsia="黑体" w:cs="黑体"/>
          <w:sz w:val="20"/>
          <w:szCs w:val="20"/>
        </w:rPr>
        <w:t>出决算表</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_Toc79163888 \h </w:instrText>
      </w:r>
      <w:r>
        <w:rPr>
          <w:rFonts w:hint="eastAsia" w:ascii="黑体" w:hAnsi="黑体" w:eastAsia="黑体" w:cs="黑体"/>
          <w:sz w:val="20"/>
          <w:szCs w:val="20"/>
        </w:rPr>
        <w:fldChar w:fldCharType="separate"/>
      </w:r>
      <w:r>
        <w:rPr>
          <w:rFonts w:hint="eastAsia" w:ascii="黑体" w:hAnsi="黑体" w:eastAsia="黑体" w:cs="黑体"/>
          <w:sz w:val="20"/>
          <w:szCs w:val="20"/>
        </w:rPr>
        <w:t>22</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sz w:val="20"/>
          <w:szCs w:val="20"/>
        </w:rPr>
        <w:t>四、</w:t>
      </w:r>
      <w:r>
        <w:rPr>
          <w:rFonts w:hint="eastAsia" w:ascii="黑体" w:hAnsi="黑体" w:eastAsia="黑体" w:cs="黑体"/>
          <w:color w:val="000000"/>
          <w:sz w:val="20"/>
          <w:szCs w:val="20"/>
        </w:rPr>
        <w:t>财</w:t>
      </w:r>
      <w:r>
        <w:rPr>
          <w:rFonts w:hint="eastAsia" w:ascii="黑体" w:hAnsi="黑体" w:eastAsia="黑体" w:cs="黑体"/>
          <w:sz w:val="20"/>
          <w:szCs w:val="20"/>
        </w:rPr>
        <w:t>政拨款收入支出决算总表</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_Toc79163889 \h </w:instrText>
      </w:r>
      <w:r>
        <w:rPr>
          <w:rFonts w:hint="eastAsia" w:ascii="黑体" w:hAnsi="黑体" w:eastAsia="黑体" w:cs="黑体"/>
          <w:sz w:val="20"/>
          <w:szCs w:val="20"/>
        </w:rPr>
        <w:fldChar w:fldCharType="separate"/>
      </w:r>
      <w:r>
        <w:rPr>
          <w:rFonts w:hint="eastAsia" w:ascii="黑体" w:hAnsi="黑体" w:eastAsia="黑体" w:cs="黑体"/>
          <w:sz w:val="20"/>
          <w:szCs w:val="20"/>
        </w:rPr>
        <w:t>22</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sz w:val="20"/>
          <w:szCs w:val="20"/>
        </w:rPr>
        <w:t>五、</w:t>
      </w:r>
      <w:r>
        <w:rPr>
          <w:rFonts w:hint="eastAsia" w:ascii="黑体" w:hAnsi="黑体" w:eastAsia="黑体" w:cs="黑体"/>
          <w:color w:val="000000"/>
          <w:sz w:val="20"/>
          <w:szCs w:val="20"/>
        </w:rPr>
        <w:t>财</w:t>
      </w:r>
      <w:r>
        <w:rPr>
          <w:rFonts w:hint="eastAsia" w:ascii="黑体" w:hAnsi="黑体" w:eastAsia="黑体" w:cs="黑体"/>
          <w:sz w:val="20"/>
          <w:szCs w:val="20"/>
        </w:rPr>
        <w:t>政拨款支出决算明细表</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_Toc79163890 \h </w:instrText>
      </w:r>
      <w:r>
        <w:rPr>
          <w:rFonts w:hint="eastAsia" w:ascii="黑体" w:hAnsi="黑体" w:eastAsia="黑体" w:cs="黑体"/>
          <w:sz w:val="20"/>
          <w:szCs w:val="20"/>
        </w:rPr>
        <w:fldChar w:fldCharType="separate"/>
      </w:r>
      <w:r>
        <w:rPr>
          <w:rFonts w:hint="eastAsia" w:ascii="黑体" w:hAnsi="黑体" w:eastAsia="黑体" w:cs="黑体"/>
          <w:sz w:val="20"/>
          <w:szCs w:val="20"/>
        </w:rPr>
        <w:t>22</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sz w:val="20"/>
          <w:szCs w:val="20"/>
        </w:rPr>
        <w:t>六、</w:t>
      </w:r>
      <w:r>
        <w:rPr>
          <w:rFonts w:hint="eastAsia" w:ascii="黑体" w:hAnsi="黑体" w:eastAsia="黑体" w:cs="黑体"/>
          <w:color w:val="000000"/>
          <w:sz w:val="20"/>
          <w:szCs w:val="20"/>
        </w:rPr>
        <w:t>一</w:t>
      </w:r>
      <w:r>
        <w:rPr>
          <w:rFonts w:hint="eastAsia" w:ascii="黑体" w:hAnsi="黑体" w:eastAsia="黑体" w:cs="黑体"/>
          <w:sz w:val="20"/>
          <w:szCs w:val="20"/>
        </w:rPr>
        <w:t>般公共预算财政拨款支出决算表</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_Toc79163891 \h </w:instrText>
      </w:r>
      <w:r>
        <w:rPr>
          <w:rFonts w:hint="eastAsia" w:ascii="黑体" w:hAnsi="黑体" w:eastAsia="黑体" w:cs="黑体"/>
          <w:sz w:val="20"/>
          <w:szCs w:val="20"/>
        </w:rPr>
        <w:fldChar w:fldCharType="separate"/>
      </w:r>
      <w:r>
        <w:rPr>
          <w:rFonts w:hint="eastAsia" w:ascii="黑体" w:hAnsi="黑体" w:eastAsia="黑体" w:cs="黑体"/>
          <w:sz w:val="20"/>
          <w:szCs w:val="20"/>
        </w:rPr>
        <w:t>22</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sz w:val="20"/>
          <w:szCs w:val="20"/>
        </w:rPr>
        <w:t>七、</w:t>
      </w:r>
      <w:r>
        <w:rPr>
          <w:rFonts w:hint="eastAsia" w:ascii="黑体" w:hAnsi="黑体" w:eastAsia="黑体" w:cs="黑体"/>
          <w:color w:val="000000"/>
          <w:sz w:val="20"/>
          <w:szCs w:val="20"/>
        </w:rPr>
        <w:t>一</w:t>
      </w:r>
      <w:r>
        <w:rPr>
          <w:rFonts w:hint="eastAsia" w:ascii="黑体" w:hAnsi="黑体" w:eastAsia="黑体" w:cs="黑体"/>
          <w:sz w:val="20"/>
          <w:szCs w:val="20"/>
        </w:rPr>
        <w:t>般公共预算财政拨款支出决算明细表</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_Toc79163892 \h </w:instrText>
      </w:r>
      <w:r>
        <w:rPr>
          <w:rFonts w:hint="eastAsia" w:ascii="黑体" w:hAnsi="黑体" w:eastAsia="黑体" w:cs="黑体"/>
          <w:sz w:val="20"/>
          <w:szCs w:val="20"/>
        </w:rPr>
        <w:fldChar w:fldCharType="separate"/>
      </w:r>
      <w:r>
        <w:rPr>
          <w:rFonts w:hint="eastAsia" w:ascii="黑体" w:hAnsi="黑体" w:eastAsia="黑体" w:cs="黑体"/>
          <w:sz w:val="20"/>
          <w:szCs w:val="20"/>
        </w:rPr>
        <w:t>22</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sz w:val="20"/>
          <w:szCs w:val="20"/>
        </w:rPr>
        <w:t>八、</w:t>
      </w:r>
      <w:r>
        <w:rPr>
          <w:rFonts w:hint="eastAsia" w:ascii="黑体" w:hAnsi="黑体" w:eastAsia="黑体" w:cs="黑体"/>
          <w:color w:val="000000"/>
          <w:sz w:val="20"/>
          <w:szCs w:val="20"/>
        </w:rPr>
        <w:t>一</w:t>
      </w:r>
      <w:r>
        <w:rPr>
          <w:rFonts w:hint="eastAsia" w:ascii="黑体" w:hAnsi="黑体" w:eastAsia="黑体" w:cs="黑体"/>
          <w:sz w:val="20"/>
          <w:szCs w:val="20"/>
        </w:rPr>
        <w:t>般公共预算财政拨款基本支出决算表</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_Toc79163893 \h </w:instrText>
      </w:r>
      <w:r>
        <w:rPr>
          <w:rFonts w:hint="eastAsia" w:ascii="黑体" w:hAnsi="黑体" w:eastAsia="黑体" w:cs="黑体"/>
          <w:sz w:val="20"/>
          <w:szCs w:val="20"/>
        </w:rPr>
        <w:fldChar w:fldCharType="separate"/>
      </w:r>
      <w:r>
        <w:rPr>
          <w:rFonts w:hint="eastAsia" w:ascii="黑体" w:hAnsi="黑体" w:eastAsia="黑体" w:cs="黑体"/>
          <w:sz w:val="20"/>
          <w:szCs w:val="20"/>
        </w:rPr>
        <w:t>22</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sz w:val="20"/>
          <w:szCs w:val="20"/>
        </w:rPr>
        <w:t>九、</w:t>
      </w:r>
      <w:r>
        <w:rPr>
          <w:rFonts w:hint="eastAsia" w:ascii="黑体" w:hAnsi="黑体" w:eastAsia="黑体" w:cs="黑体"/>
          <w:color w:val="000000"/>
          <w:sz w:val="20"/>
          <w:szCs w:val="20"/>
        </w:rPr>
        <w:t>一</w:t>
      </w:r>
      <w:r>
        <w:rPr>
          <w:rFonts w:hint="eastAsia" w:ascii="黑体" w:hAnsi="黑体" w:eastAsia="黑体" w:cs="黑体"/>
          <w:sz w:val="20"/>
          <w:szCs w:val="20"/>
        </w:rPr>
        <w:t>般公共预算财政拨款项目支出决算表</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_Toc79163894 \h </w:instrText>
      </w:r>
      <w:r>
        <w:rPr>
          <w:rFonts w:hint="eastAsia" w:ascii="黑体" w:hAnsi="黑体" w:eastAsia="黑体" w:cs="黑体"/>
          <w:sz w:val="20"/>
          <w:szCs w:val="20"/>
        </w:rPr>
        <w:fldChar w:fldCharType="separate"/>
      </w:r>
      <w:r>
        <w:rPr>
          <w:rFonts w:hint="eastAsia" w:ascii="黑体" w:hAnsi="黑体" w:eastAsia="黑体" w:cs="黑体"/>
          <w:sz w:val="20"/>
          <w:szCs w:val="20"/>
        </w:rPr>
        <w:t>22</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sz w:val="20"/>
          <w:szCs w:val="20"/>
        </w:rPr>
        <w:t>十、</w:t>
      </w:r>
      <w:r>
        <w:rPr>
          <w:rFonts w:hint="eastAsia" w:ascii="黑体" w:hAnsi="黑体" w:eastAsia="黑体" w:cs="黑体"/>
          <w:color w:val="000000"/>
          <w:sz w:val="20"/>
          <w:szCs w:val="20"/>
        </w:rPr>
        <w:t>一</w:t>
      </w:r>
      <w:r>
        <w:rPr>
          <w:rFonts w:hint="eastAsia" w:ascii="黑体" w:hAnsi="黑体" w:eastAsia="黑体" w:cs="黑体"/>
          <w:sz w:val="20"/>
          <w:szCs w:val="20"/>
        </w:rPr>
        <w:t>般公共预算财政拨款“三公”经费支出决算表</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_Toc79163895 \h </w:instrText>
      </w:r>
      <w:r>
        <w:rPr>
          <w:rFonts w:hint="eastAsia" w:ascii="黑体" w:hAnsi="黑体" w:eastAsia="黑体" w:cs="黑体"/>
          <w:sz w:val="20"/>
          <w:szCs w:val="20"/>
        </w:rPr>
        <w:fldChar w:fldCharType="separate"/>
      </w:r>
      <w:r>
        <w:rPr>
          <w:rFonts w:hint="eastAsia" w:ascii="黑体" w:hAnsi="黑体" w:eastAsia="黑体" w:cs="黑体"/>
          <w:sz w:val="20"/>
          <w:szCs w:val="20"/>
        </w:rPr>
        <w:t>22</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sz w:val="20"/>
          <w:szCs w:val="20"/>
        </w:rPr>
        <w:t>十一、</w:t>
      </w:r>
      <w:r>
        <w:rPr>
          <w:rFonts w:hint="eastAsia" w:ascii="黑体" w:hAnsi="黑体" w:eastAsia="黑体" w:cs="黑体"/>
          <w:color w:val="000000"/>
          <w:sz w:val="20"/>
          <w:szCs w:val="20"/>
        </w:rPr>
        <w:t>政</w:t>
      </w:r>
      <w:r>
        <w:rPr>
          <w:rFonts w:hint="eastAsia" w:ascii="黑体" w:hAnsi="黑体" w:eastAsia="黑体" w:cs="黑体"/>
          <w:sz w:val="20"/>
          <w:szCs w:val="20"/>
        </w:rPr>
        <w:t>府性基金预算财政拨款收入支出决算表</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_Toc79163896 \h </w:instrText>
      </w:r>
      <w:r>
        <w:rPr>
          <w:rFonts w:hint="eastAsia" w:ascii="黑体" w:hAnsi="黑体" w:eastAsia="黑体" w:cs="黑体"/>
          <w:sz w:val="20"/>
          <w:szCs w:val="20"/>
        </w:rPr>
        <w:fldChar w:fldCharType="separate"/>
      </w:r>
      <w:r>
        <w:rPr>
          <w:rFonts w:hint="eastAsia" w:ascii="黑体" w:hAnsi="黑体" w:eastAsia="黑体" w:cs="黑体"/>
          <w:sz w:val="20"/>
          <w:szCs w:val="20"/>
        </w:rPr>
        <w:t>22</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sz w:val="20"/>
          <w:szCs w:val="20"/>
        </w:rPr>
        <w:t>十二、</w:t>
      </w:r>
      <w:r>
        <w:rPr>
          <w:rFonts w:hint="eastAsia" w:ascii="黑体" w:hAnsi="黑体" w:eastAsia="黑体" w:cs="黑体"/>
          <w:color w:val="000000"/>
          <w:sz w:val="20"/>
          <w:szCs w:val="20"/>
        </w:rPr>
        <w:t>政</w:t>
      </w:r>
      <w:r>
        <w:rPr>
          <w:rFonts w:hint="eastAsia" w:ascii="黑体" w:hAnsi="黑体" w:eastAsia="黑体" w:cs="黑体"/>
          <w:sz w:val="20"/>
          <w:szCs w:val="20"/>
        </w:rPr>
        <w:t>府性基金预算财政拨款“三公”经费支出决算表</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_Toc79163897 \h </w:instrText>
      </w:r>
      <w:r>
        <w:rPr>
          <w:rFonts w:hint="eastAsia" w:ascii="黑体" w:hAnsi="黑体" w:eastAsia="黑体" w:cs="黑体"/>
          <w:sz w:val="20"/>
          <w:szCs w:val="20"/>
        </w:rPr>
        <w:fldChar w:fldCharType="separate"/>
      </w:r>
      <w:r>
        <w:rPr>
          <w:rFonts w:hint="eastAsia" w:ascii="黑体" w:hAnsi="黑体" w:eastAsia="黑体" w:cs="黑体"/>
          <w:sz w:val="20"/>
          <w:szCs w:val="20"/>
        </w:rPr>
        <w:t>22</w:t>
      </w:r>
      <w:r>
        <w:rPr>
          <w:rFonts w:hint="eastAsia" w:ascii="黑体" w:hAnsi="黑体" w:eastAsia="黑体" w:cs="黑体"/>
          <w:sz w:val="20"/>
          <w:szCs w:val="20"/>
        </w:rPr>
        <w:fldChar w:fldCharType="end"/>
      </w:r>
    </w:p>
    <w:p>
      <w:pPr>
        <w:pStyle w:val="18"/>
        <w:tabs>
          <w:tab w:val="right" w:leader="dot" w:pos="8296"/>
        </w:tabs>
        <w:rPr>
          <w:rFonts w:hint="eastAsia" w:ascii="黑体" w:hAnsi="黑体" w:eastAsia="黑体" w:cs="黑体"/>
          <w:smallCaps w:val="0"/>
          <w:sz w:val="20"/>
          <w:szCs w:val="20"/>
        </w:rPr>
      </w:pPr>
      <w:r>
        <w:rPr>
          <w:rFonts w:hint="eastAsia" w:ascii="黑体" w:hAnsi="黑体" w:eastAsia="黑体" w:cs="黑体"/>
          <w:sz w:val="20"/>
          <w:szCs w:val="20"/>
        </w:rPr>
        <w:t>十三、</w:t>
      </w:r>
      <w:r>
        <w:rPr>
          <w:rFonts w:hint="eastAsia" w:ascii="黑体" w:hAnsi="黑体" w:eastAsia="黑体" w:cs="黑体"/>
          <w:color w:val="000000"/>
          <w:sz w:val="20"/>
          <w:szCs w:val="20"/>
        </w:rPr>
        <w:t>国</w:t>
      </w:r>
      <w:r>
        <w:rPr>
          <w:rFonts w:hint="eastAsia" w:ascii="黑体" w:hAnsi="黑体" w:eastAsia="黑体" w:cs="黑体"/>
          <w:sz w:val="20"/>
          <w:szCs w:val="20"/>
        </w:rPr>
        <w:t>有资本经营预算财政拨款支出决算表</w:t>
      </w:r>
      <w:r>
        <w:rPr>
          <w:rFonts w:hint="eastAsia" w:ascii="黑体" w:hAnsi="黑体" w:eastAsia="黑体" w:cs="黑体"/>
          <w:sz w:val="20"/>
          <w:szCs w:val="20"/>
        </w:rPr>
        <w:tab/>
      </w:r>
      <w:r>
        <w:rPr>
          <w:rFonts w:hint="eastAsia" w:ascii="黑体" w:hAnsi="黑体" w:eastAsia="黑体" w:cs="黑体"/>
          <w:sz w:val="20"/>
          <w:szCs w:val="20"/>
        </w:rPr>
        <w:fldChar w:fldCharType="begin"/>
      </w:r>
      <w:r>
        <w:rPr>
          <w:rFonts w:hint="eastAsia" w:ascii="黑体" w:hAnsi="黑体" w:eastAsia="黑体" w:cs="黑体"/>
          <w:sz w:val="20"/>
          <w:szCs w:val="20"/>
        </w:rPr>
        <w:instrText xml:space="preserve"> PAGEREF _Toc79163898 \h </w:instrText>
      </w:r>
      <w:r>
        <w:rPr>
          <w:rFonts w:hint="eastAsia" w:ascii="黑体" w:hAnsi="黑体" w:eastAsia="黑体" w:cs="黑体"/>
          <w:sz w:val="20"/>
          <w:szCs w:val="20"/>
        </w:rPr>
        <w:fldChar w:fldCharType="separate"/>
      </w:r>
      <w:r>
        <w:rPr>
          <w:rFonts w:hint="eastAsia" w:ascii="黑体" w:hAnsi="黑体" w:eastAsia="黑体" w:cs="黑体"/>
          <w:sz w:val="20"/>
          <w:szCs w:val="20"/>
        </w:rPr>
        <w:t>22</w:t>
      </w:r>
      <w:r>
        <w:rPr>
          <w:rFonts w:hint="eastAsia" w:ascii="黑体" w:hAnsi="黑体" w:eastAsia="黑体" w:cs="黑体"/>
          <w:sz w:val="20"/>
          <w:szCs w:val="20"/>
        </w:rPr>
        <w:fldChar w:fldCharType="end"/>
      </w:r>
    </w:p>
    <w:p>
      <w:pPr>
        <w:pStyle w:val="18"/>
        <w:tabs>
          <w:tab w:val="right" w:leader="dot" w:pos="8296"/>
        </w:tabs>
        <w:rPr>
          <w:rFonts w:hAnsiTheme="minorHAnsi" w:eastAsiaTheme="minorEastAsia" w:cstheme="minorBidi"/>
          <w:smallCaps w:val="0"/>
          <w:sz w:val="21"/>
          <w:szCs w:val="22"/>
        </w:rPr>
      </w:pPr>
      <w:r>
        <w:rPr>
          <w:rFonts w:hint="eastAsia" w:ascii="黑体" w:hAnsi="黑体" w:eastAsia="黑体" w:cs="黑体"/>
          <w:sz w:val="20"/>
          <w:szCs w:val="20"/>
        </w:rPr>
        <w:t>十四、国有资本经营预算财政拨款支出决算表</w:t>
      </w:r>
      <w:r>
        <w:tab/>
      </w:r>
      <w:r>
        <w:fldChar w:fldCharType="begin"/>
      </w:r>
      <w:r>
        <w:instrText xml:space="preserve"> PAGEREF _Toc79163899 \h </w:instrText>
      </w:r>
      <w:r>
        <w:fldChar w:fldCharType="separate"/>
      </w:r>
      <w:r>
        <w:t>22</w:t>
      </w:r>
      <w:r>
        <w:fldChar w:fldCharType="end"/>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4"/>
        <w:jc w:val="center"/>
        <w:rPr>
          <w:rFonts w:ascii="黑体" w:eastAsia="黑体"/>
          <w:color w:val="000000"/>
          <w:sz w:val="32"/>
          <w:szCs w:val="32"/>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bookmarkEnd w:id="13"/>
      <w:bookmarkEnd w:id="14"/>
      <w:bookmarkEnd w:id="15"/>
    </w:p>
    <w:p>
      <w:pPr>
        <w:pStyle w:val="5"/>
        <w:rPr>
          <w:rStyle w:val="26"/>
          <w:rFonts w:ascii="仿宋" w:hAnsi="仿宋" w:eastAsia="仿宋"/>
          <w:b w:val="0"/>
          <w:bCs w:val="0"/>
        </w:rPr>
      </w:pPr>
      <w:bookmarkStart w:id="16" w:name="_Toc15377197"/>
      <w:bookmarkStart w:id="17" w:name="_Toc79163852"/>
      <w:bookmarkStart w:id="18" w:name="_Toc79163602"/>
      <w:bookmarkStart w:id="19"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6"/>
      <w:bookmarkEnd w:id="17"/>
      <w:bookmarkEnd w:id="18"/>
      <w:bookmarkEnd w:id="19"/>
    </w:p>
    <w:p>
      <w:pPr>
        <w:pStyle w:val="8"/>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853"/>
      <w:bookmarkStart w:id="21" w:name="_Toc7916360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caps w:val="0"/>
          <w:color w:val="333333"/>
          <w:spacing w:val="0"/>
          <w:sz w:val="32"/>
          <w:szCs w:val="32"/>
        </w:rPr>
      </w:pPr>
      <w:bookmarkStart w:id="24" w:name="_Toc15378446"/>
      <w:bookmarkStart w:id="25" w:name="_Toc79163604"/>
      <w:bookmarkStart w:id="26" w:name="_Toc79163854"/>
      <w:bookmarkStart w:id="27" w:name="_Toc15377199"/>
      <w:r>
        <w:rPr>
          <w:rFonts w:hint="eastAsia" w:ascii="仿宋" w:hAnsi="仿宋" w:eastAsia="仿宋" w:cs="仿宋"/>
          <w:i w:val="0"/>
          <w:caps w:val="0"/>
          <w:color w:val="333333"/>
          <w:spacing w:val="0"/>
          <w:sz w:val="32"/>
          <w:szCs w:val="32"/>
          <w:shd w:val="clear" w:fill="FFFFFF"/>
          <w:lang w:eastAsia="zh-CN"/>
        </w:rPr>
        <w:t>九寨沟</w:t>
      </w:r>
      <w:r>
        <w:rPr>
          <w:rFonts w:hint="eastAsia" w:ascii="仿宋" w:hAnsi="仿宋" w:eastAsia="仿宋" w:cs="仿宋"/>
          <w:i w:val="0"/>
          <w:caps w:val="0"/>
          <w:color w:val="333333"/>
          <w:spacing w:val="0"/>
          <w:sz w:val="32"/>
          <w:szCs w:val="32"/>
          <w:shd w:val="clear" w:fill="FFFFFF"/>
        </w:rPr>
        <w:t>县人大常委会是</w:t>
      </w:r>
      <w:r>
        <w:rPr>
          <w:rFonts w:hint="eastAsia" w:ascii="仿宋" w:hAnsi="仿宋" w:eastAsia="仿宋" w:cs="仿宋"/>
          <w:i w:val="0"/>
          <w:caps w:val="0"/>
          <w:color w:val="333333"/>
          <w:spacing w:val="0"/>
          <w:sz w:val="32"/>
          <w:szCs w:val="32"/>
          <w:shd w:val="clear" w:fill="FFFFFF"/>
          <w:lang w:eastAsia="zh-CN"/>
        </w:rPr>
        <w:t>九寨沟县</w:t>
      </w:r>
      <w:r>
        <w:rPr>
          <w:rFonts w:hint="eastAsia" w:ascii="仿宋" w:hAnsi="仿宋" w:eastAsia="仿宋" w:cs="仿宋"/>
          <w:i w:val="0"/>
          <w:caps w:val="0"/>
          <w:color w:val="333333"/>
          <w:spacing w:val="0"/>
          <w:sz w:val="32"/>
          <w:szCs w:val="32"/>
          <w:shd w:val="clear" w:fill="FFFFFF"/>
        </w:rPr>
        <w:t>人民代表大会的常设机关，即是地方国家权力机关的常设机关，由县人民代表大会选举产生。依照《宪法》和《地方组织法》的规定，具有决定权、监督权和任免权。</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shd w:val="clear" w:fill="FFFFFF"/>
        </w:rPr>
        <w:t>1.在本行政区域内，保证宪法、法律、行政法规和上级人民代表大会及其常委会决议的遵守和执行。</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shd w:val="clear" w:fill="FFFFFF"/>
        </w:rPr>
        <w:t>2.领导、主持本级人民代表大会代表的选举。</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shd w:val="clear" w:fill="FFFFFF"/>
        </w:rPr>
        <w:t>3.召集本级人民代表大会会议。</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shd w:val="clear" w:fill="FFFFFF"/>
        </w:rPr>
        <w:t>4.讨论、决定本县内的政治、经济、教育、科学、文化、卫生、环境和资源保护、民政、民族等工作的重大事项。</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shd w:val="clear" w:fill="FFFFFF"/>
        </w:rPr>
        <w:t>5.对本级经济和社会生活中的重大问题及人民群众普遍关心的“热点、难点”问题组织调查研究、视察和检查。</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shd w:val="clear" w:fill="FFFFFF"/>
        </w:rPr>
        <w:t>6.根据县人民政府的建议，决定对本县内的国民经济和社会发展计划、预算的部分变更。</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shd w:val="clear" w:fill="FFFFFF"/>
        </w:rPr>
        <w:t>7.监督“一府一委两院”的工作，联系本级人民代表大会代表，受理人民群众对“一府一委两院”和国家工作人员的申诉和意见。</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shd w:val="clear" w:fill="FFFFFF"/>
        </w:rPr>
        <w:t>8.撤销下一级人民代表大会及人大主席团的不适当的决议；撤销本级人民政府的不适当的决议和命令。</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shd w:val="clear" w:fill="FFFFFF"/>
        </w:rPr>
        <w:t>9.在本级人民代表大会闭会期间，决定副县长的个别任免；在县长和人民法院院长、人民检察院检察长因故不能担任职务的时候，从县人民政府、人民法院、人民检察院副职领导人员中决定代理的人选。决定代理检察长，须报州人民检察院和州人大常委会备案。</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shd w:val="clear" w:fill="FFFFFF"/>
        </w:rPr>
        <w:t>10.根据县长的提名，决定县人民政府办公室主任、局长的任免；根据县监察委员会主任的提名，任免县监察委员会副主任、委员；按照人民法院组织法和人民检察院组织法的规定，任免人民法院副院长、庭长、副庭长、审判委员会委员、审判员，任免人民检察院副检察长、检察委员会委员、检察员。</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shd w:val="clear" w:fill="FFFFFF"/>
        </w:rPr>
        <w:t>11.在本级人民代表大会闭会期间，决定是否接受县人民代表大会常务委员会组成人员和县人民政府领导人员、人民法院院长、人民检察院检察长提出的辞职，常务委员会决定接受辞职后，报县人民代表大会备案，其中接受县人民检察院检察长辞职，应报</w:t>
      </w:r>
      <w:r>
        <w:rPr>
          <w:rFonts w:hint="eastAsia" w:ascii="仿宋" w:hAnsi="仿宋" w:eastAsia="仿宋" w:cs="仿宋"/>
          <w:i w:val="0"/>
          <w:caps w:val="0"/>
          <w:color w:val="333333"/>
          <w:spacing w:val="0"/>
          <w:sz w:val="32"/>
          <w:szCs w:val="32"/>
          <w:shd w:val="clear" w:fill="FFFFFF"/>
          <w:lang w:eastAsia="zh-CN"/>
        </w:rPr>
        <w:t>州</w:t>
      </w:r>
      <w:r>
        <w:rPr>
          <w:rFonts w:hint="eastAsia" w:ascii="仿宋" w:hAnsi="仿宋" w:eastAsia="仿宋" w:cs="仿宋"/>
          <w:i w:val="0"/>
          <w:caps w:val="0"/>
          <w:color w:val="333333"/>
          <w:spacing w:val="0"/>
          <w:sz w:val="32"/>
          <w:szCs w:val="32"/>
          <w:shd w:val="clear" w:fill="FFFFFF"/>
        </w:rPr>
        <w:t>人民检察院检察长提请</w:t>
      </w:r>
      <w:r>
        <w:rPr>
          <w:rFonts w:hint="eastAsia" w:ascii="仿宋" w:hAnsi="仿宋" w:eastAsia="仿宋" w:cs="仿宋"/>
          <w:i w:val="0"/>
          <w:caps w:val="0"/>
          <w:color w:val="333333"/>
          <w:spacing w:val="0"/>
          <w:sz w:val="32"/>
          <w:szCs w:val="32"/>
          <w:shd w:val="clear" w:fill="FFFFFF"/>
          <w:lang w:eastAsia="zh-CN"/>
        </w:rPr>
        <w:t>州</w:t>
      </w:r>
      <w:r>
        <w:rPr>
          <w:rFonts w:hint="eastAsia" w:ascii="仿宋" w:hAnsi="仿宋" w:eastAsia="仿宋" w:cs="仿宋"/>
          <w:i w:val="0"/>
          <w:caps w:val="0"/>
          <w:color w:val="333333"/>
          <w:spacing w:val="0"/>
          <w:sz w:val="32"/>
          <w:szCs w:val="32"/>
          <w:shd w:val="clear" w:fill="FFFFFF"/>
        </w:rPr>
        <w:t>人民代表大会常务委员会批准。</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shd w:val="clear" w:fill="FFFFFF"/>
        </w:rPr>
        <w:t>12.在本级人民代表大会闭会期间，补选上一级人民代表大会出缺的代表和罢免个别代表。</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shd w:val="clear" w:fill="FFFFFF"/>
        </w:rPr>
        <w:t>13.联系在</w:t>
      </w:r>
      <w:r>
        <w:rPr>
          <w:rFonts w:hint="eastAsia" w:ascii="仿宋" w:hAnsi="仿宋" w:eastAsia="仿宋" w:cs="仿宋"/>
          <w:i w:val="0"/>
          <w:caps w:val="0"/>
          <w:color w:val="333333"/>
          <w:spacing w:val="0"/>
          <w:sz w:val="32"/>
          <w:szCs w:val="32"/>
          <w:shd w:val="clear" w:fill="FFFFFF"/>
          <w:lang w:eastAsia="zh-CN"/>
        </w:rPr>
        <w:t>九寨沟县</w:t>
      </w:r>
      <w:r>
        <w:rPr>
          <w:rFonts w:hint="eastAsia" w:ascii="仿宋" w:hAnsi="仿宋" w:eastAsia="仿宋" w:cs="仿宋"/>
          <w:i w:val="0"/>
          <w:caps w:val="0"/>
          <w:color w:val="333333"/>
          <w:spacing w:val="0"/>
          <w:sz w:val="32"/>
          <w:szCs w:val="32"/>
          <w:shd w:val="clear" w:fill="FFFFFF"/>
        </w:rPr>
        <w:t>工作的各级人大代表，协助开展视察、调研活动。</w:t>
      </w:r>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shd w:val="clear" w:fill="FFFFFF"/>
        </w:rPr>
        <w:t>14.受理人民群众的来信来访。</w:t>
      </w:r>
    </w:p>
    <w:p>
      <w:pPr>
        <w:pStyle w:val="8"/>
        <w:adjustRightInd w:val="0"/>
        <w:snapToGrid w:val="0"/>
        <w:spacing w:before="93" w:line="600" w:lineRule="exact"/>
        <w:ind w:firstLine="672" w:firstLineChars="210"/>
        <w:outlineLvl w:val="2"/>
        <w:rPr>
          <w:rFonts w:hint="eastAsia" w:ascii="仿宋" w:hAnsi="仿宋" w:eastAsia="仿宋" w:cs="仿宋"/>
          <w:i w:val="0"/>
          <w:caps w:val="0"/>
          <w:color w:val="333333"/>
          <w:spacing w:val="0"/>
          <w:sz w:val="32"/>
          <w:szCs w:val="32"/>
          <w:shd w:val="clear" w:fill="FFFFFF"/>
        </w:rPr>
      </w:pPr>
      <w:r>
        <w:rPr>
          <w:rFonts w:hint="eastAsia" w:ascii="仿宋" w:hAnsi="仿宋" w:eastAsia="仿宋" w:cs="仿宋"/>
          <w:i w:val="0"/>
          <w:caps w:val="0"/>
          <w:color w:val="333333"/>
          <w:spacing w:val="0"/>
          <w:sz w:val="32"/>
          <w:szCs w:val="32"/>
          <w:shd w:val="clear" w:fill="FFFFFF"/>
        </w:rPr>
        <w:t>15.决定授予地方的荣誉称号。</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hint="eastAsia" w:ascii="仿宋" w:hAnsi="仿宋" w:eastAsia="仿宋"/>
          <w:bCs/>
          <w:color w:val="000000"/>
          <w:sz w:val="32"/>
          <w:szCs w:val="32"/>
          <w:lang w:eastAsia="zh-CN"/>
        </w:rPr>
        <w:t>2021</w:t>
      </w:r>
      <w:r>
        <w:rPr>
          <w:rFonts w:hint="eastAsia" w:ascii="仿宋" w:hAnsi="仿宋" w:eastAsia="仿宋"/>
          <w:bCs/>
          <w:color w:val="000000"/>
          <w:sz w:val="32"/>
          <w:szCs w:val="32"/>
        </w:rPr>
        <w:t>年重点工作完成情况。</w:t>
      </w:r>
      <w:bookmarkEnd w:id="24"/>
      <w:bookmarkEnd w:id="25"/>
      <w:bookmarkEnd w:id="26"/>
      <w:bookmarkEnd w:id="27"/>
    </w:p>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bCs/>
          <w:color w:val="000000"/>
          <w:sz w:val="32"/>
          <w:szCs w:val="32"/>
        </w:rPr>
      </w:pPr>
      <w:r>
        <w:rPr>
          <w:rFonts w:hint="eastAsia" w:ascii="仿宋" w:hAnsi="仿宋" w:eastAsia="仿宋" w:cs="仿宋"/>
          <w:sz w:val="32"/>
          <w:szCs w:val="32"/>
          <w:lang w:val="en-US" w:eastAsia="zh-CN"/>
        </w:rPr>
        <w:t>2021年如期召开常委会会议，听取和审议“一府一委两院”工作报告，专项听取工作报告并作出相关决议决定，任免国家机关工作人员，任命县人民法院人民陪审员，配合省州人大开展执法检查，顺利完成了年初确定的各项工作任务，为坚持和完善人民代表大会制度，推进九寨沟县“三地一典范”建设作出了积极贡献。</w:t>
      </w:r>
    </w:p>
    <w:p>
      <w:pPr>
        <w:pStyle w:val="5"/>
        <w:rPr>
          <w:rStyle w:val="26"/>
          <w:b w:val="0"/>
          <w:bCs w:val="0"/>
        </w:rPr>
      </w:pPr>
      <w:bookmarkStart w:id="28" w:name="_Toc79163855"/>
      <w:bookmarkStart w:id="29" w:name="_Toc79163605"/>
      <w:bookmarkStart w:id="30" w:name="_Toc15377200"/>
      <w:bookmarkStart w:id="3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8"/>
      <w:bookmarkEnd w:id="29"/>
      <w:bookmarkEnd w:id="30"/>
      <w:bookmarkEnd w:id="31"/>
    </w:p>
    <w:p>
      <w:pPr>
        <w:ind w:firstLine="640" w:firstLineChars="200"/>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lang w:eastAsia="zh-CN"/>
        </w:rPr>
        <w:t>县人大常委会办公室</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w:t>
      </w:r>
      <w:r>
        <w:rPr>
          <w:rFonts w:hint="eastAsia" w:ascii="仿宋" w:hAnsi="仿宋" w:eastAsia="仿宋"/>
          <w:sz w:val="32"/>
          <w:szCs w:val="32"/>
          <w:lang w:eastAsia="zh-CN"/>
        </w:rPr>
        <w:t>。</w:t>
      </w:r>
    </w:p>
    <w:p>
      <w:pPr>
        <w:pStyle w:val="8"/>
        <w:adjustRightInd w:val="0"/>
        <w:snapToGrid w:val="0"/>
        <w:spacing w:before="93"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纳入</w:t>
      </w:r>
      <w:r>
        <w:rPr>
          <w:rFonts w:hint="eastAsia" w:ascii="仿宋" w:hAnsi="仿宋" w:eastAsia="仿宋"/>
          <w:sz w:val="32"/>
          <w:szCs w:val="32"/>
          <w:lang w:eastAsia="zh-CN"/>
        </w:rPr>
        <w:t>县人大常委会办公室</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年度部门决算编制范围的二级预算单位</w:t>
      </w:r>
      <w:r>
        <w:rPr>
          <w:rFonts w:hint="eastAsia" w:ascii="仿宋" w:hAnsi="仿宋" w:eastAsia="仿宋"/>
          <w:color w:val="000000"/>
          <w:sz w:val="32"/>
          <w:szCs w:val="32"/>
          <w:lang w:eastAsia="zh-CN"/>
        </w:rPr>
        <w:t>无。</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4"/>
        <w:ind w:right="440"/>
        <w:jc w:val="right"/>
      </w:pPr>
      <w:bookmarkStart w:id="32" w:name="_Toc15396602"/>
      <w:bookmarkStart w:id="33" w:name="_Toc79163609"/>
      <w:bookmarkStart w:id="34" w:name="_Toc15377204"/>
      <w:bookmarkStart w:id="35" w:name="_Toc79163859"/>
      <w:r>
        <w:rPr>
          <w:rFonts w:hint="eastAsia" w:ascii="黑体" w:hAnsi="黑体" w:eastAsia="黑体"/>
          <w:b w:val="0"/>
          <w:color w:val="000000"/>
        </w:rPr>
        <w:t>第二部分</w:t>
      </w:r>
      <w:r>
        <w:rPr>
          <w:rFonts w:ascii="黑体" w:hAnsi="黑体" w:eastAsia="黑体"/>
          <w:color w:val="000000"/>
        </w:rPr>
        <w:t xml:space="preserve"> </w:t>
      </w:r>
      <w:r>
        <w:rPr>
          <w:rStyle w:val="25"/>
          <w:rFonts w:hint="eastAsia" w:ascii="黑体" w:hAnsi="黑体" w:eastAsia="黑体"/>
          <w:b w:val="0"/>
          <w:bCs w:val="0"/>
          <w:lang w:eastAsia="zh-CN"/>
        </w:rPr>
        <w:t>2021</w:t>
      </w:r>
      <w:r>
        <w:rPr>
          <w:rStyle w:val="25"/>
          <w:rFonts w:hint="eastAsia" w:ascii="黑体" w:hAnsi="黑体" w:eastAsia="黑体"/>
          <w:b w:val="0"/>
          <w:bCs w:val="0"/>
        </w:rPr>
        <w:t>年度部门决算情况说明</w:t>
      </w:r>
      <w:bookmarkEnd w:id="32"/>
      <w:bookmarkEnd w:id="33"/>
      <w:bookmarkEnd w:id="34"/>
      <w:bookmarkEnd w:id="35"/>
    </w:p>
    <w:p>
      <w:pPr>
        <w:pStyle w:val="36"/>
        <w:numPr>
          <w:ilvl w:val="0"/>
          <w:numId w:val="0"/>
        </w:numPr>
        <w:spacing w:line="600" w:lineRule="exact"/>
        <w:ind w:left="640" w:leftChars="0"/>
        <w:outlineLvl w:val="1"/>
        <w:rPr>
          <w:rStyle w:val="26"/>
          <w:rFonts w:ascii="黑体" w:hAnsi="黑体" w:eastAsia="黑体"/>
          <w:b w:val="0"/>
        </w:rPr>
      </w:pPr>
      <w:bookmarkStart w:id="36" w:name="_Toc15377205"/>
      <w:bookmarkStart w:id="37" w:name="_Toc79163610"/>
      <w:bookmarkStart w:id="38" w:name="_Toc79163860"/>
      <w:bookmarkStart w:id="39" w:name="_Toc15396603"/>
      <w:r>
        <w:rPr>
          <w:rFonts w:hint="eastAsia" w:ascii="黑体" w:hAnsi="黑体" w:eastAsia="黑体"/>
          <w:color w:val="000000"/>
          <w:sz w:val="32"/>
          <w:szCs w:val="32"/>
          <w:lang w:eastAsia="zh-CN"/>
        </w:rPr>
        <w:t>一、</w:t>
      </w:r>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年度收总计</w:t>
      </w:r>
      <w:r>
        <w:rPr>
          <w:rFonts w:hint="eastAsia" w:ascii="仿宋" w:hAnsi="仿宋" w:eastAsia="仿宋"/>
          <w:color w:val="000000"/>
          <w:sz w:val="32"/>
          <w:szCs w:val="32"/>
          <w:lang w:val="en-US" w:eastAsia="zh-CN"/>
        </w:rPr>
        <w:t>830.07</w:t>
      </w:r>
      <w:r>
        <w:rPr>
          <w:rFonts w:hint="eastAsia" w:ascii="仿宋" w:hAnsi="仿宋" w:eastAsia="仿宋"/>
          <w:color w:val="000000"/>
          <w:sz w:val="32"/>
          <w:szCs w:val="32"/>
        </w:rPr>
        <w:t>、支总计</w:t>
      </w:r>
      <w:r>
        <w:rPr>
          <w:rFonts w:hint="eastAsia" w:ascii="仿宋" w:hAnsi="仿宋" w:eastAsia="仿宋"/>
          <w:color w:val="000000"/>
          <w:sz w:val="32"/>
          <w:szCs w:val="32"/>
          <w:lang w:val="en-US" w:eastAsia="zh-CN"/>
        </w:rPr>
        <w:t>830.07</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146.07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各</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21.36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单位人员增加，代表培训费增加、职工奖励金增加。</w:t>
      </w:r>
    </w:p>
    <w:p>
      <w:pPr>
        <w:pStyle w:val="2"/>
        <w:ind w:left="0" w:leftChars="0" w:firstLine="0" w:firstLineChars="0"/>
        <w:rPr>
          <w:rFonts w:hint="eastAsia"/>
          <w:lang w:eastAsia="zh-CN"/>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612765" cy="2743200"/>
            <wp:effectExtent l="4445" t="4445" r="6350" b="107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1600" w:firstLineChars="500"/>
        <w:rPr>
          <w:rFonts w:ascii="仿宋_GB2312" w:eastAsia="仿宋_GB2312"/>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Style w:val="36"/>
        <w:numPr>
          <w:ilvl w:val="0"/>
          <w:numId w:val="0"/>
        </w:numPr>
        <w:spacing w:line="600" w:lineRule="exact"/>
        <w:ind w:left="640" w:leftChars="0"/>
        <w:outlineLvl w:val="1"/>
        <w:rPr>
          <w:rStyle w:val="26"/>
          <w:rFonts w:ascii="黑体" w:hAnsi="黑体" w:eastAsia="黑体"/>
          <w:b w:val="0"/>
        </w:rPr>
      </w:pPr>
      <w:bookmarkStart w:id="40" w:name="_Toc79163611"/>
      <w:bookmarkStart w:id="41" w:name="_Toc15377206"/>
      <w:bookmarkStart w:id="42" w:name="_Toc79163861"/>
      <w:bookmarkStart w:id="43" w:name="_Toc15396604"/>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6"/>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830.07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763.5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91.99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年初结转结余</w:t>
      </w:r>
      <w:r>
        <w:rPr>
          <w:rFonts w:hint="eastAsia" w:ascii="仿宋" w:hAnsi="仿宋" w:eastAsia="仿宋"/>
          <w:color w:val="000000"/>
          <w:sz w:val="32"/>
          <w:szCs w:val="32"/>
          <w:lang w:val="en-US" w:eastAsia="zh-CN"/>
        </w:rPr>
        <w:t>66.57万元，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8.01</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2"/>
        <w:ind w:left="0" w:leftChars="0" w:firstLine="0" w:firstLineChars="0"/>
        <w:rPr>
          <w:rFonts w:hint="eastAsia"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5110480" cy="2273300"/>
            <wp:effectExtent l="4445" t="4445" r="5715" b="825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1920" w:firstLineChars="6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36"/>
        <w:numPr>
          <w:ilvl w:val="0"/>
          <w:numId w:val="0"/>
        </w:numPr>
        <w:spacing w:line="600" w:lineRule="exact"/>
        <w:ind w:left="640" w:leftChars="0"/>
        <w:outlineLvl w:val="1"/>
        <w:rPr>
          <w:rStyle w:val="26"/>
          <w:rFonts w:ascii="黑体" w:hAnsi="黑体" w:eastAsia="黑体"/>
          <w:b w:val="0"/>
        </w:rPr>
      </w:pPr>
      <w:bookmarkStart w:id="44" w:name="_Toc15377207"/>
      <w:bookmarkStart w:id="45" w:name="_Toc15396605"/>
      <w:bookmarkStart w:id="46" w:name="_Toc79163862"/>
      <w:bookmarkStart w:id="47" w:name="_Toc79163612"/>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830.07</w:t>
      </w:r>
      <w:r>
        <w:rPr>
          <w:rFonts w:hint="eastAsia" w:ascii="仿宋_GB2312" w:eastAsia="仿宋_GB2312"/>
          <w:sz w:val="32"/>
          <w:szCs w:val="32"/>
        </w:rPr>
        <w:t>万元，其中：基本支出</w:t>
      </w:r>
      <w:r>
        <w:rPr>
          <w:rFonts w:hint="eastAsia" w:ascii="仿宋_GB2312" w:eastAsia="仿宋_GB2312"/>
          <w:sz w:val="32"/>
          <w:szCs w:val="32"/>
          <w:lang w:val="en-US" w:eastAsia="zh-CN"/>
        </w:rPr>
        <w:t>664.84</w:t>
      </w:r>
      <w:r>
        <w:rPr>
          <w:rFonts w:hint="eastAsia" w:ascii="仿宋_GB2312" w:eastAsia="仿宋_GB2312"/>
          <w:sz w:val="32"/>
          <w:szCs w:val="32"/>
        </w:rPr>
        <w:t>万元，占</w:t>
      </w:r>
      <w:r>
        <w:rPr>
          <w:rFonts w:hint="eastAsia" w:ascii="仿宋_GB2312" w:eastAsia="仿宋_GB2312"/>
          <w:sz w:val="32"/>
          <w:szCs w:val="32"/>
          <w:lang w:val="en-US" w:eastAsia="zh-CN"/>
        </w:rPr>
        <w:t>80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165.23</w:t>
      </w:r>
      <w:r>
        <w:rPr>
          <w:rFonts w:hint="eastAsia" w:ascii="仿宋_GB2312" w:eastAsia="仿宋_GB2312"/>
          <w:sz w:val="32"/>
          <w:szCs w:val="32"/>
        </w:rPr>
        <w:t>万元，占</w:t>
      </w:r>
      <w:r>
        <w:rPr>
          <w:rFonts w:hint="eastAsia" w:ascii="仿宋_GB2312" w:eastAsia="仿宋_GB2312"/>
          <w:sz w:val="32"/>
          <w:szCs w:val="32"/>
          <w:lang w:val="en-US" w:eastAsia="zh-CN"/>
        </w:rPr>
        <w:t>20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pStyle w:val="2"/>
        <w:rPr>
          <w:rFonts w:hint="eastAsia"/>
        </w:rPr>
      </w:pPr>
    </w:p>
    <w:p>
      <w:pPr>
        <w:pStyle w:val="2"/>
        <w:ind w:left="0" w:leftChars="0" w:firstLine="0" w:firstLineChars="0"/>
        <w:rPr>
          <w:rFonts w:hint="eastAsia"/>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4965700" cy="3107690"/>
            <wp:effectExtent l="12700" t="12700" r="20320" b="1905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2560" w:firstLineChars="8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outlineLvl w:val="1"/>
        <w:rPr>
          <w:rStyle w:val="26"/>
          <w:rFonts w:ascii="黑体" w:hAnsi="黑体" w:eastAsia="黑体"/>
          <w:b w:val="0"/>
        </w:rPr>
      </w:pPr>
      <w:bookmarkStart w:id="48" w:name="_Toc79163613"/>
      <w:bookmarkStart w:id="49" w:name="_Toc15396606"/>
      <w:bookmarkStart w:id="50" w:name="_Toc79163863"/>
      <w:bookmarkStart w:id="51"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830.07万元</w:t>
      </w:r>
      <w:r>
        <w:rPr>
          <w:rFonts w:hint="eastAsia" w:ascii="仿宋" w:hAnsi="仿宋" w:eastAsia="仿宋"/>
          <w:color w:val="000000"/>
          <w:sz w:val="32"/>
          <w:szCs w:val="32"/>
        </w:rPr>
        <w:t>、支总计</w:t>
      </w:r>
      <w:r>
        <w:rPr>
          <w:rFonts w:hint="eastAsia" w:ascii="仿宋" w:hAnsi="仿宋" w:eastAsia="仿宋"/>
          <w:color w:val="000000"/>
          <w:sz w:val="32"/>
          <w:szCs w:val="32"/>
          <w:lang w:val="en-US" w:eastAsia="zh-CN"/>
        </w:rPr>
        <w:t>830.07</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146.07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各</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21.36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单位人员增加，代表培训费增加、职工奖励金增加。</w:t>
      </w:r>
    </w:p>
    <w:p>
      <w:pPr>
        <w:pStyle w:val="2"/>
        <w:rPr>
          <w:rFonts w:hint="eastAsia"/>
        </w:rPr>
      </w:pPr>
    </w:p>
    <w:p>
      <w:pPr>
        <w:pStyle w:val="2"/>
        <w:ind w:left="0" w:leftChars="0" w:firstLine="0" w:firstLineChars="0"/>
        <w:rPr>
          <w:rFonts w:hint="eastAsia" w:ascii="仿宋" w:hAnsi="仿宋" w:eastAsia="仿宋"/>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612765" cy="2743200"/>
            <wp:effectExtent l="4445" t="4445" r="6350" b="1079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6"/>
          <w:rFonts w:ascii="黑体" w:hAnsi="黑体" w:eastAsia="黑体"/>
          <w:b w:val="0"/>
        </w:rPr>
      </w:pPr>
      <w:bookmarkStart w:id="52" w:name="_Toc79163864"/>
      <w:bookmarkStart w:id="53" w:name="_Toc79163614"/>
      <w:bookmarkStart w:id="54" w:name="_Toc15377209"/>
      <w:bookmarkStart w:id="5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79163865"/>
      <w:bookmarkStart w:id="57" w:name="_Toc7916361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763.5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92</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2020</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79.5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11.61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单位人员增加，代表培训费增加、职工奖励金增加。</w:t>
      </w:r>
    </w:p>
    <w:p>
      <w:pPr>
        <w:pStyle w:val="2"/>
        <w:rPr>
          <w:rFonts w:hint="eastAsia" w:ascii="仿宋" w:hAnsi="仿宋" w:eastAsia="仿宋"/>
          <w:color w:val="000000"/>
          <w:sz w:val="32"/>
          <w:szCs w:val="32"/>
        </w:rPr>
      </w:pPr>
    </w:p>
    <w:p>
      <w:pPr>
        <w:pStyle w:val="2"/>
        <w:ind w:left="0" w:leftChars="0" w:firstLine="0" w:firstLineChars="0"/>
        <w:rPr>
          <w:rFonts w:hint="eastAsia" w:ascii="仿宋" w:hAnsi="仿宋" w:eastAsia="仿宋"/>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72380" cy="2239010"/>
            <wp:effectExtent l="4445" t="4445" r="13335" b="1206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642" w:firstLineChars="200"/>
        <w:outlineLvl w:val="2"/>
        <w:rPr>
          <w:rFonts w:ascii="仿宋" w:hAnsi="仿宋" w:eastAsia="仿宋"/>
          <w:b/>
          <w:color w:val="000000"/>
          <w:sz w:val="32"/>
          <w:szCs w:val="32"/>
        </w:rPr>
      </w:pPr>
      <w:bookmarkStart w:id="59" w:name="_Toc79163866"/>
      <w:bookmarkStart w:id="60" w:name="_Toc15377211"/>
      <w:bookmarkStart w:id="61" w:name="_Toc7916361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763.5</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b/>
          <w:color w:val="000000"/>
          <w:sz w:val="32"/>
          <w:szCs w:val="32"/>
          <w:lang w:val="en-US" w:eastAsia="zh-CN"/>
        </w:rPr>
        <w:t>201</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632.65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82.86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教育支出（类）</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文化旅游体育与传媒（类）支出</w:t>
      </w:r>
      <w:r>
        <w:rPr>
          <w:rFonts w:hint="eastAsia" w:ascii="仿宋" w:hAnsi="仿宋" w:eastAsia="仿宋"/>
          <w:b/>
          <w:bCs/>
          <w:color w:val="000000"/>
          <w:sz w:val="32"/>
          <w:szCs w:val="32"/>
          <w:lang w:val="en-US" w:eastAsia="zh-CN"/>
        </w:rPr>
        <w:t>0</w:t>
      </w:r>
      <w:r>
        <w:rPr>
          <w:rFonts w:hint="eastAsia" w:ascii="仿宋" w:hAnsi="仿宋" w:eastAsia="仿宋"/>
          <w:b/>
          <w:bCs/>
          <w:color w:val="000000"/>
          <w:sz w:val="32"/>
          <w:szCs w:val="32"/>
        </w:rPr>
        <w:t>万元，占</w:t>
      </w:r>
      <w:r>
        <w:rPr>
          <w:rFonts w:hint="eastAsia" w:ascii="仿宋" w:hAnsi="仿宋" w:eastAsia="仿宋"/>
          <w:b/>
          <w:bCs/>
          <w:color w:val="000000"/>
          <w:sz w:val="32"/>
          <w:szCs w:val="32"/>
          <w:lang w:val="en-US" w:eastAsia="zh-CN"/>
        </w:rPr>
        <w:t>0</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color w:val="000000"/>
          <w:sz w:val="32"/>
          <w:szCs w:val="32"/>
          <w:lang w:val="en-US" w:eastAsia="zh-CN"/>
        </w:rPr>
        <w:t>208</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56.92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7.46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w:t>
      </w:r>
      <w:r>
        <w:rPr>
          <w:rFonts w:hint="eastAsia" w:ascii="仿宋" w:hAnsi="仿宋" w:eastAsia="仿宋"/>
          <w:b/>
          <w:color w:val="000000"/>
          <w:sz w:val="32"/>
          <w:szCs w:val="32"/>
        </w:rPr>
        <w:t>（</w:t>
      </w:r>
      <w:r>
        <w:rPr>
          <w:rFonts w:hint="eastAsia" w:ascii="仿宋" w:hAnsi="仿宋" w:eastAsia="仿宋"/>
          <w:b/>
          <w:color w:val="000000"/>
          <w:sz w:val="32"/>
          <w:szCs w:val="32"/>
          <w:lang w:val="en-US" w:eastAsia="zh-CN"/>
        </w:rPr>
        <w:t>210</w:t>
      </w:r>
      <w:r>
        <w:rPr>
          <w:rFonts w:hint="eastAsia" w:ascii="仿宋" w:hAnsi="仿宋" w:eastAsia="仿宋"/>
          <w:b/>
          <w:color w:val="000000"/>
          <w:sz w:val="32"/>
          <w:szCs w:val="32"/>
        </w:rPr>
        <w:t>）</w:t>
      </w:r>
      <w:r>
        <w:rPr>
          <w:rFonts w:hint="eastAsia" w:ascii="仿宋" w:hAnsi="仿宋" w:eastAsia="仿宋"/>
          <w:b/>
          <w:bCs/>
          <w:color w:val="000000"/>
          <w:sz w:val="32"/>
          <w:szCs w:val="32"/>
        </w:rPr>
        <w:t>支出</w:t>
      </w:r>
      <w:r>
        <w:rPr>
          <w:rFonts w:hint="eastAsia" w:ascii="仿宋" w:hAnsi="仿宋" w:eastAsia="仿宋"/>
          <w:color w:val="000000"/>
          <w:sz w:val="32"/>
          <w:szCs w:val="32"/>
          <w:lang w:val="en-US" w:eastAsia="zh-CN"/>
        </w:rPr>
        <w:t>34.17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4.48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w:t>
      </w:r>
      <w:r>
        <w:rPr>
          <w:rFonts w:hint="eastAsia" w:ascii="仿宋" w:hAnsi="仿宋" w:eastAsia="仿宋"/>
          <w:b/>
          <w:color w:val="000000"/>
          <w:sz w:val="32"/>
          <w:szCs w:val="32"/>
        </w:rPr>
        <w:t>（</w:t>
      </w:r>
      <w:r>
        <w:rPr>
          <w:rFonts w:hint="eastAsia" w:ascii="仿宋" w:hAnsi="仿宋" w:eastAsia="仿宋"/>
          <w:b/>
          <w:color w:val="000000"/>
          <w:sz w:val="32"/>
          <w:szCs w:val="32"/>
          <w:lang w:val="en-US" w:eastAsia="zh-CN"/>
        </w:rPr>
        <w:t>221</w:t>
      </w:r>
      <w:r>
        <w:rPr>
          <w:rFonts w:hint="eastAsia" w:ascii="仿宋" w:hAnsi="仿宋" w:eastAsia="仿宋"/>
          <w:b/>
          <w:color w:val="000000"/>
          <w:sz w:val="32"/>
          <w:szCs w:val="32"/>
        </w:rPr>
        <w:t>）</w:t>
      </w:r>
      <w:r>
        <w:rPr>
          <w:rFonts w:hint="eastAsia" w:ascii="仿宋" w:hAnsi="仿宋" w:eastAsia="仿宋"/>
          <w:b/>
          <w:bCs/>
          <w:color w:val="000000"/>
          <w:sz w:val="32"/>
          <w:szCs w:val="32"/>
        </w:rPr>
        <w:t>支出</w:t>
      </w:r>
      <w:r>
        <w:rPr>
          <w:rFonts w:hint="eastAsia" w:ascii="仿宋" w:hAnsi="仿宋" w:eastAsia="仿宋"/>
          <w:color w:val="000000"/>
          <w:sz w:val="32"/>
          <w:szCs w:val="32"/>
          <w:lang w:val="en-US" w:eastAsia="zh-CN"/>
        </w:rPr>
        <w:t>39.77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5.21</w:t>
      </w:r>
      <w:r>
        <w:rPr>
          <w:rFonts w:ascii="仿宋" w:hAnsi="仿宋" w:eastAsia="仿宋"/>
          <w:color w:val="000000"/>
          <w:sz w:val="32"/>
          <w:szCs w:val="32"/>
        </w:rPr>
        <w:t>%</w:t>
      </w:r>
      <w:r>
        <w:rPr>
          <w:rFonts w:hint="eastAsia" w:ascii="仿宋" w:hAnsi="仿宋" w:eastAsia="仿宋"/>
          <w:color w:val="000000"/>
          <w:sz w:val="32"/>
          <w:szCs w:val="32"/>
        </w:rPr>
        <w:t>；。</w:t>
      </w:r>
    </w:p>
    <w:p>
      <w:pPr>
        <w:pStyle w:val="2"/>
        <w:ind w:left="0" w:leftChars="0" w:firstLine="0" w:firstLineChars="0"/>
        <w:rPr>
          <w:rFonts w:hint="eastAsia" w:ascii="仿宋" w:hAnsi="仿宋" w:eastAsia="仿宋"/>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4921250" cy="2251710"/>
            <wp:effectExtent l="4445" t="4445" r="12065" b="1460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2" w:firstLineChars="200"/>
        <w:outlineLvl w:val="2"/>
        <w:rPr>
          <w:rFonts w:ascii="仿宋" w:hAnsi="仿宋" w:eastAsia="仿宋"/>
          <w:b/>
          <w:color w:val="000000"/>
          <w:sz w:val="32"/>
          <w:szCs w:val="32"/>
        </w:rPr>
      </w:pPr>
      <w:bookmarkStart w:id="62" w:name="_Toc79163617"/>
      <w:bookmarkStart w:id="63" w:name="_Toc15377212"/>
      <w:bookmarkStart w:id="64" w:name="_Toc7916386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7444"/>
      <w:bookmarkStart w:id="66" w:name="_Toc15378460"/>
      <w:bookmarkStart w:id="67" w:name="_Toc15377213"/>
      <w:r>
        <w:rPr>
          <w:rFonts w:hint="eastAsia" w:ascii="仿宋_GB2312" w:eastAsia="仿宋_GB2312"/>
          <w:b/>
          <w:bCs/>
          <w:sz w:val="32"/>
          <w:szCs w:val="32"/>
          <w:lang w:eastAsia="zh-CN"/>
        </w:rPr>
        <w:t>2021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763.5万元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2" w:firstLineChars="200"/>
        <w:rPr>
          <w:rFonts w:ascii="仿宋" w:hAnsi="仿宋" w:eastAsia="仿宋"/>
          <w:b/>
          <w:color w:val="000000"/>
          <w:sz w:val="32"/>
          <w:szCs w:val="32"/>
        </w:rPr>
      </w:pPr>
      <w:r>
        <w:rPr>
          <w:rStyle w:val="23"/>
          <w:rFonts w:ascii="仿宋" w:hAnsi="仿宋" w:eastAsia="仿宋"/>
          <w:bCs/>
          <w:color w:val="000000"/>
          <w:sz w:val="32"/>
          <w:szCs w:val="32"/>
        </w:rPr>
        <w:t>1.</w:t>
      </w:r>
      <w:r>
        <w:rPr>
          <w:rStyle w:val="23"/>
          <w:rFonts w:hint="eastAsia" w:ascii="仿宋" w:hAnsi="仿宋" w:eastAsia="仿宋"/>
          <w:bCs/>
          <w:color w:val="000000"/>
          <w:sz w:val="32"/>
          <w:szCs w:val="32"/>
        </w:rPr>
        <w:t>一般公共服务（</w:t>
      </w:r>
      <w:r>
        <w:rPr>
          <w:rStyle w:val="23"/>
          <w:rFonts w:hint="eastAsia" w:ascii="仿宋" w:hAnsi="仿宋" w:eastAsia="仿宋"/>
          <w:bCs/>
          <w:color w:val="000000"/>
          <w:sz w:val="32"/>
          <w:szCs w:val="32"/>
          <w:lang w:val="en-US" w:eastAsia="zh-CN"/>
        </w:rPr>
        <w:t>201</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人大事务</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行政运行</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467.42</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Style w:val="23"/>
          <w:rFonts w:hint="eastAsia" w:ascii="仿宋" w:hAnsi="仿宋" w:eastAsia="仿宋"/>
          <w:b w:val="0"/>
          <w:bCs/>
          <w:color w:val="000000"/>
          <w:sz w:val="32"/>
          <w:szCs w:val="32"/>
          <w:lang w:eastAsia="zh-CN"/>
        </w:rPr>
        <w:t>与</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eastAsia="zh-CN"/>
        </w:rPr>
        <w:t>持平</w:t>
      </w:r>
      <w:r>
        <w:rPr>
          <w:rStyle w:val="23"/>
          <w:rFonts w:hint="eastAsia" w:ascii="仿宋" w:hAnsi="仿宋" w:eastAsia="仿宋"/>
          <w:b w:val="0"/>
          <w:bCs/>
          <w:color w:val="000000"/>
          <w:sz w:val="32"/>
          <w:szCs w:val="32"/>
        </w:rPr>
        <w:t>。</w:t>
      </w:r>
    </w:p>
    <w:p>
      <w:pPr>
        <w:spacing w:line="600" w:lineRule="exact"/>
        <w:ind w:firstLine="642" w:firstLineChars="200"/>
        <w:rPr>
          <w:rStyle w:val="23"/>
          <w:rFonts w:hint="eastAsia" w:ascii="仿宋" w:hAnsi="仿宋" w:eastAsia="仿宋"/>
          <w:b w:val="0"/>
          <w:bCs/>
          <w:color w:val="000000"/>
          <w:sz w:val="32"/>
          <w:szCs w:val="32"/>
          <w:lang w:eastAsia="zh-CN"/>
        </w:rPr>
      </w:pPr>
      <w:r>
        <w:rPr>
          <w:rStyle w:val="23"/>
          <w:rFonts w:hint="eastAsia" w:ascii="仿宋" w:hAnsi="仿宋" w:eastAsia="仿宋"/>
          <w:bCs/>
          <w:color w:val="000000"/>
          <w:sz w:val="32"/>
          <w:szCs w:val="32"/>
          <w:lang w:val="en-US" w:eastAsia="zh-CN"/>
        </w:rPr>
        <w:t>2</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社会保障和就业（</w:t>
      </w:r>
      <w:r>
        <w:rPr>
          <w:rStyle w:val="23"/>
          <w:rFonts w:hint="eastAsia" w:ascii="仿宋" w:hAnsi="仿宋" w:eastAsia="仿宋"/>
          <w:bCs/>
          <w:color w:val="000000"/>
          <w:sz w:val="32"/>
          <w:szCs w:val="32"/>
          <w:lang w:val="en-US" w:eastAsia="zh-CN"/>
        </w:rPr>
        <w:t>208</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行政事业单位养老支出</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20805</w:t>
      </w:r>
      <w:r>
        <w:rPr>
          <w:rStyle w:val="23"/>
          <w:rFonts w:hint="eastAsia" w:ascii="仿宋" w:hAnsi="仿宋" w:eastAsia="仿宋"/>
          <w:bCs/>
          <w:color w:val="000000"/>
          <w:sz w:val="32"/>
          <w:szCs w:val="32"/>
        </w:rPr>
        <w:t>）机关事业单位基本养老保险缴费支出（</w:t>
      </w:r>
      <w:r>
        <w:rPr>
          <w:rStyle w:val="23"/>
          <w:rFonts w:hint="eastAsia" w:ascii="仿宋" w:hAnsi="仿宋" w:eastAsia="仿宋"/>
          <w:bCs/>
          <w:color w:val="000000"/>
          <w:sz w:val="32"/>
          <w:szCs w:val="32"/>
          <w:lang w:val="en-US" w:eastAsia="zh-CN"/>
        </w:rPr>
        <w:t>05</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39.02</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Style w:val="23"/>
          <w:rFonts w:hint="eastAsia" w:ascii="仿宋" w:hAnsi="仿宋" w:eastAsia="仿宋"/>
          <w:b w:val="0"/>
          <w:bCs/>
          <w:color w:val="000000"/>
          <w:sz w:val="32"/>
          <w:szCs w:val="32"/>
          <w:lang w:eastAsia="zh-CN"/>
        </w:rPr>
        <w:t>与</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eastAsia="zh-CN"/>
        </w:rPr>
        <w:t>持平；</w:t>
      </w:r>
    </w:p>
    <w:p>
      <w:pPr>
        <w:spacing w:line="600" w:lineRule="exact"/>
        <w:ind w:firstLine="642" w:firstLineChars="200"/>
        <w:rPr>
          <w:rFonts w:hint="eastAsia" w:ascii="仿宋" w:hAnsi="仿宋" w:eastAsia="仿宋"/>
          <w:b/>
          <w:color w:val="000000"/>
          <w:sz w:val="32"/>
          <w:szCs w:val="32"/>
          <w:lang w:eastAsia="zh-CN"/>
        </w:rPr>
      </w:pPr>
      <w:r>
        <w:rPr>
          <w:rStyle w:val="23"/>
          <w:rFonts w:hint="eastAsia" w:ascii="仿宋" w:hAnsi="仿宋" w:eastAsia="仿宋"/>
          <w:bCs/>
          <w:color w:val="000000"/>
          <w:sz w:val="32"/>
          <w:szCs w:val="32"/>
        </w:rPr>
        <w:t>社会保障和就业（</w:t>
      </w:r>
      <w:r>
        <w:rPr>
          <w:rStyle w:val="23"/>
          <w:rFonts w:hint="eastAsia" w:ascii="仿宋" w:hAnsi="仿宋" w:eastAsia="仿宋"/>
          <w:bCs/>
          <w:color w:val="000000"/>
          <w:sz w:val="32"/>
          <w:szCs w:val="32"/>
          <w:lang w:val="en-US" w:eastAsia="zh-CN"/>
        </w:rPr>
        <w:t>208</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行政事业单位养老支出</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20805</w:t>
      </w:r>
      <w:r>
        <w:rPr>
          <w:rStyle w:val="23"/>
          <w:rFonts w:hint="eastAsia" w:ascii="仿宋" w:hAnsi="仿宋" w:eastAsia="仿宋"/>
          <w:bCs/>
          <w:color w:val="000000"/>
          <w:sz w:val="32"/>
          <w:szCs w:val="32"/>
        </w:rPr>
        <w:t>）机关事业单位</w:t>
      </w:r>
      <w:r>
        <w:rPr>
          <w:rStyle w:val="23"/>
          <w:rFonts w:hint="eastAsia" w:ascii="仿宋" w:hAnsi="仿宋" w:eastAsia="仿宋"/>
          <w:bCs/>
          <w:color w:val="000000"/>
          <w:sz w:val="32"/>
          <w:szCs w:val="32"/>
          <w:lang w:eastAsia="zh-CN"/>
        </w:rPr>
        <w:t>职业年金</w:t>
      </w:r>
      <w:r>
        <w:rPr>
          <w:rStyle w:val="23"/>
          <w:rFonts w:hint="eastAsia" w:ascii="仿宋" w:hAnsi="仿宋" w:eastAsia="仿宋"/>
          <w:bCs/>
          <w:color w:val="000000"/>
          <w:sz w:val="32"/>
          <w:szCs w:val="32"/>
        </w:rPr>
        <w:t>缴费支出（</w:t>
      </w:r>
      <w:r>
        <w:rPr>
          <w:rStyle w:val="23"/>
          <w:rFonts w:hint="eastAsia" w:ascii="仿宋" w:hAnsi="仿宋" w:eastAsia="仿宋"/>
          <w:bCs/>
          <w:color w:val="000000"/>
          <w:sz w:val="32"/>
          <w:szCs w:val="32"/>
          <w:lang w:val="en-US" w:eastAsia="zh-CN"/>
        </w:rPr>
        <w:t>06</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17.9</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Style w:val="23"/>
          <w:rFonts w:hint="eastAsia" w:ascii="仿宋" w:hAnsi="仿宋" w:eastAsia="仿宋"/>
          <w:b w:val="0"/>
          <w:bCs/>
          <w:color w:val="000000"/>
          <w:sz w:val="32"/>
          <w:szCs w:val="32"/>
          <w:lang w:eastAsia="zh-CN"/>
        </w:rPr>
        <w:t>与</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eastAsia="zh-CN"/>
        </w:rPr>
        <w:t>持平；</w:t>
      </w:r>
    </w:p>
    <w:p>
      <w:pPr>
        <w:numPr>
          <w:ilvl w:val="0"/>
          <w:numId w:val="0"/>
        </w:numPr>
        <w:spacing w:line="600" w:lineRule="exact"/>
        <w:ind w:firstLine="642" w:firstLineChars="200"/>
        <w:rPr>
          <w:rStyle w:val="23"/>
          <w:rFonts w:hint="eastAsia" w:ascii="仿宋" w:hAnsi="仿宋" w:eastAsia="仿宋"/>
          <w:b w:val="0"/>
          <w:bCs/>
          <w:color w:val="000000"/>
          <w:sz w:val="32"/>
          <w:szCs w:val="32"/>
        </w:rPr>
      </w:pPr>
      <w:r>
        <w:rPr>
          <w:rStyle w:val="23"/>
          <w:rFonts w:hint="eastAsia" w:ascii="仿宋" w:hAnsi="仿宋" w:eastAsia="仿宋"/>
          <w:bCs/>
          <w:color w:val="000000"/>
          <w:sz w:val="32"/>
          <w:szCs w:val="32"/>
          <w:lang w:val="en-US" w:eastAsia="zh-CN"/>
        </w:rPr>
        <w:t>3</w:t>
      </w:r>
      <w:r>
        <w:rPr>
          <w:rStyle w:val="23"/>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210</w:t>
      </w:r>
      <w:r>
        <w:rPr>
          <w:rStyle w:val="23"/>
          <w:rFonts w:hint="eastAsia" w:ascii="仿宋" w:hAnsi="仿宋" w:eastAsia="仿宋"/>
          <w:bCs/>
          <w:color w:val="000000"/>
          <w:sz w:val="32"/>
          <w:szCs w:val="32"/>
        </w:rPr>
        <w:t>）行政事业单位医疗（</w:t>
      </w:r>
      <w:r>
        <w:rPr>
          <w:rStyle w:val="23"/>
          <w:rFonts w:hint="eastAsia" w:ascii="仿宋" w:hAnsi="仿宋" w:eastAsia="仿宋"/>
          <w:bCs/>
          <w:color w:val="000000"/>
          <w:sz w:val="32"/>
          <w:szCs w:val="32"/>
          <w:lang w:val="en-US" w:eastAsia="zh-CN"/>
        </w:rPr>
        <w:t>11</w:t>
      </w:r>
      <w:r>
        <w:rPr>
          <w:rStyle w:val="23"/>
          <w:rFonts w:hint="eastAsia" w:ascii="仿宋" w:hAnsi="仿宋" w:eastAsia="仿宋"/>
          <w:bCs/>
          <w:color w:val="000000"/>
          <w:sz w:val="32"/>
          <w:szCs w:val="32"/>
        </w:rPr>
        <w:t>）行政单位医疗（</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20.57</w:t>
      </w:r>
      <w:r>
        <w:rPr>
          <w:rStyle w:val="23"/>
          <w:rFonts w:hint="eastAsia" w:ascii="仿宋" w:hAnsi="仿宋" w:eastAsia="仿宋"/>
          <w:b w:val="0"/>
          <w:bCs/>
          <w:color w:val="000000"/>
          <w:sz w:val="32"/>
          <w:szCs w:val="32"/>
        </w:rPr>
        <w:t>万元</w:t>
      </w:r>
      <w:r>
        <w:rPr>
          <w:rStyle w:val="23"/>
          <w:rFonts w:hint="eastAsia" w:ascii="仿宋" w:hAnsi="仿宋" w:eastAsia="仿宋"/>
          <w:b w:val="0"/>
          <w:bCs/>
          <w:color w:val="000000"/>
          <w:sz w:val="32"/>
          <w:szCs w:val="32"/>
          <w:lang w:eastAsia="zh-CN"/>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eastAsia="zh-CN"/>
        </w:rPr>
        <w:t>与</w:t>
      </w:r>
      <w:r>
        <w:rPr>
          <w:rStyle w:val="23"/>
          <w:rFonts w:hint="eastAsia" w:ascii="仿宋" w:hAnsi="仿宋" w:eastAsia="仿宋"/>
          <w:b w:val="0"/>
          <w:bCs/>
          <w:color w:val="000000"/>
          <w:sz w:val="32"/>
          <w:szCs w:val="32"/>
        </w:rPr>
        <w:t>预算数</w:t>
      </w:r>
      <w:r>
        <w:rPr>
          <w:rStyle w:val="23"/>
          <w:rFonts w:hint="eastAsia" w:ascii="仿宋" w:hAnsi="仿宋" w:eastAsia="仿宋"/>
          <w:b w:val="0"/>
          <w:bCs/>
          <w:color w:val="000000"/>
          <w:sz w:val="32"/>
          <w:szCs w:val="32"/>
          <w:lang w:eastAsia="zh-CN"/>
        </w:rPr>
        <w:t>持平</w:t>
      </w:r>
      <w:r>
        <w:rPr>
          <w:rStyle w:val="23"/>
          <w:rFonts w:hint="eastAsia" w:ascii="仿宋" w:hAnsi="仿宋" w:eastAsia="仿宋"/>
          <w:b w:val="0"/>
          <w:bCs/>
          <w:color w:val="000000"/>
          <w:sz w:val="32"/>
          <w:szCs w:val="32"/>
        </w:rPr>
        <w:t>。</w:t>
      </w:r>
    </w:p>
    <w:p>
      <w:pPr>
        <w:spacing w:line="600" w:lineRule="exact"/>
        <w:ind w:firstLine="642" w:firstLineChars="200"/>
        <w:rPr>
          <w:rStyle w:val="23"/>
          <w:rFonts w:hint="eastAsia" w:ascii="仿宋" w:hAnsi="仿宋" w:eastAsia="仿宋"/>
          <w:b w:val="0"/>
          <w:bCs/>
          <w:color w:val="000000"/>
          <w:sz w:val="32"/>
          <w:szCs w:val="32"/>
          <w:lang w:eastAsia="zh-CN"/>
        </w:rPr>
      </w:pPr>
      <w:r>
        <w:rPr>
          <w:rFonts w:hint="eastAsia" w:ascii="仿宋" w:hAnsi="仿宋" w:eastAsia="仿宋"/>
          <w:b/>
          <w:bCs/>
          <w:color w:val="000000" w:themeColor="text1"/>
          <w:sz w:val="32"/>
          <w:szCs w:val="32"/>
          <w14:textFill>
            <w14:solidFill>
              <w14:schemeClr w14:val="tx1"/>
            </w14:solidFill>
          </w14:textFill>
        </w:rPr>
        <w:t>卫生健康</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210</w:t>
      </w:r>
      <w:r>
        <w:rPr>
          <w:rStyle w:val="23"/>
          <w:rFonts w:hint="eastAsia" w:ascii="仿宋" w:hAnsi="仿宋" w:eastAsia="仿宋"/>
          <w:bCs/>
          <w:color w:val="000000"/>
          <w:sz w:val="32"/>
          <w:szCs w:val="32"/>
        </w:rPr>
        <w:t>）行政事业单位医疗（</w:t>
      </w:r>
      <w:r>
        <w:rPr>
          <w:rStyle w:val="23"/>
          <w:rFonts w:hint="eastAsia" w:ascii="仿宋" w:hAnsi="仿宋" w:eastAsia="仿宋"/>
          <w:bCs/>
          <w:color w:val="000000"/>
          <w:sz w:val="32"/>
          <w:szCs w:val="32"/>
          <w:lang w:val="en-US" w:eastAsia="zh-CN"/>
        </w:rPr>
        <w:t>11</w:t>
      </w:r>
      <w:r>
        <w:rPr>
          <w:rStyle w:val="23"/>
          <w:rFonts w:hint="eastAsia" w:ascii="仿宋" w:hAnsi="仿宋" w:eastAsia="仿宋"/>
          <w:bCs/>
          <w:color w:val="000000"/>
          <w:sz w:val="32"/>
          <w:szCs w:val="32"/>
        </w:rPr>
        <w:t>）公务员医疗补助（</w:t>
      </w:r>
      <w:r>
        <w:rPr>
          <w:rStyle w:val="23"/>
          <w:rFonts w:hint="eastAsia" w:ascii="仿宋" w:hAnsi="仿宋" w:eastAsia="仿宋"/>
          <w:bCs/>
          <w:color w:val="000000"/>
          <w:sz w:val="32"/>
          <w:szCs w:val="32"/>
          <w:lang w:val="en-US" w:eastAsia="zh-CN"/>
        </w:rPr>
        <w:t>03</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9.96</w:t>
      </w:r>
      <w:r>
        <w:rPr>
          <w:rStyle w:val="23"/>
          <w:rFonts w:hint="eastAsia" w:ascii="仿宋" w:hAnsi="仿宋" w:eastAsia="仿宋"/>
          <w:b w:val="0"/>
          <w:bCs/>
          <w:color w:val="000000"/>
          <w:sz w:val="32"/>
          <w:szCs w:val="32"/>
        </w:rPr>
        <w:t>万元</w:t>
      </w:r>
      <w:r>
        <w:rPr>
          <w:rStyle w:val="23"/>
          <w:rFonts w:hint="eastAsia" w:ascii="仿宋" w:hAnsi="仿宋" w:eastAsia="仿宋"/>
          <w:b w:val="0"/>
          <w:bCs/>
          <w:color w:val="000000"/>
          <w:sz w:val="32"/>
          <w:szCs w:val="32"/>
          <w:lang w:eastAsia="zh-CN"/>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eastAsia="zh-CN"/>
        </w:rPr>
        <w:t>与</w:t>
      </w:r>
      <w:r>
        <w:rPr>
          <w:rStyle w:val="23"/>
          <w:rFonts w:hint="eastAsia" w:ascii="仿宋" w:hAnsi="仿宋" w:eastAsia="仿宋"/>
          <w:b w:val="0"/>
          <w:bCs/>
          <w:color w:val="000000"/>
          <w:sz w:val="32"/>
          <w:szCs w:val="32"/>
        </w:rPr>
        <w:t>预算数</w:t>
      </w:r>
      <w:r>
        <w:rPr>
          <w:rStyle w:val="23"/>
          <w:rFonts w:hint="eastAsia" w:ascii="仿宋" w:hAnsi="仿宋" w:eastAsia="仿宋"/>
          <w:b w:val="0"/>
          <w:bCs/>
          <w:color w:val="000000"/>
          <w:sz w:val="32"/>
          <w:szCs w:val="32"/>
          <w:lang w:eastAsia="zh-CN"/>
        </w:rPr>
        <w:t>持平；</w:t>
      </w:r>
    </w:p>
    <w:p>
      <w:pPr>
        <w:spacing w:line="600" w:lineRule="exact"/>
        <w:ind w:firstLine="642" w:firstLineChars="200"/>
        <w:rPr>
          <w:rStyle w:val="23"/>
          <w:rFonts w:hint="eastAsia" w:ascii="仿宋" w:hAnsi="仿宋" w:eastAsia="仿宋"/>
          <w:b w:val="0"/>
          <w:bCs/>
          <w:color w:val="000000"/>
          <w:sz w:val="32"/>
          <w:szCs w:val="32"/>
        </w:rPr>
      </w:pPr>
      <w:r>
        <w:rPr>
          <w:rFonts w:hint="eastAsia" w:ascii="仿宋" w:hAnsi="仿宋" w:eastAsia="仿宋"/>
          <w:b/>
          <w:bCs/>
          <w:color w:val="000000" w:themeColor="text1"/>
          <w:sz w:val="32"/>
          <w:szCs w:val="32"/>
          <w14:textFill>
            <w14:solidFill>
              <w14:schemeClr w14:val="tx1"/>
            </w14:solidFill>
          </w14:textFill>
        </w:rPr>
        <w:t>卫生健康</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210</w:t>
      </w:r>
      <w:r>
        <w:rPr>
          <w:rStyle w:val="23"/>
          <w:rFonts w:hint="eastAsia" w:ascii="仿宋" w:hAnsi="仿宋" w:eastAsia="仿宋"/>
          <w:bCs/>
          <w:color w:val="000000"/>
          <w:sz w:val="32"/>
          <w:szCs w:val="32"/>
        </w:rPr>
        <w:t>）行政事业单位医疗（</w:t>
      </w:r>
      <w:r>
        <w:rPr>
          <w:rStyle w:val="23"/>
          <w:rFonts w:hint="eastAsia" w:ascii="仿宋" w:hAnsi="仿宋" w:eastAsia="仿宋"/>
          <w:bCs/>
          <w:color w:val="000000"/>
          <w:sz w:val="32"/>
          <w:szCs w:val="32"/>
          <w:lang w:val="en-US" w:eastAsia="zh-CN"/>
        </w:rPr>
        <w:t>11</w:t>
      </w:r>
      <w:r>
        <w:rPr>
          <w:rStyle w:val="23"/>
          <w:rFonts w:hint="eastAsia" w:ascii="仿宋" w:hAnsi="仿宋" w:eastAsia="仿宋"/>
          <w:bCs/>
          <w:color w:val="000000"/>
          <w:sz w:val="32"/>
          <w:szCs w:val="32"/>
        </w:rPr>
        <w:t>）其他行政事业单位医疗支出（</w:t>
      </w:r>
      <w:r>
        <w:rPr>
          <w:rStyle w:val="23"/>
          <w:rFonts w:hint="eastAsia" w:ascii="仿宋" w:hAnsi="仿宋" w:eastAsia="仿宋"/>
          <w:bCs/>
          <w:color w:val="000000"/>
          <w:sz w:val="32"/>
          <w:szCs w:val="32"/>
          <w:lang w:val="en-US" w:eastAsia="zh-CN"/>
        </w:rPr>
        <w:t>99</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3.64</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eastAsia="zh-CN"/>
        </w:rPr>
        <w:t>与</w:t>
      </w:r>
      <w:r>
        <w:rPr>
          <w:rStyle w:val="23"/>
          <w:rFonts w:hint="eastAsia" w:ascii="仿宋" w:hAnsi="仿宋" w:eastAsia="仿宋"/>
          <w:b w:val="0"/>
          <w:bCs/>
          <w:color w:val="000000"/>
          <w:sz w:val="32"/>
          <w:szCs w:val="32"/>
        </w:rPr>
        <w:t>预算数</w:t>
      </w:r>
      <w:r>
        <w:rPr>
          <w:rStyle w:val="23"/>
          <w:rFonts w:hint="eastAsia" w:ascii="仿宋" w:hAnsi="仿宋" w:eastAsia="仿宋"/>
          <w:b w:val="0"/>
          <w:bCs/>
          <w:color w:val="000000"/>
          <w:sz w:val="32"/>
          <w:szCs w:val="32"/>
          <w:lang w:eastAsia="zh-CN"/>
        </w:rPr>
        <w:t>持平</w:t>
      </w:r>
      <w:r>
        <w:rPr>
          <w:rStyle w:val="23"/>
          <w:rFonts w:hint="eastAsia" w:ascii="仿宋" w:hAnsi="仿宋" w:eastAsia="仿宋"/>
          <w:b w:val="0"/>
          <w:bCs/>
          <w:color w:val="000000"/>
          <w:sz w:val="32"/>
          <w:szCs w:val="32"/>
        </w:rPr>
        <w:t>。</w:t>
      </w:r>
    </w:p>
    <w:p>
      <w:pPr>
        <w:pStyle w:val="2"/>
        <w:ind w:left="0" w:leftChars="0" w:firstLine="642" w:firstLineChars="200"/>
        <w:rPr>
          <w:rFonts w:ascii="仿宋" w:hAnsi="仿宋" w:eastAsia="仿宋"/>
          <w:b/>
          <w:color w:val="000000"/>
          <w:sz w:val="32"/>
          <w:szCs w:val="32"/>
        </w:rPr>
      </w:pPr>
      <w:r>
        <w:rPr>
          <w:rFonts w:hint="eastAsia" w:ascii="仿宋" w:hAnsi="仿宋" w:eastAsia="仿宋" w:cs="Times New Roman"/>
          <w:b/>
          <w:bCs/>
          <w:color w:val="000000" w:themeColor="text1"/>
          <w:kern w:val="2"/>
          <w:sz w:val="32"/>
          <w:szCs w:val="32"/>
          <w:lang w:val="en-US" w:eastAsia="zh-CN" w:bidi="ar-SA"/>
          <w14:textFill>
            <w14:solidFill>
              <w14:schemeClr w14:val="tx1"/>
            </w14:solidFill>
          </w14:textFill>
        </w:rPr>
        <w:t>4、住房保障</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221</w:t>
      </w:r>
      <w:r>
        <w:rPr>
          <w:rStyle w:val="23"/>
          <w:rFonts w:hint="eastAsia" w:ascii="仿宋" w:hAnsi="仿宋" w:eastAsia="仿宋"/>
          <w:bCs/>
          <w:color w:val="000000"/>
          <w:sz w:val="32"/>
          <w:szCs w:val="32"/>
        </w:rPr>
        <w:t>）住房改革支出（</w:t>
      </w:r>
      <w:r>
        <w:rPr>
          <w:rStyle w:val="23"/>
          <w:rFonts w:hint="eastAsia" w:ascii="仿宋" w:hAnsi="仿宋" w:eastAsia="仿宋"/>
          <w:bCs/>
          <w:color w:val="000000"/>
          <w:sz w:val="32"/>
          <w:szCs w:val="32"/>
          <w:lang w:val="en-US" w:eastAsia="zh-CN"/>
        </w:rPr>
        <w:t>02</w:t>
      </w:r>
      <w:r>
        <w:rPr>
          <w:rStyle w:val="23"/>
          <w:rFonts w:hint="eastAsia" w:ascii="仿宋" w:hAnsi="仿宋" w:eastAsia="仿宋"/>
          <w:bCs/>
          <w:color w:val="000000"/>
          <w:sz w:val="32"/>
          <w:szCs w:val="32"/>
        </w:rPr>
        <w:t>）住房公积金（</w:t>
      </w:r>
      <w:r>
        <w:rPr>
          <w:rStyle w:val="23"/>
          <w:rFonts w:hint="eastAsia" w:ascii="仿宋" w:hAnsi="仿宋" w:eastAsia="仿宋"/>
          <w:bCs/>
          <w:color w:val="000000"/>
          <w:sz w:val="32"/>
          <w:szCs w:val="32"/>
          <w:lang w:val="en-US" w:eastAsia="zh-CN"/>
        </w:rPr>
        <w:t>01</w:t>
      </w:r>
      <w:r>
        <w:rPr>
          <w:rStyle w:val="23"/>
          <w:rFonts w:hint="eastAsia" w:ascii="仿宋" w:hAnsi="仿宋" w:eastAsia="仿宋"/>
          <w:bCs/>
          <w:color w:val="000000"/>
          <w:sz w:val="32"/>
          <w:szCs w:val="32"/>
        </w:rPr>
        <w:t>）</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39.77</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w:t>
      </w:r>
      <w:r>
        <w:rPr>
          <w:rStyle w:val="23"/>
          <w:rFonts w:hint="eastAsia" w:ascii="仿宋" w:hAnsi="仿宋" w:eastAsia="仿宋"/>
          <w:b w:val="0"/>
          <w:bCs/>
          <w:color w:val="000000"/>
          <w:sz w:val="32"/>
          <w:szCs w:val="32"/>
          <w:lang w:eastAsia="zh-CN"/>
        </w:rPr>
        <w:t>与</w:t>
      </w:r>
      <w:r>
        <w:rPr>
          <w:rStyle w:val="23"/>
          <w:rFonts w:hint="eastAsia" w:ascii="仿宋" w:hAnsi="仿宋" w:eastAsia="仿宋"/>
          <w:b w:val="0"/>
          <w:bCs/>
          <w:color w:val="000000"/>
          <w:sz w:val="32"/>
          <w:szCs w:val="32"/>
        </w:rPr>
        <w:t>预算数</w:t>
      </w:r>
      <w:r>
        <w:rPr>
          <w:rStyle w:val="23"/>
          <w:rFonts w:hint="eastAsia" w:ascii="仿宋" w:hAnsi="仿宋" w:eastAsia="仿宋"/>
          <w:b w:val="0"/>
          <w:bCs/>
          <w:color w:val="000000"/>
          <w:sz w:val="32"/>
          <w:szCs w:val="32"/>
          <w:lang w:eastAsia="zh-CN"/>
        </w:rPr>
        <w:t>持平。</w:t>
      </w:r>
    </w:p>
    <w:p>
      <w:pPr>
        <w:tabs>
          <w:tab w:val="right" w:pos="8306"/>
        </w:tabs>
        <w:spacing w:line="600" w:lineRule="exact"/>
        <w:ind w:firstLine="640"/>
        <w:outlineLvl w:val="1"/>
        <w:rPr>
          <w:rStyle w:val="26"/>
        </w:rPr>
      </w:pPr>
      <w:bookmarkStart w:id="68" w:name="_Toc15377214"/>
      <w:bookmarkStart w:id="69" w:name="_Toc15396608"/>
      <w:bookmarkStart w:id="70" w:name="_Toc79163618"/>
      <w:bookmarkStart w:id="71"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68"/>
      <w:bookmarkEnd w:id="69"/>
      <w:bookmarkEnd w:id="70"/>
      <w:bookmarkEnd w:id="7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763.5</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590.46</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74.39</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黑体" w:hAnsi="黑体" w:eastAsia="黑体"/>
          <w:b w:val="0"/>
        </w:rPr>
      </w:pPr>
      <w:bookmarkStart w:id="72" w:name="_Toc79163869"/>
      <w:bookmarkStart w:id="73" w:name="_Toc15396609"/>
      <w:bookmarkStart w:id="74" w:name="_Toc15377215"/>
      <w:bookmarkStart w:id="75" w:name="_Toc7916361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870"/>
      <w:bookmarkStart w:id="78" w:name="_Toc7916362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b/>
          <w:color w:val="FF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54.56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与</w:t>
      </w:r>
      <w:r>
        <w:rPr>
          <w:rFonts w:hint="eastAsia" w:ascii="仿宋" w:hAnsi="仿宋" w:eastAsia="仿宋"/>
          <w:color w:val="000000"/>
          <w:sz w:val="32"/>
          <w:szCs w:val="32"/>
        </w:rPr>
        <w:t>预算数持平</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主要原因是</w:t>
      </w:r>
      <w:r>
        <w:rPr>
          <w:rFonts w:hint="eastAsia" w:ascii="仿宋" w:hAnsi="仿宋" w:eastAsia="仿宋"/>
          <w:color w:val="000000"/>
          <w:sz w:val="32"/>
          <w:szCs w:val="32"/>
          <w:lang w:eastAsia="zh-CN"/>
        </w:rPr>
        <w:t>根据八项规定，按照年初预算标准，严格控制三公经费的支出。</w:t>
      </w:r>
    </w:p>
    <w:p>
      <w:pPr>
        <w:spacing w:line="600" w:lineRule="exact"/>
        <w:ind w:firstLine="640"/>
        <w:outlineLvl w:val="2"/>
        <w:rPr>
          <w:rFonts w:ascii="仿宋" w:hAnsi="仿宋" w:eastAsia="仿宋"/>
          <w:b/>
          <w:color w:val="000000"/>
          <w:sz w:val="32"/>
          <w:szCs w:val="32"/>
        </w:rPr>
      </w:pPr>
      <w:bookmarkStart w:id="79" w:name="_Toc15377217"/>
      <w:bookmarkStart w:id="80" w:name="_Toc79163621"/>
      <w:bookmarkStart w:id="81" w:name="_Toc7916387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51.77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94.89</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2.79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5.11</w:t>
      </w:r>
      <w:r>
        <w:rPr>
          <w:rFonts w:ascii="仿宋" w:hAnsi="仿宋" w:eastAsia="仿宋"/>
          <w:color w:val="000000"/>
          <w:sz w:val="32"/>
          <w:szCs w:val="32"/>
        </w:rPr>
        <w:t>%</w:t>
      </w:r>
      <w:r>
        <w:rPr>
          <w:rFonts w:hint="eastAsia" w:ascii="仿宋" w:hAnsi="仿宋" w:eastAsia="仿宋"/>
          <w:color w:val="000000"/>
          <w:sz w:val="32"/>
          <w:szCs w:val="32"/>
        </w:rPr>
        <w:t>。具体情况如下：</w:t>
      </w:r>
    </w:p>
    <w:p>
      <w:pPr>
        <w:pStyle w:val="2"/>
        <w:ind w:left="0" w:leftChars="0" w:firstLine="0" w:firstLineChars="0"/>
        <w:rPr>
          <w:rFonts w:hint="eastAsia"/>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4900930" cy="2600325"/>
            <wp:effectExtent l="4445" t="4445" r="17145" b="1651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未发生活动</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51.77</w:t>
      </w:r>
      <w:r>
        <w:rPr>
          <w:rFonts w:hint="eastAsia" w:ascii="仿宋_GB2312" w:eastAsia="仿宋_GB2312"/>
          <w:color w:val="000000"/>
          <w:sz w:val="32"/>
          <w:szCs w:val="32"/>
        </w:rPr>
        <w:t>万元</w:t>
      </w:r>
      <w:r>
        <w:rPr>
          <w:rFonts w:ascii="仿宋_GB2312" w:eastAsia="仿宋_GB2312"/>
          <w:color w:val="000000"/>
          <w:sz w:val="32"/>
          <w:szCs w:val="32"/>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10.11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24.26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人大换届调研、</w:t>
      </w:r>
      <w:r>
        <w:rPr>
          <w:rFonts w:hint="eastAsia" w:ascii="仿宋_GB2312" w:eastAsia="仿宋_GB2312"/>
          <w:color w:val="000000"/>
          <w:sz w:val="32"/>
          <w:szCs w:val="32"/>
          <w:lang w:val="en-US" w:eastAsia="zh-CN"/>
        </w:rPr>
        <w:t>精准扶贫、两联一进、灾后重建、疫情防控等工作增加</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其他用车</w:t>
      </w:r>
      <w:r>
        <w:rPr>
          <w:rFonts w:hint="eastAsia" w:ascii="仿宋_GB2312" w:eastAsia="仿宋_GB2312"/>
          <w:color w:val="000000"/>
          <w:sz w:val="32"/>
          <w:szCs w:val="32"/>
          <w:lang w:val="en-US" w:eastAsia="zh-CN"/>
        </w:rPr>
        <w:t>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51.77</w:t>
      </w:r>
      <w:r>
        <w:rPr>
          <w:rFonts w:hint="eastAsia" w:ascii="仿宋_GB2312" w:eastAsia="仿宋_GB2312"/>
          <w:color w:val="000000"/>
          <w:sz w:val="32"/>
          <w:szCs w:val="32"/>
        </w:rPr>
        <w:t>万元。主要用于主要用于</w:t>
      </w:r>
      <w:r>
        <w:rPr>
          <w:rFonts w:hint="eastAsia" w:ascii="仿宋" w:hAnsi="仿宋" w:eastAsia="仿宋" w:cs="仿宋"/>
          <w:color w:val="333333"/>
          <w:kern w:val="0"/>
          <w:sz w:val="32"/>
          <w:szCs w:val="32"/>
          <w:shd w:val="clear" w:fill="FBFBFB"/>
          <w:lang w:val="en-US" w:eastAsia="zh-CN" w:bidi="ar"/>
        </w:rPr>
        <w:t>人大换届调研、</w:t>
      </w:r>
      <w:r>
        <w:rPr>
          <w:rFonts w:hint="eastAsia" w:ascii="仿宋_GB2312" w:eastAsia="仿宋_GB2312"/>
          <w:color w:val="000000"/>
          <w:sz w:val="32"/>
          <w:szCs w:val="32"/>
          <w:lang w:val="en-US" w:eastAsia="zh-CN"/>
        </w:rPr>
        <w:t>精准扶贫、两联一进、灾后重建工作</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2.79</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2.27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436.54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人大换届下乡开展视察、调研、</w:t>
      </w:r>
      <w:r>
        <w:rPr>
          <w:rFonts w:hint="eastAsia" w:ascii="仿宋_GB2312" w:eastAsia="仿宋_GB2312"/>
          <w:color w:val="000000"/>
          <w:sz w:val="32"/>
          <w:szCs w:val="32"/>
          <w:lang w:val="en-US" w:eastAsia="zh-CN"/>
        </w:rPr>
        <w:t>两联一进等工作增加</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2.79</w:t>
      </w:r>
      <w:r>
        <w:rPr>
          <w:rFonts w:hint="eastAsia" w:ascii="仿宋_GB2312" w:eastAsia="仿宋_GB2312"/>
          <w:color w:val="000000"/>
          <w:sz w:val="32"/>
          <w:szCs w:val="32"/>
        </w:rPr>
        <w:t>万元，主要用于省、州人大工作交流、视察</w:t>
      </w:r>
      <w:r>
        <w:rPr>
          <w:rFonts w:hint="eastAsia" w:ascii="仿宋_GB2312" w:eastAsia="仿宋_GB2312"/>
          <w:color w:val="000000"/>
          <w:sz w:val="32"/>
          <w:szCs w:val="32"/>
          <w:lang w:eastAsia="zh-CN"/>
        </w:rPr>
        <w:t>，人大换届下乡开展视察、调研</w:t>
      </w:r>
      <w:r>
        <w:rPr>
          <w:rFonts w:hint="eastAsia" w:ascii="仿宋_GB2312" w:eastAsia="仿宋_GB2312"/>
          <w:color w:val="000000"/>
          <w:sz w:val="32"/>
          <w:szCs w:val="32"/>
          <w:lang w:val="en-US" w:eastAsia="zh-CN"/>
        </w:rPr>
        <w:t>等工作</w:t>
      </w:r>
      <w:r>
        <w:rPr>
          <w:rFonts w:hint="eastAsia" w:ascii="仿宋_GB2312" w:eastAsia="仿宋_GB2312"/>
          <w:color w:val="000000"/>
          <w:sz w:val="32"/>
          <w:szCs w:val="32"/>
        </w:rPr>
        <w:t>用餐费。国内公务接待</w:t>
      </w:r>
      <w:r>
        <w:rPr>
          <w:rFonts w:hint="eastAsia" w:ascii="仿宋_GB2312" w:eastAsia="仿宋_GB2312"/>
          <w:color w:val="000000"/>
          <w:sz w:val="32"/>
          <w:szCs w:val="32"/>
          <w:lang w:val="en-US" w:eastAsia="zh-CN"/>
        </w:rPr>
        <w:t>35</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287</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2.79</w:t>
      </w:r>
      <w:r>
        <w:rPr>
          <w:rFonts w:hint="eastAsia" w:ascii="仿宋_GB2312" w:eastAsia="仿宋_GB2312"/>
          <w:color w:val="000000"/>
          <w:sz w:val="32"/>
          <w:szCs w:val="32"/>
        </w:rPr>
        <w:t>万元，具体内容包括：省、州人大工作交流、视察</w:t>
      </w:r>
      <w:r>
        <w:rPr>
          <w:rFonts w:hint="eastAsia" w:ascii="仿宋_GB2312" w:eastAsia="仿宋_GB2312"/>
          <w:color w:val="000000"/>
          <w:sz w:val="32"/>
          <w:szCs w:val="32"/>
          <w:lang w:eastAsia="zh-CN"/>
        </w:rPr>
        <w:t>，人大换届下乡开展视察、调研</w:t>
      </w:r>
      <w:r>
        <w:rPr>
          <w:rFonts w:hint="eastAsia" w:ascii="仿宋_GB2312" w:eastAsia="仿宋_GB2312"/>
          <w:color w:val="000000"/>
          <w:sz w:val="32"/>
          <w:szCs w:val="32"/>
          <w:lang w:val="en-US" w:eastAsia="zh-CN"/>
        </w:rPr>
        <w:t>等</w:t>
      </w:r>
      <w:r>
        <w:rPr>
          <w:rFonts w:hint="eastAsia" w:ascii="仿宋_GB2312" w:eastAsia="仿宋_GB2312"/>
          <w:color w:val="000000"/>
          <w:sz w:val="32"/>
          <w:szCs w:val="32"/>
        </w:rPr>
        <w:t>。</w:t>
      </w:r>
    </w:p>
    <w:p>
      <w:pPr>
        <w:spacing w:line="600" w:lineRule="exact"/>
        <w:ind w:firstLine="642"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万元，主要用于接待</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（具体项目）。主要用于</w:t>
      </w:r>
      <w:r>
        <w:rPr>
          <w:rFonts w:hint="eastAsia" w:ascii="仿宋_GB2312" w:eastAsia="仿宋_GB2312"/>
          <w:color w:val="000000"/>
          <w:sz w:val="32"/>
          <w:szCs w:val="32"/>
          <w:lang w:eastAsia="zh-CN"/>
        </w:rPr>
        <w:t>无。</w:t>
      </w:r>
    </w:p>
    <w:p>
      <w:pPr>
        <w:spacing w:line="600" w:lineRule="exact"/>
        <w:ind w:firstLine="640"/>
        <w:outlineLvl w:val="1"/>
        <w:rPr>
          <w:rStyle w:val="26"/>
          <w:rFonts w:ascii="黑体" w:hAnsi="黑体" w:eastAsia="黑体"/>
        </w:rPr>
      </w:pPr>
      <w:bookmarkStart w:id="82" w:name="_Toc79163622"/>
      <w:bookmarkStart w:id="83" w:name="_Toc79163872"/>
      <w:bookmarkStart w:id="84" w:name="_Toc15396610"/>
      <w:bookmarkStart w:id="85" w:name="_Toc15377218"/>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1"/>
        </w:numPr>
        <w:spacing w:line="600" w:lineRule="exact"/>
        <w:ind w:firstLine="640"/>
        <w:outlineLvl w:val="1"/>
        <w:rPr>
          <w:rStyle w:val="26"/>
          <w:rFonts w:ascii="黑体" w:hAnsi="黑体" w:eastAsia="黑体"/>
          <w:b w:val="0"/>
        </w:rPr>
      </w:pPr>
      <w:bookmarkStart w:id="86" w:name="_Toc79163623"/>
      <w:bookmarkStart w:id="87" w:name="_Toc79163873"/>
      <w:bookmarkStart w:id="88" w:name="_Toc15377219"/>
      <w:bookmarkStart w:id="89" w:name="_Toc15396611"/>
      <w:r>
        <w:rPr>
          <w:rStyle w:val="26"/>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hAnsi="黑体" w:eastAsia="黑体"/>
        </w:rPr>
      </w:pPr>
      <w:bookmarkStart w:id="90" w:name="_Toc15396612"/>
      <w:bookmarkStart w:id="91" w:name="_Toc79163874"/>
      <w:bookmarkStart w:id="92" w:name="_Toc79163624"/>
      <w:bookmarkStart w:id="93"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90"/>
      <w:bookmarkEnd w:id="91"/>
      <w:bookmarkEnd w:id="92"/>
      <w:bookmarkEnd w:id="93"/>
    </w:p>
    <w:p>
      <w:pPr>
        <w:spacing w:line="600" w:lineRule="exact"/>
        <w:ind w:firstLine="642" w:firstLineChars="200"/>
        <w:outlineLvl w:val="2"/>
        <w:rPr>
          <w:rFonts w:ascii="仿宋" w:hAnsi="仿宋" w:eastAsia="仿宋"/>
          <w:color w:val="000000"/>
          <w:sz w:val="32"/>
          <w:szCs w:val="32"/>
        </w:rPr>
      </w:pPr>
      <w:bookmarkStart w:id="94" w:name="_Toc79163875"/>
      <w:bookmarkStart w:id="95" w:name="_Toc79163625"/>
      <w:bookmarkStart w:id="96" w:name="_Toc15377222"/>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人大</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74.39</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44.53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37.45</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厉行节约，严格控制机关运行经费的支出。</w:t>
      </w:r>
      <w:bookmarkStart w:id="97" w:name="_Toc79163626"/>
      <w:bookmarkStart w:id="98" w:name="_Toc15377223"/>
      <w:bookmarkStart w:id="99" w:name="_Toc79163876"/>
    </w:p>
    <w:p>
      <w:pPr>
        <w:spacing w:line="600" w:lineRule="exact"/>
        <w:ind w:firstLine="642" w:firstLineChars="200"/>
        <w:rPr>
          <w:rFonts w:ascii="仿宋" w:hAnsi="仿宋" w:eastAsia="仿宋"/>
          <w:b/>
          <w:color w:val="000000"/>
          <w:sz w:val="32"/>
          <w:szCs w:val="32"/>
        </w:rPr>
      </w:pPr>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无</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0" w:name="_Toc79163627"/>
      <w:bookmarkStart w:id="101" w:name="_Toc15377224"/>
      <w:bookmarkStart w:id="102" w:name="_Toc7916387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人大</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单位领导调研、职工下乡开展日常工作用车。</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hint="eastAsia" w:ascii="仿宋" w:hAnsi="仿宋" w:eastAsia="仿宋"/>
          <w:b/>
          <w:color w:val="000000"/>
          <w:sz w:val="32"/>
          <w:szCs w:val="32"/>
        </w:rPr>
      </w:pPr>
      <w:bookmarkStart w:id="103" w:name="_Toc79163878"/>
      <w:bookmarkStart w:id="104" w:name="_Toc79163628"/>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hint="eastAsia" w:ascii="仿宋" w:hAnsi="仿宋" w:eastAsia="仿宋"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年部门整体支出开展绩效自评，从评价情况来看</w:t>
      </w:r>
      <w:r>
        <w:rPr>
          <w:rFonts w:hint="eastAsia" w:ascii="仿宋" w:hAnsi="仿宋" w:eastAsia="仿宋" w:cs="仿宋_GB2312"/>
          <w:sz w:val="32"/>
          <w:szCs w:val="32"/>
          <w:lang w:val="en-US" w:eastAsia="zh-CN"/>
        </w:rPr>
        <w:t>人大办能认真履行好部门职能职责，圆满完成了县委、县政府下达的各项业务目标任务。在预算执行过程中能严格执行国家有关财经法律法规，本着勤俭节约原则，管理好用好每笔资金。自觉接受审计、财政、纪检监察等部门的监督检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项目支出绩效评价，因此未组织开展项目支出绩效评价</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w:t>
      </w: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人大办</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年部门整体支出绩效评价报告》见附件（附件1）。</w:t>
      </w:r>
    </w:p>
    <w:p>
      <w:pPr>
        <w:pStyle w:val="2"/>
      </w:pPr>
    </w:p>
    <w:p>
      <w:pPr>
        <w:numPr>
          <w:ilvl w:val="0"/>
          <w:numId w:val="2"/>
        </w:numPr>
        <w:spacing w:line="600" w:lineRule="exact"/>
        <w:ind w:firstLine="660" w:firstLineChars="150"/>
        <w:jc w:val="center"/>
        <w:outlineLvl w:val="0"/>
        <w:rPr>
          <w:rStyle w:val="25"/>
          <w:rFonts w:ascii="黑体" w:hAnsi="黑体" w:eastAsia="黑体"/>
          <w:b w:val="0"/>
        </w:rPr>
      </w:pPr>
      <w:bookmarkStart w:id="105" w:name="_Toc15396613"/>
      <w:bookmarkStart w:id="106" w:name="_Toc15377225"/>
      <w:bookmarkStart w:id="107" w:name="_Toc79163629"/>
      <w:bookmarkStart w:id="108" w:name="_Toc79163879"/>
      <w:r>
        <w:rPr>
          <w:rFonts w:hint="eastAsia" w:ascii="黑体" w:hAnsi="黑体" w:eastAsia="黑体"/>
          <w:color w:val="000000"/>
          <w:sz w:val="44"/>
          <w:szCs w:val="44"/>
        </w:rPr>
        <w:t>名</w:t>
      </w:r>
      <w:r>
        <w:rPr>
          <w:rStyle w:val="25"/>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left="638" w:leftChars="304" w:firstLine="0" w:firstLineChars="0"/>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）人大事务（</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）行政运行</w:t>
      </w:r>
    </w:p>
    <w:p>
      <w:pPr>
        <w:rPr>
          <w:rFonts w:hint="eastAsia" w:ascii="仿宋_GB2312" w:eastAsia="仿宋_GB2312"/>
          <w:color w:val="000000"/>
          <w:sz w:val="32"/>
          <w:szCs w:val="32"/>
          <w:lang w:eastAsia="zh-CN"/>
        </w:rPr>
      </w:pP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一般公共服务</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）人大事务（</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）人大会议</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lang w:eastAsia="zh-CN"/>
        </w:rPr>
        <w:t>）</w:t>
      </w:r>
    </w:p>
    <w:p>
      <w:pPr>
        <w:ind w:left="638" w:leftChars="304" w:firstLine="0" w:firstLineChars="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）行政事业单位养老支出（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p>
    <w:p>
      <w:pPr>
        <w:rPr>
          <w:rFonts w:hint="eastAsia" w:ascii="仿宋_GB2312" w:eastAsia="仿宋_GB2312"/>
          <w:color w:val="000000"/>
          <w:sz w:val="32"/>
          <w:szCs w:val="32"/>
          <w:lang w:eastAsia="zh-CN"/>
        </w:rPr>
      </w:pPr>
      <w:r>
        <w:rPr>
          <w:rFonts w:hint="eastAsia" w:ascii="仿宋_GB2312" w:eastAsia="仿宋_GB2312"/>
          <w:color w:val="000000"/>
          <w:sz w:val="32"/>
          <w:szCs w:val="32"/>
        </w:rPr>
        <w:t>机关事业单位基本养老保险缴费支出（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）行政事业单位养老支出（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机关事业单位职业年金缴费</w:t>
      </w:r>
      <w:r>
        <w:rPr>
          <w:rFonts w:hint="eastAsia" w:ascii="仿宋_GB2312" w:eastAsia="仿宋_GB2312"/>
          <w:color w:val="000000"/>
          <w:sz w:val="32"/>
          <w:szCs w:val="32"/>
        </w:rPr>
        <w:t>支出（</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w:t>
      </w:r>
    </w:p>
    <w:p>
      <w:pPr>
        <w:numPr>
          <w:ilvl w:val="0"/>
          <w:numId w:val="3"/>
        </w:num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  行政单位医疗（</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numPr>
          <w:ilvl w:val="0"/>
          <w:numId w:val="0"/>
        </w:num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eastAsia="zh-CN"/>
        </w:rPr>
        <w:t>公务员医疗补助</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numPr>
          <w:ilvl w:val="0"/>
          <w:numId w:val="0"/>
        </w:num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其他行政事业单位医疗支出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ind w:firstLine="640" w:firstLineChars="200"/>
        <w:rPr>
          <w:rFonts w:ascii="仿宋" w:hAnsi="仿宋" w:eastAsia="仿宋"/>
          <w:b/>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住房保障（</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）住房改革支出（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）住房公积金（</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 w:hAnsi="仿宋" w:eastAsia="仿宋"/>
          <w:b/>
          <w:color w:val="000000"/>
          <w:sz w:val="32"/>
          <w:szCs w:val="32"/>
        </w:rPr>
      </w:pPr>
    </w:p>
    <w:p>
      <w:pPr>
        <w:pStyle w:val="35"/>
        <w:spacing w:line="560" w:lineRule="exact"/>
        <w:ind w:firstLine="640" w:firstLineChars="200"/>
        <w:rPr>
          <w:rFonts w:ascii="仿宋_GB2312" w:eastAsia="仿宋_GB2312" w:cs="黑体"/>
          <w:sz w:val="32"/>
          <w:szCs w:val="32"/>
        </w:rPr>
      </w:pPr>
    </w:p>
    <w:p>
      <w:pPr>
        <w:spacing w:line="600" w:lineRule="exact"/>
        <w:jc w:val="center"/>
        <w:outlineLvl w:val="0"/>
        <w:rPr>
          <w:rFonts w:hint="eastAsia" w:ascii="黑体" w:hAnsi="黑体" w:eastAsia="黑体"/>
          <w:color w:val="000000"/>
          <w:sz w:val="44"/>
          <w:szCs w:val="44"/>
        </w:rPr>
      </w:pPr>
      <w:bookmarkStart w:id="109" w:name="_Toc15396614"/>
      <w:bookmarkStart w:id="110" w:name="_Toc79163630"/>
      <w:bookmarkStart w:id="111" w:name="_Toc79163880"/>
      <w:bookmarkStart w:id="112" w:name="_Toc15377226"/>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109"/>
      <w:bookmarkEnd w:id="110"/>
      <w:bookmarkEnd w:id="111"/>
    </w:p>
    <w:p>
      <w:pPr>
        <w:spacing w:line="600" w:lineRule="exact"/>
        <w:jc w:val="left"/>
        <w:outlineLvl w:val="0"/>
        <w:rPr>
          <w:rFonts w:ascii="方正小标宋简体" w:hAnsi="方正小标宋简体" w:eastAsia="方正小标宋简体" w:cs="方正小标宋简体"/>
          <w:sz w:val="32"/>
          <w:szCs w:val="32"/>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黑体" w:eastAsia="方正小标宋简体" w:cs="黑体"/>
          <w:sz w:val="44"/>
          <w:szCs w:val="44"/>
          <w:lang w:eastAsia="zh-CN"/>
        </w:rPr>
      </w:pPr>
      <w:bookmarkStart w:id="115" w:name="_Toc79163882"/>
      <w:bookmarkStart w:id="116" w:name="_Toc79163632"/>
      <w:r>
        <w:rPr>
          <w:rFonts w:hint="eastAsia" w:ascii="方正小标宋简体" w:hAnsi="黑体" w:eastAsia="方正小标宋简体" w:cs="黑体"/>
          <w:sz w:val="44"/>
          <w:szCs w:val="44"/>
          <w:lang w:eastAsia="zh-CN"/>
        </w:rPr>
        <w:t>九寨沟县人大常务委员会办公室</w:t>
      </w:r>
    </w:p>
    <w:p>
      <w:pPr>
        <w:spacing w:line="600" w:lineRule="exact"/>
        <w:jc w:val="center"/>
        <w:outlineLvl w:val="0"/>
        <w:rPr>
          <w:rFonts w:ascii="黑体" w:hAnsi="宋体" w:eastAsia="黑体" w:cs="宋体"/>
          <w:color w:val="000000"/>
          <w:kern w:val="0"/>
          <w:sz w:val="24"/>
          <w:szCs w:val="32"/>
          <w:shd w:val="clear" w:color="auto" w:fill="FFFFFF"/>
        </w:rPr>
      </w:pPr>
      <w:r>
        <w:rPr>
          <w:rFonts w:hint="eastAsia" w:ascii="方正小标宋简体" w:hAnsi="黑体" w:eastAsia="方正小标宋简体" w:cs="黑体"/>
          <w:sz w:val="44"/>
          <w:szCs w:val="44"/>
          <w:lang w:eastAsia="zh-CN"/>
        </w:rPr>
        <w:t>2021</w:t>
      </w:r>
      <w:r>
        <w:rPr>
          <w:rFonts w:hint="eastAsia" w:ascii="方正小标宋简体" w:hAnsi="黑体" w:eastAsia="方正小标宋简体" w:cs="黑体"/>
          <w:sz w:val="44"/>
          <w:szCs w:val="44"/>
        </w:rPr>
        <w:t>年部门整体支出绩效评价报告</w:t>
      </w:r>
      <w:bookmarkEnd w:id="115"/>
      <w:bookmarkEnd w:id="116"/>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spacing w:line="560" w:lineRule="exact"/>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Cs/>
          <w:sz w:val="32"/>
          <w:szCs w:val="32"/>
          <w:lang w:eastAsia="zh-CN"/>
        </w:rPr>
        <w:t>县</w:t>
      </w:r>
      <w:r>
        <w:rPr>
          <w:rFonts w:hint="eastAsia" w:ascii="仿宋_GB2312" w:hAnsi="仿宋_GB2312" w:eastAsia="仿宋_GB2312" w:cs="仿宋_GB2312"/>
          <w:bCs/>
          <w:sz w:val="32"/>
          <w:szCs w:val="32"/>
        </w:rPr>
        <w:t>人大机关</w:t>
      </w:r>
      <w:r>
        <w:rPr>
          <w:rFonts w:hint="eastAsia" w:ascii="仿宋_GB2312" w:hAnsi="仿宋_GB2312" w:eastAsia="仿宋_GB2312" w:cs="仿宋_GB2312"/>
          <w:bCs/>
          <w:sz w:val="32"/>
          <w:szCs w:val="32"/>
          <w:lang w:eastAsia="zh-CN"/>
        </w:rPr>
        <w:t>内</w:t>
      </w:r>
      <w:r>
        <w:rPr>
          <w:rFonts w:hint="eastAsia" w:ascii="仿宋_GB2312" w:hAnsi="仿宋_GB2312" w:eastAsia="仿宋_GB2312" w:cs="仿宋_GB2312"/>
          <w:bCs/>
          <w:sz w:val="32"/>
          <w:szCs w:val="32"/>
        </w:rPr>
        <w:t>设</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个办事机构（</w:t>
      </w:r>
      <w:r>
        <w:rPr>
          <w:rFonts w:hint="eastAsia" w:ascii="仿宋_GB2312" w:hAnsi="仿宋_GB2312" w:eastAsia="仿宋_GB2312" w:cs="仿宋_GB2312"/>
          <w:bCs/>
          <w:sz w:val="32"/>
          <w:szCs w:val="32"/>
          <w:lang w:eastAsia="zh-CN"/>
        </w:rPr>
        <w:t>县</w:t>
      </w:r>
      <w:r>
        <w:rPr>
          <w:rFonts w:hint="eastAsia" w:ascii="仿宋_GB2312" w:hAnsi="仿宋_GB2312" w:eastAsia="仿宋_GB2312" w:cs="仿宋_GB2312"/>
          <w:bCs/>
          <w:sz w:val="32"/>
          <w:szCs w:val="32"/>
        </w:rPr>
        <w:t>人大常委会办公室、</w:t>
      </w:r>
      <w:r>
        <w:rPr>
          <w:rFonts w:hint="eastAsia" w:ascii="仿宋_GB2312" w:hAnsi="仿宋_GB2312" w:eastAsia="仿宋_GB2312" w:cs="仿宋_GB2312"/>
          <w:bCs/>
          <w:sz w:val="32"/>
          <w:szCs w:val="32"/>
          <w:lang w:eastAsia="zh-CN"/>
        </w:rPr>
        <w:t>人事</w:t>
      </w:r>
      <w:r>
        <w:rPr>
          <w:rFonts w:hint="eastAsia" w:ascii="仿宋_GB2312" w:hAnsi="仿宋_GB2312" w:eastAsia="仿宋_GB2312" w:cs="仿宋_GB2312"/>
          <w:bCs/>
          <w:sz w:val="32"/>
          <w:szCs w:val="32"/>
        </w:rPr>
        <w:t>代表</w:t>
      </w:r>
      <w:r>
        <w:rPr>
          <w:rFonts w:hint="eastAsia" w:ascii="仿宋_GB2312" w:hAnsi="仿宋_GB2312" w:eastAsia="仿宋_GB2312" w:cs="仿宋_GB2312"/>
          <w:bCs/>
          <w:sz w:val="32"/>
          <w:szCs w:val="32"/>
          <w:lang w:eastAsia="zh-CN"/>
        </w:rPr>
        <w:t>信访工作室、</w:t>
      </w:r>
      <w:r>
        <w:rPr>
          <w:rFonts w:hint="eastAsia" w:ascii="仿宋_GB2312" w:hAnsi="仿宋_GB2312" w:eastAsia="仿宋_GB2312" w:cs="仿宋_GB2312"/>
          <w:bCs/>
          <w:sz w:val="32"/>
          <w:szCs w:val="32"/>
        </w:rPr>
        <w:t>财经工作委员会、法制工作委员会、教科文卫工作委员会）</w:t>
      </w:r>
      <w:r>
        <w:rPr>
          <w:rFonts w:hint="eastAsia" w:ascii="仿宋_GB2312" w:hAnsi="仿宋_GB2312" w:eastAsia="仿宋_GB2312" w:cs="仿宋_GB2312"/>
          <w:bCs/>
          <w:sz w:val="32"/>
          <w:szCs w:val="32"/>
          <w:lang w:eastAsia="zh-CN"/>
        </w:rPr>
        <w:t>。</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九寨沟县人大常委会是按照宪法和法律赋予的职权，担负维护宪法尊严、保证宪法实施、管理国家事务、管理经济和文化事务、管理社会事务等职能，对“一府一良两院”实施监督权、决定权和任免权；发扬社会主义民主，健全社会主义法制，围绕党的中心工作开展工作。</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pStyle w:val="2"/>
        <w:ind w:left="0" w:leftChars="0" w:firstLine="640" w:firstLineChars="200"/>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20</w:t>
      </w:r>
      <w:r>
        <w:rPr>
          <w:rFonts w:hint="eastAsia" w:ascii="仿宋_GB2312" w:hAnsi="宋体" w:eastAsia="仿宋_GB2312" w:cs="宋体"/>
          <w:color w:val="000000"/>
          <w:kern w:val="0"/>
          <w:sz w:val="32"/>
          <w:szCs w:val="32"/>
          <w:shd w:val="clear" w:color="auto" w:fill="FFFFFF"/>
          <w:lang w:val="en-US" w:eastAsia="zh-CN" w:bidi="ar-SA"/>
        </w:rPr>
        <w:t>21</w:t>
      </w:r>
      <w:r>
        <w:rPr>
          <w:rFonts w:hint="eastAsia" w:ascii="仿宋_GB2312" w:hAnsi="宋体" w:eastAsia="仿宋_GB2312" w:cs="宋体"/>
          <w:color w:val="000000"/>
          <w:kern w:val="0"/>
          <w:sz w:val="32"/>
          <w:szCs w:val="32"/>
          <w:shd w:val="clear" w:color="auto" w:fill="FFFFFF"/>
          <w:lang w:val="zh-CN" w:eastAsia="zh-CN" w:bidi="ar-SA"/>
        </w:rPr>
        <w:t>年度，部门人员编制为</w:t>
      </w:r>
      <w:r>
        <w:rPr>
          <w:rFonts w:hint="eastAsia" w:ascii="仿宋_GB2312" w:hAnsi="宋体" w:eastAsia="仿宋_GB2312" w:cs="宋体"/>
          <w:color w:val="000000"/>
          <w:kern w:val="0"/>
          <w:sz w:val="32"/>
          <w:szCs w:val="32"/>
          <w:shd w:val="clear" w:color="auto" w:fill="FFFFFF"/>
          <w:lang w:val="en-US" w:eastAsia="zh-CN" w:bidi="ar-SA"/>
        </w:rPr>
        <w:t>20</w:t>
      </w:r>
      <w:r>
        <w:rPr>
          <w:rFonts w:hint="eastAsia" w:ascii="仿宋_GB2312" w:hAnsi="宋体" w:eastAsia="仿宋_GB2312" w:cs="宋体"/>
          <w:color w:val="000000"/>
          <w:kern w:val="0"/>
          <w:sz w:val="32"/>
          <w:szCs w:val="32"/>
          <w:shd w:val="clear" w:color="auto" w:fill="FFFFFF"/>
          <w:lang w:val="zh-CN" w:eastAsia="zh-CN" w:bidi="ar-SA"/>
        </w:rPr>
        <w:t>人，其中：行政编制</w:t>
      </w:r>
      <w:r>
        <w:rPr>
          <w:rFonts w:hint="eastAsia" w:ascii="仿宋_GB2312" w:hAnsi="宋体" w:eastAsia="仿宋_GB2312" w:cs="宋体"/>
          <w:color w:val="000000"/>
          <w:kern w:val="0"/>
          <w:sz w:val="32"/>
          <w:szCs w:val="32"/>
          <w:shd w:val="clear" w:color="auto" w:fill="FFFFFF"/>
          <w:lang w:val="en-US" w:eastAsia="zh-CN" w:bidi="ar-SA"/>
        </w:rPr>
        <w:t>16</w:t>
      </w:r>
      <w:r>
        <w:rPr>
          <w:rFonts w:hint="eastAsia" w:ascii="仿宋_GB2312" w:hAnsi="宋体" w:eastAsia="仿宋_GB2312" w:cs="宋体"/>
          <w:color w:val="000000"/>
          <w:kern w:val="0"/>
          <w:sz w:val="32"/>
          <w:szCs w:val="32"/>
          <w:shd w:val="clear" w:color="auto" w:fill="FFFFFF"/>
          <w:lang w:val="zh-CN" w:eastAsia="zh-CN" w:bidi="ar-SA"/>
        </w:rPr>
        <w:t>人，行政工勤</w:t>
      </w:r>
      <w:r>
        <w:rPr>
          <w:rFonts w:hint="eastAsia" w:ascii="仿宋_GB2312" w:hAnsi="宋体" w:eastAsia="仿宋_GB2312" w:cs="宋体"/>
          <w:color w:val="000000"/>
          <w:kern w:val="0"/>
          <w:sz w:val="32"/>
          <w:szCs w:val="32"/>
          <w:shd w:val="clear" w:color="auto" w:fill="FFFFFF"/>
          <w:lang w:val="en-US" w:eastAsia="zh-CN" w:bidi="ar-SA"/>
        </w:rPr>
        <w:t>2</w:t>
      </w:r>
      <w:r>
        <w:rPr>
          <w:rFonts w:hint="eastAsia" w:ascii="仿宋_GB2312" w:hAnsi="宋体" w:eastAsia="仿宋_GB2312" w:cs="宋体"/>
          <w:color w:val="000000"/>
          <w:kern w:val="0"/>
          <w:sz w:val="32"/>
          <w:szCs w:val="32"/>
          <w:shd w:val="clear" w:color="auto" w:fill="FFFFFF"/>
          <w:lang w:val="zh-CN" w:eastAsia="zh-CN" w:bidi="ar-SA"/>
        </w:rPr>
        <w:t>人，事业编制</w:t>
      </w:r>
      <w:r>
        <w:rPr>
          <w:rFonts w:hint="eastAsia" w:ascii="仿宋_GB2312" w:hAnsi="宋体" w:eastAsia="仿宋_GB2312" w:cs="宋体"/>
          <w:color w:val="000000"/>
          <w:kern w:val="0"/>
          <w:sz w:val="32"/>
          <w:szCs w:val="32"/>
          <w:shd w:val="clear" w:color="auto" w:fill="FFFFFF"/>
          <w:lang w:val="en-US" w:eastAsia="zh-CN" w:bidi="ar-SA"/>
        </w:rPr>
        <w:t>2</w:t>
      </w:r>
      <w:r>
        <w:rPr>
          <w:rFonts w:hint="eastAsia" w:ascii="仿宋_GB2312" w:hAnsi="宋体" w:eastAsia="仿宋_GB2312" w:cs="宋体"/>
          <w:color w:val="000000"/>
          <w:kern w:val="0"/>
          <w:sz w:val="32"/>
          <w:szCs w:val="32"/>
          <w:shd w:val="clear" w:color="auto" w:fill="FFFFFF"/>
          <w:lang w:val="zh-CN" w:eastAsia="zh-CN" w:bidi="ar-SA"/>
        </w:rPr>
        <w:t>人，部门年末实有人数</w:t>
      </w:r>
      <w:r>
        <w:rPr>
          <w:rFonts w:hint="eastAsia" w:ascii="仿宋_GB2312" w:hAnsi="宋体" w:eastAsia="仿宋_GB2312" w:cs="宋体"/>
          <w:color w:val="000000"/>
          <w:kern w:val="0"/>
          <w:sz w:val="32"/>
          <w:szCs w:val="32"/>
          <w:shd w:val="clear" w:color="auto" w:fill="FFFFFF"/>
          <w:lang w:val="en-US" w:eastAsia="zh-CN" w:bidi="ar-SA"/>
        </w:rPr>
        <w:t>27</w:t>
      </w:r>
      <w:r>
        <w:rPr>
          <w:rFonts w:hint="eastAsia" w:ascii="仿宋_GB2312" w:hAnsi="宋体" w:eastAsia="仿宋_GB2312" w:cs="宋体"/>
          <w:color w:val="000000"/>
          <w:kern w:val="0"/>
          <w:sz w:val="32"/>
          <w:szCs w:val="32"/>
          <w:shd w:val="clear" w:color="auto" w:fill="FFFFFF"/>
          <w:lang w:val="zh-CN" w:eastAsia="zh-CN" w:bidi="ar-SA"/>
        </w:rPr>
        <w:t>人，其中：行政编制人员</w:t>
      </w:r>
      <w:r>
        <w:rPr>
          <w:rFonts w:hint="eastAsia" w:ascii="仿宋_GB2312" w:hAnsi="宋体" w:eastAsia="仿宋_GB2312" w:cs="宋体"/>
          <w:color w:val="000000"/>
          <w:kern w:val="0"/>
          <w:sz w:val="32"/>
          <w:szCs w:val="32"/>
          <w:shd w:val="clear" w:color="auto" w:fill="FFFFFF"/>
          <w:lang w:val="en-US" w:eastAsia="zh-CN" w:bidi="ar-SA"/>
        </w:rPr>
        <w:t>21</w:t>
      </w:r>
      <w:r>
        <w:rPr>
          <w:rFonts w:hint="eastAsia" w:ascii="仿宋_GB2312" w:hAnsi="宋体" w:eastAsia="仿宋_GB2312" w:cs="宋体"/>
          <w:color w:val="000000"/>
          <w:kern w:val="0"/>
          <w:sz w:val="32"/>
          <w:szCs w:val="32"/>
          <w:shd w:val="clear" w:color="auto" w:fill="FFFFFF"/>
          <w:lang w:val="zh-CN" w:eastAsia="zh-CN" w:bidi="ar-SA"/>
        </w:rPr>
        <w:t>人，行政工勤</w:t>
      </w:r>
      <w:r>
        <w:rPr>
          <w:rFonts w:hint="eastAsia" w:ascii="仿宋_GB2312" w:hAnsi="宋体" w:eastAsia="仿宋_GB2312" w:cs="宋体"/>
          <w:color w:val="000000"/>
          <w:kern w:val="0"/>
          <w:sz w:val="32"/>
          <w:szCs w:val="32"/>
          <w:shd w:val="clear" w:color="auto" w:fill="FFFFFF"/>
          <w:lang w:val="en-US" w:eastAsia="zh-CN" w:bidi="ar-SA"/>
        </w:rPr>
        <w:t>4</w:t>
      </w:r>
      <w:r>
        <w:rPr>
          <w:rFonts w:hint="eastAsia" w:ascii="仿宋_GB2312" w:hAnsi="宋体" w:eastAsia="仿宋_GB2312" w:cs="宋体"/>
          <w:color w:val="000000"/>
          <w:kern w:val="0"/>
          <w:sz w:val="32"/>
          <w:szCs w:val="32"/>
          <w:shd w:val="clear" w:color="auto" w:fill="FFFFFF"/>
          <w:lang w:val="zh-CN" w:eastAsia="zh-CN" w:bidi="ar-SA"/>
        </w:rPr>
        <w:t>人，事业</w:t>
      </w:r>
      <w:r>
        <w:rPr>
          <w:rFonts w:hint="eastAsia" w:ascii="仿宋_GB2312" w:hAnsi="宋体" w:eastAsia="仿宋_GB2312" w:cs="宋体"/>
          <w:color w:val="000000"/>
          <w:kern w:val="0"/>
          <w:sz w:val="32"/>
          <w:szCs w:val="32"/>
          <w:shd w:val="clear" w:color="auto" w:fill="FFFFFF"/>
          <w:lang w:val="en-US" w:eastAsia="zh-CN" w:bidi="ar-SA"/>
        </w:rPr>
        <w:t>2</w:t>
      </w:r>
      <w:r>
        <w:rPr>
          <w:rFonts w:hint="eastAsia" w:ascii="仿宋_GB2312" w:hAnsi="宋体" w:eastAsia="仿宋_GB2312" w:cs="宋体"/>
          <w:color w:val="000000"/>
          <w:kern w:val="0"/>
          <w:sz w:val="32"/>
          <w:szCs w:val="32"/>
          <w:shd w:val="clear" w:color="auto" w:fill="FFFFFF"/>
          <w:lang w:val="zh-CN" w:eastAsia="zh-CN" w:bidi="ar-SA"/>
        </w:rPr>
        <w:t>人。</w:t>
      </w:r>
    </w:p>
    <w:p>
      <w:pPr>
        <w:widowControl/>
        <w:adjustRightInd w:val="0"/>
        <w:snapToGrid w:val="0"/>
        <w:spacing w:line="580" w:lineRule="exact"/>
        <w:ind w:left="319" w:leftChars="152" w:firstLine="320" w:firstLineChars="1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二、部门财政资金收支情况</w:t>
      </w:r>
      <w:r>
        <w:rPr>
          <w:rFonts w:hint="eastAsia" w:ascii="黑体" w:hAnsi="宋体" w:eastAsia="黑体" w:cs="宋体"/>
          <w:color w:val="000000"/>
          <w:kern w:val="0"/>
          <w:sz w:val="32"/>
          <w:szCs w:val="32"/>
          <w:shd w:val="clear" w:color="auto" w:fill="FFFFFF"/>
          <w:lang w:val="en-US" w:eastAsia="zh-CN"/>
        </w:rPr>
        <w:t xml:space="preserve">                      </w:t>
      </w:r>
      <w:r>
        <w:rPr>
          <w:rFonts w:hint="eastAsia" w:ascii="仿宋_GB2312" w:hAnsi="宋体" w:eastAsia="仿宋_GB2312" w:cs="宋体"/>
          <w:color w:val="000000"/>
          <w:kern w:val="0"/>
          <w:sz w:val="32"/>
          <w:szCs w:val="32"/>
          <w:shd w:val="clear" w:color="auto" w:fill="FFFFFF"/>
          <w:lang w:val="zh-CN"/>
        </w:rPr>
        <w:t>（一）部门财政资金收入情况。</w:t>
      </w:r>
      <w:r>
        <w:rPr>
          <w:rFonts w:hint="eastAsia" w:ascii="仿宋_GB2312" w:hAnsi="宋体" w:eastAsia="仿宋_GB2312" w:cs="宋体"/>
          <w:color w:val="000000"/>
          <w:kern w:val="0"/>
          <w:sz w:val="32"/>
          <w:szCs w:val="32"/>
          <w:shd w:val="clear" w:color="auto" w:fill="FFFFFF"/>
          <w:lang w:val="en-US" w:eastAsia="zh-CN"/>
        </w:rPr>
        <w:t>全年总收入848.35万元，其中（一般公共预算财政拨款收入718.35，年初结转和结余66.57万元）</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firstLine="640" w:firstLineChars="200"/>
        <w:jc w:val="both"/>
        <w:rPr>
          <w:rFonts w:hint="eastAsia" w:ascii="仿宋_GB2312" w:hAnsi="宋体" w:eastAsia="仿宋_GB2312" w:cs="宋体"/>
          <w:color w:val="000000"/>
          <w:kern w:val="0"/>
          <w:sz w:val="32"/>
          <w:szCs w:val="32"/>
          <w:shd w:val="clear" w:color="auto" w:fill="FFFFFF"/>
          <w:lang w:val="en-US" w:eastAsia="zh-CN" w:bidi="ar-SA"/>
        </w:rPr>
      </w:pPr>
      <w:r>
        <w:rPr>
          <w:rFonts w:hint="eastAsia" w:ascii="仿宋_GB2312" w:hAnsi="宋体" w:eastAsia="仿宋_GB2312" w:cs="宋体"/>
          <w:color w:val="000000"/>
          <w:kern w:val="0"/>
          <w:sz w:val="32"/>
          <w:szCs w:val="32"/>
          <w:shd w:val="clear" w:color="auto" w:fill="FFFFFF"/>
          <w:lang w:val="en-US" w:eastAsia="zh-CN" w:bidi="ar-SA"/>
        </w:rPr>
        <w:t>全年总支出848.35万元，基本支出683.12万元（其中：人员支出607.74万元，主要用于本单位干部职工的工资福利支出 公用支出 74.89万元，主要用于单位的各种办公、印刷、差旅、接待等支出）。项目支出165.23万元。主要用于人大代会期间各项会议开支、人大代表履职能力培训、预算联网设备购置支出。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i w:val="0"/>
          <w:caps w:val="0"/>
          <w:color w:val="333333"/>
          <w:spacing w:val="0"/>
          <w:kern w:val="0"/>
          <w:sz w:val="32"/>
          <w:szCs w:val="32"/>
          <w:shd w:val="clear" w:fill="FFFFFF"/>
          <w:lang w:val="en-US" w:eastAsia="zh-CN" w:bidi="ar"/>
        </w:rPr>
        <w:t>按照综合预算的原则，人大办所有收入和支出均纳入部门预算管理。收入包括：一般公共预算拨款收入、上年结转；支出包括：一般公共服务支出、社会保障和就业支出、医疗卫生与计划生育支出、住房保障支出</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spacing w:line="560" w:lineRule="exact"/>
        <w:ind w:firstLine="640" w:firstLineChars="200"/>
        <w:rPr>
          <w:rFonts w:hint="eastAsia" w:ascii="黑体" w:hAnsi="宋体" w:eastAsia="黑体" w:cs="宋体"/>
          <w:color w:val="000000"/>
          <w:kern w:val="0"/>
          <w:sz w:val="32"/>
          <w:szCs w:val="32"/>
          <w:shd w:val="clear" w:color="auto" w:fill="FFFFFF"/>
        </w:rPr>
      </w:pPr>
      <w:r>
        <w:rPr>
          <w:rFonts w:hint="eastAsia" w:ascii="仿宋_GB2312" w:hAnsi="仿宋_GB2312" w:eastAsia="仿宋_GB2312" w:cs="仿宋_GB2312"/>
          <w:bCs/>
          <w:sz w:val="32"/>
          <w:szCs w:val="32"/>
          <w:lang w:val="en-US" w:eastAsia="zh-CN"/>
        </w:rPr>
        <w:t>在使用专项资金时，严格执行专项资使用制度和财务制度，同时对各项专项资金的使用流程进行监督，定时查看财务表报检查专项资金使用情况。</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spacing w:line="560" w:lineRule="exact"/>
        <w:ind w:firstLine="640" w:firstLineChars="200"/>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县人大按照九寨沟县财政局《关于开展2022年部门、财政和项目支出绩效评价工作的通知》（九财〔2022〕99号）要求，成立了由办公室主任任组长，分管副主任任副组长，财务人员为成员的财政支出绩效评价自评工作组，对单位2021年度财政支出绩效进行了全面的自我评价。从自评情况看，财务管理规范，相关财务管理制度健全，“三公”经费使用管理符合厉行节约规定，资金的申请和拨付严格执行规定程序，较好地保证了财务信息的真实性、及时性和完整性，财政资金发挥的效益明显，有效地保证了机构正常运转和完成特定任务目标的经费需要。</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spacing w:line="560" w:lineRule="exact"/>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Cs/>
          <w:sz w:val="32"/>
          <w:szCs w:val="32"/>
          <w:lang w:val="en-US" w:eastAsia="zh-CN"/>
        </w:rPr>
        <w:t>通过对2021年度财政支出绩效的自我评价，县人大2021年财政支出绩效评价方面也存在一些问题，一是单位对财政支出绩效评价工作重要性认识不足，对财政绩效评价工作重视程度不高；二是单位财会人员专业性不强，业务水平不够高。</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针对上述存在问题，将在今后的工作中认真改正和弥补。一是加大党和国家有关强化财经管理的方针政策宣传学习力度，特别是要求单位负责人强化对党和国家有关财经管理方面知识的学习，进一步提高单位负责人财经管理的理论水平；二是强化对财政支出绩效评价工作重要性的认识，按照“花钱必问效</w:t>
      </w:r>
      <w:r>
        <w:rPr>
          <w:rFonts w:hint="eastAsia" w:ascii="仿宋_GB2312" w:hAnsi="仿宋_GB2312" w:eastAsia="仿宋_GB2312" w:cs="仿宋_GB2312"/>
          <w:bCs/>
          <w:sz w:val="28"/>
          <w:szCs w:val="28"/>
          <w:lang w:eastAsia="zh-CN"/>
        </w:rPr>
        <w:t>，无效必问责</w:t>
      </w:r>
      <w:r>
        <w:rPr>
          <w:rFonts w:hint="eastAsia" w:ascii="仿宋_GB2312" w:hAnsi="仿宋_GB2312" w:eastAsia="仿宋_GB2312" w:cs="仿宋_GB2312"/>
          <w:bCs/>
          <w:sz w:val="28"/>
          <w:szCs w:val="28"/>
        </w:rPr>
        <w:t>”的原则，切实做好“预算支出绩效评价”工作；三是加强对</w:t>
      </w:r>
      <w:r>
        <w:rPr>
          <w:rFonts w:hint="eastAsia" w:ascii="仿宋_GB2312" w:hAnsi="仿宋_GB2312" w:eastAsia="仿宋_GB2312" w:cs="仿宋_GB2312"/>
          <w:bCs/>
          <w:sz w:val="28"/>
          <w:szCs w:val="28"/>
          <w:lang w:eastAsia="zh-CN"/>
        </w:rPr>
        <w:t>单位</w:t>
      </w:r>
      <w:r>
        <w:rPr>
          <w:rFonts w:hint="eastAsia" w:ascii="仿宋_GB2312" w:hAnsi="仿宋_GB2312" w:eastAsia="仿宋_GB2312" w:cs="仿宋_GB2312"/>
          <w:bCs/>
          <w:sz w:val="28"/>
          <w:szCs w:val="28"/>
        </w:rPr>
        <w:t>经办人员的培训，提升做好财务基础工作的能力。四是希望</w:t>
      </w:r>
      <w:r>
        <w:rPr>
          <w:rFonts w:hint="eastAsia" w:ascii="仿宋_GB2312" w:hAnsi="仿宋_GB2312" w:eastAsia="仿宋_GB2312" w:cs="仿宋_GB2312"/>
          <w:bCs/>
          <w:sz w:val="28"/>
          <w:szCs w:val="28"/>
          <w:lang w:eastAsia="zh-CN"/>
        </w:rPr>
        <w:t>县</w:t>
      </w:r>
      <w:r>
        <w:rPr>
          <w:rFonts w:hint="eastAsia" w:ascii="仿宋_GB2312" w:hAnsi="仿宋_GB2312" w:eastAsia="仿宋_GB2312" w:cs="仿宋_GB2312"/>
          <w:bCs/>
          <w:sz w:val="28"/>
          <w:szCs w:val="28"/>
        </w:rPr>
        <w:t>财政局在恰当的时候对单位负责人和财务人员进行培训，进一步提升严格执行财务制度，强化财务监管，重视财务工作的能力和水平。</w:t>
      </w:r>
    </w:p>
    <w:p>
      <w:pPr>
        <w:pStyle w:val="2"/>
        <w:rPr>
          <w:rFonts w:hint="eastAsia"/>
        </w:rPr>
      </w:pPr>
      <w:bookmarkStart w:id="117" w:name="_Toc79163635"/>
      <w:bookmarkStart w:id="118" w:name="_Toc15396618"/>
      <w:bookmarkStart w:id="119" w:name="_Toc79163885"/>
    </w:p>
    <w:p>
      <w:pPr>
        <w:spacing w:line="600" w:lineRule="exact"/>
        <w:jc w:val="center"/>
        <w:outlineLvl w:val="0"/>
        <w:rPr>
          <w:rFonts w:hint="eastAsia"/>
          <w:lang w:val="en-US" w:eastAsia="zh-CN"/>
        </w:rPr>
      </w:pPr>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12"/>
      <w:bookmarkEnd w:id="117"/>
      <w:bookmarkEnd w:id="118"/>
      <w:bookmarkEnd w:id="119"/>
    </w:p>
    <w:p>
      <w:pPr>
        <w:pStyle w:val="5"/>
        <w:rPr>
          <w:rFonts w:ascii="仿宋" w:hAnsi="仿宋" w:eastAsia="仿宋"/>
          <w:color w:val="000000"/>
        </w:rPr>
      </w:pPr>
      <w:bookmarkStart w:id="120" w:name="_Toc79163636"/>
      <w:bookmarkStart w:id="121" w:name="_Toc79163886"/>
      <w:bookmarkStart w:id="122"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120"/>
      <w:bookmarkEnd w:id="121"/>
      <w:bookmarkEnd w:id="122"/>
    </w:p>
    <w:p>
      <w:pPr>
        <w:pStyle w:val="5"/>
        <w:rPr>
          <w:rFonts w:ascii="仿宋" w:hAnsi="仿宋" w:eastAsia="仿宋"/>
          <w:color w:val="000000"/>
        </w:rPr>
      </w:pPr>
      <w:bookmarkStart w:id="123" w:name="_Toc15396620"/>
      <w:bookmarkStart w:id="124" w:name="_Toc79163637"/>
      <w:bookmarkStart w:id="125" w:name="_Toc79163887"/>
      <w:r>
        <w:rPr>
          <w:rFonts w:hint="eastAsia" w:ascii="仿宋" w:hAnsi="仿宋" w:eastAsia="仿宋"/>
          <w:b w:val="0"/>
          <w:color w:val="000000"/>
        </w:rPr>
        <w:t>二、收</w:t>
      </w:r>
      <w:r>
        <w:rPr>
          <w:rStyle w:val="26"/>
          <w:rFonts w:hint="eastAsia" w:ascii="仿宋" w:hAnsi="仿宋" w:eastAsia="仿宋"/>
          <w:b w:val="0"/>
          <w:bCs w:val="0"/>
        </w:rPr>
        <w:t>入决算表</w:t>
      </w:r>
      <w:bookmarkEnd w:id="123"/>
      <w:bookmarkEnd w:id="124"/>
      <w:bookmarkEnd w:id="125"/>
    </w:p>
    <w:p>
      <w:pPr>
        <w:pStyle w:val="5"/>
        <w:rPr>
          <w:rFonts w:ascii="仿宋" w:hAnsi="仿宋" w:eastAsia="仿宋"/>
          <w:color w:val="000000"/>
        </w:rPr>
      </w:pPr>
      <w:bookmarkStart w:id="126" w:name="_Toc79163888"/>
      <w:bookmarkStart w:id="127" w:name="_Toc15396621"/>
      <w:bookmarkStart w:id="128" w:name="_Toc79163638"/>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26"/>
      <w:bookmarkEnd w:id="127"/>
      <w:bookmarkEnd w:id="128"/>
    </w:p>
    <w:p>
      <w:pPr>
        <w:pStyle w:val="5"/>
        <w:rPr>
          <w:rFonts w:ascii="仿宋" w:hAnsi="仿宋" w:eastAsia="仿宋"/>
          <w:b w:val="0"/>
          <w:color w:val="000000"/>
        </w:rPr>
      </w:pPr>
      <w:bookmarkStart w:id="129" w:name="_Toc15396622"/>
      <w:bookmarkStart w:id="130" w:name="_Toc79163639"/>
      <w:bookmarkStart w:id="131" w:name="_Toc79163889"/>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29"/>
      <w:bookmarkEnd w:id="130"/>
      <w:bookmarkEnd w:id="131"/>
    </w:p>
    <w:p>
      <w:pPr>
        <w:pStyle w:val="5"/>
        <w:rPr>
          <w:rStyle w:val="26"/>
          <w:rFonts w:ascii="仿宋" w:hAnsi="仿宋" w:eastAsia="仿宋"/>
          <w:b w:val="0"/>
          <w:bCs w:val="0"/>
        </w:rPr>
      </w:pPr>
      <w:bookmarkStart w:id="132" w:name="_Toc15396623"/>
      <w:bookmarkStart w:id="133" w:name="_Toc79163890"/>
      <w:bookmarkStart w:id="134" w:name="_Toc79163640"/>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32"/>
      <w:bookmarkEnd w:id="133"/>
      <w:bookmarkEnd w:id="134"/>
      <w:bookmarkStart w:id="135" w:name="_Toc15396624"/>
    </w:p>
    <w:p>
      <w:pPr>
        <w:pStyle w:val="5"/>
        <w:rPr>
          <w:rFonts w:ascii="仿宋" w:hAnsi="仿宋" w:eastAsia="仿宋"/>
          <w:color w:val="000000"/>
        </w:rPr>
      </w:pPr>
      <w:bookmarkStart w:id="136" w:name="_Toc79163641"/>
      <w:bookmarkStart w:id="137" w:name="_Toc79163891"/>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35"/>
      <w:bookmarkEnd w:id="136"/>
      <w:bookmarkEnd w:id="137"/>
    </w:p>
    <w:p>
      <w:pPr>
        <w:pStyle w:val="5"/>
        <w:rPr>
          <w:rFonts w:ascii="仿宋" w:hAnsi="仿宋" w:eastAsia="仿宋"/>
          <w:color w:val="000000"/>
        </w:rPr>
      </w:pPr>
      <w:bookmarkStart w:id="138" w:name="_Toc79163642"/>
      <w:bookmarkStart w:id="139" w:name="_Toc79163892"/>
      <w:bookmarkStart w:id="140"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38"/>
      <w:bookmarkEnd w:id="139"/>
      <w:bookmarkEnd w:id="140"/>
    </w:p>
    <w:p>
      <w:pPr>
        <w:pStyle w:val="5"/>
        <w:rPr>
          <w:rFonts w:ascii="仿宋" w:hAnsi="仿宋" w:eastAsia="仿宋"/>
          <w:color w:val="000000"/>
        </w:rPr>
      </w:pPr>
      <w:bookmarkStart w:id="141" w:name="_Toc79163643"/>
      <w:bookmarkStart w:id="142" w:name="_Toc15396626"/>
      <w:bookmarkStart w:id="143" w:name="_Toc79163893"/>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41"/>
      <w:bookmarkEnd w:id="142"/>
      <w:bookmarkEnd w:id="143"/>
    </w:p>
    <w:p>
      <w:pPr>
        <w:pStyle w:val="5"/>
        <w:rPr>
          <w:rFonts w:ascii="仿宋" w:hAnsi="仿宋" w:eastAsia="仿宋"/>
          <w:color w:val="000000"/>
        </w:rPr>
      </w:pPr>
      <w:bookmarkStart w:id="144" w:name="_Toc15396627"/>
      <w:bookmarkStart w:id="145" w:name="_Toc79163894"/>
      <w:bookmarkStart w:id="146" w:name="_Toc79163644"/>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44"/>
      <w:bookmarkEnd w:id="145"/>
      <w:bookmarkEnd w:id="146"/>
    </w:p>
    <w:p>
      <w:pPr>
        <w:pStyle w:val="5"/>
        <w:rPr>
          <w:rFonts w:ascii="仿宋" w:hAnsi="仿宋" w:eastAsia="仿宋"/>
          <w:color w:val="000000"/>
        </w:rPr>
      </w:pPr>
      <w:bookmarkStart w:id="147" w:name="_Toc15396628"/>
      <w:bookmarkStart w:id="148" w:name="_Toc79163895"/>
      <w:bookmarkStart w:id="149" w:name="_Toc79163645"/>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47"/>
      <w:bookmarkEnd w:id="148"/>
      <w:bookmarkEnd w:id="149"/>
    </w:p>
    <w:p>
      <w:pPr>
        <w:pStyle w:val="5"/>
        <w:rPr>
          <w:rFonts w:ascii="仿宋" w:hAnsi="仿宋" w:eastAsia="仿宋"/>
          <w:color w:val="000000"/>
        </w:rPr>
      </w:pPr>
      <w:bookmarkStart w:id="150" w:name="_Toc15396629"/>
      <w:bookmarkStart w:id="151" w:name="_Toc79163896"/>
      <w:bookmarkStart w:id="152" w:name="_Toc79163646"/>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50"/>
      <w:bookmarkEnd w:id="151"/>
      <w:bookmarkEnd w:id="152"/>
    </w:p>
    <w:p>
      <w:pPr>
        <w:pStyle w:val="5"/>
        <w:rPr>
          <w:rFonts w:ascii="仿宋" w:hAnsi="仿宋" w:eastAsia="仿宋"/>
          <w:color w:val="000000"/>
        </w:rPr>
      </w:pPr>
      <w:bookmarkStart w:id="153" w:name="_Toc15396630"/>
      <w:bookmarkStart w:id="154" w:name="_Toc79163647"/>
      <w:bookmarkStart w:id="155" w:name="_Toc79163897"/>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53"/>
      <w:bookmarkEnd w:id="154"/>
      <w:bookmarkEnd w:id="155"/>
    </w:p>
    <w:p>
      <w:pPr>
        <w:pStyle w:val="5"/>
        <w:rPr>
          <w:rStyle w:val="26"/>
          <w:rFonts w:ascii="仿宋" w:hAnsi="仿宋" w:eastAsia="仿宋"/>
          <w:b w:val="0"/>
          <w:bCs w:val="0"/>
        </w:rPr>
      </w:pPr>
      <w:bookmarkStart w:id="156" w:name="_Toc15396631"/>
      <w:bookmarkStart w:id="157" w:name="_Toc79163648"/>
      <w:bookmarkStart w:id="158" w:name="_Toc79163898"/>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56"/>
      <w:bookmarkEnd w:id="157"/>
      <w:bookmarkEnd w:id="158"/>
    </w:p>
    <w:p>
      <w:pPr>
        <w:pStyle w:val="5"/>
        <w:rPr>
          <w:rStyle w:val="26"/>
          <w:rFonts w:ascii="仿宋" w:hAnsi="仿宋" w:eastAsia="仿宋"/>
          <w:b w:val="0"/>
          <w:bCs w:val="0"/>
        </w:rPr>
      </w:pPr>
      <w:bookmarkStart w:id="159" w:name="_Toc79163899"/>
      <w:bookmarkStart w:id="160" w:name="_Toc79163649"/>
      <w:r>
        <w:rPr>
          <w:rStyle w:val="26"/>
          <w:rFonts w:hint="eastAsia" w:ascii="仿宋" w:hAns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w:altName w:val="仿宋"/>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785A7C4"/>
    <w:multiLevelType w:val="singleLevel"/>
    <w:tmpl w:val="1785A7C4"/>
    <w:lvl w:ilvl="0" w:tentative="0">
      <w:start w:val="1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c3NjJmZjM1MjZjMWI0MjUyNDkxZDAyNWE0ODA5Ym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209128C"/>
    <w:rsid w:val="02D76646"/>
    <w:rsid w:val="039E35C7"/>
    <w:rsid w:val="07B25AB5"/>
    <w:rsid w:val="07F2427C"/>
    <w:rsid w:val="08C62EB8"/>
    <w:rsid w:val="0A2032A3"/>
    <w:rsid w:val="0B2A3AE4"/>
    <w:rsid w:val="0B786E05"/>
    <w:rsid w:val="0CAD2EBE"/>
    <w:rsid w:val="0D787526"/>
    <w:rsid w:val="0DFC6867"/>
    <w:rsid w:val="0EE20AF5"/>
    <w:rsid w:val="10C055FF"/>
    <w:rsid w:val="118107EC"/>
    <w:rsid w:val="143C20CA"/>
    <w:rsid w:val="14B67E99"/>
    <w:rsid w:val="15766763"/>
    <w:rsid w:val="16BB723D"/>
    <w:rsid w:val="18071246"/>
    <w:rsid w:val="19223FD4"/>
    <w:rsid w:val="1B6707E2"/>
    <w:rsid w:val="1B961947"/>
    <w:rsid w:val="1D155CEE"/>
    <w:rsid w:val="1EFF36E8"/>
    <w:rsid w:val="232375D5"/>
    <w:rsid w:val="240371BF"/>
    <w:rsid w:val="279261C1"/>
    <w:rsid w:val="29FD04D3"/>
    <w:rsid w:val="314D01A9"/>
    <w:rsid w:val="319F7F4E"/>
    <w:rsid w:val="31C5592A"/>
    <w:rsid w:val="35D629F5"/>
    <w:rsid w:val="36FB00F6"/>
    <w:rsid w:val="37E719AC"/>
    <w:rsid w:val="386D2740"/>
    <w:rsid w:val="3ABB4846"/>
    <w:rsid w:val="3B354E78"/>
    <w:rsid w:val="3C3B70A1"/>
    <w:rsid w:val="3DC53F21"/>
    <w:rsid w:val="3F390810"/>
    <w:rsid w:val="40E02836"/>
    <w:rsid w:val="41A946C0"/>
    <w:rsid w:val="42D842B8"/>
    <w:rsid w:val="461554CF"/>
    <w:rsid w:val="468123C6"/>
    <w:rsid w:val="4A336D8D"/>
    <w:rsid w:val="4ECE2238"/>
    <w:rsid w:val="50014717"/>
    <w:rsid w:val="53F73012"/>
    <w:rsid w:val="57DC3913"/>
    <w:rsid w:val="58FC65C6"/>
    <w:rsid w:val="5A77435A"/>
    <w:rsid w:val="5BEF7985"/>
    <w:rsid w:val="5BFC569A"/>
    <w:rsid w:val="5F685E6D"/>
    <w:rsid w:val="61FA4819"/>
    <w:rsid w:val="623D6E71"/>
    <w:rsid w:val="62FF8365"/>
    <w:rsid w:val="652112DE"/>
    <w:rsid w:val="6C393C4F"/>
    <w:rsid w:val="6C4A05C8"/>
    <w:rsid w:val="705152B9"/>
    <w:rsid w:val="72734D90"/>
    <w:rsid w:val="72C214F6"/>
    <w:rsid w:val="74B5779B"/>
    <w:rsid w:val="785A7660"/>
    <w:rsid w:val="7B615B8A"/>
    <w:rsid w:val="7BB00D01"/>
    <w:rsid w:val="7BF475C5"/>
    <w:rsid w:val="7C52743D"/>
    <w:rsid w:val="7E05708F"/>
    <w:rsid w:val="7E254686"/>
    <w:rsid w:val="7E492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afterLines="0" w:afterAutospacing="0"/>
      <w:ind w:left="420" w:leftChars="200"/>
    </w:p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4"/>
    <w:qFormat/>
    <w:uiPriority w:val="99"/>
    <w:pPr>
      <w:spacing w:beforeLines="30"/>
    </w:pPr>
    <w:rPr>
      <w:rFonts w:ascii="仿宋_GB2312" w:eastAsia="仿宋_GB2312"/>
      <w:kern w:val="0"/>
      <w:sz w:val="24"/>
      <w:szCs w:val="20"/>
      <w:lang w:val="zh-CN" w:eastAsia="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9"/>
    <w:semiHidden/>
    <w:unhideWhenUsed/>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字符"/>
    <w:basedOn w:val="22"/>
    <w:link w:val="4"/>
    <w:qFormat/>
    <w:locked/>
    <w:uiPriority w:val="9"/>
    <w:rPr>
      <w:rFonts w:ascii="Times New Roman" w:hAnsi="Times New Roman" w:cs="Times New Roman"/>
      <w:b/>
      <w:bCs/>
      <w:kern w:val="44"/>
      <w:sz w:val="44"/>
      <w:szCs w:val="44"/>
    </w:rPr>
  </w:style>
  <w:style w:type="character" w:customStyle="1" w:styleId="26">
    <w:name w:val="标题 2 字符"/>
    <w:basedOn w:val="22"/>
    <w:link w:val="5"/>
    <w:qFormat/>
    <w:locked/>
    <w:uiPriority w:val="9"/>
    <w:rPr>
      <w:rFonts w:ascii="Cambria" w:hAnsi="Cambria" w:eastAsia="宋体" w:cs="Times New Roman"/>
      <w:b/>
      <w:bCs/>
      <w:kern w:val="2"/>
      <w:sz w:val="32"/>
      <w:szCs w:val="32"/>
    </w:rPr>
  </w:style>
  <w:style w:type="character" w:customStyle="1" w:styleId="27">
    <w:name w:val="标题 3 字符"/>
    <w:basedOn w:val="22"/>
    <w:link w:val="6"/>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字符"/>
    <w:basedOn w:val="22"/>
    <w:link w:val="12"/>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字符"/>
    <w:link w:val="14"/>
    <w:semiHidden/>
    <w:qFormat/>
    <w:locked/>
    <w:uiPriority w:val="99"/>
    <w:rPr>
      <w:sz w:val="18"/>
    </w:rPr>
  </w:style>
  <w:style w:type="character" w:customStyle="1" w:styleId="33">
    <w:name w:val="页脚 字符"/>
    <w:link w:val="13"/>
    <w:qFormat/>
    <w:locked/>
    <w:uiPriority w:val="99"/>
    <w:rPr>
      <w:sz w:val="18"/>
    </w:rPr>
  </w:style>
  <w:style w:type="character" w:customStyle="1" w:styleId="34">
    <w:name w:val="正文文本 字符"/>
    <w:link w:val="8"/>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
        <c:rich>
          <a:bodyPr/>
          <a:lstStyle/>
          <a:p>
            <a:pPr>
              <a:defRPr/>
            </a:pPr>
          </a:p>
        </c:rich>
      </c:tx>
    </c:title>
    <c:autoTitleDeleted val="false"/>
    <c:plotArea>
      <c:layout/>
      <c:barChart>
        <c:barDir val="col"/>
        <c:grouping val="clustered"/>
        <c:varyColors val="false"/>
        <c:ser>
          <c:idx val="0"/>
          <c:order val="0"/>
          <c:tx>
            <c:strRef>
              <c:f>Sheet1!$B$1</c:f>
              <c:strCache>
                <c:ptCount val="1"/>
                <c:pt idx="0">
                  <c:v>收入</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684</c:v>
                </c:pt>
                <c:pt idx="1">
                  <c:v>830.07</c:v>
                </c:pt>
              </c:numCache>
            </c:numRef>
          </c:val>
        </c:ser>
        <c:ser>
          <c:idx val="1"/>
          <c:order val="1"/>
          <c:tx>
            <c:strRef>
              <c:f>Sheet1!$D$1</c:f>
              <c:strCache>
                <c:ptCount val="1"/>
                <c:pt idx="0">
                  <c:v>支出 </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c:v>
                </c:pt>
                <c:pt idx="1">
                  <c:v>2021年</c:v>
                </c:pt>
              </c:strCache>
            </c:strRef>
          </c:cat>
          <c:val>
            <c:numRef>
              <c:f>Sheet1!$D$2:$D$3</c:f>
              <c:numCache>
                <c:formatCode>General</c:formatCode>
                <c:ptCount val="2"/>
                <c:pt idx="0">
                  <c:v>684</c:v>
                </c:pt>
                <c:pt idx="1">
                  <c:v>830.07</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strRef>
              <c:f>Sheet1!$A$2:$A$3</c:f>
              <c:strCache>
                <c:ptCount val="2"/>
                <c:pt idx="0">
                  <c:v>2020年</c:v>
                </c:pt>
                <c:pt idx="1">
                  <c:v>2021年</c:v>
                </c:pt>
              </c:strCache>
            </c:strRef>
          </c:cat>
          <c:val>
            <c:numRef>
              <c:f>Sheet1!#REF!</c:f>
              <c:numCache>
                <c:formatCode>General</c:formatCode>
                <c:ptCount val="1"/>
                <c:pt idx="0">
                  <c:v>1</c:v>
                </c:pt>
              </c:numCache>
            </c:numRef>
          </c:val>
        </c:ser>
        <c:dLbls>
          <c:showLegendKey val="false"/>
          <c:showVal val="true"/>
          <c:showCatName val="false"/>
          <c:showSerName val="false"/>
          <c:showPercent val="false"/>
          <c:showBubbleSize val="false"/>
        </c:dLbls>
        <c:gapWidth val="219"/>
        <c:overlap val="-27"/>
        <c:axId val="567223280"/>
        <c:axId val="566242452"/>
      </c:barChart>
      <c:catAx>
        <c:axId val="567223280"/>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66242452"/>
        <c:crosses val="autoZero"/>
        <c:auto val="true"/>
        <c:lblAlgn val="ctr"/>
        <c:lblOffset val="100"/>
        <c:noMultiLvlLbl val="false"/>
      </c:catAx>
      <c:valAx>
        <c:axId val="566242452"/>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9525"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67223280"/>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3"/>
    </mc:Choice>
    <mc:Fallback>
      <c:style val="3"/>
    </mc:Fallback>
  </mc:AlternateContent>
  <c:chart>
    <c:autoTitleDeleted val="true"/>
    <c:plotArea>
      <c:layout/>
      <c:pieChart>
        <c:varyColors val="true"/>
        <c:ser>
          <c:idx val="0"/>
          <c:order val="0"/>
          <c:tx>
            <c:strRef>
              <c:f>Sheet1!$B$1</c:f>
              <c:strCache>
                <c:ptCount val="1"/>
                <c:pt idx="0">
                  <c:v>列1</c:v>
                </c:pt>
              </c:strCache>
            </c:strRef>
          </c:tx>
          <c:spPr/>
          <c:explosion val="0"/>
          <c:dPt>
            <c:idx val="0"/>
            <c:bubble3D val="false"/>
            <c:spPr>
              <a:solidFill>
                <a:schemeClr val="accent1">
                  <a:shade val="76667"/>
                </a:schemeClr>
              </a:solidFill>
              <a:ln>
                <a:noFill/>
              </a:ln>
              <a:effectLst>
                <a:outerShdw blurRad="317500" algn="ctr" rotWithShape="0">
                  <a:prstClr val="black">
                    <a:alpha val="25000"/>
                  </a:prstClr>
                </a:outerShdw>
              </a:effectLst>
            </c:spPr>
          </c:dPt>
          <c:dPt>
            <c:idx val="1"/>
            <c:bubble3D val="false"/>
            <c:spPr>
              <a:solidFill>
                <a:schemeClr val="accent1">
                  <a:tint val="76667"/>
                </a:schemeClr>
              </a:solidFill>
              <a:ln>
                <a:noFill/>
              </a:ln>
              <a:effectLst>
                <a:outerShdw blurRad="317500" algn="ctr" rotWithShape="0">
                  <a:prstClr val="black">
                    <a:alpha val="25000"/>
                  </a:prstClr>
                </a:outerShdw>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1" i="0" u="none" strike="noStrike" kern="1200" baseline="0">
                    <a:solidFill>
                      <a:schemeClr val="lt1"/>
                    </a:solidFill>
                    <a:latin typeface="+mn-lt"/>
                    <a:ea typeface="+mn-ea"/>
                    <a:cs typeface="+mn-cs"/>
                  </a:defRPr>
                </a:pPr>
              </a:p>
            </c:txPr>
            <c:dLblPos val="inEnd"/>
            <c:showLegendKey val="false"/>
            <c:showVal val="false"/>
            <c:showCatName val="tru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dk1">
                          <a:lumMod val="35000"/>
                          <a:lumOff val="65000"/>
                        </a:schemeClr>
                      </a:solidFill>
                      <a:round/>
                    </a:ln>
                    <a:effectLst/>
                  </c:spPr>
                </c15:leaderLines>
              </c:ext>
            </c:extLst>
          </c:dLbls>
          <c:cat>
            <c:strRef>
              <c:f>Sheet1!$A$2:$A$3</c:f>
              <c:strCache>
                <c:ptCount val="2"/>
                <c:pt idx="0">
                  <c:v>财政拨款收入</c:v>
                </c:pt>
                <c:pt idx="1">
                  <c:v>结转结余</c:v>
                </c:pt>
              </c:strCache>
            </c:strRef>
          </c:cat>
          <c:val>
            <c:numRef>
              <c:f>Sheet1!$B$2:$B$3</c:f>
              <c:numCache>
                <c:formatCode>General</c:formatCode>
                <c:ptCount val="2"/>
                <c:pt idx="0">
                  <c:v>763.5</c:v>
                </c:pt>
                <c:pt idx="1">
                  <c:v>66.57</c:v>
                </c:pt>
              </c:numCache>
            </c:numRef>
          </c:val>
        </c:ser>
        <c:ser>
          <c:idx val="1"/>
          <c:order val="1"/>
          <c:tx>
            <c:strRef>
              <c:f>Sheet1!$C$1</c:f>
              <c:strCache>
                <c:ptCount val="1"/>
                <c:pt idx="0">
                  <c:v/>
                </c:pt>
              </c:strCache>
            </c:strRef>
          </c:tx>
          <c:spPr/>
          <c:explosion val="0"/>
          <c:dPt>
            <c:idx val="0"/>
            <c:bubble3D val="false"/>
            <c:spPr>
              <a:solidFill>
                <a:schemeClr val="accent1">
                  <a:shade val="76667"/>
                </a:schemeClr>
              </a:solidFill>
              <a:ln>
                <a:noFill/>
              </a:ln>
              <a:effectLst>
                <a:outerShdw blurRad="317500" algn="ctr" rotWithShape="0">
                  <a:prstClr val="black">
                    <a:alpha val="25000"/>
                  </a:prstClr>
                </a:outerShdw>
              </a:effectLst>
            </c:spPr>
          </c:dPt>
          <c:dPt>
            <c:idx val="1"/>
            <c:bubble3D val="false"/>
            <c:spPr>
              <a:solidFill>
                <a:schemeClr val="accent1">
                  <a:tint val="76667"/>
                </a:schemeClr>
              </a:solidFill>
              <a:ln>
                <a:noFill/>
              </a:ln>
              <a:effectLst>
                <a:outerShdw blurRad="317500" algn="ctr" rotWithShape="0">
                  <a:prstClr val="black">
                    <a:alpha val="25000"/>
                  </a:prstClr>
                </a:outerShdw>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1" i="0" u="none" strike="noStrike" kern="1200" baseline="0">
                    <a:solidFill>
                      <a:schemeClr val="lt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dk1">
                          <a:lumMod val="35000"/>
                          <a:lumOff val="65000"/>
                        </a:schemeClr>
                      </a:solidFill>
                      <a:round/>
                    </a:ln>
                    <a:effectLst/>
                  </c:spPr>
                </c15:leaderLines>
              </c:ext>
            </c:extLst>
          </c:dLbls>
          <c:cat>
            <c:strRef>
              <c:f>Sheet1!$A$2:$A$3</c:f>
              <c:strCache>
                <c:ptCount val="2"/>
                <c:pt idx="0">
                  <c:v>财政拨款收入</c:v>
                </c:pt>
                <c:pt idx="1">
                  <c:v>结转结余</c:v>
                </c:pt>
              </c:strCache>
            </c:strRef>
          </c:cat>
          <c:val>
            <c:numRef>
              <c:f>Sheet1!$C$2:$C$3</c:f>
              <c:numCache>
                <c:formatCode>General</c:formatCode>
                <c:ptCount val="2"/>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b"/>
      <c:layout/>
      <c:overlay val="false"/>
      <c:spPr>
        <a:solidFill>
          <a:schemeClr val="lt1">
            <a:alpha val="78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65000"/>
                  <a:lumOff val="35000"/>
                </a:schemeClr>
              </a:solidFill>
              <a:latin typeface="+mn-lt"/>
              <a:ea typeface="+mn-ea"/>
              <a:cs typeface="+mn-cs"/>
            </a:defRPr>
          </a:pPr>
        </a:p>
      </c:txPr>
    </c:legend>
    <c:plotVisOnly val="true"/>
    <c:dispBlanksAs val="gap"/>
    <c:showDLblsOverMax val="false"/>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销售额</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dk1"/>
                    </a:solidFill>
                    <a:latin typeface="+mn-lt"/>
                    <a:ea typeface="+mn-ea"/>
                    <a:cs typeface="+mn-cs"/>
                  </a:defRPr>
                </a:pPr>
              </a:p>
            </c:txPr>
            <c:dLblPos val="inEnd"/>
            <c:showLegendKey val="false"/>
            <c:showVal val="false"/>
            <c:showCatName val="tru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664.84</c:v>
                </c:pt>
                <c:pt idx="1">
                  <c:v>165.23</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r"/>
      <c:legendEntry>
        <c:idx val="0"/>
        <c:txPr>
          <a:bodyPr rot="0" spcFirstLastPara="0" vertOverflow="ellipsis" vert="horz" wrap="square" anchor="ctr" anchorCtr="true"/>
          <a:lstStyle/>
          <a:p>
            <a:pPr>
              <a:defRPr lang="zh-CN" sz="900" b="0" i="0" u="none" strike="noStrike" kern="1200" baseline="0">
                <a:solidFill>
                  <a:schemeClr val="dk1"/>
                </a:solidFill>
                <a:latin typeface="+mn-lt"/>
                <a:ea typeface="+mn-ea"/>
                <a:cs typeface="+mn-cs"/>
              </a:defRPr>
            </a:pPr>
          </a:p>
        </c:txPr>
      </c:legendEntry>
      <c:legendEntry>
        <c:idx val="1"/>
        <c:txPr>
          <a:bodyPr rot="0" spcFirstLastPara="0" vertOverflow="ellipsis" vert="horz" wrap="square" anchor="ctr" anchorCtr="true"/>
          <a:lstStyle/>
          <a:p>
            <a:pPr>
              <a:defRPr lang="zh-CN" sz="900" b="0" i="0" u="none" strike="noStrike" kern="1200" baseline="0">
                <a:solidFill>
                  <a:schemeClr val="dk1"/>
                </a:solidFill>
                <a:latin typeface="+mn-lt"/>
                <a:ea typeface="+mn-ea"/>
                <a:cs typeface="+mn-cs"/>
              </a:defRPr>
            </a:pPr>
          </a:p>
        </c:txPr>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dk1"/>
              </a:solidFill>
              <a:latin typeface="+mn-lt"/>
              <a:ea typeface="+mn-ea"/>
              <a:cs typeface="+mn-cs"/>
            </a:defRPr>
          </a:pPr>
        </a:p>
      </c:txPr>
    </c:legend>
    <c:plotVisOnly val="true"/>
    <c:dispBlanksAs val="gap"/>
    <c:showDLblsOverMax val="false"/>
  </c:chart>
  <c:spPr>
    <a:solidFill>
      <a:schemeClr val="lt1"/>
    </a:solidFill>
    <a:ln w="25400" cap="flat" cmpd="sng" algn="ctr">
      <a:solidFill>
        <a:schemeClr val="accent1"/>
      </a:solidFill>
      <a:prstDash val="solid"/>
      <a:round/>
    </a:ln>
    <a:effectLst/>
    <a:sp3d>
      <a:extrusionClr>
        <a:srgbClr val="FFFFFF"/>
      </a:extrusionClr>
      <a:contourClr>
        <a:srgbClr val="FFFFFF"/>
      </a:contourClr>
    </a:sp3d>
  </c:spPr>
  <c:txPr>
    <a:bodyPr/>
    <a:lstStyle/>
    <a:p>
      <a:pPr>
        <a:defRPr lang="zh-CN">
          <a:solidFill>
            <a:schemeClr val="dk1"/>
          </a:solidFill>
          <a:latin typeface="+mn-lt"/>
          <a:ea typeface="+mn-ea"/>
          <a:cs typeface="+mn-cs"/>
        </a:defRPr>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
        <c:rich>
          <a:bodyPr/>
          <a:lstStyle/>
          <a:p>
            <a:pPr>
              <a:defRPr/>
            </a:pPr>
          </a:p>
        </c:rich>
      </c:tx>
    </c:title>
    <c:autoTitleDeleted val="false"/>
    <c:plotArea>
      <c:layout/>
      <c:barChart>
        <c:barDir val="col"/>
        <c:grouping val="clustered"/>
        <c:varyColors val="false"/>
        <c:ser>
          <c:idx val="0"/>
          <c:order val="0"/>
          <c:tx>
            <c:strRef>
              <c:f>Sheet1!$B$1</c:f>
              <c:strCache>
                <c:ptCount val="1"/>
                <c:pt idx="0">
                  <c:v>收入</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684</c:v>
                </c:pt>
                <c:pt idx="1">
                  <c:v>830.07</c:v>
                </c:pt>
              </c:numCache>
            </c:numRef>
          </c:val>
        </c:ser>
        <c:ser>
          <c:idx val="1"/>
          <c:order val="1"/>
          <c:tx>
            <c:strRef>
              <c:f>Sheet1!$D$1</c:f>
              <c:strCache>
                <c:ptCount val="1"/>
                <c:pt idx="0">
                  <c:v>支出 </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c:v>
                </c:pt>
                <c:pt idx="1">
                  <c:v>2021年</c:v>
                </c:pt>
              </c:strCache>
            </c:strRef>
          </c:cat>
          <c:val>
            <c:numRef>
              <c:f>Sheet1!$D$2:$D$3</c:f>
              <c:numCache>
                <c:formatCode>General</c:formatCode>
                <c:ptCount val="2"/>
                <c:pt idx="0">
                  <c:v>684</c:v>
                </c:pt>
                <c:pt idx="1">
                  <c:v>830.07</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strRef>
              <c:f>Sheet1!$A$2:$A$3</c:f>
              <c:strCache>
                <c:ptCount val="2"/>
                <c:pt idx="0">
                  <c:v>2020年</c:v>
                </c:pt>
                <c:pt idx="1">
                  <c:v>2021年</c:v>
                </c:pt>
              </c:strCache>
            </c:strRef>
          </c:cat>
          <c:val>
            <c:numRef>
              <c:f>Sheet1!#REF!</c:f>
              <c:numCache>
                <c:formatCode>General</c:formatCode>
                <c:ptCount val="1"/>
                <c:pt idx="0">
                  <c:v>1</c:v>
                </c:pt>
              </c:numCache>
            </c:numRef>
          </c:val>
        </c:ser>
        <c:dLbls>
          <c:showLegendKey val="false"/>
          <c:showVal val="true"/>
          <c:showCatName val="false"/>
          <c:showSerName val="false"/>
          <c:showPercent val="false"/>
          <c:showBubbleSize val="false"/>
        </c:dLbls>
        <c:gapWidth val="219"/>
        <c:overlap val="-27"/>
        <c:axId val="567223280"/>
        <c:axId val="566242452"/>
      </c:barChart>
      <c:catAx>
        <c:axId val="567223280"/>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66242452"/>
        <c:crosses val="autoZero"/>
        <c:auto val="true"/>
        <c:lblAlgn val="ctr"/>
        <c:lblOffset val="100"/>
        <c:noMultiLvlLbl val="false"/>
      </c:catAx>
      <c:valAx>
        <c:axId val="566242452"/>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9525"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67223280"/>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一般公共预算财政拨款收支</a:t>
            </a:r>
          </a:p>
        </c:rich>
      </c:tx>
      <c:layout/>
      <c:overlay val="false"/>
      <c:spPr>
        <a:noFill/>
        <a:ln>
          <a:noFill/>
        </a:ln>
        <a:effectLst/>
      </c:spPr>
    </c:title>
    <c:autoTitleDeleted val="false"/>
    <c:plotArea>
      <c:layout/>
      <c:barChart>
        <c:barDir val="col"/>
        <c:grouping val="clustered"/>
        <c:varyColors val="false"/>
        <c:ser>
          <c:idx val="0"/>
          <c:order val="0"/>
          <c:tx>
            <c:strRef>
              <c:f>Sheet1!#REF!</c:f>
              <c:strCache>
                <c:ptCount val="1"/>
                <c:pt idx="0">
                  <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Sheet1!#REF!</c:f>
              <c:numCache>
                <c:formatCode>General</c:formatCode>
                <c:ptCount val="1"/>
                <c:pt idx="0">
                  <c:v>1</c:v>
                </c:pt>
              </c:numCache>
            </c:numRef>
          </c:val>
        </c:ser>
        <c:ser>
          <c:idx val="1"/>
          <c:order val="1"/>
          <c:tx>
            <c:strRef>
              <c:f>Sheet1!$B$1</c:f>
              <c:strCache>
                <c:ptCount val="1"/>
                <c:pt idx="0">
                  <c:v>支出 </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684</c:v>
                </c:pt>
                <c:pt idx="1">
                  <c:v>763.5</c:v>
                </c:pt>
              </c:numCache>
            </c:numRef>
          </c:val>
        </c:ser>
        <c:ser>
          <c:idx val="2"/>
          <c:order val="2"/>
          <c:tx>
            <c:strRef>
              <c:f>Sheet1!#REF!</c:f>
              <c:strCache>
                <c:ptCount val="1"/>
                <c:pt idx="0">
                  <c:v/>
                </c:pt>
              </c:strCache>
            </c:strRef>
          </c:tx>
          <c:spPr>
            <a:solidFill>
              <a:schemeClr val="accent3"/>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Sheet1!#REF!</c:f>
              <c:numCache>
                <c:formatCode>General</c:formatCode>
                <c:ptCount val="1"/>
                <c:pt idx="0">
                  <c:v>1</c:v>
                </c:pt>
              </c:numCache>
            </c:numRef>
          </c:val>
        </c:ser>
        <c:dLbls>
          <c:showLegendKey val="false"/>
          <c:showVal val="true"/>
          <c:showCatName val="false"/>
          <c:showSerName val="false"/>
          <c:showPercent val="false"/>
          <c:showBubbleSize val="false"/>
        </c:dLbls>
        <c:gapWidth val="219"/>
        <c:overlap val="-27"/>
        <c:axId val="567223280"/>
        <c:axId val="566242452"/>
      </c:barChart>
      <c:catAx>
        <c:axId val="567223280"/>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66242452"/>
        <c:crosses val="autoZero"/>
        <c:auto val="true"/>
        <c:lblAlgn val="ctr"/>
        <c:lblOffset val="100"/>
        <c:noMultiLvlLbl val="false"/>
      </c:catAx>
      <c:valAx>
        <c:axId val="566242452"/>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67223280"/>
        <c:crosses val="autoZero"/>
        <c:crossBetween val="between"/>
      </c:valAx>
      <c:spPr>
        <a:noFill/>
        <a:ln>
          <a:noFill/>
        </a:ln>
        <a:effectLst/>
      </c:spPr>
    </c:plotArea>
    <c:legend>
      <c:legendPos val="b"/>
      <c:legendEntry>
        <c:idx val="0"/>
        <c:delete val="true"/>
      </c:legendEntry>
      <c:legendEntry>
        <c:idx val="2"/>
        <c:delete val="true"/>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一般公共预算财政拨款支出</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c:v>
                </c:pt>
                <c:pt idx="1">
                  <c:v>社会保障和就业</c:v>
                </c:pt>
                <c:pt idx="2">
                  <c:v>卫生健康支出</c:v>
                </c:pt>
                <c:pt idx="3">
                  <c:v>住房保障支出</c:v>
                </c:pt>
              </c:strCache>
            </c:strRef>
          </c:cat>
          <c:val>
            <c:numRef>
              <c:f>Sheet1!$B$2:$B$5</c:f>
              <c:numCache>
                <c:formatCode>General</c:formatCode>
                <c:ptCount val="4"/>
                <c:pt idx="0">
                  <c:v>632.65</c:v>
                </c:pt>
                <c:pt idx="1">
                  <c:v>56.92</c:v>
                </c:pt>
                <c:pt idx="2">
                  <c:v>34.17</c:v>
                </c:pt>
                <c:pt idx="3">
                  <c:v>39.77</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一般公共预算财政拨款支出</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公务用车运行维护</c:v>
                </c:pt>
                <c:pt idx="1">
                  <c:v>公务接待</c:v>
                </c:pt>
              </c:strCache>
            </c:strRef>
          </c:cat>
          <c:val>
            <c:numRef>
              <c:f>Sheet1!$B$2:$B$3</c:f>
              <c:numCache>
                <c:formatCode>General</c:formatCode>
                <c:ptCount val="2"/>
                <c:pt idx="0">
                  <c:v>51.77</c:v>
                </c:pt>
                <c:pt idx="1">
                  <c:v>2.79</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7677</Words>
  <Characters>8338</Characters>
  <Lines>74</Lines>
  <Paragraphs>21</Paragraphs>
  <TotalTime>11</TotalTime>
  <ScaleCrop>false</ScaleCrop>
  <LinksUpToDate>false</LinksUpToDate>
  <CharactersWithSpaces>8439</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2022-09-22T11:11:00Z</cp:lastPrinted>
  <dcterms:modified xsi:type="dcterms:W3CDTF">2022-09-22T15:29:28Z</dcterms:modified>
  <dc:title>阿坝州部门决算说明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3551B7E051CF488582256726FBDF98C4</vt:lpwstr>
  </property>
</Properties>
</file>