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四川省九寨沟县金融工作服务中心</w:t>
      </w:r>
      <w:r>
        <w:rPr>
          <w:rFonts w:hint="eastAsia" w:ascii="方正小标宋简体" w:hAnsi="黑体" w:eastAsia="方正小标宋简体"/>
          <w:sz w:val="84"/>
          <w:szCs w:val="84"/>
          <w:lang w:eastAsia="zh-CN"/>
        </w:rPr>
        <w:t>2024</w:t>
      </w:r>
      <w:r>
        <w:rPr>
          <w:rFonts w:hint="eastAsia" w:ascii="方正小标宋简体" w:hAnsi="黑体" w:eastAsia="方正小标宋简体"/>
          <w:sz w:val="84"/>
          <w:szCs w:val="84"/>
        </w:rPr>
        <w:t>年单位预算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九寨沟县金融工作服务中心概况</w:t>
      </w:r>
    </w:p>
    <w:p>
      <w:pPr>
        <w:rPr>
          <w:rFonts w:ascii="仿宋_GB2312" w:hAnsi="仿宋" w:eastAsia="仿宋_GB2312"/>
          <w:sz w:val="32"/>
          <w:szCs w:val="32"/>
        </w:rPr>
      </w:pPr>
      <w:r>
        <w:rPr>
          <w:rFonts w:hint="eastAsia" w:ascii="仿宋_GB2312" w:hAnsi="仿宋" w:eastAsia="仿宋_GB2312"/>
          <w:sz w:val="32"/>
          <w:szCs w:val="32"/>
        </w:rPr>
        <w:t>一、</w:t>
      </w:r>
      <w:r>
        <w:rPr>
          <w:rFonts w:hint="eastAsia" w:ascii="黑体" w:hAnsi="黑体" w:eastAsia="黑体"/>
          <w:sz w:val="32"/>
          <w:szCs w:val="32"/>
        </w:rPr>
        <w:t>九寨沟县金融工作服务中心</w:t>
      </w:r>
      <w:r>
        <w:rPr>
          <w:rFonts w:hint="eastAsia" w:ascii="仿宋_GB2312" w:hAnsi="仿宋" w:eastAsia="仿宋_GB2312"/>
          <w:sz w:val="32"/>
          <w:szCs w:val="32"/>
        </w:rPr>
        <w:t>职能简介</w:t>
      </w:r>
    </w:p>
    <w:p>
      <w:pPr>
        <w:rPr>
          <w:rFonts w:ascii="仿宋_GB2312" w:hAnsi="仿宋" w:eastAsia="仿宋_GB2312"/>
          <w:sz w:val="32"/>
          <w:szCs w:val="32"/>
        </w:rPr>
      </w:pPr>
      <w:r>
        <w:rPr>
          <w:rFonts w:hint="eastAsia" w:ascii="仿宋_GB2312" w:hAnsi="仿宋" w:eastAsia="仿宋_GB2312"/>
          <w:sz w:val="32"/>
          <w:szCs w:val="32"/>
        </w:rPr>
        <w:t>二、</w:t>
      </w:r>
      <w:r>
        <w:rPr>
          <w:rFonts w:hint="eastAsia" w:ascii="黑体" w:hAnsi="黑体" w:eastAsia="黑体"/>
          <w:sz w:val="32"/>
          <w:szCs w:val="32"/>
        </w:rPr>
        <w:t>九寨沟县金融工作服务中心</w:t>
      </w:r>
      <w:r>
        <w:rPr>
          <w:rFonts w:hint="eastAsia" w:ascii="仿宋_GB2312" w:hAnsi="仿宋" w:eastAsia="仿宋_GB2312"/>
          <w:sz w:val="32"/>
          <w:szCs w:val="32"/>
          <w:lang w:eastAsia="zh-CN"/>
        </w:rPr>
        <w:t>2024</w:t>
      </w:r>
      <w:r>
        <w:rPr>
          <w:rFonts w:hint="eastAsia" w:ascii="仿宋_GB2312" w:hAnsi="仿宋" w:eastAsia="仿宋_GB2312"/>
          <w:sz w:val="32"/>
          <w:szCs w:val="32"/>
        </w:rPr>
        <w:t>年重点工作</w:t>
      </w:r>
    </w:p>
    <w:p>
      <w:pPr>
        <w:rPr>
          <w:rFonts w:ascii="黑体" w:hAnsi="黑体" w:eastAsia="黑体"/>
          <w:sz w:val="32"/>
          <w:szCs w:val="32"/>
        </w:rPr>
      </w:pPr>
      <w:r>
        <w:rPr>
          <w:rFonts w:hint="eastAsia" w:ascii="黑体" w:hAnsi="黑体" w:eastAsia="黑体"/>
          <w:sz w:val="32"/>
          <w:szCs w:val="32"/>
        </w:rPr>
        <w:t>第二部分  九寨沟县金融工作服务中心</w:t>
      </w:r>
      <w:r>
        <w:rPr>
          <w:rFonts w:hint="eastAsia" w:ascii="黑体" w:hAnsi="黑体" w:eastAsia="黑体"/>
          <w:sz w:val="32"/>
          <w:szCs w:val="32"/>
          <w:lang w:eastAsia="zh-CN"/>
        </w:rPr>
        <w:t>2024</w:t>
      </w:r>
      <w:r>
        <w:rPr>
          <w:rFonts w:hint="eastAsia" w:ascii="黑体" w:hAnsi="黑体" w:eastAsia="黑体"/>
          <w:sz w:val="32"/>
          <w:szCs w:val="32"/>
        </w:rPr>
        <w:t>年单位预算表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pPr>
        <w:rPr>
          <w:rFonts w:ascii="黑体" w:hAnsi="黑体" w:eastAsia="黑体"/>
          <w:sz w:val="32"/>
          <w:szCs w:val="32"/>
        </w:rPr>
      </w:pPr>
      <w:r>
        <w:rPr>
          <w:rFonts w:hint="eastAsia" w:ascii="黑体" w:hAnsi="黑体" w:eastAsia="黑体"/>
          <w:sz w:val="32"/>
          <w:szCs w:val="32"/>
        </w:rPr>
        <w:t>第三部分  九寨沟县金融工作服务中心</w:t>
      </w:r>
      <w:r>
        <w:rPr>
          <w:rFonts w:hint="eastAsia" w:ascii="黑体" w:hAnsi="黑体" w:eastAsia="黑体"/>
          <w:sz w:val="32"/>
          <w:szCs w:val="32"/>
          <w:lang w:eastAsia="zh-CN"/>
        </w:rPr>
        <w:t>2024</w:t>
      </w:r>
      <w:r>
        <w:rPr>
          <w:rFonts w:hint="eastAsia" w:ascii="黑体" w:hAnsi="黑体" w:eastAsia="黑体"/>
          <w:sz w:val="32"/>
          <w:szCs w:val="32"/>
        </w:rPr>
        <w:t>年单位预算情况说明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黑体" w:hAnsi="黑体" w:eastAsia="黑体"/>
          <w:sz w:val="32"/>
          <w:szCs w:val="32"/>
        </w:rPr>
      </w:pPr>
      <w:r>
        <w:rPr>
          <w:rFonts w:hint="eastAsia" w:ascii="黑体" w:hAnsi="黑体" w:eastAsia="黑体"/>
          <w:sz w:val="32"/>
          <w:szCs w:val="32"/>
        </w:rPr>
        <w:br w:type="page"/>
      </w: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第一部分  九寨沟县金融工作服务中心概况</w:t>
      </w:r>
    </w:p>
    <w:p>
      <w:r>
        <w:rPr>
          <w:rFonts w:hint="eastAsia" w:ascii="方正小标宋简体" w:hAnsi="黑体" w:eastAsia="方正小标宋简体"/>
          <w:sz w:val="44"/>
          <w:szCs w:val="44"/>
        </w:rPr>
        <w:br w:type="page"/>
      </w:r>
    </w:p>
    <w:p>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九寨沟县金融工作服务中心</w:t>
      </w:r>
      <w:r>
        <w:rPr>
          <w:rFonts w:hint="eastAsia" w:ascii="仿宋_GB2312" w:hAnsi="仿宋" w:eastAsia="仿宋_GB2312"/>
          <w:sz w:val="32"/>
          <w:szCs w:val="32"/>
        </w:rPr>
        <w:t>职能简介</w:t>
      </w:r>
    </w:p>
    <w:p>
      <w:pPr>
        <w:ind w:firstLine="643" w:firstLineChars="2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九寨沟县金融工作服务中心职能</w:t>
      </w:r>
      <w:r>
        <w:rPr>
          <w:rFonts w:ascii="楷体" w:hAnsi="楷体" w:eastAsia="楷体"/>
          <w:b/>
          <w:sz w:val="32"/>
          <w:szCs w:val="32"/>
        </w:rPr>
        <w:t>简介</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1．负责上级来文运转、领导批示和报告，并督促办理。</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2．负责县政府会议的会务工作，协助县政府领导同志组织会议决定事项的实施。</w:t>
      </w:r>
    </w:p>
    <w:p>
      <w:pPr>
        <w:spacing w:line="600" w:lineRule="exact"/>
        <w:ind w:firstLine="640" w:firstLineChars="200"/>
        <w:rPr>
          <w:rFonts w:ascii="宋体"/>
          <w:color w:val="000000"/>
          <w:sz w:val="32"/>
          <w:szCs w:val="32"/>
        </w:rPr>
      </w:pPr>
      <w:r>
        <w:rPr>
          <w:rFonts w:hint="eastAsia" w:ascii="宋体"/>
          <w:color w:val="000000"/>
          <w:sz w:val="32"/>
          <w:szCs w:val="32"/>
        </w:rPr>
        <w:t>3．协助县政府领导同志组织起草或审核以县政府、县政府办公室名义发布的公文。</w:t>
      </w:r>
    </w:p>
    <w:p>
      <w:pPr>
        <w:spacing w:line="600" w:lineRule="exact"/>
        <w:ind w:firstLine="640" w:firstLineChars="200"/>
        <w:rPr>
          <w:rFonts w:ascii="宋体"/>
          <w:color w:val="000000"/>
          <w:sz w:val="32"/>
          <w:szCs w:val="32"/>
        </w:rPr>
      </w:pPr>
      <w:r>
        <w:rPr>
          <w:rFonts w:hint="eastAsia" w:ascii="宋体"/>
          <w:bCs/>
          <w:sz w:val="32"/>
          <w:szCs w:val="32"/>
        </w:rPr>
        <w:t>4．</w:t>
      </w:r>
      <w:r>
        <w:rPr>
          <w:rFonts w:hint="eastAsia" w:ascii="宋体"/>
          <w:color w:val="000000"/>
          <w:sz w:val="32"/>
          <w:szCs w:val="32"/>
        </w:rPr>
        <w:t>研究县政府各部门和各乡镇人民政府请示县政府的事项，提出审核意见，报县政府领导同志审批。</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5．</w:t>
      </w:r>
      <w:r>
        <w:rPr>
          <w:rFonts w:hint="eastAsia" w:ascii="宋体" w:eastAsia="宋体"/>
          <w:color w:val="000000"/>
          <w:sz w:val="32"/>
          <w:szCs w:val="32"/>
        </w:rPr>
        <w:t>根据县政府领导的指示，对县政府部门间出现的争议问题提出处理意见，报县政府领导同志审批。</w:t>
      </w:r>
    </w:p>
    <w:p>
      <w:pPr>
        <w:spacing w:line="600" w:lineRule="exact"/>
        <w:ind w:firstLine="640" w:firstLineChars="200"/>
        <w:rPr>
          <w:rFonts w:ascii="宋体"/>
          <w:color w:val="000000"/>
          <w:sz w:val="32"/>
          <w:szCs w:val="32"/>
        </w:rPr>
      </w:pPr>
      <w:r>
        <w:rPr>
          <w:rFonts w:hint="eastAsia" w:ascii="宋体"/>
          <w:color w:val="000000"/>
          <w:sz w:val="32"/>
          <w:szCs w:val="32"/>
        </w:rPr>
        <w:t>6．督促检查县政府各部门和各乡镇人民政府对县政府公文、会议决定事项及县政府领导同志有关指示的执行落实情况跟踪调研，并向县政府领导同志报告。</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7．</w:t>
      </w:r>
      <w:r>
        <w:rPr>
          <w:rFonts w:hint="eastAsia" w:ascii="宋体" w:eastAsia="宋体"/>
          <w:color w:val="000000"/>
          <w:sz w:val="32"/>
          <w:szCs w:val="32"/>
        </w:rPr>
        <w:t>指导全县应急管理工作，协助县政府领导同志做好需由县政府组织处理的突发事件和重大事故的应急处置工作。</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8．指导监督全县政府信息公开工作和机关行政效能建设工作，指导监督全县政府系统电子政务工作和政府网站建设。</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9．组织办理涉及县政府工作的人大代表议案、批评、建议和政协委员提案、建议案工作。</w:t>
      </w:r>
    </w:p>
    <w:p>
      <w:pPr>
        <w:pStyle w:val="2"/>
        <w:numPr>
          <w:ilvl w:val="0"/>
          <w:numId w:val="1"/>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负责县政府人民防空和民防工作。</w:t>
      </w:r>
    </w:p>
    <w:p>
      <w:pPr>
        <w:spacing w:line="600" w:lineRule="exact"/>
        <w:ind w:firstLine="640" w:firstLineChars="200"/>
        <w:rPr>
          <w:rFonts w:ascii="宋体"/>
          <w:color w:val="000000"/>
          <w:sz w:val="32"/>
          <w:szCs w:val="32"/>
        </w:rPr>
      </w:pPr>
      <w:r>
        <w:rPr>
          <w:rFonts w:hint="eastAsia" w:ascii="宋体"/>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pPr>
        <w:spacing w:line="600" w:lineRule="exact"/>
        <w:ind w:firstLine="640" w:firstLineChars="200"/>
        <w:rPr>
          <w:rFonts w:ascii="宋体"/>
          <w:color w:val="000000"/>
          <w:sz w:val="32"/>
          <w:szCs w:val="32"/>
        </w:rPr>
      </w:pPr>
      <w:r>
        <w:rPr>
          <w:rFonts w:hint="eastAsia" w:ascii="宋体"/>
          <w:color w:val="000000"/>
          <w:sz w:val="32"/>
          <w:szCs w:val="32"/>
        </w:rPr>
        <w:t>12．根据县政府领导的指示，组织专题调查研究，及时反映情况，提出建议。</w:t>
      </w:r>
    </w:p>
    <w:p>
      <w:pPr>
        <w:spacing w:line="600" w:lineRule="exact"/>
        <w:ind w:firstLine="640" w:firstLineChars="200"/>
        <w:rPr>
          <w:rFonts w:ascii="宋体"/>
          <w:color w:val="000000"/>
          <w:sz w:val="32"/>
          <w:szCs w:val="32"/>
        </w:rPr>
      </w:pPr>
      <w:r>
        <w:rPr>
          <w:rFonts w:hint="eastAsia" w:ascii="宋体"/>
          <w:color w:val="000000"/>
          <w:sz w:val="32"/>
          <w:szCs w:val="32"/>
        </w:rPr>
        <w:t>13．负责县政府值班工作，及时向县政府领导同志报告重要情况，协助处理县政府各部门和各乡镇政府向县政府反映的重要问题。</w:t>
      </w:r>
    </w:p>
    <w:p>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承担县政府目标管理工作。</w:t>
      </w:r>
    </w:p>
    <w:p>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承担行政事务工作，为县政府领导同志服务。</w:t>
      </w:r>
    </w:p>
    <w:p>
      <w:pPr>
        <w:pStyle w:val="2"/>
        <w:adjustRightInd w:val="0"/>
        <w:snapToGrid w:val="0"/>
        <w:spacing w:before="93" w:line="580" w:lineRule="exact"/>
        <w:ind w:left="640"/>
        <w:rPr>
          <w:rFonts w:hint="eastAsia" w:ascii="宋体" w:eastAsia="宋体"/>
          <w:color w:val="000000"/>
          <w:sz w:val="32"/>
          <w:szCs w:val="32"/>
        </w:rPr>
      </w:pPr>
      <w:r>
        <w:rPr>
          <w:rFonts w:hint="eastAsia" w:ascii="宋体" w:eastAsia="宋体"/>
          <w:color w:val="000000"/>
          <w:sz w:val="32"/>
          <w:szCs w:val="32"/>
        </w:rPr>
        <w:t>16.管理我县对外交往的外事、台事、侨事、港澳事务。</w:t>
      </w:r>
    </w:p>
    <w:p>
      <w:pPr>
        <w:spacing w:line="600" w:lineRule="exact"/>
        <w:ind w:firstLine="640" w:firstLineChars="200"/>
        <w:rPr>
          <w:rFonts w:ascii="宋体"/>
          <w:color w:val="000000"/>
          <w:sz w:val="32"/>
          <w:szCs w:val="32"/>
        </w:rPr>
      </w:pPr>
      <w:r>
        <w:rPr>
          <w:rFonts w:hint="eastAsia" w:ascii="宋体"/>
          <w:color w:val="000000"/>
          <w:sz w:val="32"/>
          <w:szCs w:val="32"/>
        </w:rPr>
        <w:t>17.负责组织、协调、指导、监督本级人民政府所属部门、机构的政务服务工作。</w:t>
      </w:r>
    </w:p>
    <w:p>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18．承办县政府和县政府领导交办的其他事项。</w:t>
      </w:r>
    </w:p>
    <w:p>
      <w:pPr>
        <w:ind w:firstLine="643" w:firstLineChars="200"/>
        <w:rPr>
          <w:rFonts w:ascii="楷体" w:hAnsi="楷体" w:eastAsia="楷体"/>
          <w:b/>
          <w:sz w:val="32"/>
          <w:szCs w:val="32"/>
        </w:rPr>
      </w:pPr>
      <w:r>
        <w:rPr>
          <w:rFonts w:hint="eastAsia" w:ascii="楷体" w:hAnsi="楷体" w:eastAsia="楷体"/>
          <w:b/>
          <w:sz w:val="32"/>
          <w:szCs w:val="32"/>
        </w:rPr>
        <w:t>二、九寨沟县金融工作服务中心</w:t>
      </w:r>
      <w:r>
        <w:rPr>
          <w:rFonts w:hint="eastAsia" w:ascii="楷体" w:hAnsi="楷体" w:eastAsia="楷体"/>
          <w:b/>
          <w:sz w:val="32"/>
          <w:szCs w:val="32"/>
          <w:lang w:eastAsia="zh-CN"/>
        </w:rPr>
        <w:t>2024</w:t>
      </w:r>
      <w:r>
        <w:rPr>
          <w:rFonts w:hint="eastAsia" w:ascii="楷体" w:hAnsi="楷体" w:eastAsia="楷体"/>
          <w:b/>
          <w:sz w:val="32"/>
          <w:szCs w:val="32"/>
        </w:rPr>
        <w:t>年</w:t>
      </w:r>
      <w:r>
        <w:rPr>
          <w:rFonts w:ascii="楷体" w:hAnsi="楷体" w:eastAsia="楷体"/>
          <w:b/>
          <w:sz w:val="32"/>
          <w:szCs w:val="32"/>
        </w:rPr>
        <w:t>重点工作</w:t>
      </w:r>
    </w:p>
    <w:p>
      <w:pPr>
        <w:adjustRightInd w:val="0"/>
        <w:snapToGrid w:val="0"/>
        <w:spacing w:line="56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面临经济社会发展的新形势、新任务和新要求，下半年，</w:t>
      </w:r>
      <w:r>
        <w:rPr>
          <w:rFonts w:hint="eastAsia" w:ascii="Times New Roman" w:hAnsi="Times New Roman" w:eastAsia="仿宋_GB2312"/>
          <w:bCs/>
          <w:sz w:val="32"/>
          <w:szCs w:val="32"/>
        </w:rPr>
        <w:t>九寨沟</w:t>
      </w:r>
      <w:r>
        <w:rPr>
          <w:rFonts w:ascii="Times New Roman" w:hAnsi="Times New Roman" w:eastAsia="仿宋_GB2312"/>
          <w:bCs/>
          <w:sz w:val="32"/>
          <w:szCs w:val="32"/>
        </w:rPr>
        <w:t>县将紧扣习近平新时代中国特色社会主义思想，深入贯彻习近平总书记系列重要指示精神和“六稳”“六保”总要求，坚定落实中央、省、州系列重要部署，主动作为、真抓实干，统筹抓好经济高质量发展、生态文明建设、安全生产、疫情防控、文旅大会筹备、乡村振兴、社会维稳等各项工作，持续推动“三地一典范”建设再上新台阶。</w:t>
      </w:r>
    </w:p>
    <w:p>
      <w:pPr>
        <w:adjustRightInd w:val="0"/>
        <w:snapToGrid w:val="0"/>
        <w:spacing w:line="560" w:lineRule="exact"/>
        <w:ind w:firstLine="643" w:firstLineChars="200"/>
        <w:rPr>
          <w:rFonts w:ascii="Times New Roman" w:hAnsi="Times New Roman" w:eastAsia="仿宋_GB2312"/>
          <w:bCs/>
          <w:sz w:val="32"/>
          <w:szCs w:val="32"/>
        </w:rPr>
      </w:pPr>
      <w:r>
        <w:rPr>
          <w:rFonts w:ascii="Times New Roman" w:hAnsi="Times New Roman" w:eastAsia="楷体_GB2312"/>
          <w:b/>
          <w:sz w:val="32"/>
          <w:szCs w:val="32"/>
        </w:rPr>
        <w:t>（一）</w:t>
      </w:r>
      <w:r>
        <w:rPr>
          <w:rFonts w:hint="eastAsia" w:ascii="Times New Roman" w:hAnsi="Times New Roman" w:eastAsia="楷体_GB2312"/>
          <w:b/>
          <w:sz w:val="32"/>
          <w:szCs w:val="32"/>
        </w:rPr>
        <w:t>持续推动</w:t>
      </w:r>
      <w:r>
        <w:rPr>
          <w:rFonts w:ascii="Times New Roman" w:hAnsi="Times New Roman" w:eastAsia="楷体_GB2312"/>
          <w:b/>
          <w:sz w:val="32"/>
          <w:szCs w:val="32"/>
        </w:rPr>
        <w:t>县域经济发展。</w:t>
      </w:r>
      <w:r>
        <w:rPr>
          <w:rFonts w:ascii="Times New Roman" w:hAnsi="Times New Roman" w:eastAsia="仿宋_GB2312"/>
          <w:bCs/>
          <w:sz w:val="32"/>
          <w:szCs w:val="32"/>
        </w:rPr>
        <w:t>加快构建“6+2”生态农业产业体系、“3+1”绿色工业产业体系和“1+6”现代服务业产业体系，推动一二三产深度融合发展，加快建设九寨沟国际医养度假区和产教融合示范区，大力推动“天府旅游名牌”系列创建，争创3个以上天府旅游名镇、10个以上天府旅游名村、50家以上天府旅游名宿。</w:t>
      </w:r>
    </w:p>
    <w:p>
      <w:pPr>
        <w:adjustRightInd w:val="0"/>
        <w:snapToGrid w:val="0"/>
        <w:spacing w:line="560" w:lineRule="exact"/>
        <w:ind w:firstLine="643" w:firstLineChars="200"/>
        <w:rPr>
          <w:rFonts w:ascii="Times New Roman" w:hAnsi="Times New Roman" w:eastAsia="楷体_GB2312"/>
          <w:b/>
          <w:sz w:val="32"/>
          <w:szCs w:val="32"/>
        </w:rPr>
      </w:pPr>
      <w:r>
        <w:rPr>
          <w:rFonts w:ascii="Times New Roman" w:hAnsi="Times New Roman" w:eastAsia="楷体_GB2312"/>
          <w:b/>
          <w:sz w:val="32"/>
          <w:szCs w:val="32"/>
        </w:rPr>
        <w:t>（二）大力推进生态文明建设。</w:t>
      </w:r>
      <w:r>
        <w:rPr>
          <w:rFonts w:ascii="Times New Roman" w:hAnsi="Times New Roman" w:eastAsia="仿宋_GB2312"/>
          <w:bCs/>
          <w:sz w:val="32"/>
          <w:szCs w:val="32"/>
        </w:rPr>
        <w:t>加快生态文明体制改革，强化“三线一单”硬约束管理，扎实开展企业环境信用等级评价。加快嘉陵江流域白水江九寨沟县县城上游段水生态保护修复（一期）项目建设前期准备，严格按照规定按期开工。加快落实入河排污口调查和治理工作，继续保持空气优良天数比例、国（省）控断面水质达标率等均达到100%。</w:t>
      </w:r>
    </w:p>
    <w:p>
      <w:pPr>
        <w:adjustRightInd w:val="0"/>
        <w:snapToGrid w:val="0"/>
        <w:spacing w:line="560" w:lineRule="exact"/>
        <w:ind w:firstLine="643" w:firstLineChars="200"/>
        <w:rPr>
          <w:rFonts w:ascii="Times New Roman" w:hAnsi="Times New Roman" w:eastAsia="仿宋_GB2312"/>
          <w:bCs/>
          <w:sz w:val="32"/>
          <w:szCs w:val="32"/>
        </w:rPr>
      </w:pPr>
      <w:r>
        <w:rPr>
          <w:rFonts w:ascii="Times New Roman" w:hAnsi="Times New Roman" w:eastAsia="楷体_GB2312"/>
          <w:b/>
          <w:sz w:val="32"/>
          <w:szCs w:val="32"/>
        </w:rPr>
        <w:t>（三）</w:t>
      </w:r>
      <w:r>
        <w:rPr>
          <w:rFonts w:hint="eastAsia" w:ascii="Times New Roman" w:hAnsi="Times New Roman" w:eastAsia="楷体_GB2312"/>
          <w:b/>
          <w:sz w:val="32"/>
          <w:szCs w:val="32"/>
        </w:rPr>
        <w:t>统筹</w:t>
      </w:r>
      <w:r>
        <w:rPr>
          <w:rFonts w:ascii="Times New Roman" w:hAnsi="Times New Roman" w:eastAsia="楷体_GB2312"/>
          <w:b/>
          <w:sz w:val="32"/>
          <w:szCs w:val="32"/>
        </w:rPr>
        <w:t>抓好安全生产</w:t>
      </w:r>
      <w:r>
        <w:rPr>
          <w:rFonts w:hint="eastAsia" w:ascii="Times New Roman" w:hAnsi="Times New Roman" w:eastAsia="楷体_GB2312"/>
          <w:b/>
          <w:sz w:val="32"/>
          <w:szCs w:val="32"/>
        </w:rPr>
        <w:t>工作</w:t>
      </w:r>
      <w:r>
        <w:rPr>
          <w:rFonts w:ascii="Times New Roman" w:hAnsi="Times New Roman" w:eastAsia="楷体_GB2312"/>
          <w:b/>
          <w:sz w:val="32"/>
          <w:szCs w:val="32"/>
        </w:rPr>
        <w:t>。</w:t>
      </w:r>
      <w:r>
        <w:rPr>
          <w:rFonts w:ascii="Times New Roman" w:hAnsi="Times New Roman" w:eastAsia="仿宋_GB2312"/>
          <w:bCs/>
          <w:sz w:val="32"/>
          <w:szCs w:val="32"/>
        </w:rPr>
        <w:t>常态化抓好疫情防控，加快推进疫苗接种，着力抓好重点时段防控，持续巩固“零发生”成效。全力防范化解重大风险，常态化开展森林草原、食品卫生、道路交通、建筑施工等各领域安全整治，从根源上减少风险隐患，营造安全稳定的社会环境。科学谋划防汛减灾工作，持续完善各类工作预案，常态开展地灾隐患排查整治和应急演练，做好防汛物资储备，确保安全度汛。</w:t>
      </w:r>
    </w:p>
    <w:p>
      <w:pPr>
        <w:pStyle w:val="2"/>
        <w:spacing w:before="93" w:line="560" w:lineRule="exact"/>
        <w:ind w:firstLine="640"/>
        <w:rPr>
          <w:rFonts w:ascii="Times New Roman" w:hAnsi="Times New Roman"/>
          <w:bCs/>
          <w:sz w:val="32"/>
          <w:szCs w:val="32"/>
        </w:rPr>
      </w:pPr>
      <w:r>
        <w:rPr>
          <w:rFonts w:ascii="Times New Roman" w:hAnsi="Times New Roman" w:eastAsia="楷体_GB2312"/>
          <w:b/>
          <w:sz w:val="32"/>
          <w:szCs w:val="32"/>
        </w:rPr>
        <w:t>（四）</w:t>
      </w:r>
      <w:r>
        <w:rPr>
          <w:rFonts w:hint="eastAsia" w:ascii="Times New Roman" w:hAnsi="Times New Roman" w:eastAsia="楷体_GB2312"/>
          <w:b/>
          <w:sz w:val="32"/>
          <w:szCs w:val="32"/>
        </w:rPr>
        <w:t>稳步</w:t>
      </w:r>
      <w:r>
        <w:rPr>
          <w:rFonts w:ascii="Times New Roman" w:hAnsi="Times New Roman" w:eastAsia="楷体_GB2312"/>
          <w:b/>
          <w:sz w:val="32"/>
          <w:szCs w:val="32"/>
        </w:rPr>
        <w:t>推动乡村振兴战略。</w:t>
      </w:r>
      <w:r>
        <w:rPr>
          <w:rFonts w:ascii="Times New Roman" w:hAnsi="Times New Roman"/>
          <w:bCs/>
          <w:sz w:val="32"/>
          <w:szCs w:val="32"/>
        </w:rPr>
        <w:t>认真落实《九寨沟县乡村振兴规划（2018—2025）》，扎实做好两项改革“后半篇”文章，积极争创省级乡村振兴先进县。加快实施一批重大交通项目，积极争创全国“四好农村路”示范县，努力建成川甘交界地区综合立体交通枢纽。大力实施教育提质和健康九寨行动，全面推进社会主义精神文明建设，积极争创全国文明城市。</w:t>
      </w:r>
    </w:p>
    <w:p>
      <w:pPr>
        <w:adjustRightInd w:val="0"/>
        <w:snapToGrid w:val="0"/>
        <w:spacing w:line="560" w:lineRule="exact"/>
        <w:ind w:firstLine="643" w:firstLineChars="200"/>
        <w:rPr>
          <w:rFonts w:ascii="Times New Roman" w:hAnsi="Times New Roman" w:eastAsia="仿宋_GB2312"/>
          <w:bCs/>
          <w:sz w:val="32"/>
          <w:szCs w:val="32"/>
        </w:rPr>
      </w:pPr>
      <w:r>
        <w:rPr>
          <w:rFonts w:ascii="Times New Roman" w:hAnsi="Times New Roman" w:eastAsia="楷体_GB2312"/>
          <w:b/>
          <w:sz w:val="32"/>
          <w:szCs w:val="32"/>
        </w:rPr>
        <w:t>（五）全</w:t>
      </w:r>
      <w:r>
        <w:rPr>
          <w:rFonts w:hint="eastAsia" w:ascii="Times New Roman" w:hAnsi="Times New Roman" w:eastAsia="楷体_GB2312"/>
          <w:b/>
          <w:sz w:val="32"/>
          <w:szCs w:val="32"/>
        </w:rPr>
        <w:t>力</w:t>
      </w:r>
      <w:r>
        <w:rPr>
          <w:rFonts w:ascii="Times New Roman" w:hAnsi="Times New Roman" w:eastAsia="楷体_GB2312"/>
          <w:b/>
          <w:sz w:val="32"/>
          <w:szCs w:val="32"/>
        </w:rPr>
        <w:t>维护社会和谐稳定。</w:t>
      </w:r>
      <w:r>
        <w:rPr>
          <w:rFonts w:ascii="Times New Roman" w:hAnsi="Times New Roman" w:eastAsia="仿宋_GB2312"/>
          <w:bCs/>
          <w:sz w:val="32"/>
          <w:szCs w:val="32"/>
        </w:rPr>
        <w:t>深入推进“平安九寨”建设，纵深开展“八五”普法，完善社会治安防控体系，加强网络安全保障和能力建设，依法打击各类违法犯罪活动，积极争创全省法治政府示范县。常态化开展森林草原、食品卫生、道路交通、建筑施工等各领域安全整治，从根源上减少风险隐患，营造安全稳定的社会环境。</w:t>
      </w:r>
    </w:p>
    <w:p>
      <w:pPr>
        <w:adjustRightInd w:val="0"/>
        <w:snapToGrid w:val="0"/>
        <w:spacing w:line="560" w:lineRule="exact"/>
        <w:ind w:firstLine="643" w:firstLineChars="200"/>
        <w:rPr>
          <w:rFonts w:ascii="Times New Roman" w:hAnsi="Times New Roman" w:eastAsia="仿宋_GB2312"/>
          <w:bCs/>
          <w:sz w:val="32"/>
          <w:szCs w:val="32"/>
        </w:rPr>
      </w:pPr>
      <w:r>
        <w:rPr>
          <w:rFonts w:ascii="Times New Roman" w:hAnsi="Times New Roman" w:eastAsia="楷体_GB2312"/>
          <w:b/>
          <w:sz w:val="32"/>
          <w:szCs w:val="32"/>
        </w:rPr>
        <w:t>（六）全面加强政府自身建设。</w:t>
      </w:r>
      <w:r>
        <w:rPr>
          <w:rFonts w:ascii="Times New Roman" w:hAnsi="Times New Roman" w:eastAsia="仿宋_GB2312"/>
          <w:bCs/>
          <w:sz w:val="32"/>
          <w:szCs w:val="32"/>
        </w:rPr>
        <w:t>坚决贯彻州委、州政府和县委各项决策部署，严格加强政府系统党风廉政建设，持之以恒抓好正风肃纪，用铁肩膀挑起硬担子，全面提升政府履职能力。推进审计监督全覆盖，严格控制“三公”经费支出，打好行政开支的“铁算盘”，加强重点领域、关键岗位监督管理，持之以恒抓好意识形态等工作，持续营造风清气正的良好政治生态。</w:t>
      </w: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第二部分  九寨沟县金融工作服务中心</w:t>
      </w:r>
      <w:r>
        <w:rPr>
          <w:rFonts w:hint="eastAsia" w:ascii="方正小标宋简体" w:hAnsi="黑体" w:eastAsia="方正小标宋简体"/>
          <w:sz w:val="44"/>
          <w:szCs w:val="44"/>
          <w:lang w:eastAsia="zh-CN"/>
        </w:rPr>
        <w:t>2024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tbl>
      <w:tblPr>
        <w:tblStyle w:val="5"/>
        <w:tblW w:w="23978" w:type="dxa"/>
        <w:tblInd w:w="93" w:type="dxa"/>
        <w:tblLayout w:type="autofit"/>
        <w:tblCellMar>
          <w:top w:w="0" w:type="dxa"/>
          <w:left w:w="108" w:type="dxa"/>
          <w:bottom w:w="0" w:type="dxa"/>
          <w:right w:w="108" w:type="dxa"/>
        </w:tblCellMar>
      </w:tblPr>
      <w:tblGrid>
        <w:gridCol w:w="7818"/>
        <w:gridCol w:w="1972"/>
        <w:gridCol w:w="4103"/>
        <w:gridCol w:w="1972"/>
        <w:gridCol w:w="1231"/>
        <w:gridCol w:w="1102"/>
        <w:gridCol w:w="858"/>
        <w:gridCol w:w="910"/>
        <w:gridCol w:w="1050"/>
        <w:gridCol w:w="520"/>
        <w:gridCol w:w="2442"/>
      </w:tblGrid>
      <w:tr>
        <w:tblPrEx>
          <w:tblCellMar>
            <w:top w:w="0" w:type="dxa"/>
            <w:left w:w="108" w:type="dxa"/>
            <w:bottom w:w="0" w:type="dxa"/>
            <w:right w:w="108" w:type="dxa"/>
          </w:tblCellMar>
        </w:tblPrEx>
        <w:trPr>
          <w:trHeight w:val="342" w:hRule="atLeast"/>
        </w:trPr>
        <w:tc>
          <w:tcPr>
            <w:tcW w:w="17096" w:type="dxa"/>
            <w:gridSpan w:val="5"/>
            <w:tcBorders>
              <w:top w:val="single" w:color="FFFFFF" w:sz="4" w:space="0"/>
              <w:left w:val="single" w:color="FFFFFF" w:sz="4" w:space="0"/>
              <w:bottom w:val="nil"/>
              <w:right w:val="single" w:color="FFFFFF" w:sz="4" w:space="0"/>
            </w:tcBorders>
            <w:shd w:val="clear" w:color="auto" w:fill="auto"/>
            <w:noWrap/>
            <w:vAlign w:val="center"/>
          </w:tcPr>
          <w:tbl>
            <w:tblPr>
              <w:tblW w:w="137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20"/>
              <w:gridCol w:w="1965"/>
              <w:gridCol w:w="4920"/>
              <w:gridCol w:w="19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92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492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196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492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二十四、预备费</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二十五、其他支出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二十六、转移性支出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二十七、债务还本支出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二十八、债务付息支出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二十九、债务发行费用支出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bdr w:val="none" w:color="auto" w:sz="0" w:space="0"/>
                      <w:lang w:val="en-US" w:eastAsia="zh-CN" w:bidi="ar"/>
                    </w:rPr>
                    <w:t>三十、抗疫特别国债安排的支出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bdr w:val="none" w:color="auto" w:sz="0" w:space="0"/>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492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5"/>
                      <w:bdr w:val="none" w:color="auto" w:sz="0" w:space="0"/>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七、用事业基金弥补收支差额</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三十一、事业单位结余分配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八、上年结转</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其中：转入事业基金</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0" w:type="dxa"/>
                  <w:tcBorders>
                    <w:top w:val="single" w:color="C0C0C0" w:sz="4" w:space="0"/>
                    <w:left w:val="single" w:color="C0C0C0" w:sz="4" w:space="0"/>
                    <w:bottom w:val="single" w:color="C0C0C0" w:sz="4" w:space="0"/>
                    <w:right w:val="single" w:color="C0C0C0" w:sz="4" w:space="0"/>
                  </w:tcBorders>
                  <w:shd w:val="clear"/>
                  <w:vAlign w:val="center"/>
                </w:tcPr>
                <w:p>
                  <w:pPr>
                    <w:rPr>
                      <w:rFonts w:hint="eastAsia" w:ascii="Hiragino Sans GB" w:hAnsi="Hiragino Sans GB" w:eastAsia="Hiragino Sans GB" w:cs="Hiragino Sans GB"/>
                      <w:i w:val="0"/>
                      <w:iCs w:val="0"/>
                      <w:color w:val="000000"/>
                      <w:sz w:val="18"/>
                      <w:szCs w:val="18"/>
                      <w:u w:val="none"/>
                    </w:rPr>
                  </w:pPr>
                </w:p>
              </w:tc>
              <w:tc>
                <w:tcPr>
                  <w:tcW w:w="1965" w:type="dxa"/>
                  <w:tcBorders>
                    <w:top w:val="single" w:color="C0C0C0" w:sz="4" w:space="0"/>
                    <w:left w:val="single" w:color="C0C0C0" w:sz="4" w:space="0"/>
                    <w:bottom w:val="single" w:color="C0C0C0" w:sz="4" w:space="0"/>
                    <w:right w:val="single" w:color="C0C0C0" w:sz="4" w:space="0"/>
                  </w:tcBorders>
                  <w:shd w:val="clear"/>
                  <w:vAlign w:val="center"/>
                </w:tcPr>
                <w:p>
                  <w:pPr>
                    <w:rPr>
                      <w:rFonts w:hint="default" w:ascii="Hiragino Sans GB" w:hAnsi="Hiragino Sans GB" w:eastAsia="Hiragino Sans GB" w:cs="Hiragino Sans GB"/>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三十二、结转下年</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r>
          </w:tbl>
          <w:p>
            <w:pPr>
              <w:widowControl/>
              <w:jc w:val="left"/>
              <w:rPr>
                <w:rFonts w:hint="eastAsia" w:ascii="宋体" w:hAnsi="宋体" w:eastAsia="宋体" w:cs="宋体"/>
                <w:color w:val="000000"/>
                <w:kern w:val="0"/>
                <w:sz w:val="22"/>
              </w:rPr>
            </w:pPr>
          </w:p>
          <w:tbl>
            <w:tblPr>
              <w:tblW w:w="1393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00"/>
              <w:gridCol w:w="2026"/>
              <w:gridCol w:w="1029"/>
              <w:gridCol w:w="973"/>
              <w:gridCol w:w="1029"/>
              <w:gridCol w:w="921"/>
              <w:gridCol w:w="816"/>
              <w:gridCol w:w="816"/>
              <w:gridCol w:w="750"/>
              <w:gridCol w:w="973"/>
              <w:gridCol w:w="973"/>
              <w:gridCol w:w="973"/>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0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216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99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79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3"/>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79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06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一般公共预算拨款收入</w:t>
                  </w:r>
                </w:p>
              </w:tc>
              <w:tc>
                <w:tcPr>
                  <w:tcW w:w="9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政府性基金预算拨款收入</w:t>
                  </w:r>
                </w:p>
              </w:tc>
              <w:tc>
                <w:tcPr>
                  <w:tcW w:w="8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国有资本经营预算拨款收入</w:t>
                  </w:r>
                </w:p>
              </w:tc>
              <w:tc>
                <w:tcPr>
                  <w:tcW w:w="8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事业收入</w:t>
                  </w:r>
                </w:p>
              </w:tc>
              <w:tc>
                <w:tcPr>
                  <w:tcW w:w="7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 xml:space="preserve">事业单位经营收入 </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其他收入</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上级补助收入</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附属单位上缴收入</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用事业基金弥补收支差额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21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1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21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6"/>
                      <w:bdr w:val="none" w:color="auto" w:sz="0" w:space="0"/>
                      <w:lang w:val="en-US" w:eastAsia="zh-CN" w:bidi="ar"/>
                    </w:rPr>
                    <w:t>金融工作服务中心</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nil"/>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050" w:type="dxa"/>
                  <w:tcBorders>
                    <w:top w:val="nil"/>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r>
          </w:tbl>
          <w:p>
            <w:pPr>
              <w:widowControl/>
              <w:jc w:val="left"/>
              <w:rPr>
                <w:rFonts w:hint="eastAsia" w:ascii="宋体" w:hAnsi="宋体" w:eastAsia="宋体" w:cs="宋体"/>
                <w:color w:val="000000"/>
                <w:kern w:val="0"/>
                <w:sz w:val="22"/>
              </w:rPr>
            </w:pPr>
          </w:p>
          <w:tbl>
            <w:tblPr>
              <w:tblW w:w="1410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48"/>
              <w:gridCol w:w="679"/>
              <w:gridCol w:w="678"/>
              <w:gridCol w:w="1380"/>
              <w:gridCol w:w="3629"/>
              <w:gridCol w:w="1524"/>
              <w:gridCol w:w="1507"/>
              <w:gridCol w:w="1109"/>
              <w:gridCol w:w="989"/>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39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372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56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53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11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2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560"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0"/>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11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02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c>
                <w:tcPr>
                  <w:tcW w:w="10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上缴上级支出</w:t>
                  </w:r>
                </w:p>
              </w:tc>
              <w:tc>
                <w:tcPr>
                  <w:tcW w:w="15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5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5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金融工作服务中心</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37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tbl>
            <w:tblPr>
              <w:tblW w:w="1320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390"/>
              <w:gridCol w:w="1050"/>
              <w:gridCol w:w="3300"/>
              <w:gridCol w:w="1324"/>
              <w:gridCol w:w="1542"/>
              <w:gridCol w:w="1288"/>
              <w:gridCol w:w="1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339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05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3300"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br w:type="textWrapping"/>
                  </w:r>
                  <w:r>
                    <w:rPr>
                      <w:rFonts w:ascii="宋体" w:hAnsi="宋体" w:eastAsia="宋体" w:cs="宋体"/>
                      <w:i w:val="0"/>
                      <w:iCs w:val="0"/>
                      <w:color w:val="000000"/>
                      <w:kern w:val="0"/>
                      <w:sz w:val="22"/>
                      <w:szCs w:val="22"/>
                      <w:u w:val="none"/>
                      <w:bdr w:val="none" w:color="auto" w:sz="0" w:space="0"/>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none" w:color="auto" w:sz="0" w:space="0"/>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3300"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nil"/>
                    <w:right w:val="single" w:color="FFFFFF"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一般公共预算</w:t>
                  </w:r>
                </w:p>
              </w:tc>
              <w:tc>
                <w:tcPr>
                  <w:tcW w:w="1365"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政府性基金预算</w:t>
                  </w:r>
                </w:p>
              </w:tc>
              <w:tc>
                <w:tcPr>
                  <w:tcW w:w="1365"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一、上年结转</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74.75</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74.75</w:t>
                  </w: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29.56</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29.56</w:t>
                  </w: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39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3300" w:type="dxa"/>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c>
                <w:tcPr>
                  <w:tcW w:w="1365" w:type="dxa"/>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tbl>
            <w:tblPr>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67"/>
              <w:gridCol w:w="480"/>
              <w:gridCol w:w="859"/>
              <w:gridCol w:w="538"/>
              <w:gridCol w:w="759"/>
              <w:gridCol w:w="700"/>
              <w:gridCol w:w="700"/>
              <w:gridCol w:w="859"/>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318" w:type="pct"/>
                  <w:gridSpan w:val="2"/>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6"/>
                      <w:szCs w:val="16"/>
                      <w:u w:val="none"/>
                    </w:rPr>
                  </w:pPr>
                </w:p>
              </w:tc>
              <w:tc>
                <w:tcPr>
                  <w:tcW w:w="253"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58"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234" w:type="pct"/>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6"/>
                      <w:szCs w:val="16"/>
                      <w:u w:val="none"/>
                    </w:rPr>
                  </w:pPr>
                </w:p>
              </w:tc>
              <w:tc>
                <w:tcPr>
                  <w:tcW w:w="216" w:type="pct"/>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6"/>
                      <w:szCs w:val="16"/>
                      <w:u w:val="none"/>
                    </w:rPr>
                  </w:pPr>
                </w:p>
              </w:tc>
              <w:tc>
                <w:tcPr>
                  <w:tcW w:w="212" w:type="pct"/>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16"/>
                      <w:szCs w:val="16"/>
                      <w:u w:val="none"/>
                    </w:rPr>
                  </w:pPr>
                </w:p>
              </w:tc>
              <w:tc>
                <w:tcPr>
                  <w:tcW w:w="253"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34" w:type="pct"/>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bdr w:val="none" w:color="auto" w:sz="0" w:space="0"/>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730" w:type="pct"/>
                  <w:gridSpan w:val="4"/>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部门：</w:t>
                  </w:r>
                </w:p>
              </w:tc>
              <w:tc>
                <w:tcPr>
                  <w:tcW w:w="234"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216" w:type="pct"/>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6"/>
                      <w:szCs w:val="16"/>
                      <w:u w:val="none"/>
                    </w:rPr>
                  </w:pPr>
                </w:p>
              </w:tc>
              <w:tc>
                <w:tcPr>
                  <w:tcW w:w="212" w:type="pct"/>
                  <w:tcBorders>
                    <w:top w:val="single" w:color="FFFFFF" w:sz="4" w:space="0"/>
                    <w:left w:val="single" w:color="FFFFFF" w:sz="4" w:space="0"/>
                    <w:bottom w:val="nil"/>
                    <w:right w:val="single" w:color="FFFFFF" w:sz="4" w:space="0"/>
                  </w:tcBorders>
                  <w:shd w:val="clear"/>
                  <w:noWrap/>
                  <w:vAlign w:val="center"/>
                </w:tcPr>
                <w:p>
                  <w:pPr>
                    <w:jc w:val="right"/>
                    <w:rPr>
                      <w:rFonts w:hint="eastAsia" w:ascii="宋体" w:hAnsi="宋体" w:eastAsia="宋体" w:cs="宋体"/>
                      <w:i w:val="0"/>
                      <w:iCs w:val="0"/>
                      <w:color w:val="000000"/>
                      <w:sz w:val="16"/>
                      <w:szCs w:val="16"/>
                      <w:u w:val="none"/>
                    </w:rPr>
                  </w:pPr>
                </w:p>
              </w:tc>
              <w:tc>
                <w:tcPr>
                  <w:tcW w:w="253"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110" w:type="pct"/>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6"/>
                      <w:szCs w:val="16"/>
                      <w:u w:val="none"/>
                    </w:rPr>
                  </w:pPr>
                </w:p>
              </w:tc>
              <w:tc>
                <w:tcPr>
                  <w:tcW w:w="245" w:type="pct"/>
                  <w:gridSpan w:val="2"/>
                  <w:tcBorders>
                    <w:top w:val="single" w:color="FFFFFF" w:sz="4" w:space="0"/>
                    <w:left w:val="single" w:color="FFFFFF" w:sz="4" w:space="0"/>
                    <w:bottom w:val="nil"/>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30"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    目</w:t>
                  </w:r>
                </w:p>
              </w:tc>
              <w:tc>
                <w:tcPr>
                  <w:tcW w:w="23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总计</w:t>
                  </w:r>
                </w:p>
              </w:tc>
              <w:tc>
                <w:tcPr>
                  <w:tcW w:w="1459"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省级当年财政拨款安排</w:t>
                  </w:r>
                </w:p>
              </w:tc>
              <w:tc>
                <w:tcPr>
                  <w:tcW w:w="1109" w:type="pct"/>
                  <w:gridSpan w:val="10"/>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中央提前通知专项转移支付等</w:t>
                  </w:r>
                </w:p>
              </w:tc>
              <w:tc>
                <w:tcPr>
                  <w:tcW w:w="1466" w:type="pct"/>
                  <w:gridSpan w:val="1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科目编码</w:t>
                  </w:r>
                </w:p>
              </w:tc>
              <w:tc>
                <w:tcPr>
                  <w:tcW w:w="253"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单位代码</w:t>
                  </w:r>
                </w:p>
              </w:tc>
              <w:tc>
                <w:tcPr>
                  <w:tcW w:w="158"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单位名称（科目）</w:t>
                  </w:r>
                </w:p>
              </w:tc>
              <w:tc>
                <w:tcPr>
                  <w:tcW w:w="23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合计</w:t>
                  </w:r>
                </w:p>
              </w:tc>
              <w:tc>
                <w:tcPr>
                  <w:tcW w:w="576"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一般公共预算拨款</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政府性基金安排</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国有资本经营预算安排</w:t>
                  </w:r>
                </w:p>
              </w:tc>
              <w:tc>
                <w:tcPr>
                  <w:tcW w:w="110"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合计</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一般公共预算拨款</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政府性基金安排</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国有资本经营预算安排</w:t>
                  </w:r>
                </w:p>
              </w:tc>
              <w:tc>
                <w:tcPr>
                  <w:tcW w:w="110" w:type="pct"/>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合计</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一般公共预算拨款</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政府性基金安排</w:t>
                  </w:r>
                </w:p>
              </w:tc>
              <w:tc>
                <w:tcPr>
                  <w:tcW w:w="332"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国有资本经营预算安排</w:t>
                  </w:r>
                </w:p>
              </w:tc>
              <w:tc>
                <w:tcPr>
                  <w:tcW w:w="356" w:type="pct"/>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6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类</w:t>
                  </w:r>
                </w:p>
              </w:tc>
              <w:tc>
                <w:tcPr>
                  <w:tcW w:w="15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款</w:t>
                  </w:r>
                </w:p>
              </w:tc>
              <w:tc>
                <w:tcPr>
                  <w:tcW w:w="253"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158"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hint="eastAsia" w:ascii="宋体" w:hAnsi="宋体" w:eastAsia="宋体" w:cs="宋体"/>
                      <w:b/>
                      <w:bCs/>
                      <w:i w:val="0"/>
                      <w:iCs w:val="0"/>
                      <w:color w:val="000000"/>
                      <w:sz w:val="16"/>
                      <w:szCs w:val="16"/>
                      <w:u w:val="none"/>
                    </w:rPr>
                  </w:pPr>
                </w:p>
              </w:tc>
              <w:tc>
                <w:tcPr>
                  <w:tcW w:w="23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6"/>
                      <w:szCs w:val="16"/>
                      <w:u w:val="none"/>
                    </w:rPr>
                  </w:pPr>
                </w:p>
              </w:tc>
              <w:tc>
                <w:tcPr>
                  <w:tcW w:w="21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25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小计</w:t>
                  </w:r>
                </w:p>
              </w:tc>
              <w:tc>
                <w:tcPr>
                  <w:tcW w:w="110"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基本支出</w:t>
                  </w:r>
                </w:p>
              </w:tc>
              <w:tc>
                <w:tcPr>
                  <w:tcW w:w="134" w:type="pct"/>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noWrap/>
                  <w:vAlign w:val="center"/>
                </w:tcPr>
                <w:p>
                  <w:pPr>
                    <w:jc w:val="center"/>
                    <w:rPr>
                      <w:rFonts w:hint="eastAsia" w:ascii="宋体" w:hAnsi="宋体" w:eastAsia="宋体" w:cs="宋体"/>
                      <w:b/>
                      <w:bCs/>
                      <w:i w:val="0"/>
                      <w:iCs w:val="0"/>
                      <w:color w:val="000000"/>
                      <w:sz w:val="16"/>
                      <w:szCs w:val="16"/>
                      <w:u w:val="none"/>
                    </w:rPr>
                  </w:pPr>
                </w:p>
              </w:tc>
              <w:tc>
                <w:tcPr>
                  <w:tcW w:w="151" w:type="pct"/>
                  <w:tcBorders>
                    <w:top w:val="single" w:color="C0C0C0" w:sz="4" w:space="0"/>
                    <w:left w:val="single" w:color="C0C0C0" w:sz="4" w:space="0"/>
                    <w:bottom w:val="single" w:color="C0C0C0" w:sz="4" w:space="0"/>
                    <w:right w:val="single" w:color="C0C0C0" w:sz="4" w:space="0"/>
                  </w:tcBorders>
                  <w:shd w:val="clear"/>
                  <w:noWrap/>
                  <w:vAlign w:val="center"/>
                </w:tcPr>
                <w:p>
                  <w:pPr>
                    <w:jc w:val="center"/>
                    <w:rPr>
                      <w:rFonts w:hint="eastAsia" w:ascii="宋体" w:hAnsi="宋体" w:eastAsia="宋体" w:cs="宋体"/>
                      <w:b/>
                      <w:bCs/>
                      <w:i w:val="0"/>
                      <w:iCs w:val="0"/>
                      <w:color w:val="000000"/>
                      <w:sz w:val="16"/>
                      <w:szCs w:val="16"/>
                      <w:u w:val="none"/>
                    </w:rPr>
                  </w:pP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jc w:val="center"/>
                    <w:rPr>
                      <w:rFonts w:hint="eastAsia" w:ascii="宋体" w:hAnsi="宋体" w:eastAsia="宋体" w:cs="宋体"/>
                      <w:b/>
                      <w:bCs/>
                      <w:i w:val="0"/>
                      <w:iCs w:val="0"/>
                      <w:color w:val="000000"/>
                      <w:sz w:val="16"/>
                      <w:szCs w:val="16"/>
                      <w:u w:val="none"/>
                    </w:rPr>
                  </w:pPr>
                </w:p>
              </w:tc>
              <w:tc>
                <w:tcPr>
                  <w:tcW w:w="158" w:type="pct"/>
                  <w:tcBorders>
                    <w:top w:val="single" w:color="C2C3C4" w:sz="4" w:space="0"/>
                    <w:left w:val="single" w:color="C2C3C4" w:sz="4" w:space="0"/>
                    <w:bottom w:val="single" w:color="C2C3C4" w:sz="4" w:space="0"/>
                    <w:right w:val="single" w:color="C2C3C4"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合    计</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475.41</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475.41</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475.41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bdr w:val="none" w:color="auto" w:sz="0" w:space="0"/>
                      <w:lang w:val="en-US" w:eastAsia="zh-CN" w:bidi="ar"/>
                    </w:rPr>
                    <w:t>475.41</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jc w:val="left"/>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jc w:val="left"/>
                    <w:rPr>
                      <w:rFonts w:hint="eastAsia" w:ascii="宋体" w:hAnsi="宋体" w:eastAsia="宋体" w:cs="宋体"/>
                      <w:i w:val="0"/>
                      <w:iCs w:val="0"/>
                      <w:color w:val="000000"/>
                      <w:sz w:val="16"/>
                      <w:szCs w:val="16"/>
                      <w:u w:val="none"/>
                    </w:rPr>
                  </w:pP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jc w:val="left"/>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金融工作服务中心</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475.41</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jc w:val="left"/>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工资福利支出</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449.03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449.03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449.03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449.03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基本工资</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103.57</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103.57</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103.57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103.57</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津贴补贴</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19.98</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19.98</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19.98</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19.98</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艰苦边远地区津贴</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16.63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16.63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16.63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16.63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高海拔地区折算工龄补贴</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0.54</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0.54</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0.54</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0.54</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乡镇工作补贴</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其他国家津补贴</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1.78</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1.78</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1.78</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1.78</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奖金</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92.60</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92.60</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92.60</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92.60</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年终一次性奖金</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8.63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8.63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8.63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8.63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基础绩效奖</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83.97</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83.97</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83.97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83.97</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绩效工资</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80.09</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80.09</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80.09</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80.09</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08</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机关事业单位基本养老保险缴费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47.40</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47.40</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47.40</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47.40</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09</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职业年金缴费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27.35</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27.35</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27.35</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27.35</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职工基本医疗保险缴费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23.93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23.93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23.93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23.93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其他社会保障缴费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13.06</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13.06</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13.06</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13.06</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工伤保险</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1.18</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1.18</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1.18</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1.18</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失业保险</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1.65</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1.65</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1.65</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1.65</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残保金</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4.60</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4.60</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4.60</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4.60</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其他社会保险费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5.63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5.63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5.63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5.63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301</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住房公积金</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41.04</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41.04</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41.04</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41.04</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jc w:val="center"/>
                    <w:rPr>
                      <w:rFonts w:hint="eastAsia" w:ascii="宋体" w:hAnsi="宋体" w:eastAsia="宋体" w:cs="宋体"/>
                      <w:i w:val="0"/>
                      <w:iCs w:val="0"/>
                      <w:color w:val="000000"/>
                      <w:sz w:val="16"/>
                      <w:szCs w:val="16"/>
                      <w:u w:val="none"/>
                    </w:rPr>
                  </w:pP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jc w:val="left"/>
                    <w:rPr>
                      <w:rFonts w:hint="eastAsia" w:ascii="宋体" w:hAnsi="宋体" w:eastAsia="宋体" w:cs="宋体"/>
                      <w:i w:val="0"/>
                      <w:iCs w:val="0"/>
                      <w:color w:val="000000"/>
                      <w:sz w:val="16"/>
                      <w:szCs w:val="16"/>
                      <w:u w:val="none"/>
                    </w:rPr>
                  </w:pP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商品和服务支出</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26.37</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26.37</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26.37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26.37</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01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办公费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2.60</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2.60</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2.60</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2.60</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02</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印刷费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0.13</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0.13</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0.13</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0.13</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07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邮电费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1.25</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1.25</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1.25</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1.25</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11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差旅费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11.57</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11.57</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11.57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11.57</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16</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培训费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1.55</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1.55</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1.55</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1.55</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17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公务接待费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0.47</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0.47</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0.47</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0.47</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28</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工会经费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3.91</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3.91</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3.91</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3.91</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7"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302</w:t>
                  </w:r>
                </w:p>
              </w:tc>
              <w:tc>
                <w:tcPr>
                  <w:tcW w:w="151"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center"/>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29</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103002</w:t>
                  </w:r>
                </w:p>
              </w:tc>
              <w:tc>
                <w:tcPr>
                  <w:tcW w:w="158" w:type="pct"/>
                  <w:tcBorders>
                    <w:top w:val="single" w:color="C0C0C0" w:sz="4" w:space="0"/>
                    <w:left w:val="single" w:color="C0C0C0" w:sz="4" w:space="0"/>
                    <w:bottom w:val="single" w:color="C0C0C0" w:sz="4" w:space="0"/>
                    <w:right w:val="single" w:color="C0C0C0" w:sz="4" w:space="0"/>
                  </w:tcBorders>
                  <w:shd w:val="clear"/>
                  <w:vAlign w:val="center"/>
                </w:tcPr>
                <w:p>
                  <w:pPr>
                    <w:keepNext w:val="0"/>
                    <w:keepLines w:val="0"/>
                    <w:widowControl/>
                    <w:suppressLineNumbers w:val="0"/>
                    <w:jc w:val="left"/>
                    <w:textAlignment w:val="center"/>
                    <w:rPr>
                      <w:rFonts w:hint="default" w:ascii="Dialog . plain" w:hAnsi="Dialog . plain" w:eastAsia="Dialog . plain" w:cs="Dialog . plain"/>
                      <w:i w:val="0"/>
                      <w:iCs w:val="0"/>
                      <w:color w:val="000000"/>
                      <w:sz w:val="16"/>
                      <w:szCs w:val="16"/>
                      <w:u w:val="none"/>
                    </w:rPr>
                  </w:pPr>
                  <w:r>
                    <w:rPr>
                      <w:rFonts w:hint="default" w:ascii="Dialog . plain" w:hAnsi="Dialog . plain" w:eastAsia="Dialog . plain" w:cs="Dialog . plain"/>
                      <w:i w:val="0"/>
                      <w:iCs w:val="0"/>
                      <w:color w:val="000000"/>
                      <w:kern w:val="0"/>
                      <w:sz w:val="16"/>
                      <w:szCs w:val="16"/>
                      <w:u w:val="none"/>
                      <w:bdr w:val="none" w:color="auto" w:sz="0" w:space="0"/>
                      <w:lang w:val="en-US" w:eastAsia="zh-CN" w:bidi="ar"/>
                    </w:rPr>
                    <w:t xml:space="preserve">   </w:t>
                  </w:r>
                  <w:r>
                    <w:rPr>
                      <w:rFonts w:hint="eastAsia" w:ascii="宋体" w:hAnsi="宋体" w:eastAsia="宋体" w:cs="宋体"/>
                      <w:i w:val="0"/>
                      <w:iCs w:val="0"/>
                      <w:color w:val="000000"/>
                      <w:kern w:val="0"/>
                      <w:sz w:val="16"/>
                      <w:szCs w:val="16"/>
                      <w:u w:val="none"/>
                      <w:bdr w:val="none" w:color="auto" w:sz="0" w:space="0"/>
                      <w:lang w:val="en-US" w:eastAsia="zh-CN" w:bidi="ar"/>
                    </w:rPr>
                    <w:t>福利费</w:t>
                  </w:r>
                </w:p>
              </w:tc>
              <w:tc>
                <w:tcPr>
                  <w:tcW w:w="234"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4.89</w:t>
                  </w:r>
                </w:p>
              </w:tc>
              <w:tc>
                <w:tcPr>
                  <w:tcW w:w="216"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4.89</w:t>
                  </w:r>
                </w:p>
              </w:tc>
              <w:tc>
                <w:tcPr>
                  <w:tcW w:w="212"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4.89</w:t>
                  </w:r>
                </w:p>
              </w:tc>
              <w:tc>
                <w:tcPr>
                  <w:tcW w:w="253" w:type="pct"/>
                  <w:tcBorders>
                    <w:top w:val="single" w:color="C0C0C0" w:sz="4" w:space="0"/>
                    <w:left w:val="single" w:color="C0C0C0" w:sz="4" w:space="0"/>
                    <w:bottom w:val="single" w:color="C0C0C0" w:sz="4" w:space="0"/>
                    <w:right w:val="single" w:color="C0C0C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4.89</w:t>
                  </w: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10"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c>
                <w:tcPr>
                  <w:tcW w:w="134" w:type="pct"/>
                  <w:tcBorders>
                    <w:top w:val="single" w:color="C0C0C0" w:sz="4" w:space="0"/>
                    <w:left w:val="single" w:color="C0C0C0" w:sz="4" w:space="0"/>
                    <w:bottom w:val="single" w:color="C0C0C0" w:sz="4" w:space="0"/>
                    <w:right w:val="single" w:color="C0C0C0" w:sz="4" w:space="0"/>
                  </w:tcBorders>
                  <w:shd w:val="clear"/>
                  <w:vAlign w:val="center"/>
                </w:tcPr>
                <w:p>
                  <w:pPr>
                    <w:jc w:val="right"/>
                    <w:rPr>
                      <w:rFonts w:hint="eastAsia" w:ascii="宋体" w:hAnsi="宋体" w:eastAsia="宋体" w:cs="宋体"/>
                      <w:i w:val="0"/>
                      <w:iCs w:val="0"/>
                      <w:color w:val="000000"/>
                      <w:sz w:val="16"/>
                      <w:szCs w:val="16"/>
                      <w:u w:val="none"/>
                    </w:rPr>
                  </w:pPr>
                </w:p>
              </w:tc>
            </w:tr>
          </w:tbl>
          <w:p>
            <w:pPr>
              <w:widowControl/>
              <w:jc w:val="left"/>
              <w:rPr>
                <w:rFonts w:hint="eastAsia" w:ascii="宋体" w:hAnsi="宋体" w:eastAsia="宋体" w:cs="宋体"/>
                <w:color w:val="000000"/>
                <w:kern w:val="0"/>
                <w:sz w:val="22"/>
              </w:rPr>
            </w:pPr>
          </w:p>
          <w:tbl>
            <w:tblPr>
              <w:tblW w:w="1363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48"/>
              <w:gridCol w:w="679"/>
              <w:gridCol w:w="678"/>
              <w:gridCol w:w="1100"/>
              <w:gridCol w:w="4470"/>
              <w:gridCol w:w="1046"/>
              <w:gridCol w:w="2407"/>
              <w:gridCol w:w="24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0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447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5895" w:type="dxa"/>
                  <w:gridSpan w:val="3"/>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nil"/>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当年财政拨款安排</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人民政府办公室部门</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475.41</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330.05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47.40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27.35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23.93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41.04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tbl>
            <w:tblPr>
              <w:tblW w:w="1183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5"/>
              <w:gridCol w:w="735"/>
              <w:gridCol w:w="735"/>
              <w:gridCol w:w="1605"/>
              <w:gridCol w:w="5565"/>
              <w:gridCol w:w="24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55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2460"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6"/>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5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5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5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5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此表无内容</w:t>
            </w:r>
          </w:p>
          <w:p>
            <w:pPr>
              <w:widowControl/>
              <w:jc w:val="left"/>
              <w:rPr>
                <w:rFonts w:hint="eastAsia" w:ascii="宋体" w:hAnsi="宋体" w:eastAsia="宋体" w:cs="宋体"/>
                <w:color w:val="000000"/>
                <w:kern w:val="0"/>
                <w:sz w:val="22"/>
              </w:rPr>
            </w:pPr>
          </w:p>
          <w:tbl>
            <w:tblPr>
              <w:tblW w:w="1323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05"/>
              <w:gridCol w:w="2126"/>
              <w:gridCol w:w="1336"/>
              <w:gridCol w:w="1340"/>
              <w:gridCol w:w="1336"/>
              <w:gridCol w:w="1763"/>
              <w:gridCol w:w="1763"/>
              <w:gridCol w:w="19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605" w:type="dxa"/>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213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74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74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3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0.47</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0.47</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103002</w:t>
                  </w: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金融工作服务中心</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0.47</w:t>
                  </w:r>
                </w:p>
              </w:tc>
            </w:tr>
          </w:tbl>
          <w:p>
            <w:pPr>
              <w:widowControl/>
              <w:jc w:val="left"/>
              <w:rPr>
                <w:rFonts w:hint="eastAsia" w:ascii="宋体" w:hAnsi="宋体" w:eastAsia="宋体" w:cs="宋体"/>
                <w:color w:val="000000"/>
                <w:kern w:val="0"/>
                <w:sz w:val="22"/>
              </w:rPr>
            </w:pPr>
          </w:p>
          <w:tbl>
            <w:tblPr>
              <w:tblW w:w="1363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5"/>
              <w:gridCol w:w="735"/>
              <w:gridCol w:w="735"/>
              <w:gridCol w:w="1605"/>
              <w:gridCol w:w="4470"/>
              <w:gridCol w:w="1425"/>
              <w:gridCol w:w="1965"/>
              <w:gridCol w:w="19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2205" w:type="dxa"/>
                  <w:gridSpan w:val="3"/>
                  <w:tcBorders>
                    <w:top w:val="single" w:color="FFFFFF" w:sz="4" w:space="0"/>
                    <w:left w:val="single" w:color="FFFFFF" w:sz="4" w:space="0"/>
                    <w:bottom w:val="single" w:color="FFFFFF" w:sz="4" w:space="0"/>
                    <w:right w:val="single" w:color="FFFFFF" w:sz="4" w:space="0"/>
                  </w:tcBorders>
                  <w:shd w:val="clear"/>
                  <w:noWrap/>
                  <w:vAlign w:val="center"/>
                </w:tcPr>
                <w:p>
                  <w:pPr>
                    <w:rPr>
                      <w:rFonts w:hint="eastAsia" w:ascii="宋体" w:hAnsi="宋体" w:eastAsia="宋体" w:cs="宋体"/>
                      <w:i w:val="0"/>
                      <w:iCs w:val="0"/>
                      <w:color w:val="000000"/>
                      <w:sz w:val="22"/>
                      <w:szCs w:val="22"/>
                      <w:u w:val="none"/>
                    </w:rPr>
                  </w:pPr>
                </w:p>
              </w:tc>
              <w:tc>
                <w:tcPr>
                  <w:tcW w:w="160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447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42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47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tbl>
            <w:tblPr>
              <w:tblW w:w="147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05"/>
              <w:gridCol w:w="2715"/>
              <w:gridCol w:w="1530"/>
              <w:gridCol w:w="1515"/>
              <w:gridCol w:w="1455"/>
              <w:gridCol w:w="1965"/>
              <w:gridCol w:w="1965"/>
              <w:gridCol w:w="19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605" w:type="dxa"/>
                  <w:tcBorders>
                    <w:top w:val="single" w:color="FFFFFF" w:sz="4" w:space="0"/>
                    <w:left w:val="single" w:color="FFFFFF" w:sz="4" w:space="0"/>
                    <w:bottom w:val="single" w:color="FFFFFF" w:sz="4" w:space="0"/>
                    <w:right w:val="single" w:color="FFFFFF" w:sz="4" w:space="0"/>
                  </w:tcBorders>
                  <w:shd w:val="clear"/>
                  <w:noWrap/>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此表无内</w:t>
                  </w:r>
                  <w:r>
                    <w:rPr>
                      <w:rFonts w:hint="eastAsia" w:ascii="宋体" w:hAnsi="宋体" w:eastAsia="宋体" w:cs="宋体"/>
                      <w:b/>
                      <w:bCs/>
                      <w:color w:val="000000"/>
                      <w:kern w:val="0"/>
                      <w:sz w:val="32"/>
                      <w:szCs w:val="32"/>
                      <w:lang w:val="en-US" w:eastAsia="zh-CN"/>
                    </w:rPr>
                    <w:t xml:space="preserve">    </w:t>
                  </w:r>
                  <w:r>
                    <w:rPr>
                      <w:rFonts w:hint="eastAsia" w:ascii="宋体" w:hAnsi="宋体" w:eastAsia="宋体" w:cs="宋体"/>
                      <w:b/>
                      <w:bCs/>
                      <w:color w:val="000000"/>
                      <w:kern w:val="0"/>
                      <w:sz w:val="32"/>
                      <w:szCs w:val="32"/>
                    </w:rPr>
                    <w:t>容</w:t>
                  </w:r>
                </w:p>
                <w:p>
                  <w:pPr>
                    <w:widowControl/>
                    <w:jc w:val="both"/>
                    <w:rPr>
                      <w:rFonts w:hint="eastAsia" w:ascii="宋体" w:hAnsi="宋体" w:eastAsia="宋体" w:cs="宋体"/>
                      <w:b/>
                      <w:bCs/>
                      <w:color w:val="000000"/>
                      <w:kern w:val="0"/>
                      <w:sz w:val="32"/>
                      <w:szCs w:val="32"/>
                      <w:lang w:eastAsia="zh-CN"/>
                    </w:rPr>
                  </w:pPr>
                </w:p>
                <w:p>
                  <w:pPr>
                    <w:widowControl/>
                    <w:jc w:val="both"/>
                    <w:rPr>
                      <w:rFonts w:hint="eastAsia" w:ascii="宋体" w:hAnsi="宋体" w:eastAsia="宋体" w:cs="宋体"/>
                      <w:b/>
                      <w:bCs/>
                      <w:color w:val="000000"/>
                      <w:kern w:val="0"/>
                      <w:sz w:val="32"/>
                      <w:szCs w:val="32"/>
                      <w:lang w:eastAsia="zh-CN"/>
                    </w:rPr>
                  </w:pPr>
                </w:p>
                <w:p>
                  <w:pPr>
                    <w:rPr>
                      <w:rFonts w:hint="eastAsia" w:ascii="宋体" w:hAnsi="宋体" w:eastAsia="宋体" w:cs="宋体"/>
                      <w:i w:val="0"/>
                      <w:iCs w:val="0"/>
                      <w:color w:val="000000"/>
                      <w:sz w:val="22"/>
                      <w:szCs w:val="22"/>
                      <w:u w:val="none"/>
                    </w:rPr>
                  </w:pPr>
                </w:p>
              </w:tc>
              <w:tc>
                <w:tcPr>
                  <w:tcW w:w="271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530"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51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45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rPr>
                      <w:rFonts w:hint="eastAsia" w:ascii="宋体" w:hAnsi="宋体" w:eastAsia="宋体" w:cs="宋体"/>
                      <w:i w:val="0"/>
                      <w:iCs w:val="0"/>
                      <w:color w:val="000000"/>
                      <w:sz w:val="18"/>
                      <w:szCs w:val="18"/>
                      <w:u w:val="none"/>
                    </w:rPr>
                  </w:pPr>
                </w:p>
              </w:tc>
              <w:tc>
                <w:tcPr>
                  <w:tcW w:w="1965" w:type="dxa"/>
                  <w:tcBorders>
                    <w:top w:val="single" w:color="FFFFFF" w:sz="4" w:space="0"/>
                    <w:left w:val="single" w:color="FFFFFF" w:sz="4" w:space="0"/>
                    <w:bottom w:val="single" w:color="FFFFFF" w:sz="4" w:space="0"/>
                    <w:right w:val="single" w:color="FFFFFF" w:sz="4" w:space="0"/>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2"/>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15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5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7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7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left"/>
              <w:rPr>
                <w:rFonts w:hint="eastAsia" w:ascii="宋体" w:hAnsi="宋体" w:eastAsia="宋体" w:cs="宋体"/>
                <w:color w:val="000000"/>
                <w:kern w:val="0"/>
                <w:sz w:val="22"/>
              </w:rPr>
            </w:pPr>
          </w:p>
          <w:tbl>
            <w:tblPr>
              <w:tblW w:w="1462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82"/>
              <w:gridCol w:w="682"/>
              <w:gridCol w:w="682"/>
              <w:gridCol w:w="1716"/>
              <w:gridCol w:w="5384"/>
              <w:gridCol w:w="1026"/>
              <w:gridCol w:w="1716"/>
              <w:gridCol w:w="2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14625" w:type="dxa"/>
                  <w:gridSpan w:val="8"/>
                  <w:tcBorders>
                    <w:top w:val="single" w:color="FFFFFF" w:sz="4" w:space="0"/>
                    <w:left w:val="single" w:color="FFFFFF" w:sz="4" w:space="0"/>
                    <w:bottom w:val="single" w:color="FFFFFF" w:sz="4" w:space="0"/>
                    <w:right w:val="single" w:color="FFFFFF" w:sz="4" w:space="0"/>
                  </w:tcBorders>
                  <w:shd w:val="clear"/>
                  <w:noWrap/>
                  <w:vAlign w:val="center"/>
                </w:tcPr>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此表无内容</w:t>
                  </w: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bdr w:val="none" w:color="auto" w:sz="0" w:space="0"/>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0" w:type="auto"/>
                  <w:gridSpan w:val="5"/>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此表无内容</w:t>
            </w:r>
          </w:p>
          <w:p>
            <w:pPr>
              <w:widowControl/>
              <w:jc w:val="left"/>
              <w:rPr>
                <w:rFonts w:hint="eastAsia" w:ascii="宋体" w:hAnsi="宋体" w:eastAsia="宋体" w:cs="宋体"/>
                <w:color w:val="000000"/>
                <w:kern w:val="0"/>
                <w:sz w:val="22"/>
              </w:rPr>
            </w:pPr>
          </w:p>
          <w:p>
            <w:pPr>
              <w:widowControl/>
              <w:jc w:val="left"/>
              <w:rPr>
                <w:rFonts w:hint="eastAsia" w:ascii="宋体" w:hAnsi="宋体" w:eastAsia="宋体" w:cs="宋体"/>
                <w:color w:val="000000"/>
                <w:kern w:val="0"/>
                <w:sz w:val="22"/>
              </w:rPr>
            </w:pPr>
          </w:p>
          <w:p>
            <w:pPr>
              <w:widowControl/>
              <w:jc w:val="left"/>
              <w:rPr>
                <w:rFonts w:hint="eastAsia" w:ascii="宋体" w:hAnsi="宋体" w:eastAsia="宋体" w:cs="宋体"/>
                <w:color w:val="000000"/>
                <w:kern w:val="0"/>
                <w:sz w:val="22"/>
              </w:rPr>
            </w:pPr>
          </w:p>
          <w:p>
            <w:pPr>
              <w:widowControl/>
              <w:jc w:val="left"/>
              <w:rPr>
                <w:rFonts w:ascii="宋体" w:hAnsi="宋体" w:eastAsia="宋体" w:cs="宋体"/>
                <w:color w:val="000000"/>
                <w:kern w:val="0"/>
                <w:sz w:val="22"/>
              </w:rPr>
            </w:pPr>
          </w:p>
        </w:tc>
        <w:tc>
          <w:tcPr>
            <w:tcW w:w="1960" w:type="dxa"/>
            <w:gridSpan w:val="2"/>
            <w:tcBorders>
              <w:top w:val="nil"/>
              <w:left w:val="nil"/>
              <w:bottom w:val="nil"/>
              <w:right w:val="single" w:color="FFFFFF"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960" w:type="dxa"/>
            <w:gridSpan w:val="2"/>
            <w:tcBorders>
              <w:top w:val="nil"/>
              <w:left w:val="nil"/>
              <w:bottom w:val="nil"/>
              <w:right w:val="single" w:color="FFFFFF"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962" w:type="dxa"/>
            <w:gridSpan w:val="2"/>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金额单位：万元</w:t>
            </w:r>
          </w:p>
        </w:tc>
      </w:tr>
      <w:tr>
        <w:tblPrEx>
          <w:tblCellMar>
            <w:top w:w="0" w:type="dxa"/>
            <w:left w:w="108" w:type="dxa"/>
            <w:bottom w:w="0" w:type="dxa"/>
            <w:right w:w="108" w:type="dxa"/>
          </w:tblCellMar>
        </w:tblPrEx>
        <w:trPr>
          <w:gridAfter w:val="1"/>
          <w:wAfter w:w="2442" w:type="dxa"/>
          <w:trHeight w:val="398" w:hRule="atLeast"/>
        </w:trPr>
        <w:tc>
          <w:tcPr>
            <w:tcW w:w="21536" w:type="dxa"/>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widowControl/>
              <w:jc w:val="center"/>
              <w:rPr>
                <w:rFonts w:ascii="宋体" w:hAnsi="宋体" w:eastAsia="宋体" w:cs="宋体"/>
                <w:b/>
                <w:bCs/>
                <w:color w:val="000000"/>
                <w:kern w:val="0"/>
                <w:sz w:val="32"/>
                <w:szCs w:val="32"/>
              </w:rPr>
            </w:pPr>
          </w:p>
        </w:tc>
      </w:tr>
      <w:tr>
        <w:tblPrEx>
          <w:tblCellMar>
            <w:top w:w="0" w:type="dxa"/>
            <w:left w:w="108" w:type="dxa"/>
            <w:bottom w:w="0" w:type="dxa"/>
            <w:right w:w="108" w:type="dxa"/>
          </w:tblCellMar>
        </w:tblPrEx>
        <w:trPr>
          <w:gridAfter w:val="1"/>
          <w:wAfter w:w="2442" w:type="dxa"/>
          <w:trHeight w:val="342" w:hRule="atLeast"/>
        </w:trPr>
        <w:tc>
          <w:tcPr>
            <w:tcW w:w="7818" w:type="dxa"/>
            <w:tcBorders>
              <w:top w:val="single" w:color="FFFFFF" w:sz="4" w:space="0"/>
              <w:left w:val="single" w:color="FFFFFF" w:sz="4" w:space="0"/>
              <w:bottom w:val="nil"/>
              <w:right w:val="single" w:color="FFFFFF" w:sz="4" w:space="0"/>
            </w:tcBorders>
            <w:shd w:val="clear" w:color="auto" w:fill="auto"/>
            <w:noWrap/>
            <w:vAlign w:val="center"/>
          </w:tcPr>
          <w:p>
            <w:pPr>
              <w:widowControl/>
              <w:jc w:val="left"/>
              <w:rPr>
                <w:rFonts w:ascii="宋体" w:hAnsi="宋体" w:eastAsia="宋体" w:cs="宋体"/>
                <w:color w:val="000000"/>
                <w:kern w:val="0"/>
                <w:sz w:val="22"/>
              </w:rPr>
            </w:pPr>
          </w:p>
        </w:tc>
        <w:tc>
          <w:tcPr>
            <w:tcW w:w="1972" w:type="dxa"/>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c>
          <w:tcPr>
            <w:tcW w:w="4103" w:type="dxa"/>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c>
          <w:tcPr>
            <w:tcW w:w="1972" w:type="dxa"/>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c>
          <w:tcPr>
            <w:tcW w:w="2333" w:type="dxa"/>
            <w:gridSpan w:val="2"/>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c>
          <w:tcPr>
            <w:tcW w:w="1768" w:type="dxa"/>
            <w:gridSpan w:val="2"/>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c>
          <w:tcPr>
            <w:tcW w:w="1570" w:type="dxa"/>
            <w:gridSpan w:val="2"/>
            <w:tcBorders>
              <w:top w:val="nil"/>
              <w:left w:val="nil"/>
              <w:bottom w:val="nil"/>
              <w:right w:val="single" w:color="FFFFFF" w:sz="4" w:space="0"/>
            </w:tcBorders>
            <w:shd w:val="clear" w:color="auto" w:fill="auto"/>
            <w:noWrap/>
            <w:vAlign w:val="center"/>
          </w:tcPr>
          <w:p>
            <w:pPr>
              <w:widowControl/>
              <w:jc w:val="center"/>
              <w:rPr>
                <w:rFonts w:ascii="宋体" w:hAnsi="宋体" w:eastAsia="宋体" w:cs="宋体"/>
                <w:color w:val="000000"/>
                <w:kern w:val="0"/>
                <w:sz w:val="22"/>
              </w:rPr>
            </w:pPr>
          </w:p>
        </w:tc>
      </w:tr>
    </w:tbl>
    <w:p>
      <w:pPr>
        <w:rPr>
          <w:rFonts w:ascii="方正小标宋简体" w:hAnsi="黑体" w:eastAsia="方正小标宋简体"/>
          <w:sz w:val="44"/>
          <w:szCs w:val="44"/>
        </w:rPr>
      </w:pPr>
    </w:p>
    <w:tbl>
      <w:tblPr>
        <w:tblStyle w:val="5"/>
        <w:tblW w:w="26898" w:type="dxa"/>
        <w:tblInd w:w="93" w:type="dxa"/>
        <w:tblLayout w:type="autofit"/>
        <w:tblCellMar>
          <w:top w:w="0" w:type="dxa"/>
          <w:left w:w="108" w:type="dxa"/>
          <w:bottom w:w="0" w:type="dxa"/>
          <w:right w:w="108" w:type="dxa"/>
        </w:tblCellMar>
      </w:tblPr>
      <w:tblGrid>
        <w:gridCol w:w="4181"/>
        <w:gridCol w:w="3126"/>
        <w:gridCol w:w="2657"/>
        <w:gridCol w:w="3087"/>
        <w:gridCol w:w="1719"/>
        <w:gridCol w:w="1759"/>
        <w:gridCol w:w="2356"/>
        <w:gridCol w:w="1759"/>
        <w:gridCol w:w="1329"/>
        <w:gridCol w:w="1719"/>
        <w:gridCol w:w="1017"/>
        <w:gridCol w:w="2189"/>
      </w:tblGrid>
      <w:tr>
        <w:tblPrEx>
          <w:tblCellMar>
            <w:top w:w="0" w:type="dxa"/>
            <w:left w:w="108" w:type="dxa"/>
            <w:bottom w:w="0" w:type="dxa"/>
            <w:right w:w="108" w:type="dxa"/>
          </w:tblCellMar>
        </w:tblPrEx>
        <w:trPr>
          <w:wAfter w:w="13132" w:type="dxa"/>
          <w:trHeight w:val="285" w:hRule="atLeast"/>
        </w:trPr>
        <w:tc>
          <w:tcPr>
            <w:tcW w:w="214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160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2"/>
              </w:rPr>
            </w:pPr>
          </w:p>
        </w:tc>
        <w:tc>
          <w:tcPr>
            <w:tcW w:w="136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158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88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1206"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680"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880"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520"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112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r>
      <w:tr>
        <w:tblPrEx>
          <w:tblCellMar>
            <w:top w:w="0" w:type="dxa"/>
            <w:left w:w="108" w:type="dxa"/>
            <w:bottom w:w="0" w:type="dxa"/>
            <w:right w:w="108" w:type="dxa"/>
          </w:tblCellMar>
        </w:tblPrEx>
        <w:trPr>
          <w:wAfter w:w="13132" w:type="dxa"/>
          <w:trHeight w:val="398" w:hRule="atLeast"/>
        </w:trPr>
        <w:tc>
          <w:tcPr>
            <w:tcW w:w="13766"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left"/>
              <w:textAlignment w:val="center"/>
              <w:rPr>
                <w:rFonts w:ascii="宋体" w:hAnsi="宋体" w:eastAsia="宋体" w:cs="宋体"/>
                <w:b/>
                <w:bCs/>
                <w:color w:val="000000"/>
                <w:kern w:val="0"/>
                <w:sz w:val="30"/>
                <w:szCs w:val="30"/>
              </w:rPr>
            </w:pPr>
            <w:r>
              <w:rPr>
                <w:rFonts w:ascii="宋体" w:hAnsi="宋体" w:eastAsia="宋体" w:cs="宋体"/>
                <w:i w:val="0"/>
                <w:iCs w:val="0"/>
                <w:color w:val="C0C0C0"/>
                <w:kern w:val="0"/>
                <w:sz w:val="20"/>
                <w:szCs w:val="20"/>
                <w:u w:val="none"/>
                <w:lang w:val="en-US" w:eastAsia="zh-CN" w:bidi="ar"/>
              </w:rPr>
              <w:t>报表</w:t>
            </w:r>
            <w:bookmarkStart w:id="0" w:name="_GoBack"/>
            <w:bookmarkEnd w:id="0"/>
            <w:r>
              <w:rPr>
                <w:rFonts w:ascii="宋体" w:hAnsi="宋体" w:eastAsia="宋体" w:cs="宋体"/>
                <w:i w:val="0"/>
                <w:iCs w:val="0"/>
                <w:color w:val="C0C0C0"/>
                <w:kern w:val="0"/>
                <w:sz w:val="20"/>
                <w:szCs w:val="20"/>
                <w:u w:val="none"/>
                <w:lang w:val="en-US" w:eastAsia="zh-CN" w:bidi="ar"/>
              </w:rPr>
              <w:t>编号：510000_0013lastmb</w:t>
            </w:r>
          </w:p>
        </w:tc>
      </w:tr>
    </w:tbl>
    <w:tbl>
      <w:tblPr>
        <w:tblW w:w="268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15"/>
        <w:gridCol w:w="2196"/>
        <w:gridCol w:w="1050"/>
        <w:gridCol w:w="2100"/>
        <w:gridCol w:w="1125"/>
        <w:gridCol w:w="1260"/>
        <w:gridCol w:w="1410"/>
        <w:gridCol w:w="885"/>
        <w:gridCol w:w="1005"/>
        <w:gridCol w:w="944"/>
        <w:gridCol w:w="555"/>
        <w:gridCol w:w="462"/>
        <w:gridCol w:w="12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gridAfter w:val="1"/>
          <w:wAfter w:w="13132" w:type="dxa"/>
          <w:trHeight w:val="559" w:hRule="atLeast"/>
        </w:trPr>
        <w:tc>
          <w:tcPr>
            <w:tcW w:w="13766" w:type="dxa"/>
            <w:gridSpan w:val="12"/>
            <w:tcBorders>
              <w:top w:val="nil"/>
              <w:left w:val="nil"/>
              <w:bottom w:val="nil"/>
              <w:right w:val="nil"/>
            </w:tcBorders>
            <w:shd w:val="clear"/>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bdr w:val="none" w:color="auto" w:sz="0" w:space="0"/>
                <w:lang w:val="en-US" w:eastAsia="zh-CN" w:bidi="ar"/>
              </w:rPr>
              <w:t>部门项目支出绩效目标表（2024年度）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739"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05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210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26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410"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885"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944"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555" w:type="dxa"/>
            <w:tcBorders>
              <w:top w:val="nil"/>
              <w:left w:val="nil"/>
              <w:bottom w:val="nil"/>
              <w:right w:val="nil"/>
            </w:tcBorders>
            <w:shd w:val="clear"/>
            <w:noWrap/>
            <w:vAlign w:val="center"/>
          </w:tcPr>
          <w:p>
            <w:pPr>
              <w:rPr>
                <w:rFonts w:hint="eastAsia" w:ascii="宋体" w:hAnsi="宋体" w:eastAsia="宋体" w:cs="宋体"/>
                <w:i w:val="0"/>
                <w:iCs w:val="0"/>
                <w:color w:val="000000"/>
                <w:sz w:val="22"/>
                <w:szCs w:val="22"/>
                <w:u w:val="none"/>
              </w:rPr>
            </w:pPr>
          </w:p>
        </w:tc>
        <w:tc>
          <w:tcPr>
            <w:tcW w:w="13610" w:type="dxa"/>
            <w:gridSpan w:val="2"/>
            <w:tcBorders>
              <w:top w:val="nil"/>
              <w:left w:val="nil"/>
              <w:bottom w:val="nil"/>
              <w:right w:val="nil"/>
            </w:tcBorders>
            <w:shd w:val="clear"/>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bdr w:val="none" w:color="auto" w:sz="0" w:space="0"/>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21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单位名称</w:t>
            </w:r>
          </w:p>
        </w:tc>
        <w:tc>
          <w:tcPr>
            <w:tcW w:w="173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项目名称</w:t>
            </w:r>
          </w:p>
        </w:tc>
        <w:tc>
          <w:tcPr>
            <w:tcW w:w="105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预算数</w:t>
            </w:r>
          </w:p>
        </w:tc>
        <w:tc>
          <w:tcPr>
            <w:tcW w:w="210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年度目标</w:t>
            </w:r>
          </w:p>
        </w:tc>
        <w:tc>
          <w:tcPr>
            <w:tcW w:w="112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一级指标</w:t>
            </w:r>
          </w:p>
        </w:tc>
        <w:tc>
          <w:tcPr>
            <w:tcW w:w="126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二级指标</w:t>
            </w:r>
          </w:p>
        </w:tc>
        <w:tc>
          <w:tcPr>
            <w:tcW w:w="141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三级指标</w:t>
            </w:r>
          </w:p>
        </w:tc>
        <w:tc>
          <w:tcPr>
            <w:tcW w:w="88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指标性质</w:t>
            </w:r>
          </w:p>
        </w:tc>
        <w:tc>
          <w:tcPr>
            <w:tcW w:w="100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指标值</w:t>
            </w:r>
          </w:p>
        </w:tc>
        <w:tc>
          <w:tcPr>
            <w:tcW w:w="94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度量单位</w:t>
            </w:r>
          </w:p>
        </w:tc>
        <w:tc>
          <w:tcPr>
            <w:tcW w:w="555"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权重</w:t>
            </w:r>
          </w:p>
        </w:tc>
        <w:tc>
          <w:tcPr>
            <w:tcW w:w="13610" w:type="dxa"/>
            <w:gridSpan w:val="2"/>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bdr w:val="none" w:color="auto" w:sz="0" w:space="0"/>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103002-金融工作服务中心</w:t>
            </w: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51322521Y000000033227-工会经费和福利费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8.80</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51322521Y000000033228-邮电费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1.25</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51322521Y000000033229-会议和培训费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1.55</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51322521Y000000033232-办公印刷和接待费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3.20</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51322521Y000000046648-差旅费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11.57</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提高预算编制质量，严格执行预算，保障单位日常运转。</w:t>
            </w: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科目调整次数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预算编制准确率（计算方法为：∣（执行数-预算数）/预算数∣）</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“三公经费”控制率[计算方法为：（三公经费实际支出数/预算安排数]×100%）</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51322523R000009910090-单位缴费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152.79</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严格执行相关政策，保障工资及时、足额发放或社保及时、足额缴纳，预算编制科学合理，减少结余资金。</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51322523R000009925326-工资性支出</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296.24</w:t>
            </w:r>
          </w:p>
        </w:tc>
        <w:tc>
          <w:tcPr>
            <w:tcW w:w="210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严格执行相关政策，保障工资及时、足额发放或社保及时、足额缴纳，预算编制科学合理，减少结余资金。</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发放（缴纳）覆盖率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right"/>
              <w:rPr>
                <w:rFonts w:hint="eastAsia" w:ascii="宋体" w:hAnsi="宋体" w:eastAsia="宋体" w:cs="宋体"/>
                <w:i w:val="0"/>
                <w:iCs w:val="0"/>
                <w:color w:val="000000"/>
                <w:sz w:val="18"/>
                <w:szCs w:val="18"/>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2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社会效益指标</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足额保障率（参保率）</w:t>
            </w:r>
          </w:p>
        </w:tc>
        <w:tc>
          <w:tcPr>
            <w:tcW w:w="8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w:t>
            </w:r>
          </w:p>
        </w:tc>
        <w:tc>
          <w:tcPr>
            <w:tcW w:w="1361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正向指标</w:t>
            </w:r>
          </w:p>
        </w:tc>
      </w:tr>
    </w:tbl>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第三部分  九寨沟县金融工作服务中心</w:t>
      </w:r>
      <w:r>
        <w:rPr>
          <w:rFonts w:hint="eastAsia" w:ascii="方正小标宋简体" w:hAnsi="黑体" w:eastAsia="方正小标宋简体"/>
          <w:sz w:val="44"/>
          <w:szCs w:val="44"/>
          <w:lang w:eastAsia="zh-CN"/>
        </w:rPr>
        <w:t>2024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pPr>
        <w:rPr>
          <w:rFonts w:ascii="方正小标宋简体" w:hAnsi="黑体" w:eastAsia="方正小标宋简体"/>
          <w:sz w:val="44"/>
          <w:szCs w:val="44"/>
        </w:rPr>
      </w:pPr>
      <w:r>
        <w:rPr>
          <w:rFonts w:hint="eastAsia" w:ascii="方正小标宋简体" w:hAnsi="黑体" w:eastAsia="方正小标宋简体"/>
          <w:sz w:val="44"/>
          <w:szCs w:val="44"/>
        </w:rPr>
        <w:br w:type="page"/>
      </w:r>
    </w:p>
    <w:p>
      <w:pPr>
        <w:ind w:firstLine="640" w:firstLineChars="200"/>
        <w:rPr>
          <w:rFonts w:ascii="黑体" w:hAnsi="黑体" w:eastAsia="黑体"/>
          <w:sz w:val="32"/>
          <w:szCs w:val="32"/>
        </w:rPr>
      </w:pPr>
      <w:r>
        <w:rPr>
          <w:rFonts w:hint="eastAsia" w:ascii="黑体" w:hAnsi="黑体" w:eastAsia="黑体"/>
          <w:sz w:val="32"/>
          <w:szCs w:val="32"/>
        </w:rPr>
        <w:t>一、收支预算情况说明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九寨沟县金融工作服务中心所有收入和支出均纳入部门预算管理。收入包括：一般公共预算拨款收入；支出包括：一般公共服务支出、社会保障和就业支出、卫生健康支出、住房保障支出。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年收支预算总数</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81.18</w:t>
      </w:r>
      <w:r>
        <w:rPr>
          <w:rFonts w:hint="eastAsia" w:ascii="仿宋_GB2312" w:hAnsi="黑体" w:eastAsia="仿宋_GB2312"/>
          <w:sz w:val="32"/>
          <w:szCs w:val="32"/>
        </w:rPr>
        <w:t>万元，主要原因一是增加了机关服务保障职能增加了</w:t>
      </w:r>
      <w:r>
        <w:rPr>
          <w:rFonts w:hint="eastAsia" w:ascii="仿宋_GB2312" w:hAnsi="黑体" w:eastAsia="仿宋_GB2312"/>
          <w:sz w:val="32"/>
          <w:szCs w:val="32"/>
          <w:lang w:eastAsia="zh-CN"/>
        </w:rPr>
        <w:t>人员和</w:t>
      </w:r>
      <w:r>
        <w:rPr>
          <w:rFonts w:hint="eastAsia" w:ascii="仿宋_GB2312" w:hAnsi="黑体" w:eastAsia="仿宋_GB2312"/>
          <w:sz w:val="32"/>
          <w:szCs w:val="32"/>
        </w:rPr>
        <w:t>预算；二是人员工资调增加入了目标绩效增加了预算。</w:t>
      </w:r>
      <w:r>
        <w:rPr>
          <w:rFonts w:ascii="仿宋_GB2312" w:hAnsi="黑体" w:eastAsia="仿宋_GB2312"/>
          <w:sz w:val="32"/>
          <w:szCs w:val="32"/>
        </w:rPr>
        <w:t xml:space="preserve"> </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万元，占100%；政府性基金预算拨款收入0万元，占0%。</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万元，占100%；项目支出0万元。</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年财政拨款收支预算总数增</w:t>
      </w:r>
      <w:r>
        <w:rPr>
          <w:rFonts w:hint="eastAsia" w:ascii="仿宋_GB2312" w:hAnsi="黑体" w:eastAsia="仿宋_GB2312"/>
          <w:sz w:val="32"/>
          <w:szCs w:val="32"/>
          <w:lang w:val="en-US" w:eastAsia="zh-CN"/>
        </w:rPr>
        <w:t>81.18</w:t>
      </w:r>
      <w:r>
        <w:rPr>
          <w:rFonts w:hint="eastAsia" w:ascii="仿宋_GB2312" w:hAnsi="黑体" w:eastAsia="仿宋_GB2312"/>
          <w:sz w:val="32"/>
          <w:szCs w:val="32"/>
        </w:rPr>
        <w:t>万元，主要原因一是划入机关服务保障职能增加了</w:t>
      </w:r>
      <w:r>
        <w:rPr>
          <w:rFonts w:hint="eastAsia" w:ascii="仿宋_GB2312" w:hAnsi="黑体" w:eastAsia="仿宋_GB2312"/>
          <w:sz w:val="32"/>
          <w:szCs w:val="32"/>
          <w:lang w:eastAsia="zh-CN"/>
        </w:rPr>
        <w:t>人员和</w:t>
      </w:r>
      <w:r>
        <w:rPr>
          <w:rFonts w:hint="eastAsia" w:ascii="仿宋_GB2312" w:hAnsi="黑体" w:eastAsia="仿宋_GB2312"/>
          <w:sz w:val="32"/>
          <w:szCs w:val="32"/>
        </w:rPr>
        <w:t>预算；二是人员工资调增加入了目标绩效增加了预算。</w:t>
      </w:r>
      <w:r>
        <w:rPr>
          <w:rFonts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万元、上年政府性基金预算拨款收入0万元；支出包括：一般公共服务支出</w:t>
      </w:r>
      <w:r>
        <w:rPr>
          <w:rFonts w:hint="eastAsia" w:ascii="仿宋_GB2312" w:hAnsi="黑体" w:eastAsia="仿宋_GB2312"/>
          <w:sz w:val="32"/>
          <w:szCs w:val="32"/>
          <w:lang w:val="en-US" w:eastAsia="zh-CN"/>
        </w:rPr>
        <w:t>330.05</w:t>
      </w:r>
      <w:r>
        <w:rPr>
          <w:rFonts w:hint="eastAsia" w:ascii="仿宋_GB2312" w:hAnsi="黑体" w:eastAsia="仿宋_GB2312"/>
          <w:sz w:val="32"/>
          <w:szCs w:val="32"/>
        </w:rPr>
        <w:t>万元、社会保障和就业支出74.</w:t>
      </w:r>
      <w:r>
        <w:rPr>
          <w:rFonts w:hint="eastAsia" w:ascii="仿宋_GB2312" w:hAnsi="黑体" w:eastAsia="仿宋_GB2312"/>
          <w:sz w:val="32"/>
          <w:szCs w:val="32"/>
          <w:lang w:val="en-US" w:eastAsia="zh-CN"/>
        </w:rPr>
        <w:t>75</w:t>
      </w:r>
      <w:r>
        <w:rPr>
          <w:rFonts w:hint="eastAsia" w:ascii="仿宋_GB2312" w:hAnsi="黑体" w:eastAsia="仿宋_GB2312"/>
          <w:sz w:val="32"/>
          <w:szCs w:val="32"/>
        </w:rPr>
        <w:t>万元、卫生健康支出2</w:t>
      </w:r>
      <w:r>
        <w:rPr>
          <w:rFonts w:hint="eastAsia" w:ascii="仿宋_GB2312" w:hAnsi="黑体" w:eastAsia="仿宋_GB2312"/>
          <w:sz w:val="32"/>
          <w:szCs w:val="32"/>
          <w:lang w:val="en-US" w:eastAsia="zh-CN"/>
        </w:rPr>
        <w:t>9.56</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41.04</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万元，比</w:t>
      </w:r>
      <w:r>
        <w:rPr>
          <w:rFonts w:hint="eastAsia" w:ascii="仿宋_GB2312" w:hAnsi="黑体" w:eastAsia="仿宋_GB2312"/>
          <w:sz w:val="32"/>
          <w:szCs w:val="32"/>
          <w:lang w:eastAsia="zh-CN"/>
        </w:rPr>
        <w:t>2023</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81.18</w:t>
      </w:r>
      <w:r>
        <w:rPr>
          <w:rFonts w:hint="eastAsia" w:ascii="仿宋_GB2312" w:hAnsi="黑体" w:eastAsia="仿宋_GB2312"/>
          <w:sz w:val="32"/>
          <w:szCs w:val="32"/>
        </w:rPr>
        <w:t>万元，主要原因一是划入机关服务保障职能增加了预算；二是人员工资调增加入了目标绩效增加了预算。</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330.05</w:t>
      </w:r>
      <w:r>
        <w:rPr>
          <w:rFonts w:hint="eastAsia" w:ascii="仿宋_GB2312" w:hAnsi="黑体" w:eastAsia="仿宋_GB2312"/>
          <w:sz w:val="32"/>
          <w:szCs w:val="32"/>
        </w:rPr>
        <w:t>万元,占6</w:t>
      </w:r>
      <w:r>
        <w:rPr>
          <w:rFonts w:hint="eastAsia" w:ascii="仿宋_GB2312" w:hAnsi="黑体" w:eastAsia="仿宋_GB2312"/>
          <w:sz w:val="32"/>
          <w:szCs w:val="32"/>
          <w:lang w:val="en-US" w:eastAsia="zh-CN"/>
        </w:rPr>
        <w:t>9.42</w:t>
      </w:r>
      <w:r>
        <w:rPr>
          <w:rFonts w:hint="eastAsia" w:ascii="仿宋_GB2312" w:hAnsi="黑体" w:eastAsia="仿宋_GB2312"/>
          <w:sz w:val="32"/>
          <w:szCs w:val="32"/>
        </w:rPr>
        <w:t>%；社会保障和就业支出74.</w:t>
      </w:r>
      <w:r>
        <w:rPr>
          <w:rFonts w:hint="eastAsia" w:ascii="仿宋_GB2312" w:hAnsi="黑体" w:eastAsia="仿宋_GB2312"/>
          <w:sz w:val="32"/>
          <w:szCs w:val="32"/>
          <w:lang w:val="en-US" w:eastAsia="zh-CN"/>
        </w:rPr>
        <w:t>75</w:t>
      </w:r>
      <w:r>
        <w:rPr>
          <w:rFonts w:hint="eastAsia" w:ascii="仿宋_GB2312" w:hAnsi="黑体" w:eastAsia="仿宋_GB2312"/>
          <w:sz w:val="32"/>
          <w:szCs w:val="32"/>
        </w:rPr>
        <w:t>万元,占1</w:t>
      </w:r>
      <w:r>
        <w:rPr>
          <w:rFonts w:hint="eastAsia" w:ascii="仿宋_GB2312" w:hAnsi="黑体" w:eastAsia="仿宋_GB2312"/>
          <w:sz w:val="32"/>
          <w:szCs w:val="32"/>
          <w:lang w:val="en-US" w:eastAsia="zh-CN"/>
        </w:rPr>
        <w:t>5.72</w:t>
      </w:r>
      <w:r>
        <w:rPr>
          <w:rFonts w:hint="eastAsia" w:ascii="仿宋_GB2312" w:hAnsi="黑体" w:eastAsia="仿宋_GB2312"/>
          <w:sz w:val="32"/>
          <w:szCs w:val="32"/>
        </w:rPr>
        <w:t>%；卫生健康支出2</w:t>
      </w:r>
      <w:r>
        <w:rPr>
          <w:rFonts w:hint="eastAsia" w:ascii="仿宋_GB2312" w:hAnsi="黑体" w:eastAsia="仿宋_GB2312"/>
          <w:sz w:val="32"/>
          <w:szCs w:val="32"/>
          <w:lang w:val="en-US" w:eastAsia="zh-CN"/>
        </w:rPr>
        <w:t>9.56</w:t>
      </w:r>
      <w:r>
        <w:rPr>
          <w:rFonts w:hint="eastAsia" w:ascii="仿宋_GB2312" w:hAnsi="黑体" w:eastAsia="仿宋_GB2312"/>
          <w:sz w:val="32"/>
          <w:szCs w:val="32"/>
        </w:rPr>
        <w:t>万元,占6.</w:t>
      </w:r>
      <w:r>
        <w:rPr>
          <w:rFonts w:hint="eastAsia" w:ascii="仿宋_GB2312" w:hAnsi="黑体" w:eastAsia="仿宋_GB2312"/>
          <w:sz w:val="32"/>
          <w:szCs w:val="32"/>
          <w:lang w:val="en-US" w:eastAsia="zh-CN"/>
        </w:rPr>
        <w:t>22</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41.04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8.64</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事务（款）事业运行（项）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330.05</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2.社会保障和就业（类）行政事业单位养老支出（款）机关事业单位基本养老保险缴费支出（项）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47.40</w:t>
      </w:r>
      <w:r>
        <w:rPr>
          <w:rFonts w:hint="eastAsia" w:ascii="仿宋_GB2312" w:hAnsi="黑体" w:eastAsia="仿宋_GB2312"/>
          <w:sz w:val="32"/>
          <w:szCs w:val="32"/>
        </w:rPr>
        <w:t>万元，主要用于：实施养老保险制度由单位缴纳的基本养老保险支出。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3.社会保障和就业（类）行政事业单位养老支出（款）机关事业单位职业年金缴费支出（项）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27.35</w:t>
      </w:r>
      <w:r>
        <w:rPr>
          <w:rFonts w:hint="eastAsia" w:ascii="仿宋_GB2312" w:hAnsi="黑体" w:eastAsia="仿宋_GB2312"/>
          <w:sz w:val="32"/>
          <w:szCs w:val="32"/>
        </w:rPr>
        <w:t>万元，主要用于：实施养老保险制度由单位缴纳的职业年金支出。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4.卫生健康（类）行政事业单位医疗（款）事业单位医疗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23.93</w:t>
      </w:r>
      <w:r>
        <w:rPr>
          <w:rFonts w:hint="eastAsia" w:ascii="仿宋_GB2312" w:hAnsi="黑体" w:eastAsia="仿宋_GB2312"/>
          <w:sz w:val="32"/>
          <w:szCs w:val="32"/>
        </w:rPr>
        <w:t>万元，主要用于：机关及单位按规定由单位缴纳的基本医疗保险支出。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w:t>
      </w:r>
      <w:r>
        <w:rPr>
          <w:rFonts w:hint="eastAsia" w:ascii="仿宋_GB2312" w:hAnsi="黑体" w:eastAsia="仿宋_GB2312"/>
          <w:sz w:val="32"/>
          <w:szCs w:val="32"/>
          <w:lang w:eastAsia="zh-CN"/>
        </w:rPr>
        <w:t>其他行政事业单位医疗支出</w:t>
      </w:r>
      <w:r>
        <w:rPr>
          <w:rFonts w:hint="eastAsia" w:ascii="仿宋_GB2312" w:hAnsi="黑体" w:eastAsia="仿宋_GB2312"/>
          <w:sz w:val="32"/>
          <w:szCs w:val="32"/>
        </w:rPr>
        <w:t>（项）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5.63</w:t>
      </w:r>
      <w:r>
        <w:rPr>
          <w:rFonts w:hint="eastAsia" w:ascii="仿宋_GB2312" w:hAnsi="黑体" w:eastAsia="仿宋_GB2312"/>
          <w:sz w:val="32"/>
          <w:szCs w:val="32"/>
        </w:rPr>
        <w:t>万元，主要用于：机关及单位集中缴纳公务员医疗补助支出。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6.住房保障（类）住房改革支出（款）住房公积金（项）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41.04</w:t>
      </w:r>
      <w:r>
        <w:rPr>
          <w:rFonts w:hint="eastAsia" w:ascii="仿宋_GB2312" w:hAnsi="黑体" w:eastAsia="仿宋_GB2312"/>
          <w:sz w:val="32"/>
          <w:szCs w:val="32"/>
        </w:rPr>
        <w:t>万元，主要用于：部门按规定为职工缴纳的住房公积金支出。</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449.03</w:t>
      </w:r>
      <w:r>
        <w:rPr>
          <w:rFonts w:hint="eastAsia" w:ascii="仿宋_GB2312" w:hAnsi="黑体" w:eastAsia="仿宋_GB2312"/>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26.37</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年“三公”经费财政拨款预算数0.4</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万元，其中：公务接待费0.4</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万元，公务用车购置及运行维护费0万元,因公出国（境）经费0万元。</w:t>
      </w:r>
    </w:p>
    <w:p>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2023</w:t>
      </w:r>
      <w:r>
        <w:rPr>
          <w:rFonts w:hint="eastAsia" w:ascii="楷体" w:hAnsi="楷体" w:eastAsia="楷体"/>
          <w:b/>
          <w:sz w:val="32"/>
          <w:szCs w:val="32"/>
        </w:rPr>
        <w:t>年预算增加0.</w:t>
      </w:r>
      <w:r>
        <w:rPr>
          <w:rFonts w:hint="eastAsia" w:ascii="楷体" w:hAnsi="楷体" w:eastAsia="楷体"/>
          <w:b/>
          <w:sz w:val="32"/>
          <w:szCs w:val="32"/>
          <w:lang w:val="en-US" w:eastAsia="zh-CN"/>
        </w:rPr>
        <w:t>02</w:t>
      </w:r>
      <w:r>
        <w:rPr>
          <w:rFonts w:hint="eastAsia" w:ascii="楷体" w:hAnsi="楷体" w:eastAsia="楷体"/>
          <w:b/>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年公务接待费计划用于对外进行必要的接待事项。</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2023</w:t>
      </w:r>
      <w:r>
        <w:rPr>
          <w:rFonts w:hint="eastAsia" w:ascii="楷体" w:hAnsi="楷体" w:eastAsia="楷体"/>
          <w:b/>
          <w:sz w:val="32"/>
          <w:szCs w:val="32"/>
        </w:rPr>
        <w:t>年预算增加0万元。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单位现有公务用车0辆，其中：轿车0辆，中巴车（含商务车）0辆，越野车0辆，应急指挥用车0辆。</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年安排公务用车运行维护费0万元，用于0辆公务用车燃油、过路（桥）、维修、保险等方面支出，主要保障机关及下属单位等工作开展。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九寨沟县金融工作服务中心</w:t>
      </w:r>
      <w:r>
        <w:rPr>
          <w:rFonts w:hint="eastAsia" w:ascii="仿宋_GB2312" w:hAnsi="黑体" w:eastAsia="仿宋_GB2312"/>
          <w:sz w:val="32"/>
          <w:szCs w:val="32"/>
          <w:lang w:eastAsia="zh-CN"/>
        </w:rPr>
        <w:t>2024</w:t>
      </w:r>
      <w:r>
        <w:rPr>
          <w:rFonts w:hint="eastAsia" w:ascii="仿宋_GB2312" w:hAnsi="黑体" w:eastAsia="仿宋_GB2312"/>
          <w:sz w:val="32"/>
          <w:szCs w:val="32"/>
        </w:rPr>
        <w:t>年使用政府性基金预算拨款安排的支出0万元，没有使用国有资本经营预算拨款安排的支出。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年，九寨沟县金融工作服务中心的机关运行经费财政拨款预算为2</w:t>
      </w:r>
      <w:r>
        <w:rPr>
          <w:rFonts w:hint="eastAsia" w:ascii="仿宋_GB2312" w:hAnsi="黑体" w:eastAsia="仿宋_GB2312"/>
          <w:sz w:val="32"/>
          <w:szCs w:val="32"/>
          <w:lang w:val="en-US" w:eastAsia="zh-CN"/>
        </w:rPr>
        <w:t>6.37</w:t>
      </w:r>
      <w:r>
        <w:rPr>
          <w:rFonts w:hint="eastAsia" w:ascii="仿宋_GB2312" w:hAnsi="黑体" w:eastAsia="仿宋_GB2312"/>
          <w:sz w:val="32"/>
          <w:szCs w:val="32"/>
        </w:rPr>
        <w:t>万元，较</w:t>
      </w:r>
      <w:r>
        <w:rPr>
          <w:rFonts w:hint="eastAsia" w:ascii="仿宋_GB2312" w:hAnsi="黑体" w:eastAsia="仿宋_GB2312"/>
          <w:sz w:val="32"/>
          <w:szCs w:val="32"/>
          <w:lang w:eastAsia="zh-CN"/>
        </w:rPr>
        <w:t>2023</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3.64</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年，九寨沟县金融工作服务中心安排政府采购预算0万元，其中，政府采购货物预算0万元；政府采购工程预算0万元；政府采购服务预算0万元。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2023</w:t>
      </w:r>
      <w:r>
        <w:rPr>
          <w:rFonts w:hint="eastAsia" w:ascii="仿宋_GB2312" w:hAnsi="黑体" w:eastAsia="仿宋_GB2312"/>
          <w:sz w:val="32"/>
          <w:szCs w:val="32"/>
        </w:rPr>
        <w:t>年底，九寨沟县金融工作服务中心所属各预算单位共有车辆0辆，其中，领导干部用车0辆、定向保障用车0辆、执法执勤用车0辆。单位价值200万元以上大型设备0台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年九寨沟县金融工作服务中心开展绩效目标管理的项目</w:t>
      </w:r>
      <w:r>
        <w:rPr>
          <w:rFonts w:hint="eastAsia" w:ascii="仿宋_GB2312" w:hAnsi="黑体" w:eastAsia="仿宋_GB2312"/>
          <w:sz w:val="32"/>
          <w:szCs w:val="32"/>
          <w:lang w:val="en-US" w:eastAsia="zh-CN"/>
        </w:rPr>
        <w:t>7</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475.41</w:t>
      </w:r>
      <w:r>
        <w:rPr>
          <w:rFonts w:hint="eastAsia" w:ascii="仿宋_GB2312" w:hAnsi="黑体" w:eastAsia="仿宋_GB2312"/>
          <w:sz w:val="32"/>
          <w:szCs w:val="32"/>
        </w:rPr>
        <w:t>万元。其中：人员类项目</w:t>
      </w:r>
      <w:r>
        <w:rPr>
          <w:rFonts w:hint="eastAsia" w:ascii="仿宋_GB2312" w:hAnsi="黑体" w:eastAsia="仿宋_GB2312"/>
          <w:sz w:val="32"/>
          <w:szCs w:val="32"/>
          <w:lang w:val="en-US" w:eastAsia="zh-CN"/>
        </w:rPr>
        <w:t>2</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449.03</w:t>
      </w:r>
      <w:r>
        <w:rPr>
          <w:rFonts w:hint="eastAsia" w:ascii="仿宋_GB2312" w:hAnsi="黑体" w:eastAsia="仿宋_GB2312"/>
          <w:sz w:val="32"/>
          <w:szCs w:val="32"/>
        </w:rPr>
        <w:t>万元；运转类项目5个，涉及预算2</w:t>
      </w:r>
      <w:r>
        <w:rPr>
          <w:rFonts w:hint="eastAsia" w:ascii="仿宋_GB2312" w:hAnsi="黑体" w:eastAsia="仿宋_GB2312"/>
          <w:sz w:val="32"/>
          <w:szCs w:val="32"/>
          <w:lang w:val="en-US" w:eastAsia="zh-CN"/>
        </w:rPr>
        <w:t>6.38</w:t>
      </w:r>
      <w:r>
        <w:rPr>
          <w:rFonts w:hint="eastAsia" w:ascii="仿宋_GB2312" w:hAnsi="黑体" w:eastAsia="仿宋_GB2312"/>
          <w:sz w:val="32"/>
          <w:szCs w:val="32"/>
        </w:rPr>
        <w:t>万元；特定目标类项目0个，涉及预算0万元。</w:t>
      </w:r>
    </w:p>
    <w:p>
      <w:pPr>
        <w:rPr>
          <w:rFonts w:ascii="方正小标宋简体" w:hAnsi="黑体" w:eastAsia="方正小标宋简体"/>
          <w:sz w:val="44"/>
          <w:szCs w:val="44"/>
        </w:rPr>
      </w:pPr>
      <w:r>
        <w:rPr>
          <w:rFonts w:hint="eastAsia" w:ascii="仿宋_GB2312" w:hAnsi="黑体" w:eastAsia="仿宋_GB2312"/>
          <w:sz w:val="32"/>
          <w:szCs w:val="32"/>
        </w:rPr>
        <w:br w:type="page"/>
      </w: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方正小标宋简体" w:hAnsi="黑体" w:eastAsia="方正小标宋简体"/>
          <w:sz w:val="44"/>
          <w:szCs w:val="44"/>
        </w:rPr>
      </w:pPr>
      <w:r>
        <w:rPr>
          <w:rFonts w:hint="eastAsia" w:ascii="方正小标宋简体" w:hAnsi="黑体" w:eastAsia="方正小标宋简体"/>
          <w:sz w:val="44"/>
          <w:szCs w:val="44"/>
        </w:rPr>
        <w:br w:type="page"/>
      </w:r>
    </w:p>
    <w:p>
      <w:pPr>
        <w:ind w:firstLine="640" w:firstLineChars="200"/>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pPr>
        <w:rPr>
          <w:rFonts w:ascii="仿宋_GB2312" w:hAnsi="黑体" w:eastAsia="仿宋_GB2312"/>
          <w:sz w:val="32"/>
          <w:szCs w:val="32"/>
        </w:rPr>
      </w:pPr>
      <w:r>
        <w:rPr>
          <w:rFonts w:hint="eastAsia" w:ascii="仿宋_GB2312" w:hAnsi="黑体" w:eastAsia="仿宋_GB2312"/>
          <w:sz w:val="32"/>
          <w:szCs w:val="32"/>
        </w:rPr>
        <w:t>资金。</w:t>
      </w:r>
    </w:p>
    <w:p>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pPr>
        <w:ind w:firstLine="640" w:firstLineChars="200"/>
        <w:rPr>
          <w:rFonts w:ascii="仿宋_GB2312" w:hAnsi="黑体" w:eastAsia="仿宋_GB2312"/>
          <w:sz w:val="32"/>
          <w:szCs w:val="32"/>
        </w:rPr>
      </w:pP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pPr>
        <w:ind w:firstLine="640" w:firstLineChars="200"/>
        <w:rPr>
          <w:rFonts w:ascii="仿宋_GB2312" w:hAnsi="黑体" w:eastAsia="仿宋_GB2312"/>
          <w:sz w:val="32"/>
          <w:szCs w:val="32"/>
        </w:rPr>
      </w:pPr>
      <w:r>
        <w:rPr>
          <w:rFonts w:ascii="仿宋_GB2312" w:hAnsi="黑体" w:eastAsia="仿宋_GB2312"/>
          <w:sz w:val="32"/>
          <w:szCs w:val="32"/>
        </w:rPr>
        <w:t>……</w:t>
      </w:r>
    </w:p>
    <w:p>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九寨沟县金融工作服务中心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6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Arial Unicode MS"/>
    <w:panose1 w:val="00000000000000000000"/>
    <w:charset w:val="86"/>
    <w:family w:val="auto"/>
    <w:pitch w:val="default"/>
    <w:sig w:usb0="00000000" w:usb1="00000000" w:usb2="00000000" w:usb3="00000000" w:csb0="00160000" w:csb1="00000000"/>
  </w:font>
  <w:font w:name="方正小标宋简体">
    <w:altName w:val="Arial Unicode MS"/>
    <w:panose1 w:val="00000000000000000000"/>
    <w:charset w:val="86"/>
    <w:family w:val="script"/>
    <w:pitch w:val="default"/>
    <w:sig w:usb0="00000000" w:usb1="00000000" w:usb2="00000000" w:usb3="00000000" w:csb0="0006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right="284"/>
      <w:rPr>
        <w:rStyle w:val="7"/>
        <w:rFonts w:eastAsia="宋体"/>
      </w:rPr>
    </w:pPr>
    <w:r>
      <w:rPr>
        <w:rStyle w:val="7"/>
        <w:rFonts w:hint="eastAsia" w:ascii="仿宋_GB2312" w:hAnsi="仿宋_GB2312" w:eastAsia="仿宋_GB2312" w:cs="仿宋_GB2312"/>
        <w:sz w:val="28"/>
      </w:rPr>
      <w:t>—</w:t>
    </w:r>
    <w:r>
      <w:rPr>
        <w:rFonts w:ascii="Times New Roman" w:hAnsi="Times New Roman" w:cs="Times New Roman"/>
        <w:sz w:val="28"/>
      </w:rPr>
      <w:fldChar w:fldCharType="begin"/>
    </w:r>
    <w:r>
      <w:rPr>
        <w:rStyle w:val="7"/>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7"/>
        <w:rFonts w:ascii="Times New Roman" w:hAnsi="Times New Roman" w:cs="Times New Roman"/>
        <w:sz w:val="28"/>
      </w:rPr>
      <w:t>41</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3"/>
      <w:ind w:right="360" w:firstLine="360"/>
    </w:pP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llM2NkMjJkY2UyNjQzZTI0ODI4Njc4YTA2MzFhZGYifQ=="/>
  </w:docVars>
  <w:rsids>
    <w:rsidRoot w:val="00540C06"/>
    <w:rsid w:val="0008303D"/>
    <w:rsid w:val="00090096"/>
    <w:rsid w:val="00090467"/>
    <w:rsid w:val="0009191B"/>
    <w:rsid w:val="000E4A43"/>
    <w:rsid w:val="0014315A"/>
    <w:rsid w:val="001609FD"/>
    <w:rsid w:val="001B5DDB"/>
    <w:rsid w:val="0021158A"/>
    <w:rsid w:val="00212FEA"/>
    <w:rsid w:val="002141F6"/>
    <w:rsid w:val="002255E8"/>
    <w:rsid w:val="00233053"/>
    <w:rsid w:val="002679B4"/>
    <w:rsid w:val="002834D7"/>
    <w:rsid w:val="00294CEB"/>
    <w:rsid w:val="002A6393"/>
    <w:rsid w:val="002A66DF"/>
    <w:rsid w:val="00376657"/>
    <w:rsid w:val="0039202B"/>
    <w:rsid w:val="003B3931"/>
    <w:rsid w:val="003C0AA8"/>
    <w:rsid w:val="003C6D26"/>
    <w:rsid w:val="004003DD"/>
    <w:rsid w:val="00406C5C"/>
    <w:rsid w:val="00406CEC"/>
    <w:rsid w:val="00465546"/>
    <w:rsid w:val="004B40CD"/>
    <w:rsid w:val="004F2892"/>
    <w:rsid w:val="0053218B"/>
    <w:rsid w:val="00540C06"/>
    <w:rsid w:val="00557449"/>
    <w:rsid w:val="005630FC"/>
    <w:rsid w:val="005F30FA"/>
    <w:rsid w:val="005F62F2"/>
    <w:rsid w:val="00617B77"/>
    <w:rsid w:val="006261F5"/>
    <w:rsid w:val="00644B00"/>
    <w:rsid w:val="006877DA"/>
    <w:rsid w:val="00690744"/>
    <w:rsid w:val="006B0F3E"/>
    <w:rsid w:val="006B2D02"/>
    <w:rsid w:val="006D5734"/>
    <w:rsid w:val="006E3CA6"/>
    <w:rsid w:val="007049E1"/>
    <w:rsid w:val="007403D8"/>
    <w:rsid w:val="00753AD7"/>
    <w:rsid w:val="00776CE4"/>
    <w:rsid w:val="00782317"/>
    <w:rsid w:val="00791224"/>
    <w:rsid w:val="007B7497"/>
    <w:rsid w:val="00857C51"/>
    <w:rsid w:val="00881CFC"/>
    <w:rsid w:val="00883069"/>
    <w:rsid w:val="008A6903"/>
    <w:rsid w:val="008D6F03"/>
    <w:rsid w:val="009000F6"/>
    <w:rsid w:val="00924853"/>
    <w:rsid w:val="00943E35"/>
    <w:rsid w:val="00986F43"/>
    <w:rsid w:val="009C5231"/>
    <w:rsid w:val="009E4604"/>
    <w:rsid w:val="009F0BE1"/>
    <w:rsid w:val="00A20B23"/>
    <w:rsid w:val="00A40D70"/>
    <w:rsid w:val="00A45FD6"/>
    <w:rsid w:val="00AD2C20"/>
    <w:rsid w:val="00AE0B70"/>
    <w:rsid w:val="00B02F7E"/>
    <w:rsid w:val="00B20EF1"/>
    <w:rsid w:val="00B84B47"/>
    <w:rsid w:val="00B95C3A"/>
    <w:rsid w:val="00BB7D5B"/>
    <w:rsid w:val="00BC4F06"/>
    <w:rsid w:val="00BD3B46"/>
    <w:rsid w:val="00BE482C"/>
    <w:rsid w:val="00BF35F0"/>
    <w:rsid w:val="00C01475"/>
    <w:rsid w:val="00C112B2"/>
    <w:rsid w:val="00C27557"/>
    <w:rsid w:val="00C27F82"/>
    <w:rsid w:val="00C35FF3"/>
    <w:rsid w:val="00C64CEF"/>
    <w:rsid w:val="00C914D1"/>
    <w:rsid w:val="00C94E06"/>
    <w:rsid w:val="00CD2D6E"/>
    <w:rsid w:val="00CD38A7"/>
    <w:rsid w:val="00D76264"/>
    <w:rsid w:val="00DC135D"/>
    <w:rsid w:val="00DF4A98"/>
    <w:rsid w:val="00E35352"/>
    <w:rsid w:val="00E42EAB"/>
    <w:rsid w:val="00E47120"/>
    <w:rsid w:val="00E52006"/>
    <w:rsid w:val="00E53859"/>
    <w:rsid w:val="00E57E2B"/>
    <w:rsid w:val="00E65C6C"/>
    <w:rsid w:val="00EE6534"/>
    <w:rsid w:val="00F241F0"/>
    <w:rsid w:val="00FC4747"/>
    <w:rsid w:val="00FC5BA6"/>
    <w:rsid w:val="00FF1F1B"/>
    <w:rsid w:val="00FF35AE"/>
    <w:rsid w:val="02B77AB7"/>
    <w:rsid w:val="113F4CD8"/>
    <w:rsid w:val="176D963B"/>
    <w:rsid w:val="1B7F798D"/>
    <w:rsid w:val="1DFF4B37"/>
    <w:rsid w:val="1EFB714F"/>
    <w:rsid w:val="27FB2020"/>
    <w:rsid w:val="29CB6E0F"/>
    <w:rsid w:val="2A6E0274"/>
    <w:rsid w:val="2DEF8D6A"/>
    <w:rsid w:val="2FBA91A6"/>
    <w:rsid w:val="31FDF41B"/>
    <w:rsid w:val="3257C860"/>
    <w:rsid w:val="33F4E35E"/>
    <w:rsid w:val="33FFF3CD"/>
    <w:rsid w:val="352A11F6"/>
    <w:rsid w:val="37FE0A31"/>
    <w:rsid w:val="39D792D9"/>
    <w:rsid w:val="3DBE345E"/>
    <w:rsid w:val="3DF3E130"/>
    <w:rsid w:val="3EBFD5CF"/>
    <w:rsid w:val="3EDEA73B"/>
    <w:rsid w:val="3EED8CAE"/>
    <w:rsid w:val="3FB354BC"/>
    <w:rsid w:val="3FDF2925"/>
    <w:rsid w:val="3FE5F325"/>
    <w:rsid w:val="3FEF3B35"/>
    <w:rsid w:val="3FFADC58"/>
    <w:rsid w:val="47FF5D5C"/>
    <w:rsid w:val="50D4CD38"/>
    <w:rsid w:val="52A200E3"/>
    <w:rsid w:val="53A88E30"/>
    <w:rsid w:val="53FAD87A"/>
    <w:rsid w:val="543F3109"/>
    <w:rsid w:val="54FFF2CF"/>
    <w:rsid w:val="56DBADA4"/>
    <w:rsid w:val="5BE6CD66"/>
    <w:rsid w:val="5DECE95B"/>
    <w:rsid w:val="5DFFBFAA"/>
    <w:rsid w:val="5EFEFE9A"/>
    <w:rsid w:val="5EFFDDE2"/>
    <w:rsid w:val="5F763C0F"/>
    <w:rsid w:val="5F7A982F"/>
    <w:rsid w:val="5FFBA1B4"/>
    <w:rsid w:val="62EC217A"/>
    <w:rsid w:val="63F5FE37"/>
    <w:rsid w:val="647F6670"/>
    <w:rsid w:val="64FD11BC"/>
    <w:rsid w:val="6A4FC826"/>
    <w:rsid w:val="6ADF4B0D"/>
    <w:rsid w:val="6B95175B"/>
    <w:rsid w:val="6BE79D42"/>
    <w:rsid w:val="6C7B5F76"/>
    <w:rsid w:val="6D235CF7"/>
    <w:rsid w:val="6DDE03AF"/>
    <w:rsid w:val="6F8A1CA7"/>
    <w:rsid w:val="6FED552A"/>
    <w:rsid w:val="6FF9921E"/>
    <w:rsid w:val="6FFC7CC5"/>
    <w:rsid w:val="6FFD7550"/>
    <w:rsid w:val="73FF4953"/>
    <w:rsid w:val="757FB40B"/>
    <w:rsid w:val="75B7E1FE"/>
    <w:rsid w:val="76FF1A62"/>
    <w:rsid w:val="779BE033"/>
    <w:rsid w:val="77D7EAC5"/>
    <w:rsid w:val="77FF6978"/>
    <w:rsid w:val="77FFA2D4"/>
    <w:rsid w:val="78FF8B8B"/>
    <w:rsid w:val="795757FF"/>
    <w:rsid w:val="7B6D3540"/>
    <w:rsid w:val="7B7E99B8"/>
    <w:rsid w:val="7BD32D96"/>
    <w:rsid w:val="7BE51F1C"/>
    <w:rsid w:val="7BF3F8E7"/>
    <w:rsid w:val="7C7D07A2"/>
    <w:rsid w:val="7CFFD8D7"/>
    <w:rsid w:val="7D174C4C"/>
    <w:rsid w:val="7D2FEEDE"/>
    <w:rsid w:val="7DFDFA62"/>
    <w:rsid w:val="7E39513C"/>
    <w:rsid w:val="7E974710"/>
    <w:rsid w:val="7EF34040"/>
    <w:rsid w:val="7EFC883D"/>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autoRedefine/>
    <w:qFormat/>
    <w:uiPriority w:val="0"/>
    <w:pPr>
      <w:spacing w:beforeLines="30"/>
    </w:pPr>
    <w:rPr>
      <w:rFonts w:ascii="仿宋_GB2312" w:hAnsi="MT Extra" w:eastAsia="仿宋_GB2312" w:cs="Times New Roman"/>
      <w:sz w:val="30"/>
      <w:szCs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脚 Char"/>
    <w:basedOn w:val="6"/>
    <w:link w:val="3"/>
    <w:autoRedefine/>
    <w:qFormat/>
    <w:uiPriority w:val="99"/>
    <w:rPr>
      <w:sz w:val="18"/>
      <w:szCs w:val="18"/>
    </w:rPr>
  </w:style>
  <w:style w:type="character" w:customStyle="1" w:styleId="9">
    <w:name w:val="页眉 Char"/>
    <w:basedOn w:val="6"/>
    <w:link w:val="4"/>
    <w:autoRedefine/>
    <w:qFormat/>
    <w:uiPriority w:val="99"/>
    <w:rPr>
      <w:sz w:val="18"/>
      <w:szCs w:val="18"/>
    </w:rPr>
  </w:style>
  <w:style w:type="paragraph" w:styleId="10">
    <w:name w:val="List Paragraph"/>
    <w:basedOn w:val="1"/>
    <w:autoRedefine/>
    <w:qFormat/>
    <w:uiPriority w:val="34"/>
    <w:pPr>
      <w:ind w:firstLine="420" w:firstLineChars="200"/>
    </w:pPr>
  </w:style>
  <w:style w:type="character" w:customStyle="1" w:styleId="11">
    <w:name w:val="正文文本 Char"/>
    <w:basedOn w:val="6"/>
    <w:link w:val="2"/>
    <w:autoRedefine/>
    <w:qFormat/>
    <w:uiPriority w:val="0"/>
    <w:rPr>
      <w:rFonts w:ascii="仿宋_GB2312" w:hAnsi="MT Extra" w:eastAsia="仿宋_GB2312" w:cs="Times New Roman"/>
      <w:kern w:val="2"/>
      <w:sz w:val="30"/>
      <w:szCs w:val="24"/>
    </w:rPr>
  </w:style>
  <w:style w:type="character" w:customStyle="1" w:styleId="12">
    <w:name w:val="font101"/>
    <w:basedOn w:val="6"/>
    <w:autoRedefine/>
    <w:qFormat/>
    <w:uiPriority w:val="0"/>
    <w:rPr>
      <w:rFonts w:ascii="Dialog . plain" w:hAnsi="Dialog . plain" w:eastAsia="Dialog . plain" w:cs="Dialog . plain"/>
      <w:color w:val="000000"/>
      <w:sz w:val="22"/>
      <w:szCs w:val="22"/>
      <w:u w:val="none"/>
    </w:rPr>
  </w:style>
  <w:style w:type="character" w:customStyle="1" w:styleId="13">
    <w:name w:val="font112"/>
    <w:basedOn w:val="6"/>
    <w:autoRedefine/>
    <w:qFormat/>
    <w:uiPriority w:val="0"/>
    <w:rPr>
      <w:rFonts w:ascii="Dialog . bold" w:hAnsi="Dialog . bold" w:eastAsia="Dialog . bold" w:cs="Dialog . bold"/>
      <w:b/>
      <w:bCs/>
      <w:color w:val="000000"/>
      <w:sz w:val="22"/>
      <w:szCs w:val="22"/>
      <w:u w:val="none"/>
    </w:rPr>
  </w:style>
  <w:style w:type="character" w:customStyle="1" w:styleId="14">
    <w:name w:val="font71"/>
    <w:basedOn w:val="6"/>
    <w:uiPriority w:val="0"/>
    <w:rPr>
      <w:rFonts w:ascii="Dialog . plain" w:hAnsi="Dialog . plain" w:eastAsia="Dialog . plain" w:cs="Dialog . plain"/>
      <w:color w:val="000000"/>
      <w:sz w:val="22"/>
      <w:szCs w:val="22"/>
      <w:u w:val="none"/>
    </w:rPr>
  </w:style>
  <w:style w:type="character" w:customStyle="1" w:styleId="15">
    <w:name w:val="font81"/>
    <w:basedOn w:val="6"/>
    <w:uiPriority w:val="0"/>
    <w:rPr>
      <w:rFonts w:ascii="Dialog . bold" w:hAnsi="Dialog . bold" w:eastAsia="Dialog . bold" w:cs="Dialog . bold"/>
      <w:b/>
      <w:bCs/>
      <w:color w:val="000000"/>
      <w:sz w:val="22"/>
      <w:szCs w:val="22"/>
      <w:u w:val="none"/>
    </w:rPr>
  </w:style>
  <w:style w:type="character" w:customStyle="1" w:styleId="16">
    <w:name w:val="font61"/>
    <w:basedOn w:val="6"/>
    <w:uiPriority w:val="0"/>
    <w:rPr>
      <w:rFonts w:ascii="Dialog . plain" w:hAnsi="Dialog . plain" w:eastAsia="Dialog . plain" w:cs="Dialog . plain"/>
      <w:color w:val="000000"/>
      <w:sz w:val="22"/>
      <w:szCs w:val="22"/>
      <w:u w:val="none"/>
    </w:rPr>
  </w:style>
  <w:style w:type="character" w:customStyle="1" w:styleId="17">
    <w:name w:val="font51"/>
    <w:basedOn w:val="6"/>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41</Pages>
  <Words>2237</Words>
  <Characters>12755</Characters>
  <Lines>106</Lines>
  <Paragraphs>29</Paragraphs>
  <TotalTime>42</TotalTime>
  <ScaleCrop>false</ScaleCrop>
  <LinksUpToDate>false</LinksUpToDate>
  <CharactersWithSpaces>14963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2023-03-07T02:21:00Z</dcterms:created>
  <dc:creator>ASUS</dc:creator>
  <cp:lastModifiedBy>王五</cp:lastModifiedBy>
  <dcterms:modified xsi:type="dcterms:W3CDTF">2024-02-01T03:28:24Z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56F6812F92658F74351AF763469E14C2_42</vt:lpwstr>
  </property>
</Properties>
</file>