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imes New Roman"/>
          <w:kern w:val="2"/>
          <w:sz w:val="44"/>
          <w:szCs w:val="44"/>
          <w:lang w:val="en-US" w:eastAsia="zh-CN" w:bidi="ar-SA"/>
        </w:rPr>
        <w:id w:val="147479683"/>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246A7679">
          <w:pPr>
            <w:spacing w:before="0" w:beforeLines="0" w:after="0" w:afterLines="0" w:line="240" w:lineRule="auto"/>
            <w:ind w:left="0" w:leftChars="0" w:right="0" w:rightChars="0" w:firstLine="0" w:firstLineChars="0"/>
            <w:jc w:val="center"/>
            <w:rPr>
              <w:sz w:val="44"/>
              <w:szCs w:val="44"/>
            </w:rPr>
          </w:pPr>
          <w:r>
            <w:rPr>
              <w:rFonts w:ascii="宋体" w:hAnsi="宋体" w:eastAsia="宋体"/>
              <w:sz w:val="44"/>
              <w:szCs w:val="44"/>
            </w:rPr>
            <w:t>目录</w:t>
          </w:r>
        </w:p>
        <w:p w14:paraId="0790613F">
          <w:pPr>
            <w:pStyle w:val="11"/>
            <w:tabs>
              <w:tab w:val="right" w:leader="dot" w:pos="8300"/>
              <w:tab w:val="clear" w:pos="8296"/>
            </w:tabs>
          </w:pPr>
          <w:r>
            <w:fldChar w:fldCharType="begin"/>
          </w:r>
          <w:r>
            <w:instrText xml:space="preserve">TOC \o "1-1" \h \u </w:instrText>
          </w:r>
          <w:r>
            <w:fldChar w:fldCharType="separate"/>
          </w:r>
          <w:r>
            <w:fldChar w:fldCharType="begin"/>
          </w:r>
          <w:r>
            <w:instrText xml:space="preserve"> HYPERLINK \l _Toc22285 </w:instrText>
          </w:r>
          <w:r>
            <w:fldChar w:fldCharType="separate"/>
          </w:r>
          <w:r>
            <w:rPr>
              <w:rFonts w:hint="eastAsia" w:ascii="方正小标宋简体" w:hAnsi="方正小标宋简体" w:eastAsia="方正小标宋简体" w:cs="方正小标宋简体"/>
              <w:szCs w:val="72"/>
            </w:rPr>
            <w:t>202</w:t>
          </w:r>
          <w:r>
            <w:rPr>
              <w:rFonts w:hint="eastAsia" w:ascii="方正小标宋简体" w:hAnsi="方正小标宋简体" w:eastAsia="方正小标宋简体" w:cs="方正小标宋简体"/>
              <w:szCs w:val="72"/>
              <w:lang w:val="en-US" w:eastAsia="zh-CN"/>
            </w:rPr>
            <w:t>4</w:t>
          </w:r>
          <w:r>
            <w:rPr>
              <w:rFonts w:hint="eastAsia" w:ascii="方正小标宋简体" w:hAnsi="方正小标宋简体" w:eastAsia="方正小标宋简体" w:cs="方正小标宋简体"/>
              <w:szCs w:val="72"/>
            </w:rPr>
            <w:t>年度</w:t>
          </w:r>
          <w:r>
            <w:tab/>
          </w:r>
          <w:r>
            <w:fldChar w:fldCharType="begin"/>
          </w:r>
          <w:r>
            <w:instrText xml:space="preserve"> PAGEREF _Toc22285 \h </w:instrText>
          </w:r>
          <w:r>
            <w:fldChar w:fldCharType="separate"/>
          </w:r>
          <w:r>
            <w:t>2</w:t>
          </w:r>
          <w:r>
            <w:fldChar w:fldCharType="end"/>
          </w:r>
          <w:r>
            <w:fldChar w:fldCharType="end"/>
          </w:r>
        </w:p>
        <w:p w14:paraId="4F1B8B67">
          <w:pPr>
            <w:pStyle w:val="11"/>
            <w:tabs>
              <w:tab w:val="right" w:leader="dot" w:pos="8300"/>
              <w:tab w:val="clear" w:pos="8296"/>
            </w:tabs>
          </w:pPr>
          <w:r>
            <w:fldChar w:fldCharType="begin"/>
          </w:r>
          <w:r>
            <w:instrText xml:space="preserve"> HYPERLINK \l _Toc23005 </w:instrText>
          </w:r>
          <w:r>
            <w:fldChar w:fldCharType="separate"/>
          </w:r>
          <w:r>
            <w:rPr>
              <w:rFonts w:hint="eastAsia" w:ascii="方正小标宋简体" w:hAnsi="方正小标宋简体" w:eastAsia="方正小标宋简体" w:cs="方正小标宋简体"/>
              <w:szCs w:val="72"/>
            </w:rPr>
            <w:t>四川省</w:t>
          </w:r>
          <w:r>
            <w:rPr>
              <w:rFonts w:hint="eastAsia" w:ascii="方正小标宋简体" w:hAnsi="方正小标宋简体" w:eastAsia="方正小标宋简体" w:cs="方正小标宋简体"/>
              <w:szCs w:val="72"/>
              <w:lang w:eastAsia="zh-CN"/>
            </w:rPr>
            <w:t>阿坝州九寨沟县</w:t>
          </w:r>
          <w:r>
            <w:tab/>
          </w:r>
          <w:r>
            <w:fldChar w:fldCharType="begin"/>
          </w:r>
          <w:r>
            <w:instrText xml:space="preserve"> PAGEREF _Toc23005 \h </w:instrText>
          </w:r>
          <w:r>
            <w:fldChar w:fldCharType="separate"/>
          </w:r>
          <w:r>
            <w:t>2</w:t>
          </w:r>
          <w:r>
            <w:fldChar w:fldCharType="end"/>
          </w:r>
          <w:r>
            <w:fldChar w:fldCharType="end"/>
          </w:r>
        </w:p>
        <w:p w14:paraId="6BAE5935">
          <w:pPr>
            <w:pStyle w:val="11"/>
            <w:tabs>
              <w:tab w:val="right" w:leader="dot" w:pos="8300"/>
              <w:tab w:val="clear" w:pos="8296"/>
            </w:tabs>
          </w:pPr>
          <w:r>
            <w:fldChar w:fldCharType="begin"/>
          </w:r>
          <w:r>
            <w:instrText xml:space="preserve"> HYPERLINK \l _Toc19092 </w:instrText>
          </w:r>
          <w:r>
            <w:fldChar w:fldCharType="separate"/>
          </w:r>
          <w:r>
            <w:rPr>
              <w:rFonts w:hint="eastAsia" w:ascii="方正小标宋简体" w:hAnsi="方正小标宋简体" w:eastAsia="方正小标宋简体" w:cs="方正小标宋简体"/>
              <w:szCs w:val="72"/>
              <w:lang w:eastAsia="zh-CN"/>
            </w:rPr>
            <w:t>人民政府办公室</w:t>
          </w:r>
          <w:r>
            <w:rPr>
              <w:rFonts w:hint="eastAsia" w:ascii="方正小标宋简体" w:hAnsi="方正小标宋简体" w:eastAsia="方正小标宋简体" w:cs="方正小标宋简体"/>
              <w:szCs w:val="72"/>
            </w:rPr>
            <w:t>部门</w:t>
          </w:r>
          <w:r>
            <w:tab/>
          </w:r>
          <w:r>
            <w:fldChar w:fldCharType="begin"/>
          </w:r>
          <w:r>
            <w:instrText xml:space="preserve"> PAGEREF _Toc19092 \h </w:instrText>
          </w:r>
          <w:r>
            <w:fldChar w:fldCharType="separate"/>
          </w:r>
          <w:r>
            <w:t>2</w:t>
          </w:r>
          <w:r>
            <w:fldChar w:fldCharType="end"/>
          </w:r>
          <w:r>
            <w:fldChar w:fldCharType="end"/>
          </w:r>
        </w:p>
        <w:p w14:paraId="294B584B">
          <w:pPr>
            <w:pStyle w:val="11"/>
            <w:tabs>
              <w:tab w:val="right" w:leader="dot" w:pos="8300"/>
              <w:tab w:val="clear" w:pos="8296"/>
            </w:tabs>
          </w:pPr>
          <w:r>
            <w:fldChar w:fldCharType="begin"/>
          </w:r>
          <w:r>
            <w:instrText xml:space="preserve"> HYPERLINK \l _Toc24173 </w:instrText>
          </w:r>
          <w:r>
            <w:fldChar w:fldCharType="separate"/>
          </w:r>
          <w:r>
            <w:rPr>
              <w:rFonts w:hint="eastAsia" w:ascii="方正小标宋简体" w:hAnsi="方正小标宋简体" w:eastAsia="方正小标宋简体" w:cs="方正小标宋简体"/>
              <w:szCs w:val="72"/>
            </w:rPr>
            <w:t>决算</w:t>
          </w:r>
          <w:r>
            <w:rPr>
              <w:rFonts w:hint="eastAsia" w:ascii="方正小标宋简体" w:hAnsi="方正小标宋简体" w:eastAsia="方正小标宋简体" w:cs="方正小标宋简体"/>
              <w:szCs w:val="72"/>
              <w:lang w:eastAsia="zh-CN"/>
            </w:rPr>
            <w:t>公开</w:t>
          </w:r>
          <w:r>
            <w:tab/>
          </w:r>
          <w:r>
            <w:fldChar w:fldCharType="begin"/>
          </w:r>
          <w:r>
            <w:instrText xml:space="preserve"> PAGEREF _Toc24173 \h </w:instrText>
          </w:r>
          <w:r>
            <w:fldChar w:fldCharType="separate"/>
          </w:r>
          <w:r>
            <w:t>2</w:t>
          </w:r>
          <w:r>
            <w:fldChar w:fldCharType="end"/>
          </w:r>
          <w:r>
            <w:fldChar w:fldCharType="end"/>
          </w:r>
        </w:p>
        <w:p w14:paraId="14EB5F63">
          <w:pPr>
            <w:pStyle w:val="11"/>
            <w:tabs>
              <w:tab w:val="right" w:leader="dot" w:pos="8300"/>
              <w:tab w:val="clear" w:pos="8296"/>
            </w:tabs>
          </w:pPr>
          <w:r>
            <w:fldChar w:fldCharType="begin"/>
          </w:r>
          <w:r>
            <w:instrText xml:space="preserve"> HYPERLINK \l _Toc15508 </w:instrText>
          </w:r>
          <w:r>
            <w:fldChar w:fldCharType="separate"/>
          </w:r>
          <w:r>
            <w:t>已经保密审查、内容审定，同意对外公开</w:t>
          </w:r>
          <w:r>
            <w:tab/>
          </w:r>
          <w:r>
            <w:fldChar w:fldCharType="begin"/>
          </w:r>
          <w:r>
            <w:instrText xml:space="preserve"> PAGEREF _Toc15508 \h </w:instrText>
          </w:r>
          <w:r>
            <w:fldChar w:fldCharType="separate"/>
          </w:r>
          <w:r>
            <w:t>2</w:t>
          </w:r>
          <w:r>
            <w:fldChar w:fldCharType="end"/>
          </w:r>
          <w:r>
            <w:fldChar w:fldCharType="end"/>
          </w:r>
        </w:p>
        <w:p w14:paraId="23CF6A6B">
          <w:pPr>
            <w:pStyle w:val="11"/>
            <w:tabs>
              <w:tab w:val="right" w:leader="dot" w:pos="8300"/>
              <w:tab w:val="clear" w:pos="8296"/>
            </w:tabs>
          </w:pPr>
          <w:r>
            <w:fldChar w:fldCharType="begin"/>
          </w:r>
          <w:r>
            <w:instrText xml:space="preserve"> HYPERLINK \l _Toc12794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_Toc12794 \h </w:instrText>
          </w:r>
          <w:r>
            <w:fldChar w:fldCharType="separate"/>
          </w:r>
          <w:r>
            <w:t>3</w:t>
          </w:r>
          <w:r>
            <w:fldChar w:fldCharType="end"/>
          </w:r>
          <w:r>
            <w:fldChar w:fldCharType="end"/>
          </w:r>
        </w:p>
        <w:p w14:paraId="7E20452F">
          <w:pPr>
            <w:pStyle w:val="11"/>
            <w:tabs>
              <w:tab w:val="right" w:leader="dot" w:pos="8300"/>
              <w:tab w:val="clear" w:pos="8296"/>
            </w:tabs>
          </w:pPr>
          <w:r>
            <w:fldChar w:fldCharType="begin"/>
          </w:r>
          <w:r>
            <w:instrText xml:space="preserve"> HYPERLINK \l _Toc19310 </w:instrText>
          </w:r>
          <w:r>
            <w:fldChar w:fldCharType="separate"/>
          </w:r>
          <w:r>
            <w:rPr>
              <w:rFonts w:hint="eastAsia" w:ascii="黑体" w:hAnsi="黑体" w:eastAsia="黑体"/>
            </w:rPr>
            <w:t xml:space="preserve">第二部分 </w:t>
          </w:r>
          <w:r>
            <w:rPr>
              <w:rFonts w:hint="eastAsia" w:ascii="黑体" w:hAnsi="黑体" w:eastAsia="黑体"/>
              <w:lang w:eastAsia="zh-CN"/>
            </w:rPr>
            <w:t>2024</w:t>
          </w:r>
          <w:r>
            <w:rPr>
              <w:rFonts w:hint="eastAsia" w:ascii="黑体" w:hAnsi="黑体" w:eastAsia="黑体"/>
            </w:rPr>
            <w:t>年度</w:t>
          </w:r>
          <w:r>
            <w:rPr>
              <w:rFonts w:hint="eastAsia" w:ascii="黑体" w:hAnsi="黑体" w:eastAsia="黑体"/>
              <w:bCs/>
            </w:rPr>
            <w:t>部门决算情况说明</w:t>
          </w:r>
          <w:r>
            <w:tab/>
          </w:r>
          <w:r>
            <w:fldChar w:fldCharType="begin"/>
          </w:r>
          <w:r>
            <w:instrText xml:space="preserve"> PAGEREF _Toc19310 \h </w:instrText>
          </w:r>
          <w:r>
            <w:fldChar w:fldCharType="separate"/>
          </w:r>
          <w:r>
            <w:t>5</w:t>
          </w:r>
          <w:r>
            <w:fldChar w:fldCharType="end"/>
          </w:r>
          <w:r>
            <w:fldChar w:fldCharType="end"/>
          </w:r>
        </w:p>
        <w:p w14:paraId="0D169F77">
          <w:pPr>
            <w:pStyle w:val="11"/>
            <w:tabs>
              <w:tab w:val="right" w:leader="dot" w:pos="8300"/>
              <w:tab w:val="clear" w:pos="8296"/>
            </w:tabs>
          </w:pPr>
          <w:r>
            <w:fldChar w:fldCharType="begin"/>
          </w:r>
          <w:r>
            <w:instrText xml:space="preserve"> HYPERLINK \l _Toc22159 </w:instrText>
          </w:r>
          <w:r>
            <w:fldChar w:fldCharType="separate"/>
          </w:r>
          <w:r>
            <w:rPr>
              <w:rFonts w:hint="eastAsia"/>
            </w:rPr>
            <w:t>第三部分 名词解释</w:t>
          </w:r>
          <w:r>
            <w:tab/>
          </w:r>
          <w:r>
            <w:fldChar w:fldCharType="begin"/>
          </w:r>
          <w:r>
            <w:instrText xml:space="preserve"> PAGEREF _Toc22159 \h </w:instrText>
          </w:r>
          <w:r>
            <w:fldChar w:fldCharType="separate"/>
          </w:r>
          <w:r>
            <w:t>12</w:t>
          </w:r>
          <w:r>
            <w:fldChar w:fldCharType="end"/>
          </w:r>
          <w:r>
            <w:fldChar w:fldCharType="end"/>
          </w:r>
        </w:p>
        <w:p w14:paraId="12EBA6A1">
          <w:pPr>
            <w:pStyle w:val="11"/>
            <w:tabs>
              <w:tab w:val="right" w:leader="dot" w:pos="8300"/>
              <w:tab w:val="clear" w:pos="8296"/>
            </w:tabs>
          </w:pPr>
          <w:r>
            <w:fldChar w:fldCharType="begin"/>
          </w:r>
          <w:r>
            <w:instrText xml:space="preserve"> HYPERLINK \l _Toc8549 </w:instrText>
          </w:r>
          <w:r>
            <w:fldChar w:fldCharType="separate"/>
          </w:r>
          <w:r>
            <w:rPr>
              <w:rFonts w:hint="eastAsia" w:ascii="黑体" w:hAnsi="黑体" w:eastAsia="黑体"/>
            </w:rPr>
            <w:t>第四部分 附件</w:t>
          </w:r>
          <w:r>
            <w:tab/>
          </w:r>
          <w:r>
            <w:fldChar w:fldCharType="begin"/>
          </w:r>
          <w:r>
            <w:instrText xml:space="preserve"> PAGEREF _Toc8549 \h </w:instrText>
          </w:r>
          <w:r>
            <w:fldChar w:fldCharType="separate"/>
          </w:r>
          <w:r>
            <w:t>16</w:t>
          </w:r>
          <w:r>
            <w:fldChar w:fldCharType="end"/>
          </w:r>
          <w:r>
            <w:fldChar w:fldCharType="end"/>
          </w:r>
        </w:p>
        <w:p w14:paraId="24855755">
          <w:pPr>
            <w:pStyle w:val="11"/>
            <w:tabs>
              <w:tab w:val="right" w:leader="dot" w:pos="8300"/>
              <w:tab w:val="clear" w:pos="8296"/>
            </w:tabs>
          </w:pPr>
          <w:r>
            <w:fldChar w:fldCharType="begin"/>
          </w:r>
          <w:r>
            <w:instrText xml:space="preserve"> HYPERLINK \l _Toc25638 </w:instrText>
          </w:r>
          <w:r>
            <w:fldChar w:fldCharType="separate"/>
          </w:r>
          <w:r>
            <w:rPr>
              <w:rFonts w:hint="eastAsia" w:ascii="仿宋" w:hAnsi="仿宋" w:eastAsia="仿宋" w:cs="仿宋"/>
              <w:kern w:val="0"/>
              <w:szCs w:val="32"/>
              <w:highlight w:val="none"/>
              <w:shd w:val="clear" w:color="auto" w:fill="FFFFFF"/>
            </w:rPr>
            <w:t>三、部门</w:t>
          </w:r>
          <w:r>
            <w:rPr>
              <w:rFonts w:hint="eastAsia" w:ascii="仿宋" w:hAnsi="仿宋" w:eastAsia="仿宋" w:cs="仿宋"/>
              <w:kern w:val="0"/>
              <w:szCs w:val="32"/>
              <w:highlight w:val="none"/>
              <w:shd w:val="clear" w:color="auto" w:fill="FFFFFF"/>
              <w:lang w:eastAsia="zh-CN"/>
            </w:rPr>
            <w:t>预算</w:t>
          </w:r>
          <w:r>
            <w:rPr>
              <w:rFonts w:hint="eastAsia" w:ascii="仿宋" w:hAnsi="仿宋" w:eastAsia="仿宋" w:cs="仿宋"/>
              <w:kern w:val="0"/>
              <w:szCs w:val="32"/>
              <w:highlight w:val="none"/>
              <w:shd w:val="clear" w:color="auto" w:fill="FFFFFF"/>
            </w:rPr>
            <w:t>绩效</w:t>
          </w:r>
          <w:r>
            <w:rPr>
              <w:rFonts w:hint="eastAsia" w:ascii="仿宋" w:hAnsi="仿宋" w:eastAsia="仿宋" w:cs="仿宋"/>
              <w:kern w:val="0"/>
              <w:szCs w:val="32"/>
              <w:highlight w:val="none"/>
              <w:shd w:val="clear" w:color="auto" w:fill="FFFFFF"/>
              <w:lang w:eastAsia="zh-CN"/>
            </w:rPr>
            <w:t>分析</w:t>
          </w:r>
          <w:r>
            <w:tab/>
          </w:r>
          <w:r>
            <w:fldChar w:fldCharType="begin"/>
          </w:r>
          <w:r>
            <w:instrText xml:space="preserve"> PAGEREF _Toc25638 \h </w:instrText>
          </w:r>
          <w:r>
            <w:fldChar w:fldCharType="separate"/>
          </w:r>
          <w:r>
            <w:t>18</w:t>
          </w:r>
          <w:r>
            <w:fldChar w:fldCharType="end"/>
          </w:r>
          <w:r>
            <w:fldChar w:fldCharType="end"/>
          </w:r>
        </w:p>
        <w:p w14:paraId="6B9E5594">
          <w:pPr>
            <w:pStyle w:val="11"/>
            <w:tabs>
              <w:tab w:val="right" w:leader="dot" w:pos="8300"/>
              <w:tab w:val="clear" w:pos="8296"/>
            </w:tabs>
          </w:pPr>
          <w:r>
            <w:fldChar w:fldCharType="begin"/>
          </w:r>
          <w:r>
            <w:instrText xml:space="preserve"> HYPERLINK \l _Toc14919 </w:instrText>
          </w:r>
          <w:r>
            <w:fldChar w:fldCharType="separate"/>
          </w:r>
          <w:r>
            <w:rPr>
              <w:rFonts w:hint="eastAsia" w:ascii="仿宋" w:hAnsi="仿宋" w:eastAsia="仿宋" w:cs="仿宋"/>
              <w:kern w:val="0"/>
              <w:szCs w:val="32"/>
              <w:highlight w:val="none"/>
              <w:shd w:val="clear" w:color="auto" w:fill="FFFFFF"/>
              <w:lang w:eastAsia="zh-CN"/>
            </w:rPr>
            <w:t>四、</w:t>
          </w:r>
          <w:r>
            <w:rPr>
              <w:rFonts w:hint="eastAsia" w:ascii="仿宋" w:hAnsi="仿宋" w:eastAsia="仿宋" w:cs="仿宋"/>
              <w:kern w:val="0"/>
              <w:szCs w:val="32"/>
              <w:highlight w:val="none"/>
              <w:shd w:val="clear" w:color="auto" w:fill="FFFFFF"/>
            </w:rPr>
            <w:t>评价结论及建议</w:t>
          </w:r>
          <w:r>
            <w:tab/>
          </w:r>
          <w:r>
            <w:fldChar w:fldCharType="begin"/>
          </w:r>
          <w:r>
            <w:instrText xml:space="preserve"> PAGEREF _Toc14919 \h </w:instrText>
          </w:r>
          <w:r>
            <w:fldChar w:fldCharType="separate"/>
          </w:r>
          <w:r>
            <w:t>20</w:t>
          </w:r>
          <w:r>
            <w:fldChar w:fldCharType="end"/>
          </w:r>
          <w:r>
            <w:fldChar w:fldCharType="end"/>
          </w:r>
        </w:p>
        <w:p w14:paraId="293A58D9">
          <w:pPr>
            <w:pStyle w:val="11"/>
            <w:tabs>
              <w:tab w:val="right" w:leader="dot" w:pos="8300"/>
              <w:tab w:val="clear" w:pos="8296"/>
            </w:tabs>
          </w:pPr>
          <w:r>
            <w:fldChar w:fldCharType="begin"/>
          </w:r>
          <w:r>
            <w:instrText xml:space="preserve"> HYPERLINK \l _Toc1066 </w:instrText>
          </w:r>
          <w:r>
            <w:fldChar w:fldCharType="separate"/>
          </w:r>
          <w:r>
            <w:rPr>
              <w:rFonts w:hint="eastAsia" w:ascii="黑体" w:hAnsi="黑体" w:eastAsia="黑体"/>
            </w:rPr>
            <w:t>第五部分 附表</w:t>
          </w:r>
          <w:r>
            <w:tab/>
          </w:r>
          <w:r>
            <w:fldChar w:fldCharType="begin"/>
          </w:r>
          <w:r>
            <w:instrText xml:space="preserve"> PAGEREF _Toc1066 \h </w:instrText>
          </w:r>
          <w:r>
            <w:fldChar w:fldCharType="separate"/>
          </w:r>
          <w:r>
            <w:t>35</w:t>
          </w:r>
          <w:r>
            <w:fldChar w:fldCharType="end"/>
          </w:r>
          <w:r>
            <w:fldChar w:fldCharType="end"/>
          </w:r>
        </w:p>
        <w:p w14:paraId="44CB4323">
          <w:r>
            <w:fldChar w:fldCharType="end"/>
          </w:r>
        </w:p>
      </w:sdtContent>
    </w:sdt>
    <w:p w14:paraId="682A6C0E"/>
    <w:p w14:paraId="7E7CAEF0">
      <w:pPr>
        <w:adjustRightInd w:val="0"/>
        <w:snapToGrid w:val="0"/>
        <w:spacing w:line="360" w:lineRule="auto"/>
        <w:jc w:val="center"/>
        <w:outlineLvl w:val="0"/>
        <w:rPr>
          <w:rFonts w:hint="eastAsia" w:ascii="方正小标宋简体" w:hAnsi="方正小标宋简体" w:eastAsia="方正小标宋简体" w:cs="方正小标宋简体"/>
          <w:sz w:val="72"/>
          <w:szCs w:val="72"/>
        </w:rPr>
      </w:pPr>
      <w:bookmarkStart w:id="0" w:name="_Toc16597"/>
    </w:p>
    <w:p w14:paraId="260544A4">
      <w:pPr>
        <w:adjustRightInd w:val="0"/>
        <w:snapToGrid w:val="0"/>
        <w:spacing w:line="360" w:lineRule="auto"/>
        <w:jc w:val="center"/>
        <w:outlineLvl w:val="0"/>
        <w:rPr>
          <w:rFonts w:hint="eastAsia" w:ascii="方正小标宋简体" w:hAnsi="方正小标宋简体" w:eastAsia="方正小标宋简体" w:cs="方正小标宋简体"/>
          <w:sz w:val="72"/>
          <w:szCs w:val="72"/>
        </w:rPr>
      </w:pPr>
    </w:p>
    <w:p w14:paraId="6C1F870F">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 w:name="_Toc22285"/>
      <w:r>
        <w:rPr>
          <w:rFonts w:hint="eastAsia" w:ascii="方正小标宋简体" w:hAnsi="方正小标宋简体" w:eastAsia="方正小标宋简体" w:cs="方正小标宋简体"/>
          <w:sz w:val="72"/>
          <w:szCs w:val="72"/>
        </w:rPr>
        <w:t>202</w:t>
      </w:r>
      <w:r>
        <w:rPr>
          <w:rFonts w:hint="eastAsia" w:ascii="方正小标宋简体" w:hAnsi="方正小标宋简体" w:eastAsia="方正小标宋简体" w:cs="方正小标宋简体"/>
          <w:sz w:val="72"/>
          <w:szCs w:val="72"/>
          <w:lang w:val="en-US" w:eastAsia="zh-CN"/>
        </w:rPr>
        <w:t>4</w:t>
      </w:r>
      <w:r>
        <w:rPr>
          <w:rFonts w:hint="eastAsia" w:ascii="方正小标宋简体" w:hAnsi="方正小标宋简体" w:eastAsia="方正小标宋简体" w:cs="方正小标宋简体"/>
          <w:sz w:val="72"/>
          <w:szCs w:val="72"/>
        </w:rPr>
        <w:t>年度</w:t>
      </w:r>
      <w:bookmarkEnd w:id="0"/>
      <w:bookmarkEnd w:id="1"/>
    </w:p>
    <w:p w14:paraId="291D3F1E">
      <w:pPr>
        <w:adjustRightInd w:val="0"/>
        <w:snapToGrid w:val="0"/>
        <w:spacing w:line="360" w:lineRule="auto"/>
        <w:jc w:val="center"/>
        <w:outlineLvl w:val="0"/>
        <w:rPr>
          <w:rFonts w:hint="eastAsia" w:ascii="方正小标宋简体" w:hAnsi="方正小标宋简体" w:eastAsia="方正小标宋简体" w:cs="方正小标宋简体"/>
          <w:sz w:val="72"/>
          <w:szCs w:val="72"/>
          <w:lang w:eastAsia="zh-CN"/>
        </w:rPr>
      </w:pPr>
      <w:bookmarkStart w:id="2" w:name="_Toc1010"/>
      <w:bookmarkStart w:id="3" w:name="_Toc11926"/>
      <w:bookmarkStart w:id="4" w:name="_Toc23005"/>
      <w:bookmarkStart w:id="5" w:name="_Toc29675"/>
      <w:bookmarkStart w:id="6" w:name="_Toc15396598"/>
      <w:bookmarkStart w:id="7" w:name="_Toc15378442"/>
      <w:bookmarkStart w:id="8" w:name="_Toc15377194"/>
      <w:bookmarkStart w:id="9" w:name="_Toc15396476"/>
      <w:bookmarkStart w:id="10" w:name="_Toc15377426"/>
      <w:r>
        <w:rPr>
          <w:rFonts w:hint="eastAsia" w:ascii="方正小标宋简体" w:hAnsi="方正小标宋简体" w:eastAsia="方正小标宋简体" w:cs="方正小标宋简体"/>
          <w:sz w:val="72"/>
          <w:szCs w:val="72"/>
        </w:rPr>
        <w:t>四川省</w:t>
      </w:r>
      <w:bookmarkStart w:id="11" w:name="_Toc15306268"/>
      <w:r>
        <w:rPr>
          <w:rFonts w:hint="eastAsia" w:ascii="方正小标宋简体" w:hAnsi="方正小标宋简体" w:eastAsia="方正小标宋简体" w:cs="方正小标宋简体"/>
          <w:sz w:val="72"/>
          <w:szCs w:val="72"/>
          <w:lang w:eastAsia="zh-CN"/>
        </w:rPr>
        <w:t>阿坝州九寨沟县</w:t>
      </w:r>
      <w:bookmarkEnd w:id="2"/>
      <w:bookmarkEnd w:id="3"/>
      <w:bookmarkEnd w:id="4"/>
      <w:bookmarkEnd w:id="5"/>
    </w:p>
    <w:p w14:paraId="4407E2EA">
      <w:pPr>
        <w:adjustRightInd w:val="0"/>
        <w:snapToGrid w:val="0"/>
        <w:spacing w:line="360" w:lineRule="auto"/>
        <w:jc w:val="center"/>
        <w:outlineLvl w:val="0"/>
        <w:rPr>
          <w:rFonts w:hint="eastAsia" w:ascii="方正小标宋简体" w:hAnsi="方正小标宋简体" w:eastAsia="方正小标宋简体" w:cs="方正小标宋简体"/>
          <w:sz w:val="72"/>
          <w:szCs w:val="72"/>
        </w:rPr>
      </w:pPr>
      <w:bookmarkStart w:id="12" w:name="_Toc17604"/>
      <w:bookmarkStart w:id="13" w:name="_Toc18170"/>
      <w:bookmarkStart w:id="14" w:name="_Toc12712"/>
      <w:bookmarkStart w:id="15" w:name="_Toc19092"/>
      <w:r>
        <w:rPr>
          <w:rFonts w:hint="eastAsia" w:ascii="方正小标宋简体" w:hAnsi="方正小标宋简体" w:eastAsia="方正小标宋简体" w:cs="方正小标宋简体"/>
          <w:sz w:val="72"/>
          <w:szCs w:val="72"/>
          <w:lang w:eastAsia="zh-CN"/>
        </w:rPr>
        <w:t>人民政府办公室</w:t>
      </w:r>
      <w:r>
        <w:rPr>
          <w:rFonts w:hint="eastAsia" w:ascii="方正小标宋简体" w:hAnsi="方正小标宋简体" w:eastAsia="方正小标宋简体" w:cs="方正小标宋简体"/>
          <w:sz w:val="72"/>
          <w:szCs w:val="72"/>
        </w:rPr>
        <w:t>部门</w:t>
      </w:r>
      <w:bookmarkEnd w:id="12"/>
      <w:bookmarkEnd w:id="13"/>
      <w:bookmarkEnd w:id="14"/>
      <w:bookmarkEnd w:id="15"/>
    </w:p>
    <w:p w14:paraId="1CAFD1AD">
      <w:pPr>
        <w:adjustRightInd w:val="0"/>
        <w:snapToGrid w:val="0"/>
        <w:spacing w:line="360" w:lineRule="auto"/>
        <w:jc w:val="center"/>
        <w:outlineLvl w:val="0"/>
        <w:rPr>
          <w:rFonts w:hint="eastAsia" w:ascii="方正小标宋简体" w:hAnsi="方正小标宋简体" w:eastAsia="方正小标宋简体" w:cs="方正小标宋简体"/>
          <w:sz w:val="72"/>
          <w:szCs w:val="72"/>
          <w:lang w:eastAsia="zh-CN"/>
        </w:rPr>
      </w:pPr>
      <w:bookmarkStart w:id="16" w:name="_Toc12852"/>
      <w:bookmarkStart w:id="17" w:name="_Toc26401"/>
      <w:bookmarkStart w:id="18" w:name="_Toc30080"/>
      <w:bookmarkStart w:id="19" w:name="_Toc24173"/>
      <w:r>
        <w:rPr>
          <w:rFonts w:hint="eastAsia" w:ascii="方正小标宋简体" w:hAnsi="方正小标宋简体" w:eastAsia="方正小标宋简体" w:cs="方正小标宋简体"/>
          <w:sz w:val="72"/>
          <w:szCs w:val="72"/>
        </w:rPr>
        <w:t>决算</w:t>
      </w:r>
      <w:bookmarkEnd w:id="6"/>
      <w:bookmarkEnd w:id="7"/>
      <w:bookmarkEnd w:id="8"/>
      <w:bookmarkEnd w:id="9"/>
      <w:bookmarkEnd w:id="10"/>
      <w:bookmarkEnd w:id="11"/>
      <w:r>
        <w:rPr>
          <w:rFonts w:hint="eastAsia" w:ascii="方正小标宋简体" w:hAnsi="方正小标宋简体" w:eastAsia="方正小标宋简体" w:cs="方正小标宋简体"/>
          <w:sz w:val="72"/>
          <w:szCs w:val="72"/>
          <w:lang w:eastAsia="zh-CN"/>
        </w:rPr>
        <w:t>公开</w:t>
      </w:r>
      <w:bookmarkEnd w:id="16"/>
      <w:bookmarkEnd w:id="17"/>
      <w:bookmarkEnd w:id="18"/>
      <w:bookmarkEnd w:id="19"/>
      <w:bookmarkStart w:id="20" w:name="_Toc22946"/>
    </w:p>
    <w:p w14:paraId="62C57DE8">
      <w:pPr>
        <w:adjustRightInd w:val="0"/>
        <w:snapToGrid w:val="0"/>
        <w:spacing w:line="360" w:lineRule="auto"/>
        <w:jc w:val="center"/>
        <w:outlineLvl w:val="0"/>
      </w:pPr>
      <w:bookmarkStart w:id="21" w:name="_Toc15508"/>
      <w:bookmarkStart w:id="22" w:name="_Toc24470"/>
      <w:r>
        <w:t>已经保密审查、内容审定，同意对外公开</w:t>
      </w:r>
      <w:bookmarkEnd w:id="20"/>
      <w:bookmarkEnd w:id="21"/>
      <w:bookmarkEnd w:id="22"/>
    </w:p>
    <w:p w14:paraId="63458DEE">
      <w:pPr>
        <w:pStyle w:val="11"/>
        <w:rPr>
          <w:rFonts w:hint="eastAsia"/>
        </w:rPr>
      </w:pPr>
      <w:r>
        <w:rPr>
          <w:rFonts w:hint="eastAsia"/>
        </w:rPr>
        <w:t>公开时间：202</w:t>
      </w:r>
      <w:r>
        <w:rPr>
          <w:rFonts w:hint="eastAsia"/>
          <w:lang w:val="en-US" w:eastAsia="zh-CN"/>
        </w:rPr>
        <w:t>5</w:t>
      </w:r>
      <w:r>
        <w:rPr>
          <w:rFonts w:hint="eastAsia"/>
        </w:rPr>
        <w:t>年</w:t>
      </w:r>
      <w:r>
        <w:rPr>
          <w:rFonts w:hint="eastAsia"/>
          <w:lang w:val="en-US" w:eastAsia="zh-CN"/>
        </w:rPr>
        <w:t>10</w:t>
      </w:r>
      <w:r>
        <w:rPr>
          <w:rFonts w:hint="eastAsia"/>
        </w:rPr>
        <w:t>月</w:t>
      </w:r>
      <w:r>
        <w:rPr>
          <w:rFonts w:hint="eastAsia"/>
          <w:lang w:val="en-US" w:eastAsia="zh-CN"/>
        </w:rPr>
        <w:t>18</w:t>
      </w:r>
      <w:r>
        <w:rPr>
          <w:rFonts w:hint="eastAsia"/>
        </w:rPr>
        <w:t>日</w:t>
      </w:r>
    </w:p>
    <w:p w14:paraId="00FC81D5"/>
    <w:p w14:paraId="21F123F9"/>
    <w:p w14:paraId="6BEC1A8F">
      <w:pPr>
        <w:pStyle w:val="2"/>
        <w:keepNext/>
        <w:keepLines/>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宋体" w:eastAsia="方正小标宋简体"/>
          <w:sz w:val="36"/>
          <w:szCs w:val="36"/>
        </w:rPr>
      </w:pPr>
      <w:bookmarkStart w:id="23" w:name="_Toc24027"/>
      <w:r>
        <w:rPr>
          <w:rFonts w:ascii="方正小标宋简体" w:hAnsi="宋体" w:eastAsia="方正小标宋简体"/>
          <w:sz w:val="36"/>
          <w:szCs w:val="36"/>
        </w:rPr>
        <w:br w:type="page"/>
      </w:r>
      <w:bookmarkEnd w:id="23"/>
      <w:bookmarkStart w:id="24" w:name="_Toc15377196"/>
      <w:bookmarkStart w:id="25" w:name="_Toc15396599"/>
      <w:bookmarkStart w:id="26" w:name="_Toc11334"/>
    </w:p>
    <w:p w14:paraId="6B60B1AD">
      <w:pPr>
        <w:pStyle w:val="2"/>
        <w:keepNext/>
        <w:keepLines/>
        <w:pageBreakBefore w:val="0"/>
        <w:widowControl w:val="0"/>
        <w:kinsoku/>
        <w:wordWrap/>
        <w:overflowPunct/>
        <w:topLinePunct w:val="0"/>
        <w:autoSpaceDE/>
        <w:autoSpaceDN/>
        <w:bidi w:val="0"/>
        <w:adjustRightInd/>
        <w:snapToGrid/>
        <w:spacing w:line="560" w:lineRule="exact"/>
        <w:jc w:val="center"/>
        <w:textAlignment w:val="auto"/>
        <w:rPr>
          <w:rFonts w:ascii="黑体" w:eastAsia="黑体"/>
          <w:sz w:val="32"/>
          <w:szCs w:val="32"/>
        </w:rPr>
      </w:pPr>
      <w:bookmarkStart w:id="27" w:name="_Toc6762"/>
      <w:bookmarkStart w:id="28" w:name="_Toc2887"/>
      <w:bookmarkStart w:id="29" w:name="_Toc12794"/>
      <w:r>
        <w:rPr>
          <w:rFonts w:hint="eastAsia" w:ascii="黑体" w:hAnsi="黑体" w:eastAsia="黑体"/>
          <w:b w:val="0"/>
        </w:rPr>
        <w:t xml:space="preserve">第一部分 </w:t>
      </w:r>
      <w:r>
        <w:rPr>
          <w:rStyle w:val="28"/>
          <w:rFonts w:hint="eastAsia" w:ascii="黑体" w:hAnsi="黑体" w:eastAsia="黑体"/>
          <w:b w:val="0"/>
          <w:bCs w:val="0"/>
        </w:rPr>
        <w:t>部门概况</w:t>
      </w:r>
      <w:bookmarkEnd w:id="24"/>
      <w:bookmarkEnd w:id="25"/>
      <w:bookmarkEnd w:id="26"/>
      <w:bookmarkEnd w:id="27"/>
      <w:bookmarkEnd w:id="28"/>
      <w:bookmarkEnd w:id="29"/>
    </w:p>
    <w:p w14:paraId="7A419CDE">
      <w:pPr>
        <w:pStyle w:val="3"/>
        <w:keepNext/>
        <w:keepLines/>
        <w:pageBreakBefore w:val="0"/>
        <w:widowControl w:val="0"/>
        <w:numPr>
          <w:ilvl w:val="0"/>
          <w:numId w:val="1"/>
        </w:numPr>
        <w:kinsoku/>
        <w:wordWrap/>
        <w:overflowPunct/>
        <w:topLinePunct w:val="0"/>
        <w:autoSpaceDE/>
        <w:autoSpaceDN/>
        <w:bidi w:val="0"/>
        <w:adjustRightInd/>
        <w:snapToGrid/>
        <w:spacing w:line="560" w:lineRule="exact"/>
        <w:textAlignment w:val="auto"/>
        <w:rPr>
          <w:rFonts w:hint="eastAsia" w:ascii="黑体" w:hAnsi="黑体" w:eastAsia="黑体"/>
          <w:b w:val="0"/>
        </w:rPr>
      </w:pPr>
      <w:bookmarkStart w:id="30" w:name="_Toc24877"/>
      <w:r>
        <w:rPr>
          <w:rFonts w:hint="eastAsia" w:ascii="黑体" w:hAnsi="黑体" w:eastAsia="黑体"/>
          <w:b w:val="0"/>
        </w:rPr>
        <w:t>部门职责</w:t>
      </w:r>
      <w:bookmarkEnd w:id="30"/>
    </w:p>
    <w:p w14:paraId="2B6A5762">
      <w:pPr>
        <w:pStyle w:val="5"/>
        <w:adjustRightInd w:val="0"/>
        <w:snapToGrid w:val="0"/>
        <w:spacing w:before="93" w:beforeLines="0"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1．负责上级来文运转、领导批示和报告，并督促办理。</w:t>
      </w:r>
    </w:p>
    <w:p w14:paraId="4F7BEA99">
      <w:pPr>
        <w:pStyle w:val="5"/>
        <w:adjustRightInd w:val="0"/>
        <w:snapToGrid w:val="0"/>
        <w:spacing w:before="93" w:beforeLines="0"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2．负责县政府会议的会务工作，协助县政府领导同志组织会议决定事项的实施。</w:t>
      </w:r>
    </w:p>
    <w:p w14:paraId="37D2F487">
      <w:pPr>
        <w:spacing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3．协助县政府领导同志组织起草或审核以县政府、县政府办公室名义发布的公文。</w:t>
      </w:r>
    </w:p>
    <w:p w14:paraId="70390E8E">
      <w:pPr>
        <w:spacing w:line="520" w:lineRule="exact"/>
        <w:ind w:firstLine="640" w:firstLineChars="200"/>
        <w:rPr>
          <w:rFonts w:hint="eastAsia" w:ascii="仿宋" w:hAnsi="仿宋" w:eastAsia="仿宋"/>
          <w:color w:val="000000"/>
          <w:sz w:val="32"/>
          <w:szCs w:val="32"/>
        </w:rPr>
      </w:pPr>
      <w:r>
        <w:rPr>
          <w:rFonts w:hint="eastAsia" w:ascii="仿宋" w:hAnsi="仿宋" w:eastAsia="仿宋"/>
          <w:bCs/>
          <w:sz w:val="32"/>
          <w:szCs w:val="32"/>
        </w:rPr>
        <w:t>4．</w:t>
      </w:r>
      <w:r>
        <w:rPr>
          <w:rFonts w:hint="eastAsia" w:ascii="仿宋" w:hAnsi="仿宋" w:eastAsia="仿宋"/>
          <w:color w:val="000000"/>
          <w:sz w:val="32"/>
          <w:szCs w:val="32"/>
        </w:rPr>
        <w:t>研究县政府各部门和各乡镇人民政府请示县政府的事项，提出审核意见，报县政府领导同志审批。</w:t>
      </w:r>
    </w:p>
    <w:p w14:paraId="59C174D7">
      <w:pPr>
        <w:pStyle w:val="5"/>
        <w:adjustRightInd w:val="0"/>
        <w:snapToGrid w:val="0"/>
        <w:spacing w:before="93" w:beforeLines="0" w:line="520" w:lineRule="exact"/>
        <w:ind w:firstLine="640" w:firstLineChars="200"/>
        <w:rPr>
          <w:rFonts w:hint="eastAsia" w:ascii="仿宋" w:hAnsi="仿宋" w:eastAsia="仿宋"/>
          <w:color w:val="000000"/>
          <w:sz w:val="32"/>
          <w:szCs w:val="32"/>
        </w:rPr>
      </w:pPr>
      <w:r>
        <w:rPr>
          <w:rFonts w:hint="eastAsia" w:ascii="仿宋" w:hAnsi="仿宋" w:eastAsia="仿宋"/>
          <w:bCs/>
          <w:sz w:val="32"/>
          <w:szCs w:val="32"/>
        </w:rPr>
        <w:t>5．</w:t>
      </w:r>
      <w:r>
        <w:rPr>
          <w:rFonts w:hint="eastAsia" w:ascii="仿宋" w:hAnsi="仿宋" w:eastAsia="仿宋"/>
          <w:color w:val="000000"/>
          <w:sz w:val="32"/>
          <w:szCs w:val="32"/>
        </w:rPr>
        <w:t>根据县政府领导的指示，对县政府部门间出现的争议问题提出处理意见，报县政府领导同志审批。</w:t>
      </w:r>
    </w:p>
    <w:p w14:paraId="129072E0">
      <w:pPr>
        <w:spacing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6．督促检查县政府各部门和各乡镇人民政府对县政府公文、会议决定事项及县政府领导同志有关指示的执行落实情况跟踪调研，并向县政府领导同志报告。</w:t>
      </w:r>
    </w:p>
    <w:p w14:paraId="0BFBBFEB">
      <w:pPr>
        <w:pStyle w:val="5"/>
        <w:adjustRightInd w:val="0"/>
        <w:snapToGrid w:val="0"/>
        <w:spacing w:before="93" w:beforeLines="0" w:line="520" w:lineRule="exact"/>
        <w:ind w:firstLine="640" w:firstLineChars="200"/>
        <w:rPr>
          <w:rFonts w:hint="eastAsia" w:ascii="仿宋" w:hAnsi="仿宋" w:eastAsia="仿宋"/>
          <w:color w:val="000000"/>
          <w:sz w:val="32"/>
          <w:szCs w:val="32"/>
        </w:rPr>
      </w:pPr>
      <w:r>
        <w:rPr>
          <w:rFonts w:hint="eastAsia" w:ascii="仿宋" w:hAnsi="仿宋" w:eastAsia="仿宋"/>
          <w:bCs/>
          <w:sz w:val="32"/>
          <w:szCs w:val="32"/>
        </w:rPr>
        <w:t>7．</w:t>
      </w:r>
      <w:r>
        <w:rPr>
          <w:rFonts w:hint="eastAsia" w:ascii="仿宋" w:hAnsi="仿宋" w:eastAsia="仿宋"/>
          <w:color w:val="000000"/>
          <w:sz w:val="32"/>
          <w:szCs w:val="32"/>
        </w:rPr>
        <w:t>指导全县应急管理工作，协助县政府领导同志做好需由县政府组织处理的突发事件和重大事故的应急处置工作。</w:t>
      </w:r>
    </w:p>
    <w:p w14:paraId="6FB54E3D">
      <w:pPr>
        <w:pStyle w:val="5"/>
        <w:adjustRightInd w:val="0"/>
        <w:snapToGrid w:val="0"/>
        <w:spacing w:before="93" w:beforeLines="0"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8．指导监督全县政府信息公开工作和机关行政效能建设工作，指导监督全县政府系统电子政务工作和政府网站建设。</w:t>
      </w:r>
    </w:p>
    <w:p w14:paraId="73CB62B8">
      <w:pPr>
        <w:pStyle w:val="5"/>
        <w:adjustRightInd w:val="0"/>
        <w:snapToGrid w:val="0"/>
        <w:spacing w:before="93" w:beforeLines="0"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9．组织办理涉及县政府工作的人大代表议案、批评、建议和政协委员提案、建议案工作。</w:t>
      </w:r>
    </w:p>
    <w:p w14:paraId="0D054378">
      <w:pPr>
        <w:pStyle w:val="5"/>
        <w:numPr>
          <w:ilvl w:val="0"/>
          <w:numId w:val="2"/>
        </w:numPr>
        <w:adjustRightInd w:val="0"/>
        <w:snapToGrid w:val="0"/>
        <w:spacing w:before="93" w:beforeLines="0" w:line="520" w:lineRule="exact"/>
        <w:rPr>
          <w:rFonts w:hint="eastAsia" w:ascii="仿宋" w:hAnsi="仿宋" w:eastAsia="仿宋"/>
          <w:color w:val="000000"/>
          <w:sz w:val="32"/>
          <w:szCs w:val="32"/>
        </w:rPr>
      </w:pPr>
      <w:r>
        <w:rPr>
          <w:rFonts w:hint="eastAsia" w:ascii="仿宋" w:hAnsi="仿宋" w:eastAsia="仿宋"/>
          <w:color w:val="000000"/>
          <w:sz w:val="32"/>
          <w:szCs w:val="32"/>
        </w:rPr>
        <w:t>负责县政府人民防空和民防工作。</w:t>
      </w:r>
    </w:p>
    <w:p w14:paraId="1C1415CF">
      <w:pPr>
        <w:spacing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11．处理群众来信、接待群众来访，及时向县政府领导同志报告来信来访中提出的重要建议和反映的重要问题，提出信访处理意见，报县政府领导同志决定，办理县政府领导交办的有关信访事项。</w:t>
      </w:r>
    </w:p>
    <w:p w14:paraId="032CA52B">
      <w:pPr>
        <w:spacing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12．根据县政府领导的指示，组织专题调查研究，及时反映情况，提出建议。</w:t>
      </w:r>
    </w:p>
    <w:p w14:paraId="46686E02">
      <w:pPr>
        <w:spacing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13．负责县政府值班工作，及时向县政府领导同志报告重要情况，协助处理县政府各部门和各乡镇政府向县政府反映的重要问题。</w:t>
      </w:r>
    </w:p>
    <w:p w14:paraId="5E38E2F8">
      <w:pPr>
        <w:pStyle w:val="5"/>
        <w:numPr>
          <w:ilvl w:val="0"/>
          <w:numId w:val="3"/>
        </w:numPr>
        <w:adjustRightInd w:val="0"/>
        <w:snapToGrid w:val="0"/>
        <w:spacing w:before="93" w:beforeLines="0" w:line="520" w:lineRule="exact"/>
        <w:rPr>
          <w:rFonts w:hint="eastAsia" w:ascii="仿宋" w:hAnsi="仿宋" w:eastAsia="仿宋"/>
          <w:color w:val="000000"/>
          <w:sz w:val="32"/>
          <w:szCs w:val="32"/>
        </w:rPr>
      </w:pPr>
      <w:r>
        <w:rPr>
          <w:rFonts w:hint="eastAsia" w:ascii="仿宋" w:hAnsi="仿宋" w:eastAsia="仿宋"/>
          <w:color w:val="000000"/>
          <w:sz w:val="32"/>
          <w:szCs w:val="32"/>
        </w:rPr>
        <w:t>承担县政府目标管理工作。</w:t>
      </w:r>
    </w:p>
    <w:p w14:paraId="2B8996B4">
      <w:pPr>
        <w:pStyle w:val="5"/>
        <w:numPr>
          <w:ilvl w:val="0"/>
          <w:numId w:val="3"/>
        </w:numPr>
        <w:adjustRightInd w:val="0"/>
        <w:snapToGrid w:val="0"/>
        <w:spacing w:before="93" w:beforeLines="0" w:line="520" w:lineRule="exact"/>
        <w:rPr>
          <w:rFonts w:hint="eastAsia" w:ascii="仿宋" w:hAnsi="仿宋" w:eastAsia="仿宋"/>
          <w:color w:val="000000"/>
          <w:sz w:val="32"/>
          <w:szCs w:val="32"/>
        </w:rPr>
      </w:pPr>
      <w:r>
        <w:rPr>
          <w:rFonts w:hint="eastAsia" w:ascii="仿宋" w:hAnsi="仿宋" w:eastAsia="仿宋"/>
          <w:color w:val="000000"/>
          <w:sz w:val="32"/>
          <w:szCs w:val="32"/>
        </w:rPr>
        <w:t>承担行政事务工作，为县政府领导同志服务。</w:t>
      </w:r>
    </w:p>
    <w:p w14:paraId="05F43DE7">
      <w:pPr>
        <w:pStyle w:val="5"/>
        <w:adjustRightInd w:val="0"/>
        <w:snapToGrid w:val="0"/>
        <w:spacing w:before="93" w:beforeLines="0" w:line="520" w:lineRule="exact"/>
        <w:ind w:left="640"/>
        <w:rPr>
          <w:rFonts w:hint="eastAsia" w:ascii="仿宋" w:hAnsi="仿宋" w:eastAsia="仿宋"/>
          <w:color w:val="000000"/>
          <w:sz w:val="32"/>
          <w:szCs w:val="32"/>
        </w:rPr>
      </w:pPr>
      <w:r>
        <w:rPr>
          <w:rFonts w:hint="eastAsia" w:ascii="仿宋" w:hAnsi="仿宋" w:eastAsia="仿宋"/>
          <w:color w:val="000000"/>
          <w:sz w:val="32"/>
          <w:szCs w:val="32"/>
        </w:rPr>
        <w:t>16.管理我县对外交往的外事、台事、侨事、港澳事务。</w:t>
      </w:r>
    </w:p>
    <w:p w14:paraId="56785EB2">
      <w:pPr>
        <w:spacing w:line="52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17.负责组织、协调、指导、监督本级人民政府所属部门、机构的政务服务工作。</w:t>
      </w:r>
    </w:p>
    <w:p w14:paraId="4C684AE5">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pPr>
      <w:r>
        <w:rPr>
          <w:rFonts w:hint="eastAsia" w:ascii="仿宋" w:hAnsi="仿宋" w:eastAsia="仿宋"/>
          <w:color w:val="000000"/>
          <w:sz w:val="32"/>
          <w:szCs w:val="32"/>
        </w:rPr>
        <w:t>18．承办县政府和县政府领导交办的其他事项。</w:t>
      </w:r>
    </w:p>
    <w:p w14:paraId="329304EC">
      <w:pPr>
        <w:pStyle w:val="3"/>
        <w:pageBreakBefore w:val="0"/>
        <w:widowControl w:val="0"/>
        <w:kinsoku/>
        <w:wordWrap/>
        <w:overflowPunct/>
        <w:topLinePunct w:val="0"/>
        <w:autoSpaceDE/>
        <w:autoSpaceDN/>
        <w:bidi w:val="0"/>
        <w:adjustRightInd/>
        <w:snapToGrid/>
        <w:spacing w:line="560" w:lineRule="exact"/>
        <w:textAlignment w:val="auto"/>
        <w:rPr>
          <w:rStyle w:val="29"/>
          <w:b w:val="0"/>
          <w:bCs w:val="0"/>
        </w:rPr>
      </w:pPr>
      <w:bookmarkStart w:id="31" w:name="_Toc15396601"/>
      <w:bookmarkStart w:id="32" w:name="_Toc25900"/>
      <w:bookmarkStart w:id="33" w:name="_Toc15377200"/>
      <w:r>
        <w:rPr>
          <w:rFonts w:hint="eastAsia" w:ascii="黑体" w:eastAsia="黑体"/>
          <w:b w:val="0"/>
        </w:rPr>
        <w:t>二、</w:t>
      </w:r>
      <w:r>
        <w:rPr>
          <w:rFonts w:hint="eastAsia" w:ascii="黑体" w:hAnsi="黑体" w:eastAsia="黑体"/>
          <w:b w:val="0"/>
        </w:rPr>
        <w:t>机</w:t>
      </w:r>
      <w:r>
        <w:rPr>
          <w:rStyle w:val="29"/>
          <w:rFonts w:hint="eastAsia" w:ascii="黑体" w:hAnsi="黑体" w:eastAsia="黑体"/>
          <w:b w:val="0"/>
          <w:bCs w:val="0"/>
        </w:rPr>
        <w:t>构设置</w:t>
      </w:r>
      <w:bookmarkEnd w:id="31"/>
      <w:bookmarkEnd w:id="32"/>
      <w:bookmarkEnd w:id="33"/>
    </w:p>
    <w:p w14:paraId="18EFC893">
      <w:pPr>
        <w:keepNext w:val="0"/>
        <w:keepLines w:val="0"/>
        <w:pageBreakBefore w:val="0"/>
        <w:widowControl w:val="0"/>
        <w:kinsoku/>
        <w:wordWrap/>
        <w:overflowPunct/>
        <w:topLinePunct w:val="0"/>
        <w:autoSpaceDE/>
        <w:autoSpaceDN/>
        <w:bidi w:val="0"/>
        <w:adjustRightInd/>
        <w:snapToGrid/>
        <w:spacing w:line="480" w:lineRule="exact"/>
        <w:ind w:firstLine="800" w:firstLineChars="250"/>
        <w:textAlignment w:val="auto"/>
        <w:rPr>
          <w:rFonts w:ascii="仿宋" w:hAnsi="仿宋" w:eastAsia="仿宋"/>
          <w:sz w:val="32"/>
          <w:szCs w:val="32"/>
        </w:rPr>
      </w:pPr>
      <w:r>
        <w:rPr>
          <w:rFonts w:hint="eastAsia" w:ascii="仿宋" w:hAnsi="仿宋" w:eastAsia="仿宋"/>
          <w:sz w:val="32"/>
          <w:szCs w:val="32"/>
        </w:rPr>
        <w:t>人民政府办公室下属二级预算单位</w:t>
      </w:r>
      <w:r>
        <w:rPr>
          <w:sz w:val="32"/>
          <w:szCs w:val="32"/>
        </w:rPr>
        <w:t>2</w:t>
      </w:r>
      <w:r>
        <w:rPr>
          <w:rFonts w:hint="eastAsia" w:ascii="仿宋" w:hAnsi="仿宋" w:eastAsia="仿宋"/>
          <w:sz w:val="32"/>
          <w:szCs w:val="32"/>
        </w:rPr>
        <w:t>个，其中行政单位</w:t>
      </w:r>
      <w:r>
        <w:rPr>
          <w:rFonts w:hint="eastAsia" w:ascii="仿宋" w:hAnsi="仿宋" w:eastAsia="仿宋"/>
          <w:sz w:val="32"/>
          <w:szCs w:val="32"/>
          <w:lang w:val="en-US" w:eastAsia="zh-CN"/>
        </w:rPr>
        <w:t>1</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1</w:t>
      </w:r>
      <w:r>
        <w:rPr>
          <w:rFonts w:hint="eastAsia" w:ascii="仿宋" w:hAnsi="仿宋" w:eastAsia="仿宋"/>
          <w:sz w:val="32"/>
          <w:szCs w:val="32"/>
        </w:rPr>
        <w:t>个。</w:t>
      </w:r>
    </w:p>
    <w:p w14:paraId="0FE408B4">
      <w:pPr>
        <w:pStyle w:val="5"/>
        <w:keepNext w:val="0"/>
        <w:keepLines w:val="0"/>
        <w:pageBreakBefore w:val="0"/>
        <w:widowControl w:val="0"/>
        <w:kinsoku/>
        <w:wordWrap/>
        <w:overflowPunct/>
        <w:topLinePunct w:val="0"/>
        <w:autoSpaceDE/>
        <w:autoSpaceDN/>
        <w:bidi w:val="0"/>
        <w:adjustRightInd w:val="0"/>
        <w:snapToGrid w:val="0"/>
        <w:spacing w:before="93" w:line="480" w:lineRule="exact"/>
        <w:ind w:firstLine="672" w:firstLineChars="210"/>
        <w:textAlignment w:val="auto"/>
        <w:rPr>
          <w:rFonts w:ascii="仿宋" w:hAnsi="仿宋" w:eastAsia="仿宋"/>
          <w:sz w:val="32"/>
          <w:szCs w:val="32"/>
        </w:rPr>
      </w:pPr>
      <w:r>
        <w:rPr>
          <w:rFonts w:hint="eastAsia" w:ascii="仿宋" w:hAnsi="仿宋" w:eastAsia="仿宋"/>
          <w:sz w:val="32"/>
          <w:szCs w:val="32"/>
        </w:rPr>
        <w:t>纳入</w:t>
      </w:r>
      <w:r>
        <w:rPr>
          <w:rFonts w:hint="eastAsia" w:ascii="仿宋" w:hAnsi="仿宋" w:eastAsia="仿宋" w:cs="Times New Roman"/>
          <w:kern w:val="2"/>
          <w:sz w:val="32"/>
          <w:szCs w:val="32"/>
          <w:lang w:val="en-US" w:eastAsia="zh-CN" w:bidi="ar-SA"/>
        </w:rPr>
        <w:t>人民政府办公室</w:t>
      </w:r>
      <w:r>
        <w:rPr>
          <w:rFonts w:hint="eastAsia" w:ascii="仿宋" w:hAnsi="仿宋" w:eastAsia="仿宋"/>
          <w:sz w:val="32"/>
          <w:szCs w:val="32"/>
          <w:lang w:eastAsia="zh-CN"/>
        </w:rPr>
        <w:t>2024</w:t>
      </w:r>
      <w:r>
        <w:rPr>
          <w:rFonts w:hint="eastAsia" w:ascii="仿宋" w:hAnsi="仿宋" w:eastAsia="仿宋"/>
          <w:sz w:val="32"/>
          <w:szCs w:val="32"/>
        </w:rPr>
        <w:t>年度部门决算编制范围的二级预算单位包括：</w:t>
      </w:r>
    </w:p>
    <w:p w14:paraId="55697B3C">
      <w:pPr>
        <w:pStyle w:val="5"/>
        <w:keepNext w:val="0"/>
        <w:keepLines w:val="0"/>
        <w:pageBreakBefore w:val="0"/>
        <w:widowControl w:val="0"/>
        <w:numPr>
          <w:ilvl w:val="0"/>
          <w:numId w:val="4"/>
        </w:numPr>
        <w:kinsoku/>
        <w:wordWrap/>
        <w:overflowPunct/>
        <w:topLinePunct w:val="0"/>
        <w:autoSpaceDE/>
        <w:autoSpaceDN/>
        <w:bidi w:val="0"/>
        <w:adjustRightInd w:val="0"/>
        <w:snapToGrid w:val="0"/>
        <w:spacing w:before="93" w:line="480" w:lineRule="exact"/>
        <w:textAlignment w:val="auto"/>
        <w:outlineLvl w:val="2"/>
        <w:rPr>
          <w:rFonts w:ascii="仿宋" w:hAnsi="仿宋" w:eastAsia="仿宋"/>
          <w:sz w:val="32"/>
          <w:szCs w:val="32"/>
        </w:rPr>
      </w:pPr>
      <w:bookmarkStart w:id="34" w:name="_Toc10124"/>
      <w:r>
        <w:rPr>
          <w:rFonts w:hint="eastAsia" w:ascii="仿宋" w:hAnsi="仿宋" w:eastAsia="仿宋"/>
          <w:sz w:val="32"/>
          <w:szCs w:val="32"/>
          <w:lang w:eastAsia="zh-CN"/>
        </w:rPr>
        <w:t>县人民政府办公室</w:t>
      </w:r>
      <w:bookmarkEnd w:id="34"/>
    </w:p>
    <w:p w14:paraId="6445BF0F">
      <w:pPr>
        <w:pStyle w:val="5"/>
        <w:keepNext w:val="0"/>
        <w:keepLines w:val="0"/>
        <w:pageBreakBefore w:val="0"/>
        <w:widowControl w:val="0"/>
        <w:numPr>
          <w:ilvl w:val="0"/>
          <w:numId w:val="4"/>
        </w:numPr>
        <w:kinsoku/>
        <w:wordWrap/>
        <w:overflowPunct/>
        <w:topLinePunct w:val="0"/>
        <w:autoSpaceDE/>
        <w:autoSpaceDN/>
        <w:bidi w:val="0"/>
        <w:adjustRightInd w:val="0"/>
        <w:snapToGrid w:val="0"/>
        <w:spacing w:before="93" w:line="480" w:lineRule="exact"/>
        <w:textAlignment w:val="auto"/>
        <w:outlineLvl w:val="2"/>
        <w:rPr>
          <w:rFonts w:ascii="仿宋" w:hAnsi="仿宋" w:eastAsia="仿宋"/>
          <w:sz w:val="32"/>
          <w:szCs w:val="32"/>
        </w:rPr>
      </w:pPr>
      <w:bookmarkStart w:id="35" w:name="_Toc5893"/>
      <w:r>
        <w:rPr>
          <w:rFonts w:hint="eastAsia" w:ascii="仿宋" w:hAnsi="仿宋" w:eastAsia="仿宋"/>
          <w:sz w:val="32"/>
          <w:szCs w:val="32"/>
          <w:lang w:eastAsia="zh-CN"/>
        </w:rPr>
        <w:t>县信息公开工作服务中心（含发展研究中心、信息公开中心、国防动员中心、机关事务中心、驻成都联络处）</w:t>
      </w:r>
      <w:bookmarkEnd w:id="35"/>
    </w:p>
    <w:p w14:paraId="1CAC2C33">
      <w:pPr>
        <w:pStyle w:val="2"/>
        <w:ind w:right="440"/>
        <w:jc w:val="center"/>
        <w:rPr>
          <w:rStyle w:val="28"/>
          <w:rFonts w:ascii="黑体" w:hAnsi="黑体" w:eastAsia="黑体"/>
          <w:b w:val="0"/>
          <w:bCs/>
        </w:rPr>
      </w:pPr>
      <w:bookmarkStart w:id="36" w:name="_Toc15377204"/>
      <w:bookmarkStart w:id="37" w:name="_Toc15396602"/>
      <w:bookmarkStart w:id="38" w:name="_Toc4098"/>
      <w:bookmarkStart w:id="39" w:name="_Toc24571"/>
      <w:bookmarkStart w:id="40" w:name="_Toc32701"/>
      <w:bookmarkStart w:id="41" w:name="_Toc19310"/>
      <w:r>
        <w:rPr>
          <w:rFonts w:hint="eastAsia" w:ascii="黑体" w:hAnsi="黑体" w:eastAsia="黑体"/>
          <w:b w:val="0"/>
        </w:rPr>
        <w:t xml:space="preserve">第二部分 </w:t>
      </w:r>
      <w:r>
        <w:rPr>
          <w:rFonts w:hint="eastAsia" w:ascii="黑体" w:hAnsi="黑体" w:eastAsia="黑体"/>
          <w:b w:val="0"/>
          <w:lang w:eastAsia="zh-CN"/>
        </w:rPr>
        <w:t>2024</w:t>
      </w:r>
      <w:r>
        <w:rPr>
          <w:rFonts w:hint="eastAsia" w:ascii="黑体" w:hAnsi="黑体" w:eastAsia="黑体"/>
          <w:b w:val="0"/>
        </w:rPr>
        <w:t>年度</w:t>
      </w:r>
      <w:r>
        <w:rPr>
          <w:rStyle w:val="28"/>
          <w:rFonts w:hint="eastAsia" w:ascii="黑体" w:hAnsi="黑体" w:eastAsia="黑体"/>
          <w:b w:val="0"/>
          <w:bCs/>
        </w:rPr>
        <w:t>部门决算情况说明</w:t>
      </w:r>
      <w:bookmarkEnd w:id="36"/>
      <w:bookmarkEnd w:id="37"/>
      <w:bookmarkEnd w:id="38"/>
      <w:bookmarkEnd w:id="39"/>
      <w:bookmarkEnd w:id="40"/>
      <w:bookmarkEnd w:id="41"/>
    </w:p>
    <w:p w14:paraId="2E7EB0AF"/>
    <w:p w14:paraId="53A39E69">
      <w:pPr>
        <w:pStyle w:val="27"/>
        <w:numPr>
          <w:ilvl w:val="0"/>
          <w:numId w:val="5"/>
        </w:numPr>
        <w:spacing w:line="600" w:lineRule="exact"/>
        <w:ind w:firstLineChars="0"/>
        <w:outlineLvl w:val="1"/>
        <w:rPr>
          <w:rStyle w:val="29"/>
          <w:rFonts w:ascii="黑体" w:hAnsi="黑体" w:eastAsia="黑体"/>
          <w:b w:val="0"/>
        </w:rPr>
      </w:pPr>
      <w:bookmarkStart w:id="42" w:name="_Toc20317"/>
      <w:bookmarkStart w:id="43" w:name="_Toc15377205"/>
      <w:bookmarkStart w:id="44" w:name="_Toc15396603"/>
      <w:r>
        <w:rPr>
          <w:rFonts w:hint="eastAsia" w:ascii="黑体" w:hAnsi="黑体" w:eastAsia="黑体"/>
          <w:sz w:val="32"/>
          <w:szCs w:val="32"/>
        </w:rPr>
        <w:t>收</w:t>
      </w:r>
      <w:r>
        <w:rPr>
          <w:rStyle w:val="29"/>
          <w:rFonts w:hint="eastAsia" w:ascii="黑体" w:hAnsi="黑体" w:eastAsia="黑体"/>
          <w:b w:val="0"/>
        </w:rPr>
        <w:t>入支出决算总体情况说明</w:t>
      </w:r>
      <w:bookmarkEnd w:id="42"/>
      <w:bookmarkEnd w:id="43"/>
      <w:bookmarkEnd w:id="44"/>
    </w:p>
    <w:p w14:paraId="3C87630B">
      <w:pPr>
        <w:spacing w:line="600" w:lineRule="exact"/>
        <w:ind w:firstLine="640" w:firstLineChars="200"/>
        <w:jc w:val="left"/>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年度收</w:t>
      </w:r>
      <w:r>
        <w:rPr>
          <w:rFonts w:hint="eastAsia" w:ascii="仿宋" w:hAnsi="仿宋" w:eastAsia="仿宋"/>
          <w:sz w:val="32"/>
          <w:szCs w:val="32"/>
          <w:lang w:eastAsia="zh-CN"/>
        </w:rPr>
        <w:t>入为</w:t>
      </w:r>
      <w:r>
        <w:rPr>
          <w:rFonts w:hint="eastAsia" w:ascii="仿宋" w:hAnsi="仿宋" w:eastAsia="仿宋"/>
          <w:sz w:val="32"/>
          <w:szCs w:val="32"/>
        </w:rPr>
        <w:t>、支总计均为</w:t>
      </w:r>
      <w:r>
        <w:rPr>
          <w:rFonts w:hint="eastAsia" w:eastAsia="仿宋"/>
          <w:sz w:val="32"/>
          <w:szCs w:val="32"/>
          <w:lang w:val="en-US" w:eastAsia="zh-CN"/>
        </w:rPr>
        <w:t>2139.16</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w:t>
      </w:r>
      <w:r>
        <w:rPr>
          <w:rFonts w:hint="eastAsia" w:ascii="仿宋" w:hAnsi="仿宋" w:eastAsia="仿宋"/>
          <w:sz w:val="32"/>
          <w:szCs w:val="32"/>
          <w:lang w:val="en-US" w:eastAsia="zh-CN"/>
        </w:rPr>
        <w:t>3</w:t>
      </w:r>
      <w:r>
        <w:rPr>
          <w:rFonts w:hint="eastAsia" w:ascii="仿宋" w:hAnsi="仿宋" w:eastAsia="仿宋"/>
          <w:sz w:val="32"/>
          <w:szCs w:val="32"/>
        </w:rPr>
        <w:t>年度相比，收、支总计各</w:t>
      </w:r>
      <w:r>
        <w:rPr>
          <w:rFonts w:hint="eastAsia" w:ascii="仿宋" w:hAnsi="仿宋" w:eastAsia="仿宋"/>
          <w:sz w:val="32"/>
          <w:szCs w:val="32"/>
          <w:lang w:eastAsia="zh-CN"/>
        </w:rPr>
        <w:t>减少</w:t>
      </w:r>
      <w:r>
        <w:rPr>
          <w:rFonts w:hint="eastAsia" w:ascii="仿宋" w:hAnsi="仿宋" w:eastAsia="仿宋"/>
          <w:sz w:val="32"/>
          <w:szCs w:val="32"/>
          <w:lang w:val="en-US" w:eastAsia="zh-CN"/>
        </w:rPr>
        <w:t>387.42</w:t>
      </w:r>
      <w:r>
        <w:rPr>
          <w:rFonts w:hint="eastAsia" w:ascii="仿宋" w:hAnsi="仿宋" w:eastAsia="仿宋"/>
          <w:sz w:val="32"/>
          <w:szCs w:val="32"/>
        </w:rPr>
        <w:t>万元</w:t>
      </w:r>
      <w:r>
        <w:rPr>
          <w:rFonts w:hint="eastAsia" w:ascii="仿宋" w:hAnsi="仿宋" w:eastAsia="仿宋"/>
          <w:sz w:val="32"/>
          <w:szCs w:val="32"/>
          <w:lang w:eastAsia="zh-CN"/>
        </w:rPr>
        <w:t>，降低</w:t>
      </w:r>
      <w:r>
        <w:rPr>
          <w:rFonts w:hint="eastAsia" w:ascii="仿宋" w:hAnsi="仿宋" w:eastAsia="仿宋"/>
          <w:sz w:val="32"/>
          <w:szCs w:val="32"/>
          <w:lang w:val="en-US" w:eastAsia="zh-CN"/>
        </w:rPr>
        <w:t>15.33</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机关后勤保障经费压缩和财政困难有部分费用未在年度内支出</w:t>
      </w:r>
      <w:r>
        <w:rPr>
          <w:rFonts w:hint="eastAsia" w:ascii="仿宋" w:hAnsi="仿宋" w:eastAsia="仿宋"/>
          <w:sz w:val="32"/>
          <w:szCs w:val="32"/>
        </w:rPr>
        <w:t>。</w:t>
      </w:r>
    </w:p>
    <w:p w14:paraId="5BF7D2EF">
      <w:pPr>
        <w:pStyle w:val="27"/>
        <w:numPr>
          <w:ilvl w:val="0"/>
          <w:numId w:val="5"/>
        </w:numPr>
        <w:spacing w:line="600" w:lineRule="exact"/>
        <w:ind w:firstLineChars="0"/>
        <w:outlineLvl w:val="1"/>
        <w:rPr>
          <w:rStyle w:val="29"/>
          <w:rFonts w:ascii="黑体" w:hAnsi="黑体" w:eastAsia="黑体"/>
          <w:b w:val="0"/>
        </w:rPr>
      </w:pPr>
      <w:bookmarkStart w:id="45" w:name="_Toc30097"/>
      <w:bookmarkStart w:id="46" w:name="_Toc15377206"/>
      <w:bookmarkStart w:id="47" w:name="_Toc15396604"/>
      <w:r>
        <w:rPr>
          <w:rFonts w:hint="eastAsia" w:ascii="黑体" w:hAnsi="黑体" w:eastAsia="黑体"/>
          <w:sz w:val="32"/>
          <w:szCs w:val="32"/>
        </w:rPr>
        <w:t>收</w:t>
      </w:r>
      <w:r>
        <w:rPr>
          <w:rStyle w:val="29"/>
          <w:rFonts w:hint="eastAsia" w:ascii="黑体" w:hAnsi="黑体" w:eastAsia="黑体"/>
          <w:b w:val="0"/>
        </w:rPr>
        <w:t>入决算情况说明</w:t>
      </w:r>
      <w:bookmarkEnd w:id="45"/>
      <w:bookmarkEnd w:id="46"/>
      <w:bookmarkEnd w:id="47"/>
    </w:p>
    <w:p w14:paraId="4242A0B1">
      <w:pPr>
        <w:spacing w:line="600" w:lineRule="exact"/>
        <w:ind w:firstLine="640" w:firstLineChars="200"/>
        <w:jc w:val="left"/>
        <w:outlineLvl w:val="1"/>
        <w:rPr>
          <w:rFonts w:ascii="仿宋" w:hAnsi="仿宋" w:eastAsia="仿宋"/>
          <w:sz w:val="32"/>
          <w:szCs w:val="32"/>
        </w:rPr>
      </w:pPr>
      <w:bookmarkStart w:id="48" w:name="_Toc27757"/>
      <w:r>
        <w:rPr>
          <w:rFonts w:hint="eastAsia" w:ascii="仿宋" w:hAnsi="仿宋" w:eastAsia="仿宋"/>
          <w:sz w:val="32"/>
          <w:szCs w:val="32"/>
          <w:lang w:eastAsia="zh-CN"/>
        </w:rPr>
        <w:t>2024</w:t>
      </w:r>
      <w:r>
        <w:rPr>
          <w:rFonts w:hint="eastAsia" w:ascii="仿宋" w:hAnsi="仿宋" w:eastAsia="仿宋"/>
          <w:sz w:val="32"/>
          <w:szCs w:val="32"/>
        </w:rPr>
        <w:t>年度本年收入合计</w:t>
      </w:r>
      <w:r>
        <w:rPr>
          <w:rFonts w:hint="eastAsia" w:eastAsia="仿宋"/>
          <w:sz w:val="32"/>
          <w:szCs w:val="32"/>
          <w:lang w:val="en-US" w:eastAsia="zh-CN"/>
        </w:rPr>
        <w:t>2139.16</w:t>
      </w:r>
      <w:r>
        <w:rPr>
          <w:rFonts w:hint="eastAsia" w:ascii="仿宋" w:hAnsi="仿宋" w:eastAsia="仿宋"/>
          <w:sz w:val="32"/>
          <w:szCs w:val="32"/>
        </w:rPr>
        <w:t>万元，其中：一般公共预算财政拨款收入</w:t>
      </w:r>
      <w:r>
        <w:rPr>
          <w:rFonts w:hint="eastAsia" w:eastAsia="仿宋"/>
          <w:sz w:val="32"/>
          <w:szCs w:val="32"/>
          <w:lang w:val="en-US" w:eastAsia="zh-CN"/>
        </w:rPr>
        <w:t>1962.48</w:t>
      </w:r>
      <w:r>
        <w:rPr>
          <w:rFonts w:hint="eastAsia" w:ascii="仿宋" w:hAnsi="仿宋" w:eastAsia="仿宋"/>
          <w:sz w:val="32"/>
          <w:szCs w:val="32"/>
        </w:rPr>
        <w:t>万元，占</w:t>
      </w:r>
      <w:r>
        <w:rPr>
          <w:rFonts w:hint="eastAsia" w:eastAsia="仿宋"/>
          <w:sz w:val="32"/>
          <w:szCs w:val="32"/>
          <w:lang w:val="en-US" w:eastAsia="zh-CN"/>
        </w:rPr>
        <w:t>91.74</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lang w:eastAsia="zh-CN"/>
        </w:rPr>
        <w:t>上年结转和结余</w:t>
      </w:r>
      <w:r>
        <w:rPr>
          <w:rFonts w:hint="eastAsia" w:ascii="仿宋" w:hAnsi="仿宋" w:eastAsia="仿宋"/>
          <w:sz w:val="32"/>
          <w:szCs w:val="32"/>
          <w:lang w:val="en-US" w:eastAsia="zh-CN"/>
        </w:rPr>
        <w:t>176.68万元，占8.26%</w:t>
      </w:r>
      <w:r>
        <w:rPr>
          <w:rFonts w:hint="eastAsia" w:ascii="仿宋" w:hAnsi="仿宋" w:eastAsia="仿宋"/>
          <w:sz w:val="32"/>
          <w:szCs w:val="32"/>
        </w:rPr>
        <w:t>。</w:t>
      </w:r>
      <w:bookmarkEnd w:id="48"/>
    </w:p>
    <w:p w14:paraId="1B7E6A8F">
      <w:pPr>
        <w:spacing w:line="600" w:lineRule="exact"/>
        <w:ind w:firstLine="643" w:firstLineChars="200"/>
        <w:outlineLvl w:val="1"/>
        <w:rPr>
          <w:rFonts w:ascii="仿宋" w:hAnsi="仿宋" w:eastAsia="仿宋"/>
          <w:b/>
          <w:sz w:val="32"/>
          <w:szCs w:val="32"/>
        </w:rPr>
      </w:pPr>
      <w:bookmarkStart w:id="49" w:name="_Toc4446"/>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，仅罗列本部门涉及的收入。</w:t>
      </w:r>
      <w:r>
        <w:rPr>
          <w:rFonts w:ascii="仿宋" w:hAnsi="仿宋" w:eastAsia="仿宋"/>
          <w:b/>
          <w:sz w:val="32"/>
          <w:szCs w:val="32"/>
        </w:rPr>
        <w:t>）</w:t>
      </w:r>
      <w:bookmarkEnd w:id="49"/>
    </w:p>
    <w:p w14:paraId="5792F648">
      <w:pPr>
        <w:spacing w:line="600" w:lineRule="exact"/>
        <w:rPr>
          <w:rFonts w:ascii="仿宋_GB2312" w:eastAsia="仿宋_GB2312"/>
          <w:sz w:val="32"/>
          <w:szCs w:val="32"/>
        </w:rPr>
      </w:pPr>
    </w:p>
    <w:p w14:paraId="435E9109">
      <w:pPr>
        <w:pStyle w:val="27"/>
        <w:numPr>
          <w:ilvl w:val="0"/>
          <w:numId w:val="5"/>
        </w:numPr>
        <w:spacing w:line="600" w:lineRule="exact"/>
        <w:ind w:firstLineChars="0"/>
        <w:outlineLvl w:val="1"/>
        <w:rPr>
          <w:rStyle w:val="29"/>
          <w:rFonts w:ascii="黑体" w:hAnsi="黑体" w:eastAsia="黑体"/>
          <w:b w:val="0"/>
        </w:rPr>
      </w:pPr>
      <w:bookmarkStart w:id="50" w:name="_Toc15377207"/>
      <w:bookmarkStart w:id="51" w:name="_Toc15396605"/>
      <w:bookmarkStart w:id="52" w:name="_Toc29737"/>
      <w:r>
        <w:rPr>
          <w:rFonts w:hint="eastAsia" w:ascii="黑体" w:hAnsi="黑体" w:eastAsia="黑体"/>
          <w:sz w:val="32"/>
          <w:szCs w:val="32"/>
        </w:rPr>
        <w:t>支</w:t>
      </w:r>
      <w:r>
        <w:rPr>
          <w:rStyle w:val="29"/>
          <w:rFonts w:hint="eastAsia" w:ascii="黑体" w:hAnsi="黑体" w:eastAsia="黑体"/>
          <w:b w:val="0"/>
        </w:rPr>
        <w:t>出决算情况说明</w:t>
      </w:r>
      <w:bookmarkEnd w:id="50"/>
      <w:bookmarkEnd w:id="51"/>
      <w:bookmarkEnd w:id="52"/>
    </w:p>
    <w:p w14:paraId="6342A148">
      <w:pPr>
        <w:spacing w:line="600" w:lineRule="exact"/>
        <w:ind w:firstLine="640" w:firstLineChars="200"/>
        <w:outlineLvl w:val="1"/>
        <w:rPr>
          <w:rFonts w:ascii="仿宋" w:hAnsi="仿宋" w:eastAsia="仿宋"/>
          <w:sz w:val="32"/>
          <w:szCs w:val="32"/>
        </w:rPr>
      </w:pPr>
      <w:bookmarkStart w:id="53" w:name="_Toc19549"/>
      <w:r>
        <w:rPr>
          <w:rFonts w:hint="eastAsia" w:ascii="仿宋" w:hAnsi="仿宋" w:eastAsia="仿宋"/>
          <w:sz w:val="32"/>
          <w:szCs w:val="32"/>
          <w:lang w:eastAsia="zh-CN"/>
        </w:rPr>
        <w:t>2024</w:t>
      </w:r>
      <w:r>
        <w:rPr>
          <w:rFonts w:hint="eastAsia" w:ascii="仿宋" w:hAnsi="仿宋" w:eastAsia="仿宋"/>
          <w:sz w:val="32"/>
          <w:szCs w:val="32"/>
        </w:rPr>
        <w:t>年度本年支出合计</w:t>
      </w:r>
      <w:r>
        <w:rPr>
          <w:rFonts w:hint="eastAsia" w:eastAsia="仿宋"/>
          <w:sz w:val="32"/>
          <w:szCs w:val="32"/>
          <w:lang w:val="en-US" w:eastAsia="zh-CN"/>
        </w:rPr>
        <w:t>2139.16</w:t>
      </w:r>
      <w:r>
        <w:rPr>
          <w:rFonts w:hint="eastAsia" w:ascii="仿宋" w:hAnsi="仿宋" w:eastAsia="仿宋"/>
          <w:sz w:val="32"/>
          <w:szCs w:val="32"/>
        </w:rPr>
        <w:t>万元，其中：基本支出</w:t>
      </w:r>
      <w:r>
        <w:rPr>
          <w:rFonts w:hint="eastAsia" w:eastAsia="仿宋"/>
          <w:sz w:val="32"/>
          <w:szCs w:val="32"/>
          <w:lang w:val="en-US" w:eastAsia="zh-CN"/>
        </w:rPr>
        <w:t>1263.06</w:t>
      </w:r>
      <w:r>
        <w:rPr>
          <w:rFonts w:hint="eastAsia" w:ascii="仿宋" w:hAnsi="仿宋" w:eastAsia="仿宋"/>
          <w:sz w:val="32"/>
          <w:szCs w:val="32"/>
        </w:rPr>
        <w:t>万元，占</w:t>
      </w:r>
      <w:r>
        <w:rPr>
          <w:rFonts w:hint="eastAsia" w:eastAsia="仿宋"/>
          <w:sz w:val="32"/>
          <w:szCs w:val="32"/>
          <w:lang w:val="en-US" w:eastAsia="zh-CN"/>
        </w:rPr>
        <w:t>59.04</w:t>
      </w:r>
      <w:r>
        <w:rPr>
          <w:rFonts w:ascii="仿宋" w:hAnsi="仿宋" w:eastAsia="仿宋"/>
          <w:sz w:val="32"/>
          <w:szCs w:val="32"/>
        </w:rPr>
        <w:t>%</w:t>
      </w:r>
      <w:r>
        <w:rPr>
          <w:rFonts w:hint="eastAsia" w:ascii="仿宋" w:hAnsi="仿宋" w:eastAsia="仿宋"/>
          <w:sz w:val="32"/>
          <w:szCs w:val="32"/>
        </w:rPr>
        <w:t>；项目支出</w:t>
      </w:r>
      <w:r>
        <w:rPr>
          <w:rFonts w:hint="eastAsia" w:eastAsia="仿宋"/>
          <w:sz w:val="32"/>
          <w:szCs w:val="32"/>
          <w:lang w:val="en-US" w:eastAsia="zh-CN"/>
        </w:rPr>
        <w:t>876.10</w:t>
      </w:r>
      <w:r>
        <w:rPr>
          <w:rFonts w:hint="eastAsia" w:ascii="仿宋" w:hAnsi="仿宋" w:eastAsia="仿宋"/>
          <w:sz w:val="32"/>
          <w:szCs w:val="32"/>
        </w:rPr>
        <w:t>万元，占</w:t>
      </w:r>
      <w:r>
        <w:rPr>
          <w:rFonts w:hint="eastAsia" w:eastAsia="仿宋"/>
          <w:sz w:val="32"/>
          <w:szCs w:val="32"/>
          <w:lang w:val="en-US" w:eastAsia="zh-CN"/>
        </w:rPr>
        <w:t>40.96</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bookmarkEnd w:id="53"/>
    </w:p>
    <w:p w14:paraId="3D80F58C">
      <w:pPr>
        <w:spacing w:line="600" w:lineRule="exact"/>
        <w:ind w:firstLine="643" w:firstLineChars="200"/>
        <w:outlineLvl w:val="1"/>
        <w:rPr>
          <w:rFonts w:ascii="仿宋" w:hAnsi="仿宋" w:eastAsia="仿宋"/>
          <w:b/>
          <w:sz w:val="32"/>
          <w:szCs w:val="32"/>
        </w:rPr>
      </w:pPr>
      <w:bookmarkStart w:id="54" w:name="_Toc8630"/>
      <w:r>
        <w:rPr>
          <w:rFonts w:hint="eastAsia" w:ascii="仿宋" w:hAnsi="仿宋" w:eastAsia="仿宋"/>
          <w:b/>
          <w:sz w:val="32"/>
          <w:szCs w:val="32"/>
        </w:rPr>
        <w:t>（注：数据来源于财决</w:t>
      </w:r>
      <w:r>
        <w:rPr>
          <w:rFonts w:ascii="仿宋" w:hAnsi="仿宋" w:eastAsia="仿宋"/>
          <w:b/>
          <w:sz w:val="32"/>
          <w:szCs w:val="32"/>
        </w:rPr>
        <w:t>04</w:t>
      </w:r>
      <w:r>
        <w:rPr>
          <w:rFonts w:hint="eastAsia" w:ascii="仿宋" w:hAnsi="仿宋" w:eastAsia="仿宋"/>
          <w:b/>
          <w:sz w:val="32"/>
          <w:szCs w:val="32"/>
        </w:rPr>
        <w:t>表，仅罗列本部门涉及的支出。）</w:t>
      </w:r>
      <w:bookmarkEnd w:id="54"/>
    </w:p>
    <w:p w14:paraId="58444AEA">
      <w:pPr>
        <w:spacing w:line="600" w:lineRule="exact"/>
        <w:ind w:firstLine="640" w:firstLineChars="200"/>
        <w:outlineLvl w:val="1"/>
        <w:rPr>
          <w:rStyle w:val="29"/>
          <w:rFonts w:ascii="黑体" w:hAnsi="黑体" w:eastAsia="黑体"/>
          <w:b w:val="0"/>
        </w:rPr>
      </w:pPr>
      <w:bookmarkStart w:id="55" w:name="_Toc10433"/>
      <w:bookmarkStart w:id="56" w:name="_Toc15377208"/>
      <w:bookmarkStart w:id="57" w:name="_Toc15396606"/>
      <w:r>
        <w:rPr>
          <w:rFonts w:hint="eastAsia" w:ascii="黑体" w:hAnsi="黑体" w:eastAsia="黑体"/>
          <w:sz w:val="32"/>
          <w:szCs w:val="32"/>
        </w:rPr>
        <w:t>四、财</w:t>
      </w:r>
      <w:r>
        <w:rPr>
          <w:rStyle w:val="29"/>
          <w:rFonts w:hint="eastAsia" w:ascii="黑体" w:hAnsi="黑体" w:eastAsia="黑体"/>
          <w:b w:val="0"/>
        </w:rPr>
        <w:t>政拨款收入支出决算总体情况说明</w:t>
      </w:r>
      <w:bookmarkEnd w:id="55"/>
      <w:bookmarkEnd w:id="56"/>
      <w:bookmarkEnd w:id="57"/>
    </w:p>
    <w:p w14:paraId="7F5607E6">
      <w:pPr>
        <w:spacing w:line="600" w:lineRule="exact"/>
        <w:ind w:firstLine="640" w:firstLineChars="200"/>
        <w:jc w:val="left"/>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年度收</w:t>
      </w:r>
      <w:r>
        <w:rPr>
          <w:rFonts w:hint="eastAsia" w:ascii="仿宋" w:hAnsi="仿宋" w:eastAsia="仿宋"/>
          <w:sz w:val="32"/>
          <w:szCs w:val="32"/>
          <w:lang w:eastAsia="zh-CN"/>
        </w:rPr>
        <w:t>入</w:t>
      </w:r>
      <w:r>
        <w:rPr>
          <w:rFonts w:hint="eastAsia" w:ascii="仿宋" w:hAnsi="仿宋" w:eastAsia="仿宋"/>
          <w:sz w:val="32"/>
          <w:szCs w:val="32"/>
        </w:rPr>
        <w:t>、支</w:t>
      </w:r>
      <w:r>
        <w:rPr>
          <w:rFonts w:hint="eastAsia" w:ascii="仿宋" w:hAnsi="仿宋" w:eastAsia="仿宋"/>
          <w:sz w:val="32"/>
          <w:szCs w:val="32"/>
          <w:lang w:eastAsia="zh-CN"/>
        </w:rPr>
        <w:t>出</w:t>
      </w:r>
      <w:r>
        <w:rPr>
          <w:rFonts w:hint="eastAsia" w:ascii="仿宋" w:hAnsi="仿宋" w:eastAsia="仿宋"/>
          <w:sz w:val="32"/>
          <w:szCs w:val="32"/>
        </w:rPr>
        <w:t>总计均为</w:t>
      </w:r>
      <w:r>
        <w:rPr>
          <w:rFonts w:hint="eastAsia" w:eastAsia="仿宋"/>
          <w:sz w:val="32"/>
          <w:szCs w:val="32"/>
          <w:lang w:val="en-US" w:eastAsia="zh-CN"/>
        </w:rPr>
        <w:t>2139.16</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w:t>
      </w:r>
      <w:r>
        <w:rPr>
          <w:rFonts w:hint="eastAsia" w:ascii="仿宋" w:hAnsi="仿宋" w:eastAsia="仿宋"/>
          <w:sz w:val="32"/>
          <w:szCs w:val="32"/>
          <w:lang w:val="en-US" w:eastAsia="zh-CN"/>
        </w:rPr>
        <w:t>3</w:t>
      </w:r>
      <w:r>
        <w:rPr>
          <w:rFonts w:hint="eastAsia" w:ascii="仿宋" w:hAnsi="仿宋" w:eastAsia="仿宋"/>
          <w:sz w:val="32"/>
          <w:szCs w:val="32"/>
        </w:rPr>
        <w:t>年度相比，与202</w:t>
      </w:r>
      <w:r>
        <w:rPr>
          <w:rFonts w:hint="eastAsia" w:ascii="仿宋" w:hAnsi="仿宋" w:eastAsia="仿宋"/>
          <w:sz w:val="32"/>
          <w:szCs w:val="32"/>
          <w:lang w:val="en-US" w:eastAsia="zh-CN"/>
        </w:rPr>
        <w:t>3</w:t>
      </w:r>
      <w:r>
        <w:rPr>
          <w:rFonts w:hint="eastAsia" w:ascii="仿宋" w:hAnsi="仿宋" w:eastAsia="仿宋"/>
          <w:sz w:val="32"/>
          <w:szCs w:val="32"/>
        </w:rPr>
        <w:t>年度相比，收、支总计各</w:t>
      </w:r>
      <w:r>
        <w:rPr>
          <w:rFonts w:hint="eastAsia" w:ascii="仿宋" w:hAnsi="仿宋" w:eastAsia="仿宋"/>
          <w:sz w:val="32"/>
          <w:szCs w:val="32"/>
          <w:lang w:eastAsia="zh-CN"/>
        </w:rPr>
        <w:t>减少</w:t>
      </w:r>
      <w:r>
        <w:rPr>
          <w:rFonts w:hint="eastAsia" w:ascii="仿宋" w:hAnsi="仿宋" w:eastAsia="仿宋"/>
          <w:sz w:val="32"/>
          <w:szCs w:val="32"/>
          <w:lang w:val="en-US" w:eastAsia="zh-CN"/>
        </w:rPr>
        <w:t>387.42</w:t>
      </w:r>
      <w:r>
        <w:rPr>
          <w:rFonts w:hint="eastAsia" w:ascii="仿宋" w:hAnsi="仿宋" w:eastAsia="仿宋"/>
          <w:sz w:val="32"/>
          <w:szCs w:val="32"/>
        </w:rPr>
        <w:t>万元</w:t>
      </w:r>
      <w:r>
        <w:rPr>
          <w:rFonts w:hint="eastAsia" w:ascii="仿宋" w:hAnsi="仿宋" w:eastAsia="仿宋"/>
          <w:sz w:val="32"/>
          <w:szCs w:val="32"/>
          <w:lang w:eastAsia="zh-CN"/>
        </w:rPr>
        <w:t>，降低</w:t>
      </w:r>
      <w:r>
        <w:rPr>
          <w:rFonts w:hint="eastAsia" w:ascii="仿宋" w:hAnsi="仿宋" w:eastAsia="仿宋"/>
          <w:sz w:val="32"/>
          <w:szCs w:val="32"/>
          <w:lang w:val="en-US" w:eastAsia="zh-CN"/>
        </w:rPr>
        <w:t>15.33</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机关后勤保障经费压缩和财政困难有部分费用未在年度内支出</w:t>
      </w:r>
      <w:r>
        <w:rPr>
          <w:rFonts w:hint="eastAsia" w:ascii="仿宋" w:hAnsi="仿宋" w:eastAsia="仿宋"/>
          <w:sz w:val="32"/>
          <w:szCs w:val="32"/>
        </w:rPr>
        <w:t>。</w:t>
      </w:r>
    </w:p>
    <w:p w14:paraId="6840CE08">
      <w:pPr>
        <w:spacing w:line="600" w:lineRule="exact"/>
        <w:ind w:firstLine="640"/>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01-1</w:t>
      </w:r>
      <w:r>
        <w:rPr>
          <w:rFonts w:hint="eastAsia" w:ascii="仿宋" w:hAnsi="仿宋" w:eastAsia="仿宋"/>
          <w:b/>
          <w:sz w:val="32"/>
          <w:szCs w:val="32"/>
        </w:rPr>
        <w:t>表</w:t>
      </w:r>
      <w:r>
        <w:rPr>
          <w:rFonts w:ascii="仿宋" w:hAnsi="仿宋" w:eastAsia="仿宋"/>
          <w:b/>
          <w:sz w:val="32"/>
          <w:szCs w:val="32"/>
        </w:rPr>
        <w:t>）</w:t>
      </w:r>
    </w:p>
    <w:p w14:paraId="33B2268C">
      <w:pPr>
        <w:spacing w:line="600" w:lineRule="exact"/>
        <w:ind w:firstLine="640" w:firstLineChars="200"/>
        <w:outlineLvl w:val="1"/>
        <w:rPr>
          <w:rStyle w:val="29"/>
          <w:rFonts w:ascii="黑体" w:hAnsi="黑体" w:eastAsia="黑体"/>
          <w:b w:val="0"/>
        </w:rPr>
      </w:pPr>
      <w:bookmarkStart w:id="58" w:name="_Toc15377209"/>
      <w:bookmarkStart w:id="59" w:name="_Toc23439"/>
      <w:bookmarkStart w:id="60" w:name="_Toc15396607"/>
      <w:r>
        <w:rPr>
          <w:rFonts w:hint="eastAsia" w:ascii="黑体" w:hAnsi="黑体" w:eastAsia="黑体"/>
          <w:sz w:val="32"/>
          <w:szCs w:val="32"/>
        </w:rPr>
        <w:t>五、</w:t>
      </w:r>
      <w:r>
        <w:rPr>
          <w:rFonts w:hint="eastAsia" w:ascii="黑体" w:hAnsi="黑体" w:eastAsia="黑体"/>
          <w:b/>
          <w:sz w:val="32"/>
          <w:szCs w:val="32"/>
        </w:rPr>
        <w:t>一</w:t>
      </w:r>
      <w:r>
        <w:rPr>
          <w:rStyle w:val="29"/>
          <w:rFonts w:hint="eastAsia" w:ascii="黑体" w:hAnsi="黑体" w:eastAsia="黑体"/>
          <w:b w:val="0"/>
        </w:rPr>
        <w:t>般公共预算财政拨款支出决算情况说明</w:t>
      </w:r>
      <w:bookmarkEnd w:id="58"/>
      <w:bookmarkEnd w:id="59"/>
      <w:bookmarkEnd w:id="60"/>
    </w:p>
    <w:p w14:paraId="7B0D3330">
      <w:pPr>
        <w:spacing w:line="600" w:lineRule="exact"/>
        <w:ind w:firstLine="643" w:firstLineChars="200"/>
        <w:outlineLvl w:val="2"/>
        <w:rPr>
          <w:rFonts w:ascii="仿宋" w:hAnsi="仿宋" w:eastAsia="仿宋"/>
          <w:b/>
          <w:sz w:val="32"/>
          <w:szCs w:val="32"/>
        </w:rPr>
      </w:pPr>
      <w:bookmarkStart w:id="61" w:name="_Toc15377210"/>
      <w:bookmarkStart w:id="62" w:name="_Toc5063"/>
      <w:r>
        <w:rPr>
          <w:rFonts w:hint="eastAsia" w:ascii="仿宋" w:hAnsi="仿宋" w:eastAsia="仿宋"/>
          <w:b/>
          <w:sz w:val="32"/>
          <w:szCs w:val="32"/>
        </w:rPr>
        <w:t>（一）一般公共预算财政拨款支出决算总体情况</w:t>
      </w:r>
      <w:bookmarkEnd w:id="61"/>
      <w:bookmarkEnd w:id="62"/>
    </w:p>
    <w:p w14:paraId="2110DB0D">
      <w:pPr>
        <w:spacing w:line="600" w:lineRule="exact"/>
        <w:ind w:firstLine="640" w:firstLineChars="200"/>
        <w:outlineLvl w:val="2"/>
        <w:rPr>
          <w:rFonts w:hint="eastAsia" w:ascii="仿宋" w:hAnsi="仿宋" w:eastAsia="仿宋"/>
          <w:sz w:val="32"/>
          <w:szCs w:val="32"/>
        </w:rPr>
      </w:pPr>
      <w:bookmarkStart w:id="63" w:name="_Toc16361"/>
      <w:r>
        <w:rPr>
          <w:rFonts w:hint="eastAsia" w:ascii="仿宋" w:hAnsi="仿宋" w:eastAsia="仿宋"/>
          <w:sz w:val="32"/>
          <w:szCs w:val="32"/>
          <w:lang w:eastAsia="zh-CN"/>
        </w:rPr>
        <w:t>2024</w:t>
      </w:r>
      <w:r>
        <w:rPr>
          <w:rFonts w:hint="eastAsia" w:ascii="仿宋" w:hAnsi="仿宋" w:eastAsia="仿宋"/>
          <w:sz w:val="32"/>
          <w:szCs w:val="32"/>
        </w:rPr>
        <w:t>年度一般公共预算财政拨款支出</w:t>
      </w:r>
      <w:r>
        <w:rPr>
          <w:rFonts w:hint="eastAsia" w:eastAsia="仿宋"/>
          <w:sz w:val="32"/>
          <w:szCs w:val="32"/>
          <w:lang w:val="en-US" w:eastAsia="zh-CN"/>
        </w:rPr>
        <w:t>2139.16</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w:t>
      </w:r>
      <w:r>
        <w:rPr>
          <w:rFonts w:hint="eastAsia" w:ascii="仿宋" w:hAnsi="仿宋" w:eastAsia="仿宋"/>
          <w:sz w:val="32"/>
          <w:szCs w:val="32"/>
          <w:lang w:val="en-US" w:eastAsia="zh-CN"/>
        </w:rPr>
        <w:t>3</w:t>
      </w:r>
      <w:r>
        <w:rPr>
          <w:rFonts w:hint="eastAsia" w:ascii="仿宋" w:hAnsi="仿宋" w:eastAsia="仿宋"/>
          <w:sz w:val="32"/>
          <w:szCs w:val="32"/>
        </w:rPr>
        <w:t>年度相比，一般公共预算财政拨款支出</w:t>
      </w:r>
      <w:bookmarkStart w:id="64" w:name="_Toc15377211"/>
      <w:r>
        <w:rPr>
          <w:rFonts w:hint="eastAsia" w:ascii="仿宋" w:hAnsi="仿宋" w:eastAsia="仿宋"/>
          <w:sz w:val="32"/>
          <w:szCs w:val="32"/>
          <w:lang w:eastAsia="zh-CN"/>
        </w:rPr>
        <w:t>减少</w:t>
      </w:r>
      <w:r>
        <w:rPr>
          <w:rFonts w:hint="eastAsia" w:ascii="仿宋" w:hAnsi="仿宋" w:eastAsia="仿宋"/>
          <w:sz w:val="32"/>
          <w:szCs w:val="32"/>
          <w:lang w:val="en-US" w:eastAsia="zh-CN"/>
        </w:rPr>
        <w:t>387.42</w:t>
      </w:r>
      <w:r>
        <w:rPr>
          <w:rFonts w:hint="eastAsia" w:ascii="仿宋" w:hAnsi="仿宋" w:eastAsia="仿宋"/>
          <w:sz w:val="32"/>
          <w:szCs w:val="32"/>
        </w:rPr>
        <w:t>万元</w:t>
      </w:r>
      <w:r>
        <w:rPr>
          <w:rFonts w:hint="eastAsia" w:ascii="仿宋" w:hAnsi="仿宋" w:eastAsia="仿宋"/>
          <w:sz w:val="32"/>
          <w:szCs w:val="32"/>
          <w:lang w:eastAsia="zh-CN"/>
        </w:rPr>
        <w:t>，降低</w:t>
      </w:r>
      <w:r>
        <w:rPr>
          <w:rFonts w:hint="eastAsia" w:ascii="仿宋" w:hAnsi="仿宋" w:eastAsia="仿宋"/>
          <w:sz w:val="32"/>
          <w:szCs w:val="32"/>
          <w:lang w:val="en-US" w:eastAsia="zh-CN"/>
        </w:rPr>
        <w:t>15.33</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机关后勤保障经费压缩和财政困难有部分费用未在年度内支出</w:t>
      </w:r>
      <w:r>
        <w:rPr>
          <w:rFonts w:hint="eastAsia" w:ascii="仿宋" w:hAnsi="仿宋" w:eastAsia="仿宋"/>
          <w:sz w:val="32"/>
          <w:szCs w:val="32"/>
        </w:rPr>
        <w:t>。</w:t>
      </w:r>
      <w:bookmarkEnd w:id="63"/>
    </w:p>
    <w:p w14:paraId="35D89AD1">
      <w:pPr>
        <w:spacing w:line="600" w:lineRule="exact"/>
        <w:ind w:firstLine="643" w:firstLineChars="200"/>
        <w:outlineLvl w:val="2"/>
        <w:rPr>
          <w:rFonts w:ascii="仿宋" w:hAnsi="仿宋" w:eastAsia="仿宋"/>
          <w:b/>
          <w:sz w:val="32"/>
          <w:szCs w:val="32"/>
        </w:rPr>
      </w:pPr>
      <w:bookmarkStart w:id="65" w:name="_Toc10515"/>
      <w:r>
        <w:rPr>
          <w:rFonts w:hint="eastAsia" w:ascii="仿宋" w:hAnsi="仿宋" w:eastAsia="仿宋"/>
          <w:b/>
          <w:sz w:val="32"/>
          <w:szCs w:val="32"/>
        </w:rPr>
        <w:t>（二）一般公共预算财政拨款支出决算结构情况</w:t>
      </w:r>
      <w:bookmarkEnd w:id="64"/>
      <w:bookmarkEnd w:id="65"/>
    </w:p>
    <w:p w14:paraId="22F819C5">
      <w:pPr>
        <w:spacing w:line="600" w:lineRule="exact"/>
        <w:ind w:firstLine="640"/>
        <w:rPr>
          <w:rFonts w:hint="eastAsia" w:ascii="仿宋" w:hAnsi="仿宋" w:eastAsia="仿宋"/>
          <w:sz w:val="32"/>
          <w:szCs w:val="32"/>
          <w:lang w:eastAsia="zh-CN"/>
        </w:rPr>
      </w:pPr>
      <w:r>
        <w:rPr>
          <w:rFonts w:hint="eastAsia" w:ascii="仿宋" w:hAnsi="仿宋" w:eastAsia="仿宋"/>
          <w:sz w:val="32"/>
          <w:szCs w:val="32"/>
          <w:lang w:eastAsia="zh-CN"/>
        </w:rPr>
        <w:t>2024</w:t>
      </w:r>
      <w:r>
        <w:rPr>
          <w:rFonts w:hint="eastAsia" w:ascii="仿宋" w:hAnsi="仿宋" w:eastAsia="仿宋"/>
          <w:sz w:val="32"/>
          <w:szCs w:val="32"/>
        </w:rPr>
        <w:t>年度一般公共预算财政拨款支出</w:t>
      </w:r>
      <w:r>
        <w:rPr>
          <w:rFonts w:hint="eastAsia" w:eastAsia="仿宋"/>
          <w:sz w:val="32"/>
          <w:szCs w:val="32"/>
          <w:lang w:val="en-US" w:eastAsia="zh-CN"/>
        </w:rPr>
        <w:t>2139.16</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1816.12</w:t>
      </w:r>
      <w:r>
        <w:rPr>
          <w:rFonts w:hint="eastAsia" w:ascii="仿宋" w:hAnsi="仿宋" w:eastAsia="仿宋"/>
          <w:sz w:val="32"/>
          <w:szCs w:val="32"/>
        </w:rPr>
        <w:t>万元，占</w:t>
      </w:r>
      <w:r>
        <w:rPr>
          <w:rFonts w:hint="eastAsia" w:ascii="仿宋" w:hAnsi="仿宋" w:eastAsia="仿宋"/>
          <w:sz w:val="32"/>
          <w:szCs w:val="32"/>
          <w:lang w:val="en-US" w:eastAsia="zh-CN"/>
        </w:rPr>
        <w:t>84.90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教育支出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科学技术</w:t>
      </w:r>
      <w:r>
        <w:rPr>
          <w:rFonts w:hint="eastAsia" w:ascii="仿宋" w:hAnsi="仿宋" w:eastAsia="仿宋"/>
          <w:b/>
          <w:bCs/>
          <w:sz w:val="32"/>
          <w:szCs w:val="32"/>
        </w:rPr>
        <w:t>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w:t>
      </w:r>
      <w:r>
        <w:rPr>
          <w:rFonts w:hint="eastAsia" w:ascii="仿宋" w:hAnsi="仿宋" w:eastAsia="仿宋"/>
          <w:b/>
          <w:bCs/>
          <w:sz w:val="32"/>
          <w:szCs w:val="32"/>
          <w:lang w:val="en-US" w:eastAsia="zh-CN"/>
        </w:rPr>
        <w:t>0</w:t>
      </w:r>
      <w:r>
        <w:rPr>
          <w:rFonts w:hint="eastAsia" w:ascii="仿宋" w:hAnsi="仿宋" w:eastAsia="仿宋"/>
          <w:b/>
          <w:bCs/>
          <w:sz w:val="32"/>
          <w:szCs w:val="32"/>
        </w:rPr>
        <w:t>万元，占</w:t>
      </w:r>
      <w:r>
        <w:rPr>
          <w:rFonts w:hint="eastAsia" w:ascii="仿宋" w:hAnsi="仿宋" w:eastAsia="仿宋"/>
          <w:b/>
          <w:bCs/>
          <w:sz w:val="32"/>
          <w:szCs w:val="32"/>
          <w:lang w:val="en-US" w:eastAsia="zh-CN"/>
        </w:rPr>
        <w:t>0</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163.15</w:t>
      </w:r>
      <w:r>
        <w:rPr>
          <w:rFonts w:hint="eastAsia" w:ascii="仿宋" w:hAnsi="仿宋" w:eastAsia="仿宋"/>
          <w:sz w:val="32"/>
          <w:szCs w:val="32"/>
        </w:rPr>
        <w:t>万元，占</w:t>
      </w:r>
      <w:r>
        <w:rPr>
          <w:rFonts w:hint="eastAsia" w:ascii="仿宋" w:hAnsi="仿宋" w:eastAsia="仿宋"/>
          <w:sz w:val="32"/>
          <w:szCs w:val="32"/>
          <w:lang w:val="en-US" w:eastAsia="zh-CN"/>
        </w:rPr>
        <w:t>7.63</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72.76</w:t>
      </w:r>
      <w:r>
        <w:rPr>
          <w:rFonts w:hint="eastAsia" w:ascii="仿宋" w:hAnsi="仿宋" w:eastAsia="仿宋"/>
          <w:sz w:val="32"/>
          <w:szCs w:val="32"/>
        </w:rPr>
        <w:t>万元，占</w:t>
      </w:r>
      <w:r>
        <w:rPr>
          <w:rFonts w:hint="eastAsia" w:ascii="仿宋" w:hAnsi="仿宋" w:eastAsia="仿宋"/>
          <w:sz w:val="32"/>
          <w:szCs w:val="32"/>
          <w:lang w:val="en-US" w:eastAsia="zh-CN"/>
        </w:rPr>
        <w:t>3.40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87.14</w:t>
      </w:r>
      <w:r>
        <w:rPr>
          <w:rFonts w:hint="eastAsia" w:ascii="仿宋" w:hAnsi="仿宋" w:eastAsia="仿宋"/>
          <w:sz w:val="32"/>
          <w:szCs w:val="32"/>
        </w:rPr>
        <w:t>万元，占</w:t>
      </w:r>
      <w:r>
        <w:rPr>
          <w:rFonts w:hint="eastAsia" w:ascii="仿宋" w:hAnsi="仿宋" w:eastAsia="仿宋"/>
          <w:sz w:val="32"/>
          <w:szCs w:val="32"/>
          <w:lang w:val="en-US" w:eastAsia="zh-CN"/>
        </w:rPr>
        <w:t>4.07</w:t>
      </w:r>
      <w:r>
        <w:rPr>
          <w:rFonts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b/>
          <w:sz w:val="32"/>
          <w:szCs w:val="32"/>
          <w:lang w:eastAsia="zh-CN"/>
        </w:rPr>
        <w:t>金融支出</w:t>
      </w:r>
      <w:r>
        <w:rPr>
          <w:rFonts w:hint="eastAsia" w:ascii="仿宋" w:hAnsi="仿宋" w:eastAsia="仿宋"/>
          <w:sz w:val="32"/>
          <w:szCs w:val="32"/>
          <w:lang w:val="en-US" w:eastAsia="zh-CN"/>
        </w:rPr>
        <w:t>0万元，占0%。</w:t>
      </w:r>
    </w:p>
    <w:p w14:paraId="5EB35E28">
      <w:pPr>
        <w:spacing w:line="600" w:lineRule="exact"/>
        <w:ind w:firstLine="640"/>
        <w:rPr>
          <w:rFonts w:ascii="仿宋" w:hAnsi="仿宋" w:eastAsia="仿宋"/>
          <w:b/>
          <w:sz w:val="32"/>
          <w:szCs w:val="32"/>
        </w:rPr>
      </w:pPr>
      <w:r>
        <w:rPr>
          <w:rFonts w:hint="eastAsia" w:ascii="仿宋" w:hAnsi="仿宋" w:eastAsia="仿宋"/>
          <w:b/>
          <w:sz w:val="32"/>
          <w:szCs w:val="32"/>
        </w:rPr>
        <w:t>（注：数据来源于财决01-1表，仅罗列本部门涉及的全部功能分类科目，至类级。）</w:t>
      </w:r>
    </w:p>
    <w:p w14:paraId="44E9ADBB">
      <w:pPr>
        <w:spacing w:line="600" w:lineRule="exact"/>
        <w:ind w:firstLine="643" w:firstLineChars="200"/>
        <w:outlineLvl w:val="2"/>
        <w:rPr>
          <w:rFonts w:ascii="仿宋" w:hAnsi="仿宋" w:eastAsia="仿宋"/>
          <w:b/>
          <w:sz w:val="32"/>
          <w:szCs w:val="32"/>
        </w:rPr>
      </w:pPr>
      <w:bookmarkStart w:id="66" w:name="_Toc8467"/>
      <w:bookmarkStart w:id="67" w:name="_Toc15377212"/>
      <w:r>
        <w:rPr>
          <w:rFonts w:hint="eastAsia" w:ascii="仿宋" w:hAnsi="仿宋" w:eastAsia="仿宋"/>
          <w:b/>
          <w:sz w:val="32"/>
          <w:szCs w:val="32"/>
        </w:rPr>
        <w:t>（三）一般公共预算财政拨款支出决算具体情况</w:t>
      </w:r>
      <w:bookmarkEnd w:id="66"/>
      <w:bookmarkEnd w:id="67"/>
    </w:p>
    <w:p w14:paraId="5C79E7A9">
      <w:pPr>
        <w:spacing w:line="600" w:lineRule="exact"/>
        <w:ind w:firstLine="643" w:firstLineChars="200"/>
        <w:outlineLvl w:val="2"/>
        <w:rPr>
          <w:rFonts w:ascii="仿宋" w:hAnsi="仿宋" w:eastAsia="仿宋"/>
          <w:sz w:val="32"/>
          <w:szCs w:val="32"/>
        </w:rPr>
      </w:pPr>
      <w:bookmarkStart w:id="68" w:name="_Toc15377444"/>
      <w:bookmarkStart w:id="69" w:name="_Toc15378460"/>
      <w:bookmarkStart w:id="70" w:name="_Toc27149"/>
      <w:bookmarkStart w:id="71" w:name="_Toc15377213"/>
      <w:r>
        <w:rPr>
          <w:rFonts w:hint="eastAsia" w:ascii="仿宋" w:hAnsi="仿宋" w:eastAsia="仿宋"/>
          <w:b/>
          <w:sz w:val="32"/>
          <w:szCs w:val="32"/>
          <w:lang w:eastAsia="zh-CN"/>
        </w:rPr>
        <w:t>2024</w:t>
      </w:r>
      <w:r>
        <w:rPr>
          <w:rFonts w:hint="eastAsia" w:ascii="仿宋" w:hAnsi="仿宋" w:eastAsia="仿宋"/>
          <w:b/>
          <w:sz w:val="32"/>
          <w:szCs w:val="32"/>
        </w:rPr>
        <w:t>年度一般公共预算支出决算数为</w:t>
      </w:r>
      <w:r>
        <w:rPr>
          <w:rFonts w:hint="eastAsia" w:eastAsia="仿宋"/>
          <w:sz w:val="32"/>
          <w:szCs w:val="32"/>
          <w:lang w:val="en-US" w:eastAsia="zh-CN"/>
        </w:rPr>
        <w:t>2139.16万元</w:t>
      </w:r>
      <w:r>
        <w:rPr>
          <w:rFonts w:hint="eastAsia" w:ascii="仿宋" w:hAnsi="仿宋" w:eastAsia="仿宋"/>
          <w:sz w:val="32"/>
          <w:szCs w:val="32"/>
        </w:rPr>
        <w:t>，</w:t>
      </w:r>
      <w:r>
        <w:rPr>
          <w:rStyle w:val="17"/>
          <w:rFonts w:hint="eastAsia" w:ascii="仿宋" w:hAnsi="仿宋" w:eastAsia="仿宋"/>
          <w:bCs/>
          <w:sz w:val="32"/>
          <w:szCs w:val="32"/>
        </w:rPr>
        <w:t>完成预算</w:t>
      </w:r>
      <w:r>
        <w:rPr>
          <w:rStyle w:val="17"/>
          <w:rFonts w:hint="eastAsia" w:ascii="仿宋" w:hAnsi="仿宋" w:eastAsia="仿宋"/>
          <w:bCs/>
          <w:sz w:val="32"/>
          <w:szCs w:val="32"/>
          <w:lang w:val="en-US" w:eastAsia="zh-CN"/>
        </w:rPr>
        <w:t>100</w:t>
      </w:r>
      <w:r>
        <w:rPr>
          <w:rStyle w:val="17"/>
          <w:rFonts w:ascii="仿宋" w:hAnsi="仿宋" w:eastAsia="仿宋"/>
          <w:bCs/>
          <w:sz w:val="32"/>
          <w:szCs w:val="32"/>
        </w:rPr>
        <w:t>%</w:t>
      </w:r>
      <w:r>
        <w:rPr>
          <w:rStyle w:val="17"/>
          <w:rFonts w:hint="eastAsia" w:ascii="仿宋" w:hAnsi="仿宋" w:eastAsia="仿宋"/>
          <w:bCs/>
          <w:sz w:val="32"/>
          <w:szCs w:val="32"/>
        </w:rPr>
        <w:t>。其中：</w:t>
      </w:r>
      <w:bookmarkEnd w:id="68"/>
      <w:bookmarkEnd w:id="69"/>
      <w:bookmarkEnd w:id="70"/>
      <w:bookmarkEnd w:id="71"/>
    </w:p>
    <w:p w14:paraId="1CCB4C8E">
      <w:pPr>
        <w:spacing w:line="600" w:lineRule="exact"/>
        <w:ind w:firstLine="643" w:firstLineChars="200"/>
        <w:rPr>
          <w:rFonts w:ascii="仿宋" w:hAnsi="仿宋" w:eastAsia="仿宋"/>
          <w:b/>
          <w:sz w:val="32"/>
          <w:szCs w:val="32"/>
        </w:rPr>
      </w:pPr>
      <w:r>
        <w:rPr>
          <w:rStyle w:val="17"/>
          <w:rFonts w:ascii="仿宋" w:hAnsi="仿宋" w:eastAsia="仿宋"/>
          <w:bCs/>
          <w:sz w:val="32"/>
          <w:szCs w:val="32"/>
        </w:rPr>
        <w:t>1.</w:t>
      </w:r>
      <w:r>
        <w:rPr>
          <w:rStyle w:val="17"/>
          <w:rFonts w:hint="eastAsia" w:ascii="仿宋" w:hAnsi="仿宋" w:eastAsia="仿宋"/>
          <w:bCs/>
          <w:sz w:val="32"/>
          <w:szCs w:val="32"/>
        </w:rPr>
        <w:t>一般公共服务（</w:t>
      </w:r>
      <w:r>
        <w:rPr>
          <w:rStyle w:val="17"/>
          <w:rFonts w:hint="eastAsia" w:ascii="仿宋" w:hAnsi="仿宋" w:eastAsia="仿宋"/>
          <w:bCs/>
          <w:sz w:val="32"/>
          <w:szCs w:val="32"/>
          <w:lang w:val="en-US" w:eastAsia="zh-CN"/>
        </w:rPr>
        <w:t>201</w:t>
      </w:r>
      <w:r>
        <w:rPr>
          <w:rStyle w:val="17"/>
          <w:rFonts w:hint="eastAsia" w:ascii="仿宋" w:hAnsi="仿宋" w:eastAsia="仿宋"/>
          <w:bCs/>
          <w:sz w:val="32"/>
          <w:szCs w:val="32"/>
        </w:rPr>
        <w:t>）政府办公厅（室）及相关机构事务（</w:t>
      </w:r>
      <w:r>
        <w:rPr>
          <w:rStyle w:val="17"/>
          <w:rFonts w:hint="eastAsia" w:ascii="仿宋" w:hAnsi="仿宋" w:eastAsia="仿宋"/>
          <w:bCs/>
          <w:sz w:val="32"/>
          <w:szCs w:val="32"/>
          <w:lang w:val="en-US" w:eastAsia="zh-CN"/>
        </w:rPr>
        <w:t>03</w:t>
      </w:r>
      <w:r>
        <w:rPr>
          <w:rStyle w:val="17"/>
          <w:rFonts w:hint="eastAsia" w:ascii="仿宋" w:hAnsi="仿宋" w:eastAsia="仿宋"/>
          <w:bCs/>
          <w:sz w:val="32"/>
          <w:szCs w:val="32"/>
        </w:rPr>
        <w:t>）</w:t>
      </w:r>
      <w:r>
        <w:rPr>
          <w:rStyle w:val="17"/>
          <w:rFonts w:hint="eastAsia" w:ascii="仿宋" w:hAnsi="仿宋" w:eastAsia="仿宋"/>
          <w:bCs/>
          <w:sz w:val="32"/>
          <w:szCs w:val="32"/>
          <w:lang w:eastAsia="zh-CN"/>
        </w:rPr>
        <w:t>行政运行</w:t>
      </w:r>
      <w:r>
        <w:rPr>
          <w:rStyle w:val="17"/>
          <w:rFonts w:hint="eastAsia" w:ascii="仿宋" w:hAnsi="仿宋" w:eastAsia="仿宋"/>
          <w:bCs/>
          <w:sz w:val="32"/>
          <w:szCs w:val="32"/>
        </w:rPr>
        <w:t>（</w:t>
      </w:r>
      <w:r>
        <w:rPr>
          <w:rStyle w:val="17"/>
          <w:rFonts w:hint="eastAsia" w:ascii="仿宋" w:hAnsi="仿宋" w:eastAsia="仿宋"/>
          <w:bCs/>
          <w:sz w:val="32"/>
          <w:szCs w:val="32"/>
          <w:lang w:val="en-US" w:eastAsia="zh-CN"/>
        </w:rPr>
        <w:t>01</w:t>
      </w:r>
      <w:r>
        <w:rPr>
          <w:rStyle w:val="17"/>
          <w:rFonts w:hint="eastAsia" w:ascii="仿宋" w:hAnsi="仿宋" w:eastAsia="仿宋"/>
          <w:bCs/>
          <w:sz w:val="32"/>
          <w:szCs w:val="32"/>
        </w:rPr>
        <w:t>）</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644.95</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lang w:eastAsia="zh-CN"/>
        </w:rPr>
        <w:t>；一般行政管理事务（</w:t>
      </w:r>
      <w:r>
        <w:rPr>
          <w:rStyle w:val="17"/>
          <w:rFonts w:hint="eastAsia" w:ascii="仿宋" w:hAnsi="仿宋" w:eastAsia="仿宋"/>
          <w:b w:val="0"/>
          <w:bCs/>
          <w:sz w:val="32"/>
          <w:szCs w:val="32"/>
          <w:lang w:val="en-US" w:eastAsia="zh-CN"/>
        </w:rPr>
        <w:t>02）:支出决算为319.57万元，</w:t>
      </w:r>
      <w:r>
        <w:rPr>
          <w:rStyle w:val="17"/>
          <w:rFonts w:hint="eastAsia" w:ascii="仿宋" w:hAnsi="仿宋" w:eastAsia="仿宋"/>
          <w:b w:val="0"/>
          <w:bCs/>
          <w:sz w:val="32"/>
          <w:szCs w:val="32"/>
        </w:rPr>
        <w:t>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lang w:eastAsia="zh-CN"/>
        </w:rPr>
        <w:t>；</w:t>
      </w:r>
      <w:r>
        <w:rPr>
          <w:rStyle w:val="17"/>
          <w:rFonts w:hint="eastAsia" w:ascii="仿宋" w:hAnsi="仿宋" w:eastAsia="仿宋"/>
          <w:bCs/>
          <w:sz w:val="32"/>
          <w:szCs w:val="32"/>
          <w:lang w:eastAsia="zh-CN"/>
        </w:rPr>
        <w:t>机关服务</w:t>
      </w:r>
      <w:r>
        <w:rPr>
          <w:rStyle w:val="17"/>
          <w:rFonts w:hint="eastAsia" w:ascii="仿宋" w:hAnsi="仿宋" w:eastAsia="仿宋"/>
          <w:bCs/>
          <w:sz w:val="32"/>
          <w:szCs w:val="32"/>
        </w:rPr>
        <w:t>（</w:t>
      </w:r>
      <w:r>
        <w:rPr>
          <w:rStyle w:val="17"/>
          <w:rFonts w:hint="eastAsia" w:ascii="仿宋" w:hAnsi="仿宋" w:eastAsia="仿宋"/>
          <w:bCs/>
          <w:sz w:val="32"/>
          <w:szCs w:val="32"/>
          <w:lang w:val="en-US" w:eastAsia="zh-CN"/>
        </w:rPr>
        <w:t>03</w:t>
      </w:r>
      <w:r>
        <w:rPr>
          <w:rStyle w:val="17"/>
          <w:rFonts w:hint="eastAsia" w:ascii="仿宋" w:hAnsi="仿宋" w:eastAsia="仿宋"/>
          <w:bCs/>
          <w:sz w:val="32"/>
          <w:szCs w:val="32"/>
        </w:rPr>
        <w:t>）</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556.53</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lang w:eastAsia="zh-CN"/>
        </w:rPr>
        <w:t>；</w:t>
      </w:r>
      <w:r>
        <w:rPr>
          <w:rStyle w:val="17"/>
          <w:rFonts w:hint="eastAsia" w:ascii="仿宋" w:hAnsi="仿宋" w:eastAsia="仿宋"/>
          <w:bCs/>
          <w:sz w:val="32"/>
          <w:szCs w:val="32"/>
          <w:lang w:eastAsia="zh-CN"/>
        </w:rPr>
        <w:t>事业运行</w:t>
      </w:r>
      <w:r>
        <w:rPr>
          <w:rStyle w:val="17"/>
          <w:rFonts w:hint="eastAsia" w:ascii="仿宋" w:hAnsi="仿宋" w:eastAsia="仿宋"/>
          <w:bCs/>
          <w:sz w:val="32"/>
          <w:szCs w:val="32"/>
        </w:rPr>
        <w:t>（</w:t>
      </w:r>
      <w:r>
        <w:rPr>
          <w:rStyle w:val="17"/>
          <w:rFonts w:hint="eastAsia" w:ascii="仿宋" w:hAnsi="仿宋" w:eastAsia="仿宋"/>
          <w:bCs/>
          <w:sz w:val="32"/>
          <w:szCs w:val="32"/>
          <w:lang w:val="en-US" w:eastAsia="zh-CN"/>
        </w:rPr>
        <w:t>50</w:t>
      </w:r>
      <w:r>
        <w:rPr>
          <w:rStyle w:val="17"/>
          <w:rFonts w:hint="eastAsia" w:ascii="仿宋" w:hAnsi="仿宋" w:eastAsia="仿宋"/>
          <w:bCs/>
          <w:sz w:val="32"/>
          <w:szCs w:val="32"/>
        </w:rPr>
        <w:t>）</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295.07</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14:paraId="3CA02E57">
      <w:pPr>
        <w:spacing w:line="600" w:lineRule="exact"/>
        <w:ind w:firstLine="643" w:firstLineChars="200"/>
        <w:rPr>
          <w:rFonts w:ascii="仿宋" w:hAnsi="仿宋" w:eastAsia="仿宋"/>
          <w:b/>
          <w:sz w:val="32"/>
          <w:szCs w:val="32"/>
        </w:rPr>
      </w:pPr>
      <w:r>
        <w:rPr>
          <w:rStyle w:val="17"/>
          <w:rFonts w:hint="eastAsia" w:ascii="仿宋" w:hAnsi="仿宋" w:eastAsia="仿宋"/>
          <w:bCs/>
          <w:sz w:val="32"/>
          <w:szCs w:val="32"/>
          <w:lang w:val="en-US" w:eastAsia="zh-CN"/>
        </w:rPr>
        <w:t>2</w:t>
      </w:r>
      <w:r>
        <w:rPr>
          <w:rStyle w:val="17"/>
          <w:rFonts w:ascii="仿宋" w:hAnsi="仿宋" w:eastAsia="仿宋"/>
          <w:bCs/>
          <w:sz w:val="32"/>
          <w:szCs w:val="32"/>
        </w:rPr>
        <w:t>.</w:t>
      </w:r>
      <w:r>
        <w:rPr>
          <w:rStyle w:val="17"/>
          <w:rFonts w:hint="eastAsia" w:ascii="仿宋" w:hAnsi="仿宋" w:eastAsia="仿宋"/>
          <w:bCs/>
          <w:sz w:val="32"/>
          <w:szCs w:val="32"/>
        </w:rPr>
        <w:t>社会保障和就业（</w:t>
      </w:r>
      <w:r>
        <w:rPr>
          <w:rStyle w:val="17"/>
          <w:rFonts w:hint="eastAsia" w:ascii="仿宋" w:hAnsi="仿宋" w:eastAsia="仿宋"/>
          <w:bCs/>
          <w:sz w:val="32"/>
          <w:szCs w:val="32"/>
          <w:lang w:val="en-US" w:eastAsia="zh-CN"/>
        </w:rPr>
        <w:t>208</w:t>
      </w:r>
      <w:r>
        <w:rPr>
          <w:rStyle w:val="17"/>
          <w:rFonts w:hint="eastAsia" w:ascii="仿宋" w:hAnsi="仿宋" w:eastAsia="仿宋"/>
          <w:bCs/>
          <w:sz w:val="32"/>
          <w:szCs w:val="32"/>
        </w:rPr>
        <w:t>）行政事业单位养老支出（</w:t>
      </w:r>
      <w:r>
        <w:rPr>
          <w:rStyle w:val="17"/>
          <w:rFonts w:hint="eastAsia" w:ascii="仿宋" w:hAnsi="仿宋" w:eastAsia="仿宋"/>
          <w:bCs/>
          <w:sz w:val="32"/>
          <w:szCs w:val="32"/>
          <w:lang w:val="en-US" w:eastAsia="zh-CN"/>
        </w:rPr>
        <w:t>05</w:t>
      </w:r>
      <w:r>
        <w:rPr>
          <w:rStyle w:val="17"/>
          <w:rFonts w:hint="eastAsia" w:ascii="仿宋" w:hAnsi="仿宋" w:eastAsia="仿宋"/>
          <w:bCs/>
          <w:sz w:val="32"/>
          <w:szCs w:val="32"/>
        </w:rPr>
        <w:t>）机关事业单位基本养老保险缴费支出（</w:t>
      </w:r>
      <w:r>
        <w:rPr>
          <w:rStyle w:val="17"/>
          <w:rFonts w:hint="eastAsia" w:ascii="仿宋" w:hAnsi="仿宋" w:eastAsia="仿宋"/>
          <w:bCs/>
          <w:sz w:val="32"/>
          <w:szCs w:val="32"/>
          <w:lang w:val="en-US" w:eastAsia="zh-CN"/>
        </w:rPr>
        <w:t>05</w:t>
      </w:r>
      <w:r>
        <w:rPr>
          <w:rStyle w:val="17"/>
          <w:rFonts w:hint="eastAsia" w:ascii="仿宋" w:hAnsi="仿宋" w:eastAsia="仿宋"/>
          <w:bCs/>
          <w:sz w:val="32"/>
          <w:szCs w:val="32"/>
        </w:rPr>
        <w:t>）</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106.14</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lang w:eastAsia="zh-CN"/>
        </w:rPr>
        <w:t>；</w:t>
      </w:r>
      <w:r>
        <w:rPr>
          <w:rStyle w:val="17"/>
          <w:rFonts w:hint="eastAsia" w:ascii="仿宋" w:hAnsi="仿宋" w:eastAsia="仿宋"/>
          <w:bCs/>
          <w:sz w:val="32"/>
          <w:szCs w:val="32"/>
        </w:rPr>
        <w:t>机关事业单位职业年金缴费支出（</w:t>
      </w:r>
      <w:r>
        <w:rPr>
          <w:rStyle w:val="17"/>
          <w:rFonts w:hint="eastAsia" w:ascii="仿宋" w:hAnsi="仿宋" w:eastAsia="仿宋"/>
          <w:bCs/>
          <w:sz w:val="32"/>
          <w:szCs w:val="32"/>
          <w:lang w:val="en-US" w:eastAsia="zh-CN"/>
        </w:rPr>
        <w:t>06</w:t>
      </w:r>
      <w:r>
        <w:rPr>
          <w:rStyle w:val="17"/>
          <w:rFonts w:hint="eastAsia" w:ascii="仿宋" w:hAnsi="仿宋" w:eastAsia="仿宋"/>
          <w:bCs/>
          <w:sz w:val="32"/>
          <w:szCs w:val="32"/>
        </w:rPr>
        <w:t>）</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57</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lang w:eastAsia="zh-CN"/>
        </w:rPr>
        <w:t>；</w:t>
      </w:r>
      <w:r>
        <w:rPr>
          <w:rStyle w:val="17"/>
          <w:rFonts w:hint="eastAsia" w:ascii="仿宋" w:hAnsi="仿宋" w:eastAsia="仿宋"/>
          <w:b w:val="0"/>
          <w:bCs/>
          <w:sz w:val="32"/>
          <w:szCs w:val="32"/>
        </w:rPr>
        <w:t>决算数等于预算数。</w:t>
      </w:r>
    </w:p>
    <w:p w14:paraId="5A76F1E9">
      <w:pPr>
        <w:spacing w:line="600" w:lineRule="exact"/>
        <w:ind w:firstLine="643" w:firstLineChars="200"/>
        <w:rPr>
          <w:rFonts w:ascii="仿宋" w:hAnsi="仿宋" w:eastAsia="仿宋"/>
          <w:b/>
          <w:sz w:val="32"/>
          <w:szCs w:val="32"/>
        </w:rPr>
      </w:pPr>
      <w:r>
        <w:rPr>
          <w:rStyle w:val="17"/>
          <w:rFonts w:hint="eastAsia" w:ascii="仿宋" w:hAnsi="仿宋" w:eastAsia="仿宋"/>
          <w:bCs/>
          <w:sz w:val="32"/>
          <w:szCs w:val="32"/>
          <w:lang w:val="en-US" w:eastAsia="zh-CN"/>
        </w:rPr>
        <w:t>3</w:t>
      </w:r>
      <w:r>
        <w:rPr>
          <w:rStyle w:val="17"/>
          <w:rFonts w:ascii="仿宋" w:hAnsi="仿宋" w:eastAsia="仿宋"/>
          <w:bCs/>
          <w:sz w:val="32"/>
          <w:szCs w:val="32"/>
        </w:rPr>
        <w:t>.</w:t>
      </w:r>
      <w:r>
        <w:rPr>
          <w:rFonts w:hint="eastAsia" w:ascii="仿宋" w:hAnsi="仿宋" w:eastAsia="仿宋"/>
          <w:b/>
          <w:bCs/>
          <w:sz w:val="32"/>
          <w:szCs w:val="32"/>
        </w:rPr>
        <w:t>卫生健康</w:t>
      </w:r>
      <w:r>
        <w:rPr>
          <w:rStyle w:val="17"/>
          <w:rFonts w:hint="eastAsia" w:ascii="仿宋" w:hAnsi="仿宋" w:eastAsia="仿宋"/>
          <w:bCs/>
          <w:sz w:val="32"/>
          <w:szCs w:val="32"/>
        </w:rPr>
        <w:t>（</w:t>
      </w:r>
      <w:r>
        <w:rPr>
          <w:rStyle w:val="17"/>
          <w:rFonts w:hint="eastAsia" w:ascii="仿宋" w:hAnsi="仿宋" w:eastAsia="仿宋"/>
          <w:bCs/>
          <w:sz w:val="32"/>
          <w:szCs w:val="32"/>
          <w:lang w:val="en-US" w:eastAsia="zh-CN"/>
        </w:rPr>
        <w:t>210</w:t>
      </w:r>
      <w:r>
        <w:rPr>
          <w:rStyle w:val="17"/>
          <w:rFonts w:hint="eastAsia" w:ascii="仿宋" w:hAnsi="仿宋" w:eastAsia="仿宋"/>
          <w:bCs/>
          <w:sz w:val="32"/>
          <w:szCs w:val="32"/>
        </w:rPr>
        <w:t>）行政事业单位医疗（</w:t>
      </w:r>
      <w:r>
        <w:rPr>
          <w:rStyle w:val="17"/>
          <w:rFonts w:hint="eastAsia" w:ascii="仿宋" w:hAnsi="仿宋" w:eastAsia="仿宋"/>
          <w:bCs/>
          <w:sz w:val="32"/>
          <w:szCs w:val="32"/>
          <w:lang w:val="en-US" w:eastAsia="zh-CN"/>
        </w:rPr>
        <w:t>11</w:t>
      </w:r>
      <w:r>
        <w:rPr>
          <w:rStyle w:val="17"/>
          <w:rFonts w:hint="eastAsia" w:ascii="仿宋" w:hAnsi="仿宋" w:eastAsia="仿宋"/>
          <w:bCs/>
          <w:sz w:val="32"/>
          <w:szCs w:val="32"/>
        </w:rPr>
        <w:t>）行政单位医疗（</w:t>
      </w:r>
      <w:r>
        <w:rPr>
          <w:rStyle w:val="17"/>
          <w:rFonts w:hint="eastAsia" w:ascii="仿宋" w:hAnsi="仿宋" w:eastAsia="仿宋"/>
          <w:bCs/>
          <w:sz w:val="32"/>
          <w:szCs w:val="32"/>
          <w:lang w:val="en-US" w:eastAsia="zh-CN"/>
        </w:rPr>
        <w:t>01</w:t>
      </w:r>
      <w:r>
        <w:rPr>
          <w:rStyle w:val="17"/>
          <w:rFonts w:hint="eastAsia" w:ascii="仿宋" w:hAnsi="仿宋" w:eastAsia="仿宋"/>
          <w:bCs/>
          <w:sz w:val="32"/>
          <w:szCs w:val="32"/>
        </w:rPr>
        <w:t>）</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34.05</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lang w:eastAsia="zh-CN"/>
        </w:rPr>
        <w:t>；</w:t>
      </w:r>
      <w:r>
        <w:rPr>
          <w:rStyle w:val="17"/>
          <w:rFonts w:hint="eastAsia" w:ascii="仿宋" w:hAnsi="仿宋" w:eastAsia="仿宋"/>
          <w:bCs/>
          <w:sz w:val="32"/>
          <w:szCs w:val="32"/>
        </w:rPr>
        <w:t>事业单位医疗（</w:t>
      </w:r>
      <w:r>
        <w:rPr>
          <w:rStyle w:val="17"/>
          <w:rFonts w:hint="eastAsia" w:ascii="仿宋" w:hAnsi="仿宋" w:eastAsia="仿宋"/>
          <w:bCs/>
          <w:sz w:val="32"/>
          <w:szCs w:val="32"/>
          <w:lang w:val="en-US" w:eastAsia="zh-CN"/>
        </w:rPr>
        <w:t>02</w:t>
      </w:r>
      <w:r>
        <w:rPr>
          <w:rStyle w:val="17"/>
          <w:rFonts w:hint="eastAsia" w:ascii="仿宋" w:hAnsi="仿宋" w:eastAsia="仿宋"/>
          <w:bCs/>
          <w:sz w:val="32"/>
          <w:szCs w:val="32"/>
        </w:rPr>
        <w:t>）</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19.50</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lang w:eastAsia="zh-CN"/>
        </w:rPr>
        <w:t>；</w:t>
      </w:r>
      <w:r>
        <w:rPr>
          <w:rStyle w:val="17"/>
          <w:rFonts w:hint="eastAsia" w:ascii="仿宋" w:hAnsi="仿宋" w:eastAsia="仿宋"/>
          <w:bCs/>
          <w:sz w:val="32"/>
          <w:szCs w:val="32"/>
        </w:rPr>
        <w:t>公务员医疗补助（</w:t>
      </w:r>
      <w:r>
        <w:rPr>
          <w:rStyle w:val="17"/>
          <w:rFonts w:hint="eastAsia" w:ascii="仿宋" w:hAnsi="仿宋" w:eastAsia="仿宋"/>
          <w:bCs/>
          <w:sz w:val="32"/>
          <w:szCs w:val="32"/>
          <w:lang w:val="en-US" w:eastAsia="zh-CN"/>
        </w:rPr>
        <w:t>03</w:t>
      </w:r>
      <w:r>
        <w:rPr>
          <w:rStyle w:val="17"/>
          <w:rFonts w:hint="eastAsia" w:ascii="仿宋" w:hAnsi="仿宋" w:eastAsia="仿宋"/>
          <w:bCs/>
          <w:sz w:val="32"/>
          <w:szCs w:val="32"/>
        </w:rPr>
        <w:t>）</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14.30</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lang w:eastAsia="zh-CN"/>
        </w:rPr>
        <w:t>；</w:t>
      </w:r>
      <w:r>
        <w:rPr>
          <w:rStyle w:val="17"/>
          <w:rFonts w:hint="eastAsia" w:ascii="仿宋" w:hAnsi="仿宋" w:eastAsia="仿宋"/>
          <w:bCs/>
          <w:sz w:val="32"/>
          <w:szCs w:val="32"/>
        </w:rPr>
        <w:t>其他行政事业单位医疗支出（</w:t>
      </w:r>
      <w:r>
        <w:rPr>
          <w:rStyle w:val="17"/>
          <w:rFonts w:hint="eastAsia" w:ascii="仿宋" w:hAnsi="仿宋" w:eastAsia="仿宋"/>
          <w:bCs/>
          <w:sz w:val="32"/>
          <w:szCs w:val="32"/>
          <w:lang w:val="en-US" w:eastAsia="zh-CN"/>
        </w:rPr>
        <w:t>99</w:t>
      </w:r>
      <w:r>
        <w:rPr>
          <w:rStyle w:val="17"/>
          <w:rFonts w:hint="eastAsia" w:ascii="仿宋" w:hAnsi="仿宋" w:eastAsia="仿宋"/>
          <w:bCs/>
          <w:sz w:val="32"/>
          <w:szCs w:val="32"/>
        </w:rPr>
        <w:t>）</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4.90</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lang w:eastAsia="zh-CN"/>
        </w:rPr>
        <w:t>；</w:t>
      </w:r>
      <w:r>
        <w:rPr>
          <w:rStyle w:val="17"/>
          <w:rFonts w:hint="eastAsia" w:ascii="仿宋" w:hAnsi="仿宋" w:eastAsia="仿宋"/>
          <w:b w:val="0"/>
          <w:bCs/>
          <w:sz w:val="32"/>
          <w:szCs w:val="32"/>
        </w:rPr>
        <w:t>决算数等于预算数。</w:t>
      </w:r>
    </w:p>
    <w:p w14:paraId="14D028BA">
      <w:pPr>
        <w:spacing w:line="600" w:lineRule="exact"/>
        <w:ind w:firstLine="643" w:firstLineChars="200"/>
        <w:rPr>
          <w:rStyle w:val="17"/>
          <w:rFonts w:hint="eastAsia" w:ascii="仿宋" w:hAnsi="仿宋" w:eastAsia="仿宋"/>
          <w:b w:val="0"/>
          <w:bCs/>
          <w:sz w:val="32"/>
          <w:szCs w:val="32"/>
        </w:rPr>
      </w:pPr>
      <w:r>
        <w:rPr>
          <w:rStyle w:val="17"/>
          <w:rFonts w:hint="eastAsia" w:ascii="仿宋" w:hAnsi="仿宋" w:eastAsia="仿宋"/>
          <w:bCs/>
          <w:sz w:val="32"/>
          <w:szCs w:val="32"/>
          <w:lang w:val="en-US" w:eastAsia="zh-CN"/>
        </w:rPr>
        <w:t>4</w:t>
      </w:r>
      <w:r>
        <w:rPr>
          <w:rStyle w:val="17"/>
          <w:rFonts w:ascii="仿宋" w:hAnsi="仿宋" w:eastAsia="仿宋"/>
          <w:bCs/>
          <w:sz w:val="32"/>
          <w:szCs w:val="32"/>
        </w:rPr>
        <w:t>.</w:t>
      </w:r>
      <w:r>
        <w:rPr>
          <w:rFonts w:hint="eastAsia" w:ascii="仿宋" w:hAnsi="仿宋" w:eastAsia="仿宋"/>
          <w:b/>
          <w:bCs/>
          <w:sz w:val="32"/>
          <w:szCs w:val="32"/>
        </w:rPr>
        <w:t>住房保障支出</w:t>
      </w:r>
      <w:r>
        <w:rPr>
          <w:rStyle w:val="17"/>
          <w:rFonts w:hint="eastAsia" w:ascii="仿宋" w:hAnsi="仿宋" w:eastAsia="仿宋"/>
          <w:bCs/>
          <w:sz w:val="32"/>
          <w:szCs w:val="32"/>
        </w:rPr>
        <w:t>（</w:t>
      </w:r>
      <w:r>
        <w:rPr>
          <w:rStyle w:val="17"/>
          <w:rFonts w:hint="eastAsia" w:ascii="仿宋" w:hAnsi="仿宋" w:eastAsia="仿宋"/>
          <w:bCs/>
          <w:sz w:val="32"/>
          <w:szCs w:val="32"/>
          <w:lang w:val="en-US" w:eastAsia="zh-CN"/>
        </w:rPr>
        <w:t>221</w:t>
      </w:r>
      <w:r>
        <w:rPr>
          <w:rStyle w:val="17"/>
          <w:rFonts w:hint="eastAsia" w:ascii="仿宋" w:hAnsi="仿宋" w:eastAsia="仿宋"/>
          <w:bCs/>
          <w:sz w:val="32"/>
          <w:szCs w:val="32"/>
        </w:rPr>
        <w:t>）住房改革支出（</w:t>
      </w:r>
      <w:r>
        <w:rPr>
          <w:rStyle w:val="17"/>
          <w:rFonts w:hint="eastAsia" w:ascii="仿宋" w:hAnsi="仿宋" w:eastAsia="仿宋"/>
          <w:bCs/>
          <w:sz w:val="32"/>
          <w:szCs w:val="32"/>
          <w:lang w:val="en-US" w:eastAsia="zh-CN"/>
        </w:rPr>
        <w:t>02</w:t>
      </w:r>
      <w:r>
        <w:rPr>
          <w:rStyle w:val="17"/>
          <w:rFonts w:hint="eastAsia" w:ascii="仿宋" w:hAnsi="仿宋" w:eastAsia="仿宋"/>
          <w:bCs/>
          <w:sz w:val="32"/>
          <w:szCs w:val="32"/>
        </w:rPr>
        <w:t>）住房公积金（</w:t>
      </w:r>
      <w:r>
        <w:rPr>
          <w:rStyle w:val="17"/>
          <w:rFonts w:hint="eastAsia" w:ascii="仿宋" w:hAnsi="仿宋" w:eastAsia="仿宋"/>
          <w:bCs/>
          <w:sz w:val="32"/>
          <w:szCs w:val="32"/>
          <w:lang w:val="en-US" w:eastAsia="zh-CN"/>
        </w:rPr>
        <w:t>01</w:t>
      </w:r>
      <w:r>
        <w:rPr>
          <w:rStyle w:val="17"/>
          <w:rFonts w:hint="eastAsia" w:ascii="仿宋" w:hAnsi="仿宋" w:eastAsia="仿宋"/>
          <w:bCs/>
          <w:sz w:val="32"/>
          <w:szCs w:val="32"/>
        </w:rPr>
        <w:t>）</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87.14</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lang w:eastAsia="zh-CN"/>
        </w:rPr>
        <w:t>；</w:t>
      </w:r>
      <w:r>
        <w:rPr>
          <w:rStyle w:val="17"/>
          <w:rFonts w:hint="eastAsia" w:ascii="仿宋" w:hAnsi="仿宋" w:eastAsia="仿宋"/>
          <w:b w:val="0"/>
          <w:bCs/>
          <w:sz w:val="32"/>
          <w:szCs w:val="32"/>
        </w:rPr>
        <w:t>决算数等于预算数。</w:t>
      </w:r>
    </w:p>
    <w:p w14:paraId="6BA3D36D">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1-1表和财决08表，仅罗列本部门涉及的全部功能分类科目，至项级。上述“预算”口径为全年预算数。增减变动原因为决算数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和全年预算数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比较，与预算数持平可以不写原因。）</w:t>
      </w:r>
    </w:p>
    <w:p w14:paraId="4480D9EE">
      <w:pPr>
        <w:tabs>
          <w:tab w:val="right" w:pos="8306"/>
        </w:tabs>
        <w:spacing w:line="600" w:lineRule="exact"/>
        <w:ind w:firstLine="640"/>
        <w:outlineLvl w:val="1"/>
        <w:rPr>
          <w:rStyle w:val="29"/>
        </w:rPr>
      </w:pPr>
      <w:bookmarkStart w:id="72" w:name="_Toc23006"/>
      <w:bookmarkStart w:id="73" w:name="_Toc15377214"/>
      <w:bookmarkStart w:id="74"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9"/>
          <w:rFonts w:hint="eastAsia" w:ascii="黑体" w:hAnsi="黑体" w:eastAsia="黑体"/>
          <w:b w:val="0"/>
        </w:rPr>
        <w:t>般公共预算财政拨款基本支出决算情况说明</w:t>
      </w:r>
      <w:bookmarkEnd w:id="72"/>
      <w:bookmarkEnd w:id="73"/>
      <w:bookmarkEnd w:id="74"/>
      <w:r>
        <w:rPr>
          <w:rStyle w:val="29"/>
          <w:rFonts w:ascii="黑体" w:hAnsi="黑体" w:eastAsia="黑体"/>
          <w:b w:val="0"/>
        </w:rPr>
        <w:tab/>
      </w:r>
    </w:p>
    <w:p w14:paraId="2EF99116">
      <w:pPr>
        <w:spacing w:line="600" w:lineRule="exact"/>
        <w:ind w:firstLine="645"/>
        <w:rPr>
          <w:rFonts w:hint="eastAsia" w:ascii="仿宋" w:hAnsi="仿宋" w:eastAsia="仿宋" w:cs="仿宋"/>
          <w:sz w:val="32"/>
          <w:szCs w:val="32"/>
        </w:rPr>
      </w:pPr>
      <w:r>
        <w:rPr>
          <w:rFonts w:hint="eastAsia" w:ascii="仿宋" w:hAnsi="仿宋" w:eastAsia="仿宋" w:cs="仿宋"/>
          <w:sz w:val="32"/>
          <w:szCs w:val="32"/>
          <w:lang w:eastAsia="zh-CN"/>
        </w:rPr>
        <w:t>2024</w:t>
      </w:r>
      <w:r>
        <w:rPr>
          <w:rFonts w:hint="eastAsia" w:ascii="仿宋" w:hAnsi="仿宋" w:eastAsia="仿宋" w:cs="仿宋"/>
          <w:sz w:val="32"/>
          <w:szCs w:val="32"/>
        </w:rPr>
        <w:t>年度一般公共预算财政拨款基本支出</w:t>
      </w:r>
      <w:r>
        <w:rPr>
          <w:rFonts w:hint="eastAsia" w:ascii="仿宋" w:hAnsi="仿宋" w:eastAsia="仿宋" w:cs="仿宋"/>
          <w:sz w:val="32"/>
          <w:szCs w:val="32"/>
          <w:lang w:val="en-US" w:eastAsia="zh-CN"/>
        </w:rPr>
        <w:t>1263.06</w:t>
      </w:r>
      <w:r>
        <w:rPr>
          <w:rFonts w:hint="eastAsia" w:ascii="仿宋" w:hAnsi="仿宋" w:eastAsia="仿宋" w:cs="仿宋"/>
          <w:sz w:val="32"/>
          <w:szCs w:val="32"/>
        </w:rPr>
        <w:t>万元，其中：</w:t>
      </w:r>
    </w:p>
    <w:p w14:paraId="0D459DC4">
      <w:pPr>
        <w:spacing w:line="600" w:lineRule="exact"/>
        <w:ind w:firstLine="645"/>
        <w:rPr>
          <w:rFonts w:ascii="仿宋" w:hAnsi="仿宋" w:eastAsia="仿宋"/>
          <w:sz w:val="32"/>
          <w:szCs w:val="32"/>
        </w:rPr>
      </w:pPr>
      <w:r>
        <w:rPr>
          <w:rFonts w:hint="eastAsia" w:ascii="仿宋" w:hAnsi="仿宋" w:eastAsia="仿宋" w:cs="仿宋"/>
          <w:sz w:val="32"/>
          <w:szCs w:val="32"/>
        </w:rPr>
        <w:t>人员经费</w:t>
      </w:r>
      <w:r>
        <w:rPr>
          <w:rFonts w:hint="eastAsia" w:ascii="仿宋" w:hAnsi="仿宋" w:eastAsia="仿宋" w:cs="仿宋"/>
          <w:sz w:val="32"/>
          <w:szCs w:val="32"/>
          <w:lang w:val="en-US" w:eastAsia="zh-CN"/>
        </w:rPr>
        <w:t>1140.31</w:t>
      </w:r>
      <w:r>
        <w:rPr>
          <w:rFonts w:hint="eastAsia" w:ascii="仿宋" w:hAnsi="仿宋" w:eastAsia="仿宋" w:cs="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 w:hAnsi="仿宋" w:eastAsia="仿宋" w:cs="仿宋"/>
          <w:sz w:val="32"/>
          <w:szCs w:val="32"/>
        </w:rPr>
        <w:br w:type="textWrapping"/>
      </w:r>
      <w:r>
        <w:rPr>
          <w:rFonts w:hint="eastAsia" w:ascii="仿宋" w:hAnsi="仿宋" w:eastAsia="仿宋" w:cs="仿宋"/>
          <w:sz w:val="32"/>
          <w:szCs w:val="32"/>
        </w:rPr>
        <w:t>　　公用经费</w:t>
      </w:r>
      <w:r>
        <w:rPr>
          <w:rFonts w:hint="eastAsia" w:ascii="仿宋" w:hAnsi="仿宋" w:eastAsia="仿宋" w:cs="仿宋"/>
          <w:sz w:val="32"/>
          <w:szCs w:val="32"/>
          <w:lang w:val="en-US" w:eastAsia="zh-CN"/>
        </w:rPr>
        <w:t>122.75</w:t>
      </w:r>
      <w:r>
        <w:rPr>
          <w:rFonts w:hint="eastAsia" w:ascii="仿宋" w:hAnsi="仿宋" w:eastAsia="仿宋" w:cs="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3E7E0C3">
      <w:pPr>
        <w:spacing w:line="600" w:lineRule="exact"/>
        <w:ind w:firstLine="645"/>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7表和财决08-1表，仅罗列本部门实际支出涉及的经济分类科目。）</w:t>
      </w:r>
    </w:p>
    <w:p w14:paraId="411F9938">
      <w:pPr>
        <w:spacing w:line="600" w:lineRule="exact"/>
        <w:ind w:firstLine="640"/>
        <w:outlineLvl w:val="1"/>
        <w:rPr>
          <w:rStyle w:val="29"/>
          <w:rFonts w:ascii="黑体" w:hAnsi="黑体" w:eastAsia="黑体"/>
          <w:b w:val="0"/>
        </w:rPr>
      </w:pPr>
      <w:bookmarkStart w:id="75" w:name="_Toc15396609"/>
      <w:bookmarkStart w:id="76" w:name="_Toc20771"/>
      <w:bookmarkStart w:id="77" w:name="_Toc15377215"/>
      <w:r>
        <w:rPr>
          <w:rFonts w:hint="eastAsia" w:ascii="黑体" w:eastAsia="黑体"/>
          <w:sz w:val="32"/>
          <w:szCs w:val="32"/>
        </w:rPr>
        <w:t>七、</w:t>
      </w:r>
      <w:r>
        <w:rPr>
          <w:rStyle w:val="29"/>
          <w:rFonts w:hint="eastAsia" w:ascii="黑体" w:hAnsi="黑体" w:eastAsia="黑体"/>
          <w:b w:val="0"/>
        </w:rPr>
        <w:t>财政拨款</w:t>
      </w:r>
      <w:r>
        <w:rPr>
          <w:rStyle w:val="29"/>
          <w:rFonts w:hint="eastAsia" w:ascii="黑体" w:hAnsi="黑体" w:eastAsia="黑体"/>
        </w:rPr>
        <w:t>“</w:t>
      </w:r>
      <w:r>
        <w:rPr>
          <w:rStyle w:val="29"/>
          <w:rFonts w:hint="eastAsia" w:ascii="黑体" w:hAnsi="黑体" w:eastAsia="黑体"/>
          <w:b w:val="0"/>
        </w:rPr>
        <w:t>三公”经费支出决算情况说明</w:t>
      </w:r>
      <w:bookmarkEnd w:id="75"/>
      <w:bookmarkEnd w:id="76"/>
      <w:bookmarkEnd w:id="77"/>
    </w:p>
    <w:p w14:paraId="3893B89C">
      <w:pPr>
        <w:spacing w:line="600" w:lineRule="exact"/>
        <w:ind w:firstLine="640"/>
        <w:outlineLvl w:val="2"/>
        <w:rPr>
          <w:rFonts w:ascii="仿宋" w:hAnsi="仿宋" w:eastAsia="仿宋"/>
          <w:b/>
          <w:sz w:val="32"/>
          <w:szCs w:val="32"/>
        </w:rPr>
      </w:pPr>
      <w:bookmarkStart w:id="78" w:name="_Toc25177"/>
      <w:bookmarkStart w:id="79" w:name="_Toc15377216"/>
      <w:r>
        <w:rPr>
          <w:rFonts w:hint="eastAsia" w:ascii="仿宋" w:hAnsi="仿宋" w:eastAsia="仿宋"/>
          <w:b/>
          <w:sz w:val="32"/>
          <w:szCs w:val="32"/>
        </w:rPr>
        <w:t>（一）“三公”经费财政拨款支出决算总体情况说明</w:t>
      </w:r>
      <w:bookmarkEnd w:id="78"/>
      <w:bookmarkEnd w:id="79"/>
    </w:p>
    <w:p w14:paraId="695C080C">
      <w:pPr>
        <w:spacing w:line="600" w:lineRule="exact"/>
        <w:ind w:firstLine="64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年度“三公”经费财政拨款支出决算为</w:t>
      </w:r>
      <w:r>
        <w:rPr>
          <w:rFonts w:hint="eastAsia" w:eastAsia="仿宋"/>
          <w:sz w:val="32"/>
          <w:szCs w:val="32"/>
          <w:lang w:val="en-US" w:eastAsia="zh-CN"/>
        </w:rPr>
        <w:t>73.02</w:t>
      </w:r>
      <w:r>
        <w:rPr>
          <w:rFonts w:hint="eastAsia" w:ascii="仿宋" w:hAnsi="仿宋" w:eastAsia="仿宋"/>
          <w:sz w:val="32"/>
          <w:szCs w:val="32"/>
        </w:rPr>
        <w:t>万元，完成预算</w:t>
      </w:r>
      <w:r>
        <w:rPr>
          <w:sz w:val="32"/>
          <w:szCs w:val="32"/>
        </w:rPr>
        <w:t>100</w:t>
      </w:r>
      <w:r>
        <w:rPr>
          <w:rFonts w:ascii="仿宋" w:hAnsi="仿宋" w:eastAsia="仿宋"/>
          <w:sz w:val="32"/>
          <w:szCs w:val="32"/>
        </w:rPr>
        <w:t>%</w:t>
      </w:r>
      <w:r>
        <w:rPr>
          <w:rFonts w:hint="eastAsia" w:ascii="仿宋" w:hAnsi="仿宋" w:eastAsia="仿宋"/>
          <w:sz w:val="32"/>
          <w:szCs w:val="32"/>
        </w:rPr>
        <w:t>，较上年度减少</w:t>
      </w:r>
      <w:r>
        <w:rPr>
          <w:rFonts w:hint="eastAsia" w:ascii="仿宋" w:hAnsi="仿宋" w:eastAsia="仿宋"/>
          <w:sz w:val="32"/>
          <w:szCs w:val="32"/>
          <w:lang w:val="en-US" w:eastAsia="zh-CN"/>
        </w:rPr>
        <w:t>74.51</w:t>
      </w:r>
      <w:r>
        <w:rPr>
          <w:rFonts w:hint="eastAsia" w:ascii="仿宋" w:hAnsi="仿宋" w:eastAsia="仿宋"/>
          <w:sz w:val="32"/>
          <w:szCs w:val="32"/>
        </w:rPr>
        <w:t>万元，下降</w:t>
      </w:r>
      <w:r>
        <w:rPr>
          <w:rFonts w:hint="eastAsia" w:ascii="仿宋" w:hAnsi="仿宋" w:eastAsia="仿宋"/>
          <w:sz w:val="32"/>
          <w:szCs w:val="32"/>
          <w:lang w:val="en-US" w:eastAsia="zh-CN"/>
        </w:rPr>
        <w:t>50.5</w:t>
      </w:r>
      <w:r>
        <w:rPr>
          <w:rFonts w:hint="eastAsia" w:ascii="仿宋" w:hAnsi="仿宋" w:eastAsia="仿宋"/>
          <w:sz w:val="32"/>
          <w:szCs w:val="32"/>
        </w:rPr>
        <w:t>%。决算数</w:t>
      </w:r>
      <w:r>
        <w:rPr>
          <w:rFonts w:hint="eastAsia" w:ascii="仿宋" w:hAnsi="仿宋" w:eastAsia="仿宋"/>
          <w:sz w:val="32"/>
          <w:szCs w:val="32"/>
          <w:lang w:eastAsia="zh-CN"/>
        </w:rPr>
        <w:t>等于</w:t>
      </w:r>
      <w:r>
        <w:rPr>
          <w:rFonts w:hint="eastAsia" w:ascii="仿宋" w:hAnsi="仿宋" w:eastAsia="仿宋"/>
          <w:sz w:val="32"/>
          <w:szCs w:val="32"/>
        </w:rPr>
        <w:t>预算数。</w:t>
      </w:r>
    </w:p>
    <w:p w14:paraId="370CA9C7">
      <w:pPr>
        <w:spacing w:line="600" w:lineRule="exact"/>
        <w:ind w:firstLine="640"/>
        <w:rPr>
          <w:rFonts w:ascii="仿宋" w:hAnsi="仿宋" w:eastAsia="仿宋"/>
          <w:b/>
          <w:sz w:val="32"/>
          <w:szCs w:val="32"/>
        </w:rPr>
      </w:pPr>
      <w:r>
        <w:rPr>
          <w:rFonts w:hint="eastAsia" w:ascii="仿宋" w:hAnsi="仿宋" w:eastAsia="仿宋"/>
          <w:b/>
          <w:sz w:val="32"/>
          <w:szCs w:val="32"/>
        </w:rPr>
        <w:t>（注：上述“预算”口径为全年预算数，包括一般公共预算和政府性基金预算财政拨款支出决算情况。）</w:t>
      </w:r>
    </w:p>
    <w:p w14:paraId="13EFB1C9">
      <w:pPr>
        <w:spacing w:line="600" w:lineRule="exact"/>
        <w:ind w:firstLine="640"/>
        <w:outlineLvl w:val="2"/>
        <w:rPr>
          <w:rFonts w:ascii="仿宋" w:hAnsi="仿宋" w:eastAsia="仿宋"/>
          <w:b/>
          <w:sz w:val="32"/>
          <w:szCs w:val="32"/>
        </w:rPr>
      </w:pPr>
      <w:bookmarkStart w:id="80" w:name="_Toc10264"/>
      <w:bookmarkStart w:id="81" w:name="_Toc15377217"/>
      <w:r>
        <w:rPr>
          <w:rFonts w:hint="eastAsia" w:ascii="仿宋" w:hAnsi="仿宋" w:eastAsia="仿宋"/>
          <w:b/>
          <w:sz w:val="32"/>
          <w:szCs w:val="32"/>
        </w:rPr>
        <w:t>（二）“三公”经费财政拨款支出决算具体情况说明</w:t>
      </w:r>
      <w:bookmarkEnd w:id="80"/>
      <w:bookmarkEnd w:id="81"/>
    </w:p>
    <w:p w14:paraId="5954F5DA">
      <w:pPr>
        <w:spacing w:line="600" w:lineRule="exact"/>
        <w:ind w:firstLine="64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hint="eastAsia" w:eastAsia="仿宋"/>
          <w:sz w:val="32"/>
          <w:szCs w:val="32"/>
          <w:lang w:val="en-US" w:eastAsia="zh-CN"/>
        </w:rPr>
        <w:t>73.02</w:t>
      </w:r>
      <w:r>
        <w:rPr>
          <w:rFonts w:hint="eastAsia" w:ascii="仿宋" w:hAnsi="仿宋" w:eastAsia="仿宋"/>
          <w:sz w:val="32"/>
          <w:szCs w:val="32"/>
        </w:rPr>
        <w:t>万元，占</w:t>
      </w:r>
      <w:r>
        <w:rPr>
          <w:rFonts w:hint="eastAsia"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；公务接待费支出决算</w:t>
      </w:r>
      <w:r>
        <w:rPr>
          <w:rFonts w:hint="eastAsia" w:eastAsia="仿宋"/>
          <w:sz w:val="32"/>
          <w:szCs w:val="32"/>
          <w:lang w:val="en-US" w:eastAsia="zh-CN"/>
        </w:rPr>
        <w:t>0</w:t>
      </w:r>
      <w:r>
        <w:rPr>
          <w:rFonts w:hint="eastAsia" w:ascii="仿宋" w:hAnsi="仿宋" w:eastAsia="仿宋"/>
          <w:sz w:val="32"/>
          <w:szCs w:val="32"/>
        </w:rPr>
        <w:t>万元，占</w:t>
      </w:r>
      <w:r>
        <w:rPr>
          <w:rFonts w:hint="eastAsia"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。具体情况如下：</w:t>
      </w:r>
    </w:p>
    <w:p w14:paraId="01A2BC88">
      <w:pPr>
        <w:spacing w:line="600" w:lineRule="exact"/>
        <w:ind w:firstLine="640"/>
        <w:rPr>
          <w:rFonts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sz w:val="32"/>
          <w:szCs w:val="32"/>
        </w:rPr>
        <w:t>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w:t>
      </w:r>
    </w:p>
    <w:p w14:paraId="344942C2">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eastAsia="仿宋_GB2312"/>
          <w:sz w:val="32"/>
          <w:szCs w:val="32"/>
          <w:lang w:val="en-US" w:eastAsia="zh-CN"/>
        </w:rPr>
        <w:t>73.02</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sz w:val="32"/>
          <w:szCs w:val="32"/>
        </w:rPr>
        <w:t>100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公务用车购置及运行维护费支出决算比202</w:t>
      </w:r>
      <w:r>
        <w:rPr>
          <w:rFonts w:hint="eastAsia" w:ascii="仿宋_GB2312" w:eastAsia="仿宋_GB2312"/>
          <w:sz w:val="32"/>
          <w:szCs w:val="32"/>
          <w:lang w:val="en-US" w:eastAsia="zh-CN"/>
        </w:rPr>
        <w:t>3</w:t>
      </w:r>
      <w:r>
        <w:rPr>
          <w:rFonts w:hint="eastAsia" w:ascii="仿宋_GB2312" w:eastAsia="仿宋_GB2312"/>
          <w:sz w:val="32"/>
          <w:szCs w:val="32"/>
        </w:rPr>
        <w:t>年度减少</w:t>
      </w:r>
      <w:r>
        <w:rPr>
          <w:rFonts w:hint="eastAsia" w:ascii="仿宋_GB2312" w:eastAsia="仿宋_GB2312"/>
          <w:sz w:val="32"/>
          <w:szCs w:val="32"/>
          <w:lang w:val="en-US" w:eastAsia="zh-CN"/>
        </w:rPr>
        <w:t>74.51</w:t>
      </w:r>
      <w:r>
        <w:rPr>
          <w:rFonts w:hint="eastAsia" w:ascii="仿宋_GB2312" w:eastAsia="仿宋_GB2312"/>
          <w:sz w:val="32"/>
          <w:szCs w:val="32"/>
        </w:rPr>
        <w:t>万元，下降</w:t>
      </w:r>
      <w:r>
        <w:rPr>
          <w:rFonts w:hint="eastAsia" w:ascii="仿宋_GB2312" w:eastAsia="仿宋_GB2312"/>
          <w:sz w:val="32"/>
          <w:szCs w:val="32"/>
          <w:lang w:val="en-US" w:eastAsia="zh-CN"/>
        </w:rPr>
        <w:t>50.5</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厉行节约</w:t>
      </w:r>
      <w:r>
        <w:rPr>
          <w:rFonts w:hint="eastAsia" w:ascii="仿宋_GB2312" w:eastAsia="仿宋_GB2312"/>
          <w:sz w:val="32"/>
          <w:szCs w:val="32"/>
        </w:rPr>
        <w:t>。</w:t>
      </w:r>
    </w:p>
    <w:p w14:paraId="1F116E92">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万元。截至</w:t>
      </w:r>
      <w:r>
        <w:rPr>
          <w:rFonts w:hint="eastAsia" w:ascii="仿宋_GB2312" w:eastAsia="仿宋_GB2312"/>
          <w:sz w:val="32"/>
          <w:szCs w:val="32"/>
          <w:lang w:eastAsia="zh-CN"/>
        </w:rPr>
        <w:t>2024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13</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12</w:t>
      </w:r>
      <w:r>
        <w:rPr>
          <w:rFonts w:hint="eastAsia" w:ascii="仿宋_GB2312" w:eastAsia="仿宋_GB2312"/>
          <w:sz w:val="32"/>
          <w:szCs w:val="32"/>
        </w:rPr>
        <w:t>辆、载客汽车</w:t>
      </w:r>
      <w:r>
        <w:rPr>
          <w:rFonts w:hint="eastAsia" w:ascii="仿宋_GB2312" w:eastAsia="仿宋_GB2312"/>
          <w:sz w:val="32"/>
          <w:szCs w:val="32"/>
          <w:lang w:val="en-US" w:eastAsia="zh-CN"/>
        </w:rPr>
        <w:t>1</w:t>
      </w:r>
      <w:r>
        <w:rPr>
          <w:rFonts w:hint="eastAsia" w:ascii="仿宋_GB2312" w:eastAsia="仿宋_GB2312"/>
          <w:sz w:val="32"/>
          <w:szCs w:val="32"/>
        </w:rPr>
        <w:t>辆。</w:t>
      </w:r>
    </w:p>
    <w:p w14:paraId="21728DE8">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eastAsia="仿宋_GB2312"/>
          <w:sz w:val="32"/>
          <w:szCs w:val="32"/>
          <w:lang w:val="en-US" w:eastAsia="zh-CN"/>
        </w:rPr>
        <w:t>73.02</w:t>
      </w:r>
      <w:r>
        <w:rPr>
          <w:rFonts w:hint="eastAsia" w:ascii="仿宋_GB2312" w:eastAsia="仿宋_GB2312"/>
          <w:sz w:val="32"/>
          <w:szCs w:val="32"/>
        </w:rPr>
        <w:t>万元。主要用于</w:t>
      </w:r>
      <w:r>
        <w:rPr>
          <w:rFonts w:hint="eastAsia" w:ascii="仿宋_GB2312" w:eastAsia="仿宋_GB2312"/>
          <w:sz w:val="32"/>
          <w:szCs w:val="32"/>
          <w:lang w:eastAsia="zh-CN"/>
        </w:rPr>
        <w:t>县政府各项工作用车</w:t>
      </w:r>
      <w:r>
        <w:rPr>
          <w:rFonts w:hint="eastAsia" w:ascii="仿宋_GB2312" w:eastAsia="仿宋_GB2312"/>
          <w:sz w:val="32"/>
          <w:szCs w:val="32"/>
        </w:rPr>
        <w:t>等所需的公务用车燃料费、维修费、过路过桥费、保险费等支出。</w:t>
      </w:r>
    </w:p>
    <w:p w14:paraId="116F608A">
      <w:pPr>
        <w:spacing w:line="600" w:lineRule="exact"/>
        <w:ind w:firstLine="640"/>
        <w:rPr>
          <w:rFonts w:hint="eastAsia"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eastAsia="仿宋_GB2312"/>
          <w:sz w:val="32"/>
          <w:szCs w:val="32"/>
          <w:lang w:val="en-US" w:eastAsia="zh-CN"/>
        </w:rPr>
        <w:t>0</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rFonts w:hint="eastAsia" w:eastAsia="仿宋"/>
          <w:sz w:val="32"/>
          <w:szCs w:val="32"/>
          <w:lang w:val="en-US" w:eastAsia="zh-CN"/>
        </w:rPr>
        <w:t>0</w:t>
      </w:r>
      <w:r>
        <w:rPr>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公务接待费支出决算比202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ascii="仿宋_GB2312" w:eastAsia="仿宋_GB2312"/>
          <w:sz w:val="32"/>
          <w:szCs w:val="32"/>
          <w:lang w:eastAsia="zh-CN"/>
        </w:rPr>
        <w:t>减少</w:t>
      </w:r>
      <w:r>
        <w:rPr>
          <w:rFonts w:hint="eastAsia" w:ascii="仿宋_GB2312" w:eastAsia="仿宋_GB2312"/>
          <w:sz w:val="32"/>
          <w:szCs w:val="32"/>
          <w:lang w:val="en-US" w:eastAsia="zh-CN"/>
        </w:rPr>
        <w:t>0.56</w:t>
      </w:r>
      <w:r>
        <w:rPr>
          <w:rFonts w:hint="eastAsia" w:ascii="仿宋_GB2312" w:eastAsia="仿宋_GB2312"/>
          <w:sz w:val="32"/>
          <w:szCs w:val="32"/>
        </w:rPr>
        <w:t>万元，</w:t>
      </w:r>
      <w:r>
        <w:rPr>
          <w:rFonts w:hint="eastAsia" w:ascii="仿宋_GB2312" w:eastAsia="仿宋_GB2312"/>
          <w:sz w:val="32"/>
          <w:szCs w:val="32"/>
          <w:lang w:eastAsia="zh-CN"/>
        </w:rPr>
        <w:t>降低</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公务接待工作减少</w:t>
      </w:r>
      <w:r>
        <w:rPr>
          <w:rFonts w:hint="eastAsia" w:ascii="仿宋_GB2312" w:eastAsia="仿宋_GB2312"/>
          <w:sz w:val="32"/>
          <w:szCs w:val="32"/>
        </w:rPr>
        <w:t>。其中：</w:t>
      </w:r>
      <w:r>
        <w:rPr>
          <w:rFonts w:hint="eastAsia" w:ascii="仿宋" w:hAnsi="仿宋" w:eastAsia="仿宋"/>
          <w:b/>
          <w:sz w:val="32"/>
          <w:szCs w:val="32"/>
        </w:rPr>
        <w:t>国内公务接待支出</w:t>
      </w:r>
      <w:r>
        <w:rPr>
          <w:rFonts w:hint="eastAsia" w:ascii="仿宋" w:hAnsi="仿宋" w:eastAsia="仿宋"/>
          <w:b/>
          <w:sz w:val="32"/>
          <w:szCs w:val="32"/>
          <w:lang w:val="en-US" w:eastAsia="zh-CN"/>
        </w:rPr>
        <w:t>0</w:t>
      </w:r>
      <w:r>
        <w:rPr>
          <w:rFonts w:hint="eastAsia" w:ascii="仿宋_GB2312" w:eastAsia="仿宋_GB2312"/>
          <w:sz w:val="32"/>
          <w:szCs w:val="32"/>
        </w:rPr>
        <w:t>万元，主要用于执行公务、开展业务活动开支用餐费等</w:t>
      </w:r>
      <w:r>
        <w:rPr>
          <w:rFonts w:hint="eastAsia" w:ascii="仿宋_GB2312" w:eastAsia="仿宋_GB2312"/>
          <w:color w:val="auto"/>
          <w:sz w:val="32"/>
          <w:szCs w:val="32"/>
        </w:rPr>
        <w:t>。国内公务接待</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人次（不包括陪同人员），共计支出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Fonts w:hint="eastAsia" w:ascii="仿宋" w:hAnsi="仿宋" w:eastAsia="仿宋"/>
          <w:b/>
          <w:sz w:val="32"/>
          <w:szCs w:val="32"/>
        </w:rPr>
        <w:t>外事接待支出</w:t>
      </w:r>
      <w:r>
        <w:rPr>
          <w:rFonts w:hint="eastAsia" w:ascii="仿宋" w:hAnsi="仿宋" w:eastAsia="仿宋"/>
          <w:b/>
          <w:sz w:val="32"/>
          <w:szCs w:val="32"/>
          <w:lang w:val="en-US" w:eastAsia="zh-CN"/>
        </w:rPr>
        <w:t>0</w:t>
      </w:r>
      <w:r>
        <w:rPr>
          <w:rFonts w:hint="eastAsia" w:ascii="仿宋_GB2312" w:eastAsia="仿宋_GB2312"/>
          <w:sz w:val="32"/>
          <w:szCs w:val="32"/>
        </w:rPr>
        <w:t>万元。</w:t>
      </w:r>
      <w:bookmarkStart w:id="82" w:name="_Toc15377218"/>
      <w:bookmarkStart w:id="83" w:name="_Toc15396610"/>
    </w:p>
    <w:p w14:paraId="5396E50E">
      <w:pPr>
        <w:spacing w:line="600" w:lineRule="exact"/>
        <w:ind w:firstLine="640"/>
        <w:outlineLvl w:val="1"/>
        <w:rPr>
          <w:rStyle w:val="29"/>
          <w:rFonts w:ascii="黑体" w:hAnsi="黑体" w:eastAsia="黑体"/>
        </w:rPr>
      </w:pPr>
      <w:bookmarkStart w:id="84" w:name="_Toc3943"/>
      <w:r>
        <w:rPr>
          <w:rFonts w:hint="eastAsia" w:ascii="黑体" w:eastAsia="黑体"/>
          <w:sz w:val="32"/>
          <w:szCs w:val="32"/>
        </w:rPr>
        <w:t>八、</w:t>
      </w:r>
      <w:r>
        <w:rPr>
          <w:rStyle w:val="29"/>
          <w:rFonts w:hint="eastAsia" w:ascii="黑体" w:hAnsi="黑体" w:eastAsia="黑体"/>
          <w:b w:val="0"/>
        </w:rPr>
        <w:t>政府性基金预算支出决算情况说明</w:t>
      </w:r>
      <w:bookmarkEnd w:id="82"/>
      <w:bookmarkEnd w:id="83"/>
      <w:bookmarkEnd w:id="84"/>
    </w:p>
    <w:p w14:paraId="05BF9C09">
      <w:pPr>
        <w:spacing w:line="600" w:lineRule="exact"/>
        <w:ind w:firstLine="640"/>
        <w:rPr>
          <w:rFonts w:ascii="仿宋_GB2312" w:eastAsia="仿宋_GB2312"/>
          <w:sz w:val="32"/>
          <w:szCs w:val="32"/>
        </w:rPr>
      </w:pPr>
      <w:r>
        <w:rPr>
          <w:rFonts w:hint="eastAsia" w:ascii="仿宋_GB2312" w:eastAsia="仿宋_GB2312"/>
          <w:sz w:val="32"/>
          <w:szCs w:val="32"/>
          <w:lang w:eastAsia="zh-CN"/>
        </w:rPr>
        <w:t>2024</w:t>
      </w:r>
      <w:r>
        <w:rPr>
          <w:rFonts w:hint="eastAsia" w:ascii="仿宋_GB2312" w:eastAsia="仿宋_GB2312"/>
          <w:sz w:val="32"/>
          <w:szCs w:val="32"/>
        </w:rPr>
        <w:t>年度政府性基金预算财政拨款支出</w:t>
      </w:r>
      <w:r>
        <w:rPr>
          <w:sz w:val="32"/>
          <w:szCs w:val="32"/>
        </w:rPr>
        <w:t>0</w:t>
      </w:r>
      <w:r>
        <w:rPr>
          <w:rFonts w:hint="eastAsia" w:ascii="仿宋_GB2312" w:eastAsia="仿宋_GB2312"/>
          <w:sz w:val="32"/>
          <w:szCs w:val="32"/>
        </w:rPr>
        <w:t>万元。</w:t>
      </w:r>
    </w:p>
    <w:p w14:paraId="1DCD040D">
      <w:pPr>
        <w:numPr>
          <w:ilvl w:val="0"/>
          <w:numId w:val="6"/>
        </w:numPr>
        <w:spacing w:line="600" w:lineRule="exact"/>
        <w:ind w:firstLine="640"/>
        <w:outlineLvl w:val="1"/>
        <w:rPr>
          <w:rStyle w:val="29"/>
          <w:rFonts w:ascii="黑体" w:hAnsi="黑体" w:eastAsia="黑体"/>
          <w:b w:val="0"/>
        </w:rPr>
      </w:pPr>
      <w:bookmarkStart w:id="85" w:name="_Toc15377219"/>
      <w:bookmarkStart w:id="86" w:name="_Toc15396611"/>
      <w:bookmarkStart w:id="87" w:name="_Toc454"/>
      <w:r>
        <w:rPr>
          <w:rStyle w:val="29"/>
          <w:rFonts w:hint="eastAsia" w:ascii="黑体" w:hAnsi="黑体" w:eastAsia="黑体"/>
          <w:b w:val="0"/>
        </w:rPr>
        <w:t>国有资本经营预算支出决算情况说明</w:t>
      </w:r>
      <w:bookmarkEnd w:id="85"/>
      <w:bookmarkEnd w:id="86"/>
      <w:bookmarkEnd w:id="87"/>
    </w:p>
    <w:p w14:paraId="2980FBEE">
      <w:pPr>
        <w:spacing w:line="600" w:lineRule="exact"/>
        <w:ind w:firstLine="640"/>
        <w:rPr>
          <w:rFonts w:ascii="仿宋_GB2312" w:eastAsia="仿宋_GB2312"/>
          <w:sz w:val="32"/>
          <w:szCs w:val="32"/>
        </w:rPr>
      </w:pPr>
      <w:r>
        <w:rPr>
          <w:rFonts w:hint="eastAsia" w:ascii="仿宋_GB2312" w:eastAsia="仿宋_GB2312"/>
          <w:sz w:val="32"/>
          <w:szCs w:val="32"/>
          <w:lang w:eastAsia="zh-CN"/>
        </w:rPr>
        <w:t>2024</w:t>
      </w:r>
      <w:r>
        <w:rPr>
          <w:rFonts w:hint="eastAsia" w:ascii="仿宋_GB2312" w:eastAsia="仿宋_GB2312"/>
          <w:sz w:val="32"/>
          <w:szCs w:val="32"/>
        </w:rPr>
        <w:t>年度国有资本经营预算财政拨款支出</w:t>
      </w:r>
      <w:r>
        <w:rPr>
          <w:sz w:val="32"/>
          <w:szCs w:val="32"/>
        </w:rPr>
        <w:t>0</w:t>
      </w:r>
      <w:r>
        <w:rPr>
          <w:rFonts w:hint="eastAsia" w:ascii="仿宋_GB2312" w:eastAsia="仿宋_GB2312"/>
          <w:sz w:val="32"/>
          <w:szCs w:val="32"/>
        </w:rPr>
        <w:t>万元。</w:t>
      </w:r>
    </w:p>
    <w:p w14:paraId="58F794CE">
      <w:pPr>
        <w:numPr>
          <w:ilvl w:val="0"/>
          <w:numId w:val="6"/>
        </w:numPr>
        <w:spacing w:line="600" w:lineRule="exact"/>
        <w:ind w:firstLine="640"/>
        <w:outlineLvl w:val="1"/>
        <w:rPr>
          <w:rStyle w:val="29"/>
          <w:rFonts w:ascii="黑体" w:hAnsi="黑体" w:eastAsia="黑体"/>
          <w:b w:val="0"/>
        </w:rPr>
      </w:pPr>
      <w:bookmarkStart w:id="88" w:name="_Toc15396612"/>
      <w:bookmarkStart w:id="89" w:name="_Toc31730"/>
      <w:bookmarkStart w:id="90" w:name="_Toc15377221"/>
      <w:r>
        <w:rPr>
          <w:rStyle w:val="29"/>
          <w:rFonts w:hint="eastAsia" w:ascii="黑体" w:hAnsi="黑体" w:eastAsia="黑体"/>
          <w:b w:val="0"/>
        </w:rPr>
        <w:t>其他重要事项的情况说明</w:t>
      </w:r>
      <w:bookmarkEnd w:id="88"/>
      <w:bookmarkEnd w:id="89"/>
      <w:bookmarkEnd w:id="90"/>
    </w:p>
    <w:p w14:paraId="279B43B2">
      <w:pPr>
        <w:spacing w:line="600" w:lineRule="exact"/>
        <w:ind w:firstLine="643" w:firstLineChars="200"/>
        <w:outlineLvl w:val="2"/>
        <w:rPr>
          <w:rFonts w:ascii="仿宋" w:hAnsi="仿宋" w:eastAsia="仿宋"/>
          <w:sz w:val="32"/>
          <w:szCs w:val="32"/>
        </w:rPr>
      </w:pPr>
      <w:bookmarkStart w:id="91" w:name="_Toc15377222"/>
      <w:bookmarkStart w:id="92" w:name="_Toc31489"/>
      <w:r>
        <w:rPr>
          <w:rFonts w:hint="eastAsia" w:ascii="仿宋" w:hAnsi="仿宋" w:eastAsia="仿宋"/>
          <w:b/>
          <w:sz w:val="32"/>
          <w:szCs w:val="32"/>
        </w:rPr>
        <w:t>（一）机关运行经费支出情况</w:t>
      </w:r>
      <w:bookmarkEnd w:id="91"/>
      <w:bookmarkEnd w:id="92"/>
    </w:p>
    <w:p w14:paraId="69D13799">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t>2024</w:t>
      </w:r>
      <w:r>
        <w:rPr>
          <w:rFonts w:hint="eastAsia" w:ascii="仿宋_GB2312" w:eastAsia="仿宋_GB2312"/>
          <w:sz w:val="32"/>
          <w:szCs w:val="32"/>
        </w:rPr>
        <w:t>年度，</w:t>
      </w:r>
      <w:r>
        <w:rPr>
          <w:rFonts w:hint="eastAsia"/>
          <w:sz w:val="32"/>
          <w:szCs w:val="32"/>
        </w:rPr>
        <w:t>人民政府办公室</w:t>
      </w:r>
      <w:r>
        <w:rPr>
          <w:rFonts w:hint="eastAsia" w:ascii="仿宋_GB2312" w:eastAsia="仿宋_GB2312"/>
          <w:sz w:val="32"/>
          <w:szCs w:val="32"/>
        </w:rPr>
        <w:t>机关运行经费支出</w:t>
      </w:r>
      <w:r>
        <w:rPr>
          <w:rFonts w:hint="eastAsia" w:eastAsia="仿宋_GB2312"/>
          <w:sz w:val="32"/>
          <w:szCs w:val="32"/>
          <w:lang w:val="en-US" w:eastAsia="zh-CN"/>
        </w:rPr>
        <w:t>90.50</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年度减少</w:t>
      </w:r>
      <w:r>
        <w:rPr>
          <w:rFonts w:hint="eastAsia" w:ascii="仿宋_GB2312" w:eastAsia="仿宋_GB2312"/>
          <w:sz w:val="32"/>
          <w:szCs w:val="32"/>
          <w:lang w:val="en-US" w:eastAsia="zh-CN"/>
        </w:rPr>
        <w:t>420.36</w:t>
      </w:r>
      <w:r>
        <w:rPr>
          <w:rFonts w:hint="eastAsia" w:ascii="仿宋_GB2312" w:eastAsia="仿宋_GB2312"/>
          <w:sz w:val="32"/>
          <w:szCs w:val="32"/>
        </w:rPr>
        <w:t>万元，下降</w:t>
      </w:r>
      <w:r>
        <w:rPr>
          <w:rFonts w:hint="eastAsia" w:ascii="仿宋_GB2312" w:eastAsia="仿宋_GB2312"/>
          <w:sz w:val="32"/>
          <w:szCs w:val="32"/>
          <w:lang w:val="en-US" w:eastAsia="zh-CN"/>
        </w:rPr>
        <w:t>82.28</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机关事务纳入到了公务服务中心和厉行节约</w:t>
      </w:r>
      <w:r>
        <w:rPr>
          <w:rFonts w:hint="eastAsia" w:ascii="仿宋_GB2312" w:eastAsia="仿宋_GB2312"/>
          <w:sz w:val="32"/>
          <w:szCs w:val="32"/>
        </w:rPr>
        <w:t>。</w:t>
      </w:r>
    </w:p>
    <w:p w14:paraId="659ADD5B">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6C7507BB">
      <w:pPr>
        <w:autoSpaceDE w:val="0"/>
        <w:autoSpaceDN w:val="0"/>
        <w:adjustRightInd w:val="0"/>
        <w:spacing w:line="600" w:lineRule="exact"/>
        <w:ind w:firstLine="643" w:firstLineChars="200"/>
        <w:jc w:val="left"/>
        <w:outlineLvl w:val="2"/>
        <w:rPr>
          <w:rFonts w:ascii="仿宋" w:hAnsi="仿宋" w:eastAsia="仿宋"/>
          <w:b/>
          <w:sz w:val="32"/>
          <w:szCs w:val="32"/>
        </w:rPr>
      </w:pPr>
      <w:bookmarkStart w:id="93" w:name="_Toc20683"/>
      <w:bookmarkStart w:id="94" w:name="_Toc15377223"/>
      <w:r>
        <w:rPr>
          <w:rFonts w:hint="eastAsia" w:ascii="仿宋" w:hAnsi="仿宋" w:eastAsia="仿宋"/>
          <w:b/>
          <w:sz w:val="32"/>
          <w:szCs w:val="32"/>
        </w:rPr>
        <w:t>（二）政府采购支出情况</w:t>
      </w:r>
      <w:bookmarkEnd w:id="93"/>
      <w:bookmarkEnd w:id="94"/>
    </w:p>
    <w:p w14:paraId="041FE704">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t>2024</w:t>
      </w:r>
      <w:r>
        <w:rPr>
          <w:rFonts w:hint="eastAsia" w:ascii="仿宋_GB2312" w:eastAsia="仿宋_GB2312"/>
          <w:sz w:val="32"/>
          <w:szCs w:val="32"/>
        </w:rPr>
        <w:t>年度，</w:t>
      </w:r>
      <w:r>
        <w:rPr>
          <w:rFonts w:hint="eastAsia"/>
          <w:sz w:val="32"/>
          <w:szCs w:val="32"/>
        </w:rPr>
        <w:t>人民政府办公室</w:t>
      </w:r>
      <w:r>
        <w:rPr>
          <w:rFonts w:hint="eastAsia" w:ascii="仿宋_GB2312" w:eastAsia="仿宋_GB2312"/>
          <w:sz w:val="32"/>
          <w:szCs w:val="32"/>
        </w:rPr>
        <w:t>政府采购支出总额</w:t>
      </w:r>
      <w:r>
        <w:rPr>
          <w:rFonts w:hint="eastAsia" w:eastAsia="仿宋_GB2312"/>
          <w:sz w:val="32"/>
          <w:szCs w:val="32"/>
          <w:lang w:val="en-US" w:eastAsia="zh-CN"/>
        </w:rPr>
        <w:t>0</w:t>
      </w:r>
      <w:r>
        <w:rPr>
          <w:rFonts w:hint="eastAsia" w:ascii="仿宋_GB2312" w:eastAsia="仿宋_GB2312"/>
          <w:sz w:val="32"/>
          <w:szCs w:val="32"/>
        </w:rPr>
        <w:t>万元，其中：政府采购货物支出</w:t>
      </w:r>
      <w:r>
        <w:rPr>
          <w:rFonts w:hint="eastAsia" w:eastAsia="仿宋_GB2312"/>
          <w:sz w:val="32"/>
          <w:szCs w:val="32"/>
          <w:lang w:val="en-US" w:eastAsia="zh-CN"/>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万元。主要用于</w:t>
      </w:r>
      <w:r>
        <w:rPr>
          <w:rFonts w:hint="eastAsia" w:ascii="仿宋_GB2312" w:eastAsia="仿宋_GB2312"/>
          <w:sz w:val="32"/>
          <w:szCs w:val="32"/>
          <w:lang w:eastAsia="zh-CN"/>
        </w:rPr>
        <w:t>办公设备采购</w:t>
      </w:r>
      <w:r>
        <w:rPr>
          <w:rFonts w:hint="eastAsia" w:ascii="仿宋_GB2312" w:eastAsia="仿宋_GB2312"/>
          <w:sz w:val="32"/>
          <w:szCs w:val="32"/>
        </w:rPr>
        <w:t>。授予中小企业合同金额</w:t>
      </w:r>
      <w:r>
        <w:rPr>
          <w:rFonts w:hint="eastAsia" w:eastAsia="仿宋_GB2312"/>
          <w:sz w:val="32"/>
          <w:szCs w:val="32"/>
          <w:lang w:val="en-US" w:eastAsia="zh-CN"/>
        </w:rPr>
        <w:t>0</w:t>
      </w:r>
      <w:r>
        <w:rPr>
          <w:rFonts w:hint="eastAsia" w:ascii="仿宋_GB2312" w:eastAsia="仿宋_GB2312"/>
          <w:sz w:val="32"/>
          <w:szCs w:val="32"/>
        </w:rPr>
        <w:t>万元，占政府采购支出总额的</w:t>
      </w:r>
      <w:r>
        <w:rPr>
          <w:sz w:val="32"/>
          <w:szCs w:val="32"/>
        </w:rPr>
        <w:t>100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eastAsia="仿宋_GB2312"/>
          <w:sz w:val="32"/>
          <w:szCs w:val="32"/>
          <w:lang w:val="en-US" w:eastAsia="zh-CN"/>
        </w:rPr>
        <w:t>0</w:t>
      </w:r>
      <w:r>
        <w:rPr>
          <w:rFonts w:hint="eastAsia" w:ascii="仿宋_GB2312" w:eastAsia="仿宋_GB2312"/>
          <w:sz w:val="32"/>
          <w:szCs w:val="32"/>
        </w:rPr>
        <w:t>万元，占政府采购支出总额的</w:t>
      </w:r>
      <w:r>
        <w:rPr>
          <w:sz w:val="32"/>
          <w:szCs w:val="32"/>
        </w:rPr>
        <w:t>100</w:t>
      </w:r>
      <w:r>
        <w:rPr>
          <w:rFonts w:ascii="仿宋_GB2312" w:eastAsia="仿宋_GB2312"/>
          <w:sz w:val="32"/>
          <w:szCs w:val="32"/>
        </w:rPr>
        <w:t>%</w:t>
      </w:r>
      <w:r>
        <w:rPr>
          <w:rFonts w:hint="eastAsia" w:ascii="仿宋_GB2312" w:eastAsia="仿宋_GB2312"/>
          <w:sz w:val="32"/>
          <w:szCs w:val="32"/>
        </w:rPr>
        <w:t>。</w:t>
      </w:r>
    </w:p>
    <w:p w14:paraId="3DAF49B7">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02E04147">
      <w:pPr>
        <w:autoSpaceDE w:val="0"/>
        <w:autoSpaceDN w:val="0"/>
        <w:adjustRightInd w:val="0"/>
        <w:spacing w:line="600" w:lineRule="exact"/>
        <w:ind w:firstLine="643" w:firstLineChars="200"/>
        <w:jc w:val="left"/>
        <w:outlineLvl w:val="2"/>
        <w:rPr>
          <w:rFonts w:ascii="仿宋" w:hAnsi="仿宋" w:eastAsia="仿宋"/>
          <w:b/>
          <w:sz w:val="32"/>
          <w:szCs w:val="32"/>
        </w:rPr>
      </w:pPr>
      <w:bookmarkStart w:id="95" w:name="_Toc15377224"/>
      <w:bookmarkStart w:id="96" w:name="_Toc17275"/>
      <w:r>
        <w:rPr>
          <w:rFonts w:hint="eastAsia" w:ascii="仿宋" w:hAnsi="仿宋" w:eastAsia="仿宋"/>
          <w:b/>
          <w:sz w:val="32"/>
          <w:szCs w:val="32"/>
        </w:rPr>
        <w:t>（三）国有资产占有使用情况</w:t>
      </w:r>
      <w:bookmarkEnd w:id="95"/>
      <w:bookmarkEnd w:id="96"/>
    </w:p>
    <w:p w14:paraId="391C1CAE">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hint="eastAsia" w:ascii="仿宋_GB2312" w:eastAsia="仿宋_GB2312"/>
          <w:sz w:val="32"/>
          <w:szCs w:val="32"/>
          <w:lang w:eastAsia="zh-CN"/>
        </w:rPr>
        <w:t>2024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人民政府办公室</w:t>
      </w:r>
      <w:r>
        <w:rPr>
          <w:rFonts w:hint="eastAsia" w:ascii="仿宋_GB2312" w:eastAsia="仿宋_GB2312"/>
          <w:sz w:val="32"/>
          <w:szCs w:val="32"/>
        </w:rPr>
        <w:t>共有车辆</w:t>
      </w:r>
      <w:r>
        <w:rPr>
          <w:rFonts w:ascii="仿宋_GB2312" w:eastAsia="仿宋_GB2312"/>
          <w:sz w:val="32"/>
          <w:szCs w:val="32"/>
        </w:rPr>
        <w:t>13</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1</w:t>
      </w:r>
      <w:r>
        <w:rPr>
          <w:rFonts w:hint="eastAsia" w:ascii="仿宋_GB2312" w:eastAsia="仿宋_GB2312"/>
          <w:sz w:val="32"/>
          <w:szCs w:val="32"/>
        </w:rPr>
        <w:t>辆、应急保障用车</w:t>
      </w:r>
      <w:r>
        <w:rPr>
          <w:rFonts w:hint="eastAsia" w:ascii="仿宋_GB2312" w:eastAsia="仿宋_GB2312"/>
          <w:sz w:val="32"/>
          <w:szCs w:val="32"/>
          <w:lang w:val="en-US" w:eastAsia="zh-CN"/>
        </w:rPr>
        <w:t>8</w:t>
      </w:r>
      <w:r>
        <w:rPr>
          <w:rFonts w:hint="eastAsia" w:ascii="仿宋_GB2312" w:eastAsia="仿宋_GB2312"/>
          <w:sz w:val="32"/>
          <w:szCs w:val="32"/>
        </w:rPr>
        <w:t>辆、其他用车</w:t>
      </w:r>
      <w:r>
        <w:rPr>
          <w:rFonts w:hint="eastAsia" w:ascii="仿宋_GB2312" w:eastAsia="仿宋_GB2312"/>
          <w:sz w:val="32"/>
          <w:szCs w:val="32"/>
          <w:lang w:val="en-US" w:eastAsia="zh-CN"/>
        </w:rPr>
        <w:t>4</w:t>
      </w:r>
      <w:r>
        <w:rPr>
          <w:rFonts w:hint="eastAsia" w:ascii="仿宋_GB2312" w:eastAsia="仿宋_GB2312"/>
          <w:sz w:val="32"/>
          <w:szCs w:val="32"/>
        </w:rPr>
        <w:t>辆，其他用车主要是用于政府工作安排布置监督等方面。单价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14:paraId="7746A1CB">
      <w:pPr>
        <w:autoSpaceDE w:val="0"/>
        <w:autoSpaceDN w:val="0"/>
        <w:adjustRightInd w:val="0"/>
        <w:spacing w:line="600" w:lineRule="exact"/>
        <w:ind w:firstLine="643" w:firstLineChars="200"/>
        <w:jc w:val="left"/>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表，按部门决算报表填报数据罗列车辆情况。）</w:t>
      </w:r>
    </w:p>
    <w:p w14:paraId="13C6185E">
      <w:pPr>
        <w:autoSpaceDE w:val="0"/>
        <w:autoSpaceDN w:val="0"/>
        <w:adjustRightInd w:val="0"/>
        <w:spacing w:line="600" w:lineRule="exact"/>
        <w:ind w:firstLine="643" w:firstLineChars="200"/>
        <w:jc w:val="left"/>
        <w:outlineLvl w:val="2"/>
        <w:rPr>
          <w:rFonts w:ascii="仿宋" w:hAnsi="仿宋" w:eastAsia="仿宋"/>
          <w:b/>
          <w:sz w:val="32"/>
          <w:szCs w:val="32"/>
        </w:rPr>
      </w:pPr>
      <w:bookmarkStart w:id="97" w:name="_Toc2166"/>
      <w:r>
        <w:rPr>
          <w:rFonts w:hint="eastAsia" w:ascii="仿宋" w:hAnsi="仿宋" w:eastAsia="仿宋"/>
          <w:b/>
          <w:sz w:val="32"/>
          <w:szCs w:val="32"/>
        </w:rPr>
        <w:t>（四）预算绩效管理情况</w:t>
      </w:r>
      <w:bookmarkEnd w:id="97"/>
    </w:p>
    <w:p w14:paraId="22466D23">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年度预算编制阶段，组织对</w:t>
      </w:r>
      <w:r>
        <w:rPr>
          <w:rFonts w:hint="eastAsia" w:ascii="仿宋_GB2312" w:hAnsi="仿宋_GB2312" w:eastAsia="仿宋_GB2312" w:cs="仿宋_GB2312"/>
          <w:sz w:val="32"/>
          <w:szCs w:val="32"/>
          <w:lang w:eastAsia="zh-CN"/>
        </w:rPr>
        <w:t>外事工作经费</w:t>
      </w:r>
      <w:r>
        <w:rPr>
          <w:rFonts w:hint="eastAsia" w:ascii="仿宋_GB2312" w:hAnsi="仿宋_GB2312" w:eastAsia="仿宋_GB2312" w:cs="仿宋_GB2312"/>
          <w:sz w:val="32"/>
          <w:szCs w:val="32"/>
        </w:rPr>
        <w:t>项目等</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个项目开展绩效监控。</w:t>
      </w:r>
    </w:p>
    <w:p w14:paraId="52640CC2">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组织对</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eastAsia="zh-CN"/>
        </w:rPr>
        <w:t>县人民政府办公室</w:t>
      </w:r>
      <w:r>
        <w:rPr>
          <w:rFonts w:hint="eastAsia" w:ascii="仿宋_GB2312" w:hAnsi="仿宋_GB2312" w:eastAsia="仿宋_GB2312" w:cs="仿宋_GB2312"/>
          <w:sz w:val="32"/>
          <w:szCs w:val="32"/>
        </w:rPr>
        <w:t>部门整体（含部门预算项目）绩效自评报告、</w:t>
      </w:r>
      <w:r>
        <w:rPr>
          <w:rFonts w:hint="eastAsia" w:ascii="仿宋_GB2312" w:hAnsi="仿宋_GB2312" w:eastAsia="仿宋_GB2312" w:cs="仿宋_GB2312"/>
          <w:sz w:val="32"/>
          <w:szCs w:val="32"/>
          <w:lang w:eastAsia="zh-CN"/>
        </w:rPr>
        <w:t>外事工作经费</w:t>
      </w:r>
      <w:r>
        <w:rPr>
          <w:rFonts w:hint="eastAsia" w:ascii="仿宋_GB2312" w:hAnsi="仿宋_GB2312" w:eastAsia="仿宋_GB2312" w:cs="仿宋_GB2312"/>
          <w:sz w:val="32"/>
          <w:szCs w:val="32"/>
        </w:rPr>
        <w:t>等专项预算项目绩效自评报告，其中，</w:t>
      </w:r>
      <w:r>
        <w:rPr>
          <w:rFonts w:hint="eastAsia" w:ascii="仿宋_GB2312" w:hAnsi="仿宋_GB2312" w:eastAsia="仿宋_GB2312" w:cs="仿宋_GB2312"/>
          <w:sz w:val="32"/>
          <w:szCs w:val="32"/>
          <w:lang w:eastAsia="zh-CN"/>
        </w:rPr>
        <w:t>县人民政府办公室</w:t>
      </w:r>
      <w:r>
        <w:rPr>
          <w:rFonts w:hint="eastAsia" w:ascii="仿宋_GB2312" w:hAnsi="仿宋_GB2312" w:eastAsia="仿宋_GB2312" w:cs="仿宋_GB2312"/>
          <w:sz w:val="32"/>
          <w:szCs w:val="32"/>
        </w:rPr>
        <w:t>部门整体（含部门预算项目）绩效自评得分为</w:t>
      </w:r>
      <w:r>
        <w:rPr>
          <w:rFonts w:hint="eastAsia" w:ascii="仿宋_GB2312" w:hAnsi="仿宋_GB2312" w:eastAsia="仿宋_GB2312" w:cs="仿宋_GB2312"/>
          <w:color w:val="auto"/>
          <w:sz w:val="32"/>
          <w:szCs w:val="32"/>
          <w:lang w:val="en-US" w:eastAsia="zh-CN"/>
        </w:rPr>
        <w:t>95</w:t>
      </w:r>
      <w:r>
        <w:rPr>
          <w:rFonts w:hint="eastAsia" w:ascii="仿宋_GB2312" w:hAnsi="仿宋_GB2312" w:eastAsia="仿宋_GB2312" w:cs="仿宋_GB2312"/>
          <w:sz w:val="32"/>
          <w:szCs w:val="32"/>
        </w:rPr>
        <w:t>分，绩效自评综述：凝聚力量奋进实干，重点工作有序推进。一是全力做好信访维稳，二是着力加强人防建设，应急人防工作有序开展，三是高标准推进外事工作，四是科学规范后勤管理，政务服务体系加快完善；政务信息公开透明，信息报送提质增效，建立健全政务信息考核制度，严格实施奖惩机制，全力做好信息报送工作，推动信息工作科学化、规范化，能够及时、准确、全面的反映政务工作动态，切实保障信息质量。政务系统全面升级。统筹联动突出重点，全力确保政令畅通。一是抓好统筹协调，二是高效完成县委、县政府督查督办事项，创新建立健全督查督办机制，三是围绕县政府中心工作和各个阶段重点工作，深入开展调研活动，四是加强应急值守，坚持执行24小时全日制政务值班制度；外事工作稳步提升，政府采购规范有序，全力做好信访维稳工作，深入基层服务群众，持续巩固脱贫成果，推动乡村振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绩效自评报告详见附件。</w:t>
      </w:r>
    </w:p>
    <w:p w14:paraId="6F895CCF">
      <w:pPr>
        <w:pStyle w:val="2"/>
        <w:jc w:val="center"/>
      </w:pPr>
      <w:bookmarkStart w:id="98" w:name="_Toc18748"/>
      <w:bookmarkStart w:id="99" w:name="_Toc8041"/>
      <w:bookmarkStart w:id="100" w:name="_Toc14037"/>
      <w:bookmarkStart w:id="101" w:name="_Toc22159"/>
      <w:r>
        <w:rPr>
          <w:rFonts w:hint="eastAsia"/>
        </w:rPr>
        <w:t>第三部分 名词解释</w:t>
      </w:r>
      <w:bookmarkEnd w:id="98"/>
      <w:bookmarkEnd w:id="99"/>
      <w:bookmarkEnd w:id="100"/>
      <w:bookmarkEnd w:id="101"/>
    </w:p>
    <w:p w14:paraId="2D8DD61C"/>
    <w:p w14:paraId="50FDE955">
      <w:pPr>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14:paraId="598E868D">
      <w:pPr>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2.事业收入：指事业单位开展专业业务活动及辅助活动取得的收入。如…（二级预算单位事业收入情况）等。</w:t>
      </w:r>
    </w:p>
    <w:p w14:paraId="25F07841">
      <w:pPr>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3.经营收入：指事业单位在专业业务活动及其辅助活动之外开展非独立核算经营活动取得的收入。如…（二级预算单位经营收入情况）等。</w:t>
      </w:r>
    </w:p>
    <w:p w14:paraId="17A16393">
      <w:pPr>
        <w:ind w:firstLine="640" w:firstLineChars="200"/>
        <w:rPr>
          <w:rFonts w:hint="eastAsia" w:ascii="仿宋_GB2312" w:eastAsia="仿宋_GB2312"/>
          <w:sz w:val="32"/>
          <w:szCs w:val="32"/>
        </w:rPr>
      </w:pPr>
      <w:r>
        <w:rPr>
          <w:rFonts w:hint="eastAsia" w:ascii="仿宋_GB2312" w:eastAsia="仿宋_GB2312"/>
          <w:sz w:val="32"/>
          <w:szCs w:val="32"/>
        </w:rPr>
        <w:t xml:space="preserve">4.其他收入：指单位取得的除上述收入以外的各项收入。主要是…（收入类型）等。 </w:t>
      </w:r>
    </w:p>
    <w:p w14:paraId="6B0D9427">
      <w:pPr>
        <w:ind w:firstLine="640" w:firstLineChars="200"/>
        <w:rPr>
          <w:rFonts w:hint="eastAsia"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14:paraId="3D36D5CE">
      <w:pPr>
        <w:ind w:firstLine="640" w:firstLineChars="200"/>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14:paraId="3DC72DD8">
      <w:pPr>
        <w:ind w:firstLine="640" w:firstLineChars="200"/>
        <w:rPr>
          <w:rFonts w:hint="eastAsia"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14:paraId="462355B0">
      <w:pPr>
        <w:ind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14:paraId="660AF440">
      <w:pPr>
        <w:ind w:firstLine="640" w:firstLineChars="200"/>
        <w:rPr>
          <w:rFonts w:hint="eastAsia" w:ascii="仿宋_GB2312" w:eastAsia="仿宋_GB2312"/>
          <w:sz w:val="32"/>
          <w:szCs w:val="32"/>
        </w:rPr>
      </w:pPr>
      <w:r>
        <w:rPr>
          <w:rFonts w:hint="eastAsia" w:ascii="仿宋_GB2312" w:eastAsia="仿宋_GB2312"/>
          <w:sz w:val="32"/>
          <w:szCs w:val="32"/>
        </w:rPr>
        <w:t>9. 一般公共服务（201）政府办公厅（室）及相关机构事务（03）行政运行（01）:指人员工资、日常运转以及为完成财政特定行政工作任务和事业发展目标而安排年度项目支出，主要包括办公费、培训费、邮电费、差旅费、会议费、公务用车运行维护费等方面支出。</w:t>
      </w:r>
    </w:p>
    <w:p w14:paraId="7A9B0606">
      <w:pPr>
        <w:ind w:firstLine="640" w:firstLineChars="200"/>
        <w:rPr>
          <w:rFonts w:hint="eastAsia" w:ascii="仿宋_GB2312" w:eastAsia="仿宋_GB2312"/>
          <w:sz w:val="32"/>
          <w:szCs w:val="32"/>
        </w:rPr>
      </w:pPr>
      <w:r>
        <w:rPr>
          <w:rFonts w:hint="eastAsia" w:ascii="仿宋_GB2312" w:eastAsia="仿宋_GB2312"/>
          <w:sz w:val="32"/>
          <w:szCs w:val="32"/>
        </w:rPr>
        <w:t>10、国防(203)国防动员(06)人民防空(03):指人民防空工程建设、宣传等方面的支出。</w:t>
      </w:r>
    </w:p>
    <w:p w14:paraId="13327B1C">
      <w:pPr>
        <w:ind w:firstLine="640" w:firstLineChars="200"/>
        <w:rPr>
          <w:rFonts w:hint="eastAsia" w:ascii="仿宋_GB2312" w:eastAsia="仿宋_GB2312"/>
          <w:sz w:val="32"/>
          <w:szCs w:val="32"/>
        </w:rPr>
      </w:pPr>
      <w:r>
        <w:rPr>
          <w:rFonts w:hint="eastAsia" w:ascii="仿宋_GB2312" w:eastAsia="仿宋_GB2312"/>
          <w:sz w:val="32"/>
          <w:szCs w:val="32"/>
        </w:rPr>
        <w:t>11、社会保障和就业(208)行政事业单位离退休(05) 机关事业单位基本养老保险缴费(05)：指实施养老保险制度后，部门按规定由单位缴纳的基本养老保险费支出。</w:t>
      </w:r>
    </w:p>
    <w:p w14:paraId="64840C5D">
      <w:pPr>
        <w:ind w:firstLine="640" w:firstLineChars="200"/>
        <w:rPr>
          <w:rFonts w:hint="eastAsia" w:ascii="仿宋_GB2312" w:eastAsia="仿宋_GB2312"/>
          <w:sz w:val="32"/>
          <w:szCs w:val="32"/>
        </w:rPr>
      </w:pPr>
      <w:r>
        <w:rPr>
          <w:rFonts w:hint="eastAsia" w:ascii="仿宋_GB2312" w:eastAsia="仿宋_GB2312"/>
          <w:sz w:val="32"/>
          <w:szCs w:val="32"/>
        </w:rPr>
        <w:t>12、卫生健康(210)医疗保障(11)行政单位医疗(01):指按照规定标准为职工缴纳的基本医疗保险及公务员医疗补助等支出。</w:t>
      </w:r>
    </w:p>
    <w:p w14:paraId="5E18954C">
      <w:pPr>
        <w:ind w:firstLine="640" w:firstLineChars="200"/>
        <w:rPr>
          <w:rFonts w:hint="eastAsia" w:ascii="仿宋_GB2312" w:eastAsia="仿宋_GB2312"/>
          <w:sz w:val="32"/>
          <w:szCs w:val="32"/>
        </w:rPr>
      </w:pPr>
      <w:r>
        <w:rPr>
          <w:rFonts w:hint="eastAsia" w:ascii="仿宋_GB2312" w:eastAsia="仿宋_GB2312"/>
          <w:sz w:val="32"/>
          <w:szCs w:val="32"/>
        </w:rPr>
        <w:t>13、住房保障(221)住房改革(02)住房公积金(01)：指按照规定标准为职工缴纳住房公积金等支出。</w:t>
      </w:r>
    </w:p>
    <w:p w14:paraId="3392A9EA">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14、金融支出(217)金融部门监管支出(02)金融部门其他监管支出（99）：指按规定标准支出绿色金融工作经费。</w:t>
      </w:r>
    </w:p>
    <w:p w14:paraId="32051D91">
      <w:pPr>
        <w:pStyle w:val="26"/>
        <w:spacing w:line="560" w:lineRule="exact"/>
        <w:ind w:firstLine="640" w:firstLineChars="200"/>
        <w:rPr>
          <w:rFonts w:hint="eastAsia" w:ascii="仿宋" w:hAnsi="仿宋" w:eastAsia="仿宋"/>
          <w:b/>
          <w:sz w:val="32"/>
          <w:szCs w:val="32"/>
        </w:rPr>
      </w:pPr>
      <w:r>
        <w:rPr>
          <w:rFonts w:hint="eastAsia" w:ascii="仿宋_GB2312" w:eastAsia="仿宋_GB2312"/>
          <w:color w:val="auto"/>
          <w:sz w:val="32"/>
          <w:szCs w:val="32"/>
          <w:lang w:val="en-US" w:eastAsia="zh-CN"/>
        </w:rPr>
        <w:t>15、</w:t>
      </w:r>
      <w:r>
        <w:rPr>
          <w:rFonts w:hint="eastAsia" w:ascii="仿宋_GB2312" w:eastAsia="仿宋_GB2312"/>
          <w:color w:val="auto"/>
          <w:sz w:val="32"/>
          <w:szCs w:val="32"/>
          <w:lang w:eastAsia="zh-CN"/>
        </w:rPr>
        <w:t>国防</w:t>
      </w:r>
      <w:r>
        <w:rPr>
          <w:rFonts w:hint="eastAsia" w:ascii="仿宋_GB2312" w:eastAsia="仿宋_GB2312"/>
          <w:color w:val="auto"/>
          <w:sz w:val="32"/>
          <w:szCs w:val="32"/>
        </w:rPr>
        <w:t>支出（</w:t>
      </w:r>
      <w:r>
        <w:rPr>
          <w:rFonts w:hint="eastAsia" w:ascii="仿宋_GB2312" w:eastAsia="仿宋_GB2312"/>
          <w:color w:val="auto"/>
          <w:sz w:val="32"/>
          <w:szCs w:val="32"/>
          <w:lang w:val="en-US" w:eastAsia="zh-CN"/>
        </w:rPr>
        <w:t>203</w:t>
      </w:r>
      <w:r>
        <w:rPr>
          <w:rFonts w:hint="eastAsia" w:ascii="仿宋_GB2312" w:eastAsia="仿宋_GB2312"/>
          <w:color w:val="auto"/>
          <w:sz w:val="32"/>
          <w:szCs w:val="32"/>
        </w:rPr>
        <w:t>）国防动员（</w:t>
      </w:r>
      <w:r>
        <w:rPr>
          <w:rFonts w:hint="eastAsia" w:ascii="仿宋_GB2312" w:eastAsia="仿宋_GB2312"/>
          <w:color w:val="auto"/>
          <w:sz w:val="32"/>
          <w:szCs w:val="32"/>
          <w:lang w:val="en-US" w:eastAsia="zh-CN"/>
        </w:rPr>
        <w:t>06</w:t>
      </w:r>
      <w:r>
        <w:rPr>
          <w:rFonts w:hint="eastAsia" w:ascii="仿宋_GB2312" w:eastAsia="仿宋_GB2312"/>
          <w:color w:val="auto"/>
          <w:sz w:val="32"/>
          <w:szCs w:val="32"/>
        </w:rPr>
        <w:t>）人民防空（</w:t>
      </w:r>
      <w:r>
        <w:rPr>
          <w:rFonts w:hint="eastAsia" w:ascii="仿宋_GB2312" w:eastAsia="仿宋_GB2312"/>
          <w:color w:val="auto"/>
          <w:sz w:val="32"/>
          <w:szCs w:val="32"/>
          <w:lang w:val="en-US" w:eastAsia="zh-CN"/>
        </w:rPr>
        <w:t>03</w:t>
      </w:r>
      <w:r>
        <w:rPr>
          <w:rFonts w:hint="eastAsia" w:ascii="仿宋_GB2312" w:eastAsia="仿宋_GB2312"/>
          <w:color w:val="auto"/>
          <w:sz w:val="32"/>
          <w:szCs w:val="32"/>
        </w:rPr>
        <w:t>）:</w:t>
      </w:r>
      <w:r>
        <w:rPr>
          <w:rFonts w:hint="eastAsia" w:ascii="仿宋_GB2312" w:eastAsia="仿宋_GB2312"/>
          <w:color w:val="auto"/>
          <w:sz w:val="32"/>
          <w:szCs w:val="32"/>
          <w:lang w:eastAsia="zh-CN"/>
        </w:rPr>
        <w:t>指按照规定标准为国防动员和人民防空等工作经费支出。</w:t>
      </w:r>
    </w:p>
    <w:p w14:paraId="145F9011">
      <w:pPr>
        <w:ind w:firstLine="643" w:firstLineChars="200"/>
        <w:rPr>
          <w:rFonts w:ascii="仿宋" w:hAnsi="仿宋" w:eastAsia="仿宋"/>
          <w:b/>
          <w:sz w:val="32"/>
          <w:szCs w:val="32"/>
        </w:rPr>
      </w:pPr>
      <w:r>
        <w:rPr>
          <w:rFonts w:hint="eastAsia" w:ascii="仿宋" w:hAnsi="仿宋" w:eastAsia="仿宋"/>
          <w:b/>
          <w:sz w:val="32"/>
          <w:szCs w:val="32"/>
        </w:rPr>
        <w:t>（解释本部门决算报表中涉及的全部功能分类科目至项级，不涉及的科目请自行删除。请参照《</w:t>
      </w:r>
      <w:r>
        <w:rPr>
          <w:rFonts w:hint="eastAsia" w:ascii="仿宋" w:hAnsi="仿宋" w:eastAsia="仿宋"/>
          <w:b/>
          <w:sz w:val="32"/>
          <w:szCs w:val="32"/>
          <w:lang w:eastAsia="zh-CN"/>
        </w:rPr>
        <w:t>2024</w:t>
      </w:r>
      <w:r>
        <w:rPr>
          <w:rFonts w:hint="eastAsia" w:ascii="仿宋" w:hAnsi="仿宋" w:eastAsia="仿宋"/>
          <w:b/>
          <w:sz w:val="32"/>
          <w:szCs w:val="32"/>
        </w:rPr>
        <w:t>年政府收支分类科目》增减内容。）</w:t>
      </w:r>
    </w:p>
    <w:p w14:paraId="2C0EDA14">
      <w:pPr>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hint="eastAsia" w:ascii="仿宋_GB2312" w:eastAsia="仿宋_GB2312"/>
          <w:sz w:val="32"/>
          <w:szCs w:val="32"/>
        </w:rPr>
        <w:t>.基本支出：指为保障机构正常运转、完成日常工作任务而发生的人员支出和公用支出。</w:t>
      </w:r>
    </w:p>
    <w:p w14:paraId="37C81AA5">
      <w:pPr>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hint="eastAsia" w:ascii="仿宋_GB2312" w:eastAsia="仿宋_GB2312"/>
          <w:sz w:val="32"/>
          <w:szCs w:val="32"/>
        </w:rPr>
        <w:t xml:space="preserve">.项目支出：指在基本支出之外为完成特定行政任务和事业发展目标所发生的支出。 </w:t>
      </w:r>
    </w:p>
    <w:p w14:paraId="0D7F84D6">
      <w:pPr>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hint="eastAsia" w:ascii="仿宋_GB2312" w:eastAsia="仿宋_GB2312"/>
          <w:sz w:val="32"/>
          <w:szCs w:val="32"/>
        </w:rPr>
        <w:t>.经营支出：指事业单位在专业业务活动及其辅助活动之外开展非独立核算经营活动发生的支出。</w:t>
      </w:r>
    </w:p>
    <w:p w14:paraId="54D4992D">
      <w:pPr>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32ADBE1">
      <w:pPr>
        <w:ind w:firstLine="640" w:firstLineChars="200"/>
        <w:rPr>
          <w:rFonts w:ascii="仿宋_GB2312" w:eastAsia="仿宋_GB2312"/>
          <w:sz w:val="32"/>
          <w:szCs w:val="32"/>
        </w:rPr>
      </w:pPr>
      <w:r>
        <w:rPr>
          <w:rFonts w:hint="eastAsia" w:ascii="仿宋_GB2312" w:eastAsia="仿宋_GB2312"/>
          <w:sz w:val="32"/>
          <w:szCs w:val="32"/>
          <w:lang w:val="en-US" w:eastAsia="zh-CN"/>
        </w:rPr>
        <w:t>20</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3594220">
      <w:pPr>
        <w:ind w:firstLine="420" w:firstLineChars="200"/>
      </w:pPr>
    </w:p>
    <w:p w14:paraId="5C866FB9">
      <w:pPr>
        <w:ind w:firstLine="643" w:firstLineChars="200"/>
        <w:rPr>
          <w:rFonts w:ascii="仿宋" w:hAnsi="仿宋" w:eastAsia="仿宋"/>
          <w:b/>
          <w:sz w:val="32"/>
          <w:szCs w:val="32"/>
        </w:rPr>
      </w:pPr>
      <w:r>
        <w:rPr>
          <w:rFonts w:hint="eastAsia" w:ascii="仿宋" w:hAnsi="仿宋" w:eastAsia="仿宋"/>
          <w:b/>
          <w:sz w:val="32"/>
          <w:szCs w:val="32"/>
        </w:rPr>
        <w:t>（名词解释部分请根据各部门实际列支情况罗列，并根据本部门职责职能增减名词解释内容。）</w:t>
      </w:r>
      <w:r>
        <w:rPr>
          <w:rFonts w:ascii="仿宋" w:hAnsi="仿宋" w:eastAsia="仿宋"/>
          <w:b/>
          <w:sz w:val="32"/>
          <w:szCs w:val="32"/>
        </w:rPr>
        <w:br w:type="page"/>
      </w:r>
    </w:p>
    <w:p w14:paraId="05E3D483">
      <w:pPr>
        <w:pStyle w:val="2"/>
        <w:jc w:val="center"/>
        <w:rPr>
          <w:rFonts w:ascii="黑体" w:hAnsi="黑体" w:eastAsia="黑体"/>
          <w:b w:val="0"/>
        </w:rPr>
      </w:pPr>
      <w:bookmarkStart w:id="102" w:name="_Toc10887"/>
      <w:bookmarkStart w:id="103" w:name="_Toc28688"/>
      <w:bookmarkStart w:id="104" w:name="_Toc30326"/>
      <w:bookmarkStart w:id="105" w:name="_Toc8549"/>
      <w:r>
        <w:rPr>
          <w:rFonts w:hint="eastAsia" w:ascii="黑体" w:hAnsi="黑体" w:eastAsia="黑体"/>
          <w:b w:val="0"/>
        </w:rPr>
        <w:t>第四部分 附件</w:t>
      </w:r>
      <w:bookmarkEnd w:id="102"/>
      <w:bookmarkEnd w:id="103"/>
      <w:bookmarkEnd w:id="104"/>
      <w:bookmarkEnd w:id="105"/>
    </w:p>
    <w:p w14:paraId="74102ED7"/>
    <w:p w14:paraId="0107B6B7">
      <w:pPr>
        <w:rPr>
          <w:rFonts w:ascii="黑体" w:hAnsi="黑体" w:eastAsia="黑体"/>
          <w:sz w:val="32"/>
          <w:szCs w:val="32"/>
        </w:rPr>
      </w:pPr>
      <w:r>
        <w:rPr>
          <w:rFonts w:hint="eastAsia" w:ascii="黑体" w:hAnsi="黑体" w:eastAsia="黑体"/>
          <w:sz w:val="32"/>
          <w:szCs w:val="32"/>
        </w:rPr>
        <w:t>附件1</w:t>
      </w:r>
    </w:p>
    <w:p w14:paraId="7A9540C2">
      <w:pPr>
        <w:widowControl/>
        <w:spacing w:line="580" w:lineRule="exact"/>
        <w:contextualSpacing/>
        <w:jc w:val="center"/>
        <w:rPr>
          <w:rFonts w:ascii="黑体" w:hAnsi="黑体" w:eastAsia="黑体"/>
          <w:color w:val="000000"/>
          <w:sz w:val="44"/>
          <w:szCs w:val="44"/>
        </w:rPr>
      </w:pPr>
      <w:r>
        <w:rPr>
          <w:rFonts w:ascii="黑体" w:hAnsi="黑体" w:eastAsia="黑体"/>
          <w:color w:val="000000"/>
          <w:sz w:val="44"/>
          <w:szCs w:val="44"/>
        </w:rPr>
        <w:t>九寨沟县人民政府办公室</w:t>
      </w:r>
    </w:p>
    <w:p w14:paraId="7924EFD9">
      <w:pPr>
        <w:widowControl/>
        <w:spacing w:line="580" w:lineRule="exact"/>
        <w:contextualSpacing/>
        <w:jc w:val="center"/>
        <w:rPr>
          <w:rFonts w:ascii="黑体" w:hAnsi="黑体" w:eastAsia="黑体"/>
          <w:sz w:val="44"/>
          <w:szCs w:val="44"/>
          <w:shd w:val="clear" w:color="auto" w:fill="FFFFFF"/>
        </w:rPr>
      </w:pPr>
      <w:r>
        <w:rPr>
          <w:rFonts w:hint="eastAsia" w:ascii="黑体" w:hAnsi="黑体" w:eastAsia="黑体"/>
          <w:sz w:val="44"/>
          <w:szCs w:val="44"/>
          <w:shd w:val="clear" w:color="auto" w:fill="FFFFFF"/>
        </w:rPr>
        <w:t>202</w:t>
      </w:r>
      <w:r>
        <w:rPr>
          <w:rFonts w:hint="eastAsia" w:ascii="黑体" w:hAnsi="黑体" w:eastAsia="黑体"/>
          <w:sz w:val="44"/>
          <w:szCs w:val="44"/>
          <w:shd w:val="clear" w:color="auto" w:fill="FFFFFF"/>
          <w:lang w:val="en-US" w:eastAsia="zh-CN"/>
        </w:rPr>
        <w:t>4</w:t>
      </w:r>
      <w:r>
        <w:rPr>
          <w:rFonts w:hint="eastAsia" w:ascii="黑体" w:hAnsi="黑体" w:eastAsia="黑体"/>
          <w:sz w:val="44"/>
          <w:szCs w:val="44"/>
          <w:shd w:val="clear" w:color="auto" w:fill="FFFFFF"/>
        </w:rPr>
        <w:t>年度绩效评价报告</w:t>
      </w:r>
    </w:p>
    <w:p w14:paraId="503061CB">
      <w:pPr>
        <w:widowControl/>
        <w:adjustRightInd w:val="0"/>
        <w:snapToGrid w:val="0"/>
        <w:spacing w:line="520" w:lineRule="exact"/>
        <w:ind w:firstLine="640" w:firstLineChars="200"/>
        <w:contextualSpacing/>
        <w:jc w:val="left"/>
        <w:rPr>
          <w:rFonts w:hint="eastAsia"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rPr>
        <w:t>一、</w:t>
      </w:r>
      <w:r>
        <w:rPr>
          <w:rFonts w:hint="eastAsia" w:ascii="黑体" w:hAnsi="黑体" w:eastAsia="黑体" w:cs="黑体"/>
          <w:color w:val="000000"/>
          <w:kern w:val="0"/>
          <w:sz w:val="32"/>
          <w:szCs w:val="32"/>
          <w:shd w:val="clear" w:color="auto" w:fill="FFFFFF"/>
          <w:lang w:val="zh-CN"/>
        </w:rPr>
        <w:t>部门整体概况</w:t>
      </w:r>
    </w:p>
    <w:p w14:paraId="2F8B4C1F">
      <w:pPr>
        <w:widowControl/>
        <w:adjustRightInd w:val="0"/>
        <w:snapToGrid w:val="0"/>
        <w:spacing w:line="52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（一）机构组成。</w:t>
      </w:r>
    </w:p>
    <w:p w14:paraId="712E1C3B">
      <w:pPr>
        <w:spacing w:line="52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九寨沟县人民政府办公室是九寨沟县人民政府工作部门，为正科级。挂九寨沟县信访局、九寨沟县人民政府外事港澳台侨办公室牌子。县人民政府办公室设下列8个内设机构：综合股、秘书一股、秘书二股、秘书三股、</w:t>
      </w:r>
      <w:r>
        <w:rPr>
          <w:rFonts w:hint="eastAsia" w:ascii="仿宋" w:hAnsi="仿宋" w:eastAsia="仿宋" w:cs="仿宋"/>
          <w:sz w:val="32"/>
          <w:szCs w:val="32"/>
        </w:rPr>
        <w:t>值班室、行政效能</w:t>
      </w:r>
      <w:r>
        <w:rPr>
          <w:rFonts w:hint="eastAsia" w:ascii="仿宋" w:hAnsi="仿宋" w:eastAsia="仿宋" w:cs="仿宋"/>
          <w:color w:val="000000"/>
          <w:sz w:val="32"/>
          <w:szCs w:val="32"/>
        </w:rPr>
        <w:t>股</w:t>
      </w:r>
      <w:r>
        <w:rPr>
          <w:rFonts w:hint="eastAsia" w:ascii="仿宋" w:hAnsi="仿宋" w:eastAsia="仿宋" w:cs="仿宋"/>
          <w:sz w:val="32"/>
          <w:szCs w:val="32"/>
        </w:rPr>
        <w:t>、</w:t>
      </w:r>
      <w:r>
        <w:rPr>
          <w:rFonts w:hint="eastAsia" w:ascii="仿宋" w:hAnsi="仿宋" w:eastAsia="仿宋" w:cs="仿宋"/>
          <w:color w:val="000000"/>
          <w:sz w:val="32"/>
          <w:szCs w:val="32"/>
        </w:rPr>
        <w:t>行政管理股、外事和港澳事务股。</w:t>
      </w:r>
    </w:p>
    <w:p w14:paraId="5CEEB881">
      <w:pPr>
        <w:widowControl/>
        <w:adjustRightInd w:val="0"/>
        <w:snapToGrid w:val="0"/>
        <w:spacing w:line="52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（二）机构职能。</w:t>
      </w:r>
    </w:p>
    <w:p w14:paraId="57FA145D">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1.负责县人民政府全体会议、常务会议、党组会议、县长办公会议、</w:t>
      </w:r>
      <w:r>
        <w:rPr>
          <w:rFonts w:hint="eastAsia" w:ascii="仿宋" w:hAnsi="仿宋" w:eastAsia="仿宋" w:cs="仿宋"/>
          <w:color w:val="000000"/>
          <w:sz w:val="32"/>
          <w:szCs w:val="32"/>
        </w:rPr>
        <w:t>县长专题会议</w:t>
      </w:r>
      <w:r>
        <w:rPr>
          <w:rFonts w:hint="eastAsia" w:ascii="仿宋" w:hAnsi="仿宋" w:eastAsia="仿宋" w:cs="仿宋"/>
          <w:sz w:val="32"/>
          <w:szCs w:val="32"/>
        </w:rPr>
        <w:t>的会务工作，协助县人民政府领导同志组织实施会议决定的事项。</w:t>
      </w:r>
    </w:p>
    <w:p w14:paraId="6820462A">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2.负责上级党委、政府、部门来文运转，并督促办理。研究县人民政府各部门、各乡镇人民政府请示县人民政府的事项，提出审核意见，报县人民政府领导同志审批。</w:t>
      </w:r>
    </w:p>
    <w:p w14:paraId="224D3E24">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3.协助县人民政府领导同志组织起草或审核以县人民政府、县人民政府办公室名义发布的公文。</w:t>
      </w:r>
    </w:p>
    <w:p w14:paraId="198399FE">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4.根据县人民政府领导同志的指示，对县人民政府部门间出现的争议问题提出处理意见，报县人民政府领导同志审批。</w:t>
      </w:r>
    </w:p>
    <w:p w14:paraId="3E5F8618">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5.督促检查县人民政府各部门、各乡镇人民政府对县人民政府公文、会议决定事项及县人民政府领导同志有关指示的执行落实情况，并向县人民政府领导同志报告。</w:t>
      </w:r>
    </w:p>
    <w:p w14:paraId="5F0A6874">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6.指导监督全县政府信息公开工作和机关行政效能建设工作，指导监督全县政府系统电子政务工作和政府网站建设，负责指导、协调、监督并推进全县网格化服务管理工作。</w:t>
      </w:r>
    </w:p>
    <w:p w14:paraId="0416C124">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7.组织办理涉及县人民政府工作的人大代表议案、批评、建议和政协委员提案、建议案工作。</w:t>
      </w:r>
    </w:p>
    <w:p w14:paraId="67BAD212">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8.协助县人民政府领导同志管理人民防空和民防工作。</w:t>
      </w:r>
    </w:p>
    <w:p w14:paraId="65CC4C67">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9.处理群众来信、接待群众来访，及时向县人民政府领导同志报告来信来访中提出的重要建议和反映的重要问题，提出信访处理意见，报县人民政府领导同志决定，办理县人民政府领导同志交办的有关信访事项。</w:t>
      </w:r>
    </w:p>
    <w:p w14:paraId="73D95793">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10.根据县人民政府领导同志的指示，组织专题调查研究，及时反映情况，提出建议意见。</w:t>
      </w:r>
    </w:p>
    <w:p w14:paraId="7A4F9DA0">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11.负责县人民政府值班工作，及时向县人民政府领导同志报告重要情况，协助县人民政府领导同志组织处理需由县人民政府直接处理的突发事件、重大事故。</w:t>
      </w:r>
    </w:p>
    <w:p w14:paraId="5DFE7C19">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12.组织实施政府机关事务管理行政工作、公务车辆管理，为县人民政府领导同志做好工作所需的各项后勤服务。</w:t>
      </w:r>
    </w:p>
    <w:p w14:paraId="10C0FEDA">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13.协助县人民政府领导同志组织实施外事和港澳事务行政管理工作。负责县人民政府重大活动的组织和县人民政府领导同志重要内外事活动的安排。</w:t>
      </w:r>
    </w:p>
    <w:p w14:paraId="43CCA9FD">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14.协助县人民政府领导同志组织实施金融管理服务工作。</w:t>
      </w:r>
    </w:p>
    <w:p w14:paraId="643469D6">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15.负责管理县人民政府驻外地办事机构。</w:t>
      </w:r>
    </w:p>
    <w:p w14:paraId="36505368">
      <w:pPr>
        <w:spacing w:line="520" w:lineRule="exact"/>
        <w:ind w:firstLine="640" w:firstLineChars="200"/>
        <w:rPr>
          <w:rFonts w:hint="eastAsia" w:ascii="仿宋" w:hAnsi="仿宋" w:eastAsia="仿宋" w:cs="仿宋"/>
          <w:color w:val="000000"/>
          <w:sz w:val="32"/>
          <w:szCs w:val="32"/>
        </w:rPr>
      </w:pPr>
      <w:r>
        <w:rPr>
          <w:rFonts w:hint="eastAsia" w:ascii="仿宋" w:hAnsi="仿宋" w:eastAsia="仿宋" w:cs="仿宋"/>
          <w:sz w:val="32"/>
          <w:szCs w:val="32"/>
        </w:rPr>
        <w:t>16.承办县人民政府和县人民政府领导同志交办的其他事项。</w:t>
      </w:r>
    </w:p>
    <w:p w14:paraId="767D50A9">
      <w:pPr>
        <w:widowControl/>
        <w:adjustRightInd w:val="0"/>
        <w:snapToGrid w:val="0"/>
        <w:spacing w:line="52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（三）人员概况。</w:t>
      </w:r>
    </w:p>
    <w:p w14:paraId="3776F522">
      <w:pPr>
        <w:spacing w:line="52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政府办公室设办公室主任1名，副主任2名（含兼职）。股级领导职数3名。机关党内职务按有关规定配备。总编制共64名，其中机关行政编制20名，参公编制6名，机关工勤人员编制15名，事业编制23名。202</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年实有人数</w:t>
      </w:r>
      <w:r>
        <w:rPr>
          <w:rFonts w:hint="eastAsia" w:ascii="仿宋" w:hAnsi="仿宋" w:eastAsia="仿宋" w:cs="仿宋"/>
          <w:color w:val="000000"/>
          <w:sz w:val="32"/>
          <w:szCs w:val="32"/>
          <w:lang w:val="en-US" w:eastAsia="zh-CN"/>
        </w:rPr>
        <w:t>50</w:t>
      </w:r>
      <w:r>
        <w:rPr>
          <w:rFonts w:hint="eastAsia" w:ascii="仿宋" w:hAnsi="仿宋" w:eastAsia="仿宋" w:cs="仿宋"/>
          <w:color w:val="000000"/>
          <w:sz w:val="32"/>
          <w:szCs w:val="32"/>
        </w:rPr>
        <w:t>人，其中行政人员</w:t>
      </w:r>
      <w:r>
        <w:rPr>
          <w:rFonts w:hint="eastAsia" w:ascii="仿宋" w:hAnsi="仿宋" w:eastAsia="仿宋" w:cs="仿宋"/>
          <w:color w:val="000000"/>
          <w:sz w:val="32"/>
          <w:szCs w:val="32"/>
          <w:lang w:val="en-US" w:eastAsia="zh-CN"/>
        </w:rPr>
        <w:t>33</w:t>
      </w:r>
      <w:r>
        <w:rPr>
          <w:rFonts w:hint="eastAsia" w:ascii="仿宋" w:hAnsi="仿宋" w:eastAsia="仿宋" w:cs="仿宋"/>
          <w:color w:val="000000"/>
          <w:sz w:val="32"/>
          <w:szCs w:val="32"/>
        </w:rPr>
        <w:t>人（含机关工勤），事业人员</w:t>
      </w:r>
      <w:r>
        <w:rPr>
          <w:rFonts w:hint="eastAsia" w:ascii="仿宋" w:hAnsi="仿宋" w:eastAsia="仿宋" w:cs="仿宋"/>
          <w:color w:val="000000"/>
          <w:sz w:val="32"/>
          <w:szCs w:val="32"/>
          <w:lang w:val="en-US" w:eastAsia="zh-CN"/>
        </w:rPr>
        <w:t>17</w:t>
      </w:r>
      <w:r>
        <w:rPr>
          <w:rFonts w:hint="eastAsia" w:ascii="仿宋" w:hAnsi="仿宋" w:eastAsia="仿宋" w:cs="仿宋"/>
          <w:color w:val="000000"/>
          <w:sz w:val="32"/>
          <w:szCs w:val="32"/>
        </w:rPr>
        <w:t>人，</w:t>
      </w:r>
      <w:r>
        <w:rPr>
          <w:rFonts w:hint="eastAsia" w:ascii="仿宋" w:hAnsi="仿宋" w:eastAsia="仿宋" w:cs="仿宋"/>
          <w:sz w:val="32"/>
          <w:szCs w:val="32"/>
          <w:lang w:val="zh-CN"/>
        </w:rPr>
        <w:t>202</w:t>
      </w:r>
      <w:r>
        <w:rPr>
          <w:rFonts w:hint="eastAsia" w:ascii="仿宋" w:hAnsi="仿宋" w:eastAsia="仿宋" w:cs="仿宋"/>
          <w:sz w:val="32"/>
          <w:szCs w:val="32"/>
          <w:lang w:val="en-US" w:eastAsia="zh-CN"/>
        </w:rPr>
        <w:t>4</w:t>
      </w:r>
      <w:r>
        <w:rPr>
          <w:rFonts w:hint="eastAsia" w:ascii="仿宋" w:hAnsi="仿宋" w:eastAsia="仿宋" w:cs="仿宋"/>
          <w:sz w:val="32"/>
          <w:szCs w:val="32"/>
          <w:lang w:val="zh-CN"/>
        </w:rPr>
        <w:t>年末退休人员3</w:t>
      </w:r>
      <w:r>
        <w:rPr>
          <w:rFonts w:hint="eastAsia" w:ascii="仿宋" w:hAnsi="仿宋" w:eastAsia="仿宋" w:cs="仿宋"/>
          <w:sz w:val="32"/>
          <w:szCs w:val="32"/>
          <w:lang w:val="en-US" w:eastAsia="zh-CN"/>
        </w:rPr>
        <w:t>4</w:t>
      </w:r>
      <w:r>
        <w:rPr>
          <w:rFonts w:hint="eastAsia" w:ascii="仿宋" w:hAnsi="仿宋" w:eastAsia="仿宋" w:cs="仿宋"/>
          <w:sz w:val="32"/>
          <w:szCs w:val="32"/>
          <w:lang w:val="zh-CN"/>
        </w:rPr>
        <w:t>名</w:t>
      </w:r>
      <w:r>
        <w:rPr>
          <w:rFonts w:hint="eastAsia" w:ascii="仿宋" w:hAnsi="仿宋" w:eastAsia="仿宋" w:cs="仿宋"/>
          <w:color w:val="000000"/>
          <w:sz w:val="32"/>
          <w:szCs w:val="32"/>
        </w:rPr>
        <w:t>。</w:t>
      </w:r>
    </w:p>
    <w:p w14:paraId="30567839">
      <w:pPr>
        <w:widowControl/>
        <w:adjustRightInd w:val="0"/>
        <w:snapToGrid w:val="0"/>
        <w:spacing w:line="520" w:lineRule="exact"/>
        <w:ind w:firstLine="640" w:firstLineChars="200"/>
        <w:contextualSpacing/>
        <w:jc w:val="left"/>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二、</w:t>
      </w:r>
      <w:r>
        <w:rPr>
          <w:rFonts w:hint="eastAsia" w:ascii="黑体" w:hAnsi="黑体" w:eastAsia="黑体" w:cs="黑体"/>
          <w:color w:val="000000"/>
          <w:kern w:val="0"/>
          <w:sz w:val="32"/>
          <w:szCs w:val="32"/>
          <w:shd w:val="clear" w:color="auto" w:fill="FFFFFF"/>
          <w:lang w:eastAsia="zh-CN"/>
        </w:rPr>
        <w:t>部门</w:t>
      </w:r>
      <w:r>
        <w:rPr>
          <w:rFonts w:hint="eastAsia" w:ascii="黑体" w:hAnsi="黑体" w:eastAsia="黑体" w:cs="黑体"/>
          <w:color w:val="000000"/>
          <w:kern w:val="0"/>
          <w:sz w:val="32"/>
          <w:szCs w:val="32"/>
          <w:shd w:val="clear" w:color="auto" w:fill="FFFFFF"/>
        </w:rPr>
        <w:t>资金收支情况</w:t>
      </w:r>
    </w:p>
    <w:p w14:paraId="456FB83D">
      <w:pPr>
        <w:widowControl/>
        <w:adjustRightInd w:val="0"/>
        <w:snapToGrid w:val="0"/>
        <w:spacing w:line="52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（一）部门财政资金收入情况。</w:t>
      </w:r>
    </w:p>
    <w:p w14:paraId="09D996B2">
      <w:pPr>
        <w:pStyle w:val="13"/>
        <w:shd w:val="clear" w:color="auto" w:fill="FFFFFF"/>
        <w:spacing w:line="520" w:lineRule="exact"/>
        <w:rPr>
          <w:rFonts w:hint="eastAsia" w:ascii="仿宋" w:hAnsi="仿宋" w:eastAsia="仿宋" w:cs="仿宋"/>
          <w:sz w:val="32"/>
          <w:szCs w:val="32"/>
        </w:rPr>
      </w:pPr>
      <w:r>
        <w:rPr>
          <w:rFonts w:hint="eastAsia" w:ascii="仿宋" w:hAnsi="仿宋" w:eastAsia="仿宋" w:cs="仿宋"/>
          <w:sz w:val="32"/>
          <w:szCs w:val="32"/>
        </w:rPr>
        <w:t xml:space="preserve">    本单位本年度收入的年初预算数为</w:t>
      </w:r>
      <w:r>
        <w:rPr>
          <w:rFonts w:hint="eastAsia" w:ascii="仿宋" w:hAnsi="仿宋" w:eastAsia="仿宋" w:cs="仿宋"/>
          <w:sz w:val="32"/>
          <w:szCs w:val="32"/>
          <w:lang w:val="en-US" w:eastAsia="zh-CN"/>
        </w:rPr>
        <w:t>1833.52</w:t>
      </w:r>
      <w:r>
        <w:rPr>
          <w:rFonts w:hint="eastAsia" w:ascii="仿宋" w:hAnsi="仿宋" w:eastAsia="仿宋" w:cs="仿宋"/>
          <w:sz w:val="32"/>
          <w:szCs w:val="32"/>
        </w:rPr>
        <w:t>万元，本单位本年度收入调整预算数为1</w:t>
      </w:r>
      <w:r>
        <w:rPr>
          <w:rFonts w:hint="eastAsia" w:ascii="仿宋" w:hAnsi="仿宋" w:eastAsia="仿宋" w:cs="仿宋"/>
          <w:sz w:val="32"/>
          <w:szCs w:val="32"/>
          <w:lang w:val="en-US" w:eastAsia="zh-CN"/>
        </w:rPr>
        <w:t>962.48</w:t>
      </w:r>
      <w:r>
        <w:rPr>
          <w:rFonts w:hint="eastAsia" w:ascii="仿宋" w:hAnsi="仿宋" w:eastAsia="仿宋" w:cs="仿宋"/>
          <w:sz w:val="32"/>
          <w:szCs w:val="32"/>
        </w:rPr>
        <w:t>万元，收入决算数为1</w:t>
      </w:r>
      <w:r>
        <w:rPr>
          <w:rFonts w:hint="eastAsia" w:ascii="仿宋" w:hAnsi="仿宋" w:eastAsia="仿宋" w:cs="仿宋"/>
          <w:sz w:val="32"/>
          <w:szCs w:val="32"/>
          <w:lang w:val="en-US" w:eastAsia="zh-CN"/>
        </w:rPr>
        <w:t>962.48</w:t>
      </w:r>
      <w:r>
        <w:rPr>
          <w:rFonts w:hint="eastAsia" w:ascii="仿宋" w:hAnsi="仿宋" w:eastAsia="仿宋" w:cs="仿宋"/>
          <w:sz w:val="32"/>
          <w:szCs w:val="32"/>
        </w:rPr>
        <w:t>万元，预算完成度为100.00%。</w:t>
      </w:r>
    </w:p>
    <w:p w14:paraId="0164E0F1">
      <w:pPr>
        <w:widowControl/>
        <w:adjustRightInd w:val="0"/>
        <w:snapToGrid w:val="0"/>
        <w:spacing w:line="52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（二）部门财政资金支出情况。</w:t>
      </w:r>
    </w:p>
    <w:p w14:paraId="397B242F">
      <w:pPr>
        <w:pStyle w:val="13"/>
        <w:shd w:val="clear" w:color="auto" w:fill="FFFFFF"/>
        <w:spacing w:line="520" w:lineRule="exact"/>
        <w:rPr>
          <w:rFonts w:hint="eastAsia" w:ascii="仿宋" w:hAnsi="仿宋" w:eastAsia="仿宋" w:cs="仿宋"/>
          <w:sz w:val="32"/>
          <w:szCs w:val="32"/>
        </w:rPr>
      </w:pPr>
      <w:r>
        <w:rPr>
          <w:rFonts w:hint="eastAsia" w:ascii="仿宋" w:hAnsi="仿宋" w:eastAsia="仿宋" w:cs="仿宋"/>
          <w:sz w:val="32"/>
          <w:szCs w:val="32"/>
        </w:rPr>
        <w:t xml:space="preserve">    本年度支出调整预算数为</w:t>
      </w:r>
      <w:r>
        <w:rPr>
          <w:rFonts w:hint="eastAsia" w:ascii="仿宋" w:hAnsi="仿宋" w:eastAsia="仿宋" w:cs="仿宋"/>
          <w:sz w:val="32"/>
          <w:szCs w:val="32"/>
          <w:lang w:val="en-US" w:eastAsia="zh-CN"/>
        </w:rPr>
        <w:t>2139.16</w:t>
      </w:r>
      <w:r>
        <w:rPr>
          <w:rFonts w:hint="eastAsia" w:ascii="仿宋" w:hAnsi="仿宋" w:eastAsia="仿宋" w:cs="仿宋"/>
          <w:sz w:val="32"/>
          <w:szCs w:val="32"/>
        </w:rPr>
        <w:t>万元，支出决算数为</w:t>
      </w:r>
      <w:r>
        <w:rPr>
          <w:rFonts w:hint="eastAsia" w:ascii="仿宋" w:hAnsi="仿宋" w:eastAsia="仿宋" w:cs="仿宋"/>
          <w:sz w:val="32"/>
          <w:szCs w:val="32"/>
          <w:lang w:val="en-US" w:eastAsia="zh-CN"/>
        </w:rPr>
        <w:t>2139.16</w:t>
      </w:r>
      <w:r>
        <w:rPr>
          <w:rFonts w:hint="eastAsia" w:ascii="仿宋" w:hAnsi="仿宋" w:eastAsia="仿宋" w:cs="仿宋"/>
          <w:sz w:val="32"/>
          <w:szCs w:val="32"/>
        </w:rPr>
        <w:t>万元，预算完成度为100.00%。其中：基本支出中人员经费支出为</w:t>
      </w:r>
      <w:r>
        <w:rPr>
          <w:rFonts w:hint="eastAsia" w:ascii="仿宋" w:hAnsi="仿宋" w:eastAsia="仿宋" w:cs="仿宋"/>
          <w:sz w:val="32"/>
          <w:szCs w:val="32"/>
          <w:lang w:val="en-US" w:eastAsia="zh-CN"/>
        </w:rPr>
        <w:t>1140.31</w:t>
      </w:r>
      <w:r>
        <w:rPr>
          <w:rFonts w:hint="eastAsia" w:ascii="仿宋" w:hAnsi="仿宋" w:eastAsia="仿宋" w:cs="仿宋"/>
          <w:sz w:val="32"/>
          <w:szCs w:val="32"/>
        </w:rPr>
        <w:t>万元，公用经费支出为</w:t>
      </w:r>
      <w:r>
        <w:rPr>
          <w:rFonts w:hint="eastAsia" w:ascii="仿宋" w:hAnsi="仿宋" w:eastAsia="仿宋" w:cs="仿宋"/>
          <w:sz w:val="32"/>
          <w:szCs w:val="32"/>
          <w:lang w:val="en-US" w:eastAsia="zh-CN"/>
        </w:rPr>
        <w:t>122.75</w:t>
      </w:r>
      <w:r>
        <w:rPr>
          <w:rFonts w:hint="eastAsia" w:ascii="仿宋" w:hAnsi="仿宋" w:eastAsia="仿宋" w:cs="仿宋"/>
          <w:sz w:val="32"/>
          <w:szCs w:val="32"/>
        </w:rPr>
        <w:t>万元。项目支出中基本建设类项目支出为</w:t>
      </w:r>
      <w:r>
        <w:rPr>
          <w:rFonts w:hint="eastAsia" w:ascii="仿宋" w:hAnsi="仿宋" w:eastAsia="仿宋" w:cs="仿宋"/>
          <w:sz w:val="32"/>
          <w:szCs w:val="32"/>
          <w:lang w:val="en-US" w:eastAsia="zh-CN"/>
        </w:rPr>
        <w:t>876.10</w:t>
      </w:r>
      <w:r>
        <w:rPr>
          <w:rFonts w:hint="eastAsia" w:ascii="仿宋" w:hAnsi="仿宋" w:eastAsia="仿宋" w:cs="仿宋"/>
          <w:sz w:val="32"/>
          <w:szCs w:val="32"/>
        </w:rPr>
        <w:t>万元。</w:t>
      </w:r>
    </w:p>
    <w:p w14:paraId="761EBACB">
      <w:pPr>
        <w:keepNext w:val="0"/>
        <w:keepLines w:val="0"/>
        <w:pageBreakBefore w:val="0"/>
        <w:widowControl/>
        <w:numPr>
          <w:ilvl w:val="0"/>
          <w:numId w:val="7"/>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 w:hAnsi="仿宋" w:eastAsia="仿宋" w:cs="仿宋"/>
          <w:b w:val="0"/>
          <w:bCs w:val="0"/>
          <w:color w:val="000000"/>
          <w:kern w:val="0"/>
          <w:sz w:val="32"/>
          <w:szCs w:val="32"/>
          <w:highlight w:val="none"/>
          <w:shd w:val="clear" w:color="auto" w:fill="FFFFFF"/>
          <w:lang w:val="en-US" w:eastAsia="zh-CN"/>
        </w:rPr>
      </w:pPr>
      <w:r>
        <w:rPr>
          <w:rFonts w:hint="eastAsia" w:ascii="仿宋" w:hAnsi="仿宋" w:eastAsia="仿宋" w:cs="仿宋"/>
          <w:b/>
          <w:sz w:val="32"/>
          <w:szCs w:val="32"/>
        </w:rPr>
        <w:t>结余分配和结转结余情况</w:t>
      </w:r>
      <w:r>
        <w:rPr>
          <w:rFonts w:hint="eastAsia" w:ascii="仿宋" w:hAnsi="仿宋" w:eastAsia="仿宋" w:cs="仿宋"/>
          <w:b/>
          <w:sz w:val="32"/>
          <w:szCs w:val="32"/>
          <w:lang w:eastAsia="zh-CN"/>
        </w:rPr>
        <w:t>。我</w:t>
      </w:r>
      <w:r>
        <w:rPr>
          <w:rFonts w:hint="eastAsia" w:ascii="仿宋" w:hAnsi="仿宋" w:eastAsia="仿宋" w:cs="仿宋"/>
          <w:sz w:val="32"/>
          <w:szCs w:val="32"/>
          <w:lang w:val="en-US" w:eastAsia="zh-CN"/>
        </w:rPr>
        <w:t>部门2024年决算报表</w:t>
      </w:r>
      <w:r>
        <w:rPr>
          <w:rFonts w:hint="eastAsia" w:ascii="仿宋" w:hAnsi="仿宋" w:eastAsia="仿宋" w:cs="仿宋"/>
          <w:b w:val="0"/>
          <w:bCs w:val="0"/>
          <w:color w:val="000000"/>
          <w:kern w:val="0"/>
          <w:sz w:val="32"/>
          <w:szCs w:val="32"/>
          <w:highlight w:val="none"/>
          <w:shd w:val="clear" w:color="auto" w:fill="FFFFFF"/>
          <w:lang w:val="en-US" w:eastAsia="zh-CN"/>
        </w:rPr>
        <w:t>结转结余情况。(无)</w:t>
      </w:r>
    </w:p>
    <w:p w14:paraId="55F2B7BA">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0"/>
        <w:rPr>
          <w:rFonts w:hint="eastAsia" w:ascii="仿宋" w:hAnsi="仿宋" w:eastAsia="仿宋" w:cs="仿宋"/>
          <w:color w:val="000000" w:themeColor="text1"/>
          <w:kern w:val="0"/>
          <w:sz w:val="32"/>
          <w:szCs w:val="32"/>
          <w:highlight w:val="none"/>
          <w:shd w:val="clear" w:color="auto" w:fill="FFFFFF"/>
          <w14:textFill>
            <w14:solidFill>
              <w14:schemeClr w14:val="tx1"/>
            </w14:solidFill>
          </w14:textFill>
        </w:rPr>
      </w:pPr>
      <w:r>
        <w:rPr>
          <w:rFonts w:hint="eastAsia" w:ascii="仿宋" w:hAnsi="仿宋" w:eastAsia="仿宋" w:cs="仿宋"/>
          <w:sz w:val="32"/>
          <w:szCs w:val="32"/>
          <w:lang w:val="en-US" w:eastAsia="zh-CN"/>
        </w:rPr>
        <w:t xml:space="preserve"> </w:t>
      </w:r>
      <w:bookmarkStart w:id="106" w:name="_Toc13687"/>
      <w:bookmarkStart w:id="107" w:name="_Toc3756"/>
      <w:bookmarkStart w:id="108" w:name="_Toc20299"/>
      <w:bookmarkStart w:id="109" w:name="_Toc25638"/>
      <w:r>
        <w:rPr>
          <w:rFonts w:hint="eastAsia" w:ascii="黑体" w:hAnsi="黑体" w:eastAsia="黑体" w:cs="黑体"/>
          <w:color w:val="000000"/>
          <w:kern w:val="0"/>
          <w:sz w:val="32"/>
          <w:szCs w:val="32"/>
          <w:shd w:val="clear" w:color="auto" w:fill="FFFFFF"/>
        </w:rPr>
        <w:t>三、部门</w:t>
      </w:r>
      <w:r>
        <w:rPr>
          <w:rFonts w:hint="eastAsia" w:ascii="黑体" w:hAnsi="黑体" w:eastAsia="黑体" w:cs="黑体"/>
          <w:color w:val="000000"/>
          <w:kern w:val="0"/>
          <w:sz w:val="32"/>
          <w:szCs w:val="32"/>
          <w:shd w:val="clear" w:color="auto" w:fill="FFFFFF"/>
          <w:lang w:eastAsia="zh-CN"/>
        </w:rPr>
        <w:t>预算</w:t>
      </w:r>
      <w:r>
        <w:rPr>
          <w:rFonts w:hint="eastAsia" w:ascii="黑体" w:hAnsi="黑体" w:eastAsia="黑体" w:cs="黑体"/>
          <w:color w:val="000000"/>
          <w:kern w:val="0"/>
          <w:sz w:val="32"/>
          <w:szCs w:val="32"/>
          <w:shd w:val="clear" w:color="auto" w:fill="FFFFFF"/>
        </w:rPr>
        <w:t>绩效</w:t>
      </w:r>
      <w:r>
        <w:rPr>
          <w:rFonts w:hint="eastAsia" w:ascii="黑体" w:hAnsi="黑体" w:eastAsia="黑体" w:cs="黑体"/>
          <w:color w:val="000000"/>
          <w:kern w:val="0"/>
          <w:sz w:val="32"/>
          <w:szCs w:val="32"/>
          <w:shd w:val="clear" w:color="auto" w:fill="FFFFFF"/>
          <w:lang w:eastAsia="zh-CN"/>
        </w:rPr>
        <w:t>分析</w:t>
      </w:r>
      <w:bookmarkEnd w:id="106"/>
      <w:bookmarkEnd w:id="107"/>
      <w:bookmarkEnd w:id="108"/>
      <w:bookmarkEnd w:id="109"/>
    </w:p>
    <w:p w14:paraId="3EB00C7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1"/>
        <w:rPr>
          <w:rFonts w:hint="eastAsia" w:ascii="仿宋" w:hAnsi="仿宋" w:eastAsia="仿宋" w:cs="仿宋"/>
          <w:color w:val="000000"/>
          <w:kern w:val="0"/>
          <w:sz w:val="32"/>
          <w:szCs w:val="32"/>
          <w:highlight w:val="none"/>
          <w:shd w:val="clear" w:color="auto" w:fill="FFFFFF"/>
          <w:lang w:val="zh-CN"/>
        </w:rPr>
      </w:pPr>
      <w:bookmarkStart w:id="110" w:name="_Toc21971"/>
      <w:r>
        <w:rPr>
          <w:rFonts w:hint="eastAsia" w:ascii="仿宋" w:hAnsi="仿宋" w:eastAsia="仿宋" w:cs="仿宋"/>
          <w:b/>
          <w:bCs/>
          <w:color w:val="000000"/>
          <w:kern w:val="0"/>
          <w:sz w:val="32"/>
          <w:szCs w:val="32"/>
          <w:highlight w:val="none"/>
          <w:shd w:val="clear" w:color="auto" w:fill="FFFFFF"/>
          <w:lang w:val="zh-CN"/>
        </w:rPr>
        <w:t>（一）部门预算总体绩效分析。</w:t>
      </w:r>
      <w:r>
        <w:rPr>
          <w:rFonts w:hint="eastAsia" w:ascii="仿宋" w:hAnsi="仿宋" w:eastAsia="仿宋" w:cs="仿宋"/>
          <w:color w:val="000000"/>
          <w:kern w:val="0"/>
          <w:sz w:val="32"/>
          <w:szCs w:val="32"/>
          <w:highlight w:val="none"/>
          <w:shd w:val="clear" w:color="auto" w:fill="FFFFFF"/>
          <w:lang w:val="zh-CN"/>
        </w:rPr>
        <w:t>根据部门预算绩效评价指标体系“总体绩效”涉及二、三级指标进行逐项绩效分析并评分，依次包括履职效能、预算管理、财务管理、资产管理、采购管理等情况。</w:t>
      </w:r>
      <w:bookmarkEnd w:id="110"/>
    </w:p>
    <w:p w14:paraId="4A26959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2"/>
        <w:rPr>
          <w:rFonts w:hint="eastAsia" w:ascii="仿宋" w:hAnsi="仿宋" w:eastAsia="仿宋" w:cs="仿宋"/>
          <w:sz w:val="32"/>
          <w:szCs w:val="32"/>
          <w:lang w:val="zh-CN"/>
        </w:rPr>
      </w:pPr>
      <w:bookmarkStart w:id="111" w:name="_Toc18069"/>
      <w:r>
        <w:rPr>
          <w:rFonts w:hint="eastAsia" w:ascii="仿宋" w:hAnsi="仿宋" w:eastAsia="仿宋" w:cs="仿宋"/>
          <w:color w:val="000000"/>
          <w:kern w:val="0"/>
          <w:sz w:val="32"/>
          <w:szCs w:val="32"/>
          <w:highlight w:val="none"/>
          <w:shd w:val="clear" w:color="auto" w:fill="FFFFFF"/>
          <w:lang w:val="en-US" w:eastAsia="zh-CN"/>
        </w:rPr>
        <w:t>1.</w:t>
      </w:r>
      <w:r>
        <w:rPr>
          <w:rFonts w:hint="eastAsia" w:ascii="仿宋" w:hAnsi="仿宋" w:eastAsia="仿宋" w:cs="仿宋"/>
          <w:color w:val="000000"/>
          <w:kern w:val="0"/>
          <w:sz w:val="32"/>
          <w:szCs w:val="32"/>
          <w:highlight w:val="none"/>
          <w:shd w:val="clear" w:color="auto" w:fill="FFFFFF"/>
          <w:lang w:val="zh-CN"/>
        </w:rPr>
        <w:t>履职效能。（</w:t>
      </w:r>
      <w:r>
        <w:rPr>
          <w:rFonts w:hint="eastAsia" w:ascii="仿宋" w:hAnsi="仿宋" w:eastAsia="仿宋" w:cs="仿宋"/>
          <w:color w:val="000000"/>
          <w:kern w:val="0"/>
          <w:sz w:val="32"/>
          <w:szCs w:val="32"/>
          <w:highlight w:val="none"/>
          <w:shd w:val="clear" w:color="auto" w:fill="FFFFFF"/>
          <w:lang w:val="en-US" w:eastAsia="zh-CN"/>
        </w:rPr>
        <w:t>15分）</w:t>
      </w:r>
      <w:r>
        <w:rPr>
          <w:rFonts w:hint="eastAsia" w:ascii="仿宋" w:hAnsi="仿宋" w:eastAsia="仿宋" w:cs="仿宋"/>
          <w:color w:val="000000"/>
          <w:kern w:val="0"/>
          <w:sz w:val="32"/>
          <w:szCs w:val="32"/>
          <w:highlight w:val="none"/>
          <w:shd w:val="clear" w:color="auto" w:fill="FFFFFF"/>
          <w:lang w:val="zh-CN"/>
        </w:rPr>
        <w:t>督促检查县政府各部门和各乡镇人民政府对县政府公文、会议决定事项及县政府领导同志有关指示的执行落实情况跟踪调研，并向县政府领导同志报告。督查工作开展完成率</w:t>
      </w:r>
      <w:r>
        <w:rPr>
          <w:rFonts w:hint="eastAsia" w:ascii="仿宋" w:hAnsi="仿宋" w:eastAsia="仿宋" w:cs="仿宋"/>
          <w:color w:val="000000"/>
          <w:kern w:val="0"/>
          <w:sz w:val="32"/>
          <w:szCs w:val="32"/>
          <w:highlight w:val="none"/>
          <w:shd w:val="clear" w:color="auto" w:fill="FFFFFF"/>
          <w:lang w:val="en-US" w:eastAsia="zh-CN"/>
        </w:rPr>
        <w:t>100%。指导全县应急管理工作，协助县政府领导同志做好需由县政府组织处理的突发事件和重大事故的应急处置工作。高质量完成了此项工作。很好地组织办理涉及县政府工作的人大代表议案、批评、建议和政协委员提案、建议案工作。</w:t>
      </w:r>
      <w:r>
        <w:rPr>
          <w:rFonts w:hint="eastAsia" w:ascii="仿宋" w:hAnsi="仿宋" w:eastAsia="仿宋" w:cs="仿宋"/>
          <w:color w:val="000000"/>
          <w:kern w:val="0"/>
          <w:sz w:val="32"/>
          <w:szCs w:val="32"/>
          <w:highlight w:val="none"/>
          <w:shd w:val="clear" w:color="auto" w:fill="FFFFFF"/>
          <w:lang w:val="zh-CN"/>
        </w:rPr>
        <w:t>综上，根据评分标准，该项指标，得</w:t>
      </w:r>
      <w:r>
        <w:rPr>
          <w:rFonts w:hint="eastAsia" w:ascii="仿宋" w:hAnsi="仿宋" w:eastAsia="仿宋" w:cs="仿宋"/>
          <w:color w:val="000000"/>
          <w:kern w:val="0"/>
          <w:sz w:val="32"/>
          <w:szCs w:val="32"/>
          <w:highlight w:val="none"/>
          <w:shd w:val="clear" w:color="auto" w:fill="FFFFFF"/>
          <w:lang w:val="en-US" w:eastAsia="zh-CN"/>
        </w:rPr>
        <w:t>14</w:t>
      </w:r>
      <w:r>
        <w:rPr>
          <w:rFonts w:hint="eastAsia" w:ascii="仿宋" w:hAnsi="仿宋" w:eastAsia="仿宋" w:cs="仿宋"/>
          <w:color w:val="000000"/>
          <w:kern w:val="0"/>
          <w:sz w:val="32"/>
          <w:szCs w:val="32"/>
          <w:highlight w:val="none"/>
          <w:shd w:val="clear" w:color="auto" w:fill="FFFFFF"/>
          <w:lang w:val="zh-CN"/>
        </w:rPr>
        <w:t>分。</w:t>
      </w:r>
      <w:bookmarkEnd w:id="111"/>
    </w:p>
    <w:p w14:paraId="581A566D">
      <w:pPr>
        <w:keepNext w:val="0"/>
        <w:keepLines w:val="0"/>
        <w:pageBreakBefore w:val="0"/>
        <w:widowControl w:val="0"/>
        <w:numPr>
          <w:ilvl w:val="0"/>
          <w:numId w:val="8"/>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2"/>
        <w:rPr>
          <w:rFonts w:hint="eastAsia" w:ascii="仿宋" w:hAnsi="仿宋" w:eastAsia="仿宋" w:cs="仿宋"/>
          <w:color w:val="000000"/>
          <w:kern w:val="0"/>
          <w:sz w:val="32"/>
          <w:szCs w:val="32"/>
          <w:highlight w:val="none"/>
          <w:shd w:val="clear" w:color="auto" w:fill="FFFFFF"/>
          <w:lang w:val="zh-CN"/>
        </w:rPr>
      </w:pPr>
      <w:bookmarkStart w:id="112" w:name="_Toc238"/>
      <w:r>
        <w:rPr>
          <w:rFonts w:hint="eastAsia" w:ascii="仿宋" w:hAnsi="仿宋" w:eastAsia="仿宋" w:cs="仿宋"/>
          <w:color w:val="000000"/>
          <w:kern w:val="0"/>
          <w:sz w:val="32"/>
          <w:szCs w:val="32"/>
          <w:highlight w:val="none"/>
          <w:shd w:val="clear" w:color="auto" w:fill="FFFFFF"/>
          <w:lang w:val="zh-CN"/>
        </w:rPr>
        <w:t>预算管理。（</w:t>
      </w:r>
      <w:r>
        <w:rPr>
          <w:rFonts w:hint="eastAsia" w:ascii="仿宋" w:hAnsi="仿宋" w:eastAsia="仿宋" w:cs="仿宋"/>
          <w:color w:val="000000"/>
          <w:kern w:val="0"/>
          <w:sz w:val="32"/>
          <w:szCs w:val="32"/>
          <w:highlight w:val="none"/>
          <w:shd w:val="clear" w:color="auto" w:fill="FFFFFF"/>
          <w:lang w:val="en-US" w:eastAsia="zh-CN"/>
        </w:rPr>
        <w:t>25分）按财政要求</w:t>
      </w:r>
      <w:r>
        <w:rPr>
          <w:rFonts w:hint="eastAsia" w:ascii="仿宋" w:hAnsi="仿宋" w:eastAsia="仿宋" w:cs="仿宋"/>
          <w:color w:val="000000"/>
          <w:kern w:val="0"/>
          <w:sz w:val="32"/>
          <w:szCs w:val="32"/>
          <w:highlight w:val="none"/>
          <w:shd w:val="clear" w:color="auto" w:fill="FFFFFF"/>
          <w:lang w:val="zh-CN"/>
        </w:rPr>
        <w:t>预算编制质量较高、单位收入进行统筹管理、支出严格按预算执行进度、预算年终资金结转结余符合预算管理、严控一般性支出，支出逐年下降。综上，根据评分标准，该项指标，得</w:t>
      </w:r>
      <w:r>
        <w:rPr>
          <w:rFonts w:hint="eastAsia" w:ascii="仿宋" w:hAnsi="仿宋" w:eastAsia="仿宋" w:cs="仿宋"/>
          <w:color w:val="000000"/>
          <w:kern w:val="0"/>
          <w:sz w:val="32"/>
          <w:szCs w:val="32"/>
          <w:highlight w:val="none"/>
          <w:shd w:val="clear" w:color="auto" w:fill="FFFFFF"/>
          <w:lang w:val="en-US" w:eastAsia="zh-CN"/>
        </w:rPr>
        <w:t>24</w:t>
      </w:r>
      <w:r>
        <w:rPr>
          <w:rFonts w:hint="eastAsia" w:ascii="仿宋" w:hAnsi="仿宋" w:eastAsia="仿宋" w:cs="仿宋"/>
          <w:color w:val="000000"/>
          <w:kern w:val="0"/>
          <w:sz w:val="32"/>
          <w:szCs w:val="32"/>
          <w:highlight w:val="none"/>
          <w:shd w:val="clear" w:color="auto" w:fill="FFFFFF"/>
          <w:lang w:val="zh-CN"/>
        </w:rPr>
        <w:t>分。"</w:t>
      </w:r>
      <w:bookmarkEnd w:id="112"/>
    </w:p>
    <w:p w14:paraId="36BFEC8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2"/>
        <w:rPr>
          <w:rFonts w:hint="eastAsia" w:ascii="仿宋" w:hAnsi="仿宋" w:eastAsia="仿宋" w:cs="仿宋"/>
          <w:color w:val="000000"/>
          <w:kern w:val="0"/>
          <w:sz w:val="32"/>
          <w:szCs w:val="32"/>
          <w:highlight w:val="none"/>
          <w:shd w:val="clear" w:color="auto" w:fill="FFFFFF"/>
          <w:lang w:val="zh-CN"/>
        </w:rPr>
      </w:pPr>
      <w:bookmarkStart w:id="113" w:name="_Toc7923"/>
      <w:r>
        <w:rPr>
          <w:rFonts w:hint="eastAsia" w:ascii="仿宋" w:hAnsi="仿宋" w:eastAsia="仿宋" w:cs="仿宋"/>
          <w:color w:val="000000"/>
          <w:kern w:val="0"/>
          <w:sz w:val="32"/>
          <w:szCs w:val="32"/>
          <w:highlight w:val="none"/>
          <w:shd w:val="clear" w:color="auto" w:fill="FFFFFF"/>
          <w:lang w:val="en-US" w:eastAsia="zh-CN"/>
        </w:rPr>
        <w:t>3.</w:t>
      </w:r>
      <w:r>
        <w:rPr>
          <w:rFonts w:hint="eastAsia" w:ascii="仿宋" w:hAnsi="仿宋" w:eastAsia="仿宋" w:cs="仿宋"/>
          <w:color w:val="000000"/>
          <w:kern w:val="0"/>
          <w:sz w:val="32"/>
          <w:szCs w:val="32"/>
          <w:highlight w:val="none"/>
          <w:shd w:val="clear" w:color="auto" w:fill="FFFFFF"/>
          <w:lang w:val="zh-CN"/>
        </w:rPr>
        <w:t>财务管理。（</w:t>
      </w:r>
      <w:r>
        <w:rPr>
          <w:rFonts w:hint="eastAsia" w:ascii="仿宋" w:hAnsi="仿宋" w:eastAsia="仿宋" w:cs="仿宋"/>
          <w:color w:val="000000"/>
          <w:kern w:val="0"/>
          <w:sz w:val="32"/>
          <w:szCs w:val="32"/>
          <w:highlight w:val="none"/>
          <w:shd w:val="clear" w:color="auto" w:fill="FFFFFF"/>
          <w:lang w:val="en-US" w:eastAsia="zh-CN"/>
        </w:rPr>
        <w:t>10分）单位制定了</w:t>
      </w:r>
      <w:r>
        <w:rPr>
          <w:rFonts w:hint="eastAsia" w:ascii="仿宋" w:hAnsi="仿宋" w:eastAsia="仿宋" w:cs="仿宋"/>
          <w:color w:val="000000"/>
          <w:kern w:val="0"/>
          <w:sz w:val="32"/>
          <w:szCs w:val="32"/>
          <w:highlight w:val="none"/>
          <w:shd w:val="clear" w:color="auto" w:fill="FFFFFF"/>
          <w:lang w:val="zh-CN"/>
        </w:rPr>
        <w:t>财务管理制度，日常工作中严格执行财务制度、财务岗位设置实行了分离和相互制约、资金使用规范。综上，根据评分标准，该项指标，得</w:t>
      </w:r>
      <w:r>
        <w:rPr>
          <w:rFonts w:hint="eastAsia" w:ascii="仿宋" w:hAnsi="仿宋" w:eastAsia="仿宋" w:cs="仿宋"/>
          <w:color w:val="000000"/>
          <w:kern w:val="0"/>
          <w:sz w:val="32"/>
          <w:szCs w:val="32"/>
          <w:highlight w:val="none"/>
          <w:shd w:val="clear" w:color="auto" w:fill="FFFFFF"/>
          <w:lang w:val="en-US" w:eastAsia="zh-CN"/>
        </w:rPr>
        <w:t>9</w:t>
      </w:r>
      <w:r>
        <w:rPr>
          <w:rFonts w:hint="eastAsia" w:ascii="仿宋" w:hAnsi="仿宋" w:eastAsia="仿宋" w:cs="仿宋"/>
          <w:color w:val="000000"/>
          <w:kern w:val="0"/>
          <w:sz w:val="32"/>
          <w:szCs w:val="32"/>
          <w:highlight w:val="none"/>
          <w:shd w:val="clear" w:color="auto" w:fill="FFFFFF"/>
          <w:lang w:val="zh-CN"/>
        </w:rPr>
        <w:t>分。</w:t>
      </w:r>
      <w:bookmarkEnd w:id="113"/>
    </w:p>
    <w:p w14:paraId="11AA8C0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2"/>
        <w:rPr>
          <w:rFonts w:hint="eastAsia" w:ascii="仿宋" w:hAnsi="仿宋" w:eastAsia="仿宋" w:cs="仿宋"/>
          <w:color w:val="000000"/>
          <w:kern w:val="0"/>
          <w:sz w:val="32"/>
          <w:szCs w:val="32"/>
          <w:highlight w:val="none"/>
          <w:shd w:val="clear" w:color="auto" w:fill="FFFFFF"/>
          <w:lang w:val="zh-CN"/>
        </w:rPr>
      </w:pPr>
      <w:bookmarkStart w:id="114" w:name="_Toc17636"/>
      <w:r>
        <w:rPr>
          <w:rFonts w:hint="eastAsia" w:ascii="仿宋" w:hAnsi="仿宋" w:eastAsia="仿宋" w:cs="仿宋"/>
          <w:color w:val="000000"/>
          <w:kern w:val="0"/>
          <w:sz w:val="32"/>
          <w:szCs w:val="32"/>
          <w:highlight w:val="none"/>
          <w:shd w:val="clear" w:color="auto" w:fill="FFFFFF"/>
          <w:lang w:val="en-US" w:eastAsia="zh-CN"/>
        </w:rPr>
        <w:t>4.</w:t>
      </w:r>
      <w:r>
        <w:rPr>
          <w:rFonts w:hint="eastAsia" w:ascii="仿宋" w:hAnsi="仿宋" w:eastAsia="仿宋" w:cs="仿宋"/>
          <w:color w:val="000000"/>
          <w:kern w:val="0"/>
          <w:sz w:val="32"/>
          <w:szCs w:val="32"/>
          <w:highlight w:val="none"/>
          <w:shd w:val="clear" w:color="auto" w:fill="FFFFFF"/>
          <w:lang w:val="zh-CN"/>
        </w:rPr>
        <w:t>资产管理。（</w:t>
      </w:r>
      <w:r>
        <w:rPr>
          <w:rFonts w:hint="eastAsia" w:ascii="仿宋" w:hAnsi="仿宋" w:eastAsia="仿宋" w:cs="仿宋"/>
          <w:color w:val="000000"/>
          <w:kern w:val="0"/>
          <w:sz w:val="32"/>
          <w:szCs w:val="32"/>
          <w:highlight w:val="none"/>
          <w:shd w:val="clear" w:color="auto" w:fill="FFFFFF"/>
          <w:lang w:val="en-US" w:eastAsia="zh-CN"/>
        </w:rPr>
        <w:t>9分）</w:t>
      </w:r>
      <w:r>
        <w:rPr>
          <w:rFonts w:hint="eastAsia" w:ascii="仿宋" w:hAnsi="仿宋" w:eastAsia="仿宋" w:cs="仿宋"/>
          <w:color w:val="000000"/>
          <w:kern w:val="0"/>
          <w:sz w:val="32"/>
          <w:szCs w:val="32"/>
          <w:highlight w:val="none"/>
          <w:shd w:val="clear" w:color="auto" w:fill="FFFFFF"/>
          <w:lang w:val="zh-CN"/>
        </w:rPr>
        <w:t>围绕人均资产变化率、资产利用率、资产盘活率进行绩效分析。综上，根据评分标准，该项指标，得</w:t>
      </w:r>
      <w:r>
        <w:rPr>
          <w:rFonts w:hint="eastAsia" w:ascii="仿宋" w:hAnsi="仿宋" w:eastAsia="仿宋" w:cs="仿宋"/>
          <w:color w:val="000000"/>
          <w:kern w:val="0"/>
          <w:sz w:val="32"/>
          <w:szCs w:val="32"/>
          <w:highlight w:val="none"/>
          <w:shd w:val="clear" w:color="auto" w:fill="FFFFFF"/>
          <w:lang w:val="en-US" w:eastAsia="zh-CN"/>
        </w:rPr>
        <w:t>8</w:t>
      </w:r>
      <w:r>
        <w:rPr>
          <w:rFonts w:hint="eastAsia" w:ascii="仿宋" w:hAnsi="仿宋" w:eastAsia="仿宋" w:cs="仿宋"/>
          <w:color w:val="000000"/>
          <w:kern w:val="0"/>
          <w:sz w:val="32"/>
          <w:szCs w:val="32"/>
          <w:highlight w:val="none"/>
          <w:shd w:val="clear" w:color="auto" w:fill="FFFFFF"/>
          <w:lang w:val="zh-CN"/>
        </w:rPr>
        <w:t>分。"</w:t>
      </w:r>
      <w:bookmarkEnd w:id="114"/>
    </w:p>
    <w:p w14:paraId="5E0E48E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2"/>
        <w:rPr>
          <w:rFonts w:hint="eastAsia" w:ascii="仿宋" w:hAnsi="仿宋" w:eastAsia="仿宋" w:cs="仿宋"/>
          <w:color w:val="000000"/>
          <w:kern w:val="0"/>
          <w:sz w:val="32"/>
          <w:szCs w:val="32"/>
          <w:highlight w:val="none"/>
          <w:shd w:val="clear" w:color="auto" w:fill="FFFFFF"/>
          <w:lang w:val="zh-CN"/>
        </w:rPr>
      </w:pPr>
      <w:bookmarkStart w:id="115" w:name="_Toc23937"/>
      <w:r>
        <w:rPr>
          <w:rFonts w:hint="eastAsia" w:ascii="仿宋" w:hAnsi="仿宋" w:eastAsia="仿宋" w:cs="仿宋"/>
          <w:color w:val="000000"/>
          <w:kern w:val="0"/>
          <w:sz w:val="32"/>
          <w:szCs w:val="32"/>
          <w:highlight w:val="none"/>
          <w:shd w:val="clear" w:color="auto" w:fill="FFFFFF"/>
          <w:lang w:val="en-US" w:eastAsia="zh-CN"/>
        </w:rPr>
        <w:t>5.</w:t>
      </w:r>
      <w:r>
        <w:rPr>
          <w:rFonts w:hint="eastAsia" w:ascii="仿宋" w:hAnsi="仿宋" w:eastAsia="仿宋" w:cs="仿宋"/>
          <w:color w:val="000000"/>
          <w:kern w:val="0"/>
          <w:sz w:val="32"/>
          <w:szCs w:val="32"/>
          <w:highlight w:val="none"/>
          <w:shd w:val="clear" w:color="auto" w:fill="FFFFFF"/>
          <w:lang w:val="zh-CN"/>
        </w:rPr>
        <w:t>采购管理。（</w:t>
      </w:r>
      <w:r>
        <w:rPr>
          <w:rFonts w:hint="eastAsia" w:ascii="仿宋" w:hAnsi="仿宋" w:eastAsia="仿宋" w:cs="仿宋"/>
          <w:color w:val="000000"/>
          <w:kern w:val="0"/>
          <w:sz w:val="32"/>
          <w:szCs w:val="32"/>
          <w:highlight w:val="none"/>
          <w:shd w:val="clear" w:color="auto" w:fill="FFFFFF"/>
          <w:lang w:val="en-US" w:eastAsia="zh-CN"/>
        </w:rPr>
        <w:t>6分）</w:t>
      </w:r>
      <w:r>
        <w:rPr>
          <w:rFonts w:hint="eastAsia" w:ascii="仿宋" w:hAnsi="仿宋" w:eastAsia="仿宋" w:cs="仿宋"/>
          <w:color w:val="000000"/>
          <w:kern w:val="0"/>
          <w:sz w:val="32"/>
          <w:szCs w:val="32"/>
          <w:highlight w:val="none"/>
          <w:shd w:val="clear" w:color="auto" w:fill="FFFFFF"/>
          <w:lang w:val="zh-CN"/>
        </w:rPr>
        <w:t>围绕支持中小企业发展、采购执行率进行绩效分析。综上，根据评分标准，该项指标，得</w:t>
      </w:r>
      <w:r>
        <w:rPr>
          <w:rFonts w:hint="eastAsia" w:ascii="仿宋" w:hAnsi="仿宋" w:eastAsia="仿宋" w:cs="仿宋"/>
          <w:color w:val="000000"/>
          <w:kern w:val="0"/>
          <w:sz w:val="32"/>
          <w:szCs w:val="32"/>
          <w:highlight w:val="none"/>
          <w:shd w:val="clear" w:color="auto" w:fill="FFFFFF"/>
          <w:lang w:val="en-US" w:eastAsia="zh-CN"/>
        </w:rPr>
        <w:t>6</w:t>
      </w:r>
      <w:r>
        <w:rPr>
          <w:rFonts w:hint="eastAsia" w:ascii="仿宋" w:hAnsi="仿宋" w:eastAsia="仿宋" w:cs="仿宋"/>
          <w:color w:val="000000"/>
          <w:kern w:val="0"/>
          <w:sz w:val="32"/>
          <w:szCs w:val="32"/>
          <w:highlight w:val="none"/>
          <w:shd w:val="clear" w:color="auto" w:fill="FFFFFF"/>
          <w:lang w:val="zh-CN"/>
        </w:rPr>
        <w:t>分。"</w:t>
      </w:r>
      <w:bookmarkEnd w:id="115"/>
    </w:p>
    <w:p w14:paraId="1FE5A8AE">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1"/>
        <w:rPr>
          <w:rFonts w:hint="eastAsia" w:ascii="仿宋" w:hAnsi="仿宋" w:eastAsia="仿宋" w:cs="仿宋"/>
          <w:color w:val="000000"/>
          <w:kern w:val="0"/>
          <w:sz w:val="32"/>
          <w:szCs w:val="32"/>
          <w:highlight w:val="none"/>
          <w:shd w:val="clear" w:color="auto" w:fill="FFFFFF"/>
          <w:lang w:val="en-US" w:eastAsia="zh-CN"/>
        </w:rPr>
      </w:pPr>
      <w:bookmarkStart w:id="116" w:name="_Toc5385"/>
      <w:r>
        <w:rPr>
          <w:rFonts w:hint="eastAsia" w:ascii="仿宋" w:hAnsi="仿宋" w:eastAsia="仿宋" w:cs="仿宋"/>
          <w:b/>
          <w:bCs/>
          <w:color w:val="000000"/>
          <w:kern w:val="0"/>
          <w:sz w:val="32"/>
          <w:szCs w:val="32"/>
          <w:highlight w:val="none"/>
          <w:shd w:val="clear" w:color="auto" w:fill="FFFFFF"/>
          <w:lang w:val="zh-CN"/>
        </w:rPr>
        <w:t>（二）部门预算项目绩效分析。</w:t>
      </w:r>
      <w:r>
        <w:rPr>
          <w:rFonts w:hint="eastAsia" w:ascii="仿宋" w:hAnsi="仿宋" w:eastAsia="仿宋" w:cs="仿宋"/>
          <w:color w:val="000000"/>
          <w:kern w:val="0"/>
          <w:sz w:val="32"/>
          <w:szCs w:val="32"/>
          <w:highlight w:val="none"/>
          <w:shd w:val="clear" w:color="auto" w:fill="FFFFFF"/>
          <w:lang w:val="zh-CN" w:eastAsia="zh-CN"/>
        </w:rPr>
        <w:t>填报以下数据，</w:t>
      </w:r>
      <w:r>
        <w:rPr>
          <w:rFonts w:hint="eastAsia" w:ascii="仿宋" w:hAnsi="仿宋" w:eastAsia="仿宋" w:cs="仿宋"/>
          <w:color w:val="000000"/>
          <w:kern w:val="0"/>
          <w:sz w:val="32"/>
          <w:szCs w:val="32"/>
          <w:highlight w:val="none"/>
          <w:shd w:val="clear" w:color="auto" w:fill="FFFFFF"/>
          <w:lang w:val="zh-CN"/>
        </w:rPr>
        <w:t>并根据部门预算绩效评价指标体系“项目绩效”涉及二、三级指标进行逐项绩效分析并评分，依次包括项目</w:t>
      </w:r>
      <w:r>
        <w:rPr>
          <w:rFonts w:hint="eastAsia" w:ascii="仿宋" w:hAnsi="仿宋" w:eastAsia="仿宋" w:cs="仿宋"/>
          <w:color w:val="000000"/>
          <w:kern w:val="0"/>
          <w:sz w:val="32"/>
          <w:szCs w:val="32"/>
          <w:highlight w:val="none"/>
          <w:shd w:val="clear" w:color="auto" w:fill="FFFFFF"/>
          <w:lang w:val="en-US" w:eastAsia="zh-CN"/>
        </w:rPr>
        <w:t>决策、项目执行、目标实现等情况。</w:t>
      </w:r>
      <w:bookmarkEnd w:id="116"/>
    </w:p>
    <w:p w14:paraId="5FC72EA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eastAsia="zh-CN"/>
        </w:rPr>
      </w:pPr>
      <w:r>
        <w:rPr>
          <w:rFonts w:hint="eastAsia" w:ascii="仿宋" w:hAnsi="仿宋" w:eastAsia="仿宋" w:cs="仿宋"/>
          <w:color w:val="000000"/>
          <w:kern w:val="0"/>
          <w:sz w:val="32"/>
          <w:szCs w:val="32"/>
          <w:highlight w:val="none"/>
          <w:shd w:val="clear" w:color="auto" w:fill="FFFFFF"/>
          <w:lang w:val="en-US" w:eastAsia="zh-CN"/>
        </w:rPr>
        <w:t>常年项目绩效分析。</w:t>
      </w:r>
      <w:r>
        <w:rPr>
          <w:rFonts w:hint="eastAsia" w:ascii="仿宋" w:hAnsi="仿宋" w:eastAsia="仿宋" w:cs="仿宋"/>
          <w:color w:val="000000"/>
          <w:kern w:val="0"/>
          <w:sz w:val="32"/>
          <w:szCs w:val="32"/>
          <w:highlight w:val="none"/>
          <w:shd w:val="clear" w:color="auto" w:fill="FFFFFF"/>
          <w:lang w:val="zh-CN" w:eastAsia="zh-CN"/>
        </w:rPr>
        <w:t>该类项目总数</w:t>
      </w:r>
      <w:r>
        <w:rPr>
          <w:rFonts w:hint="eastAsia" w:ascii="仿宋" w:hAnsi="仿宋" w:eastAsia="仿宋" w:cs="仿宋"/>
          <w:color w:val="000000"/>
          <w:kern w:val="0"/>
          <w:sz w:val="32"/>
          <w:szCs w:val="32"/>
          <w:highlight w:val="none"/>
          <w:shd w:val="clear" w:color="auto" w:fill="FFFFFF"/>
          <w:lang w:val="en-US" w:eastAsia="zh-CN"/>
        </w:rPr>
        <w:t xml:space="preserve">  6 </w:t>
      </w:r>
      <w:r>
        <w:rPr>
          <w:rFonts w:hint="eastAsia" w:ascii="仿宋" w:hAnsi="仿宋" w:eastAsia="仿宋" w:cs="仿宋"/>
          <w:color w:val="000000"/>
          <w:kern w:val="0"/>
          <w:sz w:val="32"/>
          <w:szCs w:val="32"/>
          <w:highlight w:val="none"/>
          <w:shd w:val="clear" w:color="auto" w:fill="FFFFFF"/>
          <w:lang w:val="zh-CN" w:eastAsia="zh-CN"/>
        </w:rPr>
        <w:t>个，涉及预算总金额</w:t>
      </w:r>
      <w:r>
        <w:rPr>
          <w:rFonts w:hint="eastAsia" w:ascii="仿宋" w:hAnsi="仿宋" w:eastAsia="仿宋" w:cs="仿宋"/>
          <w:color w:val="000000"/>
          <w:kern w:val="0"/>
          <w:sz w:val="32"/>
          <w:szCs w:val="32"/>
          <w:highlight w:val="none"/>
          <w:shd w:val="clear" w:color="auto" w:fill="FFFFFF"/>
          <w:lang w:val="en-US" w:eastAsia="zh-CN"/>
        </w:rPr>
        <w:t xml:space="preserve">   876.10</w:t>
      </w:r>
      <w:r>
        <w:rPr>
          <w:rFonts w:hint="eastAsia" w:ascii="仿宋" w:hAnsi="仿宋" w:eastAsia="仿宋" w:cs="仿宋"/>
          <w:color w:val="000000"/>
          <w:kern w:val="0"/>
          <w:sz w:val="32"/>
          <w:szCs w:val="32"/>
          <w:highlight w:val="none"/>
          <w:shd w:val="clear" w:color="auto" w:fill="FFFFFF"/>
          <w:lang w:val="zh-CN" w:eastAsia="zh-CN"/>
        </w:rPr>
        <w:t>万元，</w:t>
      </w:r>
      <w:r>
        <w:rPr>
          <w:rFonts w:hint="eastAsia" w:ascii="仿宋" w:hAnsi="仿宋" w:eastAsia="仿宋" w:cs="仿宋"/>
          <w:color w:val="000000"/>
          <w:kern w:val="0"/>
          <w:sz w:val="32"/>
          <w:szCs w:val="32"/>
          <w:highlight w:val="none"/>
          <w:shd w:val="clear" w:color="auto" w:fill="FFFFFF"/>
          <w:lang w:val="zh-CN"/>
        </w:rPr>
        <w:t>1</w:t>
      </w:r>
      <w:r>
        <w:rPr>
          <w:rFonts w:hint="eastAsia" w:ascii="仿宋" w:hAnsi="仿宋" w:eastAsia="仿宋" w:cs="仿宋"/>
          <w:color w:val="000000"/>
          <w:kern w:val="0"/>
          <w:sz w:val="32"/>
          <w:szCs w:val="32"/>
          <w:highlight w:val="none"/>
          <w:shd w:val="clear" w:color="auto" w:fill="FFFFFF"/>
          <w:lang w:val="zh-CN" w:eastAsia="zh-CN"/>
        </w:rPr>
        <w:t>—</w:t>
      </w:r>
      <w:r>
        <w:rPr>
          <w:rFonts w:hint="eastAsia" w:ascii="仿宋" w:hAnsi="仿宋" w:eastAsia="仿宋" w:cs="仿宋"/>
          <w:color w:val="000000"/>
          <w:kern w:val="0"/>
          <w:sz w:val="32"/>
          <w:szCs w:val="32"/>
          <w:highlight w:val="none"/>
          <w:shd w:val="clear" w:color="auto" w:fill="FFFFFF"/>
          <w:lang w:val="zh-CN"/>
        </w:rPr>
        <w:t>1</w:t>
      </w:r>
      <w:r>
        <w:rPr>
          <w:rFonts w:hint="eastAsia" w:ascii="仿宋" w:hAnsi="仿宋" w:eastAsia="仿宋" w:cs="仿宋"/>
          <w:color w:val="000000"/>
          <w:kern w:val="0"/>
          <w:sz w:val="32"/>
          <w:szCs w:val="32"/>
          <w:highlight w:val="none"/>
          <w:shd w:val="clear" w:color="auto" w:fill="FFFFFF"/>
          <w:lang w:val="en-US" w:eastAsia="zh-CN"/>
        </w:rPr>
        <w:t>2</w:t>
      </w:r>
      <w:r>
        <w:rPr>
          <w:rFonts w:hint="eastAsia" w:ascii="仿宋" w:hAnsi="仿宋" w:eastAsia="仿宋" w:cs="仿宋"/>
          <w:color w:val="000000"/>
          <w:kern w:val="0"/>
          <w:sz w:val="32"/>
          <w:szCs w:val="32"/>
          <w:highlight w:val="none"/>
          <w:shd w:val="clear" w:color="auto" w:fill="FFFFFF"/>
          <w:lang w:val="zh-CN"/>
        </w:rPr>
        <w:t>月预算执行总体进度为</w:t>
      </w:r>
      <w:r>
        <w:rPr>
          <w:rFonts w:hint="eastAsia" w:ascii="仿宋" w:hAnsi="仿宋" w:eastAsia="仿宋" w:cs="仿宋"/>
          <w:color w:val="000000"/>
          <w:kern w:val="0"/>
          <w:sz w:val="32"/>
          <w:szCs w:val="32"/>
          <w:highlight w:val="none"/>
          <w:shd w:val="clear" w:color="auto" w:fill="FFFFFF"/>
          <w:lang w:val="en-US" w:eastAsia="zh-CN"/>
        </w:rPr>
        <w:t xml:space="preserve"> 100 </w:t>
      </w:r>
      <w:r>
        <w:rPr>
          <w:rFonts w:hint="eastAsia" w:ascii="仿宋" w:hAnsi="仿宋" w:eastAsia="仿宋" w:cs="仿宋"/>
          <w:color w:val="000000"/>
          <w:kern w:val="0"/>
          <w:sz w:val="32"/>
          <w:szCs w:val="32"/>
          <w:highlight w:val="none"/>
          <w:shd w:val="clear" w:color="auto" w:fill="FFFFFF"/>
          <w:lang w:val="zh-CN"/>
        </w:rPr>
        <w:t>%，其中：</w:t>
      </w:r>
      <w:r>
        <w:rPr>
          <w:rFonts w:hint="eastAsia" w:ascii="仿宋" w:hAnsi="仿宋" w:eastAsia="仿宋" w:cs="仿宋"/>
          <w:color w:val="000000"/>
          <w:kern w:val="0"/>
          <w:sz w:val="32"/>
          <w:szCs w:val="32"/>
          <w:highlight w:val="none"/>
          <w:shd w:val="clear" w:color="auto" w:fill="FFFFFF"/>
          <w:lang w:val="zh-CN" w:eastAsia="zh-CN"/>
        </w:rPr>
        <w:t>预算结余率大于</w:t>
      </w:r>
      <w:r>
        <w:rPr>
          <w:rFonts w:hint="eastAsia" w:ascii="仿宋" w:hAnsi="仿宋" w:eastAsia="仿宋" w:cs="仿宋"/>
          <w:color w:val="000000"/>
          <w:kern w:val="0"/>
          <w:sz w:val="32"/>
          <w:szCs w:val="32"/>
          <w:highlight w:val="none"/>
          <w:shd w:val="clear" w:color="auto" w:fill="FFFFFF"/>
          <w:lang w:val="en-US" w:eastAsia="zh-CN"/>
        </w:rPr>
        <w:t>10%</w:t>
      </w:r>
      <w:r>
        <w:rPr>
          <w:rFonts w:hint="eastAsia" w:ascii="仿宋" w:hAnsi="仿宋" w:eastAsia="仿宋" w:cs="仿宋"/>
          <w:color w:val="000000"/>
          <w:kern w:val="0"/>
          <w:sz w:val="32"/>
          <w:szCs w:val="32"/>
          <w:highlight w:val="none"/>
          <w:shd w:val="clear" w:color="auto" w:fill="FFFFFF"/>
          <w:lang w:val="zh-CN" w:eastAsia="zh-CN"/>
        </w:rPr>
        <w:t>的项目共计</w:t>
      </w:r>
      <w:r>
        <w:rPr>
          <w:rFonts w:hint="eastAsia" w:ascii="仿宋" w:hAnsi="仿宋" w:eastAsia="仿宋" w:cs="仿宋"/>
          <w:color w:val="000000"/>
          <w:kern w:val="0"/>
          <w:sz w:val="32"/>
          <w:szCs w:val="32"/>
          <w:highlight w:val="none"/>
          <w:shd w:val="clear" w:color="auto" w:fill="FFFFFF"/>
          <w:lang w:val="en-US" w:eastAsia="zh-CN"/>
        </w:rPr>
        <w:t xml:space="preserve"> 0  </w:t>
      </w:r>
      <w:r>
        <w:rPr>
          <w:rFonts w:hint="eastAsia" w:ascii="仿宋" w:hAnsi="仿宋" w:eastAsia="仿宋" w:cs="仿宋"/>
          <w:color w:val="000000"/>
          <w:kern w:val="0"/>
          <w:sz w:val="32"/>
          <w:szCs w:val="32"/>
          <w:highlight w:val="none"/>
          <w:shd w:val="clear" w:color="auto" w:fill="FFFFFF"/>
          <w:lang w:val="zh-CN" w:eastAsia="zh-CN"/>
        </w:rPr>
        <w:t>个。</w:t>
      </w:r>
    </w:p>
    <w:p w14:paraId="207C90D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2"/>
        <w:rPr>
          <w:rFonts w:hint="eastAsia" w:ascii="仿宋" w:hAnsi="仿宋" w:eastAsia="仿宋" w:cs="仿宋"/>
          <w:color w:val="000000"/>
          <w:kern w:val="0"/>
          <w:sz w:val="32"/>
          <w:szCs w:val="32"/>
          <w:highlight w:val="none"/>
          <w:shd w:val="clear" w:color="auto" w:fill="FFFFFF"/>
          <w:lang w:val="zh-CN"/>
        </w:rPr>
      </w:pPr>
      <w:bookmarkStart w:id="117" w:name="_Toc18501"/>
      <w:r>
        <w:rPr>
          <w:rFonts w:hint="eastAsia" w:ascii="仿宋" w:hAnsi="仿宋" w:eastAsia="仿宋" w:cs="仿宋"/>
          <w:color w:val="000000"/>
          <w:kern w:val="0"/>
          <w:sz w:val="32"/>
          <w:szCs w:val="32"/>
          <w:highlight w:val="none"/>
          <w:shd w:val="clear" w:color="auto" w:fill="FFFFFF"/>
          <w:lang w:val="en-US" w:eastAsia="zh-CN"/>
        </w:rPr>
        <w:t>1.</w:t>
      </w:r>
      <w:r>
        <w:rPr>
          <w:rFonts w:hint="eastAsia" w:ascii="仿宋" w:hAnsi="仿宋" w:eastAsia="仿宋" w:cs="仿宋"/>
          <w:color w:val="000000"/>
          <w:kern w:val="0"/>
          <w:sz w:val="32"/>
          <w:szCs w:val="32"/>
          <w:highlight w:val="none"/>
          <w:shd w:val="clear" w:color="auto" w:fill="FFFFFF"/>
          <w:lang w:val="zh-CN"/>
        </w:rPr>
        <w:t>项目决策。（</w:t>
      </w:r>
      <w:r>
        <w:rPr>
          <w:rFonts w:hint="eastAsia" w:ascii="仿宋" w:hAnsi="仿宋" w:eastAsia="仿宋" w:cs="仿宋"/>
          <w:color w:val="000000"/>
          <w:kern w:val="0"/>
          <w:sz w:val="32"/>
          <w:szCs w:val="32"/>
          <w:highlight w:val="none"/>
          <w:shd w:val="clear" w:color="auto" w:fill="FFFFFF"/>
          <w:lang w:val="en-US" w:eastAsia="zh-CN"/>
        </w:rPr>
        <w:t>12分</w:t>
      </w:r>
      <w:r>
        <w:rPr>
          <w:rFonts w:hint="eastAsia" w:ascii="仿宋" w:hAnsi="仿宋" w:eastAsia="仿宋" w:cs="仿宋"/>
          <w:color w:val="000000"/>
          <w:kern w:val="0"/>
          <w:sz w:val="32"/>
          <w:szCs w:val="32"/>
          <w:highlight w:val="none"/>
          <w:shd w:val="clear" w:color="auto" w:fill="FFFFFF"/>
          <w:lang w:val="zh-CN"/>
        </w:rPr>
        <w:t>）</w:t>
      </w:r>
      <w:bookmarkEnd w:id="117"/>
    </w:p>
    <w:p w14:paraId="41DC4D58">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zh-CN"/>
        </w:rPr>
        <w:t>围绕决策程序、目标设置、项目入库进行绩效分析。综上，根据评分标准，该项指标，得</w:t>
      </w:r>
      <w:r>
        <w:rPr>
          <w:rFonts w:hint="eastAsia" w:ascii="仿宋" w:hAnsi="仿宋" w:eastAsia="仿宋" w:cs="仿宋"/>
          <w:color w:val="000000"/>
          <w:kern w:val="0"/>
          <w:sz w:val="32"/>
          <w:szCs w:val="32"/>
          <w:highlight w:val="none"/>
          <w:shd w:val="clear" w:color="auto" w:fill="FFFFFF"/>
          <w:lang w:val="en-US" w:eastAsia="zh-CN"/>
        </w:rPr>
        <w:t>12</w:t>
      </w:r>
      <w:r>
        <w:rPr>
          <w:rFonts w:hint="eastAsia" w:ascii="仿宋" w:hAnsi="仿宋" w:eastAsia="仿宋" w:cs="仿宋"/>
          <w:color w:val="000000"/>
          <w:kern w:val="0"/>
          <w:sz w:val="32"/>
          <w:szCs w:val="32"/>
          <w:highlight w:val="none"/>
          <w:shd w:val="clear" w:color="auto" w:fill="FFFFFF"/>
          <w:lang w:val="zh-CN"/>
        </w:rPr>
        <w:t>分。</w:t>
      </w:r>
    </w:p>
    <w:p w14:paraId="0B30448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2"/>
        <w:rPr>
          <w:rFonts w:hint="eastAsia" w:ascii="仿宋" w:hAnsi="仿宋" w:eastAsia="仿宋" w:cs="仿宋"/>
          <w:color w:val="000000"/>
          <w:kern w:val="0"/>
          <w:sz w:val="32"/>
          <w:szCs w:val="32"/>
          <w:highlight w:val="none"/>
          <w:shd w:val="clear" w:color="auto" w:fill="FFFFFF"/>
          <w:lang w:val="zh-CN"/>
        </w:rPr>
      </w:pPr>
      <w:bookmarkStart w:id="118" w:name="_Toc18246"/>
      <w:r>
        <w:rPr>
          <w:rFonts w:hint="eastAsia" w:ascii="仿宋" w:hAnsi="仿宋" w:eastAsia="仿宋" w:cs="仿宋"/>
          <w:color w:val="000000"/>
          <w:kern w:val="0"/>
          <w:sz w:val="32"/>
          <w:szCs w:val="32"/>
          <w:highlight w:val="none"/>
          <w:shd w:val="clear" w:color="auto" w:fill="FFFFFF"/>
          <w:lang w:val="en-US" w:eastAsia="zh-CN"/>
        </w:rPr>
        <w:t>2.项目执行</w:t>
      </w:r>
      <w:r>
        <w:rPr>
          <w:rFonts w:hint="eastAsia" w:ascii="仿宋" w:hAnsi="仿宋" w:eastAsia="仿宋" w:cs="仿宋"/>
          <w:color w:val="000000"/>
          <w:kern w:val="0"/>
          <w:sz w:val="32"/>
          <w:szCs w:val="32"/>
          <w:highlight w:val="none"/>
          <w:shd w:val="clear" w:color="auto" w:fill="FFFFFF"/>
          <w:lang w:val="zh-CN"/>
        </w:rPr>
        <w:t>。（</w:t>
      </w:r>
      <w:r>
        <w:rPr>
          <w:rFonts w:hint="eastAsia" w:ascii="仿宋" w:hAnsi="仿宋" w:eastAsia="仿宋" w:cs="仿宋"/>
          <w:color w:val="000000"/>
          <w:kern w:val="0"/>
          <w:sz w:val="32"/>
          <w:szCs w:val="32"/>
          <w:highlight w:val="none"/>
          <w:shd w:val="clear" w:color="auto" w:fill="FFFFFF"/>
          <w:lang w:val="en-US" w:eastAsia="zh-CN"/>
        </w:rPr>
        <w:t>12分</w:t>
      </w:r>
      <w:r>
        <w:rPr>
          <w:rFonts w:hint="eastAsia" w:ascii="仿宋" w:hAnsi="仿宋" w:eastAsia="仿宋" w:cs="仿宋"/>
          <w:color w:val="000000"/>
          <w:kern w:val="0"/>
          <w:sz w:val="32"/>
          <w:szCs w:val="32"/>
          <w:highlight w:val="none"/>
          <w:shd w:val="clear" w:color="auto" w:fill="FFFFFF"/>
          <w:lang w:val="zh-CN"/>
        </w:rPr>
        <w:t>）围绕资金执行同向、项目调整、执行结果进行绩效分析。综上，根据评分标准，该项指标，得</w:t>
      </w:r>
      <w:r>
        <w:rPr>
          <w:rFonts w:hint="eastAsia" w:ascii="仿宋" w:hAnsi="仿宋" w:eastAsia="仿宋" w:cs="仿宋"/>
          <w:color w:val="000000"/>
          <w:kern w:val="0"/>
          <w:sz w:val="32"/>
          <w:szCs w:val="32"/>
          <w:highlight w:val="none"/>
          <w:shd w:val="clear" w:color="auto" w:fill="FFFFFF"/>
          <w:lang w:val="en-US" w:eastAsia="zh-CN"/>
        </w:rPr>
        <w:t>11</w:t>
      </w:r>
      <w:r>
        <w:rPr>
          <w:rFonts w:hint="eastAsia" w:ascii="仿宋" w:hAnsi="仿宋" w:eastAsia="仿宋" w:cs="仿宋"/>
          <w:color w:val="000000"/>
          <w:kern w:val="0"/>
          <w:sz w:val="32"/>
          <w:szCs w:val="32"/>
          <w:highlight w:val="none"/>
          <w:shd w:val="clear" w:color="auto" w:fill="FFFFFF"/>
          <w:lang w:val="zh-CN"/>
        </w:rPr>
        <w:t>分。</w:t>
      </w:r>
      <w:bookmarkEnd w:id="118"/>
    </w:p>
    <w:p w14:paraId="226734A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2"/>
        <w:rPr>
          <w:rFonts w:hint="eastAsia" w:ascii="仿宋" w:hAnsi="仿宋" w:eastAsia="仿宋" w:cs="仿宋"/>
          <w:color w:val="000000"/>
          <w:kern w:val="0"/>
          <w:sz w:val="32"/>
          <w:szCs w:val="32"/>
          <w:highlight w:val="none"/>
          <w:shd w:val="clear" w:color="auto" w:fill="FFFFFF"/>
          <w:lang w:val="en-US" w:eastAsia="zh-CN"/>
        </w:rPr>
      </w:pPr>
      <w:bookmarkStart w:id="119" w:name="_Toc19862"/>
      <w:r>
        <w:rPr>
          <w:rFonts w:hint="eastAsia" w:ascii="仿宋" w:hAnsi="仿宋" w:eastAsia="仿宋" w:cs="仿宋"/>
          <w:color w:val="000000"/>
          <w:kern w:val="0"/>
          <w:sz w:val="32"/>
          <w:szCs w:val="32"/>
          <w:highlight w:val="none"/>
          <w:shd w:val="clear" w:color="auto" w:fill="FFFFFF"/>
          <w:lang w:val="en-US" w:eastAsia="zh-CN"/>
        </w:rPr>
        <w:t>3.</w:t>
      </w:r>
      <w:r>
        <w:rPr>
          <w:rFonts w:hint="eastAsia" w:ascii="仿宋" w:hAnsi="仿宋" w:eastAsia="仿宋" w:cs="仿宋"/>
          <w:color w:val="000000"/>
          <w:kern w:val="0"/>
          <w:sz w:val="32"/>
          <w:szCs w:val="32"/>
          <w:highlight w:val="none"/>
          <w:shd w:val="clear" w:color="auto" w:fill="FFFFFF"/>
          <w:lang w:val="zh-CN"/>
        </w:rPr>
        <w:t>目标实现。（</w:t>
      </w:r>
      <w:r>
        <w:rPr>
          <w:rFonts w:hint="eastAsia" w:ascii="仿宋" w:hAnsi="仿宋" w:eastAsia="仿宋" w:cs="仿宋"/>
          <w:color w:val="000000"/>
          <w:kern w:val="0"/>
          <w:sz w:val="32"/>
          <w:szCs w:val="32"/>
          <w:highlight w:val="none"/>
          <w:shd w:val="clear" w:color="auto" w:fill="FFFFFF"/>
          <w:lang w:val="en-US" w:eastAsia="zh-CN"/>
        </w:rPr>
        <w:t>11分</w:t>
      </w:r>
      <w:r>
        <w:rPr>
          <w:rFonts w:hint="eastAsia" w:ascii="仿宋" w:hAnsi="仿宋" w:eastAsia="仿宋" w:cs="仿宋"/>
          <w:color w:val="000000"/>
          <w:kern w:val="0"/>
          <w:sz w:val="32"/>
          <w:szCs w:val="32"/>
          <w:highlight w:val="none"/>
          <w:shd w:val="clear" w:color="auto" w:fill="FFFFFF"/>
          <w:lang w:val="zh-CN"/>
        </w:rPr>
        <w:t>）围绕目标完成、目标偏离、实现效果进行绩效分析。综上，根据评分标准，该项指标，得</w:t>
      </w:r>
      <w:r>
        <w:rPr>
          <w:rFonts w:hint="eastAsia" w:ascii="仿宋" w:hAnsi="仿宋" w:eastAsia="仿宋" w:cs="仿宋"/>
          <w:color w:val="000000"/>
          <w:kern w:val="0"/>
          <w:sz w:val="32"/>
          <w:szCs w:val="32"/>
          <w:highlight w:val="none"/>
          <w:shd w:val="clear" w:color="auto" w:fill="FFFFFF"/>
          <w:lang w:val="en-US" w:eastAsia="zh-CN"/>
        </w:rPr>
        <w:t>10</w:t>
      </w:r>
      <w:r>
        <w:rPr>
          <w:rFonts w:hint="eastAsia" w:ascii="仿宋" w:hAnsi="仿宋" w:eastAsia="仿宋" w:cs="仿宋"/>
          <w:color w:val="000000"/>
          <w:kern w:val="0"/>
          <w:sz w:val="32"/>
          <w:szCs w:val="32"/>
          <w:highlight w:val="none"/>
          <w:shd w:val="clear" w:color="auto" w:fill="FFFFFF"/>
          <w:lang w:val="zh-CN"/>
        </w:rPr>
        <w:t>分。</w:t>
      </w:r>
      <w:bookmarkEnd w:id="119"/>
    </w:p>
    <w:p w14:paraId="49E1A01F">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en-US" w:eastAsia="zh-CN"/>
        </w:rPr>
      </w:pPr>
      <w:r>
        <w:rPr>
          <w:rFonts w:hint="eastAsia" w:ascii="仿宋" w:hAnsi="仿宋" w:eastAsia="仿宋" w:cs="仿宋"/>
          <w:b/>
          <w:bCs/>
          <w:color w:val="000000"/>
          <w:kern w:val="0"/>
          <w:sz w:val="32"/>
          <w:szCs w:val="32"/>
          <w:highlight w:val="none"/>
          <w:shd w:val="clear" w:color="auto" w:fill="FFFFFF"/>
          <w:lang w:val="zh-CN"/>
        </w:rPr>
        <w:t>（三）</w:t>
      </w:r>
      <w:r>
        <w:rPr>
          <w:rFonts w:hint="eastAsia" w:ascii="仿宋" w:hAnsi="仿宋" w:eastAsia="仿宋" w:cs="仿宋"/>
          <w:b/>
          <w:bCs/>
          <w:color w:val="000000"/>
          <w:kern w:val="0"/>
          <w:sz w:val="32"/>
          <w:szCs w:val="32"/>
          <w:highlight w:val="none"/>
          <w:shd w:val="clear" w:color="auto" w:fill="FFFFFF"/>
          <w:lang w:val="zh-CN" w:eastAsia="zh-CN"/>
        </w:rPr>
        <w:t>重点领域</w:t>
      </w:r>
      <w:r>
        <w:rPr>
          <w:rFonts w:hint="eastAsia" w:ascii="仿宋" w:hAnsi="仿宋" w:eastAsia="仿宋" w:cs="仿宋"/>
          <w:b/>
          <w:bCs/>
          <w:color w:val="000000"/>
          <w:kern w:val="0"/>
          <w:sz w:val="32"/>
          <w:szCs w:val="32"/>
          <w:highlight w:val="none"/>
          <w:shd w:val="clear" w:color="auto" w:fill="FFFFFF"/>
          <w:lang w:val="zh-CN"/>
        </w:rPr>
        <w:t>绩效分析</w:t>
      </w:r>
      <w:r>
        <w:rPr>
          <w:rFonts w:hint="eastAsia" w:ascii="仿宋" w:hAnsi="仿宋" w:eastAsia="仿宋" w:cs="仿宋"/>
          <w:b/>
          <w:bCs/>
          <w:color w:val="000000"/>
          <w:kern w:val="0"/>
          <w:sz w:val="32"/>
          <w:szCs w:val="32"/>
          <w:highlight w:val="none"/>
          <w:shd w:val="clear" w:color="auto" w:fill="FFFFFF"/>
          <w:lang w:val="zh-CN" w:eastAsia="zh-CN"/>
        </w:rPr>
        <w:t>。</w:t>
      </w:r>
      <w:r>
        <w:rPr>
          <w:rFonts w:hint="eastAsia" w:ascii="仿宋" w:hAnsi="仿宋" w:eastAsia="仿宋" w:cs="仿宋"/>
          <w:sz w:val="32"/>
          <w:szCs w:val="32"/>
          <w:highlight w:val="none"/>
          <w:u w:val="none"/>
          <w:lang w:eastAsia="zh-CN"/>
        </w:rPr>
        <w:t>无</w:t>
      </w:r>
    </w:p>
    <w:p w14:paraId="35C04769">
      <w:pPr>
        <w:keepNext w:val="0"/>
        <w:keepLines w:val="0"/>
        <w:pageBreakBefore w:val="0"/>
        <w:widowControl w:val="0"/>
        <w:kinsoku/>
        <w:wordWrap/>
        <w:overflowPunct/>
        <w:topLinePunct w:val="0"/>
        <w:autoSpaceDE/>
        <w:autoSpaceDN/>
        <w:bidi w:val="0"/>
        <w:snapToGrid w:val="0"/>
        <w:spacing w:line="600" w:lineRule="exact"/>
        <w:ind w:firstLine="643" w:firstLineChars="200"/>
        <w:textAlignment w:val="auto"/>
        <w:rPr>
          <w:rFonts w:hint="eastAsia" w:ascii="仿宋" w:hAnsi="仿宋" w:eastAsia="仿宋" w:cs="仿宋"/>
          <w:b/>
          <w:bCs w:val="0"/>
          <w:sz w:val="32"/>
          <w:szCs w:val="32"/>
        </w:rPr>
      </w:pPr>
      <w:r>
        <w:rPr>
          <w:rFonts w:hint="eastAsia" w:ascii="仿宋" w:hAnsi="仿宋" w:eastAsia="仿宋" w:cs="仿宋"/>
          <w:b/>
          <w:bCs/>
          <w:sz w:val="32"/>
          <w:szCs w:val="32"/>
          <w:lang w:val="zh-CN"/>
        </w:rPr>
        <w:t>（四）绩效结果应用情况。</w:t>
      </w:r>
      <w:r>
        <w:rPr>
          <w:rFonts w:hint="eastAsia" w:ascii="仿宋" w:hAnsi="仿宋" w:eastAsia="仿宋" w:cs="仿宋"/>
          <w:color w:val="000000"/>
          <w:kern w:val="0"/>
          <w:sz w:val="32"/>
          <w:szCs w:val="32"/>
          <w:highlight w:val="none"/>
          <w:shd w:val="clear" w:color="auto" w:fill="FFFFFF"/>
          <w:lang w:val="zh-CN" w:eastAsia="zh-CN"/>
        </w:rPr>
        <w:t>无</w:t>
      </w:r>
    </w:p>
    <w:p w14:paraId="20FA8C25">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0"/>
        <w:rPr>
          <w:rFonts w:hint="eastAsia" w:ascii="黑体" w:hAnsi="黑体" w:eastAsia="黑体" w:cs="黑体"/>
          <w:color w:val="000000"/>
          <w:kern w:val="0"/>
          <w:sz w:val="32"/>
          <w:szCs w:val="32"/>
          <w:shd w:val="clear" w:color="auto" w:fill="FFFFFF"/>
        </w:rPr>
      </w:pPr>
      <w:bookmarkStart w:id="120" w:name="_Toc25439"/>
      <w:bookmarkStart w:id="121" w:name="_Toc27805"/>
      <w:bookmarkStart w:id="122" w:name="_Toc2142"/>
      <w:bookmarkStart w:id="123" w:name="_Toc14919"/>
      <w:r>
        <w:rPr>
          <w:rFonts w:hint="eastAsia" w:ascii="黑体" w:hAnsi="黑体" w:eastAsia="黑体" w:cs="黑体"/>
          <w:color w:val="000000"/>
          <w:kern w:val="0"/>
          <w:sz w:val="32"/>
          <w:szCs w:val="32"/>
          <w:shd w:val="clear" w:color="auto" w:fill="FFFFFF"/>
          <w:lang w:eastAsia="zh-CN"/>
        </w:rPr>
        <w:t>四、</w:t>
      </w:r>
      <w:r>
        <w:rPr>
          <w:rFonts w:hint="eastAsia" w:ascii="黑体" w:hAnsi="黑体" w:eastAsia="黑体" w:cs="黑体"/>
          <w:color w:val="000000"/>
          <w:kern w:val="0"/>
          <w:sz w:val="32"/>
          <w:szCs w:val="32"/>
          <w:shd w:val="clear" w:color="auto" w:fill="FFFFFF"/>
        </w:rPr>
        <w:t>评价结论及建议</w:t>
      </w:r>
      <w:bookmarkEnd w:id="120"/>
      <w:bookmarkEnd w:id="121"/>
      <w:bookmarkEnd w:id="122"/>
      <w:bookmarkEnd w:id="123"/>
    </w:p>
    <w:p w14:paraId="7A62D5EC">
      <w:pPr>
        <w:widowControl/>
        <w:adjustRightInd w:val="0"/>
        <w:snapToGrid w:val="0"/>
        <w:spacing w:line="52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（一）评价结论。</w:t>
      </w:r>
    </w:p>
    <w:p w14:paraId="1A91AFA9">
      <w:pPr>
        <w:widowControl/>
        <w:spacing w:line="520" w:lineRule="exact"/>
        <w:ind w:firstLine="640" w:firstLineChars="200"/>
        <w:rPr>
          <w:rFonts w:hint="eastAsia" w:ascii="仿宋" w:hAnsi="仿宋" w:eastAsia="仿宋" w:cs="仿宋"/>
          <w:color w:val="000000"/>
          <w:kern w:val="0"/>
          <w:sz w:val="32"/>
          <w:szCs w:val="32"/>
          <w:lang w:val="zh-CN"/>
        </w:rPr>
      </w:pPr>
      <w:r>
        <w:rPr>
          <w:rFonts w:hint="eastAsia" w:ascii="仿宋" w:hAnsi="仿宋" w:eastAsia="仿宋" w:cs="仿宋"/>
          <w:color w:val="000000"/>
          <w:sz w:val="32"/>
          <w:szCs w:val="32"/>
        </w:rPr>
        <w:t>经过认真开展单位</w:t>
      </w: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年部门整体支出绩效评价工作，</w:t>
      </w:r>
      <w:r>
        <w:rPr>
          <w:rFonts w:hint="eastAsia" w:ascii="仿宋" w:hAnsi="仿宋" w:eastAsia="仿宋" w:cs="仿宋"/>
          <w:color w:val="000000"/>
          <w:sz w:val="32"/>
          <w:szCs w:val="32"/>
        </w:rPr>
        <w:t>绩效自评综合为良好。</w:t>
      </w:r>
    </w:p>
    <w:p w14:paraId="46F7585E">
      <w:pPr>
        <w:widowControl/>
        <w:adjustRightInd w:val="0"/>
        <w:snapToGrid w:val="0"/>
        <w:spacing w:line="52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（二）存在问题。</w:t>
      </w:r>
    </w:p>
    <w:p w14:paraId="6B27B1A2">
      <w:pPr>
        <w:spacing w:line="520" w:lineRule="exact"/>
        <w:ind w:firstLine="640" w:firstLineChars="200"/>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1.评价结果应用的配套机制不完善 </w:t>
      </w:r>
    </w:p>
    <w:p w14:paraId="54EC33D9">
      <w:pPr>
        <w:spacing w:line="520" w:lineRule="exact"/>
        <w:ind w:firstLine="640" w:firstLineChars="200"/>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 xml:space="preserve">财政支出及其结果应用体系缺乏强有力的配套措施。项目实际绩效信息的收集机制，绩效责任落实机制，绩效反馈机制，沟通申诉机制等方面的配套机制严重不足。项目绩效信息收集机制不完善，奖惩机制缺乏。 </w:t>
      </w:r>
    </w:p>
    <w:p w14:paraId="029DA7F0">
      <w:pPr>
        <w:spacing w:line="520" w:lineRule="exact"/>
        <w:ind w:firstLine="640" w:firstLineChars="200"/>
        <w:rPr>
          <w:rFonts w:hint="eastAsia" w:ascii="仿宋" w:hAnsi="仿宋" w:eastAsia="仿宋" w:cs="仿宋"/>
          <w:sz w:val="32"/>
          <w:szCs w:val="32"/>
        </w:rPr>
      </w:pPr>
      <w:r>
        <w:rPr>
          <w:rFonts w:hint="eastAsia" w:ascii="仿宋" w:hAnsi="仿宋" w:eastAsia="仿宋" w:cs="仿宋"/>
          <w:color w:val="333333"/>
          <w:sz w:val="32"/>
          <w:szCs w:val="32"/>
          <w:shd w:val="clear" w:color="auto" w:fill="FFFFFF"/>
        </w:rPr>
        <w:t>2. 缺乏专业人员和绩效评价经验。</w:t>
      </w:r>
    </w:p>
    <w:p w14:paraId="72F12B90">
      <w:pPr>
        <w:widowControl/>
        <w:adjustRightInd w:val="0"/>
        <w:snapToGrid w:val="0"/>
        <w:spacing w:line="520" w:lineRule="exact"/>
        <w:ind w:firstLine="720"/>
        <w:jc w:val="left"/>
        <w:rPr>
          <w:rFonts w:hint="eastAsia" w:ascii="仿宋" w:hAnsi="仿宋" w:eastAsia="仿宋" w:cs="仿宋"/>
          <w:b/>
          <w:color w:val="000000"/>
          <w:kern w:val="0"/>
          <w:sz w:val="32"/>
          <w:szCs w:val="32"/>
          <w:lang w:val="zh-CN"/>
        </w:rPr>
      </w:pPr>
      <w:r>
        <w:rPr>
          <w:rFonts w:hint="eastAsia" w:ascii="仿宋" w:hAnsi="仿宋" w:eastAsia="仿宋" w:cs="仿宋"/>
          <w:color w:val="000000"/>
          <w:kern w:val="0"/>
          <w:sz w:val="32"/>
          <w:szCs w:val="32"/>
          <w:lang w:val="zh-CN"/>
        </w:rPr>
        <w:t>（</w:t>
      </w:r>
      <w:r>
        <w:rPr>
          <w:rFonts w:hint="eastAsia" w:ascii="仿宋" w:hAnsi="仿宋" w:eastAsia="仿宋" w:cs="仿宋"/>
          <w:color w:val="000000"/>
          <w:kern w:val="0"/>
          <w:sz w:val="32"/>
          <w:szCs w:val="32"/>
          <w:lang w:val="zh-CN" w:eastAsia="zh-CN"/>
        </w:rPr>
        <w:t>三</w:t>
      </w:r>
      <w:r>
        <w:rPr>
          <w:rFonts w:hint="eastAsia" w:ascii="仿宋" w:hAnsi="仿宋" w:eastAsia="仿宋" w:cs="仿宋"/>
          <w:color w:val="000000"/>
          <w:kern w:val="0"/>
          <w:sz w:val="32"/>
          <w:szCs w:val="32"/>
          <w:lang w:val="zh-CN"/>
        </w:rPr>
        <w:t>）整改措施建议</w:t>
      </w:r>
      <w:r>
        <w:rPr>
          <w:rFonts w:hint="eastAsia" w:ascii="仿宋" w:hAnsi="仿宋" w:eastAsia="仿宋" w:cs="仿宋"/>
          <w:b/>
          <w:color w:val="000000"/>
          <w:kern w:val="0"/>
          <w:sz w:val="32"/>
          <w:szCs w:val="32"/>
          <w:lang w:val="zh-CN"/>
        </w:rPr>
        <w:t>。</w:t>
      </w:r>
    </w:p>
    <w:p w14:paraId="584C6090">
      <w:pPr>
        <w:widowControl/>
        <w:adjustRightInd w:val="0"/>
        <w:snapToGrid w:val="0"/>
        <w:spacing w:line="520" w:lineRule="exact"/>
        <w:ind w:firstLine="720"/>
        <w:jc w:val="left"/>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1.全面推行预算绩效管理及预算绩效评价结果的有效运用是自上而下和自下而上相结合的过程。因此，领导的重视和推动对于能否取得预期成效是十分关键的，尤其在起步阶段，这一因素往往具有决定性作用。</w:t>
      </w:r>
    </w:p>
    <w:p w14:paraId="1B81F3B0">
      <w:pPr>
        <w:widowControl/>
        <w:adjustRightInd w:val="0"/>
        <w:snapToGrid w:val="0"/>
        <w:spacing w:line="520" w:lineRule="exact"/>
        <w:ind w:firstLine="720"/>
        <w:jc w:val="left"/>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2.完善绩效评价结果应用的制度建设，包括建立评价结果公开制度、评价责任与申诉机制、反馈与整改机制、绩效问责机制等几个方面。</w:t>
      </w:r>
    </w:p>
    <w:p w14:paraId="33308B3F">
      <w:pPr>
        <w:widowControl/>
        <w:adjustRightInd w:val="0"/>
        <w:snapToGrid w:val="0"/>
        <w:spacing w:line="520" w:lineRule="exact"/>
        <w:ind w:firstLine="720"/>
        <w:jc w:val="left"/>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3.加强培训力度，使用专业人员。</w:t>
      </w:r>
    </w:p>
    <w:p w14:paraId="1491859B">
      <w:pPr>
        <w:widowControl/>
        <w:adjustRightInd w:val="0"/>
        <w:snapToGrid w:val="0"/>
        <w:spacing w:line="520" w:lineRule="exact"/>
        <w:jc w:val="left"/>
        <w:rPr>
          <w:rFonts w:hint="default" w:ascii="Times New Roman" w:hAnsi="Times New Roman" w:cs="Times New Roman" w:eastAsiaTheme="minorEastAsia"/>
          <w:sz w:val="32"/>
          <w:szCs w:val="32"/>
          <w:lang w:val="zh-CN"/>
        </w:rPr>
      </w:pPr>
    </w:p>
    <w:p w14:paraId="4A96A8D1">
      <w:pPr>
        <w:widowControl/>
        <w:adjustRightInd w:val="0"/>
        <w:snapToGrid w:val="0"/>
        <w:spacing w:line="520" w:lineRule="exact"/>
        <w:ind w:firstLine="640" w:firstLineChars="200"/>
        <w:jc w:val="left"/>
        <w:rPr>
          <w:rFonts w:hint="default" w:ascii="Times New Roman" w:hAnsi="Times New Roman" w:cs="Times New Roman" w:eastAsiaTheme="minorEastAsia"/>
          <w:sz w:val="32"/>
          <w:szCs w:val="32"/>
          <w:lang w:val="zh-CN"/>
        </w:rPr>
      </w:pPr>
      <w:r>
        <w:rPr>
          <w:rFonts w:hint="default" w:ascii="Times New Roman" w:hAnsi="Times New Roman" w:cs="Times New Roman" w:eastAsiaTheme="minorEastAsia"/>
          <w:sz w:val="32"/>
          <w:szCs w:val="32"/>
          <w:lang w:val="zh-CN"/>
        </w:rPr>
        <w:t>附表：</w:t>
      </w:r>
      <w:r>
        <w:rPr>
          <w:rFonts w:hint="default" w:ascii="Times New Roman" w:hAnsi="Times New Roman" w:cs="Times New Roman" w:eastAsiaTheme="minorEastAsia"/>
          <w:sz w:val="32"/>
          <w:szCs w:val="32"/>
        </w:rPr>
        <w:t>部门</w:t>
      </w:r>
      <w:r>
        <w:rPr>
          <w:rFonts w:hint="default" w:ascii="Times New Roman" w:hAnsi="Times New Roman" w:cs="Times New Roman" w:eastAsiaTheme="minorEastAsia"/>
          <w:sz w:val="32"/>
          <w:szCs w:val="32"/>
          <w:lang w:val="zh-CN"/>
        </w:rPr>
        <w:t>预算项目支出绩效自评表（</w:t>
      </w:r>
      <w:r>
        <w:rPr>
          <w:rFonts w:hint="eastAsia" w:cs="Times New Roman" w:eastAsiaTheme="minorEastAsia"/>
          <w:sz w:val="32"/>
          <w:szCs w:val="32"/>
          <w:lang w:val="zh-CN"/>
        </w:rPr>
        <w:t>2024</w:t>
      </w:r>
      <w:r>
        <w:rPr>
          <w:rFonts w:hint="default" w:ascii="Times New Roman" w:hAnsi="Times New Roman" w:cs="Times New Roman" w:eastAsiaTheme="minorEastAsia"/>
          <w:sz w:val="32"/>
          <w:szCs w:val="32"/>
          <w:lang w:val="zh-CN"/>
        </w:rPr>
        <w:t>年度）</w:t>
      </w:r>
    </w:p>
    <w:p w14:paraId="073B2EDD">
      <w:pPr>
        <w:widowControl/>
        <w:adjustRightInd w:val="0"/>
        <w:snapToGrid w:val="0"/>
        <w:spacing w:line="520" w:lineRule="exact"/>
        <w:ind w:firstLine="640" w:firstLineChars="200"/>
        <w:jc w:val="left"/>
        <w:rPr>
          <w:rFonts w:hint="default" w:ascii="Times New Roman" w:hAnsi="Times New Roman" w:cs="Times New Roman" w:eastAsiaTheme="minorEastAsia"/>
          <w:sz w:val="32"/>
          <w:szCs w:val="32"/>
          <w:lang w:val="zh-CN"/>
        </w:rPr>
      </w:pPr>
    </w:p>
    <w:p w14:paraId="0D30AAE1">
      <w:pPr>
        <w:widowControl/>
        <w:adjustRightInd w:val="0"/>
        <w:snapToGrid w:val="0"/>
        <w:spacing w:line="520" w:lineRule="exact"/>
        <w:ind w:firstLine="640" w:firstLineChars="200"/>
        <w:jc w:val="left"/>
        <w:rPr>
          <w:rFonts w:hint="default" w:ascii="Times New Roman" w:hAnsi="Times New Roman" w:cs="Times New Roman" w:eastAsiaTheme="minorEastAsia"/>
          <w:sz w:val="32"/>
          <w:szCs w:val="32"/>
          <w:lang w:val="zh-CN"/>
        </w:rPr>
      </w:pPr>
    </w:p>
    <w:p w14:paraId="7BCE6A9A">
      <w:pPr>
        <w:widowControl/>
        <w:adjustRightInd w:val="0"/>
        <w:snapToGrid w:val="0"/>
        <w:spacing w:line="520" w:lineRule="exact"/>
        <w:ind w:firstLine="640" w:firstLineChars="200"/>
        <w:jc w:val="left"/>
        <w:rPr>
          <w:rFonts w:hint="default" w:ascii="Times New Roman" w:hAnsi="Times New Roman" w:cs="Times New Roman" w:eastAsiaTheme="minorEastAsia"/>
          <w:sz w:val="32"/>
          <w:szCs w:val="32"/>
          <w:lang w:val="zh-CN"/>
        </w:rPr>
      </w:pPr>
    </w:p>
    <w:p w14:paraId="6017B7D2">
      <w:pPr>
        <w:widowControl/>
        <w:adjustRightInd w:val="0"/>
        <w:snapToGrid w:val="0"/>
        <w:spacing w:line="520" w:lineRule="exact"/>
        <w:ind w:firstLine="640" w:firstLineChars="200"/>
        <w:jc w:val="left"/>
        <w:rPr>
          <w:rFonts w:hint="default" w:ascii="Times New Roman" w:hAnsi="Times New Roman" w:cs="Times New Roman" w:eastAsiaTheme="minorEastAsia"/>
          <w:sz w:val="32"/>
          <w:szCs w:val="32"/>
          <w:lang w:val="zh-CN"/>
        </w:rPr>
      </w:pPr>
    </w:p>
    <w:p w14:paraId="286BF73D">
      <w:pPr>
        <w:widowControl/>
        <w:adjustRightInd w:val="0"/>
        <w:snapToGrid w:val="0"/>
        <w:spacing w:line="520" w:lineRule="exact"/>
        <w:ind w:firstLine="640" w:firstLineChars="200"/>
        <w:jc w:val="left"/>
        <w:rPr>
          <w:rFonts w:hint="default" w:ascii="Times New Roman" w:hAnsi="Times New Roman" w:cs="Times New Roman" w:eastAsiaTheme="minorEastAsia"/>
          <w:sz w:val="32"/>
          <w:szCs w:val="32"/>
          <w:lang w:val="zh-CN"/>
        </w:rPr>
      </w:pPr>
    </w:p>
    <w:p w14:paraId="5B9C62B6">
      <w:pPr>
        <w:widowControl/>
        <w:adjustRightInd w:val="0"/>
        <w:snapToGrid w:val="0"/>
        <w:spacing w:line="520" w:lineRule="exact"/>
        <w:ind w:firstLine="640" w:firstLineChars="200"/>
        <w:jc w:val="left"/>
        <w:rPr>
          <w:rFonts w:hint="default" w:ascii="Times New Roman" w:hAnsi="Times New Roman" w:cs="Times New Roman" w:eastAsiaTheme="minorEastAsia"/>
          <w:sz w:val="32"/>
          <w:szCs w:val="32"/>
          <w:lang w:val="zh-CN"/>
        </w:rPr>
      </w:pPr>
    </w:p>
    <w:p w14:paraId="0A3BC0AA">
      <w:pPr>
        <w:widowControl/>
        <w:adjustRightInd w:val="0"/>
        <w:snapToGrid w:val="0"/>
        <w:spacing w:line="520" w:lineRule="exact"/>
        <w:ind w:firstLine="640" w:firstLineChars="200"/>
        <w:jc w:val="left"/>
        <w:rPr>
          <w:rFonts w:hint="default" w:ascii="Times New Roman" w:hAnsi="Times New Roman" w:cs="Times New Roman" w:eastAsiaTheme="minorEastAsia"/>
          <w:sz w:val="32"/>
          <w:szCs w:val="32"/>
          <w:lang w:val="zh-CN"/>
        </w:rPr>
      </w:pPr>
    </w:p>
    <w:p w14:paraId="474A47C6">
      <w:pPr>
        <w:widowControl/>
        <w:adjustRightInd w:val="0"/>
        <w:snapToGrid w:val="0"/>
        <w:spacing w:line="520" w:lineRule="exact"/>
        <w:ind w:firstLine="640" w:firstLineChars="200"/>
        <w:jc w:val="left"/>
        <w:rPr>
          <w:rFonts w:hint="default" w:ascii="Times New Roman" w:hAnsi="Times New Roman" w:cs="Times New Roman" w:eastAsiaTheme="minorEastAsia"/>
          <w:sz w:val="32"/>
          <w:szCs w:val="32"/>
          <w:lang w:val="zh-CN"/>
        </w:rPr>
      </w:pPr>
    </w:p>
    <w:p w14:paraId="18F8E50A">
      <w:pPr>
        <w:widowControl/>
        <w:adjustRightInd w:val="0"/>
        <w:snapToGrid w:val="0"/>
        <w:spacing w:line="520" w:lineRule="exact"/>
        <w:ind w:firstLine="640" w:firstLineChars="200"/>
        <w:jc w:val="left"/>
        <w:rPr>
          <w:rFonts w:hint="default" w:ascii="Times New Roman" w:hAnsi="Times New Roman" w:cs="Times New Roman" w:eastAsiaTheme="minorEastAsia"/>
          <w:sz w:val="32"/>
          <w:szCs w:val="32"/>
          <w:lang w:val="zh-CN"/>
        </w:rPr>
      </w:pPr>
    </w:p>
    <w:p w14:paraId="6FA1DB71">
      <w:pPr>
        <w:widowControl/>
        <w:adjustRightInd w:val="0"/>
        <w:snapToGrid w:val="0"/>
        <w:spacing w:line="520" w:lineRule="exact"/>
        <w:ind w:firstLine="640" w:firstLineChars="200"/>
        <w:jc w:val="left"/>
        <w:rPr>
          <w:rFonts w:hint="default" w:ascii="Times New Roman" w:hAnsi="Times New Roman" w:cs="Times New Roman" w:eastAsiaTheme="minorEastAsia"/>
          <w:sz w:val="32"/>
          <w:szCs w:val="32"/>
          <w:lang w:val="zh-CN"/>
        </w:rPr>
      </w:pPr>
    </w:p>
    <w:p w14:paraId="7E4D7D6A">
      <w:pPr>
        <w:widowControl/>
        <w:adjustRightInd w:val="0"/>
        <w:snapToGrid w:val="0"/>
        <w:spacing w:line="520" w:lineRule="exact"/>
        <w:ind w:firstLine="640" w:firstLineChars="200"/>
        <w:jc w:val="left"/>
        <w:rPr>
          <w:rFonts w:hint="default" w:ascii="Times New Roman" w:hAnsi="Times New Roman" w:cs="Times New Roman" w:eastAsiaTheme="minorEastAsia"/>
          <w:sz w:val="32"/>
          <w:szCs w:val="32"/>
          <w:lang w:val="zh-CN"/>
        </w:rPr>
      </w:pPr>
    </w:p>
    <w:tbl>
      <w:tblPr>
        <w:tblStyle w:val="1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7"/>
        <w:gridCol w:w="1194"/>
        <w:gridCol w:w="1196"/>
        <w:gridCol w:w="1831"/>
        <w:gridCol w:w="955"/>
        <w:gridCol w:w="1114"/>
        <w:gridCol w:w="715"/>
        <w:gridCol w:w="564"/>
      </w:tblGrid>
      <w:tr w14:paraId="250EB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8"/>
            <w:tcBorders>
              <w:top w:val="nil"/>
              <w:left w:val="nil"/>
              <w:bottom w:val="nil"/>
              <w:right w:val="nil"/>
            </w:tcBorders>
            <w:shd w:val="clear" w:color="auto" w:fill="auto"/>
            <w:vAlign w:val="center"/>
          </w:tcPr>
          <w:p w14:paraId="3FF21CCC">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部门整体支出绩效自评表</w:t>
            </w:r>
          </w:p>
        </w:tc>
      </w:tr>
      <w:tr w14:paraId="20853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000" w:type="pct"/>
            <w:gridSpan w:val="8"/>
            <w:tcBorders>
              <w:top w:val="nil"/>
              <w:left w:val="nil"/>
              <w:bottom w:val="nil"/>
              <w:right w:val="nil"/>
            </w:tcBorders>
            <w:shd w:val="clear" w:color="auto" w:fill="auto"/>
            <w:vAlign w:val="center"/>
          </w:tcPr>
          <w:p w14:paraId="289C9D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2024</w:t>
            </w:r>
            <w:r>
              <w:rPr>
                <w:rFonts w:ascii="宋体" w:hAnsi="宋体" w:eastAsia="宋体" w:cs="宋体"/>
                <w:i w:val="0"/>
                <w:iCs w:val="0"/>
                <w:color w:val="000000"/>
                <w:kern w:val="0"/>
                <w:sz w:val="18"/>
                <w:szCs w:val="18"/>
                <w:u w:val="none"/>
                <w:lang w:val="en-US" w:eastAsia="zh-CN" w:bidi="ar"/>
              </w:rPr>
              <w:t>年度）</w:t>
            </w:r>
          </w:p>
        </w:tc>
      </w:tr>
      <w:tr w14:paraId="29A10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000" w:type="pct"/>
            <w:gridSpan w:val="8"/>
            <w:tcBorders>
              <w:top w:val="nil"/>
              <w:left w:val="nil"/>
              <w:bottom w:val="single" w:color="000000" w:sz="4" w:space="0"/>
              <w:right w:val="nil"/>
            </w:tcBorders>
            <w:shd w:val="clear" w:color="auto" w:fill="auto"/>
            <w:vAlign w:val="center"/>
          </w:tcPr>
          <w:p w14:paraId="6F972D2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14:paraId="36263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5125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1A8F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人民政府办公室部门</w:t>
            </w:r>
          </w:p>
        </w:tc>
      </w:tr>
      <w:tr w14:paraId="56265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AED0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14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B34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1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0E1F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14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AABD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14:paraId="3117C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D15A2">
            <w:pPr>
              <w:jc w:val="center"/>
              <w:rPr>
                <w:rFonts w:hint="eastAsia" w:ascii="宋体" w:hAnsi="宋体" w:eastAsia="宋体" w:cs="宋体"/>
                <w:i w:val="0"/>
                <w:iCs w:val="0"/>
                <w:color w:val="000000"/>
                <w:sz w:val="18"/>
                <w:szCs w:val="18"/>
                <w:u w:val="none"/>
              </w:rPr>
            </w:pPr>
          </w:p>
        </w:tc>
        <w:tc>
          <w:tcPr>
            <w:tcW w:w="14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CD20E0">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1833.52</w:t>
            </w:r>
          </w:p>
        </w:tc>
        <w:tc>
          <w:tcPr>
            <w:tcW w:w="1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8124A1">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1833.52</w:t>
            </w:r>
          </w:p>
        </w:tc>
        <w:tc>
          <w:tcPr>
            <w:tcW w:w="14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E15F6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r>
      <w:tr w14:paraId="77ADB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5" w:hRule="atLeast"/>
        </w:trPr>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422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4443"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8976C75">
            <w:pPr>
              <w:keepNext w:val="0"/>
              <w:keepLines w:val="0"/>
              <w:widowControl/>
              <w:suppressLineNumbers w:val="0"/>
              <w:spacing w:after="180" w:afterAutospacing="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凝聚力量奋进实干，重点工作有序推进。一是全力做好信访维稳，二是着力加强人防建设，应急人防工作有序开展，三是高标准推进外事工作，四是科学规范后勤管理，政务服务体系加快完善；政务信息公开透明，信息报送提质增效，建立健全政务信息考核制度，严格实施奖惩机制，全力做好信息报送工作，推动信息工作科学化、规范化，能够及时、准确、全面的反映政务工作动态，切实保障信息质量。政务系统全面升级。统筹联动突出重点，全力确保政令畅通。一是抓好统筹协调，二是高效完成县委、县政府督查督办事项，创新建立健全督查督办机制，三是围绕县政府中心工作和各个阶段重点工作，深入开展调研活动，四是加强应急值守，坚持执行24小时全日制政务值班制度；外事工作稳步提升，政府采购规范有序，全力做好信访维稳工作，深入基层服务群众，持续巩固脱贫成果，推动乡村振兴。</w:t>
            </w:r>
          </w:p>
        </w:tc>
      </w:tr>
      <w:tr w14:paraId="56986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CB8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14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22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7781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14:paraId="3904D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C47E2">
            <w:pPr>
              <w:jc w:val="center"/>
              <w:rPr>
                <w:rFonts w:hint="eastAsia" w:ascii="宋体" w:hAnsi="宋体" w:eastAsia="宋体" w:cs="宋体"/>
                <w:i w:val="0"/>
                <w:iCs w:val="0"/>
                <w:color w:val="000000"/>
                <w:sz w:val="18"/>
                <w:szCs w:val="18"/>
                <w:u w:val="none"/>
              </w:rPr>
            </w:pPr>
          </w:p>
        </w:tc>
        <w:tc>
          <w:tcPr>
            <w:tcW w:w="14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F7FB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督促检查</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D455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督促检查县政府各部门和各乡镇人民政府对县政府公文、会议决定事项及县政府领导同志有关指示的执行落实情况跟踪调研，并向县政府领导同志报告。</w:t>
            </w:r>
          </w:p>
        </w:tc>
      </w:tr>
      <w:tr w14:paraId="15700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B35B1">
            <w:pPr>
              <w:jc w:val="center"/>
              <w:rPr>
                <w:rFonts w:hint="eastAsia" w:ascii="宋体" w:hAnsi="宋体" w:eastAsia="宋体" w:cs="宋体"/>
                <w:i w:val="0"/>
                <w:iCs w:val="0"/>
                <w:color w:val="000000"/>
                <w:sz w:val="18"/>
                <w:szCs w:val="18"/>
                <w:u w:val="none"/>
              </w:rPr>
            </w:pPr>
          </w:p>
        </w:tc>
        <w:tc>
          <w:tcPr>
            <w:tcW w:w="14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7FE5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指导全县应急管理工作，</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1C48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指导全县应急管理工作，协助县政府领导同志做好需由县政府组织处理的突发事件和重大事故的应急处置工作。</w:t>
            </w:r>
          </w:p>
        </w:tc>
      </w:tr>
      <w:tr w14:paraId="69F48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9DB9C">
            <w:pPr>
              <w:jc w:val="center"/>
              <w:rPr>
                <w:rFonts w:hint="eastAsia" w:ascii="宋体" w:hAnsi="宋体" w:eastAsia="宋体" w:cs="宋体"/>
                <w:i w:val="0"/>
                <w:iCs w:val="0"/>
                <w:color w:val="000000"/>
                <w:sz w:val="18"/>
                <w:szCs w:val="18"/>
                <w:u w:val="none"/>
              </w:rPr>
            </w:pPr>
          </w:p>
        </w:tc>
        <w:tc>
          <w:tcPr>
            <w:tcW w:w="14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A51B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指导监督全县政府信息公开工作和机关行政效能建设工作</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9A4D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指导监督全县政府信息公开工作和机关行政效能建设工作，指导监督全县政府系统电子政务工作和政府网站建设。</w:t>
            </w:r>
          </w:p>
        </w:tc>
      </w:tr>
      <w:tr w14:paraId="3702C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01B9D">
            <w:pPr>
              <w:jc w:val="center"/>
              <w:rPr>
                <w:rFonts w:hint="eastAsia" w:ascii="宋体" w:hAnsi="宋体" w:eastAsia="宋体" w:cs="宋体"/>
                <w:i w:val="0"/>
                <w:iCs w:val="0"/>
                <w:color w:val="000000"/>
                <w:sz w:val="18"/>
                <w:szCs w:val="18"/>
                <w:u w:val="none"/>
              </w:rPr>
            </w:pPr>
          </w:p>
        </w:tc>
        <w:tc>
          <w:tcPr>
            <w:tcW w:w="14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CF42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组织办理涉及县政府工作的人大代表议案、批评、建议和政协委员提案、建议案工作。</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85E5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组织办理涉及县政府工作的人大代表议案、批评、建议和政协委员提案、建议案工作。</w:t>
            </w:r>
          </w:p>
        </w:tc>
      </w:tr>
      <w:tr w14:paraId="643E6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2651C">
            <w:pPr>
              <w:jc w:val="center"/>
              <w:rPr>
                <w:rFonts w:hint="eastAsia" w:ascii="宋体" w:hAnsi="宋体" w:eastAsia="宋体" w:cs="宋体"/>
                <w:i w:val="0"/>
                <w:iCs w:val="0"/>
                <w:color w:val="000000"/>
                <w:sz w:val="18"/>
                <w:szCs w:val="18"/>
                <w:u w:val="none"/>
              </w:rPr>
            </w:pPr>
          </w:p>
        </w:tc>
        <w:tc>
          <w:tcPr>
            <w:tcW w:w="14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654765">
            <w:pPr>
              <w:jc w:val="left"/>
              <w:rPr>
                <w:rFonts w:hint="eastAsia" w:ascii="宋体" w:hAnsi="宋体" w:eastAsia="宋体" w:cs="宋体"/>
                <w:i w:val="0"/>
                <w:iCs w:val="0"/>
                <w:color w:val="000000"/>
                <w:sz w:val="18"/>
                <w:szCs w:val="18"/>
                <w:u w:val="none"/>
              </w:rPr>
            </w:pP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B4F494">
            <w:pPr>
              <w:jc w:val="left"/>
              <w:rPr>
                <w:rFonts w:hint="eastAsia" w:ascii="宋体" w:hAnsi="宋体" w:eastAsia="宋体" w:cs="宋体"/>
                <w:i w:val="0"/>
                <w:iCs w:val="0"/>
                <w:color w:val="000000"/>
                <w:sz w:val="18"/>
                <w:szCs w:val="18"/>
                <w:u w:val="none"/>
              </w:rPr>
            </w:pPr>
          </w:p>
        </w:tc>
      </w:tr>
      <w:tr w14:paraId="4FB09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9567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346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74A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AFF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189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FB0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7ED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1D8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14:paraId="42BD5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A199C">
            <w:pPr>
              <w:jc w:val="center"/>
              <w:rPr>
                <w:rFonts w:hint="eastAsia" w:ascii="宋体" w:hAnsi="宋体" w:eastAsia="宋体" w:cs="宋体"/>
                <w:i w:val="0"/>
                <w:iCs w:val="0"/>
                <w:color w:val="000000"/>
                <w:sz w:val="18"/>
                <w:szCs w:val="18"/>
                <w:u w:val="none"/>
              </w:rPr>
            </w:pPr>
          </w:p>
        </w:tc>
        <w:tc>
          <w:tcPr>
            <w:tcW w:w="7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93E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267B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2D7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财政供养人员控制率</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3A4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3FB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5FE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06D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7EC1A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A032C">
            <w:pPr>
              <w:jc w:val="center"/>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2F72F">
            <w:pPr>
              <w:jc w:val="left"/>
              <w:rPr>
                <w:rFonts w:hint="eastAsia" w:ascii="宋体" w:hAnsi="宋体" w:eastAsia="宋体" w:cs="宋体"/>
                <w:i w:val="0"/>
                <w:iCs w:val="0"/>
                <w:color w:val="000000"/>
                <w:sz w:val="18"/>
                <w:szCs w:val="18"/>
                <w:u w:val="none"/>
              </w:rPr>
            </w:pPr>
          </w:p>
        </w:tc>
        <w:tc>
          <w:tcPr>
            <w:tcW w:w="7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8B110">
            <w:pPr>
              <w:jc w:val="left"/>
              <w:rPr>
                <w:rFonts w:hint="eastAsia" w:ascii="宋体" w:hAnsi="宋体" w:eastAsia="宋体" w:cs="宋体"/>
                <w:i w:val="0"/>
                <w:iCs w:val="0"/>
                <w:color w:val="000000"/>
                <w:sz w:val="18"/>
                <w:szCs w:val="18"/>
                <w:u w:val="none"/>
              </w:rPr>
            </w:pP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67B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规定时间内完成工作率</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E4F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D8B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594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CBB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2890F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9D285">
            <w:pPr>
              <w:jc w:val="center"/>
              <w:rPr>
                <w:rFonts w:hint="eastAsia" w:ascii="宋体" w:hAnsi="宋体" w:eastAsia="宋体" w:cs="宋体"/>
                <w:i w:val="0"/>
                <w:iCs w:val="0"/>
                <w:color w:val="000000"/>
                <w:sz w:val="18"/>
                <w:szCs w:val="18"/>
                <w:u w:val="none"/>
              </w:rPr>
            </w:pPr>
          </w:p>
        </w:tc>
        <w:tc>
          <w:tcPr>
            <w:tcW w:w="7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B184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26AF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B92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服务质量不断提升</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B31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77E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6EF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C51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26CE2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B1DCE">
            <w:pPr>
              <w:jc w:val="center"/>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712C9">
            <w:pPr>
              <w:jc w:val="left"/>
              <w:rPr>
                <w:rFonts w:hint="eastAsia" w:ascii="宋体" w:hAnsi="宋体" w:eastAsia="宋体" w:cs="宋体"/>
                <w:i w:val="0"/>
                <w:iCs w:val="0"/>
                <w:color w:val="000000"/>
                <w:sz w:val="18"/>
                <w:szCs w:val="18"/>
                <w:u w:val="none"/>
              </w:rPr>
            </w:pPr>
          </w:p>
        </w:tc>
        <w:tc>
          <w:tcPr>
            <w:tcW w:w="7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F638F">
            <w:pPr>
              <w:jc w:val="left"/>
              <w:rPr>
                <w:rFonts w:hint="eastAsia" w:ascii="宋体" w:hAnsi="宋体" w:eastAsia="宋体" w:cs="宋体"/>
                <w:i w:val="0"/>
                <w:iCs w:val="0"/>
                <w:color w:val="000000"/>
                <w:sz w:val="18"/>
                <w:szCs w:val="18"/>
                <w:u w:val="none"/>
              </w:rPr>
            </w:pP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3E6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行政后勤工作高效开展</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58B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4EB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56C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BE6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1208B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19177">
            <w:pPr>
              <w:jc w:val="center"/>
              <w:rPr>
                <w:rFonts w:hint="eastAsia" w:ascii="宋体" w:hAnsi="宋体" w:eastAsia="宋体" w:cs="宋体"/>
                <w:i w:val="0"/>
                <w:iCs w:val="0"/>
                <w:color w:val="000000"/>
                <w:sz w:val="18"/>
                <w:szCs w:val="18"/>
                <w:u w:val="none"/>
              </w:rPr>
            </w:pPr>
          </w:p>
        </w:tc>
        <w:tc>
          <w:tcPr>
            <w:tcW w:w="7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4067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B005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F56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围绕全县中心工作，服务大局</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4F7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639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619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854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r>
      <w:tr w14:paraId="76AED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861B4">
            <w:pPr>
              <w:jc w:val="center"/>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EDC40">
            <w:pPr>
              <w:jc w:val="left"/>
              <w:rPr>
                <w:rFonts w:hint="eastAsia" w:ascii="宋体" w:hAnsi="宋体" w:eastAsia="宋体" w:cs="宋体"/>
                <w:i w:val="0"/>
                <w:iCs w:val="0"/>
                <w:color w:val="000000"/>
                <w:sz w:val="18"/>
                <w:szCs w:val="18"/>
                <w:u w:val="none"/>
              </w:rPr>
            </w:pPr>
          </w:p>
        </w:tc>
        <w:tc>
          <w:tcPr>
            <w:tcW w:w="7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E53C8">
            <w:pPr>
              <w:jc w:val="left"/>
              <w:rPr>
                <w:rFonts w:hint="eastAsia" w:ascii="宋体" w:hAnsi="宋体" w:eastAsia="宋体" w:cs="宋体"/>
                <w:i w:val="0"/>
                <w:iCs w:val="0"/>
                <w:color w:val="000000"/>
                <w:sz w:val="18"/>
                <w:szCs w:val="18"/>
                <w:u w:val="none"/>
              </w:rPr>
            </w:pP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AB8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推动中央、省政府、州政府、县政府决策部署落实</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AB3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353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B0B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21C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14:paraId="33449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DD4E4">
            <w:pPr>
              <w:jc w:val="center"/>
              <w:rPr>
                <w:rFonts w:hint="eastAsia" w:ascii="宋体" w:hAnsi="宋体" w:eastAsia="宋体" w:cs="宋体"/>
                <w:i w:val="0"/>
                <w:iCs w:val="0"/>
                <w:color w:val="000000"/>
                <w:sz w:val="18"/>
                <w:szCs w:val="18"/>
                <w:u w:val="none"/>
              </w:rPr>
            </w:pP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19E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E33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F70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人员经费支付率</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77C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509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3E3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E92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bl>
    <w:p w14:paraId="5A6B1851">
      <w:pP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（备注：按照绩效自评工作安排，各部门已在预算管理一体化系统绩效自评模块上传“部门预算项目支出绩效自评表（</w:t>
      </w:r>
      <w:r>
        <w:rPr>
          <w:rFonts w:hint="eastAsia" w:eastAsia="仿宋_GB2312" w:cs="Times New Roman"/>
          <w:sz w:val="32"/>
          <w:szCs w:val="32"/>
          <w:lang w:val="zh-CN"/>
        </w:rPr>
        <w:t>2024</w:t>
      </w:r>
      <w:r>
        <w:rPr>
          <w:rFonts w:hint="default" w:ascii="Times New Roman" w:hAnsi="Times New Roman" w:eastAsia="仿宋_GB2312" w:cs="Times New Roman"/>
          <w:sz w:val="32"/>
          <w:szCs w:val="32"/>
          <w:lang w:val="zh-CN"/>
        </w:rPr>
        <w:t>年度）”，该表格应作为附表予以公开。）</w:t>
      </w:r>
    </w:p>
    <w:p w14:paraId="45A84ED1">
      <w:pPr>
        <w:rPr>
          <w:rFonts w:hint="default" w:ascii="Times New Roman" w:hAnsi="Times New Roman" w:cs="Times New Roman"/>
        </w:rPr>
      </w:pPr>
    </w:p>
    <w:p w14:paraId="43A23280">
      <w:pPr>
        <w:rPr>
          <w:rFonts w:hint="default" w:ascii="Times New Roman" w:hAnsi="Times New Roman" w:cs="Times New Roman"/>
        </w:rPr>
        <w:sectPr>
          <w:footerReference r:id="rId5" w:type="first"/>
          <w:headerReference r:id="rId3" w:type="default"/>
          <w:footerReference r:id="rId4" w:type="default"/>
          <w:pgSz w:w="11906" w:h="16838"/>
          <w:pgMar w:top="1440" w:right="1803" w:bottom="1440" w:left="1803" w:header="851" w:footer="992" w:gutter="0"/>
          <w:pgNumType w:fmt="decimal"/>
          <w:cols w:space="0" w:num="1"/>
          <w:titlePg/>
          <w:rtlGutter w:val="0"/>
          <w:docGrid w:type="lines" w:linePitch="319" w:charSpace="0"/>
        </w:sectPr>
      </w:pPr>
    </w:p>
    <w:p w14:paraId="065D1CEF">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14:paraId="7D023F57">
      <w:pPr>
        <w:pStyle w:val="13"/>
        <w:spacing w:line="520" w:lineRule="exact"/>
        <w:jc w:val="center"/>
        <w:rPr>
          <w:rFonts w:hint="eastAsia" w:ascii="黑体" w:hAnsi="黑体" w:eastAsia="黑体" w:cs="黑体"/>
          <w:kern w:val="21"/>
          <w:sz w:val="44"/>
          <w:szCs w:val="44"/>
        </w:rPr>
      </w:pPr>
      <w:r>
        <w:rPr>
          <w:rFonts w:hint="eastAsia" w:ascii="黑体" w:hAnsi="黑体" w:eastAsia="黑体" w:cs="黑体"/>
          <w:kern w:val="21"/>
          <w:sz w:val="44"/>
          <w:szCs w:val="44"/>
        </w:rPr>
        <w:t>九寨沟县机关事务</w:t>
      </w:r>
    </w:p>
    <w:p w14:paraId="39EA50B2">
      <w:pPr>
        <w:pStyle w:val="13"/>
        <w:spacing w:line="520" w:lineRule="exact"/>
        <w:jc w:val="center"/>
        <w:rPr>
          <w:rFonts w:hint="eastAsia" w:ascii="黑体" w:hAnsi="黑体" w:eastAsia="黑体" w:cs="黑体"/>
          <w:kern w:val="21"/>
          <w:sz w:val="44"/>
          <w:szCs w:val="44"/>
        </w:rPr>
      </w:pPr>
      <w:r>
        <w:rPr>
          <w:rFonts w:hint="eastAsia" w:ascii="黑体" w:hAnsi="黑体" w:eastAsia="黑体" w:cs="黑体"/>
          <w:kern w:val="21"/>
          <w:sz w:val="44"/>
          <w:szCs w:val="44"/>
          <w:lang w:eastAsia="zh-CN"/>
        </w:rPr>
        <w:t>后勤保障项绩效评价</w:t>
      </w:r>
      <w:r>
        <w:rPr>
          <w:rFonts w:hint="eastAsia" w:ascii="黑体" w:hAnsi="黑体" w:eastAsia="黑体" w:cs="黑体"/>
          <w:kern w:val="21"/>
          <w:sz w:val="44"/>
          <w:szCs w:val="44"/>
        </w:rPr>
        <w:t>报告</w:t>
      </w:r>
    </w:p>
    <w:p w14:paraId="6871DE99">
      <w:pPr>
        <w:adjustRightInd w:val="0"/>
        <w:snapToGrid w:val="0"/>
        <w:spacing w:line="520" w:lineRule="exact"/>
        <w:rPr>
          <w:rFonts w:hint="eastAsia" w:ascii="仿宋" w:hAnsi="仿宋" w:eastAsia="仿宋"/>
          <w:kern w:val="21"/>
          <w:sz w:val="30"/>
          <w:szCs w:val="30"/>
        </w:rPr>
      </w:pPr>
    </w:p>
    <w:p w14:paraId="33A09B9E">
      <w:pPr>
        <w:tabs>
          <w:tab w:val="left" w:pos="0"/>
        </w:tabs>
        <w:adjustRightInd w:val="0"/>
        <w:snapToGrid w:val="0"/>
        <w:spacing w:line="520" w:lineRule="exact"/>
        <w:rPr>
          <w:rFonts w:hint="eastAsia" w:ascii="黑体" w:hAnsi="黑体" w:eastAsia="黑体"/>
          <w:kern w:val="21"/>
          <w:sz w:val="32"/>
          <w:szCs w:val="32"/>
        </w:rPr>
      </w:pPr>
      <w:r>
        <w:rPr>
          <w:rFonts w:hint="eastAsia" w:ascii="仿宋" w:hAnsi="仿宋" w:eastAsia="仿宋"/>
          <w:kern w:val="21"/>
          <w:sz w:val="30"/>
          <w:szCs w:val="30"/>
        </w:rPr>
        <w:t xml:space="preserve">  </w:t>
      </w:r>
      <w:r>
        <w:rPr>
          <w:rFonts w:hint="eastAsia" w:ascii="黑体" w:hAnsi="黑体" w:eastAsia="黑体"/>
          <w:kern w:val="21"/>
          <w:sz w:val="32"/>
          <w:szCs w:val="32"/>
        </w:rPr>
        <w:t xml:space="preserve">  </w:t>
      </w:r>
      <w:r>
        <w:rPr>
          <w:rFonts w:hint="eastAsia" w:ascii="黑体" w:hAnsi="黑体" w:eastAsia="黑体"/>
          <w:bCs/>
          <w:kern w:val="21"/>
          <w:sz w:val="32"/>
          <w:szCs w:val="32"/>
        </w:rPr>
        <w:t>一、重大政策或项目基本情况</w:t>
      </w:r>
    </w:p>
    <w:p w14:paraId="455CAE15">
      <w:pPr>
        <w:pStyle w:val="13"/>
        <w:spacing w:line="520" w:lineRule="exact"/>
        <w:ind w:firstLine="600"/>
        <w:jc w:val="both"/>
        <w:rPr>
          <w:rFonts w:ascii="仿宋" w:hAnsi="仿宋" w:eastAsia="仿宋"/>
          <w:kern w:val="21"/>
          <w:sz w:val="32"/>
          <w:szCs w:val="32"/>
        </w:rPr>
      </w:pPr>
      <w:r>
        <w:rPr>
          <w:rFonts w:ascii="仿宋" w:hAnsi="仿宋" w:eastAsia="仿宋"/>
          <w:kern w:val="21"/>
          <w:sz w:val="32"/>
          <w:szCs w:val="32"/>
        </w:rPr>
        <w:t>九寨沟县机关事务管理局是九寨沟县政务服务中心后勤服务管理单位，九寨沟县政务服务中心（以下简称政务中心）地处川 西北九寨沟县，平均海拔 1400 米，属于高寒地区，冬长夏短。 由于地处边远山区，九寨沟县与成都相距约410 公里，与马尔康市相距约 510 公里， 恶劣气候条件与崎岖山路为节能工作带来挑战。 截至 20</w:t>
      </w:r>
      <w:r>
        <w:rPr>
          <w:rFonts w:hint="eastAsia" w:ascii="仿宋" w:hAnsi="仿宋" w:eastAsia="仿宋"/>
          <w:kern w:val="21"/>
          <w:sz w:val="32"/>
          <w:szCs w:val="32"/>
        </w:rPr>
        <w:t>2</w:t>
      </w:r>
      <w:r>
        <w:rPr>
          <w:rFonts w:hint="eastAsia" w:ascii="仿宋" w:hAnsi="仿宋" w:eastAsia="仿宋"/>
          <w:kern w:val="21"/>
          <w:sz w:val="32"/>
          <w:szCs w:val="32"/>
          <w:lang w:val="en-US" w:eastAsia="zh-CN"/>
        </w:rPr>
        <w:t>5</w:t>
      </w:r>
      <w:r>
        <w:rPr>
          <w:rFonts w:ascii="仿宋" w:hAnsi="仿宋" w:eastAsia="仿宋"/>
          <w:kern w:val="21"/>
          <w:sz w:val="32"/>
          <w:szCs w:val="32"/>
        </w:rPr>
        <w:t>年</w:t>
      </w:r>
      <w:r>
        <w:rPr>
          <w:rFonts w:hint="eastAsia" w:ascii="仿宋" w:hAnsi="仿宋" w:eastAsia="仿宋"/>
          <w:kern w:val="21"/>
          <w:sz w:val="32"/>
          <w:szCs w:val="32"/>
        </w:rPr>
        <w:t>1</w:t>
      </w:r>
      <w:r>
        <w:rPr>
          <w:rFonts w:ascii="仿宋" w:hAnsi="仿宋" w:eastAsia="仿宋"/>
          <w:kern w:val="21"/>
          <w:sz w:val="32"/>
          <w:szCs w:val="32"/>
        </w:rPr>
        <w:t>月</w:t>
      </w:r>
      <w:r>
        <w:rPr>
          <w:rFonts w:hint="eastAsia" w:ascii="仿宋" w:hAnsi="仿宋" w:eastAsia="仿宋"/>
          <w:kern w:val="21"/>
          <w:sz w:val="32"/>
          <w:szCs w:val="32"/>
        </w:rPr>
        <w:t>，</w:t>
      </w:r>
      <w:r>
        <w:rPr>
          <w:rFonts w:ascii="仿宋" w:hAnsi="仿宋" w:eastAsia="仿宋"/>
          <w:kern w:val="21"/>
          <w:sz w:val="32"/>
          <w:szCs w:val="32"/>
        </w:rPr>
        <w:t xml:space="preserve">九寨沟县机关事务管理局用能人数 3764 人，办公区面积 60818.84 平方米，已逐步成为县委、县政府服务社会、服务基层、服务企业、服务群众的重要窗口和平台。 </w:t>
      </w:r>
    </w:p>
    <w:p w14:paraId="29DDEB4A">
      <w:pPr>
        <w:pStyle w:val="27"/>
        <w:numPr>
          <w:ilvl w:val="0"/>
          <w:numId w:val="9"/>
        </w:numPr>
        <w:adjustRightInd w:val="0"/>
        <w:snapToGrid w:val="0"/>
        <w:spacing w:line="560" w:lineRule="exact"/>
        <w:ind w:firstLineChars="0"/>
        <w:rPr>
          <w:rFonts w:hint="eastAsia" w:ascii="仿宋" w:hAnsi="仿宋" w:eastAsia="仿宋" w:cs="仿宋"/>
          <w:sz w:val="32"/>
          <w:szCs w:val="32"/>
          <w:lang w:val="zh-CN"/>
        </w:rPr>
      </w:pPr>
      <w:r>
        <w:rPr>
          <w:rFonts w:hint="eastAsia" w:ascii="仿宋" w:hAnsi="仿宋" w:eastAsia="仿宋" w:cs="仿宋"/>
          <w:b/>
          <w:sz w:val="32"/>
          <w:szCs w:val="32"/>
          <w:lang w:val="zh-CN"/>
        </w:rPr>
        <w:t>项目资金申报及批复情况。</w:t>
      </w:r>
    </w:p>
    <w:p w14:paraId="200FFF16">
      <w:pPr>
        <w:adjustRightInd w:val="0"/>
        <w:snapToGrid w:val="0"/>
        <w:spacing w:line="560" w:lineRule="exact"/>
        <w:rPr>
          <w:rFonts w:hint="eastAsia" w:ascii="仿宋" w:hAnsi="仿宋" w:eastAsia="仿宋" w:cs="仿宋"/>
          <w:sz w:val="32"/>
          <w:szCs w:val="32"/>
          <w:lang w:val="zh-CN"/>
        </w:rPr>
      </w:pPr>
      <w:r>
        <w:rPr>
          <w:rFonts w:hint="eastAsia" w:ascii="仿宋" w:hAnsi="仿宋" w:eastAsia="仿宋" w:cs="仿宋"/>
          <w:sz w:val="32"/>
          <w:szCs w:val="32"/>
          <w:lang w:val="zh-CN"/>
        </w:rPr>
        <w:t xml:space="preserve">     年初财政预算资金</w:t>
      </w:r>
      <w:r>
        <w:rPr>
          <w:rFonts w:hint="eastAsia" w:ascii="仿宋" w:hAnsi="仿宋" w:eastAsia="仿宋" w:cs="仿宋"/>
          <w:sz w:val="32"/>
          <w:szCs w:val="32"/>
          <w:lang w:val="en-US" w:eastAsia="zh-CN"/>
        </w:rPr>
        <w:t>556.53</w:t>
      </w:r>
      <w:r>
        <w:rPr>
          <w:rFonts w:hint="eastAsia" w:ascii="仿宋" w:hAnsi="仿宋" w:eastAsia="仿宋" w:cs="仿宋"/>
          <w:sz w:val="32"/>
          <w:szCs w:val="32"/>
          <w:lang w:val="zh-CN"/>
        </w:rPr>
        <w:t>万元。</w:t>
      </w:r>
    </w:p>
    <w:p w14:paraId="11FD74DD">
      <w:pPr>
        <w:pStyle w:val="27"/>
        <w:numPr>
          <w:ilvl w:val="0"/>
          <w:numId w:val="0"/>
        </w:numPr>
        <w:adjustRightInd w:val="0"/>
        <w:snapToGrid w:val="0"/>
        <w:spacing w:line="560" w:lineRule="exact"/>
        <w:ind w:left="720" w:leftChars="0"/>
        <w:rPr>
          <w:rFonts w:hint="eastAsia" w:ascii="仿宋" w:hAnsi="仿宋" w:eastAsia="仿宋" w:cs="仿宋"/>
          <w:b/>
          <w:sz w:val="32"/>
          <w:szCs w:val="32"/>
          <w:lang w:val="zh-CN"/>
        </w:rPr>
      </w:pPr>
      <w:r>
        <w:rPr>
          <w:rFonts w:hint="eastAsia" w:ascii="仿宋" w:hAnsi="仿宋" w:eastAsia="仿宋" w:cs="仿宋"/>
          <w:b/>
          <w:sz w:val="32"/>
          <w:szCs w:val="32"/>
          <w:lang w:val="zh-CN"/>
        </w:rPr>
        <w:t>（二）项目绩效目标。</w:t>
      </w:r>
    </w:p>
    <w:p w14:paraId="53E2D37A">
      <w:pPr>
        <w:pStyle w:val="27"/>
        <w:numPr>
          <w:ilvl w:val="0"/>
          <w:numId w:val="0"/>
        </w:numPr>
        <w:adjustRightInd w:val="0"/>
        <w:snapToGrid w:val="0"/>
        <w:spacing w:line="560" w:lineRule="exact"/>
        <w:ind w:left="720" w:leftChars="0"/>
        <w:rPr>
          <w:rFonts w:hint="eastAsia" w:ascii="仿宋" w:hAnsi="仿宋" w:eastAsia="仿宋" w:cs="仿宋"/>
          <w:snapToGrid w:val="0"/>
          <w:spacing w:val="-32"/>
          <w:sz w:val="32"/>
          <w:szCs w:val="32"/>
        </w:rPr>
      </w:pPr>
      <w:r>
        <w:rPr>
          <w:rFonts w:hint="eastAsia" w:ascii="仿宋" w:hAnsi="仿宋" w:eastAsia="仿宋" w:cs="仿宋"/>
          <w:snapToGrid w:val="0"/>
          <w:spacing w:val="-32"/>
          <w:sz w:val="32"/>
          <w:szCs w:val="32"/>
        </w:rPr>
        <w:t>九 寨 沟 县 机 关 事 务 管 理 局 深 入 贯 彻 落 实 中 央 关 于 加 快 推 进 生 态 文 明 建 设 的 战 略 部 署 ， 按 照 省 管 局 、 州 管 局 节能 工 作部 署 ， 坚 持 以 节 约 型 机 关 建 设 为 主 线 ， 以 创 建 “ 国 家 级 节 约 型 公 共 机 构 示 范 单 位 ” 为 引 领 ， 加 强 组 织 领 导 ， 健 全 规 章 制 度 ， 强 化 日 常 管 理 ， 认 真 开 展 能 耗 统 计 、 节 能 宣 传 、 能 源 审 计 和 节 能 技 改 等 工 作 ， 切 实 降 低 能 源 资 源 消 耗 ， 提 高 能 源 资 源 利 用 效 率 ， 积 极 争 创 “ 国 家 级 节 约 型 公 共 机 构 示 范 单 位 ” 。</w:t>
      </w:r>
    </w:p>
    <w:p w14:paraId="3BC5D004">
      <w:pPr>
        <w:pStyle w:val="27"/>
        <w:numPr>
          <w:ilvl w:val="0"/>
          <w:numId w:val="0"/>
        </w:numPr>
        <w:adjustRightInd w:val="0"/>
        <w:snapToGrid w:val="0"/>
        <w:spacing w:line="560" w:lineRule="exact"/>
        <w:ind w:left="720" w:leftChars="0"/>
        <w:rPr>
          <w:rFonts w:hint="eastAsia" w:ascii="仿宋" w:hAnsi="仿宋" w:eastAsia="仿宋" w:cs="仿宋"/>
          <w:sz w:val="32"/>
          <w:szCs w:val="32"/>
          <w:lang w:val="zh-CN"/>
        </w:rPr>
      </w:pPr>
      <w:r>
        <w:rPr>
          <w:rFonts w:hint="eastAsia" w:ascii="仿宋" w:hAnsi="仿宋" w:eastAsia="仿宋" w:cs="仿宋"/>
          <w:snapToGrid w:val="0"/>
          <w:spacing w:val="-32"/>
          <w:sz w:val="32"/>
          <w:szCs w:val="32"/>
          <w:lang w:eastAsia="zh-CN"/>
        </w:rPr>
        <w:t>（三）</w:t>
      </w:r>
      <w:r>
        <w:rPr>
          <w:rFonts w:hint="eastAsia" w:ascii="仿宋" w:hAnsi="仿宋" w:eastAsia="仿宋" w:cs="仿宋"/>
          <w:b/>
          <w:sz w:val="32"/>
          <w:szCs w:val="32"/>
          <w:lang w:val="zh-CN"/>
        </w:rPr>
        <w:t>项目资金申报相符性。</w:t>
      </w:r>
    </w:p>
    <w:p w14:paraId="7ECEE2CD">
      <w:pPr>
        <w:adjustRightInd w:val="0"/>
        <w:snapToGrid w:val="0"/>
        <w:spacing w:line="560" w:lineRule="exact"/>
        <w:ind w:left="720"/>
        <w:rPr>
          <w:rFonts w:hint="eastAsia" w:ascii="仿宋" w:hAnsi="仿宋" w:eastAsia="仿宋" w:cs="仿宋"/>
          <w:sz w:val="32"/>
          <w:szCs w:val="32"/>
          <w:lang w:val="zh-CN"/>
        </w:rPr>
      </w:pPr>
      <w:r>
        <w:rPr>
          <w:rFonts w:hint="eastAsia" w:ascii="仿宋" w:hAnsi="仿宋" w:eastAsia="仿宋" w:cs="仿宋"/>
          <w:sz w:val="32"/>
          <w:szCs w:val="32"/>
          <w:lang w:val="zh-CN"/>
        </w:rPr>
        <w:t>项目申报内容与具体实施内容相符、申报目标合理可行。</w:t>
      </w:r>
    </w:p>
    <w:p w14:paraId="3A0A8F15">
      <w:pPr>
        <w:adjustRightInd w:val="0"/>
        <w:snapToGrid w:val="0"/>
        <w:spacing w:line="560" w:lineRule="exact"/>
        <w:ind w:firstLine="720"/>
        <w:rPr>
          <w:rFonts w:hint="eastAsia" w:ascii="黑体" w:hAnsi="黑体" w:eastAsia="黑体" w:cs="黑体"/>
          <w:sz w:val="32"/>
          <w:szCs w:val="32"/>
        </w:rPr>
      </w:pPr>
      <w:r>
        <w:rPr>
          <w:rFonts w:hint="eastAsia" w:ascii="黑体" w:hAnsi="黑体" w:eastAsia="黑体" w:cs="黑体"/>
          <w:sz w:val="32"/>
          <w:szCs w:val="32"/>
        </w:rPr>
        <w:t>二、项目实施及管理情况</w:t>
      </w:r>
    </w:p>
    <w:p w14:paraId="037799C7">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sz w:val="32"/>
          <w:szCs w:val="32"/>
          <w:lang w:val="zh-CN"/>
        </w:rPr>
        <w:tab/>
      </w:r>
      <w:r>
        <w:rPr>
          <w:rFonts w:hint="eastAsia" w:ascii="仿宋" w:hAnsi="仿宋" w:eastAsia="仿宋" w:cs="仿宋"/>
          <w:b/>
          <w:sz w:val="32"/>
          <w:szCs w:val="32"/>
          <w:lang w:val="zh-CN"/>
        </w:rPr>
        <w:t>（一）资金计划、到位及使用情况。</w:t>
      </w:r>
    </w:p>
    <w:p w14:paraId="40147687">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1．资金计划及到位。该项目资金计划及截止评价时点实际到位</w:t>
      </w:r>
      <w:r>
        <w:rPr>
          <w:rFonts w:hint="eastAsia" w:ascii="仿宋" w:hAnsi="仿宋" w:eastAsia="仿宋" w:cs="仿宋"/>
          <w:sz w:val="32"/>
          <w:szCs w:val="32"/>
          <w:lang w:val="en-US" w:eastAsia="zh-CN"/>
        </w:rPr>
        <w:t>556.53</w:t>
      </w:r>
      <w:r>
        <w:rPr>
          <w:rFonts w:hint="eastAsia" w:ascii="仿宋" w:hAnsi="仿宋" w:eastAsia="仿宋" w:cs="仿宋"/>
          <w:sz w:val="32"/>
          <w:szCs w:val="32"/>
          <w:lang w:val="zh-CN"/>
        </w:rPr>
        <w:t>万元，为县级财政资金。</w:t>
      </w:r>
    </w:p>
    <w:p w14:paraId="04F6E9E2">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2．资金使用。截止评价时点项目资金的实际支出</w:t>
      </w:r>
      <w:r>
        <w:rPr>
          <w:rFonts w:hint="eastAsia" w:ascii="仿宋" w:hAnsi="仿宋" w:eastAsia="仿宋" w:cs="仿宋"/>
          <w:sz w:val="32"/>
          <w:szCs w:val="32"/>
          <w:lang w:val="en-US" w:eastAsia="zh-CN"/>
        </w:rPr>
        <w:t>556.53</w:t>
      </w:r>
      <w:r>
        <w:rPr>
          <w:rFonts w:hint="eastAsia" w:ascii="仿宋" w:hAnsi="仿宋" w:eastAsia="仿宋" w:cs="仿宋"/>
          <w:sz w:val="32"/>
          <w:szCs w:val="32"/>
          <w:lang w:val="zh-CN"/>
        </w:rPr>
        <w:t>万元，资金开支范围标准及支付进度、支付依据合规合法，资金支付与预算相符。</w:t>
      </w:r>
    </w:p>
    <w:p w14:paraId="2530B1E5">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（二）项目财务管理情况。</w:t>
      </w:r>
    </w:p>
    <w:p w14:paraId="3736DEA2">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机关事务管理局组织机构健全，职责分工明确，制定了实施方案或计划，按计划实施各项工作，有明确的工作流程和岗位职责，办公条件能够有效保障，资金能足额保证，具有必要的应急管理方案，有针对突发事件或未知风险的应急措施。</w:t>
      </w:r>
    </w:p>
    <w:p w14:paraId="499674C4">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（三）项目组织实施情况。</w:t>
      </w:r>
    </w:p>
    <w:p w14:paraId="23888CE8">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项目严格按九寨沟县财政资金管理办法执行。</w:t>
      </w:r>
    </w:p>
    <w:p w14:paraId="10B3F05D">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rPr>
        <w:t>三、项目绩效情况</w:t>
      </w:r>
      <w:r>
        <w:rPr>
          <w:rFonts w:hint="eastAsia" w:ascii="仿宋" w:hAnsi="仿宋" w:eastAsia="仿宋" w:cs="仿宋"/>
          <w:sz w:val="32"/>
          <w:szCs w:val="32"/>
          <w:lang w:val="zh-CN"/>
        </w:rPr>
        <w:tab/>
      </w:r>
    </w:p>
    <w:p w14:paraId="5E43E66F">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（一）项目完成情况。</w:t>
      </w:r>
    </w:p>
    <w:p w14:paraId="0709D002">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sz w:val="32"/>
          <w:szCs w:val="32"/>
          <w:lang w:val="zh-CN"/>
        </w:rPr>
        <w:t>项目按期完成，</w:t>
      </w:r>
      <w:r>
        <w:rPr>
          <w:rFonts w:hint="eastAsia" w:ascii="仿宋" w:hAnsi="仿宋" w:eastAsia="仿宋" w:cs="仿宋"/>
          <w:sz w:val="32"/>
          <w:szCs w:val="32"/>
        </w:rPr>
        <w:t>项目资金无结余</w:t>
      </w:r>
      <w:r>
        <w:rPr>
          <w:rFonts w:hint="eastAsia" w:ascii="仿宋" w:hAnsi="仿宋" w:eastAsia="仿宋" w:cs="仿宋"/>
          <w:sz w:val="32"/>
          <w:szCs w:val="32"/>
          <w:lang w:val="zh-CN"/>
        </w:rPr>
        <w:t>，成本有效控制。</w:t>
      </w:r>
    </w:p>
    <w:p w14:paraId="030165AD">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（二）项目效益情况。</w:t>
      </w:r>
    </w:p>
    <w:p w14:paraId="61C8D57D">
      <w:pPr>
        <w:adjustRightInd w:val="0"/>
        <w:snapToGrid w:val="0"/>
        <w:spacing w:line="560" w:lineRule="exact"/>
        <w:ind w:firstLine="720"/>
        <w:rPr>
          <w:rFonts w:hint="eastAsia" w:ascii="仿宋" w:hAnsi="仿宋" w:eastAsia="仿宋" w:cs="仿宋"/>
          <w:snapToGrid w:val="0"/>
          <w:spacing w:val="-32"/>
          <w:sz w:val="32"/>
          <w:szCs w:val="32"/>
        </w:rPr>
      </w:pPr>
      <w:r>
        <w:rPr>
          <w:rFonts w:hint="eastAsia" w:ascii="仿宋" w:hAnsi="仿宋" w:eastAsia="仿宋" w:cs="仿宋"/>
          <w:snapToGrid w:val="0"/>
          <w:spacing w:val="-32"/>
          <w:sz w:val="32"/>
          <w:szCs w:val="32"/>
        </w:rPr>
        <w:t xml:space="preserve">九 寨 沟 县 机 关 事 务 管 理 局 深 入 贯 彻 落 实 中 央 关 于 加 快 推 进 生 态 文 明 建 设 的 战 略 部 署 ， 按 照 省 管 局 、 州 管 局 节能 工 作部 署 ， 坚 持 以 节 约 型 机 关 建 设 为 主 线 ， 以 创 建 “ 国 家 级 节 约 型 公 共 机 构 示 范 单 位 ” 为 引 领 ， 加 强 组 织 领 导 ， 健 全 规 章 制 度 ， 强 化 日 常 管 理 ， 认 真 开 展 能 耗 统 计 、 节 能 宣 传 、 能 源 审 计 和 节 能 技 改 等 工 作 ， 切 实 降 低 能 源 资 源 消 耗 ， 提 高 能 源 资 源 利 用 效 率 ， 积 极 争 创 “ 国 家 级 节 约 型 公 共 机 构 示 范 单 位 ” 。 </w:t>
      </w:r>
    </w:p>
    <w:p w14:paraId="6C07E254">
      <w:pPr>
        <w:adjustRightInd w:val="0"/>
        <w:snapToGrid w:val="0"/>
        <w:spacing w:line="560" w:lineRule="exact"/>
        <w:ind w:firstLine="720"/>
        <w:rPr>
          <w:rFonts w:hint="eastAsia" w:ascii="黑体" w:hAnsi="黑体" w:eastAsia="黑体" w:cs="黑体"/>
          <w:sz w:val="32"/>
          <w:szCs w:val="32"/>
        </w:rPr>
      </w:pPr>
      <w:r>
        <w:rPr>
          <w:rFonts w:hint="eastAsia" w:ascii="黑体" w:hAnsi="黑体" w:eastAsia="黑体" w:cs="黑体"/>
          <w:sz w:val="32"/>
          <w:szCs w:val="32"/>
        </w:rPr>
        <w:t>四、问题及建议</w:t>
      </w:r>
    </w:p>
    <w:p w14:paraId="645B6EBB">
      <w:pPr>
        <w:adjustRightInd w:val="0"/>
        <w:snapToGrid w:val="0"/>
        <w:spacing w:line="56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（一）存在的问题。无</w:t>
      </w:r>
    </w:p>
    <w:p w14:paraId="6E1C3EB0">
      <w:pPr>
        <w:adjustRightInd w:val="0"/>
        <w:snapToGrid w:val="0"/>
        <w:spacing w:line="560" w:lineRule="exact"/>
        <w:ind w:firstLine="720"/>
        <w:rPr>
          <w:rFonts w:hint="eastAsia" w:ascii="仿宋" w:hAnsi="仿宋" w:eastAsia="仿宋" w:cs="仿宋"/>
          <w:sz w:val="32"/>
          <w:szCs w:val="32"/>
        </w:rPr>
      </w:pPr>
      <w:r>
        <w:rPr>
          <w:rFonts w:hint="eastAsia" w:ascii="仿宋" w:hAnsi="仿宋" w:eastAsia="仿宋" w:cs="仿宋"/>
          <w:b/>
          <w:sz w:val="32"/>
          <w:szCs w:val="32"/>
          <w:lang w:val="zh-CN"/>
        </w:rPr>
        <w:t>（二）相关建议。无</w:t>
      </w:r>
    </w:p>
    <w:p w14:paraId="3A824023">
      <w:pPr>
        <w:adjustRightInd w:val="0"/>
        <w:snapToGrid w:val="0"/>
        <w:spacing w:line="560" w:lineRule="exact"/>
        <w:ind w:left="720"/>
        <w:rPr>
          <w:rFonts w:hint="eastAsia" w:ascii="仿宋" w:hAnsi="仿宋" w:eastAsia="仿宋" w:cs="仿宋"/>
          <w:sz w:val="32"/>
          <w:szCs w:val="32"/>
          <w:lang w:val="zh-CN"/>
        </w:rPr>
      </w:pPr>
    </w:p>
    <w:p w14:paraId="7A8F6953">
      <w:pPr>
        <w:spacing w:line="520" w:lineRule="exact"/>
        <w:ind w:firstLine="640" w:firstLineChars="200"/>
        <w:rPr>
          <w:rFonts w:hint="eastAsia" w:ascii="仿宋" w:hAnsi="仿宋" w:eastAsia="仿宋" w:cs="仿宋"/>
          <w:bCs/>
          <w:kern w:val="21"/>
          <w:sz w:val="32"/>
          <w:szCs w:val="32"/>
        </w:rPr>
      </w:pPr>
      <w:r>
        <w:rPr>
          <w:rFonts w:hint="eastAsia" w:ascii="仿宋" w:hAnsi="仿宋" w:eastAsia="仿宋" w:cs="仿宋"/>
          <w:kern w:val="21"/>
          <w:sz w:val="32"/>
          <w:szCs w:val="32"/>
        </w:rPr>
        <w:t xml:space="preserve">    </w:t>
      </w:r>
    </w:p>
    <w:p w14:paraId="2923B101">
      <w:pPr>
        <w:spacing w:line="520" w:lineRule="exact"/>
        <w:rPr>
          <w:rFonts w:hint="eastAsia" w:ascii="仿宋" w:hAnsi="仿宋" w:eastAsia="仿宋" w:cs="仿宋"/>
          <w:kern w:val="21"/>
          <w:sz w:val="32"/>
          <w:szCs w:val="32"/>
        </w:rPr>
      </w:pPr>
    </w:p>
    <w:p w14:paraId="6BC57633">
      <w:pPr>
        <w:adjustRightInd w:val="0"/>
        <w:snapToGrid w:val="0"/>
        <w:spacing w:line="560" w:lineRule="exact"/>
        <w:ind w:firstLine="720"/>
        <w:rPr>
          <w:rFonts w:hint="default" w:ascii="Times New Roman" w:hAnsi="Times New Roman" w:eastAsia="宋体" w:cs="Times New Roman"/>
          <w:b/>
          <w:sz w:val="30"/>
          <w:szCs w:val="30"/>
          <w:lang w:val="zh-CN"/>
        </w:rPr>
      </w:pPr>
    </w:p>
    <w:p w14:paraId="6A648034">
      <w:pPr>
        <w:adjustRightInd w:val="0"/>
        <w:snapToGrid w:val="0"/>
        <w:spacing w:line="560" w:lineRule="exact"/>
        <w:ind w:firstLine="720"/>
        <w:rPr>
          <w:rFonts w:hint="default" w:ascii="Times New Roman" w:hAnsi="Times New Roman" w:eastAsia="宋体" w:cs="Times New Roman"/>
          <w:b/>
          <w:sz w:val="30"/>
          <w:szCs w:val="30"/>
          <w:lang w:val="zh-CN"/>
        </w:rPr>
      </w:pPr>
    </w:p>
    <w:p w14:paraId="46DB56DC">
      <w:pPr>
        <w:adjustRightInd w:val="0"/>
        <w:snapToGrid w:val="0"/>
        <w:spacing w:line="560" w:lineRule="exact"/>
        <w:ind w:firstLine="720"/>
        <w:rPr>
          <w:rFonts w:hint="default" w:ascii="Times New Roman" w:hAnsi="Times New Roman" w:eastAsia="宋体" w:cs="Times New Roman"/>
          <w:b/>
          <w:sz w:val="30"/>
          <w:szCs w:val="30"/>
          <w:lang w:val="zh-CN"/>
        </w:rPr>
      </w:pPr>
    </w:p>
    <w:p w14:paraId="593219FB">
      <w:pPr>
        <w:adjustRightInd w:val="0"/>
        <w:snapToGrid w:val="0"/>
        <w:spacing w:line="560" w:lineRule="exact"/>
        <w:ind w:firstLine="720"/>
        <w:rPr>
          <w:rFonts w:hint="default" w:ascii="Times New Roman" w:hAnsi="Times New Roman" w:eastAsia="宋体" w:cs="Times New Roman"/>
          <w:b/>
          <w:sz w:val="30"/>
          <w:szCs w:val="30"/>
          <w:lang w:val="zh-CN"/>
        </w:rPr>
      </w:pPr>
    </w:p>
    <w:p w14:paraId="704006E6">
      <w:pPr>
        <w:adjustRightInd w:val="0"/>
        <w:snapToGrid w:val="0"/>
        <w:spacing w:line="560" w:lineRule="exact"/>
        <w:ind w:firstLine="720"/>
        <w:rPr>
          <w:rFonts w:hint="default" w:ascii="Times New Roman" w:hAnsi="Times New Roman" w:eastAsia="宋体" w:cs="Times New Roman"/>
          <w:b/>
          <w:sz w:val="30"/>
          <w:szCs w:val="30"/>
          <w:lang w:val="zh-CN"/>
        </w:rPr>
      </w:pPr>
    </w:p>
    <w:p w14:paraId="39F52060">
      <w:pPr>
        <w:adjustRightInd w:val="0"/>
        <w:snapToGrid w:val="0"/>
        <w:spacing w:line="560" w:lineRule="exact"/>
        <w:ind w:firstLine="720"/>
        <w:rPr>
          <w:rFonts w:hint="default" w:ascii="Times New Roman" w:hAnsi="Times New Roman" w:eastAsia="宋体" w:cs="Times New Roman"/>
          <w:b/>
          <w:sz w:val="30"/>
          <w:szCs w:val="30"/>
          <w:lang w:val="zh-CN"/>
        </w:rPr>
      </w:pPr>
    </w:p>
    <w:p w14:paraId="3F8A409E">
      <w:pPr>
        <w:adjustRightInd w:val="0"/>
        <w:snapToGrid w:val="0"/>
        <w:spacing w:line="560" w:lineRule="exact"/>
        <w:ind w:firstLine="720"/>
        <w:rPr>
          <w:rFonts w:hint="default" w:ascii="Times New Roman" w:hAnsi="Times New Roman" w:eastAsia="宋体" w:cs="Times New Roman"/>
          <w:b/>
          <w:sz w:val="30"/>
          <w:szCs w:val="30"/>
          <w:lang w:val="zh-CN"/>
        </w:rPr>
      </w:pPr>
    </w:p>
    <w:p w14:paraId="6DA640AB">
      <w:pPr>
        <w:adjustRightInd w:val="0"/>
        <w:snapToGrid w:val="0"/>
        <w:spacing w:line="560" w:lineRule="exact"/>
        <w:ind w:firstLine="720"/>
        <w:rPr>
          <w:rFonts w:hint="default" w:ascii="Times New Roman" w:hAnsi="Times New Roman" w:eastAsia="宋体" w:cs="Times New Roman"/>
          <w:b/>
          <w:sz w:val="30"/>
          <w:szCs w:val="30"/>
          <w:lang w:val="zh-CN"/>
        </w:rPr>
      </w:pPr>
    </w:p>
    <w:p w14:paraId="388B6EC3">
      <w:pPr>
        <w:adjustRightInd w:val="0"/>
        <w:snapToGrid w:val="0"/>
        <w:spacing w:line="560" w:lineRule="exact"/>
        <w:ind w:firstLine="720"/>
        <w:rPr>
          <w:rFonts w:hint="default" w:ascii="Times New Roman" w:hAnsi="Times New Roman" w:eastAsia="宋体" w:cs="Times New Roman"/>
          <w:b/>
          <w:sz w:val="30"/>
          <w:szCs w:val="30"/>
          <w:lang w:val="zh-CN"/>
        </w:rPr>
      </w:pPr>
    </w:p>
    <w:p w14:paraId="1A35BD25">
      <w:pPr>
        <w:adjustRightInd w:val="0"/>
        <w:snapToGrid w:val="0"/>
        <w:spacing w:line="560" w:lineRule="exact"/>
        <w:ind w:firstLine="720"/>
        <w:rPr>
          <w:rFonts w:hint="default" w:ascii="Times New Roman" w:hAnsi="Times New Roman" w:eastAsia="宋体" w:cs="Times New Roman"/>
          <w:b/>
          <w:sz w:val="30"/>
          <w:szCs w:val="30"/>
          <w:lang w:val="zh-CN"/>
        </w:rPr>
      </w:pPr>
    </w:p>
    <w:p w14:paraId="50F43928">
      <w:pPr>
        <w:adjustRightInd w:val="0"/>
        <w:snapToGrid w:val="0"/>
        <w:spacing w:line="560" w:lineRule="exact"/>
        <w:ind w:firstLine="720"/>
        <w:rPr>
          <w:rFonts w:hint="default" w:ascii="Times New Roman" w:hAnsi="Times New Roman" w:eastAsia="宋体" w:cs="Times New Roman"/>
          <w:b/>
          <w:sz w:val="30"/>
          <w:szCs w:val="30"/>
          <w:lang w:val="zh-CN"/>
        </w:rPr>
      </w:pPr>
    </w:p>
    <w:p w14:paraId="17313401">
      <w:pPr>
        <w:pStyle w:val="34"/>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lang w:val="en-US"/>
        </w:rPr>
        <w:t>年</w:t>
      </w:r>
      <w:r>
        <w:rPr>
          <w:rFonts w:hint="eastAsia" w:ascii="方正小标宋简体" w:hAnsi="方正小标宋简体" w:eastAsia="方正小标宋简体" w:cs="方正小标宋简体"/>
          <w:sz w:val="44"/>
          <w:szCs w:val="44"/>
          <w:lang w:eastAsia="zh-CN"/>
        </w:rPr>
        <w:t>人民防空项</w:t>
      </w:r>
      <w:r>
        <w:rPr>
          <w:rFonts w:hint="eastAsia" w:ascii="方正小标宋简体" w:hAnsi="方正小标宋简体" w:eastAsia="方正小标宋简体" w:cs="方正小标宋简体"/>
          <w:sz w:val="44"/>
          <w:szCs w:val="44"/>
        </w:rPr>
        <w:t>目支出</w:t>
      </w:r>
    </w:p>
    <w:p w14:paraId="20D07E5A">
      <w:pPr>
        <w:pStyle w:val="34"/>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14:paraId="0504B13D">
      <w:pPr>
        <w:pStyle w:val="34"/>
        <w:spacing w:line="560" w:lineRule="exact"/>
        <w:ind w:firstLine="640"/>
        <w:jc w:val="center"/>
        <w:rPr>
          <w:rFonts w:hint="eastAsia" w:ascii="宋体" w:hAnsi="宋体" w:eastAsia="宋体" w:cs="宋体"/>
          <w:color w:val="auto"/>
          <w:kern w:val="2"/>
          <w:sz w:val="32"/>
          <w:szCs w:val="32"/>
        </w:rPr>
      </w:pPr>
    </w:p>
    <w:p w14:paraId="0099FC31">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14:paraId="7415B48D">
      <w:pPr>
        <w:pStyle w:val="13"/>
        <w:keepNext w:val="0"/>
        <w:keepLines w:val="0"/>
        <w:pageBreakBefore w:val="0"/>
        <w:shd w:val="clear" w:color="auto" w:fill="FFFFFF"/>
        <w:kinsoku/>
        <w:wordWrap/>
        <w:overflowPunct/>
        <w:topLinePunct w:val="0"/>
        <w:autoSpaceDE/>
        <w:autoSpaceDN/>
        <w:bidi w:val="0"/>
        <w:spacing w:before="0" w:beforeAutospacing="0" w:after="225" w:afterAutospacing="0" w:line="520" w:lineRule="exact"/>
        <w:ind w:firstLine="48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《中华人民共和国人民防空法》</w:t>
      </w:r>
      <w:r>
        <w:rPr>
          <w:rFonts w:hint="eastAsia" w:ascii="仿宋" w:hAnsi="仿宋" w:eastAsia="仿宋" w:cs="仿宋"/>
          <w:color w:val="333333"/>
          <w:sz w:val="32"/>
          <w:szCs w:val="32"/>
        </w:rPr>
        <w:t>第四条 “人民防空经费由国家和社会共同负担。中央负担的人民防空经费，列入中央预算;县级以上地方各级人民政府负担的人民防空经费，列入地方各级预算”。</w:t>
      </w:r>
    </w:p>
    <w:p w14:paraId="0C47E238">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color w:val="000000"/>
          <w:sz w:val="32"/>
          <w:szCs w:val="32"/>
        </w:rPr>
      </w:pPr>
      <w:r>
        <w:rPr>
          <w:rFonts w:hint="eastAsia" w:ascii="仿宋" w:hAnsi="仿宋" w:eastAsia="仿宋" w:cs="仿宋"/>
          <w:sz w:val="32"/>
          <w:szCs w:val="32"/>
        </w:rPr>
        <w:t>《关于进一步推进人民防空事业发展实施意见》川府发 （2008)47号文件第二十条 “依法落实政府负担的人民防空经费。县级以上地方各级人民政府要将应当负担的人民防空事业建设经费列入财政预算，每年应按不低于本级收入的1‰安排人民防空事业建设经费，确保人民防空事业建设需要”。</w:t>
      </w:r>
      <w:r>
        <w:rPr>
          <w:rFonts w:hint="eastAsia" w:ascii="仿宋" w:hAnsi="仿宋" w:eastAsia="仿宋" w:cs="仿宋"/>
          <w:color w:val="000000"/>
          <w:sz w:val="32"/>
          <w:szCs w:val="32"/>
        </w:rPr>
        <w:t>九寨沟县十三届人民政府第41次常务会议通过，按照每年不低于本级财政收入的</w:t>
      </w:r>
      <w:r>
        <w:rPr>
          <w:rFonts w:hint="eastAsia" w:ascii="仿宋" w:hAnsi="仿宋" w:eastAsia="仿宋" w:cs="仿宋"/>
          <w:sz w:val="32"/>
          <w:szCs w:val="32"/>
        </w:rPr>
        <w:t>1‰</w:t>
      </w:r>
      <w:r>
        <w:rPr>
          <w:rFonts w:hint="eastAsia" w:ascii="仿宋" w:hAnsi="仿宋" w:eastAsia="仿宋" w:cs="仿宋"/>
          <w:color w:val="000000"/>
          <w:sz w:val="32"/>
          <w:szCs w:val="32"/>
        </w:rPr>
        <w:t>比例安排人防建设经费。</w:t>
      </w:r>
    </w:p>
    <w:p w14:paraId="46E761A5">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sz w:val="32"/>
          <w:szCs w:val="32"/>
          <w:lang w:val="zh-CN"/>
        </w:rPr>
      </w:pPr>
      <w:r>
        <w:rPr>
          <w:rFonts w:hint="eastAsia" w:ascii="仿宋" w:hAnsi="仿宋" w:eastAsia="仿宋" w:cs="仿宋"/>
          <w:b/>
          <w:sz w:val="32"/>
          <w:szCs w:val="32"/>
          <w:lang w:val="zh-CN"/>
        </w:rPr>
        <w:t>（一）项目资金申报及批复情况。</w:t>
      </w:r>
      <w:r>
        <w:rPr>
          <w:rFonts w:hint="eastAsia" w:ascii="仿宋" w:hAnsi="仿宋" w:eastAsia="仿宋" w:cs="仿宋"/>
          <w:sz w:val="32"/>
          <w:szCs w:val="32"/>
          <w:lang w:val="zh-CN"/>
        </w:rPr>
        <w:t>财政调整预算资金</w:t>
      </w:r>
      <w:r>
        <w:rPr>
          <w:rFonts w:hint="eastAsia" w:ascii="仿宋" w:hAnsi="仿宋" w:eastAsia="仿宋" w:cs="仿宋"/>
          <w:sz w:val="32"/>
          <w:szCs w:val="32"/>
          <w:lang w:val="en-US" w:eastAsia="zh-CN"/>
        </w:rPr>
        <w:t>6.22</w:t>
      </w:r>
      <w:r>
        <w:rPr>
          <w:rFonts w:hint="eastAsia" w:ascii="仿宋" w:hAnsi="仿宋" w:eastAsia="仿宋" w:cs="仿宋"/>
          <w:sz w:val="32"/>
          <w:szCs w:val="32"/>
          <w:lang w:val="zh-CN"/>
        </w:rPr>
        <w:t>万元。</w:t>
      </w:r>
    </w:p>
    <w:p w14:paraId="5FC3BED6">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sz w:val="32"/>
          <w:szCs w:val="32"/>
          <w:lang w:val="zh-CN"/>
        </w:rPr>
      </w:pPr>
      <w:r>
        <w:rPr>
          <w:rFonts w:hint="eastAsia" w:ascii="仿宋" w:hAnsi="仿宋" w:eastAsia="仿宋" w:cs="仿宋"/>
          <w:b/>
          <w:sz w:val="32"/>
          <w:szCs w:val="32"/>
          <w:lang w:val="zh-CN"/>
        </w:rPr>
        <w:t>（二）项目绩效目标。</w:t>
      </w:r>
      <w:r>
        <w:rPr>
          <w:rFonts w:hint="eastAsia" w:ascii="仿宋" w:hAnsi="仿宋" w:eastAsia="仿宋" w:cs="仿宋"/>
          <w:color w:val="333333"/>
          <w:sz w:val="32"/>
          <w:szCs w:val="32"/>
        </w:rPr>
        <w:t>人民防空</w:t>
      </w:r>
      <w:r>
        <w:rPr>
          <w:rFonts w:hint="eastAsia" w:ascii="仿宋" w:hAnsi="仿宋" w:eastAsia="仿宋" w:cs="仿宋"/>
          <w:color w:val="333333"/>
          <w:sz w:val="32"/>
          <w:szCs w:val="32"/>
          <w:shd w:val="clear" w:color="auto" w:fill="FFFFFF"/>
        </w:rPr>
        <w:t>是为了有效地组织</w:t>
      </w:r>
      <w:r>
        <w:rPr>
          <w:rFonts w:hint="eastAsia" w:ascii="仿宋" w:hAnsi="仿宋" w:eastAsia="仿宋" w:cs="仿宋"/>
          <w:color w:val="333333"/>
          <w:sz w:val="32"/>
          <w:szCs w:val="32"/>
        </w:rPr>
        <w:t>人民防空</w:t>
      </w:r>
      <w:r>
        <w:rPr>
          <w:rFonts w:hint="eastAsia" w:ascii="仿宋" w:hAnsi="仿宋" w:eastAsia="仿宋" w:cs="仿宋"/>
          <w:color w:val="333333"/>
          <w:sz w:val="32"/>
          <w:szCs w:val="32"/>
          <w:shd w:val="clear" w:color="auto" w:fill="FFFFFF"/>
        </w:rPr>
        <w:t>，保护人民的生命和财产安全，保障社会主义现代化建设的一项重要长期工作，</w:t>
      </w:r>
      <w:r>
        <w:rPr>
          <w:rFonts w:hint="eastAsia" w:ascii="仿宋" w:hAnsi="仿宋" w:eastAsia="仿宋" w:cs="仿宋"/>
          <w:color w:val="333333"/>
          <w:sz w:val="32"/>
          <w:szCs w:val="32"/>
        </w:rPr>
        <w:t>人民防空是国防的组成部分。国家根据国防需要，动员和组织群众采取防护措施，防范和减轻空袭危害。人民防空实行长期准备、重点建设、平战结合的方针，贯彻与经济建设协调发展、与城市建设相结合的原则。</w:t>
      </w:r>
    </w:p>
    <w:p w14:paraId="459CA5D6">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sz w:val="32"/>
          <w:szCs w:val="32"/>
          <w:lang w:val="zh-CN"/>
        </w:rPr>
      </w:pPr>
      <w:r>
        <w:rPr>
          <w:rFonts w:hint="eastAsia" w:ascii="仿宋" w:hAnsi="仿宋" w:eastAsia="仿宋" w:cs="仿宋"/>
          <w:b/>
          <w:sz w:val="32"/>
          <w:szCs w:val="32"/>
          <w:lang w:val="zh-CN"/>
        </w:rPr>
        <w:t>（三）项目资金申报相符性。</w:t>
      </w:r>
      <w:r>
        <w:rPr>
          <w:rFonts w:hint="eastAsia" w:ascii="仿宋" w:hAnsi="仿宋" w:eastAsia="仿宋" w:cs="仿宋"/>
          <w:sz w:val="32"/>
          <w:szCs w:val="32"/>
          <w:lang w:val="zh-CN"/>
        </w:rPr>
        <w:t>项目申报内容与具体实施内容相符、申报目标合理可行。</w:t>
      </w:r>
    </w:p>
    <w:p w14:paraId="48AE234E">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黑体" w:hAnsi="黑体" w:eastAsia="黑体" w:cs="黑体"/>
          <w:sz w:val="32"/>
          <w:szCs w:val="32"/>
        </w:rPr>
      </w:pPr>
      <w:r>
        <w:rPr>
          <w:rFonts w:hint="eastAsia" w:ascii="黑体" w:hAnsi="黑体" w:eastAsia="黑体" w:cs="黑体"/>
          <w:sz w:val="32"/>
          <w:szCs w:val="32"/>
        </w:rPr>
        <w:t>二、项目实施及管理情况</w:t>
      </w:r>
    </w:p>
    <w:p w14:paraId="14B425FA">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b/>
          <w:sz w:val="32"/>
          <w:szCs w:val="32"/>
          <w:lang w:val="zh-CN"/>
        </w:rPr>
      </w:pPr>
      <w:r>
        <w:rPr>
          <w:rFonts w:hint="eastAsia" w:ascii="仿宋" w:hAnsi="仿宋" w:eastAsia="仿宋" w:cs="仿宋"/>
          <w:sz w:val="32"/>
          <w:szCs w:val="32"/>
          <w:lang w:val="zh-CN"/>
        </w:rPr>
        <w:tab/>
      </w:r>
      <w:r>
        <w:rPr>
          <w:rFonts w:hint="eastAsia" w:ascii="仿宋" w:hAnsi="仿宋" w:eastAsia="仿宋" w:cs="仿宋"/>
          <w:b/>
          <w:sz w:val="32"/>
          <w:szCs w:val="32"/>
          <w:lang w:val="zh-CN"/>
        </w:rPr>
        <w:t>（一）资金计划、到位及使用情况。</w:t>
      </w:r>
    </w:p>
    <w:p w14:paraId="79ADB3DC">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1．资金计划及到位。该项目资金计划及截止评价时点实际到位</w:t>
      </w:r>
      <w:r>
        <w:rPr>
          <w:rFonts w:hint="eastAsia" w:ascii="仿宋" w:hAnsi="仿宋" w:eastAsia="仿宋" w:cs="仿宋"/>
          <w:sz w:val="32"/>
          <w:szCs w:val="32"/>
          <w:lang w:val="en-US" w:eastAsia="zh-CN"/>
        </w:rPr>
        <w:t>6.22</w:t>
      </w:r>
      <w:r>
        <w:rPr>
          <w:rFonts w:hint="eastAsia" w:ascii="仿宋" w:hAnsi="仿宋" w:eastAsia="仿宋" w:cs="仿宋"/>
          <w:sz w:val="32"/>
          <w:szCs w:val="32"/>
          <w:lang w:val="zh-CN"/>
        </w:rPr>
        <w:t>万元，为县级财政资金。</w:t>
      </w:r>
    </w:p>
    <w:p w14:paraId="259DE203">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2．资金使用。截止评价时点项目资金的实际支出</w:t>
      </w:r>
      <w:r>
        <w:rPr>
          <w:rFonts w:hint="eastAsia" w:ascii="仿宋" w:hAnsi="仿宋" w:eastAsia="仿宋" w:cs="仿宋"/>
          <w:sz w:val="32"/>
          <w:szCs w:val="32"/>
          <w:lang w:val="en-US" w:eastAsia="zh-CN"/>
        </w:rPr>
        <w:t>6.22</w:t>
      </w:r>
      <w:r>
        <w:rPr>
          <w:rFonts w:hint="eastAsia" w:ascii="仿宋" w:hAnsi="仿宋" w:eastAsia="仿宋" w:cs="仿宋"/>
          <w:sz w:val="32"/>
          <w:szCs w:val="32"/>
          <w:lang w:val="zh-CN"/>
        </w:rPr>
        <w:t>万元，资金开支范围标准、支付进度、支付依据合规合法，资金支付与预算相符。</w:t>
      </w:r>
    </w:p>
    <w:p w14:paraId="1EACF9A1">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b/>
          <w:sz w:val="32"/>
          <w:szCs w:val="32"/>
          <w:lang w:val="zh-CN"/>
        </w:rPr>
      </w:pPr>
      <w:r>
        <w:rPr>
          <w:rFonts w:hint="eastAsia" w:ascii="仿宋" w:hAnsi="仿宋" w:eastAsia="仿宋" w:cs="仿宋"/>
          <w:b/>
          <w:sz w:val="32"/>
          <w:szCs w:val="32"/>
          <w:lang w:val="zh-CN"/>
        </w:rPr>
        <w:t>（二）项目财务管理情况。</w:t>
      </w:r>
    </w:p>
    <w:p w14:paraId="76EBA1B6">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办公室组织机构健全，职责分工明确，制定了实施方案或计划，按计划实施各项工作，有明确的工作流程和岗位职责，办公条件能够有效保障，资金能足额保证，具有必要的应急管理方案，有针对突发事件或未知风险的应急措施。</w:t>
      </w:r>
    </w:p>
    <w:p w14:paraId="76B0C569">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b/>
          <w:sz w:val="32"/>
          <w:szCs w:val="32"/>
          <w:lang w:val="zh-CN"/>
        </w:rPr>
      </w:pPr>
      <w:r>
        <w:rPr>
          <w:rFonts w:hint="eastAsia" w:ascii="仿宋" w:hAnsi="仿宋" w:eastAsia="仿宋" w:cs="仿宋"/>
          <w:b/>
          <w:sz w:val="32"/>
          <w:szCs w:val="32"/>
          <w:lang w:val="zh-CN"/>
        </w:rPr>
        <w:t>（三）项目组织实施情况。</w:t>
      </w:r>
    </w:p>
    <w:p w14:paraId="6BD74F3D">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sz w:val="32"/>
          <w:szCs w:val="32"/>
          <w:lang w:val="zh-CN"/>
        </w:rPr>
      </w:pPr>
      <w:r>
        <w:rPr>
          <w:rFonts w:hint="eastAsia" w:ascii="仿宋" w:hAnsi="仿宋" w:eastAsia="仿宋" w:cs="仿宋"/>
          <w:sz w:val="32"/>
          <w:szCs w:val="32"/>
        </w:rPr>
        <w:t>政府组织机构健全，职责分工明确，制定了实施方案或计划，按计划实施全县政府工作，有明确的工作程序，基础设施条件能够有效保障，资金能足额保证，具有必要的控制措施或手段，有针对突发事件或未知风险的应急措施。</w:t>
      </w:r>
    </w:p>
    <w:p w14:paraId="0B68C4C7">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黑体" w:hAnsi="黑体" w:eastAsia="黑体" w:cs="黑体"/>
          <w:sz w:val="32"/>
          <w:szCs w:val="32"/>
          <w:lang w:val="zh-CN"/>
        </w:rPr>
      </w:pPr>
      <w:r>
        <w:rPr>
          <w:rFonts w:hint="eastAsia" w:ascii="黑体" w:hAnsi="黑体" w:eastAsia="黑体" w:cs="黑体"/>
          <w:sz w:val="32"/>
          <w:szCs w:val="32"/>
        </w:rPr>
        <w:t>三、项目绩效情况</w:t>
      </w:r>
      <w:r>
        <w:rPr>
          <w:rFonts w:hint="eastAsia" w:ascii="黑体" w:hAnsi="黑体" w:eastAsia="黑体" w:cs="黑体"/>
          <w:sz w:val="32"/>
          <w:szCs w:val="32"/>
          <w:lang w:val="zh-CN"/>
        </w:rPr>
        <w:tab/>
      </w:r>
    </w:p>
    <w:p w14:paraId="72BD34FA">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b/>
          <w:sz w:val="32"/>
          <w:szCs w:val="32"/>
          <w:lang w:val="zh-CN"/>
        </w:rPr>
      </w:pPr>
      <w:r>
        <w:rPr>
          <w:rFonts w:hint="eastAsia" w:ascii="仿宋" w:hAnsi="仿宋" w:eastAsia="仿宋" w:cs="仿宋"/>
          <w:b/>
          <w:sz w:val="32"/>
          <w:szCs w:val="32"/>
          <w:lang w:val="zh-CN"/>
        </w:rPr>
        <w:t>（一）项目完成情况。</w:t>
      </w:r>
    </w:p>
    <w:p w14:paraId="070087C2">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b/>
          <w:sz w:val="32"/>
          <w:szCs w:val="32"/>
          <w:lang w:val="zh-CN"/>
        </w:rPr>
      </w:pPr>
      <w:r>
        <w:rPr>
          <w:rFonts w:hint="eastAsia" w:ascii="仿宋" w:hAnsi="仿宋" w:eastAsia="仿宋" w:cs="仿宋"/>
          <w:sz w:val="32"/>
          <w:szCs w:val="32"/>
          <w:lang w:val="zh-CN"/>
        </w:rPr>
        <w:t>项目按期完成，</w:t>
      </w:r>
      <w:r>
        <w:rPr>
          <w:rFonts w:hint="eastAsia" w:ascii="仿宋" w:hAnsi="仿宋" w:eastAsia="仿宋" w:cs="仿宋"/>
          <w:sz w:val="32"/>
          <w:szCs w:val="32"/>
        </w:rPr>
        <w:t>项目资金无结余</w:t>
      </w:r>
      <w:r>
        <w:rPr>
          <w:rFonts w:hint="eastAsia" w:ascii="仿宋" w:hAnsi="仿宋" w:eastAsia="仿宋" w:cs="仿宋"/>
          <w:sz w:val="32"/>
          <w:szCs w:val="32"/>
          <w:lang w:val="zh-CN"/>
        </w:rPr>
        <w:t>，成本有效控制。</w:t>
      </w:r>
    </w:p>
    <w:p w14:paraId="34D24A2B">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color w:val="333333"/>
          <w:sz w:val="32"/>
          <w:szCs w:val="32"/>
        </w:rPr>
      </w:pPr>
      <w:r>
        <w:rPr>
          <w:rFonts w:hint="eastAsia" w:ascii="仿宋" w:hAnsi="仿宋" w:eastAsia="仿宋" w:cs="仿宋"/>
          <w:b/>
          <w:sz w:val="32"/>
          <w:szCs w:val="32"/>
          <w:lang w:val="zh-CN"/>
        </w:rPr>
        <w:t>（二）项目效益情况。</w:t>
      </w:r>
      <w:r>
        <w:rPr>
          <w:rFonts w:hint="eastAsia" w:ascii="仿宋" w:hAnsi="仿宋" w:eastAsia="仿宋" w:cs="仿宋"/>
          <w:color w:val="333333"/>
          <w:sz w:val="32"/>
          <w:szCs w:val="32"/>
        </w:rPr>
        <w:t>国家根据国防需要，动员和组织群众采取防护措施，防范和减轻空袭危害。人民防空实行长期准备、重点建设、平战结合的方针，贯彻与经济建设协调发展、与城市建设相结合。</w:t>
      </w:r>
    </w:p>
    <w:p w14:paraId="5003A246">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黑体" w:hAnsi="黑体" w:eastAsia="黑体" w:cs="黑体"/>
          <w:sz w:val="32"/>
          <w:szCs w:val="32"/>
        </w:rPr>
      </w:pPr>
      <w:r>
        <w:rPr>
          <w:rFonts w:hint="eastAsia" w:ascii="黑体" w:hAnsi="黑体" w:eastAsia="黑体" w:cs="黑体"/>
          <w:sz w:val="32"/>
          <w:szCs w:val="32"/>
        </w:rPr>
        <w:t>四、问题及建议</w:t>
      </w:r>
    </w:p>
    <w:p w14:paraId="18015A84">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b/>
          <w:sz w:val="32"/>
          <w:szCs w:val="32"/>
          <w:lang w:val="zh-CN"/>
        </w:rPr>
      </w:pPr>
      <w:r>
        <w:rPr>
          <w:rFonts w:hint="eastAsia" w:ascii="仿宋" w:hAnsi="仿宋" w:eastAsia="仿宋" w:cs="仿宋"/>
          <w:b/>
          <w:sz w:val="32"/>
          <w:szCs w:val="32"/>
          <w:lang w:val="zh-CN"/>
        </w:rPr>
        <w:t>（一）存在的问题。无</w:t>
      </w:r>
    </w:p>
    <w:p w14:paraId="3EF7394B">
      <w:pPr>
        <w:keepNext w:val="0"/>
        <w:keepLines w:val="0"/>
        <w:pageBreakBefore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
          <w:sz w:val="32"/>
          <w:szCs w:val="32"/>
        </w:rPr>
      </w:pPr>
      <w:r>
        <w:rPr>
          <w:rFonts w:hint="eastAsia" w:ascii="仿宋" w:hAnsi="仿宋" w:eastAsia="仿宋" w:cs="仿宋"/>
          <w:b/>
          <w:sz w:val="32"/>
          <w:szCs w:val="32"/>
          <w:lang w:val="zh-CN"/>
        </w:rPr>
        <w:t>（二）相关建议。</w:t>
      </w:r>
      <w:r>
        <w:rPr>
          <w:rFonts w:hint="eastAsia" w:ascii="仿宋" w:hAnsi="仿宋" w:eastAsia="仿宋" w:cs="仿宋"/>
          <w:sz w:val="32"/>
          <w:szCs w:val="32"/>
          <w:lang w:val="zh-CN"/>
        </w:rPr>
        <w:t>无</w:t>
      </w:r>
    </w:p>
    <w:p w14:paraId="5004E440">
      <w:pPr>
        <w:pStyle w:val="34"/>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lang w:val="en-US"/>
        </w:rPr>
        <w:t>202</w:t>
      </w:r>
      <w:r>
        <w:rPr>
          <w:rFonts w:hint="eastAsia" w:ascii="方正小标宋简体" w:hAnsi="宋体" w:eastAsia="方正小标宋简体"/>
          <w:sz w:val="44"/>
          <w:szCs w:val="44"/>
          <w:lang w:val="en-US" w:eastAsia="zh-CN"/>
        </w:rPr>
        <w:t>4</w:t>
      </w:r>
      <w:r>
        <w:rPr>
          <w:rFonts w:hint="eastAsia" w:ascii="方正小标宋简体" w:hAnsi="宋体" w:eastAsia="方正小标宋简体"/>
          <w:sz w:val="44"/>
          <w:szCs w:val="44"/>
          <w:lang w:val="en-US"/>
        </w:rPr>
        <w:t>年</w:t>
      </w:r>
      <w:r>
        <w:rPr>
          <w:rFonts w:hint="eastAsia" w:ascii="方正小标宋简体" w:eastAsia="方正小标宋简体"/>
          <w:sz w:val="44"/>
          <w:szCs w:val="44"/>
        </w:rPr>
        <w:t>外事工作经费</w:t>
      </w:r>
      <w:r>
        <w:rPr>
          <w:rFonts w:hint="eastAsia" w:ascii="方正小标宋简体" w:hAnsi="宋体" w:eastAsia="方正小标宋简体"/>
          <w:sz w:val="44"/>
          <w:szCs w:val="44"/>
        </w:rPr>
        <w:t>支出</w:t>
      </w:r>
    </w:p>
    <w:p w14:paraId="759272C7">
      <w:pPr>
        <w:pStyle w:val="34"/>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绩效自评报告</w:t>
      </w:r>
    </w:p>
    <w:p w14:paraId="77E31F2D">
      <w:pPr>
        <w:pStyle w:val="34"/>
        <w:spacing w:line="560" w:lineRule="exact"/>
        <w:jc w:val="center"/>
        <w:rPr>
          <w:rFonts w:hint="eastAsia" w:ascii="方正小标宋简体" w:hAnsi="宋体" w:eastAsia="方正小标宋简体"/>
          <w:sz w:val="44"/>
          <w:szCs w:val="44"/>
        </w:rPr>
      </w:pPr>
    </w:p>
    <w:p w14:paraId="68B16285">
      <w:pPr>
        <w:tabs>
          <w:tab w:val="left" w:pos="0"/>
        </w:tabs>
        <w:adjustRightInd w:val="0"/>
        <w:snapToGrid w:val="0"/>
        <w:spacing w:line="520" w:lineRule="exact"/>
        <w:rPr>
          <w:rFonts w:hint="eastAsia" w:ascii="仿宋_GB2312" w:hAnsi="宋体" w:eastAsia="仿宋_GB2312"/>
          <w:sz w:val="32"/>
          <w:szCs w:val="32"/>
        </w:rPr>
      </w:pPr>
      <w:r>
        <w:rPr>
          <w:rFonts w:hint="eastAsia" w:ascii="仿宋_GB2312" w:hAnsi="宋体" w:eastAsia="仿宋_GB2312"/>
          <w:sz w:val="32"/>
          <w:szCs w:val="32"/>
        </w:rPr>
        <w:t xml:space="preserve">    </w:t>
      </w:r>
      <w:r>
        <w:rPr>
          <w:rFonts w:hint="eastAsia" w:ascii="黑体" w:hAnsi="宋体" w:eastAsia="黑体"/>
          <w:sz w:val="32"/>
          <w:szCs w:val="32"/>
        </w:rPr>
        <w:t>一、</w:t>
      </w:r>
      <w:r>
        <w:rPr>
          <w:rFonts w:hint="eastAsia" w:ascii="黑体" w:hAnsi="宋体" w:eastAsia="黑体"/>
          <w:sz w:val="32"/>
          <w:szCs w:val="32"/>
          <w:lang w:val="zh-CN"/>
        </w:rPr>
        <w:t>项目概况</w:t>
      </w:r>
    </w:p>
    <w:p w14:paraId="487D34C5">
      <w:pPr>
        <w:adjustRightInd w:val="0"/>
        <w:snapToGrid w:val="0"/>
        <w:spacing w:line="520" w:lineRule="exact"/>
        <w:ind w:firstLine="640" w:firstLineChars="200"/>
        <w:rPr>
          <w:rFonts w:ascii="Arial" w:hAnsi="Arial" w:cs="Arial"/>
          <w:color w:val="191919"/>
          <w:sz w:val="32"/>
          <w:szCs w:val="32"/>
          <w:shd w:val="clear" w:color="auto" w:fill="FFFFFF"/>
        </w:rPr>
      </w:pPr>
      <w:r>
        <w:rPr>
          <w:rFonts w:ascii="仿宋" w:hAnsi="仿宋" w:eastAsia="仿宋" w:cs="Arial"/>
          <w:color w:val="191919"/>
          <w:sz w:val="32"/>
          <w:szCs w:val="32"/>
          <w:shd w:val="clear" w:color="auto" w:fill="FFFFFF"/>
        </w:rPr>
        <w:t>牢固树立“大外事”理念，充分发挥外事工作的优势和作用，全力服务“四向拓展、全域开放”战略大局，不断开创我</w:t>
      </w:r>
      <w:r>
        <w:rPr>
          <w:rFonts w:hint="eastAsia" w:ascii="仿宋" w:hAnsi="仿宋" w:eastAsia="仿宋" w:cs="Arial"/>
          <w:color w:val="191919"/>
          <w:sz w:val="32"/>
          <w:szCs w:val="32"/>
          <w:shd w:val="clear" w:color="auto" w:fill="FFFFFF"/>
          <w:lang w:eastAsia="zh-CN"/>
        </w:rPr>
        <w:t>县</w:t>
      </w:r>
      <w:r>
        <w:rPr>
          <w:rFonts w:ascii="仿宋" w:hAnsi="仿宋" w:eastAsia="仿宋" w:cs="Arial"/>
          <w:color w:val="191919"/>
          <w:sz w:val="32"/>
          <w:szCs w:val="32"/>
          <w:shd w:val="clear" w:color="auto" w:fill="FFFFFF"/>
        </w:rPr>
        <w:t>对外开放合作新局面</w:t>
      </w:r>
      <w:r>
        <w:rPr>
          <w:rFonts w:ascii="Arial" w:hAnsi="Arial" w:cs="Arial"/>
          <w:color w:val="191919"/>
          <w:sz w:val="32"/>
          <w:szCs w:val="32"/>
          <w:shd w:val="clear" w:color="auto" w:fill="FFFFFF"/>
        </w:rPr>
        <w:t>。</w:t>
      </w:r>
    </w:p>
    <w:p w14:paraId="30881DBC">
      <w:pPr>
        <w:adjustRightInd w:val="0"/>
        <w:snapToGrid w:val="0"/>
        <w:spacing w:line="560" w:lineRule="exact"/>
        <w:ind w:firstLine="720"/>
        <w:rPr>
          <w:rFonts w:ascii="仿宋_GB2312" w:hAnsi="宋体"/>
          <w:sz w:val="32"/>
          <w:szCs w:val="32"/>
          <w:lang w:val="zh-CN"/>
        </w:rPr>
      </w:pPr>
      <w:r>
        <w:rPr>
          <w:rFonts w:hint="eastAsia" w:ascii="楷体_GB2312" w:hAnsi="宋体" w:eastAsia="楷体_GB2312"/>
          <w:b/>
          <w:sz w:val="32"/>
          <w:szCs w:val="32"/>
          <w:lang w:val="zh-CN"/>
        </w:rPr>
        <w:t>（一）项目资金申报及批复情况。</w:t>
      </w:r>
      <w:r>
        <w:rPr>
          <w:rFonts w:hint="eastAsia" w:ascii="仿宋_GB2312" w:hAnsi="宋体"/>
          <w:sz w:val="32"/>
          <w:szCs w:val="32"/>
          <w:lang w:val="zh-CN"/>
        </w:rPr>
        <w:t>财政调整预算资金</w:t>
      </w:r>
      <w:r>
        <w:rPr>
          <w:rFonts w:hint="eastAsia" w:ascii="仿宋_GB2312" w:hAnsi="宋体"/>
          <w:sz w:val="32"/>
          <w:szCs w:val="32"/>
          <w:lang w:val="en-US" w:eastAsia="zh-CN"/>
        </w:rPr>
        <w:t>4.93</w:t>
      </w:r>
      <w:r>
        <w:rPr>
          <w:rFonts w:hint="eastAsia" w:ascii="仿宋_GB2312" w:hAnsi="宋体"/>
          <w:sz w:val="32"/>
          <w:szCs w:val="32"/>
          <w:lang w:val="zh-CN"/>
        </w:rPr>
        <w:t>万元。</w:t>
      </w:r>
    </w:p>
    <w:p w14:paraId="1117C5DF">
      <w:pPr>
        <w:adjustRightInd w:val="0"/>
        <w:snapToGrid w:val="0"/>
        <w:spacing w:line="520" w:lineRule="exact"/>
        <w:ind w:firstLine="643" w:firstLineChars="200"/>
        <w:rPr>
          <w:rFonts w:hint="eastAsia" w:ascii="仿宋" w:hAnsi="仿宋" w:eastAsia="仿宋"/>
          <w:sz w:val="32"/>
          <w:szCs w:val="32"/>
        </w:rPr>
      </w:pPr>
      <w:r>
        <w:rPr>
          <w:rFonts w:hint="eastAsia" w:ascii="楷体_GB2312" w:hAnsi="宋体" w:eastAsia="楷体_GB2312"/>
          <w:b/>
          <w:sz w:val="32"/>
          <w:szCs w:val="32"/>
          <w:lang w:val="zh-CN"/>
        </w:rPr>
        <w:t>（二）项目绩效目标。</w:t>
      </w:r>
      <w:r>
        <w:rPr>
          <w:rFonts w:hint="eastAsia" w:ascii="仿宋" w:hAnsi="仿宋" w:eastAsia="仿宋" w:cs="Arial"/>
          <w:color w:val="333333"/>
          <w:sz w:val="32"/>
          <w:szCs w:val="32"/>
        </w:rPr>
        <w:t>外事工作经费</w:t>
      </w:r>
      <w:r>
        <w:rPr>
          <w:rFonts w:hint="eastAsia" w:ascii="仿宋" w:hAnsi="仿宋" w:eastAsia="仿宋"/>
          <w:sz w:val="32"/>
          <w:szCs w:val="32"/>
        </w:rPr>
        <w:t>组织机构健全，职责分工明确，制定了实施方案或计划，按计划实施</w:t>
      </w:r>
      <w:r>
        <w:rPr>
          <w:rFonts w:hint="eastAsia" w:ascii="仿宋" w:hAnsi="仿宋" w:eastAsia="仿宋" w:cs="Arial"/>
          <w:color w:val="333333"/>
          <w:sz w:val="32"/>
          <w:szCs w:val="32"/>
        </w:rPr>
        <w:t>外事工作</w:t>
      </w:r>
      <w:r>
        <w:rPr>
          <w:rFonts w:hint="eastAsia" w:ascii="仿宋" w:hAnsi="仿宋" w:eastAsia="仿宋"/>
          <w:sz w:val="32"/>
          <w:szCs w:val="32"/>
        </w:rPr>
        <w:t>，有明确的工作程序，基础设施条件能够有效保障，资金能足额保证，具有必要的控制措施或手段，有针对突发事件或未知风险的应急措施。</w:t>
      </w:r>
      <w:r>
        <w:rPr>
          <w:rFonts w:hint="eastAsia" w:ascii="仿宋" w:hAnsi="仿宋" w:eastAsia="仿宋" w:cs="Times New Roman"/>
          <w:kern w:val="2"/>
          <w:sz w:val="32"/>
          <w:szCs w:val="32"/>
          <w:lang w:val="en-US" w:eastAsia="zh-CN" w:bidi="ar-SA"/>
        </w:rPr>
        <w:t>贯彻执行国家对外方针政策、涉外法规，研究起草全县外事工作的规章制度和工作规则；负责处理或协助处理全县重大的涉外事务</w:t>
      </w:r>
      <w:r>
        <w:rPr>
          <w:rFonts w:hint="eastAsia" w:ascii="仿宋" w:hAnsi="仿宋" w:eastAsia="仿宋"/>
          <w:color w:val="000000"/>
          <w:sz w:val="32"/>
          <w:szCs w:val="32"/>
          <w:shd w:val="clear" w:color="auto" w:fill="FFFFFF"/>
        </w:rPr>
        <w:t>。</w:t>
      </w:r>
    </w:p>
    <w:p w14:paraId="33ED0C61">
      <w:pPr>
        <w:adjustRightInd w:val="0"/>
        <w:snapToGrid w:val="0"/>
        <w:spacing w:line="560" w:lineRule="exact"/>
        <w:ind w:firstLine="720"/>
        <w:rPr>
          <w:rFonts w:ascii="仿宋_GB2312" w:hAnsi="宋体"/>
          <w:sz w:val="32"/>
          <w:szCs w:val="32"/>
          <w:lang w:val="zh-CN"/>
        </w:rPr>
      </w:pPr>
      <w:r>
        <w:rPr>
          <w:rFonts w:hint="eastAsia" w:ascii="楷体_GB2312" w:hAnsi="宋体" w:eastAsia="楷体_GB2312"/>
          <w:b/>
          <w:sz w:val="32"/>
          <w:szCs w:val="32"/>
          <w:lang w:val="zh-CN"/>
        </w:rPr>
        <w:t>（三）项目资金申报相符性。</w:t>
      </w:r>
      <w:r>
        <w:rPr>
          <w:rFonts w:hint="eastAsia" w:ascii="仿宋_GB2312" w:hAnsi="宋体"/>
          <w:sz w:val="32"/>
          <w:szCs w:val="32"/>
          <w:lang w:val="zh-CN"/>
        </w:rPr>
        <w:t>项目申报内容与具体实施内容相符、申报目标合理可行。</w:t>
      </w:r>
    </w:p>
    <w:p w14:paraId="639FDA25">
      <w:pPr>
        <w:adjustRightInd w:val="0"/>
        <w:snapToGrid w:val="0"/>
        <w:spacing w:line="560" w:lineRule="exact"/>
        <w:ind w:firstLine="720"/>
        <w:rPr>
          <w:rFonts w:ascii="黑体" w:hAnsi="宋体" w:eastAsia="黑体"/>
          <w:sz w:val="32"/>
          <w:szCs w:val="32"/>
        </w:rPr>
      </w:pPr>
      <w:r>
        <w:rPr>
          <w:rFonts w:hint="eastAsia" w:ascii="黑体" w:hAnsi="宋体" w:eastAsia="黑体"/>
          <w:sz w:val="32"/>
          <w:szCs w:val="32"/>
        </w:rPr>
        <w:t>二、项目实施及管理情况</w:t>
      </w:r>
    </w:p>
    <w:p w14:paraId="72A142F1">
      <w:pPr>
        <w:adjustRightInd w:val="0"/>
        <w:snapToGrid w:val="0"/>
        <w:spacing w:line="560" w:lineRule="exact"/>
        <w:ind w:firstLine="720"/>
        <w:rPr>
          <w:rFonts w:ascii="楷体_GB2312" w:hAnsi="宋体" w:eastAsia="楷体_GB2312"/>
          <w:b/>
          <w:sz w:val="32"/>
          <w:szCs w:val="32"/>
          <w:lang w:val="zh-CN"/>
        </w:rPr>
      </w:pPr>
      <w:r>
        <w:rPr>
          <w:rFonts w:hint="eastAsia" w:ascii="仿宋_GB2312" w:hAnsi="宋体"/>
          <w:sz w:val="32"/>
          <w:szCs w:val="32"/>
          <w:lang w:val="zh-CN"/>
        </w:rPr>
        <w:tab/>
      </w:r>
      <w:r>
        <w:rPr>
          <w:rFonts w:hint="eastAsia" w:ascii="楷体_GB2312" w:hAnsi="宋体" w:eastAsia="楷体_GB2312"/>
          <w:b/>
          <w:sz w:val="32"/>
          <w:szCs w:val="32"/>
          <w:lang w:val="zh-CN"/>
        </w:rPr>
        <w:t>（一）资金计划、到位及使用情况。</w:t>
      </w:r>
    </w:p>
    <w:p w14:paraId="1A6F1546">
      <w:pPr>
        <w:adjustRightInd w:val="0"/>
        <w:snapToGrid w:val="0"/>
        <w:spacing w:line="560" w:lineRule="exact"/>
        <w:ind w:firstLine="720"/>
        <w:rPr>
          <w:rFonts w:ascii="仿宋_GB2312" w:hAnsi="宋体"/>
          <w:sz w:val="32"/>
          <w:szCs w:val="32"/>
          <w:lang w:val="zh-CN"/>
        </w:rPr>
      </w:pPr>
      <w:r>
        <w:rPr>
          <w:rFonts w:hint="eastAsia" w:ascii="楷体_GB2312" w:hAnsi="宋体" w:eastAsia="楷体_GB2312"/>
          <w:sz w:val="32"/>
          <w:szCs w:val="32"/>
          <w:lang w:val="zh-CN"/>
        </w:rPr>
        <w:t>1．资金计划及到位。</w:t>
      </w:r>
      <w:r>
        <w:rPr>
          <w:rFonts w:hint="eastAsia" w:ascii="仿宋_GB2312" w:hAnsi="宋体"/>
          <w:sz w:val="32"/>
          <w:szCs w:val="32"/>
          <w:lang w:val="zh-CN"/>
        </w:rPr>
        <w:t>该项目资金计划及截止评价时点实际到位</w:t>
      </w:r>
      <w:r>
        <w:rPr>
          <w:rFonts w:hint="eastAsia" w:ascii="仿宋_GB2312" w:hAnsi="宋体"/>
          <w:sz w:val="32"/>
          <w:szCs w:val="32"/>
          <w:lang w:val="en-US" w:eastAsia="zh-CN"/>
        </w:rPr>
        <w:t>4.93</w:t>
      </w:r>
      <w:r>
        <w:rPr>
          <w:rFonts w:hint="eastAsia" w:ascii="仿宋_GB2312" w:hAnsi="宋体"/>
          <w:sz w:val="32"/>
          <w:szCs w:val="32"/>
          <w:lang w:val="zh-CN"/>
        </w:rPr>
        <w:t>万元，为县级财政资金。</w:t>
      </w:r>
    </w:p>
    <w:p w14:paraId="663BBFEF">
      <w:pPr>
        <w:adjustRightInd w:val="0"/>
        <w:snapToGrid w:val="0"/>
        <w:spacing w:line="560" w:lineRule="exact"/>
        <w:ind w:firstLine="720"/>
        <w:rPr>
          <w:rFonts w:ascii="仿宋_GB2312" w:hAnsi="宋体"/>
          <w:sz w:val="32"/>
          <w:szCs w:val="32"/>
          <w:lang w:val="zh-CN"/>
        </w:rPr>
      </w:pPr>
      <w:r>
        <w:rPr>
          <w:rFonts w:hint="eastAsia" w:ascii="楷体_GB2312" w:hAnsi="宋体" w:eastAsia="楷体_GB2312"/>
          <w:sz w:val="32"/>
          <w:szCs w:val="32"/>
          <w:lang w:val="zh-CN"/>
        </w:rPr>
        <w:t>2．资金使用。</w:t>
      </w:r>
      <w:r>
        <w:rPr>
          <w:rFonts w:hint="eastAsia" w:ascii="仿宋_GB2312" w:hAnsi="宋体"/>
          <w:sz w:val="32"/>
          <w:szCs w:val="32"/>
          <w:lang w:val="zh-CN"/>
        </w:rPr>
        <w:t>截止评价时点项目资金的实际支出</w:t>
      </w:r>
      <w:r>
        <w:rPr>
          <w:rFonts w:hint="eastAsia" w:ascii="仿宋_GB2312" w:hAnsi="宋体"/>
          <w:sz w:val="32"/>
          <w:szCs w:val="32"/>
          <w:lang w:val="en-US" w:eastAsia="zh-CN"/>
        </w:rPr>
        <w:t>4.93</w:t>
      </w:r>
      <w:r>
        <w:rPr>
          <w:rFonts w:hint="eastAsia" w:ascii="仿宋_GB2312" w:hAnsi="宋体"/>
          <w:sz w:val="32"/>
          <w:szCs w:val="32"/>
          <w:lang w:val="zh-CN"/>
        </w:rPr>
        <w:t>万元，资金开支范围标准、支付进度、支付依据合规合法，资金支付与预算相符。</w:t>
      </w:r>
    </w:p>
    <w:p w14:paraId="7581D4F9">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14:paraId="432CA276">
      <w:pPr>
        <w:adjustRightInd w:val="0"/>
        <w:snapToGrid w:val="0"/>
        <w:spacing w:line="560" w:lineRule="exact"/>
        <w:ind w:firstLine="720"/>
        <w:rPr>
          <w:rFonts w:ascii="仿宋_GB2312" w:hAnsi="宋体"/>
          <w:sz w:val="32"/>
          <w:szCs w:val="32"/>
          <w:lang w:val="zh-CN"/>
        </w:rPr>
      </w:pPr>
      <w:r>
        <w:rPr>
          <w:rFonts w:hint="eastAsia" w:ascii="仿宋_GB2312" w:hAnsi="宋体"/>
          <w:sz w:val="32"/>
          <w:szCs w:val="32"/>
          <w:lang w:val="zh-CN"/>
        </w:rPr>
        <w:t>办公室组织机构健全，职责分工明确，制定了实施方案或计划，按计划实施各项工作，有明确的工作流程和岗位职责，办公条件能够有效保障，资金能足额保证，具有必要的应急管理方案，有针对突发事件或未知风险的应急措施。</w:t>
      </w:r>
    </w:p>
    <w:p w14:paraId="34E95224">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14:paraId="356B5767">
      <w:pPr>
        <w:adjustRightInd w:val="0"/>
        <w:snapToGrid w:val="0"/>
        <w:spacing w:line="560" w:lineRule="exact"/>
        <w:ind w:firstLine="720"/>
        <w:rPr>
          <w:rFonts w:ascii="仿宋_GB2312" w:hAnsi="宋体"/>
          <w:sz w:val="32"/>
          <w:szCs w:val="32"/>
          <w:lang w:val="zh-CN"/>
        </w:rPr>
      </w:pPr>
      <w:r>
        <w:rPr>
          <w:rFonts w:hint="eastAsia" w:ascii="仿宋" w:hAnsi="仿宋" w:eastAsia="仿宋"/>
          <w:sz w:val="32"/>
          <w:szCs w:val="32"/>
        </w:rPr>
        <w:t>政府组织机构健全，职责分工明确，制定了实施方案或计划，按计划实施全县政府工作，有明确的工作程序，基础设施条件能够有效保障，资金能足额保证，具有必要的控制措施或手段，有针对突发事件或未知风险的应急措施。</w:t>
      </w:r>
    </w:p>
    <w:p w14:paraId="2A44AC9E">
      <w:pPr>
        <w:adjustRightInd w:val="0"/>
        <w:snapToGrid w:val="0"/>
        <w:spacing w:line="560" w:lineRule="exact"/>
        <w:ind w:firstLine="720"/>
        <w:rPr>
          <w:rFonts w:ascii="仿宋_GB2312" w:hAnsi="宋体"/>
          <w:sz w:val="32"/>
          <w:szCs w:val="32"/>
          <w:lang w:val="zh-CN"/>
        </w:rPr>
      </w:pPr>
      <w:r>
        <w:rPr>
          <w:rFonts w:hint="eastAsia" w:ascii="黑体" w:hAnsi="宋体" w:eastAsia="黑体"/>
          <w:sz w:val="32"/>
          <w:szCs w:val="32"/>
        </w:rPr>
        <w:t>三、项目绩效情况</w:t>
      </w:r>
      <w:r>
        <w:rPr>
          <w:rFonts w:hint="eastAsia" w:ascii="仿宋_GB2312" w:hAnsi="宋体"/>
          <w:sz w:val="32"/>
          <w:szCs w:val="32"/>
          <w:lang w:val="zh-CN"/>
        </w:rPr>
        <w:tab/>
      </w:r>
    </w:p>
    <w:p w14:paraId="2D1588B3">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14:paraId="5E35AF81">
      <w:pPr>
        <w:adjustRightInd w:val="0"/>
        <w:snapToGrid w:val="0"/>
        <w:spacing w:line="560" w:lineRule="exact"/>
        <w:ind w:firstLine="720"/>
        <w:rPr>
          <w:rFonts w:ascii="楷体_GB2312" w:hAnsi="宋体" w:eastAsia="楷体_GB2312"/>
          <w:b/>
          <w:sz w:val="32"/>
          <w:szCs w:val="32"/>
          <w:lang w:val="zh-CN"/>
        </w:rPr>
      </w:pPr>
      <w:r>
        <w:rPr>
          <w:rFonts w:hint="eastAsia" w:ascii="仿宋_GB2312" w:hAnsi="宋体"/>
          <w:sz w:val="32"/>
          <w:szCs w:val="32"/>
          <w:lang w:val="zh-CN"/>
        </w:rPr>
        <w:t>项目按期完成，</w:t>
      </w:r>
      <w:r>
        <w:rPr>
          <w:rFonts w:hint="eastAsia" w:ascii="宋体" w:hAnsi="宋体"/>
          <w:sz w:val="32"/>
          <w:szCs w:val="32"/>
        </w:rPr>
        <w:t>项目资金无结余</w:t>
      </w:r>
      <w:r>
        <w:rPr>
          <w:rFonts w:hint="eastAsia" w:ascii="仿宋_GB2312" w:hAnsi="宋体"/>
          <w:sz w:val="32"/>
          <w:szCs w:val="32"/>
          <w:lang w:val="zh-CN"/>
        </w:rPr>
        <w:t>，成本有效控制。</w:t>
      </w:r>
    </w:p>
    <w:p w14:paraId="18B815DC">
      <w:pPr>
        <w:adjustRightInd w:val="0"/>
        <w:snapToGrid w:val="0"/>
        <w:spacing w:line="560" w:lineRule="exact"/>
        <w:ind w:firstLine="720"/>
        <w:rPr>
          <w:rFonts w:hint="eastAsia" w:ascii="仿宋" w:hAnsi="仿宋" w:eastAsia="仿宋" w:cs="Arial"/>
          <w:color w:val="333333"/>
          <w:sz w:val="32"/>
          <w:szCs w:val="32"/>
        </w:rPr>
      </w:pPr>
      <w:r>
        <w:rPr>
          <w:rFonts w:hint="eastAsia" w:ascii="楷体_GB2312" w:hAnsi="宋体" w:eastAsia="楷体_GB2312"/>
          <w:b/>
          <w:sz w:val="32"/>
          <w:szCs w:val="32"/>
          <w:lang w:val="zh-CN"/>
        </w:rPr>
        <w:t>（二）项目效益情况。</w:t>
      </w:r>
      <w:r>
        <w:rPr>
          <w:rFonts w:ascii="仿宋" w:hAnsi="仿宋" w:eastAsia="仿宋" w:cs="Arial"/>
          <w:color w:val="333333"/>
          <w:sz w:val="32"/>
          <w:szCs w:val="32"/>
        </w:rPr>
        <w:t>国家根据国防需要，动员和组织群众采取防护措施，防范和减轻空袭危害。人民防空实行长期准备、重点建设、平战结合的方针，贯彻与经济建设协调发展、与城市建设</w:t>
      </w:r>
      <w:r>
        <w:rPr>
          <w:rFonts w:hint="eastAsia" w:ascii="仿宋" w:hAnsi="仿宋" w:eastAsia="仿宋" w:cs="Arial"/>
          <w:color w:val="333333"/>
          <w:sz w:val="32"/>
          <w:szCs w:val="32"/>
        </w:rPr>
        <w:t>相结合</w:t>
      </w:r>
      <w:r>
        <w:rPr>
          <w:rFonts w:ascii="仿宋" w:hAnsi="仿宋" w:eastAsia="仿宋" w:cs="Arial"/>
          <w:color w:val="333333"/>
          <w:sz w:val="32"/>
          <w:szCs w:val="32"/>
        </w:rPr>
        <w:t>。</w:t>
      </w:r>
    </w:p>
    <w:p w14:paraId="6636E064">
      <w:pPr>
        <w:adjustRightInd w:val="0"/>
        <w:snapToGrid w:val="0"/>
        <w:spacing w:line="560" w:lineRule="exact"/>
        <w:ind w:firstLine="720"/>
        <w:rPr>
          <w:rFonts w:ascii="黑体" w:hAnsi="宋体" w:eastAsia="黑体"/>
          <w:sz w:val="32"/>
          <w:szCs w:val="32"/>
        </w:rPr>
      </w:pPr>
      <w:r>
        <w:rPr>
          <w:rFonts w:hint="eastAsia" w:ascii="黑体" w:hAnsi="宋体" w:eastAsia="黑体"/>
          <w:sz w:val="32"/>
          <w:szCs w:val="32"/>
        </w:rPr>
        <w:t>四、问题及建议</w:t>
      </w:r>
    </w:p>
    <w:p w14:paraId="0D7B8244">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（一）存在的问题。无</w:t>
      </w:r>
    </w:p>
    <w:p w14:paraId="17586A62">
      <w:pPr>
        <w:adjustRightInd w:val="0"/>
        <w:snapToGrid w:val="0"/>
        <w:spacing w:line="560" w:lineRule="exact"/>
        <w:ind w:firstLine="720"/>
        <w:rPr>
          <w:sz w:val="32"/>
          <w:szCs w:val="32"/>
        </w:rPr>
      </w:pPr>
      <w:r>
        <w:rPr>
          <w:rFonts w:hint="eastAsia" w:ascii="楷体_GB2312" w:hAnsi="宋体" w:eastAsia="楷体_GB2312"/>
          <w:b/>
          <w:sz w:val="32"/>
          <w:szCs w:val="32"/>
          <w:lang w:val="zh-CN"/>
        </w:rPr>
        <w:t>（二）相关建议。</w:t>
      </w:r>
      <w:r>
        <w:rPr>
          <w:rFonts w:hint="eastAsia" w:ascii="仿宋_GB2312" w:hAnsi="宋体"/>
          <w:sz w:val="32"/>
          <w:szCs w:val="32"/>
          <w:lang w:val="zh-CN"/>
        </w:rPr>
        <w:t>无</w:t>
      </w:r>
    </w:p>
    <w:p w14:paraId="00E63A92">
      <w:pPr>
        <w:adjustRightInd w:val="0"/>
        <w:snapToGrid w:val="0"/>
        <w:spacing w:line="520" w:lineRule="exact"/>
        <w:ind w:firstLine="643" w:firstLineChars="200"/>
        <w:rPr>
          <w:rFonts w:hint="eastAsia" w:ascii="仿宋_GB2312" w:hAnsi="宋体" w:eastAsia="仿宋_GB2312"/>
          <w:b/>
          <w:bCs/>
          <w:sz w:val="32"/>
          <w:szCs w:val="32"/>
        </w:rPr>
      </w:pPr>
    </w:p>
    <w:p w14:paraId="7E1C4B05">
      <w:pPr>
        <w:adjustRightInd w:val="0"/>
        <w:snapToGrid w:val="0"/>
        <w:spacing w:line="560" w:lineRule="exact"/>
        <w:ind w:firstLine="720"/>
        <w:rPr>
          <w:rFonts w:hint="default" w:ascii="Times New Roman" w:hAnsi="Times New Roman" w:eastAsia="仿宋_GB2312" w:cs="Times New Roman"/>
          <w:color w:val="191919"/>
          <w:kern w:val="2"/>
          <w:sz w:val="32"/>
          <w:szCs w:val="32"/>
          <w:shd w:val="clear" w:color="auto" w:fill="FFFFFF"/>
          <w:lang w:val="zh-CN" w:eastAsia="zh-CN" w:bidi="ar-SA"/>
        </w:rPr>
      </w:pPr>
    </w:p>
    <w:p w14:paraId="3EBBE93B">
      <w:pPr>
        <w:adjustRightInd w:val="0"/>
        <w:snapToGrid w:val="0"/>
        <w:spacing w:line="560" w:lineRule="exact"/>
        <w:ind w:firstLine="720"/>
        <w:rPr>
          <w:rFonts w:hint="default" w:ascii="Times New Roman" w:hAnsi="Times New Roman" w:eastAsia="仿宋_GB2312" w:cs="Times New Roman"/>
          <w:color w:val="191919"/>
          <w:kern w:val="2"/>
          <w:sz w:val="32"/>
          <w:szCs w:val="32"/>
          <w:shd w:val="clear" w:color="auto" w:fill="FFFFFF"/>
          <w:lang w:val="zh-CN" w:eastAsia="zh-CN" w:bidi="ar-SA"/>
        </w:rPr>
      </w:pPr>
    </w:p>
    <w:p w14:paraId="3BDBBF73">
      <w:pPr>
        <w:adjustRightInd w:val="0"/>
        <w:snapToGrid w:val="0"/>
        <w:spacing w:line="560" w:lineRule="exact"/>
        <w:ind w:firstLine="720"/>
        <w:rPr>
          <w:rFonts w:hint="default" w:ascii="Times New Roman" w:hAnsi="Times New Roman" w:eastAsia="仿宋_GB2312" w:cs="Times New Roman"/>
          <w:color w:val="191919"/>
          <w:kern w:val="2"/>
          <w:sz w:val="32"/>
          <w:szCs w:val="32"/>
          <w:shd w:val="clear" w:color="auto" w:fill="FFFFFF"/>
          <w:lang w:val="zh-CN" w:eastAsia="zh-CN" w:bidi="ar-SA"/>
        </w:rPr>
      </w:pPr>
    </w:p>
    <w:p w14:paraId="1941994C">
      <w:pPr>
        <w:pStyle w:val="34"/>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lang w:val="en-US"/>
        </w:rPr>
        <w:t>年</w:t>
      </w:r>
      <w:r>
        <w:rPr>
          <w:rFonts w:hint="eastAsia" w:ascii="方正小标宋简体" w:hAnsi="方正小标宋简体" w:eastAsia="方正小标宋简体" w:cs="方正小标宋简体"/>
          <w:sz w:val="44"/>
          <w:szCs w:val="44"/>
        </w:rPr>
        <w:t>专项预算项目支出</w:t>
      </w:r>
    </w:p>
    <w:p w14:paraId="4C506507">
      <w:pPr>
        <w:pStyle w:val="34"/>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绩效自评报告范本</w:t>
      </w:r>
    </w:p>
    <w:p w14:paraId="2C750D07">
      <w:pPr>
        <w:pStyle w:val="34"/>
        <w:spacing w:line="560" w:lineRule="exact"/>
        <w:ind w:firstLine="640"/>
        <w:jc w:val="center"/>
        <w:rPr>
          <w:rFonts w:hint="eastAsia" w:ascii="宋体" w:hAnsi="宋体" w:eastAsia="宋体" w:cs="宋体"/>
          <w:color w:val="auto"/>
          <w:kern w:val="2"/>
          <w:sz w:val="32"/>
          <w:szCs w:val="32"/>
        </w:rPr>
      </w:pPr>
    </w:p>
    <w:p w14:paraId="47EB2C46">
      <w:pPr>
        <w:adjustRightInd w:val="0"/>
        <w:snapToGrid w:val="0"/>
        <w:spacing w:line="560" w:lineRule="exact"/>
        <w:ind w:firstLine="72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14:paraId="313EE809">
      <w:pPr>
        <w:pStyle w:val="13"/>
        <w:shd w:val="clear" w:color="auto" w:fill="FFFFFF"/>
        <w:spacing w:before="0" w:beforeAutospacing="0" w:after="225" w:afterAutospacing="0" w:line="360" w:lineRule="atLeast"/>
        <w:ind w:firstLine="480"/>
        <w:rPr>
          <w:rFonts w:hint="eastAsia" w:ascii="宋体" w:hAnsi="宋体" w:eastAsia="宋体" w:cs="宋体"/>
          <w:color w:val="333333"/>
          <w:sz w:val="32"/>
          <w:szCs w:val="32"/>
        </w:rPr>
      </w:pPr>
      <w:r>
        <w:rPr>
          <w:rFonts w:hint="eastAsia" w:ascii="宋体" w:hAnsi="宋体" w:eastAsia="宋体" w:cs="宋体"/>
          <w:color w:val="333333"/>
          <w:sz w:val="32"/>
          <w:szCs w:val="32"/>
          <w:shd w:val="clear" w:color="auto" w:fill="FFFFFF"/>
        </w:rPr>
        <w:t>《中华人民共和国人民防空法》</w:t>
      </w:r>
      <w:r>
        <w:rPr>
          <w:rFonts w:hint="eastAsia" w:ascii="宋体" w:hAnsi="宋体" w:eastAsia="宋体" w:cs="宋体"/>
          <w:color w:val="333333"/>
          <w:sz w:val="32"/>
          <w:szCs w:val="32"/>
        </w:rPr>
        <w:t>第四条 “人民防空经费由国家和社会共同负担。中央负担的人民防空经费，列入中央预算;县级以上地方各级人民政府负担的人民防空经费，列入地方各级预算”。</w:t>
      </w:r>
    </w:p>
    <w:p w14:paraId="5085E5F4">
      <w:pPr>
        <w:adjustRightInd w:val="0"/>
        <w:snapToGrid w:val="0"/>
        <w:spacing w:line="560" w:lineRule="exact"/>
        <w:ind w:firstLine="720"/>
        <w:rPr>
          <w:rFonts w:hint="eastAsia" w:ascii="宋体" w:hAnsi="宋体" w:eastAsia="宋体" w:cs="宋体"/>
          <w:sz w:val="32"/>
          <w:szCs w:val="32"/>
          <w:lang w:val="zh-CN"/>
        </w:rPr>
      </w:pPr>
      <w:r>
        <w:rPr>
          <w:rFonts w:hint="eastAsia" w:ascii="宋体" w:hAnsi="宋体" w:eastAsia="宋体" w:cs="宋体"/>
          <w:b/>
          <w:sz w:val="32"/>
          <w:szCs w:val="32"/>
          <w:lang w:val="zh-CN"/>
        </w:rPr>
        <w:t>（一）项目资金申报及批复情况。</w:t>
      </w:r>
      <w:r>
        <w:rPr>
          <w:rFonts w:hint="eastAsia" w:ascii="宋体" w:hAnsi="宋体" w:eastAsia="宋体" w:cs="宋体"/>
          <w:sz w:val="32"/>
          <w:szCs w:val="32"/>
          <w:lang w:val="zh-CN"/>
        </w:rPr>
        <w:t>财政调整预算资金</w:t>
      </w:r>
      <w:r>
        <w:rPr>
          <w:rFonts w:hint="eastAsia" w:ascii="宋体" w:hAnsi="宋体" w:eastAsia="宋体" w:cs="宋体"/>
          <w:sz w:val="32"/>
          <w:szCs w:val="32"/>
          <w:lang w:val="en-US" w:eastAsia="zh-CN"/>
        </w:rPr>
        <w:t>287.63</w:t>
      </w:r>
      <w:r>
        <w:rPr>
          <w:rFonts w:hint="eastAsia" w:ascii="宋体" w:hAnsi="宋体" w:eastAsia="宋体" w:cs="宋体"/>
          <w:sz w:val="32"/>
          <w:szCs w:val="32"/>
          <w:lang w:val="zh-CN"/>
        </w:rPr>
        <w:t>万元。</w:t>
      </w:r>
    </w:p>
    <w:p w14:paraId="222A9B22">
      <w:pPr>
        <w:widowControl/>
        <w:pBdr>
          <w:bottom w:val="single" w:color="FFFFFF" w:sz="8" w:space="10"/>
        </w:pBdr>
        <w:shd w:val="clear" w:color="auto" w:fill="FFFFFF"/>
        <w:spacing w:line="480" w:lineRule="exact"/>
        <w:ind w:firstLine="641"/>
        <w:jc w:val="left"/>
        <w:textAlignment w:val="top"/>
        <w:rPr>
          <w:rFonts w:hint="eastAsia" w:ascii="宋体" w:hAnsi="宋体" w:eastAsia="宋体" w:cs="宋体"/>
          <w:color w:val="333333"/>
          <w:kern w:val="0"/>
          <w:sz w:val="32"/>
          <w:szCs w:val="32"/>
        </w:rPr>
      </w:pPr>
      <w:r>
        <w:rPr>
          <w:rFonts w:hint="eastAsia" w:ascii="宋体" w:hAnsi="宋体" w:eastAsia="宋体" w:cs="宋体"/>
          <w:b/>
          <w:sz w:val="32"/>
          <w:szCs w:val="32"/>
          <w:lang w:val="zh-CN"/>
        </w:rPr>
        <w:t>（二）项目绩效目标。</w:t>
      </w:r>
      <w:r>
        <w:rPr>
          <w:rFonts w:hint="eastAsia" w:ascii="宋体" w:hAnsi="宋体" w:eastAsia="宋体" w:cs="宋体"/>
          <w:color w:val="000000"/>
          <w:kern w:val="0"/>
          <w:sz w:val="32"/>
          <w:szCs w:val="32"/>
        </w:rPr>
        <w:t>“十四五”期间，全县经济社会发展的总体目标是：到2025年，全县生态环境更加优美，经济质效更加</w:t>
      </w:r>
      <w:r>
        <w:rPr>
          <w:rFonts w:hint="eastAsia" w:ascii="宋体" w:hAnsi="宋体" w:eastAsia="宋体" w:cs="宋体"/>
          <w:color w:val="333333"/>
          <w:kern w:val="0"/>
          <w:sz w:val="32"/>
          <w:szCs w:val="32"/>
        </w:rPr>
        <w:t>良好，</w:t>
      </w:r>
      <w:r>
        <w:rPr>
          <w:rFonts w:hint="eastAsia" w:ascii="宋体" w:hAnsi="宋体" w:eastAsia="宋体" w:cs="宋体"/>
          <w:color w:val="000000"/>
          <w:kern w:val="0"/>
          <w:sz w:val="32"/>
          <w:szCs w:val="32"/>
        </w:rPr>
        <w:t>发展活力更加强劲，人民生活更加幸福，社会风尚更加文明，社会治理更加有效，</w:t>
      </w:r>
      <w:r>
        <w:rPr>
          <w:rFonts w:hint="eastAsia" w:ascii="宋体" w:hAnsi="宋体" w:eastAsia="宋体" w:cs="宋体"/>
          <w:color w:val="333333"/>
          <w:kern w:val="0"/>
          <w:sz w:val="32"/>
          <w:szCs w:val="32"/>
        </w:rPr>
        <w:t>力争</w:t>
      </w:r>
      <w:r>
        <w:rPr>
          <w:rFonts w:hint="eastAsia" w:ascii="宋体" w:hAnsi="宋体" w:eastAsia="宋体" w:cs="宋体"/>
          <w:color w:val="000000"/>
          <w:kern w:val="0"/>
          <w:sz w:val="32"/>
          <w:szCs w:val="32"/>
        </w:rPr>
        <w:t>全县地区生产总值（GDP）达到45.4亿元，年均增长7%，经济总量位居全州第一方阵，建成</w:t>
      </w:r>
      <w:r>
        <w:rPr>
          <w:rFonts w:hint="eastAsia" w:ascii="宋体" w:hAnsi="宋体" w:eastAsia="宋体" w:cs="宋体"/>
          <w:color w:val="333333"/>
          <w:kern w:val="0"/>
          <w:sz w:val="32"/>
          <w:szCs w:val="32"/>
        </w:rPr>
        <w:t>全省</w:t>
      </w:r>
      <w:r>
        <w:rPr>
          <w:rFonts w:hint="eastAsia" w:ascii="宋体" w:hAnsi="宋体" w:eastAsia="宋体" w:cs="宋体"/>
          <w:color w:val="000000"/>
          <w:kern w:val="0"/>
          <w:sz w:val="32"/>
          <w:szCs w:val="32"/>
        </w:rPr>
        <w:t>民族地区生态经济强县；地方一般公共预算收入突破2.16亿元，年均增长7%；</w:t>
      </w:r>
      <w:r>
        <w:rPr>
          <w:rFonts w:hint="eastAsia" w:ascii="宋体" w:hAnsi="宋体" w:eastAsia="宋体" w:cs="宋体"/>
          <w:color w:val="333333"/>
          <w:kern w:val="0"/>
          <w:sz w:val="32"/>
          <w:szCs w:val="32"/>
        </w:rPr>
        <w:t>城乡居民人均可支配收入达</w:t>
      </w:r>
      <w:r>
        <w:rPr>
          <w:rFonts w:hint="eastAsia" w:ascii="宋体" w:hAnsi="宋体" w:eastAsia="宋体" w:cs="宋体"/>
          <w:color w:val="000000"/>
          <w:kern w:val="0"/>
          <w:sz w:val="32"/>
          <w:szCs w:val="32"/>
        </w:rPr>
        <w:t>54950元、24665元，年均增长8.3%、9.5%；旅游接待人次和旅游总收入分别突破1000万人次和150亿元，年均增长26.3%、26.4%，基本建成世界休闲度假旅游目的地、全国生态文明建设示范地、全国民族地区改革开放新高地，全面建成全国民族地区绿色发展脱贫奔小康的典范。</w:t>
      </w:r>
    </w:p>
    <w:p w14:paraId="02F359D8">
      <w:pPr>
        <w:adjustRightInd w:val="0"/>
        <w:snapToGrid w:val="0"/>
        <w:spacing w:line="560" w:lineRule="exact"/>
        <w:ind w:firstLine="720"/>
        <w:rPr>
          <w:rFonts w:hint="eastAsia" w:ascii="宋体" w:hAnsi="宋体" w:eastAsia="宋体" w:cs="宋体"/>
          <w:sz w:val="32"/>
          <w:szCs w:val="32"/>
          <w:lang w:val="zh-CN"/>
        </w:rPr>
      </w:pPr>
      <w:r>
        <w:rPr>
          <w:rFonts w:hint="eastAsia" w:ascii="宋体" w:hAnsi="宋体" w:eastAsia="宋体" w:cs="宋体"/>
          <w:color w:val="000000"/>
          <w:sz w:val="32"/>
          <w:szCs w:val="32"/>
          <w:shd w:val="clear" w:color="auto" w:fill="FFFFFF"/>
        </w:rPr>
        <w:t>政府要做的八大工作：一、加大生态保护力度，树立生态文明建设新标杆，二、优化现代产业体系，厚植县域经济发展新动能，三、发挥核心带动作用，构建全域旅游发展新格局，四、突出投资消费拉动，适应供需关系变化新常态，五、统筹城乡一体发展，开启乡村振兴战略新征程，</w:t>
      </w:r>
      <w:r>
        <w:rPr>
          <w:rFonts w:hint="eastAsia" w:ascii="宋体" w:hAnsi="宋体" w:eastAsia="宋体" w:cs="宋体"/>
          <w:color w:val="333333"/>
          <w:sz w:val="32"/>
          <w:szCs w:val="32"/>
          <w:shd w:val="clear" w:color="auto" w:fill="FFFFFF"/>
        </w:rPr>
        <w:t>六、补齐民生事业短板，满足群众美好生活新期盼，七、扩大社会治理成果，夺取平安九寨建设新胜利，</w:t>
      </w:r>
      <w:r>
        <w:rPr>
          <w:rFonts w:hint="eastAsia" w:ascii="宋体" w:hAnsi="宋体" w:eastAsia="宋体" w:cs="宋体"/>
          <w:color w:val="000000"/>
          <w:sz w:val="32"/>
          <w:szCs w:val="32"/>
          <w:shd w:val="clear" w:color="auto" w:fill="FFFFFF"/>
        </w:rPr>
        <w:t>八、提升行政服务水平，彰显政府自身建设新气象。</w:t>
      </w:r>
    </w:p>
    <w:p w14:paraId="734E00D8">
      <w:pPr>
        <w:adjustRightInd w:val="0"/>
        <w:snapToGrid w:val="0"/>
        <w:spacing w:line="560" w:lineRule="exact"/>
        <w:ind w:firstLine="720"/>
        <w:rPr>
          <w:rFonts w:hint="eastAsia" w:ascii="宋体" w:hAnsi="宋体" w:eastAsia="宋体" w:cs="宋体"/>
          <w:sz w:val="32"/>
          <w:szCs w:val="32"/>
          <w:lang w:val="zh-CN"/>
        </w:rPr>
      </w:pPr>
      <w:r>
        <w:rPr>
          <w:rFonts w:hint="eastAsia" w:ascii="宋体" w:hAnsi="宋体" w:eastAsia="宋体" w:cs="宋体"/>
          <w:b/>
          <w:sz w:val="32"/>
          <w:szCs w:val="32"/>
          <w:lang w:val="zh-CN"/>
        </w:rPr>
        <w:t>（三）项目资金申报相符性。</w:t>
      </w:r>
      <w:r>
        <w:rPr>
          <w:rFonts w:hint="eastAsia" w:ascii="宋体" w:hAnsi="宋体" w:eastAsia="宋体" w:cs="宋体"/>
          <w:sz w:val="32"/>
          <w:szCs w:val="32"/>
          <w:lang w:val="zh-CN"/>
        </w:rPr>
        <w:t>项目申报内容与具体实施内容相符、申报目标合理可行。</w:t>
      </w:r>
    </w:p>
    <w:p w14:paraId="5C3B348C">
      <w:pPr>
        <w:adjustRightInd w:val="0"/>
        <w:snapToGrid w:val="0"/>
        <w:spacing w:line="560" w:lineRule="exact"/>
        <w:ind w:firstLine="720"/>
        <w:rPr>
          <w:rFonts w:hint="eastAsia" w:ascii="黑体" w:hAnsi="黑体" w:eastAsia="黑体" w:cs="黑体"/>
          <w:sz w:val="32"/>
          <w:szCs w:val="32"/>
        </w:rPr>
      </w:pPr>
      <w:r>
        <w:rPr>
          <w:rFonts w:hint="eastAsia" w:ascii="黑体" w:hAnsi="黑体" w:eastAsia="黑体" w:cs="黑体"/>
          <w:sz w:val="32"/>
          <w:szCs w:val="32"/>
        </w:rPr>
        <w:t>二、项目实施及管理情况</w:t>
      </w:r>
    </w:p>
    <w:p w14:paraId="15147E72">
      <w:pPr>
        <w:adjustRightInd w:val="0"/>
        <w:snapToGrid w:val="0"/>
        <w:spacing w:line="560" w:lineRule="exact"/>
        <w:ind w:firstLine="720"/>
        <w:rPr>
          <w:rFonts w:hint="eastAsia" w:ascii="宋体" w:hAnsi="宋体" w:eastAsia="宋体" w:cs="宋体"/>
          <w:b/>
          <w:sz w:val="32"/>
          <w:szCs w:val="32"/>
          <w:lang w:val="zh-CN"/>
        </w:rPr>
      </w:pPr>
      <w:r>
        <w:rPr>
          <w:rFonts w:hint="eastAsia" w:ascii="宋体" w:hAnsi="宋体" w:eastAsia="宋体" w:cs="宋体"/>
          <w:sz w:val="32"/>
          <w:szCs w:val="32"/>
          <w:lang w:val="zh-CN"/>
        </w:rPr>
        <w:tab/>
      </w:r>
      <w:r>
        <w:rPr>
          <w:rFonts w:hint="eastAsia" w:ascii="宋体" w:hAnsi="宋体" w:eastAsia="宋体" w:cs="宋体"/>
          <w:b/>
          <w:sz w:val="32"/>
          <w:szCs w:val="32"/>
          <w:lang w:val="zh-CN"/>
        </w:rPr>
        <w:t>（一）资金计划、到位及使用情况。</w:t>
      </w:r>
    </w:p>
    <w:p w14:paraId="2D45118C">
      <w:pPr>
        <w:adjustRightInd w:val="0"/>
        <w:snapToGrid w:val="0"/>
        <w:spacing w:line="560" w:lineRule="exact"/>
        <w:ind w:firstLine="720"/>
        <w:rPr>
          <w:rFonts w:hint="eastAsia" w:ascii="宋体" w:hAnsi="宋体" w:eastAsia="宋体" w:cs="宋体"/>
          <w:sz w:val="32"/>
          <w:szCs w:val="32"/>
          <w:lang w:val="zh-CN"/>
        </w:rPr>
      </w:pPr>
      <w:r>
        <w:rPr>
          <w:rFonts w:hint="eastAsia" w:ascii="宋体" w:hAnsi="宋体" w:eastAsia="宋体" w:cs="宋体"/>
          <w:sz w:val="32"/>
          <w:szCs w:val="32"/>
          <w:lang w:val="zh-CN"/>
        </w:rPr>
        <w:t>1．资金计划及到位。该项目资金计划及截止评价时点实际到位</w:t>
      </w:r>
      <w:r>
        <w:rPr>
          <w:rFonts w:hint="eastAsia" w:ascii="宋体" w:hAnsi="宋体" w:eastAsia="宋体" w:cs="宋体"/>
          <w:sz w:val="32"/>
          <w:szCs w:val="32"/>
          <w:lang w:val="en-US" w:eastAsia="zh-CN"/>
        </w:rPr>
        <w:t>287.63</w:t>
      </w:r>
      <w:r>
        <w:rPr>
          <w:rFonts w:hint="eastAsia" w:ascii="宋体" w:hAnsi="宋体" w:eastAsia="宋体" w:cs="宋体"/>
          <w:sz w:val="32"/>
          <w:szCs w:val="32"/>
          <w:lang w:val="zh-CN"/>
        </w:rPr>
        <w:t>万元，为县级财政资金。</w:t>
      </w:r>
    </w:p>
    <w:p w14:paraId="2D6EBED8">
      <w:pPr>
        <w:adjustRightInd w:val="0"/>
        <w:snapToGrid w:val="0"/>
        <w:spacing w:line="560" w:lineRule="exact"/>
        <w:ind w:firstLine="720"/>
        <w:rPr>
          <w:rFonts w:hint="eastAsia" w:ascii="宋体" w:hAnsi="宋体" w:eastAsia="宋体" w:cs="宋体"/>
          <w:sz w:val="32"/>
          <w:szCs w:val="32"/>
          <w:lang w:val="zh-CN"/>
        </w:rPr>
      </w:pPr>
      <w:r>
        <w:rPr>
          <w:rFonts w:hint="eastAsia" w:ascii="宋体" w:hAnsi="宋体" w:eastAsia="宋体" w:cs="宋体"/>
          <w:sz w:val="32"/>
          <w:szCs w:val="32"/>
          <w:lang w:val="zh-CN"/>
        </w:rPr>
        <w:t>2．资金使用。截止评价时点项目资金的实际支出</w:t>
      </w:r>
      <w:r>
        <w:rPr>
          <w:rFonts w:hint="eastAsia" w:ascii="宋体" w:hAnsi="宋体" w:eastAsia="宋体" w:cs="宋体"/>
          <w:sz w:val="32"/>
          <w:szCs w:val="32"/>
          <w:lang w:val="en-US" w:eastAsia="zh-CN"/>
        </w:rPr>
        <w:t>287.63</w:t>
      </w:r>
      <w:r>
        <w:rPr>
          <w:rFonts w:hint="eastAsia" w:ascii="宋体" w:hAnsi="宋体" w:eastAsia="宋体" w:cs="宋体"/>
          <w:sz w:val="32"/>
          <w:szCs w:val="32"/>
          <w:lang w:val="zh-CN"/>
        </w:rPr>
        <w:t>万元，资金开支范围标准</w:t>
      </w:r>
      <w:r>
        <w:rPr>
          <w:rFonts w:hint="eastAsia" w:ascii="宋体" w:hAnsi="宋体" w:cs="宋体"/>
          <w:sz w:val="32"/>
          <w:szCs w:val="32"/>
          <w:lang w:val="zh-CN"/>
        </w:rPr>
        <w:t>、</w:t>
      </w:r>
      <w:r>
        <w:rPr>
          <w:rFonts w:hint="eastAsia" w:ascii="宋体" w:hAnsi="宋体" w:eastAsia="宋体" w:cs="宋体"/>
          <w:sz w:val="32"/>
          <w:szCs w:val="32"/>
          <w:lang w:val="zh-CN"/>
        </w:rPr>
        <w:t>支付进度</w:t>
      </w:r>
      <w:r>
        <w:rPr>
          <w:rFonts w:hint="eastAsia" w:ascii="宋体" w:hAnsi="宋体" w:cs="宋体"/>
          <w:sz w:val="32"/>
          <w:szCs w:val="32"/>
          <w:lang w:val="zh-CN"/>
        </w:rPr>
        <w:t>、</w:t>
      </w:r>
      <w:r>
        <w:rPr>
          <w:rFonts w:hint="eastAsia" w:ascii="宋体" w:hAnsi="宋体" w:eastAsia="宋体" w:cs="宋体"/>
          <w:sz w:val="32"/>
          <w:szCs w:val="32"/>
          <w:lang w:val="zh-CN"/>
        </w:rPr>
        <w:t>支付依据合规合法，资金支付与预算相符。</w:t>
      </w:r>
    </w:p>
    <w:p w14:paraId="2D2CE053">
      <w:pPr>
        <w:adjustRightInd w:val="0"/>
        <w:snapToGrid w:val="0"/>
        <w:spacing w:line="560" w:lineRule="exact"/>
        <w:ind w:firstLine="720"/>
        <w:rPr>
          <w:rFonts w:hint="eastAsia" w:ascii="宋体" w:hAnsi="宋体" w:eastAsia="宋体" w:cs="宋体"/>
          <w:b/>
          <w:sz w:val="32"/>
          <w:szCs w:val="32"/>
          <w:lang w:val="zh-CN"/>
        </w:rPr>
      </w:pPr>
      <w:r>
        <w:rPr>
          <w:rFonts w:hint="eastAsia" w:ascii="宋体" w:hAnsi="宋体" w:eastAsia="宋体" w:cs="宋体"/>
          <w:b/>
          <w:sz w:val="32"/>
          <w:szCs w:val="32"/>
          <w:lang w:val="zh-CN"/>
        </w:rPr>
        <w:t>（二）项目财务管理情况。</w:t>
      </w:r>
    </w:p>
    <w:p w14:paraId="3954F539">
      <w:pPr>
        <w:adjustRightInd w:val="0"/>
        <w:snapToGrid w:val="0"/>
        <w:spacing w:line="560" w:lineRule="exact"/>
        <w:ind w:firstLine="720"/>
        <w:rPr>
          <w:rFonts w:hint="eastAsia" w:ascii="宋体" w:hAnsi="宋体" w:eastAsia="宋体" w:cs="宋体"/>
          <w:sz w:val="32"/>
          <w:szCs w:val="32"/>
          <w:lang w:val="zh-CN"/>
        </w:rPr>
      </w:pPr>
      <w:r>
        <w:rPr>
          <w:rFonts w:hint="eastAsia" w:ascii="宋体" w:hAnsi="宋体" w:eastAsia="宋体" w:cs="宋体"/>
          <w:sz w:val="32"/>
          <w:szCs w:val="32"/>
          <w:lang w:val="zh-CN"/>
        </w:rPr>
        <w:t>办公室组织机构健全，职责分工明确，制定了实施方案或计划，按计划实施各项工作，有明确的工作流程和岗位职责，办公条件能够有效保障，资金能足额保证，具有必要的应急管理方案，有针对突发事件或未知风险的应急措施。</w:t>
      </w:r>
    </w:p>
    <w:p w14:paraId="49D7FB78">
      <w:pPr>
        <w:adjustRightInd w:val="0"/>
        <w:snapToGrid w:val="0"/>
        <w:spacing w:line="560" w:lineRule="exact"/>
        <w:ind w:firstLine="720"/>
        <w:rPr>
          <w:rFonts w:hint="eastAsia" w:ascii="宋体" w:hAnsi="宋体" w:eastAsia="宋体" w:cs="宋体"/>
          <w:b/>
          <w:sz w:val="32"/>
          <w:szCs w:val="32"/>
          <w:lang w:val="zh-CN"/>
        </w:rPr>
      </w:pPr>
      <w:r>
        <w:rPr>
          <w:rFonts w:hint="eastAsia" w:ascii="宋体" w:hAnsi="宋体" w:eastAsia="宋体" w:cs="宋体"/>
          <w:b/>
          <w:sz w:val="32"/>
          <w:szCs w:val="32"/>
          <w:lang w:val="zh-CN"/>
        </w:rPr>
        <w:t>（三）项目组织实施情况。</w:t>
      </w:r>
    </w:p>
    <w:p w14:paraId="3D05B7CD">
      <w:pPr>
        <w:adjustRightInd w:val="0"/>
        <w:snapToGrid w:val="0"/>
        <w:spacing w:line="560" w:lineRule="exact"/>
        <w:ind w:firstLine="720"/>
        <w:rPr>
          <w:rFonts w:hint="eastAsia" w:ascii="宋体" w:hAnsi="宋体" w:eastAsia="宋体" w:cs="宋体"/>
          <w:sz w:val="32"/>
          <w:szCs w:val="32"/>
          <w:lang w:val="zh-CN"/>
        </w:rPr>
      </w:pPr>
      <w:r>
        <w:rPr>
          <w:rFonts w:hint="eastAsia" w:ascii="宋体" w:hAnsi="宋体" w:eastAsia="宋体" w:cs="宋体"/>
          <w:sz w:val="32"/>
          <w:szCs w:val="32"/>
        </w:rPr>
        <w:t>政府组织机构健全，职责分工明确，制定了实施方案或计划，按计划实施全县政府工作，有明确的工作程序，基础设施条件能够有效保障，资金能足额保证，具有必要的控制措施或手段，有针对突发事件或未知风险的应急措施。</w:t>
      </w:r>
    </w:p>
    <w:p w14:paraId="67E93E39">
      <w:pPr>
        <w:adjustRightInd w:val="0"/>
        <w:snapToGrid w:val="0"/>
        <w:spacing w:line="560" w:lineRule="exact"/>
        <w:ind w:firstLine="720"/>
        <w:rPr>
          <w:rFonts w:hint="eastAsia" w:ascii="黑体" w:hAnsi="黑体" w:eastAsia="黑体" w:cs="黑体"/>
          <w:sz w:val="32"/>
          <w:szCs w:val="32"/>
          <w:lang w:val="zh-CN"/>
        </w:rPr>
      </w:pPr>
      <w:r>
        <w:rPr>
          <w:rFonts w:hint="eastAsia" w:ascii="黑体" w:hAnsi="黑体" w:eastAsia="黑体" w:cs="黑体"/>
          <w:sz w:val="32"/>
          <w:szCs w:val="32"/>
        </w:rPr>
        <w:t>三、项目绩效情况</w:t>
      </w:r>
      <w:r>
        <w:rPr>
          <w:rFonts w:hint="eastAsia" w:ascii="黑体" w:hAnsi="黑体" w:eastAsia="黑体" w:cs="黑体"/>
          <w:sz w:val="32"/>
          <w:szCs w:val="32"/>
          <w:lang w:val="zh-CN"/>
        </w:rPr>
        <w:tab/>
      </w:r>
    </w:p>
    <w:p w14:paraId="20E2C186">
      <w:pPr>
        <w:adjustRightInd w:val="0"/>
        <w:snapToGrid w:val="0"/>
        <w:spacing w:line="560" w:lineRule="exact"/>
        <w:ind w:firstLine="720"/>
        <w:rPr>
          <w:rFonts w:hint="eastAsia" w:ascii="宋体" w:hAnsi="宋体" w:eastAsia="宋体" w:cs="宋体"/>
          <w:b/>
          <w:sz w:val="32"/>
          <w:szCs w:val="32"/>
          <w:lang w:val="zh-CN"/>
        </w:rPr>
      </w:pPr>
      <w:r>
        <w:rPr>
          <w:rFonts w:hint="eastAsia" w:ascii="宋体" w:hAnsi="宋体" w:eastAsia="宋体" w:cs="宋体"/>
          <w:b/>
          <w:sz w:val="32"/>
          <w:szCs w:val="32"/>
          <w:lang w:val="zh-CN"/>
        </w:rPr>
        <w:t>（一）项目完成情况。</w:t>
      </w:r>
    </w:p>
    <w:p w14:paraId="7D93A96A">
      <w:pPr>
        <w:adjustRightInd w:val="0"/>
        <w:snapToGrid w:val="0"/>
        <w:spacing w:line="560" w:lineRule="exact"/>
        <w:ind w:firstLine="720"/>
        <w:rPr>
          <w:rFonts w:hint="eastAsia" w:ascii="宋体" w:hAnsi="宋体" w:eastAsia="宋体" w:cs="宋体"/>
          <w:b/>
          <w:sz w:val="32"/>
          <w:szCs w:val="32"/>
          <w:lang w:val="zh-CN"/>
        </w:rPr>
      </w:pPr>
      <w:r>
        <w:rPr>
          <w:rFonts w:hint="eastAsia" w:ascii="宋体" w:hAnsi="宋体" w:eastAsia="宋体" w:cs="宋体"/>
          <w:sz w:val="32"/>
          <w:szCs w:val="32"/>
          <w:lang w:val="zh-CN"/>
        </w:rPr>
        <w:t>项目按期完成，</w:t>
      </w:r>
      <w:r>
        <w:rPr>
          <w:rFonts w:hint="eastAsia" w:ascii="宋体" w:hAnsi="宋体" w:eastAsia="宋体" w:cs="宋体"/>
          <w:sz w:val="32"/>
          <w:szCs w:val="32"/>
        </w:rPr>
        <w:t>项目资金无结余</w:t>
      </w:r>
      <w:r>
        <w:rPr>
          <w:rFonts w:hint="eastAsia" w:ascii="宋体" w:hAnsi="宋体" w:eastAsia="宋体" w:cs="宋体"/>
          <w:sz w:val="32"/>
          <w:szCs w:val="32"/>
          <w:lang w:val="zh-CN"/>
        </w:rPr>
        <w:t>，成本有效控制。</w:t>
      </w:r>
    </w:p>
    <w:p w14:paraId="798DB385">
      <w:pPr>
        <w:widowControl/>
        <w:pBdr>
          <w:bottom w:val="single" w:color="FFFFFF" w:sz="8" w:space="10"/>
        </w:pBdr>
        <w:shd w:val="clear" w:color="auto" w:fill="FFFFFF"/>
        <w:spacing w:line="480" w:lineRule="exact"/>
        <w:ind w:firstLine="643" w:firstLineChars="200"/>
        <w:jc w:val="left"/>
        <w:textAlignment w:val="top"/>
        <w:rPr>
          <w:rFonts w:hint="eastAsia" w:ascii="宋体" w:hAnsi="宋体" w:eastAsia="宋体" w:cs="宋体"/>
          <w:color w:val="333333"/>
          <w:kern w:val="0"/>
          <w:sz w:val="32"/>
          <w:szCs w:val="32"/>
        </w:rPr>
      </w:pPr>
      <w:r>
        <w:rPr>
          <w:rFonts w:hint="eastAsia" w:ascii="宋体" w:hAnsi="宋体" w:eastAsia="宋体" w:cs="宋体"/>
          <w:b/>
          <w:sz w:val="32"/>
          <w:szCs w:val="32"/>
          <w:lang w:val="zh-CN"/>
        </w:rPr>
        <w:t>（二）项目效益情况。</w:t>
      </w:r>
      <w:r>
        <w:rPr>
          <w:rFonts w:hint="eastAsia" w:ascii="宋体" w:hAnsi="宋体" w:eastAsia="宋体" w:cs="宋体"/>
          <w:color w:val="000000"/>
          <w:kern w:val="0"/>
          <w:sz w:val="32"/>
          <w:szCs w:val="32"/>
        </w:rPr>
        <w:t>九寨沟县2035年的远景目标是：</w:t>
      </w:r>
      <w:r>
        <w:rPr>
          <w:rFonts w:hint="eastAsia" w:ascii="宋体" w:hAnsi="宋体" w:eastAsia="宋体" w:cs="宋体"/>
          <w:color w:val="333333"/>
          <w:kern w:val="0"/>
          <w:sz w:val="32"/>
          <w:szCs w:val="32"/>
        </w:rPr>
        <w:t>在“十四五”发展基础上，力争再用10年时间，与全国、全省同步基本实现社会主义现代化，</w:t>
      </w:r>
      <w:r>
        <w:rPr>
          <w:rFonts w:hint="eastAsia" w:ascii="宋体" w:hAnsi="宋体" w:eastAsia="宋体" w:cs="宋体"/>
          <w:color w:val="000000"/>
          <w:kern w:val="0"/>
          <w:sz w:val="32"/>
          <w:szCs w:val="32"/>
        </w:rPr>
        <w:t>全县地区生产总值</w:t>
      </w:r>
      <w:r>
        <w:rPr>
          <w:rFonts w:hint="eastAsia" w:ascii="宋体" w:hAnsi="宋体" w:eastAsia="宋体" w:cs="宋体"/>
          <w:color w:val="333333"/>
          <w:kern w:val="0"/>
          <w:sz w:val="32"/>
          <w:szCs w:val="32"/>
        </w:rPr>
        <w:t>比2020年翻一番，全面建成“三地一典范”。</w:t>
      </w:r>
      <w:r>
        <w:rPr>
          <w:rFonts w:hint="eastAsia" w:ascii="宋体" w:hAnsi="宋体" w:eastAsia="宋体" w:cs="宋体"/>
          <w:color w:val="000000"/>
          <w:kern w:val="0"/>
          <w:sz w:val="32"/>
          <w:szCs w:val="32"/>
        </w:rPr>
        <w:t>要实现这些目标，我们必须从以下几个方面持续用力。</w:t>
      </w:r>
    </w:p>
    <w:p w14:paraId="29698626">
      <w:pPr>
        <w:widowControl/>
        <w:pBdr>
          <w:bottom w:val="single" w:color="FFFFFF" w:sz="8" w:space="10"/>
        </w:pBdr>
        <w:shd w:val="clear" w:color="auto" w:fill="FFFFFF"/>
        <w:spacing w:line="480" w:lineRule="exact"/>
        <w:ind w:firstLine="640" w:firstLineChars="200"/>
        <w:jc w:val="left"/>
        <w:textAlignment w:val="top"/>
        <w:rPr>
          <w:rFonts w:hint="eastAsia" w:ascii="宋体" w:hAnsi="宋体" w:eastAsia="宋体" w:cs="宋体"/>
          <w:color w:val="333333"/>
          <w:kern w:val="0"/>
          <w:sz w:val="32"/>
          <w:szCs w:val="32"/>
        </w:rPr>
      </w:pPr>
      <w:r>
        <w:rPr>
          <w:rFonts w:hint="eastAsia" w:ascii="宋体" w:hAnsi="宋体" w:eastAsia="宋体" w:cs="宋体"/>
          <w:bCs/>
          <w:color w:val="000000"/>
          <w:kern w:val="0"/>
          <w:sz w:val="32"/>
          <w:szCs w:val="32"/>
        </w:rPr>
        <w:t>一是坚持生态为先，促进人与自然和谐共生。二是坚持产业为核，促进经济发展活力共聚。三是</w:t>
      </w:r>
      <w:r>
        <w:rPr>
          <w:rFonts w:hint="eastAsia" w:ascii="宋体" w:hAnsi="宋体" w:eastAsia="宋体" w:cs="宋体"/>
          <w:bCs/>
          <w:color w:val="333333"/>
          <w:kern w:val="0"/>
          <w:sz w:val="32"/>
          <w:szCs w:val="32"/>
        </w:rPr>
        <w:t>坚持发展为要，促进区域城乡协同共进。四是坚持民生为本，促进发展红利全民共享。五是</w:t>
      </w:r>
      <w:r>
        <w:rPr>
          <w:rFonts w:hint="eastAsia" w:ascii="宋体" w:hAnsi="宋体" w:eastAsia="宋体" w:cs="宋体"/>
          <w:bCs/>
          <w:color w:val="000000"/>
          <w:kern w:val="0"/>
          <w:sz w:val="32"/>
          <w:szCs w:val="32"/>
        </w:rPr>
        <w:t>坚持稳定为基，促进社会大局多元共治。</w:t>
      </w:r>
      <w:r>
        <w:rPr>
          <w:rFonts w:hint="eastAsia" w:ascii="宋体" w:hAnsi="宋体" w:eastAsia="宋体" w:cs="宋体"/>
          <w:color w:val="000000"/>
          <w:kern w:val="0"/>
          <w:sz w:val="32"/>
          <w:szCs w:val="32"/>
        </w:rPr>
        <w:t>把总体国家安全观贯穿经济社会发展各领域，努力维护社会大局和谐稳定。把法治建设贯穿社会治理全过程，推进自治、法治、德治“三治融合”。紧盯基层组织治理、社会治理等重点领域，突出乡村、城镇、景区等重点区域，建立健全环境整治、服务管理、共建共享共治等机制，凝聚各方力量，推进社会治理体系和治理能力现代化。完善防控机制，提升应急管理能力，着力防范化解重大风险，加快建设“平安九寨”。</w:t>
      </w:r>
    </w:p>
    <w:p w14:paraId="68FD6A2A">
      <w:pPr>
        <w:adjustRightInd w:val="0"/>
        <w:snapToGrid w:val="0"/>
        <w:spacing w:line="560" w:lineRule="exact"/>
        <w:ind w:firstLine="720"/>
        <w:rPr>
          <w:rFonts w:hint="eastAsia" w:ascii="黑体" w:hAnsi="黑体" w:eastAsia="黑体" w:cs="黑体"/>
          <w:sz w:val="32"/>
          <w:szCs w:val="32"/>
        </w:rPr>
      </w:pPr>
      <w:r>
        <w:rPr>
          <w:rFonts w:hint="eastAsia" w:ascii="黑体" w:hAnsi="黑体" w:eastAsia="黑体" w:cs="黑体"/>
          <w:sz w:val="32"/>
          <w:szCs w:val="32"/>
        </w:rPr>
        <w:t>四、问题及建议</w:t>
      </w:r>
    </w:p>
    <w:p w14:paraId="1EE63BD2">
      <w:pPr>
        <w:adjustRightInd w:val="0"/>
        <w:snapToGrid w:val="0"/>
        <w:spacing w:line="560" w:lineRule="exact"/>
        <w:ind w:firstLine="720"/>
        <w:rPr>
          <w:rFonts w:hint="eastAsia" w:ascii="宋体" w:hAnsi="宋体" w:eastAsia="宋体" w:cs="宋体"/>
          <w:b/>
          <w:sz w:val="32"/>
          <w:szCs w:val="32"/>
          <w:lang w:val="zh-CN"/>
        </w:rPr>
      </w:pPr>
      <w:r>
        <w:rPr>
          <w:rFonts w:hint="eastAsia" w:ascii="宋体" w:hAnsi="宋体" w:eastAsia="宋体" w:cs="宋体"/>
          <w:b/>
          <w:sz w:val="32"/>
          <w:szCs w:val="32"/>
          <w:lang w:val="zh-CN"/>
        </w:rPr>
        <w:t>（一）存在的问题。无</w:t>
      </w:r>
    </w:p>
    <w:p w14:paraId="0925820C">
      <w:pPr>
        <w:adjustRightInd w:val="0"/>
        <w:snapToGrid w:val="0"/>
        <w:spacing w:line="560" w:lineRule="exact"/>
        <w:ind w:firstLine="720"/>
        <w:rPr>
          <w:rFonts w:hint="eastAsia" w:ascii="宋体" w:hAnsi="宋体" w:eastAsia="宋体" w:cs="宋体"/>
          <w:sz w:val="32"/>
          <w:szCs w:val="32"/>
        </w:rPr>
      </w:pPr>
      <w:r>
        <w:rPr>
          <w:rFonts w:hint="eastAsia" w:ascii="宋体" w:hAnsi="宋体" w:eastAsia="宋体" w:cs="宋体"/>
          <w:b/>
          <w:sz w:val="32"/>
          <w:szCs w:val="32"/>
          <w:lang w:val="zh-CN"/>
        </w:rPr>
        <w:t>（二）相关建议。</w:t>
      </w:r>
      <w:r>
        <w:rPr>
          <w:rFonts w:hint="eastAsia" w:ascii="宋体" w:hAnsi="宋体" w:eastAsia="宋体" w:cs="宋体"/>
          <w:sz w:val="32"/>
          <w:szCs w:val="32"/>
          <w:lang w:val="zh-CN"/>
        </w:rPr>
        <w:t>无</w:t>
      </w:r>
    </w:p>
    <w:p w14:paraId="45FB54C9">
      <w:pPr>
        <w:pStyle w:val="34"/>
        <w:spacing w:line="560" w:lineRule="exact"/>
        <w:jc w:val="center"/>
        <w:rPr>
          <w:rFonts w:hint="default" w:ascii="Times New Roman" w:hAnsi="Times New Roman" w:cs="Times New Roman"/>
        </w:rPr>
      </w:pPr>
    </w:p>
    <w:p w14:paraId="16E1BDC2">
      <w:pPr>
        <w:rPr>
          <w:rFonts w:hint="default" w:ascii="Times New Roman" w:hAnsi="Times New Roman" w:eastAsia="黑体" w:cs="Times New Roman"/>
        </w:rPr>
      </w:pPr>
    </w:p>
    <w:p w14:paraId="422FD32C">
      <w:pPr>
        <w:rPr>
          <w:rFonts w:hint="default" w:ascii="Times New Roman" w:hAnsi="Times New Roman" w:eastAsia="黑体" w:cs="Times New Roman"/>
        </w:rPr>
      </w:pPr>
    </w:p>
    <w:p w14:paraId="37DA1105">
      <w:pPr>
        <w:rPr>
          <w:rFonts w:hint="default" w:ascii="Times New Roman" w:hAnsi="Times New Roman" w:eastAsia="黑体" w:cs="Times New Roman"/>
        </w:rPr>
      </w:pPr>
    </w:p>
    <w:p w14:paraId="2B4FC2D2">
      <w:pPr>
        <w:rPr>
          <w:rFonts w:hint="default" w:ascii="Times New Roman" w:hAnsi="Times New Roman" w:eastAsia="黑体" w:cs="Times New Roman"/>
        </w:rPr>
      </w:pPr>
    </w:p>
    <w:p w14:paraId="240B263C">
      <w:pPr>
        <w:rPr>
          <w:rFonts w:hint="default" w:ascii="Times New Roman" w:hAnsi="Times New Roman" w:eastAsia="黑体" w:cs="Times New Roman"/>
        </w:rPr>
      </w:pPr>
    </w:p>
    <w:p w14:paraId="40E2E7E7">
      <w:pPr>
        <w:pStyle w:val="2"/>
        <w:jc w:val="center"/>
        <w:rPr>
          <w:rFonts w:ascii="黑体" w:hAnsi="黑体" w:eastAsia="黑体"/>
        </w:rPr>
      </w:pPr>
      <w:bookmarkStart w:id="128" w:name="_GoBack"/>
      <w:bookmarkEnd w:id="128"/>
      <w:bookmarkStart w:id="124" w:name="_Toc1066"/>
      <w:bookmarkStart w:id="125" w:name="_Toc10188"/>
      <w:bookmarkStart w:id="126" w:name="_Toc3165"/>
      <w:bookmarkStart w:id="127" w:name="_Toc12989"/>
      <w:r>
        <w:rPr>
          <w:rFonts w:hint="eastAsia" w:ascii="黑体" w:hAnsi="黑体" w:eastAsia="黑体"/>
        </w:rPr>
        <w:t>第五部分 附表</w:t>
      </w:r>
      <w:bookmarkEnd w:id="124"/>
      <w:bookmarkEnd w:id="125"/>
      <w:bookmarkEnd w:id="126"/>
      <w:bookmarkEnd w:id="127"/>
    </w:p>
    <w:p w14:paraId="15C2BAFC">
      <w:pPr>
        <w:rPr>
          <w:rFonts w:ascii="仿宋" w:hAnsi="仿宋" w:eastAsia="仿宋"/>
          <w:sz w:val="32"/>
          <w:szCs w:val="32"/>
        </w:rPr>
      </w:pPr>
      <w:r>
        <w:rPr>
          <w:rFonts w:hint="eastAsia" w:ascii="仿宋" w:hAnsi="仿宋" w:eastAsia="仿宋"/>
          <w:sz w:val="32"/>
          <w:szCs w:val="32"/>
        </w:rPr>
        <w:t>一、收入支出决算总表</w:t>
      </w:r>
    </w:p>
    <w:p w14:paraId="0E1A5209">
      <w:pPr>
        <w:rPr>
          <w:rFonts w:ascii="仿宋" w:hAnsi="仿宋" w:eastAsia="仿宋"/>
          <w:sz w:val="32"/>
          <w:szCs w:val="32"/>
        </w:rPr>
      </w:pPr>
      <w:r>
        <w:rPr>
          <w:rFonts w:hint="eastAsia" w:ascii="仿宋" w:hAnsi="仿宋" w:eastAsia="仿宋"/>
          <w:sz w:val="32"/>
          <w:szCs w:val="32"/>
        </w:rPr>
        <w:t>二、收入决算表</w:t>
      </w:r>
    </w:p>
    <w:p w14:paraId="0681E804">
      <w:pPr>
        <w:rPr>
          <w:rFonts w:ascii="仿宋" w:hAnsi="仿宋" w:eastAsia="仿宋"/>
          <w:sz w:val="32"/>
          <w:szCs w:val="32"/>
        </w:rPr>
      </w:pPr>
      <w:r>
        <w:rPr>
          <w:rFonts w:hint="eastAsia" w:ascii="仿宋" w:hAnsi="仿宋" w:eastAsia="仿宋"/>
          <w:sz w:val="32"/>
          <w:szCs w:val="32"/>
        </w:rPr>
        <w:t>三、支出决算表</w:t>
      </w:r>
    </w:p>
    <w:p w14:paraId="0CAF380B">
      <w:pPr>
        <w:rPr>
          <w:rFonts w:ascii="仿宋" w:hAnsi="仿宋" w:eastAsia="仿宋"/>
          <w:sz w:val="32"/>
          <w:szCs w:val="32"/>
        </w:rPr>
      </w:pPr>
      <w:r>
        <w:rPr>
          <w:rFonts w:hint="eastAsia" w:ascii="仿宋" w:hAnsi="仿宋" w:eastAsia="仿宋"/>
          <w:sz w:val="32"/>
          <w:szCs w:val="32"/>
        </w:rPr>
        <w:t>四、财政拨款收入支出决算总表</w:t>
      </w:r>
    </w:p>
    <w:p w14:paraId="1ADC3771">
      <w:pPr>
        <w:rPr>
          <w:rFonts w:ascii="仿宋" w:hAnsi="仿宋" w:eastAsia="仿宋"/>
          <w:sz w:val="32"/>
          <w:szCs w:val="32"/>
        </w:rPr>
      </w:pPr>
      <w:r>
        <w:rPr>
          <w:rFonts w:hint="eastAsia" w:ascii="仿宋" w:hAnsi="仿宋" w:eastAsia="仿宋"/>
          <w:sz w:val="32"/>
          <w:szCs w:val="32"/>
        </w:rPr>
        <w:t>五、财政拨款支出决算明细表</w:t>
      </w:r>
    </w:p>
    <w:p w14:paraId="20348FEF">
      <w:pPr>
        <w:rPr>
          <w:rFonts w:ascii="仿宋" w:hAnsi="仿宋" w:eastAsia="仿宋"/>
          <w:sz w:val="32"/>
          <w:szCs w:val="32"/>
        </w:rPr>
      </w:pPr>
      <w:r>
        <w:rPr>
          <w:rFonts w:hint="eastAsia" w:ascii="仿宋" w:hAnsi="仿宋" w:eastAsia="仿宋"/>
          <w:sz w:val="32"/>
          <w:szCs w:val="32"/>
        </w:rPr>
        <w:t>六、一般公共预算财政拨款支出决算表</w:t>
      </w:r>
    </w:p>
    <w:p w14:paraId="3544DE21">
      <w:pPr>
        <w:rPr>
          <w:rFonts w:ascii="仿宋" w:hAnsi="仿宋" w:eastAsia="仿宋"/>
          <w:sz w:val="32"/>
          <w:szCs w:val="32"/>
        </w:rPr>
      </w:pPr>
      <w:r>
        <w:rPr>
          <w:rFonts w:hint="eastAsia" w:ascii="仿宋" w:hAnsi="仿宋" w:eastAsia="仿宋"/>
          <w:sz w:val="32"/>
          <w:szCs w:val="32"/>
        </w:rPr>
        <w:t>七、一般公共预算财政拨款支出决算明细表</w:t>
      </w:r>
    </w:p>
    <w:p w14:paraId="68DC305C">
      <w:pPr>
        <w:rPr>
          <w:rFonts w:ascii="仿宋" w:hAnsi="仿宋" w:eastAsia="仿宋"/>
          <w:sz w:val="32"/>
          <w:szCs w:val="32"/>
        </w:rPr>
      </w:pPr>
      <w:r>
        <w:rPr>
          <w:rFonts w:hint="eastAsia" w:ascii="仿宋" w:hAnsi="仿宋" w:eastAsia="仿宋"/>
          <w:sz w:val="32"/>
          <w:szCs w:val="32"/>
        </w:rPr>
        <w:t>八、一般公共预算财政拨款基本支出决算表</w:t>
      </w:r>
    </w:p>
    <w:p w14:paraId="0DF0E3AE">
      <w:pPr>
        <w:rPr>
          <w:rFonts w:ascii="仿宋" w:hAnsi="仿宋" w:eastAsia="仿宋"/>
          <w:sz w:val="32"/>
          <w:szCs w:val="32"/>
        </w:rPr>
      </w:pPr>
      <w:r>
        <w:rPr>
          <w:rFonts w:hint="eastAsia" w:ascii="仿宋" w:hAnsi="仿宋" w:eastAsia="仿宋"/>
          <w:sz w:val="32"/>
          <w:szCs w:val="32"/>
        </w:rPr>
        <w:t>九、一般公共预算财政拨款项目支出决算表</w:t>
      </w:r>
    </w:p>
    <w:p w14:paraId="3E67BFB1">
      <w:pPr>
        <w:rPr>
          <w:rFonts w:ascii="仿宋" w:hAnsi="仿宋" w:eastAsia="仿宋"/>
          <w:sz w:val="32"/>
          <w:szCs w:val="32"/>
        </w:rPr>
      </w:pPr>
      <w:r>
        <w:rPr>
          <w:rFonts w:hint="eastAsia" w:ascii="仿宋" w:hAnsi="仿宋" w:eastAsia="仿宋"/>
          <w:sz w:val="32"/>
          <w:szCs w:val="32"/>
        </w:rPr>
        <w:t>十、政府性基金预算财政拨款收入支出决算表</w:t>
      </w:r>
    </w:p>
    <w:p w14:paraId="5B46A284">
      <w:pPr>
        <w:rPr>
          <w:rFonts w:ascii="仿宋" w:hAnsi="仿宋" w:eastAsia="仿宋"/>
          <w:sz w:val="32"/>
          <w:szCs w:val="32"/>
        </w:rPr>
      </w:pPr>
      <w:r>
        <w:rPr>
          <w:rFonts w:hint="eastAsia" w:ascii="仿宋" w:hAnsi="仿宋" w:eastAsia="仿宋"/>
          <w:sz w:val="32"/>
          <w:szCs w:val="32"/>
        </w:rPr>
        <w:t>十一、国有资本经营预算财政拨款收入支出决算表</w:t>
      </w:r>
    </w:p>
    <w:p w14:paraId="4583C6E8">
      <w:pPr>
        <w:rPr>
          <w:rFonts w:ascii="仿宋" w:hAnsi="仿宋" w:eastAsia="仿宋"/>
          <w:sz w:val="32"/>
          <w:szCs w:val="32"/>
        </w:rPr>
      </w:pPr>
      <w:r>
        <w:rPr>
          <w:rFonts w:hint="eastAsia" w:ascii="仿宋" w:hAnsi="仿宋" w:eastAsia="仿宋"/>
          <w:sz w:val="32"/>
          <w:szCs w:val="32"/>
        </w:rPr>
        <w:t>十二、国有资本经营预算财政拨款支出决算表</w:t>
      </w:r>
    </w:p>
    <w:p w14:paraId="47E38CD3">
      <w:pPr>
        <w:rPr>
          <w:rFonts w:ascii="仿宋" w:hAnsi="仿宋" w:eastAsia="仿宋"/>
          <w:sz w:val="32"/>
          <w:szCs w:val="32"/>
        </w:rPr>
      </w:pPr>
      <w:r>
        <w:rPr>
          <w:rFonts w:hint="eastAsia" w:ascii="仿宋" w:hAnsi="仿宋" w:eastAsia="仿宋"/>
          <w:sz w:val="32"/>
          <w:szCs w:val="32"/>
        </w:rPr>
        <w:t>十三、财政拨款“三公”经费支出决算表</w:t>
      </w:r>
    </w:p>
    <w:sectPr>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CF5D0">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7160"/>
                          </w:sdtPr>
                          <w:sdtContent>
                            <w:p w14:paraId="3C86FEB9">
                              <w:pPr>
                                <w:pStyle w:val="9"/>
                                <w:jc w:val="center"/>
                              </w:pPr>
                              <w:r>
                                <w:fldChar w:fldCharType="begin"/>
                              </w:r>
                              <w:r>
                                <w:instrText xml:space="preserve">PAGE   \* MERGEFORMAT</w:instrText>
                              </w:r>
                              <w:r>
                                <w:fldChar w:fldCharType="separate"/>
                              </w:r>
                              <w:r>
                                <w:rPr>
                                  <w:lang w:val="zh-CN"/>
                                </w:rPr>
                                <w:t>23</w:t>
                              </w:r>
                              <w:r>
                                <w:fldChar w:fldCharType="end"/>
                              </w:r>
                            </w:p>
                          </w:sdtContent>
                        </w:sdt>
                        <w:p w14:paraId="5515CA56"/>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147467160"/>
                    </w:sdtPr>
                    <w:sdtContent>
                      <w:p w14:paraId="3C86FEB9">
                        <w:pPr>
                          <w:pStyle w:val="9"/>
                          <w:jc w:val="center"/>
                        </w:pPr>
                        <w:r>
                          <w:fldChar w:fldCharType="begin"/>
                        </w:r>
                        <w:r>
                          <w:instrText xml:space="preserve">PAGE   \* MERGEFORMAT</w:instrText>
                        </w:r>
                        <w:r>
                          <w:fldChar w:fldCharType="separate"/>
                        </w:r>
                        <w:r>
                          <w:rPr>
                            <w:lang w:val="zh-CN"/>
                          </w:rPr>
                          <w:t>23</w:t>
                        </w:r>
                        <w:r>
                          <w:fldChar w:fldCharType="end"/>
                        </w:r>
                      </w:p>
                    </w:sdtContent>
                  </w:sdt>
                  <w:p w14:paraId="5515CA56"/>
                </w:txbxContent>
              </v:textbox>
            </v:shape>
          </w:pict>
        </mc:Fallback>
      </mc:AlternateContent>
    </w:r>
  </w:p>
  <w:p w14:paraId="2818BFE4">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C8C65">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7989C4">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F7989C4">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187B8">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38C0B83"/>
    <w:multiLevelType w:val="singleLevel"/>
    <w:tmpl w:val="E38C0B83"/>
    <w:lvl w:ilvl="0" w:tentative="0">
      <w:start w:val="3"/>
      <w:numFmt w:val="chineseCounting"/>
      <w:suff w:val="nothing"/>
      <w:lvlText w:val="（%1）"/>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23ED77D4"/>
    <w:multiLevelType w:val="multilevel"/>
    <w:tmpl w:val="23ED77D4"/>
    <w:lvl w:ilvl="0" w:tentative="0">
      <w:start w:val="1"/>
      <w:numFmt w:val="japaneseCounting"/>
      <w:lvlText w:val="（%1）"/>
      <w:lvlJc w:val="left"/>
      <w:pPr>
        <w:ind w:left="1725" w:hanging="1005"/>
      </w:pPr>
      <w:rPr>
        <w:rFonts w:hint="eastAsia" w:ascii="楷体_GB2312" w:eastAsia="楷体_GB2312"/>
        <w:b/>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4">
    <w:nsid w:val="3DE12B68"/>
    <w:multiLevelType w:val="multilevel"/>
    <w:tmpl w:val="3DE12B68"/>
    <w:lvl w:ilvl="0" w:tentative="0">
      <w:start w:val="10"/>
      <w:numFmt w:val="decimal"/>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5">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abstractNum w:abstractNumId="6">
    <w:nsid w:val="65540F08"/>
    <w:multiLevelType w:val="singleLevel"/>
    <w:tmpl w:val="65540F08"/>
    <w:lvl w:ilvl="0" w:tentative="0">
      <w:start w:val="2"/>
      <w:numFmt w:val="decimal"/>
      <w:lvlText w:val="%1."/>
      <w:lvlJc w:val="left"/>
      <w:pPr>
        <w:tabs>
          <w:tab w:val="left" w:pos="312"/>
        </w:tabs>
      </w:pPr>
    </w:lvl>
  </w:abstractNum>
  <w:abstractNum w:abstractNumId="7">
    <w:nsid w:val="70246A49"/>
    <w:multiLevelType w:val="multilevel"/>
    <w:tmpl w:val="70246A49"/>
    <w:lvl w:ilvl="0" w:tentative="0">
      <w:start w:val="14"/>
      <w:numFmt w:val="decimal"/>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8">
    <w:nsid w:val="711071A8"/>
    <w:multiLevelType w:val="singleLevel"/>
    <w:tmpl w:val="711071A8"/>
    <w:lvl w:ilvl="0" w:tentative="0">
      <w:start w:val="1"/>
      <w:numFmt w:val="chineseCounting"/>
      <w:suff w:val="nothing"/>
      <w:lvlText w:val="%1、"/>
      <w:lvlJc w:val="left"/>
      <w:rPr>
        <w:rFonts w:hint="eastAsia"/>
      </w:rPr>
    </w:lvl>
  </w:abstractNum>
  <w:num w:numId="1">
    <w:abstractNumId w:val="8"/>
  </w:num>
  <w:num w:numId="2">
    <w:abstractNumId w:val="4"/>
  </w:num>
  <w:num w:numId="3">
    <w:abstractNumId w:val="7"/>
  </w:num>
  <w:num w:numId="4">
    <w:abstractNumId w:val="5"/>
  </w:num>
  <w:num w:numId="5">
    <w:abstractNumId w:val="2"/>
  </w:num>
  <w:num w:numId="6">
    <w:abstractNumId w:val="0"/>
  </w:num>
  <w:num w:numId="7">
    <w:abstractNumId w:val="1"/>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hOWE5YjAyZWVlZDg1NDZiMmY3NzE0NzJlNzYzNjgifQ=="/>
  </w:docVars>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02FD8"/>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2581"/>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1E40547"/>
    <w:rsid w:val="020C4532"/>
    <w:rsid w:val="020F621C"/>
    <w:rsid w:val="027F69BB"/>
    <w:rsid w:val="02FEBE30"/>
    <w:rsid w:val="036F8141"/>
    <w:rsid w:val="03F67248"/>
    <w:rsid w:val="046224C2"/>
    <w:rsid w:val="05303392"/>
    <w:rsid w:val="066E0107"/>
    <w:rsid w:val="07996F6E"/>
    <w:rsid w:val="07DFD8BA"/>
    <w:rsid w:val="098A6F7A"/>
    <w:rsid w:val="0A2032A3"/>
    <w:rsid w:val="0A9C71E2"/>
    <w:rsid w:val="0AE53626"/>
    <w:rsid w:val="0B4349CE"/>
    <w:rsid w:val="0C590374"/>
    <w:rsid w:val="0D35B1ED"/>
    <w:rsid w:val="0DB77A48"/>
    <w:rsid w:val="0E7ED1F5"/>
    <w:rsid w:val="0F7E6098"/>
    <w:rsid w:val="0F98263C"/>
    <w:rsid w:val="101860EC"/>
    <w:rsid w:val="109921A1"/>
    <w:rsid w:val="10C055FF"/>
    <w:rsid w:val="10D510E7"/>
    <w:rsid w:val="10F44B0F"/>
    <w:rsid w:val="11691AF2"/>
    <w:rsid w:val="118107EC"/>
    <w:rsid w:val="11904838"/>
    <w:rsid w:val="11C22850"/>
    <w:rsid w:val="131F6DE2"/>
    <w:rsid w:val="13235F61"/>
    <w:rsid w:val="13675A6C"/>
    <w:rsid w:val="136D3B05"/>
    <w:rsid w:val="13702B73"/>
    <w:rsid w:val="13AB68B3"/>
    <w:rsid w:val="13C04D1D"/>
    <w:rsid w:val="13D50BC4"/>
    <w:rsid w:val="13F5616D"/>
    <w:rsid w:val="14782374"/>
    <w:rsid w:val="14C05EFB"/>
    <w:rsid w:val="14DC7969"/>
    <w:rsid w:val="14F450DE"/>
    <w:rsid w:val="15253159"/>
    <w:rsid w:val="15C172CC"/>
    <w:rsid w:val="16BB723D"/>
    <w:rsid w:val="16EC5999"/>
    <w:rsid w:val="16F03B3E"/>
    <w:rsid w:val="17F9714D"/>
    <w:rsid w:val="189C6649"/>
    <w:rsid w:val="18FA2EDF"/>
    <w:rsid w:val="1918F934"/>
    <w:rsid w:val="19623C0B"/>
    <w:rsid w:val="198C5E7A"/>
    <w:rsid w:val="19B337B9"/>
    <w:rsid w:val="19B46FFB"/>
    <w:rsid w:val="1A0F15AF"/>
    <w:rsid w:val="1A441CBC"/>
    <w:rsid w:val="1AAC1FB7"/>
    <w:rsid w:val="1AE25D7E"/>
    <w:rsid w:val="1B467263"/>
    <w:rsid w:val="1BE8440E"/>
    <w:rsid w:val="1BF54FD1"/>
    <w:rsid w:val="1C5E5533"/>
    <w:rsid w:val="1D155CEE"/>
    <w:rsid w:val="1DC55869"/>
    <w:rsid w:val="1DFBC4B3"/>
    <w:rsid w:val="1E740ACF"/>
    <w:rsid w:val="1EE7283A"/>
    <w:rsid w:val="1F19C781"/>
    <w:rsid w:val="1F33FCE5"/>
    <w:rsid w:val="1F7F7398"/>
    <w:rsid w:val="1FD2DB6F"/>
    <w:rsid w:val="1FF35744"/>
    <w:rsid w:val="1FF6BC77"/>
    <w:rsid w:val="1FF9236D"/>
    <w:rsid w:val="2020147D"/>
    <w:rsid w:val="21F66939"/>
    <w:rsid w:val="2333840E"/>
    <w:rsid w:val="23860B96"/>
    <w:rsid w:val="240371BF"/>
    <w:rsid w:val="24814B09"/>
    <w:rsid w:val="2517136E"/>
    <w:rsid w:val="251C0075"/>
    <w:rsid w:val="257C638F"/>
    <w:rsid w:val="258A2FBE"/>
    <w:rsid w:val="262E7315"/>
    <w:rsid w:val="264E77B2"/>
    <w:rsid w:val="274A70A1"/>
    <w:rsid w:val="29705D42"/>
    <w:rsid w:val="29860AD7"/>
    <w:rsid w:val="29FD04D3"/>
    <w:rsid w:val="2A965A03"/>
    <w:rsid w:val="2AC11AAE"/>
    <w:rsid w:val="2B0E2702"/>
    <w:rsid w:val="2BD96AC6"/>
    <w:rsid w:val="2BEA20AB"/>
    <w:rsid w:val="2BFC100A"/>
    <w:rsid w:val="2BFF7BC6"/>
    <w:rsid w:val="2C1520B2"/>
    <w:rsid w:val="2C8A61B5"/>
    <w:rsid w:val="2CD59C95"/>
    <w:rsid w:val="2D10188D"/>
    <w:rsid w:val="2D371BB4"/>
    <w:rsid w:val="2D983721"/>
    <w:rsid w:val="2DA9490D"/>
    <w:rsid w:val="2DF04E50"/>
    <w:rsid w:val="2E9F315C"/>
    <w:rsid w:val="2EE669AB"/>
    <w:rsid w:val="2EFD05E5"/>
    <w:rsid w:val="2F040D46"/>
    <w:rsid w:val="2F152201"/>
    <w:rsid w:val="2F4F95CE"/>
    <w:rsid w:val="2F724F35"/>
    <w:rsid w:val="2FACAFDD"/>
    <w:rsid w:val="2FAE5751"/>
    <w:rsid w:val="2FB1A395"/>
    <w:rsid w:val="2FCF0B76"/>
    <w:rsid w:val="2FD9A7D8"/>
    <w:rsid w:val="304765B2"/>
    <w:rsid w:val="319F7F4E"/>
    <w:rsid w:val="32FF4F22"/>
    <w:rsid w:val="3304709D"/>
    <w:rsid w:val="33F42B8E"/>
    <w:rsid w:val="35654E87"/>
    <w:rsid w:val="364C66D0"/>
    <w:rsid w:val="36AA5135"/>
    <w:rsid w:val="36BE0DA7"/>
    <w:rsid w:val="373D331B"/>
    <w:rsid w:val="3768454B"/>
    <w:rsid w:val="376B6AA6"/>
    <w:rsid w:val="376D39B2"/>
    <w:rsid w:val="37E16F03"/>
    <w:rsid w:val="37F53A3B"/>
    <w:rsid w:val="383340DB"/>
    <w:rsid w:val="383452C0"/>
    <w:rsid w:val="383B4DEB"/>
    <w:rsid w:val="383D2B22"/>
    <w:rsid w:val="3840106E"/>
    <w:rsid w:val="38D469F0"/>
    <w:rsid w:val="38F78389"/>
    <w:rsid w:val="397BAF1F"/>
    <w:rsid w:val="39E7B272"/>
    <w:rsid w:val="39F7642F"/>
    <w:rsid w:val="39FF7B37"/>
    <w:rsid w:val="3A5C37C5"/>
    <w:rsid w:val="3AB79AF3"/>
    <w:rsid w:val="3AFDCB77"/>
    <w:rsid w:val="3B4B72D1"/>
    <w:rsid w:val="3B561D9F"/>
    <w:rsid w:val="3B5D6FFE"/>
    <w:rsid w:val="3B7EF35A"/>
    <w:rsid w:val="3B9FDB6C"/>
    <w:rsid w:val="3BBB7769"/>
    <w:rsid w:val="3BF5BC2F"/>
    <w:rsid w:val="3BF7C23A"/>
    <w:rsid w:val="3BFF223E"/>
    <w:rsid w:val="3C3C71E7"/>
    <w:rsid w:val="3C5E715D"/>
    <w:rsid w:val="3C6EC0A1"/>
    <w:rsid w:val="3CD60E7B"/>
    <w:rsid w:val="3CDB0824"/>
    <w:rsid w:val="3CEBA265"/>
    <w:rsid w:val="3D4F2F4A"/>
    <w:rsid w:val="3D6A7F9F"/>
    <w:rsid w:val="3D7E7F4D"/>
    <w:rsid w:val="3D98207C"/>
    <w:rsid w:val="3D9CF30A"/>
    <w:rsid w:val="3DFF5A3E"/>
    <w:rsid w:val="3E78745D"/>
    <w:rsid w:val="3E950228"/>
    <w:rsid w:val="3EEE77E9"/>
    <w:rsid w:val="3F394AF5"/>
    <w:rsid w:val="3FBE5714"/>
    <w:rsid w:val="3FDD8615"/>
    <w:rsid w:val="3FDFB2FF"/>
    <w:rsid w:val="3FF4CAE0"/>
    <w:rsid w:val="3FF75FAF"/>
    <w:rsid w:val="3FF7B227"/>
    <w:rsid w:val="404722ED"/>
    <w:rsid w:val="407D60BB"/>
    <w:rsid w:val="40B938D9"/>
    <w:rsid w:val="41090253"/>
    <w:rsid w:val="414B08D8"/>
    <w:rsid w:val="425C266F"/>
    <w:rsid w:val="44183734"/>
    <w:rsid w:val="44E268DA"/>
    <w:rsid w:val="457F4F6B"/>
    <w:rsid w:val="464E30C8"/>
    <w:rsid w:val="4737FB58"/>
    <w:rsid w:val="47ECCB02"/>
    <w:rsid w:val="47FA6A3F"/>
    <w:rsid w:val="48BB0102"/>
    <w:rsid w:val="48C8247A"/>
    <w:rsid w:val="49D7AE48"/>
    <w:rsid w:val="4A3F6C7E"/>
    <w:rsid w:val="4A627F82"/>
    <w:rsid w:val="4B0E749A"/>
    <w:rsid w:val="4B1732F9"/>
    <w:rsid w:val="4B4F25DA"/>
    <w:rsid w:val="4BBB4781"/>
    <w:rsid w:val="4BD709A5"/>
    <w:rsid w:val="4BDD9BFF"/>
    <w:rsid w:val="4BE068DB"/>
    <w:rsid w:val="4C1D377B"/>
    <w:rsid w:val="4D577224"/>
    <w:rsid w:val="4D9F43E8"/>
    <w:rsid w:val="4DAC584E"/>
    <w:rsid w:val="4DBF1CEB"/>
    <w:rsid w:val="4DBF6A6B"/>
    <w:rsid w:val="4DC42199"/>
    <w:rsid w:val="4DF6A672"/>
    <w:rsid w:val="4E453CD9"/>
    <w:rsid w:val="4EAB630A"/>
    <w:rsid w:val="4ECE2238"/>
    <w:rsid w:val="4F7EA413"/>
    <w:rsid w:val="4F894099"/>
    <w:rsid w:val="4FAB812F"/>
    <w:rsid w:val="4FCD4EE7"/>
    <w:rsid w:val="4FE9BD67"/>
    <w:rsid w:val="4FEE4C07"/>
    <w:rsid w:val="4FFB052F"/>
    <w:rsid w:val="50C2541A"/>
    <w:rsid w:val="51C4760A"/>
    <w:rsid w:val="52B377A0"/>
    <w:rsid w:val="52E21865"/>
    <w:rsid w:val="537E6D0A"/>
    <w:rsid w:val="53970F8F"/>
    <w:rsid w:val="53AA25E6"/>
    <w:rsid w:val="53AB6B88"/>
    <w:rsid w:val="53AF2DC7"/>
    <w:rsid w:val="53DA3115"/>
    <w:rsid w:val="53EB36A7"/>
    <w:rsid w:val="53F74C96"/>
    <w:rsid w:val="547D0BE8"/>
    <w:rsid w:val="54885155"/>
    <w:rsid w:val="54D47B64"/>
    <w:rsid w:val="5568644B"/>
    <w:rsid w:val="5583522D"/>
    <w:rsid w:val="55C53951"/>
    <w:rsid w:val="56A63FEE"/>
    <w:rsid w:val="56FA0D87"/>
    <w:rsid w:val="57BD3DD4"/>
    <w:rsid w:val="57F9CD1E"/>
    <w:rsid w:val="5842727C"/>
    <w:rsid w:val="58705DF6"/>
    <w:rsid w:val="59350351"/>
    <w:rsid w:val="597271B7"/>
    <w:rsid w:val="5A294C0A"/>
    <w:rsid w:val="5A6C145A"/>
    <w:rsid w:val="5AF92295"/>
    <w:rsid w:val="5AF9D8E9"/>
    <w:rsid w:val="5BDD38BD"/>
    <w:rsid w:val="5BDD79E6"/>
    <w:rsid w:val="5BEFC772"/>
    <w:rsid w:val="5BFF5DFC"/>
    <w:rsid w:val="5CD71FC4"/>
    <w:rsid w:val="5D1A7137"/>
    <w:rsid w:val="5D1F11B5"/>
    <w:rsid w:val="5D3647F9"/>
    <w:rsid w:val="5DA644D4"/>
    <w:rsid w:val="5DAE1B18"/>
    <w:rsid w:val="5DE7D9E5"/>
    <w:rsid w:val="5E872F31"/>
    <w:rsid w:val="5ECEC941"/>
    <w:rsid w:val="5EFF8FC6"/>
    <w:rsid w:val="5F0A3285"/>
    <w:rsid w:val="5F5BA39A"/>
    <w:rsid w:val="5F7D3B79"/>
    <w:rsid w:val="5F7F4610"/>
    <w:rsid w:val="5FBF9FF3"/>
    <w:rsid w:val="5FCD4E2C"/>
    <w:rsid w:val="5FDF17BD"/>
    <w:rsid w:val="5FEF394A"/>
    <w:rsid w:val="5FF67715"/>
    <w:rsid w:val="61CA71D5"/>
    <w:rsid w:val="61E810F3"/>
    <w:rsid w:val="627EE9EA"/>
    <w:rsid w:val="628F4DE1"/>
    <w:rsid w:val="63B23AA5"/>
    <w:rsid w:val="63D55C18"/>
    <w:rsid w:val="64752C5C"/>
    <w:rsid w:val="647F5392"/>
    <w:rsid w:val="648570CD"/>
    <w:rsid w:val="64E322C4"/>
    <w:rsid w:val="651D6CBE"/>
    <w:rsid w:val="65FB93B9"/>
    <w:rsid w:val="6633C463"/>
    <w:rsid w:val="67D55B77"/>
    <w:rsid w:val="67EE7F84"/>
    <w:rsid w:val="686F5F53"/>
    <w:rsid w:val="68C148C3"/>
    <w:rsid w:val="695E52C5"/>
    <w:rsid w:val="6AC336F2"/>
    <w:rsid w:val="6AFE53C6"/>
    <w:rsid w:val="6AFFCEAF"/>
    <w:rsid w:val="6B96E9E6"/>
    <w:rsid w:val="6BCE57B5"/>
    <w:rsid w:val="6BFEA4DB"/>
    <w:rsid w:val="6BFFB662"/>
    <w:rsid w:val="6C197958"/>
    <w:rsid w:val="6C4A05C8"/>
    <w:rsid w:val="6CC00944"/>
    <w:rsid w:val="6CFF4FB8"/>
    <w:rsid w:val="6D3844E4"/>
    <w:rsid w:val="6D464F20"/>
    <w:rsid w:val="6D6BD6E0"/>
    <w:rsid w:val="6D77E73C"/>
    <w:rsid w:val="6DBF5E93"/>
    <w:rsid w:val="6DEC1F6B"/>
    <w:rsid w:val="6DFF077E"/>
    <w:rsid w:val="6E6248F2"/>
    <w:rsid w:val="6E7E3605"/>
    <w:rsid w:val="6E7FDCC7"/>
    <w:rsid w:val="6EA8606F"/>
    <w:rsid w:val="6ED6A62E"/>
    <w:rsid w:val="6EE00B15"/>
    <w:rsid w:val="6EE737B2"/>
    <w:rsid w:val="6EEB2329"/>
    <w:rsid w:val="6EECE67A"/>
    <w:rsid w:val="6F6F90A8"/>
    <w:rsid w:val="6F6FB3EB"/>
    <w:rsid w:val="6F8731EA"/>
    <w:rsid w:val="6F8F6829"/>
    <w:rsid w:val="6FA146D8"/>
    <w:rsid w:val="6FBB7E47"/>
    <w:rsid w:val="6FBC2ADD"/>
    <w:rsid w:val="6FD57C00"/>
    <w:rsid w:val="6FEFFFD8"/>
    <w:rsid w:val="6FF5CC65"/>
    <w:rsid w:val="6FFB47EC"/>
    <w:rsid w:val="6FFF034A"/>
    <w:rsid w:val="709E041A"/>
    <w:rsid w:val="70DB4A06"/>
    <w:rsid w:val="70FD7864"/>
    <w:rsid w:val="712A28F1"/>
    <w:rsid w:val="715C0E4B"/>
    <w:rsid w:val="71C225C6"/>
    <w:rsid w:val="71E07AA2"/>
    <w:rsid w:val="71FFD401"/>
    <w:rsid w:val="72233669"/>
    <w:rsid w:val="724B29AC"/>
    <w:rsid w:val="72734D90"/>
    <w:rsid w:val="73060764"/>
    <w:rsid w:val="7332FE48"/>
    <w:rsid w:val="73AD73D5"/>
    <w:rsid w:val="73B6EB34"/>
    <w:rsid w:val="73EB2787"/>
    <w:rsid w:val="73FA497D"/>
    <w:rsid w:val="744731E5"/>
    <w:rsid w:val="74BBD01D"/>
    <w:rsid w:val="74ED5379"/>
    <w:rsid w:val="75D05D09"/>
    <w:rsid w:val="75DEEEC2"/>
    <w:rsid w:val="76263B40"/>
    <w:rsid w:val="764B64B4"/>
    <w:rsid w:val="767F479D"/>
    <w:rsid w:val="76D363A2"/>
    <w:rsid w:val="76E3355F"/>
    <w:rsid w:val="76F742AF"/>
    <w:rsid w:val="76F7BE7D"/>
    <w:rsid w:val="76FF5125"/>
    <w:rsid w:val="773570D3"/>
    <w:rsid w:val="77597F31"/>
    <w:rsid w:val="776F6FFA"/>
    <w:rsid w:val="7777A522"/>
    <w:rsid w:val="77858688"/>
    <w:rsid w:val="778769C8"/>
    <w:rsid w:val="77CB741A"/>
    <w:rsid w:val="77D7BE3A"/>
    <w:rsid w:val="77DC22F5"/>
    <w:rsid w:val="780F5581"/>
    <w:rsid w:val="795D33AB"/>
    <w:rsid w:val="797E3A6C"/>
    <w:rsid w:val="79CF70E2"/>
    <w:rsid w:val="79D7FD79"/>
    <w:rsid w:val="79E75806"/>
    <w:rsid w:val="79EE5BA4"/>
    <w:rsid w:val="7A641148"/>
    <w:rsid w:val="7A6F8BF5"/>
    <w:rsid w:val="7A894339"/>
    <w:rsid w:val="7AB94F83"/>
    <w:rsid w:val="7ACF82B5"/>
    <w:rsid w:val="7AFF28C9"/>
    <w:rsid w:val="7AFF72A0"/>
    <w:rsid w:val="7AFF7572"/>
    <w:rsid w:val="7B6C7DFB"/>
    <w:rsid w:val="7B7D76A7"/>
    <w:rsid w:val="7BAE2FE2"/>
    <w:rsid w:val="7BAF6951"/>
    <w:rsid w:val="7BBFBED0"/>
    <w:rsid w:val="7BC3E394"/>
    <w:rsid w:val="7BEF1A41"/>
    <w:rsid w:val="7BF3FE4C"/>
    <w:rsid w:val="7BFB5035"/>
    <w:rsid w:val="7BFDE17E"/>
    <w:rsid w:val="7C035DAE"/>
    <w:rsid w:val="7C865EDA"/>
    <w:rsid w:val="7CBFC87B"/>
    <w:rsid w:val="7CFE0F48"/>
    <w:rsid w:val="7D3DE31C"/>
    <w:rsid w:val="7D7EC23E"/>
    <w:rsid w:val="7D7F8A13"/>
    <w:rsid w:val="7DBBCB01"/>
    <w:rsid w:val="7DC765D0"/>
    <w:rsid w:val="7DDB0EE0"/>
    <w:rsid w:val="7DFF51D8"/>
    <w:rsid w:val="7E634199"/>
    <w:rsid w:val="7E8ADEBF"/>
    <w:rsid w:val="7ECC6B2B"/>
    <w:rsid w:val="7EEF11D3"/>
    <w:rsid w:val="7EF78C20"/>
    <w:rsid w:val="7F0A1547"/>
    <w:rsid w:val="7F3F679B"/>
    <w:rsid w:val="7F4FC4EF"/>
    <w:rsid w:val="7F5D4A77"/>
    <w:rsid w:val="7F5E4D54"/>
    <w:rsid w:val="7F6B75FA"/>
    <w:rsid w:val="7F9F518D"/>
    <w:rsid w:val="7FA30C79"/>
    <w:rsid w:val="7FAD6531"/>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1"/>
    <w:semiHidden/>
    <w:unhideWhenUsed/>
    <w:qFormat/>
    <w:uiPriority w:val="99"/>
    <w:rPr>
      <w:sz w:val="18"/>
      <w:szCs w:val="18"/>
    </w:rPr>
  </w:style>
  <w:style w:type="paragraph" w:styleId="9">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4">
    <w:name w:val="Body Text First Indent 2"/>
    <w:basedOn w:val="6"/>
    <w:unhideWhenUsed/>
    <w:qFormat/>
    <w:uiPriority w:val="99"/>
    <w:pPr>
      <w:ind w:firstLine="420" w:firstLine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字符"/>
    <w:link w:val="10"/>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字符"/>
    <w:link w:val="9"/>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字符"/>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6"/>
    <w:link w:val="2"/>
    <w:qFormat/>
    <w:uiPriority w:val="9"/>
    <w:rPr>
      <w:rFonts w:ascii="Times New Roman" w:hAnsi="Times New Roman"/>
      <w:b/>
      <w:bCs/>
      <w:kern w:val="44"/>
      <w:sz w:val="44"/>
      <w:szCs w:val="44"/>
    </w:rPr>
  </w:style>
  <w:style w:type="character" w:customStyle="1" w:styleId="29">
    <w:name w:val="标题 2 字符"/>
    <w:basedOn w:val="16"/>
    <w:link w:val="3"/>
    <w:qFormat/>
    <w:uiPriority w:val="9"/>
    <w:rPr>
      <w:rFonts w:asciiTheme="majorHAnsi" w:hAnsiTheme="majorHAnsi" w:eastAsiaTheme="majorEastAsia" w:cstheme="majorBidi"/>
      <w:b/>
      <w:bCs/>
      <w:kern w:val="2"/>
      <w:sz w:val="32"/>
      <w:szCs w:val="32"/>
    </w:rPr>
  </w:style>
  <w:style w:type="paragraph" w:customStyle="1" w:styleId="30">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6"/>
    <w:link w:val="8"/>
    <w:semiHidden/>
    <w:qFormat/>
    <w:uiPriority w:val="99"/>
    <w:rPr>
      <w:rFonts w:ascii="Times New Roman" w:hAnsi="Times New Roman"/>
      <w:kern w:val="2"/>
      <w:sz w:val="18"/>
      <w:szCs w:val="18"/>
    </w:rPr>
  </w:style>
  <w:style w:type="character" w:customStyle="1" w:styleId="32">
    <w:name w:val="标题 3 字符"/>
    <w:basedOn w:val="16"/>
    <w:link w:val="4"/>
    <w:qFormat/>
    <w:uiPriority w:val="9"/>
    <w:rPr>
      <w:rFonts w:ascii="Times New Roman" w:hAnsi="Times New Roman"/>
      <w:b/>
      <w:bCs/>
      <w:kern w:val="2"/>
      <w:sz w:val="32"/>
      <w:szCs w:val="32"/>
    </w:rPr>
  </w:style>
  <w:style w:type="paragraph" w:customStyle="1" w:styleId="33">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34</Pages>
  <Words>14030</Words>
  <Characters>14936</Characters>
  <Lines>72</Lines>
  <Paragraphs>20</Paragraphs>
  <TotalTime>11</TotalTime>
  <ScaleCrop>false</ScaleCrop>
  <LinksUpToDate>false</LinksUpToDate>
  <CharactersWithSpaces>15437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 娟</cp:lastModifiedBy>
  <cp:lastPrinted>2023-08-03T10:35:00Z</cp:lastPrinted>
  <dcterms:modified xsi:type="dcterms:W3CDTF">2026-04-14T08:53:14Z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915382AC34F04656A98E057ED425A3AB_12</vt:lpwstr>
  </property>
  <property fmtid="{D5CDD505-2E9C-101B-9397-08002B2CF9AE}" pid="4" name="KSOTemplateDocerSaveRecord">
    <vt:lpwstr>eyJoZGlkIjoiNGVhOWE5YjAyZWVlZDg1NDZiMmY3NzE0NzJlNzYzNjgiLCJ1c2VySWQiOiIxMTI0ODkwMDE1In0=</vt:lpwstr>
  </property>
</Properties>
</file>