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44"/>
          <w:szCs w:val="44"/>
          <w:lang w:val="en-US" w:eastAsia="zh-CN" w:bidi="ar-SA"/>
        </w:rPr>
        <w:id w:val="147454714"/>
        <w15:color w:val="DBDBDB"/>
        <w:docPartObj>
          <w:docPartGallery w:val="Table of Contents"/>
          <w:docPartUnique/>
        </w:docPartObj>
      </w:sdtPr>
      <w:sdtEndPr>
        <w:rPr>
          <w:rFonts w:hint="eastAsia" w:ascii="方正小标宋简体" w:hAnsi="方正小标宋简体" w:eastAsia="方正小标宋简体" w:cs="方正小标宋简体"/>
          <w:kern w:val="2"/>
          <w:sz w:val="21"/>
          <w:szCs w:val="72"/>
          <w:lang w:val="en-US" w:eastAsia="zh-CN" w:bidi="ar-SA"/>
        </w:rPr>
      </w:sdtEndPr>
      <w:sdtContent>
        <w:p w14:paraId="4573450A">
          <w:pPr>
            <w:spacing w:before="0" w:beforeLines="0" w:after="0" w:afterLines="0" w:line="240" w:lineRule="auto"/>
            <w:ind w:left="0" w:leftChars="0" w:right="0" w:rightChars="0" w:firstLine="0" w:firstLineChars="0"/>
            <w:jc w:val="center"/>
            <w:rPr>
              <w:sz w:val="44"/>
              <w:szCs w:val="44"/>
            </w:rPr>
          </w:pPr>
          <w:bookmarkStart w:id="85" w:name="_GoBack"/>
          <w:r>
            <w:rPr>
              <w:rFonts w:ascii="宋体" w:hAnsi="宋体" w:eastAsia="宋体"/>
              <w:sz w:val="44"/>
              <w:szCs w:val="44"/>
            </w:rPr>
            <w:t>目录</w:t>
          </w:r>
        </w:p>
        <w:bookmarkEnd w:id="85"/>
        <w:p w14:paraId="764CD909">
          <w:pPr>
            <w:pStyle w:val="11"/>
            <w:tabs>
              <w:tab w:val="right" w:leader="dot" w:pos="8306"/>
              <w:tab w:val="clear" w:pos="8296"/>
            </w:tabs>
          </w:pPr>
          <w:r>
            <w:rPr>
              <w:rFonts w:hint="eastAsia" w:ascii="方正小标宋简体" w:hAnsi="方正小标宋简体" w:eastAsia="方正小标宋简体" w:cs="方正小标宋简体"/>
              <w:kern w:val="2"/>
              <w:sz w:val="21"/>
              <w:szCs w:val="72"/>
              <w:lang w:val="en-US" w:eastAsia="zh-CN" w:bidi="ar-SA"/>
            </w:rPr>
            <w:fldChar w:fldCharType="begin"/>
          </w:r>
          <w:r>
            <w:rPr>
              <w:rFonts w:hint="eastAsia" w:ascii="方正小标宋简体" w:hAnsi="方正小标宋简体" w:eastAsia="方正小标宋简体" w:cs="方正小标宋简体"/>
              <w:kern w:val="2"/>
              <w:sz w:val="21"/>
              <w:szCs w:val="72"/>
              <w:lang w:val="en-US" w:eastAsia="zh-CN" w:bidi="ar-SA"/>
            </w:rPr>
            <w:instrText xml:space="preserve">TOC \o "1-1" \h \u </w:instrText>
          </w:r>
          <w:r>
            <w:rPr>
              <w:rFonts w:hint="eastAsia" w:ascii="方正小标宋简体" w:hAnsi="方正小标宋简体" w:eastAsia="方正小标宋简体" w:cs="方正小标宋简体"/>
              <w:kern w:val="2"/>
              <w:sz w:val="21"/>
              <w:szCs w:val="72"/>
              <w:lang w:val="en-US" w:eastAsia="zh-CN" w:bidi="ar-SA"/>
            </w:rPr>
            <w:fldChar w:fldCharType="separate"/>
          </w:r>
          <w:r>
            <w:rPr>
              <w:rFonts w:hint="eastAsia" w:ascii="方正小标宋简体" w:hAnsi="方正小标宋简体" w:eastAsia="方正小标宋简体" w:cs="方正小标宋简体"/>
              <w:kern w:val="2"/>
              <w:szCs w:val="72"/>
              <w:lang w:val="en-US" w:eastAsia="zh-CN" w:bidi="ar-SA"/>
            </w:rPr>
            <w:fldChar w:fldCharType="begin"/>
          </w:r>
          <w:r>
            <w:rPr>
              <w:rFonts w:hint="eastAsia" w:ascii="方正小标宋简体" w:hAnsi="方正小标宋简体" w:eastAsia="方正小标宋简体" w:cs="方正小标宋简体"/>
              <w:kern w:val="2"/>
              <w:szCs w:val="72"/>
              <w:lang w:val="en-US" w:eastAsia="zh-CN" w:bidi="ar-SA"/>
            </w:rPr>
            <w:instrText xml:space="preserve"> HYPERLINK \l _Toc28969 </w:instrText>
          </w:r>
          <w:r>
            <w:rPr>
              <w:rFonts w:hint="eastAsia" w:ascii="方正小标宋简体" w:hAnsi="方正小标宋简体" w:eastAsia="方正小标宋简体" w:cs="方正小标宋简体"/>
              <w:kern w:val="2"/>
              <w:szCs w:val="72"/>
              <w:lang w:val="en-US" w:eastAsia="zh-CN" w:bidi="ar-SA"/>
            </w:rPr>
            <w:fldChar w:fldCharType="separate"/>
          </w:r>
          <w:r>
            <w:rPr>
              <w:rFonts w:hint="eastAsia" w:ascii="方正小标宋简体" w:hAnsi="方正小标宋简体" w:eastAsia="方正小标宋简体" w:cs="方正小标宋简体"/>
              <w:szCs w:val="72"/>
              <w:lang w:eastAsia="zh-CN"/>
            </w:rPr>
            <w:t>2024</w:t>
          </w:r>
          <w:r>
            <w:rPr>
              <w:rFonts w:hint="eastAsia" w:ascii="方正小标宋简体" w:hAnsi="方正小标宋简体" w:eastAsia="方正小标宋简体" w:cs="方正小标宋简体"/>
              <w:szCs w:val="72"/>
            </w:rPr>
            <w:t>年度</w:t>
          </w:r>
          <w:r>
            <w:tab/>
          </w:r>
          <w:r>
            <w:fldChar w:fldCharType="begin"/>
          </w:r>
          <w:r>
            <w:instrText xml:space="preserve"> PAGEREF _Toc28969 \h </w:instrText>
          </w:r>
          <w:r>
            <w:fldChar w:fldCharType="separate"/>
          </w:r>
          <w:r>
            <w:t>2</w:t>
          </w:r>
          <w:r>
            <w:fldChar w:fldCharType="end"/>
          </w:r>
          <w:r>
            <w:rPr>
              <w:rFonts w:hint="eastAsia" w:ascii="方正小标宋简体" w:hAnsi="方正小标宋简体" w:eastAsia="方正小标宋简体" w:cs="方正小标宋简体"/>
              <w:kern w:val="2"/>
              <w:szCs w:val="72"/>
              <w:lang w:val="en-US" w:eastAsia="zh-CN" w:bidi="ar-SA"/>
            </w:rPr>
            <w:fldChar w:fldCharType="end"/>
          </w:r>
        </w:p>
        <w:p w14:paraId="4DB3BF16">
          <w:pPr>
            <w:pStyle w:val="11"/>
            <w:tabs>
              <w:tab w:val="right" w:leader="dot" w:pos="8306"/>
              <w:tab w:val="clear" w:pos="8296"/>
            </w:tabs>
          </w:pPr>
          <w:r>
            <w:rPr>
              <w:rFonts w:hint="eastAsia" w:ascii="方正小标宋简体" w:hAnsi="方正小标宋简体" w:eastAsia="方正小标宋简体" w:cs="方正小标宋简体"/>
              <w:kern w:val="2"/>
              <w:szCs w:val="72"/>
              <w:lang w:val="en-US" w:eastAsia="zh-CN" w:bidi="ar-SA"/>
            </w:rPr>
            <w:fldChar w:fldCharType="begin"/>
          </w:r>
          <w:r>
            <w:rPr>
              <w:rFonts w:hint="eastAsia" w:ascii="方正小标宋简体" w:hAnsi="方正小标宋简体" w:eastAsia="方正小标宋简体" w:cs="方正小标宋简体"/>
              <w:kern w:val="2"/>
              <w:szCs w:val="72"/>
              <w:lang w:val="en-US" w:eastAsia="zh-CN" w:bidi="ar-SA"/>
            </w:rPr>
            <w:instrText xml:space="preserve"> HYPERLINK \l _Toc24358 </w:instrText>
          </w:r>
          <w:r>
            <w:rPr>
              <w:rFonts w:hint="eastAsia" w:ascii="方正小标宋简体" w:hAnsi="方正小标宋简体" w:eastAsia="方正小标宋简体" w:cs="方正小标宋简体"/>
              <w:kern w:val="2"/>
              <w:szCs w:val="72"/>
              <w:lang w:val="en-US" w:eastAsia="zh-CN" w:bidi="ar-SA"/>
            </w:rPr>
            <w:fldChar w:fldCharType="separate"/>
          </w:r>
          <w:r>
            <w:rPr>
              <w:rFonts w:hint="eastAsia" w:ascii="方正小标宋简体" w:hAnsi="方正小标宋简体" w:eastAsia="方正小标宋简体" w:cs="方正小标宋简体"/>
              <w:szCs w:val="72"/>
            </w:rPr>
            <w:t>四川省</w:t>
          </w:r>
          <w:r>
            <w:rPr>
              <w:rFonts w:hint="eastAsia" w:ascii="方正小标宋简体" w:hAnsi="方正小标宋简体" w:eastAsia="方正小标宋简体" w:cs="方正小标宋简体"/>
              <w:szCs w:val="72"/>
              <w:lang w:eastAsia="zh-CN"/>
            </w:rPr>
            <w:t>阿坝州九寨沟县</w:t>
          </w:r>
          <w:r>
            <w:tab/>
          </w:r>
          <w:r>
            <w:fldChar w:fldCharType="begin"/>
          </w:r>
          <w:r>
            <w:instrText xml:space="preserve"> PAGEREF _Toc24358 \h </w:instrText>
          </w:r>
          <w:r>
            <w:fldChar w:fldCharType="separate"/>
          </w:r>
          <w:r>
            <w:t>2</w:t>
          </w:r>
          <w:r>
            <w:fldChar w:fldCharType="end"/>
          </w:r>
          <w:r>
            <w:rPr>
              <w:rFonts w:hint="eastAsia" w:ascii="方正小标宋简体" w:hAnsi="方正小标宋简体" w:eastAsia="方正小标宋简体" w:cs="方正小标宋简体"/>
              <w:kern w:val="2"/>
              <w:szCs w:val="72"/>
              <w:lang w:val="en-US" w:eastAsia="zh-CN" w:bidi="ar-SA"/>
            </w:rPr>
            <w:fldChar w:fldCharType="end"/>
          </w:r>
        </w:p>
        <w:p w14:paraId="3D35711F">
          <w:pPr>
            <w:pStyle w:val="11"/>
            <w:tabs>
              <w:tab w:val="right" w:leader="dot" w:pos="8306"/>
              <w:tab w:val="clear" w:pos="8296"/>
            </w:tabs>
          </w:pPr>
          <w:r>
            <w:rPr>
              <w:rFonts w:hint="eastAsia" w:ascii="方正小标宋简体" w:hAnsi="方正小标宋简体" w:eastAsia="方正小标宋简体" w:cs="方正小标宋简体"/>
              <w:kern w:val="2"/>
              <w:szCs w:val="72"/>
              <w:lang w:val="en-US" w:eastAsia="zh-CN" w:bidi="ar-SA"/>
            </w:rPr>
            <w:fldChar w:fldCharType="begin"/>
          </w:r>
          <w:r>
            <w:rPr>
              <w:rFonts w:hint="eastAsia" w:ascii="方正小标宋简体" w:hAnsi="方正小标宋简体" w:eastAsia="方正小标宋简体" w:cs="方正小标宋简体"/>
              <w:kern w:val="2"/>
              <w:szCs w:val="72"/>
              <w:lang w:val="en-US" w:eastAsia="zh-CN" w:bidi="ar-SA"/>
            </w:rPr>
            <w:instrText xml:space="preserve"> HYPERLINK \l _Toc20977 </w:instrText>
          </w:r>
          <w:r>
            <w:rPr>
              <w:rFonts w:hint="eastAsia" w:ascii="方正小标宋简体" w:hAnsi="方正小标宋简体" w:eastAsia="方正小标宋简体" w:cs="方正小标宋简体"/>
              <w:kern w:val="2"/>
              <w:szCs w:val="72"/>
              <w:lang w:val="en-US" w:eastAsia="zh-CN" w:bidi="ar-SA"/>
            </w:rPr>
            <w:fldChar w:fldCharType="separate"/>
          </w:r>
          <w:r>
            <w:rPr>
              <w:rFonts w:hint="eastAsia" w:ascii="方正小标宋简体" w:hAnsi="方正小标宋简体" w:eastAsia="方正小标宋简体" w:cs="方正小标宋简体"/>
              <w:szCs w:val="72"/>
              <w:lang w:eastAsia="zh-CN"/>
            </w:rPr>
            <w:t>人民政府办公室</w:t>
          </w:r>
          <w:r>
            <w:rPr>
              <w:rFonts w:hint="eastAsia" w:ascii="方正小标宋简体" w:hAnsi="方正小标宋简体" w:eastAsia="方正小标宋简体" w:cs="方正小标宋简体"/>
              <w:szCs w:val="72"/>
            </w:rPr>
            <w:t>单位</w:t>
          </w:r>
          <w:r>
            <w:tab/>
          </w:r>
          <w:r>
            <w:fldChar w:fldCharType="begin"/>
          </w:r>
          <w:r>
            <w:instrText xml:space="preserve"> PAGEREF _Toc20977 \h </w:instrText>
          </w:r>
          <w:r>
            <w:fldChar w:fldCharType="separate"/>
          </w:r>
          <w:r>
            <w:t>2</w:t>
          </w:r>
          <w:r>
            <w:fldChar w:fldCharType="end"/>
          </w:r>
          <w:r>
            <w:rPr>
              <w:rFonts w:hint="eastAsia" w:ascii="方正小标宋简体" w:hAnsi="方正小标宋简体" w:eastAsia="方正小标宋简体" w:cs="方正小标宋简体"/>
              <w:kern w:val="2"/>
              <w:szCs w:val="72"/>
              <w:lang w:val="en-US" w:eastAsia="zh-CN" w:bidi="ar-SA"/>
            </w:rPr>
            <w:fldChar w:fldCharType="end"/>
          </w:r>
        </w:p>
        <w:p w14:paraId="35DFD98B">
          <w:pPr>
            <w:pStyle w:val="11"/>
            <w:tabs>
              <w:tab w:val="right" w:leader="dot" w:pos="8306"/>
              <w:tab w:val="clear" w:pos="8296"/>
            </w:tabs>
          </w:pPr>
          <w:r>
            <w:rPr>
              <w:rFonts w:hint="eastAsia" w:ascii="方正小标宋简体" w:hAnsi="方正小标宋简体" w:eastAsia="方正小标宋简体" w:cs="方正小标宋简体"/>
              <w:kern w:val="2"/>
              <w:szCs w:val="72"/>
              <w:lang w:val="en-US" w:eastAsia="zh-CN" w:bidi="ar-SA"/>
            </w:rPr>
            <w:fldChar w:fldCharType="begin"/>
          </w:r>
          <w:r>
            <w:rPr>
              <w:rFonts w:hint="eastAsia" w:ascii="方正小标宋简体" w:hAnsi="方正小标宋简体" w:eastAsia="方正小标宋简体" w:cs="方正小标宋简体"/>
              <w:kern w:val="2"/>
              <w:szCs w:val="72"/>
              <w:lang w:val="en-US" w:eastAsia="zh-CN" w:bidi="ar-SA"/>
            </w:rPr>
            <w:instrText xml:space="preserve"> HYPERLINK \l _Toc3196 </w:instrText>
          </w:r>
          <w:r>
            <w:rPr>
              <w:rFonts w:hint="eastAsia" w:ascii="方正小标宋简体" w:hAnsi="方正小标宋简体" w:eastAsia="方正小标宋简体" w:cs="方正小标宋简体"/>
              <w:kern w:val="2"/>
              <w:szCs w:val="72"/>
              <w:lang w:val="en-US" w:eastAsia="zh-CN" w:bidi="ar-SA"/>
            </w:rPr>
            <w:fldChar w:fldCharType="separate"/>
          </w:r>
          <w:r>
            <w:rPr>
              <w:rFonts w:hint="eastAsia" w:ascii="方正小标宋简体" w:hAnsi="方正小标宋简体" w:eastAsia="方正小标宋简体" w:cs="方正小标宋简体"/>
              <w:szCs w:val="72"/>
            </w:rPr>
            <w:t>决算</w:t>
          </w:r>
          <w:r>
            <w:rPr>
              <w:rFonts w:hint="eastAsia" w:ascii="方正小标宋简体" w:hAnsi="方正小标宋简体" w:eastAsia="方正小标宋简体" w:cs="方正小标宋简体"/>
              <w:szCs w:val="72"/>
              <w:lang w:eastAsia="zh-CN"/>
            </w:rPr>
            <w:t>公开</w:t>
          </w:r>
          <w:r>
            <w:tab/>
          </w:r>
          <w:r>
            <w:fldChar w:fldCharType="begin"/>
          </w:r>
          <w:r>
            <w:instrText xml:space="preserve"> PAGEREF _Toc3196 \h </w:instrText>
          </w:r>
          <w:r>
            <w:fldChar w:fldCharType="separate"/>
          </w:r>
          <w:r>
            <w:t>2</w:t>
          </w:r>
          <w:r>
            <w:fldChar w:fldCharType="end"/>
          </w:r>
          <w:r>
            <w:rPr>
              <w:rFonts w:hint="eastAsia" w:ascii="方正小标宋简体" w:hAnsi="方正小标宋简体" w:eastAsia="方正小标宋简体" w:cs="方正小标宋简体"/>
              <w:kern w:val="2"/>
              <w:szCs w:val="72"/>
              <w:lang w:val="en-US" w:eastAsia="zh-CN" w:bidi="ar-SA"/>
            </w:rPr>
            <w:fldChar w:fldCharType="end"/>
          </w:r>
        </w:p>
        <w:p w14:paraId="462CF586">
          <w:pPr>
            <w:pStyle w:val="11"/>
            <w:tabs>
              <w:tab w:val="right" w:leader="dot" w:pos="8306"/>
              <w:tab w:val="clear" w:pos="8296"/>
            </w:tabs>
          </w:pPr>
          <w:r>
            <w:rPr>
              <w:rFonts w:hint="eastAsia" w:ascii="方正小标宋简体" w:hAnsi="方正小标宋简体" w:eastAsia="方正小标宋简体" w:cs="方正小标宋简体"/>
              <w:kern w:val="2"/>
              <w:szCs w:val="72"/>
              <w:lang w:val="en-US" w:eastAsia="zh-CN" w:bidi="ar-SA"/>
            </w:rPr>
            <w:fldChar w:fldCharType="begin"/>
          </w:r>
          <w:r>
            <w:rPr>
              <w:rFonts w:hint="eastAsia" w:ascii="方正小标宋简体" w:hAnsi="方正小标宋简体" w:eastAsia="方正小标宋简体" w:cs="方正小标宋简体"/>
              <w:kern w:val="2"/>
              <w:szCs w:val="72"/>
              <w:lang w:val="en-US" w:eastAsia="zh-CN" w:bidi="ar-SA"/>
            </w:rPr>
            <w:instrText xml:space="preserve"> HYPERLINK \l _Toc2176 </w:instrText>
          </w:r>
          <w:r>
            <w:rPr>
              <w:rFonts w:hint="eastAsia" w:ascii="方正小标宋简体" w:hAnsi="方正小标宋简体" w:eastAsia="方正小标宋简体" w:cs="方正小标宋简体"/>
              <w:kern w:val="2"/>
              <w:szCs w:val="72"/>
              <w:lang w:val="en-US" w:eastAsia="zh-CN" w:bidi="ar-SA"/>
            </w:rPr>
            <w:fldChar w:fldCharType="separate"/>
          </w:r>
          <w:r>
            <w:rPr>
              <w:rFonts w:hint="eastAsia" w:ascii="黑体" w:hAnsi="黑体" w:eastAsia="黑体"/>
            </w:rPr>
            <w:t>第一部分 单位</w:t>
          </w:r>
          <w:r>
            <w:rPr>
              <w:rFonts w:hint="eastAsia" w:ascii="黑体" w:hAnsi="黑体" w:eastAsia="黑体"/>
              <w:bCs w:val="0"/>
            </w:rPr>
            <w:t>概况</w:t>
          </w:r>
          <w:r>
            <w:tab/>
          </w:r>
          <w:r>
            <w:fldChar w:fldCharType="begin"/>
          </w:r>
          <w:r>
            <w:instrText xml:space="preserve"> PAGEREF _Toc2176 \h </w:instrText>
          </w:r>
          <w:r>
            <w:fldChar w:fldCharType="separate"/>
          </w:r>
          <w:r>
            <w:t>3</w:t>
          </w:r>
          <w:r>
            <w:fldChar w:fldCharType="end"/>
          </w:r>
          <w:r>
            <w:rPr>
              <w:rFonts w:hint="eastAsia" w:ascii="方正小标宋简体" w:hAnsi="方正小标宋简体" w:eastAsia="方正小标宋简体" w:cs="方正小标宋简体"/>
              <w:kern w:val="2"/>
              <w:szCs w:val="72"/>
              <w:lang w:val="en-US" w:eastAsia="zh-CN" w:bidi="ar-SA"/>
            </w:rPr>
            <w:fldChar w:fldCharType="end"/>
          </w:r>
        </w:p>
        <w:p w14:paraId="2DC490C8">
          <w:pPr>
            <w:pStyle w:val="11"/>
            <w:tabs>
              <w:tab w:val="right" w:leader="dot" w:pos="8306"/>
              <w:tab w:val="clear" w:pos="8296"/>
            </w:tabs>
          </w:pPr>
          <w:r>
            <w:rPr>
              <w:rFonts w:hint="eastAsia" w:ascii="方正小标宋简体" w:hAnsi="方正小标宋简体" w:eastAsia="方正小标宋简体" w:cs="方正小标宋简体"/>
              <w:kern w:val="2"/>
              <w:szCs w:val="72"/>
              <w:lang w:val="en-US" w:eastAsia="zh-CN" w:bidi="ar-SA"/>
            </w:rPr>
            <w:fldChar w:fldCharType="begin"/>
          </w:r>
          <w:r>
            <w:rPr>
              <w:rFonts w:hint="eastAsia" w:ascii="方正小标宋简体" w:hAnsi="方正小标宋简体" w:eastAsia="方正小标宋简体" w:cs="方正小标宋简体"/>
              <w:kern w:val="2"/>
              <w:szCs w:val="72"/>
              <w:lang w:val="en-US" w:eastAsia="zh-CN" w:bidi="ar-SA"/>
            </w:rPr>
            <w:instrText xml:space="preserve"> HYPERLINK \l _Toc9269 </w:instrText>
          </w:r>
          <w:r>
            <w:rPr>
              <w:rFonts w:hint="eastAsia" w:ascii="方正小标宋简体" w:hAnsi="方正小标宋简体" w:eastAsia="方正小标宋简体" w:cs="方正小标宋简体"/>
              <w:kern w:val="2"/>
              <w:szCs w:val="72"/>
              <w:lang w:val="en-US" w:eastAsia="zh-CN" w:bidi="ar-SA"/>
            </w:rPr>
            <w:fldChar w:fldCharType="separate"/>
          </w:r>
          <w:r>
            <w:rPr>
              <w:rFonts w:hint="eastAsia" w:ascii="黑体" w:hAnsi="黑体" w:eastAsia="黑体"/>
            </w:rPr>
            <w:t xml:space="preserve">第二部分 </w:t>
          </w:r>
          <w:r>
            <w:rPr>
              <w:rFonts w:hint="eastAsia" w:ascii="黑体" w:hAnsi="黑体" w:eastAsia="黑体"/>
              <w:lang w:eastAsia="zh-CN"/>
            </w:rPr>
            <w:t>2024</w:t>
          </w:r>
          <w:r>
            <w:rPr>
              <w:rFonts w:hint="eastAsia" w:ascii="黑体" w:hAnsi="黑体" w:eastAsia="黑体"/>
            </w:rPr>
            <w:t>年度</w:t>
          </w:r>
          <w:r>
            <w:rPr>
              <w:rFonts w:hint="eastAsia" w:ascii="黑体" w:hAnsi="黑体" w:eastAsia="黑体"/>
              <w:bCs/>
            </w:rPr>
            <w:t>单位决算情况说明</w:t>
          </w:r>
          <w:r>
            <w:tab/>
          </w:r>
          <w:r>
            <w:fldChar w:fldCharType="begin"/>
          </w:r>
          <w:r>
            <w:instrText xml:space="preserve"> PAGEREF _Toc9269 \h </w:instrText>
          </w:r>
          <w:r>
            <w:fldChar w:fldCharType="separate"/>
          </w:r>
          <w:r>
            <w:t>6</w:t>
          </w:r>
          <w:r>
            <w:fldChar w:fldCharType="end"/>
          </w:r>
          <w:r>
            <w:rPr>
              <w:rFonts w:hint="eastAsia" w:ascii="方正小标宋简体" w:hAnsi="方正小标宋简体" w:eastAsia="方正小标宋简体" w:cs="方正小标宋简体"/>
              <w:kern w:val="2"/>
              <w:szCs w:val="72"/>
              <w:lang w:val="en-US" w:eastAsia="zh-CN" w:bidi="ar-SA"/>
            </w:rPr>
            <w:fldChar w:fldCharType="end"/>
          </w:r>
        </w:p>
        <w:p w14:paraId="6E3ED770">
          <w:pPr>
            <w:pStyle w:val="11"/>
            <w:tabs>
              <w:tab w:val="right" w:leader="dot" w:pos="8306"/>
              <w:tab w:val="clear" w:pos="8296"/>
            </w:tabs>
          </w:pPr>
          <w:r>
            <w:rPr>
              <w:rFonts w:hint="eastAsia" w:ascii="方正小标宋简体" w:hAnsi="方正小标宋简体" w:eastAsia="方正小标宋简体" w:cs="方正小标宋简体"/>
              <w:kern w:val="2"/>
              <w:szCs w:val="72"/>
              <w:lang w:val="en-US" w:eastAsia="zh-CN" w:bidi="ar-SA"/>
            </w:rPr>
            <w:fldChar w:fldCharType="begin"/>
          </w:r>
          <w:r>
            <w:rPr>
              <w:rFonts w:hint="eastAsia" w:ascii="方正小标宋简体" w:hAnsi="方正小标宋简体" w:eastAsia="方正小标宋简体" w:cs="方正小标宋简体"/>
              <w:kern w:val="2"/>
              <w:szCs w:val="72"/>
              <w:lang w:val="en-US" w:eastAsia="zh-CN" w:bidi="ar-SA"/>
            </w:rPr>
            <w:instrText xml:space="preserve"> HYPERLINK \l _Toc10691 </w:instrText>
          </w:r>
          <w:r>
            <w:rPr>
              <w:rFonts w:hint="eastAsia" w:ascii="方正小标宋简体" w:hAnsi="方正小标宋简体" w:eastAsia="方正小标宋简体" w:cs="方正小标宋简体"/>
              <w:kern w:val="2"/>
              <w:szCs w:val="72"/>
              <w:lang w:val="en-US" w:eastAsia="zh-CN" w:bidi="ar-SA"/>
            </w:rPr>
            <w:fldChar w:fldCharType="separate"/>
          </w:r>
          <w:r>
            <w:rPr>
              <w:rFonts w:hint="eastAsia" w:ascii="黑体" w:hAnsi="黑体" w:eastAsia="黑体" w:cs="黑体"/>
              <w:szCs w:val="44"/>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_Toc10691 \h </w:instrText>
          </w:r>
          <w:r>
            <w:fldChar w:fldCharType="separate"/>
          </w:r>
          <w:r>
            <w:t>13</w:t>
          </w:r>
          <w:r>
            <w:fldChar w:fldCharType="end"/>
          </w:r>
          <w:r>
            <w:rPr>
              <w:rFonts w:hint="eastAsia" w:ascii="方正小标宋简体" w:hAnsi="方正小标宋简体" w:eastAsia="方正小标宋简体" w:cs="方正小标宋简体"/>
              <w:kern w:val="2"/>
              <w:szCs w:val="72"/>
              <w:lang w:val="en-US" w:eastAsia="zh-CN" w:bidi="ar-SA"/>
            </w:rPr>
            <w:fldChar w:fldCharType="end"/>
          </w:r>
        </w:p>
        <w:p w14:paraId="5DD0C9D4">
          <w:pPr>
            <w:pStyle w:val="11"/>
            <w:tabs>
              <w:tab w:val="right" w:leader="dot" w:pos="8306"/>
              <w:tab w:val="clear" w:pos="8296"/>
            </w:tabs>
          </w:pPr>
          <w:r>
            <w:rPr>
              <w:rFonts w:hint="eastAsia" w:ascii="方正小标宋简体" w:hAnsi="方正小标宋简体" w:eastAsia="方正小标宋简体" w:cs="方正小标宋简体"/>
              <w:kern w:val="2"/>
              <w:szCs w:val="72"/>
              <w:lang w:val="en-US" w:eastAsia="zh-CN" w:bidi="ar-SA"/>
            </w:rPr>
            <w:fldChar w:fldCharType="begin"/>
          </w:r>
          <w:r>
            <w:rPr>
              <w:rFonts w:hint="eastAsia" w:ascii="方正小标宋简体" w:hAnsi="方正小标宋简体" w:eastAsia="方正小标宋简体" w:cs="方正小标宋简体"/>
              <w:kern w:val="2"/>
              <w:szCs w:val="72"/>
              <w:lang w:val="en-US" w:eastAsia="zh-CN" w:bidi="ar-SA"/>
            </w:rPr>
            <w:instrText xml:space="preserve"> HYPERLINK \l _Toc14148 </w:instrText>
          </w:r>
          <w:r>
            <w:rPr>
              <w:rFonts w:hint="eastAsia" w:ascii="方正小标宋简体" w:hAnsi="方正小标宋简体" w:eastAsia="方正小标宋简体" w:cs="方正小标宋简体"/>
              <w:kern w:val="2"/>
              <w:szCs w:val="72"/>
              <w:lang w:val="en-US" w:eastAsia="zh-CN" w:bidi="ar-SA"/>
            </w:rPr>
            <w:fldChar w:fldCharType="separate"/>
          </w:r>
          <w:r>
            <w:rPr>
              <w:rFonts w:hint="eastAsia" w:ascii="黑体" w:hAnsi="黑体" w:eastAsia="黑体"/>
            </w:rPr>
            <w:t>第四部分 附件</w:t>
          </w:r>
          <w:r>
            <w:tab/>
          </w:r>
          <w:r>
            <w:fldChar w:fldCharType="begin"/>
          </w:r>
          <w:r>
            <w:instrText xml:space="preserve"> PAGEREF _Toc14148 \h </w:instrText>
          </w:r>
          <w:r>
            <w:fldChar w:fldCharType="separate"/>
          </w:r>
          <w:r>
            <w:t>16</w:t>
          </w:r>
          <w:r>
            <w:fldChar w:fldCharType="end"/>
          </w:r>
          <w:r>
            <w:rPr>
              <w:rFonts w:hint="eastAsia" w:ascii="方正小标宋简体" w:hAnsi="方正小标宋简体" w:eastAsia="方正小标宋简体" w:cs="方正小标宋简体"/>
              <w:kern w:val="2"/>
              <w:szCs w:val="72"/>
              <w:lang w:val="en-US" w:eastAsia="zh-CN" w:bidi="ar-SA"/>
            </w:rPr>
            <w:fldChar w:fldCharType="end"/>
          </w:r>
        </w:p>
        <w:p w14:paraId="00D697A9">
          <w:pPr>
            <w:pStyle w:val="11"/>
            <w:tabs>
              <w:tab w:val="right" w:leader="dot" w:pos="8306"/>
              <w:tab w:val="clear" w:pos="8296"/>
            </w:tabs>
          </w:pPr>
          <w:r>
            <w:rPr>
              <w:rFonts w:hint="eastAsia" w:ascii="方正小标宋简体" w:hAnsi="方正小标宋简体" w:eastAsia="方正小标宋简体" w:cs="方正小标宋简体"/>
              <w:kern w:val="2"/>
              <w:szCs w:val="72"/>
              <w:lang w:val="en-US" w:eastAsia="zh-CN" w:bidi="ar-SA"/>
            </w:rPr>
            <w:fldChar w:fldCharType="begin"/>
          </w:r>
          <w:r>
            <w:rPr>
              <w:rFonts w:hint="eastAsia" w:ascii="方正小标宋简体" w:hAnsi="方正小标宋简体" w:eastAsia="方正小标宋简体" w:cs="方正小标宋简体"/>
              <w:kern w:val="2"/>
              <w:szCs w:val="72"/>
              <w:lang w:val="en-US" w:eastAsia="zh-CN" w:bidi="ar-SA"/>
            </w:rPr>
            <w:instrText xml:space="preserve"> HYPERLINK \l _Toc31664 </w:instrText>
          </w:r>
          <w:r>
            <w:rPr>
              <w:rFonts w:hint="eastAsia" w:ascii="方正小标宋简体" w:hAnsi="方正小标宋简体" w:eastAsia="方正小标宋简体" w:cs="方正小标宋简体"/>
              <w:kern w:val="2"/>
              <w:szCs w:val="72"/>
              <w:lang w:val="en-US" w:eastAsia="zh-CN" w:bidi="ar-SA"/>
            </w:rPr>
            <w:fldChar w:fldCharType="separate"/>
          </w:r>
          <w:r>
            <w:rPr>
              <w:rFonts w:hint="eastAsia" w:ascii="仿宋" w:hAnsi="仿宋" w:eastAsia="仿宋" w:cs="仿宋"/>
              <w:kern w:val="0"/>
              <w:szCs w:val="32"/>
              <w:highlight w:val="none"/>
              <w:shd w:val="clear" w:color="auto" w:fill="FFFFFF"/>
            </w:rPr>
            <w:t>三、部门</w:t>
          </w:r>
          <w:r>
            <w:rPr>
              <w:rFonts w:hint="eastAsia" w:ascii="仿宋" w:hAnsi="仿宋" w:eastAsia="仿宋" w:cs="仿宋"/>
              <w:kern w:val="0"/>
              <w:szCs w:val="32"/>
              <w:highlight w:val="none"/>
              <w:shd w:val="clear" w:color="auto" w:fill="FFFFFF"/>
              <w:lang w:eastAsia="zh-CN"/>
            </w:rPr>
            <w:t>预算</w:t>
          </w:r>
          <w:r>
            <w:rPr>
              <w:rFonts w:hint="eastAsia" w:ascii="仿宋" w:hAnsi="仿宋" w:eastAsia="仿宋" w:cs="仿宋"/>
              <w:kern w:val="0"/>
              <w:szCs w:val="32"/>
              <w:highlight w:val="none"/>
              <w:shd w:val="clear" w:color="auto" w:fill="FFFFFF"/>
            </w:rPr>
            <w:t>绩效</w:t>
          </w:r>
          <w:r>
            <w:rPr>
              <w:rFonts w:hint="eastAsia" w:ascii="仿宋" w:hAnsi="仿宋" w:eastAsia="仿宋" w:cs="仿宋"/>
              <w:kern w:val="0"/>
              <w:szCs w:val="32"/>
              <w:highlight w:val="none"/>
              <w:shd w:val="clear" w:color="auto" w:fill="FFFFFF"/>
              <w:lang w:eastAsia="zh-CN"/>
            </w:rPr>
            <w:t>分析</w:t>
          </w:r>
          <w:r>
            <w:tab/>
          </w:r>
          <w:r>
            <w:fldChar w:fldCharType="begin"/>
          </w:r>
          <w:r>
            <w:instrText xml:space="preserve"> PAGEREF _Toc31664 \h </w:instrText>
          </w:r>
          <w:r>
            <w:fldChar w:fldCharType="separate"/>
          </w:r>
          <w:r>
            <w:t>18</w:t>
          </w:r>
          <w:r>
            <w:fldChar w:fldCharType="end"/>
          </w:r>
          <w:r>
            <w:rPr>
              <w:rFonts w:hint="eastAsia" w:ascii="方正小标宋简体" w:hAnsi="方正小标宋简体" w:eastAsia="方正小标宋简体" w:cs="方正小标宋简体"/>
              <w:kern w:val="2"/>
              <w:szCs w:val="72"/>
              <w:lang w:val="en-US" w:eastAsia="zh-CN" w:bidi="ar-SA"/>
            </w:rPr>
            <w:fldChar w:fldCharType="end"/>
          </w:r>
        </w:p>
        <w:p w14:paraId="28409183">
          <w:pPr>
            <w:pStyle w:val="11"/>
            <w:tabs>
              <w:tab w:val="right" w:leader="dot" w:pos="8306"/>
              <w:tab w:val="clear" w:pos="8296"/>
            </w:tabs>
          </w:pPr>
          <w:r>
            <w:rPr>
              <w:rFonts w:hint="eastAsia" w:ascii="方正小标宋简体" w:hAnsi="方正小标宋简体" w:eastAsia="方正小标宋简体" w:cs="方正小标宋简体"/>
              <w:kern w:val="2"/>
              <w:szCs w:val="72"/>
              <w:lang w:val="en-US" w:eastAsia="zh-CN" w:bidi="ar-SA"/>
            </w:rPr>
            <w:fldChar w:fldCharType="begin"/>
          </w:r>
          <w:r>
            <w:rPr>
              <w:rFonts w:hint="eastAsia" w:ascii="方正小标宋简体" w:hAnsi="方正小标宋简体" w:eastAsia="方正小标宋简体" w:cs="方正小标宋简体"/>
              <w:kern w:val="2"/>
              <w:szCs w:val="72"/>
              <w:lang w:val="en-US" w:eastAsia="zh-CN" w:bidi="ar-SA"/>
            </w:rPr>
            <w:instrText xml:space="preserve"> HYPERLINK \l _Toc20818 </w:instrText>
          </w:r>
          <w:r>
            <w:rPr>
              <w:rFonts w:hint="eastAsia" w:ascii="方正小标宋简体" w:hAnsi="方正小标宋简体" w:eastAsia="方正小标宋简体" w:cs="方正小标宋简体"/>
              <w:kern w:val="2"/>
              <w:szCs w:val="72"/>
              <w:lang w:val="en-US" w:eastAsia="zh-CN" w:bidi="ar-SA"/>
            </w:rPr>
            <w:fldChar w:fldCharType="separate"/>
          </w:r>
          <w:r>
            <w:rPr>
              <w:rFonts w:hint="eastAsia" w:ascii="仿宋" w:hAnsi="仿宋" w:eastAsia="仿宋" w:cs="仿宋"/>
              <w:kern w:val="0"/>
              <w:szCs w:val="32"/>
              <w:highlight w:val="none"/>
              <w:shd w:val="clear" w:color="auto" w:fill="FFFFFF"/>
              <w:lang w:eastAsia="zh-CN"/>
            </w:rPr>
            <w:t>四、</w:t>
          </w:r>
          <w:r>
            <w:rPr>
              <w:rFonts w:hint="eastAsia" w:ascii="仿宋" w:hAnsi="仿宋" w:eastAsia="仿宋" w:cs="仿宋"/>
              <w:kern w:val="0"/>
              <w:szCs w:val="32"/>
              <w:highlight w:val="none"/>
              <w:shd w:val="clear" w:color="auto" w:fill="FFFFFF"/>
            </w:rPr>
            <w:t>评价结论及建议</w:t>
          </w:r>
          <w:r>
            <w:tab/>
          </w:r>
          <w:r>
            <w:fldChar w:fldCharType="begin"/>
          </w:r>
          <w:r>
            <w:instrText xml:space="preserve"> PAGEREF _Toc20818 \h </w:instrText>
          </w:r>
          <w:r>
            <w:fldChar w:fldCharType="separate"/>
          </w:r>
          <w:r>
            <w:t>20</w:t>
          </w:r>
          <w:r>
            <w:fldChar w:fldCharType="end"/>
          </w:r>
          <w:r>
            <w:rPr>
              <w:rFonts w:hint="eastAsia" w:ascii="方正小标宋简体" w:hAnsi="方正小标宋简体" w:eastAsia="方正小标宋简体" w:cs="方正小标宋简体"/>
              <w:kern w:val="2"/>
              <w:szCs w:val="72"/>
              <w:lang w:val="en-US" w:eastAsia="zh-CN" w:bidi="ar-SA"/>
            </w:rPr>
            <w:fldChar w:fldCharType="end"/>
          </w:r>
        </w:p>
        <w:p w14:paraId="4AED3562">
          <w:pPr>
            <w:pStyle w:val="11"/>
            <w:tabs>
              <w:tab w:val="right" w:leader="dot" w:pos="8306"/>
              <w:tab w:val="clear" w:pos="8296"/>
            </w:tabs>
          </w:pPr>
          <w:r>
            <w:rPr>
              <w:rFonts w:hint="eastAsia" w:ascii="方正小标宋简体" w:hAnsi="方正小标宋简体" w:eastAsia="方正小标宋简体" w:cs="方正小标宋简体"/>
              <w:kern w:val="2"/>
              <w:szCs w:val="72"/>
              <w:lang w:val="en-US" w:eastAsia="zh-CN" w:bidi="ar-SA"/>
            </w:rPr>
            <w:fldChar w:fldCharType="begin"/>
          </w:r>
          <w:r>
            <w:rPr>
              <w:rFonts w:hint="eastAsia" w:ascii="方正小标宋简体" w:hAnsi="方正小标宋简体" w:eastAsia="方正小标宋简体" w:cs="方正小标宋简体"/>
              <w:kern w:val="2"/>
              <w:szCs w:val="72"/>
              <w:lang w:val="en-US" w:eastAsia="zh-CN" w:bidi="ar-SA"/>
            </w:rPr>
            <w:instrText xml:space="preserve"> HYPERLINK \l _Toc27310 </w:instrText>
          </w:r>
          <w:r>
            <w:rPr>
              <w:rFonts w:hint="eastAsia" w:ascii="方正小标宋简体" w:hAnsi="方正小标宋简体" w:eastAsia="方正小标宋简体" w:cs="方正小标宋简体"/>
              <w:kern w:val="2"/>
              <w:szCs w:val="72"/>
              <w:lang w:val="en-US" w:eastAsia="zh-CN" w:bidi="ar-SA"/>
            </w:rPr>
            <w:fldChar w:fldCharType="separate"/>
          </w:r>
          <w:r>
            <w:rPr>
              <w:rFonts w:hint="eastAsia" w:ascii="黑体" w:hAnsi="黑体" w:eastAsia="黑体"/>
            </w:rPr>
            <w:t>第五部分 附表</w:t>
          </w:r>
          <w:r>
            <w:tab/>
          </w:r>
          <w:r>
            <w:fldChar w:fldCharType="begin"/>
          </w:r>
          <w:r>
            <w:instrText xml:space="preserve"> PAGEREF _Toc27310 \h </w:instrText>
          </w:r>
          <w:r>
            <w:fldChar w:fldCharType="separate"/>
          </w:r>
          <w:r>
            <w:t>34</w:t>
          </w:r>
          <w:r>
            <w:fldChar w:fldCharType="end"/>
          </w:r>
          <w:r>
            <w:rPr>
              <w:rFonts w:hint="eastAsia" w:ascii="方正小标宋简体" w:hAnsi="方正小标宋简体" w:eastAsia="方正小标宋简体" w:cs="方正小标宋简体"/>
              <w:kern w:val="2"/>
              <w:szCs w:val="72"/>
              <w:lang w:val="en-US" w:eastAsia="zh-CN" w:bidi="ar-SA"/>
            </w:rPr>
            <w:fldChar w:fldCharType="end"/>
          </w:r>
        </w:p>
        <w:p w14:paraId="4A68ADB2">
          <w:pPr>
            <w:adjustRightInd w:val="0"/>
            <w:snapToGrid w:val="0"/>
            <w:spacing w:line="360" w:lineRule="auto"/>
            <w:ind w:firstLine="840" w:firstLineChars="400"/>
            <w:jc w:val="both"/>
            <w:outlineLvl w:val="0"/>
            <w:rPr>
              <w:rFonts w:hint="eastAsia" w:ascii="方正小标宋简体" w:hAnsi="方正小标宋简体" w:eastAsia="方正小标宋简体" w:cs="方正小标宋简体"/>
              <w:kern w:val="2"/>
              <w:sz w:val="21"/>
              <w:szCs w:val="72"/>
              <w:lang w:val="en-US" w:eastAsia="zh-CN" w:bidi="ar-SA"/>
            </w:rPr>
          </w:pPr>
          <w:r>
            <w:rPr>
              <w:rFonts w:hint="eastAsia" w:ascii="方正小标宋简体" w:hAnsi="方正小标宋简体" w:eastAsia="方正小标宋简体" w:cs="方正小标宋简体"/>
              <w:kern w:val="2"/>
              <w:szCs w:val="72"/>
              <w:lang w:val="en-US" w:eastAsia="zh-CN" w:bidi="ar-SA"/>
            </w:rPr>
            <w:fldChar w:fldCharType="end"/>
          </w:r>
        </w:p>
      </w:sdtContent>
    </w:sdt>
    <w:p w14:paraId="14E2234B">
      <w:pPr>
        <w:adjustRightInd w:val="0"/>
        <w:snapToGrid w:val="0"/>
        <w:spacing w:line="360" w:lineRule="auto"/>
        <w:ind w:firstLine="840" w:firstLineChars="400"/>
        <w:jc w:val="both"/>
        <w:outlineLvl w:val="0"/>
        <w:rPr>
          <w:rFonts w:hint="eastAsia" w:ascii="方正小标宋简体" w:hAnsi="方正小标宋简体" w:eastAsia="方正小标宋简体" w:cs="方正小标宋简体"/>
          <w:kern w:val="2"/>
          <w:sz w:val="21"/>
          <w:szCs w:val="72"/>
          <w:lang w:val="en-US" w:eastAsia="zh-CN" w:bidi="ar-SA"/>
        </w:rPr>
      </w:pPr>
    </w:p>
    <w:p w14:paraId="7C9DA57A">
      <w:pPr>
        <w:adjustRightInd w:val="0"/>
        <w:snapToGrid w:val="0"/>
        <w:spacing w:line="360" w:lineRule="auto"/>
        <w:ind w:firstLine="840" w:firstLineChars="400"/>
        <w:jc w:val="both"/>
        <w:outlineLvl w:val="0"/>
        <w:rPr>
          <w:rFonts w:hint="eastAsia" w:ascii="方正小标宋简体" w:hAnsi="方正小标宋简体" w:eastAsia="方正小标宋简体" w:cs="方正小标宋简体"/>
          <w:kern w:val="2"/>
          <w:sz w:val="21"/>
          <w:szCs w:val="72"/>
          <w:lang w:val="en-US" w:eastAsia="zh-CN" w:bidi="ar-SA"/>
        </w:rPr>
      </w:pPr>
    </w:p>
    <w:p w14:paraId="6D4979D1">
      <w:pPr>
        <w:adjustRightInd w:val="0"/>
        <w:snapToGrid w:val="0"/>
        <w:spacing w:line="360" w:lineRule="auto"/>
        <w:ind w:firstLine="840" w:firstLineChars="400"/>
        <w:jc w:val="both"/>
        <w:outlineLvl w:val="0"/>
        <w:rPr>
          <w:rFonts w:hint="eastAsia" w:ascii="方正小标宋简体" w:hAnsi="方正小标宋简体" w:eastAsia="方正小标宋简体" w:cs="方正小标宋简体"/>
          <w:kern w:val="2"/>
          <w:sz w:val="21"/>
          <w:szCs w:val="72"/>
          <w:lang w:val="en-US" w:eastAsia="zh-CN" w:bidi="ar-SA"/>
        </w:rPr>
      </w:pPr>
    </w:p>
    <w:p w14:paraId="381DC13B">
      <w:pPr>
        <w:adjustRightInd w:val="0"/>
        <w:snapToGrid w:val="0"/>
        <w:spacing w:line="360" w:lineRule="auto"/>
        <w:ind w:firstLine="840" w:firstLineChars="400"/>
        <w:jc w:val="both"/>
        <w:outlineLvl w:val="0"/>
        <w:rPr>
          <w:rFonts w:hint="eastAsia" w:ascii="方正小标宋简体" w:hAnsi="方正小标宋简体" w:eastAsia="方正小标宋简体" w:cs="方正小标宋简体"/>
          <w:kern w:val="2"/>
          <w:sz w:val="21"/>
          <w:szCs w:val="72"/>
          <w:lang w:val="en-US" w:eastAsia="zh-CN" w:bidi="ar-SA"/>
        </w:rPr>
      </w:pPr>
    </w:p>
    <w:p w14:paraId="0FCB3140">
      <w:pPr>
        <w:adjustRightInd w:val="0"/>
        <w:snapToGrid w:val="0"/>
        <w:spacing w:line="360" w:lineRule="auto"/>
        <w:ind w:firstLine="840" w:firstLineChars="400"/>
        <w:jc w:val="both"/>
        <w:outlineLvl w:val="0"/>
        <w:rPr>
          <w:rFonts w:hint="eastAsia" w:ascii="方正小标宋简体" w:hAnsi="方正小标宋简体" w:eastAsia="方正小标宋简体" w:cs="方正小标宋简体"/>
          <w:kern w:val="2"/>
          <w:sz w:val="21"/>
          <w:szCs w:val="72"/>
          <w:lang w:val="en-US" w:eastAsia="zh-CN" w:bidi="ar-SA"/>
        </w:rPr>
      </w:pPr>
    </w:p>
    <w:p w14:paraId="104C7A99">
      <w:pPr>
        <w:adjustRightInd w:val="0"/>
        <w:snapToGrid w:val="0"/>
        <w:spacing w:line="360" w:lineRule="auto"/>
        <w:ind w:firstLine="840" w:firstLineChars="400"/>
        <w:jc w:val="both"/>
        <w:outlineLvl w:val="0"/>
        <w:rPr>
          <w:rFonts w:hint="eastAsia" w:ascii="方正小标宋简体" w:hAnsi="方正小标宋简体" w:eastAsia="方正小标宋简体" w:cs="方正小标宋简体"/>
          <w:kern w:val="2"/>
          <w:sz w:val="21"/>
          <w:szCs w:val="72"/>
          <w:lang w:val="en-US" w:eastAsia="zh-CN" w:bidi="ar-SA"/>
        </w:rPr>
      </w:pPr>
    </w:p>
    <w:p w14:paraId="2BCA8065">
      <w:pPr>
        <w:adjustRightInd w:val="0"/>
        <w:snapToGrid w:val="0"/>
        <w:spacing w:line="360" w:lineRule="auto"/>
        <w:ind w:firstLine="840" w:firstLineChars="400"/>
        <w:jc w:val="both"/>
        <w:outlineLvl w:val="0"/>
        <w:rPr>
          <w:rFonts w:hint="eastAsia" w:ascii="方正小标宋简体" w:hAnsi="方正小标宋简体" w:eastAsia="方正小标宋简体" w:cs="方正小标宋简体"/>
          <w:kern w:val="2"/>
          <w:sz w:val="21"/>
          <w:szCs w:val="72"/>
          <w:lang w:val="en-US" w:eastAsia="zh-CN" w:bidi="ar-SA"/>
        </w:rPr>
      </w:pPr>
    </w:p>
    <w:p w14:paraId="7E6895EB">
      <w:pPr>
        <w:adjustRightInd w:val="0"/>
        <w:snapToGrid w:val="0"/>
        <w:spacing w:line="360" w:lineRule="auto"/>
        <w:ind w:firstLine="840" w:firstLineChars="400"/>
        <w:jc w:val="both"/>
        <w:outlineLvl w:val="0"/>
        <w:rPr>
          <w:rFonts w:hint="eastAsia" w:ascii="方正小标宋简体" w:hAnsi="方正小标宋简体" w:eastAsia="方正小标宋简体" w:cs="方正小标宋简体"/>
          <w:kern w:val="2"/>
          <w:sz w:val="21"/>
          <w:szCs w:val="72"/>
          <w:lang w:val="en-US" w:eastAsia="zh-CN" w:bidi="ar-SA"/>
        </w:rPr>
      </w:pPr>
    </w:p>
    <w:p w14:paraId="700BBDAF">
      <w:pPr>
        <w:adjustRightInd w:val="0"/>
        <w:snapToGrid w:val="0"/>
        <w:spacing w:line="360" w:lineRule="auto"/>
        <w:ind w:firstLine="840" w:firstLineChars="400"/>
        <w:jc w:val="both"/>
        <w:outlineLvl w:val="0"/>
        <w:rPr>
          <w:rFonts w:hint="eastAsia" w:ascii="方正小标宋简体" w:hAnsi="方正小标宋简体" w:eastAsia="方正小标宋简体" w:cs="方正小标宋简体"/>
          <w:kern w:val="2"/>
          <w:sz w:val="21"/>
          <w:szCs w:val="72"/>
          <w:lang w:val="en-US" w:eastAsia="zh-CN" w:bidi="ar-SA"/>
        </w:rPr>
      </w:pPr>
    </w:p>
    <w:p w14:paraId="0956426B">
      <w:pPr>
        <w:adjustRightInd w:val="0"/>
        <w:snapToGrid w:val="0"/>
        <w:spacing w:line="360" w:lineRule="auto"/>
        <w:ind w:firstLine="840" w:firstLineChars="400"/>
        <w:jc w:val="both"/>
        <w:outlineLvl w:val="0"/>
        <w:rPr>
          <w:rFonts w:hint="eastAsia" w:ascii="方正小标宋简体" w:hAnsi="方正小标宋简体" w:eastAsia="方正小标宋简体" w:cs="方正小标宋简体"/>
          <w:kern w:val="2"/>
          <w:sz w:val="21"/>
          <w:szCs w:val="72"/>
          <w:lang w:val="en-US" w:eastAsia="zh-CN" w:bidi="ar-SA"/>
        </w:rPr>
      </w:pPr>
    </w:p>
    <w:p w14:paraId="13A495B1">
      <w:pPr>
        <w:adjustRightInd w:val="0"/>
        <w:snapToGrid w:val="0"/>
        <w:spacing w:line="360" w:lineRule="auto"/>
        <w:ind w:firstLine="2880" w:firstLineChars="400"/>
        <w:jc w:val="both"/>
        <w:outlineLvl w:val="0"/>
        <w:rPr>
          <w:rFonts w:ascii="方正小标宋简体" w:hAnsi="方正小标宋简体" w:eastAsia="方正小标宋简体" w:cs="方正小标宋简体"/>
          <w:sz w:val="72"/>
          <w:szCs w:val="72"/>
        </w:rPr>
      </w:pPr>
      <w:bookmarkStart w:id="0" w:name="_Toc28969"/>
      <w:r>
        <w:rPr>
          <w:rFonts w:hint="eastAsia" w:ascii="方正小标宋简体" w:hAnsi="方正小标宋简体" w:eastAsia="方正小标宋简体" w:cs="方正小标宋简体"/>
          <w:sz w:val="72"/>
          <w:szCs w:val="72"/>
          <w:lang w:eastAsia="zh-CN"/>
        </w:rPr>
        <w:t>2024</w:t>
      </w:r>
      <w:r>
        <w:rPr>
          <w:rFonts w:hint="eastAsia" w:ascii="方正小标宋简体" w:hAnsi="方正小标宋简体" w:eastAsia="方正小标宋简体" w:cs="方正小标宋简体"/>
          <w:sz w:val="72"/>
          <w:szCs w:val="72"/>
        </w:rPr>
        <w:t>年度</w:t>
      </w:r>
      <w:bookmarkEnd w:id="0"/>
    </w:p>
    <w:p w14:paraId="0C1AAE39">
      <w:pPr>
        <w:adjustRightInd w:val="0"/>
        <w:snapToGrid w:val="0"/>
        <w:spacing w:line="360" w:lineRule="auto"/>
        <w:ind w:left="720" w:hanging="720" w:hangingChars="100"/>
        <w:jc w:val="center"/>
        <w:outlineLvl w:val="0"/>
        <w:rPr>
          <w:rFonts w:hint="eastAsia" w:ascii="方正小标宋简体" w:hAnsi="方正小标宋简体" w:eastAsia="方正小标宋简体" w:cs="方正小标宋简体"/>
          <w:sz w:val="72"/>
          <w:szCs w:val="72"/>
          <w:lang w:eastAsia="zh-CN"/>
        </w:rPr>
      </w:pPr>
      <w:bookmarkStart w:id="1" w:name="_Toc15377194"/>
      <w:bookmarkStart w:id="2" w:name="_Toc15378442"/>
      <w:bookmarkStart w:id="3" w:name="_Toc15377426"/>
      <w:bookmarkStart w:id="4" w:name="_Toc15396476"/>
      <w:bookmarkStart w:id="5" w:name="_Toc15396598"/>
      <w:r>
        <w:rPr>
          <w:rFonts w:hint="eastAsia" w:ascii="方正小标宋简体" w:hAnsi="方正小标宋简体" w:eastAsia="方正小标宋简体" w:cs="方正小标宋简体"/>
          <w:sz w:val="72"/>
          <w:szCs w:val="72"/>
          <w:lang w:val="en-US" w:eastAsia="zh-CN"/>
        </w:rPr>
        <w:t xml:space="preserve"> </w:t>
      </w:r>
      <w:bookmarkStart w:id="6" w:name="_Toc24358"/>
      <w:r>
        <w:rPr>
          <w:rFonts w:hint="eastAsia" w:ascii="方正小标宋简体" w:hAnsi="方正小标宋简体" w:eastAsia="方正小标宋简体" w:cs="方正小标宋简体"/>
          <w:sz w:val="72"/>
          <w:szCs w:val="72"/>
        </w:rPr>
        <w:t>四川省</w:t>
      </w:r>
      <w:bookmarkStart w:id="7" w:name="_Toc15306268"/>
      <w:r>
        <w:rPr>
          <w:rFonts w:hint="eastAsia" w:ascii="方正小标宋简体" w:hAnsi="方正小标宋简体" w:eastAsia="方正小标宋简体" w:cs="方正小标宋简体"/>
          <w:sz w:val="72"/>
          <w:szCs w:val="72"/>
          <w:lang w:eastAsia="zh-CN"/>
        </w:rPr>
        <w:t>阿坝州九寨沟县</w:t>
      </w:r>
      <w:bookmarkEnd w:id="6"/>
    </w:p>
    <w:p w14:paraId="1D656B5E">
      <w:pPr>
        <w:adjustRightInd w:val="0"/>
        <w:snapToGrid w:val="0"/>
        <w:spacing w:line="360" w:lineRule="auto"/>
        <w:ind w:left="720" w:hanging="720" w:hangingChars="100"/>
        <w:jc w:val="center"/>
        <w:outlineLvl w:val="0"/>
        <w:rPr>
          <w:rFonts w:hint="eastAsia" w:ascii="方正小标宋简体" w:hAnsi="方正小标宋简体" w:eastAsia="方正小标宋简体" w:cs="方正小标宋简体"/>
          <w:sz w:val="72"/>
          <w:szCs w:val="72"/>
        </w:rPr>
      </w:pPr>
      <w:bookmarkStart w:id="8" w:name="_Toc20977"/>
      <w:r>
        <w:rPr>
          <w:rFonts w:hint="eastAsia" w:ascii="方正小标宋简体" w:hAnsi="方正小标宋简体" w:eastAsia="方正小标宋简体" w:cs="方正小标宋简体"/>
          <w:sz w:val="72"/>
          <w:szCs w:val="72"/>
          <w:lang w:eastAsia="zh-CN"/>
        </w:rPr>
        <w:t>人民政府办公室</w:t>
      </w:r>
      <w:r>
        <w:rPr>
          <w:rFonts w:hint="eastAsia" w:ascii="方正小标宋简体" w:hAnsi="方正小标宋简体" w:eastAsia="方正小标宋简体" w:cs="方正小标宋简体"/>
          <w:sz w:val="72"/>
          <w:szCs w:val="72"/>
        </w:rPr>
        <w:t>单位</w:t>
      </w:r>
      <w:bookmarkEnd w:id="8"/>
    </w:p>
    <w:p w14:paraId="46E3B1D3">
      <w:pPr>
        <w:adjustRightInd w:val="0"/>
        <w:snapToGrid w:val="0"/>
        <w:spacing w:line="360" w:lineRule="auto"/>
        <w:ind w:left="720" w:hanging="720" w:hangingChars="100"/>
        <w:jc w:val="center"/>
        <w:outlineLvl w:val="0"/>
        <w:rPr>
          <w:rFonts w:hint="eastAsia" w:ascii="方正小标宋简体" w:hAnsi="方正小标宋简体" w:eastAsia="方正小标宋简体" w:cs="方正小标宋简体"/>
          <w:sz w:val="72"/>
          <w:szCs w:val="72"/>
          <w:lang w:eastAsia="zh-CN"/>
        </w:rPr>
      </w:pPr>
      <w:bookmarkStart w:id="9" w:name="_Toc3196"/>
      <w:r>
        <w:rPr>
          <w:rFonts w:hint="eastAsia" w:ascii="方正小标宋简体" w:hAnsi="方正小标宋简体" w:eastAsia="方正小标宋简体" w:cs="方正小标宋简体"/>
          <w:sz w:val="72"/>
          <w:szCs w:val="72"/>
        </w:rPr>
        <w:t>决算</w:t>
      </w:r>
      <w:bookmarkEnd w:id="1"/>
      <w:bookmarkEnd w:id="2"/>
      <w:bookmarkEnd w:id="3"/>
      <w:bookmarkEnd w:id="4"/>
      <w:bookmarkEnd w:id="5"/>
      <w:bookmarkEnd w:id="7"/>
      <w:r>
        <w:rPr>
          <w:rFonts w:hint="eastAsia" w:ascii="方正小标宋简体" w:hAnsi="方正小标宋简体" w:eastAsia="方正小标宋简体" w:cs="方正小标宋简体"/>
          <w:sz w:val="72"/>
          <w:szCs w:val="72"/>
          <w:lang w:eastAsia="zh-CN"/>
        </w:rPr>
        <w:t>公开</w:t>
      </w:r>
      <w:bookmarkEnd w:id="9"/>
    </w:p>
    <w:p w14:paraId="78562F55">
      <w:pPr>
        <w:adjustRightInd w:val="0"/>
        <w:snapToGrid w:val="0"/>
        <w:spacing w:line="360" w:lineRule="auto"/>
        <w:ind w:left="720" w:hanging="720" w:hangingChars="100"/>
        <w:jc w:val="center"/>
        <w:outlineLvl w:val="0"/>
        <w:rPr>
          <w:rFonts w:hint="eastAsia" w:ascii="方正小标宋简体" w:hAnsi="方正小标宋简体" w:eastAsia="方正小标宋简体" w:cs="方正小标宋简体"/>
          <w:sz w:val="72"/>
          <w:szCs w:val="72"/>
          <w:lang w:val="en-US" w:eastAsia="zh-CN"/>
        </w:rPr>
      </w:pPr>
    </w:p>
    <w:p w14:paraId="21C62AB9">
      <w:pPr>
        <w:pStyle w:val="11"/>
        <w:ind w:firstLine="560" w:firstLineChars="200"/>
      </w:pPr>
      <w:r>
        <w:t>已经保密审查、内容审定，同意对外公开</w:t>
      </w:r>
      <w:r>
        <w:rPr>
          <w:rFonts w:ascii="方正小标宋简体" w:hAnsi="宋体" w:eastAsia="方正小标宋简体"/>
          <w:sz w:val="36"/>
          <w:szCs w:val="36"/>
        </w:rPr>
        <w:br w:type="page"/>
      </w:r>
    </w:p>
    <w:p w14:paraId="4CCDA291">
      <w:pPr>
        <w:pStyle w:val="2"/>
        <w:ind w:firstLine="880" w:firstLineChars="200"/>
        <w:jc w:val="center"/>
        <w:rPr>
          <w:rStyle w:val="28"/>
          <w:rFonts w:ascii="黑体" w:hAnsi="黑体" w:eastAsia="黑体"/>
          <w:b/>
          <w:bCs w:val="0"/>
        </w:rPr>
      </w:pPr>
      <w:bookmarkStart w:id="10" w:name="_Toc15377196"/>
      <w:bookmarkStart w:id="11" w:name="_Toc15396599"/>
      <w:bookmarkStart w:id="12" w:name="_Toc2176"/>
      <w:r>
        <w:rPr>
          <w:rFonts w:hint="eastAsia" w:ascii="黑体" w:hAnsi="黑体" w:eastAsia="黑体"/>
          <w:b w:val="0"/>
        </w:rPr>
        <w:t>第一部分 单位</w:t>
      </w:r>
      <w:r>
        <w:rPr>
          <w:rStyle w:val="28"/>
          <w:rFonts w:hint="eastAsia" w:ascii="黑体" w:hAnsi="黑体" w:eastAsia="黑体"/>
          <w:b w:val="0"/>
          <w:bCs w:val="0"/>
        </w:rPr>
        <w:t>概况</w:t>
      </w:r>
      <w:bookmarkEnd w:id="10"/>
      <w:bookmarkEnd w:id="11"/>
      <w:bookmarkEnd w:id="12"/>
    </w:p>
    <w:p w14:paraId="30D31967">
      <w:pPr>
        <w:pStyle w:val="3"/>
        <w:numPr>
          <w:ilvl w:val="0"/>
          <w:numId w:val="1"/>
        </w:numPr>
        <w:ind w:firstLine="640" w:firstLineChars="200"/>
        <w:rPr>
          <w:rStyle w:val="29"/>
          <w:rFonts w:ascii="黑体" w:hAnsi="黑体" w:eastAsia="黑体"/>
          <w:b w:val="0"/>
          <w:bCs w:val="0"/>
        </w:rPr>
      </w:pPr>
      <w:bookmarkStart w:id="13" w:name="_Toc15396600"/>
      <w:bookmarkStart w:id="14" w:name="_Toc15377197"/>
      <w:r>
        <w:rPr>
          <w:rStyle w:val="29"/>
          <w:rFonts w:hint="eastAsia" w:ascii="黑体" w:hAnsi="黑体" w:eastAsia="黑体"/>
          <w:b w:val="0"/>
          <w:bCs w:val="0"/>
        </w:rPr>
        <w:t>主要职责</w:t>
      </w:r>
    </w:p>
    <w:p w14:paraId="0580F456">
      <w:pPr>
        <w:spacing w:line="520" w:lineRule="exact"/>
        <w:ind w:firstLine="643" w:firstLineChars="200"/>
        <w:outlineLvl w:val="2"/>
      </w:pPr>
      <w:bookmarkStart w:id="15" w:name="_Toc23564"/>
      <w:bookmarkStart w:id="16" w:name="_Toc24705"/>
      <w:r>
        <w:rPr>
          <w:rFonts w:hint="eastAsia" w:ascii="仿宋" w:hAnsi="仿宋" w:eastAsia="仿宋"/>
          <w:b/>
          <w:sz w:val="32"/>
          <w:szCs w:val="32"/>
        </w:rPr>
        <w:t>（一）基本职能:</w:t>
      </w:r>
      <w:bookmarkEnd w:id="15"/>
      <w:bookmarkEnd w:id="16"/>
    </w:p>
    <w:p w14:paraId="1034747C">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1．负责上级来文运转、领导批示和报告，并督促办理。</w:t>
      </w:r>
    </w:p>
    <w:p w14:paraId="43ADED75">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2．负责县政府会议的会务工作，协助县政府领导同志组织会议决定事项的实施。</w:t>
      </w:r>
    </w:p>
    <w:p w14:paraId="4A7B7B9B">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3．协助县政府领导同志组织起草或审核以县政府、县政府办公室名义发布的公文。</w:t>
      </w:r>
    </w:p>
    <w:p w14:paraId="6AFB84D4">
      <w:pPr>
        <w:spacing w:line="520" w:lineRule="exact"/>
        <w:ind w:firstLine="640" w:firstLineChars="200"/>
        <w:rPr>
          <w:rFonts w:hint="eastAsia" w:ascii="仿宋" w:hAnsi="仿宋" w:eastAsia="仿宋"/>
          <w:color w:val="000000"/>
          <w:sz w:val="32"/>
          <w:szCs w:val="32"/>
        </w:rPr>
      </w:pPr>
      <w:r>
        <w:rPr>
          <w:rFonts w:hint="eastAsia" w:ascii="仿宋" w:hAnsi="仿宋" w:eastAsia="仿宋"/>
          <w:bCs/>
          <w:sz w:val="32"/>
          <w:szCs w:val="32"/>
        </w:rPr>
        <w:t>4．</w:t>
      </w:r>
      <w:r>
        <w:rPr>
          <w:rFonts w:hint="eastAsia" w:ascii="仿宋" w:hAnsi="仿宋" w:eastAsia="仿宋"/>
          <w:color w:val="000000"/>
          <w:sz w:val="32"/>
          <w:szCs w:val="32"/>
        </w:rPr>
        <w:t>研究县政府各部门和各乡镇人民政府请示县政府的事项，提出审核意见，报县政府领导同志审批。</w:t>
      </w:r>
    </w:p>
    <w:p w14:paraId="6C019AE7">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bCs/>
          <w:sz w:val="32"/>
          <w:szCs w:val="32"/>
        </w:rPr>
        <w:t>5．</w:t>
      </w:r>
      <w:r>
        <w:rPr>
          <w:rFonts w:hint="eastAsia" w:ascii="仿宋" w:hAnsi="仿宋" w:eastAsia="仿宋"/>
          <w:color w:val="000000"/>
          <w:sz w:val="32"/>
          <w:szCs w:val="32"/>
        </w:rPr>
        <w:t>根据县政府领导的指示，对县政府部门间出现的争议问题提出处理意见，报县政府领导同志审批。</w:t>
      </w:r>
    </w:p>
    <w:p w14:paraId="7DF621FF">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6．督促检查县政府各部门和各乡镇人民政府对县政府公文、会议决定事项及县政府领导同志有关指示的执行落实情况跟踪调研，并向县政府领导同志报告。</w:t>
      </w:r>
    </w:p>
    <w:p w14:paraId="3BEF3DE2">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bCs/>
          <w:sz w:val="32"/>
          <w:szCs w:val="32"/>
        </w:rPr>
        <w:t>7．</w:t>
      </w:r>
      <w:r>
        <w:rPr>
          <w:rFonts w:hint="eastAsia" w:ascii="仿宋" w:hAnsi="仿宋" w:eastAsia="仿宋"/>
          <w:color w:val="000000"/>
          <w:sz w:val="32"/>
          <w:szCs w:val="32"/>
        </w:rPr>
        <w:t>指导全县应急管理工作，协助县政府领导同志做好需由县政府组织处理的突发事件和重大事故的应急处置工作。</w:t>
      </w:r>
    </w:p>
    <w:p w14:paraId="192F7438">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8．指导监督全县政府信息公开工作和机关行政效能建设工作，指导监督全县政府系统电子政务工作和政府网站建设。</w:t>
      </w:r>
    </w:p>
    <w:p w14:paraId="21320B81">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9．组织办理涉及县政府工作的人大代表议案、批评、建议和政协委员提案、建议案工作。</w:t>
      </w:r>
    </w:p>
    <w:p w14:paraId="20C88797">
      <w:pPr>
        <w:pStyle w:val="5"/>
        <w:numPr>
          <w:ilvl w:val="0"/>
          <w:numId w:val="0"/>
        </w:numPr>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10.</w:t>
      </w:r>
      <w:r>
        <w:rPr>
          <w:rFonts w:hint="eastAsia" w:ascii="仿宋" w:hAnsi="仿宋" w:eastAsia="仿宋"/>
          <w:color w:val="000000"/>
          <w:sz w:val="32"/>
          <w:szCs w:val="32"/>
        </w:rPr>
        <w:t>负责县政府人民防空和民防工作。</w:t>
      </w:r>
    </w:p>
    <w:p w14:paraId="56F085F7">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11．处理群众来信、接待群众来访，及时向县政府领导同志报告来信来访中提出的重要建议和反映的重要问题，提出信访处理意见，报县政府领导同志决定，办理县政府领导交办的有关信访事项。</w:t>
      </w:r>
    </w:p>
    <w:p w14:paraId="3A060E48">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12．根据县政府领导的指示，组织专题调查研究，及时反映情况，提出建议。</w:t>
      </w:r>
    </w:p>
    <w:p w14:paraId="684A244B">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13．负责县政府值班工作，及时向县政府领导同志报告重要情况，协助处理县政府各部门和各乡镇政府向县政府反映的重要问题。</w:t>
      </w:r>
    </w:p>
    <w:p w14:paraId="07F0FDFA">
      <w:pPr>
        <w:pStyle w:val="5"/>
        <w:numPr>
          <w:ilvl w:val="0"/>
          <w:numId w:val="0"/>
        </w:numPr>
        <w:adjustRightInd w:val="0"/>
        <w:snapToGrid w:val="0"/>
        <w:spacing w:before="93" w:beforeLines="0" w:line="520" w:lineRule="exact"/>
        <w:ind w:leftChars="200" w:firstLine="320" w:firstLineChars="100"/>
        <w:rPr>
          <w:rFonts w:hint="eastAsia" w:ascii="仿宋" w:hAnsi="仿宋" w:eastAsia="仿宋"/>
          <w:color w:val="000000"/>
          <w:sz w:val="32"/>
          <w:szCs w:val="32"/>
        </w:rPr>
      </w:pPr>
      <w:r>
        <w:rPr>
          <w:rFonts w:hint="eastAsia" w:ascii="仿宋" w:hAnsi="仿宋" w:eastAsia="仿宋"/>
          <w:color w:val="000000"/>
          <w:sz w:val="32"/>
          <w:szCs w:val="32"/>
          <w:lang w:val="en-US" w:eastAsia="zh-CN"/>
        </w:rPr>
        <w:t xml:space="preserve">14. </w:t>
      </w:r>
      <w:r>
        <w:rPr>
          <w:rFonts w:hint="eastAsia" w:ascii="仿宋" w:hAnsi="仿宋" w:eastAsia="仿宋"/>
          <w:color w:val="000000"/>
          <w:sz w:val="32"/>
          <w:szCs w:val="32"/>
        </w:rPr>
        <w:t>承担县政府目标管理工作。</w:t>
      </w:r>
    </w:p>
    <w:p w14:paraId="0C50D408">
      <w:pPr>
        <w:pStyle w:val="5"/>
        <w:numPr>
          <w:ilvl w:val="0"/>
          <w:numId w:val="0"/>
        </w:numPr>
        <w:adjustRightInd w:val="0"/>
        <w:snapToGrid w:val="0"/>
        <w:spacing w:before="93" w:beforeLines="0" w:line="520" w:lineRule="exact"/>
        <w:ind w:leftChars="200" w:firstLine="320" w:firstLineChars="100"/>
        <w:rPr>
          <w:rFonts w:hint="eastAsia" w:ascii="仿宋" w:hAnsi="仿宋" w:eastAsia="仿宋"/>
          <w:color w:val="000000"/>
          <w:sz w:val="32"/>
          <w:szCs w:val="32"/>
        </w:rPr>
      </w:pPr>
      <w:r>
        <w:rPr>
          <w:rFonts w:hint="eastAsia" w:ascii="仿宋" w:hAnsi="仿宋" w:eastAsia="仿宋"/>
          <w:color w:val="000000"/>
          <w:sz w:val="32"/>
          <w:szCs w:val="32"/>
          <w:lang w:val="en-US" w:eastAsia="zh-CN"/>
        </w:rPr>
        <w:t xml:space="preserve">15. </w:t>
      </w:r>
      <w:r>
        <w:rPr>
          <w:rFonts w:hint="eastAsia" w:ascii="仿宋" w:hAnsi="仿宋" w:eastAsia="仿宋"/>
          <w:color w:val="000000"/>
          <w:sz w:val="32"/>
          <w:szCs w:val="32"/>
        </w:rPr>
        <w:t>承担行政事务工作，为县政府领导同志服务。</w:t>
      </w:r>
    </w:p>
    <w:p w14:paraId="123713CB">
      <w:pPr>
        <w:pStyle w:val="5"/>
        <w:numPr>
          <w:ilvl w:val="0"/>
          <w:numId w:val="0"/>
        </w:numPr>
        <w:adjustRightInd w:val="0"/>
        <w:snapToGrid w:val="0"/>
        <w:spacing w:before="93" w:beforeLines="0" w:line="520" w:lineRule="exact"/>
        <w:ind w:leftChars="200" w:firstLine="320" w:firstLineChars="100"/>
        <w:rPr>
          <w:rFonts w:hint="eastAsia" w:ascii="仿宋" w:hAnsi="仿宋" w:eastAsia="仿宋"/>
          <w:color w:val="000000"/>
          <w:sz w:val="32"/>
          <w:szCs w:val="32"/>
        </w:rPr>
      </w:pPr>
      <w:r>
        <w:rPr>
          <w:rFonts w:hint="eastAsia" w:ascii="仿宋" w:hAnsi="仿宋" w:eastAsia="仿宋"/>
          <w:color w:val="000000"/>
          <w:sz w:val="32"/>
          <w:szCs w:val="32"/>
        </w:rPr>
        <w:t>16.</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管理我县对外交往的外事、台事、侨事、港澳事务。</w:t>
      </w:r>
    </w:p>
    <w:p w14:paraId="541D32DC">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17.</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负责组织、协调、指导、监督本级人民政府所属部门、机构的政务服务工作。</w:t>
      </w:r>
    </w:p>
    <w:p w14:paraId="28198ACE">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18．承办县政府和县政府领导交办的其他事项。</w:t>
      </w:r>
    </w:p>
    <w:p w14:paraId="25800712">
      <w:pPr>
        <w:spacing w:line="520" w:lineRule="exact"/>
        <w:ind w:firstLine="643" w:firstLineChars="200"/>
        <w:outlineLvl w:val="2"/>
        <w:rPr>
          <w:rFonts w:hint="eastAsia" w:ascii="仿宋" w:hAnsi="仿宋" w:eastAsia="仿宋" w:cs="Times New Roman"/>
          <w:b/>
          <w:kern w:val="2"/>
          <w:sz w:val="32"/>
          <w:szCs w:val="32"/>
          <w:lang w:val="en-US" w:eastAsia="zh-CN" w:bidi="ar-SA"/>
        </w:rPr>
      </w:pPr>
      <w:r>
        <w:rPr>
          <w:rFonts w:hint="eastAsia" w:ascii="仿宋" w:hAnsi="仿宋" w:eastAsia="仿宋"/>
          <w:b/>
          <w:sz w:val="32"/>
          <w:szCs w:val="32"/>
        </w:rPr>
        <w:t>（</w:t>
      </w:r>
      <w:r>
        <w:rPr>
          <w:rFonts w:hint="eastAsia" w:ascii="仿宋" w:hAnsi="仿宋" w:eastAsia="仿宋"/>
          <w:b/>
          <w:sz w:val="32"/>
          <w:szCs w:val="32"/>
          <w:lang w:eastAsia="zh-CN"/>
        </w:rPr>
        <w:t>二</w:t>
      </w:r>
      <w:r>
        <w:rPr>
          <w:rFonts w:hint="eastAsia" w:ascii="仿宋" w:hAnsi="仿宋" w:eastAsia="仿宋"/>
          <w:b/>
          <w:sz w:val="32"/>
          <w:szCs w:val="32"/>
        </w:rPr>
        <w:t>）</w:t>
      </w:r>
      <w:r>
        <w:rPr>
          <w:rFonts w:hint="eastAsia" w:ascii="仿宋" w:hAnsi="仿宋" w:eastAsia="仿宋" w:cs="Times New Roman"/>
          <w:b/>
          <w:kern w:val="2"/>
          <w:sz w:val="32"/>
          <w:szCs w:val="32"/>
          <w:lang w:val="en-US" w:eastAsia="zh-CN" w:bidi="ar-SA"/>
        </w:rPr>
        <w:t>2024年重点工作完成情况：</w:t>
      </w:r>
    </w:p>
    <w:p w14:paraId="0D4F24D6">
      <w:pPr>
        <w:autoSpaceDN w:val="0"/>
        <w:spacing w:line="520" w:lineRule="exact"/>
        <w:ind w:firstLine="640" w:firstLineChars="200"/>
        <w:jc w:val="left"/>
        <w:textAlignment w:val="center"/>
        <w:rPr>
          <w:rFonts w:hint="eastAsia" w:ascii="Times New Roman" w:hAnsi="Times New Roman" w:eastAsia="楷体_GB2312" w:cs="楷体_GB2312"/>
          <w:b/>
          <w:bCs/>
          <w:sz w:val="32"/>
          <w:szCs w:val="32"/>
          <w:lang w:eastAsia="zh-CN"/>
        </w:rPr>
      </w:pPr>
      <w:r>
        <w:rPr>
          <w:rFonts w:hint="eastAsia" w:ascii="仿宋" w:hAnsi="仿宋" w:eastAsia="仿宋" w:cs="Times New Roman"/>
          <w:color w:val="000000"/>
          <w:kern w:val="0"/>
          <w:sz w:val="32"/>
          <w:szCs w:val="32"/>
          <w:lang w:val="en-US" w:eastAsia="zh-CN" w:bidi="ar-SA"/>
        </w:rPr>
        <w:t>以政治统领为“魂”，把牢理想信念的“方向盘”，以服务中心为“要”，画好高质量发展的“同心圆”，</w:t>
      </w:r>
      <w:r>
        <w:rPr>
          <w:rFonts w:hint="eastAsia" w:ascii="仿宋" w:hAnsi="仿宋" w:eastAsia="仿宋" w:cs="Times New Roman"/>
          <w:color w:val="000000"/>
          <w:kern w:val="0"/>
          <w:sz w:val="32"/>
          <w:szCs w:val="32"/>
          <w:lang w:val="zh-CN" w:eastAsia="zh-CN" w:bidi="ar-SA"/>
        </w:rPr>
        <w:t>以作风建设为“本”，当好廉洁自律的“排头兵”，高效推进</w:t>
      </w:r>
      <w:r>
        <w:rPr>
          <w:rFonts w:hint="eastAsia" w:ascii="仿宋" w:hAnsi="仿宋" w:eastAsia="仿宋"/>
          <w:bCs/>
          <w:color w:val="000000"/>
          <w:sz w:val="32"/>
          <w:szCs w:val="32"/>
        </w:rPr>
        <w:t>重点工作，应急人防工作有序开展，政务服务体系加快完善，</w:t>
      </w:r>
      <w:r>
        <w:rPr>
          <w:rFonts w:hint="eastAsia" w:ascii="仿宋" w:hAnsi="仿宋" w:eastAsia="仿宋" w:cs="Times New Roman"/>
          <w:color w:val="000000"/>
          <w:kern w:val="0"/>
          <w:sz w:val="32"/>
          <w:szCs w:val="32"/>
          <w:lang w:val="en-US" w:eastAsia="zh-CN" w:bidi="ar-SA"/>
        </w:rPr>
        <w:t>政务信息跃上新台阶，会务接待取得新成效，</w:t>
      </w:r>
      <w:r>
        <w:rPr>
          <w:rFonts w:hint="eastAsia" w:ascii="仿宋" w:hAnsi="仿宋" w:eastAsia="仿宋"/>
          <w:bCs/>
          <w:color w:val="000000"/>
          <w:sz w:val="32"/>
          <w:szCs w:val="32"/>
        </w:rPr>
        <w:t>外事工作稳步提升，政府采购规范有序，全力做好信访维稳工作，</w:t>
      </w:r>
      <w:r>
        <w:rPr>
          <w:rFonts w:hint="eastAsia" w:ascii="仿宋" w:hAnsi="仿宋" w:eastAsia="仿宋"/>
          <w:color w:val="000000"/>
          <w:sz w:val="32"/>
          <w:szCs w:val="32"/>
        </w:rPr>
        <w:t>持续巩固脱贫成果。人员、运转类经费保障，开展例行节约，不断降低行政成本。</w:t>
      </w:r>
    </w:p>
    <w:p w14:paraId="5BBAA3C6">
      <w:pPr>
        <w:pStyle w:val="3"/>
        <w:ind w:firstLine="640" w:firstLineChars="200"/>
        <w:rPr>
          <w:rFonts w:ascii="黑体" w:hAnsi="黑体" w:eastAsia="黑体"/>
          <w:b w:val="0"/>
        </w:rPr>
      </w:pPr>
      <w:r>
        <w:rPr>
          <w:rFonts w:hint="eastAsia" w:ascii="黑体" w:hAnsi="黑体" w:eastAsia="黑体"/>
          <w:b w:val="0"/>
        </w:rPr>
        <w:t>二、机构设置</w:t>
      </w:r>
    </w:p>
    <w:bookmarkEnd w:id="13"/>
    <w:bookmarkEnd w:id="14"/>
    <w:p w14:paraId="6A6B2FAC">
      <w:pPr>
        <w:widowControl/>
        <w:ind w:firstLine="640" w:firstLineChars="200"/>
        <w:jc w:val="left"/>
        <w:rPr>
          <w:rFonts w:ascii="仿宋" w:hAnsi="仿宋" w:eastAsia="仿宋"/>
          <w:kern w:val="0"/>
          <w:sz w:val="32"/>
          <w:szCs w:val="32"/>
        </w:rPr>
      </w:pPr>
      <w:r>
        <w:rPr>
          <w:rFonts w:hint="eastAsia" w:ascii="仿宋" w:hAnsi="仿宋" w:eastAsia="仿宋"/>
          <w:color w:val="000000"/>
          <w:sz w:val="32"/>
          <w:szCs w:val="32"/>
        </w:rPr>
        <w:t>县政府领导按州委、州政府规定配备。县政府办公室设3个职能股室：综合股、秘书信息股、行政股。政府办公室设办公室主任1名，副主任2名。股级领导职数3名。机关党内职务按有关规定配备。下属政策研究发展中心、总编制共</w:t>
      </w:r>
      <w:r>
        <w:rPr>
          <w:rFonts w:hint="eastAsia" w:ascii="仿宋" w:hAnsi="仿宋" w:eastAsia="仿宋"/>
          <w:color w:val="000000"/>
          <w:sz w:val="32"/>
          <w:szCs w:val="32"/>
          <w:lang w:val="en-US" w:eastAsia="zh-CN"/>
        </w:rPr>
        <w:t>35</w:t>
      </w:r>
      <w:r>
        <w:rPr>
          <w:rFonts w:hint="eastAsia" w:ascii="仿宋" w:hAnsi="仿宋" w:eastAsia="仿宋"/>
          <w:color w:val="000000"/>
          <w:sz w:val="32"/>
          <w:szCs w:val="32"/>
        </w:rPr>
        <w:t>名，其中机关行政编制20名，机关工勤人员编制15名。</w:t>
      </w:r>
      <w:r>
        <w:rPr>
          <w:rFonts w:ascii="仿宋" w:hAnsi="仿宋" w:eastAsia="仿宋"/>
          <w:sz w:val="32"/>
          <w:szCs w:val="32"/>
        </w:rPr>
        <w:br w:type="page"/>
      </w:r>
    </w:p>
    <w:p w14:paraId="432C6484">
      <w:pPr>
        <w:pStyle w:val="2"/>
        <w:ind w:right="440" w:firstLine="440" w:firstLineChars="100"/>
        <w:jc w:val="both"/>
        <w:rPr>
          <w:rStyle w:val="28"/>
          <w:rFonts w:ascii="黑体" w:hAnsi="黑体" w:eastAsia="黑体"/>
          <w:b w:val="0"/>
          <w:bCs/>
        </w:rPr>
      </w:pPr>
      <w:bookmarkStart w:id="17" w:name="_Toc15377204"/>
      <w:bookmarkStart w:id="18" w:name="_Toc15396602"/>
      <w:bookmarkStart w:id="19" w:name="_Toc9269"/>
      <w:r>
        <w:rPr>
          <w:rFonts w:hint="eastAsia" w:ascii="黑体" w:hAnsi="黑体" w:eastAsia="黑体"/>
          <w:b w:val="0"/>
        </w:rPr>
        <w:t xml:space="preserve">第二部分 </w:t>
      </w:r>
      <w:r>
        <w:rPr>
          <w:rFonts w:hint="eastAsia" w:ascii="黑体" w:hAnsi="黑体" w:eastAsia="黑体"/>
          <w:b w:val="0"/>
          <w:lang w:eastAsia="zh-CN"/>
        </w:rPr>
        <w:t>2024</w:t>
      </w:r>
      <w:r>
        <w:rPr>
          <w:rFonts w:hint="eastAsia" w:ascii="黑体" w:hAnsi="黑体" w:eastAsia="黑体"/>
          <w:b w:val="0"/>
        </w:rPr>
        <w:t>年度</w:t>
      </w:r>
      <w:r>
        <w:rPr>
          <w:rStyle w:val="28"/>
          <w:rFonts w:hint="eastAsia" w:ascii="黑体" w:hAnsi="黑体" w:eastAsia="黑体"/>
          <w:b w:val="0"/>
          <w:bCs/>
        </w:rPr>
        <w:t>单位决算情况说明</w:t>
      </w:r>
      <w:bookmarkEnd w:id="17"/>
      <w:bookmarkEnd w:id="18"/>
      <w:bookmarkEnd w:id="19"/>
    </w:p>
    <w:p w14:paraId="16B23352">
      <w:pPr>
        <w:pStyle w:val="27"/>
        <w:numPr>
          <w:ilvl w:val="0"/>
          <w:numId w:val="0"/>
        </w:numPr>
        <w:spacing w:line="600" w:lineRule="exact"/>
        <w:ind w:leftChars="200" w:firstLine="320" w:firstLineChars="100"/>
        <w:outlineLvl w:val="1"/>
        <w:rPr>
          <w:rStyle w:val="29"/>
          <w:rFonts w:ascii="黑体" w:hAnsi="黑体" w:eastAsia="黑体"/>
          <w:b w:val="0"/>
        </w:rPr>
      </w:pPr>
      <w:bookmarkStart w:id="20" w:name="_Toc15396603"/>
      <w:bookmarkStart w:id="21" w:name="_Toc15377205"/>
      <w:r>
        <w:rPr>
          <w:rFonts w:hint="eastAsia" w:ascii="黑体" w:hAnsi="黑体" w:eastAsia="黑体"/>
          <w:sz w:val="32"/>
          <w:szCs w:val="32"/>
          <w:lang w:eastAsia="zh-CN"/>
        </w:rPr>
        <w:t>一、</w:t>
      </w:r>
      <w:r>
        <w:rPr>
          <w:rFonts w:hint="eastAsia" w:ascii="黑体" w:hAnsi="黑体" w:eastAsia="黑体"/>
          <w:sz w:val="32"/>
          <w:szCs w:val="32"/>
        </w:rPr>
        <w:t>收</w:t>
      </w:r>
      <w:r>
        <w:rPr>
          <w:rStyle w:val="29"/>
          <w:rFonts w:hint="eastAsia" w:ascii="黑体" w:hAnsi="黑体" w:eastAsia="黑体"/>
          <w:b w:val="0"/>
        </w:rPr>
        <w:t>入支出决算总体情况说明</w:t>
      </w:r>
      <w:bookmarkEnd w:id="20"/>
      <w:bookmarkEnd w:id="21"/>
    </w:p>
    <w:p w14:paraId="2C65337F">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年度收、支总计均为</w:t>
      </w:r>
      <w:r>
        <w:rPr>
          <w:rFonts w:hint="eastAsia" w:ascii="仿宋" w:hAnsi="仿宋" w:eastAsia="仿宋"/>
          <w:b/>
          <w:sz w:val="32"/>
          <w:szCs w:val="32"/>
          <w:lang w:val="en-US" w:eastAsia="zh-CN"/>
        </w:rPr>
        <w:t>1722.32</w:t>
      </w:r>
      <w:r>
        <w:rPr>
          <w:rFonts w:hint="eastAsia" w:ascii="仿宋" w:hAnsi="仿宋" w:eastAsia="仿宋"/>
          <w:sz w:val="32"/>
          <w:szCs w:val="32"/>
        </w:rPr>
        <w:t>万元。与</w:t>
      </w:r>
      <w:r>
        <w:rPr>
          <w:rFonts w:hint="eastAsia" w:ascii="仿宋" w:hAnsi="仿宋" w:eastAsia="仿宋"/>
          <w:sz w:val="32"/>
          <w:szCs w:val="32"/>
          <w:lang w:eastAsia="zh-CN"/>
        </w:rPr>
        <w:t>2023</w:t>
      </w:r>
      <w:r>
        <w:rPr>
          <w:rFonts w:hint="eastAsia" w:ascii="仿宋" w:hAnsi="仿宋" w:eastAsia="仿宋"/>
          <w:sz w:val="32"/>
          <w:szCs w:val="32"/>
        </w:rPr>
        <w:t>年度相比，收、支总计</w:t>
      </w:r>
      <w:r>
        <w:rPr>
          <w:rFonts w:hint="eastAsia" w:ascii="仿宋" w:hAnsi="仿宋" w:eastAsia="仿宋"/>
          <w:sz w:val="32"/>
          <w:szCs w:val="32"/>
          <w:lang w:eastAsia="zh-CN"/>
        </w:rPr>
        <w:t>减少</w:t>
      </w:r>
      <w:r>
        <w:rPr>
          <w:rFonts w:hint="eastAsia" w:ascii="仿宋" w:hAnsi="仿宋" w:eastAsia="仿宋"/>
          <w:sz w:val="32"/>
          <w:szCs w:val="32"/>
          <w:lang w:val="en-US" w:eastAsia="zh-CN"/>
        </w:rPr>
        <w:t>311.48</w:t>
      </w:r>
      <w:r>
        <w:rPr>
          <w:rFonts w:hint="eastAsia" w:ascii="仿宋" w:hAnsi="仿宋" w:eastAsia="仿宋"/>
          <w:sz w:val="32"/>
          <w:szCs w:val="32"/>
        </w:rPr>
        <w:t>万元，</w:t>
      </w:r>
      <w:r>
        <w:rPr>
          <w:rFonts w:hint="eastAsia" w:ascii="仿宋" w:hAnsi="仿宋" w:eastAsia="仿宋"/>
          <w:sz w:val="32"/>
          <w:szCs w:val="32"/>
          <w:lang w:eastAsia="zh-CN"/>
        </w:rPr>
        <w:t>降低</w:t>
      </w:r>
      <w:r>
        <w:rPr>
          <w:rFonts w:hint="eastAsia" w:ascii="仿宋" w:hAnsi="仿宋" w:eastAsia="仿宋"/>
          <w:sz w:val="32"/>
          <w:szCs w:val="32"/>
          <w:lang w:val="en-US" w:eastAsia="zh-CN"/>
        </w:rPr>
        <w:t>15.32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机关后勤保障经费压缩和财政困难有部分费用未在年度内支出</w:t>
      </w:r>
      <w:r>
        <w:rPr>
          <w:rFonts w:hint="eastAsia" w:ascii="仿宋" w:hAnsi="仿宋" w:eastAsia="仿宋"/>
          <w:sz w:val="32"/>
          <w:szCs w:val="32"/>
        </w:rPr>
        <w:t>。</w:t>
      </w:r>
    </w:p>
    <w:p w14:paraId="24C44DCE">
      <w:pPr>
        <w:pStyle w:val="27"/>
        <w:numPr>
          <w:ilvl w:val="0"/>
          <w:numId w:val="0"/>
        </w:numPr>
        <w:spacing w:line="600" w:lineRule="exact"/>
        <w:ind w:leftChars="200" w:firstLine="320" w:firstLineChars="100"/>
        <w:outlineLvl w:val="1"/>
        <w:rPr>
          <w:rStyle w:val="29"/>
          <w:rFonts w:ascii="黑体" w:hAnsi="黑体" w:eastAsia="黑体"/>
          <w:b w:val="0"/>
        </w:rPr>
      </w:pPr>
      <w:bookmarkStart w:id="22" w:name="_Toc15396604"/>
      <w:bookmarkStart w:id="23" w:name="_Toc15377206"/>
      <w:r>
        <w:rPr>
          <w:rFonts w:hint="eastAsia" w:ascii="黑体" w:hAnsi="黑体" w:eastAsia="黑体"/>
          <w:sz w:val="32"/>
          <w:szCs w:val="32"/>
          <w:lang w:eastAsia="zh-CN"/>
        </w:rPr>
        <w:t>二、</w:t>
      </w:r>
      <w:r>
        <w:rPr>
          <w:rFonts w:hint="eastAsia" w:ascii="黑体" w:hAnsi="黑体" w:eastAsia="黑体"/>
          <w:sz w:val="32"/>
          <w:szCs w:val="32"/>
        </w:rPr>
        <w:t>收</w:t>
      </w:r>
      <w:r>
        <w:rPr>
          <w:rStyle w:val="29"/>
          <w:rFonts w:hint="eastAsia" w:ascii="黑体" w:hAnsi="黑体" w:eastAsia="黑体"/>
          <w:b w:val="0"/>
        </w:rPr>
        <w:t>入决算情况说明</w:t>
      </w:r>
      <w:bookmarkEnd w:id="22"/>
      <w:bookmarkEnd w:id="23"/>
    </w:p>
    <w:p w14:paraId="248A0F7A">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年度本年收入合计</w:t>
      </w:r>
      <w:r>
        <w:rPr>
          <w:rFonts w:hint="eastAsia" w:ascii="仿宋" w:hAnsi="仿宋" w:eastAsia="仿宋"/>
          <w:b/>
          <w:sz w:val="32"/>
          <w:szCs w:val="32"/>
          <w:lang w:val="en-US" w:eastAsia="zh-CN"/>
        </w:rPr>
        <w:t>1722.32</w:t>
      </w:r>
      <w:r>
        <w:rPr>
          <w:rFonts w:hint="eastAsia" w:ascii="仿宋" w:hAnsi="仿宋" w:eastAsia="仿宋"/>
          <w:sz w:val="32"/>
          <w:szCs w:val="32"/>
        </w:rPr>
        <w:t>万元，其中：一般公共预算财政拨款收入</w:t>
      </w:r>
      <w:r>
        <w:rPr>
          <w:rFonts w:hint="eastAsia" w:ascii="仿宋" w:hAnsi="仿宋" w:eastAsia="仿宋"/>
          <w:b/>
          <w:sz w:val="32"/>
          <w:szCs w:val="32"/>
          <w:lang w:val="en-US" w:eastAsia="zh-CN"/>
        </w:rPr>
        <w:t>1722.32</w:t>
      </w:r>
      <w:r>
        <w:rPr>
          <w:rFonts w:hint="eastAsia" w:ascii="仿宋" w:hAnsi="仿宋" w:eastAsia="仿宋"/>
          <w:sz w:val="32"/>
          <w:szCs w:val="32"/>
        </w:rPr>
        <w:t>万元，占</w:t>
      </w:r>
      <w:r>
        <w:rPr>
          <w:rFonts w:ascii="仿宋" w:hAnsi="仿宋" w:eastAsia="仿宋"/>
          <w:b/>
          <w:sz w:val="32"/>
          <w:szCs w:val="32"/>
        </w:rPr>
        <w:t>100%</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p>
    <w:p w14:paraId="1142A70A">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，仅罗列本单位涉及的收入。</w:t>
      </w:r>
      <w:r>
        <w:rPr>
          <w:rFonts w:ascii="仿宋" w:hAnsi="仿宋" w:eastAsia="仿宋"/>
          <w:b/>
          <w:sz w:val="32"/>
          <w:szCs w:val="32"/>
        </w:rPr>
        <w:t>）</w:t>
      </w:r>
    </w:p>
    <w:p w14:paraId="58BCC042">
      <w:pPr>
        <w:pStyle w:val="27"/>
        <w:numPr>
          <w:ilvl w:val="0"/>
          <w:numId w:val="0"/>
        </w:numPr>
        <w:spacing w:line="600" w:lineRule="exact"/>
        <w:ind w:leftChars="200" w:firstLine="320" w:firstLineChars="100"/>
        <w:outlineLvl w:val="1"/>
        <w:rPr>
          <w:rStyle w:val="29"/>
          <w:rFonts w:ascii="黑体" w:hAnsi="黑体" w:eastAsia="黑体"/>
          <w:b w:val="0"/>
        </w:rPr>
      </w:pPr>
      <w:bookmarkStart w:id="24" w:name="_Toc15377207"/>
      <w:bookmarkStart w:id="25" w:name="_Toc15396605"/>
      <w:r>
        <w:rPr>
          <w:rFonts w:hint="eastAsia" w:ascii="黑体" w:hAnsi="黑体" w:eastAsia="黑体"/>
          <w:sz w:val="32"/>
          <w:szCs w:val="32"/>
          <w:lang w:eastAsia="zh-CN"/>
        </w:rPr>
        <w:t>三、</w:t>
      </w:r>
      <w:r>
        <w:rPr>
          <w:rFonts w:hint="eastAsia" w:ascii="黑体" w:hAnsi="黑体" w:eastAsia="黑体"/>
          <w:sz w:val="32"/>
          <w:szCs w:val="32"/>
        </w:rPr>
        <w:t>支</w:t>
      </w:r>
      <w:r>
        <w:rPr>
          <w:rStyle w:val="29"/>
          <w:rFonts w:hint="eastAsia" w:ascii="黑体" w:hAnsi="黑体" w:eastAsia="黑体"/>
          <w:b w:val="0"/>
        </w:rPr>
        <w:t>出决算情况说明</w:t>
      </w:r>
      <w:bookmarkEnd w:id="24"/>
      <w:bookmarkEnd w:id="25"/>
    </w:p>
    <w:p w14:paraId="5E453876">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年度本年支出合计</w:t>
      </w:r>
      <w:r>
        <w:rPr>
          <w:rFonts w:hint="eastAsia" w:ascii="仿宋" w:hAnsi="仿宋" w:eastAsia="仿宋"/>
          <w:b/>
          <w:sz w:val="32"/>
          <w:szCs w:val="32"/>
          <w:lang w:val="en-US" w:eastAsia="zh-CN"/>
        </w:rPr>
        <w:t>1722.32</w:t>
      </w:r>
      <w:r>
        <w:rPr>
          <w:rFonts w:hint="eastAsia" w:ascii="仿宋" w:hAnsi="仿宋" w:eastAsia="仿宋"/>
          <w:sz w:val="32"/>
          <w:szCs w:val="32"/>
        </w:rPr>
        <w:t>万元，其中：基本支出</w:t>
      </w:r>
      <w:r>
        <w:rPr>
          <w:rFonts w:hint="eastAsia" w:ascii="仿宋" w:hAnsi="仿宋" w:eastAsia="仿宋"/>
          <w:b/>
          <w:sz w:val="32"/>
          <w:szCs w:val="32"/>
          <w:lang w:val="en-US" w:eastAsia="zh-CN"/>
        </w:rPr>
        <w:t>846.22</w:t>
      </w:r>
      <w:r>
        <w:rPr>
          <w:rFonts w:hint="eastAsia" w:ascii="仿宋" w:hAnsi="仿宋" w:eastAsia="仿宋"/>
          <w:sz w:val="32"/>
          <w:szCs w:val="32"/>
        </w:rPr>
        <w:t>万元，占</w:t>
      </w:r>
      <w:r>
        <w:rPr>
          <w:rFonts w:hint="eastAsia" w:ascii="仿宋" w:hAnsi="仿宋" w:eastAsia="仿宋"/>
          <w:b/>
          <w:sz w:val="32"/>
          <w:szCs w:val="32"/>
          <w:lang w:val="en-US" w:eastAsia="zh-CN"/>
        </w:rPr>
        <w:t>49.13</w:t>
      </w:r>
      <w:r>
        <w:rPr>
          <w:rFonts w:ascii="仿宋" w:hAnsi="仿宋" w:eastAsia="仿宋"/>
          <w:sz w:val="32"/>
          <w:szCs w:val="32"/>
        </w:rPr>
        <w:t>%</w:t>
      </w:r>
      <w:r>
        <w:rPr>
          <w:rFonts w:hint="eastAsia" w:ascii="仿宋" w:hAnsi="仿宋" w:eastAsia="仿宋"/>
          <w:sz w:val="32"/>
          <w:szCs w:val="32"/>
        </w:rPr>
        <w:t>；项目支出</w:t>
      </w:r>
      <w:r>
        <w:rPr>
          <w:rFonts w:hint="eastAsia" w:ascii="仿宋" w:hAnsi="仿宋" w:eastAsia="仿宋"/>
          <w:b/>
          <w:sz w:val="32"/>
          <w:szCs w:val="32"/>
          <w:lang w:val="en-US" w:eastAsia="zh-CN"/>
        </w:rPr>
        <w:t>876.10</w:t>
      </w:r>
      <w:r>
        <w:rPr>
          <w:rFonts w:hint="eastAsia" w:ascii="仿宋" w:hAnsi="仿宋" w:eastAsia="仿宋"/>
          <w:sz w:val="32"/>
          <w:szCs w:val="32"/>
        </w:rPr>
        <w:t>万元，占</w:t>
      </w:r>
      <w:r>
        <w:rPr>
          <w:rFonts w:hint="eastAsia" w:ascii="仿宋" w:hAnsi="仿宋" w:eastAsia="仿宋"/>
          <w:b/>
          <w:sz w:val="32"/>
          <w:szCs w:val="32"/>
          <w:lang w:val="en-US" w:eastAsia="zh-CN"/>
        </w:rPr>
        <w:t>50.87</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02B75A7F">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表，仅罗列本单位涉及的支出。）</w:t>
      </w:r>
    </w:p>
    <w:p w14:paraId="72C94453">
      <w:pPr>
        <w:spacing w:line="600" w:lineRule="exact"/>
        <w:ind w:firstLine="640" w:firstLineChars="200"/>
        <w:outlineLvl w:val="1"/>
        <w:rPr>
          <w:rStyle w:val="29"/>
          <w:rFonts w:ascii="黑体" w:hAnsi="黑体" w:eastAsia="黑体"/>
          <w:b w:val="0"/>
        </w:rPr>
      </w:pPr>
      <w:bookmarkStart w:id="26" w:name="_Toc15396606"/>
      <w:bookmarkStart w:id="27" w:name="_Toc15377208"/>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6"/>
      <w:bookmarkEnd w:id="27"/>
    </w:p>
    <w:p w14:paraId="2F89F208">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2024</w:t>
      </w:r>
      <w:r>
        <w:rPr>
          <w:rFonts w:hint="eastAsia" w:ascii="仿宋" w:hAnsi="仿宋" w:eastAsia="仿宋"/>
          <w:sz w:val="32"/>
          <w:szCs w:val="32"/>
        </w:rPr>
        <w:t>年度收、支总计均为</w:t>
      </w:r>
      <w:r>
        <w:rPr>
          <w:rFonts w:hint="eastAsia" w:ascii="仿宋" w:hAnsi="仿宋" w:eastAsia="仿宋"/>
          <w:b/>
          <w:sz w:val="32"/>
          <w:szCs w:val="32"/>
          <w:lang w:val="en-US" w:eastAsia="zh-CN"/>
        </w:rPr>
        <w:t>1722.32</w:t>
      </w:r>
      <w:r>
        <w:rPr>
          <w:rFonts w:hint="eastAsia" w:ascii="仿宋" w:hAnsi="仿宋" w:eastAsia="仿宋"/>
          <w:sz w:val="32"/>
          <w:szCs w:val="32"/>
        </w:rPr>
        <w:t>万元。与</w:t>
      </w:r>
      <w:r>
        <w:rPr>
          <w:rFonts w:hint="eastAsia" w:ascii="仿宋" w:hAnsi="仿宋" w:eastAsia="仿宋"/>
          <w:sz w:val="32"/>
          <w:szCs w:val="32"/>
          <w:lang w:eastAsia="zh-CN"/>
        </w:rPr>
        <w:t>2023</w:t>
      </w:r>
      <w:r>
        <w:rPr>
          <w:rFonts w:hint="eastAsia" w:ascii="仿宋" w:hAnsi="仿宋" w:eastAsia="仿宋"/>
          <w:sz w:val="32"/>
          <w:szCs w:val="32"/>
        </w:rPr>
        <w:t>年度相比，收、支总计</w:t>
      </w:r>
      <w:r>
        <w:rPr>
          <w:rFonts w:hint="eastAsia" w:ascii="仿宋" w:hAnsi="仿宋" w:eastAsia="仿宋"/>
          <w:sz w:val="32"/>
          <w:szCs w:val="32"/>
          <w:lang w:eastAsia="zh-CN"/>
        </w:rPr>
        <w:t>减少</w:t>
      </w:r>
      <w:r>
        <w:rPr>
          <w:rFonts w:hint="eastAsia" w:ascii="仿宋" w:hAnsi="仿宋" w:eastAsia="仿宋"/>
          <w:sz w:val="32"/>
          <w:szCs w:val="32"/>
          <w:lang w:val="en-US" w:eastAsia="zh-CN"/>
        </w:rPr>
        <w:t>311.48</w:t>
      </w:r>
      <w:r>
        <w:rPr>
          <w:rFonts w:hint="eastAsia" w:ascii="仿宋" w:hAnsi="仿宋" w:eastAsia="仿宋"/>
          <w:sz w:val="32"/>
          <w:szCs w:val="32"/>
        </w:rPr>
        <w:t>万元，</w:t>
      </w:r>
      <w:r>
        <w:rPr>
          <w:rFonts w:hint="eastAsia" w:ascii="仿宋" w:hAnsi="仿宋" w:eastAsia="仿宋"/>
          <w:sz w:val="32"/>
          <w:szCs w:val="32"/>
          <w:lang w:eastAsia="zh-CN"/>
        </w:rPr>
        <w:t>降低</w:t>
      </w:r>
      <w:r>
        <w:rPr>
          <w:rFonts w:hint="eastAsia" w:ascii="仿宋" w:hAnsi="仿宋" w:eastAsia="仿宋"/>
          <w:sz w:val="32"/>
          <w:szCs w:val="32"/>
          <w:lang w:val="en-US" w:eastAsia="zh-CN"/>
        </w:rPr>
        <w:t>15.32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机关后勤保障经费压缩和财政困难有部分费用未在年度内支出</w:t>
      </w:r>
    </w:p>
    <w:p w14:paraId="1B0984CD">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31924950">
      <w:pPr>
        <w:spacing w:line="600" w:lineRule="exact"/>
        <w:ind w:firstLine="640" w:firstLineChars="200"/>
        <w:outlineLvl w:val="1"/>
        <w:rPr>
          <w:rStyle w:val="29"/>
          <w:rFonts w:ascii="黑体" w:hAnsi="黑体" w:eastAsia="黑体"/>
          <w:b w:val="0"/>
        </w:rPr>
      </w:pPr>
      <w:bookmarkStart w:id="28" w:name="_Toc15396607"/>
      <w:bookmarkStart w:id="29" w:name="_Toc15377209"/>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8"/>
      <w:bookmarkEnd w:id="29"/>
    </w:p>
    <w:p w14:paraId="7BC6B2B2">
      <w:pPr>
        <w:spacing w:line="600" w:lineRule="exact"/>
        <w:ind w:firstLine="643" w:firstLineChars="200"/>
        <w:outlineLvl w:val="2"/>
        <w:rPr>
          <w:rFonts w:ascii="仿宋" w:hAnsi="仿宋" w:eastAsia="仿宋"/>
          <w:b/>
          <w:sz w:val="32"/>
          <w:szCs w:val="32"/>
        </w:rPr>
      </w:pPr>
      <w:bookmarkStart w:id="30" w:name="_Toc15377210"/>
      <w:r>
        <w:rPr>
          <w:rFonts w:hint="eastAsia" w:ascii="仿宋" w:hAnsi="仿宋" w:eastAsia="仿宋"/>
          <w:b/>
          <w:sz w:val="32"/>
          <w:szCs w:val="32"/>
        </w:rPr>
        <w:t>（一）一般公共预算财政拨款支出决算总体情况</w:t>
      </w:r>
      <w:bookmarkEnd w:id="30"/>
    </w:p>
    <w:p w14:paraId="0395D83D">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年度一般公共预算财政拨款支出</w:t>
      </w:r>
      <w:r>
        <w:rPr>
          <w:rFonts w:hint="eastAsia" w:ascii="仿宋" w:hAnsi="仿宋" w:eastAsia="仿宋"/>
          <w:b/>
          <w:sz w:val="32"/>
          <w:szCs w:val="32"/>
          <w:lang w:val="en-US" w:eastAsia="zh-CN"/>
        </w:rPr>
        <w:t>1722.32</w:t>
      </w:r>
      <w:r>
        <w:rPr>
          <w:rFonts w:hint="eastAsia" w:ascii="仿宋" w:hAnsi="仿宋" w:eastAsia="仿宋"/>
          <w:sz w:val="32"/>
          <w:szCs w:val="32"/>
        </w:rPr>
        <w:t>万元，占本年支出合计的</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。与</w:t>
      </w:r>
      <w:r>
        <w:rPr>
          <w:rFonts w:hint="eastAsia" w:ascii="仿宋" w:hAnsi="仿宋" w:eastAsia="仿宋"/>
          <w:sz w:val="32"/>
          <w:szCs w:val="32"/>
          <w:lang w:eastAsia="zh-CN"/>
        </w:rPr>
        <w:t>2023</w:t>
      </w:r>
      <w:r>
        <w:rPr>
          <w:rFonts w:hint="eastAsia" w:ascii="仿宋" w:hAnsi="仿宋" w:eastAsia="仿宋"/>
          <w:sz w:val="32"/>
          <w:szCs w:val="32"/>
        </w:rPr>
        <w:t>年度相比，一般公共预算财政拨款支出</w:t>
      </w:r>
      <w:r>
        <w:rPr>
          <w:rFonts w:hint="eastAsia" w:ascii="仿宋" w:hAnsi="仿宋" w:eastAsia="仿宋"/>
          <w:sz w:val="32"/>
          <w:szCs w:val="32"/>
          <w:lang w:eastAsia="zh-CN"/>
        </w:rPr>
        <w:t>减少</w:t>
      </w:r>
      <w:r>
        <w:rPr>
          <w:rFonts w:hint="eastAsia" w:ascii="仿宋" w:hAnsi="仿宋" w:eastAsia="仿宋"/>
          <w:sz w:val="32"/>
          <w:szCs w:val="32"/>
          <w:lang w:val="en-US" w:eastAsia="zh-CN"/>
        </w:rPr>
        <w:t>311.48</w:t>
      </w:r>
      <w:r>
        <w:rPr>
          <w:rFonts w:hint="eastAsia" w:ascii="仿宋" w:hAnsi="仿宋" w:eastAsia="仿宋"/>
          <w:sz w:val="32"/>
          <w:szCs w:val="32"/>
        </w:rPr>
        <w:t>万元，</w:t>
      </w:r>
      <w:r>
        <w:rPr>
          <w:rFonts w:hint="eastAsia" w:ascii="仿宋" w:hAnsi="仿宋" w:eastAsia="仿宋"/>
          <w:sz w:val="32"/>
          <w:szCs w:val="32"/>
          <w:lang w:eastAsia="zh-CN"/>
        </w:rPr>
        <w:t>降低</w:t>
      </w:r>
      <w:r>
        <w:rPr>
          <w:rFonts w:hint="eastAsia" w:ascii="仿宋" w:hAnsi="仿宋" w:eastAsia="仿宋"/>
          <w:sz w:val="32"/>
          <w:szCs w:val="32"/>
          <w:lang w:val="en-US" w:eastAsia="zh-CN"/>
        </w:rPr>
        <w:t>15.32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机关后勤保障经费压缩和财政困难有部分费用未在年度内支出</w:t>
      </w:r>
    </w:p>
    <w:p w14:paraId="325874A3">
      <w:pPr>
        <w:spacing w:line="600" w:lineRule="exact"/>
        <w:ind w:firstLine="643" w:firstLineChars="200"/>
        <w:outlineLvl w:val="2"/>
        <w:rPr>
          <w:rFonts w:ascii="仿宋" w:hAnsi="仿宋" w:eastAsia="仿宋"/>
          <w:b/>
          <w:sz w:val="32"/>
          <w:szCs w:val="32"/>
        </w:rPr>
      </w:pPr>
      <w:bookmarkStart w:id="31" w:name="_Toc15377211"/>
      <w:r>
        <w:rPr>
          <w:rFonts w:hint="eastAsia" w:ascii="仿宋" w:hAnsi="仿宋" w:eastAsia="仿宋"/>
          <w:b/>
          <w:sz w:val="32"/>
          <w:szCs w:val="32"/>
        </w:rPr>
        <w:t>（二）一般公共预算财政拨款支出决算结构情况</w:t>
      </w:r>
      <w:bookmarkEnd w:id="31"/>
    </w:p>
    <w:p w14:paraId="35030480">
      <w:pPr>
        <w:spacing w:line="600" w:lineRule="exact"/>
        <w:ind w:firstLine="640" w:firstLineChars="200"/>
        <w:rPr>
          <w:rFonts w:hint="eastAsia" w:ascii="仿宋" w:hAnsi="仿宋" w:eastAsia="仿宋"/>
          <w:b/>
          <w:sz w:val="32"/>
          <w:szCs w:val="32"/>
          <w:lang w:val="en-US" w:eastAsia="zh-CN"/>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年度一般公共预算财政拨款支出</w:t>
      </w:r>
      <w:r>
        <w:rPr>
          <w:rFonts w:hint="eastAsia" w:ascii="仿宋" w:hAnsi="仿宋" w:eastAsia="仿宋"/>
          <w:b/>
          <w:sz w:val="32"/>
          <w:szCs w:val="32"/>
          <w:lang w:val="en-US" w:eastAsia="zh-CN"/>
        </w:rPr>
        <w:t>1722.32</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b/>
          <w:bCs/>
          <w:sz w:val="32"/>
          <w:szCs w:val="32"/>
          <w:lang w:val="en-US" w:eastAsia="zh-CN"/>
        </w:rPr>
        <w:t>1521.05</w:t>
      </w:r>
      <w:r>
        <w:rPr>
          <w:rFonts w:hint="eastAsia" w:ascii="仿宋" w:hAnsi="仿宋" w:eastAsia="仿宋"/>
          <w:sz w:val="32"/>
          <w:szCs w:val="32"/>
        </w:rPr>
        <w:t>万元，占</w:t>
      </w:r>
      <w:r>
        <w:rPr>
          <w:rFonts w:hint="eastAsia" w:ascii="仿宋" w:hAnsi="仿宋" w:eastAsia="仿宋"/>
          <w:sz w:val="32"/>
          <w:szCs w:val="32"/>
          <w:lang w:val="en-US" w:eastAsia="zh-CN"/>
        </w:rPr>
        <w:t>88.31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102.30</w:t>
      </w:r>
      <w:r>
        <w:rPr>
          <w:rFonts w:hint="eastAsia" w:ascii="仿宋" w:hAnsi="仿宋" w:eastAsia="仿宋"/>
          <w:sz w:val="32"/>
          <w:szCs w:val="32"/>
        </w:rPr>
        <w:t>万元，占</w:t>
      </w:r>
      <w:r>
        <w:rPr>
          <w:rFonts w:hint="eastAsia" w:ascii="仿宋" w:hAnsi="仿宋" w:eastAsia="仿宋"/>
          <w:sz w:val="32"/>
          <w:szCs w:val="32"/>
          <w:lang w:val="en-US" w:eastAsia="zh-CN"/>
        </w:rPr>
        <w:t>5.94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40.61</w:t>
      </w:r>
      <w:r>
        <w:rPr>
          <w:rFonts w:hint="eastAsia" w:ascii="仿宋" w:hAnsi="仿宋" w:eastAsia="仿宋"/>
          <w:sz w:val="32"/>
          <w:szCs w:val="32"/>
        </w:rPr>
        <w:t>万元，占</w:t>
      </w:r>
      <w:r>
        <w:rPr>
          <w:rFonts w:hint="eastAsia" w:ascii="仿宋" w:hAnsi="仿宋" w:eastAsia="仿宋"/>
          <w:sz w:val="32"/>
          <w:szCs w:val="32"/>
          <w:lang w:val="en-US" w:eastAsia="zh-CN"/>
        </w:rPr>
        <w:t>2.36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58.35</w:t>
      </w:r>
      <w:r>
        <w:rPr>
          <w:rFonts w:hint="eastAsia" w:ascii="仿宋" w:hAnsi="仿宋" w:eastAsia="仿宋"/>
          <w:sz w:val="32"/>
          <w:szCs w:val="32"/>
        </w:rPr>
        <w:t>万元，占</w:t>
      </w:r>
      <w:r>
        <w:rPr>
          <w:rFonts w:hint="eastAsia" w:ascii="仿宋" w:hAnsi="仿宋" w:eastAsia="仿宋"/>
          <w:sz w:val="32"/>
          <w:szCs w:val="32"/>
          <w:lang w:val="en-US" w:eastAsia="zh-CN"/>
        </w:rPr>
        <w:t>3.39</w:t>
      </w:r>
      <w:r>
        <w:rPr>
          <w:rFonts w:ascii="仿宋" w:hAnsi="仿宋" w:eastAsia="仿宋"/>
          <w:sz w:val="32"/>
          <w:szCs w:val="32"/>
        </w:rPr>
        <w:t>%</w:t>
      </w:r>
      <w:r>
        <w:rPr>
          <w:rFonts w:hint="eastAsia" w:ascii="仿宋" w:hAnsi="仿宋" w:eastAsia="仿宋"/>
          <w:sz w:val="32"/>
          <w:szCs w:val="32"/>
          <w:lang w:eastAsia="zh-CN"/>
        </w:rPr>
        <w:t>。</w:t>
      </w:r>
    </w:p>
    <w:p w14:paraId="3714A4DE">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（注：数据来源于财决01-1表，仅罗列本单位涉及的全部功能分类科目，至类级。）</w:t>
      </w:r>
    </w:p>
    <w:p w14:paraId="337B4941">
      <w:pPr>
        <w:spacing w:line="600" w:lineRule="exact"/>
        <w:ind w:firstLine="643" w:firstLineChars="200"/>
        <w:outlineLvl w:val="2"/>
        <w:rPr>
          <w:rFonts w:ascii="仿宋" w:hAnsi="仿宋" w:eastAsia="仿宋"/>
          <w:b/>
          <w:sz w:val="32"/>
          <w:szCs w:val="32"/>
        </w:rPr>
      </w:pPr>
      <w:bookmarkStart w:id="32" w:name="_Toc15377212"/>
      <w:r>
        <w:rPr>
          <w:rFonts w:hint="eastAsia" w:ascii="仿宋" w:hAnsi="仿宋" w:eastAsia="仿宋"/>
          <w:b/>
          <w:sz w:val="32"/>
          <w:szCs w:val="32"/>
        </w:rPr>
        <w:t>（三）一般公共预算财政拨款支出决算具体情况</w:t>
      </w:r>
      <w:bookmarkEnd w:id="32"/>
    </w:p>
    <w:p w14:paraId="29B037DD">
      <w:pPr>
        <w:spacing w:line="600" w:lineRule="exact"/>
        <w:ind w:firstLine="643" w:firstLineChars="200"/>
        <w:outlineLvl w:val="2"/>
        <w:rPr>
          <w:rFonts w:ascii="仿宋" w:hAnsi="仿宋" w:eastAsia="仿宋"/>
          <w:sz w:val="32"/>
          <w:szCs w:val="32"/>
        </w:rPr>
      </w:pPr>
      <w:bookmarkStart w:id="33" w:name="_Toc15378460"/>
      <w:bookmarkStart w:id="34" w:name="_Toc15377213"/>
      <w:bookmarkStart w:id="35" w:name="_Toc15377444"/>
      <w:r>
        <w:rPr>
          <w:rFonts w:hint="eastAsia" w:ascii="仿宋" w:hAnsi="仿宋" w:eastAsia="仿宋"/>
          <w:b/>
          <w:sz w:val="32"/>
          <w:szCs w:val="32"/>
          <w:lang w:eastAsia="zh-CN"/>
        </w:rPr>
        <w:t>2024</w:t>
      </w:r>
      <w:r>
        <w:rPr>
          <w:rFonts w:hint="eastAsia" w:ascii="仿宋" w:hAnsi="仿宋" w:eastAsia="仿宋"/>
          <w:b/>
          <w:sz w:val="32"/>
          <w:szCs w:val="32"/>
        </w:rPr>
        <w:t>年度一般公共预算支出决算数为</w:t>
      </w:r>
      <w:r>
        <w:rPr>
          <w:rFonts w:hint="eastAsia" w:ascii="仿宋" w:hAnsi="仿宋" w:eastAsia="仿宋"/>
          <w:b/>
          <w:sz w:val="32"/>
          <w:szCs w:val="32"/>
          <w:lang w:val="en-US" w:eastAsia="zh-CN"/>
        </w:rPr>
        <w:t>1722.32万元</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hint="eastAsia" w:ascii="仿宋" w:hAnsi="仿宋" w:eastAsia="仿宋"/>
          <w:bCs/>
          <w:sz w:val="32"/>
          <w:szCs w:val="32"/>
          <w:lang w:val="en-US" w:eastAsia="zh-CN"/>
        </w:rPr>
        <w:t>100</w:t>
      </w:r>
      <w:r>
        <w:rPr>
          <w:rStyle w:val="17"/>
          <w:rFonts w:ascii="仿宋" w:hAnsi="仿宋" w:eastAsia="仿宋"/>
          <w:bCs/>
          <w:sz w:val="32"/>
          <w:szCs w:val="32"/>
        </w:rPr>
        <w:t>%</w:t>
      </w:r>
      <w:r>
        <w:rPr>
          <w:rStyle w:val="17"/>
          <w:rFonts w:hint="eastAsia" w:ascii="仿宋" w:hAnsi="仿宋" w:eastAsia="仿宋"/>
          <w:bCs/>
          <w:sz w:val="32"/>
          <w:szCs w:val="32"/>
        </w:rPr>
        <w:t>。其中：</w:t>
      </w:r>
      <w:bookmarkEnd w:id="33"/>
      <w:bookmarkEnd w:id="34"/>
      <w:bookmarkEnd w:id="35"/>
    </w:p>
    <w:p w14:paraId="44473DB8">
      <w:pPr>
        <w:spacing w:line="600" w:lineRule="exact"/>
        <w:ind w:firstLine="643" w:firstLineChars="200"/>
        <w:rPr>
          <w:rFonts w:ascii="仿宋" w:hAnsi="仿宋" w:eastAsia="仿宋"/>
          <w:b/>
          <w:sz w:val="32"/>
          <w:szCs w:val="32"/>
        </w:rPr>
      </w:pPr>
      <w:r>
        <w:rPr>
          <w:rStyle w:val="17"/>
          <w:rFonts w:ascii="仿宋" w:hAnsi="仿宋" w:eastAsia="仿宋"/>
          <w:bCs/>
          <w:sz w:val="32"/>
          <w:szCs w:val="32"/>
        </w:rPr>
        <w:t>1.</w:t>
      </w:r>
      <w:r>
        <w:rPr>
          <w:rStyle w:val="17"/>
          <w:rFonts w:hint="eastAsia" w:ascii="仿宋" w:hAnsi="仿宋" w:eastAsia="仿宋"/>
          <w:bCs/>
          <w:sz w:val="32"/>
          <w:szCs w:val="32"/>
        </w:rPr>
        <w:t>一般公共服务（</w:t>
      </w:r>
      <w:r>
        <w:rPr>
          <w:rStyle w:val="17"/>
          <w:rFonts w:hint="eastAsia" w:ascii="仿宋" w:hAnsi="仿宋" w:eastAsia="仿宋"/>
          <w:bCs/>
          <w:sz w:val="32"/>
          <w:szCs w:val="32"/>
          <w:lang w:val="en-US" w:eastAsia="zh-CN"/>
        </w:rPr>
        <w:t>201</w:t>
      </w:r>
      <w:r>
        <w:rPr>
          <w:rStyle w:val="17"/>
          <w:rFonts w:hint="eastAsia" w:ascii="仿宋" w:hAnsi="仿宋" w:eastAsia="仿宋"/>
          <w:bCs/>
          <w:sz w:val="32"/>
          <w:szCs w:val="32"/>
        </w:rPr>
        <w:t>）政府办公厅（室）及相关机构事务（</w:t>
      </w:r>
      <w:r>
        <w:rPr>
          <w:rStyle w:val="17"/>
          <w:rFonts w:hint="eastAsia" w:ascii="仿宋" w:hAnsi="仿宋" w:eastAsia="仿宋"/>
          <w:bCs/>
          <w:sz w:val="32"/>
          <w:szCs w:val="32"/>
          <w:lang w:val="en-US" w:eastAsia="zh-CN"/>
        </w:rPr>
        <w:t>03</w:t>
      </w:r>
      <w:r>
        <w:rPr>
          <w:rStyle w:val="17"/>
          <w:rFonts w:hint="eastAsia" w:ascii="仿宋" w:hAnsi="仿宋" w:eastAsia="仿宋"/>
          <w:bCs/>
          <w:sz w:val="32"/>
          <w:szCs w:val="32"/>
        </w:rPr>
        <w:t>）行政运行（</w:t>
      </w:r>
      <w:r>
        <w:rPr>
          <w:rStyle w:val="17"/>
          <w:rFonts w:hint="eastAsia" w:ascii="仿宋" w:hAnsi="仿宋" w:eastAsia="仿宋"/>
          <w:bCs/>
          <w:sz w:val="32"/>
          <w:szCs w:val="32"/>
          <w:lang w:val="en-US" w:eastAsia="zh-CN"/>
        </w:rPr>
        <w:t>01</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644.95</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；一般行政管理事务（</w:t>
      </w:r>
      <w:r>
        <w:rPr>
          <w:rStyle w:val="17"/>
          <w:rFonts w:hint="eastAsia" w:ascii="仿宋" w:hAnsi="仿宋" w:eastAsia="仿宋"/>
          <w:b w:val="0"/>
          <w:bCs/>
          <w:sz w:val="32"/>
          <w:szCs w:val="32"/>
          <w:lang w:val="en-US" w:eastAsia="zh-CN"/>
        </w:rPr>
        <w:t>02）：</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319.57</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Cs/>
          <w:sz w:val="32"/>
          <w:szCs w:val="32"/>
          <w:lang w:eastAsia="zh-CN"/>
        </w:rPr>
        <w:t>机关服务</w:t>
      </w:r>
      <w:r>
        <w:rPr>
          <w:rStyle w:val="17"/>
          <w:rFonts w:hint="eastAsia" w:ascii="仿宋" w:hAnsi="仿宋" w:eastAsia="仿宋"/>
          <w:bCs/>
          <w:sz w:val="32"/>
          <w:szCs w:val="32"/>
        </w:rPr>
        <w:t>（</w:t>
      </w:r>
      <w:r>
        <w:rPr>
          <w:rStyle w:val="17"/>
          <w:rFonts w:hint="eastAsia" w:ascii="仿宋" w:hAnsi="仿宋" w:eastAsia="仿宋"/>
          <w:bCs/>
          <w:sz w:val="32"/>
          <w:szCs w:val="32"/>
          <w:lang w:val="en-US" w:eastAsia="zh-CN"/>
        </w:rPr>
        <w:t>03</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556.53</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 w:val="0"/>
          <w:bCs/>
          <w:sz w:val="32"/>
          <w:szCs w:val="32"/>
        </w:rPr>
        <w:t>决算数等于预算数。</w:t>
      </w:r>
    </w:p>
    <w:p w14:paraId="4A9D3586">
      <w:pPr>
        <w:spacing w:line="600" w:lineRule="exact"/>
        <w:ind w:firstLine="643" w:firstLineChars="200"/>
        <w:rPr>
          <w:rFonts w:ascii="仿宋" w:hAnsi="仿宋" w:eastAsia="仿宋"/>
          <w:b/>
          <w:sz w:val="32"/>
          <w:szCs w:val="32"/>
        </w:rPr>
      </w:pPr>
      <w:r>
        <w:rPr>
          <w:rStyle w:val="17"/>
          <w:rFonts w:hint="eastAsia" w:ascii="仿宋" w:hAnsi="仿宋" w:eastAsia="仿宋"/>
          <w:bCs/>
          <w:sz w:val="32"/>
          <w:szCs w:val="32"/>
          <w:lang w:val="en-US" w:eastAsia="zh-CN"/>
        </w:rPr>
        <w:t>2</w:t>
      </w:r>
      <w:r>
        <w:rPr>
          <w:rStyle w:val="17"/>
          <w:rFonts w:ascii="仿宋" w:hAnsi="仿宋" w:eastAsia="仿宋"/>
          <w:bCs/>
          <w:sz w:val="32"/>
          <w:szCs w:val="32"/>
        </w:rPr>
        <w:t>.</w:t>
      </w:r>
      <w:r>
        <w:rPr>
          <w:rStyle w:val="17"/>
          <w:rFonts w:hint="eastAsia" w:ascii="仿宋" w:hAnsi="仿宋" w:eastAsia="仿宋"/>
          <w:bCs/>
          <w:sz w:val="32"/>
          <w:szCs w:val="32"/>
        </w:rPr>
        <w:t>社会保障和就业（</w:t>
      </w:r>
      <w:r>
        <w:rPr>
          <w:rStyle w:val="17"/>
          <w:rFonts w:hint="eastAsia" w:ascii="仿宋" w:hAnsi="仿宋" w:eastAsia="仿宋"/>
          <w:bCs/>
          <w:sz w:val="32"/>
          <w:szCs w:val="32"/>
          <w:lang w:val="en-US" w:eastAsia="zh-CN"/>
        </w:rPr>
        <w:t>208</w:t>
      </w:r>
      <w:r>
        <w:rPr>
          <w:rStyle w:val="17"/>
          <w:rFonts w:hint="eastAsia" w:ascii="仿宋" w:hAnsi="仿宋" w:eastAsia="仿宋"/>
          <w:bCs/>
          <w:sz w:val="32"/>
          <w:szCs w:val="32"/>
        </w:rPr>
        <w:t>）行政事业单位养老支出（</w:t>
      </w:r>
      <w:r>
        <w:rPr>
          <w:rStyle w:val="17"/>
          <w:rFonts w:hint="eastAsia" w:ascii="仿宋" w:hAnsi="仿宋" w:eastAsia="仿宋"/>
          <w:bCs/>
          <w:sz w:val="32"/>
          <w:szCs w:val="32"/>
          <w:lang w:val="en-US" w:eastAsia="zh-CN"/>
        </w:rPr>
        <w:t>05</w:t>
      </w:r>
      <w:r>
        <w:rPr>
          <w:rStyle w:val="17"/>
          <w:rFonts w:hint="eastAsia" w:ascii="仿宋" w:hAnsi="仿宋" w:eastAsia="仿宋"/>
          <w:bCs/>
          <w:sz w:val="32"/>
          <w:szCs w:val="32"/>
        </w:rPr>
        <w:t>）机关事业单位基本养老保险缴费支出（</w:t>
      </w:r>
      <w:r>
        <w:rPr>
          <w:rStyle w:val="17"/>
          <w:rFonts w:hint="eastAsia" w:ascii="仿宋" w:hAnsi="仿宋" w:eastAsia="仿宋"/>
          <w:bCs/>
          <w:sz w:val="32"/>
          <w:szCs w:val="32"/>
          <w:lang w:val="en-US" w:eastAsia="zh-CN"/>
        </w:rPr>
        <w:t>05</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69.14</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Cs/>
          <w:sz w:val="32"/>
          <w:szCs w:val="32"/>
        </w:rPr>
        <w:t>机关事业单位职业年金缴费支出</w:t>
      </w:r>
      <w:r>
        <w:rPr>
          <w:rStyle w:val="17"/>
          <w:rFonts w:hint="eastAsia" w:ascii="仿宋" w:hAnsi="仿宋" w:eastAsia="仿宋"/>
          <w:bCs/>
          <w:sz w:val="32"/>
          <w:szCs w:val="32"/>
          <w:lang w:eastAsia="zh-CN"/>
        </w:rPr>
        <w:t>（</w:t>
      </w:r>
      <w:r>
        <w:rPr>
          <w:rStyle w:val="17"/>
          <w:rFonts w:hint="eastAsia" w:ascii="仿宋" w:hAnsi="仿宋" w:eastAsia="仿宋"/>
          <w:bCs/>
          <w:sz w:val="32"/>
          <w:szCs w:val="32"/>
          <w:lang w:val="en-US" w:eastAsia="zh-CN"/>
        </w:rPr>
        <w:t>06</w:t>
      </w:r>
      <w:r>
        <w:rPr>
          <w:rStyle w:val="17"/>
          <w:rFonts w:hint="eastAsia" w:ascii="仿宋" w:hAnsi="仿宋" w:eastAsia="仿宋"/>
          <w:bCs/>
          <w:sz w:val="32"/>
          <w:szCs w:val="32"/>
          <w:lang w:eastAsia="zh-CN"/>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33.16</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 w:val="0"/>
          <w:bCs/>
          <w:sz w:val="32"/>
          <w:szCs w:val="32"/>
        </w:rPr>
        <w:t>决算数等于预算数。</w:t>
      </w:r>
    </w:p>
    <w:p w14:paraId="0BEF940E">
      <w:pPr>
        <w:spacing w:line="600" w:lineRule="exact"/>
        <w:ind w:firstLine="643" w:firstLineChars="200"/>
        <w:rPr>
          <w:rFonts w:ascii="仿宋" w:hAnsi="仿宋" w:eastAsia="仿宋"/>
          <w:b/>
          <w:sz w:val="32"/>
          <w:szCs w:val="32"/>
        </w:rPr>
      </w:pPr>
      <w:r>
        <w:rPr>
          <w:rStyle w:val="17"/>
          <w:rFonts w:hint="eastAsia" w:ascii="仿宋" w:hAnsi="仿宋" w:eastAsia="仿宋"/>
          <w:bCs/>
          <w:sz w:val="32"/>
          <w:szCs w:val="32"/>
          <w:lang w:val="en-US" w:eastAsia="zh-CN"/>
        </w:rPr>
        <w:t>3</w:t>
      </w:r>
      <w:r>
        <w:rPr>
          <w:rStyle w:val="17"/>
          <w:rFonts w:ascii="仿宋" w:hAnsi="仿宋" w:eastAsia="仿宋"/>
          <w:bCs/>
          <w:sz w:val="32"/>
          <w:szCs w:val="32"/>
        </w:rPr>
        <w:t>.</w:t>
      </w:r>
      <w:r>
        <w:rPr>
          <w:rFonts w:hint="eastAsia" w:ascii="仿宋" w:hAnsi="仿宋" w:eastAsia="仿宋"/>
          <w:b/>
          <w:bCs/>
          <w:sz w:val="32"/>
          <w:szCs w:val="32"/>
        </w:rPr>
        <w:t>卫生健康</w:t>
      </w:r>
      <w:r>
        <w:rPr>
          <w:rStyle w:val="17"/>
          <w:rFonts w:hint="eastAsia" w:ascii="仿宋" w:hAnsi="仿宋" w:eastAsia="仿宋"/>
          <w:bCs/>
          <w:sz w:val="32"/>
          <w:szCs w:val="32"/>
        </w:rPr>
        <w:t>（</w:t>
      </w:r>
      <w:r>
        <w:rPr>
          <w:rStyle w:val="17"/>
          <w:rFonts w:hint="eastAsia" w:ascii="仿宋" w:hAnsi="仿宋" w:eastAsia="仿宋"/>
          <w:bCs/>
          <w:sz w:val="32"/>
          <w:szCs w:val="32"/>
          <w:lang w:val="en-US" w:eastAsia="zh-CN"/>
        </w:rPr>
        <w:t>210</w:t>
      </w:r>
      <w:r>
        <w:rPr>
          <w:rStyle w:val="17"/>
          <w:rFonts w:hint="eastAsia" w:ascii="仿宋" w:hAnsi="仿宋" w:eastAsia="仿宋"/>
          <w:bCs/>
          <w:sz w:val="32"/>
          <w:szCs w:val="32"/>
        </w:rPr>
        <w:t>）行政事业单位医疗（</w:t>
      </w:r>
      <w:r>
        <w:rPr>
          <w:rStyle w:val="17"/>
          <w:rFonts w:hint="eastAsia" w:ascii="仿宋" w:hAnsi="仿宋" w:eastAsia="仿宋"/>
          <w:bCs/>
          <w:sz w:val="32"/>
          <w:szCs w:val="32"/>
          <w:lang w:val="en-US" w:eastAsia="zh-CN"/>
        </w:rPr>
        <w:t>11</w:t>
      </w:r>
      <w:r>
        <w:rPr>
          <w:rStyle w:val="17"/>
          <w:rFonts w:hint="eastAsia" w:ascii="仿宋" w:hAnsi="仿宋" w:eastAsia="仿宋"/>
          <w:bCs/>
          <w:sz w:val="32"/>
          <w:szCs w:val="32"/>
        </w:rPr>
        <w:t>）行政单位医疗（</w:t>
      </w:r>
      <w:r>
        <w:rPr>
          <w:rStyle w:val="17"/>
          <w:rFonts w:hint="eastAsia" w:ascii="仿宋" w:hAnsi="仿宋" w:eastAsia="仿宋"/>
          <w:bCs/>
          <w:sz w:val="32"/>
          <w:szCs w:val="32"/>
          <w:lang w:val="en-US" w:eastAsia="zh-CN"/>
        </w:rPr>
        <w:t>01</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34.05</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Cs/>
          <w:sz w:val="32"/>
          <w:szCs w:val="32"/>
        </w:rPr>
        <w:t>公务员医疗补助</w:t>
      </w:r>
      <w:r>
        <w:rPr>
          <w:rStyle w:val="17"/>
          <w:rFonts w:hint="eastAsia" w:ascii="仿宋" w:hAnsi="仿宋" w:eastAsia="仿宋"/>
          <w:bCs/>
          <w:sz w:val="32"/>
          <w:szCs w:val="32"/>
          <w:lang w:eastAsia="zh-CN"/>
        </w:rPr>
        <w:t>（</w:t>
      </w:r>
      <w:r>
        <w:rPr>
          <w:rStyle w:val="17"/>
          <w:rFonts w:hint="eastAsia" w:ascii="仿宋" w:hAnsi="仿宋" w:eastAsia="仿宋"/>
          <w:bCs/>
          <w:sz w:val="32"/>
          <w:szCs w:val="32"/>
          <w:lang w:val="en-US" w:eastAsia="zh-CN"/>
        </w:rPr>
        <w:t>03</w:t>
      </w:r>
      <w:r>
        <w:rPr>
          <w:rStyle w:val="17"/>
          <w:rFonts w:hint="eastAsia" w:ascii="仿宋" w:hAnsi="仿宋" w:eastAsia="仿宋"/>
          <w:bCs/>
          <w:sz w:val="32"/>
          <w:szCs w:val="32"/>
          <w:lang w:eastAsia="zh-CN"/>
        </w:rPr>
        <w:t>）</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6.56</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 w:val="0"/>
          <w:bCs/>
          <w:sz w:val="32"/>
          <w:szCs w:val="32"/>
        </w:rPr>
        <w:t>决算数等于预算数。</w:t>
      </w:r>
    </w:p>
    <w:p w14:paraId="2540D444">
      <w:pPr>
        <w:spacing w:line="600" w:lineRule="exact"/>
        <w:ind w:firstLine="643" w:firstLineChars="200"/>
        <w:rPr>
          <w:rStyle w:val="17"/>
          <w:rFonts w:hint="eastAsia" w:ascii="仿宋" w:hAnsi="仿宋" w:eastAsia="仿宋"/>
          <w:b w:val="0"/>
          <w:bCs/>
          <w:sz w:val="32"/>
          <w:szCs w:val="32"/>
        </w:rPr>
      </w:pPr>
      <w:r>
        <w:rPr>
          <w:rStyle w:val="17"/>
          <w:rFonts w:hint="eastAsia" w:ascii="仿宋" w:hAnsi="仿宋" w:eastAsia="仿宋"/>
          <w:bCs/>
          <w:sz w:val="32"/>
          <w:szCs w:val="32"/>
          <w:lang w:val="en-US" w:eastAsia="zh-CN"/>
        </w:rPr>
        <w:t>4</w:t>
      </w:r>
      <w:r>
        <w:rPr>
          <w:rStyle w:val="17"/>
          <w:rFonts w:ascii="仿宋" w:hAnsi="仿宋" w:eastAsia="仿宋"/>
          <w:bCs/>
          <w:sz w:val="32"/>
          <w:szCs w:val="32"/>
        </w:rPr>
        <w:t>.</w:t>
      </w:r>
      <w:r>
        <w:rPr>
          <w:rFonts w:hint="eastAsia" w:ascii="仿宋" w:hAnsi="仿宋" w:eastAsia="仿宋"/>
          <w:b/>
          <w:bCs/>
          <w:sz w:val="32"/>
          <w:szCs w:val="32"/>
        </w:rPr>
        <w:t>住房保障支出</w:t>
      </w:r>
      <w:r>
        <w:rPr>
          <w:rStyle w:val="17"/>
          <w:rFonts w:hint="eastAsia" w:ascii="仿宋" w:hAnsi="仿宋" w:eastAsia="仿宋"/>
          <w:bCs/>
          <w:sz w:val="32"/>
          <w:szCs w:val="32"/>
        </w:rPr>
        <w:t>（</w:t>
      </w:r>
      <w:r>
        <w:rPr>
          <w:rStyle w:val="17"/>
          <w:rFonts w:hint="eastAsia" w:ascii="仿宋" w:hAnsi="仿宋" w:eastAsia="仿宋"/>
          <w:bCs/>
          <w:sz w:val="32"/>
          <w:szCs w:val="32"/>
          <w:lang w:val="en-US" w:eastAsia="zh-CN"/>
        </w:rPr>
        <w:t>221</w:t>
      </w:r>
      <w:r>
        <w:rPr>
          <w:rStyle w:val="17"/>
          <w:rFonts w:hint="eastAsia" w:ascii="仿宋" w:hAnsi="仿宋" w:eastAsia="仿宋"/>
          <w:bCs/>
          <w:sz w:val="32"/>
          <w:szCs w:val="32"/>
        </w:rPr>
        <w:t>）住房改革支出（</w:t>
      </w:r>
      <w:r>
        <w:rPr>
          <w:rStyle w:val="17"/>
          <w:rFonts w:hint="eastAsia" w:ascii="仿宋" w:hAnsi="仿宋" w:eastAsia="仿宋"/>
          <w:bCs/>
          <w:sz w:val="32"/>
          <w:szCs w:val="32"/>
          <w:lang w:val="en-US" w:eastAsia="zh-CN"/>
        </w:rPr>
        <w:t>02</w:t>
      </w:r>
      <w:r>
        <w:rPr>
          <w:rStyle w:val="17"/>
          <w:rFonts w:hint="eastAsia" w:ascii="仿宋" w:hAnsi="仿宋" w:eastAsia="仿宋"/>
          <w:bCs/>
          <w:sz w:val="32"/>
          <w:szCs w:val="32"/>
        </w:rPr>
        <w:t>）住房公积金（</w:t>
      </w:r>
      <w:r>
        <w:rPr>
          <w:rStyle w:val="17"/>
          <w:rFonts w:hint="eastAsia" w:ascii="仿宋" w:hAnsi="仿宋" w:eastAsia="仿宋"/>
          <w:bCs/>
          <w:sz w:val="32"/>
          <w:szCs w:val="32"/>
          <w:lang w:val="en-US" w:eastAsia="zh-CN"/>
        </w:rPr>
        <w:t>01</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58.35</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14:paraId="61C74B18">
      <w:pPr>
        <w:spacing w:line="600" w:lineRule="exact"/>
        <w:ind w:firstLine="643" w:firstLineChars="200"/>
        <w:rPr>
          <w:rFonts w:hint="eastAsia"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1-1表和财决08表，仅罗列本单位涉及的全部功能分类科目，至项级。上述“预算”口径为全年预算数。增减变动原因为决算数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和全年预算数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比较，与预算数持平可以不写原因。）</w:t>
      </w:r>
    </w:p>
    <w:p w14:paraId="77736417">
      <w:pPr>
        <w:tabs>
          <w:tab w:val="right" w:pos="8306"/>
        </w:tabs>
        <w:spacing w:line="600" w:lineRule="exact"/>
        <w:ind w:firstLine="640" w:firstLineChars="200"/>
        <w:outlineLvl w:val="1"/>
        <w:rPr>
          <w:rStyle w:val="29"/>
        </w:rPr>
      </w:pPr>
      <w:bookmarkStart w:id="36" w:name="_Toc15377214"/>
      <w:bookmarkStart w:id="37"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6"/>
      <w:bookmarkEnd w:id="37"/>
      <w:r>
        <w:rPr>
          <w:rStyle w:val="29"/>
          <w:rFonts w:ascii="黑体" w:hAnsi="黑体" w:eastAsia="黑体"/>
          <w:b w:val="0"/>
        </w:rPr>
        <w:tab/>
      </w:r>
    </w:p>
    <w:p w14:paraId="7C1823CE">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年度一般公共预算财政拨款基本支出</w:t>
      </w:r>
      <w:r>
        <w:rPr>
          <w:rFonts w:hint="eastAsia" w:ascii="仿宋" w:hAnsi="仿宋" w:eastAsia="仿宋"/>
          <w:b/>
          <w:sz w:val="32"/>
          <w:szCs w:val="32"/>
          <w:lang w:val="en-US" w:eastAsia="zh-CN"/>
        </w:rPr>
        <w:t>846.23</w:t>
      </w:r>
      <w:r>
        <w:rPr>
          <w:rFonts w:hint="eastAsia" w:ascii="仿宋" w:hAnsi="仿宋" w:eastAsia="仿宋"/>
          <w:sz w:val="32"/>
          <w:szCs w:val="32"/>
        </w:rPr>
        <w:t>万元，其中：</w:t>
      </w:r>
    </w:p>
    <w:p w14:paraId="0ECE96E6">
      <w:pPr>
        <w:spacing w:line="600" w:lineRule="exact"/>
        <w:ind w:firstLine="640" w:firstLineChars="200"/>
        <w:rPr>
          <w:rFonts w:ascii="仿宋" w:hAnsi="仿宋" w:eastAsia="仿宋"/>
          <w:sz w:val="32"/>
          <w:szCs w:val="32"/>
        </w:rPr>
      </w:pPr>
      <w:r>
        <w:rPr>
          <w:rFonts w:hint="eastAsia" w:ascii="仿宋" w:hAnsi="仿宋" w:eastAsia="仿宋"/>
          <w:sz w:val="32"/>
          <w:szCs w:val="32"/>
        </w:rPr>
        <w:t>人员经费</w:t>
      </w:r>
      <w:r>
        <w:rPr>
          <w:rFonts w:hint="eastAsia" w:ascii="仿宋" w:hAnsi="仿宋" w:eastAsia="仿宋"/>
          <w:b/>
          <w:sz w:val="32"/>
          <w:szCs w:val="32"/>
          <w:lang w:val="en-US" w:eastAsia="zh-CN"/>
        </w:rPr>
        <w:t>742.33</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hint="eastAsia" w:ascii="仿宋" w:hAnsi="仿宋" w:eastAsia="仿宋"/>
          <w:b/>
          <w:sz w:val="32"/>
          <w:szCs w:val="32"/>
          <w:lang w:val="en-US" w:eastAsia="zh-CN"/>
        </w:rPr>
        <w:t>103.9</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D3E8317">
      <w:pPr>
        <w:spacing w:line="600" w:lineRule="exact"/>
        <w:ind w:firstLine="643" w:firstLineChars="200"/>
        <w:rPr>
          <w:rFonts w:hint="eastAsia"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7表和财决08-1表，仅罗列本单位实际支出涉及的经济分类科目。）</w:t>
      </w:r>
    </w:p>
    <w:p w14:paraId="5FE6F074">
      <w:pPr>
        <w:spacing w:line="600" w:lineRule="exact"/>
        <w:ind w:firstLine="640" w:firstLineChars="200"/>
        <w:outlineLvl w:val="1"/>
        <w:rPr>
          <w:rStyle w:val="29"/>
          <w:rFonts w:ascii="黑体" w:hAnsi="黑体" w:eastAsia="黑体"/>
          <w:b w:val="0"/>
        </w:rPr>
      </w:pPr>
      <w:bookmarkStart w:id="38" w:name="_Toc15377215"/>
      <w:bookmarkStart w:id="39" w:name="_Toc15396609"/>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38"/>
      <w:bookmarkEnd w:id="39"/>
    </w:p>
    <w:p w14:paraId="5BC2CB82">
      <w:pPr>
        <w:spacing w:line="600" w:lineRule="exact"/>
        <w:ind w:firstLine="643" w:firstLineChars="200"/>
        <w:outlineLvl w:val="2"/>
        <w:rPr>
          <w:rFonts w:ascii="仿宋" w:hAnsi="仿宋" w:eastAsia="仿宋"/>
          <w:b/>
          <w:sz w:val="32"/>
          <w:szCs w:val="32"/>
        </w:rPr>
      </w:pPr>
      <w:bookmarkStart w:id="40" w:name="_Toc15377216"/>
      <w:r>
        <w:rPr>
          <w:rFonts w:hint="eastAsia" w:ascii="仿宋" w:hAnsi="仿宋" w:eastAsia="仿宋"/>
          <w:b/>
          <w:sz w:val="32"/>
          <w:szCs w:val="32"/>
        </w:rPr>
        <w:t>（一）“三公”经费财政拨款支出决算总体情况说明</w:t>
      </w:r>
      <w:bookmarkEnd w:id="40"/>
    </w:p>
    <w:p w14:paraId="1B14B953">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年度“三公”经费财政拨款支出决算为</w:t>
      </w:r>
      <w:r>
        <w:rPr>
          <w:rFonts w:hint="eastAsia" w:ascii="仿宋" w:hAnsi="仿宋" w:eastAsia="仿宋"/>
          <w:b/>
          <w:sz w:val="32"/>
          <w:szCs w:val="32"/>
          <w:lang w:val="en-US" w:eastAsia="zh-CN"/>
        </w:rPr>
        <w:t>73.02</w:t>
      </w:r>
      <w:r>
        <w:rPr>
          <w:rFonts w:hint="eastAsia" w:ascii="仿宋" w:hAnsi="仿宋" w:eastAsia="仿宋"/>
          <w:sz w:val="32"/>
          <w:szCs w:val="32"/>
        </w:rPr>
        <w:t>万元，完成预算</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74.49</w:t>
      </w:r>
      <w:r>
        <w:rPr>
          <w:rFonts w:hint="eastAsia" w:ascii="仿宋" w:hAnsi="仿宋" w:eastAsia="仿宋"/>
          <w:sz w:val="32"/>
          <w:szCs w:val="32"/>
        </w:rPr>
        <w:t>万元，下降</w:t>
      </w:r>
      <w:r>
        <w:rPr>
          <w:rFonts w:hint="eastAsia" w:ascii="仿宋" w:hAnsi="仿宋" w:eastAsia="仿宋"/>
          <w:sz w:val="32"/>
          <w:szCs w:val="32"/>
          <w:lang w:val="en-US" w:eastAsia="zh-CN"/>
        </w:rPr>
        <w:t>50.50</w:t>
      </w:r>
      <w:r>
        <w:rPr>
          <w:rFonts w:hint="eastAsia" w:ascii="仿宋" w:hAnsi="仿宋" w:eastAsia="仿宋"/>
          <w:sz w:val="32"/>
          <w:szCs w:val="32"/>
        </w:rPr>
        <w:t>%。决算数与预算数持平。</w:t>
      </w:r>
    </w:p>
    <w:p w14:paraId="66EC74B8">
      <w:pPr>
        <w:spacing w:line="600" w:lineRule="exact"/>
        <w:ind w:firstLine="643" w:firstLineChars="20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247513CC">
      <w:pPr>
        <w:spacing w:line="600" w:lineRule="exact"/>
        <w:ind w:firstLine="643" w:firstLineChars="200"/>
        <w:outlineLvl w:val="2"/>
        <w:rPr>
          <w:rFonts w:ascii="仿宋" w:hAnsi="仿宋" w:eastAsia="仿宋"/>
          <w:b/>
          <w:sz w:val="32"/>
          <w:szCs w:val="32"/>
        </w:rPr>
      </w:pPr>
      <w:bookmarkStart w:id="41" w:name="_Toc15377217"/>
      <w:r>
        <w:rPr>
          <w:rFonts w:hint="eastAsia" w:ascii="仿宋" w:hAnsi="仿宋" w:eastAsia="仿宋"/>
          <w:b/>
          <w:sz w:val="32"/>
          <w:szCs w:val="32"/>
        </w:rPr>
        <w:t>（二）“三公”经费财政拨款支出决算具体情况说明</w:t>
      </w:r>
      <w:bookmarkEnd w:id="41"/>
    </w:p>
    <w:p w14:paraId="399E67A1">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ascii="仿宋" w:hAnsi="仿宋" w:eastAsia="仿宋"/>
          <w:b/>
          <w:sz w:val="32"/>
          <w:szCs w:val="32"/>
          <w:lang w:val="en-US" w:eastAsia="zh-CN"/>
        </w:rPr>
        <w:t>73.02</w:t>
      </w:r>
      <w:r>
        <w:rPr>
          <w:rFonts w:hint="eastAsia" w:ascii="仿宋" w:hAnsi="仿宋" w:eastAsia="仿宋"/>
          <w:sz w:val="32"/>
          <w:szCs w:val="32"/>
        </w:rPr>
        <w:t>万元，占</w:t>
      </w:r>
      <w:r>
        <w:rPr>
          <w:rFonts w:hint="eastAsia" w:ascii="仿宋" w:hAnsi="仿宋" w:eastAsia="仿宋"/>
          <w:b/>
          <w:sz w:val="32"/>
          <w:szCs w:val="32"/>
          <w:lang w:val="en-US" w:eastAsia="zh-CN"/>
        </w:rPr>
        <w:t>100</w:t>
      </w:r>
      <w:r>
        <w:rPr>
          <w:rFonts w:ascii="仿宋" w:hAnsi="仿宋" w:eastAsia="仿宋"/>
          <w:sz w:val="32"/>
          <w:szCs w:val="32"/>
        </w:rPr>
        <w:t>%</w:t>
      </w:r>
      <w:r>
        <w:rPr>
          <w:rFonts w:hint="eastAsia" w:ascii="仿宋" w:hAnsi="仿宋" w:eastAsia="仿宋"/>
          <w:sz w:val="32"/>
          <w:szCs w:val="32"/>
        </w:rPr>
        <w:t>；公务接待费支出决算</w:t>
      </w:r>
      <w:r>
        <w:rPr>
          <w:rFonts w:hint="eastAsia" w:ascii="仿宋" w:hAnsi="仿宋" w:eastAsia="仿宋"/>
          <w:b/>
          <w:sz w:val="32"/>
          <w:szCs w:val="32"/>
          <w:lang w:val="en-US" w:eastAsia="zh-CN"/>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。具体情况如下：</w:t>
      </w:r>
    </w:p>
    <w:p w14:paraId="56DFB3ED">
      <w:pPr>
        <w:spacing w:line="600" w:lineRule="exact"/>
        <w:ind w:firstLine="643" w:firstLineChars="200"/>
        <w:rPr>
          <w:rFonts w:ascii="仿宋_GB2312" w:eastAsia="仿宋_GB2312"/>
          <w:sz w:val="32"/>
          <w:szCs w:val="32"/>
        </w:rPr>
      </w:pPr>
      <w:bookmarkStart w:id="42" w:name="_Toc15377218"/>
      <w:bookmarkStart w:id="43" w:name="_Toc15396610"/>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ascii="仿宋" w:hAnsi="仿宋" w:eastAsia="仿宋"/>
          <w:bCs/>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w:t>
      </w:r>
    </w:p>
    <w:p w14:paraId="364B2E4C">
      <w:pPr>
        <w:spacing w:line="600" w:lineRule="exact"/>
        <w:ind w:firstLine="643" w:firstLineChars="20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 w:hAnsi="仿宋" w:eastAsia="仿宋"/>
          <w:b/>
          <w:sz w:val="32"/>
          <w:szCs w:val="32"/>
          <w:lang w:val="en-US" w:eastAsia="zh-CN"/>
        </w:rPr>
        <w:t>73.02</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ascii="仿宋" w:hAnsi="仿宋" w:eastAsia="仿宋"/>
          <w:bCs/>
          <w:sz w:val="32"/>
          <w:szCs w:val="32"/>
        </w:rPr>
        <w:t>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hint="eastAsia" w:ascii="仿宋_GB2312" w:eastAsia="仿宋_GB2312"/>
          <w:sz w:val="32"/>
          <w:szCs w:val="32"/>
          <w:lang w:eastAsia="zh-CN"/>
        </w:rPr>
        <w:t>2023</w:t>
      </w:r>
      <w:r>
        <w:rPr>
          <w:rFonts w:hint="eastAsia" w:ascii="仿宋_GB2312" w:eastAsia="仿宋_GB2312"/>
          <w:sz w:val="32"/>
          <w:szCs w:val="32"/>
        </w:rPr>
        <w:t>年度</w:t>
      </w:r>
      <w:r>
        <w:rPr>
          <w:rFonts w:hint="eastAsia" w:ascii="仿宋" w:hAnsi="仿宋" w:eastAsia="仿宋"/>
          <w:sz w:val="32"/>
          <w:szCs w:val="32"/>
          <w:lang w:val="en-US" w:eastAsia="zh-CN"/>
        </w:rPr>
        <w:t>74.49</w:t>
      </w:r>
      <w:r>
        <w:rPr>
          <w:rFonts w:hint="eastAsia" w:ascii="仿宋" w:hAnsi="仿宋" w:eastAsia="仿宋"/>
          <w:sz w:val="32"/>
          <w:szCs w:val="32"/>
        </w:rPr>
        <w:t>万元，下降</w:t>
      </w:r>
      <w:r>
        <w:rPr>
          <w:rFonts w:hint="eastAsia" w:ascii="仿宋" w:hAnsi="仿宋" w:eastAsia="仿宋"/>
          <w:sz w:val="32"/>
          <w:szCs w:val="32"/>
          <w:lang w:val="en-US" w:eastAsia="zh-CN"/>
        </w:rPr>
        <w:t>50.50</w:t>
      </w:r>
      <w:r>
        <w:rPr>
          <w:rFonts w:hint="eastAsia" w:ascii="仿宋" w:hAnsi="仿宋" w:eastAsia="仿宋"/>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厉行节约</w:t>
      </w:r>
      <w:r>
        <w:rPr>
          <w:rFonts w:hint="eastAsia" w:ascii="仿宋_GB2312" w:eastAsia="仿宋_GB2312"/>
          <w:sz w:val="32"/>
          <w:szCs w:val="32"/>
        </w:rPr>
        <w:t>。</w:t>
      </w:r>
    </w:p>
    <w:p w14:paraId="43476790">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辆。截至</w:t>
      </w:r>
      <w:r>
        <w:rPr>
          <w:rFonts w:hint="eastAsia" w:ascii="仿宋_GB2312" w:eastAsia="仿宋_GB2312"/>
          <w:sz w:val="32"/>
          <w:szCs w:val="32"/>
          <w:lang w:eastAsia="zh-CN"/>
        </w:rPr>
        <w:t>2024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13</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12</w:t>
      </w:r>
      <w:r>
        <w:rPr>
          <w:rFonts w:hint="eastAsia" w:ascii="仿宋_GB2312" w:eastAsia="仿宋_GB2312"/>
          <w:sz w:val="32"/>
          <w:szCs w:val="32"/>
        </w:rPr>
        <w:t>辆、载客汽车</w:t>
      </w:r>
      <w:r>
        <w:rPr>
          <w:rFonts w:hint="eastAsia" w:ascii="仿宋_GB2312" w:eastAsia="仿宋_GB2312"/>
          <w:sz w:val="32"/>
          <w:szCs w:val="32"/>
          <w:lang w:val="en-US" w:eastAsia="zh-CN"/>
        </w:rPr>
        <w:t>1</w:t>
      </w:r>
      <w:r>
        <w:rPr>
          <w:rFonts w:hint="eastAsia" w:ascii="仿宋_GB2312" w:eastAsia="仿宋_GB2312"/>
          <w:sz w:val="32"/>
          <w:szCs w:val="32"/>
        </w:rPr>
        <w:t>辆。</w:t>
      </w:r>
    </w:p>
    <w:p w14:paraId="41D627C4">
      <w:pPr>
        <w:spacing w:line="600" w:lineRule="exact"/>
        <w:ind w:firstLine="643" w:firstLineChars="20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 w:hAnsi="仿宋" w:eastAsia="仿宋"/>
          <w:b/>
          <w:sz w:val="32"/>
          <w:szCs w:val="32"/>
          <w:lang w:val="en-US" w:eastAsia="zh-CN"/>
        </w:rPr>
        <w:t>73.02</w:t>
      </w:r>
      <w:r>
        <w:rPr>
          <w:rFonts w:hint="eastAsia" w:ascii="仿宋_GB2312" w:eastAsia="仿宋_GB2312"/>
          <w:sz w:val="32"/>
          <w:szCs w:val="32"/>
        </w:rPr>
        <w:t>万元。主要用于</w:t>
      </w:r>
      <w:r>
        <w:rPr>
          <w:rFonts w:hint="eastAsia" w:ascii="仿宋_GB2312" w:eastAsia="仿宋_GB2312"/>
          <w:sz w:val="32"/>
          <w:szCs w:val="32"/>
          <w:lang w:eastAsia="zh-CN"/>
        </w:rPr>
        <w:t>县政府各行业及重点工作</w:t>
      </w:r>
      <w:r>
        <w:rPr>
          <w:rFonts w:hint="eastAsia" w:ascii="仿宋_GB2312" w:eastAsia="仿宋_GB2312"/>
          <w:sz w:val="32"/>
          <w:szCs w:val="32"/>
        </w:rPr>
        <w:t>等所需的公务用车燃料费、维修费、过路过桥费、保险费等支出。</w:t>
      </w:r>
    </w:p>
    <w:p w14:paraId="5A5420B5">
      <w:pPr>
        <w:spacing w:line="600" w:lineRule="exact"/>
        <w:ind w:firstLine="643" w:firstLineChars="200"/>
        <w:rPr>
          <w:rFonts w:hint="eastAsia"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 w:hAnsi="仿宋" w:eastAsia="仿宋"/>
          <w:b/>
          <w:sz w:val="32"/>
          <w:szCs w:val="32"/>
          <w:lang w:val="en-US" w:eastAsia="zh-CN"/>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ascii="仿宋" w:hAnsi="仿宋" w:eastAsia="仿宋"/>
          <w:b w:val="0"/>
          <w:bCs/>
          <w:sz w:val="32"/>
          <w:szCs w:val="32"/>
        </w:rPr>
        <w:t>100%</w:t>
      </w:r>
      <w:r>
        <w:rPr>
          <w:rStyle w:val="17"/>
          <w:rFonts w:hint="eastAsia" w:ascii="仿宋" w:hAnsi="仿宋" w:eastAsia="仿宋"/>
          <w:b w:val="0"/>
          <w:bCs/>
          <w:sz w:val="32"/>
          <w:szCs w:val="32"/>
        </w:rPr>
        <w:t>。</w:t>
      </w:r>
      <w:r>
        <w:rPr>
          <w:rFonts w:hint="eastAsia" w:ascii="仿宋_GB2312" w:eastAsia="仿宋_GB2312"/>
          <w:sz w:val="32"/>
          <w:szCs w:val="32"/>
        </w:rPr>
        <w:t>公务接待费支出决算比</w:t>
      </w:r>
      <w:r>
        <w:rPr>
          <w:rFonts w:hint="eastAsia" w:ascii="仿宋_GB2312" w:eastAsia="仿宋_GB2312"/>
          <w:sz w:val="32"/>
          <w:szCs w:val="32"/>
          <w:lang w:eastAsia="zh-CN"/>
        </w:rPr>
        <w:t>2023</w:t>
      </w:r>
      <w:r>
        <w:rPr>
          <w:rFonts w:hint="eastAsia" w:ascii="仿宋_GB2312" w:eastAsia="仿宋_GB2312"/>
          <w:sz w:val="32"/>
          <w:szCs w:val="32"/>
        </w:rPr>
        <w:t>年度</w:t>
      </w:r>
      <w:r>
        <w:rPr>
          <w:rFonts w:hint="eastAsia" w:ascii="仿宋_GB2312" w:eastAsia="仿宋_GB2312"/>
          <w:sz w:val="32"/>
          <w:szCs w:val="32"/>
          <w:lang w:eastAsia="zh-CN"/>
        </w:rPr>
        <w:t>减少</w:t>
      </w:r>
      <w:r>
        <w:rPr>
          <w:rFonts w:hint="eastAsia" w:ascii="仿宋_GB2312" w:eastAsia="仿宋_GB2312"/>
          <w:sz w:val="32"/>
          <w:szCs w:val="32"/>
          <w:lang w:val="en-US" w:eastAsia="zh-CN"/>
        </w:rPr>
        <w:t>0.51</w:t>
      </w:r>
      <w:r>
        <w:rPr>
          <w:rFonts w:hint="eastAsia" w:ascii="仿宋_GB2312" w:eastAsia="仿宋_GB2312"/>
          <w:sz w:val="32"/>
          <w:szCs w:val="32"/>
        </w:rPr>
        <w:t>万元，</w:t>
      </w:r>
      <w:r>
        <w:rPr>
          <w:rFonts w:hint="eastAsia" w:ascii="仿宋_GB2312" w:eastAsia="仿宋_GB2312"/>
          <w:sz w:val="32"/>
          <w:szCs w:val="32"/>
          <w:lang w:eastAsia="zh-CN"/>
        </w:rPr>
        <w:t>降低</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公务接待工作减少</w:t>
      </w:r>
      <w:r>
        <w:rPr>
          <w:rFonts w:hint="eastAsia" w:ascii="仿宋_GB2312" w:eastAsia="仿宋_GB2312"/>
          <w:sz w:val="32"/>
          <w:szCs w:val="32"/>
        </w:rPr>
        <w:t>。其中：</w:t>
      </w: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万元，主要用于</w:t>
      </w:r>
      <w:r>
        <w:rPr>
          <w:rFonts w:hint="eastAsia" w:ascii="仿宋_GB2312" w:eastAsia="仿宋_GB2312"/>
          <w:sz w:val="32"/>
          <w:szCs w:val="32"/>
          <w:lang w:eastAsia="zh-CN"/>
        </w:rPr>
        <w:t>县政府</w:t>
      </w:r>
      <w:r>
        <w:rPr>
          <w:rFonts w:hint="eastAsia" w:ascii="仿宋_GB2312" w:eastAsia="仿宋_GB2312"/>
          <w:sz w:val="32"/>
          <w:szCs w:val="32"/>
        </w:rPr>
        <w:t>执行公务、开展业务活动开支的住宿费、用餐费等。国内公务接待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万元，具体内容包括</w:t>
      </w:r>
      <w:r>
        <w:rPr>
          <w:rFonts w:hint="eastAsia" w:ascii="仿宋_GB2312" w:eastAsia="仿宋_GB2312"/>
          <w:sz w:val="32"/>
          <w:szCs w:val="32"/>
          <w:lang w:eastAsia="zh-CN"/>
        </w:rPr>
        <w:t>公务接待工作增加</w:t>
      </w:r>
      <w:r>
        <w:rPr>
          <w:rFonts w:hint="eastAsia" w:ascii="仿宋_GB2312" w:eastAsia="仿宋_GB2312"/>
          <w:sz w:val="32"/>
          <w:szCs w:val="32"/>
        </w:rPr>
        <w:t>。</w:t>
      </w: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w:t>
      </w:r>
    </w:p>
    <w:p w14:paraId="22418A3C">
      <w:pPr>
        <w:spacing w:line="600" w:lineRule="exact"/>
        <w:ind w:firstLine="640" w:firstLineChars="200"/>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42"/>
      <w:bookmarkEnd w:id="43"/>
    </w:p>
    <w:p w14:paraId="5DA86EDC">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375C9730">
      <w:pPr>
        <w:numPr>
          <w:ilvl w:val="0"/>
          <w:numId w:val="2"/>
        </w:numPr>
        <w:spacing w:line="600" w:lineRule="exact"/>
        <w:ind w:firstLine="640" w:firstLineChars="200"/>
        <w:outlineLvl w:val="1"/>
        <w:rPr>
          <w:rStyle w:val="29"/>
          <w:rFonts w:ascii="黑体" w:hAnsi="黑体" w:eastAsia="黑体"/>
          <w:b w:val="0"/>
        </w:rPr>
      </w:pPr>
      <w:bookmarkStart w:id="44" w:name="_Toc15377219"/>
      <w:bookmarkStart w:id="45" w:name="_Toc15396611"/>
      <w:r>
        <w:rPr>
          <w:rStyle w:val="29"/>
          <w:rFonts w:hint="eastAsia" w:ascii="黑体" w:hAnsi="黑体" w:eastAsia="黑体"/>
          <w:b w:val="0"/>
        </w:rPr>
        <w:t>国有资本经营预算支出决算情况说明</w:t>
      </w:r>
      <w:bookmarkEnd w:id="44"/>
      <w:bookmarkEnd w:id="45"/>
    </w:p>
    <w:p w14:paraId="7A91D087">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60BC3189">
      <w:pPr>
        <w:numPr>
          <w:ilvl w:val="0"/>
          <w:numId w:val="2"/>
        </w:numPr>
        <w:spacing w:line="600" w:lineRule="exact"/>
        <w:ind w:firstLine="640" w:firstLineChars="200"/>
        <w:outlineLvl w:val="1"/>
        <w:rPr>
          <w:rStyle w:val="29"/>
          <w:rFonts w:ascii="黑体" w:hAnsi="黑体" w:eastAsia="黑体"/>
          <w:b w:val="0"/>
        </w:rPr>
      </w:pPr>
      <w:bookmarkStart w:id="46" w:name="_Toc15377221"/>
      <w:bookmarkStart w:id="47" w:name="_Toc15396612"/>
      <w:r>
        <w:rPr>
          <w:rStyle w:val="29"/>
          <w:rFonts w:hint="eastAsia" w:ascii="黑体" w:hAnsi="黑体" w:eastAsia="黑体"/>
          <w:b w:val="0"/>
        </w:rPr>
        <w:t>其他重要事项的情况说明</w:t>
      </w:r>
      <w:bookmarkEnd w:id="46"/>
      <w:bookmarkEnd w:id="47"/>
    </w:p>
    <w:p w14:paraId="44E534A6">
      <w:pPr>
        <w:spacing w:line="600" w:lineRule="exact"/>
        <w:ind w:firstLine="643" w:firstLineChars="200"/>
        <w:outlineLvl w:val="2"/>
        <w:rPr>
          <w:rFonts w:ascii="仿宋" w:hAnsi="仿宋" w:eastAsia="仿宋"/>
          <w:sz w:val="32"/>
          <w:szCs w:val="32"/>
        </w:rPr>
      </w:pPr>
      <w:bookmarkStart w:id="48" w:name="_Toc15377222"/>
      <w:r>
        <w:rPr>
          <w:rFonts w:hint="eastAsia" w:ascii="仿宋" w:hAnsi="仿宋" w:eastAsia="仿宋"/>
          <w:b/>
          <w:sz w:val="32"/>
          <w:szCs w:val="32"/>
        </w:rPr>
        <w:t>（一）机关运行经费支出情况</w:t>
      </w:r>
      <w:bookmarkEnd w:id="48"/>
    </w:p>
    <w:p w14:paraId="0AB74FF4">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w:t>
      </w:r>
      <w:r>
        <w:rPr>
          <w:rFonts w:ascii="仿宋_GB2312" w:eastAsia="仿宋_GB2312"/>
          <w:b/>
          <w:sz w:val="32"/>
          <w:szCs w:val="32"/>
        </w:rPr>
        <w:t>四川省阿坝州九寨沟县人民政府办公室（本级）</w:t>
      </w:r>
      <w:r>
        <w:rPr>
          <w:rFonts w:hint="eastAsia" w:ascii="仿宋_GB2312" w:eastAsia="仿宋_GB2312"/>
          <w:sz w:val="32"/>
          <w:szCs w:val="32"/>
        </w:rPr>
        <w:t>机关运行经费支出</w:t>
      </w:r>
      <w:r>
        <w:rPr>
          <w:rFonts w:hint="eastAsia" w:ascii="仿宋" w:hAnsi="仿宋" w:eastAsia="仿宋"/>
          <w:b/>
          <w:sz w:val="32"/>
          <w:szCs w:val="32"/>
          <w:lang w:val="en-US" w:eastAsia="zh-CN"/>
        </w:rPr>
        <w:t>103.90</w:t>
      </w:r>
      <w:r>
        <w:rPr>
          <w:rFonts w:hint="eastAsia" w:ascii="仿宋_GB2312" w:eastAsia="仿宋_GB2312"/>
          <w:sz w:val="32"/>
          <w:szCs w:val="32"/>
        </w:rPr>
        <w:t>万元，比</w:t>
      </w:r>
      <w:r>
        <w:rPr>
          <w:rFonts w:hint="eastAsia" w:ascii="仿宋_GB2312" w:eastAsia="仿宋_GB2312"/>
          <w:sz w:val="32"/>
          <w:szCs w:val="32"/>
          <w:lang w:eastAsia="zh-CN"/>
        </w:rPr>
        <w:t>2023</w:t>
      </w:r>
      <w:r>
        <w:rPr>
          <w:rFonts w:hint="eastAsia" w:ascii="仿宋_GB2312" w:eastAsia="仿宋_GB2312"/>
          <w:sz w:val="32"/>
          <w:szCs w:val="32"/>
        </w:rPr>
        <w:t>年度减少</w:t>
      </w:r>
      <w:r>
        <w:rPr>
          <w:rFonts w:hint="eastAsia" w:ascii="仿宋_GB2312" w:eastAsia="仿宋_GB2312"/>
          <w:sz w:val="32"/>
          <w:szCs w:val="32"/>
          <w:lang w:val="en-US" w:eastAsia="zh-CN"/>
        </w:rPr>
        <w:t>406.96</w:t>
      </w:r>
      <w:r>
        <w:rPr>
          <w:rFonts w:hint="eastAsia" w:ascii="仿宋_GB2312" w:eastAsia="仿宋_GB2312"/>
          <w:sz w:val="32"/>
          <w:szCs w:val="32"/>
        </w:rPr>
        <w:t>万元，下降</w:t>
      </w:r>
      <w:r>
        <w:rPr>
          <w:rFonts w:hint="eastAsia" w:ascii="仿宋_GB2312" w:eastAsia="仿宋_GB2312"/>
          <w:sz w:val="32"/>
          <w:szCs w:val="32"/>
          <w:lang w:val="en-US" w:eastAsia="zh-CN"/>
        </w:rPr>
        <w:t>79.66</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厉行节约，人员减少和财政困难一部分费用未能实现支出</w:t>
      </w:r>
      <w:r>
        <w:rPr>
          <w:rFonts w:hint="eastAsia" w:ascii="仿宋_GB2312" w:eastAsia="仿宋_GB2312"/>
          <w:sz w:val="32"/>
          <w:szCs w:val="32"/>
        </w:rPr>
        <w:t>。</w:t>
      </w:r>
    </w:p>
    <w:p w14:paraId="05A76853">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73A1654C">
      <w:pPr>
        <w:autoSpaceDE w:val="0"/>
        <w:autoSpaceDN w:val="0"/>
        <w:adjustRightInd w:val="0"/>
        <w:spacing w:line="600" w:lineRule="exact"/>
        <w:ind w:firstLine="643" w:firstLineChars="200"/>
        <w:jc w:val="left"/>
        <w:outlineLvl w:val="2"/>
        <w:rPr>
          <w:rFonts w:ascii="仿宋" w:hAnsi="仿宋" w:eastAsia="仿宋"/>
          <w:b/>
          <w:sz w:val="32"/>
          <w:szCs w:val="32"/>
        </w:rPr>
      </w:pPr>
      <w:bookmarkStart w:id="49" w:name="_Toc15377223"/>
      <w:r>
        <w:rPr>
          <w:rFonts w:hint="eastAsia" w:ascii="仿宋" w:hAnsi="仿宋" w:eastAsia="仿宋"/>
          <w:b/>
          <w:sz w:val="32"/>
          <w:szCs w:val="32"/>
        </w:rPr>
        <w:t>（二）政府采购支出情况</w:t>
      </w:r>
      <w:bookmarkEnd w:id="49"/>
    </w:p>
    <w:p w14:paraId="54304C00">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w:t>
      </w:r>
      <w:r>
        <w:rPr>
          <w:rFonts w:ascii="仿宋_GB2312" w:eastAsia="仿宋_GB2312"/>
          <w:b/>
          <w:sz w:val="32"/>
          <w:szCs w:val="32"/>
        </w:rPr>
        <w:t>四川省阿坝州九寨沟县人民政府办公室（本级）</w:t>
      </w:r>
      <w:r>
        <w:rPr>
          <w:rFonts w:hint="eastAsia" w:ascii="仿宋_GB2312" w:eastAsia="仿宋_GB2312"/>
          <w:sz w:val="32"/>
          <w:szCs w:val="32"/>
        </w:rPr>
        <w:t>政府采购支出总额</w:t>
      </w:r>
      <w:r>
        <w:rPr>
          <w:rFonts w:hint="eastAsia" w:ascii="仿宋" w:hAnsi="仿宋" w:eastAsia="仿宋"/>
          <w:b/>
          <w:sz w:val="32"/>
          <w:szCs w:val="32"/>
          <w:lang w:val="en-US" w:eastAsia="zh-CN"/>
        </w:rPr>
        <w:t>0</w:t>
      </w:r>
      <w:r>
        <w:rPr>
          <w:rFonts w:hint="eastAsia" w:ascii="仿宋_GB2312" w:eastAsia="仿宋_GB2312"/>
          <w:sz w:val="32"/>
          <w:szCs w:val="32"/>
        </w:rPr>
        <w:t>万元，其中：政府采购货物支出</w:t>
      </w:r>
      <w:r>
        <w:rPr>
          <w:rFonts w:hint="eastAsia" w:ascii="仿宋" w:hAnsi="仿宋" w:eastAsia="仿宋"/>
          <w:b/>
          <w:sz w:val="32"/>
          <w:szCs w:val="32"/>
          <w:lang w:val="en-US" w:eastAsia="zh-CN"/>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万元。主要用于</w:t>
      </w:r>
      <w:r>
        <w:rPr>
          <w:rFonts w:hint="eastAsia" w:ascii="仿宋_GB2312" w:eastAsia="仿宋_GB2312"/>
          <w:sz w:val="32"/>
          <w:szCs w:val="32"/>
          <w:lang w:eastAsia="zh-CN"/>
        </w:rPr>
        <w:t>办公设备添置</w:t>
      </w:r>
      <w:r>
        <w:rPr>
          <w:rFonts w:hint="eastAsia" w:ascii="仿宋_GB2312" w:eastAsia="仿宋_GB2312"/>
          <w:sz w:val="32"/>
          <w:szCs w:val="32"/>
        </w:rPr>
        <w:t>。授予中小企业合同金额</w:t>
      </w:r>
      <w:r>
        <w:rPr>
          <w:rFonts w:hint="eastAsia" w:ascii="仿宋" w:hAnsi="仿宋" w:eastAsia="仿宋"/>
          <w:b/>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 w:hAnsi="仿宋" w:eastAsia="仿宋"/>
          <w:b/>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b/>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3AFADDF4">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35F5C6AE">
      <w:pPr>
        <w:autoSpaceDE w:val="0"/>
        <w:autoSpaceDN w:val="0"/>
        <w:adjustRightInd w:val="0"/>
        <w:spacing w:line="600" w:lineRule="exact"/>
        <w:ind w:firstLine="643" w:firstLineChars="200"/>
        <w:jc w:val="left"/>
        <w:outlineLvl w:val="2"/>
        <w:rPr>
          <w:rFonts w:ascii="仿宋" w:hAnsi="仿宋" w:eastAsia="仿宋"/>
          <w:b/>
          <w:sz w:val="32"/>
          <w:szCs w:val="32"/>
        </w:rPr>
      </w:pPr>
      <w:bookmarkStart w:id="50" w:name="_Toc15377224"/>
      <w:r>
        <w:rPr>
          <w:rFonts w:hint="eastAsia" w:ascii="仿宋" w:hAnsi="仿宋" w:eastAsia="仿宋"/>
          <w:b/>
          <w:sz w:val="32"/>
          <w:szCs w:val="32"/>
        </w:rPr>
        <w:t>（三）国有资产占有使用情况</w:t>
      </w:r>
      <w:bookmarkEnd w:id="50"/>
    </w:p>
    <w:p w14:paraId="0799EBA8">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hint="eastAsia" w:ascii="仿宋_GB2312" w:eastAsia="仿宋_GB2312"/>
          <w:sz w:val="32"/>
          <w:szCs w:val="32"/>
          <w:lang w:eastAsia="zh-CN"/>
        </w:rPr>
        <w:t>2024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四川省阿坝州九寨沟县人民政府办公室（本级）</w:t>
      </w:r>
      <w:r>
        <w:rPr>
          <w:rFonts w:hint="eastAsia" w:ascii="仿宋_GB2312" w:eastAsia="仿宋_GB2312"/>
          <w:sz w:val="32"/>
          <w:szCs w:val="32"/>
        </w:rPr>
        <w:t>共有车辆</w:t>
      </w:r>
      <w:r>
        <w:rPr>
          <w:rFonts w:hint="eastAsia" w:ascii="仿宋_GB2312" w:eastAsia="仿宋_GB2312"/>
          <w:b/>
          <w:sz w:val="32"/>
          <w:szCs w:val="32"/>
        </w:rPr>
        <w:t>13</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1</w:t>
      </w:r>
      <w:r>
        <w:rPr>
          <w:rFonts w:hint="eastAsia" w:ascii="仿宋_GB2312" w:eastAsia="仿宋_GB2312"/>
          <w:sz w:val="32"/>
          <w:szCs w:val="32"/>
        </w:rPr>
        <w:t>辆、应急保障用车</w:t>
      </w:r>
      <w:r>
        <w:rPr>
          <w:rFonts w:hint="eastAsia" w:ascii="仿宋_GB2312" w:eastAsia="仿宋_GB2312"/>
          <w:sz w:val="32"/>
          <w:szCs w:val="32"/>
          <w:lang w:val="en-US" w:eastAsia="zh-CN"/>
        </w:rPr>
        <w:t>8</w:t>
      </w:r>
      <w:r>
        <w:rPr>
          <w:rFonts w:hint="eastAsia" w:ascii="仿宋_GB2312" w:eastAsia="仿宋_GB2312"/>
          <w:sz w:val="32"/>
          <w:szCs w:val="32"/>
        </w:rPr>
        <w:t>辆、其他用车</w:t>
      </w:r>
      <w:r>
        <w:rPr>
          <w:rFonts w:hint="eastAsia" w:ascii="仿宋_GB2312" w:eastAsia="仿宋_GB2312"/>
          <w:sz w:val="32"/>
          <w:szCs w:val="32"/>
          <w:lang w:val="en-US" w:eastAsia="zh-CN"/>
        </w:rPr>
        <w:t>4</w:t>
      </w:r>
      <w:r>
        <w:rPr>
          <w:rFonts w:hint="eastAsia" w:ascii="仿宋_GB2312" w:eastAsia="仿宋_GB2312"/>
          <w:sz w:val="32"/>
          <w:szCs w:val="32"/>
        </w:rPr>
        <w:t>辆，其他用车主要是用于政府工作安排布置监督等方面。单价</w:t>
      </w:r>
      <w:r>
        <w:rPr>
          <w:rFonts w:ascii="仿宋_GB2312" w:eastAsia="仿宋_GB2312"/>
          <w:sz w:val="32"/>
          <w:szCs w:val="32"/>
        </w:rPr>
        <w:t>100</w:t>
      </w:r>
      <w:r>
        <w:rPr>
          <w:rFonts w:hint="eastAsia" w:ascii="仿宋_GB2312" w:eastAsia="仿宋_GB2312"/>
          <w:sz w:val="32"/>
          <w:szCs w:val="32"/>
        </w:rPr>
        <w:t>万元以上设备（不含车辆）</w:t>
      </w:r>
      <w:r>
        <w:rPr>
          <w:rFonts w:ascii="仿宋_GB2312" w:eastAsia="仿宋_GB2312"/>
          <w:b/>
          <w:sz w:val="32"/>
          <w:szCs w:val="32"/>
        </w:rPr>
        <w:t>0</w:t>
      </w:r>
      <w:r>
        <w:rPr>
          <w:rFonts w:hint="eastAsia" w:ascii="仿宋_GB2312" w:eastAsia="仿宋_GB2312"/>
          <w:sz w:val="32"/>
          <w:szCs w:val="32"/>
        </w:rPr>
        <w:t>台（套）。</w:t>
      </w:r>
    </w:p>
    <w:p w14:paraId="0E7AFFF5">
      <w:pPr>
        <w:autoSpaceDE w:val="0"/>
        <w:autoSpaceDN w:val="0"/>
        <w:adjustRightInd w:val="0"/>
        <w:spacing w:line="600" w:lineRule="exact"/>
        <w:ind w:firstLine="643"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表，按单位决算报表填报数据罗列车辆情况。）</w:t>
      </w:r>
    </w:p>
    <w:p w14:paraId="04ED83D3">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11539776">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w:t>
      </w:r>
      <w:r>
        <w:rPr>
          <w:rFonts w:hint="eastAsia" w:ascii="仿宋_GB2312" w:eastAsia="仿宋_GB2312"/>
          <w:sz w:val="32"/>
          <w:szCs w:val="32"/>
          <w:lang w:eastAsia="zh-CN"/>
        </w:rPr>
        <w:t>2024</w:t>
      </w:r>
      <w:r>
        <w:rPr>
          <w:rFonts w:hint="eastAsia" w:ascii="仿宋_GB2312" w:eastAsia="仿宋_GB2312"/>
          <w:sz w:val="32"/>
          <w:szCs w:val="32"/>
        </w:rPr>
        <w:t>年度预算编制阶段，组织对</w:t>
      </w:r>
      <w:r>
        <w:rPr>
          <w:rFonts w:hint="eastAsia" w:ascii="仿宋_GB2312" w:eastAsia="仿宋_GB2312"/>
          <w:sz w:val="32"/>
          <w:szCs w:val="32"/>
          <w:lang w:eastAsia="zh-CN"/>
        </w:rPr>
        <w:t>外事工作经费</w:t>
      </w:r>
      <w:r>
        <w:rPr>
          <w:rFonts w:hint="eastAsia" w:ascii="仿宋_GB2312" w:eastAsia="仿宋_GB2312"/>
          <w:sz w:val="32"/>
          <w:szCs w:val="32"/>
        </w:rPr>
        <w:t>项目等</w:t>
      </w:r>
      <w:r>
        <w:rPr>
          <w:rFonts w:hint="eastAsia" w:ascii="仿宋_GB2312" w:eastAsia="仿宋_GB2312"/>
          <w:sz w:val="32"/>
          <w:szCs w:val="32"/>
          <w:lang w:val="en-US" w:eastAsia="zh-CN"/>
        </w:rPr>
        <w:t>6</w:t>
      </w:r>
      <w:r>
        <w:rPr>
          <w:rFonts w:hint="eastAsia" w:ascii="仿宋_GB2312" w:eastAsia="仿宋_GB2312"/>
          <w:sz w:val="32"/>
          <w:szCs w:val="32"/>
        </w:rPr>
        <w:t>个项目开展了预算事前绩效评估，对</w:t>
      </w:r>
      <w:r>
        <w:rPr>
          <w:rFonts w:hint="eastAsia" w:ascii="仿宋_GB2312" w:eastAsia="仿宋_GB2312"/>
          <w:sz w:val="32"/>
          <w:szCs w:val="32"/>
          <w:lang w:val="en-US" w:eastAsia="zh-CN"/>
        </w:rPr>
        <w:t>6</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6</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6</w:t>
      </w:r>
      <w:r>
        <w:rPr>
          <w:rFonts w:hint="eastAsia" w:ascii="仿宋_GB2312" w:eastAsia="仿宋_GB2312"/>
          <w:sz w:val="32"/>
          <w:szCs w:val="32"/>
        </w:rPr>
        <w:t>个项目开展绩效自评，绩效自评表详见第四部分附件。</w:t>
      </w:r>
    </w:p>
    <w:p w14:paraId="1DB77FF4">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14:paraId="3194C1D6">
      <w:pPr>
        <w:numPr>
          <w:ilvl w:val="0"/>
          <w:numId w:val="3"/>
        </w:numPr>
        <w:spacing w:line="600" w:lineRule="exact"/>
        <w:ind w:firstLine="880" w:firstLineChars="200"/>
        <w:jc w:val="center"/>
        <w:outlineLvl w:val="0"/>
        <w:rPr>
          <w:rStyle w:val="28"/>
          <w:rFonts w:ascii="黑体" w:hAnsi="黑体" w:eastAsia="黑体"/>
          <w:b w:val="0"/>
        </w:rPr>
      </w:pPr>
      <w:bookmarkStart w:id="51" w:name="_Toc15377225"/>
      <w:bookmarkStart w:id="52" w:name="_Toc15396613"/>
      <w:bookmarkStart w:id="53" w:name="_Toc10691"/>
      <w:r>
        <w:rPr>
          <w:rFonts w:hint="eastAsia" w:ascii="黑体" w:hAnsi="黑体" w:eastAsia="黑体"/>
          <w:sz w:val="44"/>
          <w:szCs w:val="44"/>
        </w:rPr>
        <w:t>名</w:t>
      </w:r>
      <w:r>
        <w:rPr>
          <w:rStyle w:val="28"/>
          <w:rFonts w:hint="eastAsia" w:ascii="黑体" w:hAnsi="黑体" w:eastAsia="黑体"/>
          <w:b w:val="0"/>
        </w:rPr>
        <w:t>词解释</w:t>
      </w:r>
      <w:bookmarkEnd w:id="51"/>
      <w:bookmarkEnd w:id="52"/>
      <w:bookmarkEnd w:id="53"/>
    </w:p>
    <w:p w14:paraId="3ACB24A5">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73B5E88F">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14:paraId="6B2AB8D4">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14:paraId="12049A44">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14:paraId="7623D04D">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r>
        <w:rPr>
          <w:rFonts w:ascii="仿宋_GB2312" w:eastAsia="仿宋_GB2312"/>
          <w:color w:val="auto"/>
          <w:sz w:val="32"/>
          <w:szCs w:val="32"/>
        </w:rPr>
        <w:t xml:space="preserve"> </w:t>
      </w:r>
    </w:p>
    <w:p w14:paraId="35F0526B">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6003CB28">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0386058A">
      <w:pPr>
        <w:pStyle w:val="26"/>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2B434B2F">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9. 一般公共服务（201）政府办公厅（室）及相关机构事务（03）行政运行（01）:指人员工资、日常运转以及为完成财政特定行政工作任务和事业发展目标而安排年度项目支出，主要包括办公费、培训费、邮电费、差旅费、会议费、公务用车运行维护费等方面支出。</w:t>
      </w:r>
    </w:p>
    <w:p w14:paraId="3E3EC300">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10、国防(203)国防动员(06)人民防空(03):指人民防空工程建设、宣传等方面的支出。</w:t>
      </w:r>
    </w:p>
    <w:p w14:paraId="6997B75D">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11、社会保障和就业(208)行政事业单位离退休(05) 机关事业单位基本养老保险缴费(05)：指实施养老保险制度后，部门按规定由单位缴纳的基本养老保险费支出。</w:t>
      </w:r>
    </w:p>
    <w:p w14:paraId="6BA9F203">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12、卫生健康(210)医疗保障(11)行政单位医疗(01):指按照规定标准为职工缴纳的基本医疗保险及公务员医疗补助等支出。</w:t>
      </w:r>
    </w:p>
    <w:p w14:paraId="2C945F10">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13、住房保障(221)住房改革(02)住房公积金(01)：指按照规定标准为职工缴纳住房公积金等支出。</w:t>
      </w:r>
    </w:p>
    <w:p w14:paraId="328723FF">
      <w:pPr>
        <w:pStyle w:val="26"/>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14、</w:t>
      </w:r>
      <w:r>
        <w:rPr>
          <w:rFonts w:hint="eastAsia" w:ascii="仿宋_GB2312" w:eastAsia="仿宋_GB2312"/>
          <w:color w:val="auto"/>
          <w:sz w:val="32"/>
          <w:szCs w:val="32"/>
          <w:lang w:eastAsia="zh-CN"/>
        </w:rPr>
        <w:t>国防</w:t>
      </w:r>
      <w:r>
        <w:rPr>
          <w:rFonts w:hint="eastAsia" w:ascii="仿宋_GB2312" w:eastAsia="仿宋_GB2312"/>
          <w:color w:val="auto"/>
          <w:sz w:val="32"/>
          <w:szCs w:val="32"/>
        </w:rPr>
        <w:t>支出（</w:t>
      </w:r>
      <w:r>
        <w:rPr>
          <w:rFonts w:hint="eastAsia" w:ascii="仿宋_GB2312" w:eastAsia="仿宋_GB2312"/>
          <w:color w:val="auto"/>
          <w:sz w:val="32"/>
          <w:szCs w:val="32"/>
          <w:lang w:val="en-US" w:eastAsia="zh-CN"/>
        </w:rPr>
        <w:t>203</w:t>
      </w:r>
      <w:r>
        <w:rPr>
          <w:rFonts w:hint="eastAsia" w:ascii="仿宋_GB2312" w:eastAsia="仿宋_GB2312"/>
          <w:color w:val="auto"/>
          <w:sz w:val="32"/>
          <w:szCs w:val="32"/>
        </w:rPr>
        <w:t>）国防动员（</w:t>
      </w:r>
      <w:r>
        <w:rPr>
          <w:rFonts w:hint="eastAsia" w:ascii="仿宋_GB2312" w:eastAsia="仿宋_GB2312"/>
          <w:color w:val="auto"/>
          <w:sz w:val="32"/>
          <w:szCs w:val="32"/>
          <w:lang w:val="en-US" w:eastAsia="zh-CN"/>
        </w:rPr>
        <w:t>06</w:t>
      </w:r>
      <w:r>
        <w:rPr>
          <w:rFonts w:hint="eastAsia" w:ascii="仿宋_GB2312" w:eastAsia="仿宋_GB2312"/>
          <w:color w:val="auto"/>
          <w:sz w:val="32"/>
          <w:szCs w:val="32"/>
        </w:rPr>
        <w:t>）人民防空（</w:t>
      </w:r>
      <w:r>
        <w:rPr>
          <w:rFonts w:hint="eastAsia" w:ascii="仿宋_GB2312" w:eastAsia="仿宋_GB2312"/>
          <w:color w:val="auto"/>
          <w:sz w:val="32"/>
          <w:szCs w:val="32"/>
          <w:lang w:val="en-US" w:eastAsia="zh-CN"/>
        </w:rPr>
        <w:t>03</w:t>
      </w:r>
      <w:r>
        <w:rPr>
          <w:rFonts w:hint="eastAsia" w:ascii="仿宋_GB2312" w:eastAsia="仿宋_GB2312"/>
          <w:color w:val="auto"/>
          <w:sz w:val="32"/>
          <w:szCs w:val="32"/>
        </w:rPr>
        <w:t>）:</w:t>
      </w:r>
      <w:r>
        <w:rPr>
          <w:rFonts w:hint="eastAsia" w:ascii="仿宋_GB2312" w:eastAsia="仿宋_GB2312"/>
          <w:color w:val="auto"/>
          <w:sz w:val="32"/>
          <w:szCs w:val="32"/>
          <w:lang w:eastAsia="zh-CN"/>
        </w:rPr>
        <w:t>指按照规定标准为国防动员和人民防空等工作经费支出。</w:t>
      </w:r>
    </w:p>
    <w:p w14:paraId="5413E3C9">
      <w:pPr>
        <w:spacing w:line="600" w:lineRule="exact"/>
        <w:ind w:firstLine="643" w:firstLineChars="200"/>
        <w:rPr>
          <w:rFonts w:ascii="仿宋" w:hAnsi="仿宋" w:eastAsia="仿宋"/>
          <w:b/>
          <w:sz w:val="32"/>
          <w:szCs w:val="32"/>
        </w:rPr>
      </w:pPr>
      <w:r>
        <w:rPr>
          <w:rFonts w:hint="eastAsia" w:ascii="仿宋" w:hAnsi="仿宋" w:eastAsia="仿宋"/>
          <w:b/>
          <w:sz w:val="32"/>
          <w:szCs w:val="32"/>
        </w:rPr>
        <w:t>（解释本单位决算报表中涉及的全部功能分类科目至项级，不涉及的科目请自行删除。请参照《</w:t>
      </w:r>
      <w:r>
        <w:rPr>
          <w:rFonts w:hint="eastAsia" w:ascii="仿宋" w:hAnsi="仿宋" w:eastAsia="仿宋"/>
          <w:b/>
          <w:sz w:val="32"/>
          <w:szCs w:val="32"/>
          <w:lang w:eastAsia="zh-CN"/>
        </w:rPr>
        <w:t>2024</w:t>
      </w:r>
      <w:r>
        <w:rPr>
          <w:rFonts w:hint="eastAsia" w:ascii="仿宋" w:hAnsi="仿宋" w:eastAsia="仿宋"/>
          <w:b/>
          <w:sz w:val="32"/>
          <w:szCs w:val="32"/>
        </w:rPr>
        <w:t>年政府收支分类科目》增减内容。）</w:t>
      </w:r>
    </w:p>
    <w:p w14:paraId="27BB68A8">
      <w:pPr>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225C34BF">
      <w:pPr>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710AECF8">
      <w:pPr>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70FFE918">
      <w:pPr>
        <w:pStyle w:val="26"/>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89E2C5E">
      <w:pPr>
        <w:pStyle w:val="26"/>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19</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F9BCB14">
      <w:pPr>
        <w:ind w:firstLine="643" w:firstLineChars="200"/>
        <w:rPr>
          <w:rFonts w:hint="default" w:ascii="仿宋" w:hAnsi="仿宋" w:eastAsia="仿宋"/>
          <w:b/>
          <w:sz w:val="32"/>
          <w:szCs w:val="32"/>
          <w:lang w:val="en-US" w:eastAsia="zh-CN"/>
        </w:rPr>
      </w:pPr>
      <w:r>
        <w:rPr>
          <w:rFonts w:hint="eastAsia" w:ascii="仿宋" w:hAnsi="仿宋" w:eastAsia="仿宋"/>
          <w:b/>
          <w:sz w:val="32"/>
          <w:szCs w:val="32"/>
        </w:rPr>
        <w:t>（名词解释部分请根据各单位实际列支情况罗列，并根据本单位职责职能增减名词解释内容。）</w:t>
      </w:r>
      <w:r>
        <w:rPr>
          <w:rFonts w:hint="eastAsia" w:ascii="仿宋" w:hAnsi="仿宋" w:eastAsia="仿宋"/>
          <w:b/>
          <w:sz w:val="32"/>
          <w:szCs w:val="32"/>
          <w:lang w:val="en-US" w:eastAsia="zh-CN"/>
        </w:rPr>
        <w:t xml:space="preserve">                                            </w:t>
      </w:r>
    </w:p>
    <w:p w14:paraId="7123E801">
      <w:pPr>
        <w:spacing w:line="600" w:lineRule="exact"/>
        <w:ind w:firstLine="883" w:firstLineChars="200"/>
        <w:jc w:val="center"/>
        <w:outlineLvl w:val="0"/>
        <w:rPr>
          <w:rFonts w:ascii="宋体"/>
          <w:b/>
          <w:sz w:val="44"/>
          <w:szCs w:val="44"/>
        </w:rPr>
      </w:pPr>
      <w:bookmarkStart w:id="54" w:name="_Toc15377226"/>
    </w:p>
    <w:p w14:paraId="06C0AAE4">
      <w:pPr>
        <w:spacing w:line="600" w:lineRule="exact"/>
        <w:ind w:firstLine="883" w:firstLineChars="200"/>
        <w:jc w:val="center"/>
        <w:outlineLvl w:val="0"/>
        <w:rPr>
          <w:rFonts w:ascii="宋体"/>
          <w:b/>
          <w:sz w:val="44"/>
          <w:szCs w:val="44"/>
        </w:rPr>
      </w:pPr>
    </w:p>
    <w:p w14:paraId="7A8A9081">
      <w:pPr>
        <w:rPr>
          <w:rFonts w:ascii="宋体"/>
          <w:b/>
          <w:sz w:val="44"/>
          <w:szCs w:val="44"/>
        </w:rPr>
      </w:pPr>
      <w:r>
        <w:rPr>
          <w:rFonts w:ascii="宋体"/>
          <w:b/>
          <w:sz w:val="44"/>
          <w:szCs w:val="44"/>
        </w:rPr>
        <w:br w:type="page"/>
      </w:r>
    </w:p>
    <w:p w14:paraId="7F58330B">
      <w:pPr>
        <w:spacing w:line="600" w:lineRule="exact"/>
        <w:ind w:firstLine="883" w:firstLineChars="200"/>
        <w:jc w:val="center"/>
        <w:outlineLvl w:val="0"/>
        <w:rPr>
          <w:rFonts w:ascii="宋体"/>
          <w:b/>
          <w:sz w:val="44"/>
          <w:szCs w:val="44"/>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722A324B">
      <w:pPr>
        <w:spacing w:line="600" w:lineRule="exact"/>
        <w:ind w:firstLine="883" w:firstLineChars="200"/>
        <w:jc w:val="center"/>
        <w:outlineLvl w:val="0"/>
        <w:rPr>
          <w:rFonts w:ascii="宋体"/>
          <w:b/>
          <w:sz w:val="44"/>
          <w:szCs w:val="44"/>
        </w:rPr>
      </w:pPr>
    </w:p>
    <w:bookmarkEnd w:id="54"/>
    <w:p w14:paraId="05E3D483">
      <w:pPr>
        <w:pStyle w:val="2"/>
        <w:jc w:val="center"/>
        <w:rPr>
          <w:rFonts w:ascii="黑体" w:hAnsi="黑体" w:eastAsia="黑体"/>
          <w:b w:val="0"/>
        </w:rPr>
      </w:pPr>
      <w:bookmarkStart w:id="55" w:name="_Toc10887"/>
      <w:bookmarkStart w:id="56" w:name="_Toc28688"/>
      <w:bookmarkStart w:id="57" w:name="_Toc3571"/>
      <w:bookmarkStart w:id="58" w:name="_Toc30326"/>
      <w:bookmarkStart w:id="59" w:name="_Toc14148"/>
      <w:r>
        <w:rPr>
          <w:rFonts w:hint="eastAsia" w:ascii="黑体" w:hAnsi="黑体" w:eastAsia="黑体"/>
          <w:b w:val="0"/>
        </w:rPr>
        <w:t>第四部分 附件</w:t>
      </w:r>
      <w:bookmarkEnd w:id="55"/>
      <w:bookmarkEnd w:id="56"/>
      <w:bookmarkEnd w:id="57"/>
      <w:bookmarkEnd w:id="58"/>
      <w:bookmarkEnd w:id="59"/>
    </w:p>
    <w:p w14:paraId="74102ED7"/>
    <w:p w14:paraId="0107B6B7">
      <w:pPr>
        <w:rPr>
          <w:rFonts w:ascii="黑体" w:hAnsi="黑体" w:eastAsia="黑体"/>
          <w:sz w:val="32"/>
          <w:szCs w:val="32"/>
        </w:rPr>
      </w:pPr>
      <w:r>
        <w:rPr>
          <w:rFonts w:hint="eastAsia" w:ascii="黑体" w:hAnsi="黑体" w:eastAsia="黑体"/>
          <w:sz w:val="32"/>
          <w:szCs w:val="32"/>
        </w:rPr>
        <w:t>附件1</w:t>
      </w:r>
    </w:p>
    <w:p w14:paraId="7A9540C2">
      <w:pPr>
        <w:widowControl/>
        <w:spacing w:line="580" w:lineRule="exact"/>
        <w:contextualSpacing/>
        <w:jc w:val="center"/>
        <w:rPr>
          <w:rFonts w:ascii="黑体" w:hAnsi="黑体" w:eastAsia="黑体"/>
          <w:color w:val="000000"/>
          <w:sz w:val="44"/>
          <w:szCs w:val="44"/>
        </w:rPr>
      </w:pPr>
      <w:r>
        <w:rPr>
          <w:rFonts w:ascii="黑体" w:hAnsi="黑体" w:eastAsia="黑体"/>
          <w:color w:val="000000"/>
          <w:sz w:val="44"/>
          <w:szCs w:val="44"/>
        </w:rPr>
        <w:t>九寨沟县人民政府办公室</w:t>
      </w:r>
    </w:p>
    <w:p w14:paraId="7924EFD9">
      <w:pPr>
        <w:widowControl/>
        <w:spacing w:line="580" w:lineRule="exact"/>
        <w:contextualSpacing/>
        <w:jc w:val="center"/>
        <w:rPr>
          <w:rFonts w:ascii="黑体" w:hAnsi="黑体" w:eastAsia="黑体"/>
          <w:sz w:val="44"/>
          <w:szCs w:val="44"/>
          <w:shd w:val="clear" w:color="auto" w:fill="FFFFFF"/>
        </w:rPr>
      </w:pPr>
      <w:r>
        <w:rPr>
          <w:rFonts w:hint="eastAsia" w:ascii="黑体" w:hAnsi="黑体" w:eastAsia="黑体"/>
          <w:sz w:val="44"/>
          <w:szCs w:val="44"/>
          <w:shd w:val="clear" w:color="auto" w:fill="FFFFFF"/>
        </w:rPr>
        <w:t>202</w:t>
      </w:r>
      <w:r>
        <w:rPr>
          <w:rFonts w:hint="eastAsia" w:ascii="黑体" w:hAnsi="黑体" w:eastAsia="黑体"/>
          <w:sz w:val="44"/>
          <w:szCs w:val="44"/>
          <w:shd w:val="clear" w:color="auto" w:fill="FFFFFF"/>
          <w:lang w:val="en-US" w:eastAsia="zh-CN"/>
        </w:rPr>
        <w:t>4</w:t>
      </w:r>
      <w:r>
        <w:rPr>
          <w:rFonts w:hint="eastAsia" w:ascii="黑体" w:hAnsi="黑体" w:eastAsia="黑体"/>
          <w:sz w:val="44"/>
          <w:szCs w:val="44"/>
          <w:shd w:val="clear" w:color="auto" w:fill="FFFFFF"/>
        </w:rPr>
        <w:t>年度绩效评价报告</w:t>
      </w:r>
    </w:p>
    <w:p w14:paraId="503061CB">
      <w:pPr>
        <w:widowControl/>
        <w:adjustRightInd w:val="0"/>
        <w:snapToGrid w:val="0"/>
        <w:spacing w:line="52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一、</w:t>
      </w:r>
      <w:r>
        <w:rPr>
          <w:rFonts w:hint="eastAsia" w:ascii="仿宋" w:hAnsi="仿宋" w:eastAsia="仿宋" w:cs="仿宋"/>
          <w:color w:val="000000"/>
          <w:kern w:val="0"/>
          <w:sz w:val="32"/>
          <w:szCs w:val="32"/>
          <w:shd w:val="clear" w:color="auto" w:fill="FFFFFF"/>
          <w:lang w:val="zh-CN"/>
        </w:rPr>
        <w:t>部门整体概况</w:t>
      </w:r>
    </w:p>
    <w:p w14:paraId="2F8B4C1F">
      <w:pPr>
        <w:widowControl/>
        <w:adjustRightInd w:val="0"/>
        <w:snapToGrid w:val="0"/>
        <w:spacing w:line="52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（一）机构组成。</w:t>
      </w:r>
    </w:p>
    <w:p w14:paraId="712E1C3B">
      <w:pPr>
        <w:spacing w:line="52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九寨沟县人民政府办公室是九寨沟县人民政府工作部门，为正科级。挂九寨沟县信访局、九寨沟县人民政府外事港澳台侨办公室牌子。县人民政府办公室设下列8个内设机构：综合股、秘书一股、秘书二股、秘书三股、</w:t>
      </w:r>
      <w:r>
        <w:rPr>
          <w:rFonts w:hint="eastAsia" w:ascii="仿宋" w:hAnsi="仿宋" w:eastAsia="仿宋" w:cs="仿宋"/>
          <w:sz w:val="32"/>
          <w:szCs w:val="32"/>
        </w:rPr>
        <w:t>值班室、行政效能</w:t>
      </w:r>
      <w:r>
        <w:rPr>
          <w:rFonts w:hint="eastAsia" w:ascii="仿宋" w:hAnsi="仿宋" w:eastAsia="仿宋" w:cs="仿宋"/>
          <w:color w:val="000000"/>
          <w:sz w:val="32"/>
          <w:szCs w:val="32"/>
        </w:rPr>
        <w:t>股</w:t>
      </w:r>
      <w:r>
        <w:rPr>
          <w:rFonts w:hint="eastAsia" w:ascii="仿宋" w:hAnsi="仿宋" w:eastAsia="仿宋" w:cs="仿宋"/>
          <w:sz w:val="32"/>
          <w:szCs w:val="32"/>
        </w:rPr>
        <w:t>、</w:t>
      </w:r>
      <w:r>
        <w:rPr>
          <w:rFonts w:hint="eastAsia" w:ascii="仿宋" w:hAnsi="仿宋" w:eastAsia="仿宋" w:cs="仿宋"/>
          <w:color w:val="000000"/>
          <w:sz w:val="32"/>
          <w:szCs w:val="32"/>
        </w:rPr>
        <w:t>行政管理股、外事和港澳事务股。</w:t>
      </w:r>
    </w:p>
    <w:p w14:paraId="5CEEB881">
      <w:pPr>
        <w:widowControl/>
        <w:adjustRightInd w:val="0"/>
        <w:snapToGrid w:val="0"/>
        <w:spacing w:line="52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（二）机构职能。</w:t>
      </w:r>
    </w:p>
    <w:p w14:paraId="57FA145D">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1.负责县人民政府全体会议、常务会议、党组会议、县长办公会议、</w:t>
      </w:r>
      <w:r>
        <w:rPr>
          <w:rFonts w:hint="eastAsia" w:ascii="仿宋" w:hAnsi="仿宋" w:eastAsia="仿宋" w:cs="仿宋"/>
          <w:color w:val="000000"/>
          <w:sz w:val="32"/>
          <w:szCs w:val="32"/>
        </w:rPr>
        <w:t>县长专题会议</w:t>
      </w:r>
      <w:r>
        <w:rPr>
          <w:rFonts w:hint="eastAsia" w:ascii="仿宋" w:hAnsi="仿宋" w:eastAsia="仿宋" w:cs="仿宋"/>
          <w:sz w:val="32"/>
          <w:szCs w:val="32"/>
        </w:rPr>
        <w:t>的会务工作，协助县人民政府领导同志组织实施会议决定的事项。</w:t>
      </w:r>
    </w:p>
    <w:p w14:paraId="6820462A">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2.负责上级党委、政府、部门来文运转，并督促办理。研究县人民政府各部门、各乡镇人民政府请示县人民政府的事项，提出审核意见，报县人民政府领导同志审批。</w:t>
      </w:r>
    </w:p>
    <w:p w14:paraId="224D3E24">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3.协助县人民政府领导同志组织起草或审核以县人民政府、县人民政府办公室名义发布的公文。</w:t>
      </w:r>
    </w:p>
    <w:p w14:paraId="198399FE">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4.根据县人民政府领导同志的指示，对县人民政府部门间出现的争议问题提出处理意见，报县人民政府领导同志审批。</w:t>
      </w:r>
    </w:p>
    <w:p w14:paraId="3E5F8618">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5.督促检查县人民政府各部门、各乡镇人民政府对县人民政府公文、会议决定事项及县人民政府领导同志有关指示的执行落实情况，并向县人民政府领导同志报告。</w:t>
      </w:r>
    </w:p>
    <w:p w14:paraId="5F0A6874">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6.指导监督全县政府信息公开工作和机关行政效能建设工作，指导监督全县政府系统电子政务工作和政府网站建设，负责指导、协调、监督并推进全县网格化服务管理工作。</w:t>
      </w:r>
    </w:p>
    <w:p w14:paraId="0416C124">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7.组织办理涉及县人民政府工作的人大代表议案、批评、建议和政协委员提案、建议案工作。</w:t>
      </w:r>
    </w:p>
    <w:p w14:paraId="67BAD212">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8.协助县人民政府领导同志管理人民防空和民防工作。</w:t>
      </w:r>
    </w:p>
    <w:p w14:paraId="65CC4C67">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9.处理群众来信、接待群众来访，及时向县人民政府领导同志报告来信来访中提出的重要建议和反映的重要问题，提出信访处理意见，报县人民政府领导同志决定，办理县人民政府领导同志交办的有关信访事项。</w:t>
      </w:r>
    </w:p>
    <w:p w14:paraId="73D95793">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10.根据县人民政府领导同志的指示，组织专题调查研究，及时反映情况，提出建议意见。</w:t>
      </w:r>
    </w:p>
    <w:p w14:paraId="7A4F9DA0">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11.负责县人民政府值班工作，及时向县人民政府领导同志报告重要情况，协助县人民政府领导同志组织处理需由县人民政府直接处理的突发事件、重大事故。</w:t>
      </w:r>
    </w:p>
    <w:p w14:paraId="5DFE7C19">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12.组织实施政府机关事务管理行政工作、公务车辆管理，为县人民政府领导同志做好工作所需的各项后勤服务。</w:t>
      </w:r>
    </w:p>
    <w:p w14:paraId="10C0FEDA">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13.协助县人民政府领导同志组织实施外事和港澳事务行政管理工作。负责县人民政府重大活动的组织和县人民政府领导同志重要内外事活动的安排。</w:t>
      </w:r>
    </w:p>
    <w:p w14:paraId="43CCA9FD">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14.协助县人民政府领导同志组织实施金融管理服务工作。</w:t>
      </w:r>
    </w:p>
    <w:p w14:paraId="643469D6">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15.负责管理县人民政府驻外地办事机构。</w:t>
      </w:r>
    </w:p>
    <w:p w14:paraId="36505368">
      <w:pPr>
        <w:spacing w:line="520" w:lineRule="exact"/>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16.承办县人民政府和县人民政府领导同志交办的其他事项。</w:t>
      </w:r>
    </w:p>
    <w:p w14:paraId="767D50A9">
      <w:pPr>
        <w:widowControl/>
        <w:adjustRightInd w:val="0"/>
        <w:snapToGrid w:val="0"/>
        <w:spacing w:line="52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（三）人员概况。</w:t>
      </w:r>
    </w:p>
    <w:p w14:paraId="3776F522">
      <w:pPr>
        <w:spacing w:line="52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政府办公室设办公室主任1名，副主任2名（含兼职）。股级领导职数3名。机关党内职务按有关规定配备。总编制共</w:t>
      </w:r>
      <w:r>
        <w:rPr>
          <w:rFonts w:hint="eastAsia" w:ascii="仿宋" w:hAnsi="仿宋" w:eastAsia="仿宋" w:cs="仿宋"/>
          <w:color w:val="000000"/>
          <w:sz w:val="32"/>
          <w:szCs w:val="32"/>
          <w:lang w:val="en-US" w:eastAsia="zh-CN"/>
        </w:rPr>
        <w:t>35</w:t>
      </w:r>
      <w:r>
        <w:rPr>
          <w:rFonts w:hint="eastAsia" w:ascii="仿宋" w:hAnsi="仿宋" w:eastAsia="仿宋" w:cs="仿宋"/>
          <w:color w:val="000000"/>
          <w:sz w:val="32"/>
          <w:szCs w:val="32"/>
        </w:rPr>
        <w:t>名，其中机关行政编制20名，机关工勤人员编制15名，202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年实有人数</w:t>
      </w:r>
      <w:r>
        <w:rPr>
          <w:rFonts w:hint="eastAsia" w:ascii="仿宋" w:hAnsi="仿宋" w:eastAsia="仿宋" w:cs="仿宋"/>
          <w:color w:val="000000"/>
          <w:sz w:val="32"/>
          <w:szCs w:val="32"/>
          <w:lang w:val="en-US" w:eastAsia="zh-CN"/>
        </w:rPr>
        <w:t>33</w:t>
      </w:r>
      <w:r>
        <w:rPr>
          <w:rFonts w:hint="eastAsia" w:ascii="仿宋" w:hAnsi="仿宋" w:eastAsia="仿宋" w:cs="仿宋"/>
          <w:color w:val="000000"/>
          <w:sz w:val="32"/>
          <w:szCs w:val="32"/>
        </w:rPr>
        <w:t>人，其中行政人员</w:t>
      </w:r>
      <w:r>
        <w:rPr>
          <w:rFonts w:hint="eastAsia" w:ascii="仿宋" w:hAnsi="仿宋" w:eastAsia="仿宋" w:cs="仿宋"/>
          <w:color w:val="000000"/>
          <w:sz w:val="32"/>
          <w:szCs w:val="32"/>
          <w:lang w:val="en-US" w:eastAsia="zh-CN"/>
        </w:rPr>
        <w:t>33</w:t>
      </w:r>
      <w:r>
        <w:rPr>
          <w:rFonts w:hint="eastAsia" w:ascii="仿宋" w:hAnsi="仿宋" w:eastAsia="仿宋" w:cs="仿宋"/>
          <w:color w:val="000000"/>
          <w:sz w:val="32"/>
          <w:szCs w:val="32"/>
        </w:rPr>
        <w:t>人（含机关工勤），</w:t>
      </w:r>
      <w:r>
        <w:rPr>
          <w:rFonts w:hint="eastAsia" w:ascii="仿宋" w:hAnsi="仿宋" w:eastAsia="仿宋" w:cs="仿宋"/>
          <w:sz w:val="32"/>
          <w:szCs w:val="32"/>
          <w:lang w:val="zh-CN"/>
        </w:rPr>
        <w:t>202</w:t>
      </w:r>
      <w:r>
        <w:rPr>
          <w:rFonts w:hint="eastAsia" w:ascii="仿宋" w:hAnsi="仿宋" w:eastAsia="仿宋" w:cs="仿宋"/>
          <w:sz w:val="32"/>
          <w:szCs w:val="32"/>
          <w:lang w:val="en-US" w:eastAsia="zh-CN"/>
        </w:rPr>
        <w:t>4</w:t>
      </w:r>
      <w:r>
        <w:rPr>
          <w:rFonts w:hint="eastAsia" w:ascii="仿宋" w:hAnsi="仿宋" w:eastAsia="仿宋" w:cs="仿宋"/>
          <w:sz w:val="32"/>
          <w:szCs w:val="32"/>
          <w:lang w:val="zh-CN"/>
        </w:rPr>
        <w:t>年末退休人员3</w:t>
      </w:r>
      <w:r>
        <w:rPr>
          <w:rFonts w:hint="eastAsia" w:ascii="仿宋" w:hAnsi="仿宋" w:eastAsia="仿宋" w:cs="仿宋"/>
          <w:sz w:val="32"/>
          <w:szCs w:val="32"/>
          <w:lang w:val="en-US" w:eastAsia="zh-CN"/>
        </w:rPr>
        <w:t>4</w:t>
      </w:r>
      <w:r>
        <w:rPr>
          <w:rFonts w:hint="eastAsia" w:ascii="仿宋" w:hAnsi="仿宋" w:eastAsia="仿宋" w:cs="仿宋"/>
          <w:sz w:val="32"/>
          <w:szCs w:val="32"/>
          <w:lang w:val="zh-CN"/>
        </w:rPr>
        <w:t>名</w:t>
      </w:r>
      <w:r>
        <w:rPr>
          <w:rFonts w:hint="eastAsia" w:ascii="仿宋" w:hAnsi="仿宋" w:eastAsia="仿宋" w:cs="仿宋"/>
          <w:color w:val="000000"/>
          <w:sz w:val="32"/>
          <w:szCs w:val="32"/>
        </w:rPr>
        <w:t>。</w:t>
      </w:r>
    </w:p>
    <w:p w14:paraId="30567839">
      <w:pPr>
        <w:widowControl/>
        <w:adjustRightInd w:val="0"/>
        <w:snapToGrid w:val="0"/>
        <w:spacing w:line="52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二、</w:t>
      </w:r>
      <w:r>
        <w:rPr>
          <w:rFonts w:hint="eastAsia" w:ascii="仿宋" w:hAnsi="仿宋" w:eastAsia="仿宋" w:cs="仿宋"/>
          <w:color w:val="000000"/>
          <w:kern w:val="0"/>
          <w:sz w:val="32"/>
          <w:szCs w:val="32"/>
          <w:highlight w:val="none"/>
          <w:shd w:val="clear" w:color="auto" w:fill="FFFFFF"/>
          <w:lang w:eastAsia="zh-CN"/>
        </w:rPr>
        <w:t>部门</w:t>
      </w:r>
      <w:r>
        <w:rPr>
          <w:rFonts w:hint="eastAsia" w:ascii="仿宋" w:hAnsi="仿宋" w:eastAsia="仿宋" w:cs="仿宋"/>
          <w:color w:val="000000"/>
          <w:kern w:val="0"/>
          <w:sz w:val="32"/>
          <w:szCs w:val="32"/>
          <w:highlight w:val="none"/>
          <w:shd w:val="clear" w:color="auto" w:fill="FFFFFF"/>
        </w:rPr>
        <w:t>资金收支情况</w:t>
      </w:r>
    </w:p>
    <w:p w14:paraId="456FB83D">
      <w:pPr>
        <w:widowControl/>
        <w:adjustRightInd w:val="0"/>
        <w:snapToGrid w:val="0"/>
        <w:spacing w:line="52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（一）部门财政资金收入情况。</w:t>
      </w:r>
    </w:p>
    <w:p w14:paraId="09D996B2">
      <w:pPr>
        <w:pStyle w:val="13"/>
        <w:shd w:val="clear" w:color="auto" w:fill="FFFFFF"/>
        <w:spacing w:line="520" w:lineRule="exact"/>
        <w:rPr>
          <w:rFonts w:hint="eastAsia" w:ascii="仿宋" w:hAnsi="仿宋" w:eastAsia="仿宋" w:cs="仿宋"/>
          <w:sz w:val="32"/>
          <w:szCs w:val="32"/>
        </w:rPr>
      </w:pPr>
      <w:r>
        <w:rPr>
          <w:rFonts w:hint="eastAsia" w:ascii="仿宋" w:hAnsi="仿宋" w:eastAsia="仿宋" w:cs="仿宋"/>
          <w:sz w:val="32"/>
          <w:szCs w:val="32"/>
        </w:rPr>
        <w:t xml:space="preserve">    本单位本年度收入的年初预算数为</w:t>
      </w:r>
      <w:r>
        <w:rPr>
          <w:rFonts w:hint="eastAsia" w:ascii="仿宋" w:hAnsi="仿宋" w:eastAsia="仿宋" w:cs="仿宋"/>
          <w:sz w:val="32"/>
          <w:szCs w:val="32"/>
          <w:lang w:val="en-US" w:eastAsia="zh-CN"/>
        </w:rPr>
        <w:t>1358.12</w:t>
      </w:r>
      <w:r>
        <w:rPr>
          <w:rFonts w:hint="eastAsia" w:ascii="仿宋" w:hAnsi="仿宋" w:eastAsia="仿宋" w:cs="仿宋"/>
          <w:sz w:val="32"/>
          <w:szCs w:val="32"/>
        </w:rPr>
        <w:t>万元，本单位本年度收入调整预算数为1</w:t>
      </w:r>
      <w:r>
        <w:rPr>
          <w:rFonts w:hint="eastAsia" w:ascii="仿宋" w:hAnsi="仿宋" w:eastAsia="仿宋" w:cs="仿宋"/>
          <w:sz w:val="32"/>
          <w:szCs w:val="32"/>
          <w:lang w:val="en-US" w:eastAsia="zh-CN"/>
        </w:rPr>
        <w:t>722.32</w:t>
      </w:r>
      <w:r>
        <w:rPr>
          <w:rFonts w:hint="eastAsia" w:ascii="仿宋" w:hAnsi="仿宋" w:eastAsia="仿宋" w:cs="仿宋"/>
          <w:sz w:val="32"/>
          <w:szCs w:val="32"/>
        </w:rPr>
        <w:t>万元，收入决算数为1</w:t>
      </w:r>
      <w:r>
        <w:rPr>
          <w:rFonts w:hint="eastAsia" w:ascii="仿宋" w:hAnsi="仿宋" w:eastAsia="仿宋" w:cs="仿宋"/>
          <w:sz w:val="32"/>
          <w:szCs w:val="32"/>
          <w:lang w:val="en-US" w:eastAsia="zh-CN"/>
        </w:rPr>
        <w:t>722.32</w:t>
      </w:r>
      <w:r>
        <w:rPr>
          <w:rFonts w:hint="eastAsia" w:ascii="仿宋" w:hAnsi="仿宋" w:eastAsia="仿宋" w:cs="仿宋"/>
          <w:sz w:val="32"/>
          <w:szCs w:val="32"/>
        </w:rPr>
        <w:t>万元，预算完成度为100.00%。</w:t>
      </w:r>
    </w:p>
    <w:p w14:paraId="0164E0F1">
      <w:pPr>
        <w:widowControl/>
        <w:adjustRightInd w:val="0"/>
        <w:snapToGrid w:val="0"/>
        <w:spacing w:line="52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（二）部门财政资金支出情况。</w:t>
      </w:r>
    </w:p>
    <w:p w14:paraId="397B242F">
      <w:pPr>
        <w:pStyle w:val="13"/>
        <w:shd w:val="clear" w:color="auto" w:fill="FFFFFF"/>
        <w:spacing w:line="520" w:lineRule="exact"/>
        <w:rPr>
          <w:rFonts w:hint="eastAsia" w:ascii="仿宋" w:hAnsi="仿宋" w:eastAsia="仿宋" w:cs="仿宋"/>
          <w:sz w:val="32"/>
          <w:szCs w:val="32"/>
        </w:rPr>
      </w:pPr>
      <w:r>
        <w:rPr>
          <w:rFonts w:hint="eastAsia" w:ascii="仿宋" w:hAnsi="仿宋" w:eastAsia="仿宋" w:cs="仿宋"/>
          <w:sz w:val="32"/>
          <w:szCs w:val="32"/>
        </w:rPr>
        <w:t xml:space="preserve">    本年度支出调整预算数为1</w:t>
      </w:r>
      <w:r>
        <w:rPr>
          <w:rFonts w:hint="eastAsia" w:ascii="仿宋" w:hAnsi="仿宋" w:eastAsia="仿宋" w:cs="仿宋"/>
          <w:sz w:val="32"/>
          <w:szCs w:val="32"/>
          <w:lang w:val="en-US" w:eastAsia="zh-CN"/>
        </w:rPr>
        <w:t>722.32</w:t>
      </w:r>
      <w:r>
        <w:rPr>
          <w:rFonts w:hint="eastAsia" w:ascii="仿宋" w:hAnsi="仿宋" w:eastAsia="仿宋" w:cs="仿宋"/>
          <w:sz w:val="32"/>
          <w:szCs w:val="32"/>
        </w:rPr>
        <w:t>万元，支出决算数为1</w:t>
      </w:r>
      <w:r>
        <w:rPr>
          <w:rFonts w:hint="eastAsia" w:ascii="仿宋" w:hAnsi="仿宋" w:eastAsia="仿宋" w:cs="仿宋"/>
          <w:sz w:val="32"/>
          <w:szCs w:val="32"/>
          <w:lang w:val="en-US" w:eastAsia="zh-CN"/>
        </w:rPr>
        <w:t>722.32</w:t>
      </w:r>
      <w:r>
        <w:rPr>
          <w:rFonts w:hint="eastAsia" w:ascii="仿宋" w:hAnsi="仿宋" w:eastAsia="仿宋" w:cs="仿宋"/>
          <w:sz w:val="32"/>
          <w:szCs w:val="32"/>
        </w:rPr>
        <w:t>万元，预算完成度为100.00%。其中：基本支出中人员经费支出为</w:t>
      </w:r>
      <w:r>
        <w:rPr>
          <w:rFonts w:hint="eastAsia" w:ascii="仿宋" w:hAnsi="仿宋" w:eastAsia="仿宋" w:cs="仿宋"/>
          <w:sz w:val="32"/>
          <w:szCs w:val="32"/>
          <w:lang w:val="en-US" w:eastAsia="zh-CN"/>
        </w:rPr>
        <w:t>742.33</w:t>
      </w:r>
      <w:r>
        <w:rPr>
          <w:rFonts w:hint="eastAsia" w:ascii="仿宋" w:hAnsi="仿宋" w:eastAsia="仿宋" w:cs="仿宋"/>
          <w:sz w:val="32"/>
          <w:szCs w:val="32"/>
        </w:rPr>
        <w:t>万元，公用经费支出为</w:t>
      </w:r>
      <w:r>
        <w:rPr>
          <w:rFonts w:hint="eastAsia" w:ascii="仿宋" w:hAnsi="仿宋" w:eastAsia="仿宋" w:cs="仿宋"/>
          <w:sz w:val="32"/>
          <w:szCs w:val="32"/>
          <w:lang w:val="en-US" w:eastAsia="zh-CN"/>
        </w:rPr>
        <w:t>103.90</w:t>
      </w:r>
      <w:r>
        <w:rPr>
          <w:rFonts w:hint="eastAsia" w:ascii="仿宋" w:hAnsi="仿宋" w:eastAsia="仿宋" w:cs="仿宋"/>
          <w:sz w:val="32"/>
          <w:szCs w:val="32"/>
        </w:rPr>
        <w:t>万元。项目支出中基本建设类项目支出为</w:t>
      </w:r>
      <w:r>
        <w:rPr>
          <w:rFonts w:hint="eastAsia" w:ascii="仿宋" w:hAnsi="仿宋" w:eastAsia="仿宋" w:cs="仿宋"/>
          <w:sz w:val="32"/>
          <w:szCs w:val="32"/>
          <w:lang w:val="en-US" w:eastAsia="zh-CN"/>
        </w:rPr>
        <w:t>876.10</w:t>
      </w:r>
      <w:r>
        <w:rPr>
          <w:rFonts w:hint="eastAsia" w:ascii="仿宋" w:hAnsi="仿宋" w:eastAsia="仿宋" w:cs="仿宋"/>
          <w:sz w:val="32"/>
          <w:szCs w:val="32"/>
        </w:rPr>
        <w:t>万元。</w:t>
      </w:r>
    </w:p>
    <w:p w14:paraId="761EBACB">
      <w:pPr>
        <w:keepNext w:val="0"/>
        <w:keepLines w:val="0"/>
        <w:pageBreakBefore w:val="0"/>
        <w:widowControl/>
        <w:numPr>
          <w:ilvl w:val="0"/>
          <w:numId w:val="4"/>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val="0"/>
          <w:bCs w:val="0"/>
          <w:color w:val="000000"/>
          <w:kern w:val="0"/>
          <w:sz w:val="32"/>
          <w:szCs w:val="32"/>
          <w:highlight w:val="none"/>
          <w:shd w:val="clear" w:color="auto" w:fill="FFFFFF"/>
          <w:lang w:val="en-US" w:eastAsia="zh-CN"/>
        </w:rPr>
      </w:pPr>
      <w:r>
        <w:rPr>
          <w:rFonts w:hint="eastAsia" w:ascii="仿宋" w:hAnsi="仿宋" w:eastAsia="仿宋" w:cs="仿宋"/>
          <w:b/>
          <w:sz w:val="32"/>
          <w:szCs w:val="32"/>
        </w:rPr>
        <w:t>结余分配和结转结余情况</w:t>
      </w:r>
      <w:r>
        <w:rPr>
          <w:rFonts w:hint="eastAsia" w:ascii="仿宋" w:hAnsi="仿宋" w:eastAsia="仿宋" w:cs="仿宋"/>
          <w:b/>
          <w:sz w:val="32"/>
          <w:szCs w:val="32"/>
          <w:lang w:eastAsia="zh-CN"/>
        </w:rPr>
        <w:t>。我</w:t>
      </w:r>
      <w:r>
        <w:rPr>
          <w:rFonts w:hint="eastAsia" w:ascii="仿宋" w:hAnsi="仿宋" w:eastAsia="仿宋" w:cs="仿宋"/>
          <w:sz w:val="32"/>
          <w:szCs w:val="32"/>
          <w:lang w:val="en-US" w:eastAsia="zh-CN"/>
        </w:rPr>
        <w:t>部门2024年决算报表</w:t>
      </w:r>
      <w:r>
        <w:rPr>
          <w:rFonts w:hint="eastAsia" w:ascii="仿宋" w:hAnsi="仿宋" w:eastAsia="仿宋" w:cs="仿宋"/>
          <w:b w:val="0"/>
          <w:bCs w:val="0"/>
          <w:color w:val="000000"/>
          <w:kern w:val="0"/>
          <w:sz w:val="32"/>
          <w:szCs w:val="32"/>
          <w:highlight w:val="none"/>
          <w:shd w:val="clear" w:color="auto" w:fill="FFFFFF"/>
          <w:lang w:val="en-US" w:eastAsia="zh-CN"/>
        </w:rPr>
        <w:t>结转结余情况。(无)</w:t>
      </w:r>
    </w:p>
    <w:p w14:paraId="55F2B7B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0"/>
        <w:rPr>
          <w:rFonts w:hint="eastAsia" w:ascii="仿宋" w:hAnsi="仿宋" w:eastAsia="仿宋" w:cs="仿宋"/>
          <w:color w:val="000000" w:themeColor="text1"/>
          <w:kern w:val="0"/>
          <w:sz w:val="32"/>
          <w:szCs w:val="32"/>
          <w:highlight w:val="none"/>
          <w:shd w:val="clear" w:color="auto" w:fill="FFFFFF"/>
          <w14:textFill>
            <w14:solidFill>
              <w14:schemeClr w14:val="tx1"/>
            </w14:solidFill>
          </w14:textFill>
        </w:rPr>
      </w:pPr>
      <w:r>
        <w:rPr>
          <w:rFonts w:hint="eastAsia" w:ascii="仿宋" w:hAnsi="仿宋" w:eastAsia="仿宋" w:cs="仿宋"/>
          <w:sz w:val="32"/>
          <w:szCs w:val="32"/>
          <w:lang w:val="en-US" w:eastAsia="zh-CN"/>
        </w:rPr>
        <w:t xml:space="preserve"> </w:t>
      </w:r>
      <w:bookmarkStart w:id="60" w:name="_Toc20299"/>
      <w:bookmarkStart w:id="61" w:name="_Toc3756"/>
      <w:bookmarkStart w:id="62" w:name="_Toc13687"/>
      <w:bookmarkStart w:id="63" w:name="_Toc3163"/>
      <w:bookmarkStart w:id="64" w:name="_Toc31664"/>
      <w:r>
        <w:rPr>
          <w:rFonts w:hint="eastAsia" w:ascii="仿宋" w:hAnsi="仿宋" w:eastAsia="仿宋" w:cs="仿宋"/>
          <w:color w:val="000000"/>
          <w:kern w:val="0"/>
          <w:sz w:val="32"/>
          <w:szCs w:val="32"/>
          <w:highlight w:val="none"/>
          <w:shd w:val="clear" w:color="auto" w:fill="FFFFFF"/>
        </w:rPr>
        <w:t>三、</w:t>
      </w:r>
      <w:r>
        <w:rPr>
          <w:rFonts w:hint="eastAsia" w:ascii="仿宋" w:hAnsi="仿宋" w:eastAsia="仿宋" w:cs="仿宋"/>
          <w:color w:val="000000"/>
          <w:kern w:val="0"/>
          <w:sz w:val="32"/>
          <w:szCs w:val="32"/>
          <w:highlight w:val="none"/>
          <w:u w:val="none"/>
          <w:shd w:val="clear" w:color="auto" w:fill="FFFFFF"/>
        </w:rPr>
        <w:t>部门</w:t>
      </w:r>
      <w:r>
        <w:rPr>
          <w:rFonts w:hint="eastAsia" w:ascii="仿宋" w:hAnsi="仿宋" w:eastAsia="仿宋" w:cs="仿宋"/>
          <w:color w:val="000000"/>
          <w:kern w:val="0"/>
          <w:sz w:val="32"/>
          <w:szCs w:val="32"/>
          <w:highlight w:val="none"/>
          <w:u w:val="none"/>
          <w:shd w:val="clear" w:color="auto" w:fill="FFFFFF"/>
          <w:lang w:eastAsia="zh-CN"/>
        </w:rPr>
        <w:t>预算</w:t>
      </w:r>
      <w:r>
        <w:rPr>
          <w:rFonts w:hint="eastAsia" w:ascii="仿宋" w:hAnsi="仿宋" w:eastAsia="仿宋" w:cs="仿宋"/>
          <w:color w:val="000000"/>
          <w:kern w:val="0"/>
          <w:sz w:val="32"/>
          <w:szCs w:val="32"/>
          <w:highlight w:val="none"/>
          <w:u w:val="none"/>
          <w:shd w:val="clear" w:color="auto" w:fill="FFFFFF"/>
        </w:rPr>
        <w:t>绩效</w:t>
      </w:r>
      <w:r>
        <w:rPr>
          <w:rFonts w:hint="eastAsia" w:ascii="仿宋" w:hAnsi="仿宋" w:eastAsia="仿宋" w:cs="仿宋"/>
          <w:color w:val="000000"/>
          <w:kern w:val="0"/>
          <w:sz w:val="32"/>
          <w:szCs w:val="32"/>
          <w:highlight w:val="none"/>
          <w:u w:val="none"/>
          <w:shd w:val="clear" w:color="auto" w:fill="FFFFFF"/>
          <w:lang w:eastAsia="zh-CN"/>
        </w:rPr>
        <w:t>分析</w:t>
      </w:r>
      <w:bookmarkEnd w:id="60"/>
      <w:bookmarkEnd w:id="61"/>
      <w:bookmarkEnd w:id="62"/>
      <w:bookmarkEnd w:id="63"/>
      <w:bookmarkEnd w:id="64"/>
    </w:p>
    <w:p w14:paraId="3EB00C7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1"/>
        <w:rPr>
          <w:rFonts w:hint="eastAsia" w:ascii="仿宋" w:hAnsi="仿宋" w:eastAsia="仿宋" w:cs="仿宋"/>
          <w:color w:val="000000"/>
          <w:kern w:val="0"/>
          <w:sz w:val="32"/>
          <w:szCs w:val="32"/>
          <w:highlight w:val="none"/>
          <w:shd w:val="clear" w:color="auto" w:fill="FFFFFF"/>
          <w:lang w:val="zh-CN"/>
        </w:rPr>
      </w:pPr>
      <w:bookmarkStart w:id="65" w:name="_Toc21971"/>
      <w:r>
        <w:rPr>
          <w:rFonts w:hint="eastAsia" w:ascii="仿宋" w:hAnsi="仿宋" w:eastAsia="仿宋" w:cs="仿宋"/>
          <w:b/>
          <w:bCs/>
          <w:color w:val="000000"/>
          <w:kern w:val="0"/>
          <w:sz w:val="32"/>
          <w:szCs w:val="32"/>
          <w:highlight w:val="none"/>
          <w:shd w:val="clear" w:color="auto" w:fill="FFFFFF"/>
          <w:lang w:val="zh-CN"/>
        </w:rPr>
        <w:t>（一）部门预算总体绩效分析。</w:t>
      </w:r>
      <w:r>
        <w:rPr>
          <w:rFonts w:hint="eastAsia" w:ascii="仿宋" w:hAnsi="仿宋" w:eastAsia="仿宋" w:cs="仿宋"/>
          <w:color w:val="000000"/>
          <w:kern w:val="0"/>
          <w:sz w:val="32"/>
          <w:szCs w:val="32"/>
          <w:highlight w:val="none"/>
          <w:shd w:val="clear" w:color="auto" w:fill="FFFFFF"/>
          <w:lang w:val="zh-CN"/>
        </w:rPr>
        <w:t>根据部门预算绩效评价指标体系“总体绩效”涉及二、三级指标进行逐项绩效分析并评分，依次包括履职效能、预算管理、财务管理、资产管理、采购管理等情况。</w:t>
      </w:r>
      <w:bookmarkEnd w:id="65"/>
    </w:p>
    <w:p w14:paraId="4A26959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sz w:val="32"/>
          <w:szCs w:val="32"/>
          <w:lang w:val="zh-CN"/>
        </w:rPr>
      </w:pPr>
      <w:bookmarkStart w:id="66" w:name="_Toc18069"/>
      <w:r>
        <w:rPr>
          <w:rFonts w:hint="eastAsia" w:ascii="仿宋" w:hAnsi="仿宋" w:eastAsia="仿宋" w:cs="仿宋"/>
          <w:color w:val="000000"/>
          <w:kern w:val="0"/>
          <w:sz w:val="32"/>
          <w:szCs w:val="32"/>
          <w:highlight w:val="none"/>
          <w:shd w:val="clear" w:color="auto" w:fill="FFFFFF"/>
          <w:lang w:val="en-US" w:eastAsia="zh-CN"/>
        </w:rPr>
        <w:t>1.</w:t>
      </w:r>
      <w:r>
        <w:rPr>
          <w:rFonts w:hint="eastAsia" w:ascii="仿宋" w:hAnsi="仿宋" w:eastAsia="仿宋" w:cs="仿宋"/>
          <w:color w:val="000000"/>
          <w:kern w:val="0"/>
          <w:sz w:val="32"/>
          <w:szCs w:val="32"/>
          <w:highlight w:val="none"/>
          <w:shd w:val="clear" w:color="auto" w:fill="FFFFFF"/>
          <w:lang w:val="zh-CN"/>
        </w:rPr>
        <w:t>履职效能。（</w:t>
      </w:r>
      <w:r>
        <w:rPr>
          <w:rFonts w:hint="eastAsia" w:ascii="仿宋" w:hAnsi="仿宋" w:eastAsia="仿宋" w:cs="仿宋"/>
          <w:color w:val="000000"/>
          <w:kern w:val="0"/>
          <w:sz w:val="32"/>
          <w:szCs w:val="32"/>
          <w:highlight w:val="none"/>
          <w:shd w:val="clear" w:color="auto" w:fill="FFFFFF"/>
          <w:lang w:val="en-US" w:eastAsia="zh-CN"/>
        </w:rPr>
        <w:t>15分）</w:t>
      </w:r>
      <w:r>
        <w:rPr>
          <w:rFonts w:hint="eastAsia" w:ascii="仿宋" w:hAnsi="仿宋" w:eastAsia="仿宋" w:cs="仿宋"/>
          <w:color w:val="000000"/>
          <w:kern w:val="0"/>
          <w:sz w:val="32"/>
          <w:szCs w:val="32"/>
          <w:highlight w:val="none"/>
          <w:shd w:val="clear" w:color="auto" w:fill="FFFFFF"/>
          <w:lang w:val="zh-CN"/>
        </w:rPr>
        <w:t>督促检查县政府各部门和各乡镇人民政府对县政府公文、会议决定事项及县政府领导同志有关指示的执行落实情况跟踪调研，并向县政府领导同志报告。督查工作开展完全数率</w:t>
      </w:r>
      <w:r>
        <w:rPr>
          <w:rFonts w:hint="eastAsia" w:ascii="仿宋" w:hAnsi="仿宋" w:eastAsia="仿宋" w:cs="仿宋"/>
          <w:color w:val="000000"/>
          <w:kern w:val="0"/>
          <w:sz w:val="32"/>
          <w:szCs w:val="32"/>
          <w:highlight w:val="none"/>
          <w:shd w:val="clear" w:color="auto" w:fill="FFFFFF"/>
          <w:lang w:val="en-US" w:eastAsia="zh-CN"/>
        </w:rPr>
        <w:t>100%。指导全县应急管理工作，协助县政府领导同志做好需由县政府组织处理的突发事件和重大事故的应急处置工作。高质量完成了此项工作。很好地组织办理涉及县政府工作的人大代表议案、批评、建议和政协委员提案、建议案工作。</w:t>
      </w:r>
      <w:r>
        <w:rPr>
          <w:rFonts w:hint="eastAsia" w:ascii="仿宋" w:hAnsi="仿宋" w:eastAsia="仿宋" w:cs="仿宋"/>
          <w:color w:val="000000"/>
          <w:kern w:val="0"/>
          <w:sz w:val="32"/>
          <w:szCs w:val="32"/>
          <w:highlight w:val="none"/>
          <w:shd w:val="clear" w:color="auto" w:fill="FFFFFF"/>
          <w:lang w:val="zh-CN"/>
        </w:rPr>
        <w:t>综上，根据评分标准，该项指标，得</w:t>
      </w:r>
      <w:r>
        <w:rPr>
          <w:rFonts w:hint="eastAsia" w:ascii="仿宋" w:hAnsi="仿宋" w:eastAsia="仿宋" w:cs="仿宋"/>
          <w:color w:val="000000"/>
          <w:kern w:val="0"/>
          <w:sz w:val="32"/>
          <w:szCs w:val="32"/>
          <w:highlight w:val="none"/>
          <w:shd w:val="clear" w:color="auto" w:fill="FFFFFF"/>
          <w:lang w:val="en-US" w:eastAsia="zh-CN"/>
        </w:rPr>
        <w:t>14</w:t>
      </w:r>
      <w:r>
        <w:rPr>
          <w:rFonts w:hint="eastAsia" w:ascii="仿宋" w:hAnsi="仿宋" w:eastAsia="仿宋" w:cs="仿宋"/>
          <w:color w:val="000000"/>
          <w:kern w:val="0"/>
          <w:sz w:val="32"/>
          <w:szCs w:val="32"/>
          <w:highlight w:val="none"/>
          <w:shd w:val="clear" w:color="auto" w:fill="FFFFFF"/>
          <w:lang w:val="zh-CN"/>
        </w:rPr>
        <w:t>分。</w:t>
      </w:r>
      <w:bookmarkEnd w:id="66"/>
    </w:p>
    <w:p w14:paraId="581A566D">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zh-CN"/>
        </w:rPr>
      </w:pPr>
      <w:bookmarkStart w:id="67" w:name="_Toc238"/>
      <w:r>
        <w:rPr>
          <w:rFonts w:hint="eastAsia" w:ascii="仿宋" w:hAnsi="仿宋" w:eastAsia="仿宋" w:cs="仿宋"/>
          <w:color w:val="000000"/>
          <w:kern w:val="0"/>
          <w:sz w:val="32"/>
          <w:szCs w:val="32"/>
          <w:highlight w:val="none"/>
          <w:shd w:val="clear" w:color="auto" w:fill="FFFFFF"/>
          <w:lang w:val="zh-CN"/>
        </w:rPr>
        <w:t>预算管理。（</w:t>
      </w:r>
      <w:r>
        <w:rPr>
          <w:rFonts w:hint="eastAsia" w:ascii="仿宋" w:hAnsi="仿宋" w:eastAsia="仿宋" w:cs="仿宋"/>
          <w:color w:val="000000"/>
          <w:kern w:val="0"/>
          <w:sz w:val="32"/>
          <w:szCs w:val="32"/>
          <w:highlight w:val="none"/>
          <w:shd w:val="clear" w:color="auto" w:fill="FFFFFF"/>
          <w:lang w:val="en-US" w:eastAsia="zh-CN"/>
        </w:rPr>
        <w:t>25分）安排好财政要求</w:t>
      </w:r>
      <w:r>
        <w:rPr>
          <w:rFonts w:hint="eastAsia" w:ascii="仿宋" w:hAnsi="仿宋" w:eastAsia="仿宋" w:cs="仿宋"/>
          <w:color w:val="000000"/>
          <w:kern w:val="0"/>
          <w:sz w:val="32"/>
          <w:szCs w:val="32"/>
          <w:highlight w:val="none"/>
          <w:shd w:val="clear" w:color="auto" w:fill="FFFFFF"/>
          <w:lang w:val="zh-CN"/>
        </w:rPr>
        <w:t>预算编制质量较高、单位收入进行统筹管理、支出严格按预算执行进度、预算年终资金结转结余符合预算管理、严控一般性支出，支出逐年下降。综上，根据评分标准，该项指标，得</w:t>
      </w:r>
      <w:r>
        <w:rPr>
          <w:rFonts w:hint="eastAsia" w:ascii="仿宋" w:hAnsi="仿宋" w:eastAsia="仿宋" w:cs="仿宋"/>
          <w:color w:val="000000"/>
          <w:kern w:val="0"/>
          <w:sz w:val="32"/>
          <w:szCs w:val="32"/>
          <w:highlight w:val="none"/>
          <w:shd w:val="clear" w:color="auto" w:fill="FFFFFF"/>
          <w:lang w:val="en-US" w:eastAsia="zh-CN"/>
        </w:rPr>
        <w:t>24</w:t>
      </w:r>
      <w:r>
        <w:rPr>
          <w:rFonts w:hint="eastAsia" w:ascii="仿宋" w:hAnsi="仿宋" w:eastAsia="仿宋" w:cs="仿宋"/>
          <w:color w:val="000000"/>
          <w:kern w:val="0"/>
          <w:sz w:val="32"/>
          <w:szCs w:val="32"/>
          <w:highlight w:val="none"/>
          <w:shd w:val="clear" w:color="auto" w:fill="FFFFFF"/>
          <w:lang w:val="zh-CN"/>
        </w:rPr>
        <w:t>分。"</w:t>
      </w:r>
      <w:bookmarkEnd w:id="67"/>
    </w:p>
    <w:p w14:paraId="36BFEC8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zh-CN"/>
        </w:rPr>
      </w:pPr>
      <w:bookmarkStart w:id="68" w:name="_Toc7923"/>
      <w:r>
        <w:rPr>
          <w:rFonts w:hint="eastAsia" w:ascii="仿宋" w:hAnsi="仿宋" w:eastAsia="仿宋" w:cs="仿宋"/>
          <w:color w:val="000000"/>
          <w:kern w:val="0"/>
          <w:sz w:val="32"/>
          <w:szCs w:val="32"/>
          <w:highlight w:val="none"/>
          <w:shd w:val="clear" w:color="auto" w:fill="FFFFFF"/>
          <w:lang w:val="en-US" w:eastAsia="zh-CN"/>
        </w:rPr>
        <w:t>3.</w:t>
      </w:r>
      <w:r>
        <w:rPr>
          <w:rFonts w:hint="eastAsia" w:ascii="仿宋" w:hAnsi="仿宋" w:eastAsia="仿宋" w:cs="仿宋"/>
          <w:color w:val="000000"/>
          <w:kern w:val="0"/>
          <w:sz w:val="32"/>
          <w:szCs w:val="32"/>
          <w:highlight w:val="none"/>
          <w:shd w:val="clear" w:color="auto" w:fill="FFFFFF"/>
          <w:lang w:val="zh-CN"/>
        </w:rPr>
        <w:t>财务管理。（</w:t>
      </w:r>
      <w:r>
        <w:rPr>
          <w:rFonts w:hint="eastAsia" w:ascii="仿宋" w:hAnsi="仿宋" w:eastAsia="仿宋" w:cs="仿宋"/>
          <w:color w:val="000000"/>
          <w:kern w:val="0"/>
          <w:sz w:val="32"/>
          <w:szCs w:val="32"/>
          <w:highlight w:val="none"/>
          <w:shd w:val="clear" w:color="auto" w:fill="FFFFFF"/>
          <w:lang w:val="en-US" w:eastAsia="zh-CN"/>
        </w:rPr>
        <w:t>10分）单位制定了</w:t>
      </w:r>
      <w:r>
        <w:rPr>
          <w:rFonts w:hint="eastAsia" w:ascii="仿宋" w:hAnsi="仿宋" w:eastAsia="仿宋" w:cs="仿宋"/>
          <w:color w:val="000000"/>
          <w:kern w:val="0"/>
          <w:sz w:val="32"/>
          <w:szCs w:val="32"/>
          <w:highlight w:val="none"/>
          <w:shd w:val="clear" w:color="auto" w:fill="FFFFFF"/>
          <w:lang w:val="zh-CN"/>
        </w:rPr>
        <w:t>财务管理制度，日常工作中严格执行财务制度、财务岗位设置实行了分离和相互制约、资金使用规范。综上，根据评分标准，该项指标，得</w:t>
      </w:r>
      <w:r>
        <w:rPr>
          <w:rFonts w:hint="eastAsia" w:ascii="仿宋" w:hAnsi="仿宋" w:eastAsia="仿宋" w:cs="仿宋"/>
          <w:color w:val="000000"/>
          <w:kern w:val="0"/>
          <w:sz w:val="32"/>
          <w:szCs w:val="32"/>
          <w:highlight w:val="none"/>
          <w:shd w:val="clear" w:color="auto" w:fill="FFFFFF"/>
          <w:lang w:val="en-US" w:eastAsia="zh-CN"/>
        </w:rPr>
        <w:t>9</w:t>
      </w:r>
      <w:r>
        <w:rPr>
          <w:rFonts w:hint="eastAsia" w:ascii="仿宋" w:hAnsi="仿宋" w:eastAsia="仿宋" w:cs="仿宋"/>
          <w:color w:val="000000"/>
          <w:kern w:val="0"/>
          <w:sz w:val="32"/>
          <w:szCs w:val="32"/>
          <w:highlight w:val="none"/>
          <w:shd w:val="clear" w:color="auto" w:fill="FFFFFF"/>
          <w:lang w:val="zh-CN"/>
        </w:rPr>
        <w:t>分。</w:t>
      </w:r>
      <w:bookmarkEnd w:id="68"/>
    </w:p>
    <w:p w14:paraId="11AA8C0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zh-CN"/>
        </w:rPr>
      </w:pPr>
      <w:bookmarkStart w:id="69" w:name="_Toc17636"/>
      <w:r>
        <w:rPr>
          <w:rFonts w:hint="eastAsia" w:ascii="仿宋" w:hAnsi="仿宋" w:eastAsia="仿宋" w:cs="仿宋"/>
          <w:color w:val="000000"/>
          <w:kern w:val="0"/>
          <w:sz w:val="32"/>
          <w:szCs w:val="32"/>
          <w:highlight w:val="none"/>
          <w:shd w:val="clear" w:color="auto" w:fill="FFFFFF"/>
          <w:lang w:val="en-US" w:eastAsia="zh-CN"/>
        </w:rPr>
        <w:t>4.</w:t>
      </w:r>
      <w:r>
        <w:rPr>
          <w:rFonts w:hint="eastAsia" w:ascii="仿宋" w:hAnsi="仿宋" w:eastAsia="仿宋" w:cs="仿宋"/>
          <w:color w:val="000000"/>
          <w:kern w:val="0"/>
          <w:sz w:val="32"/>
          <w:szCs w:val="32"/>
          <w:highlight w:val="none"/>
          <w:shd w:val="clear" w:color="auto" w:fill="FFFFFF"/>
          <w:lang w:val="zh-CN"/>
        </w:rPr>
        <w:t>资产管理。（</w:t>
      </w:r>
      <w:r>
        <w:rPr>
          <w:rFonts w:hint="eastAsia" w:ascii="仿宋" w:hAnsi="仿宋" w:eastAsia="仿宋" w:cs="仿宋"/>
          <w:color w:val="000000"/>
          <w:kern w:val="0"/>
          <w:sz w:val="32"/>
          <w:szCs w:val="32"/>
          <w:highlight w:val="none"/>
          <w:shd w:val="clear" w:color="auto" w:fill="FFFFFF"/>
          <w:lang w:val="en-US" w:eastAsia="zh-CN"/>
        </w:rPr>
        <w:t>9分）</w:t>
      </w:r>
      <w:r>
        <w:rPr>
          <w:rFonts w:hint="eastAsia" w:ascii="仿宋" w:hAnsi="仿宋" w:eastAsia="仿宋" w:cs="仿宋"/>
          <w:color w:val="000000"/>
          <w:kern w:val="0"/>
          <w:sz w:val="32"/>
          <w:szCs w:val="32"/>
          <w:highlight w:val="none"/>
          <w:shd w:val="clear" w:color="auto" w:fill="FFFFFF"/>
          <w:lang w:val="zh-CN"/>
        </w:rPr>
        <w:t>围绕人均资产变化率、资产利用率、资产盘活率进行绩效分析。综上，根据评分标准，该项指标，得</w:t>
      </w:r>
      <w:r>
        <w:rPr>
          <w:rFonts w:hint="eastAsia" w:ascii="仿宋" w:hAnsi="仿宋" w:eastAsia="仿宋" w:cs="仿宋"/>
          <w:color w:val="000000"/>
          <w:kern w:val="0"/>
          <w:sz w:val="32"/>
          <w:szCs w:val="32"/>
          <w:highlight w:val="none"/>
          <w:shd w:val="clear" w:color="auto" w:fill="FFFFFF"/>
          <w:lang w:val="en-US" w:eastAsia="zh-CN"/>
        </w:rPr>
        <w:t>8</w:t>
      </w:r>
      <w:r>
        <w:rPr>
          <w:rFonts w:hint="eastAsia" w:ascii="仿宋" w:hAnsi="仿宋" w:eastAsia="仿宋" w:cs="仿宋"/>
          <w:color w:val="000000"/>
          <w:kern w:val="0"/>
          <w:sz w:val="32"/>
          <w:szCs w:val="32"/>
          <w:highlight w:val="none"/>
          <w:shd w:val="clear" w:color="auto" w:fill="FFFFFF"/>
          <w:lang w:val="zh-CN"/>
        </w:rPr>
        <w:t>分。"</w:t>
      </w:r>
      <w:bookmarkEnd w:id="69"/>
    </w:p>
    <w:p w14:paraId="5E0E48E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zh-CN"/>
        </w:rPr>
      </w:pPr>
      <w:bookmarkStart w:id="70" w:name="_Toc23937"/>
      <w:r>
        <w:rPr>
          <w:rFonts w:hint="eastAsia" w:ascii="仿宋" w:hAnsi="仿宋" w:eastAsia="仿宋" w:cs="仿宋"/>
          <w:color w:val="000000"/>
          <w:kern w:val="0"/>
          <w:sz w:val="32"/>
          <w:szCs w:val="32"/>
          <w:highlight w:val="none"/>
          <w:shd w:val="clear" w:color="auto" w:fill="FFFFFF"/>
          <w:lang w:val="en-US" w:eastAsia="zh-CN"/>
        </w:rPr>
        <w:t>5.</w:t>
      </w:r>
      <w:r>
        <w:rPr>
          <w:rFonts w:hint="eastAsia" w:ascii="仿宋" w:hAnsi="仿宋" w:eastAsia="仿宋" w:cs="仿宋"/>
          <w:color w:val="000000"/>
          <w:kern w:val="0"/>
          <w:sz w:val="32"/>
          <w:szCs w:val="32"/>
          <w:highlight w:val="none"/>
          <w:shd w:val="clear" w:color="auto" w:fill="FFFFFF"/>
          <w:lang w:val="zh-CN"/>
        </w:rPr>
        <w:t>采购管理。（</w:t>
      </w:r>
      <w:r>
        <w:rPr>
          <w:rFonts w:hint="eastAsia" w:ascii="仿宋" w:hAnsi="仿宋" w:eastAsia="仿宋" w:cs="仿宋"/>
          <w:color w:val="000000"/>
          <w:kern w:val="0"/>
          <w:sz w:val="32"/>
          <w:szCs w:val="32"/>
          <w:highlight w:val="none"/>
          <w:shd w:val="clear" w:color="auto" w:fill="FFFFFF"/>
          <w:lang w:val="en-US" w:eastAsia="zh-CN"/>
        </w:rPr>
        <w:t>6分）</w:t>
      </w:r>
      <w:r>
        <w:rPr>
          <w:rFonts w:hint="eastAsia" w:ascii="仿宋" w:hAnsi="仿宋" w:eastAsia="仿宋" w:cs="仿宋"/>
          <w:color w:val="000000"/>
          <w:kern w:val="0"/>
          <w:sz w:val="32"/>
          <w:szCs w:val="32"/>
          <w:highlight w:val="none"/>
          <w:shd w:val="clear" w:color="auto" w:fill="FFFFFF"/>
          <w:lang w:val="zh-CN"/>
        </w:rPr>
        <w:t>围绕支持中小企业发展、采购执行率进行绩效分析。综上，根据评分标准，该项指标，得</w:t>
      </w:r>
      <w:r>
        <w:rPr>
          <w:rFonts w:hint="eastAsia" w:ascii="仿宋" w:hAnsi="仿宋" w:eastAsia="仿宋" w:cs="仿宋"/>
          <w:color w:val="000000"/>
          <w:kern w:val="0"/>
          <w:sz w:val="32"/>
          <w:szCs w:val="32"/>
          <w:highlight w:val="none"/>
          <w:shd w:val="clear" w:color="auto" w:fill="FFFFFF"/>
          <w:lang w:val="en-US" w:eastAsia="zh-CN"/>
        </w:rPr>
        <w:t>6</w:t>
      </w:r>
      <w:r>
        <w:rPr>
          <w:rFonts w:hint="eastAsia" w:ascii="仿宋" w:hAnsi="仿宋" w:eastAsia="仿宋" w:cs="仿宋"/>
          <w:color w:val="000000"/>
          <w:kern w:val="0"/>
          <w:sz w:val="32"/>
          <w:szCs w:val="32"/>
          <w:highlight w:val="none"/>
          <w:shd w:val="clear" w:color="auto" w:fill="FFFFFF"/>
          <w:lang w:val="zh-CN"/>
        </w:rPr>
        <w:t>分。"</w:t>
      </w:r>
      <w:bookmarkEnd w:id="70"/>
    </w:p>
    <w:p w14:paraId="1FE5A8AE">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1"/>
        <w:rPr>
          <w:rFonts w:hint="eastAsia" w:ascii="仿宋" w:hAnsi="仿宋" w:eastAsia="仿宋" w:cs="仿宋"/>
          <w:color w:val="000000"/>
          <w:kern w:val="0"/>
          <w:sz w:val="32"/>
          <w:szCs w:val="32"/>
          <w:highlight w:val="none"/>
          <w:shd w:val="clear" w:color="auto" w:fill="FFFFFF"/>
          <w:lang w:val="en-US" w:eastAsia="zh-CN"/>
        </w:rPr>
      </w:pPr>
      <w:bookmarkStart w:id="71" w:name="_Toc5385"/>
      <w:r>
        <w:rPr>
          <w:rFonts w:hint="eastAsia" w:ascii="仿宋" w:hAnsi="仿宋" w:eastAsia="仿宋" w:cs="仿宋"/>
          <w:b/>
          <w:bCs/>
          <w:color w:val="000000"/>
          <w:kern w:val="0"/>
          <w:sz w:val="32"/>
          <w:szCs w:val="32"/>
          <w:highlight w:val="none"/>
          <w:shd w:val="clear" w:color="auto" w:fill="FFFFFF"/>
          <w:lang w:val="zh-CN"/>
        </w:rPr>
        <w:t>（二）部门预算项目绩效分析。</w:t>
      </w:r>
      <w:r>
        <w:rPr>
          <w:rFonts w:hint="eastAsia" w:ascii="仿宋" w:hAnsi="仿宋" w:eastAsia="仿宋" w:cs="仿宋"/>
          <w:color w:val="000000"/>
          <w:kern w:val="0"/>
          <w:sz w:val="32"/>
          <w:szCs w:val="32"/>
          <w:highlight w:val="none"/>
          <w:shd w:val="clear" w:color="auto" w:fill="FFFFFF"/>
          <w:lang w:val="zh-CN" w:eastAsia="zh-CN"/>
        </w:rPr>
        <w:t>填报以下数据，</w:t>
      </w:r>
      <w:r>
        <w:rPr>
          <w:rFonts w:hint="eastAsia" w:ascii="仿宋" w:hAnsi="仿宋" w:eastAsia="仿宋" w:cs="仿宋"/>
          <w:color w:val="000000"/>
          <w:kern w:val="0"/>
          <w:sz w:val="32"/>
          <w:szCs w:val="32"/>
          <w:highlight w:val="none"/>
          <w:shd w:val="clear" w:color="auto" w:fill="FFFFFF"/>
          <w:lang w:val="zh-CN"/>
        </w:rPr>
        <w:t>并根据部门预算绩效评价指标体系“项目绩效”涉及二、三级指标进行逐项绩效分析并评分，依次包括项目</w:t>
      </w:r>
      <w:r>
        <w:rPr>
          <w:rFonts w:hint="eastAsia" w:ascii="仿宋" w:hAnsi="仿宋" w:eastAsia="仿宋" w:cs="仿宋"/>
          <w:color w:val="000000"/>
          <w:kern w:val="0"/>
          <w:sz w:val="32"/>
          <w:szCs w:val="32"/>
          <w:highlight w:val="none"/>
          <w:shd w:val="clear" w:color="auto" w:fill="FFFFFF"/>
          <w:lang w:val="en-US" w:eastAsia="zh-CN"/>
        </w:rPr>
        <w:t>决策、项目执行、目标实现等情况。</w:t>
      </w:r>
      <w:bookmarkEnd w:id="71"/>
    </w:p>
    <w:p w14:paraId="5FC72EA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eastAsia="zh-CN"/>
        </w:rPr>
      </w:pPr>
      <w:r>
        <w:rPr>
          <w:rFonts w:hint="eastAsia" w:ascii="仿宋" w:hAnsi="仿宋" w:eastAsia="仿宋" w:cs="仿宋"/>
          <w:color w:val="000000"/>
          <w:kern w:val="0"/>
          <w:sz w:val="32"/>
          <w:szCs w:val="32"/>
          <w:highlight w:val="none"/>
          <w:shd w:val="clear" w:color="auto" w:fill="FFFFFF"/>
          <w:lang w:val="en-US" w:eastAsia="zh-CN"/>
        </w:rPr>
        <w:t>常年项目绩效分析。</w:t>
      </w:r>
      <w:r>
        <w:rPr>
          <w:rFonts w:hint="eastAsia" w:ascii="仿宋" w:hAnsi="仿宋" w:eastAsia="仿宋" w:cs="仿宋"/>
          <w:color w:val="000000"/>
          <w:kern w:val="0"/>
          <w:sz w:val="32"/>
          <w:szCs w:val="32"/>
          <w:highlight w:val="none"/>
          <w:shd w:val="clear" w:color="auto" w:fill="FFFFFF"/>
          <w:lang w:val="zh-CN" w:eastAsia="zh-CN"/>
        </w:rPr>
        <w:t>该类项目总数</w:t>
      </w:r>
      <w:r>
        <w:rPr>
          <w:rFonts w:hint="eastAsia" w:ascii="仿宋" w:hAnsi="仿宋" w:eastAsia="仿宋" w:cs="仿宋"/>
          <w:color w:val="000000"/>
          <w:kern w:val="0"/>
          <w:sz w:val="32"/>
          <w:szCs w:val="32"/>
          <w:highlight w:val="none"/>
          <w:shd w:val="clear" w:color="auto" w:fill="FFFFFF"/>
          <w:lang w:val="en-US" w:eastAsia="zh-CN"/>
        </w:rPr>
        <w:t xml:space="preserve">  6 </w:t>
      </w:r>
      <w:r>
        <w:rPr>
          <w:rFonts w:hint="eastAsia" w:ascii="仿宋" w:hAnsi="仿宋" w:eastAsia="仿宋" w:cs="仿宋"/>
          <w:color w:val="000000"/>
          <w:kern w:val="0"/>
          <w:sz w:val="32"/>
          <w:szCs w:val="32"/>
          <w:highlight w:val="none"/>
          <w:shd w:val="clear" w:color="auto" w:fill="FFFFFF"/>
          <w:lang w:val="zh-CN" w:eastAsia="zh-CN"/>
        </w:rPr>
        <w:t>个，涉及预算总金额</w:t>
      </w:r>
      <w:r>
        <w:rPr>
          <w:rFonts w:hint="eastAsia" w:ascii="仿宋" w:hAnsi="仿宋" w:eastAsia="仿宋" w:cs="仿宋"/>
          <w:color w:val="000000"/>
          <w:kern w:val="0"/>
          <w:sz w:val="32"/>
          <w:szCs w:val="32"/>
          <w:highlight w:val="none"/>
          <w:shd w:val="clear" w:color="auto" w:fill="FFFFFF"/>
          <w:lang w:val="en-US" w:eastAsia="zh-CN"/>
        </w:rPr>
        <w:t xml:space="preserve">   876.10</w:t>
      </w:r>
      <w:r>
        <w:rPr>
          <w:rFonts w:hint="eastAsia" w:ascii="仿宋" w:hAnsi="仿宋" w:eastAsia="仿宋" w:cs="仿宋"/>
          <w:color w:val="000000"/>
          <w:kern w:val="0"/>
          <w:sz w:val="32"/>
          <w:szCs w:val="32"/>
          <w:highlight w:val="none"/>
          <w:shd w:val="clear" w:color="auto" w:fill="FFFFFF"/>
          <w:lang w:val="zh-CN" w:eastAsia="zh-CN"/>
        </w:rPr>
        <w:t>万元，</w:t>
      </w:r>
      <w:r>
        <w:rPr>
          <w:rFonts w:hint="eastAsia" w:ascii="仿宋" w:hAnsi="仿宋" w:eastAsia="仿宋" w:cs="仿宋"/>
          <w:color w:val="000000"/>
          <w:kern w:val="0"/>
          <w:sz w:val="32"/>
          <w:szCs w:val="32"/>
          <w:highlight w:val="none"/>
          <w:shd w:val="clear" w:color="auto" w:fill="FFFFFF"/>
          <w:lang w:val="zh-CN"/>
        </w:rPr>
        <w:t>1</w:t>
      </w:r>
      <w:r>
        <w:rPr>
          <w:rFonts w:hint="eastAsia" w:ascii="仿宋" w:hAnsi="仿宋" w:eastAsia="仿宋" w:cs="仿宋"/>
          <w:color w:val="000000"/>
          <w:kern w:val="0"/>
          <w:sz w:val="32"/>
          <w:szCs w:val="32"/>
          <w:highlight w:val="none"/>
          <w:shd w:val="clear" w:color="auto" w:fill="FFFFFF"/>
          <w:lang w:val="zh-CN" w:eastAsia="zh-CN"/>
        </w:rPr>
        <w:t>—</w:t>
      </w:r>
      <w:r>
        <w:rPr>
          <w:rFonts w:hint="eastAsia" w:ascii="仿宋" w:hAnsi="仿宋" w:eastAsia="仿宋" w:cs="仿宋"/>
          <w:color w:val="000000"/>
          <w:kern w:val="0"/>
          <w:sz w:val="32"/>
          <w:szCs w:val="32"/>
          <w:highlight w:val="none"/>
          <w:shd w:val="clear" w:color="auto" w:fill="FFFFFF"/>
          <w:lang w:val="zh-CN"/>
        </w:rPr>
        <w:t>1</w:t>
      </w:r>
      <w:r>
        <w:rPr>
          <w:rFonts w:hint="eastAsia" w:ascii="仿宋" w:hAnsi="仿宋" w:eastAsia="仿宋" w:cs="仿宋"/>
          <w:color w:val="000000"/>
          <w:kern w:val="0"/>
          <w:sz w:val="32"/>
          <w:szCs w:val="32"/>
          <w:highlight w:val="none"/>
          <w:shd w:val="clear" w:color="auto" w:fill="FFFFFF"/>
          <w:lang w:val="en-US" w:eastAsia="zh-CN"/>
        </w:rPr>
        <w:t>2</w:t>
      </w:r>
      <w:r>
        <w:rPr>
          <w:rFonts w:hint="eastAsia" w:ascii="仿宋" w:hAnsi="仿宋" w:eastAsia="仿宋" w:cs="仿宋"/>
          <w:color w:val="000000"/>
          <w:kern w:val="0"/>
          <w:sz w:val="32"/>
          <w:szCs w:val="32"/>
          <w:highlight w:val="none"/>
          <w:shd w:val="clear" w:color="auto" w:fill="FFFFFF"/>
          <w:lang w:val="zh-CN"/>
        </w:rPr>
        <w:t>月预算执行总体进度为</w:t>
      </w:r>
      <w:r>
        <w:rPr>
          <w:rFonts w:hint="eastAsia" w:ascii="仿宋" w:hAnsi="仿宋" w:eastAsia="仿宋" w:cs="仿宋"/>
          <w:color w:val="000000"/>
          <w:kern w:val="0"/>
          <w:sz w:val="32"/>
          <w:szCs w:val="32"/>
          <w:highlight w:val="none"/>
          <w:shd w:val="clear" w:color="auto" w:fill="FFFFFF"/>
          <w:lang w:val="en-US" w:eastAsia="zh-CN"/>
        </w:rPr>
        <w:t xml:space="preserve"> 100 </w:t>
      </w:r>
      <w:r>
        <w:rPr>
          <w:rFonts w:hint="eastAsia" w:ascii="仿宋" w:hAnsi="仿宋" w:eastAsia="仿宋" w:cs="仿宋"/>
          <w:color w:val="000000"/>
          <w:kern w:val="0"/>
          <w:sz w:val="32"/>
          <w:szCs w:val="32"/>
          <w:highlight w:val="none"/>
          <w:shd w:val="clear" w:color="auto" w:fill="FFFFFF"/>
          <w:lang w:val="zh-CN"/>
        </w:rPr>
        <w:t>%，其中：</w:t>
      </w:r>
      <w:r>
        <w:rPr>
          <w:rFonts w:hint="eastAsia" w:ascii="仿宋" w:hAnsi="仿宋" w:eastAsia="仿宋" w:cs="仿宋"/>
          <w:color w:val="000000"/>
          <w:kern w:val="0"/>
          <w:sz w:val="32"/>
          <w:szCs w:val="32"/>
          <w:highlight w:val="none"/>
          <w:shd w:val="clear" w:color="auto" w:fill="FFFFFF"/>
          <w:lang w:val="zh-CN" w:eastAsia="zh-CN"/>
        </w:rPr>
        <w:t>预算结余率大于</w:t>
      </w:r>
      <w:r>
        <w:rPr>
          <w:rFonts w:hint="eastAsia" w:ascii="仿宋" w:hAnsi="仿宋" w:eastAsia="仿宋" w:cs="仿宋"/>
          <w:color w:val="000000"/>
          <w:kern w:val="0"/>
          <w:sz w:val="32"/>
          <w:szCs w:val="32"/>
          <w:highlight w:val="none"/>
          <w:shd w:val="clear" w:color="auto" w:fill="FFFFFF"/>
          <w:lang w:val="en-US" w:eastAsia="zh-CN"/>
        </w:rPr>
        <w:t>10%</w:t>
      </w:r>
      <w:r>
        <w:rPr>
          <w:rFonts w:hint="eastAsia" w:ascii="仿宋" w:hAnsi="仿宋" w:eastAsia="仿宋" w:cs="仿宋"/>
          <w:color w:val="000000"/>
          <w:kern w:val="0"/>
          <w:sz w:val="32"/>
          <w:szCs w:val="32"/>
          <w:highlight w:val="none"/>
          <w:shd w:val="clear" w:color="auto" w:fill="FFFFFF"/>
          <w:lang w:val="zh-CN" w:eastAsia="zh-CN"/>
        </w:rPr>
        <w:t>的项目共计</w:t>
      </w:r>
      <w:r>
        <w:rPr>
          <w:rFonts w:hint="eastAsia" w:ascii="仿宋" w:hAnsi="仿宋" w:eastAsia="仿宋" w:cs="仿宋"/>
          <w:color w:val="000000"/>
          <w:kern w:val="0"/>
          <w:sz w:val="32"/>
          <w:szCs w:val="32"/>
          <w:highlight w:val="none"/>
          <w:shd w:val="clear" w:color="auto" w:fill="FFFFFF"/>
          <w:lang w:val="en-US" w:eastAsia="zh-CN"/>
        </w:rPr>
        <w:t xml:space="preserve"> 0  </w:t>
      </w:r>
      <w:r>
        <w:rPr>
          <w:rFonts w:hint="eastAsia" w:ascii="仿宋" w:hAnsi="仿宋" w:eastAsia="仿宋" w:cs="仿宋"/>
          <w:color w:val="000000"/>
          <w:kern w:val="0"/>
          <w:sz w:val="32"/>
          <w:szCs w:val="32"/>
          <w:highlight w:val="none"/>
          <w:shd w:val="clear" w:color="auto" w:fill="FFFFFF"/>
          <w:lang w:val="zh-CN" w:eastAsia="zh-CN"/>
        </w:rPr>
        <w:t>个。</w:t>
      </w:r>
    </w:p>
    <w:p w14:paraId="207C90D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zh-CN"/>
        </w:rPr>
      </w:pPr>
      <w:bookmarkStart w:id="72" w:name="_Toc18501"/>
      <w:r>
        <w:rPr>
          <w:rFonts w:hint="eastAsia" w:ascii="仿宋" w:hAnsi="仿宋" w:eastAsia="仿宋" w:cs="仿宋"/>
          <w:color w:val="000000"/>
          <w:kern w:val="0"/>
          <w:sz w:val="32"/>
          <w:szCs w:val="32"/>
          <w:highlight w:val="none"/>
          <w:shd w:val="clear" w:color="auto" w:fill="FFFFFF"/>
          <w:lang w:val="en-US" w:eastAsia="zh-CN"/>
        </w:rPr>
        <w:t>1.</w:t>
      </w:r>
      <w:r>
        <w:rPr>
          <w:rFonts w:hint="eastAsia" w:ascii="仿宋" w:hAnsi="仿宋" w:eastAsia="仿宋" w:cs="仿宋"/>
          <w:color w:val="000000"/>
          <w:kern w:val="0"/>
          <w:sz w:val="32"/>
          <w:szCs w:val="32"/>
          <w:highlight w:val="none"/>
          <w:shd w:val="clear" w:color="auto" w:fill="FFFFFF"/>
          <w:lang w:val="zh-CN"/>
        </w:rPr>
        <w:t>项目决策。（</w:t>
      </w:r>
      <w:r>
        <w:rPr>
          <w:rFonts w:hint="eastAsia" w:ascii="仿宋" w:hAnsi="仿宋" w:eastAsia="仿宋" w:cs="仿宋"/>
          <w:color w:val="000000"/>
          <w:kern w:val="0"/>
          <w:sz w:val="32"/>
          <w:szCs w:val="32"/>
          <w:highlight w:val="none"/>
          <w:shd w:val="clear" w:color="auto" w:fill="FFFFFF"/>
          <w:lang w:val="en-US" w:eastAsia="zh-CN"/>
        </w:rPr>
        <w:t>12分</w:t>
      </w:r>
      <w:r>
        <w:rPr>
          <w:rFonts w:hint="eastAsia" w:ascii="仿宋" w:hAnsi="仿宋" w:eastAsia="仿宋" w:cs="仿宋"/>
          <w:color w:val="000000"/>
          <w:kern w:val="0"/>
          <w:sz w:val="32"/>
          <w:szCs w:val="32"/>
          <w:highlight w:val="none"/>
          <w:shd w:val="clear" w:color="auto" w:fill="FFFFFF"/>
          <w:lang w:val="zh-CN"/>
        </w:rPr>
        <w:t>）</w:t>
      </w:r>
      <w:bookmarkEnd w:id="72"/>
    </w:p>
    <w:p w14:paraId="41DC4D5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围绕决策程序、目标设置、项目入库进行绩效分析。综上，根据评分标准，该项指标，得</w:t>
      </w:r>
      <w:r>
        <w:rPr>
          <w:rFonts w:hint="eastAsia" w:ascii="仿宋" w:hAnsi="仿宋" w:eastAsia="仿宋" w:cs="仿宋"/>
          <w:color w:val="000000"/>
          <w:kern w:val="0"/>
          <w:sz w:val="32"/>
          <w:szCs w:val="32"/>
          <w:highlight w:val="none"/>
          <w:shd w:val="clear" w:color="auto" w:fill="FFFFFF"/>
          <w:lang w:val="en-US" w:eastAsia="zh-CN"/>
        </w:rPr>
        <w:t>12</w:t>
      </w:r>
      <w:r>
        <w:rPr>
          <w:rFonts w:hint="eastAsia" w:ascii="仿宋" w:hAnsi="仿宋" w:eastAsia="仿宋" w:cs="仿宋"/>
          <w:color w:val="000000"/>
          <w:kern w:val="0"/>
          <w:sz w:val="32"/>
          <w:szCs w:val="32"/>
          <w:highlight w:val="none"/>
          <w:shd w:val="clear" w:color="auto" w:fill="FFFFFF"/>
          <w:lang w:val="zh-CN"/>
        </w:rPr>
        <w:t>分。</w:t>
      </w:r>
    </w:p>
    <w:p w14:paraId="0B30448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zh-CN"/>
        </w:rPr>
      </w:pPr>
      <w:bookmarkStart w:id="73" w:name="_Toc18246"/>
      <w:r>
        <w:rPr>
          <w:rFonts w:hint="eastAsia" w:ascii="仿宋" w:hAnsi="仿宋" w:eastAsia="仿宋" w:cs="仿宋"/>
          <w:color w:val="000000"/>
          <w:kern w:val="0"/>
          <w:sz w:val="32"/>
          <w:szCs w:val="32"/>
          <w:highlight w:val="none"/>
          <w:shd w:val="clear" w:color="auto" w:fill="FFFFFF"/>
          <w:lang w:val="en-US" w:eastAsia="zh-CN"/>
        </w:rPr>
        <w:t>2.项目执行</w:t>
      </w:r>
      <w:r>
        <w:rPr>
          <w:rFonts w:hint="eastAsia" w:ascii="仿宋" w:hAnsi="仿宋" w:eastAsia="仿宋" w:cs="仿宋"/>
          <w:color w:val="000000"/>
          <w:kern w:val="0"/>
          <w:sz w:val="32"/>
          <w:szCs w:val="32"/>
          <w:highlight w:val="none"/>
          <w:shd w:val="clear" w:color="auto" w:fill="FFFFFF"/>
          <w:lang w:val="zh-CN"/>
        </w:rPr>
        <w:t>。（</w:t>
      </w:r>
      <w:r>
        <w:rPr>
          <w:rFonts w:hint="eastAsia" w:ascii="仿宋" w:hAnsi="仿宋" w:eastAsia="仿宋" w:cs="仿宋"/>
          <w:color w:val="000000"/>
          <w:kern w:val="0"/>
          <w:sz w:val="32"/>
          <w:szCs w:val="32"/>
          <w:highlight w:val="none"/>
          <w:shd w:val="clear" w:color="auto" w:fill="FFFFFF"/>
          <w:lang w:val="en-US" w:eastAsia="zh-CN"/>
        </w:rPr>
        <w:t>12分</w:t>
      </w:r>
      <w:r>
        <w:rPr>
          <w:rFonts w:hint="eastAsia" w:ascii="仿宋" w:hAnsi="仿宋" w:eastAsia="仿宋" w:cs="仿宋"/>
          <w:color w:val="000000"/>
          <w:kern w:val="0"/>
          <w:sz w:val="32"/>
          <w:szCs w:val="32"/>
          <w:highlight w:val="none"/>
          <w:shd w:val="clear" w:color="auto" w:fill="FFFFFF"/>
          <w:lang w:val="zh-CN"/>
        </w:rPr>
        <w:t>）围绕资金执行同向、项目调整、执行结果进行绩效分析。综上，根据评分标准，该项指标，得</w:t>
      </w:r>
      <w:r>
        <w:rPr>
          <w:rFonts w:hint="eastAsia" w:ascii="仿宋" w:hAnsi="仿宋" w:eastAsia="仿宋" w:cs="仿宋"/>
          <w:color w:val="000000"/>
          <w:kern w:val="0"/>
          <w:sz w:val="32"/>
          <w:szCs w:val="32"/>
          <w:highlight w:val="none"/>
          <w:shd w:val="clear" w:color="auto" w:fill="FFFFFF"/>
          <w:lang w:val="en-US" w:eastAsia="zh-CN"/>
        </w:rPr>
        <w:t>11</w:t>
      </w:r>
      <w:r>
        <w:rPr>
          <w:rFonts w:hint="eastAsia" w:ascii="仿宋" w:hAnsi="仿宋" w:eastAsia="仿宋" w:cs="仿宋"/>
          <w:color w:val="000000"/>
          <w:kern w:val="0"/>
          <w:sz w:val="32"/>
          <w:szCs w:val="32"/>
          <w:highlight w:val="none"/>
          <w:shd w:val="clear" w:color="auto" w:fill="FFFFFF"/>
          <w:lang w:val="zh-CN"/>
        </w:rPr>
        <w:t>分。</w:t>
      </w:r>
      <w:bookmarkEnd w:id="73"/>
    </w:p>
    <w:p w14:paraId="226734A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en-US" w:eastAsia="zh-CN"/>
        </w:rPr>
      </w:pPr>
      <w:bookmarkStart w:id="74" w:name="_Toc19862"/>
      <w:r>
        <w:rPr>
          <w:rFonts w:hint="eastAsia" w:ascii="仿宋" w:hAnsi="仿宋" w:eastAsia="仿宋" w:cs="仿宋"/>
          <w:color w:val="000000"/>
          <w:kern w:val="0"/>
          <w:sz w:val="32"/>
          <w:szCs w:val="32"/>
          <w:highlight w:val="none"/>
          <w:shd w:val="clear" w:color="auto" w:fill="FFFFFF"/>
          <w:lang w:val="en-US" w:eastAsia="zh-CN"/>
        </w:rPr>
        <w:t>3.</w:t>
      </w:r>
      <w:r>
        <w:rPr>
          <w:rFonts w:hint="eastAsia" w:ascii="仿宋" w:hAnsi="仿宋" w:eastAsia="仿宋" w:cs="仿宋"/>
          <w:color w:val="000000"/>
          <w:kern w:val="0"/>
          <w:sz w:val="32"/>
          <w:szCs w:val="32"/>
          <w:highlight w:val="none"/>
          <w:shd w:val="clear" w:color="auto" w:fill="FFFFFF"/>
          <w:lang w:val="zh-CN"/>
        </w:rPr>
        <w:t>目标实现。（</w:t>
      </w:r>
      <w:r>
        <w:rPr>
          <w:rFonts w:hint="eastAsia" w:ascii="仿宋" w:hAnsi="仿宋" w:eastAsia="仿宋" w:cs="仿宋"/>
          <w:color w:val="000000"/>
          <w:kern w:val="0"/>
          <w:sz w:val="32"/>
          <w:szCs w:val="32"/>
          <w:highlight w:val="none"/>
          <w:shd w:val="clear" w:color="auto" w:fill="FFFFFF"/>
          <w:lang w:val="en-US" w:eastAsia="zh-CN"/>
        </w:rPr>
        <w:t>11分</w:t>
      </w:r>
      <w:r>
        <w:rPr>
          <w:rFonts w:hint="eastAsia" w:ascii="仿宋" w:hAnsi="仿宋" w:eastAsia="仿宋" w:cs="仿宋"/>
          <w:color w:val="000000"/>
          <w:kern w:val="0"/>
          <w:sz w:val="32"/>
          <w:szCs w:val="32"/>
          <w:highlight w:val="none"/>
          <w:shd w:val="clear" w:color="auto" w:fill="FFFFFF"/>
          <w:lang w:val="zh-CN"/>
        </w:rPr>
        <w:t>）围绕目标完成、目标偏离、实现效果进行绩效分析。综上，根据评分标准，该项指标，得</w:t>
      </w:r>
      <w:r>
        <w:rPr>
          <w:rFonts w:hint="eastAsia" w:ascii="仿宋" w:hAnsi="仿宋" w:eastAsia="仿宋" w:cs="仿宋"/>
          <w:color w:val="000000"/>
          <w:kern w:val="0"/>
          <w:sz w:val="32"/>
          <w:szCs w:val="32"/>
          <w:highlight w:val="none"/>
          <w:shd w:val="clear" w:color="auto" w:fill="FFFFFF"/>
          <w:lang w:val="en-US" w:eastAsia="zh-CN"/>
        </w:rPr>
        <w:t>10</w:t>
      </w:r>
      <w:r>
        <w:rPr>
          <w:rFonts w:hint="eastAsia" w:ascii="仿宋" w:hAnsi="仿宋" w:eastAsia="仿宋" w:cs="仿宋"/>
          <w:color w:val="000000"/>
          <w:kern w:val="0"/>
          <w:sz w:val="32"/>
          <w:szCs w:val="32"/>
          <w:highlight w:val="none"/>
          <w:shd w:val="clear" w:color="auto" w:fill="FFFFFF"/>
          <w:lang w:val="zh-CN"/>
        </w:rPr>
        <w:t>分。</w:t>
      </w:r>
      <w:bookmarkEnd w:id="74"/>
    </w:p>
    <w:p w14:paraId="49E1A01F">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b/>
          <w:bCs/>
          <w:color w:val="000000"/>
          <w:kern w:val="0"/>
          <w:sz w:val="32"/>
          <w:szCs w:val="32"/>
          <w:highlight w:val="none"/>
          <w:shd w:val="clear" w:color="auto" w:fill="FFFFFF"/>
          <w:lang w:val="zh-CN"/>
        </w:rPr>
        <w:t>（三）</w:t>
      </w:r>
      <w:r>
        <w:rPr>
          <w:rFonts w:hint="eastAsia" w:ascii="仿宋" w:hAnsi="仿宋" w:eastAsia="仿宋" w:cs="仿宋"/>
          <w:b/>
          <w:bCs/>
          <w:color w:val="000000"/>
          <w:kern w:val="0"/>
          <w:sz w:val="32"/>
          <w:szCs w:val="32"/>
          <w:highlight w:val="none"/>
          <w:shd w:val="clear" w:color="auto" w:fill="FFFFFF"/>
          <w:lang w:val="zh-CN" w:eastAsia="zh-CN"/>
        </w:rPr>
        <w:t>重点领域</w:t>
      </w:r>
      <w:r>
        <w:rPr>
          <w:rFonts w:hint="eastAsia" w:ascii="仿宋" w:hAnsi="仿宋" w:eastAsia="仿宋" w:cs="仿宋"/>
          <w:b/>
          <w:bCs/>
          <w:color w:val="000000"/>
          <w:kern w:val="0"/>
          <w:sz w:val="32"/>
          <w:szCs w:val="32"/>
          <w:highlight w:val="none"/>
          <w:shd w:val="clear" w:color="auto" w:fill="FFFFFF"/>
          <w:lang w:val="zh-CN"/>
        </w:rPr>
        <w:t>绩效分析</w:t>
      </w:r>
      <w:r>
        <w:rPr>
          <w:rFonts w:hint="eastAsia" w:ascii="仿宋" w:hAnsi="仿宋" w:eastAsia="仿宋" w:cs="仿宋"/>
          <w:b/>
          <w:bCs/>
          <w:color w:val="000000"/>
          <w:kern w:val="0"/>
          <w:sz w:val="32"/>
          <w:szCs w:val="32"/>
          <w:highlight w:val="none"/>
          <w:shd w:val="clear" w:color="auto" w:fill="FFFFFF"/>
          <w:lang w:val="zh-CN" w:eastAsia="zh-CN"/>
        </w:rPr>
        <w:t>。</w:t>
      </w:r>
      <w:r>
        <w:rPr>
          <w:rFonts w:hint="eastAsia" w:ascii="仿宋" w:hAnsi="仿宋" w:eastAsia="仿宋" w:cs="仿宋"/>
          <w:sz w:val="32"/>
          <w:szCs w:val="32"/>
          <w:highlight w:val="none"/>
          <w:u w:val="none"/>
          <w:lang w:eastAsia="zh-CN"/>
        </w:rPr>
        <w:t>无</w:t>
      </w:r>
    </w:p>
    <w:p w14:paraId="35C04769">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eastAsia" w:ascii="仿宋" w:hAnsi="仿宋" w:eastAsia="仿宋" w:cs="仿宋"/>
          <w:b/>
          <w:bCs w:val="0"/>
          <w:sz w:val="32"/>
          <w:szCs w:val="32"/>
        </w:rPr>
      </w:pPr>
      <w:r>
        <w:rPr>
          <w:rFonts w:hint="eastAsia" w:ascii="仿宋" w:hAnsi="仿宋" w:eastAsia="仿宋" w:cs="仿宋"/>
          <w:b/>
          <w:bCs/>
          <w:sz w:val="32"/>
          <w:szCs w:val="32"/>
          <w:lang w:val="zh-CN"/>
        </w:rPr>
        <w:t>（四）绩效结果应用情况。</w:t>
      </w:r>
      <w:r>
        <w:rPr>
          <w:rFonts w:hint="eastAsia" w:ascii="仿宋" w:hAnsi="仿宋" w:eastAsia="仿宋" w:cs="仿宋"/>
          <w:color w:val="000000"/>
          <w:kern w:val="0"/>
          <w:sz w:val="32"/>
          <w:szCs w:val="32"/>
          <w:highlight w:val="none"/>
          <w:shd w:val="clear" w:color="auto" w:fill="FFFFFF"/>
          <w:lang w:val="zh-CN" w:eastAsia="zh-CN"/>
        </w:rPr>
        <w:t>无</w:t>
      </w:r>
    </w:p>
    <w:p w14:paraId="20FA8C25">
      <w:pPr>
        <w:keepNext w:val="0"/>
        <w:keepLines w:val="0"/>
        <w:pageBreakBefore w:val="0"/>
        <w:widowControl/>
        <w:kinsoku/>
        <w:wordWrap/>
        <w:overflowPunct/>
        <w:topLinePunct w:val="0"/>
        <w:autoSpaceDE/>
        <w:autoSpaceDN/>
        <w:bidi w:val="0"/>
        <w:adjustRightInd w:val="0"/>
        <w:snapToGrid w:val="0"/>
        <w:spacing w:line="578" w:lineRule="exact"/>
        <w:ind w:firstLine="960" w:firstLineChars="300"/>
        <w:contextualSpacing/>
        <w:jc w:val="left"/>
        <w:textAlignment w:val="auto"/>
        <w:outlineLvl w:val="0"/>
        <w:rPr>
          <w:rFonts w:hint="eastAsia" w:ascii="仿宋" w:hAnsi="仿宋" w:eastAsia="仿宋" w:cs="仿宋"/>
          <w:color w:val="000000"/>
          <w:kern w:val="0"/>
          <w:sz w:val="32"/>
          <w:szCs w:val="32"/>
          <w:highlight w:val="none"/>
          <w:shd w:val="clear" w:color="auto" w:fill="FFFFFF"/>
        </w:rPr>
      </w:pPr>
      <w:bookmarkStart w:id="75" w:name="_Toc27805"/>
      <w:bookmarkStart w:id="76" w:name="_Toc20037"/>
      <w:bookmarkStart w:id="77" w:name="_Toc25439"/>
      <w:bookmarkStart w:id="78" w:name="_Toc2142"/>
      <w:bookmarkStart w:id="79" w:name="_Toc20818"/>
      <w:r>
        <w:rPr>
          <w:rFonts w:hint="eastAsia" w:ascii="仿宋" w:hAnsi="仿宋" w:eastAsia="仿宋" w:cs="仿宋"/>
          <w:color w:val="000000"/>
          <w:kern w:val="0"/>
          <w:sz w:val="32"/>
          <w:szCs w:val="32"/>
          <w:highlight w:val="none"/>
          <w:shd w:val="clear" w:color="auto" w:fill="FFFFFF"/>
          <w:lang w:eastAsia="zh-CN"/>
        </w:rPr>
        <w:t>四、</w:t>
      </w:r>
      <w:r>
        <w:rPr>
          <w:rFonts w:hint="eastAsia" w:ascii="仿宋" w:hAnsi="仿宋" w:eastAsia="仿宋" w:cs="仿宋"/>
          <w:color w:val="000000"/>
          <w:kern w:val="0"/>
          <w:sz w:val="32"/>
          <w:szCs w:val="32"/>
          <w:highlight w:val="none"/>
          <w:shd w:val="clear" w:color="auto" w:fill="FFFFFF"/>
        </w:rPr>
        <w:t>评价结论及建议</w:t>
      </w:r>
      <w:bookmarkEnd w:id="75"/>
      <w:bookmarkEnd w:id="76"/>
      <w:bookmarkEnd w:id="77"/>
      <w:bookmarkEnd w:id="78"/>
      <w:bookmarkEnd w:id="79"/>
    </w:p>
    <w:p w14:paraId="7A62D5EC">
      <w:pPr>
        <w:widowControl/>
        <w:adjustRightInd w:val="0"/>
        <w:snapToGrid w:val="0"/>
        <w:spacing w:line="52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（一）评价结论。</w:t>
      </w:r>
    </w:p>
    <w:p w14:paraId="1A91AFA9">
      <w:pPr>
        <w:widowControl/>
        <w:spacing w:line="520" w:lineRule="exact"/>
        <w:ind w:firstLine="640" w:firstLineChars="200"/>
        <w:rPr>
          <w:rFonts w:hint="eastAsia" w:ascii="仿宋" w:hAnsi="仿宋" w:eastAsia="仿宋" w:cs="仿宋"/>
          <w:color w:val="000000"/>
          <w:kern w:val="0"/>
          <w:sz w:val="32"/>
          <w:szCs w:val="32"/>
          <w:lang w:val="zh-CN"/>
        </w:rPr>
      </w:pPr>
      <w:r>
        <w:rPr>
          <w:rFonts w:hint="eastAsia" w:ascii="仿宋" w:hAnsi="仿宋" w:eastAsia="仿宋" w:cs="仿宋"/>
          <w:color w:val="000000"/>
          <w:sz w:val="32"/>
          <w:szCs w:val="32"/>
        </w:rPr>
        <w:t>经过认真开展单位</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年部门整体支出绩效评价工作，</w:t>
      </w:r>
      <w:r>
        <w:rPr>
          <w:rFonts w:hint="eastAsia" w:ascii="仿宋" w:hAnsi="仿宋" w:eastAsia="仿宋" w:cs="仿宋"/>
          <w:color w:val="000000"/>
          <w:sz w:val="32"/>
          <w:szCs w:val="32"/>
        </w:rPr>
        <w:t>绩效自评综合为良好。</w:t>
      </w:r>
    </w:p>
    <w:p w14:paraId="46F7585E">
      <w:pPr>
        <w:widowControl/>
        <w:adjustRightInd w:val="0"/>
        <w:snapToGrid w:val="0"/>
        <w:spacing w:line="52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（二）存在问题。</w:t>
      </w:r>
    </w:p>
    <w:p w14:paraId="6B27B1A2">
      <w:pPr>
        <w:spacing w:line="520" w:lineRule="exact"/>
        <w:ind w:firstLine="640" w:firstLineChars="200"/>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1.评价结果应用的配套机制不完善 </w:t>
      </w:r>
    </w:p>
    <w:p w14:paraId="54EC33D9">
      <w:pPr>
        <w:spacing w:line="520" w:lineRule="exact"/>
        <w:ind w:firstLine="640" w:firstLineChars="200"/>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 xml:space="preserve">财政支出及其结果应用体系缺乏强有力的配套措施。项目实际绩效信息的收集机制，绩效责任落实机制，绩效反馈机制，沟通申诉机制等方面的配套机制严重不足。项目绩效信息收集机制不完善，奖惩机制缺乏。 </w:t>
      </w:r>
    </w:p>
    <w:p w14:paraId="029DA7F0">
      <w:pPr>
        <w:spacing w:line="520" w:lineRule="exact"/>
        <w:ind w:firstLine="640" w:firstLineChars="200"/>
        <w:rPr>
          <w:rFonts w:hint="eastAsia" w:ascii="仿宋" w:hAnsi="仿宋" w:eastAsia="仿宋" w:cs="仿宋"/>
          <w:sz w:val="32"/>
          <w:szCs w:val="32"/>
        </w:rPr>
      </w:pPr>
      <w:r>
        <w:rPr>
          <w:rFonts w:hint="eastAsia" w:ascii="仿宋" w:hAnsi="仿宋" w:eastAsia="仿宋" w:cs="仿宋"/>
          <w:color w:val="333333"/>
          <w:sz w:val="32"/>
          <w:szCs w:val="32"/>
          <w:shd w:val="clear" w:color="auto" w:fill="FFFFFF"/>
        </w:rPr>
        <w:t>2. 缺乏专业人员和绩效评价经验。</w:t>
      </w:r>
    </w:p>
    <w:p w14:paraId="72F12B90">
      <w:pPr>
        <w:widowControl/>
        <w:adjustRightInd w:val="0"/>
        <w:snapToGrid w:val="0"/>
        <w:spacing w:line="520" w:lineRule="exact"/>
        <w:ind w:firstLine="720"/>
        <w:jc w:val="left"/>
        <w:rPr>
          <w:rFonts w:hint="eastAsia" w:ascii="仿宋" w:hAnsi="仿宋" w:eastAsia="仿宋" w:cs="仿宋"/>
          <w:b/>
          <w:color w:val="000000"/>
          <w:kern w:val="0"/>
          <w:sz w:val="32"/>
          <w:szCs w:val="32"/>
          <w:lang w:val="zh-CN"/>
        </w:rPr>
      </w:pPr>
      <w:r>
        <w:rPr>
          <w:rFonts w:hint="eastAsia" w:ascii="仿宋" w:hAnsi="仿宋" w:eastAsia="仿宋" w:cs="仿宋"/>
          <w:color w:val="000000"/>
          <w:kern w:val="0"/>
          <w:sz w:val="32"/>
          <w:szCs w:val="32"/>
          <w:lang w:val="zh-CN"/>
        </w:rPr>
        <w:t>（</w:t>
      </w:r>
      <w:r>
        <w:rPr>
          <w:rFonts w:hint="eastAsia" w:ascii="仿宋" w:hAnsi="仿宋" w:eastAsia="仿宋" w:cs="仿宋"/>
          <w:color w:val="000000"/>
          <w:kern w:val="0"/>
          <w:sz w:val="32"/>
          <w:szCs w:val="32"/>
          <w:lang w:val="zh-CN" w:eastAsia="zh-CN"/>
        </w:rPr>
        <w:t>三</w:t>
      </w:r>
      <w:r>
        <w:rPr>
          <w:rFonts w:hint="eastAsia" w:ascii="仿宋" w:hAnsi="仿宋" w:eastAsia="仿宋" w:cs="仿宋"/>
          <w:color w:val="000000"/>
          <w:kern w:val="0"/>
          <w:sz w:val="32"/>
          <w:szCs w:val="32"/>
          <w:lang w:val="zh-CN"/>
        </w:rPr>
        <w:t>）整改措施建议</w:t>
      </w:r>
      <w:r>
        <w:rPr>
          <w:rFonts w:hint="eastAsia" w:ascii="仿宋" w:hAnsi="仿宋" w:eastAsia="仿宋" w:cs="仿宋"/>
          <w:b/>
          <w:color w:val="000000"/>
          <w:kern w:val="0"/>
          <w:sz w:val="32"/>
          <w:szCs w:val="32"/>
          <w:lang w:val="zh-CN"/>
        </w:rPr>
        <w:t>。</w:t>
      </w:r>
    </w:p>
    <w:p w14:paraId="584C6090">
      <w:pPr>
        <w:widowControl/>
        <w:adjustRightInd w:val="0"/>
        <w:snapToGrid w:val="0"/>
        <w:spacing w:line="520" w:lineRule="exact"/>
        <w:ind w:firstLine="720"/>
        <w:jc w:val="left"/>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1.全面推行预算绩效管理及预算绩效评价结果的有效运用是自上而下和自下而上相结合的过程。因此，领导的重视和推动对于能否取得预期成效是十分关键的，尤其在起步阶段，这一因素往往具有决定性作用。</w:t>
      </w:r>
    </w:p>
    <w:p w14:paraId="1B81F3B0">
      <w:pPr>
        <w:widowControl/>
        <w:adjustRightInd w:val="0"/>
        <w:snapToGrid w:val="0"/>
        <w:spacing w:line="520" w:lineRule="exact"/>
        <w:ind w:firstLine="720"/>
        <w:jc w:val="left"/>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2.完善绩效评价结果应用的制度建设，包括建立评价结果公开制度、评价责任与申诉机制、反馈与整改机制、绩效问责机制等几个方面。</w:t>
      </w:r>
    </w:p>
    <w:p w14:paraId="33308B3F">
      <w:pPr>
        <w:widowControl/>
        <w:adjustRightInd w:val="0"/>
        <w:snapToGrid w:val="0"/>
        <w:spacing w:line="520" w:lineRule="exact"/>
        <w:ind w:firstLine="720"/>
        <w:jc w:val="left"/>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3.加强培训力度，使用专业人员。</w:t>
      </w:r>
    </w:p>
    <w:p w14:paraId="108493C1">
      <w:pPr>
        <w:widowControl/>
        <w:adjustRightInd w:val="0"/>
        <w:snapToGrid w:val="0"/>
        <w:spacing w:line="520" w:lineRule="exact"/>
        <w:ind w:firstLine="720"/>
        <w:jc w:val="left"/>
        <w:rPr>
          <w:rFonts w:hint="eastAsia" w:ascii="仿宋" w:hAnsi="仿宋" w:eastAsia="仿宋" w:cs="仿宋"/>
          <w:color w:val="333333"/>
          <w:sz w:val="32"/>
          <w:szCs w:val="32"/>
          <w:shd w:val="clear" w:color="auto" w:fill="FFFFFF"/>
        </w:rPr>
      </w:pPr>
    </w:p>
    <w:p w14:paraId="72E6116B">
      <w:pPr>
        <w:widowControl/>
        <w:adjustRightInd w:val="0"/>
        <w:snapToGrid w:val="0"/>
        <w:spacing w:line="520" w:lineRule="exact"/>
        <w:ind w:firstLine="720"/>
        <w:jc w:val="left"/>
        <w:rPr>
          <w:rFonts w:hint="eastAsia" w:ascii="仿宋" w:hAnsi="仿宋" w:eastAsia="仿宋" w:cs="仿宋"/>
          <w:color w:val="333333"/>
          <w:sz w:val="32"/>
          <w:szCs w:val="32"/>
          <w:shd w:val="clear" w:color="auto" w:fill="FFFFFF"/>
        </w:rPr>
      </w:pPr>
    </w:p>
    <w:p w14:paraId="728CB211">
      <w:pPr>
        <w:widowControl/>
        <w:adjustRightInd w:val="0"/>
        <w:snapToGrid w:val="0"/>
        <w:spacing w:line="520" w:lineRule="exact"/>
        <w:ind w:firstLine="720"/>
        <w:jc w:val="left"/>
        <w:rPr>
          <w:rFonts w:hint="eastAsia" w:ascii="仿宋" w:hAnsi="仿宋" w:eastAsia="仿宋" w:cs="仿宋"/>
          <w:color w:val="333333"/>
          <w:sz w:val="32"/>
          <w:szCs w:val="32"/>
          <w:shd w:val="clear" w:color="auto" w:fill="FFFFFF"/>
        </w:rPr>
      </w:pPr>
    </w:p>
    <w:p w14:paraId="5634527B">
      <w:pPr>
        <w:widowControl/>
        <w:adjustRightInd w:val="0"/>
        <w:snapToGrid w:val="0"/>
        <w:spacing w:line="520" w:lineRule="exact"/>
        <w:ind w:firstLine="720"/>
        <w:jc w:val="left"/>
        <w:rPr>
          <w:rFonts w:asciiTheme="minorHAnsi" w:hAnsiTheme="minorEastAsia" w:eastAsiaTheme="minorEastAsia"/>
          <w:color w:val="333333"/>
          <w:szCs w:val="32"/>
          <w:shd w:val="clear" w:color="auto" w:fill="FFFFFF"/>
        </w:rPr>
      </w:pPr>
    </w:p>
    <w:p w14:paraId="4DADF9D9">
      <w:pPr>
        <w:widowControl/>
        <w:adjustRightInd w:val="0"/>
        <w:snapToGrid w:val="0"/>
        <w:spacing w:line="520" w:lineRule="exact"/>
        <w:ind w:firstLine="720"/>
        <w:jc w:val="left"/>
        <w:rPr>
          <w:rFonts w:asciiTheme="minorHAnsi" w:hAnsiTheme="minorEastAsia" w:eastAsiaTheme="minorEastAsia"/>
          <w:color w:val="333333"/>
          <w:szCs w:val="32"/>
          <w:shd w:val="clear" w:color="auto" w:fill="FFFFFF"/>
        </w:rPr>
      </w:pPr>
    </w:p>
    <w:p w14:paraId="5D4A0ED4">
      <w:pPr>
        <w:widowControl/>
        <w:adjustRightInd w:val="0"/>
        <w:snapToGrid w:val="0"/>
        <w:spacing w:line="520" w:lineRule="exact"/>
        <w:ind w:firstLine="720"/>
        <w:jc w:val="left"/>
        <w:rPr>
          <w:rFonts w:cs="宋体" w:asciiTheme="minorEastAsia" w:hAnsiTheme="minorEastAsia" w:eastAsiaTheme="minorEastAsia"/>
          <w:color w:val="000000"/>
          <w:kern w:val="0"/>
          <w:szCs w:val="32"/>
        </w:rPr>
      </w:pPr>
      <w:r>
        <w:rPr>
          <w:rFonts w:hint="eastAsia" w:asciiTheme="minorHAnsi" w:hAnsiTheme="minorEastAsia" w:eastAsiaTheme="minorEastAsia"/>
          <w:color w:val="333333"/>
          <w:szCs w:val="32"/>
          <w:shd w:val="clear" w:color="auto" w:fill="FFFFFF"/>
        </w:rPr>
        <w:t xml:space="preserve">                 </w:t>
      </w:r>
    </w:p>
    <w:p w14:paraId="4A96A8D1">
      <w:pPr>
        <w:ind w:firstLine="640" w:firstLineChars="200"/>
        <w:rPr>
          <w:rFonts w:hint="default" w:ascii="Times New Roman" w:hAnsi="Times New Roman" w:cs="Times New Roman" w:eastAsiaTheme="minorEastAsia"/>
          <w:sz w:val="32"/>
          <w:szCs w:val="32"/>
          <w:lang w:val="zh-CN"/>
        </w:rPr>
      </w:pPr>
      <w:r>
        <w:rPr>
          <w:rFonts w:hint="default" w:ascii="Times New Roman" w:hAnsi="Times New Roman" w:cs="Times New Roman" w:eastAsiaTheme="minorEastAsia"/>
          <w:sz w:val="32"/>
          <w:szCs w:val="32"/>
          <w:lang w:val="zh-CN"/>
        </w:rPr>
        <w:t>附表：</w:t>
      </w:r>
      <w:r>
        <w:rPr>
          <w:rFonts w:hint="default" w:ascii="Times New Roman" w:hAnsi="Times New Roman" w:cs="Times New Roman" w:eastAsiaTheme="minorEastAsia"/>
          <w:sz w:val="32"/>
          <w:szCs w:val="32"/>
        </w:rPr>
        <w:t>部门</w:t>
      </w:r>
      <w:r>
        <w:rPr>
          <w:rFonts w:hint="default" w:ascii="Times New Roman" w:hAnsi="Times New Roman" w:cs="Times New Roman" w:eastAsiaTheme="minorEastAsia"/>
          <w:sz w:val="32"/>
          <w:szCs w:val="32"/>
          <w:lang w:val="zh-CN"/>
        </w:rPr>
        <w:t>预算项目支出绩效自评表（</w:t>
      </w:r>
      <w:r>
        <w:rPr>
          <w:rFonts w:hint="eastAsia" w:cs="Times New Roman" w:eastAsiaTheme="minorEastAsia"/>
          <w:sz w:val="32"/>
          <w:szCs w:val="32"/>
          <w:lang w:val="zh-CN"/>
        </w:rPr>
        <w:t>2024</w:t>
      </w:r>
      <w:r>
        <w:rPr>
          <w:rFonts w:hint="default" w:ascii="Times New Roman" w:hAnsi="Times New Roman" w:cs="Times New Roman" w:eastAsiaTheme="minorEastAsia"/>
          <w:sz w:val="32"/>
          <w:szCs w:val="32"/>
          <w:lang w:val="zh-CN"/>
        </w:rPr>
        <w:t>年度）</w:t>
      </w: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7"/>
        <w:gridCol w:w="1194"/>
        <w:gridCol w:w="1196"/>
        <w:gridCol w:w="1831"/>
        <w:gridCol w:w="955"/>
        <w:gridCol w:w="1114"/>
        <w:gridCol w:w="715"/>
        <w:gridCol w:w="564"/>
      </w:tblGrid>
      <w:tr w14:paraId="250EB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8"/>
            <w:tcBorders>
              <w:top w:val="nil"/>
              <w:left w:val="nil"/>
              <w:bottom w:val="nil"/>
              <w:right w:val="nil"/>
            </w:tcBorders>
            <w:shd w:val="clear" w:color="auto" w:fill="auto"/>
            <w:vAlign w:val="center"/>
          </w:tcPr>
          <w:p w14:paraId="3FF21CC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部门整体支出绩效自评表</w:t>
            </w:r>
          </w:p>
        </w:tc>
      </w:tr>
      <w:tr w14:paraId="20853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8"/>
            <w:tcBorders>
              <w:top w:val="nil"/>
              <w:left w:val="nil"/>
              <w:bottom w:val="nil"/>
              <w:right w:val="nil"/>
            </w:tcBorders>
            <w:shd w:val="clear" w:color="auto" w:fill="auto"/>
            <w:vAlign w:val="center"/>
          </w:tcPr>
          <w:p w14:paraId="289C9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2024</w:t>
            </w:r>
            <w:r>
              <w:rPr>
                <w:rFonts w:ascii="宋体" w:hAnsi="宋体" w:eastAsia="宋体" w:cs="宋体"/>
                <w:i w:val="0"/>
                <w:iCs w:val="0"/>
                <w:color w:val="000000"/>
                <w:kern w:val="0"/>
                <w:sz w:val="18"/>
                <w:szCs w:val="18"/>
                <w:u w:val="none"/>
                <w:lang w:val="en-US" w:eastAsia="zh-CN" w:bidi="ar"/>
              </w:rPr>
              <w:t>年度）</w:t>
            </w:r>
          </w:p>
        </w:tc>
      </w:tr>
      <w:tr w14:paraId="29A10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8"/>
            <w:tcBorders>
              <w:top w:val="nil"/>
              <w:left w:val="nil"/>
              <w:bottom w:val="single" w:color="000000" w:sz="4" w:space="0"/>
              <w:right w:val="nil"/>
            </w:tcBorders>
            <w:shd w:val="clear" w:color="auto" w:fill="auto"/>
            <w:vAlign w:val="center"/>
          </w:tcPr>
          <w:p w14:paraId="6F972D2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36263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1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512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1A8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人民政府办公室部门</w:t>
            </w:r>
          </w:p>
        </w:tc>
      </w:tr>
      <w:tr w14:paraId="56265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AED0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B3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1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E1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14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AB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3117C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D15A2">
            <w:pPr>
              <w:jc w:val="center"/>
              <w:rPr>
                <w:rFonts w:hint="eastAsia" w:ascii="宋体" w:hAnsi="宋体" w:eastAsia="宋体" w:cs="宋体"/>
                <w:i w:val="0"/>
                <w:iCs w:val="0"/>
                <w:color w:val="000000"/>
                <w:sz w:val="18"/>
                <w:szCs w:val="18"/>
                <w:u w:val="none"/>
              </w:rPr>
            </w:pP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D20E0">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1722.32</w:t>
            </w:r>
          </w:p>
        </w:tc>
        <w:tc>
          <w:tcPr>
            <w:tcW w:w="1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124A1">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1722.32</w:t>
            </w:r>
          </w:p>
        </w:tc>
        <w:tc>
          <w:tcPr>
            <w:tcW w:w="14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15F6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r>
      <w:tr w14:paraId="77ADB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5" w:hRule="atLeast"/>
        </w:trPr>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42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444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8976C75">
            <w:pPr>
              <w:keepNext w:val="0"/>
              <w:keepLines w:val="0"/>
              <w:widowControl/>
              <w:suppressLineNumbers w:val="0"/>
              <w:spacing w:after="180" w:afterAutospacing="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凝聚力量奋进实干，重点工作有序推进。一是全力做好信访维稳，二是着力加强人防建设，应急人防工作有序开展，三是高标准推进外事工作，四是科学规范后勤管理，政务服务体系加快完善；政务信息公开透明，信息报送提质增效，建立健全政务信息考核制度，严格实施奖惩机制，全力做好信息报送工作，推动信息工作科学化、规范化，能够及时、准确、全面的反映政务工作动态，切实保障信息质量。政务系统全面升级。统筹联动突出重点，全力确保政令畅通。一是抓好统筹协调，二是高效完成县委、县政府督查督办事项，创新建立健全督查督办机制，三是围绕县政府中心工作和各个阶段重点工作，深入开展调研活动，四是加强应急值守，坚持执行24小时全日制政务值班制度；外事工作稳步提升，政府采购规范有序，全力做好信访维稳工作，深入基层服务群众，持续巩固脱贫成果，推动乡村振兴。</w:t>
            </w:r>
          </w:p>
        </w:tc>
      </w:tr>
      <w:tr w14:paraId="56986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B8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22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778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3904D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C47E2">
            <w:pPr>
              <w:jc w:val="center"/>
              <w:rPr>
                <w:rFonts w:hint="eastAsia" w:ascii="宋体" w:hAnsi="宋体" w:eastAsia="宋体" w:cs="宋体"/>
                <w:i w:val="0"/>
                <w:iCs w:val="0"/>
                <w:color w:val="000000"/>
                <w:sz w:val="18"/>
                <w:szCs w:val="18"/>
                <w:u w:val="none"/>
              </w:rPr>
            </w:pP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7FB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督促检查</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D455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督促检查县政府各部门和各乡镇人民政府对县政府公文、会议决定事项及县政府领导同志有关指示的执行落实情况跟踪调研，并向县政府领导同志报告。</w:t>
            </w:r>
          </w:p>
        </w:tc>
      </w:tr>
      <w:tr w14:paraId="15700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B35B1">
            <w:pPr>
              <w:jc w:val="center"/>
              <w:rPr>
                <w:rFonts w:hint="eastAsia" w:ascii="宋体" w:hAnsi="宋体" w:eastAsia="宋体" w:cs="宋体"/>
                <w:i w:val="0"/>
                <w:iCs w:val="0"/>
                <w:color w:val="000000"/>
                <w:sz w:val="18"/>
                <w:szCs w:val="18"/>
                <w:u w:val="none"/>
              </w:rPr>
            </w:pP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FE5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指导全县应急管理工作，</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1C48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指导全县应急管理工作，协助县政府领导同志做好需由县政府组织处理的突发事件和重大事故的应急处置工作。</w:t>
            </w:r>
          </w:p>
        </w:tc>
      </w:tr>
      <w:tr w14:paraId="69F48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9DB9C">
            <w:pPr>
              <w:jc w:val="center"/>
              <w:rPr>
                <w:rFonts w:hint="eastAsia" w:ascii="宋体" w:hAnsi="宋体" w:eastAsia="宋体" w:cs="宋体"/>
                <w:i w:val="0"/>
                <w:iCs w:val="0"/>
                <w:color w:val="000000"/>
                <w:sz w:val="18"/>
                <w:szCs w:val="18"/>
                <w:u w:val="none"/>
              </w:rPr>
            </w:pP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51B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指导监督全县政府信息公开工作和机关行政效能建设工作</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9A4D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指导监督全县政府信息公开工作和机关行政效能建设工作，指导监督全县政府系统电子政务工作和政府网站建设。</w:t>
            </w:r>
          </w:p>
        </w:tc>
      </w:tr>
      <w:tr w14:paraId="3702C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01B9D">
            <w:pPr>
              <w:jc w:val="center"/>
              <w:rPr>
                <w:rFonts w:hint="eastAsia" w:ascii="宋体" w:hAnsi="宋体" w:eastAsia="宋体" w:cs="宋体"/>
                <w:i w:val="0"/>
                <w:iCs w:val="0"/>
                <w:color w:val="000000"/>
                <w:sz w:val="18"/>
                <w:szCs w:val="18"/>
                <w:u w:val="none"/>
              </w:rPr>
            </w:pP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F42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组织办理涉及县政府工作的人大代表议案、批评、建议和政协委员提案、建议案工作。</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85E5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组织办理涉及县政府工作的人大代表议案、批评、建议和政协委员提案、建议案工作。</w:t>
            </w:r>
          </w:p>
        </w:tc>
      </w:tr>
      <w:tr w14:paraId="643E6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2651C">
            <w:pPr>
              <w:jc w:val="center"/>
              <w:rPr>
                <w:rFonts w:hint="eastAsia" w:ascii="宋体" w:hAnsi="宋体" w:eastAsia="宋体" w:cs="宋体"/>
                <w:i w:val="0"/>
                <w:iCs w:val="0"/>
                <w:color w:val="000000"/>
                <w:sz w:val="18"/>
                <w:szCs w:val="18"/>
                <w:u w:val="none"/>
              </w:rPr>
            </w:pP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54765">
            <w:pPr>
              <w:jc w:val="left"/>
              <w:rPr>
                <w:rFonts w:hint="eastAsia" w:ascii="宋体" w:hAnsi="宋体" w:eastAsia="宋体" w:cs="宋体"/>
                <w:i w:val="0"/>
                <w:iCs w:val="0"/>
                <w:color w:val="000000"/>
                <w:sz w:val="18"/>
                <w:szCs w:val="18"/>
                <w:u w:val="none"/>
              </w:rPr>
            </w:pP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B4F494">
            <w:pPr>
              <w:jc w:val="left"/>
              <w:rPr>
                <w:rFonts w:hint="eastAsia" w:ascii="宋体" w:hAnsi="宋体" w:eastAsia="宋体" w:cs="宋体"/>
                <w:i w:val="0"/>
                <w:iCs w:val="0"/>
                <w:color w:val="000000"/>
                <w:sz w:val="18"/>
                <w:szCs w:val="18"/>
                <w:u w:val="none"/>
              </w:rPr>
            </w:pPr>
          </w:p>
        </w:tc>
      </w:tr>
      <w:tr w14:paraId="4FB09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56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34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74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AFF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18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FB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7E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1D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42BD5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A199C">
            <w:pPr>
              <w:jc w:val="center"/>
              <w:rPr>
                <w:rFonts w:hint="eastAsia" w:ascii="宋体" w:hAnsi="宋体" w:eastAsia="宋体" w:cs="宋体"/>
                <w:i w:val="0"/>
                <w:iCs w:val="0"/>
                <w:color w:val="000000"/>
                <w:sz w:val="18"/>
                <w:szCs w:val="18"/>
                <w:u w:val="none"/>
              </w:rPr>
            </w:pP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93E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267B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2D7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财政供养人员控制率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3A4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3FB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5FE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06D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7EC1A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A032C">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2F72F">
            <w:pPr>
              <w:jc w:val="left"/>
              <w:rPr>
                <w:rFonts w:hint="eastAsia" w:ascii="宋体" w:hAnsi="宋体" w:eastAsia="宋体" w:cs="宋体"/>
                <w:i w:val="0"/>
                <w:iCs w:val="0"/>
                <w:color w:val="000000"/>
                <w:sz w:val="18"/>
                <w:szCs w:val="18"/>
                <w:u w:val="none"/>
              </w:rPr>
            </w:pPr>
          </w:p>
        </w:tc>
        <w:tc>
          <w:tcPr>
            <w:tcW w:w="7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8B110">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67B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规定时间内完成工作率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E4F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D8B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594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CBB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890F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9D285">
            <w:pPr>
              <w:jc w:val="center"/>
              <w:rPr>
                <w:rFonts w:hint="eastAsia" w:ascii="宋体" w:hAnsi="宋体" w:eastAsia="宋体" w:cs="宋体"/>
                <w:i w:val="0"/>
                <w:iCs w:val="0"/>
                <w:color w:val="000000"/>
                <w:sz w:val="18"/>
                <w:szCs w:val="18"/>
                <w:u w:val="none"/>
              </w:rPr>
            </w:pP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184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6AF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B92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服务质量不断提升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B31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77E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6EF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C51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6CE2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B1DCE">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712C9">
            <w:pPr>
              <w:jc w:val="left"/>
              <w:rPr>
                <w:rFonts w:hint="eastAsia" w:ascii="宋体" w:hAnsi="宋体" w:eastAsia="宋体" w:cs="宋体"/>
                <w:i w:val="0"/>
                <w:iCs w:val="0"/>
                <w:color w:val="000000"/>
                <w:sz w:val="18"/>
                <w:szCs w:val="18"/>
                <w:u w:val="none"/>
              </w:rPr>
            </w:pPr>
          </w:p>
        </w:tc>
        <w:tc>
          <w:tcPr>
            <w:tcW w:w="7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F638F">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3E6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行政后勤工作高效开展</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58B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4EB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56C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E6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208B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19177">
            <w:pPr>
              <w:jc w:val="center"/>
              <w:rPr>
                <w:rFonts w:hint="eastAsia" w:ascii="宋体" w:hAnsi="宋体" w:eastAsia="宋体" w:cs="宋体"/>
                <w:i w:val="0"/>
                <w:iCs w:val="0"/>
                <w:color w:val="000000"/>
                <w:sz w:val="18"/>
                <w:szCs w:val="18"/>
                <w:u w:val="none"/>
              </w:rPr>
            </w:pP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067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005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F56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围绕全县中心工作，服务大局</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4F7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639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619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854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r>
      <w:tr w14:paraId="76AED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861B4">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EDC40">
            <w:pPr>
              <w:jc w:val="left"/>
              <w:rPr>
                <w:rFonts w:hint="eastAsia" w:ascii="宋体" w:hAnsi="宋体" w:eastAsia="宋体" w:cs="宋体"/>
                <w:i w:val="0"/>
                <w:iCs w:val="0"/>
                <w:color w:val="000000"/>
                <w:sz w:val="18"/>
                <w:szCs w:val="18"/>
                <w:u w:val="none"/>
              </w:rPr>
            </w:pPr>
          </w:p>
        </w:tc>
        <w:tc>
          <w:tcPr>
            <w:tcW w:w="7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E53C8">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AB8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推动中央、省政府、州政府、县政府决策部署落实</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AB3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353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B0B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21C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33449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DD4E4">
            <w:pPr>
              <w:jc w:val="center"/>
              <w:rPr>
                <w:rFonts w:hint="eastAsia" w:ascii="宋体" w:hAnsi="宋体" w:eastAsia="宋体" w:cs="宋体"/>
                <w:i w:val="0"/>
                <w:iCs w:val="0"/>
                <w:color w:val="000000"/>
                <w:sz w:val="18"/>
                <w:szCs w:val="18"/>
                <w:u w:val="none"/>
              </w:rPr>
            </w:pP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9E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E33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F70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人员经费支付率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77C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509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3E3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E92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bl>
    <w:p w14:paraId="5A6B1851">
      <w:pP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（备注：按照绩效自评工作安排，各部门已在预算管理一体化系统绩效自评模块上传“部门预算项目支出绩效自评表（</w:t>
      </w:r>
      <w:r>
        <w:rPr>
          <w:rFonts w:hint="eastAsia" w:eastAsia="仿宋_GB2312" w:cs="Times New Roman"/>
          <w:sz w:val="32"/>
          <w:szCs w:val="32"/>
          <w:lang w:val="zh-CN"/>
        </w:rPr>
        <w:t>2024</w:t>
      </w:r>
      <w:r>
        <w:rPr>
          <w:rFonts w:hint="default" w:ascii="Times New Roman" w:hAnsi="Times New Roman" w:eastAsia="仿宋_GB2312" w:cs="Times New Roman"/>
          <w:sz w:val="32"/>
          <w:szCs w:val="32"/>
          <w:lang w:val="zh-CN"/>
        </w:rPr>
        <w:t>年度）”，该表格应作为附表予以公开。）</w:t>
      </w:r>
    </w:p>
    <w:p w14:paraId="45A84ED1">
      <w:pPr>
        <w:rPr>
          <w:rFonts w:hint="default" w:ascii="Times New Roman" w:hAnsi="Times New Roman" w:cs="Times New Roman"/>
        </w:rPr>
      </w:pPr>
    </w:p>
    <w:p w14:paraId="43A23280">
      <w:pPr>
        <w:rPr>
          <w:rFonts w:hint="default" w:ascii="Times New Roman" w:hAnsi="Times New Roman" w:cs="Times New Roman"/>
        </w:rPr>
        <w:sectPr>
          <w:footerReference r:id="rId8" w:type="first"/>
          <w:headerReference r:id="rId6" w:type="default"/>
          <w:footerReference r:id="rId7" w:type="default"/>
          <w:pgSz w:w="11906" w:h="16838"/>
          <w:pgMar w:top="1440" w:right="1803" w:bottom="1440" w:left="1803" w:header="851" w:footer="992" w:gutter="0"/>
          <w:pgNumType w:fmt="decimal"/>
          <w:cols w:space="0" w:num="1"/>
          <w:titlePg/>
          <w:rtlGutter w:val="0"/>
          <w:docGrid w:type="lines" w:linePitch="319" w:charSpace="0"/>
        </w:sectPr>
      </w:pPr>
    </w:p>
    <w:p w14:paraId="065D1CEF">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7D023F57">
      <w:pPr>
        <w:pStyle w:val="13"/>
        <w:spacing w:line="520" w:lineRule="exact"/>
        <w:jc w:val="center"/>
        <w:rPr>
          <w:rFonts w:hint="eastAsia" w:ascii="黑体" w:hAnsi="黑体" w:eastAsia="黑体" w:cs="黑体"/>
          <w:kern w:val="21"/>
          <w:sz w:val="44"/>
          <w:szCs w:val="44"/>
        </w:rPr>
      </w:pPr>
      <w:r>
        <w:rPr>
          <w:rFonts w:hint="eastAsia" w:ascii="黑体" w:hAnsi="黑体" w:eastAsia="黑体" w:cs="黑体"/>
          <w:kern w:val="21"/>
          <w:sz w:val="44"/>
          <w:szCs w:val="44"/>
        </w:rPr>
        <w:t>九寨沟县机关事务</w:t>
      </w:r>
    </w:p>
    <w:p w14:paraId="39EA50B2">
      <w:pPr>
        <w:pStyle w:val="13"/>
        <w:spacing w:line="520" w:lineRule="exact"/>
        <w:jc w:val="center"/>
        <w:rPr>
          <w:rFonts w:hint="eastAsia" w:ascii="黑体" w:hAnsi="黑体" w:eastAsia="黑体" w:cs="黑体"/>
          <w:kern w:val="21"/>
          <w:sz w:val="44"/>
          <w:szCs w:val="44"/>
        </w:rPr>
      </w:pPr>
      <w:r>
        <w:rPr>
          <w:rFonts w:hint="eastAsia" w:ascii="黑体" w:hAnsi="黑体" w:eastAsia="黑体" w:cs="黑体"/>
          <w:kern w:val="21"/>
          <w:sz w:val="44"/>
          <w:szCs w:val="44"/>
          <w:lang w:eastAsia="zh-CN"/>
        </w:rPr>
        <w:t>后勤保障项绩效评价</w:t>
      </w:r>
      <w:r>
        <w:rPr>
          <w:rFonts w:hint="eastAsia" w:ascii="黑体" w:hAnsi="黑体" w:eastAsia="黑体" w:cs="黑体"/>
          <w:kern w:val="21"/>
          <w:sz w:val="44"/>
          <w:szCs w:val="44"/>
        </w:rPr>
        <w:t>报告</w:t>
      </w:r>
    </w:p>
    <w:p w14:paraId="6871DE99">
      <w:pPr>
        <w:adjustRightInd w:val="0"/>
        <w:snapToGrid w:val="0"/>
        <w:spacing w:line="520" w:lineRule="exact"/>
        <w:rPr>
          <w:rFonts w:hint="eastAsia" w:ascii="仿宋" w:hAnsi="仿宋" w:eastAsia="仿宋"/>
          <w:kern w:val="21"/>
          <w:sz w:val="30"/>
          <w:szCs w:val="30"/>
        </w:rPr>
      </w:pPr>
    </w:p>
    <w:p w14:paraId="33A09B9E">
      <w:pPr>
        <w:tabs>
          <w:tab w:val="left" w:pos="0"/>
        </w:tabs>
        <w:adjustRightInd w:val="0"/>
        <w:snapToGrid w:val="0"/>
        <w:spacing w:line="520" w:lineRule="exact"/>
        <w:rPr>
          <w:rFonts w:hint="eastAsia" w:ascii="黑体" w:hAnsi="黑体" w:eastAsia="黑体"/>
          <w:kern w:val="21"/>
          <w:sz w:val="32"/>
          <w:szCs w:val="32"/>
        </w:rPr>
      </w:pPr>
      <w:r>
        <w:rPr>
          <w:rFonts w:hint="eastAsia" w:ascii="仿宋" w:hAnsi="仿宋" w:eastAsia="仿宋"/>
          <w:kern w:val="21"/>
          <w:sz w:val="30"/>
          <w:szCs w:val="30"/>
        </w:rPr>
        <w:t xml:space="preserve">  </w:t>
      </w:r>
      <w:r>
        <w:rPr>
          <w:rFonts w:hint="eastAsia" w:ascii="黑体" w:hAnsi="黑体" w:eastAsia="黑体"/>
          <w:kern w:val="21"/>
          <w:sz w:val="32"/>
          <w:szCs w:val="32"/>
        </w:rPr>
        <w:t xml:space="preserve">  </w:t>
      </w:r>
      <w:r>
        <w:rPr>
          <w:rFonts w:hint="eastAsia" w:ascii="黑体" w:hAnsi="黑体" w:eastAsia="黑体"/>
          <w:bCs/>
          <w:kern w:val="21"/>
          <w:sz w:val="32"/>
          <w:szCs w:val="32"/>
        </w:rPr>
        <w:t>一、重大政策或项目基本情况</w:t>
      </w:r>
    </w:p>
    <w:p w14:paraId="455CAE15">
      <w:pPr>
        <w:pStyle w:val="13"/>
        <w:spacing w:line="520" w:lineRule="exact"/>
        <w:ind w:firstLine="600"/>
        <w:jc w:val="both"/>
        <w:rPr>
          <w:rFonts w:ascii="仿宋" w:hAnsi="仿宋" w:eastAsia="仿宋"/>
          <w:kern w:val="21"/>
          <w:sz w:val="32"/>
          <w:szCs w:val="32"/>
        </w:rPr>
      </w:pPr>
      <w:r>
        <w:rPr>
          <w:rFonts w:ascii="仿宋" w:hAnsi="仿宋" w:eastAsia="仿宋"/>
          <w:kern w:val="21"/>
          <w:sz w:val="32"/>
          <w:szCs w:val="32"/>
        </w:rPr>
        <w:t>九寨沟县机关事务管理局是九寨沟县政务服务中心后勤服务管理单位，九寨沟县政务服务中心（以下简称政务中心）地处川 西北九寨沟县，平均海拔 1400 米，属于高寒地区，冬长夏短。 由于地处边远山区，九寨沟县与成都相距约410 公里，与马尔康市相距约 510 公里， 恶劣气候条件与崎岖山路为节能工作带来挑战。 截至 20</w:t>
      </w:r>
      <w:r>
        <w:rPr>
          <w:rFonts w:hint="eastAsia" w:ascii="仿宋" w:hAnsi="仿宋" w:eastAsia="仿宋"/>
          <w:kern w:val="21"/>
          <w:sz w:val="32"/>
          <w:szCs w:val="32"/>
        </w:rPr>
        <w:t>22</w:t>
      </w:r>
      <w:r>
        <w:rPr>
          <w:rFonts w:ascii="仿宋" w:hAnsi="仿宋" w:eastAsia="仿宋"/>
          <w:kern w:val="21"/>
          <w:sz w:val="32"/>
          <w:szCs w:val="32"/>
        </w:rPr>
        <w:t>年</w:t>
      </w:r>
      <w:r>
        <w:rPr>
          <w:rFonts w:hint="eastAsia" w:ascii="仿宋" w:hAnsi="仿宋" w:eastAsia="仿宋"/>
          <w:kern w:val="21"/>
          <w:sz w:val="32"/>
          <w:szCs w:val="32"/>
        </w:rPr>
        <w:t>1</w:t>
      </w:r>
      <w:r>
        <w:rPr>
          <w:rFonts w:ascii="仿宋" w:hAnsi="仿宋" w:eastAsia="仿宋"/>
          <w:kern w:val="21"/>
          <w:sz w:val="32"/>
          <w:szCs w:val="32"/>
        </w:rPr>
        <w:t>月</w:t>
      </w:r>
      <w:r>
        <w:rPr>
          <w:rFonts w:hint="eastAsia" w:ascii="仿宋" w:hAnsi="仿宋" w:eastAsia="仿宋"/>
          <w:kern w:val="21"/>
          <w:sz w:val="32"/>
          <w:szCs w:val="32"/>
        </w:rPr>
        <w:t>，</w:t>
      </w:r>
      <w:r>
        <w:rPr>
          <w:rFonts w:ascii="仿宋" w:hAnsi="仿宋" w:eastAsia="仿宋"/>
          <w:kern w:val="21"/>
          <w:sz w:val="32"/>
          <w:szCs w:val="32"/>
        </w:rPr>
        <w:t xml:space="preserve">九寨沟县机关事务管理局用能人数 3764 人，办公区面积 60818.84 平方米，已逐步成为县委、县政府服务社会、服务基层、服务企业、服务群众的重要窗口和平台。 </w:t>
      </w:r>
    </w:p>
    <w:p w14:paraId="29DDEB4A">
      <w:pPr>
        <w:pStyle w:val="27"/>
        <w:numPr>
          <w:ilvl w:val="0"/>
          <w:numId w:val="6"/>
        </w:numPr>
        <w:adjustRightInd w:val="0"/>
        <w:snapToGrid w:val="0"/>
        <w:spacing w:line="560" w:lineRule="exact"/>
        <w:ind w:firstLineChars="0"/>
        <w:rPr>
          <w:rFonts w:hint="eastAsia" w:ascii="仿宋" w:hAnsi="仿宋" w:eastAsia="仿宋" w:cs="仿宋"/>
          <w:sz w:val="32"/>
          <w:szCs w:val="32"/>
          <w:lang w:val="zh-CN"/>
        </w:rPr>
      </w:pPr>
      <w:r>
        <w:rPr>
          <w:rFonts w:hint="eastAsia" w:ascii="仿宋" w:hAnsi="仿宋" w:eastAsia="仿宋" w:cs="仿宋"/>
          <w:b/>
          <w:sz w:val="32"/>
          <w:szCs w:val="32"/>
          <w:lang w:val="zh-CN"/>
        </w:rPr>
        <w:t>项目资金申报及批复情况。</w:t>
      </w:r>
    </w:p>
    <w:p w14:paraId="200FFF16">
      <w:pPr>
        <w:adjustRightInd w:val="0"/>
        <w:snapToGrid w:val="0"/>
        <w:spacing w:line="560" w:lineRule="exact"/>
        <w:rPr>
          <w:rFonts w:hint="eastAsia" w:ascii="仿宋" w:hAnsi="仿宋" w:eastAsia="仿宋" w:cs="仿宋"/>
          <w:sz w:val="32"/>
          <w:szCs w:val="32"/>
          <w:lang w:val="zh-CN"/>
        </w:rPr>
      </w:pPr>
      <w:r>
        <w:rPr>
          <w:rFonts w:hint="eastAsia" w:ascii="仿宋" w:hAnsi="仿宋" w:eastAsia="仿宋" w:cs="仿宋"/>
          <w:sz w:val="32"/>
          <w:szCs w:val="32"/>
          <w:lang w:val="zh-CN"/>
        </w:rPr>
        <w:t xml:space="preserve">     年初财政预算资金</w:t>
      </w:r>
      <w:r>
        <w:rPr>
          <w:rFonts w:hint="eastAsia" w:ascii="仿宋" w:hAnsi="仿宋" w:eastAsia="仿宋" w:cs="仿宋"/>
          <w:sz w:val="32"/>
          <w:szCs w:val="32"/>
          <w:lang w:val="en-US" w:eastAsia="zh-CN"/>
        </w:rPr>
        <w:t>556.53</w:t>
      </w:r>
      <w:r>
        <w:rPr>
          <w:rFonts w:hint="eastAsia" w:ascii="仿宋" w:hAnsi="仿宋" w:eastAsia="仿宋" w:cs="仿宋"/>
          <w:sz w:val="32"/>
          <w:szCs w:val="32"/>
          <w:lang w:val="zh-CN"/>
        </w:rPr>
        <w:t>万元。</w:t>
      </w:r>
    </w:p>
    <w:p w14:paraId="11FD74DD">
      <w:pPr>
        <w:pStyle w:val="27"/>
        <w:numPr>
          <w:ilvl w:val="0"/>
          <w:numId w:val="0"/>
        </w:numPr>
        <w:adjustRightInd w:val="0"/>
        <w:snapToGrid w:val="0"/>
        <w:spacing w:line="560" w:lineRule="exact"/>
        <w:ind w:left="720" w:leftChars="0"/>
        <w:rPr>
          <w:rFonts w:hint="eastAsia" w:ascii="仿宋" w:hAnsi="仿宋" w:eastAsia="仿宋" w:cs="仿宋"/>
          <w:b/>
          <w:sz w:val="32"/>
          <w:szCs w:val="32"/>
          <w:lang w:val="zh-CN"/>
        </w:rPr>
      </w:pPr>
      <w:r>
        <w:rPr>
          <w:rFonts w:hint="eastAsia" w:ascii="仿宋" w:hAnsi="仿宋" w:eastAsia="仿宋" w:cs="仿宋"/>
          <w:b/>
          <w:sz w:val="32"/>
          <w:szCs w:val="32"/>
          <w:lang w:val="zh-CN"/>
        </w:rPr>
        <w:t>（二）项目绩效目标。</w:t>
      </w:r>
    </w:p>
    <w:p w14:paraId="53E2D37A">
      <w:pPr>
        <w:pStyle w:val="27"/>
        <w:numPr>
          <w:ilvl w:val="0"/>
          <w:numId w:val="0"/>
        </w:numPr>
        <w:adjustRightInd w:val="0"/>
        <w:snapToGrid w:val="0"/>
        <w:spacing w:line="560" w:lineRule="exact"/>
        <w:ind w:left="720" w:leftChars="0"/>
        <w:rPr>
          <w:rFonts w:hint="eastAsia" w:ascii="仿宋" w:hAnsi="仿宋" w:eastAsia="仿宋" w:cs="仿宋"/>
          <w:snapToGrid w:val="0"/>
          <w:spacing w:val="-32"/>
          <w:sz w:val="32"/>
          <w:szCs w:val="32"/>
        </w:rPr>
      </w:pPr>
      <w:r>
        <w:rPr>
          <w:rFonts w:hint="eastAsia" w:ascii="仿宋" w:hAnsi="仿宋" w:eastAsia="仿宋" w:cs="仿宋"/>
          <w:snapToGrid w:val="0"/>
          <w:spacing w:val="-32"/>
          <w:sz w:val="32"/>
          <w:szCs w:val="32"/>
        </w:rPr>
        <w:t>九 寨 沟 县 机 关 事 务 管 理 局 深 入 贯 彻 落 实 中 央 关 于 加 快 推 进 生 态 文 明 建 设 的 战 略 部 署 ， 按 照 省 管 局 、 州 管 局 节能 工 作部 署 ， 坚 持 以 节 约 型 机 关 建 设 为 主 线 ， 以 创 建 “ 国 家 级 节 约 型 公 共 机 构 示 范 单 位 ” 为 引 领 ， 加 强 组 织 领 导 ， 健 全 规 章 制 度 ， 强 化 日 常 管 理 ， 认 真 开 展 能 耗 统 计 、 节 能 宣 传 、 能 源 审 计 和 节 能 技 改 等 工 作 ， 切 实 降 低 能 源 资 源 消 耗 ， 提 高 能 源 资 源 利 用 效 率 ， 积 极 争 创 “ 国 家 级 节 约 型 公 共 机 构 示 范 单 位 ” 。</w:t>
      </w:r>
    </w:p>
    <w:p w14:paraId="3BC5D004">
      <w:pPr>
        <w:pStyle w:val="27"/>
        <w:numPr>
          <w:ilvl w:val="0"/>
          <w:numId w:val="0"/>
        </w:numPr>
        <w:adjustRightInd w:val="0"/>
        <w:snapToGrid w:val="0"/>
        <w:spacing w:line="560" w:lineRule="exact"/>
        <w:ind w:left="720" w:leftChars="0"/>
        <w:rPr>
          <w:rFonts w:hint="eastAsia" w:ascii="仿宋" w:hAnsi="仿宋" w:eastAsia="仿宋" w:cs="仿宋"/>
          <w:sz w:val="32"/>
          <w:szCs w:val="32"/>
          <w:lang w:val="zh-CN"/>
        </w:rPr>
      </w:pPr>
      <w:r>
        <w:rPr>
          <w:rFonts w:hint="eastAsia" w:ascii="仿宋" w:hAnsi="仿宋" w:eastAsia="仿宋" w:cs="仿宋"/>
          <w:snapToGrid w:val="0"/>
          <w:spacing w:val="-32"/>
          <w:sz w:val="32"/>
          <w:szCs w:val="32"/>
          <w:lang w:eastAsia="zh-CN"/>
        </w:rPr>
        <w:t>（三）</w:t>
      </w:r>
      <w:r>
        <w:rPr>
          <w:rFonts w:hint="eastAsia" w:ascii="仿宋" w:hAnsi="仿宋" w:eastAsia="仿宋" w:cs="仿宋"/>
          <w:b/>
          <w:sz w:val="32"/>
          <w:szCs w:val="32"/>
          <w:lang w:val="zh-CN"/>
        </w:rPr>
        <w:t>项目资金申报相符性。</w:t>
      </w:r>
    </w:p>
    <w:p w14:paraId="7ECEE2CD">
      <w:pPr>
        <w:adjustRightInd w:val="0"/>
        <w:snapToGrid w:val="0"/>
        <w:spacing w:line="560" w:lineRule="exact"/>
        <w:ind w:left="720"/>
        <w:rPr>
          <w:rFonts w:hint="eastAsia" w:ascii="仿宋" w:hAnsi="仿宋" w:eastAsia="仿宋" w:cs="仿宋"/>
          <w:sz w:val="32"/>
          <w:szCs w:val="32"/>
          <w:lang w:val="zh-CN"/>
        </w:rPr>
      </w:pPr>
      <w:r>
        <w:rPr>
          <w:rFonts w:hint="eastAsia" w:ascii="仿宋" w:hAnsi="仿宋" w:eastAsia="仿宋" w:cs="仿宋"/>
          <w:sz w:val="32"/>
          <w:szCs w:val="32"/>
          <w:lang w:val="zh-CN"/>
        </w:rPr>
        <w:t>项目申报内容与具体实施内容相符、申报目标是否合理可行。</w:t>
      </w:r>
    </w:p>
    <w:p w14:paraId="3A0A8F15">
      <w:pPr>
        <w:adjustRightInd w:val="0"/>
        <w:snapToGrid w:val="0"/>
        <w:spacing w:line="560" w:lineRule="exact"/>
        <w:ind w:firstLine="720"/>
        <w:rPr>
          <w:rFonts w:hint="eastAsia" w:ascii="黑体" w:hAnsi="黑体" w:eastAsia="黑体" w:cs="黑体"/>
          <w:sz w:val="32"/>
          <w:szCs w:val="32"/>
        </w:rPr>
      </w:pPr>
      <w:r>
        <w:rPr>
          <w:rFonts w:hint="eastAsia" w:ascii="黑体" w:hAnsi="黑体" w:eastAsia="黑体" w:cs="黑体"/>
          <w:sz w:val="32"/>
          <w:szCs w:val="32"/>
        </w:rPr>
        <w:t>二、项目实施及管理情况</w:t>
      </w:r>
    </w:p>
    <w:p w14:paraId="037799C7">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14:paraId="40147687">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1．资金计划及到位。该项目资金计划及截止评价时点实际到位</w:t>
      </w:r>
      <w:r>
        <w:rPr>
          <w:rFonts w:hint="eastAsia" w:ascii="仿宋" w:hAnsi="仿宋" w:eastAsia="仿宋" w:cs="仿宋"/>
          <w:sz w:val="32"/>
          <w:szCs w:val="32"/>
          <w:lang w:val="en-US" w:eastAsia="zh-CN"/>
        </w:rPr>
        <w:t>556.53</w:t>
      </w:r>
      <w:r>
        <w:rPr>
          <w:rFonts w:hint="eastAsia" w:ascii="仿宋" w:hAnsi="仿宋" w:eastAsia="仿宋" w:cs="仿宋"/>
          <w:sz w:val="32"/>
          <w:szCs w:val="32"/>
          <w:lang w:val="zh-CN"/>
        </w:rPr>
        <w:t>万元，为县级财政资金。</w:t>
      </w:r>
    </w:p>
    <w:p w14:paraId="04F6E9E2">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2．资金使用。截止评价时点项目资金的实际支出</w:t>
      </w:r>
      <w:r>
        <w:rPr>
          <w:rFonts w:hint="eastAsia" w:ascii="仿宋" w:hAnsi="仿宋" w:eastAsia="仿宋" w:cs="仿宋"/>
          <w:sz w:val="32"/>
          <w:szCs w:val="32"/>
          <w:lang w:val="en-US" w:eastAsia="zh-CN"/>
        </w:rPr>
        <w:t>556.53</w:t>
      </w:r>
      <w:r>
        <w:rPr>
          <w:rFonts w:hint="eastAsia" w:ascii="仿宋" w:hAnsi="仿宋" w:eastAsia="仿宋" w:cs="仿宋"/>
          <w:sz w:val="32"/>
          <w:szCs w:val="32"/>
          <w:lang w:val="zh-CN"/>
        </w:rPr>
        <w:t>万元，资金开支范围、标准及支付进度等，支付依据合规合法，资金支付是否与预算相符。</w:t>
      </w:r>
    </w:p>
    <w:p w14:paraId="2530B1E5">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14:paraId="3736DEA2">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机关事务管理局组织机构健全，职责分工明确，制定了实施方案或计划，按计划实施各项工作，有明确的工作流程和岗位职责，办公条件能够有效保障，资金能足额保证，具有必要的应急管理方案，有针对突发事件或未知风险的应急措施。</w:t>
      </w:r>
    </w:p>
    <w:p w14:paraId="499674C4">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14:paraId="23888CE8">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项目严格按九寨沟县财政资金管理办法执行。</w:t>
      </w:r>
    </w:p>
    <w:p w14:paraId="10B3F05D">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三、项目绩效情况</w:t>
      </w:r>
      <w:r>
        <w:rPr>
          <w:rFonts w:hint="eastAsia" w:ascii="仿宋" w:hAnsi="仿宋" w:eastAsia="仿宋" w:cs="仿宋"/>
          <w:sz w:val="32"/>
          <w:szCs w:val="32"/>
          <w:lang w:val="zh-CN"/>
        </w:rPr>
        <w:tab/>
      </w:r>
    </w:p>
    <w:p w14:paraId="5E43E66F">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（一）项目完成情况。</w:t>
      </w:r>
    </w:p>
    <w:p w14:paraId="0709D002">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项目按期完成，</w:t>
      </w:r>
      <w:r>
        <w:rPr>
          <w:rFonts w:hint="eastAsia" w:ascii="仿宋" w:hAnsi="仿宋" w:eastAsia="仿宋" w:cs="仿宋"/>
          <w:sz w:val="32"/>
          <w:szCs w:val="32"/>
        </w:rPr>
        <w:t>项目资金无结余</w:t>
      </w:r>
      <w:r>
        <w:rPr>
          <w:rFonts w:hint="eastAsia" w:ascii="仿宋" w:hAnsi="仿宋" w:eastAsia="仿宋" w:cs="仿宋"/>
          <w:sz w:val="32"/>
          <w:szCs w:val="32"/>
          <w:lang w:val="zh-CN"/>
        </w:rPr>
        <w:t>，成本有效控制。</w:t>
      </w:r>
    </w:p>
    <w:p w14:paraId="030165AD">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（二）项目效益情况。</w:t>
      </w:r>
    </w:p>
    <w:p w14:paraId="61C8D57D">
      <w:pPr>
        <w:adjustRightInd w:val="0"/>
        <w:snapToGrid w:val="0"/>
        <w:spacing w:line="560" w:lineRule="exact"/>
        <w:ind w:firstLine="720"/>
        <w:rPr>
          <w:rFonts w:hint="eastAsia" w:ascii="仿宋" w:hAnsi="仿宋" w:eastAsia="仿宋" w:cs="仿宋"/>
          <w:snapToGrid w:val="0"/>
          <w:spacing w:val="-32"/>
          <w:sz w:val="32"/>
          <w:szCs w:val="32"/>
        </w:rPr>
      </w:pPr>
      <w:r>
        <w:rPr>
          <w:rFonts w:hint="eastAsia" w:ascii="仿宋" w:hAnsi="仿宋" w:eastAsia="仿宋" w:cs="仿宋"/>
          <w:snapToGrid w:val="0"/>
          <w:spacing w:val="-32"/>
          <w:sz w:val="32"/>
          <w:szCs w:val="32"/>
        </w:rPr>
        <w:t xml:space="preserve">九 寨 沟 县 机 关 事 务 管 理 局 深 入 贯 彻 落 实 中 央 关 于 加 快 推 进 生 态 文 明 建 设 的 战 略 部 署 ， 按 照 省 管 局 、 州 管 局 节能 工 作部 署 ， 坚 持 以 节 约 型 机 关 建 设 为 主 线 ， 以 创 建 “ 国 家 级 节 约 型 公 共 机 构 示 范 单 位 ” 为 引 领 ， 加 强 组 织 领 导 ， 健 全 规 章 制 度 ， 强 化 日 常 管 理 ， 认 真 开 展 能 耗 统 计 、 节 能 宣 传 、 能 源 审 计 和 节 能 技 改 等 工 作 ， 切 实 降 低 能 源 资 源 消 耗 ， 提 高 能 源 资 源 利 用 效 率 ， 积 极 争 创 “ 国 家 级 节 约 型 公 共 机 构 示 范 单 位 ” 。 </w:t>
      </w:r>
    </w:p>
    <w:p w14:paraId="6C07E254">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四、问题及建议</w:t>
      </w:r>
    </w:p>
    <w:p w14:paraId="645B6EBB">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（一）存在的问题。无</w:t>
      </w:r>
    </w:p>
    <w:p w14:paraId="6E1C3EB0">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b/>
          <w:sz w:val="32"/>
          <w:szCs w:val="32"/>
          <w:lang w:val="zh-CN"/>
        </w:rPr>
        <w:t>（二）相关建议。无</w:t>
      </w:r>
    </w:p>
    <w:p w14:paraId="3A824023">
      <w:pPr>
        <w:adjustRightInd w:val="0"/>
        <w:snapToGrid w:val="0"/>
        <w:spacing w:line="560" w:lineRule="exact"/>
        <w:ind w:left="720"/>
        <w:rPr>
          <w:rFonts w:hint="eastAsia" w:ascii="仿宋" w:hAnsi="仿宋" w:eastAsia="仿宋" w:cs="仿宋"/>
          <w:sz w:val="32"/>
          <w:szCs w:val="32"/>
          <w:lang w:val="zh-CN"/>
        </w:rPr>
      </w:pPr>
    </w:p>
    <w:p w14:paraId="7A8F6953">
      <w:pPr>
        <w:spacing w:line="520" w:lineRule="exact"/>
        <w:ind w:firstLine="640" w:firstLineChars="200"/>
        <w:rPr>
          <w:rFonts w:hint="eastAsia" w:ascii="仿宋" w:hAnsi="仿宋" w:eastAsia="仿宋" w:cs="仿宋"/>
          <w:bCs/>
          <w:kern w:val="21"/>
          <w:sz w:val="32"/>
          <w:szCs w:val="32"/>
        </w:rPr>
      </w:pPr>
      <w:r>
        <w:rPr>
          <w:rFonts w:hint="eastAsia" w:ascii="仿宋" w:hAnsi="仿宋" w:eastAsia="仿宋" w:cs="仿宋"/>
          <w:kern w:val="21"/>
          <w:sz w:val="32"/>
          <w:szCs w:val="32"/>
        </w:rPr>
        <w:t xml:space="preserve">    </w:t>
      </w:r>
    </w:p>
    <w:p w14:paraId="2923B101">
      <w:pPr>
        <w:spacing w:line="520" w:lineRule="exact"/>
        <w:rPr>
          <w:rFonts w:hint="eastAsia" w:ascii="仿宋" w:hAnsi="仿宋" w:eastAsia="仿宋" w:cs="仿宋"/>
          <w:kern w:val="21"/>
          <w:sz w:val="32"/>
          <w:szCs w:val="32"/>
        </w:rPr>
      </w:pPr>
    </w:p>
    <w:p w14:paraId="6BC57633">
      <w:pPr>
        <w:adjustRightInd w:val="0"/>
        <w:snapToGrid w:val="0"/>
        <w:spacing w:line="560" w:lineRule="exact"/>
        <w:ind w:firstLine="720"/>
        <w:rPr>
          <w:rFonts w:hint="default" w:ascii="Times New Roman" w:hAnsi="Times New Roman" w:eastAsia="宋体" w:cs="Times New Roman"/>
          <w:b/>
          <w:sz w:val="30"/>
          <w:szCs w:val="30"/>
          <w:lang w:val="zh-CN"/>
        </w:rPr>
      </w:pPr>
    </w:p>
    <w:p w14:paraId="6A648034">
      <w:pPr>
        <w:adjustRightInd w:val="0"/>
        <w:snapToGrid w:val="0"/>
        <w:spacing w:line="560" w:lineRule="exact"/>
        <w:ind w:firstLine="720"/>
        <w:rPr>
          <w:rFonts w:hint="default" w:ascii="Times New Roman" w:hAnsi="Times New Roman" w:eastAsia="宋体" w:cs="Times New Roman"/>
          <w:b/>
          <w:sz w:val="30"/>
          <w:szCs w:val="30"/>
          <w:lang w:val="zh-CN"/>
        </w:rPr>
      </w:pPr>
    </w:p>
    <w:p w14:paraId="46DB56DC">
      <w:pPr>
        <w:adjustRightInd w:val="0"/>
        <w:snapToGrid w:val="0"/>
        <w:spacing w:line="560" w:lineRule="exact"/>
        <w:ind w:firstLine="720"/>
        <w:rPr>
          <w:rFonts w:hint="default" w:ascii="Times New Roman" w:hAnsi="Times New Roman" w:eastAsia="宋体" w:cs="Times New Roman"/>
          <w:b/>
          <w:sz w:val="30"/>
          <w:szCs w:val="30"/>
          <w:lang w:val="zh-CN"/>
        </w:rPr>
      </w:pPr>
    </w:p>
    <w:p w14:paraId="593219FB">
      <w:pPr>
        <w:adjustRightInd w:val="0"/>
        <w:snapToGrid w:val="0"/>
        <w:spacing w:line="560" w:lineRule="exact"/>
        <w:ind w:firstLine="720"/>
        <w:rPr>
          <w:rFonts w:hint="default" w:ascii="Times New Roman" w:hAnsi="Times New Roman" w:eastAsia="宋体" w:cs="Times New Roman"/>
          <w:b/>
          <w:sz w:val="30"/>
          <w:szCs w:val="30"/>
          <w:lang w:val="zh-CN"/>
        </w:rPr>
      </w:pPr>
    </w:p>
    <w:p w14:paraId="704006E6">
      <w:pPr>
        <w:adjustRightInd w:val="0"/>
        <w:snapToGrid w:val="0"/>
        <w:spacing w:line="560" w:lineRule="exact"/>
        <w:ind w:firstLine="720"/>
        <w:rPr>
          <w:rFonts w:hint="default" w:ascii="Times New Roman" w:hAnsi="Times New Roman" w:eastAsia="宋体" w:cs="Times New Roman"/>
          <w:b/>
          <w:sz w:val="30"/>
          <w:szCs w:val="30"/>
          <w:lang w:val="zh-CN"/>
        </w:rPr>
      </w:pPr>
    </w:p>
    <w:p w14:paraId="39F52060">
      <w:pPr>
        <w:adjustRightInd w:val="0"/>
        <w:snapToGrid w:val="0"/>
        <w:spacing w:line="560" w:lineRule="exact"/>
        <w:ind w:firstLine="720"/>
        <w:rPr>
          <w:rFonts w:hint="default" w:ascii="Times New Roman" w:hAnsi="Times New Roman" w:eastAsia="宋体" w:cs="Times New Roman"/>
          <w:b/>
          <w:sz w:val="30"/>
          <w:szCs w:val="30"/>
          <w:lang w:val="zh-CN"/>
        </w:rPr>
      </w:pPr>
    </w:p>
    <w:p w14:paraId="3F8A409E">
      <w:pPr>
        <w:adjustRightInd w:val="0"/>
        <w:snapToGrid w:val="0"/>
        <w:spacing w:line="560" w:lineRule="exact"/>
        <w:ind w:firstLine="720"/>
        <w:rPr>
          <w:rFonts w:hint="default" w:ascii="Times New Roman" w:hAnsi="Times New Roman" w:eastAsia="宋体" w:cs="Times New Roman"/>
          <w:b/>
          <w:sz w:val="30"/>
          <w:szCs w:val="30"/>
          <w:lang w:val="zh-CN"/>
        </w:rPr>
      </w:pPr>
    </w:p>
    <w:p w14:paraId="388B6EC3">
      <w:pPr>
        <w:adjustRightInd w:val="0"/>
        <w:snapToGrid w:val="0"/>
        <w:spacing w:line="560" w:lineRule="exact"/>
        <w:ind w:firstLine="720"/>
        <w:rPr>
          <w:rFonts w:hint="default" w:ascii="Times New Roman" w:hAnsi="Times New Roman" w:eastAsia="宋体" w:cs="Times New Roman"/>
          <w:b/>
          <w:sz w:val="30"/>
          <w:szCs w:val="30"/>
          <w:lang w:val="zh-CN"/>
        </w:rPr>
      </w:pPr>
    </w:p>
    <w:p w14:paraId="1A35BD25">
      <w:pPr>
        <w:adjustRightInd w:val="0"/>
        <w:snapToGrid w:val="0"/>
        <w:spacing w:line="560" w:lineRule="exact"/>
        <w:ind w:firstLine="720"/>
        <w:rPr>
          <w:rFonts w:hint="default" w:ascii="Times New Roman" w:hAnsi="Times New Roman" w:eastAsia="宋体" w:cs="Times New Roman"/>
          <w:b/>
          <w:sz w:val="30"/>
          <w:szCs w:val="30"/>
          <w:lang w:val="zh-CN"/>
        </w:rPr>
      </w:pPr>
    </w:p>
    <w:p w14:paraId="50F43928">
      <w:pPr>
        <w:adjustRightInd w:val="0"/>
        <w:snapToGrid w:val="0"/>
        <w:spacing w:line="560" w:lineRule="exact"/>
        <w:ind w:firstLine="720"/>
        <w:rPr>
          <w:rFonts w:hint="default" w:ascii="Times New Roman" w:hAnsi="Times New Roman" w:eastAsia="宋体" w:cs="Times New Roman"/>
          <w:b/>
          <w:sz w:val="30"/>
          <w:szCs w:val="30"/>
          <w:lang w:val="zh-CN"/>
        </w:rPr>
      </w:pPr>
    </w:p>
    <w:p w14:paraId="334B0A37">
      <w:pPr>
        <w:pStyle w:val="34"/>
        <w:spacing w:line="560" w:lineRule="exact"/>
        <w:jc w:val="center"/>
        <w:rPr>
          <w:rFonts w:hint="eastAsia" w:ascii="宋体" w:hAnsi="宋体" w:eastAsia="宋体" w:cs="宋体"/>
          <w:sz w:val="32"/>
          <w:szCs w:val="32"/>
        </w:rPr>
      </w:pPr>
      <w:r>
        <w:rPr>
          <w:rFonts w:hint="eastAsia" w:ascii="宋体" w:hAnsi="宋体" w:eastAsia="宋体" w:cs="宋体"/>
          <w:sz w:val="32"/>
          <w:szCs w:val="32"/>
          <w:lang w:val="en-US"/>
        </w:rPr>
        <w:t>202</w:t>
      </w:r>
      <w:r>
        <w:rPr>
          <w:rFonts w:hint="eastAsia" w:ascii="宋体" w:hAnsi="宋体" w:eastAsia="宋体" w:cs="宋体"/>
          <w:sz w:val="32"/>
          <w:szCs w:val="32"/>
          <w:lang w:val="en-US" w:eastAsia="zh-CN"/>
        </w:rPr>
        <w:t>4</w:t>
      </w:r>
      <w:r>
        <w:rPr>
          <w:rFonts w:hint="eastAsia" w:ascii="宋体" w:hAnsi="宋体" w:eastAsia="宋体" w:cs="宋体"/>
          <w:sz w:val="32"/>
          <w:szCs w:val="32"/>
          <w:lang w:val="en-US"/>
        </w:rPr>
        <w:t>年</w:t>
      </w:r>
      <w:r>
        <w:rPr>
          <w:rFonts w:hint="eastAsia" w:ascii="宋体" w:hAnsi="宋体" w:eastAsia="宋体" w:cs="宋体"/>
          <w:sz w:val="32"/>
          <w:szCs w:val="32"/>
          <w:lang w:eastAsia="zh-CN"/>
        </w:rPr>
        <w:t>人民防空</w:t>
      </w:r>
      <w:r>
        <w:rPr>
          <w:rFonts w:hint="eastAsia" w:ascii="宋体" w:hAnsi="宋体" w:eastAsia="宋体" w:cs="宋体"/>
          <w:sz w:val="32"/>
          <w:szCs w:val="32"/>
        </w:rPr>
        <w:t>目支出绩效自评</w:t>
      </w:r>
    </w:p>
    <w:p w14:paraId="20D07E5A">
      <w:pPr>
        <w:pStyle w:val="34"/>
        <w:spacing w:line="560" w:lineRule="exact"/>
        <w:jc w:val="center"/>
        <w:rPr>
          <w:rFonts w:hint="eastAsia" w:ascii="宋体" w:hAnsi="宋体" w:eastAsia="宋体" w:cs="宋体"/>
          <w:sz w:val="32"/>
          <w:szCs w:val="32"/>
        </w:rPr>
      </w:pPr>
      <w:r>
        <w:rPr>
          <w:rFonts w:hint="eastAsia" w:ascii="宋体" w:hAnsi="宋体" w:eastAsia="宋体" w:cs="宋体"/>
          <w:sz w:val="32"/>
          <w:szCs w:val="32"/>
        </w:rPr>
        <w:t>报告</w:t>
      </w:r>
    </w:p>
    <w:p w14:paraId="0504B13D">
      <w:pPr>
        <w:pStyle w:val="34"/>
        <w:spacing w:line="560" w:lineRule="exact"/>
        <w:ind w:firstLine="640"/>
        <w:jc w:val="center"/>
        <w:rPr>
          <w:rFonts w:hint="eastAsia" w:ascii="宋体" w:hAnsi="宋体" w:eastAsia="宋体" w:cs="宋体"/>
          <w:color w:val="auto"/>
          <w:kern w:val="2"/>
          <w:sz w:val="32"/>
          <w:szCs w:val="32"/>
        </w:rPr>
      </w:pPr>
    </w:p>
    <w:p w14:paraId="0099FC31">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一、</w:t>
      </w:r>
      <w:r>
        <w:rPr>
          <w:rFonts w:hint="eastAsia" w:ascii="仿宋" w:hAnsi="仿宋" w:eastAsia="仿宋" w:cs="仿宋"/>
          <w:sz w:val="32"/>
          <w:szCs w:val="32"/>
          <w:lang w:val="zh-CN"/>
        </w:rPr>
        <w:t>项目概况</w:t>
      </w:r>
    </w:p>
    <w:p w14:paraId="7415B48D">
      <w:pPr>
        <w:pStyle w:val="13"/>
        <w:shd w:val="clear" w:color="auto" w:fill="FFFFFF"/>
        <w:spacing w:before="0" w:beforeAutospacing="0" w:after="225" w:afterAutospacing="0" w:line="360" w:lineRule="atLeast"/>
        <w:ind w:firstLine="48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《中华人民共和国人民防空法》</w:t>
      </w:r>
      <w:r>
        <w:rPr>
          <w:rFonts w:hint="eastAsia" w:ascii="仿宋" w:hAnsi="仿宋" w:eastAsia="仿宋" w:cs="仿宋"/>
          <w:color w:val="333333"/>
          <w:sz w:val="32"/>
          <w:szCs w:val="32"/>
        </w:rPr>
        <w:t>第四条 “人民防空经费由国家和社会共同负担。中央负担的人民防空经费，列入中央预算;县级以上地方各级人民政府负担的人民防空经费，列入地方各级预算”。</w:t>
      </w:r>
    </w:p>
    <w:p w14:paraId="0C47E238">
      <w:pPr>
        <w:adjustRightInd w:val="0"/>
        <w:snapToGrid w:val="0"/>
        <w:spacing w:line="560" w:lineRule="exact"/>
        <w:ind w:firstLine="720"/>
        <w:rPr>
          <w:rFonts w:hint="eastAsia" w:ascii="仿宋" w:hAnsi="仿宋" w:eastAsia="仿宋" w:cs="仿宋"/>
          <w:color w:val="000000"/>
          <w:sz w:val="32"/>
          <w:szCs w:val="32"/>
        </w:rPr>
      </w:pPr>
      <w:r>
        <w:rPr>
          <w:rFonts w:hint="eastAsia" w:ascii="仿宋" w:hAnsi="仿宋" w:eastAsia="仿宋" w:cs="仿宋"/>
          <w:sz w:val="32"/>
          <w:szCs w:val="32"/>
        </w:rPr>
        <w:t>《关于进一步推进人民防空事业发展实施意见》川府发 （2008)47号文件第二十条 “依法落实政府负担的人民防空经费。县级以上地方各级人民政府要法将应当负担的人民防空事业建设经费列入财政预算，每年应按不低于本级收入的1‰安排人民防空事业建设经费，确保人民防空事业建设需要”。</w:t>
      </w:r>
      <w:r>
        <w:rPr>
          <w:rFonts w:hint="eastAsia" w:ascii="仿宋" w:hAnsi="仿宋" w:eastAsia="仿宋" w:cs="仿宋"/>
          <w:color w:val="000000"/>
          <w:sz w:val="32"/>
          <w:szCs w:val="32"/>
        </w:rPr>
        <w:t>九寨沟县十三届人民政府第41次常务会议通过，按照每年不低于本级财政收入的</w:t>
      </w:r>
      <w:r>
        <w:rPr>
          <w:rFonts w:hint="eastAsia" w:ascii="仿宋" w:hAnsi="仿宋" w:eastAsia="仿宋" w:cs="仿宋"/>
          <w:sz w:val="32"/>
          <w:szCs w:val="32"/>
        </w:rPr>
        <w:t>1‰</w:t>
      </w:r>
      <w:r>
        <w:rPr>
          <w:rFonts w:hint="eastAsia" w:ascii="仿宋" w:hAnsi="仿宋" w:eastAsia="仿宋" w:cs="仿宋"/>
          <w:color w:val="000000"/>
          <w:sz w:val="32"/>
          <w:szCs w:val="32"/>
        </w:rPr>
        <w:t>比例安排人防建设经费。</w:t>
      </w:r>
    </w:p>
    <w:p w14:paraId="46E761A5">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（一）项目资金申报及批复情况。</w:t>
      </w:r>
      <w:r>
        <w:rPr>
          <w:rFonts w:hint="eastAsia" w:ascii="仿宋" w:hAnsi="仿宋" w:eastAsia="仿宋" w:cs="仿宋"/>
          <w:sz w:val="32"/>
          <w:szCs w:val="32"/>
          <w:lang w:val="zh-CN"/>
        </w:rPr>
        <w:t>财政调整预算资金</w:t>
      </w:r>
      <w:r>
        <w:rPr>
          <w:rFonts w:hint="eastAsia" w:ascii="仿宋" w:hAnsi="仿宋" w:eastAsia="仿宋" w:cs="仿宋"/>
          <w:sz w:val="32"/>
          <w:szCs w:val="32"/>
          <w:lang w:val="en-US" w:eastAsia="zh-CN"/>
        </w:rPr>
        <w:t>6.22</w:t>
      </w:r>
      <w:r>
        <w:rPr>
          <w:rFonts w:hint="eastAsia" w:ascii="仿宋" w:hAnsi="仿宋" w:eastAsia="仿宋" w:cs="仿宋"/>
          <w:sz w:val="32"/>
          <w:szCs w:val="32"/>
          <w:lang w:val="zh-CN"/>
        </w:rPr>
        <w:t>万元。</w:t>
      </w:r>
    </w:p>
    <w:p w14:paraId="5FC3BED6">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（二）项目绩效目标。</w:t>
      </w:r>
      <w:r>
        <w:rPr>
          <w:rFonts w:hint="eastAsia" w:ascii="仿宋" w:hAnsi="仿宋" w:eastAsia="仿宋" w:cs="仿宋"/>
          <w:color w:val="333333"/>
          <w:sz w:val="32"/>
          <w:szCs w:val="32"/>
        </w:rPr>
        <w:t>人民防空</w:t>
      </w:r>
      <w:r>
        <w:rPr>
          <w:rFonts w:hint="eastAsia" w:ascii="仿宋" w:hAnsi="仿宋" w:eastAsia="仿宋" w:cs="仿宋"/>
          <w:color w:val="333333"/>
          <w:sz w:val="32"/>
          <w:szCs w:val="32"/>
          <w:shd w:val="clear" w:color="auto" w:fill="FFFFFF"/>
        </w:rPr>
        <w:t>是为了有效地组织</w:t>
      </w:r>
      <w:r>
        <w:rPr>
          <w:rFonts w:hint="eastAsia" w:ascii="仿宋" w:hAnsi="仿宋" w:eastAsia="仿宋" w:cs="仿宋"/>
          <w:color w:val="333333"/>
          <w:sz w:val="32"/>
          <w:szCs w:val="32"/>
        </w:rPr>
        <w:t>人民防空</w:t>
      </w:r>
      <w:r>
        <w:rPr>
          <w:rFonts w:hint="eastAsia" w:ascii="仿宋" w:hAnsi="仿宋" w:eastAsia="仿宋" w:cs="仿宋"/>
          <w:color w:val="333333"/>
          <w:sz w:val="32"/>
          <w:szCs w:val="32"/>
          <w:shd w:val="clear" w:color="auto" w:fill="FFFFFF"/>
        </w:rPr>
        <w:t>，保护人民的生命和财产安全，保障社会主义现代化建设的一项重要长期工作，</w:t>
      </w:r>
      <w:r>
        <w:rPr>
          <w:rFonts w:hint="eastAsia" w:ascii="仿宋" w:hAnsi="仿宋" w:eastAsia="仿宋" w:cs="仿宋"/>
          <w:color w:val="333333"/>
          <w:sz w:val="32"/>
          <w:szCs w:val="32"/>
        </w:rPr>
        <w:t>人民防空是国防的组成部分。国家根据国防需要，动员和组织群众采取防护措施，防范和减轻空袭危害。人民防空实行长期准备、重点建设、平战结合的方针，贯彻与经济建设协调发展、与城市建设相结合的原则。</w:t>
      </w:r>
    </w:p>
    <w:p w14:paraId="459CA5D6">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（三）项目资金申报相符性。</w:t>
      </w:r>
      <w:r>
        <w:rPr>
          <w:rFonts w:hint="eastAsia" w:ascii="仿宋" w:hAnsi="仿宋" w:eastAsia="仿宋" w:cs="仿宋"/>
          <w:sz w:val="32"/>
          <w:szCs w:val="32"/>
          <w:lang w:val="zh-CN"/>
        </w:rPr>
        <w:t>说明项目申报内容与具体实施内容相符、申报目标合理可行。</w:t>
      </w:r>
    </w:p>
    <w:p w14:paraId="48AE234E">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二、项目实施及管理情况</w:t>
      </w:r>
    </w:p>
    <w:p w14:paraId="14B425FA">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14:paraId="79ADB3DC">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1．资金计划及到位。该项目资金计划及截止评价时点实际到位</w:t>
      </w:r>
      <w:r>
        <w:rPr>
          <w:rFonts w:hint="eastAsia" w:ascii="仿宋" w:hAnsi="仿宋" w:eastAsia="仿宋" w:cs="仿宋"/>
          <w:sz w:val="32"/>
          <w:szCs w:val="32"/>
          <w:lang w:val="en-US" w:eastAsia="zh-CN"/>
        </w:rPr>
        <w:t>6.22</w:t>
      </w:r>
      <w:r>
        <w:rPr>
          <w:rFonts w:hint="eastAsia" w:ascii="仿宋" w:hAnsi="仿宋" w:eastAsia="仿宋" w:cs="仿宋"/>
          <w:sz w:val="32"/>
          <w:szCs w:val="32"/>
          <w:lang w:val="zh-CN"/>
        </w:rPr>
        <w:t>万元，为县级财政资金。</w:t>
      </w:r>
    </w:p>
    <w:p w14:paraId="259DE203">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2．资金使用。截止评价时点项目资金的实际支出</w:t>
      </w:r>
      <w:r>
        <w:rPr>
          <w:rFonts w:hint="eastAsia" w:ascii="仿宋" w:hAnsi="仿宋" w:eastAsia="仿宋" w:cs="仿宋"/>
          <w:sz w:val="32"/>
          <w:szCs w:val="32"/>
          <w:lang w:val="en-US" w:eastAsia="zh-CN"/>
        </w:rPr>
        <w:t>6.22</w:t>
      </w:r>
      <w:r>
        <w:rPr>
          <w:rFonts w:hint="eastAsia" w:ascii="仿宋" w:hAnsi="仿宋" w:eastAsia="仿宋" w:cs="仿宋"/>
          <w:sz w:val="32"/>
          <w:szCs w:val="32"/>
          <w:lang w:val="zh-CN"/>
        </w:rPr>
        <w:t>万元，资金开支范围、标准及支付进度等，支付依据合规合法，资金支付是否与预算相符。</w:t>
      </w:r>
    </w:p>
    <w:p w14:paraId="1EACF9A1">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14:paraId="76EBA1B6">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办公室组织机构健全，职责分工明确，制定了实施方案或计划，按计划实施各项工作，有明确的工作流程和岗位职责，办公条件能够有效保障，资金能足额保证，具有必要的应急管理方案，有针对突发事件或未知风险的应急措施。</w:t>
      </w:r>
    </w:p>
    <w:p w14:paraId="76B0C569">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14:paraId="6BD74F3D">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政府组织机构健全，职责分工明确，制定了实施方案或计划，按计划实施全县政府工作，有明确的工作程序，基础设施条件能够有效保障，资金能足额保证，具有必要的控制措施或手段，有针对突发事件或未知风险的应急措施。</w:t>
      </w:r>
    </w:p>
    <w:p w14:paraId="0B68C4C7">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三、项目绩效情况</w:t>
      </w:r>
      <w:r>
        <w:rPr>
          <w:rFonts w:hint="eastAsia" w:ascii="仿宋" w:hAnsi="仿宋" w:eastAsia="仿宋" w:cs="仿宋"/>
          <w:sz w:val="32"/>
          <w:szCs w:val="32"/>
          <w:lang w:val="zh-CN"/>
        </w:rPr>
        <w:tab/>
      </w:r>
    </w:p>
    <w:p w14:paraId="72BD34FA">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（一）项目完成情况。</w:t>
      </w:r>
    </w:p>
    <w:p w14:paraId="070087C2">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项目按期完成，</w:t>
      </w:r>
      <w:r>
        <w:rPr>
          <w:rFonts w:hint="eastAsia" w:ascii="仿宋" w:hAnsi="仿宋" w:eastAsia="仿宋" w:cs="仿宋"/>
          <w:sz w:val="32"/>
          <w:szCs w:val="32"/>
        </w:rPr>
        <w:t>项目资金无结余</w:t>
      </w:r>
      <w:r>
        <w:rPr>
          <w:rFonts w:hint="eastAsia" w:ascii="仿宋" w:hAnsi="仿宋" w:eastAsia="仿宋" w:cs="仿宋"/>
          <w:sz w:val="32"/>
          <w:szCs w:val="32"/>
          <w:lang w:val="zh-CN"/>
        </w:rPr>
        <w:t>，成本有效控制。</w:t>
      </w:r>
    </w:p>
    <w:p w14:paraId="34D24A2B">
      <w:pPr>
        <w:adjustRightInd w:val="0"/>
        <w:snapToGrid w:val="0"/>
        <w:spacing w:line="560" w:lineRule="exact"/>
        <w:ind w:firstLine="720"/>
        <w:rPr>
          <w:rFonts w:hint="eastAsia" w:ascii="仿宋" w:hAnsi="仿宋" w:eastAsia="仿宋" w:cs="仿宋"/>
          <w:color w:val="333333"/>
          <w:sz w:val="32"/>
          <w:szCs w:val="32"/>
        </w:rPr>
      </w:pPr>
      <w:r>
        <w:rPr>
          <w:rFonts w:hint="eastAsia" w:ascii="仿宋" w:hAnsi="仿宋" w:eastAsia="仿宋" w:cs="仿宋"/>
          <w:b/>
          <w:sz w:val="32"/>
          <w:szCs w:val="32"/>
          <w:lang w:val="zh-CN"/>
        </w:rPr>
        <w:t>（二）项目效益情况。</w:t>
      </w:r>
      <w:r>
        <w:rPr>
          <w:rFonts w:hint="eastAsia" w:ascii="仿宋" w:hAnsi="仿宋" w:eastAsia="仿宋" w:cs="仿宋"/>
          <w:color w:val="333333"/>
          <w:sz w:val="32"/>
          <w:szCs w:val="32"/>
        </w:rPr>
        <w:t>国家根据国防需要，动员和组织群众采取防护措施，防范和减轻空袭危害。人民防空实行长期准备、重点建设、平战结合的方针，贯彻与经济建设协调发展、与城市建设相结合。</w:t>
      </w:r>
    </w:p>
    <w:p w14:paraId="5003A246">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四、问题及建议</w:t>
      </w:r>
    </w:p>
    <w:p w14:paraId="18015A84">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（一）存在的问题。无</w:t>
      </w:r>
    </w:p>
    <w:p w14:paraId="3EF7394B">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b/>
          <w:sz w:val="32"/>
          <w:szCs w:val="32"/>
          <w:lang w:val="zh-CN"/>
        </w:rPr>
        <w:t>（二）相关建议。</w:t>
      </w:r>
      <w:r>
        <w:rPr>
          <w:rFonts w:hint="eastAsia" w:ascii="仿宋" w:hAnsi="仿宋" w:eastAsia="仿宋" w:cs="仿宋"/>
          <w:sz w:val="32"/>
          <w:szCs w:val="32"/>
          <w:lang w:val="zh-CN"/>
        </w:rPr>
        <w:t>无</w:t>
      </w:r>
    </w:p>
    <w:p w14:paraId="03284256">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kern w:val="0"/>
          <w:sz w:val="32"/>
          <w:szCs w:val="32"/>
          <w:lang w:val="zh-CN" w:eastAsia="zh-CN" w:bidi="ar-SA"/>
        </w:rPr>
      </w:pPr>
    </w:p>
    <w:p w14:paraId="1F460ACC">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kern w:val="0"/>
          <w:sz w:val="32"/>
          <w:szCs w:val="32"/>
          <w:lang w:val="zh-CN" w:eastAsia="zh-CN" w:bidi="ar-SA"/>
        </w:rPr>
      </w:pPr>
    </w:p>
    <w:p w14:paraId="7C0018A5">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kern w:val="0"/>
          <w:sz w:val="32"/>
          <w:szCs w:val="32"/>
          <w:lang w:val="zh-CN" w:eastAsia="zh-CN" w:bidi="ar-SA"/>
        </w:rPr>
      </w:pPr>
    </w:p>
    <w:p w14:paraId="7939EFF4">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kern w:val="0"/>
          <w:sz w:val="32"/>
          <w:szCs w:val="32"/>
          <w:lang w:val="zh-CN" w:eastAsia="zh-CN" w:bidi="ar-SA"/>
        </w:rPr>
      </w:pPr>
    </w:p>
    <w:p w14:paraId="17F779BD">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kern w:val="0"/>
          <w:sz w:val="32"/>
          <w:szCs w:val="32"/>
          <w:lang w:val="zh-CN" w:eastAsia="zh-CN" w:bidi="ar-SA"/>
        </w:rPr>
      </w:pPr>
    </w:p>
    <w:p w14:paraId="37F49DB6">
      <w:pPr>
        <w:pStyle w:val="34"/>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lang w:val="en-US"/>
        </w:rPr>
        <w:t>202</w:t>
      </w:r>
      <w:r>
        <w:rPr>
          <w:rFonts w:hint="eastAsia" w:ascii="方正小标宋简体" w:hAnsi="宋体" w:eastAsia="方正小标宋简体"/>
          <w:sz w:val="44"/>
          <w:szCs w:val="44"/>
          <w:lang w:val="en-US" w:eastAsia="zh-CN"/>
        </w:rPr>
        <w:t>4</w:t>
      </w:r>
      <w:r>
        <w:rPr>
          <w:rFonts w:hint="eastAsia" w:ascii="方正小标宋简体" w:hAnsi="宋体" w:eastAsia="方正小标宋简体"/>
          <w:sz w:val="44"/>
          <w:szCs w:val="44"/>
          <w:lang w:val="en-US"/>
        </w:rPr>
        <w:t>年</w:t>
      </w:r>
      <w:r>
        <w:rPr>
          <w:rFonts w:hint="eastAsia" w:ascii="方正小标宋简体" w:eastAsia="方正小标宋简体"/>
          <w:sz w:val="44"/>
          <w:szCs w:val="44"/>
        </w:rPr>
        <w:t>外事工作经费</w:t>
      </w:r>
      <w:r>
        <w:rPr>
          <w:rFonts w:hint="eastAsia" w:ascii="方正小标宋简体" w:hAnsi="宋体" w:eastAsia="方正小标宋简体"/>
          <w:sz w:val="44"/>
          <w:szCs w:val="44"/>
        </w:rPr>
        <w:t>支出绩效自评</w:t>
      </w:r>
    </w:p>
    <w:p w14:paraId="759272C7">
      <w:pPr>
        <w:pStyle w:val="34"/>
        <w:spacing w:line="560" w:lineRule="exact"/>
        <w:jc w:val="center"/>
        <w:rPr>
          <w:rFonts w:hint="eastAsia"/>
          <w:sz w:val="28"/>
        </w:rPr>
      </w:pPr>
      <w:r>
        <w:rPr>
          <w:rFonts w:hint="eastAsia" w:ascii="方正小标宋简体" w:hAnsi="宋体" w:eastAsia="方正小标宋简体"/>
          <w:sz w:val="44"/>
          <w:szCs w:val="44"/>
        </w:rPr>
        <w:t>报告</w:t>
      </w:r>
    </w:p>
    <w:p w14:paraId="68B16285">
      <w:pPr>
        <w:tabs>
          <w:tab w:val="left" w:pos="0"/>
        </w:tabs>
        <w:adjustRightInd w:val="0"/>
        <w:snapToGrid w:val="0"/>
        <w:spacing w:line="520" w:lineRule="exact"/>
        <w:rPr>
          <w:rFonts w:hint="eastAsia" w:ascii="仿宋_GB2312" w:hAnsi="宋体" w:eastAsia="仿宋_GB2312"/>
          <w:sz w:val="32"/>
          <w:szCs w:val="32"/>
        </w:rPr>
      </w:pPr>
      <w:r>
        <w:rPr>
          <w:rFonts w:hint="eastAsia" w:ascii="仿宋_GB2312" w:hAnsi="宋体" w:eastAsia="仿宋_GB2312"/>
          <w:sz w:val="32"/>
          <w:szCs w:val="32"/>
        </w:rPr>
        <w:t xml:space="preserve">    </w:t>
      </w:r>
      <w:r>
        <w:rPr>
          <w:rFonts w:hint="eastAsia" w:ascii="黑体" w:hAnsi="宋体" w:eastAsia="黑体"/>
          <w:sz w:val="32"/>
          <w:szCs w:val="32"/>
        </w:rPr>
        <w:t>一、</w:t>
      </w:r>
      <w:r>
        <w:rPr>
          <w:rFonts w:hint="eastAsia" w:ascii="黑体" w:hAnsi="宋体" w:eastAsia="黑体"/>
          <w:sz w:val="32"/>
          <w:szCs w:val="32"/>
          <w:lang w:val="zh-CN"/>
        </w:rPr>
        <w:t>项目概况</w:t>
      </w:r>
    </w:p>
    <w:p w14:paraId="487D34C5">
      <w:pPr>
        <w:adjustRightInd w:val="0"/>
        <w:snapToGrid w:val="0"/>
        <w:spacing w:line="520" w:lineRule="exact"/>
        <w:ind w:firstLine="640" w:firstLineChars="200"/>
        <w:rPr>
          <w:rFonts w:ascii="Arial" w:hAnsi="Arial" w:cs="Arial"/>
          <w:color w:val="191919"/>
          <w:sz w:val="32"/>
          <w:szCs w:val="32"/>
          <w:shd w:val="clear" w:color="auto" w:fill="FFFFFF"/>
        </w:rPr>
      </w:pPr>
      <w:r>
        <w:rPr>
          <w:rFonts w:ascii="仿宋" w:hAnsi="仿宋" w:eastAsia="仿宋" w:cs="Arial"/>
          <w:color w:val="191919"/>
          <w:sz w:val="32"/>
          <w:szCs w:val="32"/>
          <w:shd w:val="clear" w:color="auto" w:fill="FFFFFF"/>
        </w:rPr>
        <w:t>牢固树立“大外事”理念，充分发挥外事工作的优势和作用，全力服务“四向拓展、全域开放”战略大局，不断开创我</w:t>
      </w:r>
      <w:r>
        <w:rPr>
          <w:rFonts w:hint="eastAsia" w:ascii="仿宋" w:hAnsi="仿宋" w:eastAsia="仿宋" w:cs="Arial"/>
          <w:color w:val="191919"/>
          <w:sz w:val="32"/>
          <w:szCs w:val="32"/>
          <w:shd w:val="clear" w:color="auto" w:fill="FFFFFF"/>
          <w:lang w:eastAsia="zh-CN"/>
        </w:rPr>
        <w:t>县</w:t>
      </w:r>
      <w:r>
        <w:rPr>
          <w:rFonts w:ascii="仿宋" w:hAnsi="仿宋" w:eastAsia="仿宋" w:cs="Arial"/>
          <w:color w:val="191919"/>
          <w:sz w:val="32"/>
          <w:szCs w:val="32"/>
          <w:shd w:val="clear" w:color="auto" w:fill="FFFFFF"/>
        </w:rPr>
        <w:t>对外开放合作新局面</w:t>
      </w:r>
      <w:r>
        <w:rPr>
          <w:rFonts w:ascii="Arial" w:hAnsi="Arial" w:cs="Arial"/>
          <w:color w:val="191919"/>
          <w:sz w:val="32"/>
          <w:szCs w:val="32"/>
          <w:shd w:val="clear" w:color="auto" w:fill="FFFFFF"/>
        </w:rPr>
        <w:t>。</w:t>
      </w:r>
    </w:p>
    <w:p w14:paraId="30881DBC">
      <w:pPr>
        <w:adjustRightInd w:val="0"/>
        <w:snapToGrid w:val="0"/>
        <w:spacing w:line="560" w:lineRule="exact"/>
        <w:ind w:firstLine="720"/>
        <w:rPr>
          <w:rFonts w:ascii="仿宋_GB2312" w:hAnsi="宋体"/>
          <w:sz w:val="32"/>
          <w:szCs w:val="32"/>
          <w:lang w:val="zh-CN"/>
        </w:rPr>
      </w:pPr>
      <w:r>
        <w:rPr>
          <w:rFonts w:hint="eastAsia" w:ascii="楷体_GB2312" w:hAnsi="宋体" w:eastAsia="楷体_GB2312"/>
          <w:b/>
          <w:sz w:val="32"/>
          <w:szCs w:val="32"/>
          <w:lang w:val="zh-CN"/>
        </w:rPr>
        <w:t>（一）项目资金申报及批复情况。</w:t>
      </w:r>
      <w:r>
        <w:rPr>
          <w:rFonts w:hint="eastAsia" w:ascii="仿宋_GB2312" w:hAnsi="宋体"/>
          <w:sz w:val="32"/>
          <w:szCs w:val="32"/>
          <w:lang w:val="zh-CN"/>
        </w:rPr>
        <w:t>财政调整预算资金</w:t>
      </w:r>
      <w:r>
        <w:rPr>
          <w:rFonts w:hint="eastAsia" w:ascii="仿宋_GB2312" w:hAnsi="宋体"/>
          <w:sz w:val="32"/>
          <w:szCs w:val="32"/>
          <w:lang w:val="en-US" w:eastAsia="zh-CN"/>
        </w:rPr>
        <w:t>4.93</w:t>
      </w:r>
      <w:r>
        <w:rPr>
          <w:rFonts w:hint="eastAsia" w:ascii="仿宋_GB2312" w:hAnsi="宋体"/>
          <w:sz w:val="32"/>
          <w:szCs w:val="32"/>
          <w:lang w:val="zh-CN"/>
        </w:rPr>
        <w:t>万元。</w:t>
      </w:r>
    </w:p>
    <w:p w14:paraId="1117C5DF">
      <w:pPr>
        <w:adjustRightInd w:val="0"/>
        <w:snapToGrid w:val="0"/>
        <w:spacing w:line="520" w:lineRule="exact"/>
        <w:ind w:firstLine="643" w:firstLineChars="200"/>
        <w:rPr>
          <w:rFonts w:hint="eastAsia" w:ascii="仿宋" w:hAnsi="仿宋" w:eastAsia="仿宋"/>
          <w:sz w:val="32"/>
          <w:szCs w:val="32"/>
        </w:rPr>
      </w:pPr>
      <w:r>
        <w:rPr>
          <w:rFonts w:hint="eastAsia" w:ascii="楷体_GB2312" w:hAnsi="宋体" w:eastAsia="楷体_GB2312"/>
          <w:b/>
          <w:sz w:val="32"/>
          <w:szCs w:val="32"/>
          <w:lang w:val="zh-CN"/>
        </w:rPr>
        <w:t>（二）项目绩效目标。</w:t>
      </w:r>
      <w:r>
        <w:rPr>
          <w:rFonts w:hint="eastAsia" w:ascii="仿宋" w:hAnsi="仿宋" w:eastAsia="仿宋" w:cs="Arial"/>
          <w:color w:val="333333"/>
          <w:sz w:val="32"/>
          <w:szCs w:val="32"/>
        </w:rPr>
        <w:t>外事工作经费</w:t>
      </w:r>
      <w:r>
        <w:rPr>
          <w:rFonts w:hint="eastAsia" w:ascii="仿宋" w:hAnsi="仿宋" w:eastAsia="仿宋"/>
          <w:sz w:val="32"/>
          <w:szCs w:val="32"/>
        </w:rPr>
        <w:t>组织机构健全，职责分工明确，制定了实施方案或计划，按计划实施</w:t>
      </w:r>
      <w:r>
        <w:rPr>
          <w:rFonts w:hint="eastAsia" w:ascii="仿宋" w:hAnsi="仿宋" w:eastAsia="仿宋" w:cs="Arial"/>
          <w:color w:val="333333"/>
          <w:sz w:val="32"/>
          <w:szCs w:val="32"/>
        </w:rPr>
        <w:t>外事工作</w:t>
      </w:r>
      <w:r>
        <w:rPr>
          <w:rFonts w:hint="eastAsia" w:ascii="仿宋" w:hAnsi="仿宋" w:eastAsia="仿宋"/>
          <w:sz w:val="32"/>
          <w:szCs w:val="32"/>
        </w:rPr>
        <w:t>，有明确的工作程序，基础设施条件能够有效保障，资金能足额保证，具有必要的控制措施或手段，有针对突发事件或未知风险的应急措施。</w:t>
      </w:r>
      <w:r>
        <w:rPr>
          <w:rFonts w:hint="eastAsia" w:ascii="仿宋" w:hAnsi="仿宋" w:eastAsia="仿宋" w:cs="Times New Roman"/>
          <w:kern w:val="2"/>
          <w:sz w:val="32"/>
          <w:szCs w:val="32"/>
          <w:lang w:val="en-US" w:eastAsia="zh-CN" w:bidi="ar-SA"/>
        </w:rPr>
        <w:t>贯彻执行国家对外方针政策、涉外法规，研究起草全县外事工作的规章制度和工作规则；负责处理或协助处理全县重大的涉外事务</w:t>
      </w:r>
      <w:r>
        <w:rPr>
          <w:rFonts w:hint="eastAsia" w:ascii="仿宋" w:hAnsi="仿宋" w:eastAsia="仿宋"/>
          <w:color w:val="000000"/>
          <w:sz w:val="32"/>
          <w:szCs w:val="32"/>
          <w:shd w:val="clear" w:color="auto" w:fill="FFFFFF"/>
        </w:rPr>
        <w:t>。</w:t>
      </w:r>
    </w:p>
    <w:p w14:paraId="33ED0C61">
      <w:pPr>
        <w:adjustRightInd w:val="0"/>
        <w:snapToGrid w:val="0"/>
        <w:spacing w:line="560" w:lineRule="exact"/>
        <w:ind w:firstLine="720"/>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说明项目申报内容与具体实施内容相符、申报目标合理可行。</w:t>
      </w:r>
    </w:p>
    <w:p w14:paraId="639FDA25">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二、项目实施及管理情况</w:t>
      </w:r>
    </w:p>
    <w:p w14:paraId="72A142F1">
      <w:pPr>
        <w:adjustRightInd w:val="0"/>
        <w:snapToGrid w:val="0"/>
        <w:spacing w:line="560" w:lineRule="exact"/>
        <w:ind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14:paraId="1A6F1546">
      <w:pPr>
        <w:adjustRightInd w:val="0"/>
        <w:snapToGrid w:val="0"/>
        <w:spacing w:line="560" w:lineRule="exact"/>
        <w:ind w:firstLine="720"/>
        <w:rPr>
          <w:rFonts w:ascii="仿宋_GB2312" w:hAnsi="宋体"/>
          <w:sz w:val="32"/>
          <w:szCs w:val="32"/>
          <w:lang w:val="zh-CN"/>
        </w:rPr>
      </w:pPr>
      <w:r>
        <w:rPr>
          <w:rFonts w:hint="eastAsia" w:ascii="楷体_GB2312" w:hAnsi="宋体" w:eastAsia="楷体_GB2312"/>
          <w:sz w:val="32"/>
          <w:szCs w:val="32"/>
          <w:lang w:val="zh-CN"/>
        </w:rPr>
        <w:t>1．资金计划及到位。</w:t>
      </w:r>
      <w:r>
        <w:rPr>
          <w:rFonts w:hint="eastAsia" w:ascii="仿宋_GB2312" w:hAnsi="宋体"/>
          <w:sz w:val="32"/>
          <w:szCs w:val="32"/>
          <w:lang w:val="zh-CN"/>
        </w:rPr>
        <w:t>该项目资金计划及截止评价时点实际到位</w:t>
      </w:r>
      <w:r>
        <w:rPr>
          <w:rFonts w:hint="eastAsia" w:ascii="仿宋_GB2312" w:hAnsi="宋体"/>
          <w:sz w:val="32"/>
          <w:szCs w:val="32"/>
          <w:lang w:val="en-US" w:eastAsia="zh-CN"/>
        </w:rPr>
        <w:t>4.93</w:t>
      </w:r>
      <w:r>
        <w:rPr>
          <w:rFonts w:hint="eastAsia" w:ascii="仿宋_GB2312" w:hAnsi="宋体"/>
          <w:sz w:val="32"/>
          <w:szCs w:val="32"/>
          <w:lang w:val="zh-CN"/>
        </w:rPr>
        <w:t>万元，为县级财政资金。</w:t>
      </w:r>
    </w:p>
    <w:p w14:paraId="663BBFEF">
      <w:pPr>
        <w:adjustRightInd w:val="0"/>
        <w:snapToGrid w:val="0"/>
        <w:spacing w:line="560" w:lineRule="exact"/>
        <w:ind w:firstLine="720"/>
        <w:rPr>
          <w:rFonts w:ascii="仿宋_GB2312" w:hAnsi="宋体"/>
          <w:sz w:val="32"/>
          <w:szCs w:val="32"/>
          <w:lang w:val="zh-CN"/>
        </w:rPr>
      </w:pPr>
      <w:r>
        <w:rPr>
          <w:rFonts w:hint="eastAsia" w:ascii="楷体_GB2312" w:hAnsi="宋体" w:eastAsia="楷体_GB2312"/>
          <w:sz w:val="32"/>
          <w:szCs w:val="32"/>
          <w:lang w:val="zh-CN"/>
        </w:rPr>
        <w:t>2．资金使用。</w:t>
      </w:r>
      <w:r>
        <w:rPr>
          <w:rFonts w:hint="eastAsia" w:ascii="仿宋_GB2312" w:hAnsi="宋体"/>
          <w:sz w:val="32"/>
          <w:szCs w:val="32"/>
          <w:lang w:val="zh-CN"/>
        </w:rPr>
        <w:t>截止评价时点项目资金的实际支出</w:t>
      </w:r>
      <w:r>
        <w:rPr>
          <w:rFonts w:hint="eastAsia" w:ascii="仿宋_GB2312" w:hAnsi="宋体"/>
          <w:sz w:val="32"/>
          <w:szCs w:val="32"/>
          <w:lang w:val="en-US" w:eastAsia="zh-CN"/>
        </w:rPr>
        <w:t>4.93</w:t>
      </w:r>
      <w:r>
        <w:rPr>
          <w:rFonts w:hint="eastAsia" w:ascii="仿宋_GB2312" w:hAnsi="宋体"/>
          <w:sz w:val="32"/>
          <w:szCs w:val="32"/>
          <w:lang w:val="zh-CN"/>
        </w:rPr>
        <w:t>万元，资金开支范围、标准及支付进度等，支付依据合规合法，资金支付是否与预算相符。</w:t>
      </w:r>
    </w:p>
    <w:p w14:paraId="7581D4F9">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14:paraId="432CA276">
      <w:pPr>
        <w:adjustRightInd w:val="0"/>
        <w:snapToGrid w:val="0"/>
        <w:spacing w:line="560" w:lineRule="exact"/>
        <w:ind w:firstLine="720"/>
        <w:rPr>
          <w:rFonts w:ascii="仿宋_GB2312" w:hAnsi="宋体"/>
          <w:sz w:val="32"/>
          <w:szCs w:val="32"/>
          <w:lang w:val="zh-CN"/>
        </w:rPr>
      </w:pPr>
      <w:r>
        <w:rPr>
          <w:rFonts w:hint="eastAsia" w:ascii="仿宋_GB2312" w:hAnsi="宋体"/>
          <w:sz w:val="32"/>
          <w:szCs w:val="32"/>
          <w:lang w:val="zh-CN"/>
        </w:rPr>
        <w:t>办公室组织机构健全，职责分工明确，制定了实施方案或计划，按计划实施各项工作，有明确的工作流程和岗位职责，办公条件能够有效保障，资金能足额保证，具有必要的应急管理方案，有针对突发事件或未知风险的应急措施。</w:t>
      </w:r>
    </w:p>
    <w:p w14:paraId="34E95224">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14:paraId="356B5767">
      <w:pPr>
        <w:adjustRightInd w:val="0"/>
        <w:snapToGrid w:val="0"/>
        <w:spacing w:line="560" w:lineRule="exact"/>
        <w:ind w:firstLine="720"/>
        <w:rPr>
          <w:rFonts w:ascii="仿宋_GB2312" w:hAnsi="宋体"/>
          <w:sz w:val="32"/>
          <w:szCs w:val="32"/>
          <w:lang w:val="zh-CN"/>
        </w:rPr>
      </w:pPr>
      <w:r>
        <w:rPr>
          <w:rFonts w:hint="eastAsia" w:ascii="仿宋" w:hAnsi="仿宋" w:eastAsia="仿宋"/>
          <w:sz w:val="32"/>
          <w:szCs w:val="32"/>
        </w:rPr>
        <w:t>政府组织机构健全，职责分工明确，制定了实施方案或计划，按计划实施全县政府工作，有明确的工作程序，基础设施条件能够有效保障，资金能足额保证，具有必要的控制措施或手段，有针对突发事件或未知风险的应急措施。</w:t>
      </w:r>
    </w:p>
    <w:p w14:paraId="2A44AC9E">
      <w:pPr>
        <w:adjustRightInd w:val="0"/>
        <w:snapToGrid w:val="0"/>
        <w:spacing w:line="56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14:paraId="2D1588B3">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5E35AF81">
      <w:pPr>
        <w:adjustRightInd w:val="0"/>
        <w:snapToGrid w:val="0"/>
        <w:spacing w:line="560" w:lineRule="exact"/>
        <w:ind w:firstLine="720"/>
        <w:rPr>
          <w:rFonts w:ascii="楷体_GB2312" w:hAnsi="宋体" w:eastAsia="楷体_GB2312"/>
          <w:b/>
          <w:sz w:val="32"/>
          <w:szCs w:val="32"/>
          <w:lang w:val="zh-CN"/>
        </w:rPr>
      </w:pPr>
      <w:r>
        <w:rPr>
          <w:rFonts w:hint="eastAsia" w:ascii="仿宋_GB2312" w:hAnsi="宋体"/>
          <w:sz w:val="32"/>
          <w:szCs w:val="32"/>
          <w:lang w:val="zh-CN"/>
        </w:rPr>
        <w:t>项目按期完成，</w:t>
      </w:r>
      <w:r>
        <w:rPr>
          <w:rFonts w:hint="eastAsia" w:ascii="宋体" w:hAnsi="宋体"/>
          <w:sz w:val="32"/>
          <w:szCs w:val="32"/>
        </w:rPr>
        <w:t>项目资金无结余</w:t>
      </w:r>
      <w:r>
        <w:rPr>
          <w:rFonts w:hint="eastAsia" w:ascii="仿宋_GB2312" w:hAnsi="宋体"/>
          <w:sz w:val="32"/>
          <w:szCs w:val="32"/>
          <w:lang w:val="zh-CN"/>
        </w:rPr>
        <w:t>，成本有效控制。</w:t>
      </w:r>
    </w:p>
    <w:p w14:paraId="18B815DC">
      <w:pPr>
        <w:adjustRightInd w:val="0"/>
        <w:snapToGrid w:val="0"/>
        <w:spacing w:line="560" w:lineRule="exact"/>
        <w:ind w:firstLine="720"/>
        <w:rPr>
          <w:rFonts w:hint="eastAsia" w:ascii="仿宋" w:hAnsi="仿宋" w:eastAsia="仿宋" w:cs="Arial"/>
          <w:color w:val="333333"/>
          <w:sz w:val="32"/>
          <w:szCs w:val="32"/>
        </w:rPr>
      </w:pPr>
      <w:r>
        <w:rPr>
          <w:rFonts w:hint="eastAsia" w:ascii="楷体_GB2312" w:hAnsi="宋体" w:eastAsia="楷体_GB2312"/>
          <w:b/>
          <w:sz w:val="32"/>
          <w:szCs w:val="32"/>
          <w:lang w:val="zh-CN"/>
        </w:rPr>
        <w:t>（二）项目效益情况。</w:t>
      </w:r>
      <w:r>
        <w:rPr>
          <w:rFonts w:ascii="仿宋" w:hAnsi="仿宋" w:eastAsia="仿宋" w:cs="Arial"/>
          <w:color w:val="333333"/>
          <w:sz w:val="32"/>
          <w:szCs w:val="32"/>
        </w:rPr>
        <w:t>国家根据国防需要，动员和组织群众采取防护措施，防范和减轻空袭危害。人民防空实行长期准备、重点建设、平战结合的方针，贯彻与经济建设协调发展、与城市建设</w:t>
      </w:r>
      <w:r>
        <w:rPr>
          <w:rFonts w:hint="eastAsia" w:ascii="仿宋" w:hAnsi="仿宋" w:eastAsia="仿宋" w:cs="Arial"/>
          <w:color w:val="333333"/>
          <w:sz w:val="32"/>
          <w:szCs w:val="32"/>
        </w:rPr>
        <w:t>相结合</w:t>
      </w:r>
      <w:r>
        <w:rPr>
          <w:rFonts w:ascii="仿宋" w:hAnsi="仿宋" w:eastAsia="仿宋" w:cs="Arial"/>
          <w:color w:val="333333"/>
          <w:sz w:val="32"/>
          <w:szCs w:val="32"/>
        </w:rPr>
        <w:t>。</w:t>
      </w:r>
    </w:p>
    <w:p w14:paraId="6636E064">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四、问题及建议</w:t>
      </w:r>
    </w:p>
    <w:p w14:paraId="0D7B8244">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（一）存在的问题。无</w:t>
      </w:r>
    </w:p>
    <w:p w14:paraId="17586A62">
      <w:pPr>
        <w:adjustRightInd w:val="0"/>
        <w:snapToGrid w:val="0"/>
        <w:spacing w:line="560" w:lineRule="exact"/>
        <w:ind w:firstLine="720"/>
        <w:rPr>
          <w:sz w:val="32"/>
          <w:szCs w:val="32"/>
        </w:rPr>
      </w:pPr>
      <w:r>
        <w:rPr>
          <w:rFonts w:hint="eastAsia" w:ascii="楷体_GB2312" w:hAnsi="宋体" w:eastAsia="楷体_GB2312"/>
          <w:b/>
          <w:sz w:val="32"/>
          <w:szCs w:val="32"/>
          <w:lang w:val="zh-CN"/>
        </w:rPr>
        <w:t>（二）相关建议。</w:t>
      </w:r>
      <w:r>
        <w:rPr>
          <w:rFonts w:hint="eastAsia" w:ascii="仿宋_GB2312" w:hAnsi="宋体"/>
          <w:sz w:val="32"/>
          <w:szCs w:val="32"/>
          <w:lang w:val="zh-CN"/>
        </w:rPr>
        <w:t>无</w:t>
      </w:r>
    </w:p>
    <w:p w14:paraId="00E63A92">
      <w:pPr>
        <w:adjustRightInd w:val="0"/>
        <w:snapToGrid w:val="0"/>
        <w:spacing w:line="520" w:lineRule="exact"/>
        <w:ind w:firstLine="643" w:firstLineChars="200"/>
        <w:rPr>
          <w:rFonts w:hint="eastAsia" w:ascii="仿宋_GB2312" w:hAnsi="宋体" w:eastAsia="仿宋_GB2312"/>
          <w:b/>
          <w:bCs/>
          <w:sz w:val="32"/>
          <w:szCs w:val="32"/>
        </w:rPr>
      </w:pPr>
    </w:p>
    <w:p w14:paraId="7E1C4B05">
      <w:pPr>
        <w:adjustRightInd w:val="0"/>
        <w:snapToGrid w:val="0"/>
        <w:spacing w:line="560" w:lineRule="exact"/>
        <w:ind w:firstLine="720"/>
        <w:rPr>
          <w:rFonts w:hint="default" w:ascii="Times New Roman" w:hAnsi="Times New Roman" w:eastAsia="仿宋_GB2312" w:cs="Times New Roman"/>
          <w:color w:val="191919"/>
          <w:kern w:val="2"/>
          <w:sz w:val="32"/>
          <w:szCs w:val="32"/>
          <w:shd w:val="clear" w:color="auto" w:fill="FFFFFF"/>
          <w:lang w:val="zh-CN" w:eastAsia="zh-CN" w:bidi="ar-SA"/>
        </w:rPr>
      </w:pPr>
    </w:p>
    <w:p w14:paraId="3EBBE93B">
      <w:pPr>
        <w:adjustRightInd w:val="0"/>
        <w:snapToGrid w:val="0"/>
        <w:spacing w:line="560" w:lineRule="exact"/>
        <w:ind w:firstLine="720"/>
        <w:rPr>
          <w:rFonts w:hint="default" w:ascii="Times New Roman" w:hAnsi="Times New Roman" w:eastAsia="仿宋_GB2312" w:cs="Times New Roman"/>
          <w:color w:val="191919"/>
          <w:kern w:val="2"/>
          <w:sz w:val="32"/>
          <w:szCs w:val="32"/>
          <w:shd w:val="clear" w:color="auto" w:fill="FFFFFF"/>
          <w:lang w:val="zh-CN" w:eastAsia="zh-CN" w:bidi="ar-SA"/>
        </w:rPr>
      </w:pPr>
    </w:p>
    <w:p w14:paraId="3BDBBF73">
      <w:pPr>
        <w:adjustRightInd w:val="0"/>
        <w:snapToGrid w:val="0"/>
        <w:spacing w:line="560" w:lineRule="exact"/>
        <w:ind w:firstLine="720"/>
        <w:rPr>
          <w:rFonts w:hint="default" w:ascii="Times New Roman" w:hAnsi="Times New Roman" w:eastAsia="仿宋_GB2312" w:cs="Times New Roman"/>
          <w:color w:val="191919"/>
          <w:kern w:val="2"/>
          <w:sz w:val="32"/>
          <w:szCs w:val="32"/>
          <w:shd w:val="clear" w:color="auto" w:fill="FFFFFF"/>
          <w:lang w:val="zh-CN" w:eastAsia="zh-CN" w:bidi="ar-SA"/>
        </w:rPr>
      </w:pPr>
    </w:p>
    <w:p w14:paraId="6C2620F3">
      <w:pPr>
        <w:adjustRightInd w:val="0"/>
        <w:snapToGrid w:val="0"/>
        <w:spacing w:line="560" w:lineRule="exact"/>
        <w:ind w:firstLine="720"/>
        <w:rPr>
          <w:rFonts w:hint="default" w:ascii="Times New Roman" w:hAnsi="Times New Roman" w:eastAsia="仿宋_GB2312" w:cs="Times New Roman"/>
          <w:color w:val="191919"/>
          <w:kern w:val="2"/>
          <w:sz w:val="32"/>
          <w:szCs w:val="32"/>
          <w:shd w:val="clear" w:color="auto" w:fill="FFFFFF"/>
          <w:lang w:val="zh-CN" w:eastAsia="zh-CN" w:bidi="ar-SA"/>
        </w:rPr>
      </w:pPr>
    </w:p>
    <w:p w14:paraId="2E58E0B2">
      <w:pPr>
        <w:adjustRightInd w:val="0"/>
        <w:snapToGrid w:val="0"/>
        <w:spacing w:line="560" w:lineRule="exact"/>
        <w:ind w:firstLine="720"/>
        <w:rPr>
          <w:rFonts w:hint="default" w:ascii="Times New Roman" w:hAnsi="Times New Roman" w:eastAsia="仿宋_GB2312" w:cs="Times New Roman"/>
          <w:color w:val="191919"/>
          <w:kern w:val="2"/>
          <w:sz w:val="32"/>
          <w:szCs w:val="32"/>
          <w:shd w:val="clear" w:color="auto" w:fill="FFFFFF"/>
          <w:lang w:val="zh-CN" w:eastAsia="zh-CN" w:bidi="ar-SA"/>
        </w:rPr>
      </w:pPr>
    </w:p>
    <w:p w14:paraId="238AD907">
      <w:pPr>
        <w:adjustRightInd w:val="0"/>
        <w:snapToGrid w:val="0"/>
        <w:spacing w:line="560" w:lineRule="exact"/>
        <w:ind w:firstLine="720"/>
        <w:rPr>
          <w:rFonts w:hint="default" w:ascii="Times New Roman" w:hAnsi="Times New Roman" w:eastAsia="仿宋_GB2312" w:cs="Times New Roman"/>
          <w:color w:val="191919"/>
          <w:kern w:val="2"/>
          <w:sz w:val="32"/>
          <w:szCs w:val="32"/>
          <w:shd w:val="clear" w:color="auto" w:fill="FFFFFF"/>
          <w:lang w:val="zh-CN" w:eastAsia="zh-CN" w:bidi="ar-SA"/>
        </w:rPr>
      </w:pPr>
    </w:p>
    <w:p w14:paraId="276DC661">
      <w:pPr>
        <w:pStyle w:val="34"/>
        <w:spacing w:line="560" w:lineRule="exact"/>
        <w:jc w:val="center"/>
        <w:rPr>
          <w:rFonts w:hint="eastAsia" w:ascii="宋体" w:hAnsi="宋体" w:eastAsia="宋体" w:cs="宋体"/>
          <w:sz w:val="44"/>
          <w:szCs w:val="44"/>
        </w:rPr>
      </w:pPr>
      <w:r>
        <w:rPr>
          <w:rFonts w:hint="eastAsia" w:ascii="宋体" w:hAnsi="宋体" w:eastAsia="宋体" w:cs="宋体"/>
          <w:sz w:val="44"/>
          <w:szCs w:val="44"/>
          <w:lang w:val="en-US"/>
        </w:rPr>
        <w:t>202</w:t>
      </w:r>
      <w:r>
        <w:rPr>
          <w:rFonts w:hint="eastAsia" w:ascii="宋体" w:hAnsi="宋体" w:eastAsia="宋体" w:cs="宋体"/>
          <w:sz w:val="44"/>
          <w:szCs w:val="44"/>
          <w:lang w:val="en-US" w:eastAsia="zh-CN"/>
        </w:rPr>
        <w:t>4</w:t>
      </w:r>
      <w:r>
        <w:rPr>
          <w:rFonts w:hint="eastAsia" w:ascii="宋体" w:hAnsi="宋体" w:eastAsia="宋体" w:cs="宋体"/>
          <w:sz w:val="44"/>
          <w:szCs w:val="44"/>
          <w:lang w:val="en-US"/>
        </w:rPr>
        <w:t>年</w:t>
      </w:r>
      <w:r>
        <w:rPr>
          <w:rFonts w:hint="eastAsia" w:ascii="宋体" w:hAnsi="宋体" w:eastAsia="宋体" w:cs="宋体"/>
          <w:color w:val="333333"/>
          <w:sz w:val="44"/>
          <w:szCs w:val="44"/>
        </w:rPr>
        <w:t>人民防空</w:t>
      </w:r>
      <w:r>
        <w:rPr>
          <w:rFonts w:hint="eastAsia" w:ascii="宋体" w:hAnsi="宋体" w:eastAsia="宋体" w:cs="宋体"/>
          <w:sz w:val="44"/>
          <w:szCs w:val="44"/>
        </w:rPr>
        <w:t>项目支出绩效自评</w:t>
      </w:r>
    </w:p>
    <w:p w14:paraId="4C506507">
      <w:pPr>
        <w:pStyle w:val="34"/>
        <w:spacing w:line="560" w:lineRule="exact"/>
        <w:jc w:val="center"/>
        <w:rPr>
          <w:rFonts w:hint="eastAsia" w:ascii="宋体" w:hAnsi="宋体" w:eastAsia="宋体" w:cs="宋体"/>
          <w:sz w:val="32"/>
          <w:szCs w:val="32"/>
        </w:rPr>
      </w:pPr>
      <w:r>
        <w:rPr>
          <w:rFonts w:hint="eastAsia" w:ascii="宋体" w:hAnsi="宋体" w:eastAsia="宋体" w:cs="宋体"/>
          <w:sz w:val="44"/>
          <w:szCs w:val="44"/>
        </w:rPr>
        <w:t>报告范本</w:t>
      </w:r>
    </w:p>
    <w:p w14:paraId="2C750D07">
      <w:pPr>
        <w:pStyle w:val="34"/>
        <w:spacing w:line="560" w:lineRule="exact"/>
        <w:ind w:firstLine="640"/>
        <w:jc w:val="center"/>
        <w:rPr>
          <w:rFonts w:hint="eastAsia" w:ascii="宋体" w:hAnsi="宋体" w:eastAsia="宋体" w:cs="宋体"/>
          <w:color w:val="auto"/>
          <w:kern w:val="2"/>
          <w:sz w:val="32"/>
          <w:szCs w:val="32"/>
        </w:rPr>
      </w:pPr>
    </w:p>
    <w:p w14:paraId="47EB2C46">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一、</w:t>
      </w:r>
      <w:r>
        <w:rPr>
          <w:rFonts w:hint="eastAsia" w:ascii="仿宋" w:hAnsi="仿宋" w:eastAsia="仿宋" w:cs="仿宋"/>
          <w:sz w:val="32"/>
          <w:szCs w:val="32"/>
          <w:lang w:val="zh-CN"/>
        </w:rPr>
        <w:t>项目概况</w:t>
      </w:r>
    </w:p>
    <w:p w14:paraId="313EE809">
      <w:pPr>
        <w:pStyle w:val="13"/>
        <w:shd w:val="clear" w:color="auto" w:fill="FFFFFF"/>
        <w:spacing w:before="0" w:beforeAutospacing="0" w:after="225" w:afterAutospacing="0" w:line="360" w:lineRule="atLeast"/>
        <w:ind w:firstLine="48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《中华人民共和国人民防空法》</w:t>
      </w:r>
      <w:r>
        <w:rPr>
          <w:rFonts w:hint="eastAsia" w:ascii="仿宋" w:hAnsi="仿宋" w:eastAsia="仿宋" w:cs="仿宋"/>
          <w:color w:val="333333"/>
          <w:sz w:val="32"/>
          <w:szCs w:val="32"/>
        </w:rPr>
        <w:t>第四条 “人民防空经费由国家和社会共同负担。中央负担的人民防空经费，列入中央预算;县级以上地方各级人民政府负担的人民防空经费，列入地方各级预算”。</w:t>
      </w:r>
    </w:p>
    <w:p w14:paraId="5085E5F4">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（一）项目资金申报及批复情况。</w:t>
      </w:r>
      <w:r>
        <w:rPr>
          <w:rFonts w:hint="eastAsia" w:ascii="仿宋" w:hAnsi="仿宋" w:eastAsia="仿宋" w:cs="仿宋"/>
          <w:sz w:val="32"/>
          <w:szCs w:val="32"/>
          <w:lang w:val="zh-CN"/>
        </w:rPr>
        <w:t>财政调整预算资金</w:t>
      </w:r>
      <w:r>
        <w:rPr>
          <w:rFonts w:hint="eastAsia" w:ascii="仿宋" w:hAnsi="仿宋" w:eastAsia="仿宋" w:cs="仿宋"/>
          <w:sz w:val="32"/>
          <w:szCs w:val="32"/>
          <w:lang w:val="en-US" w:eastAsia="zh-CN"/>
        </w:rPr>
        <w:t>287.63</w:t>
      </w:r>
      <w:r>
        <w:rPr>
          <w:rFonts w:hint="eastAsia" w:ascii="仿宋" w:hAnsi="仿宋" w:eastAsia="仿宋" w:cs="仿宋"/>
          <w:sz w:val="32"/>
          <w:szCs w:val="32"/>
          <w:lang w:val="zh-CN"/>
        </w:rPr>
        <w:t>万元。</w:t>
      </w:r>
    </w:p>
    <w:p w14:paraId="222A9B22">
      <w:pPr>
        <w:widowControl/>
        <w:pBdr>
          <w:bottom w:val="single" w:color="FFFFFF" w:sz="8" w:space="10"/>
        </w:pBdr>
        <w:shd w:val="clear" w:color="auto" w:fill="FFFFFF"/>
        <w:spacing w:line="480" w:lineRule="exact"/>
        <w:ind w:firstLine="641"/>
        <w:jc w:val="left"/>
        <w:textAlignment w:val="top"/>
        <w:rPr>
          <w:rFonts w:hint="eastAsia" w:ascii="仿宋" w:hAnsi="仿宋" w:eastAsia="仿宋" w:cs="仿宋"/>
          <w:color w:val="333333"/>
          <w:kern w:val="0"/>
          <w:sz w:val="32"/>
          <w:szCs w:val="32"/>
        </w:rPr>
      </w:pPr>
      <w:r>
        <w:rPr>
          <w:rFonts w:hint="eastAsia" w:ascii="仿宋" w:hAnsi="仿宋" w:eastAsia="仿宋" w:cs="仿宋"/>
          <w:b/>
          <w:sz w:val="32"/>
          <w:szCs w:val="32"/>
          <w:lang w:val="zh-CN"/>
        </w:rPr>
        <w:t>（二）项目绩效目标。</w:t>
      </w:r>
      <w:r>
        <w:rPr>
          <w:rFonts w:hint="eastAsia" w:ascii="仿宋" w:hAnsi="仿宋" w:eastAsia="仿宋" w:cs="仿宋"/>
          <w:color w:val="000000"/>
          <w:kern w:val="0"/>
          <w:sz w:val="32"/>
          <w:szCs w:val="32"/>
        </w:rPr>
        <w:t>“十四五”期间，全县经济社会发展的总体目标是：到2025年，全县生态环境更加优美，经济质效更加</w:t>
      </w:r>
      <w:r>
        <w:rPr>
          <w:rFonts w:hint="eastAsia" w:ascii="仿宋" w:hAnsi="仿宋" w:eastAsia="仿宋" w:cs="仿宋"/>
          <w:color w:val="333333"/>
          <w:kern w:val="0"/>
          <w:sz w:val="32"/>
          <w:szCs w:val="32"/>
        </w:rPr>
        <w:t>良好，</w:t>
      </w:r>
      <w:r>
        <w:rPr>
          <w:rFonts w:hint="eastAsia" w:ascii="仿宋" w:hAnsi="仿宋" w:eastAsia="仿宋" w:cs="仿宋"/>
          <w:color w:val="000000"/>
          <w:kern w:val="0"/>
          <w:sz w:val="32"/>
          <w:szCs w:val="32"/>
        </w:rPr>
        <w:t>发展活力更加强劲，人民生活更加幸福，社会风尚更加文明，社会治理更加有效，</w:t>
      </w:r>
      <w:r>
        <w:rPr>
          <w:rFonts w:hint="eastAsia" w:ascii="仿宋" w:hAnsi="仿宋" w:eastAsia="仿宋" w:cs="仿宋"/>
          <w:color w:val="333333"/>
          <w:kern w:val="0"/>
          <w:sz w:val="32"/>
          <w:szCs w:val="32"/>
        </w:rPr>
        <w:t>力争</w:t>
      </w:r>
      <w:r>
        <w:rPr>
          <w:rFonts w:hint="eastAsia" w:ascii="仿宋" w:hAnsi="仿宋" w:eastAsia="仿宋" w:cs="仿宋"/>
          <w:color w:val="000000"/>
          <w:kern w:val="0"/>
          <w:sz w:val="32"/>
          <w:szCs w:val="32"/>
        </w:rPr>
        <w:t>全县地区生产总值（GDP）达到45.4亿元，年均增长7%，经济总量位居全州第一方阵，建成</w:t>
      </w:r>
      <w:r>
        <w:rPr>
          <w:rFonts w:hint="eastAsia" w:ascii="仿宋" w:hAnsi="仿宋" w:eastAsia="仿宋" w:cs="仿宋"/>
          <w:color w:val="333333"/>
          <w:kern w:val="0"/>
          <w:sz w:val="32"/>
          <w:szCs w:val="32"/>
        </w:rPr>
        <w:t>全省</w:t>
      </w:r>
      <w:r>
        <w:rPr>
          <w:rFonts w:hint="eastAsia" w:ascii="仿宋" w:hAnsi="仿宋" w:eastAsia="仿宋" w:cs="仿宋"/>
          <w:color w:val="000000"/>
          <w:kern w:val="0"/>
          <w:sz w:val="32"/>
          <w:szCs w:val="32"/>
        </w:rPr>
        <w:t>民族地区生态经济强县；地方一般公共预算收入突破2.16亿元，年均增长7%；</w:t>
      </w:r>
      <w:r>
        <w:rPr>
          <w:rFonts w:hint="eastAsia" w:ascii="仿宋" w:hAnsi="仿宋" w:eastAsia="仿宋" w:cs="仿宋"/>
          <w:color w:val="333333"/>
          <w:kern w:val="0"/>
          <w:sz w:val="32"/>
          <w:szCs w:val="32"/>
        </w:rPr>
        <w:t>城乡居民人均可支配收入达</w:t>
      </w:r>
      <w:r>
        <w:rPr>
          <w:rFonts w:hint="eastAsia" w:ascii="仿宋" w:hAnsi="仿宋" w:eastAsia="仿宋" w:cs="仿宋"/>
          <w:color w:val="000000"/>
          <w:kern w:val="0"/>
          <w:sz w:val="32"/>
          <w:szCs w:val="32"/>
        </w:rPr>
        <w:t>54950元、24665元，年均增长8.3%、9.5%；旅游接待人次和旅游总收入分别突破1000万人次和150亿元，年均增长26.3%、26.4%，基本建成世界休闲度假旅游目的地、全国生态文明建设示范地、全国民族地区改革开放新高地，全面建成全国民族地区绿色发展脱贫奔小康的典范。</w:t>
      </w:r>
    </w:p>
    <w:p w14:paraId="02F359D8">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color w:val="000000"/>
          <w:sz w:val="32"/>
          <w:szCs w:val="32"/>
          <w:shd w:val="clear" w:color="auto" w:fill="FFFFFF"/>
        </w:rPr>
        <w:t>政府要做的八大工作：一、加大生态保护力度，树立生态文明建设新标杆，二、优化现代产业体系，厚植县域经济发展新动能，三、发挥核心带动作用，构建全域旅游发展新格局，四、突出投资消费拉动，适应供需关系变化新常态，五、统筹城乡一体发展，开启乡村振兴战略新征程，</w:t>
      </w:r>
      <w:r>
        <w:rPr>
          <w:rFonts w:hint="eastAsia" w:ascii="仿宋" w:hAnsi="仿宋" w:eastAsia="仿宋" w:cs="仿宋"/>
          <w:color w:val="333333"/>
          <w:sz w:val="32"/>
          <w:szCs w:val="32"/>
          <w:shd w:val="clear" w:color="auto" w:fill="FFFFFF"/>
        </w:rPr>
        <w:t>六、补齐民生事业短板，满足群众美好生活新期盼，七、扩大社会治理成果，夺取平安九寨建设新胜利，</w:t>
      </w:r>
      <w:r>
        <w:rPr>
          <w:rFonts w:hint="eastAsia" w:ascii="仿宋" w:hAnsi="仿宋" w:eastAsia="仿宋" w:cs="仿宋"/>
          <w:color w:val="000000"/>
          <w:sz w:val="32"/>
          <w:szCs w:val="32"/>
          <w:shd w:val="clear" w:color="auto" w:fill="FFFFFF"/>
        </w:rPr>
        <w:t>八、提升行政服务水平，彰显政府自身建设新气象。</w:t>
      </w:r>
    </w:p>
    <w:p w14:paraId="734E00D8">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（三）项目资金申报相符性。</w:t>
      </w:r>
      <w:r>
        <w:rPr>
          <w:rFonts w:hint="eastAsia" w:ascii="仿宋" w:hAnsi="仿宋" w:eastAsia="仿宋" w:cs="仿宋"/>
          <w:sz w:val="32"/>
          <w:szCs w:val="32"/>
          <w:lang w:val="zh-CN"/>
        </w:rPr>
        <w:t>说明项目申报内容与具体实施内容相符、申报目标合理可行。</w:t>
      </w:r>
    </w:p>
    <w:p w14:paraId="5C3B348C">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二、项目实施及管理情况</w:t>
      </w:r>
    </w:p>
    <w:p w14:paraId="15147E72">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14:paraId="2D45118C">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1．资金计划及到位。该项目资金计划及截止评价时点实际到位</w:t>
      </w:r>
      <w:r>
        <w:rPr>
          <w:rFonts w:hint="eastAsia" w:ascii="仿宋" w:hAnsi="仿宋" w:eastAsia="仿宋" w:cs="仿宋"/>
          <w:sz w:val="32"/>
          <w:szCs w:val="32"/>
          <w:lang w:val="en-US" w:eastAsia="zh-CN"/>
        </w:rPr>
        <w:t>287.63</w:t>
      </w:r>
      <w:r>
        <w:rPr>
          <w:rFonts w:hint="eastAsia" w:ascii="仿宋" w:hAnsi="仿宋" w:eastAsia="仿宋" w:cs="仿宋"/>
          <w:sz w:val="32"/>
          <w:szCs w:val="32"/>
          <w:lang w:val="zh-CN"/>
        </w:rPr>
        <w:t>万元，为县级财政资金。</w:t>
      </w:r>
    </w:p>
    <w:p w14:paraId="2D6EBED8">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2．资金使用。截止评价时点项目资金的实际支出</w:t>
      </w:r>
      <w:r>
        <w:rPr>
          <w:rFonts w:hint="eastAsia" w:ascii="仿宋" w:hAnsi="仿宋" w:eastAsia="仿宋" w:cs="仿宋"/>
          <w:sz w:val="32"/>
          <w:szCs w:val="32"/>
          <w:lang w:val="en-US" w:eastAsia="zh-CN"/>
        </w:rPr>
        <w:t>287.63</w:t>
      </w:r>
      <w:r>
        <w:rPr>
          <w:rFonts w:hint="eastAsia" w:ascii="仿宋" w:hAnsi="仿宋" w:eastAsia="仿宋" w:cs="仿宋"/>
          <w:sz w:val="32"/>
          <w:szCs w:val="32"/>
          <w:lang w:val="zh-CN"/>
        </w:rPr>
        <w:t>万元，资金开支范围、标准及支付进度等，支付依据合规合法，资金支付与预算相符。</w:t>
      </w:r>
    </w:p>
    <w:p w14:paraId="2D2CE053">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14:paraId="3954F539">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办公室组织机构健全，职责分工明确，制定了实施方案或计划，按计划实施各项工作，有明确的工作流程和岗位职责，办公条件能够有效保障，资金能足额保证，具有必要的应急管理方案，有针对突发事件或未知风险的应急措施。</w:t>
      </w:r>
    </w:p>
    <w:p w14:paraId="49D7FB78">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14:paraId="3D05B7CD">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政府组织机构健全，职责分工明确，制定了实施方案或计划，按计划实施全县政府工作，有明确的工作程序，基础设施条件能够有效保障，资金能足额保证，具有必要的控制措施或手段，有针对突发事件或未知风险的应急措施。</w:t>
      </w:r>
    </w:p>
    <w:p w14:paraId="67E93E39">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三、项目绩效情况</w:t>
      </w:r>
      <w:r>
        <w:rPr>
          <w:rFonts w:hint="eastAsia" w:ascii="仿宋" w:hAnsi="仿宋" w:eastAsia="仿宋" w:cs="仿宋"/>
          <w:sz w:val="32"/>
          <w:szCs w:val="32"/>
          <w:lang w:val="zh-CN"/>
        </w:rPr>
        <w:tab/>
      </w:r>
    </w:p>
    <w:p w14:paraId="20E2C186">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（一）项目完成情况。</w:t>
      </w:r>
    </w:p>
    <w:p w14:paraId="7D93A96A">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项目按期完成，</w:t>
      </w:r>
      <w:r>
        <w:rPr>
          <w:rFonts w:hint="eastAsia" w:ascii="仿宋" w:hAnsi="仿宋" w:eastAsia="仿宋" w:cs="仿宋"/>
          <w:sz w:val="32"/>
          <w:szCs w:val="32"/>
        </w:rPr>
        <w:t>项目资金无结余</w:t>
      </w:r>
      <w:r>
        <w:rPr>
          <w:rFonts w:hint="eastAsia" w:ascii="仿宋" w:hAnsi="仿宋" w:eastAsia="仿宋" w:cs="仿宋"/>
          <w:sz w:val="32"/>
          <w:szCs w:val="32"/>
          <w:lang w:val="zh-CN"/>
        </w:rPr>
        <w:t>，成本有效控制。</w:t>
      </w:r>
    </w:p>
    <w:p w14:paraId="798DB385">
      <w:pPr>
        <w:widowControl/>
        <w:pBdr>
          <w:bottom w:val="single" w:color="FFFFFF" w:sz="8" w:space="10"/>
        </w:pBdr>
        <w:shd w:val="clear" w:color="auto" w:fill="FFFFFF"/>
        <w:spacing w:line="480" w:lineRule="exact"/>
        <w:ind w:firstLine="643" w:firstLineChars="200"/>
        <w:jc w:val="left"/>
        <w:textAlignment w:val="top"/>
        <w:rPr>
          <w:rFonts w:hint="eastAsia" w:ascii="仿宋" w:hAnsi="仿宋" w:eastAsia="仿宋" w:cs="仿宋"/>
          <w:color w:val="333333"/>
          <w:kern w:val="0"/>
          <w:sz w:val="32"/>
          <w:szCs w:val="32"/>
        </w:rPr>
      </w:pPr>
      <w:r>
        <w:rPr>
          <w:rFonts w:hint="eastAsia" w:ascii="仿宋" w:hAnsi="仿宋" w:eastAsia="仿宋" w:cs="仿宋"/>
          <w:b/>
          <w:sz w:val="32"/>
          <w:szCs w:val="32"/>
          <w:lang w:val="zh-CN"/>
        </w:rPr>
        <w:t>（二）项目效益情况。</w:t>
      </w:r>
      <w:r>
        <w:rPr>
          <w:rFonts w:hint="eastAsia" w:ascii="仿宋" w:hAnsi="仿宋" w:eastAsia="仿宋" w:cs="仿宋"/>
          <w:color w:val="000000"/>
          <w:kern w:val="0"/>
          <w:sz w:val="32"/>
          <w:szCs w:val="32"/>
        </w:rPr>
        <w:t>九寨沟县2035年的远景目标是：</w:t>
      </w:r>
      <w:r>
        <w:rPr>
          <w:rFonts w:hint="eastAsia" w:ascii="仿宋" w:hAnsi="仿宋" w:eastAsia="仿宋" w:cs="仿宋"/>
          <w:color w:val="333333"/>
          <w:kern w:val="0"/>
          <w:sz w:val="32"/>
          <w:szCs w:val="32"/>
        </w:rPr>
        <w:t>在“十四五”发展基础上，力争再用10年时间，与全国、全省同步基本实现社会主义现代化，</w:t>
      </w:r>
      <w:r>
        <w:rPr>
          <w:rFonts w:hint="eastAsia" w:ascii="仿宋" w:hAnsi="仿宋" w:eastAsia="仿宋" w:cs="仿宋"/>
          <w:color w:val="000000"/>
          <w:kern w:val="0"/>
          <w:sz w:val="32"/>
          <w:szCs w:val="32"/>
        </w:rPr>
        <w:t>全县地区生产总值</w:t>
      </w:r>
      <w:r>
        <w:rPr>
          <w:rFonts w:hint="eastAsia" w:ascii="仿宋" w:hAnsi="仿宋" w:eastAsia="仿宋" w:cs="仿宋"/>
          <w:color w:val="333333"/>
          <w:kern w:val="0"/>
          <w:sz w:val="32"/>
          <w:szCs w:val="32"/>
        </w:rPr>
        <w:t>比2020年翻一番，全面建成“三地一典范”。</w:t>
      </w:r>
      <w:r>
        <w:rPr>
          <w:rFonts w:hint="eastAsia" w:ascii="仿宋" w:hAnsi="仿宋" w:eastAsia="仿宋" w:cs="仿宋"/>
          <w:color w:val="000000"/>
          <w:kern w:val="0"/>
          <w:sz w:val="32"/>
          <w:szCs w:val="32"/>
        </w:rPr>
        <w:t>要实现这些目标，我们必须从以下几个方面持续用力。</w:t>
      </w:r>
    </w:p>
    <w:p w14:paraId="29698626">
      <w:pPr>
        <w:widowControl/>
        <w:pBdr>
          <w:bottom w:val="single" w:color="FFFFFF" w:sz="8" w:space="10"/>
        </w:pBdr>
        <w:shd w:val="clear" w:color="auto" w:fill="FFFFFF"/>
        <w:spacing w:line="480" w:lineRule="exact"/>
        <w:ind w:firstLine="640" w:firstLineChars="200"/>
        <w:jc w:val="left"/>
        <w:textAlignment w:val="top"/>
        <w:rPr>
          <w:rFonts w:hint="eastAsia" w:ascii="仿宋" w:hAnsi="仿宋" w:eastAsia="仿宋" w:cs="仿宋"/>
          <w:color w:val="333333"/>
          <w:kern w:val="0"/>
          <w:sz w:val="32"/>
          <w:szCs w:val="32"/>
        </w:rPr>
      </w:pPr>
      <w:r>
        <w:rPr>
          <w:rFonts w:hint="eastAsia" w:ascii="仿宋" w:hAnsi="仿宋" w:eastAsia="仿宋" w:cs="仿宋"/>
          <w:bCs/>
          <w:color w:val="000000"/>
          <w:kern w:val="0"/>
          <w:sz w:val="32"/>
          <w:szCs w:val="32"/>
        </w:rPr>
        <w:t>一是坚持生态为先，促进人与自然和谐共生。二是坚持产业为核，促进经济发展活力共聚。三是</w:t>
      </w:r>
      <w:r>
        <w:rPr>
          <w:rFonts w:hint="eastAsia" w:ascii="仿宋" w:hAnsi="仿宋" w:eastAsia="仿宋" w:cs="仿宋"/>
          <w:bCs/>
          <w:color w:val="333333"/>
          <w:kern w:val="0"/>
          <w:sz w:val="32"/>
          <w:szCs w:val="32"/>
        </w:rPr>
        <w:t>坚持发展为要，促进区域城乡协同共进。四是坚持民生为本，促进发展红利全民共享。五是</w:t>
      </w:r>
      <w:r>
        <w:rPr>
          <w:rFonts w:hint="eastAsia" w:ascii="仿宋" w:hAnsi="仿宋" w:eastAsia="仿宋" w:cs="仿宋"/>
          <w:bCs/>
          <w:color w:val="000000"/>
          <w:kern w:val="0"/>
          <w:sz w:val="32"/>
          <w:szCs w:val="32"/>
        </w:rPr>
        <w:t>坚持稳定为基，促进社会大局多元共治。</w:t>
      </w:r>
      <w:r>
        <w:rPr>
          <w:rFonts w:hint="eastAsia" w:ascii="仿宋" w:hAnsi="仿宋" w:eastAsia="仿宋" w:cs="仿宋"/>
          <w:color w:val="000000"/>
          <w:kern w:val="0"/>
          <w:sz w:val="32"/>
          <w:szCs w:val="32"/>
        </w:rPr>
        <w:t>把总体国家安全观贯穿经济社会发展各领域，努力维护社会大局和谐稳定。把法治建设贯穿社会治理全过程，推进自治、法治、德治“三治融合”。紧盯基层组织治理、社会治理等重点领域，突出乡村、城镇、景区等重点区域，建立健全环境整治、服务管理、共建共享共治等机制，凝聚各方力量，推进社会治理体系和治理能力现代化。完善防控机制，提升应急管理能力，着力防范化解重大风险，加快建设“平安九寨”。</w:t>
      </w:r>
    </w:p>
    <w:p w14:paraId="68FD6A2A">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sz w:val="32"/>
          <w:szCs w:val="32"/>
        </w:rPr>
        <w:t>四、问题及建议</w:t>
      </w:r>
    </w:p>
    <w:p w14:paraId="1EE63BD2">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（一）存在的问题。无</w:t>
      </w:r>
    </w:p>
    <w:p w14:paraId="0925820C">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b/>
          <w:sz w:val="32"/>
          <w:szCs w:val="32"/>
          <w:lang w:val="zh-CN"/>
        </w:rPr>
        <w:t>（二）相关建议。</w:t>
      </w:r>
      <w:r>
        <w:rPr>
          <w:rFonts w:hint="eastAsia" w:ascii="仿宋" w:hAnsi="仿宋" w:eastAsia="仿宋" w:cs="仿宋"/>
          <w:sz w:val="32"/>
          <w:szCs w:val="32"/>
          <w:lang w:val="zh-CN"/>
        </w:rPr>
        <w:t>无</w:t>
      </w:r>
    </w:p>
    <w:p w14:paraId="45FB54C9">
      <w:pPr>
        <w:pStyle w:val="34"/>
        <w:spacing w:line="560" w:lineRule="exact"/>
        <w:jc w:val="center"/>
        <w:rPr>
          <w:rFonts w:hint="eastAsia" w:ascii="仿宋" w:hAnsi="仿宋" w:eastAsia="仿宋" w:cs="仿宋"/>
          <w:sz w:val="32"/>
          <w:szCs w:val="32"/>
        </w:rPr>
      </w:pPr>
    </w:p>
    <w:p w14:paraId="40E2E7E7">
      <w:pPr>
        <w:pStyle w:val="2"/>
        <w:jc w:val="center"/>
        <w:rPr>
          <w:rFonts w:ascii="黑体" w:hAnsi="黑体" w:eastAsia="黑体"/>
        </w:rPr>
      </w:pPr>
      <w:bookmarkStart w:id="80" w:name="_Toc12989"/>
      <w:bookmarkStart w:id="81" w:name="_Toc3165"/>
      <w:bookmarkStart w:id="82" w:name="_Toc8085"/>
      <w:bookmarkStart w:id="83" w:name="_Toc10188"/>
      <w:bookmarkStart w:id="84" w:name="_Toc27310"/>
      <w:r>
        <w:rPr>
          <w:rFonts w:hint="eastAsia" w:ascii="黑体" w:hAnsi="黑体" w:eastAsia="黑体"/>
        </w:rPr>
        <w:t>第五部分 附表</w:t>
      </w:r>
      <w:bookmarkEnd w:id="80"/>
      <w:bookmarkEnd w:id="81"/>
      <w:bookmarkEnd w:id="82"/>
      <w:bookmarkEnd w:id="83"/>
      <w:bookmarkEnd w:id="84"/>
    </w:p>
    <w:p w14:paraId="15C2BAFC">
      <w:pPr>
        <w:rPr>
          <w:rFonts w:ascii="仿宋" w:hAnsi="仿宋" w:eastAsia="仿宋"/>
          <w:sz w:val="32"/>
          <w:szCs w:val="32"/>
        </w:rPr>
      </w:pPr>
      <w:r>
        <w:rPr>
          <w:rFonts w:hint="eastAsia" w:ascii="仿宋" w:hAnsi="仿宋" w:eastAsia="仿宋"/>
          <w:sz w:val="32"/>
          <w:szCs w:val="32"/>
        </w:rPr>
        <w:t>一、收入支出决算总表</w:t>
      </w:r>
    </w:p>
    <w:p w14:paraId="0E1A5209">
      <w:pPr>
        <w:rPr>
          <w:rFonts w:ascii="仿宋" w:hAnsi="仿宋" w:eastAsia="仿宋"/>
          <w:sz w:val="32"/>
          <w:szCs w:val="32"/>
        </w:rPr>
      </w:pPr>
      <w:r>
        <w:rPr>
          <w:rFonts w:hint="eastAsia" w:ascii="仿宋" w:hAnsi="仿宋" w:eastAsia="仿宋"/>
          <w:sz w:val="32"/>
          <w:szCs w:val="32"/>
        </w:rPr>
        <w:t>二、收入决算表</w:t>
      </w:r>
    </w:p>
    <w:p w14:paraId="0681E804">
      <w:pPr>
        <w:rPr>
          <w:rFonts w:ascii="仿宋" w:hAnsi="仿宋" w:eastAsia="仿宋"/>
          <w:sz w:val="32"/>
          <w:szCs w:val="32"/>
        </w:rPr>
      </w:pPr>
      <w:r>
        <w:rPr>
          <w:rFonts w:hint="eastAsia" w:ascii="仿宋" w:hAnsi="仿宋" w:eastAsia="仿宋"/>
          <w:sz w:val="32"/>
          <w:szCs w:val="32"/>
        </w:rPr>
        <w:t>三、支出决算表</w:t>
      </w:r>
    </w:p>
    <w:p w14:paraId="0CAF380B">
      <w:pPr>
        <w:rPr>
          <w:rFonts w:ascii="仿宋" w:hAnsi="仿宋" w:eastAsia="仿宋"/>
          <w:sz w:val="32"/>
          <w:szCs w:val="32"/>
        </w:rPr>
      </w:pPr>
      <w:r>
        <w:rPr>
          <w:rFonts w:hint="eastAsia" w:ascii="仿宋" w:hAnsi="仿宋" w:eastAsia="仿宋"/>
          <w:sz w:val="32"/>
          <w:szCs w:val="32"/>
        </w:rPr>
        <w:t>四、财政拨款收入支出决算总表</w:t>
      </w:r>
    </w:p>
    <w:p w14:paraId="1ADC3771">
      <w:pPr>
        <w:rPr>
          <w:rFonts w:ascii="仿宋" w:hAnsi="仿宋" w:eastAsia="仿宋"/>
          <w:sz w:val="32"/>
          <w:szCs w:val="32"/>
        </w:rPr>
      </w:pPr>
      <w:r>
        <w:rPr>
          <w:rFonts w:hint="eastAsia" w:ascii="仿宋" w:hAnsi="仿宋" w:eastAsia="仿宋"/>
          <w:sz w:val="32"/>
          <w:szCs w:val="32"/>
        </w:rPr>
        <w:t>五、财政拨款支出决算明细表</w:t>
      </w:r>
    </w:p>
    <w:p w14:paraId="20348FEF">
      <w:pPr>
        <w:rPr>
          <w:rFonts w:ascii="仿宋" w:hAnsi="仿宋" w:eastAsia="仿宋"/>
          <w:sz w:val="32"/>
          <w:szCs w:val="32"/>
        </w:rPr>
      </w:pPr>
      <w:r>
        <w:rPr>
          <w:rFonts w:hint="eastAsia" w:ascii="仿宋" w:hAnsi="仿宋" w:eastAsia="仿宋"/>
          <w:sz w:val="32"/>
          <w:szCs w:val="32"/>
        </w:rPr>
        <w:t>六、一般公共预算财政拨款支出决算表</w:t>
      </w:r>
    </w:p>
    <w:p w14:paraId="3544DE21">
      <w:pPr>
        <w:rPr>
          <w:rFonts w:ascii="仿宋" w:hAnsi="仿宋" w:eastAsia="仿宋"/>
          <w:sz w:val="32"/>
          <w:szCs w:val="32"/>
        </w:rPr>
      </w:pPr>
      <w:r>
        <w:rPr>
          <w:rFonts w:hint="eastAsia" w:ascii="仿宋" w:hAnsi="仿宋" w:eastAsia="仿宋"/>
          <w:sz w:val="32"/>
          <w:szCs w:val="32"/>
        </w:rPr>
        <w:t>七、一般公共预算财政拨款支出决算明细表</w:t>
      </w:r>
    </w:p>
    <w:p w14:paraId="68DC305C">
      <w:pPr>
        <w:rPr>
          <w:rFonts w:ascii="仿宋" w:hAnsi="仿宋" w:eastAsia="仿宋"/>
          <w:sz w:val="32"/>
          <w:szCs w:val="32"/>
        </w:rPr>
      </w:pPr>
      <w:r>
        <w:rPr>
          <w:rFonts w:hint="eastAsia" w:ascii="仿宋" w:hAnsi="仿宋" w:eastAsia="仿宋"/>
          <w:sz w:val="32"/>
          <w:szCs w:val="32"/>
        </w:rPr>
        <w:t>八、一般公共预算财政拨款基本支出决算表</w:t>
      </w:r>
    </w:p>
    <w:p w14:paraId="0DF0E3AE">
      <w:pPr>
        <w:rPr>
          <w:rFonts w:ascii="仿宋" w:hAnsi="仿宋" w:eastAsia="仿宋"/>
          <w:sz w:val="32"/>
          <w:szCs w:val="32"/>
        </w:rPr>
      </w:pPr>
      <w:r>
        <w:rPr>
          <w:rFonts w:hint="eastAsia" w:ascii="仿宋" w:hAnsi="仿宋" w:eastAsia="仿宋"/>
          <w:sz w:val="32"/>
          <w:szCs w:val="32"/>
        </w:rPr>
        <w:t>九、一般公共预算财政拨款项目支出决算表</w:t>
      </w:r>
    </w:p>
    <w:p w14:paraId="3E67BFB1">
      <w:pPr>
        <w:rPr>
          <w:rFonts w:ascii="仿宋" w:hAnsi="仿宋" w:eastAsia="仿宋"/>
          <w:sz w:val="32"/>
          <w:szCs w:val="32"/>
        </w:rPr>
      </w:pPr>
      <w:r>
        <w:rPr>
          <w:rFonts w:hint="eastAsia" w:ascii="仿宋" w:hAnsi="仿宋" w:eastAsia="仿宋"/>
          <w:sz w:val="32"/>
          <w:szCs w:val="32"/>
        </w:rPr>
        <w:t>十、政府性基金预算财政拨款收入支出决算表</w:t>
      </w:r>
    </w:p>
    <w:p w14:paraId="5B46A284">
      <w:pPr>
        <w:rPr>
          <w:rFonts w:ascii="仿宋" w:hAnsi="仿宋" w:eastAsia="仿宋"/>
          <w:sz w:val="32"/>
          <w:szCs w:val="32"/>
        </w:rPr>
      </w:pPr>
      <w:r>
        <w:rPr>
          <w:rFonts w:hint="eastAsia" w:ascii="仿宋" w:hAnsi="仿宋" w:eastAsia="仿宋"/>
          <w:sz w:val="32"/>
          <w:szCs w:val="32"/>
        </w:rPr>
        <w:t>十一、国有资本经营预算财政拨款收入支出决算表</w:t>
      </w:r>
    </w:p>
    <w:p w14:paraId="4583C6E8">
      <w:pPr>
        <w:rPr>
          <w:rFonts w:ascii="仿宋" w:hAnsi="仿宋" w:eastAsia="仿宋"/>
          <w:sz w:val="32"/>
          <w:szCs w:val="32"/>
        </w:rPr>
      </w:pPr>
      <w:r>
        <w:rPr>
          <w:rFonts w:hint="eastAsia" w:ascii="仿宋" w:hAnsi="仿宋" w:eastAsia="仿宋"/>
          <w:sz w:val="32"/>
          <w:szCs w:val="32"/>
        </w:rPr>
        <w:t>十二、国有资本经营预算财政拨款支出决算表</w:t>
      </w:r>
    </w:p>
    <w:p w14:paraId="47E38CD3">
      <w:pPr>
        <w:rPr>
          <w:rFonts w:ascii="仿宋" w:hAnsi="仿宋" w:eastAsia="仿宋"/>
          <w:sz w:val="32"/>
          <w:szCs w:val="32"/>
        </w:rPr>
      </w:pPr>
      <w:r>
        <w:rPr>
          <w:rFonts w:hint="eastAsia" w:ascii="仿宋" w:hAnsi="仿宋" w:eastAsia="仿宋"/>
          <w:sz w:val="32"/>
          <w:szCs w:val="32"/>
        </w:rPr>
        <w:t>十三、财政拨款“三公”经费支出决算表</w:t>
      </w:r>
    </w:p>
    <w:p w14:paraId="6D7545C1">
      <w:pPr>
        <w:pStyle w:val="3"/>
        <w:ind w:firstLine="643" w:firstLineChars="200"/>
        <w:rPr>
          <w:rFonts w:eastAsia="仿宋"/>
        </w:rPr>
      </w:pP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5D277">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1929"/>
                          </w:sdtPr>
                          <w:sdtContent>
                            <w:p w14:paraId="09E9B574">
                              <w:pPr>
                                <w:pStyle w:val="9"/>
                                <w:jc w:val="cente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PAGE   \* MERGEFORMAT</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lang w:val="zh-CN"/>
                                </w:rPr>
                                <w:t>15</w:t>
                              </w:r>
                              <w:r>
                                <w:rPr>
                                  <w:rFonts w:hint="default" w:ascii="Times New Roman" w:hAnsi="Times New Roman" w:cs="Times New Roman"/>
                                  <w:sz w:val="24"/>
                                  <w:szCs w:val="24"/>
                                </w:rPr>
                                <w:fldChar w:fldCharType="end"/>
                              </w:r>
                            </w:p>
                          </w:sdtContent>
                        </w:sdt>
                        <w:p w14:paraId="68DDF3FC"/>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61929"/>
                    </w:sdtPr>
                    <w:sdtContent>
                      <w:p w14:paraId="09E9B574">
                        <w:pPr>
                          <w:pStyle w:val="9"/>
                          <w:jc w:val="cente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PAGE   \* MERGEFORMAT</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lang w:val="zh-CN"/>
                          </w:rPr>
                          <w:t>15</w:t>
                        </w:r>
                        <w:r>
                          <w:rPr>
                            <w:rFonts w:hint="default" w:ascii="Times New Roman" w:hAnsi="Times New Roman" w:cs="Times New Roman"/>
                            <w:sz w:val="24"/>
                            <w:szCs w:val="24"/>
                          </w:rPr>
                          <w:fldChar w:fldCharType="end"/>
                        </w:r>
                      </w:p>
                    </w:sdtContent>
                  </w:sdt>
                  <w:p w14:paraId="68DDF3FC"/>
                </w:txbxContent>
              </v:textbox>
            </v:shape>
          </w:pict>
        </mc:Fallback>
      </mc:AlternateContent>
    </w:r>
  </w:p>
  <w:p w14:paraId="70AD6818">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9ABDB">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8BFFA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68BFFA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CF5D0">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7160"/>
                          </w:sdtPr>
                          <w:sdtContent>
                            <w:p w14:paraId="3C86FEB9">
                              <w:pPr>
                                <w:pStyle w:val="9"/>
                                <w:jc w:val="center"/>
                              </w:pPr>
                              <w:r>
                                <w:fldChar w:fldCharType="begin"/>
                              </w:r>
                              <w:r>
                                <w:instrText xml:space="preserve">PAGE   \* MERGEFORMAT</w:instrText>
                              </w:r>
                              <w:r>
                                <w:fldChar w:fldCharType="separate"/>
                              </w:r>
                              <w:r>
                                <w:rPr>
                                  <w:lang w:val="zh-CN"/>
                                </w:rPr>
                                <w:t>23</w:t>
                              </w:r>
                              <w:r>
                                <w:fldChar w:fldCharType="end"/>
                              </w:r>
                            </w:p>
                          </w:sdtContent>
                        </w:sdt>
                        <w:p w14:paraId="5515CA56"/>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47467160"/>
                    </w:sdtPr>
                    <w:sdtContent>
                      <w:p w14:paraId="3C86FEB9">
                        <w:pPr>
                          <w:pStyle w:val="9"/>
                          <w:jc w:val="center"/>
                        </w:pPr>
                        <w:r>
                          <w:fldChar w:fldCharType="begin"/>
                        </w:r>
                        <w:r>
                          <w:instrText xml:space="preserve">PAGE   \* MERGEFORMAT</w:instrText>
                        </w:r>
                        <w:r>
                          <w:fldChar w:fldCharType="separate"/>
                        </w:r>
                        <w:r>
                          <w:rPr>
                            <w:lang w:val="zh-CN"/>
                          </w:rPr>
                          <w:t>23</w:t>
                        </w:r>
                        <w:r>
                          <w:fldChar w:fldCharType="end"/>
                        </w:r>
                      </w:p>
                    </w:sdtContent>
                  </w:sdt>
                  <w:p w14:paraId="5515CA56"/>
                </w:txbxContent>
              </v:textbox>
            </v:shape>
          </w:pict>
        </mc:Fallback>
      </mc:AlternateContent>
    </w:r>
  </w:p>
  <w:p w14:paraId="2818BFE4">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C8C65">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7989C4">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F7989C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63E6D">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187B8">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E38C0B83"/>
    <w:multiLevelType w:val="singleLevel"/>
    <w:tmpl w:val="E38C0B83"/>
    <w:lvl w:ilvl="0" w:tentative="0">
      <w:start w:val="3"/>
      <w:numFmt w:val="chineseCounting"/>
      <w:suff w:val="nothing"/>
      <w:lvlText w:val="（%1）"/>
      <w:lvlJc w:val="left"/>
      <w:rPr>
        <w:rFonts w:hint="eastAsia"/>
      </w:rPr>
    </w:lvl>
  </w:abstractNum>
  <w:abstractNum w:abstractNumId="3">
    <w:nsid w:val="23ED77D4"/>
    <w:multiLevelType w:val="multilevel"/>
    <w:tmpl w:val="23ED77D4"/>
    <w:lvl w:ilvl="0" w:tentative="0">
      <w:start w:val="1"/>
      <w:numFmt w:val="japaneseCounting"/>
      <w:lvlText w:val="（%1）"/>
      <w:lvlJc w:val="left"/>
      <w:pPr>
        <w:ind w:left="1725" w:hanging="1005"/>
      </w:pPr>
      <w:rPr>
        <w:rFonts w:hint="eastAsia" w:ascii="楷体_GB2312" w:eastAsia="楷体_GB2312"/>
        <w:b/>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4">
    <w:nsid w:val="3818A09A"/>
    <w:multiLevelType w:val="singleLevel"/>
    <w:tmpl w:val="3818A09A"/>
    <w:lvl w:ilvl="0" w:tentative="0">
      <w:start w:val="1"/>
      <w:numFmt w:val="chineseCounting"/>
      <w:suff w:val="nothing"/>
      <w:lvlText w:val="%1、"/>
      <w:lvlJc w:val="left"/>
      <w:rPr>
        <w:rFonts w:hint="eastAsia"/>
      </w:rPr>
    </w:lvl>
  </w:abstractNum>
  <w:abstractNum w:abstractNumId="5">
    <w:nsid w:val="65540F08"/>
    <w:multiLevelType w:val="singleLevel"/>
    <w:tmpl w:val="65540F08"/>
    <w:lvl w:ilvl="0" w:tentative="0">
      <w:start w:val="2"/>
      <w:numFmt w:val="decimal"/>
      <w:lvlText w:val="%1."/>
      <w:lvlJc w:val="left"/>
      <w:pPr>
        <w:tabs>
          <w:tab w:val="left" w:pos="312"/>
        </w:tabs>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19"/>
  <w:drawingGridHorizontalSpacing w:val="105"/>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hOWE5YjAyZWVlZDg1NDZiMmY3NzE0NzJlNzYzNjg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27EDF"/>
    <w:rsid w:val="02B104E4"/>
    <w:rsid w:val="02D40B22"/>
    <w:rsid w:val="02F551C7"/>
    <w:rsid w:val="03301EE4"/>
    <w:rsid w:val="03DC2831"/>
    <w:rsid w:val="03F23D0A"/>
    <w:rsid w:val="044D3399"/>
    <w:rsid w:val="05213A01"/>
    <w:rsid w:val="058F54C3"/>
    <w:rsid w:val="076170CE"/>
    <w:rsid w:val="081B5E94"/>
    <w:rsid w:val="095353CE"/>
    <w:rsid w:val="09EA6F07"/>
    <w:rsid w:val="0A14326D"/>
    <w:rsid w:val="0A2032A3"/>
    <w:rsid w:val="0AA5648F"/>
    <w:rsid w:val="0B0D6E40"/>
    <w:rsid w:val="0B1D0254"/>
    <w:rsid w:val="0B347528"/>
    <w:rsid w:val="0B8A37D8"/>
    <w:rsid w:val="0BA3342A"/>
    <w:rsid w:val="0D9A76F7"/>
    <w:rsid w:val="0DDF5A6F"/>
    <w:rsid w:val="0E592DE1"/>
    <w:rsid w:val="0EA37FCC"/>
    <w:rsid w:val="0EE72544"/>
    <w:rsid w:val="0F4A77C6"/>
    <w:rsid w:val="0F5FFB2F"/>
    <w:rsid w:val="0F77452C"/>
    <w:rsid w:val="0F9910EE"/>
    <w:rsid w:val="0FFFCF60"/>
    <w:rsid w:val="10120F66"/>
    <w:rsid w:val="1039626D"/>
    <w:rsid w:val="104A4BA3"/>
    <w:rsid w:val="10C055FF"/>
    <w:rsid w:val="11104482"/>
    <w:rsid w:val="118107EC"/>
    <w:rsid w:val="11A070AF"/>
    <w:rsid w:val="11DD6519"/>
    <w:rsid w:val="144A11B9"/>
    <w:rsid w:val="15BC62B8"/>
    <w:rsid w:val="15C0683C"/>
    <w:rsid w:val="162635F3"/>
    <w:rsid w:val="16BB723D"/>
    <w:rsid w:val="1765414D"/>
    <w:rsid w:val="18015F3F"/>
    <w:rsid w:val="18216B7B"/>
    <w:rsid w:val="1A681208"/>
    <w:rsid w:val="1AA05C6C"/>
    <w:rsid w:val="1B9A0057"/>
    <w:rsid w:val="1BD01CD5"/>
    <w:rsid w:val="1BE8440E"/>
    <w:rsid w:val="1CE21A25"/>
    <w:rsid w:val="1D155CEE"/>
    <w:rsid w:val="1D9F40CF"/>
    <w:rsid w:val="1E2C727D"/>
    <w:rsid w:val="1E2F53D8"/>
    <w:rsid w:val="1FDBBF84"/>
    <w:rsid w:val="20F57F95"/>
    <w:rsid w:val="21BF32B8"/>
    <w:rsid w:val="222A0391"/>
    <w:rsid w:val="225705E3"/>
    <w:rsid w:val="240371BF"/>
    <w:rsid w:val="251F40B8"/>
    <w:rsid w:val="25711CC6"/>
    <w:rsid w:val="25C741E6"/>
    <w:rsid w:val="26B446CD"/>
    <w:rsid w:val="27074267"/>
    <w:rsid w:val="276F80C0"/>
    <w:rsid w:val="27842671"/>
    <w:rsid w:val="28107C62"/>
    <w:rsid w:val="298F4C7F"/>
    <w:rsid w:val="29FD04D3"/>
    <w:rsid w:val="2A04596B"/>
    <w:rsid w:val="2ABE7A3E"/>
    <w:rsid w:val="2AFF09B6"/>
    <w:rsid w:val="2B14398C"/>
    <w:rsid w:val="2BE45A54"/>
    <w:rsid w:val="2CA234A8"/>
    <w:rsid w:val="2D504D62"/>
    <w:rsid w:val="2DC86CB0"/>
    <w:rsid w:val="2EFA178C"/>
    <w:rsid w:val="2EFDF86C"/>
    <w:rsid w:val="2F1D391E"/>
    <w:rsid w:val="2F9D17E1"/>
    <w:rsid w:val="30B46D73"/>
    <w:rsid w:val="30D96B73"/>
    <w:rsid w:val="312573AE"/>
    <w:rsid w:val="319F7F4E"/>
    <w:rsid w:val="31FF5ABB"/>
    <w:rsid w:val="320B7F9A"/>
    <w:rsid w:val="3221139E"/>
    <w:rsid w:val="34BA1A48"/>
    <w:rsid w:val="356A28F1"/>
    <w:rsid w:val="357C035A"/>
    <w:rsid w:val="3593157F"/>
    <w:rsid w:val="35B5220F"/>
    <w:rsid w:val="36466330"/>
    <w:rsid w:val="368E000D"/>
    <w:rsid w:val="383D272C"/>
    <w:rsid w:val="39673EBB"/>
    <w:rsid w:val="39AE70AB"/>
    <w:rsid w:val="3A4DCE41"/>
    <w:rsid w:val="3A5C6756"/>
    <w:rsid w:val="3B8D5F63"/>
    <w:rsid w:val="3BCB56FA"/>
    <w:rsid w:val="3BFA0D53"/>
    <w:rsid w:val="3C0C0783"/>
    <w:rsid w:val="3C9F1164"/>
    <w:rsid w:val="3CC316B6"/>
    <w:rsid w:val="3EE7C2F4"/>
    <w:rsid w:val="3EEF0FB1"/>
    <w:rsid w:val="3F371B56"/>
    <w:rsid w:val="3F792ED8"/>
    <w:rsid w:val="3F9F3A96"/>
    <w:rsid w:val="3FECA4B2"/>
    <w:rsid w:val="3FF52C80"/>
    <w:rsid w:val="3FF58C48"/>
    <w:rsid w:val="41287D39"/>
    <w:rsid w:val="4129318E"/>
    <w:rsid w:val="412D19A2"/>
    <w:rsid w:val="417E5BAB"/>
    <w:rsid w:val="42FF6694"/>
    <w:rsid w:val="43D45463"/>
    <w:rsid w:val="44551FEF"/>
    <w:rsid w:val="44DA0ED2"/>
    <w:rsid w:val="46F13E40"/>
    <w:rsid w:val="48BF60AB"/>
    <w:rsid w:val="493C27E9"/>
    <w:rsid w:val="496F39ED"/>
    <w:rsid w:val="49FF41D3"/>
    <w:rsid w:val="4A036BAE"/>
    <w:rsid w:val="4AF13A7C"/>
    <w:rsid w:val="4B2C57A1"/>
    <w:rsid w:val="4B9905B7"/>
    <w:rsid w:val="4BE068DB"/>
    <w:rsid w:val="4BF6002B"/>
    <w:rsid w:val="4BFFC6BE"/>
    <w:rsid w:val="4CC65125"/>
    <w:rsid w:val="4ECE2238"/>
    <w:rsid w:val="500B77B1"/>
    <w:rsid w:val="50FF2509"/>
    <w:rsid w:val="51DB4B86"/>
    <w:rsid w:val="51F64DB0"/>
    <w:rsid w:val="529C30B9"/>
    <w:rsid w:val="53711A26"/>
    <w:rsid w:val="53B70EEF"/>
    <w:rsid w:val="55333C3E"/>
    <w:rsid w:val="55F45FE4"/>
    <w:rsid w:val="574142C7"/>
    <w:rsid w:val="59A4298C"/>
    <w:rsid w:val="5AD32FB5"/>
    <w:rsid w:val="5AF50835"/>
    <w:rsid w:val="5B853065"/>
    <w:rsid w:val="5D384E12"/>
    <w:rsid w:val="5D526D0E"/>
    <w:rsid w:val="5DA702B7"/>
    <w:rsid w:val="5DD15589"/>
    <w:rsid w:val="5F67802D"/>
    <w:rsid w:val="5F7DC4F2"/>
    <w:rsid w:val="5FB36814"/>
    <w:rsid w:val="5FBB8E56"/>
    <w:rsid w:val="5FEB66AA"/>
    <w:rsid w:val="5FFB5535"/>
    <w:rsid w:val="601C6864"/>
    <w:rsid w:val="60FC4644"/>
    <w:rsid w:val="63771456"/>
    <w:rsid w:val="63C11C43"/>
    <w:rsid w:val="642D54E3"/>
    <w:rsid w:val="64524F4A"/>
    <w:rsid w:val="64825537"/>
    <w:rsid w:val="64CA39A1"/>
    <w:rsid w:val="64E8280F"/>
    <w:rsid w:val="64EB4BD7"/>
    <w:rsid w:val="663A5C95"/>
    <w:rsid w:val="66485A5D"/>
    <w:rsid w:val="67F97372"/>
    <w:rsid w:val="68CA1931"/>
    <w:rsid w:val="69630ADE"/>
    <w:rsid w:val="69BD5F13"/>
    <w:rsid w:val="69FB0B4B"/>
    <w:rsid w:val="6A1001B4"/>
    <w:rsid w:val="6B56531F"/>
    <w:rsid w:val="6B9E6A1E"/>
    <w:rsid w:val="6BFFE1FB"/>
    <w:rsid w:val="6C4A05C8"/>
    <w:rsid w:val="6CAE5310"/>
    <w:rsid w:val="6D3B1A89"/>
    <w:rsid w:val="6DB7D8A3"/>
    <w:rsid w:val="6DC01176"/>
    <w:rsid w:val="6EC78701"/>
    <w:rsid w:val="6EFC6607"/>
    <w:rsid w:val="6F7A5481"/>
    <w:rsid w:val="6FFE07A9"/>
    <w:rsid w:val="71BF4EC2"/>
    <w:rsid w:val="72734D90"/>
    <w:rsid w:val="73C00E3F"/>
    <w:rsid w:val="73E75B71"/>
    <w:rsid w:val="7412278C"/>
    <w:rsid w:val="74643BB8"/>
    <w:rsid w:val="747C1AD0"/>
    <w:rsid w:val="75412B9C"/>
    <w:rsid w:val="75DDCDA9"/>
    <w:rsid w:val="75FE2DE2"/>
    <w:rsid w:val="75FF44B1"/>
    <w:rsid w:val="76FF3570"/>
    <w:rsid w:val="77670518"/>
    <w:rsid w:val="777FA627"/>
    <w:rsid w:val="77950E92"/>
    <w:rsid w:val="77DF1B5F"/>
    <w:rsid w:val="77EF2D9D"/>
    <w:rsid w:val="798A194F"/>
    <w:rsid w:val="79D57CA0"/>
    <w:rsid w:val="79E7B28D"/>
    <w:rsid w:val="7A08321D"/>
    <w:rsid w:val="7ACFF0C2"/>
    <w:rsid w:val="7AFB9108"/>
    <w:rsid w:val="7BD5340C"/>
    <w:rsid w:val="7BFB19D2"/>
    <w:rsid w:val="7BFD1750"/>
    <w:rsid w:val="7BFDAA1B"/>
    <w:rsid w:val="7CDF9A82"/>
    <w:rsid w:val="7CFFA1BD"/>
    <w:rsid w:val="7D2E3F7A"/>
    <w:rsid w:val="7D445F5A"/>
    <w:rsid w:val="7DCA6426"/>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1"/>
    <w:semiHidden/>
    <w:unhideWhenUsed/>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Body Text First Indent 2"/>
    <w:basedOn w:val="6"/>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0"/>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9"/>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2"/>
    <w:qFormat/>
    <w:uiPriority w:val="9"/>
    <w:rPr>
      <w:rFonts w:ascii="Times New Roman" w:hAnsi="Times New Roman"/>
      <w:b/>
      <w:bCs/>
      <w:kern w:val="44"/>
      <w:sz w:val="44"/>
      <w:szCs w:val="44"/>
    </w:rPr>
  </w:style>
  <w:style w:type="character" w:customStyle="1" w:styleId="29">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8"/>
    <w:semiHidden/>
    <w:qFormat/>
    <w:uiPriority w:val="99"/>
    <w:rPr>
      <w:rFonts w:ascii="Times New Roman" w:hAnsi="Times New Roman"/>
      <w:kern w:val="2"/>
      <w:sz w:val="18"/>
      <w:szCs w:val="18"/>
    </w:rPr>
  </w:style>
  <w:style w:type="character" w:customStyle="1" w:styleId="32">
    <w:name w:val="标题 3 字符"/>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531</Words>
  <Characters>558</Characters>
  <Lines>54</Lines>
  <Paragraphs>15</Paragraphs>
  <TotalTime>2</TotalTime>
  <ScaleCrop>false</ScaleCrop>
  <LinksUpToDate>false</LinksUpToDate>
  <CharactersWithSpaces>595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王五</cp:lastModifiedBy>
  <cp:lastPrinted>2023-08-03T02:35:00Z</cp:lastPrinted>
  <dcterms:modified xsi:type="dcterms:W3CDTF">2025-10-17T08:00:46Z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EBDE22851964491DAAA9384F590A6AF6_12</vt:lpwstr>
  </property>
  <property fmtid="{D5CDD505-2E9C-101B-9397-08002B2CF9AE}" pid="4" name="KSOTemplateDocerSaveRecord">
    <vt:lpwstr>eyJoZGlkIjoiZDllM2NkMjJkY2UyNjQzZTI0ODI4Njc4YTA2MzFhZGYiLCJ1c2VySWQiOiIxMTY4ODI0NjM2In0=</vt:lpwstr>
  </property>
</Properties>
</file>