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15377193"/>
      <w:bookmarkStart w:id="4" w:name="_Toc15378441"/>
      <w:bookmarkStart w:id="5" w:name="_Toc1537742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194"/>
      <w:bookmarkStart w:id="8" w:name="_Toc15377426"/>
      <w:bookmarkStart w:id="9" w:name="_Toc15396476"/>
      <w:bookmarkStart w:id="10" w:name="_Toc15306268"/>
      <w:bookmarkStart w:id="11" w:name="_Toc15378442"/>
      <w:r>
        <w:rPr>
          <w:rFonts w:hint="eastAsia" w:ascii="方正小标宋简体" w:hAnsi="宋体" w:eastAsia="方正小标宋简体"/>
          <w:color w:val="000000"/>
          <w:sz w:val="72"/>
          <w:szCs w:val="72"/>
        </w:rPr>
        <w:t>九寨沟县政协办部门决算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公开时间：2019年8月29日</w:t>
      </w:r>
    </w:p>
    <w:p/>
    <w:p>
      <w:pPr>
        <w:pStyle w:val="10"/>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fldChar w:fldCharType="begin"/>
      </w:r>
      <w:r>
        <w:instrText xml:space="preserve"> PAGEREF _Toc15396614 \h </w:instrText>
      </w:r>
      <w:r>
        <w:fldChar w:fldCharType="separate"/>
      </w:r>
      <w:r>
        <w:t>19</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fldChar w:fldCharType="begin"/>
      </w:r>
      <w:r>
        <w:instrText xml:space="preserve"> PAGEREF _Toc15396618 \h </w:instrText>
      </w:r>
      <w:r>
        <w:fldChar w:fldCharType="separate"/>
      </w:r>
      <w:r>
        <w:t>22</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spacing w:line="576" w:lineRule="exact"/>
        <w:ind w:firstLine="640" w:firstLineChars="200"/>
        <w:rPr>
          <w:rFonts w:ascii="仿宋_GB2312" w:hAnsi="仿宋_GB2312" w:eastAsia="仿宋_GB2312" w:cs="仿宋_GB2312"/>
          <w:b/>
          <w:color w:val="000000"/>
          <w:sz w:val="32"/>
          <w:szCs w:val="32"/>
        </w:rPr>
      </w:pPr>
      <w:bookmarkStart w:id="16" w:name="_Toc15378445"/>
      <w:bookmarkStart w:id="17" w:name="_Toc15377198"/>
      <w:r>
        <w:rPr>
          <w:rFonts w:hint="eastAsia" w:ascii="仿宋" w:hAnsi="仿宋" w:eastAsia="仿宋"/>
          <w:bCs/>
          <w:color w:val="000000"/>
          <w:sz w:val="32"/>
          <w:szCs w:val="32"/>
        </w:rPr>
        <w:t>（一）主要职能。</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中国人民政治协商会议九寨沟县委员会是中共九寨沟县委员会领导的联系和团结全县各族各界人士的爱国统一战线组织和政治协商职能的重要机构。九寨沟县政协机关下设四委一室</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1、提案社会工作委员会</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（1）根据政协《章程》规定，提案社会工作委员会在常委会的领导下，负责提案的审查立案、转送、督办、催办、反馈、追踪等系例工作，每年将提案办理情况向全体委员会报告。</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围绕稳定、发展、参与抓法制宣传，调动一切积极因素，发挥群团组织在两个文明建设中的积极作用，积极参与社会治安综合治理工作，为我县兴旅、强农、建市目标作好调查研究，主动建言献策，密切联系所在人民团体的委员，及时了解社情民意。</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2、经济教育卫生委员会</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经济教育卫生委员会在常委会的领导下，围绕我县经济建设这个中心，组织委员经常性的专题调查、视察、座谈、密切联系委员，就我县的经济建设，社会发展，改革开放等重大决策的实施情况提出建议、批评和民主监督，为县委、</w:t>
      </w:r>
      <w:bookmarkStart w:id="75" w:name="_GoBack"/>
      <w:bookmarkEnd w:id="75"/>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政府</w:t>
      </w:r>
      <w:r>
        <w:rPr>
          <w:rFonts w:hint="eastAsia" w:ascii="仿宋_GB2312" w:hAnsi="仿宋_GB2312" w:eastAsia="仿宋_GB2312" w:cs="仿宋_GB2312"/>
          <w:color w:val="000000"/>
          <w:sz w:val="32"/>
          <w:szCs w:val="32"/>
        </w:rPr>
        <w:t>决策提供依据。</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（2）参与贯彻教育、文化、卫生等方面的法律、法规的宣传教育和具体实施中的监督，组织委员对此项工作的调查、视察和座谈，及时关心和反映科技人员的工作、生活等方面的困难和要求。</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3、文史、民族宗教委员会</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（1）搜集、征集、整理文史资料，全面系统地挖掘史料，及时研究和出版文史资料，为我县的两个文明建设服务。</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（2）认真贯彻党的民族宗教政策和《民族区域自治法》，参与政府部门组织的宗教寺庙管理和民族纠纷问题的调解，并提出意见和建议，团结各族各界人士，为我县的政治稳定、经济发展、社会进步作出贡献。</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4、综合办公室</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(1)在常委会和主席会的领导下，负责综合协调，密切与专门委员会和县级各部门的工作联系。</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(2)认真作好常委会、主席会、全体委员会议的筹备工作，作好会议记录，文书档案，草拟有关文字材料。</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(3)组织政协机关的学习及其他活动，传达贯彻上级和有关部门的会议精神，作好上传下达等工作</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(4)搞好政协委员的联系、接待和人民群众来信来访等工作。</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(5)搞好本机关的后勤保障工作及有关离退休人员的服务工作，完成常委会议、主席会交办的其他工作。</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(6)承办县政府交办的其他事项。</w:t>
      </w:r>
      <w:bookmarkEnd w:id="16"/>
      <w:bookmarkEnd w:id="17"/>
    </w:p>
    <w:p>
      <w:pPr>
        <w:spacing w:line="576" w:lineRule="exact"/>
        <w:ind w:firstLine="640" w:firstLineChars="200"/>
        <w:rPr>
          <w:rFonts w:ascii="仿宋_GB2312" w:hAnsi="仿宋_GB2312" w:eastAsia="仿宋_GB2312" w:cs="仿宋_GB2312"/>
          <w:b/>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增强党性修养，强化思想政治建设。县政协机关将学习摆在突出位置，建立每周集中学习例会制度，努力推动政协工作不断创新。2.坚持民主集中制，自觉遵守党的纪律。一是坚持贯彻民主集中制，以制度纪律为保证。二是严守党的政治纪律，始终与党中央保持高度一致。3.加强党风廉政建设，认真落实“一岗双责”。一是严格落实党风廉政建设责任制。二是建立健全党风廉政建设工作制度。三是机关班子带头遵守党的政治纪律。4.凝聚班子合力，强化机关团结协作。5.注重工作实绩，助推各项工作落实。一是围绕中心工作协商议政，建言献策。二是提高民主监督实效，关注民生，反映民意。三是开展调查视察活动，直面热点难点问题。四是推进提案办理工作，提升参政议政质量。五是把握团结民主主题，维护社会稳定和谐。六是加强和改进文史宣传工作。七是完成政协领导交办的重点工作。八是协助省州政协完成在我县的调研。九是机关自身建设明显增强。十是筹备十三届三次全会的召开。</w:t>
      </w:r>
    </w:p>
    <w:p>
      <w:pPr>
        <w:pStyle w:val="3"/>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县政协机关为行政单位，根据上述职责，机关内设机构编制数4个：3委1室（提案社会工作委员会；经济教育卫生委员会；文史、民族宗教委员会；综合办公室），机关核定行政编制人数为15人，其中：行政编制13个，行政工勤编制数为2人；截止2018年12月31日，实有在职人数为23人，其中行政在职人数为20人，行政工勤在职人数为3人，编制内临时聘用人数为3人，离休人员1人，遗属供养为3人。</w:t>
      </w:r>
    </w:p>
    <w:p>
      <w:pPr>
        <w:pStyle w:val="5"/>
        <w:adjustRightInd w:val="0"/>
        <w:snapToGrid w:val="0"/>
        <w:spacing w:before="93" w:line="600" w:lineRule="exact"/>
        <w:rPr>
          <w:rFonts w:ascii="仿宋" w:hAnsi="仿宋" w:eastAsia="仿宋"/>
          <w:color w:val="000000"/>
          <w:sz w:val="32"/>
          <w:szCs w:val="32"/>
        </w:rPr>
      </w:pPr>
      <w:r>
        <w:rPr>
          <w:rFonts w:hint="eastAsia" w:ascii="仿宋" w:hAnsi="仿宋" w:eastAsia="仿宋"/>
          <w:color w:val="000000"/>
          <w:sz w:val="32"/>
          <w:szCs w:val="32"/>
        </w:rPr>
        <w:t>纳入县政协办2018年度部门决算编制范围的预算单位还包括：</w:t>
      </w:r>
      <w:r>
        <w:rPr>
          <w:rFonts w:hint="eastAsia" w:hAnsi="仿宋"/>
          <w:color w:val="000000"/>
          <w:sz w:val="32"/>
          <w:szCs w:val="32"/>
        </w:rPr>
        <w:t>1、</w:t>
      </w:r>
      <w:r>
        <w:rPr>
          <w:rFonts w:hint="eastAsia" w:hAnsi="宋体"/>
          <w:sz w:val="32"/>
          <w:szCs w:val="32"/>
        </w:rPr>
        <w:t>县工商联。2、县佛协。均为独立的法人机构，因其人员数量少，财政没有分户，县工商联有编制数3人，行政编制2人，工勤编制1人；截止2018年12月31日，实有在职行政人数为3人，行政工勤在职人数1人；县佛协有编制数2人，行政编制1人，工勤编制1人，截止2018年12月31日实有在职行政人数1人。</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Style w:val="25"/>
          <w:rFonts w:hint="eastAsia" w:ascii="黑体" w:hAnsi="黑体" w:eastAsia="黑体"/>
          <w:b w:val="0"/>
          <w:bCs w:val="0"/>
        </w:rPr>
        <w:t>2018年度部门决算情况说明</w:t>
      </w:r>
      <w:bookmarkEnd w:id="22"/>
      <w:bookmarkEnd w:id="23"/>
    </w:p>
    <w:p/>
    <w:p>
      <w:pPr>
        <w:pStyle w:val="24"/>
        <w:numPr>
          <w:ilvl w:val="0"/>
          <w:numId w:val="1"/>
        </w:numPr>
        <w:spacing w:line="600" w:lineRule="exact"/>
        <w:ind w:firstLineChars="0"/>
        <w:outlineLvl w:val="1"/>
        <w:rPr>
          <w:rFonts w:ascii="黑体" w:hAnsi="黑体" w:eastAsia="黑体" w:cstheme="majorBidi"/>
          <w:bCs/>
          <w:sz w:val="32"/>
          <w:szCs w:val="32"/>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2018年度收入决算总额为783.84万元、支出总计783.84万元。与2017年相比，收、支总计783.09万元，收、支各增加0.75万元，增长0.09</w:t>
      </w:r>
      <w:r>
        <w:rPr>
          <w:rFonts w:ascii="仿宋" w:hAnsi="仿宋" w:eastAsia="仿宋"/>
          <w:color w:val="000000"/>
          <w:sz w:val="32"/>
          <w:szCs w:val="32"/>
        </w:rPr>
        <w:t>%</w:t>
      </w:r>
      <w:r>
        <w:rPr>
          <w:rFonts w:hint="eastAsia" w:ascii="仿宋" w:hAnsi="仿宋" w:eastAsia="仿宋"/>
          <w:color w:val="000000"/>
          <w:sz w:val="32"/>
          <w:szCs w:val="32"/>
        </w:rPr>
        <w:t>。与上年相比主要变动原因是人员经费增加。</w:t>
      </w:r>
    </w:p>
    <w:p>
      <w:pPr>
        <w:pStyle w:val="24"/>
        <w:numPr>
          <w:ilvl w:val="0"/>
          <w:numId w:val="1"/>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8年本年收入合计639.74万元，其中：一般公共预算财政拨款收入639.74万元，占100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pStyle w:val="24"/>
        <w:numPr>
          <w:ilvl w:val="0"/>
          <w:numId w:val="1"/>
        </w:numPr>
        <w:spacing w:line="60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8年本年支出合计783.84万元，其中：基本支出781.05万元，占97.21</w:t>
      </w:r>
      <w:r>
        <w:rPr>
          <w:rFonts w:ascii="仿宋" w:hAnsi="仿宋" w:eastAsia="仿宋"/>
          <w:color w:val="000000"/>
          <w:sz w:val="32"/>
          <w:szCs w:val="32"/>
        </w:rPr>
        <w:t>%</w:t>
      </w:r>
      <w:r>
        <w:rPr>
          <w:rFonts w:hint="eastAsia" w:ascii="仿宋" w:hAnsi="仿宋" w:eastAsia="仿宋"/>
          <w:color w:val="000000"/>
          <w:sz w:val="32"/>
          <w:szCs w:val="32"/>
        </w:rPr>
        <w:t>；项目支出2.79万元，占2.79</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6"/>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8年财政拨款收入639.74万元、支出总计783.84万元。与</w:t>
      </w:r>
      <w:r>
        <w:rPr>
          <w:rFonts w:ascii="仿宋" w:hAnsi="仿宋" w:eastAsia="仿宋"/>
          <w:color w:val="000000"/>
          <w:sz w:val="32"/>
          <w:szCs w:val="32"/>
        </w:rPr>
        <w:t>201</w:t>
      </w:r>
      <w:r>
        <w:rPr>
          <w:rFonts w:hint="eastAsia" w:ascii="仿宋" w:hAnsi="仿宋" w:eastAsia="仿宋"/>
          <w:color w:val="000000"/>
          <w:sz w:val="32"/>
          <w:szCs w:val="32"/>
        </w:rPr>
        <w:t>7年相比，财政拨款收入减少143.35万元，减少18.31%，主要变动原因是厉行节约，压减预算，节约开支；支出增加0.75万元，增加0.09%，主要变动原因是人员经费增加。</w:t>
      </w: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8年一般公共预算财政拨款支出783.84万元，占本年支出合计的100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7年相比，一般公共预算财政拨款增加0.75万元，增长0.09</w:t>
      </w:r>
      <w:r>
        <w:rPr>
          <w:rFonts w:ascii="仿宋" w:hAnsi="仿宋" w:eastAsia="仿宋"/>
          <w:color w:val="000000"/>
          <w:sz w:val="32"/>
          <w:szCs w:val="32"/>
        </w:rPr>
        <w:t>%</w:t>
      </w:r>
      <w:r>
        <w:rPr>
          <w:rFonts w:hint="eastAsia" w:ascii="仿宋" w:hAnsi="仿宋" w:eastAsia="仿宋"/>
          <w:color w:val="000000"/>
          <w:sz w:val="32"/>
          <w:szCs w:val="32"/>
        </w:rPr>
        <w:t>。主要变动原因是人员经费增加。</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政拨款支出783.84万元，主要用于以下方面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一般公共服务（201）</w:t>
      </w:r>
      <w:r>
        <w:rPr>
          <w:rFonts w:hint="eastAsia" w:ascii="仿宋" w:hAnsi="仿宋" w:eastAsia="仿宋"/>
          <w:color w:val="000000" w:themeColor="text1"/>
          <w:sz w:val="32"/>
          <w:szCs w:val="32"/>
          <w14:textFill>
            <w14:solidFill>
              <w14:schemeClr w14:val="tx1"/>
            </w14:solidFill>
          </w14:textFill>
        </w:rPr>
        <w:t>支出637.01万元，占81.27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社会保障和就业（208）</w:t>
      </w:r>
      <w:r>
        <w:rPr>
          <w:rFonts w:hint="eastAsia" w:ascii="仿宋" w:hAnsi="仿宋" w:eastAsia="仿宋"/>
          <w:color w:val="000000" w:themeColor="text1"/>
          <w:sz w:val="32"/>
          <w:szCs w:val="32"/>
          <w14:textFill>
            <w14:solidFill>
              <w14:schemeClr w14:val="tx1"/>
            </w14:solidFill>
          </w14:textFill>
        </w:rPr>
        <w:t>支出64.68万元，占8.25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；医疗卫生支出（210）支出38.29万元，占4.88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；住房保障支出43.85万元，占5.60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14:textFill>
            <w14:solidFill>
              <w14:schemeClr w14:val="tx1"/>
            </w14:solidFill>
          </w14:textFill>
        </w:rPr>
        <w:t>2018年般公共预算支出决算数为783.84</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一般公共服务（201）政协事务（02）行政运行（01）</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支出决算为637.01万元，完成预算100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2.</w:t>
      </w:r>
      <w:r>
        <w:rPr>
          <w:rStyle w:val="15"/>
          <w:rFonts w:hint="eastAsia" w:ascii="仿宋" w:hAnsi="仿宋" w:eastAsia="仿宋"/>
          <w:bCs/>
          <w:color w:val="000000"/>
          <w:sz w:val="32"/>
          <w:szCs w:val="32"/>
        </w:rPr>
        <w:t>社会保障和就业（208）行政事业单位离退休（05）机关事业单位基本养老保险缴费支出（05）</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支出决算为64.68万元，完成预算100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3.</w:t>
      </w:r>
      <w:r>
        <w:rPr>
          <w:rStyle w:val="15"/>
          <w:rFonts w:hint="eastAsia" w:ascii="仿宋" w:hAnsi="仿宋" w:eastAsia="仿宋"/>
          <w:bCs/>
          <w:color w:val="000000"/>
          <w:sz w:val="32"/>
          <w:szCs w:val="32"/>
        </w:rPr>
        <w:t>医疗卫生与计划生育（210）行政事业单位医疗（11）行政单位医疗（01）</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支出决算为38.29万元，完成预算100%。</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4.</w:t>
      </w:r>
      <w:r>
        <w:rPr>
          <w:rStyle w:val="15"/>
          <w:rFonts w:hint="eastAsia" w:ascii="仿宋" w:hAnsi="仿宋" w:eastAsia="仿宋"/>
          <w:bCs/>
          <w:color w:val="000000"/>
          <w:sz w:val="32"/>
          <w:szCs w:val="32"/>
        </w:rPr>
        <w:t>住房保障支出（221）住房改革支出（02）住房公积金（01）</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支出决算为43.85万元，完成预算100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8年一般公共预算财政拨款基本支出781.05万元，其中：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624.75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156.30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8年“三公”经费财政拨款支出决算为56.92万元，完成预算100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；公务用车购置及运行维护费支出决算54.02万元，占94.9</w:t>
      </w:r>
      <w:r>
        <w:rPr>
          <w:rFonts w:ascii="仿宋" w:hAnsi="仿宋" w:eastAsia="仿宋"/>
          <w:color w:val="000000"/>
          <w:sz w:val="32"/>
          <w:szCs w:val="32"/>
        </w:rPr>
        <w:t>%</w:t>
      </w:r>
      <w:r>
        <w:rPr>
          <w:rFonts w:hint="eastAsia" w:ascii="仿宋" w:hAnsi="仿宋" w:eastAsia="仿宋"/>
          <w:color w:val="000000"/>
          <w:sz w:val="32"/>
          <w:szCs w:val="32"/>
        </w:rPr>
        <w:t>；公务接待费支出决算2.90万元，占5.10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。没有安排出国境。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54.02万元,</w:t>
      </w:r>
      <w:r>
        <w:rPr>
          <w:rStyle w:val="15"/>
          <w:rFonts w:hint="eastAsia" w:ascii="仿宋" w:hAnsi="仿宋" w:eastAsia="仿宋"/>
          <w:b w:val="0"/>
          <w:bCs/>
          <w:color w:val="000000"/>
          <w:sz w:val="32"/>
          <w:szCs w:val="32"/>
        </w:rPr>
        <w:t>完成预算94.9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7年减少71.21万元，下降56.86</w:t>
      </w:r>
      <w:r>
        <w:rPr>
          <w:rFonts w:ascii="仿宋_GB2312" w:eastAsia="仿宋_GB2312"/>
          <w:color w:val="000000"/>
          <w:sz w:val="32"/>
          <w:szCs w:val="32"/>
        </w:rPr>
        <w:t>%</w:t>
      </w:r>
      <w:r>
        <w:rPr>
          <w:rFonts w:hint="eastAsia" w:ascii="仿宋_GB2312" w:eastAsia="仿宋_GB2312"/>
          <w:color w:val="000000"/>
          <w:sz w:val="32"/>
          <w:szCs w:val="32"/>
        </w:rPr>
        <w:t>。主要原因是加强单位公车管理，严格派车制度。</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月底，单位共有公务用车6辆，其中：轿车2辆、越野车4辆、载客汽车0辆。</w:t>
      </w:r>
    </w:p>
    <w:p>
      <w:pPr>
        <w:spacing w:line="600" w:lineRule="exact"/>
        <w:ind w:firstLine="803" w:firstLineChars="250"/>
        <w:rPr>
          <w:rFonts w:ascii="宋体" w:hAnsi="宋体"/>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54.02万元。主要用于本机关工作人员县外</w:t>
      </w:r>
      <w:r>
        <w:rPr>
          <w:rFonts w:hint="eastAsia" w:ascii="宋体" w:hAnsi="宋体"/>
          <w:color w:val="000000"/>
          <w:sz w:val="32"/>
          <w:szCs w:val="32"/>
        </w:rPr>
        <w:t>出差、县内下乡</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2.90万元，</w:t>
      </w:r>
      <w:r>
        <w:rPr>
          <w:rStyle w:val="15"/>
          <w:rFonts w:hint="eastAsia" w:ascii="仿宋_GB2312" w:hAnsi="仿宋" w:eastAsia="仿宋_GB2312"/>
          <w:b w:val="0"/>
          <w:bCs/>
          <w:color w:val="000000"/>
          <w:sz w:val="32"/>
          <w:szCs w:val="32"/>
        </w:rPr>
        <w:t>完成预算5.1%</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7年增加0.18万元，增长6.6</w:t>
      </w:r>
      <w:r>
        <w:rPr>
          <w:rFonts w:ascii="仿宋_GB2312" w:eastAsia="仿宋_GB2312"/>
          <w:color w:val="000000"/>
          <w:sz w:val="32"/>
          <w:szCs w:val="32"/>
        </w:rPr>
        <w:t>%</w:t>
      </w:r>
      <w:r>
        <w:rPr>
          <w:rFonts w:hint="eastAsia" w:ascii="仿宋_GB2312" w:eastAsia="仿宋_GB2312"/>
          <w:color w:val="000000"/>
          <w:sz w:val="32"/>
          <w:szCs w:val="32"/>
        </w:rPr>
        <w:t>。主要原因是接待人次比上年略有增加。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主要用于执行公务、开展业务活动开支的交通费、住宿费、用餐费等。国内公务接待33批次，240余人次（不包括陪同人员），共计支出2.90万元，具体内容包括：省州调研考察工作人员及企业家、僧尼等。其中：</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bookmarkStart w:id="46" w:name="_Toc15396610"/>
      <w:bookmarkStart w:id="47" w:name="_Toc15377218"/>
    </w:p>
    <w:p>
      <w:pPr>
        <w:spacing w:line="600" w:lineRule="exact"/>
        <w:ind w:firstLine="640"/>
        <w:rPr>
          <w:rFonts w:ascii="仿宋_GB2312" w:eastAsia="仿宋_GB2312"/>
          <w:color w:val="000000"/>
          <w:sz w:val="32"/>
          <w:szCs w:val="32"/>
        </w:rPr>
      </w:pPr>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4"/>
        <w:numPr>
          <w:ilvl w:val="0"/>
          <w:numId w:val="3"/>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0个项目开展了预算事前绩效评估，对0个项目编制了绩效目标，预算执行过程中，选取0个项目开展绩效监控，年终执行完毕后，对0个项目开展了绩效目标完成情况梳理填报。</w:t>
      </w:r>
    </w:p>
    <w:p>
      <w:pPr>
        <w:autoSpaceDN w:val="0"/>
        <w:spacing w:line="600" w:lineRule="exact"/>
        <w:ind w:firstLine="800" w:firstLineChars="250"/>
        <w:jc w:val="left"/>
        <w:textAlignment w:val="center"/>
        <w:rPr>
          <w:rFonts w:ascii="仿宋_GB2312" w:hAnsi="宋体" w:eastAsia="仿宋_GB2312"/>
          <w:sz w:val="32"/>
          <w:szCs w:val="32"/>
        </w:rPr>
      </w:pPr>
      <w:r>
        <w:rPr>
          <w:rFonts w:hint="eastAsia" w:ascii="仿宋_GB2312" w:hAnsi="仿宋_GB2312" w:eastAsia="仿宋_GB2312" w:cs="仿宋_GB2312"/>
          <w:sz w:val="32"/>
          <w:szCs w:val="32"/>
        </w:rPr>
        <w:t>本部门按要求对2018年部门整体支出开展绩效自评，从评价情况来看完成了2018年重点工作，逐步完善了整体协商、专题协商、对口协商、界别协商、提案办理协商的协商层次和协商格局，使协商议政的成效更加显著。</w:t>
      </w:r>
      <w:r>
        <w:rPr>
          <w:rFonts w:hint="eastAsia" w:ascii="仿宋_GB2312" w:eastAsia="仿宋_GB2312" w:cs="仿宋_GB2312" w:hAnsiTheme="minorEastAsia"/>
          <w:sz w:val="32"/>
          <w:szCs w:val="32"/>
        </w:rPr>
        <w:t>1、</w:t>
      </w:r>
      <w:r>
        <w:rPr>
          <w:rFonts w:hint="eastAsia" w:ascii="仿宋_GB2312" w:eastAsia="仿宋_GB2312" w:cs="仿宋_GB2312" w:hAnsiTheme="minorEastAsia"/>
          <w:color w:val="000000"/>
          <w:sz w:val="32"/>
          <w:szCs w:val="32"/>
        </w:rPr>
        <w:t xml:space="preserve"> </w:t>
      </w:r>
      <w:r>
        <w:rPr>
          <w:rFonts w:hint="eastAsia" w:ascii="仿宋_GB2312" w:hAnsi="宋体" w:eastAsia="仿宋_GB2312" w:cs="仿宋_GB2312"/>
          <w:color w:val="000000"/>
          <w:sz w:val="32"/>
          <w:szCs w:val="32"/>
        </w:rPr>
        <w:t>完成年度重要协商6次</w:t>
      </w:r>
      <w:r>
        <w:rPr>
          <w:rFonts w:hint="eastAsia" w:ascii="仿宋_GB2312" w:eastAsia="仿宋_GB2312" w:cs="仿宋_GB2312" w:hAnsiTheme="minorEastAsia"/>
          <w:color w:val="000000"/>
          <w:sz w:val="32"/>
          <w:szCs w:val="32"/>
        </w:rPr>
        <w:t>。</w:t>
      </w:r>
      <w:r>
        <w:rPr>
          <w:rFonts w:hint="eastAsia" w:ascii="仿宋_GB2312" w:hAnsi="宋体" w:eastAsia="仿宋_GB2312" w:cs="仿宋_GB2312"/>
          <w:sz w:val="32"/>
          <w:szCs w:val="32"/>
        </w:rPr>
        <w:t>2</w:t>
      </w:r>
      <w:r>
        <w:rPr>
          <w:rFonts w:hint="eastAsia" w:ascii="仿宋_GB2312" w:eastAsia="仿宋_GB2312" w:cs="仿宋_GB2312" w:hAnsiTheme="minorEastAsia"/>
          <w:sz w:val="32"/>
          <w:szCs w:val="32"/>
        </w:rPr>
        <w:t>、</w:t>
      </w:r>
      <w:r>
        <w:rPr>
          <w:rFonts w:hint="eastAsia" w:ascii="仿宋_GB2312" w:hAnsi="宋体" w:eastAsia="仿宋_GB2312" w:cs="仿宋_GB2312"/>
          <w:color w:val="000000"/>
          <w:sz w:val="32"/>
          <w:szCs w:val="32"/>
        </w:rPr>
        <w:t>召开重要会议5次</w:t>
      </w:r>
      <w:r>
        <w:rPr>
          <w:rFonts w:hint="eastAsia" w:ascii="仿宋_GB2312" w:eastAsia="仿宋_GB2312" w:cs="仿宋_GB2312" w:hAnsiTheme="minorEastAsia"/>
          <w:color w:val="000000"/>
          <w:sz w:val="32"/>
          <w:szCs w:val="32"/>
        </w:rPr>
        <w:t>。</w:t>
      </w:r>
      <w:r>
        <w:rPr>
          <w:rFonts w:hint="eastAsia" w:ascii="仿宋_GB2312" w:hAnsi="宋体" w:eastAsia="仿宋_GB2312" w:cs="仿宋_GB2312"/>
          <w:sz w:val="32"/>
          <w:szCs w:val="32"/>
        </w:rPr>
        <w:t>3</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24"/>
        </w:rPr>
        <w:t xml:space="preserve"> </w:t>
      </w:r>
      <w:r>
        <w:rPr>
          <w:rFonts w:hint="eastAsia" w:ascii="仿宋_GB2312" w:hAnsi="宋体" w:eastAsia="仿宋_GB2312" w:cs="仿宋_GB2312"/>
          <w:color w:val="000000"/>
          <w:sz w:val="32"/>
          <w:szCs w:val="32"/>
        </w:rPr>
        <w:t>开展专题调研4次，重要视察3次，开展民主监督工作2次</w:t>
      </w:r>
      <w:r>
        <w:rPr>
          <w:rFonts w:hint="eastAsia" w:ascii="仿宋_GB2312" w:eastAsia="仿宋_GB2312" w:cs="仿宋_GB2312" w:hAnsiTheme="minorEastAsia"/>
          <w:color w:val="000000"/>
          <w:sz w:val="32"/>
          <w:szCs w:val="32"/>
        </w:rPr>
        <w:t>。</w:t>
      </w:r>
      <w:r>
        <w:rPr>
          <w:rFonts w:hint="eastAsia" w:ascii="仿宋_GB2312" w:hAnsi="宋体" w:eastAsia="仿宋_GB2312"/>
          <w:color w:val="000000"/>
          <w:sz w:val="32"/>
          <w:szCs w:val="32"/>
        </w:rPr>
        <w:t>4</w:t>
      </w:r>
      <w:r>
        <w:rPr>
          <w:rFonts w:hint="eastAsia" w:ascii="仿宋_GB2312" w:eastAsia="仿宋_GB2312" w:hAnsiTheme="minorEastAsia"/>
          <w:color w:val="000000"/>
          <w:sz w:val="32"/>
          <w:szCs w:val="32"/>
        </w:rPr>
        <w:t>、</w:t>
      </w:r>
      <w:r>
        <w:rPr>
          <w:rFonts w:hint="eastAsia" w:ascii="仿宋_GB2312" w:hAnsi="宋体" w:eastAsia="仿宋_GB2312"/>
          <w:color w:val="333333"/>
          <w:sz w:val="32"/>
          <w:szCs w:val="32"/>
          <w:shd w:val="clear" w:color="auto" w:fill="FBFBFB"/>
        </w:rPr>
        <w:t>根据县委安排，切实抓好联系乡镇指导帮扶精准扶贫工作，助力全县如期顺利脱贫摘帽。</w:t>
      </w:r>
      <w:r>
        <w:rPr>
          <w:rFonts w:hint="eastAsia" w:ascii="仿宋_GB2312" w:eastAsia="仿宋_GB2312" w:hAnsiTheme="minorEastAsia"/>
          <w:color w:val="000000"/>
          <w:sz w:val="32"/>
          <w:szCs w:val="32"/>
        </w:rPr>
        <w:t>5、</w:t>
      </w:r>
      <w:r>
        <w:rPr>
          <w:rFonts w:hint="eastAsia" w:ascii="仿宋_GB2312" w:hAnsi="宋体" w:eastAsia="仿宋_GB2312"/>
          <w:color w:val="333333"/>
          <w:sz w:val="32"/>
          <w:szCs w:val="32"/>
          <w:shd w:val="clear" w:color="auto" w:fill="FBFBFB"/>
        </w:rPr>
        <w:t>根据县委安排，助力全县宜居县城建设、旅游灾后重建、农业农村发展、重点项目督导等工作</w:t>
      </w:r>
      <w:r>
        <w:rPr>
          <w:rFonts w:hint="eastAsia" w:ascii="仿宋_GB2312" w:hAnsi="宋体" w:eastAsia="仿宋_GB2312"/>
          <w:bCs/>
          <w:color w:val="000000"/>
          <w:sz w:val="32"/>
          <w:szCs w:val="32"/>
        </w:rPr>
        <w:t>。</w:t>
      </w:r>
    </w:p>
    <w:p>
      <w:pPr>
        <w:autoSpaceDN w:val="0"/>
        <w:spacing w:line="600" w:lineRule="exact"/>
        <w:jc w:val="left"/>
        <w:textAlignment w:val="center"/>
        <w:rPr>
          <w:rFonts w:ascii="仿宋_GB2312" w:eastAsia="仿宋_GB2312" w:hAnsiTheme="minorEastAsia"/>
          <w:color w:val="333333"/>
          <w:sz w:val="32"/>
          <w:szCs w:val="32"/>
          <w:shd w:val="clear" w:color="auto" w:fill="FBFBFB"/>
        </w:rPr>
      </w:pPr>
      <w:r>
        <w:rPr>
          <w:rFonts w:hint="eastAsia" w:ascii="仿宋_GB2312" w:hAnsi="宋体" w:eastAsia="仿宋_GB2312"/>
          <w:color w:val="000000"/>
          <w:sz w:val="32"/>
          <w:szCs w:val="32"/>
        </w:rPr>
        <w:t>6</w:t>
      </w:r>
      <w:r>
        <w:rPr>
          <w:rFonts w:hint="eastAsia" w:ascii="仿宋_GB2312" w:eastAsia="仿宋_GB2312" w:hAnsiTheme="minorEastAsia"/>
          <w:color w:val="000000"/>
          <w:sz w:val="32"/>
          <w:szCs w:val="32"/>
        </w:rPr>
        <w:t>、</w:t>
      </w:r>
      <w:r>
        <w:rPr>
          <w:rFonts w:hint="eastAsia" w:ascii="仿宋_GB2312" w:eastAsia="仿宋_GB2312" w:hAnsiTheme="minorEastAsia"/>
          <w:color w:val="333333"/>
          <w:sz w:val="24"/>
          <w:shd w:val="clear" w:color="auto" w:fill="FBFBFB"/>
        </w:rPr>
        <w:t xml:space="preserve"> </w:t>
      </w:r>
      <w:r>
        <w:rPr>
          <w:rFonts w:hint="eastAsia" w:ascii="仿宋_GB2312" w:hAnsi="宋体" w:eastAsia="仿宋_GB2312"/>
          <w:color w:val="333333"/>
          <w:sz w:val="32"/>
          <w:szCs w:val="32"/>
          <w:shd w:val="clear" w:color="auto" w:fill="FBFBFB"/>
        </w:rPr>
        <w:t>积极配合全国政协、省政协、州政协及其他地方政协做好调研视察、学习交流考察等工作。</w:t>
      </w:r>
      <w:r>
        <w:rPr>
          <w:rFonts w:hint="eastAsia" w:ascii="仿宋_GB2312" w:eastAsia="仿宋_GB2312" w:hAnsiTheme="minorEastAsia"/>
          <w:color w:val="000000"/>
          <w:sz w:val="32"/>
          <w:szCs w:val="32"/>
        </w:rPr>
        <w:t>7、</w:t>
      </w:r>
      <w:r>
        <w:rPr>
          <w:rFonts w:hint="eastAsia" w:ascii="仿宋_GB2312" w:hAnsi="宋体" w:eastAsia="仿宋_GB2312"/>
          <w:color w:val="333333"/>
          <w:sz w:val="32"/>
          <w:szCs w:val="32"/>
          <w:shd w:val="clear" w:color="auto" w:fill="FBFBFB"/>
        </w:rPr>
        <w:t>积极组织全县126名政协委员及政协机关干部开展提能强素培训</w:t>
      </w:r>
      <w:r>
        <w:rPr>
          <w:rFonts w:hint="eastAsia" w:ascii="仿宋_GB2312" w:eastAsia="仿宋_GB2312" w:hAnsiTheme="minorEastAsia"/>
          <w:color w:val="333333"/>
          <w:sz w:val="32"/>
          <w:szCs w:val="32"/>
          <w:shd w:val="clear" w:color="auto" w:fill="FBFBFB"/>
        </w:rPr>
        <w:t>。</w:t>
      </w:r>
      <w:r>
        <w:rPr>
          <w:rFonts w:hint="eastAsia" w:ascii="仿宋_GB2312" w:eastAsia="仿宋_GB2312" w:hAnsiTheme="minorEastAsia"/>
          <w:color w:val="000000"/>
          <w:sz w:val="32"/>
          <w:szCs w:val="32"/>
        </w:rPr>
        <w:t>8、</w:t>
      </w:r>
      <w:r>
        <w:rPr>
          <w:rFonts w:hint="eastAsia" w:ascii="仿宋_GB2312" w:hAnsi="宋体" w:eastAsia="仿宋_GB2312"/>
          <w:color w:val="333333"/>
          <w:sz w:val="32"/>
          <w:szCs w:val="32"/>
          <w:shd w:val="clear" w:color="auto" w:fill="FBFBFB"/>
        </w:rPr>
        <w:t>加强本机关的离退休人员的服务工作</w:t>
      </w:r>
      <w:r>
        <w:rPr>
          <w:rFonts w:hint="eastAsia" w:ascii="仿宋_GB2312" w:eastAsia="仿宋_GB2312" w:hAnsiTheme="minorEastAsia"/>
          <w:color w:val="333333"/>
          <w:sz w:val="32"/>
          <w:szCs w:val="32"/>
          <w:shd w:val="clear" w:color="auto" w:fill="FBFBFB"/>
        </w:rPr>
        <w:t>。</w:t>
      </w:r>
      <w:r>
        <w:rPr>
          <w:rFonts w:hint="eastAsia" w:ascii="仿宋_GB2312" w:eastAsia="仿宋_GB2312" w:hAnsiTheme="minorEastAsia"/>
          <w:color w:val="000000"/>
          <w:sz w:val="32"/>
          <w:szCs w:val="32"/>
        </w:rPr>
        <w:t>9、</w:t>
      </w:r>
      <w:r>
        <w:rPr>
          <w:rFonts w:hint="eastAsia" w:ascii="仿宋_GB2312" w:hAnsi="宋体" w:eastAsia="仿宋_GB2312"/>
          <w:color w:val="333333"/>
          <w:sz w:val="32"/>
          <w:szCs w:val="32"/>
          <w:shd w:val="clear" w:color="auto" w:fill="FBFBFB"/>
        </w:rPr>
        <w:t>完成签订的目标责任制工作</w:t>
      </w:r>
      <w:r>
        <w:rPr>
          <w:rFonts w:hint="eastAsia" w:ascii="仿宋_GB2312" w:eastAsia="仿宋_GB2312" w:hAnsiTheme="minorEastAsia"/>
          <w:color w:val="333333"/>
          <w:sz w:val="32"/>
          <w:szCs w:val="32"/>
          <w:shd w:val="clear" w:color="auto" w:fill="FBFBFB"/>
        </w:rPr>
        <w:t>。</w:t>
      </w:r>
      <w:r>
        <w:rPr>
          <w:rFonts w:hint="eastAsia" w:ascii="仿宋_GB2312" w:hAnsi="仿宋_GB2312" w:eastAsia="仿宋_GB2312" w:cs="仿宋_GB2312"/>
          <w:sz w:val="32"/>
          <w:szCs w:val="32"/>
        </w:rPr>
        <w:t>总的来看2018年度单位在规定时间内保质保量完成了所有工作任务，并保证了单位良好运行情况。</w:t>
      </w:r>
    </w:p>
    <w:p>
      <w:pPr>
        <w:numPr>
          <w:ilvl w:val="0"/>
          <w:numId w:val="4"/>
        </w:numPr>
        <w:spacing w:line="60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本部门在2018年度部门决算中反映0个项目绩效目标实际完成情况。</w:t>
      </w: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本部门按要求对2018年部门整体支出绩效评价情况开展自评，《九寨沟县政协委员会办公室2018年部门整体支出绩效评价报告》见附件。</w:t>
      </w:r>
    </w:p>
    <w:p>
      <w:pPr>
        <w:spacing w:line="600"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8年，政协机关运行经费支出156.30万元，比</w:t>
      </w:r>
      <w:r>
        <w:rPr>
          <w:rFonts w:ascii="仿宋_GB2312" w:eastAsia="仿宋_GB2312"/>
          <w:color w:val="000000"/>
          <w:sz w:val="32"/>
          <w:szCs w:val="32"/>
        </w:rPr>
        <w:t>201</w:t>
      </w:r>
      <w:r>
        <w:rPr>
          <w:rFonts w:hint="eastAsia" w:ascii="仿宋_GB2312" w:eastAsia="仿宋_GB2312"/>
          <w:color w:val="000000"/>
          <w:sz w:val="32"/>
          <w:szCs w:val="32"/>
        </w:rPr>
        <w:t>7年减少60.77万元，下降27.80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主要原因是严肃财经纪律，厉行节约。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8年，政府采购支出总额0万元，其中：政府采购货物支出0万元、政府采购工程支出0万元、政府采购服务支出0万元。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日，九寨沟县政协、县工商联、县佛协共有车辆6辆，其中：部级领导干部用车0辆、一般公务用车6辆、一般执法执勤用车0辆、特种专业技术用车0辆、其他用车0辆，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万元以上通用设备3台（套），单价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widowControl/>
        <w:jc w:val="left"/>
        <w:rPr>
          <w:rFonts w:ascii="仿宋_GB2312" w:eastAsia="仿宋_GB2312"/>
          <w:b/>
          <w:color w:val="000000"/>
          <w:sz w:val="32"/>
          <w:szCs w:val="32"/>
        </w:rPr>
      </w:pPr>
    </w:p>
    <w:p>
      <w:pPr>
        <w:numPr>
          <w:ilvl w:val="0"/>
          <w:numId w:val="5"/>
        </w:numPr>
        <w:spacing w:line="600" w:lineRule="exact"/>
        <w:ind w:firstLine="663" w:firstLineChars="150"/>
        <w:jc w:val="center"/>
        <w:outlineLvl w:val="0"/>
        <w:rPr>
          <w:rStyle w:val="25"/>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80" w:lineRule="exact"/>
        <w:ind w:firstLine="640" w:firstLineChars="200"/>
        <w:rPr>
          <w:rFonts w:ascii="仿宋_GB2312" w:hAnsi="宋体"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一般公共服务（201）政协事务（02）行政事务（01）：</w:t>
      </w:r>
      <w:r>
        <w:rPr>
          <w:rFonts w:hint="eastAsia" w:ascii="仿宋_GB2312" w:hAnsi="宋体" w:eastAsia="仿宋_GB2312"/>
          <w:color w:val="000000"/>
          <w:sz w:val="32"/>
          <w:szCs w:val="32"/>
        </w:rPr>
        <w:t>指政协机关</w:t>
      </w:r>
      <w:r>
        <w:rPr>
          <w:rFonts w:hint="eastAsia" w:ascii="仿宋_GB2312" w:hAnsi="宋体" w:eastAsia="仿宋_GB2312"/>
          <w:sz w:val="32"/>
          <w:szCs w:val="32"/>
        </w:rPr>
        <w:t>人员工资、日常运转以及为完成财政特定行政工作任务和事业发展目标而安排年度项目支出，主要包括办公费、培训费、邮电费、差旅费、会议费、公务用车运行维护费等方面支出。</w:t>
      </w:r>
    </w:p>
    <w:p>
      <w:pPr>
        <w:spacing w:line="580" w:lineRule="exact"/>
        <w:ind w:firstLine="640" w:firstLineChars="200"/>
        <w:rPr>
          <w:rFonts w:ascii="宋体" w:hAnsi="宋体"/>
          <w:sz w:val="32"/>
          <w:szCs w:val="32"/>
        </w:rPr>
      </w:pPr>
      <w:r>
        <w:rPr>
          <w:rFonts w:hint="eastAsia" w:ascii="仿宋_GB2312" w:hAnsi="宋体" w:eastAsia="仿宋_GB2312"/>
          <w:sz w:val="32"/>
          <w:szCs w:val="32"/>
        </w:rPr>
        <w:t>10.一般公共服务</w:t>
      </w:r>
      <w:r>
        <w:rPr>
          <w:rFonts w:hint="eastAsia" w:ascii="仿宋_GB2312" w:eastAsia="仿宋_GB2312"/>
          <w:color w:val="000000"/>
          <w:sz w:val="32"/>
          <w:szCs w:val="32"/>
        </w:rPr>
        <w:t>（201）民主党派及工商联事务（28）行政运行（01）：</w:t>
      </w:r>
      <w:r>
        <w:rPr>
          <w:rFonts w:hint="eastAsia" w:ascii="仿宋_GB2312" w:hAnsi="宋体" w:eastAsia="仿宋_GB2312"/>
          <w:color w:val="000000"/>
          <w:sz w:val="32"/>
          <w:szCs w:val="32"/>
        </w:rPr>
        <w:t>指工商联、佛协</w:t>
      </w:r>
      <w:r>
        <w:rPr>
          <w:rFonts w:hint="eastAsia" w:ascii="仿宋_GB2312" w:hAnsi="宋体" w:eastAsia="仿宋_GB2312"/>
          <w:sz w:val="32"/>
          <w:szCs w:val="32"/>
        </w:rPr>
        <w:t>人员工资、日常运转以及为完成财政特定行政工作任务和事业发展目标而安排年度项目支出，主要包括办公费、培训费、邮电费、差旅费、会议费、公务用车运行维护费等方面支出</w:t>
      </w:r>
      <w:r>
        <w:rPr>
          <w:rFonts w:hint="eastAsia" w:ascii="宋体" w:hAnsi="宋体"/>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hAnsi="宋体" w:eastAsia="仿宋_GB2312"/>
          <w:sz w:val="32"/>
          <w:szCs w:val="32"/>
          <w:shd w:val="clear" w:color="auto" w:fill="FFFFFF"/>
        </w:rPr>
        <w:t xml:space="preserve"> 社会保障和就业(208)行政事业单位离退休(05)</w:t>
      </w:r>
      <w:r>
        <w:rPr>
          <w:rFonts w:hint="eastAsia" w:ascii="仿宋_GB2312" w:hAnsi="宋体" w:eastAsia="仿宋_GB2312"/>
          <w:sz w:val="32"/>
          <w:szCs w:val="32"/>
        </w:rPr>
        <w:t xml:space="preserve"> </w:t>
      </w:r>
      <w:r>
        <w:rPr>
          <w:rFonts w:hint="eastAsia" w:ascii="仿宋_GB2312" w:hAnsi="宋体" w:eastAsia="仿宋_GB2312"/>
          <w:sz w:val="32"/>
          <w:szCs w:val="32"/>
          <w:shd w:val="clear" w:color="auto" w:fill="FFFFFF"/>
        </w:rPr>
        <w:t>机关事业单位基本养老保险缴费(05)：指实施养老保险制度后，部门按规定由单位缴纳的基本养老保险费支出。</w:t>
      </w:r>
    </w:p>
    <w:p>
      <w:pPr>
        <w:spacing w:line="580" w:lineRule="exact"/>
        <w:ind w:firstLine="640" w:firstLineChars="200"/>
        <w:rPr>
          <w:rFonts w:ascii="宋体" w:hAnsi="宋体"/>
          <w:sz w:val="32"/>
          <w:szCs w:val="32"/>
        </w:rPr>
      </w:pP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宋体" w:hAnsi="宋体"/>
          <w:sz w:val="32"/>
          <w:szCs w:val="32"/>
          <w:shd w:val="clear" w:color="auto" w:fill="FFFFFF"/>
        </w:rPr>
        <w:t xml:space="preserve"> </w:t>
      </w:r>
      <w:r>
        <w:rPr>
          <w:rFonts w:hint="eastAsia" w:ascii="仿宋_GB2312" w:hAnsi="宋体" w:eastAsia="仿宋_GB2312"/>
          <w:sz w:val="32"/>
          <w:szCs w:val="32"/>
          <w:shd w:val="clear" w:color="auto" w:fill="FFFFFF"/>
        </w:rPr>
        <w:t>医疗卫生与计划生育(210)医疗保障(11)行政单位医疗(01):指</w:t>
      </w:r>
      <w:r>
        <w:rPr>
          <w:rFonts w:hint="eastAsia" w:ascii="仿宋_GB2312" w:hAnsi="宋体" w:eastAsia="仿宋_GB2312"/>
          <w:sz w:val="32"/>
          <w:szCs w:val="32"/>
        </w:rPr>
        <w:t>按照规定标准为职工缴纳的基本医疗保险及公务员医疗补助等支出。</w:t>
      </w:r>
    </w:p>
    <w:p>
      <w:pPr>
        <w:spacing w:line="580" w:lineRule="exact"/>
        <w:ind w:firstLine="640" w:firstLineChars="200"/>
        <w:rPr>
          <w:rFonts w:ascii="仿宋_GB2312" w:hAnsi="宋体" w:eastAsia="仿宋_GB2312"/>
          <w:b/>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hint="eastAsia" w:ascii="宋体" w:hAnsi="宋体"/>
          <w:sz w:val="32"/>
          <w:szCs w:val="32"/>
        </w:rPr>
        <w:t>.</w:t>
      </w:r>
      <w:r>
        <w:rPr>
          <w:rStyle w:val="15"/>
          <w:rFonts w:hint="eastAsia" w:ascii="仿宋_GB2312" w:hAnsi="宋体" w:eastAsia="仿宋_GB2312"/>
          <w:b w:val="0"/>
          <w:color w:val="000000"/>
          <w:sz w:val="32"/>
          <w:szCs w:val="32"/>
        </w:rPr>
        <w:t>住房保障</w:t>
      </w:r>
      <w:r>
        <w:rPr>
          <w:rFonts w:hint="eastAsia" w:ascii="仿宋_GB2312" w:hAnsi="宋体" w:eastAsia="仿宋_GB2312"/>
          <w:sz w:val="32"/>
          <w:szCs w:val="32"/>
          <w:shd w:val="clear" w:color="auto" w:fill="FFFFFF"/>
        </w:rPr>
        <w:t>(221)住房改革(02)住房公积金(01)</w:t>
      </w:r>
      <w:r>
        <w:rPr>
          <w:rStyle w:val="15"/>
          <w:rFonts w:hint="eastAsia" w:ascii="仿宋_GB2312" w:hAnsi="宋体" w:eastAsia="仿宋_GB2312"/>
          <w:b w:val="0"/>
          <w:color w:val="000000"/>
          <w:sz w:val="32"/>
          <w:szCs w:val="32"/>
        </w:rPr>
        <w:t>：指</w:t>
      </w:r>
      <w:r>
        <w:rPr>
          <w:rFonts w:hint="eastAsia" w:ascii="仿宋_GB2312" w:hAnsi="宋体" w:eastAsia="仿宋_GB2312"/>
          <w:sz w:val="32"/>
          <w:szCs w:val="32"/>
        </w:rPr>
        <w:t>按照规定标准为职工缴纳住房公积金等支出。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center"/>
        <w:outlineLvl w:val="0"/>
        <w:rPr>
          <w:rStyle w:val="25"/>
        </w:rPr>
      </w:pPr>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九寨沟县政协委员会办公室2018年部门整体支出绩效评价报告</w:t>
      </w:r>
      <w:bookmarkEnd w:id="60"/>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76" w:lineRule="exact"/>
        <w:ind w:firstLine="640" w:firstLineChars="200"/>
        <w:rPr>
          <w:rFonts w:ascii="仿宋_GB2312" w:hAnsi="宋体" w:eastAsia="仿宋_GB2312"/>
          <w:sz w:val="32"/>
          <w:szCs w:val="32"/>
        </w:rPr>
      </w:pPr>
      <w:r>
        <w:rPr>
          <w:rFonts w:ascii="仿宋" w:hAnsi="仿宋" w:eastAsia="仿宋" w:cs="仿宋_GB2312"/>
          <w:sz w:val="32"/>
          <w:szCs w:val="32"/>
        </w:rPr>
        <w:t>（一）机构组成。</w:t>
      </w:r>
      <w:r>
        <w:rPr>
          <w:rFonts w:hint="eastAsia" w:ascii="仿宋_GB2312" w:hAnsi="宋体" w:eastAsia="仿宋_GB2312"/>
          <w:sz w:val="32"/>
          <w:szCs w:val="32"/>
        </w:rPr>
        <w:t>县政协机关为行政单位，根据三定方案，机关内设机构编制数4个：3委1室（提案社会工作委员会；经济教育卫生委员会；文史、民族宗教委员会；综合办公室），机关核定行政编制人数为15人，其中：行政编制13个，行政工勤编制数为2人。</w:t>
      </w:r>
    </w:p>
    <w:p>
      <w:pPr>
        <w:spacing w:line="580" w:lineRule="exact"/>
        <w:ind w:firstLine="640" w:firstLineChars="200"/>
        <w:rPr>
          <w:rFonts w:ascii="仿宋_GB2312" w:hAnsi="仿宋" w:eastAsia="仿宋_GB2312" w:cs="仿宋_GB2312"/>
          <w:sz w:val="32"/>
          <w:szCs w:val="32"/>
        </w:rPr>
      </w:pPr>
      <w:r>
        <w:rPr>
          <w:rFonts w:ascii="仿宋" w:hAnsi="仿宋" w:eastAsia="仿宋" w:cs="仿宋_GB2312"/>
          <w:sz w:val="32"/>
          <w:szCs w:val="32"/>
        </w:rPr>
        <w:t>（二）机构职能。</w:t>
      </w:r>
      <w:r>
        <w:rPr>
          <w:rFonts w:hint="eastAsia" w:ascii="仿宋_GB2312" w:eastAsia="仿宋_GB2312"/>
          <w:color w:val="333333"/>
          <w:sz w:val="32"/>
          <w:szCs w:val="32"/>
          <w:shd w:val="clear" w:color="auto" w:fill="FBFBFB"/>
        </w:rPr>
        <w:t>中国人民政治协商会议九寨沟县委员会是中共九寨沟县委员会领导的联系和团结全县各族各界人士的爱国统一战线组织和政治协商职能的重要机构</w:t>
      </w:r>
      <w:r>
        <w:rPr>
          <w:rFonts w:hint="eastAsia" w:ascii="仿宋_GB2312" w:eastAsia="仿宋_GB2312"/>
          <w:color w:val="000000"/>
          <w:sz w:val="32"/>
          <w:szCs w:val="32"/>
          <w:shd w:val="clear" w:color="auto" w:fill="FBFBFB"/>
        </w:rPr>
        <w:t>。</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r>
        <w:rPr>
          <w:rFonts w:hint="eastAsia" w:ascii="仿宋_GB2312" w:hAnsi="仿宋" w:eastAsia="仿宋_GB2312" w:cs="仿宋_GB2312"/>
          <w:sz w:val="32"/>
          <w:szCs w:val="32"/>
        </w:rPr>
        <w:t>截止2018年12月31日，政协机关、（包括工商联、佛协）</w:t>
      </w:r>
      <w:r>
        <w:rPr>
          <w:rFonts w:hint="eastAsia" w:ascii="仿宋_GB2312" w:hAnsi="宋体" w:eastAsia="仿宋_GB2312"/>
          <w:sz w:val="32"/>
          <w:szCs w:val="32"/>
        </w:rPr>
        <w:t>实有在职人数为28人，其中行政在职人数为24人，行政工勤在职人数为4人，编制内临时聘用人数为3人，离休人员1人，退休人员26人，遗属供养为3人。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_GB2312" w:hAnsi="Calibri" w:eastAsia="仿宋_GB2312"/>
          <w:sz w:val="32"/>
          <w:szCs w:val="32"/>
        </w:rPr>
      </w:pPr>
      <w:r>
        <w:rPr>
          <w:rFonts w:ascii="仿宋" w:hAnsi="仿宋" w:eastAsia="仿宋" w:cs="仿宋_GB2312"/>
          <w:sz w:val="32"/>
          <w:szCs w:val="32"/>
        </w:rPr>
        <w:t>（一）部门财政资金收入情况。</w:t>
      </w:r>
      <w:r>
        <w:rPr>
          <w:rFonts w:hint="eastAsia" w:ascii="仿宋_GB2312" w:hAnsi="Calibri" w:eastAsia="仿宋_GB2312"/>
          <w:sz w:val="32"/>
          <w:szCs w:val="32"/>
        </w:rPr>
        <w:t>2018年本年财政拨款收入639.74万元，年初结转结余144.09万元，收入总计783.84万元。</w:t>
      </w:r>
    </w:p>
    <w:p>
      <w:pPr>
        <w:spacing w:line="580" w:lineRule="exact"/>
        <w:ind w:firstLine="480" w:firstLineChars="150"/>
        <w:rPr>
          <w:rFonts w:ascii="仿宋_GB2312" w:hAnsi="Calibri" w:eastAsia="仿宋_GB2312"/>
          <w:sz w:val="32"/>
          <w:szCs w:val="32"/>
        </w:rPr>
      </w:pPr>
      <w:r>
        <w:rPr>
          <w:rFonts w:ascii="仿宋" w:hAnsi="仿宋" w:eastAsia="仿宋" w:cs="仿宋_GB2312"/>
          <w:sz w:val="32"/>
          <w:szCs w:val="32"/>
        </w:rPr>
        <w:t>（二）部门财政资金支出情况。</w:t>
      </w:r>
      <w:r>
        <w:rPr>
          <w:rFonts w:ascii="仿宋_GB2312" w:hAnsi="Calibri" w:eastAsia="仿宋_GB2312"/>
          <w:sz w:val="32"/>
          <w:szCs w:val="32"/>
        </w:rPr>
        <w:t>201</w:t>
      </w:r>
      <w:r>
        <w:rPr>
          <w:rFonts w:hint="eastAsia" w:ascii="仿宋_GB2312" w:hAnsi="Calibri" w:eastAsia="仿宋_GB2312"/>
          <w:sz w:val="32"/>
          <w:szCs w:val="32"/>
        </w:rPr>
        <w:t>8年一般公共服务支出637.01万元，占81.27%；社会保障和就业支出64.68万元，占8.25</w:t>
      </w:r>
      <w:r>
        <w:rPr>
          <w:rFonts w:ascii="仿宋_GB2312" w:hAnsi="Calibri" w:eastAsia="仿宋_GB2312"/>
          <w:sz w:val="32"/>
          <w:szCs w:val="32"/>
        </w:rPr>
        <w:t>%</w:t>
      </w:r>
      <w:r>
        <w:rPr>
          <w:rFonts w:hint="eastAsia" w:ascii="仿宋_GB2312" w:hAnsi="Calibri" w:eastAsia="仿宋_GB2312"/>
          <w:sz w:val="32"/>
          <w:szCs w:val="32"/>
        </w:rPr>
        <w:t>；医疗卫生支出38.29万元，占4.89</w:t>
      </w:r>
      <w:r>
        <w:rPr>
          <w:rFonts w:ascii="仿宋_GB2312" w:hAnsi="Calibri" w:eastAsia="仿宋_GB2312"/>
          <w:sz w:val="32"/>
          <w:szCs w:val="32"/>
        </w:rPr>
        <w:t>%</w:t>
      </w:r>
      <w:r>
        <w:rPr>
          <w:rFonts w:hint="eastAsia" w:ascii="仿宋_GB2312" w:hAnsi="Calibri" w:eastAsia="仿宋_GB2312"/>
          <w:sz w:val="32"/>
          <w:szCs w:val="32"/>
        </w:rPr>
        <w:t>；住房保障支出43.85万元，占5.60%。</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pStyle w:val="12"/>
        <w:shd w:val="clear" w:color="auto" w:fill="FFFFFF"/>
        <w:spacing w:before="0" w:beforeAutospacing="0" w:after="0" w:afterAutospacing="0"/>
        <w:ind w:firstLine="628"/>
        <w:jc w:val="both"/>
        <w:rPr>
          <w:rFonts w:ascii="仿宋" w:hAnsi="仿宋" w:eastAsia="仿宋" w:cs="仿宋_GB2312"/>
          <w:sz w:val="32"/>
          <w:szCs w:val="32"/>
        </w:rPr>
      </w:pPr>
      <w:r>
        <w:rPr>
          <w:rFonts w:ascii="仿宋" w:hAnsi="仿宋" w:eastAsia="仿宋" w:cs="仿宋_GB2312"/>
          <w:sz w:val="32"/>
          <w:szCs w:val="32"/>
        </w:rPr>
        <w:t>（一）部门预算管理。</w:t>
      </w:r>
    </w:p>
    <w:p>
      <w:pPr>
        <w:pStyle w:val="12"/>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1.“三公”经费控制率100%。“三公”经费预算本年列支0万元，经费支出未超标。</w:t>
      </w:r>
    </w:p>
    <w:p>
      <w:pPr>
        <w:pStyle w:val="12"/>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2.管理制度进一步健全。2018年我单位制定了财务管理制度和会计核算等管理制度，明确了财务职责，制定了厉行节约制度，管理制度依照有关国家法律法规而制定的，具有合法性、合规性、完整性、同时相关制度得到认真执行。</w:t>
      </w:r>
    </w:p>
    <w:p>
      <w:pPr>
        <w:pStyle w:val="12"/>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pPr>
        <w:spacing w:line="580" w:lineRule="exact"/>
        <w:ind w:firstLine="640" w:firstLineChars="200"/>
        <w:rPr>
          <w:rFonts w:ascii="黑体" w:hAnsi="黑体" w:eastAsia="黑体" w:cs="黑体"/>
          <w:sz w:val="32"/>
          <w:szCs w:val="32"/>
        </w:rPr>
      </w:pPr>
      <w:r>
        <w:rPr>
          <w:rFonts w:hint="eastAsia" w:ascii="仿宋_GB2312" w:eastAsia="仿宋_GB2312"/>
          <w:color w:val="000000"/>
          <w:sz w:val="32"/>
          <w:szCs w:val="32"/>
        </w:rPr>
        <w:t>5.预算信息公开性。按照规定的内容、时间公开预算信息，做到基础数据信息和会计资金真实、完整、准确。</w:t>
      </w:r>
    </w:p>
    <w:p>
      <w:pPr>
        <w:spacing w:line="580" w:lineRule="exact"/>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autoSpaceDN w:val="0"/>
        <w:spacing w:line="580" w:lineRule="exact"/>
        <w:ind w:firstLine="800" w:firstLineChars="250"/>
        <w:jc w:val="left"/>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本部门在2018年度决算中反映0个专项预算。</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 w:hAnsi="仿宋" w:eastAsia="仿宋" w:cs="仿宋_GB2312"/>
          <w:sz w:val="32"/>
          <w:szCs w:val="32"/>
        </w:rPr>
      </w:pPr>
      <w:r>
        <w:rPr>
          <w:rFonts w:hint="eastAsia" w:ascii="仿宋_GB2312" w:hAnsi="仿宋" w:eastAsia="仿宋_GB2312" w:cs="仿宋_GB2312"/>
          <w:sz w:val="32"/>
          <w:szCs w:val="32"/>
        </w:rPr>
        <w:t>本部门</w:t>
      </w:r>
      <w:r>
        <w:rPr>
          <w:rFonts w:hint="eastAsia" w:ascii="仿宋_GB2312" w:hAnsi="仿宋_GB2312" w:eastAsia="仿宋_GB2312" w:cs="仿宋_GB2312"/>
          <w:sz w:val="32"/>
          <w:szCs w:val="32"/>
        </w:rPr>
        <w:t>按要求对2018年部门整体支出绩效评价情况开展自评，从</w:t>
      </w:r>
      <w:r>
        <w:rPr>
          <w:rFonts w:hint="eastAsia" w:ascii="仿宋_GB2312" w:hAnsi="仿宋_GB2312" w:eastAsia="仿宋_GB2312" w:cs="仿宋_GB2312"/>
          <w:color w:val="000000"/>
          <w:sz w:val="32"/>
          <w:szCs w:val="32"/>
        </w:rPr>
        <w:t>质量指标、数量指标、时效指标、成本指标、社会效益、经济效益、生态效益、社会公众或服务对象满意度</w:t>
      </w:r>
      <w:r>
        <w:rPr>
          <w:rFonts w:hint="eastAsia" w:ascii="仿宋_GB2312" w:hAnsi="仿宋_GB2312" w:eastAsia="仿宋_GB2312" w:cs="仿宋_GB2312"/>
          <w:sz w:val="32"/>
          <w:szCs w:val="32"/>
        </w:rPr>
        <w:t>指标进行了综合评价，圆满完成工作任务，实现绩效评价与部门预算的有机结合，促进财政资金的合理分配与有效使用。</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r>
        <w:rPr>
          <w:rFonts w:hint="eastAsia" w:ascii="仿宋_GB2312" w:hAnsi="仿宋_GB2312" w:eastAsia="仿宋_GB2312" w:cs="仿宋_GB2312"/>
          <w:sz w:val="32"/>
          <w:szCs w:val="32"/>
        </w:rPr>
        <w:t>本部门按要求对2018年部门整体支出绩效评价情况开展自评，自评结论为优秀。</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（二）存在问题。</w:t>
      </w:r>
      <w:r>
        <w:rPr>
          <w:rFonts w:hint="eastAsia" w:ascii="仿宋_GB2312" w:hAnsi="仿宋" w:eastAsia="仿宋_GB2312" w:cs="仿宋_GB2312"/>
          <w:sz w:val="32"/>
          <w:szCs w:val="32"/>
        </w:rPr>
        <w:t>部门内控制度需进一步完善，制度执行力有待加强</w:t>
      </w:r>
    </w:p>
    <w:p>
      <w:pPr>
        <w:pStyle w:val="12"/>
        <w:shd w:val="clear" w:color="auto" w:fill="FFFFFF"/>
        <w:spacing w:before="93" w:beforeAutospacing="0" w:after="0" w:afterAutospacing="0" w:line="600" w:lineRule="exact"/>
        <w:ind w:firstLine="640" w:firstLineChars="200"/>
        <w:jc w:val="both"/>
        <w:rPr>
          <w:rFonts w:ascii="仿宋" w:hAnsi="仿宋" w:eastAsia="仿宋" w:cs="仿宋_GB2312"/>
          <w:sz w:val="32"/>
          <w:szCs w:val="32"/>
        </w:rPr>
      </w:pPr>
      <w:r>
        <w:rPr>
          <w:rFonts w:ascii="仿宋" w:hAnsi="仿宋" w:eastAsia="仿宋" w:cs="仿宋_GB2312"/>
          <w:sz w:val="32"/>
          <w:szCs w:val="32"/>
        </w:rPr>
        <w:t>（三）改进建议。</w:t>
      </w:r>
    </w:p>
    <w:p>
      <w:pPr>
        <w:pStyle w:val="12"/>
        <w:shd w:val="clear" w:color="auto" w:fill="FFFFFF"/>
        <w:spacing w:before="93" w:beforeAutospacing="0" w:after="0" w:afterAutospacing="0" w:line="600" w:lineRule="exact"/>
        <w:ind w:firstLine="640" w:firstLineChars="200"/>
        <w:jc w:val="both"/>
        <w:rPr>
          <w:rFonts w:ascii="仿宋_GB2312" w:eastAsia="仿宋_GB2312"/>
          <w:color w:val="333333"/>
          <w:sz w:val="32"/>
          <w:szCs w:val="32"/>
        </w:rPr>
      </w:pPr>
      <w:r>
        <w:rPr>
          <w:rFonts w:hint="eastAsia"/>
          <w:color w:val="000000"/>
          <w:sz w:val="32"/>
          <w:szCs w:val="32"/>
        </w:rPr>
        <w:t>1.</w:t>
      </w:r>
      <w:r>
        <w:rPr>
          <w:rFonts w:hint="eastAsia" w:ascii="仿宋_GB2312" w:eastAsia="仿宋_GB2312"/>
          <w:color w:val="000000"/>
          <w:sz w:val="32"/>
          <w:szCs w:val="32"/>
        </w:rPr>
        <w:t>将财务制度落实到位，规范财经纪律，严格控制非生产性开支。</w:t>
      </w:r>
    </w:p>
    <w:p>
      <w:pPr>
        <w:pStyle w:val="12"/>
        <w:shd w:val="clear" w:color="auto" w:fill="FFFFFF"/>
        <w:spacing w:before="93" w:beforeAutospacing="0" w:after="0" w:afterAutospacing="0" w:line="600" w:lineRule="exact"/>
        <w:ind w:firstLine="640" w:firstLineChars="200"/>
        <w:jc w:val="both"/>
        <w:rPr>
          <w:rFonts w:ascii="仿宋_GB2312" w:eastAsia="仿宋_GB2312"/>
          <w:color w:val="333333"/>
          <w:sz w:val="32"/>
          <w:szCs w:val="32"/>
        </w:rPr>
      </w:pPr>
      <w:r>
        <w:rPr>
          <w:rFonts w:hint="eastAsia" w:ascii="仿宋_GB2312" w:eastAsia="仿宋_GB2312"/>
          <w:color w:val="000000"/>
          <w:sz w:val="32"/>
          <w:szCs w:val="32"/>
        </w:rPr>
        <w:t>2.加强对财务监管力度，多组织财务业务培训学习。</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25"/>
          <w:rFonts w:ascii="仿宋" w:hAnsi="仿宋" w:eastAsia="仿宋"/>
          <w:b w:val="0"/>
          <w:bCs w:val="0"/>
          <w:sz w:val="32"/>
          <w:szCs w:val="32"/>
        </w:rPr>
      </w:pPr>
    </w:p>
    <w:p>
      <w:pPr>
        <w:spacing w:line="600" w:lineRule="exact"/>
        <w:jc w:val="center"/>
        <w:outlineLvl w:val="0"/>
        <w:rPr>
          <w:rStyle w:val="25"/>
          <w:rFonts w:ascii="黑体" w:hAnsi="黑体" w:eastAsia="黑体"/>
          <w:b w:val="0"/>
        </w:rPr>
      </w:pPr>
      <w:bookmarkStart w:id="61"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61"/>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2"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2"/>
    </w:p>
    <w:p>
      <w:pPr>
        <w:pStyle w:val="3"/>
        <w:rPr>
          <w:rFonts w:ascii="仿宋" w:hAnsi="仿宋" w:eastAsia="仿宋"/>
          <w:color w:val="000000"/>
        </w:rPr>
      </w:pPr>
      <w:bookmarkStart w:id="63"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63"/>
    </w:p>
    <w:p>
      <w:pPr>
        <w:pStyle w:val="3"/>
        <w:rPr>
          <w:rFonts w:ascii="仿宋" w:hAnsi="仿宋" w:eastAsia="仿宋"/>
          <w:color w:val="000000"/>
        </w:rPr>
      </w:pPr>
      <w:bookmarkStart w:id="64"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4"/>
    </w:p>
    <w:p>
      <w:pPr>
        <w:pStyle w:val="3"/>
        <w:rPr>
          <w:rFonts w:ascii="仿宋" w:hAnsi="仿宋" w:eastAsia="仿宋"/>
          <w:b w:val="0"/>
          <w:color w:val="000000"/>
        </w:rPr>
      </w:pPr>
      <w:bookmarkStart w:id="65"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5"/>
    </w:p>
    <w:p>
      <w:pPr>
        <w:pStyle w:val="3"/>
        <w:rPr>
          <w:rFonts w:ascii="仿宋" w:hAnsi="仿宋" w:eastAsia="仿宋"/>
          <w:color w:val="000000"/>
        </w:rPr>
      </w:pPr>
      <w:bookmarkStart w:id="66"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6"/>
    </w:p>
    <w:p>
      <w:pPr>
        <w:pStyle w:val="3"/>
        <w:rPr>
          <w:rFonts w:ascii="仿宋" w:hAnsi="仿宋" w:eastAsia="仿宋"/>
          <w:color w:val="000000"/>
        </w:rPr>
      </w:pPr>
      <w:bookmarkStart w:id="67"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7"/>
    </w:p>
    <w:p>
      <w:pPr>
        <w:pStyle w:val="3"/>
        <w:rPr>
          <w:rFonts w:ascii="仿宋" w:hAnsi="仿宋" w:eastAsia="仿宋"/>
          <w:color w:val="000000"/>
        </w:rPr>
      </w:pPr>
      <w:bookmarkStart w:id="68"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8"/>
    </w:p>
    <w:p>
      <w:pPr>
        <w:pStyle w:val="3"/>
        <w:rPr>
          <w:rFonts w:ascii="仿宋" w:hAnsi="仿宋" w:eastAsia="仿宋"/>
          <w:color w:val="000000"/>
        </w:rPr>
      </w:pPr>
      <w:bookmarkStart w:id="69"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9"/>
    </w:p>
    <w:p>
      <w:pPr>
        <w:pStyle w:val="3"/>
        <w:rPr>
          <w:rFonts w:ascii="仿宋" w:hAnsi="仿宋" w:eastAsia="仿宋"/>
          <w:color w:val="000000"/>
        </w:rPr>
      </w:pPr>
      <w:bookmarkStart w:id="70"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70"/>
    </w:p>
    <w:p>
      <w:pPr>
        <w:pStyle w:val="3"/>
        <w:rPr>
          <w:rFonts w:ascii="仿宋" w:hAnsi="仿宋" w:eastAsia="仿宋"/>
          <w:color w:val="000000"/>
        </w:rPr>
      </w:pPr>
      <w:bookmarkStart w:id="71"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1"/>
    </w:p>
    <w:p>
      <w:pPr>
        <w:pStyle w:val="3"/>
        <w:rPr>
          <w:rFonts w:ascii="仿宋" w:hAnsi="仿宋" w:eastAsia="仿宋"/>
          <w:color w:val="000000"/>
        </w:rPr>
      </w:pPr>
      <w:bookmarkStart w:id="72"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2"/>
    </w:p>
    <w:p>
      <w:pPr>
        <w:pStyle w:val="3"/>
        <w:rPr>
          <w:rFonts w:ascii="仿宋" w:hAnsi="仿宋" w:eastAsia="仿宋"/>
          <w:color w:val="000000"/>
        </w:rPr>
      </w:pPr>
      <w:bookmarkStart w:id="73"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3"/>
    </w:p>
    <w:p>
      <w:pPr>
        <w:pStyle w:val="3"/>
        <w:rPr>
          <w:rFonts w:ascii="仿宋" w:hAnsi="仿宋" w:eastAsia="仿宋"/>
          <w:color w:val="000000" w:themeColor="text1"/>
          <w14:textFill>
            <w14:solidFill>
              <w14:schemeClr w14:val="tx1"/>
            </w14:solidFill>
          </w14:textFill>
        </w:rPr>
      </w:pPr>
      <w:bookmarkStart w:id="74"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20</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hMmJmYmI0ZTM2MWI5MmMxZjkyYTI3ZTI5ZGU3MzQifQ=="/>
  </w:docVars>
  <w:rsids>
    <w:rsidRoot w:val="00F1361C"/>
    <w:rsid w:val="00003E4C"/>
    <w:rsid w:val="000102EE"/>
    <w:rsid w:val="000222C6"/>
    <w:rsid w:val="0002549F"/>
    <w:rsid w:val="00031512"/>
    <w:rsid w:val="00042CFA"/>
    <w:rsid w:val="00047C57"/>
    <w:rsid w:val="0005778E"/>
    <w:rsid w:val="00057833"/>
    <w:rsid w:val="0006487A"/>
    <w:rsid w:val="00065F8F"/>
    <w:rsid w:val="000742D8"/>
    <w:rsid w:val="000768F2"/>
    <w:rsid w:val="0009184B"/>
    <w:rsid w:val="00093DA5"/>
    <w:rsid w:val="0009593C"/>
    <w:rsid w:val="000B047F"/>
    <w:rsid w:val="000B049E"/>
    <w:rsid w:val="000B29E1"/>
    <w:rsid w:val="000B5923"/>
    <w:rsid w:val="000B5A48"/>
    <w:rsid w:val="000B6FF3"/>
    <w:rsid w:val="000C3467"/>
    <w:rsid w:val="000C3CA6"/>
    <w:rsid w:val="000D1267"/>
    <w:rsid w:val="000D1D50"/>
    <w:rsid w:val="000D5782"/>
    <w:rsid w:val="000D7920"/>
    <w:rsid w:val="000E6613"/>
    <w:rsid w:val="000E7119"/>
    <w:rsid w:val="0010086E"/>
    <w:rsid w:val="00111896"/>
    <w:rsid w:val="00114E9B"/>
    <w:rsid w:val="00146877"/>
    <w:rsid w:val="0014729F"/>
    <w:rsid w:val="001574F9"/>
    <w:rsid w:val="00157BAB"/>
    <w:rsid w:val="00163249"/>
    <w:rsid w:val="001654D1"/>
    <w:rsid w:val="0018106D"/>
    <w:rsid w:val="001877A7"/>
    <w:rsid w:val="00190E50"/>
    <w:rsid w:val="00190F89"/>
    <w:rsid w:val="00191536"/>
    <w:rsid w:val="0019345D"/>
    <w:rsid w:val="00196687"/>
    <w:rsid w:val="001A5035"/>
    <w:rsid w:val="001C0962"/>
    <w:rsid w:val="001D7531"/>
    <w:rsid w:val="001E737D"/>
    <w:rsid w:val="001F0592"/>
    <w:rsid w:val="001F7506"/>
    <w:rsid w:val="002006CD"/>
    <w:rsid w:val="00202B36"/>
    <w:rsid w:val="00204B7A"/>
    <w:rsid w:val="0020516B"/>
    <w:rsid w:val="0021101A"/>
    <w:rsid w:val="002204D9"/>
    <w:rsid w:val="00220536"/>
    <w:rsid w:val="0022477D"/>
    <w:rsid w:val="002310C3"/>
    <w:rsid w:val="00235164"/>
    <w:rsid w:val="00235629"/>
    <w:rsid w:val="00245525"/>
    <w:rsid w:val="00252B01"/>
    <w:rsid w:val="00260C38"/>
    <w:rsid w:val="002616C0"/>
    <w:rsid w:val="002628C3"/>
    <w:rsid w:val="0026420F"/>
    <w:rsid w:val="0026519D"/>
    <w:rsid w:val="002662AA"/>
    <w:rsid w:val="0026734C"/>
    <w:rsid w:val="00273393"/>
    <w:rsid w:val="00277929"/>
    <w:rsid w:val="00280496"/>
    <w:rsid w:val="00292CD7"/>
    <w:rsid w:val="00293F60"/>
    <w:rsid w:val="00295495"/>
    <w:rsid w:val="002A401C"/>
    <w:rsid w:val="002A6DD5"/>
    <w:rsid w:val="002B2613"/>
    <w:rsid w:val="002C5BB4"/>
    <w:rsid w:val="002C79A9"/>
    <w:rsid w:val="002C7C23"/>
    <w:rsid w:val="002F1818"/>
    <w:rsid w:val="002F567B"/>
    <w:rsid w:val="003059AD"/>
    <w:rsid w:val="00310832"/>
    <w:rsid w:val="00314771"/>
    <w:rsid w:val="003216A9"/>
    <w:rsid w:val="0032739E"/>
    <w:rsid w:val="00332576"/>
    <w:rsid w:val="00351B13"/>
    <w:rsid w:val="0037013F"/>
    <w:rsid w:val="00371F65"/>
    <w:rsid w:val="003767EE"/>
    <w:rsid w:val="00380C92"/>
    <w:rsid w:val="003A362B"/>
    <w:rsid w:val="003A484F"/>
    <w:rsid w:val="003B0BE0"/>
    <w:rsid w:val="003B0C1B"/>
    <w:rsid w:val="003B3C69"/>
    <w:rsid w:val="003B688C"/>
    <w:rsid w:val="003C0291"/>
    <w:rsid w:val="003C39AE"/>
    <w:rsid w:val="003C5DB8"/>
    <w:rsid w:val="003C7B60"/>
    <w:rsid w:val="003D1FB2"/>
    <w:rsid w:val="003D66DA"/>
    <w:rsid w:val="003E1310"/>
    <w:rsid w:val="003E6959"/>
    <w:rsid w:val="003E6F55"/>
    <w:rsid w:val="003F255B"/>
    <w:rsid w:val="00400EBD"/>
    <w:rsid w:val="00406254"/>
    <w:rsid w:val="00417C49"/>
    <w:rsid w:val="004204DF"/>
    <w:rsid w:val="004223DE"/>
    <w:rsid w:val="0043061E"/>
    <w:rsid w:val="00434489"/>
    <w:rsid w:val="00437085"/>
    <w:rsid w:val="00443880"/>
    <w:rsid w:val="00445723"/>
    <w:rsid w:val="0044590A"/>
    <w:rsid w:val="004464F4"/>
    <w:rsid w:val="00454551"/>
    <w:rsid w:val="004563EF"/>
    <w:rsid w:val="004656AC"/>
    <w:rsid w:val="00471401"/>
    <w:rsid w:val="00473F31"/>
    <w:rsid w:val="004743E8"/>
    <w:rsid w:val="0048263A"/>
    <w:rsid w:val="00487E5D"/>
    <w:rsid w:val="00491034"/>
    <w:rsid w:val="004A711F"/>
    <w:rsid w:val="004B199D"/>
    <w:rsid w:val="004B4690"/>
    <w:rsid w:val="004D3594"/>
    <w:rsid w:val="004E0A2D"/>
    <w:rsid w:val="004E206B"/>
    <w:rsid w:val="004E6DF7"/>
    <w:rsid w:val="004F0FBD"/>
    <w:rsid w:val="005002D0"/>
    <w:rsid w:val="00505A47"/>
    <w:rsid w:val="00512FDA"/>
    <w:rsid w:val="00520DA0"/>
    <w:rsid w:val="00543A80"/>
    <w:rsid w:val="00543F04"/>
    <w:rsid w:val="00551CFA"/>
    <w:rsid w:val="00554E6F"/>
    <w:rsid w:val="005613C6"/>
    <w:rsid w:val="005664BB"/>
    <w:rsid w:val="0057481D"/>
    <w:rsid w:val="0058486E"/>
    <w:rsid w:val="005970EC"/>
    <w:rsid w:val="005D1C8B"/>
    <w:rsid w:val="005D575E"/>
    <w:rsid w:val="005D5CED"/>
    <w:rsid w:val="005E233D"/>
    <w:rsid w:val="005F1A4C"/>
    <w:rsid w:val="005F7A3A"/>
    <w:rsid w:val="00605688"/>
    <w:rsid w:val="006070AF"/>
    <w:rsid w:val="00607E6C"/>
    <w:rsid w:val="006101B1"/>
    <w:rsid w:val="00614E44"/>
    <w:rsid w:val="00622830"/>
    <w:rsid w:val="00630AEF"/>
    <w:rsid w:val="006325F8"/>
    <w:rsid w:val="00634C9A"/>
    <w:rsid w:val="006440E4"/>
    <w:rsid w:val="006458D8"/>
    <w:rsid w:val="00657406"/>
    <w:rsid w:val="00657C0F"/>
    <w:rsid w:val="0066343B"/>
    <w:rsid w:val="00664777"/>
    <w:rsid w:val="00666348"/>
    <w:rsid w:val="006748A4"/>
    <w:rsid w:val="00683E73"/>
    <w:rsid w:val="006A3141"/>
    <w:rsid w:val="006A5E34"/>
    <w:rsid w:val="006A6EC3"/>
    <w:rsid w:val="006B2422"/>
    <w:rsid w:val="006B2B9A"/>
    <w:rsid w:val="006B6B26"/>
    <w:rsid w:val="006C1937"/>
    <w:rsid w:val="006E22EF"/>
    <w:rsid w:val="006E6BCD"/>
    <w:rsid w:val="006F020C"/>
    <w:rsid w:val="006F5087"/>
    <w:rsid w:val="007127B7"/>
    <w:rsid w:val="00713502"/>
    <w:rsid w:val="0072112C"/>
    <w:rsid w:val="00726D67"/>
    <w:rsid w:val="0074053B"/>
    <w:rsid w:val="007416B6"/>
    <w:rsid w:val="00746F48"/>
    <w:rsid w:val="0075404D"/>
    <w:rsid w:val="0076182A"/>
    <w:rsid w:val="00767B7E"/>
    <w:rsid w:val="00774E80"/>
    <w:rsid w:val="007770C3"/>
    <w:rsid w:val="00784D24"/>
    <w:rsid w:val="00785FBA"/>
    <w:rsid w:val="00786E4A"/>
    <w:rsid w:val="007875EB"/>
    <w:rsid w:val="0079426B"/>
    <w:rsid w:val="007A78DB"/>
    <w:rsid w:val="007B0979"/>
    <w:rsid w:val="007B3D8D"/>
    <w:rsid w:val="007D312A"/>
    <w:rsid w:val="007D3F19"/>
    <w:rsid w:val="007D4BC7"/>
    <w:rsid w:val="007D65AE"/>
    <w:rsid w:val="007E23B0"/>
    <w:rsid w:val="007E36A2"/>
    <w:rsid w:val="007F0654"/>
    <w:rsid w:val="007F1991"/>
    <w:rsid w:val="007F2C2F"/>
    <w:rsid w:val="007F52E4"/>
    <w:rsid w:val="007F55FC"/>
    <w:rsid w:val="007F5665"/>
    <w:rsid w:val="007F7C3D"/>
    <w:rsid w:val="00800112"/>
    <w:rsid w:val="008253BB"/>
    <w:rsid w:val="0083315D"/>
    <w:rsid w:val="00834AE5"/>
    <w:rsid w:val="0083706E"/>
    <w:rsid w:val="00841EBB"/>
    <w:rsid w:val="008423A5"/>
    <w:rsid w:val="00843DCD"/>
    <w:rsid w:val="00850625"/>
    <w:rsid w:val="00853718"/>
    <w:rsid w:val="00855221"/>
    <w:rsid w:val="00860645"/>
    <w:rsid w:val="00867435"/>
    <w:rsid w:val="00871F71"/>
    <w:rsid w:val="00885AF4"/>
    <w:rsid w:val="00892957"/>
    <w:rsid w:val="008939CD"/>
    <w:rsid w:val="008B768C"/>
    <w:rsid w:val="008C4DB1"/>
    <w:rsid w:val="008C4EAF"/>
    <w:rsid w:val="008C5176"/>
    <w:rsid w:val="008C7FD0"/>
    <w:rsid w:val="008E1DE7"/>
    <w:rsid w:val="008E707C"/>
    <w:rsid w:val="008F0E7E"/>
    <w:rsid w:val="008F40D5"/>
    <w:rsid w:val="008F7BE9"/>
    <w:rsid w:val="00900B08"/>
    <w:rsid w:val="00902155"/>
    <w:rsid w:val="00902FA3"/>
    <w:rsid w:val="00922048"/>
    <w:rsid w:val="00923564"/>
    <w:rsid w:val="0092392E"/>
    <w:rsid w:val="009315F9"/>
    <w:rsid w:val="00940C55"/>
    <w:rsid w:val="009437AD"/>
    <w:rsid w:val="00946945"/>
    <w:rsid w:val="00951248"/>
    <w:rsid w:val="0095152F"/>
    <w:rsid w:val="00954C49"/>
    <w:rsid w:val="00955021"/>
    <w:rsid w:val="00963097"/>
    <w:rsid w:val="0097099F"/>
    <w:rsid w:val="00971997"/>
    <w:rsid w:val="00971FFC"/>
    <w:rsid w:val="00976DC0"/>
    <w:rsid w:val="0098660A"/>
    <w:rsid w:val="009931C3"/>
    <w:rsid w:val="009B2C43"/>
    <w:rsid w:val="009B4EAE"/>
    <w:rsid w:val="009B7573"/>
    <w:rsid w:val="009C22F4"/>
    <w:rsid w:val="009C2E98"/>
    <w:rsid w:val="009D0645"/>
    <w:rsid w:val="009D3447"/>
    <w:rsid w:val="009D4711"/>
    <w:rsid w:val="009D6A69"/>
    <w:rsid w:val="009E4DD8"/>
    <w:rsid w:val="009F1185"/>
    <w:rsid w:val="009F18CD"/>
    <w:rsid w:val="009F214C"/>
    <w:rsid w:val="009F2A13"/>
    <w:rsid w:val="00A04A92"/>
    <w:rsid w:val="00A04EB0"/>
    <w:rsid w:val="00A121DA"/>
    <w:rsid w:val="00A13CC1"/>
    <w:rsid w:val="00A157A7"/>
    <w:rsid w:val="00A16847"/>
    <w:rsid w:val="00A237D8"/>
    <w:rsid w:val="00A24F64"/>
    <w:rsid w:val="00A268C4"/>
    <w:rsid w:val="00A307CD"/>
    <w:rsid w:val="00A34378"/>
    <w:rsid w:val="00A40536"/>
    <w:rsid w:val="00A40A00"/>
    <w:rsid w:val="00A4142F"/>
    <w:rsid w:val="00A52564"/>
    <w:rsid w:val="00A529DE"/>
    <w:rsid w:val="00A56DF2"/>
    <w:rsid w:val="00A575F3"/>
    <w:rsid w:val="00A67AB5"/>
    <w:rsid w:val="00A7315B"/>
    <w:rsid w:val="00A91760"/>
    <w:rsid w:val="00A918B4"/>
    <w:rsid w:val="00A93B00"/>
    <w:rsid w:val="00A93C21"/>
    <w:rsid w:val="00AB5484"/>
    <w:rsid w:val="00AB6B01"/>
    <w:rsid w:val="00AC3C6A"/>
    <w:rsid w:val="00AD5620"/>
    <w:rsid w:val="00AD7C1B"/>
    <w:rsid w:val="00AE16BA"/>
    <w:rsid w:val="00AE1EBE"/>
    <w:rsid w:val="00AE52F3"/>
    <w:rsid w:val="00AF0F3F"/>
    <w:rsid w:val="00B00C0C"/>
    <w:rsid w:val="00B017D3"/>
    <w:rsid w:val="00B03C9D"/>
    <w:rsid w:val="00B060AE"/>
    <w:rsid w:val="00B10517"/>
    <w:rsid w:val="00B14E76"/>
    <w:rsid w:val="00B161B8"/>
    <w:rsid w:val="00B2048C"/>
    <w:rsid w:val="00B30139"/>
    <w:rsid w:val="00B310B9"/>
    <w:rsid w:val="00B3566E"/>
    <w:rsid w:val="00B35F3F"/>
    <w:rsid w:val="00B36CBB"/>
    <w:rsid w:val="00B425E0"/>
    <w:rsid w:val="00B440AA"/>
    <w:rsid w:val="00B44B70"/>
    <w:rsid w:val="00B51BFD"/>
    <w:rsid w:val="00B53C56"/>
    <w:rsid w:val="00B60169"/>
    <w:rsid w:val="00B61738"/>
    <w:rsid w:val="00B77EA6"/>
    <w:rsid w:val="00B81598"/>
    <w:rsid w:val="00B841F1"/>
    <w:rsid w:val="00B944D6"/>
    <w:rsid w:val="00B9723B"/>
    <w:rsid w:val="00BB4DF0"/>
    <w:rsid w:val="00BC0268"/>
    <w:rsid w:val="00BC2177"/>
    <w:rsid w:val="00BC289F"/>
    <w:rsid w:val="00BC5361"/>
    <w:rsid w:val="00BC5460"/>
    <w:rsid w:val="00BC6B50"/>
    <w:rsid w:val="00BC717C"/>
    <w:rsid w:val="00BD0E25"/>
    <w:rsid w:val="00BF5BD6"/>
    <w:rsid w:val="00C03E31"/>
    <w:rsid w:val="00C33E72"/>
    <w:rsid w:val="00C354B2"/>
    <w:rsid w:val="00C35554"/>
    <w:rsid w:val="00C42709"/>
    <w:rsid w:val="00C533CC"/>
    <w:rsid w:val="00C5751C"/>
    <w:rsid w:val="00C578A9"/>
    <w:rsid w:val="00C619C0"/>
    <w:rsid w:val="00C61BFC"/>
    <w:rsid w:val="00C62B85"/>
    <w:rsid w:val="00C65438"/>
    <w:rsid w:val="00C769FA"/>
    <w:rsid w:val="00C8751B"/>
    <w:rsid w:val="00C91CBB"/>
    <w:rsid w:val="00CC09B6"/>
    <w:rsid w:val="00CC666F"/>
    <w:rsid w:val="00CD1E3F"/>
    <w:rsid w:val="00CD2753"/>
    <w:rsid w:val="00CE380B"/>
    <w:rsid w:val="00CE44F6"/>
    <w:rsid w:val="00CE49DA"/>
    <w:rsid w:val="00CE7B61"/>
    <w:rsid w:val="00CF5FDB"/>
    <w:rsid w:val="00CF65E9"/>
    <w:rsid w:val="00D00095"/>
    <w:rsid w:val="00D04F4F"/>
    <w:rsid w:val="00D20620"/>
    <w:rsid w:val="00D26091"/>
    <w:rsid w:val="00D34E7C"/>
    <w:rsid w:val="00D35489"/>
    <w:rsid w:val="00D51276"/>
    <w:rsid w:val="00D7035F"/>
    <w:rsid w:val="00D92965"/>
    <w:rsid w:val="00DA65AC"/>
    <w:rsid w:val="00DB1913"/>
    <w:rsid w:val="00DC410D"/>
    <w:rsid w:val="00DC68CA"/>
    <w:rsid w:val="00DC7CBA"/>
    <w:rsid w:val="00DD202E"/>
    <w:rsid w:val="00DD73B7"/>
    <w:rsid w:val="00DF28BC"/>
    <w:rsid w:val="00DF34B9"/>
    <w:rsid w:val="00E01053"/>
    <w:rsid w:val="00E01C25"/>
    <w:rsid w:val="00E07ACF"/>
    <w:rsid w:val="00E154BD"/>
    <w:rsid w:val="00E251A6"/>
    <w:rsid w:val="00E331A1"/>
    <w:rsid w:val="00E33202"/>
    <w:rsid w:val="00E336A9"/>
    <w:rsid w:val="00E50591"/>
    <w:rsid w:val="00E50624"/>
    <w:rsid w:val="00E568DF"/>
    <w:rsid w:val="00E64269"/>
    <w:rsid w:val="00E76284"/>
    <w:rsid w:val="00E7668B"/>
    <w:rsid w:val="00E82267"/>
    <w:rsid w:val="00E8404C"/>
    <w:rsid w:val="00E8484D"/>
    <w:rsid w:val="00E8605E"/>
    <w:rsid w:val="00E92591"/>
    <w:rsid w:val="00EA010F"/>
    <w:rsid w:val="00EA20BE"/>
    <w:rsid w:val="00EC6695"/>
    <w:rsid w:val="00ED1B63"/>
    <w:rsid w:val="00ED3C1F"/>
    <w:rsid w:val="00ED4085"/>
    <w:rsid w:val="00ED420E"/>
    <w:rsid w:val="00EE2F57"/>
    <w:rsid w:val="00EE5389"/>
    <w:rsid w:val="00EE6A1C"/>
    <w:rsid w:val="00EF30FE"/>
    <w:rsid w:val="00EF4C34"/>
    <w:rsid w:val="00EF77C6"/>
    <w:rsid w:val="00F03932"/>
    <w:rsid w:val="00F05438"/>
    <w:rsid w:val="00F05D0F"/>
    <w:rsid w:val="00F111BA"/>
    <w:rsid w:val="00F1361C"/>
    <w:rsid w:val="00F155CC"/>
    <w:rsid w:val="00F160C7"/>
    <w:rsid w:val="00F22B23"/>
    <w:rsid w:val="00F234D8"/>
    <w:rsid w:val="00F24BD1"/>
    <w:rsid w:val="00F36D8F"/>
    <w:rsid w:val="00F417B1"/>
    <w:rsid w:val="00F5517F"/>
    <w:rsid w:val="00F602DF"/>
    <w:rsid w:val="00F64ECC"/>
    <w:rsid w:val="00F81FD9"/>
    <w:rsid w:val="00F841AA"/>
    <w:rsid w:val="00FA23E8"/>
    <w:rsid w:val="00FA54EF"/>
    <w:rsid w:val="00FC0308"/>
    <w:rsid w:val="00FD3CC1"/>
    <w:rsid w:val="00FE02D1"/>
    <w:rsid w:val="00FE721A"/>
    <w:rsid w:val="00FF1E02"/>
    <w:rsid w:val="00FF1E67"/>
    <w:rsid w:val="00FF30B4"/>
    <w:rsid w:val="00FF5DDB"/>
    <w:rsid w:val="10C055FF"/>
    <w:rsid w:val="16BB723D"/>
    <w:rsid w:val="240371BF"/>
    <w:rsid w:val="29FD04D3"/>
    <w:rsid w:val="319F7F4E"/>
    <w:rsid w:val="479D129B"/>
    <w:rsid w:val="6FF73CE7"/>
    <w:rsid w:val="7936555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kern w:val="0"/>
      <w:sz w:val="24"/>
    </w:rPr>
  </w:style>
  <w:style w:type="character" w:styleId="15">
    <w:name w:val="Strong"/>
    <w:basedOn w:val="14"/>
    <w:qFormat/>
    <w:uiPriority w:val="22"/>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10FF6-9DF2-43DA-B382-FBB039EEB7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7696</Words>
  <Characters>8327</Characters>
  <Lines>74</Lines>
  <Paragraphs>20</Paragraphs>
  <TotalTime>126</TotalTime>
  <ScaleCrop>false</ScaleCrop>
  <LinksUpToDate>false</LinksUpToDate>
  <CharactersWithSpaces>8377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2019-09-26T11:56:00Z</dcterms:created>
  <dc:creator>张彬茜</dc:creator>
  <cp:lastModifiedBy>X。</cp:lastModifiedBy>
  <cp:lastPrinted>2019-08-01T00:48:00Z</cp:lastPrinted>
  <dcterms:modified xsi:type="dcterms:W3CDTF">2023-07-14T08:05:41Z</dcterms:modified>
  <dc:title>四川省***</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9EF68942BAC34779B82636F9045CA38A</vt:lpwstr>
  </property>
</Properties>
</file>