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96597"/>
      <w:bookmarkStart w:id="3" w:name="_Toc15378441"/>
      <w:bookmarkStart w:id="4" w:name="_Toc15396475"/>
      <w:bookmarkStart w:id="5" w:name="_Toc15377193"/>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598"/>
      <w:bookmarkStart w:id="7" w:name="_Toc15378442"/>
      <w:bookmarkStart w:id="8" w:name="_Toc15377426"/>
      <w:bookmarkStart w:id="9" w:name="_Toc15396476"/>
      <w:bookmarkStart w:id="10" w:name="_Toc15377194"/>
      <w:r>
        <w:rPr>
          <w:rFonts w:hint="eastAsia" w:ascii="方正小标宋简体" w:hAnsi="宋体" w:eastAsia="方正小标宋简体"/>
          <w:color w:val="000000"/>
          <w:sz w:val="72"/>
          <w:szCs w:val="72"/>
        </w:rPr>
        <w:t>四川省阿坝州</w:t>
      </w:r>
      <w:bookmarkEnd w:id="0"/>
      <w:bookmarkStart w:id="11" w:name="_Toc15306268"/>
      <w:r>
        <w:rPr>
          <w:rFonts w:hint="eastAsia" w:ascii="方正小标宋简体" w:hAnsi="宋体" w:eastAsia="方正小标宋简体"/>
          <w:color w:val="000000"/>
          <w:sz w:val="72"/>
          <w:szCs w:val="72"/>
        </w:rPr>
        <w:t>九寨沟县政协部门决算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黑体" w:hAnsi="黑体" w:eastAsia="黑体" w:cstheme="minorBidi"/>
          <w:sz w:val="28"/>
          <w:szCs w:val="28"/>
        </w:rPr>
      </w:pPr>
    </w:p>
    <w:p>
      <w:pPr>
        <w:widowControl/>
        <w:jc w:val="center"/>
        <w:rPr>
          <w:rFonts w:ascii="黑体" w:hAnsi="黑体" w:eastAsia="黑体" w:cstheme="minorBidi"/>
          <w:sz w:val="28"/>
          <w:szCs w:val="28"/>
        </w:rPr>
      </w:pPr>
    </w:p>
    <w:p>
      <w:pPr>
        <w:widowControl/>
        <w:jc w:val="center"/>
        <w:rPr>
          <w:rFonts w:ascii="黑体" w:hAnsi="黑体" w:eastAsia="黑体" w:cstheme="minorBidi"/>
          <w:sz w:val="28"/>
          <w:szCs w:val="28"/>
        </w:rPr>
      </w:pPr>
    </w:p>
    <w:p>
      <w:pPr>
        <w:widowControl/>
        <w:jc w:val="center"/>
        <w:rPr>
          <w:rFonts w:ascii="黑体" w:hAnsi="黑体" w:eastAsia="黑体" w:cstheme="minorBidi"/>
          <w:sz w:val="28"/>
          <w:szCs w:val="28"/>
        </w:rPr>
      </w:pPr>
    </w:p>
    <w:p>
      <w:pPr>
        <w:widowControl/>
        <w:jc w:val="center"/>
        <w:rPr>
          <w:rFonts w:ascii="黑体" w:hAnsi="黑体" w:eastAsia="黑体" w:cstheme="minorBidi"/>
          <w:sz w:val="28"/>
          <w:szCs w:val="28"/>
        </w:rPr>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0"/>
      </w:pPr>
      <w:r>
        <w:rPr>
          <w:rFonts w:hint="eastAsia"/>
        </w:rPr>
        <w:t>公开时间：20</w:t>
      </w:r>
      <w:r>
        <w:rPr>
          <w:rFonts w:hint="eastAsia"/>
          <w:lang w:val="en-US" w:eastAsia="zh-CN"/>
        </w:rPr>
        <w:t>20</w:t>
      </w:r>
      <w:r>
        <w:rPr>
          <w:rFonts w:hint="eastAsia"/>
        </w:rPr>
        <w:t>年8月2</w:t>
      </w:r>
      <w:r>
        <w:rPr>
          <w:rFonts w:hint="eastAsia"/>
          <w:lang w:val="en-US" w:eastAsia="zh-CN"/>
        </w:rPr>
        <w:t>5</w:t>
      </w:r>
      <w:r>
        <w:rPr>
          <w:rFonts w:hint="eastAsia"/>
        </w:rPr>
        <w:t>日</w:t>
      </w:r>
    </w:p>
    <w:p/>
    <w:p>
      <w:pPr>
        <w:pStyle w:val="10"/>
        <w:rPr>
          <w:rFonts w:cstheme="minorBidi"/>
        </w:rPr>
      </w:pPr>
      <w:r>
        <w:fldChar w:fldCharType="begin"/>
      </w:r>
      <w:r>
        <w:instrText xml:space="preserve"> HYPERLINK \l "_Toc15396599" </w:instrText>
      </w:r>
      <w:r>
        <w:fldChar w:fldCharType="separate"/>
      </w:r>
      <w:r>
        <w:rPr>
          <w:rStyle w:val="18"/>
          <w:rFonts w:hint="eastAsia"/>
        </w:rPr>
        <w:t>第一部分部门概况</w:t>
      </w:r>
      <w:r>
        <w:tab/>
      </w:r>
      <w:r>
        <w:rPr>
          <w:rFonts w:hint="eastAsia"/>
        </w:rPr>
        <w:t>4</w:t>
      </w:r>
      <w:r>
        <w:rPr>
          <w:rFonts w:hint="eastAsia"/>
        </w:rPr>
        <w:fldChar w:fldCharType="end"/>
      </w:r>
    </w:p>
    <w:p>
      <w:pPr>
        <w:pStyle w:val="12"/>
        <w:rPr>
          <w:rFonts w:ascii="仿宋" w:hAnsi="仿宋" w:eastAsia="仿宋" w:cstheme="minorBidi"/>
          <w:sz w:val="28"/>
          <w:szCs w:val="28"/>
        </w:rPr>
      </w:pPr>
      <w:r>
        <w:fldChar w:fldCharType="begin"/>
      </w:r>
      <w:r>
        <w:instrText xml:space="preserve"> HYPERLINK \l "_Toc15396600" </w:instrText>
      </w:r>
      <w:r>
        <w:fldChar w:fldCharType="separate"/>
      </w:r>
      <w:r>
        <w:rPr>
          <w:rStyle w:val="18"/>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"_Toc15396601" </w:instrText>
      </w:r>
      <w:r>
        <w:fldChar w:fldCharType="separate"/>
      </w:r>
      <w:r>
        <w:rPr>
          <w:rStyle w:val="18"/>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8"/>
          <w:rFonts w:hint="eastAsia"/>
        </w:rPr>
        <w:t>第二部分</w:t>
      </w:r>
      <w:r>
        <w:rPr>
          <w:rStyle w:val="18"/>
        </w:rPr>
        <w:t xml:space="preserve"> 2018</w:t>
      </w:r>
      <w:r>
        <w:rPr>
          <w:rStyle w:val="18"/>
          <w:rFonts w:hint="eastAsia"/>
        </w:rPr>
        <w:t>年度部门决算情况说明</w:t>
      </w:r>
      <w:r>
        <w:tab/>
      </w:r>
      <w:r>
        <w:fldChar w:fldCharType="begin"/>
      </w:r>
      <w:r>
        <w:instrText xml:space="preserve"> PAGEREF _Toc15396602 \h </w:instrText>
      </w:r>
      <w:r>
        <w:fldChar w:fldCharType="separate"/>
      </w:r>
      <w:r>
        <w:t>5</w:t>
      </w:r>
      <w:r>
        <w:fldChar w:fldCharType="end"/>
      </w:r>
      <w:r>
        <w:fldChar w:fldCharType="end"/>
      </w:r>
    </w:p>
    <w:p>
      <w:pPr>
        <w:pStyle w:val="12"/>
        <w:rPr>
          <w:rFonts w:ascii="仿宋" w:hAnsi="仿宋" w:eastAsia="仿宋" w:cstheme="minorBidi"/>
          <w:sz w:val="28"/>
          <w:szCs w:val="28"/>
        </w:rPr>
      </w:pPr>
      <w:r>
        <w:fldChar w:fldCharType="begin"/>
      </w:r>
      <w:r>
        <w:instrText xml:space="preserve"> HYPERLINK \l "_Toc15396603" </w:instrText>
      </w:r>
      <w:r>
        <w:fldChar w:fldCharType="separate"/>
      </w:r>
      <w:r>
        <w:rPr>
          <w:rStyle w:val="18"/>
          <w:rFonts w:hint="eastAsia" w:ascii="仿宋" w:hAnsi="仿宋" w:eastAsia="仿宋" w:cstheme="majorBidi"/>
          <w:bCs/>
          <w:sz w:val="28"/>
          <w:szCs w:val="28"/>
        </w:rPr>
        <w:t>一、</w:t>
      </w:r>
      <w:r>
        <w:rPr>
          <w:rStyle w:val="18"/>
          <w:rFonts w:hint="eastAsia" w:ascii="仿宋" w:hAnsi="仿宋" w:eastAsia="仿宋"/>
          <w:sz w:val="28"/>
          <w:szCs w:val="28"/>
        </w:rPr>
        <w:t>收</w:t>
      </w:r>
      <w:r>
        <w:rPr>
          <w:rStyle w:val="18"/>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"_Toc15396604" </w:instrText>
      </w:r>
      <w:r>
        <w:fldChar w:fldCharType="separate"/>
      </w:r>
      <w:r>
        <w:rPr>
          <w:rStyle w:val="18"/>
          <w:rFonts w:hint="eastAsia" w:ascii="仿宋" w:hAnsi="仿宋" w:eastAsia="仿宋" w:cstheme="majorBidi"/>
          <w:bCs/>
          <w:sz w:val="28"/>
          <w:szCs w:val="28"/>
        </w:rPr>
        <w:t>二、</w:t>
      </w:r>
      <w:r>
        <w:rPr>
          <w:rStyle w:val="18"/>
          <w:rFonts w:hint="eastAsia" w:ascii="仿宋" w:hAnsi="仿宋" w:eastAsia="仿宋"/>
          <w:sz w:val="28"/>
          <w:szCs w:val="28"/>
        </w:rPr>
        <w:t>收</w:t>
      </w:r>
      <w:r>
        <w:rPr>
          <w:rStyle w:val="18"/>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"_Toc15396605" </w:instrText>
      </w:r>
      <w:r>
        <w:fldChar w:fldCharType="separate"/>
      </w:r>
      <w:r>
        <w:rPr>
          <w:rStyle w:val="18"/>
          <w:rFonts w:hint="eastAsia" w:ascii="仿宋" w:hAnsi="仿宋" w:eastAsia="仿宋" w:cstheme="majorBidi"/>
          <w:bCs/>
          <w:sz w:val="28"/>
          <w:szCs w:val="28"/>
        </w:rPr>
        <w:t>三、</w:t>
      </w:r>
      <w:r>
        <w:rPr>
          <w:rStyle w:val="18"/>
          <w:rFonts w:hint="eastAsia" w:ascii="仿宋" w:hAnsi="仿宋" w:eastAsia="仿宋"/>
          <w:sz w:val="28"/>
          <w:szCs w:val="28"/>
        </w:rPr>
        <w:t>支</w:t>
      </w:r>
      <w:r>
        <w:rPr>
          <w:rStyle w:val="18"/>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"_Toc15396606" </w:instrText>
      </w:r>
      <w:r>
        <w:fldChar w:fldCharType="separate"/>
      </w:r>
      <w:r>
        <w:rPr>
          <w:rStyle w:val="18"/>
          <w:rFonts w:hint="eastAsia" w:ascii="仿宋" w:hAnsi="仿宋" w:eastAsia="仿宋"/>
          <w:sz w:val="28"/>
          <w:szCs w:val="28"/>
        </w:rPr>
        <w:t>四、财</w:t>
      </w:r>
      <w:r>
        <w:rPr>
          <w:rStyle w:val="18"/>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"_Toc15396607" </w:instrText>
      </w:r>
      <w:r>
        <w:fldChar w:fldCharType="separate"/>
      </w:r>
      <w:r>
        <w:rPr>
          <w:rStyle w:val="18"/>
          <w:rFonts w:hint="eastAsia" w:ascii="仿宋" w:hAnsi="仿宋" w:eastAsia="仿宋"/>
          <w:sz w:val="28"/>
          <w:szCs w:val="28"/>
        </w:rPr>
        <w:t>五、一</w:t>
      </w:r>
      <w:r>
        <w:rPr>
          <w:rStyle w:val="18"/>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"_Toc15396608" </w:instrText>
      </w:r>
      <w:r>
        <w:fldChar w:fldCharType="separate"/>
      </w:r>
      <w:r>
        <w:rPr>
          <w:rStyle w:val="18"/>
          <w:rFonts w:hint="eastAsia" w:ascii="仿宋" w:hAnsi="仿宋" w:eastAsia="仿宋"/>
          <w:sz w:val="28"/>
          <w:szCs w:val="28"/>
        </w:rPr>
        <w:t>六、一</w:t>
      </w:r>
      <w:r>
        <w:rPr>
          <w:rStyle w:val="18"/>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"_Toc15396609" </w:instrText>
      </w:r>
      <w:r>
        <w:fldChar w:fldCharType="separate"/>
      </w:r>
      <w:r>
        <w:rPr>
          <w:rStyle w:val="18"/>
          <w:rFonts w:hint="eastAsia" w:ascii="仿宋" w:hAnsi="仿宋" w:eastAsia="仿宋"/>
          <w:sz w:val="28"/>
          <w:szCs w:val="28"/>
        </w:rPr>
        <w:t>七、</w:t>
      </w:r>
      <w:r>
        <w:rPr>
          <w:rStyle w:val="18"/>
          <w:rFonts w:ascii="仿宋" w:hAnsi="仿宋" w:eastAsia="仿宋"/>
          <w:sz w:val="28"/>
          <w:szCs w:val="28"/>
        </w:rPr>
        <w:t>“</w:t>
      </w:r>
      <w:r>
        <w:rPr>
          <w:rStyle w:val="18"/>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"_Toc15396610" </w:instrText>
      </w:r>
      <w:r>
        <w:fldChar w:fldCharType="separate"/>
      </w:r>
      <w:r>
        <w:rPr>
          <w:rStyle w:val="18"/>
          <w:rFonts w:hint="eastAsia" w:ascii="仿宋" w:hAnsi="仿宋" w:eastAsia="仿宋"/>
          <w:sz w:val="28"/>
          <w:szCs w:val="28"/>
        </w:rPr>
        <w:t>八、</w:t>
      </w:r>
      <w:r>
        <w:rPr>
          <w:rStyle w:val="18"/>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"_Toc15396611" </w:instrText>
      </w:r>
      <w:r>
        <w:fldChar w:fldCharType="separate"/>
      </w:r>
      <w:r>
        <w:rPr>
          <w:rStyle w:val="18"/>
          <w:rFonts w:hint="eastAsia" w:ascii="仿宋" w:hAnsi="仿宋" w:eastAsia="仿宋" w:cstheme="majorBidi"/>
          <w:bCs/>
          <w:sz w:val="28"/>
          <w:szCs w:val="28"/>
        </w:rPr>
        <w:t>九、</w:t>
      </w:r>
      <w:r>
        <w:rPr>
          <w:rStyle w:val="18"/>
          <w:rFonts w:hint="eastAsia" w:ascii="仿宋" w:hAnsi="仿宋" w:eastAsia="仿宋"/>
          <w:sz w:val="28"/>
          <w:szCs w:val="28"/>
        </w:rPr>
        <w:t xml:space="preserve"> 国</w:t>
      </w:r>
      <w:r>
        <w:rPr>
          <w:rStyle w:val="18"/>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"_Toc15396612" </w:instrText>
      </w:r>
      <w:r>
        <w:fldChar w:fldCharType="separate"/>
      </w:r>
      <w:r>
        <w:rPr>
          <w:rStyle w:val="18"/>
          <w:rFonts w:hint="eastAsia" w:ascii="仿宋" w:hAnsi="仿宋" w:eastAsia="仿宋"/>
          <w:sz w:val="28"/>
          <w:szCs w:val="28"/>
        </w:rPr>
        <w:t>十</w:t>
      </w:r>
      <w:r>
        <w:rPr>
          <w:rStyle w:val="18"/>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pPr>
        <w:pStyle w:val="10"/>
        <w:rPr>
          <w:rFonts w:cstheme="minorBidi"/>
        </w:rPr>
      </w:pPr>
      <w:r>
        <w:fldChar w:fldCharType="begin"/>
      </w:r>
      <w:r>
        <w:instrText xml:space="preserve"> HYPERLINK \l "_Toc15396613" </w:instrText>
      </w:r>
      <w:r>
        <w:fldChar w:fldCharType="separate"/>
      </w:r>
      <w:r>
        <w:rPr>
          <w:rStyle w:val="18"/>
          <w:rFonts w:hint="eastAsia"/>
          <w:bCs/>
          <w:kern w:val="44"/>
        </w:rPr>
        <w:t>第三部分</w:t>
      </w:r>
      <w:r>
        <w:rPr>
          <w:rStyle w:val="18"/>
          <w:rFonts w:hint="eastAsia"/>
        </w:rPr>
        <w:t xml:space="preserve"> 名</w:t>
      </w:r>
      <w:r>
        <w:rPr>
          <w:rStyle w:val="18"/>
          <w:rFonts w:hint="eastAsia"/>
          <w:bCs/>
          <w:kern w:val="44"/>
        </w:rPr>
        <w:t>词解释</w:t>
      </w:r>
      <w:r>
        <w:tab/>
      </w:r>
      <w:r>
        <w:fldChar w:fldCharType="begin"/>
      </w:r>
      <w:r>
        <w:instrText xml:space="preserve"> PAGEREF _Toc15396613 \h </w:instrText>
      </w:r>
      <w:r>
        <w:fldChar w:fldCharType="separate"/>
      </w:r>
      <w:r>
        <w:t>16</w:t>
      </w:r>
      <w:r>
        <w:fldChar w:fldCharType="end"/>
      </w:r>
      <w:r>
        <w:fldChar w:fldCharType="end"/>
      </w:r>
    </w:p>
    <w:p>
      <w:pPr>
        <w:pStyle w:val="10"/>
        <w:rPr>
          <w:rFonts w:cstheme="minorBidi"/>
        </w:rPr>
      </w:pPr>
      <w:r>
        <w:fldChar w:fldCharType="begin"/>
      </w:r>
      <w:r>
        <w:instrText xml:space="preserve"> HYPERLINK \l "_Toc15396614" </w:instrText>
      </w:r>
      <w:r>
        <w:fldChar w:fldCharType="separate"/>
      </w:r>
      <w:r>
        <w:rPr>
          <w:rStyle w:val="18"/>
          <w:rFonts w:hint="eastAsia"/>
        </w:rPr>
        <w:t>第</w:t>
      </w:r>
      <w:r>
        <w:rPr>
          <w:rStyle w:val="18"/>
          <w:rFonts w:hint="eastAsia"/>
          <w:bCs/>
          <w:kern w:val="44"/>
        </w:rPr>
        <w:t>四部分附件</w:t>
      </w:r>
      <w:r>
        <w:tab/>
      </w:r>
      <w:r>
        <w:fldChar w:fldCharType="begin"/>
      </w:r>
      <w:r>
        <w:instrText xml:space="preserve"> PAGEREF _Toc15396614 \h </w:instrText>
      </w:r>
      <w:r>
        <w:fldChar w:fldCharType="separate"/>
      </w:r>
      <w:r>
        <w:t>19</w:t>
      </w:r>
      <w:r>
        <w:fldChar w:fldCharType="end"/>
      </w:r>
      <w:r>
        <w:fldChar w:fldCharType="end"/>
      </w:r>
    </w:p>
    <w:p>
      <w:pPr>
        <w:pStyle w:val="12"/>
        <w:rPr>
          <w:rFonts w:ascii="仿宋" w:hAnsi="仿宋" w:eastAsia="仿宋" w:cstheme="minorBidi"/>
          <w:sz w:val="28"/>
          <w:szCs w:val="28"/>
        </w:rPr>
      </w:pPr>
      <w:r>
        <w:fldChar w:fldCharType="begin"/>
      </w:r>
      <w:r>
        <w:instrText xml:space="preserve"> HYPERLINK \l "_Toc15396615" </w:instrText>
      </w:r>
      <w:r>
        <w:fldChar w:fldCharType="separate"/>
      </w:r>
      <w:r>
        <w:rPr>
          <w:rStyle w:val="18"/>
          <w:rFonts w:hint="eastAsia" w:ascii="仿宋" w:hAnsi="仿宋" w:eastAsia="仿宋"/>
          <w:kern w:val="44"/>
          <w:sz w:val="28"/>
          <w:szCs w:val="28"/>
        </w:rPr>
        <w:t>附件</w:t>
      </w:r>
      <w:r>
        <w:rPr>
          <w:rStyle w:val="18"/>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"_Toc15396617" </w:instrText>
      </w:r>
      <w:r>
        <w:fldChar w:fldCharType="separate"/>
      </w:r>
      <w:r>
        <w:rPr>
          <w:rStyle w:val="18"/>
          <w:rFonts w:hint="eastAsia" w:ascii="仿宋" w:hAnsi="仿宋" w:eastAsia="仿宋"/>
          <w:kern w:val="44"/>
          <w:sz w:val="28"/>
          <w:szCs w:val="28"/>
        </w:rPr>
        <w:t>附件</w:t>
      </w:r>
      <w:r>
        <w:rPr>
          <w:rStyle w:val="18"/>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pPr>
        <w:pStyle w:val="10"/>
        <w:rPr>
          <w:rFonts w:cstheme="minorBidi"/>
        </w:rPr>
      </w:pPr>
      <w:r>
        <w:fldChar w:fldCharType="begin"/>
      </w:r>
      <w:r>
        <w:instrText xml:space="preserve"> HYPERLINK \l "_Toc15396618" </w:instrText>
      </w:r>
      <w:r>
        <w:fldChar w:fldCharType="separate"/>
      </w:r>
      <w:r>
        <w:rPr>
          <w:rStyle w:val="18"/>
          <w:rFonts w:hint="eastAsia"/>
        </w:rPr>
        <w:t>第</w:t>
      </w:r>
      <w:r>
        <w:rPr>
          <w:rStyle w:val="18"/>
          <w:rFonts w:hint="eastAsia"/>
          <w:bCs/>
          <w:kern w:val="44"/>
        </w:rPr>
        <w:t>五部分附表</w:t>
      </w:r>
      <w:r>
        <w:tab/>
      </w:r>
      <w:r>
        <w:fldChar w:fldCharType="begin"/>
      </w:r>
      <w:r>
        <w:instrText xml:space="preserve"> PAGEREF _Toc15396618 \h </w:instrText>
      </w:r>
      <w:r>
        <w:fldChar w:fldCharType="separate"/>
      </w:r>
      <w:r>
        <w:t>22</w:t>
      </w:r>
      <w:r>
        <w:fldChar w:fldCharType="end"/>
      </w:r>
      <w:r>
        <w:fldChar w:fldCharType="end"/>
      </w:r>
    </w:p>
    <w:p>
      <w:pPr>
        <w:pStyle w:val="12"/>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8"/>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8"/>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8"/>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8"/>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8"/>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8"/>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8"/>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8"/>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8"/>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8"/>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8"/>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8"/>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widowControl/>
        <w:jc w:val="center"/>
        <w:rPr>
          <w:rFonts w:ascii="仿宋" w:hAnsi="仿宋" w:eastAsia="仿宋"/>
          <w:color w:val="000000"/>
          <w:sz w:val="24"/>
        </w:rPr>
      </w:pPr>
      <w:r>
        <w:rPr>
          <w:rFonts w:ascii="仿宋" w:hAnsi="仿宋" w:eastAsia="仿宋"/>
          <w:color w:val="000000"/>
          <w:sz w:val="24"/>
        </w:rPr>
        <w:fldChar w:fldCharType="end"/>
      </w:r>
    </w:p>
    <w:p>
      <w:pPr>
        <w:widowControl/>
        <w:jc w:val="center"/>
        <w:rPr>
          <w:rFonts w:hint="eastAsia" w:ascii="黑体" w:hAnsi="黑体" w:eastAsia="黑体"/>
          <w:b w:val="0"/>
        </w:rPr>
      </w:pPr>
    </w:p>
    <w:p>
      <w:pPr>
        <w:widowControl/>
        <w:jc w:val="center"/>
        <w:rPr>
          <w:rFonts w:hint="eastAsia" w:ascii="黑体" w:hAnsi="黑体" w:eastAsia="黑体"/>
          <w:b w:val="0"/>
        </w:rPr>
      </w:pPr>
    </w:p>
    <w:p>
      <w:pPr>
        <w:widowControl/>
        <w:jc w:val="center"/>
        <w:rPr>
          <w:rFonts w:hint="eastAsia" w:ascii="黑体" w:hAnsi="黑体" w:eastAsia="黑体"/>
          <w:b w:val="0"/>
        </w:rPr>
      </w:pPr>
    </w:p>
    <w:p>
      <w:pPr>
        <w:widowControl/>
        <w:jc w:val="center"/>
        <w:rPr>
          <w:rFonts w:hint="eastAsia" w:ascii="黑体" w:hAnsi="黑体" w:eastAsia="黑体"/>
          <w:b w:val="0"/>
        </w:rPr>
      </w:pPr>
    </w:p>
    <w:p>
      <w:pPr>
        <w:widowControl/>
        <w:jc w:val="center"/>
        <w:rPr>
          <w:rFonts w:hint="eastAsia" w:ascii="黑体" w:hAnsi="黑体" w:eastAsia="黑体"/>
          <w:b w:val="0"/>
        </w:rPr>
      </w:pPr>
    </w:p>
    <w:p>
      <w:pPr>
        <w:widowControl/>
        <w:jc w:val="center"/>
        <w:rPr>
          <w:rFonts w:hint="eastAsia" w:ascii="黑体" w:hAnsi="黑体" w:eastAsia="黑体"/>
          <w:b w:val="0"/>
        </w:rPr>
      </w:pPr>
    </w:p>
    <w:p>
      <w:pPr>
        <w:widowControl/>
        <w:jc w:val="center"/>
        <w:rPr>
          <w:rFonts w:hint="eastAsia" w:ascii="黑体" w:hAnsi="黑体" w:eastAsia="黑体"/>
          <w:b w:val="0"/>
        </w:rPr>
      </w:pPr>
    </w:p>
    <w:p>
      <w:pPr>
        <w:widowControl/>
        <w:jc w:val="center"/>
        <w:rPr>
          <w:rFonts w:hint="eastAsia" w:ascii="黑体" w:hAnsi="黑体" w:eastAsia="黑体"/>
          <w:b w:val="0"/>
        </w:rPr>
      </w:pPr>
    </w:p>
    <w:p>
      <w:pPr>
        <w:widowControl/>
        <w:jc w:val="center"/>
        <w:rPr>
          <w:rFonts w:hint="eastAsia" w:ascii="黑体" w:hAnsi="黑体" w:eastAsia="黑体"/>
          <w:b w:val="0"/>
        </w:rPr>
      </w:pPr>
    </w:p>
    <w:p>
      <w:pPr>
        <w:widowControl/>
        <w:jc w:val="center"/>
        <w:rPr>
          <w:rFonts w:hint="eastAsia" w:ascii="黑体" w:hAnsi="黑体" w:eastAsia="黑体"/>
          <w:b w:val="0"/>
        </w:rPr>
      </w:pPr>
    </w:p>
    <w:p>
      <w:pPr>
        <w:widowControl/>
        <w:jc w:val="center"/>
        <w:rPr>
          <w:rFonts w:hint="eastAsia" w:ascii="黑体" w:hAnsi="黑体" w:eastAsia="黑体"/>
          <w:b w:val="0"/>
        </w:rPr>
      </w:pPr>
    </w:p>
    <w:p>
      <w:pPr>
        <w:widowControl/>
        <w:jc w:val="center"/>
        <w:rPr>
          <w:rFonts w:hint="eastAsia" w:ascii="黑体" w:hAnsi="黑体" w:eastAsia="黑体"/>
          <w:b w:val="0"/>
        </w:rPr>
      </w:pPr>
    </w:p>
    <w:p>
      <w:pPr>
        <w:widowControl/>
        <w:jc w:val="center"/>
        <w:rPr>
          <w:rFonts w:hint="eastAsia" w:ascii="黑体" w:hAnsi="黑体" w:eastAsia="黑体"/>
          <w:b w:val="0"/>
        </w:rPr>
      </w:pPr>
    </w:p>
    <w:p>
      <w:pPr>
        <w:widowControl/>
        <w:jc w:val="center"/>
        <w:rPr>
          <w:rFonts w:hint="eastAsia" w:ascii="黑体" w:hAnsi="黑体" w:eastAsia="黑体"/>
          <w:b w:val="0"/>
        </w:rPr>
      </w:pPr>
    </w:p>
    <w:p>
      <w:pPr>
        <w:widowControl/>
        <w:jc w:val="center"/>
        <w:rPr>
          <w:rStyle w:val="34"/>
          <w:rFonts w:ascii="黑体" w:hAnsi="黑体" w:eastAsia="黑体"/>
          <w:b/>
          <w:bCs w:val="0"/>
        </w:rPr>
      </w:pPr>
      <w:r>
        <w:rPr>
          <w:rFonts w:hint="eastAsia" w:ascii="黑体" w:hAnsi="黑体" w:eastAsia="黑体"/>
          <w:b w:val="0"/>
          <w:sz w:val="44"/>
          <w:szCs w:val="44"/>
        </w:rPr>
        <w:t xml:space="preserve">第一部分 </w:t>
      </w:r>
      <w:r>
        <w:rPr>
          <w:rStyle w:val="34"/>
          <w:rFonts w:hint="eastAsia" w:ascii="黑体" w:hAnsi="黑体" w:eastAsia="黑体"/>
          <w:b w:val="0"/>
          <w:bCs w:val="0"/>
        </w:rPr>
        <w:t>部门概况</w:t>
      </w:r>
    </w:p>
    <w:p>
      <w:pPr>
        <w:pStyle w:val="3"/>
        <w:rPr>
          <w:rStyle w:val="33"/>
          <w:rFonts w:ascii="仿宋" w:hAnsi="仿宋" w:eastAsia="仿宋"/>
          <w:b w:val="0"/>
          <w:bCs w:val="0"/>
        </w:rPr>
      </w:pPr>
      <w:r>
        <w:rPr>
          <w:rFonts w:hint="eastAsia" w:ascii="黑体" w:hAnsi="黑体" w:eastAsia="黑体"/>
          <w:b w:val="0"/>
          <w:color w:val="000000"/>
        </w:rPr>
        <w:t>一、基</w:t>
      </w:r>
      <w:r>
        <w:rPr>
          <w:rStyle w:val="33"/>
          <w:rFonts w:hint="eastAsia" w:ascii="黑体" w:hAnsi="黑体" w:eastAsia="黑体"/>
          <w:b w:val="0"/>
          <w:bCs w:val="0"/>
        </w:rPr>
        <w:t>本职能及主要工作</w:t>
      </w:r>
    </w:p>
    <w:p>
      <w:pPr>
        <w:spacing w:line="576" w:lineRule="exact"/>
        <w:ind w:firstLine="640" w:firstLineChars="200"/>
        <w:rPr>
          <w:rFonts w:ascii="仿宋_GB2312" w:hAnsi="仿宋_GB2312" w:eastAsia="仿宋_GB2312" w:cs="仿宋_GB2312"/>
          <w:b/>
          <w:color w:val="000000"/>
          <w:sz w:val="32"/>
          <w:szCs w:val="32"/>
        </w:rPr>
      </w:pPr>
      <w:r>
        <w:rPr>
          <w:rFonts w:hint="eastAsia" w:ascii="仿宋" w:hAnsi="仿宋" w:eastAsia="仿宋"/>
          <w:bCs/>
          <w:color w:val="000000"/>
          <w:sz w:val="32"/>
          <w:szCs w:val="32"/>
        </w:rPr>
        <w:t>（一）主要职能。</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中国人民政治协商会议九寨沟县委员会是中共九寨沟县委员会领导的联系和团结全县各族各界人士的爱国统一战线组织和政治协商职能的重要机构。九寨沟县政协机关下设四委一室</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1、提案社会工作委员会</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（1）根据政协《章程》规定，提案社会工作委员会在常委会的领导下，负责提案的审查立案、转送、督办、催办、反馈、追踪等系例工作，每年将提案办理情况向全体委员会报告。</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围绕稳定、发展、参与抓法制宣传，调动一切积极因素，发挥群团组织在两个文明建设中的积极作用，积极参与社会治安综合治理工作，为我县兴旅、强农、建市目标作好调查研究，主动建言献策，密切联系所在人民团体的委员，及时了解社情民意。</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2、经济教育卫生委员会</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经济教育卫生委员会在常委会的领导下，围绕我县经济建设这个中心，组织委员经常性的专题调查、视察、座谈、密切联系委员，就我县的经济建设，社会发展，改革开放等重大决策的实施情况提出建议、批评和民主监督，为县委、</w:t>
      </w:r>
      <w:r>
        <w:rPr>
          <w:rFonts w:hint="eastAsia" w:ascii="仿宋_GB2312" w:hAnsi="仿宋_GB2312" w:eastAsia="仿宋_GB2312" w:cs="仿宋_GB2312"/>
          <w:color w:val="000000"/>
          <w:sz w:val="32"/>
          <w:szCs w:val="32"/>
          <w:highlight w:val="red"/>
          <w:lang w:eastAsia="zh-CN"/>
        </w:rPr>
        <w:t>县</w:t>
      </w:r>
      <w:r>
        <w:rPr>
          <w:rFonts w:hint="eastAsia" w:ascii="仿宋_GB2312" w:hAnsi="仿宋_GB2312" w:eastAsia="仿宋_GB2312" w:cs="仿宋_GB2312"/>
          <w:color w:val="000000"/>
          <w:sz w:val="32"/>
          <w:szCs w:val="32"/>
          <w:highlight w:val="red"/>
        </w:rPr>
        <w:t>政府</w:t>
      </w:r>
      <w:r>
        <w:rPr>
          <w:rFonts w:hint="eastAsia" w:ascii="仿宋_GB2312" w:hAnsi="仿宋_GB2312" w:eastAsia="仿宋_GB2312" w:cs="仿宋_GB2312"/>
          <w:color w:val="000000"/>
          <w:sz w:val="32"/>
          <w:szCs w:val="32"/>
        </w:rPr>
        <w:t>决策提供依据。</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（2）参与贯彻教育、文化、卫生等方面的法律、法规的宣传教育和具体实施中的监督，组织委员对此项工作的调查、视察和座谈，及时关心和反映科技人员的工作、生活等方面的困难和要求。</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3、文史、民族宗教委员会</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（1）搜集、征集、整理文史资料，全面系统地挖掘史料，及时研究和出版文史资料，为我县的两个文明建设服务。</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（2）认真贯彻党的民族宗教政策和《民族区域自治法》，参与政府部门组织的宗教寺庙管理和民族纠纷问题的调解，并提出意见和建议，团结各族各界人士，为我县的政治稳定、经济发展、社会进步作出贡献。</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4、综合办公室</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(1)在常委会和主席会的领导下，负责综合协调，密切与专门委员会和县级各部门的工作联系。</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(2)认真作好常委会、主席会、全体委员会议的筹备工作，作好会议记录，文书档案，草拟有关文字材料。</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(3)组织政协机关的学习及其他活动，传达贯彻上级和有关部门的会议精神，作好上传下达等工作</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(4)搞好政协委员的联系、接待和人民群众来信来访等工作。</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(5)搞好本机关的后勤保障工作及有关离退休人员的服务工作，完成常委会议、主席会交办的其他工作。</w:t>
      </w:r>
    </w:p>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(6)承办县政府交办的其他事项。</w:t>
      </w:r>
    </w:p>
    <w:p>
      <w:pPr>
        <w:spacing w:line="576" w:lineRule="exact"/>
        <w:ind w:firstLine="640" w:firstLineChars="200"/>
        <w:rPr>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lang w:val="en-US" w:eastAsia="zh-CN"/>
        </w:rPr>
        <w:t>9</w:t>
      </w:r>
      <w:r>
        <w:rPr>
          <w:rFonts w:hint="eastAsia" w:ascii="仿宋" w:hAnsi="仿宋" w:eastAsia="仿宋"/>
          <w:bCs/>
          <w:color w:val="000000"/>
          <w:sz w:val="32"/>
          <w:szCs w:val="32"/>
        </w:rPr>
        <w:t>年重点工作完成情况。</w:t>
      </w:r>
      <w:r>
        <w:rPr>
          <w:rFonts w:hint="eastAsia" w:ascii="仿宋_GB2312" w:eastAsia="仿宋_GB2312" w:cs="仿宋_GB2312" w:hAnsiTheme="minorEastAsia"/>
          <w:sz w:val="32"/>
          <w:szCs w:val="32"/>
        </w:rPr>
        <w:t>1、</w:t>
      </w:r>
      <w:r>
        <w:rPr>
          <w:rFonts w:hint="eastAsia" w:ascii="仿宋_GB2312" w:hAnsi="仿宋_GB2312" w:eastAsia="仿宋_GB2312" w:cs="仿宋_GB2312"/>
          <w:color w:val="000000" w:themeColor="text1"/>
          <w:sz w:val="32"/>
          <w:szCs w:val="32"/>
          <w:lang w:eastAsia="zh-CN"/>
          <w14:textFill>
            <w14:solidFill>
              <w14:schemeClr w14:val="tx1"/>
            </w14:solidFill>
          </w14:textFill>
        </w:rPr>
        <w:t>组织各专委会先后开展了</w:t>
      </w:r>
      <w:r>
        <w:rPr>
          <w:rFonts w:hint="eastAsia" w:ascii="仿宋_GB2312" w:hAnsi="仿宋_GB2312" w:eastAsia="仿宋_GB2312" w:cs="仿宋_GB2312"/>
          <w:color w:val="000000" w:themeColor="text1"/>
          <w:sz w:val="32"/>
          <w:szCs w:val="32"/>
          <w14:textFill>
            <w14:solidFill>
              <w14:schemeClr w14:val="tx1"/>
            </w14:solidFill>
          </w14:textFill>
        </w:rPr>
        <w:t>全域旅游产业发展</w:t>
      </w:r>
      <w:r>
        <w:rPr>
          <w:rFonts w:hint="eastAsia" w:ascii="仿宋_GB2312" w:hAnsi="仿宋_GB2312" w:eastAsia="仿宋_GB2312" w:cs="仿宋_GB2312"/>
          <w:color w:val="000000" w:themeColor="text1"/>
          <w:sz w:val="32"/>
          <w:szCs w:val="32"/>
          <w:lang w:eastAsia="zh-CN"/>
          <w14:textFill>
            <w14:solidFill>
              <w14:schemeClr w14:val="tx1"/>
            </w14:solidFill>
          </w14:textFill>
        </w:rPr>
        <w:t>、宜居县城建设、乡村振兴、等协商议政活动，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围绕灾后重建、脱贫攻坚、旅游发展、环境保护、民生改善等重点工作，广泛协商、献计出力，提出对策建议60余条，全年共召开全会1次、常委会议5次、主席会议15次、专委会对口协商会议11次</w:t>
      </w:r>
      <w:r>
        <w:rPr>
          <w:rFonts w:hint="eastAsia" w:ascii="仿宋_GB2312" w:eastAsia="仿宋_GB2312" w:cs="仿宋_GB2312" w:hAnsiTheme="minorEastAsia"/>
          <w:color w:val="000000"/>
          <w:sz w:val="32"/>
          <w:szCs w:val="32"/>
        </w:rPr>
        <w:t>。</w:t>
      </w:r>
      <w:r>
        <w:rPr>
          <w:rFonts w:hint="eastAsia" w:ascii="仿宋_GB2312" w:hAnsi="宋体" w:eastAsia="仿宋_GB2312" w:cs="仿宋_GB2312"/>
          <w:sz w:val="32"/>
          <w:szCs w:val="32"/>
        </w:rPr>
        <w:t>2</w:t>
      </w:r>
      <w:r>
        <w:rPr>
          <w:rFonts w:hint="eastAsia" w:ascii="仿宋_GB2312" w:eastAsia="仿宋_GB2312" w:cs="仿宋_GB2312" w:hAnsiTheme="minorEastAsia"/>
          <w:sz w:val="32"/>
          <w:szCs w:val="32"/>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按照县委统筹安排，主动融入，分别深度参与宜居县城、乡村振兴、全域旅游、灾后重建、民族团结进步创建、主题教育巡回指导等全县重大工作</w:t>
      </w:r>
      <w:r>
        <w:rPr>
          <w:rFonts w:hint="eastAsia" w:ascii="仿宋_GB2312" w:eastAsia="仿宋_GB2312" w:cs="仿宋_GB2312" w:hAnsiTheme="minorEastAsia"/>
          <w:color w:val="000000"/>
          <w:sz w:val="32"/>
          <w:szCs w:val="32"/>
        </w:rPr>
        <w:t>。</w:t>
      </w:r>
      <w:r>
        <w:rPr>
          <w:rFonts w:hint="eastAsia" w:ascii="仿宋_GB2312" w:hAnsi="宋体" w:eastAsia="仿宋_GB2312" w:cs="仿宋_GB2312"/>
          <w:sz w:val="32"/>
          <w:szCs w:val="32"/>
        </w:rPr>
        <w:t>3</w:t>
      </w:r>
      <w:r>
        <w:rPr>
          <w:rFonts w:hint="eastAsia" w:ascii="仿宋_GB2312" w:eastAsia="仿宋_GB2312" w:cs="仿宋_GB2312" w:hAnsiTheme="minorEastAsia"/>
          <w:sz w:val="32"/>
          <w:szCs w:val="32"/>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把提案工作作为政协最广泛最直接最有效的履职方式，不断强化提案质量和成果转化。</w:t>
      </w:r>
      <w:r>
        <w:rPr>
          <w:rFonts w:hint="eastAsia" w:ascii="仿宋_GB2312" w:hAnsi="宋体" w:eastAsia="仿宋_GB2312"/>
          <w:color w:val="000000"/>
          <w:sz w:val="32"/>
          <w:szCs w:val="32"/>
        </w:rPr>
        <w:t>4</w:t>
      </w:r>
      <w:r>
        <w:rPr>
          <w:rFonts w:hint="eastAsia" w:ascii="仿宋_GB2312" w:eastAsia="仿宋_GB2312" w:hAnsiTheme="minorEastAsia"/>
          <w:color w:val="000000"/>
          <w:sz w:val="32"/>
          <w:szCs w:val="32"/>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组织专委会视察、协商议政</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16</w:t>
      </w:r>
      <w:r>
        <w:rPr>
          <w:rFonts w:hint="eastAsia" w:ascii="仿宋_GB2312" w:hAnsi="仿宋_GB2312" w:eastAsia="仿宋_GB2312" w:cs="仿宋_GB2312"/>
          <w:color w:val="000000" w:themeColor="text1"/>
          <w:sz w:val="32"/>
          <w:szCs w:val="32"/>
          <w:lang w:eastAsia="zh-CN"/>
          <w14:textFill>
            <w14:solidFill>
              <w14:schemeClr w14:val="tx1"/>
            </w14:solidFill>
          </w14:textFill>
        </w:rPr>
        <w:t>次，组织委员参与政风、行风监督评议等活动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60余人次</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收集社情民意近70条，极大</w:t>
      </w:r>
      <w:r>
        <w:rPr>
          <w:rFonts w:hint="eastAsia" w:ascii="仿宋_GB2312" w:hAnsi="仿宋_GB2312" w:eastAsia="仿宋_GB2312" w:cs="仿宋_GB2312"/>
          <w:color w:val="000000" w:themeColor="text1"/>
          <w:sz w:val="32"/>
          <w:szCs w:val="32"/>
          <w:lang w:eastAsia="zh-CN"/>
          <w14:textFill>
            <w14:solidFill>
              <w14:schemeClr w14:val="tx1"/>
            </w14:solidFill>
          </w14:textFill>
        </w:rPr>
        <w:t>助推了相关惠民政策的落地落实</w:t>
      </w:r>
      <w:r>
        <w:rPr>
          <w:rFonts w:hint="eastAsia" w:ascii="仿宋_GB2312" w:hAnsi="宋体" w:eastAsia="仿宋_GB2312"/>
          <w:color w:val="333333"/>
          <w:sz w:val="32"/>
          <w:szCs w:val="32"/>
          <w:shd w:val="clear" w:color="auto" w:fill="FBFBFB"/>
        </w:rPr>
        <w:t>。</w:t>
      </w:r>
      <w:r>
        <w:rPr>
          <w:rFonts w:hint="eastAsia" w:ascii="仿宋_GB2312" w:eastAsia="仿宋_GB2312" w:hAnsiTheme="minorEastAsia"/>
          <w:color w:val="000000"/>
          <w:sz w:val="32"/>
          <w:szCs w:val="32"/>
        </w:rPr>
        <w:t>5、</w:t>
      </w:r>
      <w:r>
        <w:rPr>
          <w:rFonts w:hint="eastAsia" w:ascii="仿宋_GB2312" w:hAnsi="仿宋_GB2312" w:eastAsia="仿宋_GB2312" w:cs="仿宋_GB2312"/>
          <w:color w:val="000000" w:themeColor="text1"/>
          <w:sz w:val="32"/>
          <w:szCs w:val="32"/>
          <w:lang w:eastAsia="zh-CN"/>
          <w14:textFill>
            <w14:solidFill>
              <w14:schemeClr w14:val="tx1"/>
            </w14:solidFill>
          </w14:textFill>
        </w:rPr>
        <w:t>紧紧围绕脱贫攻坚头等大事，持续深化“我为扶贫攻坚做件事”活动</w:t>
      </w:r>
      <w:r>
        <w:rPr>
          <w:rFonts w:hint="eastAsia" w:ascii="仿宋_GB2312" w:hAnsi="微软雅黑" w:eastAsia="仿宋_GB2312" w:cs="仿宋_GB2312"/>
          <w:color w:val="333333"/>
          <w:kern w:val="0"/>
          <w:sz w:val="32"/>
          <w:szCs w:val="32"/>
          <w:shd w:val="clear" w:fill="FFFFFF"/>
          <w:lang w:val="en-US" w:eastAsia="zh-CN" w:bidi="ar"/>
        </w:rPr>
        <w:t>。</w:t>
      </w:r>
      <w:r>
        <w:rPr>
          <w:rFonts w:hint="eastAsia" w:ascii="仿宋_GB2312" w:hAnsi="宋体" w:eastAsia="仿宋_GB2312"/>
          <w:color w:val="000000"/>
          <w:sz w:val="32"/>
          <w:szCs w:val="32"/>
        </w:rPr>
        <w:t>6</w:t>
      </w:r>
      <w:r>
        <w:rPr>
          <w:rFonts w:hint="eastAsia" w:ascii="仿宋_GB2312" w:eastAsia="仿宋_GB2312" w:hAnsiTheme="minorEastAsia"/>
          <w:color w:val="000000"/>
          <w:sz w:val="32"/>
          <w:szCs w:val="32"/>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组织各届别委员开展“生态保护委员在行动”活动，宣传生态保护政策380余人次，参与环境治理2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eastAsia="zh-CN"/>
          <w14:textFill>
            <w14:solidFill>
              <w14:schemeClr w14:val="tx1"/>
            </w14:solidFill>
          </w14:textFill>
        </w:rPr>
        <w:t>0余人次、水源保护100余人次，委员个人植树2200余株</w:t>
      </w:r>
      <w:r>
        <w:rPr>
          <w:rFonts w:hint="eastAsia" w:ascii="仿宋_GB2312" w:hAnsi="宋体" w:eastAsia="仿宋_GB2312"/>
          <w:color w:val="333333"/>
          <w:sz w:val="32"/>
          <w:szCs w:val="32"/>
          <w:shd w:val="clear" w:color="auto" w:fill="FBFBFB"/>
        </w:rPr>
        <w:t>。</w:t>
      </w:r>
      <w:r>
        <w:rPr>
          <w:rFonts w:hint="eastAsia" w:ascii="仿宋_GB2312" w:eastAsia="仿宋_GB2312" w:hAnsiTheme="minorEastAsia"/>
          <w:color w:val="000000"/>
          <w:sz w:val="32"/>
          <w:szCs w:val="32"/>
        </w:rPr>
        <w:t>7、</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密切与上级政协联系，积极开展与州内外兄弟政协的友好交往，为建设“两地一典范、美丽新九寨”汇聚合力</w:t>
      </w:r>
      <w:r>
        <w:rPr>
          <w:rFonts w:hint="eastAsia" w:ascii="仿宋_GB2312" w:eastAsia="仿宋_GB2312" w:hAnsiTheme="minorEastAsia"/>
          <w:color w:val="333333"/>
          <w:sz w:val="32"/>
          <w:szCs w:val="32"/>
          <w:shd w:val="clear" w:color="auto" w:fill="FBFBFB"/>
        </w:rPr>
        <w:t>。</w:t>
      </w:r>
    </w:p>
    <w:p>
      <w:pPr>
        <w:pStyle w:val="3"/>
        <w:rPr>
          <w:rStyle w:val="33"/>
          <w:b w:val="0"/>
          <w:bCs w:val="0"/>
        </w:rPr>
      </w:pPr>
      <w:r>
        <w:rPr>
          <w:rFonts w:hint="eastAsia" w:ascii="黑体" w:eastAsia="黑体"/>
          <w:b w:val="0"/>
          <w:color w:val="000000"/>
        </w:rPr>
        <w:t>二、</w:t>
      </w:r>
      <w:r>
        <w:rPr>
          <w:rFonts w:hint="eastAsia" w:ascii="黑体" w:hAnsi="黑体" w:eastAsia="黑体"/>
          <w:b w:val="0"/>
          <w:color w:val="000000"/>
        </w:rPr>
        <w:t>机</w:t>
      </w:r>
      <w:r>
        <w:rPr>
          <w:rStyle w:val="33"/>
          <w:rFonts w:hint="eastAsia" w:ascii="黑体" w:hAnsi="黑体" w:eastAsia="黑体"/>
          <w:b w:val="0"/>
          <w:bCs w:val="0"/>
        </w:rPr>
        <w:t>构设置</w:t>
      </w:r>
    </w:p>
    <w:p>
      <w:pPr>
        <w:spacing w:line="576" w:lineRule="exact"/>
        <w:ind w:firstLine="640" w:firstLineChars="200"/>
        <w:rPr>
          <w:rFonts w:ascii="仿宋_GB2312" w:hAnsi="宋体" w:eastAsia="仿宋_GB2312"/>
          <w:sz w:val="32"/>
          <w:szCs w:val="32"/>
        </w:rPr>
      </w:pPr>
      <w:r>
        <w:rPr>
          <w:rFonts w:hint="eastAsia" w:ascii="仿宋_GB2312" w:hAnsi="宋体" w:eastAsia="仿宋_GB2312"/>
          <w:sz w:val="32"/>
          <w:szCs w:val="32"/>
        </w:rPr>
        <w:t>县政协机关为行政单位，根据上述职责，机关内设机构编制数4个：3委1室（提案社会工作委员会；经济教育卫生委员会；文史、民族宗教委员会；综合办公室），机关核定行政编制人数为15人，其中：行政编制13个，行政工勤编制数为2人；截止201</w:t>
      </w:r>
      <w:r>
        <w:rPr>
          <w:rFonts w:hint="eastAsia" w:ascii="仿宋_GB2312" w:hAnsi="宋体" w:eastAsia="仿宋_GB2312"/>
          <w:sz w:val="32"/>
          <w:szCs w:val="32"/>
          <w:lang w:val="en-US" w:eastAsia="zh-CN"/>
        </w:rPr>
        <w:t>9</w:t>
      </w:r>
      <w:r>
        <w:rPr>
          <w:rFonts w:hint="eastAsia" w:ascii="仿宋_GB2312" w:hAnsi="宋体" w:eastAsia="仿宋_GB2312"/>
          <w:sz w:val="32"/>
          <w:szCs w:val="32"/>
        </w:rPr>
        <w:t>年12月31日，实有在职人数为23人，其中行政在职人数为</w:t>
      </w:r>
      <w:r>
        <w:rPr>
          <w:rFonts w:hint="eastAsia" w:ascii="仿宋_GB2312" w:hAnsi="宋体" w:eastAsia="仿宋_GB2312"/>
          <w:sz w:val="32"/>
          <w:szCs w:val="32"/>
          <w:lang w:val="en-US" w:eastAsia="zh-CN"/>
        </w:rPr>
        <w:t>17</w:t>
      </w:r>
      <w:r>
        <w:rPr>
          <w:rFonts w:hint="eastAsia" w:ascii="仿宋_GB2312" w:hAnsi="宋体" w:eastAsia="仿宋_GB2312"/>
          <w:sz w:val="32"/>
          <w:szCs w:val="32"/>
        </w:rPr>
        <w:t>人，</w:t>
      </w:r>
      <w:r>
        <w:rPr>
          <w:rFonts w:hint="eastAsia" w:ascii="仿宋_GB2312" w:hAnsi="宋体" w:eastAsia="仿宋_GB2312"/>
          <w:sz w:val="32"/>
          <w:szCs w:val="32"/>
          <w:lang w:eastAsia="zh-CN"/>
        </w:rPr>
        <w:t>事业</w:t>
      </w:r>
      <w:r>
        <w:rPr>
          <w:rFonts w:hint="eastAsia" w:ascii="仿宋_GB2312" w:hAnsi="宋体" w:eastAsia="仿宋_GB2312"/>
          <w:sz w:val="32"/>
          <w:szCs w:val="32"/>
          <w:lang w:val="en-US" w:eastAsia="zh-CN"/>
        </w:rPr>
        <w:t>2人，</w:t>
      </w:r>
      <w:r>
        <w:rPr>
          <w:rFonts w:hint="eastAsia" w:ascii="仿宋_GB2312" w:hAnsi="宋体" w:eastAsia="仿宋_GB2312"/>
          <w:sz w:val="32"/>
          <w:szCs w:val="32"/>
        </w:rPr>
        <w:t>行政工勤在职人数为3人，编制内临时聘用人数为3人，离休人员1人，遗属供养为3人。</w:t>
      </w:r>
    </w:p>
    <w:p>
      <w:pPr>
        <w:pStyle w:val="5"/>
        <w:adjustRightInd w:val="0"/>
        <w:snapToGrid w:val="0"/>
        <w:spacing w:before="93"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纳入县政协办201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年度部门决算编制范围的预算单位还包括：</w:t>
      </w:r>
      <w:r>
        <w:rPr>
          <w:rFonts w:hint="eastAsia" w:hAnsi="仿宋"/>
          <w:color w:val="000000"/>
          <w:sz w:val="32"/>
          <w:szCs w:val="32"/>
        </w:rPr>
        <w:t>1、</w:t>
      </w:r>
      <w:r>
        <w:rPr>
          <w:rFonts w:hint="eastAsia" w:hAnsi="宋体"/>
          <w:sz w:val="32"/>
          <w:szCs w:val="32"/>
        </w:rPr>
        <w:t>县工商联。2、县佛协。均为独立的法人机构，因其人员数量少，财政没有分户，县工商联有编制数3人，行政编制2人，工勤编制1人；截止201</w:t>
      </w:r>
      <w:r>
        <w:rPr>
          <w:rFonts w:hint="eastAsia" w:hAnsi="宋体"/>
          <w:sz w:val="32"/>
          <w:szCs w:val="32"/>
          <w:lang w:val="en-US" w:eastAsia="zh-CN"/>
        </w:rPr>
        <w:t>9</w:t>
      </w:r>
      <w:r>
        <w:rPr>
          <w:rFonts w:hint="eastAsia" w:hAnsi="宋体"/>
          <w:sz w:val="32"/>
          <w:szCs w:val="32"/>
        </w:rPr>
        <w:t>年12月31日，实有在职行政人数为</w:t>
      </w:r>
      <w:r>
        <w:rPr>
          <w:rFonts w:hint="eastAsia" w:hAnsi="宋体"/>
          <w:sz w:val="32"/>
          <w:szCs w:val="32"/>
          <w:lang w:val="en-US" w:eastAsia="zh-CN"/>
        </w:rPr>
        <w:t>4</w:t>
      </w:r>
      <w:r>
        <w:rPr>
          <w:rFonts w:hint="eastAsia" w:hAnsi="宋体"/>
          <w:sz w:val="32"/>
          <w:szCs w:val="32"/>
        </w:rPr>
        <w:t>人，行政工勤在职人数1人；县佛协有编制数2人，行政编制1人，工勤编制1人，截止201</w:t>
      </w:r>
      <w:r>
        <w:rPr>
          <w:rFonts w:hint="eastAsia" w:hAnsi="宋体"/>
          <w:sz w:val="32"/>
          <w:szCs w:val="32"/>
          <w:lang w:val="en-US" w:eastAsia="zh-CN"/>
        </w:rPr>
        <w:t>9</w:t>
      </w:r>
      <w:r>
        <w:rPr>
          <w:rFonts w:hint="eastAsia" w:hAnsi="宋体"/>
          <w:sz w:val="32"/>
          <w:szCs w:val="32"/>
        </w:rPr>
        <w:t>年12月31日实有在职行政人数</w:t>
      </w:r>
      <w:r>
        <w:rPr>
          <w:rFonts w:hint="eastAsia" w:hAnsi="宋体"/>
          <w:sz w:val="32"/>
          <w:szCs w:val="32"/>
          <w:lang w:val="en-US" w:eastAsia="zh-CN"/>
        </w:rPr>
        <w:t>2</w:t>
      </w:r>
      <w:r>
        <w:rPr>
          <w:rFonts w:hint="eastAsia" w:hAnsi="宋体"/>
          <w:sz w:val="32"/>
          <w:szCs w:val="32"/>
        </w:rPr>
        <w:t>人。</w:t>
      </w:r>
    </w:p>
    <w:p>
      <w:pPr>
        <w:pStyle w:val="2"/>
        <w:ind w:right="440"/>
        <w:jc w:val="right"/>
        <w:rPr>
          <w:rFonts w:hint="eastAsia" w:ascii="黑体" w:hAnsi="黑体" w:eastAsia="黑体"/>
          <w:b w:val="0"/>
          <w:color w:val="000000"/>
        </w:rPr>
      </w:pPr>
    </w:p>
    <w:p>
      <w:pPr>
        <w:rPr>
          <w:rFonts w:hint="eastAsia" w:ascii="黑体" w:hAnsi="黑体" w:eastAsia="黑体"/>
          <w:b w:val="0"/>
          <w:color w:val="000000"/>
        </w:rPr>
      </w:pPr>
    </w:p>
    <w:p>
      <w:pPr>
        <w:rPr>
          <w:rFonts w:hint="eastAsia" w:ascii="黑体" w:hAnsi="黑体" w:eastAsia="黑体"/>
          <w:b w:val="0"/>
          <w:color w:val="000000"/>
        </w:rPr>
      </w:pPr>
    </w:p>
    <w:p>
      <w:pPr>
        <w:rPr>
          <w:rFonts w:hint="eastAsia" w:ascii="黑体" w:hAnsi="黑体" w:eastAsia="黑体"/>
          <w:b w:val="0"/>
          <w:color w:val="000000"/>
        </w:rPr>
      </w:pPr>
    </w:p>
    <w:p>
      <w:pPr>
        <w:rPr>
          <w:rFonts w:hint="eastAsia" w:ascii="黑体" w:hAnsi="黑体" w:eastAsia="黑体"/>
          <w:b w:val="0"/>
          <w:color w:val="000000"/>
        </w:rPr>
      </w:pPr>
    </w:p>
    <w:p>
      <w:pPr>
        <w:rPr>
          <w:rFonts w:hint="eastAsia" w:ascii="黑体" w:hAnsi="黑体" w:eastAsia="黑体"/>
          <w:b w:val="0"/>
          <w:color w:val="000000"/>
        </w:rPr>
      </w:pPr>
    </w:p>
    <w:p>
      <w:pPr>
        <w:rPr>
          <w:rFonts w:hint="eastAsia" w:ascii="黑体" w:hAnsi="黑体" w:eastAsia="黑体"/>
          <w:b w:val="0"/>
          <w:color w:val="000000"/>
        </w:rPr>
      </w:pPr>
    </w:p>
    <w:p>
      <w:pPr>
        <w:rPr>
          <w:rFonts w:hint="eastAsia" w:ascii="黑体" w:hAnsi="黑体" w:eastAsia="黑体"/>
          <w:b w:val="0"/>
          <w:color w:val="000000"/>
        </w:rPr>
      </w:pPr>
    </w:p>
    <w:p>
      <w:pPr>
        <w:rPr>
          <w:rFonts w:hint="eastAsia" w:ascii="黑体" w:hAnsi="黑体" w:eastAsia="黑体"/>
          <w:b w:val="0"/>
          <w:color w:val="000000"/>
        </w:rPr>
      </w:pPr>
    </w:p>
    <w:p>
      <w:pPr>
        <w:rPr>
          <w:rFonts w:hint="eastAsia" w:ascii="黑体" w:hAnsi="黑体" w:eastAsia="黑体"/>
          <w:b w:val="0"/>
          <w:color w:val="000000"/>
        </w:rPr>
      </w:pPr>
    </w:p>
    <w:p>
      <w:pPr>
        <w:rPr>
          <w:rFonts w:hint="eastAsia" w:ascii="黑体" w:hAnsi="黑体" w:eastAsia="黑体"/>
          <w:b w:val="0"/>
          <w:color w:val="000000"/>
        </w:rPr>
      </w:pPr>
    </w:p>
    <w:p>
      <w:pPr>
        <w:rPr>
          <w:rFonts w:hint="eastAsia" w:ascii="黑体" w:hAnsi="黑体" w:eastAsia="黑体"/>
          <w:b w:val="0"/>
          <w:color w:val="000000"/>
        </w:rPr>
      </w:pPr>
    </w:p>
    <w:p>
      <w:pPr>
        <w:rPr>
          <w:rFonts w:hint="eastAsia" w:ascii="黑体" w:hAnsi="黑体" w:eastAsia="黑体"/>
          <w:b w:val="0"/>
          <w:color w:val="000000"/>
        </w:rPr>
      </w:pPr>
    </w:p>
    <w:p>
      <w:pPr>
        <w:pStyle w:val="2"/>
        <w:ind w:right="440"/>
        <w:jc w:val="right"/>
        <w:rPr>
          <w:rFonts w:hint="eastAsia" w:ascii="黑体" w:hAnsi="黑体" w:eastAsia="黑体"/>
          <w:b w:val="0"/>
          <w:color w:val="000000"/>
        </w:rPr>
      </w:pPr>
    </w:p>
    <w:p>
      <w:pPr>
        <w:pStyle w:val="2"/>
        <w:ind w:right="440"/>
        <w:jc w:val="right"/>
        <w:rPr>
          <w:rStyle w:val="34"/>
          <w:rFonts w:ascii="黑体" w:hAnsi="黑体" w:eastAsia="黑体"/>
          <w:b w:val="0"/>
          <w:bCs w:val="0"/>
        </w:rPr>
      </w:pPr>
      <w:r>
        <w:rPr>
          <w:rFonts w:hint="eastAsia" w:ascii="黑体" w:hAnsi="黑体" w:eastAsia="黑体"/>
          <w:b w:val="0"/>
          <w:color w:val="000000"/>
        </w:rPr>
        <w:t>第二部分</w:t>
      </w:r>
      <w:r>
        <w:rPr>
          <w:rStyle w:val="34"/>
          <w:rFonts w:hint="eastAsia" w:ascii="黑体" w:hAnsi="黑体" w:eastAsia="黑体"/>
          <w:b w:val="0"/>
          <w:bCs w:val="0"/>
        </w:rPr>
        <w:t>201</w:t>
      </w:r>
      <w:r>
        <w:rPr>
          <w:rStyle w:val="34"/>
          <w:rFonts w:hint="eastAsia" w:ascii="黑体" w:hAnsi="黑体" w:eastAsia="黑体"/>
          <w:b w:val="0"/>
          <w:bCs w:val="0"/>
          <w:lang w:val="en-US" w:eastAsia="zh-CN"/>
        </w:rPr>
        <w:t>9</w:t>
      </w:r>
      <w:r>
        <w:rPr>
          <w:rStyle w:val="34"/>
          <w:rFonts w:hint="eastAsia" w:ascii="黑体" w:hAnsi="黑体" w:eastAsia="黑体"/>
          <w:b w:val="0"/>
          <w:bCs w:val="0"/>
        </w:rPr>
        <w:t>年度部门决算情况说明</w:t>
      </w:r>
    </w:p>
    <w:p>
      <w:pPr>
        <w:pStyle w:val="26"/>
        <w:numPr>
          <w:ilvl w:val="0"/>
          <w:numId w:val="1"/>
        </w:numPr>
        <w:spacing w:line="600" w:lineRule="exact"/>
        <w:ind w:firstLineChars="0"/>
        <w:outlineLvl w:val="1"/>
        <w:rPr>
          <w:rFonts w:ascii="黑体" w:hAnsi="黑体" w:eastAsia="黑体" w:cstheme="majorBidi"/>
          <w:bCs/>
          <w:sz w:val="32"/>
          <w:szCs w:val="32"/>
        </w:rPr>
      </w:pPr>
      <w:r>
        <w:rPr>
          <w:rFonts w:hint="eastAsia" w:ascii="黑体" w:hAnsi="黑体" w:eastAsia="黑体"/>
          <w:color w:val="000000"/>
          <w:sz w:val="32"/>
          <w:szCs w:val="32"/>
        </w:rPr>
        <w:t>收</w:t>
      </w:r>
      <w:r>
        <w:rPr>
          <w:rStyle w:val="33"/>
          <w:rFonts w:hint="eastAsia" w:ascii="黑体" w:hAnsi="黑体" w:eastAsia="黑体"/>
          <w:b w:val="0"/>
        </w:rPr>
        <w:t>入支出决算总体情况说明</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年度收入决算总额为</w:t>
      </w:r>
      <w:r>
        <w:rPr>
          <w:rFonts w:hint="eastAsia" w:ascii="仿宋" w:hAnsi="仿宋" w:eastAsia="仿宋"/>
          <w:color w:val="000000"/>
          <w:sz w:val="32"/>
          <w:szCs w:val="32"/>
          <w:lang w:val="en-US" w:eastAsia="zh-CN"/>
        </w:rPr>
        <w:t>693.94</w:t>
      </w:r>
      <w:r>
        <w:rPr>
          <w:rFonts w:hint="eastAsia" w:ascii="仿宋" w:hAnsi="仿宋" w:eastAsia="仿宋"/>
          <w:color w:val="000000"/>
          <w:sz w:val="32"/>
          <w:szCs w:val="32"/>
        </w:rPr>
        <w:t>万元、支出</w:t>
      </w:r>
      <w:r>
        <w:rPr>
          <w:rFonts w:hint="eastAsia" w:ascii="仿宋" w:hAnsi="仿宋" w:eastAsia="仿宋"/>
          <w:color w:val="000000"/>
          <w:sz w:val="32"/>
          <w:szCs w:val="32"/>
          <w:lang w:val="en-US" w:eastAsia="zh-CN"/>
        </w:rPr>
        <w:t>796.94</w:t>
      </w:r>
      <w:r>
        <w:rPr>
          <w:rFonts w:hint="eastAsia" w:ascii="仿宋" w:hAnsi="仿宋" w:eastAsia="仿宋"/>
          <w:color w:val="000000"/>
          <w:sz w:val="32"/>
          <w:szCs w:val="32"/>
        </w:rPr>
        <w:t>万元。与201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年相比，收</w:t>
      </w:r>
      <w:r>
        <w:rPr>
          <w:rFonts w:hint="eastAsia" w:ascii="仿宋" w:hAnsi="仿宋" w:eastAsia="仿宋"/>
          <w:color w:val="000000"/>
          <w:sz w:val="32"/>
          <w:szCs w:val="32"/>
          <w:lang w:eastAsia="zh-CN"/>
        </w:rPr>
        <w:t>入增加</w:t>
      </w:r>
      <w:r>
        <w:rPr>
          <w:rFonts w:hint="eastAsia" w:ascii="仿宋" w:hAnsi="仿宋" w:eastAsia="仿宋"/>
          <w:color w:val="000000"/>
          <w:sz w:val="32"/>
          <w:szCs w:val="32"/>
          <w:lang w:val="en-US" w:eastAsia="zh-CN"/>
        </w:rPr>
        <w:t>89.15万元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支出减少</w:t>
      </w:r>
      <w:r>
        <w:rPr>
          <w:rFonts w:hint="eastAsia" w:ascii="仿宋" w:hAnsi="仿宋" w:eastAsia="仿宋"/>
          <w:color w:val="000000"/>
          <w:sz w:val="32"/>
          <w:szCs w:val="32"/>
          <w:lang w:val="en-US" w:eastAsia="zh-CN"/>
        </w:rPr>
        <w:t>13.1万元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与上年相比</w:t>
      </w:r>
      <w:r>
        <w:rPr>
          <w:rFonts w:hint="eastAsia" w:ascii="仿宋" w:hAnsi="仿宋" w:eastAsia="仿宋"/>
          <w:color w:val="000000"/>
          <w:sz w:val="32"/>
          <w:szCs w:val="32"/>
          <w:lang w:eastAsia="zh-CN"/>
        </w:rPr>
        <w:t>收入增加原因</w:t>
      </w:r>
      <w:r>
        <w:rPr>
          <w:rFonts w:hint="eastAsia" w:ascii="仿宋" w:hAnsi="仿宋" w:eastAsia="仿宋"/>
          <w:color w:val="000000"/>
          <w:sz w:val="32"/>
          <w:szCs w:val="32"/>
        </w:rPr>
        <w:t>是人员经费增加</w:t>
      </w:r>
      <w:r>
        <w:rPr>
          <w:rFonts w:hint="eastAsia" w:ascii="仿宋" w:hAnsi="仿宋" w:eastAsia="仿宋"/>
          <w:color w:val="000000"/>
          <w:sz w:val="32"/>
          <w:szCs w:val="32"/>
          <w:lang w:eastAsia="zh-CN"/>
        </w:rPr>
        <w:t>，支出减少原因是节约了开支</w:t>
      </w:r>
      <w:r>
        <w:rPr>
          <w:rFonts w:hint="eastAsia" w:ascii="仿宋" w:hAnsi="仿宋" w:eastAsia="仿宋"/>
          <w:color w:val="000000"/>
          <w:sz w:val="32"/>
          <w:szCs w:val="32"/>
        </w:rPr>
        <w:t>。</w:t>
      </w:r>
    </w:p>
    <w:p>
      <w:pPr>
        <w:pStyle w:val="26"/>
        <w:numPr>
          <w:ilvl w:val="0"/>
          <w:numId w:val="1"/>
        </w:numPr>
        <w:spacing w:line="600" w:lineRule="exact"/>
        <w:ind w:firstLineChars="0"/>
        <w:outlineLvl w:val="1"/>
        <w:rPr>
          <w:rStyle w:val="33"/>
          <w:rFonts w:ascii="黑体" w:hAnsi="黑体" w:eastAsia="黑体"/>
          <w:b w:val="0"/>
        </w:rPr>
      </w:pPr>
      <w:r>
        <w:rPr>
          <w:rFonts w:hint="eastAsia" w:ascii="黑体" w:hAnsi="黑体" w:eastAsia="黑体"/>
          <w:color w:val="000000"/>
          <w:sz w:val="32"/>
          <w:szCs w:val="32"/>
        </w:rPr>
        <w:t>收</w:t>
      </w:r>
      <w:r>
        <w:rPr>
          <w:rStyle w:val="33"/>
          <w:rFonts w:hint="eastAsia" w:ascii="黑体" w:hAnsi="黑体" w:eastAsia="黑体"/>
          <w:b w:val="0"/>
        </w:rPr>
        <w:t>入决算情况说明</w:t>
      </w:r>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693.94</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693.94</w:t>
      </w:r>
      <w:r>
        <w:rPr>
          <w:rFonts w:hint="eastAsia" w:ascii="仿宋" w:hAnsi="仿宋" w:eastAsia="仿宋"/>
          <w:color w:val="000000"/>
          <w:sz w:val="32"/>
          <w:szCs w:val="32"/>
        </w:rPr>
        <w:t>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pPr>
        <w:pStyle w:val="26"/>
        <w:numPr>
          <w:ilvl w:val="0"/>
          <w:numId w:val="1"/>
        </w:numPr>
        <w:spacing w:line="600" w:lineRule="exact"/>
        <w:ind w:firstLineChars="0"/>
        <w:outlineLvl w:val="1"/>
        <w:rPr>
          <w:rStyle w:val="33"/>
          <w:rFonts w:ascii="黑体" w:hAnsi="黑体" w:eastAsia="黑体"/>
          <w:b w:val="0"/>
        </w:rPr>
      </w:pPr>
      <w:r>
        <w:rPr>
          <w:rFonts w:hint="eastAsia" w:ascii="黑体" w:hAnsi="黑体" w:eastAsia="黑体"/>
          <w:color w:val="000000"/>
          <w:sz w:val="32"/>
          <w:szCs w:val="32"/>
        </w:rPr>
        <w:t>支</w:t>
      </w:r>
      <w:r>
        <w:rPr>
          <w:rStyle w:val="33"/>
          <w:rFonts w:hint="eastAsia" w:ascii="黑体" w:hAnsi="黑体" w:eastAsia="黑体"/>
          <w:b w:val="0"/>
        </w:rPr>
        <w:t>出决算情况说明</w:t>
      </w:r>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796.94</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789.84</w:t>
      </w:r>
      <w:r>
        <w:rPr>
          <w:rFonts w:hint="eastAsia" w:ascii="仿宋" w:hAnsi="仿宋" w:eastAsia="仿宋"/>
          <w:color w:val="000000"/>
          <w:sz w:val="32"/>
          <w:szCs w:val="32"/>
        </w:rPr>
        <w:t>万元，占9</w:t>
      </w:r>
      <w:r>
        <w:rPr>
          <w:rFonts w:hint="eastAsia" w:ascii="仿宋" w:hAnsi="仿宋" w:eastAsia="仿宋"/>
          <w:color w:val="000000"/>
          <w:sz w:val="32"/>
          <w:szCs w:val="32"/>
          <w:lang w:val="en-US" w:eastAsia="zh-CN"/>
        </w:rPr>
        <w:t>9.11</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7.1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0.89</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1"/>
        <w:rPr>
          <w:rStyle w:val="33"/>
          <w:rFonts w:ascii="黑体" w:hAnsi="黑体" w:eastAsia="黑体"/>
          <w:b w:val="0"/>
        </w:rPr>
      </w:pPr>
      <w:r>
        <w:rPr>
          <w:rFonts w:hint="eastAsia" w:ascii="黑体" w:hAnsi="黑体" w:eastAsia="黑体"/>
          <w:color w:val="000000"/>
          <w:sz w:val="32"/>
          <w:szCs w:val="32"/>
        </w:rPr>
        <w:t>四、财</w:t>
      </w:r>
      <w:r>
        <w:rPr>
          <w:rStyle w:val="33"/>
          <w:rFonts w:hint="eastAsia" w:ascii="黑体" w:hAnsi="黑体" w:eastAsia="黑体"/>
          <w:b w:val="0"/>
        </w:rPr>
        <w:t>政拨款收入支出决算总体情况说明</w:t>
      </w: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年财政拨款收入</w:t>
      </w:r>
      <w:r>
        <w:rPr>
          <w:rFonts w:hint="eastAsia" w:ascii="仿宋" w:hAnsi="仿宋" w:eastAsia="仿宋"/>
          <w:color w:val="000000"/>
          <w:sz w:val="32"/>
          <w:szCs w:val="32"/>
          <w:lang w:val="en-US" w:eastAsia="zh-CN"/>
        </w:rPr>
        <w:t>693.94</w:t>
      </w:r>
      <w:r>
        <w:rPr>
          <w:rFonts w:hint="eastAsia" w:ascii="仿宋" w:hAnsi="仿宋" w:eastAsia="仿宋"/>
          <w:color w:val="000000"/>
          <w:sz w:val="32"/>
          <w:szCs w:val="32"/>
        </w:rPr>
        <w:t>万元、支出</w:t>
      </w:r>
      <w:r>
        <w:rPr>
          <w:rFonts w:hint="eastAsia" w:ascii="仿宋" w:hAnsi="仿宋" w:eastAsia="仿宋"/>
          <w:color w:val="000000"/>
          <w:sz w:val="32"/>
          <w:szCs w:val="32"/>
          <w:lang w:val="en-US" w:eastAsia="zh-CN"/>
        </w:rPr>
        <w:t>796.94</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年相比，财政拨款收入</w:t>
      </w:r>
      <w:r>
        <w:rPr>
          <w:rFonts w:hint="eastAsia" w:ascii="仿宋" w:hAnsi="仿宋" w:eastAsia="仿宋"/>
          <w:color w:val="000000"/>
          <w:sz w:val="32"/>
          <w:szCs w:val="32"/>
          <w:lang w:eastAsia="zh-CN"/>
        </w:rPr>
        <w:t>增加了</w:t>
      </w:r>
      <w:r>
        <w:rPr>
          <w:rFonts w:hint="eastAsia" w:ascii="仿宋" w:hAnsi="仿宋" w:eastAsia="仿宋"/>
          <w:color w:val="000000"/>
          <w:sz w:val="32"/>
          <w:szCs w:val="32"/>
          <w:lang w:val="en-US" w:eastAsia="zh-CN"/>
        </w:rPr>
        <w:t>54.54</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8.53</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人员增加</w:t>
      </w:r>
      <w:r>
        <w:rPr>
          <w:rFonts w:hint="eastAsia" w:ascii="仿宋" w:hAnsi="仿宋" w:eastAsia="仿宋"/>
          <w:color w:val="000000"/>
          <w:sz w:val="32"/>
          <w:szCs w:val="32"/>
        </w:rPr>
        <w:t>；支出增加</w:t>
      </w:r>
      <w:r>
        <w:rPr>
          <w:rFonts w:hint="eastAsia" w:ascii="仿宋" w:hAnsi="仿宋" w:eastAsia="仿宋"/>
          <w:color w:val="000000"/>
          <w:sz w:val="32"/>
          <w:szCs w:val="32"/>
          <w:lang w:val="en-US" w:eastAsia="zh-CN"/>
        </w:rPr>
        <w:t>13.1</w:t>
      </w:r>
      <w:r>
        <w:rPr>
          <w:rFonts w:hint="eastAsia" w:ascii="仿宋" w:hAnsi="仿宋" w:eastAsia="仿宋"/>
          <w:color w:val="000000"/>
          <w:sz w:val="32"/>
          <w:szCs w:val="32"/>
        </w:rPr>
        <w:t>万元，增加</w:t>
      </w:r>
      <w:r>
        <w:rPr>
          <w:rFonts w:hint="eastAsia" w:ascii="仿宋" w:hAnsi="仿宋" w:eastAsia="仿宋"/>
          <w:color w:val="000000"/>
          <w:sz w:val="32"/>
          <w:szCs w:val="32"/>
          <w:lang w:val="en-US" w:eastAsia="zh-CN"/>
        </w:rPr>
        <w:t>1.67</w:t>
      </w:r>
      <w:r>
        <w:rPr>
          <w:rFonts w:hint="eastAsia" w:ascii="仿宋" w:hAnsi="仿宋" w:eastAsia="仿宋"/>
          <w:color w:val="000000"/>
          <w:sz w:val="32"/>
          <w:szCs w:val="32"/>
        </w:rPr>
        <w:t>%，主要变动原因是人员经费增加。</w:t>
      </w:r>
    </w:p>
    <w:p>
      <w:pPr>
        <w:spacing w:line="600" w:lineRule="exact"/>
        <w:ind w:firstLine="640" w:firstLineChars="200"/>
        <w:outlineLvl w:val="1"/>
        <w:rPr>
          <w:rStyle w:val="33"/>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33"/>
          <w:rFonts w:hint="eastAsia" w:ascii="黑体" w:hAnsi="黑体" w:eastAsia="黑体"/>
          <w:b w:val="0"/>
        </w:rPr>
        <w:t>般公共预算财政拨款支出决算情况说明</w:t>
      </w: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（一）一般公共预算财政拨款支出决算总体情况</w:t>
      </w: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796.94</w:t>
      </w:r>
      <w:r>
        <w:rPr>
          <w:rFonts w:hint="eastAsia" w:ascii="仿宋" w:hAnsi="仿宋" w:eastAsia="仿宋"/>
          <w:color w:val="000000"/>
          <w:sz w:val="32"/>
          <w:szCs w:val="32"/>
        </w:rPr>
        <w:t>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13.1</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1.67</w:t>
      </w:r>
      <w:r>
        <w:rPr>
          <w:rFonts w:ascii="仿宋" w:hAnsi="仿宋" w:eastAsia="仿宋"/>
          <w:color w:val="000000"/>
          <w:sz w:val="32"/>
          <w:szCs w:val="32"/>
        </w:rPr>
        <w:t>%</w:t>
      </w:r>
      <w:r>
        <w:rPr>
          <w:rFonts w:hint="eastAsia" w:ascii="仿宋" w:hAnsi="仿宋" w:eastAsia="仿宋"/>
          <w:color w:val="000000"/>
          <w:sz w:val="32"/>
          <w:szCs w:val="32"/>
        </w:rPr>
        <w:t>。主要变动原因是人员经费增加。</w:t>
      </w:r>
    </w:p>
    <w:p>
      <w:pPr>
        <w:spacing w:line="600" w:lineRule="exact"/>
        <w:ind w:firstLine="642" w:firstLineChars="200"/>
        <w:outlineLvl w:val="2"/>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sz w:val="32"/>
          <w:szCs w:val="32"/>
        </w:rPr>
        <w:t>（</w:t>
      </w:r>
      <w:r>
        <w:rPr>
          <w:rFonts w:hint="eastAsia" w:ascii="仿宋" w:hAnsi="仿宋" w:eastAsia="仿宋"/>
          <w:b/>
          <w:color w:val="000000" w:themeColor="text1"/>
          <w:sz w:val="32"/>
          <w:szCs w:val="32"/>
          <w14:textFill>
            <w14:solidFill>
              <w14:schemeClr w14:val="tx1"/>
            </w14:solidFill>
          </w14:textFill>
        </w:rPr>
        <w:t>二）一般公共预算财政拨款支出决算结构情况</w:t>
      </w:r>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sz w:val="32"/>
          <w:szCs w:val="32"/>
          <w:lang w:val="en-US" w:eastAsia="zh-CN"/>
        </w:rPr>
        <w:t>796.94</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一般公共服务（201）</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650.02</w:t>
      </w:r>
      <w:r>
        <w:rPr>
          <w:rFonts w:hint="eastAsia" w:ascii="仿宋" w:hAnsi="仿宋" w:eastAsia="仿宋"/>
          <w:color w:val="000000" w:themeColor="text1"/>
          <w:sz w:val="32"/>
          <w:szCs w:val="32"/>
          <w14:textFill>
            <w14:solidFill>
              <w14:schemeClr w14:val="tx1"/>
            </w14:solidFill>
          </w14:textFill>
        </w:rPr>
        <w:t>万元，占81.</w:t>
      </w:r>
      <w:r>
        <w:rPr>
          <w:rFonts w:hint="eastAsia" w:ascii="仿宋" w:hAnsi="仿宋" w:eastAsia="仿宋"/>
          <w:color w:val="000000" w:themeColor="text1"/>
          <w:sz w:val="32"/>
          <w:szCs w:val="32"/>
          <w:lang w:val="en-US" w:eastAsia="zh-CN"/>
          <w14:textFill>
            <w14:solidFill>
              <w14:schemeClr w14:val="tx1"/>
            </w14:solidFill>
          </w14:textFill>
        </w:rPr>
        <w:t>56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教育支出（类）</w:t>
      </w:r>
      <w:r>
        <w:rPr>
          <w:rFonts w:hint="eastAsia" w:ascii="仿宋" w:hAnsi="仿宋" w:eastAsia="仿宋"/>
          <w:color w:val="000000" w:themeColor="text1"/>
          <w:sz w:val="32"/>
          <w:szCs w:val="32"/>
          <w:lang w:val="en-US" w:eastAsia="zh-CN"/>
          <w14:textFill>
            <w14:solidFill>
              <w14:schemeClr w14:val="tx1"/>
            </w14:solidFill>
          </w14:textFill>
        </w:rPr>
        <w:t>4.31</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0.66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科学技术（类）</w:t>
      </w:r>
      <w:r>
        <w:rPr>
          <w:rFonts w:hint="eastAsia" w:ascii="仿宋" w:hAnsi="仿宋" w:eastAsia="仿宋"/>
          <w:color w:val="000000" w:themeColor="text1"/>
          <w:sz w:val="32"/>
          <w:szCs w:val="32"/>
          <w14:textFill>
            <w14:solidFill>
              <w14:schemeClr w14:val="tx1"/>
            </w14:solidFill>
          </w14:textFill>
        </w:rPr>
        <w:t>支出0万元，占0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社会保障和就业（208）</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55.91</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7.02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；医疗卫生支出（210）支出</w:t>
      </w:r>
      <w:r>
        <w:rPr>
          <w:rFonts w:hint="eastAsia" w:ascii="仿宋" w:hAnsi="仿宋" w:eastAsia="仿宋"/>
          <w:color w:val="000000" w:themeColor="text1"/>
          <w:sz w:val="32"/>
          <w:szCs w:val="32"/>
          <w:lang w:val="en-US" w:eastAsia="zh-CN"/>
          <w14:textFill>
            <w14:solidFill>
              <w14:schemeClr w14:val="tx1"/>
            </w14:solidFill>
          </w14:textFill>
        </w:rPr>
        <w:t>40.09</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5.03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val="en-US" w:eastAsia="zh-CN"/>
          <w14:textFill>
            <w14:solidFill>
              <w14:schemeClr w14:val="tx1"/>
            </w14:solidFill>
          </w14:textFill>
        </w:rPr>
        <w:t>46.61</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5.85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p>
    <w:p>
      <w:pPr>
        <w:spacing w:line="600" w:lineRule="exact"/>
        <w:ind w:firstLine="642" w:firstLineChars="200"/>
        <w:outlineLvl w:val="2"/>
        <w:rPr>
          <w:rFonts w:ascii="仿宋" w:hAnsi="仿宋" w:eastAsia="仿宋"/>
          <w:color w:val="FF0000"/>
          <w:sz w:val="32"/>
          <w:szCs w:val="32"/>
        </w:rPr>
      </w:pPr>
      <w:r>
        <w:rPr>
          <w:rFonts w:hint="eastAsia" w:ascii="仿宋" w:hAnsi="仿宋" w:eastAsia="仿宋"/>
          <w:b/>
          <w:color w:val="000000" w:themeColor="text1"/>
          <w:sz w:val="32"/>
          <w:szCs w:val="32"/>
          <w14:textFill>
            <w14:solidFill>
              <w14:schemeClr w14:val="tx1"/>
            </w14:solidFill>
          </w14:textFill>
        </w:rPr>
        <w:t>201</w:t>
      </w:r>
      <w:r>
        <w:rPr>
          <w:rFonts w:hint="eastAsia" w:ascii="仿宋" w:hAnsi="仿宋" w:eastAsia="仿宋"/>
          <w:b/>
          <w:color w:val="000000" w:themeColor="text1"/>
          <w:sz w:val="32"/>
          <w:szCs w:val="32"/>
          <w:lang w:val="en-US" w:eastAsia="zh-CN"/>
          <w14:textFill>
            <w14:solidFill>
              <w14:schemeClr w14:val="tx1"/>
            </w14:solidFill>
          </w14:textFill>
        </w:rPr>
        <w:t>9</w:t>
      </w:r>
      <w:r>
        <w:rPr>
          <w:rFonts w:hint="eastAsia" w:ascii="仿宋" w:hAnsi="仿宋" w:eastAsia="仿宋"/>
          <w:b/>
          <w:color w:val="000000" w:themeColor="text1"/>
          <w:sz w:val="32"/>
          <w:szCs w:val="32"/>
          <w14:textFill>
            <w14:solidFill>
              <w14:schemeClr w14:val="tx1"/>
            </w14:solidFill>
          </w14:textFill>
        </w:rPr>
        <w:t>年</w:t>
      </w:r>
      <w:r>
        <w:rPr>
          <w:rFonts w:hint="eastAsia" w:ascii="仿宋" w:hAnsi="仿宋" w:eastAsia="仿宋"/>
          <w:b/>
          <w:color w:val="000000" w:themeColor="text1"/>
          <w:sz w:val="32"/>
          <w:szCs w:val="32"/>
          <w:lang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796.94万元</w:t>
      </w:r>
      <w:r>
        <w:rPr>
          <w:rFonts w:hint="eastAsia" w:ascii="仿宋" w:hAnsi="仿宋" w:eastAsia="仿宋"/>
          <w:color w:val="000000" w:themeColor="text1"/>
          <w:sz w:val="32"/>
          <w:szCs w:val="32"/>
          <w14:textFill>
            <w14:solidFill>
              <w14:schemeClr w14:val="tx1"/>
            </w14:solidFill>
          </w14:textFill>
        </w:rPr>
        <w:t>，</w:t>
      </w:r>
      <w:r>
        <w:rPr>
          <w:rStyle w:val="16"/>
          <w:rFonts w:hint="eastAsia" w:ascii="仿宋" w:hAnsi="仿宋" w:eastAsia="仿宋"/>
          <w:bCs/>
          <w:color w:val="000000" w:themeColor="text1"/>
          <w:sz w:val="32"/>
          <w:szCs w:val="32"/>
          <w14:textFill>
            <w14:solidFill>
              <w14:schemeClr w14:val="tx1"/>
            </w14:solidFill>
          </w14:textFill>
        </w:rPr>
        <w:t>完成</w:t>
      </w:r>
      <w:r>
        <w:rPr>
          <w:rStyle w:val="16"/>
          <w:rFonts w:hint="eastAsia" w:ascii="仿宋" w:hAnsi="仿宋" w:eastAsia="仿宋"/>
          <w:bCs/>
          <w:color w:val="000000"/>
          <w:sz w:val="32"/>
          <w:szCs w:val="32"/>
        </w:rPr>
        <w:t>预算100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p>
    <w:p>
      <w:pPr>
        <w:spacing w:line="600" w:lineRule="exact"/>
        <w:ind w:firstLine="642" w:firstLineChars="200"/>
        <w:rPr>
          <w:rFonts w:ascii="仿宋" w:hAnsi="仿宋" w:eastAsia="仿宋"/>
          <w:b/>
          <w:color w:val="000000"/>
          <w:sz w:val="32"/>
          <w:szCs w:val="32"/>
        </w:rPr>
      </w:pPr>
      <w:r>
        <w:rPr>
          <w:rStyle w:val="16"/>
          <w:rFonts w:ascii="仿宋" w:hAnsi="仿宋" w:eastAsia="仿宋"/>
          <w:bCs/>
          <w:color w:val="000000"/>
          <w:sz w:val="32"/>
          <w:szCs w:val="32"/>
        </w:rPr>
        <w:t>1.</w:t>
      </w:r>
      <w:r>
        <w:rPr>
          <w:rStyle w:val="16"/>
          <w:rFonts w:hint="eastAsia" w:ascii="仿宋" w:hAnsi="仿宋" w:eastAsia="仿宋"/>
          <w:bCs/>
          <w:color w:val="000000"/>
          <w:sz w:val="32"/>
          <w:szCs w:val="32"/>
        </w:rPr>
        <w:t>一般公共服务（201）政协事务（02）行政运行（01）</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650.03</w:t>
      </w:r>
      <w:r>
        <w:rPr>
          <w:rStyle w:val="16"/>
          <w:rFonts w:hint="eastAsia" w:ascii="仿宋" w:hAnsi="仿宋" w:eastAsia="仿宋"/>
          <w:b w:val="0"/>
          <w:bCs/>
          <w:color w:val="000000"/>
          <w:sz w:val="32"/>
          <w:szCs w:val="32"/>
        </w:rPr>
        <w:t>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2" w:firstLineChars="200"/>
        <w:rPr>
          <w:rFonts w:ascii="仿宋" w:hAnsi="仿宋" w:eastAsia="仿宋"/>
          <w:b/>
          <w:color w:val="000000"/>
          <w:sz w:val="32"/>
          <w:szCs w:val="32"/>
        </w:rPr>
      </w:pPr>
      <w:r>
        <w:rPr>
          <w:rStyle w:val="16"/>
          <w:rFonts w:ascii="仿宋" w:hAnsi="仿宋" w:eastAsia="仿宋"/>
          <w:bCs/>
          <w:color w:val="000000"/>
          <w:sz w:val="32"/>
          <w:szCs w:val="32"/>
        </w:rPr>
        <w:t>2.</w:t>
      </w:r>
      <w:r>
        <w:rPr>
          <w:rStyle w:val="16"/>
          <w:rFonts w:hint="eastAsia" w:ascii="仿宋" w:hAnsi="仿宋" w:eastAsia="仿宋"/>
          <w:bCs/>
          <w:color w:val="000000"/>
          <w:sz w:val="32"/>
          <w:szCs w:val="32"/>
        </w:rPr>
        <w:t>社会保障和就业（208）行政事业单位离退休（05）机关事业单位基本养老保险缴费支出（05）</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55.91</w:t>
      </w:r>
      <w:r>
        <w:rPr>
          <w:rStyle w:val="16"/>
          <w:rFonts w:hint="eastAsia" w:ascii="仿宋" w:hAnsi="仿宋" w:eastAsia="仿宋"/>
          <w:b w:val="0"/>
          <w:bCs/>
          <w:color w:val="000000"/>
          <w:sz w:val="32"/>
          <w:szCs w:val="32"/>
        </w:rPr>
        <w:t>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2" w:firstLineChars="200"/>
        <w:rPr>
          <w:rFonts w:ascii="仿宋" w:hAnsi="仿宋" w:eastAsia="仿宋"/>
          <w:b/>
          <w:color w:val="000000"/>
          <w:sz w:val="32"/>
          <w:szCs w:val="32"/>
        </w:rPr>
      </w:pPr>
      <w:r>
        <w:rPr>
          <w:rStyle w:val="16"/>
          <w:rFonts w:ascii="仿宋" w:hAnsi="仿宋" w:eastAsia="仿宋"/>
          <w:bCs/>
          <w:color w:val="000000"/>
          <w:sz w:val="32"/>
          <w:szCs w:val="32"/>
        </w:rPr>
        <w:t>3.</w:t>
      </w:r>
      <w:r>
        <w:rPr>
          <w:rStyle w:val="16"/>
          <w:rFonts w:hint="eastAsia" w:ascii="仿宋" w:hAnsi="仿宋" w:eastAsia="仿宋"/>
          <w:bCs/>
          <w:color w:val="000000"/>
          <w:sz w:val="32"/>
          <w:szCs w:val="32"/>
        </w:rPr>
        <w:t>医疗卫生与计划生育（210）行政事业单位医疗（11）行政单位医疗（01）</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40.09</w:t>
      </w:r>
      <w:r>
        <w:rPr>
          <w:rStyle w:val="16"/>
          <w:rFonts w:hint="eastAsia" w:ascii="仿宋" w:hAnsi="仿宋" w:eastAsia="仿宋"/>
          <w:b w:val="0"/>
          <w:bCs/>
          <w:color w:val="000000"/>
          <w:sz w:val="32"/>
          <w:szCs w:val="32"/>
        </w:rPr>
        <w:t>万元，完成预算100%。</w:t>
      </w:r>
    </w:p>
    <w:p>
      <w:pPr>
        <w:spacing w:line="600" w:lineRule="exact"/>
        <w:ind w:firstLine="642" w:firstLineChars="200"/>
        <w:rPr>
          <w:rStyle w:val="16"/>
          <w:rFonts w:hint="eastAsia" w:ascii="仿宋" w:hAnsi="仿宋" w:eastAsia="仿宋"/>
          <w:b w:val="0"/>
          <w:bCs/>
          <w:color w:val="000000"/>
          <w:sz w:val="32"/>
          <w:szCs w:val="32"/>
        </w:rPr>
      </w:pPr>
      <w:r>
        <w:rPr>
          <w:rStyle w:val="16"/>
          <w:rFonts w:ascii="仿宋" w:hAnsi="仿宋" w:eastAsia="仿宋"/>
          <w:bCs/>
          <w:color w:val="000000"/>
          <w:sz w:val="32"/>
          <w:szCs w:val="32"/>
        </w:rPr>
        <w:t>4.</w:t>
      </w:r>
      <w:r>
        <w:rPr>
          <w:rStyle w:val="16"/>
          <w:rFonts w:hint="eastAsia" w:ascii="仿宋" w:hAnsi="仿宋" w:eastAsia="仿宋"/>
          <w:bCs/>
          <w:color w:val="000000"/>
          <w:sz w:val="32"/>
          <w:szCs w:val="32"/>
        </w:rPr>
        <w:t>住房保障支出（221）住房改革支出（02）住房公积金（01）</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46.61</w:t>
      </w:r>
      <w:r>
        <w:rPr>
          <w:rStyle w:val="16"/>
          <w:rFonts w:hint="eastAsia" w:ascii="仿宋" w:hAnsi="仿宋" w:eastAsia="仿宋"/>
          <w:b w:val="0"/>
          <w:bCs/>
          <w:color w:val="000000"/>
          <w:sz w:val="32"/>
          <w:szCs w:val="32"/>
        </w:rPr>
        <w:t>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2" w:firstLineChars="200"/>
        <w:rPr>
          <w:rFonts w:ascii="仿宋" w:hAnsi="仿宋" w:eastAsia="仿宋"/>
          <w:b/>
          <w:color w:val="000000"/>
          <w:sz w:val="32"/>
          <w:szCs w:val="32"/>
        </w:rPr>
      </w:pPr>
      <w:r>
        <w:rPr>
          <w:rStyle w:val="16"/>
          <w:rFonts w:hint="eastAsia" w:ascii="仿宋" w:hAnsi="仿宋" w:eastAsia="仿宋"/>
          <w:b/>
          <w:bCs w:val="0"/>
          <w:color w:val="000000"/>
          <w:sz w:val="32"/>
          <w:szCs w:val="32"/>
          <w:lang w:val="en-US" w:eastAsia="zh-CN"/>
        </w:rPr>
        <w:t>5.教育支出：</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4.31</w:t>
      </w:r>
      <w:r>
        <w:rPr>
          <w:rStyle w:val="16"/>
          <w:rFonts w:hint="eastAsia" w:ascii="仿宋" w:hAnsi="仿宋" w:eastAsia="仿宋"/>
          <w:b w:val="0"/>
          <w:bCs/>
          <w:color w:val="000000"/>
          <w:sz w:val="32"/>
          <w:szCs w:val="32"/>
        </w:rPr>
        <w:t>万元，完成预算100%。</w:t>
      </w:r>
    </w:p>
    <w:p>
      <w:pPr>
        <w:tabs>
          <w:tab w:val="right" w:pos="8306"/>
        </w:tabs>
        <w:spacing w:line="600" w:lineRule="exact"/>
        <w:ind w:firstLine="640"/>
        <w:outlineLvl w:val="1"/>
        <w:rPr>
          <w:rStyle w:val="33"/>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3"/>
          <w:rFonts w:hint="eastAsia" w:ascii="黑体" w:hAnsi="黑体" w:eastAsia="黑体"/>
          <w:b w:val="0"/>
        </w:rPr>
        <w:t>般公共预算财政拨款基本支出决算情况说明</w:t>
      </w:r>
      <w:r>
        <w:rPr>
          <w:rStyle w:val="33"/>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年一般公共预算财政拨款基本支出</w:t>
      </w:r>
      <w:r>
        <w:rPr>
          <w:rFonts w:hint="eastAsia" w:ascii="仿宋" w:hAnsi="仿宋" w:eastAsia="仿宋"/>
          <w:b w:val="0"/>
          <w:bCs/>
          <w:color w:val="000000" w:themeColor="text1"/>
          <w:sz w:val="32"/>
          <w:szCs w:val="32"/>
          <w:lang w:val="en-US" w:eastAsia="zh-CN"/>
          <w14:textFill>
            <w14:solidFill>
              <w14:schemeClr w14:val="tx1"/>
            </w14:solidFill>
          </w14:textFill>
        </w:rPr>
        <w:t>796.94</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421.35</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209.46</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33"/>
          <w:rFonts w:ascii="黑体" w:hAnsi="黑体" w:eastAsia="黑体"/>
          <w:b w:val="0"/>
        </w:rPr>
      </w:pPr>
      <w:r>
        <w:rPr>
          <w:rFonts w:hint="eastAsia" w:ascii="黑体" w:eastAsia="黑体"/>
          <w:color w:val="000000"/>
          <w:sz w:val="32"/>
          <w:szCs w:val="32"/>
        </w:rPr>
        <w:t>七、</w:t>
      </w:r>
      <w:r>
        <w:rPr>
          <w:rStyle w:val="33"/>
          <w:rFonts w:hint="eastAsia" w:ascii="黑体" w:hAnsi="黑体" w:eastAsia="黑体"/>
        </w:rPr>
        <w:t>“</w:t>
      </w:r>
      <w:r>
        <w:rPr>
          <w:rStyle w:val="33"/>
          <w:rFonts w:hint="eastAsia" w:ascii="黑体" w:hAnsi="黑体" w:eastAsia="黑体"/>
          <w:b w:val="0"/>
        </w:rPr>
        <w:t>三公”经费财政拨款支出决算情况说明</w:t>
      </w:r>
    </w:p>
    <w:p>
      <w:pPr>
        <w:spacing w:line="600" w:lineRule="exact"/>
        <w:ind w:firstLine="640"/>
        <w:outlineLvl w:val="2"/>
        <w:rPr>
          <w:rFonts w:ascii="仿宋" w:hAnsi="仿宋" w:eastAsia="仿宋"/>
          <w:b/>
          <w:color w:val="000000"/>
          <w:sz w:val="32"/>
          <w:szCs w:val="32"/>
        </w:rPr>
      </w:pPr>
      <w:r>
        <w:rPr>
          <w:rFonts w:hint="eastAsia" w:ascii="仿宋" w:hAnsi="仿宋" w:eastAsia="仿宋"/>
          <w:b/>
          <w:color w:val="000000"/>
          <w:sz w:val="32"/>
          <w:szCs w:val="32"/>
        </w:rPr>
        <w:t>（一）“三公”经费财政拨款支出决算总体情况说明</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73.72</w:t>
      </w:r>
      <w:r>
        <w:rPr>
          <w:rFonts w:hint="eastAsia" w:ascii="仿宋" w:hAnsi="仿宋" w:eastAsia="仿宋"/>
          <w:color w:val="000000"/>
          <w:sz w:val="32"/>
          <w:szCs w:val="32"/>
        </w:rPr>
        <w:t>万元，完成预算100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72.99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99.01</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0.73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0.99</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6"/>
          <w:rFonts w:hint="eastAsia" w:ascii="仿宋" w:hAnsi="仿宋" w:eastAsia="仿宋"/>
          <w:b w:val="0"/>
          <w:bCs/>
          <w:color w:val="000000"/>
          <w:sz w:val="32"/>
          <w:szCs w:val="32"/>
        </w:rPr>
        <w:t>完成预算0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。没有安排出国境。</w:t>
      </w:r>
    </w:p>
    <w:p>
      <w:pPr>
        <w:spacing w:line="600" w:lineRule="exact"/>
        <w:ind w:firstLine="640"/>
        <w:rPr>
          <w:rFonts w:hint="eastAsia" w:ascii="仿宋_GB2312" w:eastAsia="仿宋_GB2312"/>
          <w:b/>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72.99</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99.01</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18.97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35.12</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事物增加，车辆运行费增加。</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0万元。全年按规定更新购置公务用车0辆，其中：轿车0辆、金额0万元，越野车0辆、金额0万元，载客汽车0辆、金额0万元。截至</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月底，单位共有公务用车6辆，其中：轿车2辆、越野车4辆、载客汽车0辆。</w:t>
      </w:r>
    </w:p>
    <w:p>
      <w:pPr>
        <w:spacing w:line="600" w:lineRule="exact"/>
        <w:ind w:firstLine="803" w:firstLineChars="250"/>
        <w:rPr>
          <w:rFonts w:ascii="宋体" w:hAnsi="宋体"/>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72.99</w:t>
      </w:r>
      <w:r>
        <w:rPr>
          <w:rFonts w:hint="eastAsia" w:ascii="仿宋_GB2312" w:eastAsia="仿宋_GB2312"/>
          <w:color w:val="000000"/>
          <w:sz w:val="32"/>
          <w:szCs w:val="32"/>
        </w:rPr>
        <w:t>万元。主要用于本机关工作人员县外</w:t>
      </w:r>
      <w:r>
        <w:rPr>
          <w:rFonts w:hint="eastAsia" w:ascii="宋体" w:hAnsi="宋体"/>
          <w:color w:val="000000"/>
          <w:sz w:val="32"/>
          <w:szCs w:val="32"/>
        </w:rPr>
        <w:t>出差、县内下乡</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0.73</w:t>
      </w:r>
      <w:r>
        <w:rPr>
          <w:rFonts w:hint="eastAsia" w:ascii="仿宋_GB2312" w:eastAsia="仿宋_GB2312"/>
          <w:color w:val="000000"/>
          <w:sz w:val="32"/>
          <w:szCs w:val="32"/>
        </w:rPr>
        <w:t>万元，</w:t>
      </w:r>
      <w:r>
        <w:rPr>
          <w:rStyle w:val="16"/>
          <w:rFonts w:hint="eastAsia" w:ascii="仿宋_GB2312" w:hAnsi="仿宋" w:eastAsia="仿宋_GB2312"/>
          <w:b w:val="0"/>
          <w:bCs/>
          <w:color w:val="000000"/>
          <w:sz w:val="32"/>
          <w:szCs w:val="32"/>
        </w:rPr>
        <w:t>完成预算</w:t>
      </w:r>
      <w:r>
        <w:rPr>
          <w:rStyle w:val="16"/>
          <w:rFonts w:hint="eastAsia" w:ascii="仿宋_GB2312" w:hAnsi="仿宋" w:eastAsia="仿宋_GB2312"/>
          <w:b w:val="0"/>
          <w:bCs/>
          <w:color w:val="000000"/>
          <w:sz w:val="32"/>
          <w:szCs w:val="32"/>
          <w:lang w:val="en-US" w:eastAsia="zh-CN"/>
        </w:rPr>
        <w:t>0.99</w:t>
      </w:r>
      <w:r>
        <w:rPr>
          <w:rStyle w:val="16"/>
          <w:rFonts w:hint="eastAsia" w:ascii="仿宋_GB2312" w:hAnsi="仿宋" w:eastAsia="仿宋_GB2312"/>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2.17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74.82</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厉行节约</w:t>
      </w:r>
      <w:r>
        <w:rPr>
          <w:rFonts w:hint="eastAsia" w:ascii="仿宋_GB2312" w:eastAsia="仿宋_GB2312"/>
          <w:color w:val="000000"/>
          <w:sz w:val="32"/>
          <w:szCs w:val="32"/>
        </w:rPr>
        <w:t>。</w:t>
      </w:r>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sz w:val="32"/>
          <w:szCs w:val="32"/>
        </w:rPr>
        <w:t>主要用于执行公务、开展业务活动开支的交通费、住宿费、用餐费等。</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p>
    <w:p>
      <w:pPr>
        <w:spacing w:line="600" w:lineRule="exact"/>
        <w:ind w:firstLine="640"/>
        <w:outlineLvl w:val="1"/>
        <w:rPr>
          <w:rStyle w:val="33"/>
          <w:rFonts w:ascii="黑体" w:hAnsi="黑体" w:eastAsia="黑体"/>
        </w:rPr>
      </w:pPr>
      <w:r>
        <w:rPr>
          <w:rFonts w:hint="eastAsia" w:ascii="黑体" w:eastAsia="黑体"/>
          <w:color w:val="000000"/>
          <w:sz w:val="32"/>
          <w:szCs w:val="32"/>
        </w:rPr>
        <w:t>八、</w:t>
      </w:r>
      <w:r>
        <w:rPr>
          <w:rStyle w:val="33"/>
          <w:rFonts w:hint="eastAsia" w:ascii="黑体" w:hAnsi="黑体" w:eastAsia="黑体"/>
          <w:b w:val="0"/>
        </w:rPr>
        <w:t>政府性基金预算支出决算情况说明</w:t>
      </w:r>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年政府性基金预算拨款支出0万元。</w:t>
      </w:r>
    </w:p>
    <w:p>
      <w:pPr>
        <w:numPr>
          <w:ilvl w:val="0"/>
          <w:numId w:val="2"/>
        </w:numPr>
        <w:spacing w:line="600" w:lineRule="exact"/>
        <w:ind w:firstLine="640"/>
        <w:outlineLvl w:val="1"/>
        <w:rPr>
          <w:rStyle w:val="33"/>
          <w:rFonts w:ascii="黑体" w:hAnsi="黑体" w:eastAsia="黑体"/>
          <w:b w:val="0"/>
        </w:rPr>
      </w:pPr>
      <w:r>
        <w:rPr>
          <w:rStyle w:val="33"/>
          <w:rFonts w:hint="eastAsia" w:ascii="黑体" w:hAnsi="黑体" w:eastAsia="黑体"/>
          <w:b w:val="0"/>
        </w:rPr>
        <w:t>国有资本经营预算支出决算情况说明</w:t>
      </w:r>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年国有资本经营预算拨款支出0万元。</w:t>
      </w:r>
    </w:p>
    <w:p>
      <w:pPr>
        <w:pStyle w:val="26"/>
        <w:numPr>
          <w:ilvl w:val="0"/>
          <w:numId w:val="3"/>
        </w:numPr>
        <w:spacing w:line="580" w:lineRule="exact"/>
        <w:ind w:firstLineChars="0"/>
        <w:rPr>
          <w:rStyle w:val="33"/>
          <w:rFonts w:ascii="黑体" w:hAnsi="黑体" w:eastAsia="黑体"/>
          <w:b w:val="0"/>
        </w:rPr>
      </w:pPr>
      <w:r>
        <w:rPr>
          <w:rStyle w:val="33"/>
          <w:rFonts w:hint="eastAsia" w:ascii="黑体" w:hAnsi="黑体" w:eastAsia="黑体"/>
          <w:b w:val="0"/>
        </w:rPr>
        <w:t>预算绩效情况说明</w:t>
      </w:r>
    </w:p>
    <w:p>
      <w:pPr>
        <w:numPr>
          <w:ilvl w:val="0"/>
          <w:numId w:val="4"/>
        </w:numPr>
        <w:spacing w:line="580" w:lineRule="exact"/>
        <w:ind w:firstLine="642"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0个项目开展了预算事前绩效评估，对0个项目编制了绩效目标，预算执行过程中，选取0个项目开展绩效监控，年终执行完毕后，对0个项目开展了绩效目标完成情况梳理填报。</w:t>
      </w:r>
    </w:p>
    <w:p>
      <w:pPr>
        <w:autoSpaceDN w:val="0"/>
        <w:spacing w:line="600" w:lineRule="exact"/>
        <w:ind w:firstLine="800" w:firstLineChars="250"/>
        <w:jc w:val="left"/>
        <w:textAlignment w:val="center"/>
        <w:rPr>
          <w:rFonts w:ascii="仿宋_GB2312" w:eastAsia="仿宋_GB2312" w:hAnsiTheme="minorEastAsia"/>
          <w:color w:val="333333"/>
          <w:sz w:val="32"/>
          <w:szCs w:val="32"/>
          <w:shd w:val="clear" w:color="auto" w:fill="FBFBFB"/>
        </w:rPr>
      </w:pPr>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年部门整体支出开展绩效自评，从评价情况来看完成了201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年重点工作，逐步完善了整体协商、专题协商、对口协商、界别协商、提案办理协商的协商层次和协商格局，使协商议政的成效更加显著。</w:t>
      </w:r>
      <w:r>
        <w:rPr>
          <w:rFonts w:hint="eastAsia" w:ascii="仿宋_GB2312" w:eastAsia="仿宋_GB2312" w:cs="仿宋_GB2312" w:hAnsiTheme="minorEastAsia"/>
          <w:sz w:val="32"/>
          <w:szCs w:val="32"/>
        </w:rPr>
        <w:t>1、</w:t>
      </w:r>
      <w:r>
        <w:rPr>
          <w:rFonts w:hint="eastAsia" w:ascii="仿宋_GB2312" w:hAnsi="仿宋_GB2312" w:eastAsia="仿宋_GB2312" w:cs="仿宋_GB2312"/>
          <w:color w:val="000000" w:themeColor="text1"/>
          <w:sz w:val="32"/>
          <w:szCs w:val="32"/>
          <w:lang w:eastAsia="zh-CN"/>
          <w14:textFill>
            <w14:solidFill>
              <w14:schemeClr w14:val="tx1"/>
            </w14:solidFill>
          </w14:textFill>
        </w:rPr>
        <w:t>组织各专委会先后开展了</w:t>
      </w:r>
      <w:r>
        <w:rPr>
          <w:rFonts w:hint="eastAsia" w:ascii="仿宋_GB2312" w:hAnsi="仿宋_GB2312" w:eastAsia="仿宋_GB2312" w:cs="仿宋_GB2312"/>
          <w:color w:val="000000" w:themeColor="text1"/>
          <w:sz w:val="32"/>
          <w:szCs w:val="32"/>
          <w14:textFill>
            <w14:solidFill>
              <w14:schemeClr w14:val="tx1"/>
            </w14:solidFill>
          </w14:textFill>
        </w:rPr>
        <w:t>全域旅游产业发展</w:t>
      </w:r>
      <w:r>
        <w:rPr>
          <w:rFonts w:hint="eastAsia" w:ascii="仿宋_GB2312" w:hAnsi="仿宋_GB2312" w:eastAsia="仿宋_GB2312" w:cs="仿宋_GB2312"/>
          <w:color w:val="000000" w:themeColor="text1"/>
          <w:sz w:val="32"/>
          <w:szCs w:val="32"/>
          <w:lang w:eastAsia="zh-CN"/>
          <w14:textFill>
            <w14:solidFill>
              <w14:schemeClr w14:val="tx1"/>
            </w14:solidFill>
          </w14:textFill>
        </w:rPr>
        <w:t>、宜居县城建设、乡村振兴等协商议政活动，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围绕灾后重建、脱贫攻坚、旅游发展、环境保护、民生改善等重点工作，广泛协商、献计出力，提出对策建议60余条，全年共召开全会1次、常委会议5次、主席会议15次、专委会对口协商会议11次</w:t>
      </w:r>
      <w:r>
        <w:rPr>
          <w:rFonts w:hint="eastAsia" w:ascii="仿宋_GB2312" w:eastAsia="仿宋_GB2312" w:cs="仿宋_GB2312" w:hAnsiTheme="minorEastAsia"/>
          <w:color w:val="000000"/>
          <w:sz w:val="32"/>
          <w:szCs w:val="32"/>
        </w:rPr>
        <w:t>。</w:t>
      </w:r>
      <w:r>
        <w:rPr>
          <w:rFonts w:hint="eastAsia" w:ascii="仿宋_GB2312" w:hAnsi="宋体" w:eastAsia="仿宋_GB2312" w:cs="仿宋_GB2312"/>
          <w:sz w:val="32"/>
          <w:szCs w:val="32"/>
        </w:rPr>
        <w:t>2</w:t>
      </w:r>
      <w:r>
        <w:rPr>
          <w:rFonts w:hint="eastAsia" w:ascii="仿宋_GB2312" w:eastAsia="仿宋_GB2312" w:cs="仿宋_GB2312" w:hAnsiTheme="minorEastAsia"/>
          <w:sz w:val="32"/>
          <w:szCs w:val="32"/>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按照县委统筹安排，主动融入，分别深度参与宜居县城、</w:t>
      </w:r>
      <w:bookmarkStart w:id="27" w:name="_GoBack"/>
      <w:bookmarkEnd w:id="27"/>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乡村振兴、全域旅游、灾后重建、民族团结进步创建、主题教育巡回指导等全县重大工作</w:t>
      </w:r>
      <w:r>
        <w:rPr>
          <w:rFonts w:hint="eastAsia" w:ascii="仿宋_GB2312" w:eastAsia="仿宋_GB2312" w:cs="仿宋_GB2312" w:hAnsiTheme="minorEastAsia"/>
          <w:color w:val="000000"/>
          <w:sz w:val="32"/>
          <w:szCs w:val="32"/>
        </w:rPr>
        <w:t>。</w:t>
      </w:r>
      <w:r>
        <w:rPr>
          <w:rFonts w:hint="eastAsia" w:ascii="仿宋_GB2312" w:hAnsi="宋体" w:eastAsia="仿宋_GB2312" w:cs="仿宋_GB2312"/>
          <w:sz w:val="32"/>
          <w:szCs w:val="32"/>
        </w:rPr>
        <w:t>3</w:t>
      </w:r>
      <w:r>
        <w:rPr>
          <w:rFonts w:hint="eastAsia" w:ascii="仿宋_GB2312" w:eastAsia="仿宋_GB2312" w:cs="仿宋_GB2312" w:hAnsiTheme="minorEastAsia"/>
          <w:sz w:val="32"/>
          <w:szCs w:val="32"/>
        </w:rPr>
        <w:t>、</w:t>
      </w:r>
      <w:r>
        <w:rPr>
          <w:rFonts w:hint="eastAsia" w:ascii="仿宋_GB2312" w:eastAsia="仿宋_GB2312" w:cs="仿宋_GB2312" w:hAnsiTheme="minorEastAsia"/>
          <w:color w:val="000000"/>
          <w:sz w:val="24"/>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把提案工作作为政协最广泛最直接最有效的履职方式，不断强化提案质量和成果转化。</w:t>
      </w:r>
      <w:r>
        <w:rPr>
          <w:rFonts w:hint="eastAsia" w:ascii="仿宋_GB2312" w:hAnsi="宋体" w:eastAsia="仿宋_GB2312"/>
          <w:color w:val="000000"/>
          <w:sz w:val="32"/>
          <w:szCs w:val="32"/>
        </w:rPr>
        <w:t>4</w:t>
      </w:r>
      <w:r>
        <w:rPr>
          <w:rFonts w:hint="eastAsia" w:ascii="仿宋_GB2312" w:eastAsia="仿宋_GB2312" w:hAnsiTheme="minorEastAsia"/>
          <w:color w:val="000000"/>
          <w:sz w:val="32"/>
          <w:szCs w:val="32"/>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组织专委会视察、协商议政</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16</w:t>
      </w:r>
      <w:r>
        <w:rPr>
          <w:rFonts w:hint="eastAsia" w:ascii="仿宋_GB2312" w:hAnsi="仿宋_GB2312" w:eastAsia="仿宋_GB2312" w:cs="仿宋_GB2312"/>
          <w:color w:val="000000" w:themeColor="text1"/>
          <w:sz w:val="32"/>
          <w:szCs w:val="32"/>
          <w:lang w:eastAsia="zh-CN"/>
          <w14:textFill>
            <w14:solidFill>
              <w14:schemeClr w14:val="tx1"/>
            </w14:solidFill>
          </w14:textFill>
        </w:rPr>
        <w:t>次，组织委员参与政风、行风监督评议等活动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60余人次</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收集社情民意近70条，极大</w:t>
      </w:r>
      <w:r>
        <w:rPr>
          <w:rFonts w:hint="eastAsia" w:ascii="仿宋_GB2312" w:hAnsi="仿宋_GB2312" w:eastAsia="仿宋_GB2312" w:cs="仿宋_GB2312"/>
          <w:color w:val="000000" w:themeColor="text1"/>
          <w:sz w:val="32"/>
          <w:szCs w:val="32"/>
          <w:lang w:eastAsia="zh-CN"/>
          <w14:textFill>
            <w14:solidFill>
              <w14:schemeClr w14:val="tx1"/>
            </w14:solidFill>
          </w14:textFill>
        </w:rPr>
        <w:t>助推了相关惠民政策的落地落实</w:t>
      </w:r>
      <w:r>
        <w:rPr>
          <w:rFonts w:hint="eastAsia" w:ascii="仿宋_GB2312" w:hAnsi="宋体" w:eastAsia="仿宋_GB2312"/>
          <w:color w:val="333333"/>
          <w:sz w:val="32"/>
          <w:szCs w:val="32"/>
          <w:shd w:val="clear" w:color="auto" w:fill="FBFBFB"/>
        </w:rPr>
        <w:t>。</w:t>
      </w:r>
      <w:r>
        <w:rPr>
          <w:rFonts w:hint="eastAsia" w:ascii="仿宋_GB2312" w:eastAsia="仿宋_GB2312" w:hAnsiTheme="minorEastAsia"/>
          <w:color w:val="000000"/>
          <w:sz w:val="32"/>
          <w:szCs w:val="32"/>
        </w:rPr>
        <w:t>5、</w:t>
      </w:r>
      <w:r>
        <w:rPr>
          <w:rFonts w:hint="eastAsia" w:ascii="仿宋_GB2312" w:hAnsi="仿宋_GB2312" w:eastAsia="仿宋_GB2312" w:cs="仿宋_GB2312"/>
          <w:color w:val="000000" w:themeColor="text1"/>
          <w:sz w:val="32"/>
          <w:szCs w:val="32"/>
          <w:lang w:eastAsia="zh-CN"/>
          <w14:textFill>
            <w14:solidFill>
              <w14:schemeClr w14:val="tx1"/>
            </w14:solidFill>
          </w14:textFill>
        </w:rPr>
        <w:t>紧紧围绕脱贫攻坚头等大事，持续深化“我为扶贫攻坚做件事”活动</w:t>
      </w:r>
      <w:r>
        <w:rPr>
          <w:rFonts w:hint="eastAsia" w:ascii="仿宋_GB2312" w:hAnsi="微软雅黑" w:eastAsia="仿宋_GB2312" w:cs="仿宋_GB2312"/>
          <w:color w:val="333333"/>
          <w:kern w:val="0"/>
          <w:sz w:val="32"/>
          <w:szCs w:val="32"/>
          <w:shd w:val="clear" w:fill="FFFFFF"/>
          <w:lang w:val="en-US" w:eastAsia="zh-CN" w:bidi="ar"/>
        </w:rPr>
        <w:t>。</w:t>
      </w:r>
      <w:r>
        <w:rPr>
          <w:rFonts w:hint="eastAsia" w:ascii="仿宋_GB2312" w:hAnsi="宋体" w:eastAsia="仿宋_GB2312"/>
          <w:color w:val="000000"/>
          <w:sz w:val="32"/>
          <w:szCs w:val="32"/>
        </w:rPr>
        <w:t>6</w:t>
      </w:r>
      <w:r>
        <w:rPr>
          <w:rFonts w:hint="eastAsia" w:ascii="仿宋_GB2312" w:eastAsia="仿宋_GB2312" w:hAnsiTheme="minorEastAsia"/>
          <w:color w:val="000000"/>
          <w:sz w:val="32"/>
          <w:szCs w:val="32"/>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组织各届别委员开展“生态保护委员在行动”活动，宣传生态保护政策380余人次，参与环境治理2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eastAsia="zh-CN"/>
          <w14:textFill>
            <w14:solidFill>
              <w14:schemeClr w14:val="tx1"/>
            </w14:solidFill>
          </w14:textFill>
        </w:rPr>
        <w:t>0余人次、水源保护100余人次，委员个人植树2200余株</w:t>
      </w:r>
      <w:r>
        <w:rPr>
          <w:rFonts w:hint="eastAsia" w:ascii="仿宋_GB2312" w:hAnsi="宋体" w:eastAsia="仿宋_GB2312"/>
          <w:color w:val="333333"/>
          <w:sz w:val="32"/>
          <w:szCs w:val="32"/>
          <w:shd w:val="clear" w:color="auto" w:fill="FBFBFB"/>
        </w:rPr>
        <w:t>。</w:t>
      </w:r>
      <w:r>
        <w:rPr>
          <w:rFonts w:hint="eastAsia" w:ascii="仿宋_GB2312" w:eastAsia="仿宋_GB2312" w:hAnsiTheme="minorEastAsia"/>
          <w:color w:val="000000"/>
          <w:sz w:val="32"/>
          <w:szCs w:val="32"/>
        </w:rPr>
        <w:t>7、</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密切与上级政协联系，积极开展与州内外兄弟政协的友好交往，为建设“两地一典范、美丽新九寨”汇聚合力</w:t>
      </w:r>
      <w:r>
        <w:rPr>
          <w:rFonts w:hint="eastAsia" w:ascii="仿宋_GB2312" w:eastAsia="仿宋_GB2312" w:hAnsiTheme="minorEastAsia"/>
          <w:color w:val="333333"/>
          <w:sz w:val="32"/>
          <w:szCs w:val="32"/>
          <w:shd w:val="clear" w:color="auto" w:fill="FBFBFB"/>
        </w:rPr>
        <w:t>。</w:t>
      </w:r>
      <w:r>
        <w:rPr>
          <w:rFonts w:hint="eastAsia" w:ascii="仿宋_GB2312" w:hAnsi="仿宋_GB2312" w:eastAsia="仿宋_GB2312" w:cs="仿宋_GB2312"/>
          <w:sz w:val="32"/>
          <w:szCs w:val="32"/>
        </w:rPr>
        <w:t>总的来看201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年度单位在规定时间内保质保量完成了所有工作任务，并保证了单位良好运行情况。</w:t>
      </w:r>
    </w:p>
    <w:p>
      <w:pPr>
        <w:numPr>
          <w:ilvl w:val="0"/>
          <w:numId w:val="4"/>
        </w:numPr>
        <w:spacing w:line="600" w:lineRule="exact"/>
        <w:ind w:firstLine="642"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年度部门决算中反映0个项目绩效目标实际完成情况。</w:t>
      </w:r>
    </w:p>
    <w:p>
      <w:pPr>
        <w:numPr>
          <w:ilvl w:val="0"/>
          <w:numId w:val="4"/>
        </w:numPr>
        <w:spacing w:line="580" w:lineRule="exact"/>
        <w:ind w:firstLine="642"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年部门整体支出绩效评价情况开展自评，《九寨沟县政协委员会办公室201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年部门整体支出绩效评价报告》见附件。</w:t>
      </w:r>
    </w:p>
    <w:p>
      <w:pPr>
        <w:spacing w:line="600" w:lineRule="exact"/>
        <w:ind w:firstLine="800" w:firstLineChars="250"/>
        <w:outlineLvl w:val="1"/>
        <w:rPr>
          <w:rStyle w:val="33"/>
          <w:rFonts w:ascii="黑体" w:hAnsi="黑体" w:eastAsia="黑体"/>
        </w:rPr>
      </w:pPr>
      <w:r>
        <w:rPr>
          <w:rFonts w:hint="eastAsia" w:ascii="黑体" w:hAnsi="黑体" w:eastAsia="黑体"/>
          <w:color w:val="000000"/>
          <w:sz w:val="32"/>
          <w:szCs w:val="32"/>
        </w:rPr>
        <w:t>十</w:t>
      </w:r>
      <w:r>
        <w:rPr>
          <w:rStyle w:val="33"/>
          <w:rFonts w:hint="eastAsia" w:ascii="黑体" w:hAnsi="黑体" w:eastAsia="黑体"/>
        </w:rPr>
        <w:t>一、</w:t>
      </w:r>
      <w:r>
        <w:rPr>
          <w:rStyle w:val="33"/>
          <w:rFonts w:hint="eastAsia" w:ascii="黑体" w:hAnsi="黑体" w:eastAsia="黑体"/>
          <w:b w:val="0"/>
        </w:rPr>
        <w:t>其他重要事项的情况说明</w:t>
      </w:r>
    </w:p>
    <w:p>
      <w:pPr>
        <w:spacing w:line="600" w:lineRule="exact"/>
        <w:ind w:firstLine="642" w:firstLineChars="200"/>
        <w:outlineLvl w:val="2"/>
        <w:rPr>
          <w:rFonts w:ascii="仿宋" w:hAnsi="仿宋" w:eastAsia="仿宋"/>
          <w:color w:val="000000"/>
          <w:sz w:val="32"/>
          <w:szCs w:val="32"/>
        </w:rPr>
      </w:pPr>
      <w:r>
        <w:rPr>
          <w:rFonts w:hint="eastAsia" w:ascii="仿宋" w:hAnsi="仿宋" w:eastAsia="仿宋"/>
          <w:b/>
          <w:color w:val="000000"/>
          <w:sz w:val="32"/>
          <w:szCs w:val="32"/>
        </w:rPr>
        <w:t>（一）机关运行经费支出情况</w:t>
      </w:r>
    </w:p>
    <w:p>
      <w:pPr>
        <w:spacing w:line="600" w:lineRule="exact"/>
        <w:ind w:firstLine="640" w:firstLineChars="200"/>
        <w:rPr>
          <w:rFonts w:hint="eastAsia" w:ascii="仿宋_GB2312" w:eastAsia="仿宋_GB2312"/>
          <w:color w:val="000000" w:themeColor="text1"/>
          <w:sz w:val="32"/>
          <w:szCs w:val="32"/>
          <w:lang w:eastAsia="zh-CN"/>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年，政协机关运行经费支出</w:t>
      </w:r>
      <w:r>
        <w:rPr>
          <w:rFonts w:hint="eastAsia" w:ascii="仿宋_GB2312" w:eastAsia="仿宋_GB2312"/>
          <w:color w:val="000000"/>
          <w:sz w:val="32"/>
          <w:szCs w:val="32"/>
          <w:lang w:val="en-US" w:eastAsia="zh-CN"/>
        </w:rPr>
        <w:t>209.46</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7年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53.16</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增长</w:t>
      </w:r>
      <w:r>
        <w:rPr>
          <w:rFonts w:hint="eastAsia" w:ascii="仿宋_GB2312" w:eastAsia="仿宋_GB2312"/>
          <w:color w:val="000000"/>
          <w:sz w:val="32"/>
          <w:szCs w:val="32"/>
          <w:lang w:val="en-US" w:eastAsia="zh-CN"/>
        </w:rPr>
        <w:t>34.01</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事物增多，运行经费增加。</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（二）政府采购支出情况</w:t>
      </w:r>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年，政府采购支出总额0万元，其中：政府采购货物支出0万元、政府采购工程支出0万元、政府采购服务支出0万元。</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（三）国有资产占有使用情况</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日，九寨沟县政协、县工商联、县佛协共有车辆6辆，其中：部级领导干部用车0辆、一般公务用车6辆、一般执法执勤用车0辆、特种专业技术用车0辆、其他用车0辆，</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万元以上通用设备3台（套），单价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numPr>
          <w:ilvl w:val="0"/>
          <w:numId w:val="5"/>
        </w:numPr>
        <w:spacing w:line="600" w:lineRule="exact"/>
        <w:ind w:firstLine="662" w:firstLineChars="150"/>
        <w:jc w:val="center"/>
        <w:outlineLvl w:val="0"/>
        <w:rPr>
          <w:rStyle w:val="34"/>
          <w:rFonts w:ascii="黑体" w:hAnsi="黑体" w:eastAsia="黑体"/>
          <w:b w:val="0"/>
        </w:rPr>
      </w:pPr>
      <w:r>
        <w:rPr>
          <w:rFonts w:hint="eastAsia" w:ascii="黑体" w:hAnsi="黑体" w:eastAsia="黑体"/>
          <w:b/>
          <w:color w:val="000000"/>
          <w:sz w:val="44"/>
          <w:szCs w:val="44"/>
        </w:rPr>
        <w:t>名</w:t>
      </w:r>
      <w:r>
        <w:rPr>
          <w:rStyle w:val="34"/>
          <w:rFonts w:hint="eastAsia" w:ascii="黑体" w:hAnsi="黑体" w:eastAsia="黑体"/>
          <w:b w:val="0"/>
        </w:rPr>
        <w:t>词解释</w:t>
      </w:r>
    </w:p>
    <w:p>
      <w:pPr>
        <w:spacing w:line="600" w:lineRule="exact"/>
        <w:jc w:val="left"/>
        <w:rPr>
          <w:rFonts w:ascii="宋体"/>
          <w:b/>
          <w:color w:val="000000"/>
          <w:sz w:val="44"/>
          <w:szCs w:val="44"/>
        </w:rPr>
      </w:pPr>
    </w:p>
    <w:p>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80" w:lineRule="exact"/>
        <w:ind w:firstLine="640" w:firstLineChars="200"/>
        <w:rPr>
          <w:rFonts w:ascii="仿宋_GB2312" w:hAnsi="宋体" w:eastAsia="仿宋_GB2312"/>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一般公共服务（201）政协事务（02）行政事务（01）：</w:t>
      </w:r>
      <w:r>
        <w:rPr>
          <w:rFonts w:hint="eastAsia" w:ascii="仿宋_GB2312" w:hAnsi="宋体" w:eastAsia="仿宋_GB2312"/>
          <w:color w:val="000000"/>
          <w:sz w:val="32"/>
          <w:szCs w:val="32"/>
        </w:rPr>
        <w:t>指政协机关</w:t>
      </w:r>
      <w:r>
        <w:rPr>
          <w:rFonts w:hint="eastAsia" w:ascii="仿宋_GB2312" w:hAnsi="宋体" w:eastAsia="仿宋_GB2312"/>
          <w:sz w:val="32"/>
          <w:szCs w:val="32"/>
        </w:rPr>
        <w:t>人员工资、日常运转以及为完成财政特定行政工作任务和事业发展目标而安排年度项目支出，主要包括办公费、培训费、邮电费、差旅费、会议费、公务用车运行维护费等方面支出。</w:t>
      </w:r>
    </w:p>
    <w:p>
      <w:pPr>
        <w:spacing w:line="580" w:lineRule="exact"/>
        <w:ind w:firstLine="640" w:firstLineChars="200"/>
        <w:rPr>
          <w:rFonts w:ascii="宋体" w:hAnsi="宋体"/>
          <w:sz w:val="32"/>
          <w:szCs w:val="32"/>
        </w:rPr>
      </w:pPr>
      <w:r>
        <w:rPr>
          <w:rFonts w:hint="eastAsia" w:ascii="仿宋_GB2312" w:hAnsi="宋体" w:eastAsia="仿宋_GB2312"/>
          <w:sz w:val="32"/>
          <w:szCs w:val="32"/>
        </w:rPr>
        <w:t>10.一般公共服务</w:t>
      </w:r>
      <w:r>
        <w:rPr>
          <w:rFonts w:hint="eastAsia" w:ascii="仿宋_GB2312" w:eastAsia="仿宋_GB2312"/>
          <w:color w:val="000000"/>
          <w:sz w:val="32"/>
          <w:szCs w:val="32"/>
        </w:rPr>
        <w:t>（201）民主党派及工商联事务（28）行政运行（01）：</w:t>
      </w:r>
      <w:r>
        <w:rPr>
          <w:rFonts w:hint="eastAsia" w:ascii="仿宋_GB2312" w:hAnsi="宋体" w:eastAsia="仿宋_GB2312"/>
          <w:color w:val="000000"/>
          <w:sz w:val="32"/>
          <w:szCs w:val="32"/>
        </w:rPr>
        <w:t>指工商联、佛协</w:t>
      </w:r>
      <w:r>
        <w:rPr>
          <w:rFonts w:hint="eastAsia" w:ascii="仿宋_GB2312" w:hAnsi="宋体" w:eastAsia="仿宋_GB2312"/>
          <w:sz w:val="32"/>
          <w:szCs w:val="32"/>
        </w:rPr>
        <w:t>人员工资、日常运转以及为完成财政特定行政工作任务和事业发展目标而安排年度项目支出，主要包括办公费、培训费、邮电费、差旅费、会议费、公务用车运行维护费等方面支出</w:t>
      </w:r>
      <w:r>
        <w:rPr>
          <w:rFonts w:hint="eastAsia" w:ascii="宋体" w:hAnsi="宋体"/>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1</w:t>
      </w:r>
      <w:r>
        <w:rPr>
          <w:rFonts w:ascii="仿宋_GB2312" w:eastAsia="仿宋_GB2312"/>
          <w:color w:val="000000"/>
          <w:sz w:val="32"/>
          <w:szCs w:val="32"/>
        </w:rPr>
        <w:t>.</w:t>
      </w:r>
      <w:r>
        <w:rPr>
          <w:rFonts w:hint="eastAsia" w:ascii="仿宋_GB2312" w:hAnsi="宋体" w:eastAsia="仿宋_GB2312"/>
          <w:sz w:val="32"/>
          <w:szCs w:val="32"/>
          <w:shd w:val="clear" w:color="auto" w:fill="FFFFFF"/>
        </w:rPr>
        <w:t xml:space="preserve"> 社会保障和就业(208)行政事业单位离退休(05)</w:t>
      </w:r>
      <w:r>
        <w:rPr>
          <w:rFonts w:hint="eastAsia" w:ascii="仿宋_GB2312" w:hAnsi="宋体" w:eastAsia="仿宋_GB2312"/>
          <w:sz w:val="32"/>
          <w:szCs w:val="32"/>
        </w:rPr>
        <w:t xml:space="preserve"> </w:t>
      </w:r>
      <w:r>
        <w:rPr>
          <w:rFonts w:hint="eastAsia" w:ascii="仿宋_GB2312" w:hAnsi="宋体" w:eastAsia="仿宋_GB2312"/>
          <w:sz w:val="32"/>
          <w:szCs w:val="32"/>
          <w:shd w:val="clear" w:color="auto" w:fill="FFFFFF"/>
        </w:rPr>
        <w:t>机关事业单位基本养老保险缴费(05)：指实施养老保险制度后，部门按规定由单位缴纳的基本养老保险费支出。</w:t>
      </w:r>
    </w:p>
    <w:p>
      <w:pPr>
        <w:spacing w:line="580" w:lineRule="exact"/>
        <w:ind w:firstLine="640" w:firstLineChars="200"/>
        <w:rPr>
          <w:rFonts w:ascii="宋体" w:hAnsi="宋体"/>
          <w:sz w:val="32"/>
          <w:szCs w:val="32"/>
        </w:rPr>
      </w:pPr>
      <w:r>
        <w:rPr>
          <w:rFonts w:ascii="仿宋_GB2312" w:eastAsia="仿宋_GB2312"/>
          <w:color w:val="000000"/>
          <w:sz w:val="32"/>
          <w:szCs w:val="32"/>
        </w:rPr>
        <w:t>1</w:t>
      </w:r>
      <w:r>
        <w:rPr>
          <w:rFonts w:hint="eastAsia" w:ascii="仿宋_GB2312" w:eastAsia="仿宋_GB2312"/>
          <w:color w:val="000000"/>
          <w:sz w:val="32"/>
          <w:szCs w:val="32"/>
        </w:rPr>
        <w:t>2</w:t>
      </w:r>
      <w:r>
        <w:rPr>
          <w:rFonts w:ascii="仿宋_GB2312" w:eastAsia="仿宋_GB2312"/>
          <w:color w:val="000000"/>
          <w:sz w:val="32"/>
          <w:szCs w:val="32"/>
        </w:rPr>
        <w:t>.</w:t>
      </w:r>
      <w:r>
        <w:rPr>
          <w:rFonts w:hint="eastAsia" w:ascii="宋体" w:hAnsi="宋体"/>
          <w:sz w:val="32"/>
          <w:szCs w:val="32"/>
          <w:shd w:val="clear" w:color="auto" w:fill="FFFFFF"/>
        </w:rPr>
        <w:t xml:space="preserve"> </w:t>
      </w:r>
      <w:r>
        <w:rPr>
          <w:rFonts w:hint="eastAsia" w:ascii="仿宋_GB2312" w:hAnsi="宋体" w:eastAsia="仿宋_GB2312"/>
          <w:sz w:val="32"/>
          <w:szCs w:val="32"/>
          <w:shd w:val="clear" w:color="auto" w:fill="FFFFFF"/>
        </w:rPr>
        <w:t>医疗卫生与计划生育(210)医疗保障(11)行政单位医疗(01):指</w:t>
      </w:r>
      <w:r>
        <w:rPr>
          <w:rFonts w:hint="eastAsia" w:ascii="仿宋_GB2312" w:hAnsi="宋体" w:eastAsia="仿宋_GB2312"/>
          <w:sz w:val="32"/>
          <w:szCs w:val="32"/>
        </w:rPr>
        <w:t>按照规定标准为职工缴纳的基本医疗保险及公务员医疗补助等支出。</w:t>
      </w:r>
    </w:p>
    <w:p>
      <w:pPr>
        <w:spacing w:line="580" w:lineRule="exact"/>
        <w:ind w:firstLine="640" w:firstLineChars="200"/>
        <w:rPr>
          <w:rFonts w:ascii="仿宋_GB2312" w:hAnsi="宋体" w:eastAsia="仿宋_GB2312"/>
          <w:b/>
          <w:sz w:val="32"/>
          <w:szCs w:val="32"/>
        </w:rPr>
      </w:pPr>
      <w:r>
        <w:rPr>
          <w:rFonts w:ascii="仿宋_GB2312" w:eastAsia="仿宋_GB2312"/>
          <w:color w:val="000000"/>
          <w:sz w:val="32"/>
          <w:szCs w:val="32"/>
        </w:rPr>
        <w:t>1</w:t>
      </w:r>
      <w:r>
        <w:rPr>
          <w:rFonts w:hint="eastAsia" w:ascii="仿宋_GB2312" w:eastAsia="仿宋_GB2312"/>
          <w:color w:val="000000"/>
          <w:sz w:val="32"/>
          <w:szCs w:val="32"/>
        </w:rPr>
        <w:t>3</w:t>
      </w:r>
      <w:r>
        <w:rPr>
          <w:rFonts w:hint="eastAsia" w:ascii="宋体" w:hAnsi="宋体"/>
          <w:sz w:val="32"/>
          <w:szCs w:val="32"/>
        </w:rPr>
        <w:t>.</w:t>
      </w:r>
      <w:r>
        <w:rPr>
          <w:rStyle w:val="16"/>
          <w:rFonts w:hint="eastAsia" w:ascii="仿宋_GB2312" w:hAnsi="宋体" w:eastAsia="仿宋_GB2312"/>
          <w:b w:val="0"/>
          <w:color w:val="000000"/>
          <w:sz w:val="32"/>
          <w:szCs w:val="32"/>
        </w:rPr>
        <w:t>住房保障</w:t>
      </w:r>
      <w:r>
        <w:rPr>
          <w:rFonts w:hint="eastAsia" w:ascii="仿宋_GB2312" w:hAnsi="宋体" w:eastAsia="仿宋_GB2312"/>
          <w:sz w:val="32"/>
          <w:szCs w:val="32"/>
          <w:shd w:val="clear" w:color="auto" w:fill="FFFFFF"/>
        </w:rPr>
        <w:t>(221)住房改革(02)住房公积金(01)</w:t>
      </w:r>
      <w:r>
        <w:rPr>
          <w:rStyle w:val="16"/>
          <w:rFonts w:hint="eastAsia" w:ascii="仿宋_GB2312" w:hAnsi="宋体" w:eastAsia="仿宋_GB2312"/>
          <w:b w:val="0"/>
          <w:color w:val="000000"/>
          <w:sz w:val="32"/>
          <w:szCs w:val="32"/>
        </w:rPr>
        <w:t>：指</w:t>
      </w:r>
      <w:r>
        <w:rPr>
          <w:rFonts w:hint="eastAsia" w:ascii="仿宋_GB2312" w:hAnsi="宋体" w:eastAsia="仿宋_GB2312"/>
          <w:sz w:val="32"/>
          <w:szCs w:val="32"/>
        </w:rPr>
        <w:t>按照规定标准为职工缴纳住房公积金等支出。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16</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0"/>
        <w:adjustRightInd w:val="0"/>
        <w:snapToGrid w:val="0"/>
        <w:spacing w:before="0" w:line="440" w:lineRule="exact"/>
        <w:ind w:firstLine="640" w:firstLineChars="200"/>
        <w:jc w:val="left"/>
        <w:rPr>
          <w:rFonts w:hint="eastAsia" w:ascii="仿宋_GB2312" w:eastAsia="仿宋_GB2312"/>
          <w:sz w:val="32"/>
          <w:szCs w:val="32"/>
        </w:rPr>
      </w:pPr>
      <w:r>
        <w:rPr>
          <w:rFonts w:hint="eastAsia" w:ascii="仿宋_GB2312" w:eastAsia="仿宋_GB2312"/>
          <w:sz w:val="32"/>
          <w:szCs w:val="32"/>
        </w:rPr>
        <w:t>17</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34"/>
          <w:rFonts w:ascii="黑体" w:hAnsi="黑体" w:eastAsia="黑体"/>
          <w:b w:val="0"/>
        </w:rPr>
      </w:pPr>
      <w:r>
        <w:rPr>
          <w:rFonts w:hint="eastAsia" w:ascii="黑体" w:hAnsi="黑体" w:eastAsia="黑体"/>
          <w:color w:val="000000"/>
          <w:sz w:val="44"/>
          <w:szCs w:val="44"/>
        </w:rPr>
        <w:t>第</w:t>
      </w:r>
      <w:r>
        <w:rPr>
          <w:rStyle w:val="34"/>
          <w:rFonts w:hint="eastAsia" w:ascii="黑体" w:hAnsi="黑体" w:eastAsia="黑体"/>
          <w:b w:val="0"/>
        </w:rPr>
        <w:t>四部分 附件</w:t>
      </w:r>
    </w:p>
    <w:p>
      <w:pPr>
        <w:spacing w:line="600" w:lineRule="exact"/>
        <w:jc w:val="center"/>
        <w:outlineLvl w:val="0"/>
        <w:rPr>
          <w:rStyle w:val="34"/>
        </w:rPr>
      </w:pPr>
    </w:p>
    <w:p>
      <w:pPr>
        <w:spacing w:line="600" w:lineRule="exact"/>
        <w:jc w:val="center"/>
        <w:outlineLvl w:val="0"/>
        <w:rPr>
          <w:rFonts w:ascii="黑体" w:hAnsi="黑体" w:eastAsia="黑体" w:cs="方正小标宋简体"/>
          <w:sz w:val="36"/>
          <w:szCs w:val="36"/>
        </w:rPr>
      </w:pPr>
      <w:bookmarkStart w:id="12" w:name="_Toc15396616"/>
      <w:r>
        <w:rPr>
          <w:rFonts w:hint="eastAsia" w:ascii="黑体" w:hAnsi="黑体" w:eastAsia="黑体" w:cs="方正小标宋简体"/>
          <w:sz w:val="36"/>
          <w:szCs w:val="36"/>
        </w:rPr>
        <w:t>九寨沟县政协委员会办公室201</w:t>
      </w:r>
      <w:r>
        <w:rPr>
          <w:rFonts w:hint="eastAsia" w:ascii="黑体" w:hAnsi="黑体" w:eastAsia="黑体" w:cs="方正小标宋简体"/>
          <w:sz w:val="36"/>
          <w:szCs w:val="36"/>
          <w:lang w:val="en-US" w:eastAsia="zh-CN"/>
        </w:rPr>
        <w:t>9</w:t>
      </w:r>
      <w:r>
        <w:rPr>
          <w:rFonts w:hint="eastAsia" w:ascii="黑体" w:hAnsi="黑体" w:eastAsia="黑体" w:cs="方正小标宋简体"/>
          <w:sz w:val="36"/>
          <w:szCs w:val="36"/>
        </w:rPr>
        <w:t>年部门整体支出绩效评价报告</w:t>
      </w:r>
      <w:bookmarkEnd w:id="12"/>
    </w:p>
    <w:p>
      <w:pPr>
        <w:spacing w:line="580" w:lineRule="exact"/>
        <w:ind w:firstLine="640" w:firstLineChars="200"/>
        <w:rPr>
          <w:rFonts w:ascii="黑体" w:hAnsi="黑体" w:eastAsia="黑体" w:cs="黑体"/>
          <w:sz w:val="32"/>
          <w:szCs w:val="32"/>
        </w:rPr>
      </w:pP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pPr>
        <w:spacing w:line="576" w:lineRule="exact"/>
        <w:ind w:firstLine="640" w:firstLineChars="200"/>
        <w:rPr>
          <w:rFonts w:ascii="仿宋_GB2312" w:hAnsi="宋体" w:eastAsia="仿宋_GB2312"/>
          <w:sz w:val="32"/>
          <w:szCs w:val="32"/>
        </w:rPr>
      </w:pPr>
      <w:r>
        <w:rPr>
          <w:rFonts w:ascii="仿宋" w:hAnsi="仿宋" w:eastAsia="仿宋" w:cs="仿宋_GB2312"/>
          <w:sz w:val="32"/>
          <w:szCs w:val="32"/>
        </w:rPr>
        <w:t>（一）机构组成。</w:t>
      </w:r>
      <w:r>
        <w:rPr>
          <w:rFonts w:hint="eastAsia" w:ascii="仿宋_GB2312" w:hAnsi="宋体" w:eastAsia="仿宋_GB2312"/>
          <w:sz w:val="32"/>
          <w:szCs w:val="32"/>
        </w:rPr>
        <w:t>县政协机关为行政单位，根据三定方案，机关内设机构编制数4个：3委1室（提案社会工作委员会；经济教育卫生委员会；文史、民族宗教委员会；综合办公室），机关核定行政编制人数为15人，其中：行政编制13个，行政工勤编制数为2人。</w:t>
      </w:r>
    </w:p>
    <w:p>
      <w:pPr>
        <w:spacing w:line="580" w:lineRule="exact"/>
        <w:ind w:firstLine="640" w:firstLineChars="200"/>
        <w:rPr>
          <w:rFonts w:ascii="仿宋_GB2312" w:hAnsi="仿宋" w:eastAsia="仿宋_GB2312" w:cs="仿宋_GB2312"/>
          <w:sz w:val="32"/>
          <w:szCs w:val="32"/>
        </w:rPr>
      </w:pPr>
      <w:r>
        <w:rPr>
          <w:rFonts w:ascii="仿宋" w:hAnsi="仿宋" w:eastAsia="仿宋" w:cs="仿宋_GB2312"/>
          <w:sz w:val="32"/>
          <w:szCs w:val="32"/>
        </w:rPr>
        <w:t>（二）机构职能。</w:t>
      </w:r>
      <w:r>
        <w:rPr>
          <w:rFonts w:hint="eastAsia" w:ascii="仿宋_GB2312" w:eastAsia="仿宋_GB2312"/>
          <w:color w:val="333333"/>
          <w:sz w:val="32"/>
          <w:szCs w:val="32"/>
          <w:shd w:val="clear" w:color="auto" w:fill="FBFBFB"/>
        </w:rPr>
        <w:t>中国人民政治协商会议九寨沟县委员会是中共九寨沟县委员会领导的联系和团结全县各族各界人士的爱国统一战线组织和政治协商职能的重要机构</w:t>
      </w:r>
      <w:r>
        <w:rPr>
          <w:rFonts w:hint="eastAsia" w:ascii="仿宋_GB2312" w:eastAsia="仿宋_GB2312"/>
          <w:color w:val="000000"/>
          <w:sz w:val="32"/>
          <w:szCs w:val="32"/>
          <w:shd w:val="clear" w:color="auto" w:fill="FBFBFB"/>
        </w:rPr>
        <w:t>。</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（三）人员概况。</w:t>
      </w:r>
      <w:r>
        <w:rPr>
          <w:rFonts w:hint="eastAsia" w:ascii="仿宋_GB2312" w:hAnsi="仿宋" w:eastAsia="仿宋_GB2312" w:cs="仿宋_GB2312"/>
          <w:sz w:val="32"/>
          <w:szCs w:val="32"/>
        </w:rPr>
        <w:t>截止201</w:t>
      </w:r>
      <w:r>
        <w:rPr>
          <w:rFonts w:hint="eastAsia" w:ascii="仿宋_GB2312" w:hAnsi="仿宋" w:eastAsia="仿宋_GB2312" w:cs="仿宋_GB2312"/>
          <w:sz w:val="32"/>
          <w:szCs w:val="32"/>
          <w:lang w:val="en-US" w:eastAsia="zh-CN"/>
        </w:rPr>
        <w:t>9</w:t>
      </w:r>
      <w:r>
        <w:rPr>
          <w:rFonts w:hint="eastAsia" w:ascii="仿宋_GB2312" w:hAnsi="仿宋" w:eastAsia="仿宋_GB2312" w:cs="仿宋_GB2312"/>
          <w:sz w:val="32"/>
          <w:szCs w:val="32"/>
        </w:rPr>
        <w:t>年12月31日，政协机关、（包括工商联、佛协）</w:t>
      </w:r>
      <w:r>
        <w:rPr>
          <w:rFonts w:hint="eastAsia" w:ascii="仿宋_GB2312" w:hAnsi="宋体" w:eastAsia="仿宋_GB2312"/>
          <w:sz w:val="32"/>
          <w:szCs w:val="32"/>
        </w:rPr>
        <w:t>实有在职人数为28人，其中行政在职人数为24人，行政工勤在职人数为4人，编制内临时聘用人数为3人，离休人员1人，退休人员26人，遗属供养为3人。</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二、部门财政资金收支情况</w:t>
      </w:r>
    </w:p>
    <w:p>
      <w:pPr>
        <w:spacing w:line="580" w:lineRule="exact"/>
        <w:ind w:firstLine="640" w:firstLineChars="200"/>
        <w:rPr>
          <w:rFonts w:ascii="仿宋_GB2312" w:hAnsi="Calibri" w:eastAsia="仿宋_GB2312"/>
          <w:sz w:val="32"/>
          <w:szCs w:val="32"/>
        </w:rPr>
      </w:pPr>
      <w:r>
        <w:rPr>
          <w:rFonts w:ascii="仿宋" w:hAnsi="仿宋" w:eastAsia="仿宋" w:cs="仿宋_GB2312"/>
          <w:sz w:val="32"/>
          <w:szCs w:val="32"/>
        </w:rPr>
        <w:t>（一）部门财政资金收入情况。</w:t>
      </w:r>
      <w:r>
        <w:rPr>
          <w:rFonts w:hint="eastAsia" w:ascii="仿宋_GB2312" w:hAnsi="Calibri" w:eastAsia="仿宋_GB2312"/>
          <w:sz w:val="32"/>
          <w:szCs w:val="32"/>
        </w:rPr>
        <w:t>201</w:t>
      </w:r>
      <w:r>
        <w:rPr>
          <w:rFonts w:hint="eastAsia" w:ascii="仿宋_GB2312" w:hAnsi="Calibri" w:eastAsia="仿宋_GB2312"/>
          <w:sz w:val="32"/>
          <w:szCs w:val="32"/>
          <w:lang w:val="en-US" w:eastAsia="zh-CN"/>
        </w:rPr>
        <w:t>9</w:t>
      </w:r>
      <w:r>
        <w:rPr>
          <w:rFonts w:hint="eastAsia" w:ascii="仿宋_GB2312" w:hAnsi="Calibri" w:eastAsia="仿宋_GB2312"/>
          <w:sz w:val="32"/>
          <w:szCs w:val="32"/>
        </w:rPr>
        <w:t>年本年财政拨款收入</w:t>
      </w:r>
      <w:r>
        <w:rPr>
          <w:rFonts w:hint="eastAsia" w:ascii="仿宋_GB2312" w:hAnsi="Calibri" w:eastAsia="仿宋_GB2312"/>
          <w:sz w:val="32"/>
          <w:szCs w:val="32"/>
          <w:lang w:val="en-US" w:eastAsia="zh-CN"/>
        </w:rPr>
        <w:t>693.94</w:t>
      </w:r>
      <w:r>
        <w:rPr>
          <w:rFonts w:hint="eastAsia" w:ascii="仿宋_GB2312" w:hAnsi="Calibri" w:eastAsia="仿宋_GB2312"/>
          <w:sz w:val="32"/>
          <w:szCs w:val="32"/>
        </w:rPr>
        <w:t>万元，年初结转结余</w:t>
      </w:r>
      <w:r>
        <w:rPr>
          <w:rFonts w:hint="eastAsia" w:ascii="仿宋_GB2312" w:hAnsi="Calibri" w:eastAsia="仿宋_GB2312"/>
          <w:sz w:val="32"/>
          <w:szCs w:val="32"/>
          <w:lang w:val="en-US" w:eastAsia="zh-CN"/>
        </w:rPr>
        <w:t>103</w:t>
      </w:r>
      <w:r>
        <w:rPr>
          <w:rFonts w:hint="eastAsia" w:ascii="仿宋_GB2312" w:hAnsi="Calibri" w:eastAsia="仿宋_GB2312"/>
          <w:sz w:val="32"/>
          <w:szCs w:val="32"/>
        </w:rPr>
        <w:t>万元，收入总计</w:t>
      </w:r>
      <w:r>
        <w:rPr>
          <w:rFonts w:hint="eastAsia" w:ascii="仿宋_GB2312" w:hAnsi="Calibri" w:eastAsia="仿宋_GB2312"/>
          <w:sz w:val="32"/>
          <w:szCs w:val="32"/>
          <w:lang w:val="en-US" w:eastAsia="zh-CN"/>
        </w:rPr>
        <w:t>796.94</w:t>
      </w:r>
      <w:r>
        <w:rPr>
          <w:rFonts w:hint="eastAsia" w:ascii="仿宋_GB2312" w:hAnsi="Calibri" w:eastAsia="仿宋_GB2312"/>
          <w:sz w:val="32"/>
          <w:szCs w:val="32"/>
        </w:rPr>
        <w:t>万元。</w:t>
      </w:r>
    </w:p>
    <w:p>
      <w:pPr>
        <w:spacing w:line="580" w:lineRule="exact"/>
        <w:ind w:firstLine="480" w:firstLineChars="150"/>
        <w:rPr>
          <w:rFonts w:hint="eastAsia" w:ascii="仿宋_GB2312" w:hAnsi="Calibri" w:eastAsia="仿宋_GB2312"/>
          <w:sz w:val="32"/>
          <w:szCs w:val="32"/>
          <w:lang w:val="en-US" w:eastAsia="zh-CN"/>
        </w:rPr>
      </w:pPr>
      <w:r>
        <w:rPr>
          <w:rFonts w:ascii="仿宋" w:hAnsi="仿宋" w:eastAsia="仿宋" w:cs="仿宋_GB2312"/>
          <w:sz w:val="32"/>
          <w:szCs w:val="32"/>
        </w:rPr>
        <w:t>（二）部门财政资金支出情况。</w:t>
      </w:r>
      <w:r>
        <w:rPr>
          <w:rFonts w:ascii="仿宋_GB2312" w:hAnsi="Calibri" w:eastAsia="仿宋_GB2312"/>
          <w:sz w:val="32"/>
          <w:szCs w:val="32"/>
        </w:rPr>
        <w:t>201</w:t>
      </w:r>
      <w:r>
        <w:rPr>
          <w:rFonts w:hint="eastAsia" w:ascii="仿宋_GB2312" w:hAnsi="Calibri" w:eastAsia="仿宋_GB2312"/>
          <w:sz w:val="32"/>
          <w:szCs w:val="32"/>
          <w:lang w:val="en-US" w:eastAsia="zh-CN"/>
        </w:rPr>
        <w:t>9</w:t>
      </w:r>
      <w:r>
        <w:rPr>
          <w:rFonts w:hint="eastAsia" w:ascii="仿宋_GB2312" w:hAnsi="Calibri" w:eastAsia="仿宋_GB2312"/>
          <w:sz w:val="32"/>
          <w:szCs w:val="32"/>
        </w:rPr>
        <w:t>年一般公共服务支出</w:t>
      </w:r>
      <w:r>
        <w:rPr>
          <w:rFonts w:hint="eastAsia" w:ascii="仿宋_GB2312" w:hAnsi="Calibri" w:eastAsia="仿宋_GB2312"/>
          <w:sz w:val="32"/>
          <w:szCs w:val="32"/>
          <w:lang w:val="en-US" w:eastAsia="zh-CN"/>
        </w:rPr>
        <w:t>650.03</w:t>
      </w:r>
      <w:r>
        <w:rPr>
          <w:rFonts w:hint="eastAsia" w:ascii="仿宋_GB2312" w:hAnsi="Calibri" w:eastAsia="仿宋_GB2312"/>
          <w:sz w:val="32"/>
          <w:szCs w:val="32"/>
        </w:rPr>
        <w:t>万元，占81.</w:t>
      </w:r>
      <w:r>
        <w:rPr>
          <w:rFonts w:hint="eastAsia" w:ascii="仿宋_GB2312" w:hAnsi="Calibri" w:eastAsia="仿宋_GB2312"/>
          <w:sz w:val="32"/>
          <w:szCs w:val="32"/>
          <w:lang w:val="en-US" w:eastAsia="zh-CN"/>
        </w:rPr>
        <w:t>57</w:t>
      </w:r>
      <w:r>
        <w:rPr>
          <w:rFonts w:hint="eastAsia" w:ascii="仿宋_GB2312" w:hAnsi="Calibri" w:eastAsia="仿宋_GB2312"/>
          <w:sz w:val="32"/>
          <w:szCs w:val="32"/>
        </w:rPr>
        <w:t>%；社会保障和就业支出</w:t>
      </w:r>
      <w:r>
        <w:rPr>
          <w:rFonts w:hint="eastAsia" w:ascii="仿宋_GB2312" w:hAnsi="Calibri" w:eastAsia="仿宋_GB2312"/>
          <w:sz w:val="32"/>
          <w:szCs w:val="32"/>
          <w:lang w:val="en-US" w:eastAsia="zh-CN"/>
        </w:rPr>
        <w:t>55.91</w:t>
      </w:r>
      <w:r>
        <w:rPr>
          <w:rFonts w:hint="eastAsia" w:ascii="仿宋_GB2312" w:hAnsi="Calibri" w:eastAsia="仿宋_GB2312"/>
          <w:sz w:val="32"/>
          <w:szCs w:val="32"/>
        </w:rPr>
        <w:t>万元，占</w:t>
      </w:r>
      <w:r>
        <w:rPr>
          <w:rFonts w:hint="eastAsia" w:ascii="仿宋_GB2312" w:hAnsi="Calibri" w:eastAsia="仿宋_GB2312"/>
          <w:sz w:val="32"/>
          <w:szCs w:val="32"/>
          <w:lang w:val="en-US" w:eastAsia="zh-CN"/>
        </w:rPr>
        <w:t>7.02</w:t>
      </w:r>
      <w:r>
        <w:rPr>
          <w:rFonts w:ascii="仿宋_GB2312" w:hAnsi="Calibri" w:eastAsia="仿宋_GB2312"/>
          <w:sz w:val="32"/>
          <w:szCs w:val="32"/>
        </w:rPr>
        <w:t>%</w:t>
      </w:r>
      <w:r>
        <w:rPr>
          <w:rFonts w:hint="eastAsia" w:ascii="仿宋_GB2312" w:hAnsi="Calibri" w:eastAsia="仿宋_GB2312"/>
          <w:sz w:val="32"/>
          <w:szCs w:val="32"/>
        </w:rPr>
        <w:t>；医疗卫生支出</w:t>
      </w:r>
      <w:r>
        <w:rPr>
          <w:rFonts w:hint="eastAsia" w:ascii="仿宋_GB2312" w:hAnsi="Calibri" w:eastAsia="仿宋_GB2312"/>
          <w:sz w:val="32"/>
          <w:szCs w:val="32"/>
          <w:lang w:val="en-US" w:eastAsia="zh-CN"/>
        </w:rPr>
        <w:t>40.09</w:t>
      </w:r>
      <w:r>
        <w:rPr>
          <w:rFonts w:hint="eastAsia" w:ascii="仿宋_GB2312" w:hAnsi="Calibri" w:eastAsia="仿宋_GB2312"/>
          <w:sz w:val="32"/>
          <w:szCs w:val="32"/>
        </w:rPr>
        <w:t>万元，占</w:t>
      </w:r>
      <w:r>
        <w:rPr>
          <w:rFonts w:hint="eastAsia" w:ascii="仿宋_GB2312" w:hAnsi="Calibri" w:eastAsia="仿宋_GB2312"/>
          <w:sz w:val="32"/>
          <w:szCs w:val="32"/>
          <w:lang w:val="en-US" w:eastAsia="zh-CN"/>
        </w:rPr>
        <w:t>5.03</w:t>
      </w:r>
      <w:r>
        <w:rPr>
          <w:rFonts w:ascii="仿宋_GB2312" w:hAnsi="Calibri" w:eastAsia="仿宋_GB2312"/>
          <w:sz w:val="32"/>
          <w:szCs w:val="32"/>
        </w:rPr>
        <w:t>%</w:t>
      </w:r>
      <w:r>
        <w:rPr>
          <w:rFonts w:hint="eastAsia" w:ascii="仿宋_GB2312" w:hAnsi="Calibri" w:eastAsia="仿宋_GB2312"/>
          <w:sz w:val="32"/>
          <w:szCs w:val="32"/>
        </w:rPr>
        <w:t>；住房保障支出</w:t>
      </w:r>
      <w:r>
        <w:rPr>
          <w:rFonts w:hint="eastAsia" w:ascii="仿宋_GB2312" w:hAnsi="Calibri" w:eastAsia="仿宋_GB2312"/>
          <w:sz w:val="32"/>
          <w:szCs w:val="32"/>
          <w:lang w:val="en-US" w:eastAsia="zh-CN"/>
        </w:rPr>
        <w:t>46.61</w:t>
      </w:r>
      <w:r>
        <w:rPr>
          <w:rFonts w:hint="eastAsia" w:ascii="仿宋_GB2312" w:hAnsi="Calibri" w:eastAsia="仿宋_GB2312"/>
          <w:sz w:val="32"/>
          <w:szCs w:val="32"/>
        </w:rPr>
        <w:t>万元，占</w:t>
      </w:r>
      <w:r>
        <w:rPr>
          <w:rFonts w:hint="eastAsia" w:ascii="仿宋_GB2312" w:hAnsi="Calibri" w:eastAsia="仿宋_GB2312"/>
          <w:sz w:val="32"/>
          <w:szCs w:val="32"/>
          <w:lang w:val="en-US" w:eastAsia="zh-CN"/>
        </w:rPr>
        <w:t>5.84</w:t>
      </w:r>
      <w:r>
        <w:rPr>
          <w:rFonts w:hint="eastAsia" w:ascii="仿宋_GB2312" w:hAnsi="Calibri" w:eastAsia="仿宋_GB2312"/>
          <w:sz w:val="32"/>
          <w:szCs w:val="32"/>
        </w:rPr>
        <w:t>%</w:t>
      </w:r>
      <w:r>
        <w:rPr>
          <w:rFonts w:hint="eastAsia" w:ascii="仿宋_GB2312" w:hAnsi="Calibri" w:eastAsia="仿宋_GB2312"/>
          <w:sz w:val="32"/>
          <w:szCs w:val="32"/>
          <w:lang w:eastAsia="zh-CN"/>
        </w:rPr>
        <w:t>；教育支出</w:t>
      </w:r>
      <w:r>
        <w:rPr>
          <w:rFonts w:hint="eastAsia" w:ascii="仿宋_GB2312" w:hAnsi="Calibri" w:eastAsia="仿宋_GB2312"/>
          <w:sz w:val="32"/>
          <w:szCs w:val="32"/>
          <w:lang w:val="en-US" w:eastAsia="zh-CN"/>
        </w:rPr>
        <w:t>4.31万元，</w:t>
      </w:r>
      <w:r>
        <w:rPr>
          <w:rFonts w:hint="eastAsia" w:ascii="仿宋_GB2312" w:hAnsi="Calibri" w:eastAsia="仿宋_GB2312"/>
          <w:sz w:val="32"/>
          <w:szCs w:val="32"/>
        </w:rPr>
        <w:t>占</w:t>
      </w:r>
      <w:r>
        <w:rPr>
          <w:rFonts w:hint="eastAsia" w:ascii="仿宋_GB2312" w:hAnsi="Calibri" w:eastAsia="仿宋_GB2312"/>
          <w:sz w:val="32"/>
          <w:szCs w:val="32"/>
          <w:lang w:val="en-US" w:eastAsia="zh-CN"/>
        </w:rPr>
        <w:t>0.54</w:t>
      </w:r>
      <w:r>
        <w:rPr>
          <w:rFonts w:ascii="仿宋_GB2312" w:hAnsi="Calibri" w:eastAsia="仿宋_GB2312"/>
          <w:sz w:val="32"/>
          <w:szCs w:val="32"/>
        </w:rPr>
        <w:t>%</w:t>
      </w:r>
      <w:r>
        <w:rPr>
          <w:rFonts w:hint="eastAsia" w:ascii="仿宋_GB2312" w:hAnsi="Calibri" w:eastAsia="仿宋_GB2312"/>
          <w:sz w:val="32"/>
          <w:szCs w:val="32"/>
          <w:lang w:val="en-US" w:eastAsia="zh-CN"/>
        </w:rPr>
        <w:t>.</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三、部门整体预算绩效管理情况（根据适用指标体系进行调整）</w:t>
      </w:r>
    </w:p>
    <w:p>
      <w:pPr>
        <w:pStyle w:val="13"/>
        <w:shd w:val="clear" w:color="auto" w:fill="FFFFFF"/>
        <w:spacing w:before="0" w:beforeAutospacing="0" w:after="0" w:afterAutospacing="0"/>
        <w:ind w:firstLine="628"/>
        <w:jc w:val="both"/>
        <w:rPr>
          <w:rFonts w:ascii="仿宋" w:hAnsi="仿宋" w:eastAsia="仿宋" w:cs="仿宋_GB2312"/>
          <w:sz w:val="32"/>
          <w:szCs w:val="32"/>
        </w:rPr>
      </w:pPr>
      <w:r>
        <w:rPr>
          <w:rFonts w:ascii="仿宋" w:hAnsi="仿宋" w:eastAsia="仿宋" w:cs="仿宋_GB2312"/>
          <w:sz w:val="32"/>
          <w:szCs w:val="32"/>
        </w:rPr>
        <w:t>（一）部门预算管理。</w:t>
      </w:r>
    </w:p>
    <w:p>
      <w:pPr>
        <w:pStyle w:val="13"/>
        <w:shd w:val="clear" w:color="auto" w:fill="FFFFFF"/>
        <w:spacing w:before="0" w:beforeAutospacing="0" w:after="0" w:afterAutospacing="0"/>
        <w:ind w:firstLine="628"/>
        <w:jc w:val="both"/>
        <w:rPr>
          <w:rFonts w:ascii="Times New Roman" w:hAnsi="Times New Roman"/>
          <w:color w:val="333333"/>
          <w:sz w:val="21"/>
          <w:szCs w:val="21"/>
        </w:rPr>
      </w:pPr>
      <w:r>
        <w:rPr>
          <w:rFonts w:hint="eastAsia" w:ascii="仿宋_GB2312" w:hAnsi="Times New Roman" w:eastAsia="仿宋_GB2312"/>
          <w:color w:val="000000"/>
          <w:sz w:val="32"/>
          <w:szCs w:val="32"/>
        </w:rPr>
        <w:t>1.“三公”经费控制率100%。“三公”经费预算本年列支0万元，经费支出未超标。</w:t>
      </w:r>
    </w:p>
    <w:p>
      <w:pPr>
        <w:pStyle w:val="13"/>
        <w:shd w:val="clear" w:color="auto" w:fill="FFFFFF"/>
        <w:spacing w:before="0" w:beforeAutospacing="0" w:after="0" w:afterAutospacing="0"/>
        <w:ind w:firstLine="628"/>
        <w:jc w:val="both"/>
        <w:rPr>
          <w:rFonts w:ascii="Times New Roman" w:hAnsi="Times New Roman"/>
          <w:color w:val="333333"/>
          <w:sz w:val="21"/>
          <w:szCs w:val="21"/>
        </w:rPr>
      </w:pPr>
      <w:r>
        <w:rPr>
          <w:rFonts w:hint="eastAsia" w:ascii="仿宋_GB2312" w:hAnsi="Times New Roman" w:eastAsia="仿宋_GB2312"/>
          <w:color w:val="000000"/>
          <w:sz w:val="32"/>
          <w:szCs w:val="32"/>
        </w:rPr>
        <w:t>2.管理制度进一步健全。201</w:t>
      </w:r>
      <w:r>
        <w:rPr>
          <w:rFonts w:hint="eastAsia" w:ascii="仿宋_GB2312" w:hAnsi="Times New Roman" w:eastAsia="仿宋_GB2312"/>
          <w:color w:val="000000"/>
          <w:sz w:val="32"/>
          <w:szCs w:val="32"/>
          <w:lang w:val="en-US" w:eastAsia="zh-CN"/>
        </w:rPr>
        <w:t>9</w:t>
      </w:r>
      <w:r>
        <w:rPr>
          <w:rFonts w:hint="eastAsia" w:ascii="仿宋_GB2312" w:hAnsi="Times New Roman" w:eastAsia="仿宋_GB2312"/>
          <w:color w:val="000000"/>
          <w:sz w:val="32"/>
          <w:szCs w:val="32"/>
        </w:rPr>
        <w:t>年我单位制定了财务管理制度和会计核算等管理制度，明确了财务职责，制定了厉行节约制度，管理制度依照有关国家法律法规而制定的，具有合法性、合规性、完整性、同时相关制度得到认真执行。</w:t>
      </w:r>
    </w:p>
    <w:p>
      <w:pPr>
        <w:pStyle w:val="13"/>
        <w:shd w:val="clear" w:color="auto" w:fill="FFFFFF"/>
        <w:spacing w:before="0" w:beforeAutospacing="0" w:after="0" w:afterAutospacing="0"/>
        <w:ind w:firstLine="628"/>
        <w:jc w:val="both"/>
        <w:rPr>
          <w:rFonts w:ascii="Times New Roman" w:hAnsi="Times New Roman"/>
          <w:color w:val="333333"/>
          <w:sz w:val="21"/>
          <w:szCs w:val="21"/>
        </w:rPr>
      </w:pPr>
      <w:r>
        <w:rPr>
          <w:rFonts w:hint="eastAsia" w:ascii="仿宋_GB2312" w:hAnsi="Times New Roman" w:eastAsia="仿宋_GB2312"/>
          <w:color w:val="000000"/>
          <w:sz w:val="32"/>
          <w:szCs w:val="32"/>
        </w:rPr>
        <w:t>4.资金使用合规性。一切支出按照国家财经法规和财务管理制度规定及专项资金管理办法的规定办理。财务人员认真审核每笔业务的合法性、真实性、手续完整性和资料的准确性。健全会计核算，按照国家统一会计制度规定设置会计账簿，依照规定进行会计处理，保证会计指标口径一致。资金拨付有完善的审批程序和手续，支出符合部门预算批复的用途、资金使用无截留、挤占、挪用、虚列开支等情况。</w:t>
      </w:r>
    </w:p>
    <w:p>
      <w:pPr>
        <w:spacing w:line="580" w:lineRule="exact"/>
        <w:ind w:firstLine="640" w:firstLineChars="200"/>
        <w:rPr>
          <w:rFonts w:ascii="黑体" w:hAnsi="黑体" w:eastAsia="黑体" w:cs="黑体"/>
          <w:sz w:val="32"/>
          <w:szCs w:val="32"/>
        </w:rPr>
      </w:pPr>
      <w:r>
        <w:rPr>
          <w:rFonts w:hint="eastAsia" w:ascii="仿宋_GB2312" w:eastAsia="仿宋_GB2312"/>
          <w:color w:val="000000"/>
          <w:sz w:val="32"/>
          <w:szCs w:val="32"/>
        </w:rPr>
        <w:t>5.预算信息公开性。按照规定的内容、时间公开预算信息，做到基础数据信息和会计资金真实、完整、准确。</w:t>
      </w:r>
    </w:p>
    <w:p>
      <w:pPr>
        <w:spacing w:line="580" w:lineRule="exact"/>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（二）专项预算管理。</w:t>
      </w:r>
    </w:p>
    <w:p>
      <w:pPr>
        <w:autoSpaceDN w:val="0"/>
        <w:spacing w:line="580" w:lineRule="exact"/>
        <w:ind w:firstLine="800" w:firstLineChars="250"/>
        <w:jc w:val="left"/>
        <w:textAlignment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年度决算中反映0个专项预算。</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（三）结果应用情况。</w:t>
      </w:r>
    </w:p>
    <w:p>
      <w:pPr>
        <w:spacing w:line="580" w:lineRule="exact"/>
        <w:ind w:firstLine="640" w:firstLineChars="200"/>
        <w:rPr>
          <w:rFonts w:ascii="仿宋" w:hAnsi="仿宋" w:eastAsia="仿宋" w:cs="仿宋_GB2312"/>
          <w:sz w:val="32"/>
          <w:szCs w:val="32"/>
        </w:rPr>
      </w:pPr>
      <w:r>
        <w:rPr>
          <w:rFonts w:hint="eastAsia" w:ascii="仿宋_GB2312" w:hAnsi="仿宋" w:eastAsia="仿宋_GB2312" w:cs="仿宋_GB2312"/>
          <w:sz w:val="32"/>
          <w:szCs w:val="32"/>
        </w:rPr>
        <w:t>本部门</w:t>
      </w:r>
      <w:r>
        <w:rPr>
          <w:rFonts w:hint="eastAsia" w:ascii="仿宋_GB2312" w:hAnsi="仿宋_GB2312" w:eastAsia="仿宋_GB2312" w:cs="仿宋_GB2312"/>
          <w:sz w:val="32"/>
          <w:szCs w:val="32"/>
        </w:rPr>
        <w:t>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年部门整体支出绩效评价情况开展自评，从</w:t>
      </w:r>
      <w:r>
        <w:rPr>
          <w:rFonts w:hint="eastAsia" w:ascii="仿宋_GB2312" w:hAnsi="仿宋_GB2312" w:eastAsia="仿宋_GB2312" w:cs="仿宋_GB2312"/>
          <w:color w:val="000000"/>
          <w:sz w:val="32"/>
          <w:szCs w:val="32"/>
        </w:rPr>
        <w:t>质量指标、数量指标、时效指标、成本指标、社会效益、经济效益、生态效益、社会公众或服务对象满意度</w:t>
      </w:r>
      <w:r>
        <w:rPr>
          <w:rFonts w:hint="eastAsia" w:ascii="仿宋_GB2312" w:hAnsi="仿宋_GB2312" w:eastAsia="仿宋_GB2312" w:cs="仿宋_GB2312"/>
          <w:sz w:val="32"/>
          <w:szCs w:val="32"/>
        </w:rPr>
        <w:t>指标进行了综合评价，圆满完成工作任务，实现绩效评价与部门预算的有机结合，促进财政资金的合理分配与有效使用。</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四、评价结论及建议</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年部门整体支出绩效评价情况开展自评，自评结论为优秀。</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（二）存在问题。</w:t>
      </w:r>
      <w:r>
        <w:rPr>
          <w:rFonts w:hint="eastAsia" w:ascii="仿宋_GB2312" w:hAnsi="仿宋" w:eastAsia="仿宋_GB2312" w:cs="仿宋_GB2312"/>
          <w:sz w:val="32"/>
          <w:szCs w:val="32"/>
        </w:rPr>
        <w:t>部门内控制度需进一步完善，制度执行力有待加强</w:t>
      </w:r>
    </w:p>
    <w:p>
      <w:pPr>
        <w:pStyle w:val="13"/>
        <w:shd w:val="clear" w:color="auto" w:fill="FFFFFF"/>
        <w:spacing w:before="93" w:beforeAutospacing="0" w:after="0" w:afterAutospacing="0" w:line="600" w:lineRule="exact"/>
        <w:ind w:firstLine="640" w:firstLineChars="200"/>
        <w:jc w:val="both"/>
        <w:rPr>
          <w:rFonts w:ascii="仿宋" w:hAnsi="仿宋" w:eastAsia="仿宋" w:cs="仿宋_GB2312"/>
          <w:sz w:val="32"/>
          <w:szCs w:val="32"/>
        </w:rPr>
      </w:pPr>
      <w:r>
        <w:rPr>
          <w:rFonts w:ascii="仿宋" w:hAnsi="仿宋" w:eastAsia="仿宋" w:cs="仿宋_GB2312"/>
          <w:sz w:val="32"/>
          <w:szCs w:val="32"/>
        </w:rPr>
        <w:t>（三）改进建议。</w:t>
      </w:r>
    </w:p>
    <w:p>
      <w:pPr>
        <w:pStyle w:val="13"/>
        <w:shd w:val="clear" w:color="auto" w:fill="FFFFFF"/>
        <w:spacing w:before="93" w:beforeAutospacing="0" w:after="0" w:afterAutospacing="0" w:line="600" w:lineRule="exact"/>
        <w:ind w:firstLine="640" w:firstLineChars="200"/>
        <w:jc w:val="both"/>
        <w:rPr>
          <w:rFonts w:ascii="仿宋_GB2312" w:eastAsia="仿宋_GB2312"/>
          <w:color w:val="333333"/>
          <w:sz w:val="32"/>
          <w:szCs w:val="32"/>
        </w:rPr>
      </w:pPr>
      <w:r>
        <w:rPr>
          <w:rFonts w:hint="eastAsia"/>
          <w:color w:val="000000"/>
          <w:sz w:val="32"/>
          <w:szCs w:val="32"/>
        </w:rPr>
        <w:t>1.</w:t>
      </w:r>
      <w:r>
        <w:rPr>
          <w:rFonts w:hint="eastAsia" w:ascii="仿宋_GB2312" w:eastAsia="仿宋_GB2312"/>
          <w:color w:val="000000"/>
          <w:sz w:val="32"/>
          <w:szCs w:val="32"/>
        </w:rPr>
        <w:t>将财务制度落实到位，规范财经纪律，严格控制非生产性开支。</w:t>
      </w:r>
    </w:p>
    <w:p>
      <w:pPr>
        <w:pStyle w:val="13"/>
        <w:shd w:val="clear" w:color="auto" w:fill="FFFFFF"/>
        <w:spacing w:before="93" w:beforeAutospacing="0" w:after="0" w:afterAutospacing="0" w:line="600" w:lineRule="exac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2.加强对财务监管力度，多组织财务业务培训学习。</w:t>
      </w:r>
    </w:p>
    <w:p>
      <w:pPr>
        <w:pStyle w:val="13"/>
        <w:shd w:val="clear" w:color="auto" w:fill="FFFFFF"/>
        <w:spacing w:before="93" w:beforeAutospacing="0" w:after="0" w:afterAutospacing="0" w:line="600" w:lineRule="exact"/>
        <w:ind w:firstLine="640" w:firstLineChars="200"/>
        <w:jc w:val="both"/>
        <w:rPr>
          <w:rFonts w:hint="eastAsia" w:ascii="仿宋_GB2312" w:eastAsia="仿宋_GB2312"/>
          <w:color w:val="000000"/>
          <w:sz w:val="32"/>
          <w:szCs w:val="32"/>
        </w:rPr>
      </w:pPr>
    </w:p>
    <w:p>
      <w:pPr>
        <w:pStyle w:val="13"/>
        <w:shd w:val="clear" w:color="auto" w:fill="FFFFFF"/>
        <w:spacing w:before="93" w:beforeAutospacing="0" w:after="0" w:afterAutospacing="0" w:line="600" w:lineRule="exact"/>
        <w:ind w:firstLine="640" w:firstLineChars="200"/>
        <w:jc w:val="both"/>
        <w:rPr>
          <w:rFonts w:hint="eastAsia" w:ascii="仿宋_GB2312" w:eastAsia="仿宋_GB2312"/>
          <w:color w:val="000000"/>
          <w:sz w:val="32"/>
          <w:szCs w:val="32"/>
        </w:rPr>
      </w:pPr>
    </w:p>
    <w:p>
      <w:pPr>
        <w:spacing w:line="600" w:lineRule="exact"/>
        <w:jc w:val="center"/>
        <w:outlineLvl w:val="0"/>
        <w:rPr>
          <w:rStyle w:val="34"/>
          <w:rFonts w:ascii="黑体" w:hAnsi="黑体" w:eastAsia="黑体"/>
          <w:b w:val="0"/>
        </w:rPr>
      </w:pPr>
      <w:bookmarkStart w:id="13" w:name="_Toc15396618"/>
      <w:r>
        <w:rPr>
          <w:rFonts w:hint="eastAsia" w:ascii="黑体" w:hAnsi="黑体" w:eastAsia="黑体"/>
          <w:color w:val="000000"/>
          <w:sz w:val="44"/>
          <w:szCs w:val="44"/>
        </w:rPr>
        <w:t>第</w:t>
      </w:r>
      <w:r>
        <w:rPr>
          <w:rStyle w:val="34"/>
          <w:rFonts w:hint="eastAsia" w:ascii="黑体" w:hAnsi="黑体" w:eastAsia="黑体"/>
          <w:b w:val="0"/>
        </w:rPr>
        <w:t>五部分 附表</w:t>
      </w:r>
      <w:bookmarkEnd w:id="13"/>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14" w:name="_Toc15396619"/>
      <w:r>
        <w:rPr>
          <w:rFonts w:hint="eastAsia" w:ascii="仿宋" w:hAnsi="仿宋" w:eastAsia="仿宋"/>
          <w:b w:val="0"/>
          <w:color w:val="000000"/>
        </w:rPr>
        <w:t>一、收</w:t>
      </w:r>
      <w:r>
        <w:rPr>
          <w:rStyle w:val="33"/>
          <w:rFonts w:hint="eastAsia" w:ascii="仿宋" w:hAnsi="仿宋" w:eastAsia="仿宋"/>
          <w:b w:val="0"/>
          <w:bCs w:val="0"/>
        </w:rPr>
        <w:t>入支出决算总表</w:t>
      </w:r>
      <w:bookmarkEnd w:id="14"/>
    </w:p>
    <w:p>
      <w:pPr>
        <w:pStyle w:val="3"/>
        <w:rPr>
          <w:rFonts w:ascii="仿宋" w:hAnsi="仿宋" w:eastAsia="仿宋"/>
          <w:color w:val="000000"/>
        </w:rPr>
      </w:pPr>
      <w:bookmarkStart w:id="15" w:name="_Toc15396620"/>
      <w:r>
        <w:rPr>
          <w:rFonts w:hint="eastAsia" w:ascii="仿宋" w:hAnsi="仿宋" w:eastAsia="仿宋"/>
          <w:b w:val="0"/>
          <w:color w:val="000000"/>
        </w:rPr>
        <w:t>二、收</w:t>
      </w:r>
      <w:r>
        <w:rPr>
          <w:rStyle w:val="33"/>
          <w:rFonts w:hint="eastAsia" w:ascii="仿宋" w:hAnsi="仿宋" w:eastAsia="仿宋"/>
          <w:b w:val="0"/>
          <w:bCs w:val="0"/>
        </w:rPr>
        <w:t>入总表</w:t>
      </w:r>
      <w:bookmarkEnd w:id="15"/>
    </w:p>
    <w:p>
      <w:pPr>
        <w:pStyle w:val="3"/>
        <w:rPr>
          <w:rFonts w:ascii="仿宋" w:hAnsi="仿宋" w:eastAsia="仿宋"/>
          <w:color w:val="000000"/>
        </w:rPr>
      </w:pPr>
      <w:bookmarkStart w:id="16" w:name="_Toc15396621"/>
      <w:r>
        <w:rPr>
          <w:rStyle w:val="33"/>
          <w:rFonts w:hint="eastAsia" w:ascii="仿宋" w:hAnsi="仿宋" w:eastAsia="仿宋"/>
          <w:b w:val="0"/>
          <w:bCs w:val="0"/>
        </w:rPr>
        <w:t>三、</w:t>
      </w:r>
      <w:r>
        <w:rPr>
          <w:rFonts w:hint="eastAsia" w:ascii="仿宋" w:hAnsi="仿宋" w:eastAsia="仿宋"/>
          <w:b w:val="0"/>
          <w:color w:val="000000"/>
        </w:rPr>
        <w:t>支</w:t>
      </w:r>
      <w:r>
        <w:rPr>
          <w:rStyle w:val="33"/>
          <w:rFonts w:hint="eastAsia" w:ascii="仿宋" w:hAnsi="仿宋" w:eastAsia="仿宋"/>
          <w:b w:val="0"/>
          <w:bCs w:val="0"/>
        </w:rPr>
        <w:t>出总表</w:t>
      </w:r>
      <w:bookmarkEnd w:id="16"/>
    </w:p>
    <w:p>
      <w:pPr>
        <w:pStyle w:val="3"/>
        <w:rPr>
          <w:rFonts w:ascii="仿宋" w:hAnsi="仿宋" w:eastAsia="仿宋"/>
          <w:b w:val="0"/>
          <w:color w:val="000000"/>
        </w:rPr>
      </w:pPr>
      <w:bookmarkStart w:id="17" w:name="_Toc15396622"/>
      <w:r>
        <w:rPr>
          <w:rStyle w:val="33"/>
          <w:rFonts w:hint="eastAsia" w:ascii="仿宋" w:hAnsi="仿宋" w:eastAsia="仿宋"/>
          <w:b w:val="0"/>
          <w:bCs w:val="0"/>
        </w:rPr>
        <w:t>四、</w:t>
      </w:r>
      <w:r>
        <w:rPr>
          <w:rFonts w:hint="eastAsia" w:ascii="仿宋" w:hAnsi="仿宋" w:eastAsia="仿宋"/>
          <w:b w:val="0"/>
          <w:color w:val="000000"/>
        </w:rPr>
        <w:t>财</w:t>
      </w:r>
      <w:r>
        <w:rPr>
          <w:rStyle w:val="33"/>
          <w:rFonts w:hint="eastAsia" w:ascii="仿宋" w:hAnsi="仿宋" w:eastAsia="仿宋"/>
          <w:b w:val="0"/>
          <w:bCs w:val="0"/>
        </w:rPr>
        <w:t>政拨款收入支出决算总表</w:t>
      </w:r>
      <w:bookmarkEnd w:id="17"/>
    </w:p>
    <w:p>
      <w:pPr>
        <w:pStyle w:val="3"/>
        <w:rPr>
          <w:rFonts w:ascii="仿宋" w:hAnsi="仿宋" w:eastAsia="仿宋"/>
          <w:color w:val="000000"/>
        </w:rPr>
      </w:pPr>
      <w:bookmarkStart w:id="18" w:name="_Toc15396623"/>
      <w:r>
        <w:rPr>
          <w:rStyle w:val="33"/>
          <w:rFonts w:hint="eastAsia" w:ascii="仿宋" w:hAnsi="仿宋" w:eastAsia="仿宋"/>
          <w:b w:val="0"/>
          <w:bCs w:val="0"/>
        </w:rPr>
        <w:t>五、</w:t>
      </w:r>
      <w:r>
        <w:rPr>
          <w:rFonts w:hint="eastAsia" w:ascii="仿宋" w:hAnsi="仿宋" w:eastAsia="仿宋"/>
          <w:b w:val="0"/>
          <w:color w:val="000000"/>
        </w:rPr>
        <w:t>财</w:t>
      </w:r>
      <w:r>
        <w:rPr>
          <w:rStyle w:val="33"/>
          <w:rFonts w:hint="eastAsia" w:ascii="仿宋" w:hAnsi="仿宋" w:eastAsia="仿宋"/>
          <w:b w:val="0"/>
          <w:bCs w:val="0"/>
        </w:rPr>
        <w:t>政拨款支出决算明细表（政府经济分类科目）</w:t>
      </w:r>
      <w:bookmarkEnd w:id="18"/>
    </w:p>
    <w:p>
      <w:pPr>
        <w:pStyle w:val="3"/>
        <w:rPr>
          <w:rFonts w:ascii="仿宋" w:hAnsi="仿宋" w:eastAsia="仿宋"/>
          <w:color w:val="000000"/>
        </w:rPr>
      </w:pPr>
      <w:bookmarkStart w:id="19" w:name="_Toc15396624"/>
      <w:r>
        <w:rPr>
          <w:rStyle w:val="33"/>
          <w:rFonts w:hint="eastAsia" w:ascii="仿宋" w:hAnsi="仿宋" w:eastAsia="仿宋"/>
          <w:b w:val="0"/>
          <w:bCs w:val="0"/>
        </w:rPr>
        <w:t>六、</w:t>
      </w:r>
      <w:r>
        <w:rPr>
          <w:rFonts w:hint="eastAsia" w:ascii="仿宋" w:hAnsi="仿宋" w:eastAsia="仿宋"/>
          <w:b w:val="0"/>
          <w:color w:val="000000"/>
        </w:rPr>
        <w:t>一</w:t>
      </w:r>
      <w:r>
        <w:rPr>
          <w:rStyle w:val="33"/>
          <w:rFonts w:hint="eastAsia" w:ascii="仿宋" w:hAnsi="仿宋" w:eastAsia="仿宋"/>
          <w:b w:val="0"/>
          <w:bCs w:val="0"/>
        </w:rPr>
        <w:t>般公共预算财政拨款支出决算表</w:t>
      </w:r>
      <w:bookmarkEnd w:id="19"/>
    </w:p>
    <w:p>
      <w:pPr>
        <w:pStyle w:val="3"/>
        <w:rPr>
          <w:rFonts w:ascii="仿宋" w:hAnsi="仿宋" w:eastAsia="仿宋"/>
          <w:color w:val="000000"/>
        </w:rPr>
      </w:pPr>
      <w:bookmarkStart w:id="20" w:name="_Toc15396625"/>
      <w:r>
        <w:rPr>
          <w:rStyle w:val="33"/>
          <w:rFonts w:hint="eastAsia" w:ascii="仿宋" w:hAnsi="仿宋" w:eastAsia="仿宋"/>
          <w:b w:val="0"/>
          <w:bCs w:val="0"/>
        </w:rPr>
        <w:t>七、</w:t>
      </w:r>
      <w:r>
        <w:rPr>
          <w:rFonts w:hint="eastAsia" w:ascii="仿宋" w:hAnsi="仿宋" w:eastAsia="仿宋"/>
          <w:b w:val="0"/>
          <w:color w:val="000000"/>
        </w:rPr>
        <w:t>一</w:t>
      </w:r>
      <w:r>
        <w:rPr>
          <w:rStyle w:val="33"/>
          <w:rFonts w:hint="eastAsia" w:ascii="仿宋" w:hAnsi="仿宋" w:eastAsia="仿宋"/>
          <w:b w:val="0"/>
          <w:bCs w:val="0"/>
        </w:rPr>
        <w:t>般公共预算财政拨款支出决算明细表</w:t>
      </w:r>
      <w:bookmarkEnd w:id="20"/>
    </w:p>
    <w:p>
      <w:pPr>
        <w:pStyle w:val="3"/>
        <w:rPr>
          <w:rFonts w:ascii="仿宋" w:hAnsi="仿宋" w:eastAsia="仿宋"/>
          <w:color w:val="000000"/>
        </w:rPr>
      </w:pPr>
      <w:bookmarkStart w:id="21" w:name="_Toc15396626"/>
      <w:r>
        <w:rPr>
          <w:rStyle w:val="33"/>
          <w:rFonts w:hint="eastAsia" w:ascii="仿宋" w:hAnsi="仿宋" w:eastAsia="仿宋"/>
          <w:b w:val="0"/>
          <w:bCs w:val="0"/>
        </w:rPr>
        <w:t>八、</w:t>
      </w:r>
      <w:r>
        <w:rPr>
          <w:rFonts w:hint="eastAsia" w:ascii="仿宋" w:hAnsi="仿宋" w:eastAsia="仿宋"/>
          <w:b w:val="0"/>
          <w:color w:val="000000"/>
        </w:rPr>
        <w:t>一</w:t>
      </w:r>
      <w:r>
        <w:rPr>
          <w:rStyle w:val="33"/>
          <w:rFonts w:hint="eastAsia" w:ascii="仿宋" w:hAnsi="仿宋" w:eastAsia="仿宋"/>
          <w:b w:val="0"/>
          <w:bCs w:val="0"/>
        </w:rPr>
        <w:t>般公共预算财政拨款基本支出决算表</w:t>
      </w:r>
      <w:bookmarkEnd w:id="21"/>
    </w:p>
    <w:p>
      <w:pPr>
        <w:pStyle w:val="3"/>
        <w:rPr>
          <w:rFonts w:ascii="仿宋" w:hAnsi="仿宋" w:eastAsia="仿宋"/>
          <w:color w:val="000000"/>
        </w:rPr>
      </w:pPr>
      <w:bookmarkStart w:id="22" w:name="_Toc15396627"/>
      <w:r>
        <w:rPr>
          <w:rStyle w:val="33"/>
          <w:rFonts w:hint="eastAsia" w:ascii="仿宋" w:hAnsi="仿宋" w:eastAsia="仿宋"/>
          <w:b w:val="0"/>
          <w:bCs w:val="0"/>
        </w:rPr>
        <w:t>九、</w:t>
      </w:r>
      <w:r>
        <w:rPr>
          <w:rFonts w:hint="eastAsia" w:ascii="仿宋" w:hAnsi="仿宋" w:eastAsia="仿宋"/>
          <w:b w:val="0"/>
          <w:color w:val="000000"/>
        </w:rPr>
        <w:t>一</w:t>
      </w:r>
      <w:r>
        <w:rPr>
          <w:rStyle w:val="33"/>
          <w:rFonts w:hint="eastAsia" w:ascii="仿宋" w:hAnsi="仿宋" w:eastAsia="仿宋"/>
          <w:b w:val="0"/>
          <w:bCs w:val="0"/>
        </w:rPr>
        <w:t>般公共预算财政拨款项目支出决算表</w:t>
      </w:r>
      <w:bookmarkEnd w:id="22"/>
    </w:p>
    <w:p>
      <w:pPr>
        <w:pStyle w:val="3"/>
        <w:rPr>
          <w:rFonts w:ascii="仿宋" w:hAnsi="仿宋" w:eastAsia="仿宋"/>
          <w:color w:val="000000"/>
        </w:rPr>
      </w:pPr>
      <w:bookmarkStart w:id="23" w:name="_Toc15396628"/>
      <w:r>
        <w:rPr>
          <w:rStyle w:val="33"/>
          <w:rFonts w:hint="eastAsia" w:ascii="仿宋" w:hAnsi="仿宋" w:eastAsia="仿宋"/>
          <w:b w:val="0"/>
          <w:bCs w:val="0"/>
        </w:rPr>
        <w:t>十、</w:t>
      </w:r>
      <w:r>
        <w:rPr>
          <w:rFonts w:hint="eastAsia" w:ascii="仿宋" w:hAnsi="仿宋" w:eastAsia="仿宋"/>
          <w:b w:val="0"/>
          <w:color w:val="000000"/>
        </w:rPr>
        <w:t>一</w:t>
      </w:r>
      <w:r>
        <w:rPr>
          <w:rStyle w:val="33"/>
          <w:rFonts w:hint="eastAsia" w:ascii="仿宋" w:hAnsi="仿宋" w:eastAsia="仿宋"/>
          <w:b w:val="0"/>
          <w:bCs w:val="0"/>
        </w:rPr>
        <w:t>般公共预算财政拨款“三公”经费支出决算表</w:t>
      </w:r>
      <w:bookmarkEnd w:id="23"/>
    </w:p>
    <w:p>
      <w:pPr>
        <w:pStyle w:val="3"/>
        <w:rPr>
          <w:rFonts w:ascii="仿宋" w:hAnsi="仿宋" w:eastAsia="仿宋"/>
          <w:color w:val="000000"/>
        </w:rPr>
      </w:pPr>
      <w:bookmarkStart w:id="24" w:name="_Toc15396629"/>
      <w:r>
        <w:rPr>
          <w:rStyle w:val="33"/>
          <w:rFonts w:hint="eastAsia" w:ascii="仿宋" w:hAnsi="仿宋" w:eastAsia="仿宋"/>
          <w:b w:val="0"/>
          <w:bCs w:val="0"/>
        </w:rPr>
        <w:t>十一、</w:t>
      </w:r>
      <w:r>
        <w:rPr>
          <w:rFonts w:hint="eastAsia" w:ascii="仿宋" w:hAnsi="仿宋" w:eastAsia="仿宋"/>
          <w:b w:val="0"/>
          <w:color w:val="000000"/>
        </w:rPr>
        <w:t>政</w:t>
      </w:r>
      <w:r>
        <w:rPr>
          <w:rStyle w:val="33"/>
          <w:rFonts w:hint="eastAsia" w:ascii="仿宋" w:hAnsi="仿宋" w:eastAsia="仿宋"/>
          <w:b w:val="0"/>
          <w:bCs w:val="0"/>
        </w:rPr>
        <w:t>府性基金预算财政拨款收入支出决算表</w:t>
      </w:r>
      <w:bookmarkEnd w:id="24"/>
    </w:p>
    <w:p>
      <w:pPr>
        <w:pStyle w:val="3"/>
        <w:rPr>
          <w:rFonts w:ascii="仿宋" w:hAnsi="仿宋" w:eastAsia="仿宋"/>
          <w:color w:val="000000"/>
        </w:rPr>
      </w:pPr>
      <w:bookmarkStart w:id="25" w:name="_Toc15396630"/>
      <w:r>
        <w:rPr>
          <w:rStyle w:val="33"/>
          <w:rFonts w:hint="eastAsia" w:ascii="仿宋" w:hAnsi="仿宋" w:eastAsia="仿宋"/>
          <w:b w:val="0"/>
          <w:bCs w:val="0"/>
        </w:rPr>
        <w:t>十二、</w:t>
      </w:r>
      <w:r>
        <w:rPr>
          <w:rFonts w:hint="eastAsia" w:ascii="仿宋" w:hAnsi="仿宋" w:eastAsia="仿宋"/>
          <w:b w:val="0"/>
          <w:color w:val="000000"/>
        </w:rPr>
        <w:t>政</w:t>
      </w:r>
      <w:r>
        <w:rPr>
          <w:rStyle w:val="33"/>
          <w:rFonts w:hint="eastAsia" w:ascii="仿宋" w:hAnsi="仿宋" w:eastAsia="仿宋"/>
          <w:b w:val="0"/>
          <w:bCs w:val="0"/>
        </w:rPr>
        <w:t>府性基金预算财政拨款“三公”经费支出决算表</w:t>
      </w:r>
      <w:bookmarkEnd w:id="25"/>
    </w:p>
    <w:p>
      <w:pPr>
        <w:pStyle w:val="3"/>
        <w:rPr>
          <w:rFonts w:ascii="仿宋" w:hAnsi="仿宋" w:eastAsia="仿宋"/>
          <w:color w:val="000000" w:themeColor="text1"/>
          <w14:textFill>
            <w14:solidFill>
              <w14:schemeClr w14:val="tx1"/>
            </w14:solidFill>
          </w14:textFill>
        </w:rPr>
      </w:pPr>
      <w:bookmarkStart w:id="26" w:name="_Toc15396631"/>
      <w:r>
        <w:rPr>
          <w:rStyle w:val="33"/>
          <w:rFonts w:hint="eastAsia" w:ascii="仿宋" w:hAnsi="仿宋" w:eastAsia="仿宋"/>
          <w:b w:val="0"/>
          <w:bCs w:val="0"/>
        </w:rPr>
        <w:t>十三、</w:t>
      </w:r>
      <w:r>
        <w:rPr>
          <w:rFonts w:hint="eastAsia" w:ascii="仿宋" w:hAnsi="仿宋" w:eastAsia="仿宋"/>
          <w:b w:val="0"/>
          <w:color w:val="000000"/>
        </w:rPr>
        <w:t>国</w:t>
      </w:r>
      <w:r>
        <w:rPr>
          <w:rStyle w:val="33"/>
          <w:rFonts w:hint="eastAsia" w:ascii="仿宋" w:hAnsi="仿宋" w:eastAsia="仿宋"/>
          <w:b w:val="0"/>
          <w:bCs w:val="0"/>
        </w:rPr>
        <w:t>有资本经营预算支出决算表</w:t>
      </w:r>
      <w:bookmarkEnd w:id="26"/>
    </w:p>
    <w:p>
      <w:pPr>
        <w:pStyle w:val="13"/>
        <w:shd w:val="clear" w:color="auto" w:fill="FFFFFF"/>
        <w:spacing w:before="93" w:beforeAutospacing="0" w:after="0" w:afterAutospacing="0" w:line="600" w:lineRule="exact"/>
        <w:ind w:firstLine="640" w:firstLineChars="200"/>
        <w:jc w:val="both"/>
        <w:rPr>
          <w:rFonts w:hint="eastAsia" w:ascii="仿宋_GB2312" w:eastAsia="仿宋_GB2312"/>
          <w:color w:val="000000"/>
          <w:sz w:val="32"/>
          <w:szCs w:val="32"/>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方正小标宋_GBK"/>
    <w:panose1 w:val="03000509000000000000"/>
    <w:charset w:val="86"/>
    <w:family w:val="script"/>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微软雅黑">
    <w:altName w:val="黑体"/>
    <w:panose1 w:val="020B0503020204020204"/>
    <w:charset w:val="86"/>
    <w:family w:val="auto"/>
    <w:pitch w:val="default"/>
    <w:sig w:usb0="00000000" w:usb1="0000000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2AB6270"/>
    <w:rsid w:val="04AB6040"/>
    <w:rsid w:val="04D75A97"/>
    <w:rsid w:val="07C02AD4"/>
    <w:rsid w:val="09D113CB"/>
    <w:rsid w:val="0A2515FD"/>
    <w:rsid w:val="0C6250F2"/>
    <w:rsid w:val="10201F1D"/>
    <w:rsid w:val="10C055FF"/>
    <w:rsid w:val="12514BEB"/>
    <w:rsid w:val="142139DD"/>
    <w:rsid w:val="15E33228"/>
    <w:rsid w:val="16BB723D"/>
    <w:rsid w:val="1F0A1234"/>
    <w:rsid w:val="1FCC2A50"/>
    <w:rsid w:val="223F2ED6"/>
    <w:rsid w:val="235F0CF9"/>
    <w:rsid w:val="23D1260F"/>
    <w:rsid w:val="23F51F7C"/>
    <w:rsid w:val="240371BF"/>
    <w:rsid w:val="249019E2"/>
    <w:rsid w:val="29FD04D3"/>
    <w:rsid w:val="2DBA2C40"/>
    <w:rsid w:val="2FD37EBF"/>
    <w:rsid w:val="319F7F4E"/>
    <w:rsid w:val="32702E63"/>
    <w:rsid w:val="338614C7"/>
    <w:rsid w:val="35F07FA4"/>
    <w:rsid w:val="36153202"/>
    <w:rsid w:val="36E561BF"/>
    <w:rsid w:val="391E6D30"/>
    <w:rsid w:val="39C36606"/>
    <w:rsid w:val="3AAD44CF"/>
    <w:rsid w:val="3B0B32B3"/>
    <w:rsid w:val="3B1C62AE"/>
    <w:rsid w:val="3B3E507E"/>
    <w:rsid w:val="3B6259A1"/>
    <w:rsid w:val="3D286110"/>
    <w:rsid w:val="3E1446C2"/>
    <w:rsid w:val="3E205D3D"/>
    <w:rsid w:val="40084712"/>
    <w:rsid w:val="41CD7518"/>
    <w:rsid w:val="43023949"/>
    <w:rsid w:val="43C470BA"/>
    <w:rsid w:val="447A468B"/>
    <w:rsid w:val="44A17F01"/>
    <w:rsid w:val="44F41C3E"/>
    <w:rsid w:val="457B1390"/>
    <w:rsid w:val="469E136A"/>
    <w:rsid w:val="4A840C90"/>
    <w:rsid w:val="4E1B1EB9"/>
    <w:rsid w:val="4ECE2238"/>
    <w:rsid w:val="4EFD2121"/>
    <w:rsid w:val="4F016C40"/>
    <w:rsid w:val="50656F6D"/>
    <w:rsid w:val="50AB017B"/>
    <w:rsid w:val="513A124C"/>
    <w:rsid w:val="520D6FE5"/>
    <w:rsid w:val="523D2F15"/>
    <w:rsid w:val="544C748E"/>
    <w:rsid w:val="55564A04"/>
    <w:rsid w:val="5666569A"/>
    <w:rsid w:val="59611633"/>
    <w:rsid w:val="5B6A48C4"/>
    <w:rsid w:val="5CE27E40"/>
    <w:rsid w:val="5D3431E6"/>
    <w:rsid w:val="5DB279E0"/>
    <w:rsid w:val="608421FC"/>
    <w:rsid w:val="60DA002D"/>
    <w:rsid w:val="61210A76"/>
    <w:rsid w:val="64012309"/>
    <w:rsid w:val="66B44881"/>
    <w:rsid w:val="6879604D"/>
    <w:rsid w:val="68B20D07"/>
    <w:rsid w:val="69B003FA"/>
    <w:rsid w:val="6AB269C1"/>
    <w:rsid w:val="705547DA"/>
    <w:rsid w:val="71882705"/>
    <w:rsid w:val="72734D90"/>
    <w:rsid w:val="7647351D"/>
    <w:rsid w:val="78BE0C01"/>
    <w:rsid w:val="79086324"/>
    <w:rsid w:val="7B8B6CD5"/>
    <w:rsid w:val="7FC80358"/>
    <w:rsid w:val="7FEF9A9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4"/>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30"/>
    <w:semiHidden/>
    <w:unhideWhenUsed/>
    <w:qFormat/>
    <w:uiPriority w:val="99"/>
    <w:rPr>
      <w:sz w:val="18"/>
      <w:szCs w:val="18"/>
    </w:rPr>
  </w:style>
  <w:style w:type="paragraph" w:styleId="8">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able of figures"/>
    <w:basedOn w:val="1"/>
    <w:next w:val="1"/>
    <w:unhideWhenUsed/>
    <w:qFormat/>
    <w:uiPriority w:val="99"/>
    <w:pPr>
      <w:spacing w:before="100" w:beforeAutospacing="1" w:after="100" w:afterAutospacing="1"/>
      <w:ind w:left="200" w:leftChars="200" w:hanging="200" w:hangingChars="200"/>
    </w:pPr>
    <w:rPr>
      <w:kern w:val="0"/>
      <w:sz w:val="20"/>
      <w:szCs w:val="20"/>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qFormat/>
    <w:uiPriority w:val="0"/>
    <w:pPr>
      <w:widowControl/>
      <w:spacing w:before="100" w:beforeAutospacing="1" w:after="100" w:afterAutospacing="1"/>
      <w:jc w:val="left"/>
    </w:pPr>
    <w:rPr>
      <w:rFonts w:ascii="宋体" w:hAnsi="宋体"/>
      <w:kern w:val="0"/>
      <w:sz w:val="24"/>
    </w:rPr>
  </w:style>
  <w:style w:type="character" w:styleId="16">
    <w:name w:val="Strong"/>
    <w:basedOn w:val="15"/>
    <w:qFormat/>
    <w:uiPriority w:val="99"/>
    <w:rPr>
      <w:b/>
    </w:rPr>
  </w:style>
  <w:style w:type="character" w:styleId="17">
    <w:name w:val="FollowedHyperlink"/>
    <w:basedOn w:val="15"/>
    <w:semiHidden/>
    <w:unhideWhenUsed/>
    <w:qFormat/>
    <w:uiPriority w:val="99"/>
    <w:rPr>
      <w:color w:val="333333"/>
      <w:u w:val="none"/>
    </w:rPr>
  </w:style>
  <w:style w:type="character" w:styleId="18">
    <w:name w:val="Hyperlink"/>
    <w:basedOn w:val="15"/>
    <w:unhideWhenUsed/>
    <w:qFormat/>
    <w:uiPriority w:val="99"/>
    <w:rPr>
      <w:color w:val="0000FF" w:themeColor="hyperlink"/>
      <w:u w:val="single"/>
      <w14:textFill>
        <w14:solidFill>
          <w14:schemeClr w14:val="hlink"/>
        </w14:solidFill>
      </w14:textFill>
    </w:rPr>
  </w:style>
  <w:style w:type="character" w:customStyle="1" w:styleId="19">
    <w:name w:val="Header Char"/>
    <w:basedOn w:val="15"/>
    <w:semiHidden/>
    <w:qFormat/>
    <w:uiPriority w:val="99"/>
    <w:rPr>
      <w:rFonts w:ascii="Times New Roman" w:hAnsi="Times New Roman"/>
      <w:sz w:val="18"/>
      <w:szCs w:val="18"/>
    </w:rPr>
  </w:style>
  <w:style w:type="character" w:customStyle="1" w:styleId="20">
    <w:name w:val="页眉 字符"/>
    <w:link w:val="9"/>
    <w:semiHidden/>
    <w:qFormat/>
    <w:locked/>
    <w:uiPriority w:val="99"/>
    <w:rPr>
      <w:sz w:val="18"/>
    </w:rPr>
  </w:style>
  <w:style w:type="character" w:customStyle="1" w:styleId="21">
    <w:name w:val="Footer Char"/>
    <w:basedOn w:val="15"/>
    <w:semiHidden/>
    <w:qFormat/>
    <w:uiPriority w:val="99"/>
    <w:rPr>
      <w:rFonts w:ascii="Times New Roman" w:hAnsi="Times New Roman"/>
      <w:sz w:val="18"/>
      <w:szCs w:val="18"/>
    </w:rPr>
  </w:style>
  <w:style w:type="character" w:customStyle="1" w:styleId="22">
    <w:name w:val="页脚 字符"/>
    <w:link w:val="8"/>
    <w:qFormat/>
    <w:locked/>
    <w:uiPriority w:val="99"/>
    <w:rPr>
      <w:sz w:val="18"/>
    </w:rPr>
  </w:style>
  <w:style w:type="character" w:customStyle="1" w:styleId="23">
    <w:name w:val="Body Text Char"/>
    <w:basedOn w:val="15"/>
    <w:semiHidden/>
    <w:qFormat/>
    <w:uiPriority w:val="99"/>
    <w:rPr>
      <w:rFonts w:ascii="Times New Roman" w:hAnsi="Times New Roman"/>
      <w:szCs w:val="24"/>
    </w:rPr>
  </w:style>
  <w:style w:type="character" w:customStyle="1" w:styleId="24">
    <w:name w:val="正文文本 字符"/>
    <w:link w:val="5"/>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字符"/>
    <w:basedOn w:val="15"/>
    <w:link w:val="2"/>
    <w:qFormat/>
    <w:uiPriority w:val="9"/>
    <w:rPr>
      <w:rFonts w:ascii="Times New Roman" w:hAnsi="Times New Roman"/>
      <w:b/>
      <w:bCs/>
      <w:kern w:val="44"/>
      <w:sz w:val="44"/>
      <w:szCs w:val="44"/>
    </w:rPr>
  </w:style>
  <w:style w:type="character" w:customStyle="1" w:styleId="28">
    <w:name w:val="标题 2 字符"/>
    <w:basedOn w:val="15"/>
    <w:link w:val="3"/>
    <w:qFormat/>
    <w:uiPriority w:val="9"/>
    <w:rPr>
      <w:rFonts w:asciiTheme="majorHAnsi" w:hAnsiTheme="majorHAnsi" w:eastAsiaTheme="majorEastAsia" w:cstheme="majorBidi"/>
      <w:b/>
      <w:bCs/>
      <w:kern w:val="2"/>
      <w:sz w:val="32"/>
      <w:szCs w:val="32"/>
    </w:rPr>
  </w:style>
  <w:style w:type="paragraph" w:customStyle="1" w:styleId="2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字符"/>
    <w:basedOn w:val="15"/>
    <w:link w:val="7"/>
    <w:semiHidden/>
    <w:qFormat/>
    <w:uiPriority w:val="99"/>
    <w:rPr>
      <w:rFonts w:ascii="Times New Roman" w:hAnsi="Times New Roman"/>
      <w:kern w:val="2"/>
      <w:sz w:val="18"/>
      <w:szCs w:val="18"/>
    </w:rPr>
  </w:style>
  <w:style w:type="character" w:customStyle="1" w:styleId="31">
    <w:name w:val="标题 3 字符"/>
    <w:basedOn w:val="15"/>
    <w:link w:val="4"/>
    <w:qFormat/>
    <w:uiPriority w:val="9"/>
    <w:rPr>
      <w:rFonts w:ascii="Times New Roman" w:hAnsi="Times New Roman"/>
      <w:b/>
      <w:bCs/>
      <w:kern w:val="2"/>
      <w:sz w:val="32"/>
      <w:szCs w:val="32"/>
    </w:rPr>
  </w:style>
  <w:style w:type="paragraph" w:customStyle="1" w:styleId="32">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标题 2 Char"/>
    <w:basedOn w:val="15"/>
    <w:link w:val="3"/>
    <w:qFormat/>
    <w:uiPriority w:val="9"/>
    <w:rPr>
      <w:rFonts w:asciiTheme="majorHAnsi" w:hAnsiTheme="majorHAnsi" w:eastAsiaTheme="majorEastAsia" w:cstheme="majorBidi"/>
      <w:b/>
      <w:bCs/>
      <w:kern w:val="2"/>
      <w:sz w:val="32"/>
      <w:szCs w:val="32"/>
    </w:rPr>
  </w:style>
  <w:style w:type="character" w:customStyle="1" w:styleId="34">
    <w:name w:val="标题 1 Char"/>
    <w:basedOn w:val="15"/>
    <w:link w:val="2"/>
    <w:qFormat/>
    <w:uiPriority w:val="9"/>
    <w:rPr>
      <w:rFonts w:ascii="Times New Roman" w:hAnsi="Times New Roman"/>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7</TotalTime>
  <ScaleCrop>false</ScaleCrop>
  <LinksUpToDate>false</LinksUpToDate>
  <CharactersWithSpaces>8587</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长江水</cp:lastModifiedBy>
  <cp:lastPrinted>2020-09-16T17:38:00Z</cp:lastPrinted>
  <dcterms:modified xsi:type="dcterms:W3CDTF">2026-08-27T16:25:42Z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D6B97EA8DBDF4D24AC1DFD4591309131</vt:lpwstr>
  </property>
</Properties>
</file>