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8441"/>
      <w:bookmarkStart w:id="4" w:name="_Toc15396597"/>
      <w:bookmarkStart w:id="5" w:name="_Toc15377425"/>
      <w:r>
        <w:rPr>
          <w:rFonts w:ascii="黑体" w:eastAsia="黑体"/>
          <w:color w:val="000000"/>
          <w:sz w:val="72"/>
          <w:szCs w:val="72"/>
        </w:rPr>
        <w:t>201</w:t>
      </w:r>
      <w:r>
        <w:rPr>
          <w:rFonts w:ascii="黑体" w:eastAsia="黑体" w:hint="eastAsia"/>
          <w:color w:val="000000"/>
          <w:sz w:val="72"/>
          <w:szCs w:val="72"/>
        </w:rPr>
        <w:t>9</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96476"/>
      <w:bookmarkStart w:id="8" w:name="_Toc15378442"/>
      <w:bookmarkStart w:id="9" w:name="_Toc15377194"/>
      <w:bookmarkStart w:id="10" w:name="_Toc15377426"/>
      <w:r>
        <w:rPr>
          <w:rFonts w:ascii="方正小标宋简体" w:eastAsia="方正小标宋简体" w:hint="eastAsia"/>
          <w:color w:val="000000"/>
          <w:sz w:val="72"/>
          <w:szCs w:val="72"/>
        </w:rPr>
        <w:t>四川省阿坝州</w:t>
      </w:r>
      <w:bookmarkStart w:id="11" w:name="_Toc15306268"/>
      <w:bookmarkEnd w:id="0"/>
      <w:r>
        <w:rPr>
          <w:rFonts w:ascii="方正小标宋简体" w:eastAsia="方正小标宋简体" w:hint="eastAsia"/>
          <w:color w:val="000000"/>
          <w:sz w:val="72"/>
          <w:szCs w:val="72"/>
        </w:rPr>
        <w:t>九寨沟县监察委部门决算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eastAsia="仿宋_GB2312"/>
          <w:sz w:val="32"/>
          <w:szCs w:val="32"/>
        </w:rPr>
      </w:pPr>
      <w:r>
        <w:rPr>
          <w:rFonts w:ascii="仿宋_GB2312" w:eastAsia="仿宋_GB2312" w:cs="仿宋_GB2312" w:hint="eastAsia"/>
          <w:sz w:val="32"/>
          <w:szCs w:val="32"/>
        </w:rPr>
        <w:t xml:space="preserve">        保密审查情况：已审查，内容审定</w:t>
      </w:r>
    </w:p>
    <w:p>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部门主要负责人审签情况：已审签，同意对外公开</w:t>
      </w:r>
    </w:p>
    <w:p>
      <w:pPr>
        <w:widowControl/>
        <w:jc w:val="center"/>
        <w:rPr>
          <w:rFonts w:ascii="方正小标宋简体" w:eastAsia="方正小标宋简体"/>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p>
    <w:p>
      <w:pPr>
        <w:pStyle w:val="22"/>
        <w:tabs>
          <w:tab w:val="right" w:leader="dot" w:pos="8296"/>
        </w:tabs>
      </w:pPr>
      <w:r>
        <w:rPr>
          <w:rFonts w:hint="eastAsia"/>
        </w:rPr>
        <w:t>公开时间：2020年</w:t>
      </w:r>
      <w:r>
        <w:t>8</w:t>
      </w:r>
      <w:r>
        <w:rPr>
          <w:rFonts w:hint="eastAsia"/>
        </w:rPr>
        <w:t>月</w:t>
      </w:r>
      <w:r>
        <w:t>25</w:t>
      </w:r>
      <w:r>
        <w:rPr>
          <w:rFonts w:hint="eastAsia"/>
        </w:rPr>
        <w:t>日</w:t>
      </w:r>
    </w:p>
    <w:p/>
    <w:p>
      <w:pPr>
        <w:pStyle w:val="22"/>
        <w:tabs>
          <w:tab w:val="right" w:leader="dot" w:pos="8296"/>
        </w:tabs>
        <w:adjustRightInd w:val="0"/>
        <w:snapToGrid w:val="0"/>
        <w:spacing w:before="0" w:line="440" w:lineRule="exact"/>
        <w:jc w:val="left"/>
        <w:rPr>
          <w:rFonts w:cs="仿宋"/>
        </w:rPr>
      </w:pPr>
      <w:r>
        <w:rPr>
          <w:rFonts w:cs="仿宋" w:hint="eastAsia"/>
        </w:rPr>
        <w:t>第一部分 部门概况</w:t>
        <w:tab/>
        <w:t>4</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一、基本职能及主要工作</w:t>
        <w:tab/>
        <w:t>4</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二、机构设置</w:t>
        <w:tab/>
        <w:t>7</w:t>
      </w:r>
    </w:p>
    <w:p>
      <w:pPr>
        <w:pStyle w:val="22"/>
        <w:tabs>
          <w:tab w:val="right" w:leader="dot" w:pos="8296"/>
        </w:tabs>
        <w:adjustRightInd w:val="0"/>
        <w:snapToGrid w:val="0"/>
        <w:spacing w:before="0" w:line="440" w:lineRule="exact"/>
        <w:jc w:val="left"/>
        <w:rPr>
          <w:rFonts w:cs="仿宋"/>
        </w:rPr>
      </w:pPr>
      <w:r>
        <w:rPr>
          <w:rFonts w:cs="仿宋" w:hint="eastAsia"/>
        </w:rPr>
        <w:t>第二部分 年度部门决算情况说明</w:t>
        <w:tab/>
        <w:t>8</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一、收入支出决算总体情况说明</w:t>
        <w:tab/>
        <w:t>8</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二、收入决算情况说明</w:t>
        <w:tab/>
        <w:t>8</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三、支出决算情况说明</w:t>
        <w:tab/>
        <w:t>8</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四、财政拨款收入支出决算总体情况说明</w:t>
        <w:tab/>
        <w:t>8</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五、一般公共预算财政拨款支出决算情况说明</w:t>
        <w:tab/>
        <w:t>9</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六、一般公共预算财政拨款基本支出决算情况说明</w:t>
        <w:tab/>
        <w:t>10</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七、“三公”经费财政拨款支出决算情况说明</w:t>
        <w:tab/>
        <w:t>11</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八、政府性基金预算支出决算情况说明</w:t>
        <w:tab/>
        <w:t>12</w:t>
      </w:r>
    </w:p>
    <w:p>
      <w:pPr>
        <w:pStyle w:val="23"/>
        <w:tabs>
          <w:tab w:val="right" w:leader="dot" w:pos="8296"/>
        </w:tabs>
        <w:adjustRightInd w:val="0"/>
        <w:snapToGrid w:val="0"/>
        <w:spacing w:line="440" w:lineRule="exact"/>
        <w:ind w:leftChars="0" w:left="0"/>
        <w:jc w:val="left"/>
        <w:rPr>
          <w:rFonts w:ascii="仿宋" w:eastAsia="仿宋" w:cs="仿宋"/>
          <w:sz w:val="28"/>
          <w:szCs w:val="28"/>
        </w:rPr>
      </w:pPr>
      <w:r>
        <w:rPr>
          <w:rFonts w:ascii="仿宋" w:eastAsia="仿宋" w:cs="仿宋" w:hint="eastAsia"/>
          <w:sz w:val="28"/>
          <w:szCs w:val="28"/>
        </w:rPr>
        <w:t>九、 国有资本经营预算支出决算情况说明</w:t>
        <w:tab/>
        <w:t>12</w:t>
      </w:r>
    </w:p>
    <w:p>
      <w:pPr>
        <w:adjustRightInd w:val="0"/>
        <w:snapToGrid w:val="0"/>
        <w:spacing w:line="440" w:lineRule="exact"/>
        <w:jc w:val="left"/>
        <w:rPr>
          <w:rFonts w:ascii="仿宋" w:eastAsia="仿宋" w:cs="仿宋"/>
          <w:sz w:val="28"/>
          <w:szCs w:val="28"/>
        </w:rPr>
      </w:pPr>
      <w:r>
        <w:rPr>
          <w:rStyle w:val="26"/>
          <w:rFonts w:ascii="仿宋" w:eastAsia="仿宋" w:cs="仿宋" w:hint="eastAsia"/>
          <w:color w:val="000000"/>
          <w:sz w:val="28"/>
          <w:szCs w:val="28"/>
          <w:u w:val="none"/>
        </w:rPr>
        <w:t xml:space="preserve">   十、</w:t>
      </w:r>
      <w:r>
        <w:rPr>
          <w:rFonts w:ascii="仿宋" w:eastAsia="仿宋" w:cs="仿宋" w:hint="eastAsia"/>
          <w:sz w:val="28"/>
          <w:szCs w:val="28"/>
        </w:rPr>
        <w:t>其他重要事项的情况说明.............................12</w:t>
      </w:r>
    </w:p>
    <w:p>
      <w:pPr>
        <w:pStyle w:val="22"/>
        <w:tabs>
          <w:tab w:val="right" w:leader="dot" w:pos="8296"/>
        </w:tabs>
        <w:adjustRightInd w:val="0"/>
        <w:snapToGrid w:val="0"/>
        <w:spacing w:before="0" w:line="440" w:lineRule="exact"/>
        <w:jc w:val="left"/>
        <w:rPr>
          <w:rFonts w:cs="仿宋"/>
        </w:rPr>
      </w:pPr>
      <w:r>
        <w:rPr>
          <w:rFonts w:cs="仿宋" w:hint="eastAsia"/>
        </w:rPr>
        <w:t>第三部分 名词解释</w:t>
        <w:tab/>
        <w:t>14</w:t>
      </w:r>
    </w:p>
    <w:p>
      <w:pPr>
        <w:pStyle w:val="22"/>
        <w:tabs>
          <w:tab w:val="right" w:leader="dot" w:pos="8296"/>
        </w:tabs>
        <w:adjustRightInd w:val="0"/>
        <w:snapToGrid w:val="0"/>
        <w:spacing w:before="0" w:line="440" w:lineRule="exact"/>
        <w:jc w:val="left"/>
        <w:rPr>
          <w:rFonts w:cs="仿宋"/>
        </w:rPr>
      </w:pPr>
      <w:r>
        <w:rPr>
          <w:rFonts w:cs="仿宋" w:hint="eastAsia"/>
        </w:rPr>
        <w:t>第四部分 附件</w:t>
        <w:tab/>
        <w:t>17</w:t>
      </w:r>
    </w:p>
    <w:p>
      <w:pPr>
        <w:pStyle w:val="23"/>
        <w:tabs>
          <w:tab w:val="right" w:leader="dot" w:pos="8296"/>
        </w:tabs>
        <w:adjustRightInd w:val="0"/>
        <w:snapToGrid w:val="0"/>
        <w:spacing w:line="440" w:lineRule="exact"/>
        <w:jc w:val="left"/>
        <w:rPr>
          <w:rFonts w:ascii="仿宋" w:eastAsia="仿宋" w:cs="仿宋"/>
          <w:sz w:val="28"/>
          <w:szCs w:val="28"/>
        </w:rPr>
      </w:pPr>
      <w:r>
        <w:rPr>
          <w:rFonts w:ascii="仿宋" w:eastAsia="仿宋" w:cs="仿宋" w:hint="eastAsia"/>
          <w:sz w:val="28"/>
          <w:szCs w:val="28"/>
        </w:rPr>
        <w:t>附件1</w:t>
        <w:tab/>
        <w:t>17</w:t>
      </w:r>
    </w:p>
    <w:p>
      <w:pPr>
        <w:pStyle w:val="22"/>
        <w:tabs>
          <w:tab w:val="right" w:leader="dot" w:pos="8296"/>
        </w:tabs>
        <w:adjustRightInd w:val="0"/>
        <w:snapToGrid w:val="0"/>
        <w:spacing w:before="0" w:line="440" w:lineRule="exact"/>
        <w:jc w:val="left"/>
        <w:rPr>
          <w:rFonts w:cs="仿宋"/>
        </w:rPr>
      </w:pPr>
      <w:r>
        <w:rPr>
          <w:rFonts w:cs="仿宋" w:hint="eastAsia"/>
        </w:rPr>
        <w:t>第五部分 附表</w:t>
        <w:tab/>
      </w:r>
    </w:p>
    <w:p>
      <w:pPr>
        <w:pStyle w:val="22"/>
        <w:tabs>
          <w:tab w:val="right" w:leader="dot" w:pos="8296"/>
        </w:tabs>
        <w:adjustRightInd w:val="0"/>
        <w:snapToGrid w:val="0"/>
        <w:spacing w:before="0" w:line="440" w:lineRule="exact"/>
        <w:jc w:val="left"/>
        <w:rPr>
          <w:rFonts w:cs="仿宋"/>
        </w:rPr>
      </w:pPr>
      <w:r>
        <w:rPr>
          <w:rFonts w:cs="仿宋" w:hint="eastAsia"/>
        </w:rPr>
        <w:t>一、收入支出决算总表</w:t>
        <w:tab/>
      </w:r>
    </w:p>
    <w:p>
      <w:pPr>
        <w:pStyle w:val="22"/>
        <w:tabs>
          <w:tab w:val="right" w:leader="dot" w:pos="8296"/>
        </w:tabs>
        <w:adjustRightInd w:val="0"/>
        <w:snapToGrid w:val="0"/>
        <w:spacing w:before="0" w:line="440" w:lineRule="exact"/>
        <w:jc w:val="left"/>
        <w:rPr>
          <w:rFonts w:cs="仿宋"/>
        </w:rPr>
      </w:pPr>
      <w:r>
        <w:rPr>
          <w:rFonts w:cs="仿宋" w:hint="eastAsia"/>
        </w:rPr>
        <w:t>二、收入决算表</w:t>
        <w:tab/>
      </w:r>
    </w:p>
    <w:p>
      <w:pPr>
        <w:pStyle w:val="22"/>
        <w:tabs>
          <w:tab w:val="right" w:leader="dot" w:pos="8296"/>
        </w:tabs>
        <w:adjustRightInd w:val="0"/>
        <w:snapToGrid w:val="0"/>
        <w:spacing w:before="0" w:line="440" w:lineRule="exact"/>
        <w:jc w:val="left"/>
        <w:rPr>
          <w:rFonts w:cs="仿宋"/>
        </w:rPr>
      </w:pPr>
      <w:r>
        <w:rPr>
          <w:rFonts w:cs="仿宋" w:hint="eastAsia"/>
        </w:rPr>
        <w:t>三、支出决算表</w:t>
        <w:tab/>
      </w:r>
    </w:p>
    <w:p>
      <w:pPr>
        <w:pStyle w:val="22"/>
        <w:tabs>
          <w:tab w:val="right" w:leader="dot" w:pos="8296"/>
        </w:tabs>
        <w:adjustRightInd w:val="0"/>
        <w:snapToGrid w:val="0"/>
        <w:spacing w:before="0" w:line="440" w:lineRule="exact"/>
        <w:jc w:val="left"/>
        <w:rPr>
          <w:rFonts w:cs="仿宋"/>
        </w:rPr>
      </w:pPr>
      <w:r>
        <w:rPr>
          <w:rFonts w:cs="仿宋" w:hint="eastAsia"/>
        </w:rPr>
        <w:t>四、财政拨款收入支出决算总表</w:t>
        <w:tab/>
      </w:r>
    </w:p>
    <w:p>
      <w:pPr>
        <w:pStyle w:val="22"/>
        <w:tabs>
          <w:tab w:val="right" w:leader="dot" w:pos="8296"/>
        </w:tabs>
        <w:adjustRightInd w:val="0"/>
        <w:snapToGrid w:val="0"/>
        <w:spacing w:before="0" w:line="440" w:lineRule="exact"/>
        <w:jc w:val="left"/>
        <w:rPr>
          <w:rFonts w:cs="仿宋"/>
        </w:rPr>
      </w:pPr>
      <w:r>
        <w:rPr>
          <w:rFonts w:cs="仿宋" w:hint="eastAsia"/>
        </w:rPr>
        <w:t>五、财政拨款支出决算明细表</w:t>
        <w:tab/>
      </w:r>
    </w:p>
    <w:p>
      <w:pPr>
        <w:pStyle w:val="22"/>
        <w:tabs>
          <w:tab w:val="right" w:leader="dot" w:pos="8296"/>
        </w:tabs>
        <w:adjustRightInd w:val="0"/>
        <w:snapToGrid w:val="0"/>
        <w:spacing w:before="0" w:line="440" w:lineRule="exact"/>
        <w:jc w:val="left"/>
        <w:rPr>
          <w:rFonts w:cs="仿宋"/>
        </w:rPr>
      </w:pPr>
      <w:r>
        <w:rPr>
          <w:rFonts w:cs="仿宋" w:hint="eastAsia"/>
        </w:rPr>
        <w:t>六、一般公共预算财政拨款支出决算表</w:t>
        <w:tab/>
      </w:r>
    </w:p>
    <w:p>
      <w:pPr>
        <w:pStyle w:val="22"/>
        <w:tabs>
          <w:tab w:val="right" w:leader="dot" w:pos="8296"/>
        </w:tabs>
        <w:adjustRightInd w:val="0"/>
        <w:snapToGrid w:val="0"/>
        <w:spacing w:before="0" w:line="440" w:lineRule="exact"/>
        <w:jc w:val="left"/>
        <w:rPr>
          <w:rFonts w:cs="仿宋"/>
        </w:rPr>
      </w:pPr>
      <w:r>
        <w:rPr>
          <w:rFonts w:cs="仿宋" w:hint="eastAsia"/>
        </w:rPr>
        <w:t>七、一般公共预算财政拨款支出决算明细表</w:t>
        <w:tab/>
      </w:r>
    </w:p>
    <w:p>
      <w:pPr>
        <w:pStyle w:val="22"/>
        <w:tabs>
          <w:tab w:val="right" w:leader="dot" w:pos="8296"/>
        </w:tabs>
        <w:adjustRightInd w:val="0"/>
        <w:snapToGrid w:val="0"/>
        <w:spacing w:before="0" w:line="440" w:lineRule="exact"/>
        <w:jc w:val="left"/>
        <w:rPr>
          <w:rFonts w:cs="仿宋"/>
        </w:rPr>
      </w:pPr>
      <w:r>
        <w:rPr>
          <w:rFonts w:cs="仿宋" w:hint="eastAsia"/>
        </w:rPr>
        <w:t>八、一般公共预算财政拨款基本支出决算表</w:t>
        <w:tab/>
      </w:r>
    </w:p>
    <w:p>
      <w:pPr>
        <w:pStyle w:val="22"/>
        <w:tabs>
          <w:tab w:val="right" w:leader="dot" w:pos="8296"/>
        </w:tabs>
        <w:adjustRightInd w:val="0"/>
        <w:snapToGrid w:val="0"/>
        <w:spacing w:before="0" w:line="440" w:lineRule="exact"/>
        <w:jc w:val="left"/>
        <w:rPr>
          <w:rFonts w:cs="仿宋"/>
        </w:rPr>
      </w:pPr>
      <w:r>
        <w:rPr>
          <w:rFonts w:cs="仿宋" w:hint="eastAsia"/>
        </w:rPr>
        <w:t>九、一般公共预算财政拨款项目支出决算表</w:t>
        <w:tab/>
      </w:r>
    </w:p>
    <w:p>
      <w:pPr>
        <w:pStyle w:val="22"/>
        <w:tabs>
          <w:tab w:val="right" w:leader="dot" w:pos="8296"/>
        </w:tabs>
        <w:adjustRightInd w:val="0"/>
        <w:snapToGrid w:val="0"/>
        <w:spacing w:before="0" w:line="440" w:lineRule="exact"/>
        <w:jc w:val="left"/>
        <w:rPr>
          <w:rFonts w:cs="仿宋"/>
        </w:rPr>
      </w:pPr>
      <w:r>
        <w:rPr>
          <w:rFonts w:cs="仿宋" w:hint="eastAsia"/>
        </w:rPr>
        <w:t>十、一般公共预算财政拨款“三公”经费支出决算表</w:t>
        <w:tab/>
      </w:r>
    </w:p>
    <w:p>
      <w:pPr>
        <w:pStyle w:val="22"/>
        <w:tabs>
          <w:tab w:val="right" w:leader="dot" w:pos="8296"/>
        </w:tabs>
        <w:adjustRightInd w:val="0"/>
        <w:snapToGrid w:val="0"/>
        <w:spacing w:before="0" w:line="440" w:lineRule="exact"/>
        <w:jc w:val="left"/>
        <w:rPr>
          <w:rFonts w:cs="仿宋"/>
        </w:rPr>
      </w:pPr>
      <w:r>
        <w:rPr>
          <w:rFonts w:cs="仿宋" w:hint="eastAsia"/>
        </w:rPr>
        <w:t>十一、政府性基金预算财政拨款收入支出决算表</w:t>
        <w:tab/>
      </w:r>
    </w:p>
    <w:p>
      <w:pPr>
        <w:pStyle w:val="22"/>
        <w:tabs>
          <w:tab w:val="right" w:leader="dot" w:pos="8296"/>
        </w:tabs>
        <w:adjustRightInd w:val="0"/>
        <w:snapToGrid w:val="0"/>
        <w:spacing w:before="0" w:line="440" w:lineRule="exact"/>
        <w:jc w:val="left"/>
        <w:rPr>
          <w:rFonts w:cs="仿宋"/>
        </w:rPr>
      </w:pPr>
      <w:r>
        <w:rPr>
          <w:rFonts w:cs="仿宋" w:hint="eastAsia"/>
        </w:rPr>
        <w:t>十二、政府性基金预算财政拨款“三公”经费支出决算表</w:t>
        <w:tab/>
      </w:r>
    </w:p>
    <w:p>
      <w:pPr>
        <w:pStyle w:val="22"/>
        <w:tabs>
          <w:tab w:val="right" w:leader="dot" w:pos="8296"/>
        </w:tabs>
        <w:adjustRightInd w:val="0"/>
        <w:snapToGrid w:val="0"/>
        <w:spacing w:before="0" w:line="440" w:lineRule="exact"/>
        <w:jc w:val="left"/>
        <w:rPr>
          <w:rFonts w:cs="仿宋"/>
        </w:rPr>
      </w:pPr>
      <w:r>
        <w:rPr>
          <w:rFonts w:cs="仿宋" w:hint="eastAsia"/>
        </w:rPr>
        <w:t>十三、国有资本经营预算支出决算表</w:t>
        <w:tab/>
      </w:r>
    </w:p>
    <w:p>
      <w:pPr>
        <w:pStyle w:val="22"/>
        <w:tabs>
          <w:tab w:val="right" w:leader="dot" w:pos="8296"/>
        </w:tabs>
        <w:adjustRightInd w:val="0"/>
        <w:snapToGrid w:val="0"/>
        <w:spacing w:before="0" w:line="440" w:lineRule="exact"/>
        <w:jc w:val="left"/>
        <w:rPr>
          <w:rFonts w:cs="仿宋"/>
        </w:rPr>
      </w:pPr>
      <w:bookmarkStart w:id="12" w:name="_Toc15377196"/>
      <w:bookmarkStart w:id="13" w:name="_Toc15396599"/>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pStyle w:val="22"/>
        <w:tabs>
          <w:tab w:val="right" w:leader="dot" w:pos="8296"/>
        </w:tabs>
        <w:adjustRightInd w:val="0"/>
        <w:snapToGrid w:val="0"/>
        <w:spacing w:before="0" w:line="440" w:lineRule="exact"/>
        <w:jc w:val="left"/>
        <w:rPr>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Cs/>
          <w:kern w:val="44"/>
          <w:sz w:val="24"/>
        </w:rPr>
      </w:pPr>
      <w:r>
        <w:rPr>
          <w:rFonts w:ascii="仿宋" w:eastAsia="仿宋"/>
          <w:b/>
          <w:sz w:val="24"/>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rPr>
        <w:t>部门概况</w:t>
      </w:r>
      <w:bookmarkEnd w:id="12"/>
      <w:bookmarkEnd w:id="13"/>
    </w:p>
    <w:p>
      <w:pPr>
        <w:pStyle w:val="2"/>
        <w:rPr>
          <w:rStyle w:val="2Char"/>
          <w:rFonts w:ascii="仿宋" w:eastAsia="仿宋"/>
        </w:rPr>
      </w:pPr>
      <w:bookmarkStart w:id="14" w:name="_Toc15377197"/>
      <w:bookmarkStart w:id="15" w:name="_Toc15396600"/>
      <w:r>
        <w:rPr>
          <w:rFonts w:ascii="黑体" w:eastAsia="黑体" w:hint="eastAsia"/>
          <w:b w:val="0"/>
          <w:color w:val="000000"/>
        </w:rPr>
        <w:t>一、基</w:t>
      </w:r>
      <w:r>
        <w:rPr>
          <w:rStyle w:val="2Char"/>
          <w:rFonts w:ascii="黑体" w:eastAsia="黑体" w:hint="eastAsia"/>
        </w:rPr>
        <w:t>本职能及主要工作</w:t>
      </w:r>
      <w:bookmarkEnd w:id="14"/>
      <w:bookmarkEnd w:id="15"/>
    </w:p>
    <w:p>
      <w:pPr>
        <w:pStyle w:val="17"/>
        <w:adjustRightInd w:val="0"/>
        <w:snapToGrid w:val="0"/>
        <w:spacing w:beforeLines="0" w:before="93" w:line="600" w:lineRule="exact"/>
        <w:ind w:firstLineChars="209" w:firstLine="672"/>
        <w:outlineLvl w:val="2"/>
        <w:rPr>
          <w:rFonts w:ascii="仿宋" w:eastAsia="仿宋"/>
          <w:bCs/>
          <w:color w:val="000000"/>
          <w:sz w:val="32"/>
          <w:szCs w:val="32"/>
        </w:rPr>
      </w:pPr>
      <w:bookmarkStart w:id="16" w:name="_Toc15378445"/>
      <w:bookmarkStart w:id="17" w:name="_Toc15377198"/>
      <w:r>
        <w:rPr>
          <w:rFonts w:ascii="仿宋" w:eastAsia="仿宋" w:hint="eastAsia"/>
          <w:bCs/>
          <w:color w:val="000000"/>
          <w:sz w:val="32"/>
          <w:szCs w:val="32"/>
        </w:rPr>
        <w:t>（一）主要职能。</w:t>
      </w:r>
      <w:bookmarkEnd w:id="16"/>
      <w:bookmarkEnd w:id="17"/>
    </w:p>
    <w:p>
      <w:pPr>
        <w:spacing w:line="560" w:lineRule="exact"/>
        <w:ind w:firstLineChars="200" w:firstLine="640"/>
        <w:rPr>
          <w:rFonts w:eastAsia="仿宋_GB2312"/>
          <w:kern w:val="28"/>
          <w:szCs w:val="32"/>
        </w:rPr>
      </w:pPr>
      <w:r>
        <w:rPr>
          <w:rFonts w:ascii="仿宋" w:eastAsia="仿宋"/>
          <w:sz w:val="32"/>
          <w:szCs w:val="32"/>
        </w:rPr>
        <w:t>1.负责全县党的纪律检查工作。</w:t>
      </w:r>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kern w:val="2"/>
          <w:sz w:val="32"/>
          <w:szCs w:val="32"/>
        </w:rPr>
        <w:t>2.依照党的章程和其他党内法规履行监督、执纪、问责职责。负责经常对党员进行遵守纪律的教育。受理党员的控告和申诉。</w:t>
      </w:r>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kern w:val="2"/>
          <w:sz w:val="32"/>
          <w:szCs w:val="32"/>
        </w:rPr>
        <w:t>3.负责全县监察工作。</w:t>
      </w:r>
    </w:p>
    <w:p>
      <w:pPr>
        <w:spacing w:line="560" w:lineRule="exact"/>
        <w:ind w:firstLineChars="200" w:firstLine="640"/>
        <w:rPr>
          <w:rFonts w:ascii="仿宋" w:eastAsia="仿宋"/>
          <w:sz w:val="32"/>
          <w:szCs w:val="32"/>
        </w:rPr>
      </w:pPr>
      <w:r>
        <w:rPr>
          <w:rFonts w:ascii="仿宋" w:eastAsia="仿宋"/>
          <w:sz w:val="32"/>
          <w:szCs w:val="32"/>
        </w:rPr>
        <w:t>4.依照法律规定履行监督、调查、处置职责。推动开展廉政教育。</w:t>
      </w:r>
    </w:p>
    <w:p>
      <w:pPr>
        <w:spacing w:line="560" w:lineRule="exact"/>
        <w:ind w:firstLineChars="200" w:firstLine="640"/>
        <w:rPr>
          <w:rFonts w:ascii="仿宋" w:eastAsia="仿宋"/>
          <w:sz w:val="32"/>
          <w:szCs w:val="32"/>
        </w:rPr>
      </w:pPr>
      <w:r>
        <w:rPr>
          <w:rFonts w:ascii="仿宋" w:eastAsia="仿宋"/>
          <w:sz w:val="32"/>
          <w:szCs w:val="32"/>
        </w:rPr>
        <w:t>5.负责组织协调全面从严治党、党风廉政建设和反腐败宣传教育工作。</w:t>
      </w:r>
    </w:p>
    <w:p>
      <w:pPr>
        <w:spacing w:line="560" w:lineRule="exact"/>
        <w:ind w:firstLineChars="200" w:firstLine="640"/>
        <w:rPr>
          <w:rFonts w:ascii="仿宋" w:eastAsia="仿宋"/>
          <w:sz w:val="32"/>
          <w:szCs w:val="32"/>
        </w:rPr>
      </w:pPr>
      <w:r>
        <w:rPr>
          <w:rFonts w:ascii="仿宋" w:eastAsia="仿宋"/>
          <w:sz w:val="32"/>
          <w:szCs w:val="32"/>
        </w:rPr>
        <w:t>6.负责综合分析全面从严治党、党风廉政建设和反腐败工作情况。参与起草我县规范性文件。</w:t>
      </w:r>
    </w:p>
    <w:p>
      <w:pPr>
        <w:spacing w:line="560" w:lineRule="exact"/>
        <w:ind w:firstLineChars="200" w:firstLine="640"/>
        <w:rPr>
          <w:rFonts w:ascii="仿宋" w:eastAsia="仿宋"/>
          <w:sz w:val="32"/>
          <w:szCs w:val="32"/>
        </w:rPr>
      </w:pPr>
      <w:r>
        <w:rPr>
          <w:rFonts w:ascii="仿宋" w:eastAsia="仿宋"/>
          <w:sz w:val="32"/>
          <w:szCs w:val="32"/>
        </w:rPr>
        <w:t>7.在州纪委监委的领导下，加强对反腐败国际追逃追赃和防逃工作的组织协调，督促有关部门做好相关工作。</w:t>
      </w:r>
    </w:p>
    <w:p>
      <w:pPr>
        <w:spacing w:line="560" w:lineRule="exact"/>
        <w:ind w:firstLineChars="200" w:firstLine="640"/>
        <w:rPr>
          <w:rFonts w:ascii="仿宋" w:eastAsia="仿宋"/>
          <w:sz w:val="32"/>
          <w:szCs w:val="32"/>
        </w:rPr>
      </w:pPr>
      <w:r>
        <w:rPr>
          <w:rFonts w:ascii="仿宋" w:eastAsia="仿宋"/>
          <w:sz w:val="32"/>
          <w:szCs w:val="32"/>
        </w:rPr>
        <w:t>8.根据干部管理权限，负责纪检监察系统队伍建设和组织建设。</w:t>
      </w:r>
    </w:p>
    <w:p>
      <w:pPr>
        <w:spacing w:line="560" w:lineRule="exact"/>
        <w:ind w:firstLineChars="200" w:firstLine="640"/>
        <w:rPr>
          <w:rFonts w:ascii="仿宋" w:eastAsia="仿宋"/>
          <w:bCs/>
          <w:color w:val="000000"/>
          <w:sz w:val="32"/>
          <w:szCs w:val="32"/>
        </w:rPr>
      </w:pPr>
      <w:r>
        <w:rPr>
          <w:rFonts w:ascii="仿宋" w:eastAsia="仿宋"/>
          <w:sz w:val="32"/>
          <w:szCs w:val="32"/>
        </w:rPr>
        <w:t>9.完成县委和州纪委监委交办的其他任务。</w:t>
      </w:r>
    </w:p>
    <w:p>
      <w:pPr>
        <w:pStyle w:val="17"/>
        <w:adjustRightInd w:val="0"/>
        <w:snapToGrid w:val="0"/>
        <w:spacing w:beforeLines="0" w:before="93" w:line="600" w:lineRule="exact"/>
        <w:ind w:firstLineChars="209" w:firstLine="672"/>
        <w:outlineLvl w:val="2"/>
        <w:rPr>
          <w:rFonts w:ascii="仿宋" w:eastAsia="仿宋"/>
          <w:bCs/>
          <w:color w:val="000000"/>
          <w:sz w:val="32"/>
          <w:szCs w:val="32"/>
        </w:rPr>
      </w:pPr>
      <w:bookmarkStart w:id="18" w:name="_Toc15377199"/>
      <w:bookmarkStart w:id="19" w:name="_Toc15378446"/>
      <w:r>
        <w:rPr>
          <w:rFonts w:ascii="仿宋" w:eastAsia="仿宋" w:hint="eastAsia"/>
          <w:bCs/>
          <w:color w:val="000000"/>
          <w:sz w:val="32"/>
          <w:szCs w:val="32"/>
        </w:rPr>
        <w:t>（二）</w:t>
      </w:r>
      <w:r>
        <w:rPr>
          <w:rFonts w:ascii="仿宋" w:eastAsia="仿宋"/>
          <w:bCs/>
          <w:color w:val="000000"/>
          <w:sz w:val="32"/>
          <w:szCs w:val="32"/>
        </w:rPr>
        <w:t>201</w:t>
      </w:r>
      <w:r>
        <w:rPr>
          <w:rFonts w:ascii="仿宋" w:eastAsia="仿宋" w:hint="eastAsia"/>
          <w:bCs/>
          <w:color w:val="000000"/>
          <w:sz w:val="32"/>
          <w:szCs w:val="32"/>
        </w:rPr>
        <w:t>9年重点工作完成情况。</w:t>
      </w:r>
      <w:bookmarkEnd w:id="18"/>
      <w:bookmarkEnd w:id="19"/>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kern w:val="2"/>
          <w:sz w:val="32"/>
          <w:szCs w:val="32"/>
        </w:rPr>
        <w:t>深化“廉洁细胞”工程，</w:t>
      </w:r>
      <w:r>
        <w:rPr>
          <w:rFonts w:ascii="仿宋" w:eastAsia="仿宋" w:cs="Times New Roman" w:hint="eastAsia"/>
          <w:kern w:val="2"/>
          <w:sz w:val="32"/>
          <w:szCs w:val="32"/>
        </w:rPr>
        <w:t>努力确保阳光</w:t>
      </w:r>
      <w:r>
        <w:rPr>
          <w:rFonts w:ascii="仿宋" w:eastAsia="仿宋" w:cs="Times New Roman"/>
          <w:kern w:val="2"/>
          <w:sz w:val="32"/>
          <w:szCs w:val="32"/>
        </w:rPr>
        <w:t>重建</w:t>
      </w:r>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kern w:val="2"/>
          <w:sz w:val="32"/>
          <w:szCs w:val="32"/>
        </w:rPr>
        <w:t>一是责任体系健全。制定《九寨沟县“8·8”地震灾后恢复重建项目监督责任机制》，整合派驻部门纪检组力量，实行纪委班子成员承包项目、乡镇纪委联系监督的机制</w:t>
      </w:r>
      <w:r>
        <w:rPr>
          <w:rFonts w:ascii="仿宋" w:eastAsia="仿宋" w:cs="Times New Roman" w:hint="eastAsia"/>
          <w:kern w:val="2"/>
          <w:sz w:val="32"/>
          <w:szCs w:val="32"/>
        </w:rPr>
        <w:t>，</w:t>
      </w:r>
      <w:r>
        <w:rPr>
          <w:rFonts w:ascii="仿宋" w:eastAsia="仿宋" w:cs="Times New Roman"/>
          <w:kern w:val="2"/>
          <w:sz w:val="32"/>
          <w:szCs w:val="32"/>
        </w:rPr>
        <w:t>在村级层面，由乡镇纪委带动村务监督委员会开展监督</w:t>
      </w:r>
      <w:r>
        <w:rPr>
          <w:rFonts w:ascii="仿宋" w:eastAsia="仿宋" w:cs="Times New Roman" w:hint="eastAsia"/>
          <w:kern w:val="2"/>
          <w:sz w:val="32"/>
          <w:szCs w:val="32"/>
        </w:rPr>
        <w:t>，</w:t>
      </w:r>
      <w:r>
        <w:rPr>
          <w:rFonts w:ascii="仿宋" w:eastAsia="仿宋" w:cs="Times New Roman"/>
          <w:kern w:val="2"/>
          <w:sz w:val="32"/>
          <w:szCs w:val="32"/>
        </w:rPr>
        <w:t>切实解决主管部门行业监管不到位、监督力量分散、基层监督力量薄弱等问题</w:t>
      </w:r>
      <w:r>
        <w:rPr>
          <w:rFonts w:ascii="仿宋" w:eastAsia="仿宋" w:cs="Times New Roman" w:hint="eastAsia"/>
          <w:kern w:val="2"/>
          <w:sz w:val="32"/>
          <w:szCs w:val="32"/>
        </w:rPr>
        <w:t>，</w:t>
      </w:r>
      <w:r>
        <w:rPr>
          <w:rFonts w:ascii="仿宋" w:eastAsia="仿宋" w:cs="Times New Roman"/>
          <w:kern w:val="2"/>
          <w:sz w:val="32"/>
          <w:szCs w:val="32"/>
        </w:rPr>
        <w:t>充分发挥各方监督作用，形成县、乡、村同步监督的责任体系。二是监督检查见效。运用“四不两直”、联合组团、随机抽查等监督方式，围绕项目程序规范、工程建设进度、人员履职等重点，对生态文化旅游区、民族体育馆、小流域地质灾害综合治理等21个项目进行暗访督查，跟踪整改问题65个。督促行业部门履行职责，出具行政处罚书31份、罚款金额338.93万元。对27个项目要件办理，审计结（决）算、资金支付进度情况进行专项督办，提出督办意见10条。对推进项目过程中工作作风不实、措施不全、协调不力，以及未落实各级重建委决策部署的6个问题整改情况进行专项督办。三是专项整治有力。全面走访灾后恢复重建施工企业，深入排查部门</w:t>
      </w:r>
      <w:r>
        <w:rPr>
          <w:rFonts w:ascii="仿宋" w:eastAsia="仿宋" w:cs="Times New Roman" w:hint="eastAsia"/>
          <w:kern w:val="2"/>
          <w:sz w:val="32"/>
          <w:szCs w:val="32"/>
        </w:rPr>
        <w:t>“</w:t>
      </w:r>
      <w:r>
        <w:rPr>
          <w:rFonts w:ascii="仿宋" w:eastAsia="仿宋" w:cs="Times New Roman"/>
          <w:kern w:val="2"/>
          <w:sz w:val="32"/>
          <w:szCs w:val="32"/>
        </w:rPr>
        <w:t>吃拿卡要</w:t>
      </w:r>
      <w:r>
        <w:rPr>
          <w:rFonts w:ascii="仿宋" w:eastAsia="仿宋" w:cs="Times New Roman" w:hint="eastAsia"/>
          <w:kern w:val="2"/>
          <w:sz w:val="32"/>
          <w:szCs w:val="32"/>
        </w:rPr>
        <w:t>”“</w:t>
      </w:r>
      <w:r>
        <w:rPr>
          <w:rFonts w:ascii="仿宋" w:eastAsia="仿宋" w:cs="Times New Roman"/>
          <w:kern w:val="2"/>
          <w:sz w:val="32"/>
          <w:szCs w:val="32"/>
        </w:rPr>
        <w:t>请吃吃请</w:t>
      </w:r>
      <w:r>
        <w:rPr>
          <w:rFonts w:ascii="仿宋" w:eastAsia="仿宋" w:cs="Times New Roman" w:hint="eastAsia"/>
          <w:kern w:val="2"/>
          <w:sz w:val="32"/>
          <w:szCs w:val="32"/>
        </w:rPr>
        <w:t>”</w:t>
      </w:r>
      <w:r>
        <w:rPr>
          <w:rFonts w:ascii="仿宋" w:eastAsia="仿宋" w:cs="Times New Roman"/>
          <w:kern w:val="2"/>
          <w:sz w:val="32"/>
          <w:szCs w:val="32"/>
        </w:rPr>
        <w:t>等违反中央八项规定及其实施细则精神的问题。在每个施工项目设立监督举报违规收送红包礼金提醒公告，引导企业主动监督举报。</w:t>
      </w:r>
      <w:r>
        <w:rPr>
          <w:rFonts w:ascii="仿宋" w:eastAsia="仿宋" w:cs="Times New Roman" w:hint="eastAsia"/>
          <w:kern w:val="2"/>
          <w:sz w:val="32"/>
          <w:szCs w:val="32"/>
        </w:rPr>
        <w:t>截止目前</w:t>
      </w:r>
      <w:r>
        <w:rPr>
          <w:rFonts w:ascii="仿宋" w:eastAsia="仿宋" w:cs="Times New Roman"/>
          <w:kern w:val="2"/>
          <w:sz w:val="32"/>
          <w:szCs w:val="32"/>
        </w:rPr>
        <w:t>，立案查处灾后恢复重建中履职不到位案件</w:t>
      </w:r>
      <w:r>
        <w:rPr>
          <w:rFonts w:ascii="仿宋" w:eastAsia="仿宋" w:cs="Times New Roman" w:hint="eastAsia"/>
          <w:kern w:val="2"/>
          <w:sz w:val="32"/>
          <w:szCs w:val="32"/>
        </w:rPr>
        <w:t>6</w:t>
      </w:r>
      <w:r>
        <w:rPr>
          <w:rFonts w:ascii="仿宋" w:eastAsia="仿宋" w:cs="Times New Roman"/>
          <w:kern w:val="2"/>
          <w:sz w:val="32"/>
          <w:szCs w:val="32"/>
        </w:rPr>
        <w:t>件</w:t>
      </w:r>
      <w:r>
        <w:rPr>
          <w:rFonts w:ascii="仿宋" w:eastAsia="仿宋" w:cs="Times New Roman" w:hint="eastAsia"/>
          <w:kern w:val="2"/>
          <w:sz w:val="32"/>
          <w:szCs w:val="32"/>
        </w:rPr>
        <w:t>6</w:t>
      </w:r>
      <w:r>
        <w:rPr>
          <w:rFonts w:ascii="仿宋" w:eastAsia="仿宋" w:cs="Times New Roman"/>
          <w:kern w:val="2"/>
          <w:sz w:val="32"/>
          <w:szCs w:val="32"/>
        </w:rPr>
        <w:t>人，给予党纪处分</w:t>
      </w:r>
      <w:r>
        <w:rPr>
          <w:rFonts w:ascii="仿宋" w:eastAsia="仿宋" w:cs="Times New Roman" w:hint="eastAsia"/>
          <w:kern w:val="2"/>
          <w:sz w:val="32"/>
          <w:szCs w:val="32"/>
        </w:rPr>
        <w:t>6</w:t>
      </w:r>
      <w:r>
        <w:rPr>
          <w:rFonts w:ascii="仿宋" w:eastAsia="仿宋" w:cs="Times New Roman"/>
          <w:kern w:val="2"/>
          <w:sz w:val="32"/>
          <w:szCs w:val="32"/>
        </w:rPr>
        <w:t>人，诫勉谈话</w:t>
      </w:r>
      <w:r>
        <w:rPr>
          <w:rFonts w:ascii="仿宋" w:eastAsia="仿宋" w:cs="Times New Roman" w:hint="eastAsia"/>
          <w:kern w:val="2"/>
          <w:sz w:val="32"/>
          <w:szCs w:val="32"/>
        </w:rPr>
        <w:t>4</w:t>
      </w:r>
      <w:r>
        <w:rPr>
          <w:rFonts w:ascii="仿宋" w:eastAsia="仿宋" w:cs="Times New Roman"/>
          <w:kern w:val="2"/>
          <w:sz w:val="32"/>
          <w:szCs w:val="32"/>
        </w:rPr>
        <w:t>人，警示约谈</w:t>
      </w:r>
      <w:r>
        <w:rPr>
          <w:rFonts w:ascii="仿宋" w:eastAsia="仿宋" w:cs="Times New Roman" w:hint="eastAsia"/>
          <w:kern w:val="2"/>
          <w:sz w:val="32"/>
          <w:szCs w:val="32"/>
        </w:rPr>
        <w:t>18</w:t>
      </w:r>
      <w:r>
        <w:rPr>
          <w:rFonts w:ascii="仿宋" w:eastAsia="仿宋" w:cs="Times New Roman"/>
          <w:kern w:val="2"/>
          <w:sz w:val="32"/>
          <w:szCs w:val="32"/>
        </w:rPr>
        <w:t>人。</w:t>
      </w:r>
    </w:p>
    <w:p>
      <w:pPr>
        <w:pStyle w:val="24"/>
        <w:numPr>
          <w:ilvl w:val="0"/>
          <w:numId w:val="1"/>
        </w:numPr>
        <w:spacing w:before="0" w:beforeAutospacing="0" w:after="0" w:afterAutospacing="0" w:line="560" w:lineRule="exact"/>
        <w:ind w:left="0" w:firstLineChars="200" w:firstLine="640"/>
        <w:contextualSpacing/>
        <w:rPr>
          <w:rFonts w:ascii="仿宋" w:eastAsia="仿宋" w:cs="Times New Roman"/>
          <w:kern w:val="2"/>
          <w:sz w:val="32"/>
          <w:szCs w:val="32"/>
        </w:rPr>
      </w:pPr>
      <w:r>
        <w:rPr>
          <w:rFonts w:ascii="仿宋" w:eastAsia="仿宋" w:cs="Times New Roman" w:hint="eastAsia"/>
          <w:kern w:val="2"/>
          <w:sz w:val="32"/>
          <w:szCs w:val="32"/>
        </w:rPr>
        <w:t>用好“四种形态”，巩固反腐胜利成果</w:t>
      </w:r>
    </w:p>
    <w:p>
      <w:pPr>
        <w:pStyle w:val="24"/>
        <w:spacing w:before="0" w:beforeAutospacing="0" w:after="0" w:afterAutospacing="0" w:line="560" w:lineRule="exact"/>
        <w:contextualSpacing/>
        <w:rPr>
          <w:rFonts w:ascii="仿宋" w:eastAsia="仿宋" w:cs="Times New Roman"/>
          <w:kern w:val="2"/>
          <w:sz w:val="32"/>
          <w:szCs w:val="32"/>
        </w:rPr>
      </w:pPr>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kern w:val="2"/>
          <w:sz w:val="32"/>
          <w:szCs w:val="32"/>
        </w:rPr>
        <w:t>紧扣重点领域加强线索排查力度</w:t>
      </w:r>
      <w:r>
        <w:rPr>
          <w:rFonts w:ascii="仿宋" w:eastAsia="仿宋" w:cs="Times New Roman" w:hint="eastAsia"/>
          <w:kern w:val="2"/>
          <w:sz w:val="32"/>
          <w:szCs w:val="32"/>
        </w:rPr>
        <w:t>，准确把握习近平总书记提出的“三个区分开来”，正确运用“四种形态”转化，对苗头性、倾向性问题早发现、早提醒、早纠正。今年以来，共处置问题线索154件，给予组织处理45人，立案61件处分60人，免处1人。其中：给予党内警告处分18人、党内严重警告13人、留党察看5人、开除党籍1人。给予政务警告处分4人、记过8人、降级6人、撤职5人。</w:t>
      </w:r>
      <w:r>
        <w:rPr>
          <w:rFonts w:ascii="仿宋" w:eastAsia="仿宋" w:cs="Times New Roman"/>
          <w:kern w:val="2"/>
          <w:sz w:val="32"/>
          <w:szCs w:val="32"/>
        </w:rPr>
        <w:t>严格落实党纪政纪处分决定公开宣布“四个面对面”制度规定，落实公开宣布1</w:t>
      </w:r>
      <w:r>
        <w:rPr>
          <w:rFonts w:ascii="仿宋" w:eastAsia="仿宋" w:cs="Times New Roman" w:hint="eastAsia"/>
          <w:kern w:val="2"/>
          <w:sz w:val="32"/>
          <w:szCs w:val="32"/>
        </w:rPr>
        <w:t>9</w:t>
      </w:r>
      <w:r>
        <w:rPr>
          <w:rFonts w:ascii="仿宋" w:eastAsia="仿宋" w:cs="Times New Roman"/>
          <w:kern w:val="2"/>
          <w:sz w:val="32"/>
          <w:szCs w:val="32"/>
        </w:rPr>
        <w:t>次，警示教育干部</w:t>
      </w:r>
      <w:r>
        <w:rPr>
          <w:rFonts w:ascii="仿宋" w:eastAsia="仿宋" w:cs="Times New Roman" w:hint="eastAsia"/>
          <w:kern w:val="2"/>
          <w:sz w:val="32"/>
          <w:szCs w:val="32"/>
        </w:rPr>
        <w:t>519</w:t>
      </w:r>
      <w:r>
        <w:rPr>
          <w:rFonts w:ascii="仿宋" w:eastAsia="仿宋" w:cs="Times New Roman"/>
          <w:kern w:val="2"/>
          <w:sz w:val="32"/>
          <w:szCs w:val="32"/>
        </w:rPr>
        <w:t>人，运用反面典型案例开展警示教育，强化纪律审查向社会全面公开通报</w:t>
      </w:r>
      <w:r>
        <w:rPr>
          <w:rFonts w:ascii="仿宋" w:eastAsia="仿宋" w:cs="Times New Roman" w:hint="eastAsia"/>
          <w:kern w:val="2"/>
          <w:sz w:val="32"/>
          <w:szCs w:val="32"/>
        </w:rPr>
        <w:t>，</w:t>
      </w:r>
      <w:r>
        <w:rPr>
          <w:rFonts w:ascii="仿宋" w:eastAsia="仿宋" w:cs="Times New Roman"/>
          <w:kern w:val="2"/>
          <w:sz w:val="32"/>
          <w:szCs w:val="32"/>
        </w:rPr>
        <w:t>有针对性地开展系统内部专项整治，达到查处一案、警醒一线、教育一片的效果。</w:t>
      </w:r>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hint="eastAsia"/>
          <w:kern w:val="2"/>
          <w:sz w:val="32"/>
          <w:szCs w:val="32"/>
        </w:rPr>
        <w:t>六、实施“1+3”巡察模式，提升巡察工作成效</w:t>
      </w:r>
    </w:p>
    <w:p>
      <w:pPr>
        <w:pStyle w:val="24"/>
        <w:spacing w:before="0" w:beforeAutospacing="0" w:after="0" w:afterAutospacing="0" w:line="560" w:lineRule="exact"/>
        <w:ind w:firstLineChars="200" w:firstLine="640"/>
        <w:contextualSpacing/>
        <w:rPr>
          <w:rFonts w:ascii="仿宋" w:eastAsia="仿宋" w:cs="Times New Roman"/>
          <w:kern w:val="2"/>
          <w:sz w:val="32"/>
          <w:szCs w:val="32"/>
        </w:rPr>
      </w:pPr>
      <w:r>
        <w:rPr>
          <w:rFonts w:ascii="仿宋" w:eastAsia="仿宋" w:cs="Times New Roman" w:hint="eastAsia"/>
          <w:kern w:val="2"/>
          <w:sz w:val="32"/>
          <w:szCs w:val="32"/>
        </w:rPr>
        <w:t>开展了3轮常规巡察和1次专项巡察，现正在开展第五轮常规巡察，组建了3个巡察组对保华乡、永丰乡等3个乡镇和人大办、政府办等6个县级部门进行巡察，对草地乡、县教育局、马家乡等6个单位巡察整改“回头看”。开展四轮巡察工作以来，召开专题学习会5次，实地操作2次，举办专题培训班7期，参训人员共计203人次。印发《关于充实县委巡察人才库的通知》将部分村“第一书记”、优秀村干部充实到巡察人才库。共梳理出34份台账，累计发现问题309条，移交问题线索8条。强化对省委第一巡视组扶贫领域专项巡视反馈意见整改的监督检查，对标省委巡视反馈问题，进行专项督查，提升巡察工作成效。</w:t>
      </w:r>
    </w:p>
    <w:p>
      <w:pPr>
        <w:pStyle w:val="17"/>
        <w:adjustRightInd w:val="0"/>
        <w:snapToGrid w:val="0"/>
        <w:spacing w:beforeLines="0" w:before="93" w:line="600" w:lineRule="exact"/>
        <w:ind w:firstLineChars="209" w:firstLine="672"/>
        <w:outlineLvl w:val="2"/>
        <w:rPr>
          <w:rFonts w:ascii="仿宋" w:eastAsia="仿宋"/>
          <w:bCs/>
          <w:color w:val="000000"/>
          <w:sz w:val="32"/>
          <w:szCs w:val="32"/>
        </w:rPr>
      </w:pPr>
    </w:p>
    <w:p>
      <w:pPr>
        <w:pStyle w:val="2"/>
        <w:rPr>
          <w:rStyle w:val="2Char"/>
        </w:rPr>
      </w:pPr>
      <w:bookmarkStart w:id="20" w:name="_Toc15377200"/>
      <w:bookmarkStart w:id="21" w:name="_Toc15396601"/>
      <w:r>
        <w:rPr>
          <w:rFonts w:ascii="黑体" w:eastAsia="黑体" w:hint="eastAsia"/>
          <w:b w:val="0"/>
          <w:color w:val="000000"/>
        </w:rPr>
        <w:t>二、机</w:t>
      </w:r>
      <w:r>
        <w:rPr>
          <w:rStyle w:val="2Char"/>
          <w:rFonts w:ascii="黑体" w:eastAsia="黑体" w:hint="eastAsia"/>
        </w:rPr>
        <w:t>构设置</w:t>
      </w:r>
      <w:bookmarkEnd w:id="20"/>
      <w:bookmarkEnd w:id="21"/>
    </w:p>
    <w:p>
      <w:pPr>
        <w:spacing w:line="552" w:lineRule="exact"/>
        <w:ind w:firstLine="645"/>
        <w:textAlignment w:val="baseline"/>
        <w:rPr>
          <w:rFonts w:ascii="仿宋" w:eastAsia="仿宋"/>
          <w:sz w:val="32"/>
          <w:szCs w:val="32"/>
          <w:shd w:val="clear" w:color="auto" w:fill="FFFFFF"/>
        </w:rPr>
      </w:pPr>
      <w:r>
        <w:rPr>
          <w:rFonts w:ascii="仿宋" w:eastAsia="仿宋" w:hint="eastAsia"/>
          <w:sz w:val="32"/>
          <w:szCs w:val="32"/>
        </w:rPr>
        <w:t>县纪委监委机关属于一级预算单位,</w:t>
      </w:r>
      <w:r>
        <w:rPr>
          <w:rFonts w:ascii="仿宋" w:eastAsia="仿宋" w:hint="eastAsia"/>
          <w:sz w:val="32"/>
          <w:szCs w:val="32"/>
          <w:shd w:val="clear" w:color="auto" w:fill="FFFFFF"/>
        </w:rPr>
        <w:t>本单位机构数为4个，分别为：</w:t>
      </w:r>
      <w:r>
        <w:rPr>
          <w:rFonts w:ascii="仿宋" w:eastAsia="仿宋" w:hint="eastAsia"/>
          <w:sz w:val="32"/>
          <w:szCs w:val="32"/>
        </w:rPr>
        <w:t>县纪委</w:t>
      </w:r>
      <w:r>
        <w:rPr>
          <w:rFonts w:ascii="仿宋" w:eastAsia="仿宋" w:hint="eastAsia"/>
          <w:sz w:val="32"/>
          <w:szCs w:val="32"/>
          <w:shd w:val="clear" w:color="auto" w:fill="FFFFFF"/>
        </w:rPr>
        <w:t>监委（其中包括：</w:t>
      </w:r>
      <w:r>
        <w:rPr>
          <w:rFonts w:ascii="仿宋" w:eastAsia="仿宋"/>
          <w:sz w:val="32"/>
          <w:szCs w:val="32"/>
          <w:shd w:val="clear" w:color="auto" w:fill="FFFFFF"/>
        </w:rPr>
        <w:t>办公室</w:t>
      </w:r>
      <w:r>
        <w:rPr>
          <w:rFonts w:ascii="仿宋" w:eastAsia="仿宋" w:hint="eastAsia"/>
          <w:sz w:val="32"/>
          <w:szCs w:val="32"/>
          <w:shd w:val="clear" w:color="auto" w:fill="FFFFFF"/>
        </w:rPr>
        <w:t>、</w:t>
      </w:r>
      <w:r>
        <w:rPr>
          <w:rFonts w:ascii="仿宋" w:eastAsia="仿宋"/>
          <w:sz w:val="32"/>
          <w:szCs w:val="32"/>
          <w:shd w:val="clear" w:color="auto" w:fill="FFFFFF"/>
        </w:rPr>
        <w:t>党风政风监督室</w:t>
      </w:r>
      <w:r>
        <w:rPr>
          <w:rFonts w:ascii="仿宋" w:eastAsia="仿宋" w:hint="eastAsia"/>
          <w:sz w:val="32"/>
          <w:szCs w:val="32"/>
          <w:shd w:val="clear" w:color="auto" w:fill="FFFFFF"/>
        </w:rPr>
        <w:t>、</w:t>
      </w:r>
      <w:r>
        <w:rPr>
          <w:rFonts w:ascii="仿宋" w:eastAsia="仿宋"/>
          <w:sz w:val="32"/>
          <w:szCs w:val="32"/>
          <w:shd w:val="clear" w:color="auto" w:fill="FFFFFF"/>
        </w:rPr>
        <w:t>信访室</w:t>
      </w:r>
      <w:r>
        <w:rPr>
          <w:rFonts w:ascii="仿宋" w:eastAsia="仿宋" w:hint="eastAsia"/>
          <w:sz w:val="32"/>
          <w:szCs w:val="32"/>
          <w:shd w:val="clear" w:color="auto" w:fill="FFFFFF"/>
        </w:rPr>
        <w:t>、</w:t>
      </w:r>
      <w:r>
        <w:rPr>
          <w:rFonts w:ascii="仿宋" w:eastAsia="仿宋"/>
          <w:sz w:val="32"/>
          <w:szCs w:val="32"/>
          <w:shd w:val="clear" w:color="auto" w:fill="FFFFFF"/>
        </w:rPr>
        <w:t>案件监督管理室</w:t>
      </w:r>
      <w:r>
        <w:rPr>
          <w:rFonts w:ascii="仿宋" w:eastAsia="仿宋" w:hint="eastAsia"/>
          <w:sz w:val="32"/>
          <w:szCs w:val="32"/>
          <w:shd w:val="clear" w:color="auto" w:fill="FFFFFF"/>
        </w:rPr>
        <w:t>、</w:t>
      </w:r>
      <w:r>
        <w:rPr>
          <w:rFonts w:ascii="仿宋" w:eastAsia="仿宋"/>
          <w:sz w:val="32"/>
          <w:szCs w:val="32"/>
          <w:shd w:val="clear" w:color="auto" w:fill="FFFFFF"/>
        </w:rPr>
        <w:t>第一纪检监察室</w:t>
      </w:r>
      <w:r>
        <w:rPr>
          <w:rFonts w:ascii="仿宋" w:eastAsia="仿宋" w:hint="eastAsia"/>
          <w:sz w:val="32"/>
          <w:szCs w:val="32"/>
          <w:shd w:val="clear" w:color="auto" w:fill="FFFFFF"/>
        </w:rPr>
        <w:t>、</w:t>
      </w:r>
      <w:r>
        <w:rPr>
          <w:rFonts w:ascii="仿宋" w:eastAsia="仿宋"/>
          <w:sz w:val="32"/>
          <w:szCs w:val="32"/>
          <w:shd w:val="clear" w:color="auto" w:fill="FFFFFF"/>
        </w:rPr>
        <w:t>第二纪检监察室</w:t>
      </w:r>
      <w:r>
        <w:rPr>
          <w:rFonts w:ascii="仿宋" w:eastAsia="仿宋" w:hint="eastAsia"/>
          <w:sz w:val="32"/>
          <w:szCs w:val="32"/>
          <w:shd w:val="clear" w:color="auto" w:fill="FFFFFF"/>
        </w:rPr>
        <w:t>、</w:t>
      </w:r>
      <w:r>
        <w:rPr>
          <w:rFonts w:ascii="仿宋" w:eastAsia="仿宋"/>
          <w:sz w:val="32"/>
          <w:szCs w:val="32"/>
          <w:shd w:val="clear" w:color="auto" w:fill="FFFFFF"/>
        </w:rPr>
        <w:t>第三纪检监察室</w:t>
      </w:r>
      <w:r>
        <w:rPr>
          <w:rFonts w:ascii="仿宋" w:eastAsia="仿宋" w:hint="eastAsia"/>
          <w:sz w:val="32"/>
          <w:szCs w:val="32"/>
          <w:shd w:val="clear" w:color="auto" w:fill="FFFFFF"/>
        </w:rPr>
        <w:t>、</w:t>
      </w:r>
      <w:r>
        <w:rPr>
          <w:rFonts w:ascii="仿宋" w:eastAsia="仿宋"/>
          <w:sz w:val="32"/>
          <w:szCs w:val="32"/>
          <w:shd w:val="clear" w:color="auto" w:fill="FFFFFF"/>
        </w:rPr>
        <w:t>第四纪检监察室</w:t>
      </w:r>
      <w:r>
        <w:rPr>
          <w:rFonts w:ascii="仿宋" w:eastAsia="仿宋" w:hint="eastAsia"/>
          <w:sz w:val="32"/>
          <w:szCs w:val="32"/>
          <w:shd w:val="clear" w:color="auto" w:fill="FFFFFF"/>
        </w:rPr>
        <w:t>、</w:t>
      </w:r>
      <w:r>
        <w:rPr>
          <w:rFonts w:ascii="仿宋" w:eastAsia="仿宋"/>
          <w:sz w:val="32"/>
          <w:szCs w:val="32"/>
          <w:shd w:val="clear" w:color="auto" w:fill="FFFFFF"/>
        </w:rPr>
        <w:t>案件审理室</w:t>
      </w:r>
      <w:r>
        <w:rPr>
          <w:rFonts w:ascii="仿宋" w:eastAsia="仿宋" w:hint="eastAsia"/>
          <w:sz w:val="32"/>
          <w:szCs w:val="32"/>
          <w:shd w:val="clear" w:color="auto" w:fill="FFFFFF"/>
        </w:rPr>
        <w:t>）；县委巡察办（其中包括：县委第一巡察组、县委第二巡察组、县委第三巡察组）；县纪委监委派驻纪检监察组（其中包括：派驻县委办公室纪检监察组、派驻县政府办公室纪检监察组、派驻县教育局纪检监察组、派驻县自然资源局纪检监察组、派驻县委政法委纪检监察组）；宣传</w:t>
      </w:r>
      <w:r>
        <w:rPr>
          <w:rFonts w:ascii="仿宋" w:eastAsia="仿宋"/>
          <w:sz w:val="32"/>
          <w:szCs w:val="32"/>
          <w:shd w:val="clear" w:color="auto" w:fill="FFFFFF"/>
        </w:rPr>
        <w:t>教育信息中心</w:t>
      </w:r>
      <w:r>
        <w:rPr>
          <w:rFonts w:ascii="仿宋" w:eastAsia="仿宋" w:hint="eastAsia"/>
          <w:sz w:val="32"/>
          <w:szCs w:val="32"/>
          <w:shd w:val="clear" w:color="auto" w:fill="FFFFFF"/>
        </w:rPr>
        <w:t>。</w:t>
      </w:r>
    </w:p>
    <w:p>
      <w:pPr>
        <w:spacing w:line="552" w:lineRule="exact"/>
        <w:ind w:firstLine="645"/>
        <w:textAlignment w:val="baseline"/>
        <w:rPr>
          <w:rFonts w:eastAsia="仿宋"/>
        </w:rPr>
      </w:pPr>
      <w:r>
        <w:rPr>
          <w:rFonts w:ascii="仿宋" w:eastAsia="仿宋" w:hint="eastAsia"/>
          <w:sz w:val="32"/>
          <w:szCs w:val="32"/>
          <w:shd w:val="clear" w:color="auto" w:fill="FFFFFF"/>
        </w:rPr>
        <w:t>县纪委监委机关行政编制22名,行政工勤2名；县委巡察办行政编制9人；县纪委监委派驻机构行政编制18名；纪检监察宣传教育信息中心事业编制4人。</w:t>
      </w:r>
    </w:p>
    <w:p>
      <w:pPr>
        <w:pStyle w:val="16"/>
      </w:pPr>
    </w:p>
    <w:p>
      <w:pPr>
        <w:pStyle w:val="24"/>
        <w:spacing w:before="0" w:beforeAutospacing="0" w:after="0" w:afterAutospacing="0" w:line="560" w:lineRule="exact"/>
        <w:ind w:firstLineChars="200" w:firstLine="640"/>
        <w:contextualSpacing/>
        <w:rPr>
          <w:rFonts w:ascii="仿宋" w:eastAsia="仿宋"/>
          <w:sz w:val="32"/>
          <w:szCs w:val="32"/>
          <w:shd w:val="clear" w:color="auto" w:fill="FFFFFF"/>
        </w:rPr>
      </w:pPr>
    </w:p>
    <w:p>
      <w:pPr>
        <w:pStyle w:val="17"/>
        <w:adjustRightInd w:val="0"/>
        <w:snapToGrid w:val="0"/>
        <w:spacing w:beforeLines="0" w:before="93" w:line="600" w:lineRule="exact"/>
        <w:ind w:left="672"/>
        <w:outlineLvl w:val="2"/>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sz w:val="32"/>
          <w:szCs w:val="32"/>
        </w:rPr>
      </w:pPr>
    </w:p>
    <w:p>
      <w:pPr>
        <w:widowControl/>
        <w:jc w:val="left"/>
        <w:rPr>
          <w:rFonts w:ascii="仿宋" w:eastAsia="仿宋"/>
          <w:color w:val="000000"/>
          <w:kern w:val="0"/>
          <w:sz w:val="32"/>
          <w:szCs w:val="32"/>
        </w:rPr>
      </w:pPr>
      <w:r>
        <w:rPr>
          <w:rFonts w:ascii="仿宋" w:eastAsia="仿宋"/>
          <w:color w:val="000000"/>
          <w:sz w:val="32"/>
          <w:szCs w:val="32"/>
        </w:rPr>
        <w:br w:type="page"/>
      </w:r>
    </w:p>
    <w:p>
      <w:pPr>
        <w:pStyle w:val="1"/>
        <w:ind w:right="440"/>
        <w:jc w:val="right"/>
      </w:pPr>
      <w:bookmarkStart w:id="22" w:name="_Toc15377204"/>
      <w:bookmarkStart w:id="23" w:name="_Toc15396602"/>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2019年度部门决算情况说明</w:t>
      </w:r>
      <w:bookmarkEnd w:id="22"/>
      <w:bookmarkEnd w:id="23"/>
    </w:p>
    <w:p>
      <w:pPr>
        <w:pStyle w:val="31"/>
        <w:numPr>
          <w:ilvl w:val="0"/>
          <w:numId w:val="2"/>
        </w:numPr>
        <w:spacing w:line="600" w:lineRule="exact"/>
        <w:ind w:firstLineChars="0"/>
        <w:outlineLvl w:val="1"/>
        <w:rPr>
          <w:rStyle w:val="2Char"/>
          <w:rFonts w:ascii="黑体" w:eastAsia="黑体"/>
          <w:b w:val="0"/>
        </w:rPr>
      </w:pPr>
      <w:bookmarkStart w:id="24" w:name="_Toc15377205"/>
      <w:bookmarkStart w:id="25"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t>2019年度收、支总计分别为691.39万元、672.56万元。与2018年相比，收入总计增加334.21万元、支出总计增加123.47万元，收入总计增长93.57</w:t>
      </w:r>
      <w:r>
        <w:rPr>
          <w:rFonts w:ascii="仿宋" w:eastAsia="仿宋"/>
          <w:color w:val="000000"/>
          <w:sz w:val="32"/>
          <w:szCs w:val="32"/>
        </w:rPr>
        <w:t>%</w:t>
      </w:r>
      <w:r>
        <w:rPr>
          <w:rFonts w:ascii="仿宋" w:eastAsia="仿宋" w:hint="eastAsia"/>
          <w:color w:val="000000"/>
          <w:sz w:val="32"/>
          <w:szCs w:val="32"/>
        </w:rPr>
        <w:t>、支出总计增长22.49</w:t>
      </w:r>
      <w:r>
        <w:rPr>
          <w:rFonts w:ascii="仿宋" w:eastAsia="仿宋"/>
          <w:color w:val="000000"/>
          <w:sz w:val="32"/>
          <w:szCs w:val="32"/>
        </w:rPr>
        <w:t>%</w:t>
      </w:r>
      <w:r>
        <w:rPr>
          <w:rFonts w:ascii="仿宋" w:eastAsia="仿宋" w:hint="eastAsia"/>
          <w:color w:val="000000"/>
          <w:sz w:val="32"/>
          <w:szCs w:val="32"/>
        </w:rPr>
        <w:t>。本年收入增加的主要变动原因是2018年度年初财政拨款结转和结余资金较大，支出增加的主要变动原因是本年度人员增加导致人员经费及日常公用经费支出的增加。</w:t>
      </w:r>
    </w:p>
    <w:p>
      <w:pPr>
        <w:pStyle w:val="31"/>
        <w:numPr>
          <w:ilvl w:val="0"/>
          <w:numId w:val="2"/>
        </w:numPr>
        <w:spacing w:line="600" w:lineRule="exact"/>
        <w:ind w:firstLineChars="0"/>
        <w:outlineLvl w:val="1"/>
        <w:rPr>
          <w:rStyle w:val="2Char"/>
          <w:rFonts w:ascii="黑体" w:eastAsia="黑体"/>
          <w:b w:val="0"/>
        </w:rPr>
      </w:pPr>
      <w:bookmarkStart w:id="26" w:name="_Toc15396604"/>
      <w:bookmarkStart w:id="27" w:name="_Toc15377206"/>
      <w:r>
        <w:rPr>
          <w:rFonts w:ascii="黑体" w:eastAsia="黑体" w:hint="eastAsia"/>
          <w:color w:val="000000"/>
          <w:sz w:val="32"/>
          <w:szCs w:val="32"/>
        </w:rPr>
        <w:t>收</w:t>
      </w:r>
      <w:r>
        <w:rPr>
          <w:rStyle w:val="2Char"/>
          <w:rFonts w:ascii="黑体" w:eastAsia="黑体" w:hint="eastAsia"/>
          <w:b w:val="0"/>
        </w:rPr>
        <w:t>入决算情况说明</w:t>
      </w:r>
      <w:bookmarkEnd w:id="26"/>
      <w:bookmarkEnd w:id="27"/>
    </w:p>
    <w:p>
      <w:pPr>
        <w:spacing w:line="600" w:lineRule="exact"/>
        <w:ind w:firstLineChars="200" w:firstLine="640"/>
        <w:outlineLvl w:val="1"/>
        <w:rPr>
          <w:rFonts w:ascii="仿宋_GB2312" w:eastAsia="仿宋_GB2312"/>
          <w:color w:val="FF0000"/>
          <w:sz w:val="32"/>
          <w:szCs w:val="32"/>
        </w:rPr>
      </w:pPr>
      <w:r>
        <w:rPr>
          <w:rFonts w:ascii="仿宋" w:eastAsia="仿宋"/>
          <w:color w:val="000000"/>
          <w:sz w:val="32"/>
          <w:szCs w:val="32"/>
        </w:rPr>
        <w:t>201</w:t>
      </w:r>
      <w:r>
        <w:rPr>
          <w:rFonts w:ascii="仿宋" w:eastAsia="仿宋" w:hint="eastAsia"/>
          <w:color w:val="000000"/>
          <w:sz w:val="32"/>
          <w:szCs w:val="32"/>
        </w:rPr>
        <w:t>9年本年收入合计691.39万元，其中：一般公共预算财政拨款收入691.39万元，占100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；上级补助收入0万元，占0</w:t>
      </w:r>
      <w:r>
        <w:rPr>
          <w:rFonts w:ascii="仿宋" w:eastAsia="仿宋"/>
          <w:color w:val="000000"/>
          <w:sz w:val="32"/>
          <w:szCs w:val="32"/>
        </w:rPr>
        <w:t>%</w:t>
      </w:r>
      <w:r>
        <w:rPr>
          <w:rFonts w:ascii="仿宋" w:eastAsia="仿宋" w:hint="eastAsia"/>
          <w:color w:val="000000"/>
          <w:sz w:val="32"/>
          <w:szCs w:val="32"/>
        </w:rPr>
        <w:t>。</w:t>
      </w:r>
    </w:p>
    <w:p>
      <w:pPr>
        <w:pStyle w:val="31"/>
        <w:numPr>
          <w:ilvl w:val="0"/>
          <w:numId w:val="2"/>
        </w:numPr>
        <w:spacing w:line="600" w:lineRule="exact"/>
        <w:ind w:firstLineChars="0"/>
        <w:outlineLvl w:val="1"/>
        <w:rPr>
          <w:rStyle w:val="2Char"/>
          <w:rFonts w:ascii="黑体" w:eastAsia="黑体"/>
          <w:b w:val="0"/>
        </w:rPr>
      </w:pPr>
      <w:bookmarkStart w:id="28" w:name="_Toc15396605"/>
      <w:bookmarkStart w:id="29" w:name="_Toc15377207"/>
      <w:r>
        <w:rPr>
          <w:rFonts w:ascii="黑体" w:eastAsia="黑体" w:hint="eastAsia"/>
          <w:color w:val="000000"/>
          <w:sz w:val="32"/>
          <w:szCs w:val="32"/>
        </w:rPr>
        <w:t>支</w:t>
      </w:r>
      <w:r>
        <w:rPr>
          <w:rStyle w:val="2Char"/>
          <w:rFonts w:ascii="黑体" w:eastAsia="黑体" w:hint="eastAsia"/>
          <w:b w:val="0"/>
        </w:rPr>
        <w:t>出决算情况说明</w:t>
      </w:r>
      <w:bookmarkEnd w:id="28"/>
      <w:bookmarkEnd w:id="29"/>
    </w:p>
    <w:p>
      <w:pPr>
        <w:spacing w:line="600" w:lineRule="exact"/>
        <w:ind w:firstLineChars="200" w:firstLine="640"/>
        <w:outlineLvl w:val="1"/>
        <w:rPr>
          <w:rFonts w:ascii="仿宋_GB2312" w:eastAsia="仿宋_GB2312"/>
          <w:color w:val="FF0000"/>
          <w:sz w:val="32"/>
          <w:szCs w:val="32"/>
        </w:rPr>
      </w:pPr>
      <w:r>
        <w:rPr>
          <w:rFonts w:ascii="仿宋" w:eastAsia="仿宋"/>
          <w:color w:val="000000"/>
          <w:sz w:val="32"/>
          <w:szCs w:val="32"/>
        </w:rPr>
        <w:t>201</w:t>
      </w:r>
      <w:r>
        <w:rPr>
          <w:rFonts w:ascii="仿宋" w:eastAsia="仿宋" w:hint="eastAsia"/>
          <w:color w:val="000000"/>
          <w:sz w:val="32"/>
          <w:szCs w:val="32"/>
        </w:rPr>
        <w:t>9年本年支出合计672.56万元，其中：基本支出671.90万元，占99.9</w:t>
      </w:r>
      <w:r>
        <w:rPr>
          <w:rFonts w:ascii="仿宋" w:eastAsia="仿宋"/>
          <w:color w:val="000000"/>
          <w:sz w:val="32"/>
          <w:szCs w:val="32"/>
        </w:rPr>
        <w:t>%</w:t>
      </w:r>
      <w:r>
        <w:rPr>
          <w:rFonts w:ascii="仿宋" w:eastAsia="仿宋" w:hint="eastAsia"/>
          <w:color w:val="000000"/>
          <w:sz w:val="32"/>
          <w:szCs w:val="32"/>
        </w:rPr>
        <w:t>；项目支出0.66万元，占0.1</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pacing w:line="576" w:lineRule="exact"/>
        <w:ind w:firstLineChars="200"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9年财政拨款收、支总计分别为691.39万元、672.56万元。与</w:t>
      </w:r>
      <w:r>
        <w:rPr>
          <w:rFonts w:ascii="仿宋" w:eastAsia="仿宋"/>
          <w:color w:val="000000"/>
          <w:sz w:val="32"/>
          <w:szCs w:val="32"/>
        </w:rPr>
        <w:t>201</w:t>
      </w:r>
      <w:r>
        <w:rPr>
          <w:rFonts w:ascii="仿宋" w:eastAsia="仿宋" w:hint="eastAsia"/>
          <w:color w:val="000000"/>
          <w:sz w:val="32"/>
          <w:szCs w:val="32"/>
        </w:rPr>
        <w:t>8年相比，收入总计增加334.21万元、支出总计增加123.47万元，收入总计增长93.57</w:t>
      </w:r>
      <w:r>
        <w:rPr>
          <w:rFonts w:ascii="仿宋" w:eastAsia="仿宋"/>
          <w:color w:val="000000"/>
          <w:sz w:val="32"/>
          <w:szCs w:val="32"/>
        </w:rPr>
        <w:t>%</w:t>
      </w:r>
      <w:r>
        <w:rPr>
          <w:rFonts w:ascii="仿宋" w:eastAsia="仿宋" w:hint="eastAsia"/>
          <w:color w:val="000000"/>
          <w:sz w:val="32"/>
          <w:szCs w:val="32"/>
        </w:rPr>
        <w:t>、支出总计增长22.49</w:t>
      </w:r>
      <w:r>
        <w:rPr>
          <w:rFonts w:ascii="仿宋" w:eastAsia="仿宋"/>
          <w:color w:val="000000"/>
          <w:sz w:val="32"/>
          <w:szCs w:val="32"/>
        </w:rPr>
        <w:t>%</w:t>
      </w:r>
      <w:r>
        <w:rPr>
          <w:rFonts w:ascii="仿宋" w:eastAsia="仿宋" w:hint="eastAsia"/>
          <w:color w:val="000000"/>
          <w:sz w:val="32"/>
          <w:szCs w:val="32"/>
        </w:rPr>
        <w:t>。本年收入增加的主要变动原因是2018年度年初财政拨款结转和结余资金较大，支出增加的主要变动原因是本年度人员增加导致人员经费及日常公用经费支出的增加。</w:t>
      </w:r>
    </w:p>
    <w:p>
      <w:pPr>
        <w:spacing w:line="600" w:lineRule="exact"/>
        <w:ind w:firstLineChars="200" w:firstLine="640"/>
        <w:outlineLvl w:val="1"/>
        <w:rPr>
          <w:rStyle w:val="2Char"/>
          <w:rFonts w:ascii="黑体" w:eastAsia="黑体"/>
          <w:b w:val="0"/>
        </w:rPr>
      </w:pPr>
      <w:bookmarkStart w:id="32" w:name="_Toc15396607"/>
      <w:bookmarkStart w:id="33"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pacing w:line="600" w:lineRule="exact"/>
        <w:ind w:firstLineChars="200"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9年一般公共预算财政拨款支出672.56万元，占本年支出合计的100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w:t>
      </w:r>
      <w:r>
        <w:rPr>
          <w:rFonts w:ascii="仿宋" w:eastAsia="仿宋" w:hint="eastAsia"/>
          <w:color w:val="000000"/>
          <w:sz w:val="32"/>
          <w:szCs w:val="32"/>
        </w:rPr>
        <w:t>8年相比，一般公共预算财政拨款增加334.21万元，增长93.57</w:t>
      </w:r>
      <w:r>
        <w:rPr>
          <w:rFonts w:ascii="仿宋" w:eastAsia="仿宋"/>
          <w:color w:val="000000"/>
          <w:sz w:val="32"/>
          <w:szCs w:val="32"/>
        </w:rPr>
        <w:t>%</w:t>
      </w:r>
      <w:r>
        <w:rPr>
          <w:rFonts w:ascii="仿宋" w:eastAsia="仿宋" w:hint="eastAsia"/>
          <w:color w:val="000000"/>
          <w:sz w:val="32"/>
          <w:szCs w:val="32"/>
        </w:rPr>
        <w:t>。本年收入增加的主要变动原因是2018年度年初财政拨款结转和结余资金较大。</w:t>
      </w:r>
    </w:p>
    <w:p>
      <w:pPr>
        <w:spacing w:line="600" w:lineRule="exact"/>
        <w:ind w:firstLineChars="200" w:firstLine="640"/>
        <w:outlineLvl w:val="2"/>
        <w:rPr>
          <w:rFonts w:ascii="仿宋" w:eastAsia="仿宋"/>
          <w:b/>
          <w:color w:val="000000"/>
          <w:sz w:val="32"/>
          <w:szCs w:val="32"/>
        </w:rPr>
      </w:pP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Chars="200"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9年一般公共预算财政拨款支出672.56万元，主要用于以下方面</w:t>
      </w:r>
      <w:r>
        <w:rPr>
          <w:rFonts w:ascii="仿宋" w:eastAsia="仿宋"/>
          <w:color w:val="000000"/>
          <w:sz w:val="32"/>
          <w:szCs w:val="32"/>
        </w:rPr>
        <w:t>:</w:t>
      </w:r>
      <w:r>
        <w:rPr>
          <w:rFonts w:ascii="仿宋" w:eastAsia="仿宋" w:hint="eastAsia"/>
          <w:color w:val="000000"/>
          <w:sz w:val="32"/>
          <w:szCs w:val="32"/>
        </w:rPr>
        <w:t>一般公共服务（201）支出538.37万元，占80.05</w:t>
      </w:r>
      <w:r>
        <w:rPr>
          <w:rFonts w:ascii="仿宋" w:eastAsia="仿宋"/>
          <w:color w:val="000000"/>
          <w:sz w:val="32"/>
          <w:szCs w:val="32"/>
        </w:rPr>
        <w:t>%</w:t>
      </w:r>
      <w:r>
        <w:rPr>
          <w:rFonts w:ascii="仿宋" w:eastAsia="仿宋" w:hint="eastAsia"/>
          <w:color w:val="000000"/>
          <w:sz w:val="32"/>
          <w:szCs w:val="32"/>
        </w:rPr>
        <w:t>；社会保障和就业（208）支出50.21万元，占7.47</w:t>
      </w:r>
      <w:r>
        <w:rPr>
          <w:rFonts w:ascii="仿宋" w:eastAsia="仿宋"/>
          <w:color w:val="000000"/>
          <w:sz w:val="32"/>
          <w:szCs w:val="32"/>
        </w:rPr>
        <w:t>%</w:t>
      </w:r>
      <w:r>
        <w:rPr>
          <w:rFonts w:ascii="仿宋" w:eastAsia="仿宋" w:hint="eastAsia"/>
          <w:color w:val="000000"/>
          <w:sz w:val="32"/>
          <w:szCs w:val="32"/>
        </w:rPr>
        <w:t>；卫生健康支出（210）36.90万元，占5.48</w:t>
      </w:r>
      <w:r>
        <w:rPr>
          <w:rFonts w:ascii="仿宋" w:eastAsia="仿宋"/>
          <w:color w:val="000000"/>
          <w:sz w:val="32"/>
          <w:szCs w:val="32"/>
        </w:rPr>
        <w:t>%</w:t>
      </w:r>
      <w:r>
        <w:rPr>
          <w:rFonts w:ascii="仿宋" w:eastAsia="仿宋" w:hint="eastAsia"/>
          <w:color w:val="000000"/>
          <w:sz w:val="32"/>
          <w:szCs w:val="32"/>
        </w:rPr>
        <w:t>；住房保障支出（221）47.08万元，占7</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outlineLvl w:val="2"/>
        <w:rPr>
          <w:rFonts w:ascii="仿宋" w:eastAsia="仿宋"/>
          <w:b/>
          <w:color w:val="000000"/>
          <w:sz w:val="32"/>
          <w:szCs w:val="32"/>
        </w:rPr>
      </w:pPr>
      <w:bookmarkStart w:id="36" w:name="_Toc15377212"/>
      <w:r>
        <w:rPr>
          <w:rFonts w:ascii="仿宋" w:eastAsia="仿宋" w:hint="eastAsia"/>
          <w:b/>
          <w:color w:val="000000"/>
          <w:sz w:val="32"/>
          <w:szCs w:val="32"/>
        </w:rPr>
        <w:t>（三）一般公共预算财政拨款支出决算具体情况</w:t>
      </w:r>
      <w:bookmarkEnd w:id="36"/>
    </w:p>
    <w:p>
      <w:pPr>
        <w:spacing w:line="600" w:lineRule="exact"/>
        <w:ind w:firstLineChars="200" w:firstLine="640"/>
        <w:rPr>
          <w:rFonts w:ascii="仿宋" w:eastAsia="仿宋"/>
          <w:color w:val="000000"/>
          <w:sz w:val="32"/>
          <w:szCs w:val="32"/>
        </w:rPr>
      </w:pPr>
      <w:bookmarkStart w:id="37" w:name="_Toc15377213"/>
      <w:bookmarkStart w:id="38" w:name="_Toc15377444"/>
      <w:bookmarkStart w:id="39" w:name="_Toc15378460"/>
      <w:r>
        <w:rPr>
          <w:rFonts w:ascii="仿宋" w:eastAsia="仿宋" w:hint="eastAsia"/>
          <w:color w:val="000000"/>
          <w:sz w:val="32"/>
          <w:szCs w:val="32"/>
        </w:rPr>
        <w:t>2019年般公共预算支出决算数为672.56万元，完成预算100</w:t>
      </w:r>
      <w:r>
        <w:rPr>
          <w:rFonts w:ascii="仿宋" w:eastAsia="仿宋"/>
          <w:color w:val="000000"/>
          <w:sz w:val="32"/>
          <w:szCs w:val="32"/>
        </w:rPr>
        <w:t>%</w:t>
      </w:r>
      <w:r>
        <w:rPr>
          <w:rFonts w:ascii="仿宋" w:eastAsia="仿宋" w:hint="eastAsia"/>
          <w:color w:val="000000"/>
          <w:sz w:val="32"/>
          <w:szCs w:val="32"/>
        </w:rPr>
        <w:t>。其中：</w:t>
      </w:r>
      <w:bookmarkEnd w:id="37"/>
      <w:bookmarkEnd w:id="38"/>
      <w:bookmarkEnd w:id="39"/>
    </w:p>
    <w:p>
      <w:pPr>
        <w:numPr>
          <w:ilvl w:val="0"/>
          <w:numId w:val="3"/>
        </w:numPr>
        <w:spacing w:line="600" w:lineRule="exact"/>
        <w:ind w:left="0" w:firstLineChars="200" w:firstLine="640"/>
        <w:rPr>
          <w:rFonts w:ascii="仿宋" w:eastAsia="仿宋"/>
          <w:b/>
          <w:color w:val="000000"/>
          <w:sz w:val="32"/>
          <w:szCs w:val="32"/>
        </w:rPr>
      </w:pPr>
      <w:r>
        <w:rPr>
          <w:rStyle w:val="25"/>
          <w:rFonts w:ascii="仿宋" w:eastAsia="仿宋" w:hint="eastAsia"/>
          <w:bCs/>
          <w:color w:val="000000"/>
          <w:sz w:val="32"/>
          <w:szCs w:val="32"/>
        </w:rPr>
        <w:t>一般公共服务（201）纪检监察事务（11）行政运行（01）</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支出决算为538.37万元，完成预算100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rPr>
          <w:rStyle w:val="25"/>
          <w:rFonts w:ascii="仿宋" w:eastAsia="仿宋"/>
          <w:b w:val="0"/>
          <w:bCs/>
          <w:color w:val="000000"/>
          <w:sz w:val="32"/>
          <w:szCs w:val="32"/>
        </w:rPr>
      </w:pPr>
      <w:r>
        <w:rPr>
          <w:rStyle w:val="25"/>
          <w:rFonts w:ascii="仿宋" w:eastAsia="仿宋" w:hint="eastAsia"/>
          <w:bCs/>
          <w:color w:val="000000"/>
          <w:sz w:val="32"/>
          <w:szCs w:val="32"/>
        </w:rPr>
        <w:t xml:space="preserve">    2.社会保障和就业（208）行政事业单位离退休（05）机关事业单位基本养老保险缴费支出（05）</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支出决算为43.58万元，完成预算100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Style w:val="25"/>
          <w:rFonts w:ascii="仿宋" w:eastAsia="仿宋" w:hint="eastAsia"/>
          <w:bCs/>
          <w:color w:val="000000"/>
          <w:sz w:val="32"/>
          <w:szCs w:val="32"/>
        </w:rPr>
        <w:t>社会保障和就业（208）行政事业单位离退休（05）机关事业单位职业年金缴费支出（06）</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支出决算为5.97万元，完成预算100%。</w:t>
      </w:r>
    </w:p>
    <w:p>
      <w:pPr>
        <w:spacing w:line="600" w:lineRule="exact"/>
        <w:rPr>
          <w:rStyle w:val="25"/>
          <w:rFonts w:ascii="仿宋" w:eastAsia="仿宋"/>
          <w:b w:val="0"/>
          <w:bCs/>
          <w:color w:val="000000"/>
          <w:sz w:val="32"/>
          <w:szCs w:val="32"/>
        </w:rPr>
      </w:pPr>
      <w:r>
        <w:rPr>
          <w:rStyle w:val="25"/>
          <w:rFonts w:ascii="仿宋" w:eastAsia="仿宋" w:hint="eastAsia"/>
          <w:bCs/>
          <w:color w:val="000000"/>
          <w:sz w:val="32"/>
          <w:szCs w:val="32"/>
        </w:rPr>
        <w:t xml:space="preserve">    3.社会保障和就业（208）抚恤（08）死亡抚恤（01）:</w:t>
      </w:r>
      <w:r>
        <w:rPr>
          <w:rStyle w:val="25"/>
          <w:rFonts w:ascii="仿宋" w:eastAsia="仿宋" w:hint="eastAsia"/>
          <w:b w:val="0"/>
          <w:bCs/>
          <w:color w:val="000000"/>
          <w:sz w:val="32"/>
          <w:szCs w:val="32"/>
        </w:rPr>
        <w:t>支出决算为0.66万元，完成预算100%。</w:t>
      </w:r>
    </w:p>
    <w:p>
      <w:pPr>
        <w:spacing w:line="600" w:lineRule="exact"/>
        <w:rPr>
          <w:rStyle w:val="25"/>
          <w:rFonts w:ascii="仿宋" w:eastAsia="仿宋"/>
          <w:b w:val="0"/>
          <w:bCs/>
          <w:color w:val="000000"/>
          <w:sz w:val="32"/>
          <w:szCs w:val="32"/>
        </w:rPr>
      </w:pPr>
      <w:r>
        <w:rPr>
          <w:rStyle w:val="25"/>
          <w:rFonts w:ascii="仿宋" w:eastAsia="仿宋" w:hint="eastAsia"/>
          <w:bCs/>
          <w:color w:val="000000"/>
          <w:sz w:val="32"/>
          <w:szCs w:val="32"/>
        </w:rPr>
        <w:t xml:space="preserve">    4.卫生健康（210）卫生健康管理事务（01）其他卫生健康管理事务支出（99）:</w:t>
      </w:r>
      <w:r>
        <w:rPr>
          <w:rStyle w:val="25"/>
          <w:rFonts w:ascii="仿宋" w:eastAsia="仿宋" w:hint="eastAsia"/>
          <w:b w:val="0"/>
          <w:bCs/>
          <w:color w:val="000000"/>
          <w:sz w:val="32"/>
          <w:szCs w:val="32"/>
        </w:rPr>
        <w:t>支出决算为3.72万元，完成预算100%。</w:t>
      </w:r>
    </w:p>
    <w:p>
      <w:pPr>
        <w:spacing w:line="600" w:lineRule="exact"/>
        <w:rPr>
          <w:rStyle w:val="25"/>
          <w:rFonts w:ascii="仿宋" w:eastAsia="仿宋"/>
          <w:b w:val="0"/>
          <w:bCs/>
          <w:color w:val="000000"/>
          <w:sz w:val="32"/>
          <w:szCs w:val="32"/>
        </w:rPr>
      </w:pPr>
      <w:r>
        <w:rPr>
          <w:rStyle w:val="25"/>
          <w:rFonts w:ascii="仿宋" w:eastAsia="仿宋" w:hint="eastAsia"/>
          <w:bCs/>
          <w:color w:val="000000"/>
          <w:sz w:val="32"/>
          <w:szCs w:val="32"/>
        </w:rPr>
        <w:t xml:space="preserve">    5.卫生健康（210）行政事业单位医疗（11）行政单位医疗（01）:</w:t>
      </w:r>
      <w:r>
        <w:rPr>
          <w:rStyle w:val="25"/>
          <w:rFonts w:ascii="仿宋" w:eastAsia="仿宋" w:hint="eastAsia"/>
          <w:b w:val="0"/>
          <w:bCs/>
          <w:color w:val="000000"/>
          <w:sz w:val="32"/>
          <w:szCs w:val="32"/>
        </w:rPr>
        <w:t>支出决算为26.73万元，完成预算100%；</w:t>
      </w:r>
      <w:r>
        <w:rPr>
          <w:rStyle w:val="25"/>
          <w:rFonts w:ascii="仿宋" w:eastAsia="仿宋" w:hint="eastAsia"/>
          <w:bCs/>
          <w:color w:val="000000"/>
          <w:sz w:val="32"/>
          <w:szCs w:val="32"/>
        </w:rPr>
        <w:t>卫生健康（210）行政事业单位医疗（11）公务员医疗补助（03）:</w:t>
      </w:r>
      <w:r>
        <w:rPr>
          <w:rStyle w:val="25"/>
          <w:rFonts w:ascii="仿宋" w:eastAsia="仿宋" w:hint="eastAsia"/>
          <w:b w:val="0"/>
          <w:bCs/>
          <w:color w:val="000000"/>
          <w:sz w:val="32"/>
          <w:szCs w:val="32"/>
        </w:rPr>
        <w:t>支出决算为5.30万元，完成预算100%；</w:t>
      </w:r>
      <w:r>
        <w:rPr>
          <w:rStyle w:val="25"/>
          <w:rFonts w:ascii="仿宋" w:eastAsia="仿宋" w:hint="eastAsia"/>
          <w:bCs/>
          <w:color w:val="000000"/>
          <w:sz w:val="32"/>
          <w:szCs w:val="32"/>
        </w:rPr>
        <w:t>卫生健康（210）行政事业单位医疗（11）其他行政事业单位医疗支出（99）:</w:t>
      </w:r>
      <w:r>
        <w:rPr>
          <w:rStyle w:val="25"/>
          <w:rFonts w:ascii="仿宋" w:eastAsia="仿宋" w:hint="eastAsia"/>
          <w:b w:val="0"/>
          <w:bCs/>
          <w:color w:val="000000"/>
          <w:sz w:val="32"/>
          <w:szCs w:val="32"/>
        </w:rPr>
        <w:t>支出决算为1.15万元，完成预算100%。</w:t>
      </w:r>
    </w:p>
    <w:p>
      <w:pPr>
        <w:spacing w:line="576" w:lineRule="exact"/>
        <w:ind w:firstLineChars="200" w:firstLine="640"/>
        <w:rPr>
          <w:rFonts w:ascii="仿宋" w:eastAsia="仿宋"/>
          <w:b/>
          <w:color w:val="000000"/>
          <w:sz w:val="32"/>
          <w:szCs w:val="32"/>
        </w:rPr>
      </w:pPr>
      <w:r>
        <w:rPr>
          <w:rFonts w:ascii="仿宋" w:eastAsia="仿宋" w:hint="eastAsia"/>
          <w:b/>
          <w:color w:val="000000"/>
          <w:sz w:val="32"/>
          <w:szCs w:val="32"/>
        </w:rPr>
        <w:t xml:space="preserve"> 6.</w:t>
      </w:r>
      <w:r>
        <w:rPr>
          <w:rStyle w:val="25"/>
          <w:rFonts w:ascii="仿宋" w:eastAsia="仿宋" w:hint="eastAsia"/>
          <w:bCs/>
          <w:color w:val="000000"/>
          <w:sz w:val="32"/>
          <w:szCs w:val="32"/>
        </w:rPr>
        <w:t>住房保障（</w:t>
      </w:r>
      <w:r>
        <w:rPr>
          <w:rStyle w:val="25"/>
          <w:rFonts w:ascii="仿宋" w:eastAsia="仿宋"/>
          <w:bCs/>
          <w:color w:val="000000"/>
          <w:sz w:val="32"/>
          <w:szCs w:val="32"/>
        </w:rPr>
        <w:t>221</w:t>
      </w:r>
      <w:r>
        <w:rPr>
          <w:rStyle w:val="25"/>
          <w:rFonts w:ascii="仿宋" w:eastAsia="仿宋" w:hint="eastAsia"/>
          <w:bCs/>
          <w:color w:val="000000"/>
          <w:sz w:val="32"/>
          <w:szCs w:val="32"/>
        </w:rPr>
        <w:t>）住房改革支出（</w:t>
      </w:r>
      <w:r>
        <w:rPr>
          <w:rStyle w:val="25"/>
          <w:rFonts w:ascii="仿宋" w:eastAsia="仿宋"/>
          <w:bCs/>
          <w:color w:val="000000"/>
          <w:sz w:val="32"/>
          <w:szCs w:val="32"/>
        </w:rPr>
        <w:t>02</w:t>
      </w:r>
      <w:r>
        <w:rPr>
          <w:rStyle w:val="25"/>
          <w:rFonts w:ascii="仿宋" w:eastAsia="仿宋" w:hint="eastAsia"/>
          <w:bCs/>
          <w:color w:val="000000"/>
          <w:sz w:val="32"/>
          <w:szCs w:val="32"/>
        </w:rPr>
        <w:t>）住房公积金（</w:t>
      </w:r>
      <w:r>
        <w:rPr>
          <w:rStyle w:val="25"/>
          <w:rFonts w:ascii="仿宋" w:eastAsia="仿宋"/>
          <w:bCs/>
          <w:color w:val="000000"/>
          <w:sz w:val="32"/>
          <w:szCs w:val="32"/>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支出决算为47.08万元，完成预算</w:t>
      </w:r>
      <w:r>
        <w:rPr>
          <w:rStyle w:val="25"/>
          <w:rFonts w:ascii="仿宋" w:eastAsia="仿宋"/>
          <w:b w:val="0"/>
          <w:bCs/>
          <w:color w:val="000000"/>
          <w:sz w:val="32"/>
          <w:szCs w:val="32"/>
        </w:rPr>
        <w:t>100%</w:t>
      </w:r>
      <w:r>
        <w:rPr>
          <w:rStyle w:val="25"/>
          <w:rFonts w:ascii="仿宋" w:eastAsia="仿宋" w:hint="eastAsia"/>
          <w:b w:val="0"/>
          <w:bCs/>
          <w:color w:val="000000"/>
          <w:sz w:val="32"/>
          <w:szCs w:val="32"/>
        </w:rPr>
        <w:t>。</w:t>
      </w:r>
    </w:p>
    <w:p>
      <w:pPr>
        <w:tabs>
          <w:tab w:val="right" w:pos="8306"/>
        </w:tabs>
        <w:spacing w:line="600" w:lineRule="exact"/>
        <w:outlineLvl w:val="1"/>
        <w:rPr>
          <w:rStyle w:val="2Char"/>
        </w:rPr>
      </w:pPr>
      <w:bookmarkStart w:id="40" w:name="_Toc15396608"/>
      <w:bookmarkStart w:id="41" w:name="_Toc15377214"/>
      <w:r>
        <w:rPr>
          <w:rFonts w:ascii="黑体" w:eastAsia="黑体" w:hint="eastAsia"/>
          <w:color w:val="000000"/>
          <w:sz w:val="32"/>
          <w:szCs w:val="32"/>
        </w:rPr>
        <w:t xml:space="preserve">    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9年一般公共预算财政拨款基本支出671.90万元，其中：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536.10万元，主要包括：基本工资、津贴补贴、奖金、机关事业单位基本养老保险缴费、职业年金缴费、其他社会保障缴费、其他工资福利支出、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日常公用经费135.80万元，主要包括：办公费、印刷费、邮电费、差旅费、租赁费、会议费、培训费、劳务费、工会经费、福利费、公务用车运行维护费、其他交通费、其他商品和服务支出、办公设备购置等。</w:t>
      </w:r>
    </w:p>
    <w:p>
      <w:pPr>
        <w:spacing w:line="600" w:lineRule="exact"/>
        <w:ind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b/>
          <w:color w:val="FF0000"/>
          <w:sz w:val="32"/>
          <w:szCs w:val="32"/>
        </w:rPr>
      </w:pPr>
      <w:r>
        <w:rPr>
          <w:rFonts w:ascii="仿宋" w:eastAsia="仿宋"/>
          <w:color w:val="000000"/>
          <w:sz w:val="32"/>
          <w:szCs w:val="32"/>
        </w:rPr>
        <w:t>201</w:t>
      </w:r>
      <w:r>
        <w:rPr>
          <w:rFonts w:ascii="仿宋" w:eastAsia="仿宋" w:hint="eastAsia"/>
          <w:color w:val="000000"/>
          <w:sz w:val="32"/>
          <w:szCs w:val="32"/>
        </w:rPr>
        <w:t>9年“三公”经费财政拨款支出决算为24.29万元，完成预算100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9年“三公”经费财政拨款支出决算中，因公出国（境）费支出决算0万元，占0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；公务用车购置及运行维护费支出决算24.29万元，占100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24.29万元,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8年减少31.05万元，下降56.11</w:t>
      </w:r>
      <w:r>
        <w:rPr>
          <w:rFonts w:ascii="仿宋_GB2312" w:eastAsia="仿宋_GB2312"/>
          <w:color w:val="000000"/>
          <w:sz w:val="32"/>
          <w:szCs w:val="32"/>
        </w:rPr>
        <w:t>%</w:t>
      </w:r>
      <w:r>
        <w:rPr>
          <w:rFonts w:ascii="仿宋_GB2312" w:eastAsia="仿宋_GB2312" w:hint="eastAsia"/>
          <w:color w:val="000000"/>
          <w:sz w:val="32"/>
          <w:szCs w:val="32"/>
        </w:rPr>
        <w:t>。主要原因是2019年度无大案要案查处公务用车运行维护费。</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0万元。全年按规定更新购置公务用车0辆，金额0</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月底，单位共有公务用车4辆，其中：轿车2辆、小型客车1辆、越野车1辆。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24.29万元。主要用于</w:t>
      </w:r>
      <w:r>
        <w:rPr>
          <w:rFonts w:ascii="仿宋" w:eastAsia="仿宋" w:hint="eastAsia"/>
          <w:color w:val="000000"/>
          <w:sz w:val="32"/>
          <w:szCs w:val="32"/>
        </w:rPr>
        <w:t>监督检查和办信办案</w:t>
      </w:r>
      <w:r>
        <w:rPr>
          <w:rFonts w:ascii="仿宋_GB2312" w:eastAsia="仿宋_GB2312" w:hint="eastAsia"/>
          <w:color w:val="000000"/>
          <w:sz w:val="32"/>
          <w:szCs w:val="32"/>
        </w:rPr>
        <w:t>等所需的公务用车燃料费、维修费、过路过桥费、保险费等支出。</w:t>
      </w:r>
    </w:p>
    <w:p>
      <w:pPr>
        <w:numPr>
          <w:ilvl w:val="0"/>
          <w:numId w:val="4"/>
        </w:numPr>
        <w:spacing w:line="600" w:lineRule="exact"/>
        <w:ind w:left="0" w:firstLine="640"/>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pPr>
        <w:numPr>
          <w:ilvl w:val="0"/>
          <w:numId w:val="4"/>
        </w:numPr>
        <w:spacing w:line="600" w:lineRule="exact"/>
        <w:ind w:left="0"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rPr>
        <w:t>0</w:t>
      </w:r>
      <w:r>
        <w:rPr>
          <w:rFonts w:ascii="仿宋_GB2312" w:eastAsia="仿宋_GB2312" w:hint="eastAsia"/>
          <w:color w:val="000000"/>
          <w:sz w:val="32"/>
          <w:szCs w:val="32"/>
        </w:rPr>
        <w:t>万元。国内公务接待0批次，0人次（不包括陪同人员），共计支出0万元。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46" w:name="_Toc15396610"/>
      <w:bookmarkStart w:id="47" w:name="_Toc15377218"/>
      <w:r>
        <w:rPr>
          <w:rFonts w:ascii="仿宋_GB2312" w:eastAsia="仿宋_GB2312" w:hint="eastAsia"/>
          <w:color w:val="000000"/>
          <w:sz w:val="32"/>
          <w:szCs w:val="32"/>
        </w:rPr>
        <w:t>。</w:t>
      </w:r>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9年政府性基金预算拨款支出万元。</w:t>
      </w:r>
    </w:p>
    <w:p>
      <w:pPr>
        <w:numPr>
          <w:ilvl w:val="0"/>
          <w:numId w:val="5"/>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w:t>
      </w:r>
    </w:p>
    <w:p>
      <w:pPr>
        <w:spacing w:line="600" w:lineRule="exact"/>
        <w:ind w:firstLineChars="250" w:firstLine="800"/>
        <w:outlineLvl w:val="1"/>
        <w:rPr>
          <w:rStyle w:val="2Char"/>
          <w:rFonts w:ascii="黑体" w:eastAsia="黑体"/>
        </w:rPr>
      </w:pPr>
      <w:bookmarkStart w:id="50" w:name="_Toc15396612"/>
      <w:bookmarkStart w:id="51"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Pr>
          <w:rFonts w:ascii="仿宋" w:eastAsia="仿宋" w:hint="eastAsia"/>
          <w:color w:val="000000"/>
          <w:sz w:val="32"/>
          <w:szCs w:val="32"/>
        </w:rPr>
        <w:t>县纪委监委</w:t>
      </w:r>
      <w:r>
        <w:rPr>
          <w:rFonts w:ascii="仿宋_GB2312" w:eastAsia="仿宋_GB2312" w:hint="eastAsia"/>
          <w:color w:val="000000"/>
          <w:sz w:val="32"/>
          <w:szCs w:val="32"/>
        </w:rPr>
        <w:t>机关运行经费支出135.80万元，比</w:t>
      </w:r>
      <w:r>
        <w:rPr>
          <w:rFonts w:ascii="仿宋_GB2312" w:eastAsia="仿宋_GB2312"/>
          <w:color w:val="000000"/>
          <w:sz w:val="32"/>
          <w:szCs w:val="32"/>
        </w:rPr>
        <w:t>201</w:t>
      </w:r>
      <w:r>
        <w:rPr>
          <w:rFonts w:ascii="仿宋_GB2312" w:eastAsia="仿宋_GB2312" w:hint="eastAsia"/>
          <w:color w:val="000000"/>
          <w:sz w:val="32"/>
          <w:szCs w:val="32"/>
        </w:rPr>
        <w:t>8年增加41.94万元，增长44.68</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int="eastAsia"/>
          <w:color w:val="000000"/>
          <w:sz w:val="32"/>
          <w:szCs w:val="32"/>
        </w:rPr>
        <w:t>本年度人员增加导致机关运行经费支出的增加。</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Pr>
          <w:rFonts w:ascii="仿宋" w:eastAsia="仿宋" w:hint="eastAsia"/>
          <w:color w:val="000000"/>
          <w:sz w:val="32"/>
          <w:szCs w:val="32"/>
        </w:rPr>
        <w:t>县纪委监委</w:t>
      </w:r>
      <w:r>
        <w:rPr>
          <w:rFonts w:ascii="仿宋_GB2312" w:eastAsia="仿宋_GB2312" w:hint="eastAsia"/>
          <w:color w:val="000000"/>
          <w:sz w:val="32"/>
          <w:szCs w:val="32"/>
        </w:rPr>
        <w:t>政府采购支出总额8.05万元，其中：政府采购货物支出8.05万元。主要用于采购办县委巡察办公用设备。授予中小企业合同金额8.05万元，占政府采购支出总额的100</w:t>
      </w:r>
      <w:r>
        <w:rPr>
          <w:rFonts w:ascii="仿宋_GB2312" w:eastAsia="仿宋_GB2312"/>
          <w:color w:val="000000"/>
          <w:sz w:val="32"/>
          <w:szCs w:val="32"/>
        </w:rPr>
        <w:t>%</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4"/>
      <w:r>
        <w:rPr>
          <w:rFonts w:ascii="仿宋" w:eastAsia="仿宋" w:hint="eastAsia"/>
          <w:b/>
          <w:color w:val="000000"/>
          <w:sz w:val="32"/>
          <w:szCs w:val="32"/>
        </w:rPr>
        <w:t>（三）国有资产占有使用情况</w:t>
      </w:r>
      <w:bookmarkEnd w:id="54"/>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 w:eastAsia="仿宋" w:hint="eastAsia"/>
          <w:color w:val="000000"/>
          <w:sz w:val="32"/>
          <w:szCs w:val="32"/>
        </w:rPr>
        <w:t>县纪委监委</w:t>
      </w:r>
      <w:r>
        <w:rPr>
          <w:rFonts w:ascii="仿宋_GB2312" w:eastAsia="仿宋_GB2312" w:hint="eastAsia"/>
          <w:color w:val="000000"/>
          <w:sz w:val="32"/>
          <w:szCs w:val="32"/>
        </w:rPr>
        <w:t>共有车辆4辆，其中：主要领导干部用车0辆、机要通信用车0辆、应急保障用车0辆、其他用车0辆，</w:t>
      </w:r>
      <w:r>
        <w:rPr>
          <w:rFonts w:ascii="仿宋" w:eastAsia="仿宋" w:hint="eastAsia"/>
          <w:color w:val="000000"/>
          <w:sz w:val="32"/>
          <w:szCs w:val="32"/>
        </w:rPr>
        <w:t>一般执法执勤用车4辆，</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万元以上通用设备1台，单价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（四）预算绩效管理情况。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本部门按要求对2019年部门整体支出开展绩效自评，从评价情况来看</w:t>
      </w:r>
      <w:r>
        <w:rPr>
          <w:rFonts w:ascii="仿宋_GB2312" w:eastAsia="仿宋_GB2312" w:hint="eastAsia"/>
          <w:color w:val="000000"/>
          <w:sz w:val="32"/>
          <w:szCs w:val="32"/>
        </w:rPr>
        <w:t>整体评价等次为优秀，绩效自评综合得分为98分。从整体支出绩效定性目标及实施计划来看完成情况：一是完成了</w:t>
      </w:r>
      <w:r>
        <w:rPr>
          <w:rFonts w:ascii="仿宋_GB2312" w:eastAsia="仿宋_GB2312"/>
          <w:color w:val="000000"/>
          <w:sz w:val="32"/>
          <w:szCs w:val="32"/>
        </w:rPr>
        <w:t>2018</w:t>
      </w:r>
      <w:r>
        <w:rPr>
          <w:rFonts w:ascii="仿宋_GB2312" w:eastAsia="仿宋_GB2312" w:hint="eastAsia"/>
          <w:color w:val="000000"/>
          <w:sz w:val="32"/>
          <w:szCs w:val="32"/>
        </w:rPr>
        <w:t>年工作计划；二是完成</w:t>
      </w:r>
      <w:r>
        <w:rPr>
          <w:rFonts w:ascii="仿宋_GB2312" w:eastAsia="仿宋_GB2312"/>
          <w:color w:val="000000"/>
          <w:sz w:val="32"/>
          <w:szCs w:val="32"/>
        </w:rPr>
        <w:t>2018</w:t>
      </w:r>
      <w:r>
        <w:rPr>
          <w:rFonts w:ascii="仿宋_GB2312" w:eastAsia="仿宋_GB2312" w:hint="eastAsia"/>
          <w:color w:val="000000"/>
          <w:sz w:val="32"/>
          <w:szCs w:val="32"/>
        </w:rPr>
        <w:t>年预算支出；三是完成</w:t>
      </w:r>
      <w:r>
        <w:rPr>
          <w:rFonts w:ascii="仿宋_GB2312" w:eastAsia="仿宋_GB2312"/>
          <w:color w:val="000000"/>
          <w:sz w:val="32"/>
          <w:szCs w:val="32"/>
        </w:rPr>
        <w:t>2018</w:t>
      </w:r>
      <w:r>
        <w:rPr>
          <w:rFonts w:ascii="仿宋_GB2312" w:eastAsia="仿宋_GB2312" w:hint="eastAsia"/>
          <w:color w:val="000000"/>
          <w:sz w:val="32"/>
          <w:szCs w:val="32"/>
        </w:rPr>
        <w:t>年其他任务。</w:t>
      </w:r>
    </w:p>
    <w:p>
      <w:pPr>
        <w:spacing w:line="580" w:lineRule="exact"/>
        <w:ind w:left="630"/>
        <w:rPr>
          <w:rFonts w:ascii="仿宋_GB2312" w:eastAsia="仿宋_GB2312" w:cs="仿宋_GB2312"/>
          <w:sz w:val="32"/>
          <w:szCs w:val="32"/>
        </w:rPr>
      </w:pP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本部门按要求对2019年部门整体支出绩效评价情况开展自评，《九寨沟县监察委员会2019年部门整体支出绩效评价自评报告》见附件（附件1）。</w:t>
      </w:r>
    </w:p>
    <w:p>
      <w:pPr>
        <w:pStyle w:val="16"/>
        <w:rPr>
          <w:rFonts w:ascii="仿宋_GB2312" w:eastAsia="仿宋_GB2312" w:cs="仿宋_GB2312"/>
          <w:sz w:val="32"/>
          <w:szCs w:val="32"/>
        </w:rPr>
      </w:pPr>
    </w:p>
    <w:p>
      <w:pPr>
        <w:pStyle w:val="16"/>
        <w:rPr>
          <w:rFonts w:ascii="仿宋_GB2312" w:eastAsia="仿宋_GB2312" w:cs="仿宋_GB2312"/>
          <w:sz w:val="32"/>
          <w:szCs w:val="32"/>
        </w:rPr>
      </w:pPr>
    </w:p>
    <w:p>
      <w:pPr>
        <w:pStyle w:val="16"/>
        <w:rPr>
          <w:rFonts w:ascii="仿宋_GB2312" w:eastAsia="仿宋_GB2312" w:cs="仿宋_GB2312"/>
          <w:sz w:val="32"/>
          <w:szCs w:val="32"/>
        </w:rPr>
      </w:pPr>
    </w:p>
    <w:p>
      <w:pPr>
        <w:pStyle w:val="16"/>
        <w:rPr>
          <w:rFonts w:ascii="仿宋_GB2312" w:eastAsia="仿宋_GB2312" w:cs="仿宋_GB2312"/>
          <w:sz w:val="32"/>
          <w:szCs w:val="32"/>
        </w:rPr>
      </w:pPr>
    </w:p>
    <w:p>
      <w:pPr>
        <w:pStyle w:val="16"/>
        <w:rPr>
          <w:rFonts w:ascii="仿宋_GB2312" w:eastAsia="仿宋_GB2312" w:cs="仿宋_GB2312"/>
          <w:sz w:val="32"/>
          <w:szCs w:val="32"/>
        </w:rPr>
      </w:pPr>
    </w:p>
    <w:p>
      <w:pPr>
        <w:pStyle w:val="16"/>
        <w:ind w:leftChars="0" w:left="0" w:firstLineChars="0" w:firstLine="0"/>
        <w:rPr>
          <w:rFonts w:ascii="仿宋_GB2312" w:eastAsia="仿宋_GB2312" w:cs="仿宋_GB2312"/>
          <w:sz w:val="32"/>
          <w:szCs w:val="32"/>
        </w:rPr>
      </w:pPr>
    </w:p>
    <w:p>
      <w:pPr>
        <w:pStyle w:val="16"/>
        <w:ind w:leftChars="0" w:left="0" w:firstLineChars="0" w:firstLine="0"/>
        <w:rPr>
          <w:rFonts w:asci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left="0" w:firstLineChars="150" w:firstLine="660"/>
        <w:jc w:val="center"/>
        <w:outlineLvl w:val="0"/>
        <w:rPr>
          <w:rStyle w:val="1Char"/>
          <w:rFonts w:ascii="黑体" w:eastAsia="黑体"/>
          <w:b w:val="0"/>
        </w:rPr>
      </w:pPr>
      <w:bookmarkStart w:id="55" w:name="_Toc15396613"/>
      <w:bookmarkStart w:id="56" w:name="_Toc15377225"/>
      <w:r>
        <w:rPr>
          <w:rFonts w:ascii="黑体" w:eastAsia="黑体" w:hint="eastAsia"/>
          <w:color w:val="000000"/>
          <w:sz w:val="44"/>
          <w:szCs w:val="44"/>
        </w:rPr>
        <w:t>名</w:t>
      </w:r>
      <w:r>
        <w:rPr>
          <w:rStyle w:val="1Char"/>
          <w:rFonts w:ascii="黑体" w:eastAsia="黑体" w:hint="eastAsia"/>
          <w:b w:val="0"/>
        </w:rPr>
        <w:t>词解释</w:t>
      </w:r>
      <w:bookmarkEnd w:id="55"/>
      <w:bookmarkEnd w:id="56"/>
    </w:p>
    <w:p>
      <w:pPr>
        <w:spacing w:line="600" w:lineRule="exact"/>
        <w:jc w:val="left"/>
        <w:rPr>
          <w:rFonts w:ascii="宋体"/>
          <w:b/>
          <w:color w:val="000000"/>
          <w:sz w:val="44"/>
          <w:szCs w:val="44"/>
        </w:rPr>
      </w:pPr>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3.年末结转和结余：指单位按有关规定结转到下年或以后年度继续使用的资金。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一般公共服务（201）纪检监察事务（11）行政运行（01）：指反映行政单位的基本支出。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社会保障和就业（208）行政事业单位离退休（05）机关事业单位基本养老保险缴费支出（05）：指</w:t>
      </w:r>
      <w:r>
        <w:rPr>
          <w:rFonts w:ascii="仿宋" w:eastAsia="仿宋" w:hint="eastAsia"/>
          <w:color w:val="000000"/>
          <w:sz w:val="32"/>
          <w:szCs w:val="32"/>
        </w:rPr>
        <w:t>反映机关事业单位实施养老保险制度由单位缴纳的基本养老保险费支出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6.社会保障和就业（208）行政事业单位离退休（05）机关事业单位职业年金缴费支出（06）：指</w:t>
      </w:r>
      <w:r>
        <w:rPr>
          <w:rFonts w:ascii="仿宋" w:eastAsia="仿宋" w:hint="eastAsia"/>
          <w:color w:val="000000"/>
          <w:sz w:val="32"/>
          <w:szCs w:val="32"/>
        </w:rPr>
        <w:t>反映机关事业单位实施养老保险制度由单位实际缴纳的职业年金支出</w:t>
      </w:r>
      <w:r>
        <w:rPr>
          <w:rFonts w:ascii="仿宋_GB2312" w:eastAsia="仿宋_GB2312" w:hint="eastAsia"/>
          <w:color w:val="000000"/>
          <w:sz w:val="32"/>
          <w:szCs w:val="32"/>
        </w:rPr>
        <w:t>。</w:t>
      </w:r>
    </w:p>
    <w:p>
      <w:pPr>
        <w:spacing w:line="576" w:lineRule="exact"/>
        <w:ind w:firstLineChars="200" w:firstLine="640"/>
        <w:rPr>
          <w:rFonts w:eastAsia="仿宋_GB2312"/>
        </w:rPr>
      </w:pPr>
      <w:r>
        <w:rPr>
          <w:rFonts w:ascii="仿宋_GB2312" w:eastAsia="仿宋_GB2312" w:hint="eastAsia"/>
          <w:color w:val="000000"/>
          <w:sz w:val="32"/>
          <w:szCs w:val="32"/>
        </w:rPr>
        <w:t>7.社会保障和就业（208）抚恤（08）死亡抚恤（01）：</w:t>
      </w:r>
      <w:r>
        <w:rPr>
          <w:rFonts w:ascii="仿宋" w:eastAsia="仿宋" w:hint="eastAsia"/>
          <w:color w:val="000000"/>
          <w:sz w:val="32"/>
          <w:szCs w:val="32"/>
        </w:rPr>
        <w:t>指反映按规定用于烈士和牺牲、病故人员家属的一次性和定期抚恤金以及丧葬补助费。</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8.卫生健康（210）卫生健康管理事务（01）其他卫生健康管理事务支出（99）：反映用于其他卫生健康方面的支出。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卫生健康（210）行政事业单位医疗（11）行政单位医疗（01）：指反映财政部门安排的行政单位（包括实行公务员管理的事业单位，下同）基本医疗保险缴费经费，未参加医疗保险的行政单位的公费医疗经费，按国家规定享受离休人员、红军老战士待遇人员的医疗经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10.卫生健康（210）行政事业单位医疗（11）公务员医疗补助（03）：指反映财政部门安排的公务员医疗补助经费。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11.卫生健康（210）行政事业单位医疗（11）其他行政事业单位医疗支出（99）：指反映除上述项目以外的其他用于行政事业单位医疗方面的支出。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12.住房保障（221）住房改革支出（02）住房公积金（01）：</w:t>
      </w:r>
      <w:r>
        <w:rPr>
          <w:rFonts w:ascii="仿宋" w:eastAsia="仿宋" w:hint="eastAsia"/>
          <w:color w:val="000000"/>
          <w:sz w:val="32"/>
          <w:szCs w:val="32"/>
        </w:rPr>
        <w:t>指反映行政事业单位按人力资源和社会保障部、财政部规定的基本工资和津贴补贴以及规定比例为职工缴纳的住房公积金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bookmarkStart w:id="57" w:name="_Toc15377226"/>
      <w:r>
        <w:rPr>
          <w:rFonts w:ascii="宋体"/>
          <w:b/>
          <w:color w:val="000000"/>
          <w:sz w:val="44"/>
          <w:szCs w:val="44"/>
        </w:rPr>
        <w:br w:type="page"/>
      </w:r>
      <w:bookmarkStart w:id="58" w:name="_Toc15396614"/>
      <w:r>
        <w:rPr>
          <w:rFonts w:ascii="黑体" w:eastAsia="黑体" w:hint="eastAsia"/>
          <w:color w:val="000000"/>
          <w:sz w:val="44"/>
          <w:szCs w:val="44"/>
        </w:rPr>
        <w:t>第</w:t>
      </w:r>
      <w:r>
        <w:rPr>
          <w:rStyle w:val="1Char"/>
          <w:rFonts w:ascii="黑体" w:eastAsia="黑体" w:hint="eastAsia"/>
          <w:b w:val="0"/>
        </w:rPr>
        <w:t>四部分 附件</w:t>
      </w:r>
      <w:bookmarkEnd w:id="58"/>
    </w:p>
    <w:p>
      <w:pPr>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pPr>
        <w:spacing w:line="580" w:lineRule="exact"/>
        <w:jc w:val="center"/>
        <w:rPr>
          <w:rFonts w:ascii="方正小标宋简体" w:eastAsia="方正小标宋简体" w:cs="方正小标宋简体"/>
          <w:sz w:val="44"/>
          <w:szCs w:val="44"/>
        </w:rPr>
      </w:pPr>
    </w:p>
    <w:p>
      <w:pPr>
        <w:widowControl/>
        <w:spacing w:line="480" w:lineRule="exact"/>
        <w:jc w:val="center"/>
        <w:rPr>
          <w:rFonts w:ascii="方正小标宋简体" w:eastAsia="方正小标宋简体"/>
          <w:sz w:val="44"/>
          <w:szCs w:val="44"/>
        </w:rPr>
      </w:pPr>
      <w:r>
        <w:rPr>
          <w:rFonts w:ascii="方正小标宋简体" w:eastAsia="方正小标宋简体" w:hint="eastAsia"/>
          <w:sz w:val="44"/>
          <w:szCs w:val="44"/>
        </w:rPr>
        <w:t>九寨沟</w:t>
      </w:r>
      <w:r>
        <w:rPr>
          <w:rFonts w:ascii="方正小标宋简体" w:eastAsia="方正小标宋简体"/>
          <w:sz w:val="44"/>
          <w:szCs w:val="44"/>
        </w:rPr>
        <w:t>县</w:t>
      </w:r>
      <w:r>
        <w:rPr>
          <w:rFonts w:ascii="方正小标宋简体" w:eastAsia="方正小标宋简体" w:hint="eastAsia"/>
          <w:sz w:val="44"/>
          <w:szCs w:val="44"/>
        </w:rPr>
        <w:t>监察委员会</w:t>
      </w:r>
    </w:p>
    <w:p>
      <w:pPr>
        <w:widowControl/>
        <w:spacing w:line="480" w:lineRule="exact"/>
        <w:jc w:val="center"/>
        <w:rPr>
          <w:rFonts w:ascii="方正小标宋简体" w:eastAsia="方正小标宋简体"/>
          <w:sz w:val="44"/>
          <w:szCs w:val="44"/>
        </w:rPr>
      </w:pPr>
      <w:r>
        <w:rPr>
          <w:rFonts w:ascii="方正小标宋简体" w:eastAsia="方正小标宋简体"/>
          <w:sz w:val="44"/>
          <w:szCs w:val="44"/>
        </w:rPr>
        <w:t>20</w:t>
      </w:r>
      <w:r>
        <w:rPr>
          <w:rFonts w:ascii="方正小标宋简体" w:eastAsia="方正小标宋简体" w:hint="eastAsia"/>
          <w:sz w:val="44"/>
          <w:szCs w:val="44"/>
        </w:rPr>
        <w:t>19 年度部门整体支出绩效报告</w:t>
      </w:r>
    </w:p>
    <w:p>
      <w:pPr>
        <w:widowControl/>
        <w:spacing w:line="480" w:lineRule="exact"/>
        <w:jc w:val="center"/>
        <w:rPr>
          <w:rFonts w:ascii="黑体" w:eastAsia="黑体" w:cs="宋体"/>
          <w:color w:val="000000"/>
          <w:kern w:val="0"/>
        </w:rPr>
      </w:pP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一、</w:t>
      </w:r>
      <w:r>
        <w:rPr>
          <w:rFonts w:ascii="仿宋_GB2312" w:eastAsia="仿宋_GB2312" w:hint="eastAsia"/>
          <w:color w:val="000000"/>
          <w:sz w:val="32"/>
          <w:szCs w:val="32"/>
          <w:lang w:val="zh-CN"/>
        </w:rPr>
        <w:t>部门（单位）概况</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（一）机构组成。</w:t>
      </w:r>
      <w:r>
        <w:rPr>
          <w:rFonts w:ascii="仿宋_GB2312" w:eastAsia="仿宋_GB2312" w:hint="eastAsia"/>
          <w:color w:val="000000"/>
          <w:sz w:val="32"/>
          <w:szCs w:val="32"/>
        </w:rPr>
        <w:t>县纪委监委属一级预算单位，属行政单位，10个内设机构，5个派驻纪检监察组,县委巡察办。</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（二）机构职能。一是</w:t>
      </w:r>
      <w:r>
        <w:rPr>
          <w:rFonts w:ascii="仿宋_GB2312" w:eastAsia="仿宋_GB2312" w:hint="eastAsia"/>
          <w:color w:val="000000"/>
          <w:sz w:val="32"/>
          <w:szCs w:val="32"/>
        </w:rPr>
        <w:t>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二是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三是负责全县监察工作。贯彻落实党中央、省委、州委、县委关于监察工作的决定，维护宪法法律，依法对全县所有行使公权力的公职人员进行监察，调查职务违法和职务犯罪，开展廉政建设和反腐败工作。</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四是依照法律规定履行监督、调查、处置职责。推动开展廉政教育，对全县所有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五是负责组织协调全面从严治党、党风廉政建设和反腐败宣传教育工作。六是负责综合分析全面从严治党、党风廉政建设和反腐败工作情况，对纪检监察工作重要理论及实践问题进行调查研究。参与起草我县规范性文件。七是在州纪委监委的领导下，加强对反腐败国际追逃追赃和防逃工作的组织协调，督促有关部门做好相关工作。</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八是根据干部管理权限，负责纪检监察系统领导班子建设、干部队伍建设和组织建设的综合规划、政策研究、制度建设和业务指导。会同有关方面做好乡（镇）纪委、派驻机构领导班子建设有关工作。组织和指导纪检监察系统干部教育培训工作等。九是完成县委和州纪委监委交办的其他任务。十是监督促进所监督单位领导班子落实全面从严治党主体责任，监督促进所监督单位党政“一把手”当好第一责任人。监督检查所监督单位领导班子及其成员遵守党章党规党纪、执行党的路线方针政策和决议、推进党风廉政建设和反腐败斗争及廉洁自律等情况，经常、及时向县纪委报告上述情况及发现的重要问题。受理对所监督单位党的组织和党员的检举、控告。十一是经县纪委批准，初步核实反映所监督单位领导班子及县管干部的问题线索；参与审查所监督单位领导班子及县管干部违反党纪的案件。指导所监督单位机关党委（纪委）审查科级以下干部违反党纪的案件，必要时可以直接审查科级以下干部违反党纪的案件。受理所监督单位党的组织和党员申诉。十二是对违反党章和其他党内法规，不履行或者不正确履行职责的所监督单位党的组织和负有责任的党的领导干部，按照管理权限对其作出问责决定，或者向有权作出问责决定的党的组织提出问责建议。十三是协助所监督单位党组（党委）做好巡察工作，不承担所监督单位开展巡察的日常工作。十四是推动所监督单位开展廉政教育。依法对所监督单位的领导班子和行使公权力的公职人员进行监督，维护宪法法律，对其依法履职、秉公用权、廉洁从政以及道德操守情况进行监督检查。发现领导班子和县管的公职人员存在问题的，及时向县纪委监委报告；发现其他公职人员存在问题的，会同所监督单位开展调查处置，强化监督职责。受理对所监督单位监督对象的检举、控告。十五是配合调查所监督单位管理的科级以下公职人员涉嫌贪污贿赂、滥用职权、玩忽职守、权力寻租、利益输送、徇私舞弊以及浪费国家资财等职务违法和职务犯罪案件。受理所监督单位监察对象不服纪检监察组所作涉及本人的处理决定的复审申请。十六是按照管理权限，对所监督单位违法的公职人员依法作出政务处分决定。对不履行或者不正确履行职责负有责任的领导人员，按照管理权限对其作出问责决定，或者向有权作出问责决定的机关提出问责建议。根据检查结果，对所监督单位廉政建设和履行职责存在的问题等提出监察建议。十七是负责对本派驻纪检监察组干部的日常管理和监督。十八是完成县纪委监委交办的其他任务。</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（三）人员概况。2019年度，人员编制为</w:t>
      </w:r>
      <w:r>
        <w:rPr>
          <w:rFonts w:ascii="仿宋_GB2312" w:eastAsia="仿宋_GB2312" w:hint="eastAsia"/>
          <w:color w:val="000000"/>
          <w:sz w:val="32"/>
          <w:szCs w:val="32"/>
        </w:rPr>
        <w:t>57</w:t>
      </w:r>
      <w:r>
        <w:rPr>
          <w:rFonts w:ascii="仿宋_GB2312" w:eastAsia="仿宋_GB2312" w:hint="eastAsia"/>
          <w:color w:val="000000"/>
          <w:sz w:val="32"/>
          <w:szCs w:val="32"/>
          <w:lang w:val="zh-CN"/>
        </w:rPr>
        <w:t>人（县纪委监委、派驻纪检监察组、县委巡察办），其中：行政编制</w:t>
      </w:r>
      <w:r>
        <w:rPr>
          <w:rFonts w:ascii="仿宋_GB2312" w:eastAsia="仿宋_GB2312" w:hint="eastAsia"/>
          <w:color w:val="000000"/>
          <w:sz w:val="32"/>
          <w:szCs w:val="32"/>
        </w:rPr>
        <w:t>51</w:t>
      </w:r>
      <w:r>
        <w:rPr>
          <w:rFonts w:ascii="仿宋_GB2312" w:eastAsia="仿宋_GB2312" w:hint="eastAsia"/>
          <w:color w:val="000000"/>
          <w:sz w:val="32"/>
          <w:szCs w:val="32"/>
          <w:lang w:val="zh-CN"/>
        </w:rPr>
        <w:t>人，行政工勤</w:t>
      </w:r>
      <w:r>
        <w:rPr>
          <w:rFonts w:ascii="仿宋_GB2312" w:eastAsia="仿宋_GB2312" w:hint="eastAsia"/>
          <w:color w:val="000000"/>
          <w:sz w:val="32"/>
          <w:szCs w:val="32"/>
        </w:rPr>
        <w:t>2人，</w:t>
      </w:r>
      <w:r>
        <w:rPr>
          <w:rFonts w:ascii="仿宋_GB2312" w:eastAsia="仿宋_GB2312" w:hint="eastAsia"/>
          <w:color w:val="000000"/>
          <w:sz w:val="32"/>
          <w:szCs w:val="32"/>
          <w:lang w:val="zh-CN"/>
        </w:rPr>
        <w:t>事业编制</w:t>
      </w:r>
      <w:r>
        <w:rPr>
          <w:rFonts w:ascii="仿宋_GB2312" w:eastAsia="仿宋_GB2312" w:hint="eastAsia"/>
          <w:color w:val="000000"/>
          <w:sz w:val="32"/>
          <w:szCs w:val="32"/>
        </w:rPr>
        <w:t>4</w:t>
      </w:r>
      <w:r>
        <w:rPr>
          <w:rFonts w:ascii="仿宋_GB2312" w:eastAsia="仿宋_GB2312" w:hint="eastAsia"/>
          <w:color w:val="000000"/>
          <w:sz w:val="32"/>
          <w:szCs w:val="32"/>
          <w:lang w:val="zh-CN"/>
        </w:rPr>
        <w:t>人。年末实有人数</w:t>
      </w:r>
      <w:r>
        <w:rPr>
          <w:rFonts w:ascii="仿宋_GB2312" w:eastAsia="仿宋_GB2312" w:hint="eastAsia"/>
          <w:color w:val="000000"/>
          <w:sz w:val="32"/>
          <w:szCs w:val="32"/>
        </w:rPr>
        <w:t>36</w:t>
      </w:r>
      <w:r>
        <w:rPr>
          <w:rFonts w:ascii="仿宋_GB2312" w:eastAsia="仿宋_GB2312" w:hint="eastAsia"/>
          <w:color w:val="000000"/>
          <w:sz w:val="32"/>
          <w:szCs w:val="32"/>
          <w:lang w:val="zh-CN"/>
        </w:rPr>
        <w:t>人，行政编制人员3</w:t>
      </w:r>
      <w:r>
        <w:rPr>
          <w:rFonts w:ascii="仿宋_GB2312" w:eastAsia="仿宋_GB2312" w:hint="eastAsia"/>
          <w:color w:val="000000"/>
          <w:sz w:val="32"/>
          <w:szCs w:val="32"/>
        </w:rPr>
        <w:t>5</w:t>
      </w:r>
      <w:r>
        <w:rPr>
          <w:rFonts w:ascii="仿宋_GB2312" w:eastAsia="仿宋_GB2312" w:hint="eastAsia"/>
          <w:color w:val="000000"/>
          <w:sz w:val="32"/>
          <w:szCs w:val="32"/>
          <w:lang w:val="zh-CN"/>
        </w:rPr>
        <w:t>人</w:t>
      </w:r>
      <w:r>
        <w:rPr>
          <w:rFonts w:ascii="仿宋_GB2312" w:eastAsia="仿宋_GB2312" w:hint="eastAsia"/>
          <w:color w:val="000000"/>
          <w:sz w:val="32"/>
          <w:szCs w:val="32"/>
        </w:rPr>
        <w:t>,行政工勤1人。</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二、部门财政资金收支情况</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（一）部门财政资金收入情况。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1、2019年财政拨款收入</w:t>
      </w:r>
      <w:r>
        <w:rPr>
          <w:rFonts w:ascii="仿宋_GB2312" w:eastAsia="仿宋_GB2312" w:hint="eastAsia"/>
          <w:color w:val="000000"/>
          <w:sz w:val="32"/>
          <w:szCs w:val="32"/>
        </w:rPr>
        <w:t>6,913,890.98</w:t>
      </w:r>
      <w:r>
        <w:rPr>
          <w:rFonts w:ascii="仿宋_GB2312" w:eastAsia="仿宋_GB2312" w:hint="eastAsia"/>
          <w:color w:val="000000"/>
          <w:sz w:val="32"/>
          <w:szCs w:val="32"/>
          <w:lang w:val="zh-CN"/>
        </w:rPr>
        <w:t>元。其中财政拨款基本收入</w:t>
      </w:r>
      <w:r>
        <w:rPr>
          <w:rFonts w:ascii="仿宋_GB2312" w:eastAsia="仿宋_GB2312" w:hint="eastAsia"/>
          <w:color w:val="000000"/>
          <w:sz w:val="32"/>
          <w:szCs w:val="32"/>
        </w:rPr>
        <w:t>6,253,890.98</w:t>
      </w:r>
      <w:r>
        <w:rPr>
          <w:rFonts w:ascii="仿宋_GB2312" w:eastAsia="仿宋_GB2312" w:hint="eastAsia"/>
          <w:color w:val="000000"/>
          <w:sz w:val="32"/>
          <w:szCs w:val="32"/>
          <w:lang w:val="zh-CN"/>
        </w:rPr>
        <w:t>元，占收入的</w:t>
      </w:r>
      <w:r>
        <w:rPr>
          <w:rFonts w:ascii="仿宋_GB2312" w:eastAsia="仿宋_GB2312" w:hint="eastAsia"/>
          <w:color w:val="000000"/>
          <w:sz w:val="32"/>
          <w:szCs w:val="32"/>
        </w:rPr>
        <w:t>90.45</w:t>
      </w:r>
      <w:r>
        <w:rPr>
          <w:rFonts w:ascii="仿宋_GB2312" w:eastAsia="仿宋_GB2312" w:hint="eastAsia"/>
          <w:color w:val="000000"/>
          <w:sz w:val="32"/>
          <w:szCs w:val="32"/>
          <w:lang w:val="zh-CN"/>
        </w:rPr>
        <w:t>%。主要为行政运行</w:t>
      </w:r>
      <w:r>
        <w:rPr>
          <w:rFonts w:ascii="仿宋_GB2312" w:eastAsia="仿宋_GB2312" w:hint="eastAsia"/>
          <w:color w:val="000000"/>
          <w:sz w:val="32"/>
          <w:szCs w:val="32"/>
        </w:rPr>
        <w:t>4,912,056.07</w:t>
      </w:r>
      <w:r>
        <w:rPr>
          <w:rFonts w:ascii="仿宋_GB2312" w:eastAsia="仿宋_GB2312" w:hint="eastAsia"/>
          <w:color w:val="000000"/>
          <w:sz w:val="32"/>
          <w:szCs w:val="32"/>
          <w:lang w:val="zh-CN"/>
        </w:rPr>
        <w:t>元，机关事业单位基本养老保险缴费收入</w:t>
      </w:r>
      <w:r>
        <w:rPr>
          <w:rFonts w:ascii="仿宋_GB2312" w:eastAsia="仿宋_GB2312" w:hint="eastAsia"/>
          <w:color w:val="000000"/>
          <w:sz w:val="32"/>
          <w:szCs w:val="32"/>
        </w:rPr>
        <w:t>435,823.66</w:t>
      </w:r>
      <w:r>
        <w:rPr>
          <w:rFonts w:ascii="仿宋_GB2312" w:eastAsia="仿宋_GB2312" w:hint="eastAsia"/>
          <w:color w:val="000000"/>
          <w:sz w:val="32"/>
          <w:szCs w:val="32"/>
          <w:lang w:val="zh-CN"/>
        </w:rPr>
        <w:t>元，机关事业单位职业年金缴费支出收入</w:t>
      </w:r>
      <w:r>
        <w:rPr>
          <w:rFonts w:ascii="仿宋_GB2312" w:eastAsia="仿宋_GB2312" w:hint="eastAsia"/>
          <w:color w:val="000000"/>
          <w:sz w:val="32"/>
          <w:szCs w:val="32"/>
        </w:rPr>
        <w:t>59,703.32</w:t>
      </w:r>
      <w:r>
        <w:rPr>
          <w:rFonts w:ascii="仿宋_GB2312" w:eastAsia="仿宋_GB2312" w:hint="eastAsia"/>
          <w:color w:val="000000"/>
          <w:sz w:val="32"/>
          <w:szCs w:val="32"/>
          <w:lang w:val="zh-CN"/>
        </w:rPr>
        <w:t>元，其他卫生健康管理事务支出收入</w:t>
      </w:r>
      <w:r>
        <w:rPr>
          <w:rFonts w:ascii="仿宋_GB2312" w:eastAsia="仿宋_GB2312" w:hint="eastAsia"/>
          <w:color w:val="000000"/>
          <w:sz w:val="32"/>
          <w:szCs w:val="32"/>
        </w:rPr>
        <w:t>37,200.00</w:t>
      </w:r>
      <w:r>
        <w:rPr>
          <w:rFonts w:ascii="仿宋_GB2312" w:eastAsia="仿宋_GB2312" w:hint="eastAsia"/>
          <w:color w:val="000000"/>
          <w:sz w:val="32"/>
          <w:szCs w:val="32"/>
          <w:lang w:val="zh-CN"/>
        </w:rPr>
        <w:t>元，行政单位医疗</w:t>
      </w:r>
      <w:r>
        <w:rPr>
          <w:rFonts w:ascii="仿宋_GB2312" w:eastAsia="仿宋_GB2312" w:hint="eastAsia"/>
          <w:color w:val="000000"/>
          <w:sz w:val="32"/>
          <w:szCs w:val="32"/>
        </w:rPr>
        <w:t>267,327.51</w:t>
      </w:r>
      <w:r>
        <w:rPr>
          <w:rFonts w:ascii="仿宋_GB2312" w:eastAsia="仿宋_GB2312" w:hint="eastAsia"/>
          <w:color w:val="000000"/>
          <w:sz w:val="32"/>
          <w:szCs w:val="32"/>
          <w:lang w:val="zh-CN"/>
        </w:rPr>
        <w:t>元，公务员医疗补助</w:t>
      </w:r>
      <w:r>
        <w:rPr>
          <w:rFonts w:ascii="仿宋_GB2312" w:eastAsia="仿宋_GB2312" w:hint="eastAsia"/>
          <w:color w:val="000000"/>
          <w:sz w:val="32"/>
          <w:szCs w:val="32"/>
        </w:rPr>
        <w:t>52.999.20</w:t>
      </w:r>
      <w:r>
        <w:rPr>
          <w:rFonts w:ascii="仿宋_GB2312" w:eastAsia="仿宋_GB2312" w:hint="eastAsia"/>
          <w:color w:val="000000"/>
          <w:sz w:val="32"/>
          <w:szCs w:val="32"/>
          <w:lang w:val="zh-CN"/>
        </w:rPr>
        <w:t>元，住房公积金</w:t>
      </w:r>
      <w:r>
        <w:rPr>
          <w:rFonts w:ascii="仿宋_GB2312" w:eastAsia="仿宋_GB2312" w:hint="eastAsia"/>
          <w:color w:val="000000"/>
          <w:sz w:val="32"/>
          <w:szCs w:val="32"/>
        </w:rPr>
        <w:t>470,767.00</w:t>
      </w:r>
      <w:r>
        <w:rPr>
          <w:rFonts w:ascii="仿宋_GB2312" w:eastAsia="仿宋_GB2312" w:hint="eastAsia"/>
          <w:color w:val="000000"/>
          <w:sz w:val="32"/>
          <w:szCs w:val="32"/>
          <w:lang w:val="zh-CN"/>
        </w:rPr>
        <w:t>元</w:t>
      </w:r>
      <w:r>
        <w:rPr>
          <w:rFonts w:ascii="仿宋_GB2312" w:eastAsia="仿宋_GB2312" w:hint="eastAsia"/>
          <w:color w:val="000000"/>
          <w:sz w:val="32"/>
          <w:szCs w:val="32"/>
        </w:rPr>
        <w:t>,死亡抚恤6,552.00元，  其他行政事业单位医疗支出11,462.22元</w:t>
      </w:r>
      <w:r>
        <w:rPr>
          <w:rFonts w:ascii="仿宋_GB2312" w:eastAsia="仿宋_GB2312" w:hint="eastAsia"/>
          <w:color w:val="000000"/>
          <w:sz w:val="32"/>
          <w:szCs w:val="32"/>
          <w:lang w:val="zh-CN"/>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zh-CN"/>
        </w:rPr>
        <w:t>项目收入</w:t>
      </w:r>
      <w:r>
        <w:rPr>
          <w:rFonts w:ascii="仿宋_GB2312" w:eastAsia="仿宋_GB2312" w:hint="eastAsia"/>
          <w:color w:val="000000"/>
          <w:sz w:val="32"/>
          <w:szCs w:val="32"/>
        </w:rPr>
        <w:t>660,000.00</w:t>
      </w:r>
      <w:r>
        <w:rPr>
          <w:rFonts w:ascii="仿宋_GB2312" w:eastAsia="仿宋_GB2312" w:hint="eastAsia"/>
          <w:color w:val="000000"/>
          <w:sz w:val="32"/>
          <w:szCs w:val="32"/>
          <w:lang w:val="zh-CN"/>
        </w:rPr>
        <w:t>元，占收入的</w:t>
      </w:r>
      <w:r>
        <w:rPr>
          <w:rFonts w:ascii="仿宋_GB2312" w:eastAsia="仿宋_GB2312" w:hint="eastAsia"/>
          <w:color w:val="000000"/>
          <w:sz w:val="32"/>
          <w:szCs w:val="32"/>
        </w:rPr>
        <w:t>9.55</w:t>
      </w:r>
      <w:r>
        <w:rPr>
          <w:rFonts w:ascii="仿宋_GB2312" w:eastAsia="仿宋_GB2312" w:hint="eastAsia"/>
          <w:color w:val="000000"/>
          <w:sz w:val="32"/>
          <w:szCs w:val="32"/>
          <w:lang w:val="zh-CN"/>
        </w:rPr>
        <w:t>%。主要为其</w:t>
      </w:r>
      <w:r>
        <w:rPr>
          <w:rFonts w:ascii="仿宋_GB2312" w:eastAsia="仿宋_GB2312" w:hint="eastAsia"/>
          <w:color w:val="000000"/>
          <w:sz w:val="32"/>
          <w:szCs w:val="32"/>
        </w:rPr>
        <w:t>VPN采购项目收入60,000.00</w:t>
      </w:r>
      <w:r>
        <w:rPr>
          <w:rFonts w:ascii="仿宋_GB2312" w:eastAsia="仿宋_GB2312" w:hint="eastAsia"/>
          <w:color w:val="000000"/>
          <w:sz w:val="32"/>
          <w:szCs w:val="32"/>
          <w:lang w:val="zh-CN"/>
        </w:rPr>
        <w:t>元，网络密码机采购收入</w:t>
      </w:r>
      <w:r>
        <w:rPr>
          <w:rFonts w:ascii="仿宋_GB2312" w:eastAsia="仿宋_GB2312" w:hint="eastAsia"/>
          <w:color w:val="000000"/>
          <w:sz w:val="32"/>
          <w:szCs w:val="32"/>
        </w:rPr>
        <w:t>60,000.00</w:t>
      </w:r>
      <w:r>
        <w:rPr>
          <w:rFonts w:ascii="仿宋_GB2312" w:eastAsia="仿宋_GB2312" w:hint="eastAsia"/>
          <w:color w:val="000000"/>
          <w:sz w:val="32"/>
          <w:szCs w:val="32"/>
          <w:lang w:val="zh-CN"/>
        </w:rPr>
        <w:t>元，信息网分级保护建设项目收入</w:t>
      </w:r>
      <w:r>
        <w:rPr>
          <w:rFonts w:ascii="仿宋_GB2312" w:eastAsia="仿宋_GB2312" w:hint="eastAsia"/>
          <w:color w:val="000000"/>
          <w:sz w:val="32"/>
          <w:szCs w:val="32"/>
        </w:rPr>
        <w:t>424,063.28</w:t>
      </w:r>
      <w:r>
        <w:rPr>
          <w:rFonts w:ascii="仿宋_GB2312" w:eastAsia="仿宋_GB2312" w:hint="eastAsia"/>
          <w:color w:val="000000"/>
          <w:sz w:val="32"/>
          <w:szCs w:val="32"/>
          <w:lang w:val="zh-CN"/>
        </w:rPr>
        <w:t>元，办案工作经费</w:t>
      </w:r>
      <w:r>
        <w:rPr>
          <w:rFonts w:ascii="仿宋_GB2312" w:eastAsia="仿宋_GB2312" w:hint="eastAsia"/>
          <w:color w:val="000000"/>
          <w:sz w:val="32"/>
          <w:szCs w:val="32"/>
        </w:rPr>
        <w:t>115,936.72元。</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（二）部门财政资金支出情况。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2019年财政拨款支出</w:t>
      </w:r>
      <w:r>
        <w:rPr>
          <w:rFonts w:ascii="仿宋_GB2312" w:eastAsia="仿宋_GB2312" w:hint="eastAsia"/>
          <w:color w:val="000000"/>
          <w:sz w:val="32"/>
          <w:szCs w:val="32"/>
        </w:rPr>
        <w:t>6,725,577.70</w:t>
      </w:r>
      <w:r>
        <w:rPr>
          <w:rFonts w:ascii="仿宋_GB2312" w:eastAsia="仿宋_GB2312" w:hint="eastAsia"/>
          <w:color w:val="000000"/>
          <w:sz w:val="32"/>
          <w:szCs w:val="32"/>
          <w:lang w:val="zh-CN"/>
        </w:rPr>
        <w:t>元，其中基本支出</w:t>
      </w:r>
      <w:r>
        <w:rPr>
          <w:rFonts w:ascii="仿宋_GB2312" w:eastAsia="仿宋_GB2312" w:hint="eastAsia"/>
          <w:color w:val="000000"/>
          <w:sz w:val="32"/>
          <w:szCs w:val="32"/>
        </w:rPr>
        <w:t>6,609,640.98</w:t>
      </w:r>
      <w:r>
        <w:rPr>
          <w:rFonts w:ascii="仿宋_GB2312" w:eastAsia="仿宋_GB2312" w:hint="eastAsia"/>
          <w:color w:val="000000"/>
          <w:sz w:val="32"/>
          <w:szCs w:val="32"/>
          <w:lang w:val="zh-CN"/>
        </w:rPr>
        <w:t>元，占支出的</w:t>
      </w:r>
      <w:r>
        <w:rPr>
          <w:rFonts w:ascii="仿宋_GB2312" w:eastAsia="仿宋_GB2312" w:hint="eastAsia"/>
          <w:color w:val="000000"/>
          <w:sz w:val="32"/>
          <w:szCs w:val="32"/>
        </w:rPr>
        <w:t>98.28</w:t>
      </w:r>
      <w:r>
        <w:rPr>
          <w:rFonts w:ascii="仿宋_GB2312" w:eastAsia="仿宋_GB2312" w:hint="eastAsia"/>
          <w:color w:val="000000"/>
          <w:sz w:val="32"/>
          <w:szCs w:val="32"/>
          <w:lang w:val="zh-CN"/>
        </w:rPr>
        <w:t>%，项目支出</w:t>
      </w:r>
      <w:r>
        <w:rPr>
          <w:rFonts w:ascii="仿宋_GB2312" w:eastAsia="仿宋_GB2312" w:hint="eastAsia"/>
          <w:color w:val="000000"/>
          <w:sz w:val="32"/>
          <w:szCs w:val="32"/>
        </w:rPr>
        <w:t>115,936.72</w:t>
      </w:r>
      <w:r>
        <w:rPr>
          <w:rFonts w:ascii="仿宋_GB2312" w:eastAsia="仿宋_GB2312" w:hint="eastAsia"/>
          <w:color w:val="000000"/>
          <w:sz w:val="32"/>
          <w:szCs w:val="32"/>
          <w:lang w:val="zh-CN"/>
        </w:rPr>
        <w:t>元，占支出的</w:t>
      </w:r>
      <w:r>
        <w:rPr>
          <w:rFonts w:ascii="仿宋_GB2312" w:eastAsia="仿宋_GB2312" w:hint="eastAsia"/>
          <w:color w:val="000000"/>
          <w:sz w:val="32"/>
          <w:szCs w:val="32"/>
        </w:rPr>
        <w:t>1.72</w:t>
      </w:r>
      <w:r>
        <w:rPr>
          <w:rFonts w:ascii="仿宋_GB2312" w:eastAsia="仿宋_GB2312" w:hint="eastAsia"/>
          <w:color w:val="000000"/>
          <w:sz w:val="32"/>
          <w:szCs w:val="32"/>
          <w:lang w:val="zh-CN"/>
        </w:rPr>
        <w:t xml:space="preserve">% </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（一）预算编制情况。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我局2019年预算编制严格按照《中华人民共和国预算法》的要求，按照相关填报口径做到科学合理的细化预算编制。</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（二）执行管理情况。</w:t>
        <w:tab/>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1、2019年我局所有预算内资金都严格纳入财政大平台系统管理，日常支出都严格履行了我局的报账程序。</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2、执行进度情况。2019年基本支出年初预算为4,862,400.00元，调整预算数为</w:t>
      </w:r>
      <w:r>
        <w:rPr>
          <w:rFonts w:ascii="仿宋_GB2312" w:eastAsia="仿宋_GB2312" w:hint="eastAsia"/>
          <w:color w:val="000000"/>
          <w:sz w:val="32"/>
          <w:szCs w:val="32"/>
        </w:rPr>
        <w:t>7134048.26</w:t>
      </w:r>
      <w:r>
        <w:rPr>
          <w:rFonts w:ascii="仿宋_GB2312" w:eastAsia="仿宋_GB2312" w:hint="eastAsia"/>
          <w:color w:val="000000"/>
          <w:sz w:val="32"/>
          <w:szCs w:val="32"/>
          <w:lang w:val="zh-CN"/>
        </w:rPr>
        <w:t>元。项目支出年初预算数为0元，调整预算数为</w:t>
      </w:r>
      <w:r>
        <w:rPr>
          <w:rFonts w:ascii="仿宋_GB2312" w:eastAsia="仿宋_GB2312" w:hint="eastAsia"/>
          <w:color w:val="000000"/>
          <w:sz w:val="32"/>
          <w:szCs w:val="32"/>
        </w:rPr>
        <w:t>115,936.72</w:t>
      </w:r>
      <w:r>
        <w:rPr>
          <w:rFonts w:ascii="仿宋_GB2312" w:eastAsia="仿宋_GB2312" w:hint="eastAsia"/>
          <w:color w:val="000000"/>
          <w:sz w:val="32"/>
          <w:szCs w:val="32"/>
          <w:lang w:val="zh-CN"/>
        </w:rPr>
        <w:t>元。2019年预算执行率为100%。</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3、三公经费执行情况。2019年三公经费预算数为</w:t>
      </w:r>
      <w:r>
        <w:rPr>
          <w:rFonts w:ascii="仿宋_GB2312" w:eastAsia="仿宋_GB2312" w:hint="eastAsia"/>
          <w:color w:val="000000"/>
          <w:sz w:val="32"/>
          <w:szCs w:val="32"/>
        </w:rPr>
        <w:t>465,500.00</w:t>
      </w:r>
      <w:r>
        <w:rPr>
          <w:rFonts w:ascii="仿宋_GB2312" w:eastAsia="仿宋_GB2312" w:hint="eastAsia"/>
          <w:color w:val="000000"/>
          <w:sz w:val="32"/>
          <w:szCs w:val="32"/>
          <w:lang w:val="zh-CN"/>
        </w:rPr>
        <w:t>元，实际支出242,932.45元，没有超预算。</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（三）综合管理情况。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1. 加强内部控制。我委历来重视单位内部管理制度建设及监督，加强财务管理，强化财务监督，增强法纪观念，遵守规章制度。为保证财务管理工作规范有序进行，2019年我们修改完善了相关财务管理的制度、规定，成立了财务监督小组，加强内部控制和监督。对各项资金的管理、经费收支审批等均做了明确规定，正确组织资金的筹集、调度和使用，债权债务及时结算、结清。各项经费支出严格按照单位“三重一大”制度执行。</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 强化制度执行。切实做好厉行节约工作，全面落实各项管理制度要求，努力降低行政成本。严格公务接待费、差旅费、会议费和培训费审核审批程序，加强对公务用车的管理，把“三公”经费较好地控制在预算范围之内。</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3、资产管理。我局所有采买的资产，都是经过了政府采购，资产的领用由局办公室负责，资产购买流程合法，管理规范。定期对资产进行清查盘点，做到账实相符。</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4、信息公开情况。严格按照预决算信息公开原则，在每年预决算下达的20天内，在县政府政府网站进行了公开。</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5、非税收入情况。我局非税收入主要为罚没款收入，严格按照规定上缴县财政国库股。2019年完成非税收入750,160.40元，已经全部足额上缴县财政。</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6、政府采购情况。严格按照政府采购的程序进行，采办公设备，</w:t>
      </w:r>
      <w:r>
        <w:rPr>
          <w:rFonts w:ascii="仿宋_GB2312" w:eastAsia="仿宋_GB2312" w:hint="eastAsia"/>
          <w:color w:val="000000"/>
          <w:sz w:val="32"/>
          <w:szCs w:val="32"/>
        </w:rPr>
        <w:t>80,500.00</w:t>
      </w:r>
      <w:r>
        <w:rPr>
          <w:rFonts w:ascii="仿宋_GB2312" w:eastAsia="仿宋_GB2312" w:hint="eastAsia"/>
          <w:color w:val="000000"/>
          <w:sz w:val="32"/>
          <w:szCs w:val="32"/>
          <w:lang w:val="zh-CN"/>
        </w:rPr>
        <w:t>元。</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（四）整体绩效。</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做实做细监督职责，强化日常监督、深化巡察监督、凝聚监督合力，全面提升了监督质量。在规定的时间内查办案件，无超期现象。紧盯重要时间节点和重点领域，对顶风违纪行为严惩不贷，对隐形变种问题深挖细查。对信访举报、巡察和交叉检查移交和执纪审查中发现的问题线索及时办理，传导执纪压力，加大了纪律审查和监察调查力度，形成了震慑。强化了监督执纪问责为经济发展保驾护航。严明了党的政治纪律、政治规矩，净化了政治生态。加大了群众身边腐败问题的处理力度，增强了人民群众获得感。</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四、评价结论及建议</w:t>
      </w:r>
    </w:p>
    <w:p>
      <w:pPr>
        <w:rPr>
          <w:rFonts w:ascii="仿宋_GB2312" w:eastAsia="仿宋_GB2312"/>
          <w:color w:val="000000"/>
          <w:sz w:val="32"/>
          <w:szCs w:val="32"/>
          <w:lang w:val="zh-CN"/>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zh-CN"/>
        </w:rPr>
        <w:t>（一）评价结论。</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从整体上看，2019年我委资金维护决策正确，资金管理规范，政策决策有力，有效发挥了财政资金使用效率。在人员经费支出上，严格执行县委、</w:t>
      </w:r>
      <w:r>
        <w:rPr>
          <w:rFonts w:ascii="仿宋_GB2312" w:eastAsia="仿宋_GB2312"/>
          <w:color w:val="000000"/>
          <w:sz w:val="32"/>
          <w:szCs w:val="32"/>
          <w:lang w:val="zh-CN"/>
        </w:rPr>
        <w:t>县</w:t>
      </w:r>
      <w:r>
        <w:rPr>
          <w:rFonts w:ascii="仿宋_GB2312" w:eastAsia="仿宋_GB2312" w:hint="eastAsia"/>
          <w:color w:val="000000"/>
          <w:sz w:val="32"/>
          <w:szCs w:val="32"/>
          <w:lang w:val="zh-CN"/>
        </w:rPr>
        <w:t>政府的各项制度。在项目经费的</w:t>
      </w:r>
      <w:bookmarkStart w:id="59" w:name="_GoBack"/>
      <w:bookmarkEnd w:id="59"/>
      <w:r>
        <w:rPr>
          <w:rFonts w:ascii="仿宋_GB2312" w:eastAsia="仿宋_GB2312" w:hint="eastAsia"/>
          <w:color w:val="000000"/>
          <w:sz w:val="32"/>
          <w:szCs w:val="32"/>
          <w:lang w:val="zh-CN"/>
        </w:rPr>
        <w:t>使用上，严格按照项目资金实施方案执行。三公经费的使用严格按照预算执行。</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（二）存在问题。</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主要存在的问题是预算编制不够准确和细化，预算的调整数比较大。内控制度编制不够完善，没有完全做到用制度管人。</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（三）改进建议。</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加强年初预算的编制工作，提高预算编制的准确性和细化性。</w:t>
      </w:r>
    </w:p>
    <w:p>
      <w:pPr>
        <w:spacing w:line="580" w:lineRule="exact"/>
        <w:ind w:firstLineChars="200"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widowControl/>
        <w:jc w:val="left"/>
        <w:rPr>
          <w:rStyle w:val="1Char"/>
          <w:rFonts w:ascii="黑体" w:eastAsia="黑体"/>
          <w:b w:val="0"/>
        </w:rPr>
      </w:pPr>
    </w:p>
    <w:p>
      <w:pPr>
        <w:widowControl/>
        <w:jc w:val="left"/>
        <w:rPr>
          <w:rStyle w:val="1Char"/>
          <w:rFonts w:ascii="黑体" w:eastAsia="黑体"/>
          <w:b w:val="0"/>
        </w:rPr>
      </w:pPr>
      <w:r>
        <w:rPr>
          <w:rStyle w:val="1Char"/>
          <w:rFonts w:ascii="黑体" w:eastAsia="黑体"/>
          <w:b w:val="0"/>
        </w:rPr>
        <w:br w:type="page"/>
      </w:r>
    </w:p>
    <w:p>
      <w:pPr>
        <w:spacing w:line="600" w:lineRule="exact"/>
        <w:jc w:val="center"/>
        <w:outlineLvl w:val="0"/>
        <w:rPr>
          <w:rStyle w:val="1Char"/>
          <w:rFonts w:ascii="黑体" w:eastAsia="黑体"/>
          <w:b w:val="0"/>
        </w:rPr>
      </w:pPr>
    </w:p>
    <w:p>
      <w:pPr>
        <w:spacing w:line="600" w:lineRule="exact"/>
        <w:jc w:val="center"/>
        <w:outlineLvl w:val="0"/>
        <w:rPr>
          <w:rStyle w:val="1Char"/>
          <w:rFonts w:ascii="黑体" w:eastAsia="黑体"/>
          <w:b w:val="0"/>
        </w:rPr>
      </w:pPr>
      <w:bookmarkStart w:id="60" w:name="_Toc15396618"/>
      <w:r>
        <w:rPr>
          <w:rFonts w:ascii="黑体" w:eastAsia="黑体" w:hint="eastAsia"/>
          <w:color w:val="000000"/>
          <w:sz w:val="44"/>
          <w:szCs w:val="44"/>
        </w:rPr>
        <w:t>第</w:t>
      </w:r>
      <w:r>
        <w:rPr>
          <w:rStyle w:val="1Char"/>
          <w:rFonts w:ascii="黑体" w:eastAsia="黑体" w:hint="eastAsia"/>
          <w:b w:val="0"/>
        </w:rPr>
        <w:t>五部分 附表</w:t>
      </w:r>
      <w:bookmarkEnd w:id="57"/>
      <w:bookmarkEnd w:id="60"/>
    </w:p>
    <w:p>
      <w:pPr>
        <w:spacing w:line="600" w:lineRule="exact"/>
        <w:jc w:val="center"/>
        <w:outlineLvl w:val="0"/>
        <w:rPr>
          <w:rFonts w:ascii="仿宋" w:eastAsia="仿宋"/>
          <w:b/>
          <w:color w:val="000000"/>
          <w:sz w:val="44"/>
          <w:szCs w:val="44"/>
        </w:rPr>
      </w:pPr>
    </w:p>
    <w:p>
      <w:pPr>
        <w:pStyle w:val="2"/>
        <w:rPr>
          <w:rFonts w:ascii="仿宋" w:eastAsia="仿宋"/>
          <w:color w:val="000000"/>
        </w:rPr>
      </w:pPr>
      <w:bookmarkStart w:id="61" w:name="_Toc15396619"/>
      <w:r>
        <w:rPr>
          <w:rFonts w:ascii="仿宋" w:eastAsia="仿宋" w:hint="eastAsia"/>
          <w:b w:val="0"/>
          <w:color w:val="000000"/>
        </w:rPr>
        <w:t>一、收</w:t>
      </w:r>
      <w:r>
        <w:rPr>
          <w:rStyle w:val="2Char"/>
          <w:rFonts w:ascii="仿宋" w:eastAsia="仿宋" w:hint="eastAsia"/>
        </w:rPr>
        <w:t>入支出决算总表</w:t>
      </w:r>
      <w:bookmarkEnd w:id="61"/>
    </w:p>
    <w:p>
      <w:pPr>
        <w:pStyle w:val="2"/>
        <w:rPr>
          <w:rFonts w:ascii="仿宋" w:eastAsia="仿宋"/>
          <w:color w:val="000000"/>
        </w:rPr>
      </w:pPr>
      <w:bookmarkStart w:id="62" w:name="_Toc15396620"/>
      <w:r>
        <w:rPr>
          <w:rFonts w:ascii="仿宋" w:eastAsia="仿宋" w:hint="eastAsia"/>
          <w:b w:val="0"/>
          <w:color w:val="000000"/>
        </w:rPr>
        <w:t>二、收</w:t>
      </w:r>
      <w:r>
        <w:rPr>
          <w:rStyle w:val="2Char"/>
          <w:rFonts w:ascii="仿宋" w:eastAsia="仿宋" w:hint="eastAsia"/>
        </w:rPr>
        <w:t>入决算表</w:t>
      </w:r>
      <w:bookmarkEnd w:id="62"/>
    </w:p>
    <w:p>
      <w:pPr>
        <w:pStyle w:val="2"/>
        <w:rPr>
          <w:rFonts w:ascii="仿宋" w:eastAsia="仿宋"/>
          <w:color w:val="000000"/>
        </w:rPr>
      </w:pPr>
      <w:bookmarkStart w:id="63" w:name="_Toc15396621"/>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出决算表</w:t>
      </w:r>
      <w:bookmarkEnd w:id="63"/>
    </w:p>
    <w:p>
      <w:pPr>
        <w:pStyle w:val="2"/>
        <w:rPr>
          <w:rFonts w:ascii="仿宋" w:eastAsia="仿宋"/>
          <w:b w:val="0"/>
          <w:color w:val="000000"/>
        </w:rPr>
      </w:pPr>
      <w:bookmarkStart w:id="64" w:name="_Toc15396622"/>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64"/>
    </w:p>
    <w:p>
      <w:pPr>
        <w:pStyle w:val="2"/>
        <w:rPr>
          <w:rStyle w:val="2Char"/>
          <w:rFonts w:ascii="仿宋" w:eastAsia="仿宋"/>
        </w:rPr>
      </w:pPr>
      <w:bookmarkStart w:id="65" w:name="_Toc15396623"/>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w:t>
      </w:r>
      <w:bookmarkStart w:id="66" w:name="_Toc15396624"/>
      <w:bookmarkEnd w:id="65"/>
    </w:p>
    <w:p>
      <w:pPr>
        <w:pStyle w:val="2"/>
        <w:rPr>
          <w:rFonts w:ascii="仿宋" w:eastAsia="仿宋"/>
          <w:color w:val="000000"/>
        </w:rPr>
      </w:pPr>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6"/>
    </w:p>
    <w:p>
      <w:pPr>
        <w:pStyle w:val="2"/>
        <w:rPr>
          <w:rFonts w:ascii="仿宋" w:eastAsia="仿宋"/>
          <w:color w:val="000000"/>
        </w:rPr>
      </w:pPr>
      <w:bookmarkStart w:id="67" w:name="_Toc1539662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7"/>
    </w:p>
    <w:p>
      <w:pPr>
        <w:pStyle w:val="2"/>
        <w:rPr>
          <w:rFonts w:ascii="仿宋" w:eastAsia="仿宋"/>
          <w:color w:val="000000"/>
        </w:rPr>
      </w:pPr>
      <w:bookmarkStart w:id="68" w:name="_Toc15396626"/>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68"/>
    </w:p>
    <w:p>
      <w:pPr>
        <w:pStyle w:val="2"/>
        <w:rPr>
          <w:rFonts w:ascii="仿宋" w:eastAsia="仿宋"/>
          <w:color w:val="000000"/>
        </w:rPr>
      </w:pPr>
      <w:bookmarkStart w:id="69" w:name="_Toc15396627"/>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69"/>
    </w:p>
    <w:p>
      <w:pPr>
        <w:pStyle w:val="2"/>
        <w:rPr>
          <w:rFonts w:ascii="仿宋" w:eastAsia="仿宋"/>
          <w:color w:val="000000"/>
        </w:rPr>
      </w:pPr>
      <w:bookmarkStart w:id="70" w:name="_Toc15396628"/>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70"/>
    </w:p>
    <w:p>
      <w:pPr>
        <w:pStyle w:val="2"/>
        <w:rPr>
          <w:rFonts w:ascii="仿宋" w:eastAsia="仿宋"/>
          <w:color w:val="000000"/>
        </w:rPr>
      </w:pPr>
      <w:bookmarkStart w:id="71" w:name="_Toc15396629"/>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71"/>
    </w:p>
    <w:p>
      <w:pPr>
        <w:pStyle w:val="2"/>
        <w:rPr>
          <w:rFonts w:ascii="仿宋" w:eastAsia="仿宋"/>
          <w:color w:val="000000"/>
        </w:rPr>
      </w:pPr>
      <w:bookmarkStart w:id="72" w:name="_Toc15396630"/>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72"/>
    </w:p>
    <w:p>
      <w:pPr>
        <w:pStyle w:val="2"/>
        <w:rPr>
          <w:rFonts w:ascii="仿宋" w:eastAsia="仿宋"/>
          <w:color w:val="000000"/>
        </w:rPr>
      </w:pPr>
      <w:bookmarkStart w:id="73" w:name="_Toc15396631"/>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有资本经营预算支出决算表</w:t>
      </w:r>
      <w:bookmarkEnd w:id="73"/>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10" w:usb3="00000000" w:csb0="00040000" w:csb1="00000000"/>
  </w:font>
  <w:font w:name="黑体">
    <w:altName w:val="文泉驿微米黑"/>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Arial">
    <w:altName w:val="DejaVu Sans"/>
    <w:panose1 w:val="020B0604020202020204"/>
    <w:charset w:val="00"/>
    <w:family w:val="auto"/>
    <w:pitch w:val="variable"/>
    <w:sig w:usb0="00007A87" w:usb1="80000000" w:usb2="00000008"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modern"/>
    <w:pitch w:val="variable"/>
    <w:sig w:usb0="00000001" w:usb1="080E0000" w:usb2="00000000" w:usb3="00000000" w:csb0="00040000" w:csb1="00000000"/>
  </w:font>
  <w:font w:name="宋体">
    <w:altName w:val="文泉驿微米黑"/>
    <w:panose1 w:val="02010600030101010101"/>
    <w:charset w:val="86"/>
    <w:family w:val="auto"/>
    <w:pitch w:val="variable"/>
    <w:sig w:usb0="00000003" w:usb1="288F0000"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626145064"/>
    </w:sdtPr>
    <w:sdtContent>
      <w:p>
        <w:pPr>
          <w:pStyle w:val="20"/>
          <w:tabs>
            <w:tab w:val="center" w:pos="4153"/>
            <w:tab w:val="right" w:pos="8306"/>
          </w:tabs>
          <w:jc w:val="center"/>
        </w:pPr>
        <w:r>
          <w:fldChar w:fldCharType="begin"/>
        </w:r>
        <w:r>
          <w:instrText>PAGE   \* MERGEFORMAT</w:instrText>
        </w:r>
        <w:r>
          <w:fldChar w:fldCharType="separate"/>
        </w:r>
        <w:r>
          <w:rPr>
            <w:lang w:val="zh-CN"/>
          </w:rPr>
          <w:t>21</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F62BEAB"/>
    <w:multiLevelType w:val="singleLevel"/>
    <w:tmpl w:val="5F62BEAB"/>
    <w:lvl w:ilvl="0">
      <w:start w:val="5"/>
      <w:numFmt w:val="chineseCounting"/>
      <w:lvlRestart w:val="0"/>
      <w:suff w:val="nothing"/>
      <w:lvlText w:val="%1、"/>
      <w:lvlJc w:val="left"/>
      <w:pPr>
        <w:ind w:left="0" w:hanging="0"/>
      </w:pPr>
    </w:lvl>
  </w:abstractNum>
  <w:abstractNum w:abstractNumId="1">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5F630D4B"/>
    <w:multiLevelType w:val="singleLevel"/>
    <w:tmpl w:val="5F630D4B"/>
    <w:lvl w:ilvl="0">
      <w:start w:val="1"/>
      <w:numFmt w:val="decimal"/>
      <w:lvlRestart w:val="0"/>
      <w:suff w:val="nothing"/>
      <w:lvlText w:val="%1."/>
      <w:lvlJc w:val="left"/>
      <w:pPr>
        <w:ind w:left="0" w:hanging="0"/>
      </w:pPr>
    </w:lvl>
  </w:abstractNum>
  <w:abstractNum w:abstractNumId="3">
    <w:nsid w:val="5F6333C0"/>
    <w:multiLevelType w:val="singleLevel"/>
    <w:tmpl w:val="5F6333C0"/>
    <w:lvl w:ilvl="0">
      <w:start w:val="3"/>
      <w:numFmt w:val="decimal"/>
      <w:lvlRestart w:val="0"/>
      <w:suff w:val="nothing"/>
      <w:lvlText w:val="%1."/>
      <w:lvlJc w:val="left"/>
      <w:pPr>
        <w:ind w:left="0" w:hanging="0"/>
      </w:pPr>
    </w:lvl>
  </w:abstractNum>
  <w:abstractNum w:abstractNumId="4">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5">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next w:val="16"/>
    <w:pPr>
      <w:spacing w:after="120"/>
      <w:ind w:leftChars="200" w:left="200"/>
    </w:pPr>
  </w:style>
  <w:style w:type="paragraph" w:styleId="16">
    <w:name w:val="Body Text First Indent 2"/>
    <w:basedOn w:val="15"/>
    <w:pPr>
      <w:ind w:firstLineChars="200" w:firstLine="200"/>
    </w:pPr>
    <w:rPr>
      <w:rFonts w:ascii="Calibri" w:hAnsi="Calibri"/>
      <w:szCs w:val="22"/>
    </w:r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100" w:beforeAutospacing="1" w:after="100" w:afterAutospacing="1"/>
      <w:jc w:val="left"/>
    </w:pPr>
    <w:rPr>
      <w:rFonts w:ascii="宋体" w:cs="宋体"/>
      <w:kern w:val="0"/>
      <w:sz w:val="24"/>
    </w:r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1">
    <w:name w:val="列出段落1"/>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3">
    <w:name w:val="TOC 标题2"/>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25</Pages>
  <Words>9688</Words>
  <Characters>10607</Characters>
  <Lines>538</Lines>
  <Paragraphs>181</Paragraphs>
  <CharactersWithSpaces>10724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43</cp:revision>
  <cp:lastPrinted>2020-09-18T02:30:00Z</cp:lastPrinted>
  <dcterms:created xsi:type="dcterms:W3CDTF">2020-08-04T01:49:00Z</dcterms:created>
  <dcterms:modified xsi:type="dcterms:W3CDTF">2023-07-14T08:51:43Z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2052-10.8.0.5562</vt:lpwstr>
  </property>
</Properties>
</file>