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default" w:ascii="Times New Roman" w:hAnsi="Times New Roman" w:eastAsia="方正小标宋简体" w:cs="Times New Roman"/>
          <w:color w:val="000000" w:themeColor="text1"/>
          <w:kern w:val="2"/>
          <w:sz w:val="72"/>
          <w:szCs w:val="72"/>
          <w:highlight w:val="none"/>
          <w:lang w:val="en-US" w:eastAsia="zh-CN" w:bidi="ar-SA"/>
          <w14:textFill>
            <w14:solidFill>
              <w14:schemeClr w14:val="tx1"/>
            </w14:solidFill>
          </w14:textFill>
        </w:rPr>
      </w:pPr>
      <w:bookmarkStart w:id="0" w:name="_Toc15396597"/>
      <w:bookmarkStart w:id="1" w:name="_Toc15377425"/>
      <w:bookmarkStart w:id="2" w:name="_Toc15378441"/>
      <w:bookmarkStart w:id="3" w:name="_Toc15377193"/>
      <w:bookmarkStart w:id="4" w:name="_Toc15396475"/>
      <w:bookmarkStart w:id="5" w:name="_Toc15306267"/>
    </w:p>
    <w:p>
      <w:pPr>
        <w:pStyle w:val="7"/>
        <w:rPr>
          <w:rFonts w:hint="default" w:ascii="Times New Roman" w:hAnsi="Times New Roman" w:eastAsia="方正小标宋简体" w:cs="Times New Roman"/>
          <w:color w:val="000000" w:themeColor="text1"/>
          <w:kern w:val="2"/>
          <w:sz w:val="72"/>
          <w:szCs w:val="72"/>
          <w:highlight w:val="none"/>
          <w:lang w:val="en-US" w:eastAsia="zh-CN" w:bidi="ar-SA"/>
          <w14:textFill>
            <w14:solidFill>
              <w14:schemeClr w14:val="tx1"/>
            </w14:solidFill>
          </w14:textFill>
        </w:rPr>
      </w:pPr>
    </w:p>
    <w:p>
      <w:pPr>
        <w:pStyle w:val="7"/>
        <w:rPr>
          <w:rFonts w:hint="default" w:ascii="Times New Roman" w:hAnsi="Times New Roman" w:eastAsia="方正小标宋简体" w:cs="Times New Roman"/>
          <w:color w:val="000000" w:themeColor="text1"/>
          <w:kern w:val="2"/>
          <w:sz w:val="72"/>
          <w:szCs w:val="72"/>
          <w:highlight w:val="none"/>
          <w:lang w:val="en-US" w:eastAsia="zh-CN" w:bidi="ar-SA"/>
          <w14:textFill>
            <w14:solidFill>
              <w14:schemeClr w14:val="tx1"/>
            </w14:solidFill>
          </w14:textFill>
        </w:rPr>
      </w:pPr>
    </w:p>
    <w:p>
      <w:pPr>
        <w:pStyle w:val="7"/>
        <w:jc w:val="center"/>
        <w:rPr>
          <w:rFonts w:hint="default" w:ascii="Times New Roman" w:hAnsi="Times New Roman" w:eastAsia="方正小标宋_GBK" w:cs="Times New Roman"/>
          <w:color w:val="000000" w:themeColor="text1"/>
          <w:kern w:val="2"/>
          <w:sz w:val="56"/>
          <w:szCs w:val="56"/>
          <w:highlight w:val="none"/>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kern w:val="2"/>
          <w:sz w:val="56"/>
          <w:szCs w:val="56"/>
          <w:highlight w:val="none"/>
          <w:lang w:val="en-US" w:eastAsia="zh-CN" w:bidi="ar-SA"/>
          <w14:textFill>
            <w14:solidFill>
              <w14:schemeClr w14:val="tx1"/>
            </w14:solidFill>
          </w14:textFill>
        </w:rPr>
        <w:t>2024年度</w:t>
      </w:r>
    </w:p>
    <w:p>
      <w:pPr>
        <w:pStyle w:val="7"/>
        <w:jc w:val="center"/>
        <w:rPr>
          <w:rFonts w:hint="default" w:ascii="Times New Roman" w:hAnsi="Times New Roman" w:eastAsia="方正小标宋_GBK" w:cs="Times New Roman"/>
          <w:color w:val="000000" w:themeColor="text1"/>
          <w:kern w:val="2"/>
          <w:sz w:val="56"/>
          <w:szCs w:val="56"/>
          <w:highlight w:val="none"/>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kern w:val="2"/>
          <w:sz w:val="56"/>
          <w:szCs w:val="56"/>
          <w:highlight w:val="none"/>
          <w:lang w:val="en-US" w:eastAsia="zh-CN" w:bidi="ar-SA"/>
          <w14:textFill>
            <w14:solidFill>
              <w14:schemeClr w14:val="tx1"/>
            </w14:solidFill>
          </w14:textFill>
        </w:rPr>
        <w:t>四川省九寨沟县纪律检查委员会</w:t>
      </w:r>
    </w:p>
    <w:p>
      <w:pPr>
        <w:pStyle w:val="7"/>
        <w:jc w:val="center"/>
        <w:rPr>
          <w:rFonts w:hint="default" w:ascii="Times New Roman" w:hAnsi="Times New Roman" w:eastAsia="方正小标宋_GBK" w:cs="Times New Roman"/>
          <w:color w:val="000000" w:themeColor="text1"/>
          <w:kern w:val="2"/>
          <w:sz w:val="56"/>
          <w:szCs w:val="56"/>
          <w:highlight w:val="none"/>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kern w:val="2"/>
          <w:sz w:val="56"/>
          <w:szCs w:val="56"/>
          <w:highlight w:val="none"/>
          <w:lang w:val="en-US" w:eastAsia="zh-CN" w:bidi="ar-SA"/>
          <w14:textFill>
            <w14:solidFill>
              <w14:schemeClr w14:val="tx1"/>
            </w14:solidFill>
          </w14:textFill>
        </w:rPr>
        <w:t>单位决算</w:t>
      </w:r>
    </w:p>
    <w:p>
      <w:pPr>
        <w:spacing w:line="600" w:lineRule="exact"/>
        <w:jc w:val="center"/>
        <w:outlineLvl w:val="0"/>
        <w:rPr>
          <w:rFonts w:hint="default" w:ascii="Times New Roman" w:hAnsi="Times New Roman" w:eastAsia="方正小标宋简体" w:cs="Times New Roman"/>
          <w:color w:val="000000" w:themeColor="text1"/>
          <w:sz w:val="72"/>
          <w:szCs w:val="72"/>
          <w:highlight w:val="none"/>
          <w14:textFill>
            <w14:solidFill>
              <w14:schemeClr w14:val="tx1"/>
            </w14:solidFill>
          </w14:textFill>
        </w:rPr>
      </w:pPr>
    </w:p>
    <w:p>
      <w:pPr>
        <w:pStyle w:val="21"/>
        <w:rPr>
          <w:rFonts w:hint="default" w:ascii="Times New Roman" w:hAnsi="Times New Roman" w:cs="Times New Roman"/>
          <w:color w:val="000000" w:themeColor="text1"/>
          <w:highlight w:val="none"/>
          <w14:textFill>
            <w14:solidFill>
              <w14:schemeClr w14:val="tx1"/>
            </w14:solidFill>
          </w14:textFill>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center"/>
        <w:rPr>
          <w:rFonts w:hint="default" w:ascii="Times New Roman" w:hAnsi="Times New Roman" w:eastAsia="黑体" w:cs="Times New Roman"/>
          <w:color w:val="000000" w:themeColor="text1"/>
          <w:sz w:val="48"/>
          <w:szCs w:val="48"/>
          <w:highlight w:val="none"/>
          <w14:textFill>
            <w14:solidFill>
              <w14:schemeClr w14:val="tx1"/>
            </w14:solidFill>
          </w14:textFill>
        </w:rPr>
      </w:pPr>
      <w:r>
        <w:rPr>
          <w:rFonts w:hint="default" w:ascii="Times New Roman" w:hAnsi="Times New Roman" w:eastAsia="黑体" w:cs="Times New Roman"/>
          <w:color w:val="000000" w:themeColor="text1"/>
          <w:sz w:val="48"/>
          <w:szCs w:val="48"/>
          <w:highlight w:val="none"/>
          <w14:textFill>
            <w14:solidFill>
              <w14:schemeClr w14:val="tx1"/>
            </w14:solidFill>
          </w14:textFill>
        </w:rPr>
        <w:t>目录</w:t>
      </w:r>
    </w:p>
    <w:p>
      <w:pPr>
        <w:widowControl/>
        <w:jc w:val="center"/>
        <w:rPr>
          <w:rFonts w:hint="default" w:ascii="Times New Roman" w:hAnsi="Times New Roman" w:eastAsia="黑体" w:cs="Times New Roman"/>
          <w:color w:val="000000" w:themeColor="text1"/>
          <w:sz w:val="28"/>
          <w:szCs w:val="28"/>
          <w:highlight w:val="none"/>
          <w14:textFill>
            <w14:solidFill>
              <w14:schemeClr w14:val="tx1"/>
            </w14:solidFill>
          </w14:textFill>
        </w:rPr>
      </w:pPr>
    </w:p>
    <w:p>
      <w:pPr>
        <w:pStyle w:val="13"/>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公开时间：20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bookmarkStart w:id="68" w:name="_GoBack"/>
      <w:bookmarkEnd w:id="68"/>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p>
    <w:p>
      <w:pPr>
        <w:rPr>
          <w:rFonts w:hint="default" w:ascii="Times New Roman" w:hAnsi="Times New Roman" w:cs="Times New Roman"/>
          <w:color w:val="000000" w:themeColor="text1"/>
          <w:highlight w:val="none"/>
          <w14:textFill>
            <w14:solidFill>
              <w14:schemeClr w14:val="tx1"/>
            </w14:solidFill>
          </w14:textFill>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第一部分 部门概况</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部门职责</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二、机构设置</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第二部分</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 xml:space="preserve"> 2024年度</w:t>
      </w:r>
      <w:r>
        <w:rPr>
          <w:rFonts w:hint="default" w:ascii="Times New Roman" w:hAnsi="Times New Roman" w:eastAsia="黑体" w:cs="Times New Roman"/>
          <w:color w:val="000000" w:themeColor="text1"/>
          <w:sz w:val="32"/>
          <w:szCs w:val="32"/>
          <w:highlight w:val="none"/>
          <w14:textFill>
            <w14:solidFill>
              <w14:schemeClr w14:val="tx1"/>
            </w14:solidFill>
          </w14:textFill>
        </w:rPr>
        <w:t>部门决算情况说明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一、收入支出决算总体情况说明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二、收入决算情况说明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三、支出决算情况说明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四、财政拨款收入支出决算总体情况说明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五、一般公共预算财政拨款支出决算情况说明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六、一般公共预算财政拨款基本支出决算情况说明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七、财政拨款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三公”经费支出决算情况说明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八、政府性基金预算支出决算情况说明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九、</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有资本经营预算支出决算情况说明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、其他重要事项的情况说明</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第三部分 名词解释</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第四部分 附件</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Times New Roman"/>
          <w:color w:val="000000" w:themeColor="text1"/>
          <w:sz w:val="32"/>
          <w:szCs w:val="32"/>
          <w:highlight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第五部分 附表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八、一般公共预算财政拨款基本支出决算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明细</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十二、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default" w:ascii="Times New Roman" w:hAnsi="Times New Roman" w:eastAsia="仿宋_GB2312" w:cs="Times New Roman"/>
          <w:bCs/>
          <w:color w:val="000000" w:themeColor="text1"/>
          <w:kern w:val="44"/>
          <w:sz w:val="32"/>
          <w:szCs w:val="32"/>
          <w:highlight w:val="none"/>
          <w14:textFill>
            <w14:solidFill>
              <w14:schemeClr w14:val="tx1"/>
            </w14:solidFill>
          </w14:textFill>
        </w:rPr>
      </w:pPr>
      <w:bookmarkStart w:id="6" w:name="_Toc15396599"/>
      <w:bookmarkStart w:id="7" w:name="_Toc15377196"/>
      <w:r>
        <w:rPr>
          <w:rFonts w:hint="default" w:ascii="Times New Roman" w:hAnsi="Times New Roman" w:eastAsia="仿宋_GB2312" w:cs="Times New Roman"/>
          <w:b/>
          <w:color w:val="000000" w:themeColor="text1"/>
          <w:sz w:val="32"/>
          <w:szCs w:val="32"/>
          <w:highlight w:val="none"/>
          <w14:textFill>
            <w14:solidFill>
              <w14:schemeClr w14:val="tx1"/>
            </w14:solidFill>
          </w14:textFill>
        </w:rPr>
        <w:br w:type="page"/>
      </w:r>
    </w:p>
    <w:p>
      <w:pPr>
        <w:pStyle w:val="4"/>
        <w:jc w:val="center"/>
        <w:rPr>
          <w:rStyle w:val="30"/>
          <w:rFonts w:hint="default" w:ascii="Times New Roman" w:hAnsi="Times New Roman" w:eastAsia="方正小标宋简体" w:cs="Times New Roman"/>
          <w:b/>
          <w:bCs w:val="0"/>
          <w:color w:val="000000" w:themeColor="text1"/>
          <w:highlight w:val="none"/>
          <w14:textFill>
            <w14:solidFill>
              <w14:schemeClr w14:val="tx1"/>
            </w14:solidFill>
          </w14:textFill>
        </w:rPr>
      </w:pPr>
      <w:r>
        <w:rPr>
          <w:rFonts w:hint="default" w:ascii="Times New Roman" w:hAnsi="Times New Roman" w:eastAsia="方正小标宋简体" w:cs="Times New Roman"/>
          <w:b w:val="0"/>
          <w:color w:val="000000" w:themeColor="text1"/>
          <w:highlight w:val="none"/>
          <w14:textFill>
            <w14:solidFill>
              <w14:schemeClr w14:val="tx1"/>
            </w14:solidFill>
          </w14:textFill>
        </w:rPr>
        <w:t>第一部分</w:t>
      </w:r>
      <w:r>
        <w:rPr>
          <w:rFonts w:hint="default" w:ascii="Times New Roman" w:hAnsi="Times New Roman" w:eastAsia="方正小标宋简体" w:cs="Times New Roman"/>
          <w:b w:val="0"/>
          <w:color w:val="000000" w:themeColor="text1"/>
          <w:highlight w:val="none"/>
          <w:lang w:val="en-US" w:eastAsia="zh-CN"/>
          <w14:textFill>
            <w14:solidFill>
              <w14:schemeClr w14:val="tx1"/>
            </w14:solidFill>
          </w14:textFill>
        </w:rPr>
        <w:t xml:space="preserve"> </w:t>
      </w:r>
      <w:r>
        <w:rPr>
          <w:rFonts w:hint="default" w:ascii="Times New Roman" w:hAnsi="Times New Roman" w:eastAsia="方正小标宋简体" w:cs="Times New Roman"/>
          <w:b w:val="0"/>
          <w:color w:val="000000" w:themeColor="text1"/>
          <w:highlight w:val="none"/>
          <w14:textFill>
            <w14:solidFill>
              <w14:schemeClr w14:val="tx1"/>
            </w14:solidFill>
          </w14:textFill>
        </w:rPr>
        <w:t xml:space="preserve"> </w:t>
      </w:r>
      <w:r>
        <w:rPr>
          <w:rStyle w:val="30"/>
          <w:rFonts w:hint="default" w:ascii="Times New Roman" w:hAnsi="Times New Roman" w:eastAsia="方正小标宋简体" w:cs="Times New Roman"/>
          <w:b w:val="0"/>
          <w:bCs w:val="0"/>
          <w:color w:val="000000" w:themeColor="text1"/>
          <w:highlight w:val="none"/>
          <w14:textFill>
            <w14:solidFill>
              <w14:schemeClr w14:val="tx1"/>
            </w14:solidFill>
          </w14:textFill>
        </w:rPr>
        <w:t>部门概况</w:t>
      </w:r>
      <w:bookmarkEnd w:id="6"/>
      <w:bookmarkEnd w:id="7"/>
    </w:p>
    <w:p>
      <w:pPr>
        <w:widowControl/>
        <w:jc w:val="left"/>
        <w:rPr>
          <w:rFonts w:hint="default" w:ascii="Times New Roman" w:hAnsi="Times New Roman" w:eastAsia="黑体" w:cs="Times New Roman"/>
          <w:color w:val="000000" w:themeColor="text1"/>
          <w:sz w:val="32"/>
          <w:szCs w:val="32"/>
          <w:highlight w:val="none"/>
          <w14:textFill>
            <w14:solidFill>
              <w14:schemeClr w14:val="tx1"/>
            </w14:solidFill>
          </w14:textFill>
        </w:rPr>
      </w:pPr>
    </w:p>
    <w:p>
      <w:pPr>
        <w:pStyle w:val="5"/>
        <w:rPr>
          <w:rStyle w:val="31"/>
          <w:rFonts w:hint="default" w:ascii="Times New Roman" w:hAnsi="Times New Roman" w:eastAsia="黑体" w:cs="Times New Roman"/>
          <w:b w:val="0"/>
          <w:bCs w:val="0"/>
          <w:color w:val="000000" w:themeColor="text1"/>
          <w:highlight w:val="none"/>
          <w:lang w:eastAsia="zh-CN"/>
          <w14:textFill>
            <w14:solidFill>
              <w14:schemeClr w14:val="tx1"/>
            </w14:solidFill>
          </w14:textFill>
        </w:rPr>
      </w:pPr>
      <w:bookmarkStart w:id="8" w:name="_Toc15377197"/>
      <w:bookmarkStart w:id="9" w:name="_Toc15396600"/>
      <w:r>
        <w:rPr>
          <w:rFonts w:hint="default" w:ascii="Times New Roman" w:hAnsi="Times New Roman" w:eastAsia="黑体" w:cs="Times New Roman"/>
          <w:b w:val="0"/>
          <w:color w:val="000000" w:themeColor="text1"/>
          <w:highlight w:val="none"/>
          <w14:textFill>
            <w14:solidFill>
              <w14:schemeClr w14:val="tx1"/>
            </w14:solidFill>
          </w14:textFill>
        </w:rPr>
        <w:t>一、</w:t>
      </w:r>
      <w:bookmarkEnd w:id="8"/>
      <w:bookmarkEnd w:id="9"/>
      <w:r>
        <w:rPr>
          <w:rFonts w:hint="default" w:ascii="Times New Roman" w:hAnsi="Times New Roman" w:eastAsia="黑体" w:cs="Times New Roman"/>
          <w:b w:val="0"/>
          <w:color w:val="000000" w:themeColor="text1"/>
          <w:highlight w:val="none"/>
          <w:lang w:eastAsia="zh-CN"/>
          <w14:textFill>
            <w14:solidFill>
              <w14:schemeClr w14:val="tx1"/>
            </w14:solidFill>
          </w14:textFill>
        </w:rPr>
        <w:t>部门职责</w:t>
      </w:r>
    </w:p>
    <w:p>
      <w:pPr>
        <w:keepNext w:val="0"/>
        <w:keepLines w:val="0"/>
        <w:pageBreakBefore w:val="0"/>
        <w:widowControl w:val="0"/>
        <w:kinsoku/>
        <w:wordWrap/>
        <w:overflowPunct/>
        <w:topLinePunct w:val="0"/>
        <w:autoSpaceDE/>
        <w:autoSpaceDN/>
        <w:bidi w:val="0"/>
        <w:adjustRightInd/>
        <w:snapToGrid/>
        <w:spacing w:before="113" w:line="480" w:lineRule="exact"/>
        <w:ind w:firstLine="632" w:firstLineChars="200"/>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bookmarkStart w:id="10" w:name="_Toc15377200"/>
      <w:bookmarkStart w:id="11" w:name="_Toc15396601"/>
      <w:r>
        <w:rPr>
          <w:rFonts w:hint="default" w:ascii="Times New Roman" w:hAnsi="Times New Roman" w:eastAsia="Times New Roman" w:cs="Times New Roman"/>
          <w:color w:val="000000" w:themeColor="text1"/>
          <w:spacing w:val="3"/>
          <w:sz w:val="31"/>
          <w:szCs w:val="31"/>
          <w:highlight w:val="none"/>
          <w14:textFill>
            <w14:solidFill>
              <w14:schemeClr w14:val="tx1"/>
            </w14:solidFill>
          </w14:textFill>
        </w:rPr>
        <w:t>1.</w:t>
      </w:r>
      <w:r>
        <w:rPr>
          <w:rFonts w:hint="default" w:ascii="Times New Roman" w:hAnsi="Times New Roman" w:eastAsia="Times New Roman" w:cs="Times New Roman"/>
          <w:color w:val="000000" w:themeColor="text1"/>
          <w:spacing w:val="-34"/>
          <w:sz w:val="31"/>
          <w:szCs w:val="31"/>
          <w:highlight w:val="none"/>
          <w14:textFill>
            <w14:solidFill>
              <w14:schemeClr w14:val="tx1"/>
            </w14:solidFill>
          </w14:textFill>
        </w:rPr>
        <w:t xml:space="preserve"> </w:t>
      </w:r>
      <w:r>
        <w:rPr>
          <w:rFonts w:hint="default" w:ascii="Times New Roman" w:hAnsi="Times New Roman" w:eastAsia="方正仿宋_GBK" w:cs="Times New Roman"/>
          <w:color w:val="000000" w:themeColor="text1"/>
          <w:spacing w:val="3"/>
          <w:sz w:val="31"/>
          <w:szCs w:val="31"/>
          <w:highlight w:val="none"/>
          <w14:textFill>
            <w14:solidFill>
              <w14:schemeClr w14:val="tx1"/>
            </w14:solidFill>
          </w14:textFill>
        </w:rPr>
        <w:t>负责全县党的纪律检查工作。</w:t>
      </w:r>
    </w:p>
    <w:p>
      <w:pPr>
        <w:keepNext w:val="0"/>
        <w:keepLines w:val="0"/>
        <w:pageBreakBefore w:val="0"/>
        <w:widowControl w:val="0"/>
        <w:kinsoku/>
        <w:wordWrap/>
        <w:overflowPunct/>
        <w:topLinePunct w:val="0"/>
        <w:autoSpaceDE/>
        <w:autoSpaceDN/>
        <w:bidi w:val="0"/>
        <w:adjustRightInd/>
        <w:snapToGrid/>
        <w:spacing w:before="111" w:line="480" w:lineRule="exact"/>
        <w:ind w:left="41" w:right="13" w:firstLine="620"/>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9"/>
          <w:sz w:val="31"/>
          <w:szCs w:val="31"/>
          <w:highlight w:val="none"/>
          <w14:textFill>
            <w14:solidFill>
              <w14:schemeClr w14:val="tx1"/>
            </w14:solidFill>
          </w14:textFill>
        </w:rPr>
        <w:t>2.</w:t>
      </w:r>
      <w:r>
        <w:rPr>
          <w:rFonts w:hint="default" w:ascii="Times New Roman" w:hAnsi="Times New Roman" w:eastAsia="方正仿宋_GBK" w:cs="Times New Roman"/>
          <w:color w:val="000000" w:themeColor="text1"/>
          <w:spacing w:val="9"/>
          <w:sz w:val="31"/>
          <w:szCs w:val="31"/>
          <w:highlight w:val="none"/>
          <w14:textFill>
            <w14:solidFill>
              <w14:schemeClr w14:val="tx1"/>
            </w14:solidFill>
          </w14:textFill>
        </w:rPr>
        <w:t>依照党的章程和其他党内法规履行监督、执纪、</w:t>
      </w:r>
      <w:r>
        <w:rPr>
          <w:rFonts w:hint="default" w:ascii="Times New Roman" w:hAnsi="Times New Roman" w:eastAsia="方正仿宋_GBK" w:cs="Times New Roman"/>
          <w:color w:val="000000" w:themeColor="text1"/>
          <w:spacing w:val="-71"/>
          <w:sz w:val="31"/>
          <w:szCs w:val="31"/>
          <w:highlight w:val="none"/>
          <w14:textFill>
            <w14:solidFill>
              <w14:schemeClr w14:val="tx1"/>
            </w14:solidFill>
          </w14:textFill>
        </w:rPr>
        <w:t xml:space="preserve"> </w:t>
      </w:r>
      <w:r>
        <w:rPr>
          <w:rFonts w:hint="default" w:ascii="Times New Roman" w:hAnsi="Times New Roman" w:eastAsia="方正仿宋_GBK" w:cs="Times New Roman"/>
          <w:color w:val="000000" w:themeColor="text1"/>
          <w:spacing w:val="9"/>
          <w:sz w:val="31"/>
          <w:szCs w:val="31"/>
          <w:highlight w:val="none"/>
          <w14:textFill>
            <w14:solidFill>
              <w14:schemeClr w14:val="tx1"/>
            </w14:solidFill>
          </w14:textFill>
        </w:rPr>
        <w:t>问责</w:t>
      </w:r>
      <w:r>
        <w:rPr>
          <w:rFonts w:hint="default" w:ascii="Times New Roman" w:hAnsi="Times New Roman" w:eastAsia="方正仿宋_GBK" w:cs="Times New Roman"/>
          <w:color w:val="000000" w:themeColor="text1"/>
          <w:spacing w:val="8"/>
          <w:sz w:val="31"/>
          <w:szCs w:val="31"/>
          <w:highlight w:val="none"/>
          <w14:textFill>
            <w14:solidFill>
              <w14:schemeClr w14:val="tx1"/>
            </w14:solidFill>
          </w14:textFill>
        </w:rPr>
        <w:t>职责。负责经常对党员进行遵守纪律的教育。受理党员的控</w:t>
      </w:r>
      <w:r>
        <w:rPr>
          <w:rFonts w:hint="default" w:ascii="Times New Roman" w:hAnsi="Times New Roman" w:eastAsia="方正仿宋_GBK" w:cs="Times New Roman"/>
          <w:color w:val="000000" w:themeColor="text1"/>
          <w:spacing w:val="2"/>
          <w:sz w:val="31"/>
          <w:szCs w:val="31"/>
          <w:highlight w:val="none"/>
          <w14:textFill>
            <w14:solidFill>
              <w14:schemeClr w14:val="tx1"/>
            </w14:solidFill>
          </w14:textFill>
        </w:rPr>
        <w:t>告和申诉。</w:t>
      </w:r>
    </w:p>
    <w:p>
      <w:pPr>
        <w:keepNext w:val="0"/>
        <w:keepLines w:val="0"/>
        <w:pageBreakBefore w:val="0"/>
        <w:widowControl w:val="0"/>
        <w:kinsoku/>
        <w:wordWrap/>
        <w:overflowPunct/>
        <w:topLinePunct w:val="0"/>
        <w:autoSpaceDE/>
        <w:autoSpaceDN/>
        <w:bidi w:val="0"/>
        <w:adjustRightInd/>
        <w:snapToGrid/>
        <w:spacing w:before="110" w:line="480" w:lineRule="exact"/>
        <w:ind w:left="667"/>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3"/>
          <w:sz w:val="31"/>
          <w:szCs w:val="31"/>
          <w:highlight w:val="none"/>
          <w14:textFill>
            <w14:solidFill>
              <w14:schemeClr w14:val="tx1"/>
            </w14:solidFill>
          </w14:textFill>
        </w:rPr>
        <w:t>3.</w:t>
      </w:r>
      <w:r>
        <w:rPr>
          <w:rFonts w:hint="default" w:ascii="Times New Roman" w:hAnsi="Times New Roman" w:eastAsia="Times New Roman" w:cs="Times New Roman"/>
          <w:color w:val="000000" w:themeColor="text1"/>
          <w:spacing w:val="-39"/>
          <w:sz w:val="31"/>
          <w:szCs w:val="31"/>
          <w:highlight w:val="none"/>
          <w14:textFill>
            <w14:solidFill>
              <w14:schemeClr w14:val="tx1"/>
            </w14:solidFill>
          </w14:textFill>
        </w:rPr>
        <w:t xml:space="preserve"> </w:t>
      </w:r>
      <w:r>
        <w:rPr>
          <w:rFonts w:hint="default" w:ascii="Times New Roman" w:hAnsi="Times New Roman" w:eastAsia="方正仿宋_GBK" w:cs="Times New Roman"/>
          <w:color w:val="000000" w:themeColor="text1"/>
          <w:spacing w:val="3"/>
          <w:sz w:val="31"/>
          <w:szCs w:val="31"/>
          <w:highlight w:val="none"/>
          <w14:textFill>
            <w14:solidFill>
              <w14:schemeClr w14:val="tx1"/>
            </w14:solidFill>
          </w14:textFill>
        </w:rPr>
        <w:t>负责全县监察工作。</w:t>
      </w:r>
    </w:p>
    <w:p>
      <w:pPr>
        <w:keepNext w:val="0"/>
        <w:keepLines w:val="0"/>
        <w:pageBreakBefore w:val="0"/>
        <w:widowControl w:val="0"/>
        <w:kinsoku/>
        <w:wordWrap/>
        <w:overflowPunct/>
        <w:topLinePunct w:val="0"/>
        <w:autoSpaceDE/>
        <w:autoSpaceDN/>
        <w:bidi w:val="0"/>
        <w:adjustRightInd/>
        <w:snapToGrid/>
        <w:spacing w:before="114" w:line="480" w:lineRule="exact"/>
        <w:ind w:left="31" w:right="13" w:firstLine="628"/>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12"/>
          <w:sz w:val="31"/>
          <w:szCs w:val="31"/>
          <w:highlight w:val="none"/>
          <w14:textFill>
            <w14:solidFill>
              <w14:schemeClr w14:val="tx1"/>
            </w14:solidFill>
          </w14:textFill>
        </w:rPr>
        <w:t>4.</w:t>
      </w:r>
      <w:r>
        <w:rPr>
          <w:rFonts w:hint="default" w:ascii="Times New Roman" w:hAnsi="Times New Roman" w:eastAsia="方正仿宋_GBK" w:cs="Times New Roman"/>
          <w:color w:val="000000" w:themeColor="text1"/>
          <w:spacing w:val="12"/>
          <w:sz w:val="31"/>
          <w:szCs w:val="31"/>
          <w:highlight w:val="none"/>
          <w14:textFill>
            <w14:solidFill>
              <w14:schemeClr w14:val="tx1"/>
            </w14:solidFill>
          </w14:textFill>
        </w:rPr>
        <w:t>依照法律规定履行监督、调查、处置职责、</w:t>
      </w:r>
      <w:r>
        <w:rPr>
          <w:rFonts w:hint="default" w:ascii="Times New Roman" w:hAnsi="Times New Roman" w:eastAsia="方正仿宋_GBK" w:cs="Times New Roman"/>
          <w:color w:val="000000" w:themeColor="text1"/>
          <w:spacing w:val="11"/>
          <w:sz w:val="31"/>
          <w:szCs w:val="31"/>
          <w:highlight w:val="none"/>
          <w14:textFill>
            <w14:solidFill>
              <w14:schemeClr w14:val="tx1"/>
            </w14:solidFill>
          </w14:textFill>
        </w:rPr>
        <w:t>查办违纪</w:t>
      </w:r>
      <w:r>
        <w:rPr>
          <w:rFonts w:hint="default" w:ascii="Times New Roman" w:hAnsi="Times New Roman" w:eastAsia="方正仿宋_GBK" w:cs="Times New Roman"/>
          <w:color w:val="000000" w:themeColor="text1"/>
          <w:spacing w:val="8"/>
          <w:sz w:val="31"/>
          <w:szCs w:val="31"/>
          <w:highlight w:val="none"/>
          <w14:textFill>
            <w14:solidFill>
              <w14:schemeClr w14:val="tx1"/>
            </w14:solidFill>
          </w14:textFill>
        </w:rPr>
        <w:t>违法及职务犯罪案件。推动开展廉政教育。</w:t>
      </w:r>
    </w:p>
    <w:p>
      <w:pPr>
        <w:keepNext w:val="0"/>
        <w:keepLines w:val="0"/>
        <w:pageBreakBefore w:val="0"/>
        <w:widowControl w:val="0"/>
        <w:kinsoku/>
        <w:wordWrap/>
        <w:overflowPunct/>
        <w:topLinePunct w:val="0"/>
        <w:autoSpaceDE/>
        <w:autoSpaceDN/>
        <w:bidi w:val="0"/>
        <w:adjustRightInd/>
        <w:snapToGrid/>
        <w:spacing w:before="112" w:line="480" w:lineRule="exact"/>
        <w:ind w:left="47" w:right="16" w:firstLine="622"/>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10"/>
          <w:sz w:val="31"/>
          <w:szCs w:val="31"/>
          <w:highlight w:val="none"/>
          <w14:textFill>
            <w14:solidFill>
              <w14:schemeClr w14:val="tx1"/>
            </w14:solidFill>
          </w14:textFill>
        </w:rPr>
        <w:t>5.</w:t>
      </w:r>
      <w:r>
        <w:rPr>
          <w:rFonts w:hint="default" w:ascii="Times New Roman" w:hAnsi="Times New Roman" w:eastAsia="Times New Roman" w:cs="Times New Roman"/>
          <w:color w:val="000000" w:themeColor="text1"/>
          <w:spacing w:val="-41"/>
          <w:sz w:val="31"/>
          <w:szCs w:val="31"/>
          <w:highlight w:val="none"/>
          <w14:textFill>
            <w14:solidFill>
              <w14:schemeClr w14:val="tx1"/>
            </w14:solidFill>
          </w14:textFill>
        </w:rPr>
        <w:t xml:space="preserve"> </w:t>
      </w:r>
      <w:r>
        <w:rPr>
          <w:rFonts w:hint="default" w:ascii="Times New Roman" w:hAnsi="Times New Roman" w:eastAsia="方正仿宋_GBK" w:cs="Times New Roman"/>
          <w:color w:val="000000" w:themeColor="text1"/>
          <w:spacing w:val="10"/>
          <w:sz w:val="31"/>
          <w:szCs w:val="31"/>
          <w:highlight w:val="none"/>
          <w14:textFill>
            <w14:solidFill>
              <w14:schemeClr w14:val="tx1"/>
            </w14:solidFill>
          </w14:textFill>
        </w:rPr>
        <w:t>负责组织协调全面从严治党、党风廉政建设和</w:t>
      </w:r>
      <w:r>
        <w:rPr>
          <w:rFonts w:hint="default" w:ascii="Times New Roman" w:hAnsi="Times New Roman" w:eastAsia="方正仿宋_GBK" w:cs="Times New Roman"/>
          <w:color w:val="000000" w:themeColor="text1"/>
          <w:spacing w:val="9"/>
          <w:sz w:val="31"/>
          <w:szCs w:val="31"/>
          <w:highlight w:val="none"/>
          <w14:textFill>
            <w14:solidFill>
              <w14:schemeClr w14:val="tx1"/>
            </w14:solidFill>
          </w14:textFill>
        </w:rPr>
        <w:t>反腐败</w:t>
      </w:r>
      <w:r>
        <w:rPr>
          <w:rFonts w:hint="default" w:ascii="Times New Roman" w:hAnsi="Times New Roman" w:eastAsia="方正仿宋_GBK" w:cs="Times New Roman"/>
          <w:color w:val="000000" w:themeColor="text1"/>
          <w:spacing w:val="3"/>
          <w:sz w:val="31"/>
          <w:szCs w:val="31"/>
          <w:highlight w:val="none"/>
          <w14:textFill>
            <w14:solidFill>
              <w14:schemeClr w14:val="tx1"/>
            </w14:solidFill>
          </w14:textFill>
        </w:rPr>
        <w:t>宣传教育工作。</w:t>
      </w:r>
    </w:p>
    <w:p>
      <w:pPr>
        <w:keepNext w:val="0"/>
        <w:keepLines w:val="0"/>
        <w:pageBreakBefore w:val="0"/>
        <w:widowControl w:val="0"/>
        <w:kinsoku/>
        <w:wordWrap/>
        <w:overflowPunct/>
        <w:topLinePunct w:val="0"/>
        <w:autoSpaceDE/>
        <w:autoSpaceDN/>
        <w:bidi w:val="0"/>
        <w:adjustRightInd/>
        <w:snapToGrid/>
        <w:spacing w:before="115" w:line="480" w:lineRule="exact"/>
        <w:ind w:left="38" w:right="16" w:firstLine="629"/>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10"/>
          <w:sz w:val="31"/>
          <w:szCs w:val="31"/>
          <w:highlight w:val="none"/>
          <w14:textFill>
            <w14:solidFill>
              <w14:schemeClr w14:val="tx1"/>
            </w14:solidFill>
          </w14:textFill>
        </w:rPr>
        <w:t>6.</w:t>
      </w:r>
      <w:r>
        <w:rPr>
          <w:rFonts w:hint="default" w:ascii="Times New Roman" w:hAnsi="Times New Roman" w:eastAsia="Times New Roman" w:cs="Times New Roman"/>
          <w:color w:val="000000" w:themeColor="text1"/>
          <w:spacing w:val="-40"/>
          <w:sz w:val="31"/>
          <w:szCs w:val="31"/>
          <w:highlight w:val="none"/>
          <w14:textFill>
            <w14:solidFill>
              <w14:schemeClr w14:val="tx1"/>
            </w14:solidFill>
          </w14:textFill>
        </w:rPr>
        <w:t xml:space="preserve"> </w:t>
      </w:r>
      <w:r>
        <w:rPr>
          <w:rFonts w:hint="default" w:ascii="Times New Roman" w:hAnsi="Times New Roman" w:eastAsia="方正仿宋_GBK" w:cs="Times New Roman"/>
          <w:color w:val="000000" w:themeColor="text1"/>
          <w:spacing w:val="10"/>
          <w:sz w:val="31"/>
          <w:szCs w:val="31"/>
          <w:highlight w:val="none"/>
          <w14:textFill>
            <w14:solidFill>
              <w14:schemeClr w14:val="tx1"/>
            </w14:solidFill>
          </w14:textFill>
        </w:rPr>
        <w:t>负责综合分析全面从严治党、党风廉政建设和反</w:t>
      </w:r>
      <w:r>
        <w:rPr>
          <w:rFonts w:hint="default" w:ascii="Times New Roman" w:hAnsi="Times New Roman" w:eastAsia="方正仿宋_GBK" w:cs="Times New Roman"/>
          <w:color w:val="000000" w:themeColor="text1"/>
          <w:spacing w:val="9"/>
          <w:sz w:val="31"/>
          <w:szCs w:val="31"/>
          <w:highlight w:val="none"/>
          <w14:textFill>
            <w14:solidFill>
              <w14:schemeClr w14:val="tx1"/>
            </w14:solidFill>
          </w14:textFill>
        </w:rPr>
        <w:t>腐败</w:t>
      </w:r>
      <w:r>
        <w:rPr>
          <w:rFonts w:hint="default" w:ascii="Times New Roman" w:hAnsi="Times New Roman" w:eastAsia="方正仿宋_GBK" w:cs="Times New Roman"/>
          <w:color w:val="000000" w:themeColor="text1"/>
          <w:spacing w:val="7"/>
          <w:sz w:val="31"/>
          <w:szCs w:val="31"/>
          <w:highlight w:val="none"/>
          <w14:textFill>
            <w14:solidFill>
              <w14:schemeClr w14:val="tx1"/>
            </w14:solidFill>
          </w14:textFill>
        </w:rPr>
        <w:t>工作情况。参与起草我县规范性文件。</w:t>
      </w:r>
    </w:p>
    <w:p>
      <w:pPr>
        <w:keepNext w:val="0"/>
        <w:keepLines w:val="0"/>
        <w:pageBreakBefore w:val="0"/>
        <w:widowControl w:val="0"/>
        <w:kinsoku/>
        <w:wordWrap/>
        <w:overflowPunct/>
        <w:topLinePunct w:val="0"/>
        <w:autoSpaceDE/>
        <w:autoSpaceDN/>
        <w:bidi w:val="0"/>
        <w:adjustRightInd/>
        <w:snapToGrid/>
        <w:spacing w:before="115" w:line="480" w:lineRule="exact"/>
        <w:ind w:left="35" w:right="16" w:firstLine="631"/>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11"/>
          <w:sz w:val="31"/>
          <w:szCs w:val="31"/>
          <w:highlight w:val="none"/>
          <w14:textFill>
            <w14:solidFill>
              <w14:schemeClr w14:val="tx1"/>
            </w14:solidFill>
          </w14:textFill>
        </w:rPr>
        <w:t>7.</w:t>
      </w:r>
      <w:r>
        <w:rPr>
          <w:rFonts w:hint="default" w:ascii="Times New Roman" w:hAnsi="Times New Roman" w:eastAsia="方正仿宋_GBK" w:cs="Times New Roman"/>
          <w:color w:val="000000" w:themeColor="text1"/>
          <w:spacing w:val="11"/>
          <w:sz w:val="31"/>
          <w:szCs w:val="31"/>
          <w:highlight w:val="none"/>
          <w14:textFill>
            <w14:solidFill>
              <w14:schemeClr w14:val="tx1"/>
            </w14:solidFill>
          </w14:textFill>
        </w:rPr>
        <w:t>在州纪委监委的领导下，加强对反腐败国际追逃追赃</w:t>
      </w:r>
      <w:r>
        <w:rPr>
          <w:rFonts w:hint="default" w:ascii="Times New Roman" w:hAnsi="Times New Roman" w:eastAsia="方正仿宋_GBK" w:cs="Times New Roman"/>
          <w:color w:val="000000" w:themeColor="text1"/>
          <w:spacing w:val="8"/>
          <w:sz w:val="31"/>
          <w:szCs w:val="31"/>
          <w:highlight w:val="none"/>
          <w14:textFill>
            <w14:solidFill>
              <w14:schemeClr w14:val="tx1"/>
            </w14:solidFill>
          </w14:textFill>
        </w:rPr>
        <w:t>和防逃工作的组织协调，督促有关部门做好相关工作。</w:t>
      </w:r>
    </w:p>
    <w:p>
      <w:pPr>
        <w:keepNext w:val="0"/>
        <w:keepLines w:val="0"/>
        <w:pageBreakBefore w:val="0"/>
        <w:widowControl w:val="0"/>
        <w:kinsoku/>
        <w:wordWrap/>
        <w:overflowPunct/>
        <w:topLinePunct w:val="0"/>
        <w:autoSpaceDE/>
        <w:autoSpaceDN/>
        <w:bidi w:val="0"/>
        <w:adjustRightInd/>
        <w:snapToGrid/>
        <w:spacing w:before="124" w:line="480" w:lineRule="exact"/>
        <w:ind w:left="46" w:right="16" w:firstLine="627"/>
        <w:textAlignment w:val="auto"/>
        <w:rPr>
          <w:rFonts w:hint="default" w:ascii="Times New Roman" w:hAnsi="Times New Roman" w:eastAsia="方正仿宋_GBK" w:cs="Times New Roman"/>
          <w:color w:val="000000" w:themeColor="text1"/>
          <w:sz w:val="31"/>
          <w:szCs w:val="31"/>
          <w:highlight w:val="none"/>
          <w14:textFill>
            <w14:solidFill>
              <w14:schemeClr w14:val="tx1"/>
            </w14:solidFill>
          </w14:textFill>
        </w:rPr>
      </w:pPr>
      <w:r>
        <w:rPr>
          <w:rFonts w:hint="default" w:ascii="Times New Roman" w:hAnsi="Times New Roman" w:eastAsia="Times New Roman" w:cs="Times New Roman"/>
          <w:color w:val="000000" w:themeColor="text1"/>
          <w:spacing w:val="11"/>
          <w:sz w:val="31"/>
          <w:szCs w:val="31"/>
          <w:highlight w:val="none"/>
          <w14:textFill>
            <w14:solidFill>
              <w14:schemeClr w14:val="tx1"/>
            </w14:solidFill>
          </w14:textFill>
        </w:rPr>
        <w:t>8.</w:t>
      </w:r>
      <w:r>
        <w:rPr>
          <w:rFonts w:hint="default" w:ascii="Times New Roman" w:hAnsi="Times New Roman" w:eastAsia="方正仿宋_GBK" w:cs="Times New Roman"/>
          <w:color w:val="000000" w:themeColor="text1"/>
          <w:spacing w:val="11"/>
          <w:sz w:val="31"/>
          <w:szCs w:val="31"/>
          <w:highlight w:val="none"/>
          <w14:textFill>
            <w14:solidFill>
              <w14:schemeClr w14:val="tx1"/>
            </w14:solidFill>
          </w14:textFill>
        </w:rPr>
        <w:t>根据干部管理权限，负责纪检监察系统队伍建设和组</w:t>
      </w:r>
      <w:r>
        <w:rPr>
          <w:rFonts w:hint="default" w:ascii="Times New Roman" w:hAnsi="Times New Roman" w:eastAsia="方正仿宋_GBK" w:cs="Times New Roman"/>
          <w:color w:val="000000" w:themeColor="text1"/>
          <w:spacing w:val="-1"/>
          <w:sz w:val="31"/>
          <w:szCs w:val="31"/>
          <w:highlight w:val="none"/>
          <w14:textFill>
            <w14:solidFill>
              <w14:schemeClr w14:val="tx1"/>
            </w14:solidFill>
          </w14:textFill>
        </w:rPr>
        <w:t>织建设。</w:t>
      </w:r>
    </w:p>
    <w:p>
      <w:pPr>
        <w:keepNext w:val="0"/>
        <w:keepLines w:val="0"/>
        <w:pageBreakBefore w:val="0"/>
        <w:widowControl w:val="0"/>
        <w:kinsoku/>
        <w:wordWrap/>
        <w:overflowPunct/>
        <w:topLinePunct w:val="0"/>
        <w:autoSpaceDE/>
        <w:autoSpaceDN/>
        <w:bidi w:val="0"/>
        <w:adjustRightInd/>
        <w:snapToGrid/>
        <w:spacing w:before="74" w:line="480" w:lineRule="exact"/>
        <w:ind w:left="26" w:firstLine="652" w:firstLineChars="200"/>
        <w:textAlignment w:val="auto"/>
        <w:rPr>
          <w:rFonts w:hint="default" w:ascii="Times New Roman" w:hAnsi="Times New Roman" w:eastAsia="黑体" w:cs="Times New Roman"/>
          <w:b w:val="0"/>
          <w:color w:val="000000" w:themeColor="text1"/>
          <w:highlight w:val="none"/>
          <w14:textFill>
            <w14:solidFill>
              <w14:schemeClr w14:val="tx1"/>
            </w14:solidFill>
          </w14:textFill>
        </w:rPr>
      </w:pPr>
      <w:r>
        <w:rPr>
          <w:rFonts w:hint="default" w:ascii="Times New Roman" w:hAnsi="Times New Roman" w:eastAsia="Times New Roman" w:cs="Times New Roman"/>
          <w:color w:val="000000" w:themeColor="text1"/>
          <w:spacing w:val="8"/>
          <w:sz w:val="31"/>
          <w:szCs w:val="31"/>
          <w:highlight w:val="none"/>
          <w14:textFill>
            <w14:solidFill>
              <w14:schemeClr w14:val="tx1"/>
            </w14:solidFill>
          </w14:textFill>
        </w:rPr>
        <w:t>9.</w:t>
      </w:r>
      <w:r>
        <w:rPr>
          <w:rFonts w:hint="default" w:ascii="Times New Roman" w:hAnsi="Times New Roman" w:eastAsia="方正仿宋_GBK" w:cs="Times New Roman"/>
          <w:color w:val="000000" w:themeColor="text1"/>
          <w:spacing w:val="8"/>
          <w:sz w:val="31"/>
          <w:szCs w:val="31"/>
          <w:highlight w:val="none"/>
          <w14:textFill>
            <w14:solidFill>
              <w14:schemeClr w14:val="tx1"/>
            </w14:solidFill>
          </w14:textFill>
        </w:rPr>
        <w:t>完成县委和州纪委监委交办的其他任务。</w:t>
      </w:r>
    </w:p>
    <w:p>
      <w:pPr>
        <w:pStyle w:val="5"/>
        <w:rPr>
          <w:rStyle w:val="31"/>
          <w:rFonts w:hint="default" w:ascii="Times New Roman" w:hAnsi="Times New Roman" w:cs="Times New Roman"/>
          <w:b w:val="0"/>
          <w:bCs w:val="0"/>
          <w:color w:val="000000" w:themeColor="text1"/>
          <w:highlight w:val="none"/>
          <w14:textFill>
            <w14:solidFill>
              <w14:schemeClr w14:val="tx1"/>
            </w14:solidFill>
          </w14:textFill>
        </w:rPr>
      </w:pPr>
      <w:r>
        <w:rPr>
          <w:rFonts w:hint="default" w:ascii="Times New Roman" w:hAnsi="Times New Roman" w:eastAsia="黑体" w:cs="Times New Roman"/>
          <w:b w:val="0"/>
          <w:color w:val="000000" w:themeColor="text1"/>
          <w:highlight w:val="none"/>
          <w14:textFill>
            <w14:solidFill>
              <w14:schemeClr w14:val="tx1"/>
            </w14:solidFill>
          </w14:textFill>
        </w:rPr>
        <w:t>二、机</w:t>
      </w:r>
      <w:r>
        <w:rPr>
          <w:rStyle w:val="31"/>
          <w:rFonts w:hint="default" w:ascii="Times New Roman" w:hAnsi="Times New Roman" w:eastAsia="黑体" w:cs="Times New Roman"/>
          <w:b w:val="0"/>
          <w:bCs w:val="0"/>
          <w:color w:val="000000" w:themeColor="text1"/>
          <w:highlight w:val="none"/>
          <w14:textFill>
            <w14:solidFill>
              <w14:schemeClr w14:val="tx1"/>
            </w14:solidFill>
          </w14:textFill>
        </w:rPr>
        <w:t>构设置</w:t>
      </w:r>
      <w:bookmarkEnd w:id="10"/>
      <w:bookmarkEnd w:id="11"/>
    </w:p>
    <w:p>
      <w:pPr>
        <w:ind w:firstLine="800" w:firstLineChars="25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中共九寨沟县纪律检查委员会（本级）下属二级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预算</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单位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个，其中行政单位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个，参照公务员法管理的事业单位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个，其他事业单位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个。</w:t>
      </w:r>
    </w:p>
    <w:p>
      <w:pPr>
        <w:pStyle w:val="7"/>
        <w:adjustRightInd w:val="0"/>
        <w:snapToGrid w:val="0"/>
        <w:spacing w:before="93" w:line="600" w:lineRule="exact"/>
        <w:ind w:firstLine="672" w:firstLineChars="21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纳入</w:t>
      </w:r>
      <w:r>
        <w:rPr>
          <w:rFonts w:hint="default" w:ascii="Times New Roman" w:hAnsi="Times New Roman" w:cs="Times New Roman"/>
          <w:color w:val="000000" w:themeColor="text1"/>
          <w:sz w:val="32"/>
          <w:szCs w:val="32"/>
          <w:highlight w:val="none"/>
          <w14:textFill>
            <w14:solidFill>
              <w14:schemeClr w14:val="tx1"/>
            </w14:solidFill>
          </w14:textFill>
        </w:rPr>
        <w:t>中共九寨沟县纪律检查委员会（本级）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2024年度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部门决算编制范围的二级预算单位包括：</w:t>
      </w:r>
    </w:p>
    <w:p>
      <w:pPr>
        <w:pStyle w:val="7"/>
        <w:numPr>
          <w:ilvl w:val="0"/>
          <w:numId w:val="1"/>
        </w:numPr>
        <w:adjustRightInd w:val="0"/>
        <w:snapToGrid w:val="0"/>
        <w:spacing w:before="93" w:line="600" w:lineRule="exact"/>
        <w:outlineLvl w:val="2"/>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12" w:name="_Toc15306276"/>
      <w:bookmarkStart w:id="13" w:name="_Toc15377202"/>
      <w:bookmarkStart w:id="14" w:name="_Toc15378449"/>
      <w:bookmarkStart w:id="15" w:name="_Toc15377433"/>
      <w:r>
        <w:rPr>
          <w:rFonts w:hint="default" w:ascii="Times New Roman" w:hAnsi="Times New Roman" w:cs="Times New Roman"/>
          <w:color w:val="000000" w:themeColor="text1"/>
          <w:sz w:val="32"/>
          <w:szCs w:val="32"/>
          <w:highlight w:val="none"/>
          <w:lang w:val="en-US" w:eastAsia="zh-CN"/>
          <w14:textFill>
            <w14:solidFill>
              <w14:schemeClr w14:val="tx1"/>
            </w14:solidFill>
          </w14:textFill>
        </w:rPr>
        <w:t>九寨沟县纪律检查委员会</w:t>
      </w:r>
      <w:bookmarkEnd w:id="12"/>
      <w:bookmarkEnd w:id="13"/>
      <w:bookmarkEnd w:id="14"/>
      <w:bookmarkEnd w:id="15"/>
    </w:p>
    <w:p>
      <w:pPr>
        <w:pStyle w:val="7"/>
        <w:adjustRightInd w:val="0"/>
        <w:snapToGrid w:val="0"/>
        <w:spacing w:before="93" w:line="600" w:lineRule="exact"/>
        <w:ind w:firstLine="320" w:firstLineChars="1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widowControl/>
        <w:jc w:val="left"/>
        <w:rPr>
          <w:rFonts w:hint="default" w:ascii="Times New Roman" w:hAnsi="Times New Roman" w:eastAsia="仿宋"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br w:type="page"/>
      </w:r>
    </w:p>
    <w:p>
      <w:pPr>
        <w:pStyle w:val="4"/>
        <w:jc w:val="center"/>
        <w:rPr>
          <w:rFonts w:hint="default" w:ascii="Times New Roman" w:hAnsi="Times New Roman" w:eastAsia="方正小标宋简体" w:cs="Times New Roman"/>
          <w:b w:val="0"/>
          <w:color w:val="000000" w:themeColor="text1"/>
          <w:highlight w:val="none"/>
          <w14:textFill>
            <w14:solidFill>
              <w14:schemeClr w14:val="tx1"/>
            </w14:solidFill>
          </w14:textFill>
        </w:rPr>
      </w:pPr>
      <w:bookmarkStart w:id="16" w:name="_Toc15377204"/>
      <w:bookmarkStart w:id="17" w:name="_Toc15396602"/>
      <w:r>
        <w:rPr>
          <w:rFonts w:hint="default" w:ascii="Times New Roman" w:hAnsi="Times New Roman" w:eastAsia="方正小标宋简体" w:cs="Times New Roman"/>
          <w:b w:val="0"/>
          <w:color w:val="000000" w:themeColor="text1"/>
          <w:highlight w:val="none"/>
          <w14:textFill>
            <w14:solidFill>
              <w14:schemeClr w14:val="tx1"/>
            </w14:solidFill>
          </w14:textFill>
        </w:rPr>
        <w:t>第二部分</w:t>
      </w:r>
      <w:r>
        <w:rPr>
          <w:rFonts w:hint="default" w:ascii="Times New Roman" w:hAnsi="Times New Roman" w:eastAsia="方正小标宋简体" w:cs="Times New Roman"/>
          <w:b w:val="0"/>
          <w:color w:val="000000" w:themeColor="text1"/>
          <w:highlight w:val="none"/>
          <w:lang w:val="en-US" w:eastAsia="zh-CN"/>
          <w14:textFill>
            <w14:solidFill>
              <w14:schemeClr w14:val="tx1"/>
            </w14:solidFill>
          </w14:textFill>
        </w:rPr>
        <w:t xml:space="preserve"> </w:t>
      </w:r>
      <w:r>
        <w:rPr>
          <w:rFonts w:hint="default" w:ascii="Times New Roman" w:hAnsi="Times New Roman" w:eastAsia="方正小标宋简体" w:cs="Times New Roman"/>
          <w:b w:val="0"/>
          <w:color w:val="000000" w:themeColor="text1"/>
          <w:highlight w:val="none"/>
          <w14:textFill>
            <w14:solidFill>
              <w14:schemeClr w14:val="tx1"/>
            </w14:solidFill>
          </w14:textFill>
        </w:rPr>
        <w:t xml:space="preserve"> </w:t>
      </w:r>
      <w:r>
        <w:rPr>
          <w:rFonts w:hint="default" w:ascii="Times New Roman" w:hAnsi="Times New Roman" w:eastAsia="方正小标宋简体" w:cs="Times New Roman"/>
          <w:b w:val="0"/>
          <w:color w:val="000000" w:themeColor="text1"/>
          <w:highlight w:val="none"/>
          <w:lang w:val="en-US" w:eastAsia="zh-CN"/>
          <w14:textFill>
            <w14:solidFill>
              <w14:schemeClr w14:val="tx1"/>
            </w14:solidFill>
          </w14:textFill>
        </w:rPr>
        <w:t>2024年度</w:t>
      </w:r>
      <w:r>
        <w:rPr>
          <w:rFonts w:hint="default" w:ascii="Times New Roman" w:hAnsi="Times New Roman" w:eastAsia="方正小标宋简体" w:cs="Times New Roman"/>
          <w:b w:val="0"/>
          <w:color w:val="000000" w:themeColor="text1"/>
          <w:highlight w:val="none"/>
          <w14:textFill>
            <w14:solidFill>
              <w14:schemeClr w14:val="tx1"/>
            </w14:solidFill>
          </w14:textFill>
        </w:rPr>
        <w:t>部门决算情况说明</w:t>
      </w:r>
      <w:bookmarkEnd w:id="16"/>
      <w:bookmarkEnd w:id="17"/>
    </w:p>
    <w:p>
      <w:pPr>
        <w:rPr>
          <w:rFonts w:hint="default" w:ascii="Times New Roman" w:hAnsi="Times New Roman" w:cs="Times New Roman"/>
          <w:color w:val="000000" w:themeColor="text1"/>
          <w:highlight w:val="none"/>
          <w14:textFill>
            <w14:solidFill>
              <w14:schemeClr w14:val="tx1"/>
            </w14:solidFill>
          </w14:textFill>
        </w:rPr>
      </w:pP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18" w:name="_Toc15396603"/>
      <w:bookmarkStart w:id="19" w:name="_Toc15377205"/>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一、</w:t>
      </w:r>
      <w:r>
        <w:rPr>
          <w:rFonts w:hint="default" w:ascii="Times New Roman" w:hAnsi="Times New Roman" w:eastAsia="黑体" w:cs="Times New Roman"/>
          <w:color w:val="000000" w:themeColor="text1"/>
          <w:sz w:val="32"/>
          <w:szCs w:val="32"/>
          <w:highlight w:val="none"/>
          <w14:textFill>
            <w14:solidFill>
              <w14:schemeClr w14:val="tx1"/>
            </w14:solidFill>
          </w14:textFill>
        </w:rPr>
        <w:t>收</w:t>
      </w:r>
      <w:r>
        <w:rPr>
          <w:rStyle w:val="31"/>
          <w:rFonts w:hint="default" w:ascii="Times New Roman" w:hAnsi="Times New Roman" w:eastAsia="黑体" w:cs="Times New Roman"/>
          <w:b w:val="0"/>
          <w:color w:val="000000" w:themeColor="text1"/>
          <w:highlight w:val="none"/>
          <w14:textFill>
            <w14:solidFill>
              <w14:schemeClr w14:val="tx1"/>
            </w14:solidFill>
          </w14:textFill>
        </w:rPr>
        <w:t>入支出决算总体情况说明</w:t>
      </w:r>
      <w:bookmarkEnd w:id="18"/>
      <w:bookmarkEnd w:id="19"/>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2024年度收入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总计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均为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1333.28万元。与</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相比，</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总计各减少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284.9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万元，下降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17.6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%。主要变动原因是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由于财力紧张，部分资金尚未支付，加上项目减少等。</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pPr>
      <w:bookmarkStart w:id="20" w:name="_Toc15396604"/>
      <w:bookmarkStart w:id="21" w:name="_Toc15377206"/>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二、收入决算情况说明</w:t>
      </w:r>
      <w:bookmarkEnd w:id="20"/>
      <w:bookmarkEnd w:id="21"/>
    </w:p>
    <w:p>
      <w:pPr>
        <w:ind w:firstLine="800" w:firstLineChars="25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2024年度本年收入合计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1244.11万元，其中：一般公共预算财政拨款收入1244.11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100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%；政府性基金预算财政拨款收入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%；国有资本经营预算财政拨款收入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%；上级补助收入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%；事业收入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%；经营收入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%；附属单位上缴收入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%；其他收入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22" w:name="_Toc15396605"/>
      <w:bookmarkStart w:id="23" w:name="_Toc15377207"/>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三、</w:t>
      </w:r>
      <w:r>
        <w:rPr>
          <w:rFonts w:hint="default" w:ascii="Times New Roman" w:hAnsi="Times New Roman" w:eastAsia="黑体" w:cs="Times New Roman"/>
          <w:color w:val="000000" w:themeColor="text1"/>
          <w:sz w:val="32"/>
          <w:szCs w:val="32"/>
          <w:highlight w:val="none"/>
          <w14:textFill>
            <w14:solidFill>
              <w14:schemeClr w14:val="tx1"/>
            </w14:solidFill>
          </w14:textFill>
        </w:rPr>
        <w:t>支</w:t>
      </w:r>
      <w:r>
        <w:rPr>
          <w:rStyle w:val="31"/>
          <w:rFonts w:hint="default" w:ascii="Times New Roman" w:hAnsi="Times New Roman" w:eastAsia="黑体" w:cs="Times New Roman"/>
          <w:b w:val="0"/>
          <w:color w:val="000000" w:themeColor="text1"/>
          <w:highlight w:val="none"/>
          <w14:textFill>
            <w14:solidFill>
              <w14:schemeClr w14:val="tx1"/>
            </w14:solidFill>
          </w14:textFill>
        </w:rPr>
        <w:t>出决算情况说明</w:t>
      </w:r>
      <w:bookmarkEnd w:id="22"/>
      <w:bookmarkEnd w:id="23"/>
    </w:p>
    <w:p>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2024年度本年支出合计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1333.28</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万元，其中：基本支出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1289.52</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96.71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%；项目支出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43.76</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3.28</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%；上缴上级支出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%；经营支出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%；对附属单位补助支出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600" w:lineRule="exact"/>
        <w:ind w:firstLine="640" w:firstLineChars="200"/>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24" w:name="_Toc15396606"/>
      <w:bookmarkStart w:id="25" w:name="_Toc15377208"/>
      <w:r>
        <w:rPr>
          <w:rFonts w:hint="default" w:ascii="Times New Roman" w:hAnsi="Times New Roman" w:eastAsia="黑体" w:cs="Times New Roman"/>
          <w:color w:val="000000" w:themeColor="text1"/>
          <w:sz w:val="32"/>
          <w:szCs w:val="32"/>
          <w:highlight w:val="none"/>
          <w14:textFill>
            <w14:solidFill>
              <w14:schemeClr w14:val="tx1"/>
            </w14:solidFill>
          </w14:textFill>
        </w:rPr>
        <w:t>四、财</w:t>
      </w:r>
      <w:r>
        <w:rPr>
          <w:rStyle w:val="31"/>
          <w:rFonts w:hint="default" w:ascii="Times New Roman" w:hAnsi="Times New Roman" w:eastAsia="黑体" w:cs="Times New Roman"/>
          <w:b w:val="0"/>
          <w:color w:val="000000" w:themeColor="text1"/>
          <w:highlight w:val="none"/>
          <w14:textFill>
            <w14:solidFill>
              <w14:schemeClr w14:val="tx1"/>
            </w14:solidFill>
          </w14:textFill>
        </w:rPr>
        <w:t>政拨款收入支出决算总体情况说明</w:t>
      </w:r>
      <w:bookmarkEnd w:id="24"/>
      <w:bookmarkEnd w:id="25"/>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2024年度财政拨款收入、支出总计均为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1333.28</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万元。与2023年度相比，财政拨款收入总计、支出总计各减少284.9万元，下降17.6%。主要变动原因是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由于财力紧张，部分资金尚未支付，加上项目减少等。</w:t>
      </w:r>
    </w:p>
    <w:p>
      <w:pPr>
        <w:spacing w:line="600" w:lineRule="exact"/>
        <w:ind w:firstLine="640" w:firstLineChars="200"/>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26" w:name="_Toc15377209"/>
      <w:bookmarkStart w:id="27" w:name="_Toc15396607"/>
      <w:r>
        <w:rPr>
          <w:rFonts w:hint="default" w:ascii="Times New Roman" w:hAnsi="Times New Roman" w:eastAsia="黑体" w:cs="Times New Roman"/>
          <w:color w:val="000000" w:themeColor="text1"/>
          <w:sz w:val="32"/>
          <w:szCs w:val="32"/>
          <w:highlight w:val="none"/>
          <w14:textFill>
            <w14:solidFill>
              <w14:schemeClr w14:val="tx1"/>
            </w14:solidFill>
          </w14:textFill>
        </w:rPr>
        <w:t>五、</w:t>
      </w:r>
      <w:r>
        <w:rPr>
          <w:rFonts w:hint="default" w:ascii="Times New Roman" w:hAnsi="Times New Roman" w:eastAsia="黑体" w:cs="Times New Roman"/>
          <w:b/>
          <w:color w:val="000000" w:themeColor="text1"/>
          <w:sz w:val="32"/>
          <w:szCs w:val="32"/>
          <w:highlight w:val="none"/>
          <w14:textFill>
            <w14:solidFill>
              <w14:schemeClr w14:val="tx1"/>
            </w14:solidFill>
          </w14:textFill>
        </w:rPr>
        <w:t>一</w:t>
      </w:r>
      <w:r>
        <w:rPr>
          <w:rStyle w:val="31"/>
          <w:rFonts w:hint="default" w:ascii="Times New Roman" w:hAnsi="Times New Roman" w:eastAsia="黑体" w:cs="Times New Roman"/>
          <w:b w:val="0"/>
          <w:color w:val="000000" w:themeColor="text1"/>
          <w:highlight w:val="none"/>
          <w14:textFill>
            <w14:solidFill>
              <w14:schemeClr w14:val="tx1"/>
            </w14:solidFill>
          </w14:textFill>
        </w:rPr>
        <w:t>般公共预算财政拨款支出决算情况说明</w:t>
      </w:r>
      <w:bookmarkEnd w:id="26"/>
      <w:bookmarkEnd w:id="27"/>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28" w:name="_Toc15377210"/>
      <w:r>
        <w:rPr>
          <w:rFonts w:hint="default" w:ascii="Times New Roman" w:hAnsi="Times New Roman" w:eastAsia="楷体_GB2312" w:cs="Times New Roman"/>
          <w:b/>
          <w:color w:val="000000" w:themeColor="text1"/>
          <w:sz w:val="32"/>
          <w:szCs w:val="32"/>
          <w:highlight w:val="none"/>
          <w14:textFill>
            <w14:solidFill>
              <w14:schemeClr w14:val="tx1"/>
            </w14:solidFill>
          </w14:textFill>
        </w:rPr>
        <w:t>（一）一般公共预算财政拨款支出决算总体情况</w:t>
      </w:r>
      <w:bookmarkEnd w:id="28"/>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2024年度一般公共预算财政拨款支出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1333.28</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万元，占本年支出合计的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100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%。与2023年度相比，一般公共预算财政拨款支出减少284.9万元，下降17.6%。主要变动原因是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由于财力紧张，部分资金尚未支付，加上项目减少等。</w:t>
      </w:r>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29" w:name="_Toc15377211"/>
      <w:r>
        <w:rPr>
          <w:rFonts w:hint="default" w:ascii="Times New Roman" w:hAnsi="Times New Roman" w:eastAsia="楷体_GB2312" w:cs="Times New Roman"/>
          <w:b/>
          <w:color w:val="000000" w:themeColor="text1"/>
          <w:sz w:val="32"/>
          <w:szCs w:val="32"/>
          <w:highlight w:val="none"/>
          <w14:textFill>
            <w14:solidFill>
              <w14:schemeClr w14:val="tx1"/>
            </w14:solidFill>
          </w14:textFill>
        </w:rPr>
        <w:t>（二）一般公共预算财政拨款支出决算结构情况</w:t>
      </w:r>
      <w:bookmarkEnd w:id="29"/>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2024年度一般公共预算财政拨款支出</w:t>
      </w:r>
      <w:r>
        <w:rPr>
          <w:rFonts w:hint="default" w:ascii="Times New Roman" w:hAnsi="Times New Roman" w:eastAsia="仿宋_GB2312" w:cs="Times New Roman"/>
          <w:color w:val="000000" w:themeColor="text1"/>
          <w:sz w:val="32"/>
          <w:szCs w:val="32"/>
          <w14:textFill>
            <w14:solidFill>
              <w14:schemeClr w14:val="tx1"/>
            </w14:solidFill>
          </w14:textFill>
        </w:rPr>
        <w:t>1333.28</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万元，主要用于以下方面：一般公共服务支出1014.51万元，占76.1%；社会保障和就业支出165.52万元，占12.4%；卫生健康支出65.6万元，占5%；住房保障支出87.65万元，占6.5%；</w:t>
      </w:r>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30" w:name="_Toc15377212"/>
      <w:r>
        <w:rPr>
          <w:rFonts w:hint="default" w:ascii="Times New Roman" w:hAnsi="Times New Roman" w:eastAsia="楷体_GB2312" w:cs="Times New Roman"/>
          <w:b/>
          <w:color w:val="000000" w:themeColor="text1"/>
          <w:sz w:val="32"/>
          <w:szCs w:val="32"/>
          <w:highlight w:val="none"/>
          <w14:textFill>
            <w14:solidFill>
              <w14:schemeClr w14:val="tx1"/>
            </w14:solidFill>
          </w14:textFill>
        </w:rPr>
        <w:t>（三）一般公共预算财政拨款支出决算具体情况</w:t>
      </w:r>
      <w:bookmarkEnd w:id="30"/>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bookmarkStart w:id="31" w:name="_Toc15377213"/>
      <w:bookmarkStart w:id="32" w:name="_Toc15378460"/>
      <w:bookmarkStart w:id="33" w:name="_Toc15377444"/>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2024年度一般公共预算财政拨款支出决算数为</w:t>
      </w:r>
      <w:r>
        <w:rPr>
          <w:rFonts w:hint="default" w:ascii="Times New Roman" w:hAnsi="Times New Roman" w:eastAsia="仿宋_GB2312" w:cs="Times New Roman"/>
          <w:color w:val="000000" w:themeColor="text1"/>
          <w:sz w:val="32"/>
          <w:szCs w:val="32"/>
          <w14:textFill>
            <w14:solidFill>
              <w14:schemeClr w14:val="tx1"/>
            </w14:solidFill>
          </w14:textFill>
        </w:rPr>
        <w:t>1333.28</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，完成预算100%。其中：</w:t>
      </w:r>
      <w:bookmarkEnd w:id="31"/>
      <w:bookmarkEnd w:id="32"/>
      <w:bookmarkEnd w:id="33"/>
    </w:p>
    <w:p>
      <w:pPr>
        <w:numPr>
          <w:ilvl w:val="0"/>
          <w:numId w:val="0"/>
        </w:numPr>
        <w:spacing w:line="600" w:lineRule="exact"/>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pP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 xml:space="preserve">   1.</w:t>
      </w:r>
      <w:r>
        <w:rPr>
          <w:rStyle w:val="19"/>
          <w:rFonts w:hint="default" w:ascii="Times New Roman" w:hAnsi="Times New Roman" w:eastAsia="仿宋" w:cs="Times New Roman"/>
          <w:bCs/>
          <w:color w:val="000000" w:themeColor="text1"/>
          <w:sz w:val="32"/>
          <w:szCs w:val="32"/>
          <w14:textFill>
            <w14:solidFill>
              <w14:schemeClr w14:val="tx1"/>
            </w14:solidFill>
          </w14:textFill>
        </w:rPr>
        <w:t>一般公共服务（</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201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纪检监察事务</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11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行政运行</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970.75</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100</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w:t>
      </w:r>
      <w:r>
        <w:rPr>
          <w:rStyle w:val="19"/>
          <w:rFonts w:hint="default" w:ascii="Times New Roman" w:hAnsi="Times New Roman" w:eastAsia="仿宋" w:cs="Times New Roman"/>
          <w:bCs/>
          <w:color w:val="000000" w:themeColor="text1"/>
          <w:sz w:val="32"/>
          <w:szCs w:val="32"/>
          <w14:textFill>
            <w14:solidFill>
              <w14:schemeClr w14:val="tx1"/>
            </w14:solidFill>
          </w14:textFill>
        </w:rPr>
        <w:t>一般公共服务（</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201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纪检监察事务</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11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行政运行</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02</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20.93</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100</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w:t>
      </w:r>
      <w:r>
        <w:rPr>
          <w:rStyle w:val="19"/>
          <w:rFonts w:hint="default" w:ascii="Times New Roman" w:hAnsi="Times New Roman" w:eastAsia="仿宋" w:cs="Times New Roman"/>
          <w:bCs/>
          <w:color w:val="000000" w:themeColor="text1"/>
          <w:sz w:val="32"/>
          <w:szCs w:val="32"/>
          <w14:textFill>
            <w14:solidFill>
              <w14:schemeClr w14:val="tx1"/>
            </w14:solidFill>
          </w14:textFill>
        </w:rPr>
        <w:t>一般公共服务（</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201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纪检监察事务</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11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其他纪检监察事务支出</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99</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22.83万元，完成预算100%。</w:t>
      </w:r>
    </w:p>
    <w:p>
      <w:pPr>
        <w:numPr>
          <w:ilvl w:val="0"/>
          <w:numId w:val="0"/>
        </w:numPr>
        <w:spacing w:line="600" w:lineRule="exact"/>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pP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 xml:space="preserve">    2.</w:t>
      </w:r>
      <w:r>
        <w:rPr>
          <w:rStyle w:val="19"/>
          <w:rFonts w:hint="default" w:ascii="Times New Roman" w:hAnsi="Times New Roman" w:eastAsia="仿宋" w:cs="Times New Roman"/>
          <w:bCs/>
          <w:color w:val="000000" w:themeColor="text1"/>
          <w:sz w:val="32"/>
          <w:szCs w:val="32"/>
          <w14:textFill>
            <w14:solidFill>
              <w14:schemeClr w14:val="tx1"/>
            </w14:solidFill>
          </w14:textFill>
        </w:rPr>
        <w:t>社会保障和就业（</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208</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行政事业单位养老支出</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05</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机关事业单位基本养老保险缴费支出</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05</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103.8</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100</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w:t>
      </w:r>
    </w:p>
    <w:p>
      <w:pPr>
        <w:numPr>
          <w:ilvl w:val="0"/>
          <w:numId w:val="0"/>
        </w:numPr>
        <w:spacing w:line="600" w:lineRule="exact"/>
        <w:rPr>
          <w:rFonts w:hint="default" w:ascii="Times New Roman" w:hAnsi="Times New Roman" w:cs="Times New Roman"/>
          <w:color w:val="000000" w:themeColor="text1"/>
          <w:lang w:eastAsia="zh-CN"/>
          <w14:textFill>
            <w14:solidFill>
              <w14:schemeClr w14:val="tx1"/>
            </w14:solidFill>
          </w14:textFill>
        </w:rPr>
      </w:pP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 xml:space="preserve">    3.</w:t>
      </w:r>
      <w:r>
        <w:rPr>
          <w:rStyle w:val="19"/>
          <w:rFonts w:hint="default" w:ascii="Times New Roman" w:hAnsi="Times New Roman" w:eastAsia="仿宋" w:cs="Times New Roman"/>
          <w:bCs/>
          <w:color w:val="000000" w:themeColor="text1"/>
          <w:sz w:val="32"/>
          <w:szCs w:val="32"/>
          <w14:textFill>
            <w14:solidFill>
              <w14:schemeClr w14:val="tx1"/>
            </w14:solidFill>
          </w14:textFill>
        </w:rPr>
        <w:t>社会保障和就业（</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208</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行政事业单位养老支出</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05</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机关事业单位职业年金缴费支出</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06</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61.73</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100</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w:t>
      </w:r>
    </w:p>
    <w:p>
      <w:pPr>
        <w:numPr>
          <w:ilvl w:val="0"/>
          <w:numId w:val="0"/>
        </w:numPr>
        <w:spacing w:line="600" w:lineRule="exact"/>
        <w:rPr>
          <w:rFonts w:hint="default" w:ascii="Times New Roman" w:hAnsi="Times New Roman" w:eastAsia="仿宋" w:cs="Times New Roman"/>
          <w:b/>
          <w:color w:val="000000" w:themeColor="text1"/>
          <w:sz w:val="32"/>
          <w:szCs w:val="32"/>
          <w:lang w:val="en-US"/>
          <w14:textFill>
            <w14:solidFill>
              <w14:schemeClr w14:val="tx1"/>
            </w14:solidFill>
          </w14:textFill>
        </w:rPr>
      </w:pPr>
      <w:r>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t xml:space="preserve">    4.</w:t>
      </w:r>
      <w:r>
        <w:rPr>
          <w:rFonts w:hint="default" w:ascii="Times New Roman" w:hAnsi="Times New Roman" w:eastAsia="仿宋" w:cs="Times New Roman"/>
          <w:b/>
          <w:bCs/>
          <w:color w:val="000000" w:themeColor="text1"/>
          <w:sz w:val="32"/>
          <w:szCs w:val="32"/>
          <w14:textFill>
            <w14:solidFill>
              <w14:schemeClr w14:val="tx1"/>
            </w14:solidFill>
          </w14:textFill>
        </w:rPr>
        <w:t>卫生健康</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210</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行政事业单位医疗</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11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行政单位医疗</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52.57</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100</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w:t>
      </w:r>
    </w:p>
    <w:p>
      <w:pPr>
        <w:numPr>
          <w:ilvl w:val="0"/>
          <w:numId w:val="0"/>
        </w:numPr>
        <w:spacing w:line="600" w:lineRule="exact"/>
        <w:rPr>
          <w:rFonts w:hint="default" w:ascii="Times New Roman" w:hAnsi="Times New Roman" w:eastAsia="仿宋" w:cs="Times New Roman"/>
          <w:b/>
          <w:color w:val="000000" w:themeColor="text1"/>
          <w:sz w:val="32"/>
          <w:szCs w:val="32"/>
          <w:lang w:val="en-US"/>
          <w14:textFill>
            <w14:solidFill>
              <w14:schemeClr w14:val="tx1"/>
            </w14:solidFill>
          </w14:textFill>
        </w:rPr>
      </w:pPr>
      <w:r>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t xml:space="preserve">    5.</w:t>
      </w:r>
      <w:r>
        <w:rPr>
          <w:rFonts w:hint="default" w:ascii="Times New Roman" w:hAnsi="Times New Roman" w:eastAsia="仿宋" w:cs="Times New Roman"/>
          <w:b/>
          <w:bCs/>
          <w:color w:val="000000" w:themeColor="text1"/>
          <w:sz w:val="32"/>
          <w:szCs w:val="32"/>
          <w14:textFill>
            <w14:solidFill>
              <w14:schemeClr w14:val="tx1"/>
            </w14:solidFill>
          </w14:textFill>
        </w:rPr>
        <w:t>卫生健康</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210</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行政事业单位医疗</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11</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eastAsia="zh-CN"/>
          <w14:textFill>
            <w14:solidFill>
              <w14:schemeClr w14:val="tx1"/>
            </w14:solidFill>
          </w14:textFill>
        </w:rPr>
        <w:t>公务员医疗补助</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03</w:t>
      </w:r>
      <w:r>
        <w:rPr>
          <w:rStyle w:val="19"/>
          <w:rFonts w:hint="default" w:ascii="Times New Roman" w:hAnsi="Times New Roman" w:eastAsia="仿宋" w:cs="Times New Roman"/>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13.03</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100</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w:t>
      </w:r>
      <w:r>
        <w:rPr>
          <w:rStyle w:val="19"/>
          <w:rFonts w:hint="default" w:ascii="Times New Roman" w:hAnsi="Times New Roman" w:eastAsia="仿宋" w:cs="Times New Roman"/>
          <w:b w:val="0"/>
          <w:bCs/>
          <w:color w:val="000000" w:themeColor="text1"/>
          <w:sz w:val="32"/>
          <w:szCs w:val="32"/>
          <w:lang w:eastAsia="zh-CN"/>
          <w14:textFill>
            <w14:solidFill>
              <w14:schemeClr w14:val="tx1"/>
            </w14:solidFill>
          </w14:textFill>
        </w:rPr>
        <w:t>。</w:t>
      </w:r>
    </w:p>
    <w:p>
      <w:pPr>
        <w:spacing w:line="576" w:lineRule="exact"/>
        <w:ind w:firstLine="642" w:firstLineChars="200"/>
        <w:rPr>
          <w:rFonts w:hint="default" w:ascii="Times New Roman" w:hAnsi="Times New Roman" w:cs="Times New Roman"/>
          <w:color w:val="000000" w:themeColor="text1"/>
          <w:lang w:val="en-US" w:eastAsia="zh-CN"/>
          <w14:textFill>
            <w14:solidFill>
              <w14:schemeClr w14:val="tx1"/>
            </w14:solidFill>
          </w14:textFill>
        </w:rPr>
      </w:pPr>
      <w:r>
        <w:rPr>
          <w:rStyle w:val="19"/>
          <w:rFonts w:hint="default" w:ascii="Times New Roman" w:hAnsi="Times New Roman" w:eastAsia="仿宋" w:cs="Times New Roman"/>
          <w:bCs/>
          <w:color w:val="000000" w:themeColor="text1"/>
          <w:sz w:val="32"/>
          <w:szCs w:val="32"/>
          <w:lang w:val="en-US" w:eastAsia="zh-CN"/>
          <w14:textFill>
            <w14:solidFill>
              <w14:schemeClr w14:val="tx1"/>
            </w14:solidFill>
          </w14:textFill>
        </w:rPr>
        <w:t>7.</w:t>
      </w:r>
      <w:r>
        <w:rPr>
          <w:rStyle w:val="19"/>
          <w:rFonts w:hint="default" w:ascii="Times New Roman" w:hAnsi="Times New Roman" w:eastAsia="仿宋" w:cs="Times New Roman"/>
          <w:bCs/>
          <w:color w:val="000000" w:themeColor="text1"/>
          <w:sz w:val="32"/>
          <w:szCs w:val="32"/>
          <w14:textFill>
            <w14:solidFill>
              <w14:schemeClr w14:val="tx1"/>
            </w14:solidFill>
          </w14:textFill>
        </w:rPr>
        <w:t>住房保障（221）住房改革支出（02）住房公积金（01）:</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支出决算为</w:t>
      </w:r>
      <w:r>
        <w:rPr>
          <w:rStyle w:val="19"/>
          <w:rFonts w:hint="default" w:ascii="Times New Roman" w:hAnsi="Times New Roman" w:eastAsia="仿宋" w:cs="Times New Roman"/>
          <w:b w:val="0"/>
          <w:bCs/>
          <w:color w:val="000000" w:themeColor="text1"/>
          <w:sz w:val="32"/>
          <w:szCs w:val="32"/>
          <w:lang w:val="en-US" w:eastAsia="zh-CN"/>
          <w14:textFill>
            <w14:solidFill>
              <w14:schemeClr w14:val="tx1"/>
            </w14:solidFill>
          </w14:textFill>
        </w:rPr>
        <w:t>87.65</w:t>
      </w:r>
      <w:r>
        <w:rPr>
          <w:rStyle w:val="19"/>
          <w:rFonts w:hint="default" w:ascii="Times New Roman" w:hAnsi="Times New Roman" w:eastAsia="仿宋" w:cs="Times New Roman"/>
          <w:b w:val="0"/>
          <w:bCs/>
          <w:color w:val="000000" w:themeColor="text1"/>
          <w:sz w:val="32"/>
          <w:szCs w:val="32"/>
          <w14:textFill>
            <w14:solidFill>
              <w14:schemeClr w14:val="tx1"/>
            </w14:solidFill>
          </w14:textFill>
        </w:rPr>
        <w:t>万元，完成预算100%。</w:t>
      </w:r>
    </w:p>
    <w:p>
      <w:pPr>
        <w:tabs>
          <w:tab w:val="right" w:pos="8306"/>
        </w:tabs>
        <w:spacing w:line="600" w:lineRule="exact"/>
        <w:ind w:firstLine="640"/>
        <w:outlineLvl w:val="1"/>
        <w:rPr>
          <w:rStyle w:val="31"/>
          <w:rFonts w:hint="default" w:ascii="Times New Roman" w:hAnsi="Times New Roman" w:cs="Times New Roman"/>
          <w:color w:val="000000" w:themeColor="text1"/>
          <w:highlight w:val="none"/>
          <w14:textFill>
            <w14:solidFill>
              <w14:schemeClr w14:val="tx1"/>
            </w14:solidFill>
          </w14:textFill>
        </w:rPr>
      </w:pPr>
      <w:bookmarkStart w:id="34" w:name="_Toc15377214"/>
      <w:bookmarkStart w:id="35" w:name="_Toc15396608"/>
      <w:r>
        <w:rPr>
          <w:rFonts w:hint="default" w:ascii="Times New Roman" w:hAnsi="Times New Roman" w:eastAsia="黑体" w:cs="Times New Roman"/>
          <w:color w:val="000000" w:themeColor="text1"/>
          <w:sz w:val="32"/>
          <w:szCs w:val="32"/>
          <w:highlight w:val="none"/>
          <w14:textFill>
            <w14:solidFill>
              <w14:schemeClr w14:val="tx1"/>
            </w14:solidFill>
          </w14:textFill>
        </w:rPr>
        <w:t>六</w:t>
      </w:r>
      <w:r>
        <w:rPr>
          <w:rFonts w:hint="default" w:ascii="Times New Roman" w:hAnsi="Times New Roman" w:eastAsia="黑体" w:cs="Times New Roman"/>
          <w:b/>
          <w:color w:val="000000" w:themeColor="text1"/>
          <w:sz w:val="32"/>
          <w:szCs w:val="32"/>
          <w:highlight w:val="none"/>
          <w14:textFill>
            <w14:solidFill>
              <w14:schemeClr w14:val="tx1"/>
            </w14:solidFill>
          </w14:textFill>
        </w:rPr>
        <w:t>、一</w:t>
      </w:r>
      <w:r>
        <w:rPr>
          <w:rStyle w:val="31"/>
          <w:rFonts w:hint="default" w:ascii="Times New Roman" w:hAnsi="Times New Roman" w:eastAsia="黑体" w:cs="Times New Roman"/>
          <w:b w:val="0"/>
          <w:color w:val="000000" w:themeColor="text1"/>
          <w:highlight w:val="none"/>
          <w14:textFill>
            <w14:solidFill>
              <w14:schemeClr w14:val="tx1"/>
            </w14:solidFill>
          </w14:textFill>
        </w:rPr>
        <w:t>般公共预算财政拨款基本支出决算情况说明</w:t>
      </w:r>
      <w:bookmarkEnd w:id="34"/>
      <w:bookmarkEnd w:id="35"/>
      <w:r>
        <w:rPr>
          <w:rStyle w:val="31"/>
          <w:rFonts w:hint="default" w:ascii="Times New Roman" w:hAnsi="Times New Roman" w:eastAsia="黑体" w:cs="Times New Roman"/>
          <w:b w:val="0"/>
          <w:color w:val="000000" w:themeColor="text1"/>
          <w:highlight w:val="none"/>
          <w14:textFill>
            <w14:solidFill>
              <w14:schemeClr w14:val="tx1"/>
            </w14:solidFill>
          </w14:textFill>
        </w:rPr>
        <w:tab/>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2024年度一般公共预算财政拨款基本支出</w:t>
      </w:r>
      <w:r>
        <w:rPr>
          <w:rFonts w:hint="default" w:ascii="Times New Roman" w:hAnsi="Times New Roman" w:eastAsia="仿宋_GB2312" w:cs="Times New Roman"/>
          <w:color w:val="000000" w:themeColor="text1"/>
          <w:sz w:val="32"/>
          <w:szCs w:val="32"/>
          <w14:textFill>
            <w14:solidFill>
              <w14:schemeClr w14:val="tx1"/>
            </w14:solidFill>
          </w14:textFill>
        </w:rPr>
        <w:t>1289.52</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万元，其中：</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人员经费</w:t>
      </w:r>
      <w:r>
        <w:rPr>
          <w:rFonts w:hint="default" w:ascii="Times New Roman" w:hAnsi="Times New Roman" w:eastAsia="仿宋_GB2312" w:cs="Times New Roman"/>
          <w:color w:val="000000" w:themeColor="text1"/>
          <w:sz w:val="32"/>
          <w:szCs w:val="32"/>
          <w14:textFill>
            <w14:solidFill>
              <w14:schemeClr w14:val="tx1"/>
            </w14:solidFill>
          </w14:textFill>
        </w:rPr>
        <w:t>1110.57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万元，主要包括：基本工资、津贴补贴、奖金、机关事业单位基本养老保险缴费、职业年金缴费、其他社会保障缴费、其他工资福利支出、生活补助、住房公积金、其他对个人和家庭的补助支出等。</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br w:type="textWrapping"/>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　　公用经费</w:t>
      </w:r>
      <w:r>
        <w:rPr>
          <w:rFonts w:hint="default" w:ascii="Times New Roman" w:hAnsi="Times New Roman" w:eastAsia="仿宋_GB2312" w:cs="Times New Roman"/>
          <w:color w:val="000000" w:themeColor="text1"/>
          <w:sz w:val="32"/>
          <w:szCs w:val="32"/>
          <w14:textFill>
            <w14:solidFill>
              <w14:schemeClr w14:val="tx1"/>
            </w14:solidFill>
          </w14:textFill>
        </w:rPr>
        <w:t>178.96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主要包括：办公费、邮电费、差旅费、因公出国（境）费用、维修（护）费、租赁费、培训费、劳务费、委托业务费、工会经费、福利费、公务用车运行维护费、其他交通费、办公设备购置、专用设备购置等。</w:t>
      </w:r>
    </w:p>
    <w:p>
      <w:pPr>
        <w:spacing w:line="600" w:lineRule="exact"/>
        <w:ind w:firstLine="640"/>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36" w:name="_Toc15396609"/>
      <w:bookmarkStart w:id="37" w:name="_Toc15377215"/>
      <w:r>
        <w:rPr>
          <w:rFonts w:hint="default" w:ascii="Times New Roman" w:hAnsi="Times New Roman" w:eastAsia="黑体" w:cs="Times New Roman"/>
          <w:color w:val="000000" w:themeColor="text1"/>
          <w:sz w:val="32"/>
          <w:szCs w:val="32"/>
          <w:highlight w:val="none"/>
          <w14:textFill>
            <w14:solidFill>
              <w14:schemeClr w14:val="tx1"/>
            </w14:solidFill>
          </w14:textFill>
        </w:rPr>
        <w:t>七、</w:t>
      </w:r>
      <w:r>
        <w:rPr>
          <w:rStyle w:val="31"/>
          <w:rFonts w:hint="default" w:ascii="Times New Roman" w:hAnsi="Times New Roman" w:eastAsia="黑体" w:cs="Times New Roman"/>
          <w:b w:val="0"/>
          <w:color w:val="000000" w:themeColor="text1"/>
          <w:highlight w:val="none"/>
          <w14:textFill>
            <w14:solidFill>
              <w14:schemeClr w14:val="tx1"/>
            </w14:solidFill>
          </w14:textFill>
        </w:rPr>
        <w:t>财政拨款</w:t>
      </w:r>
      <w:r>
        <w:rPr>
          <w:rStyle w:val="31"/>
          <w:rFonts w:hint="default" w:ascii="Times New Roman" w:hAnsi="Times New Roman" w:eastAsia="黑体" w:cs="Times New Roman"/>
          <w:color w:val="000000" w:themeColor="text1"/>
          <w:highlight w:val="none"/>
          <w14:textFill>
            <w14:solidFill>
              <w14:schemeClr w14:val="tx1"/>
            </w14:solidFill>
          </w14:textFill>
        </w:rPr>
        <w:t>“</w:t>
      </w:r>
      <w:r>
        <w:rPr>
          <w:rStyle w:val="31"/>
          <w:rFonts w:hint="default" w:ascii="Times New Roman" w:hAnsi="Times New Roman" w:eastAsia="黑体" w:cs="Times New Roman"/>
          <w:b w:val="0"/>
          <w:color w:val="000000" w:themeColor="text1"/>
          <w:highlight w:val="none"/>
          <w14:textFill>
            <w14:solidFill>
              <w14:schemeClr w14:val="tx1"/>
            </w14:solidFill>
          </w14:textFill>
        </w:rPr>
        <w:t>三公”经费支出决算情况说明</w:t>
      </w:r>
      <w:bookmarkEnd w:id="36"/>
      <w:bookmarkEnd w:id="37"/>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38" w:name="_Toc15377216"/>
      <w:r>
        <w:rPr>
          <w:rFonts w:hint="default" w:ascii="Times New Roman" w:hAnsi="Times New Roman" w:eastAsia="楷体_GB2312" w:cs="Times New Roman"/>
          <w:b/>
          <w:color w:val="000000" w:themeColor="text1"/>
          <w:sz w:val="32"/>
          <w:szCs w:val="32"/>
          <w:highlight w:val="none"/>
          <w14:textFill>
            <w14:solidFill>
              <w14:schemeClr w14:val="tx1"/>
            </w14:solidFill>
          </w14:textFill>
        </w:rPr>
        <w:t>（一）“三公”经费财政拨款支出决算总体情况说明</w:t>
      </w:r>
      <w:bookmarkEnd w:id="38"/>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2024年度“三公”经费财政拨款支出决算为</w:t>
      </w:r>
      <w:r>
        <w:rPr>
          <w:rFonts w:hint="default" w:ascii="Times New Roman" w:hAnsi="Times New Roman" w:eastAsia="仿宋_GB2312" w:cs="Times New Roman"/>
          <w:color w:val="000000" w:themeColor="text1"/>
          <w:sz w:val="32"/>
          <w:szCs w:val="32"/>
          <w14:textFill>
            <w14:solidFill>
              <w14:schemeClr w14:val="tx1"/>
            </w14:solidFill>
          </w14:textFill>
        </w:rPr>
        <w:t>12</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万元，完成预算</w:t>
      </w:r>
      <w:r>
        <w:rPr>
          <w:rFonts w:hint="default" w:ascii="Times New Roman" w:hAnsi="Times New Roman" w:eastAsia="仿宋_GB2312" w:cs="Times New Roman"/>
          <w:color w:val="000000" w:themeColor="text1"/>
          <w:sz w:val="32"/>
          <w:szCs w:val="32"/>
          <w14:textFill>
            <w14:solidFill>
              <w14:schemeClr w14:val="tx1"/>
            </w14:solidFill>
          </w14:textFill>
        </w:rPr>
        <w:t>100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%，较上年度减少63.11万元，下降84%。</w:t>
      </w:r>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39" w:name="_Toc15377217"/>
      <w:r>
        <w:rPr>
          <w:rFonts w:hint="default" w:ascii="Times New Roman" w:hAnsi="Times New Roman" w:eastAsia="楷体_GB2312" w:cs="Times New Roman"/>
          <w:b/>
          <w:color w:val="000000" w:themeColor="text1"/>
          <w:sz w:val="32"/>
          <w:szCs w:val="32"/>
          <w:highlight w:val="none"/>
          <w14:textFill>
            <w14:solidFill>
              <w14:schemeClr w14:val="tx1"/>
            </w14:solidFill>
          </w14:textFill>
        </w:rPr>
        <w:t>（二）“三公”经费财政拨款支出决算具体情况说明</w:t>
      </w:r>
      <w:bookmarkEnd w:id="39"/>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2024年度“三公”经费财政拨款支出决算中，公务用车购置及运行维护费支出决算</w:t>
      </w:r>
      <w:r>
        <w:rPr>
          <w:rFonts w:hint="default" w:ascii="Times New Roman" w:hAnsi="Times New Roman" w:eastAsia="仿宋_GB2312" w:cs="Times New Roman"/>
          <w:color w:val="000000" w:themeColor="text1"/>
          <w:sz w:val="32"/>
          <w:szCs w:val="32"/>
          <w14:textFill>
            <w14:solidFill>
              <w14:schemeClr w14:val="tx1"/>
            </w14:solidFill>
          </w14:textFill>
        </w:rPr>
        <w:t>12</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万元，占100%。具体情况如下：</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1.公务用车购置及运行维护费支出12万元，完成预算100%。</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其中：公务用车购置支出</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万元。全年按规定更新购置公务用车0辆，其中：轿车0辆、金额0万元，越野车0辆、金额0万元，载客汽车0辆、金额0万元。截至2024年12月31日，单位共有公务用车4辆，其中：轿车1辆、越野车3辆、载客汽车0辆。</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公务用车运行维护费支出</w:t>
      </w:r>
      <w:r>
        <w:rPr>
          <w:rFonts w:hint="default" w:ascii="Times New Roman" w:hAnsi="Times New Roman" w:eastAsia="仿宋_GB2312" w:cs="Times New Roman"/>
          <w:color w:val="000000" w:themeColor="text1"/>
          <w:sz w:val="32"/>
          <w:szCs w:val="32"/>
          <w14:textFill>
            <w14:solidFill>
              <w14:schemeClr w14:val="tx1"/>
            </w14:solidFill>
          </w14:textFill>
        </w:rPr>
        <w:t>12</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万元。主要用于监督检查、案件办理所需的公务用车燃料费、维修费、过路过桥费、保险费等支出。</w:t>
      </w:r>
    </w:p>
    <w:p>
      <w:pPr>
        <w:spacing w:line="600" w:lineRule="exact"/>
        <w:ind w:firstLine="640"/>
        <w:outlineLvl w:val="1"/>
        <w:rPr>
          <w:rStyle w:val="31"/>
          <w:rFonts w:hint="default" w:ascii="Times New Roman" w:hAnsi="Times New Roman" w:eastAsia="黑体" w:cs="Times New Roman"/>
          <w:color w:val="000000" w:themeColor="text1"/>
          <w:highlight w:val="none"/>
          <w14:textFill>
            <w14:solidFill>
              <w14:schemeClr w14:val="tx1"/>
            </w14:solidFill>
          </w14:textFill>
        </w:rPr>
      </w:pPr>
      <w:bookmarkStart w:id="40" w:name="_Toc15396610"/>
      <w:bookmarkStart w:id="41" w:name="_Toc15377218"/>
      <w:r>
        <w:rPr>
          <w:rFonts w:hint="default" w:ascii="Times New Roman" w:hAnsi="Times New Roman" w:eastAsia="黑体" w:cs="Times New Roman"/>
          <w:color w:val="000000" w:themeColor="text1"/>
          <w:sz w:val="32"/>
          <w:szCs w:val="32"/>
          <w:highlight w:val="none"/>
          <w14:textFill>
            <w14:solidFill>
              <w14:schemeClr w14:val="tx1"/>
            </w14:solidFill>
          </w14:textFill>
        </w:rPr>
        <w:t>八、</w:t>
      </w:r>
      <w:r>
        <w:rPr>
          <w:rStyle w:val="31"/>
          <w:rFonts w:hint="default" w:ascii="Times New Roman" w:hAnsi="Times New Roman" w:eastAsia="黑体" w:cs="Times New Roman"/>
          <w:b w:val="0"/>
          <w:color w:val="000000" w:themeColor="text1"/>
          <w:highlight w:val="none"/>
          <w14:textFill>
            <w14:solidFill>
              <w14:schemeClr w14:val="tx1"/>
            </w14:solidFill>
          </w14:textFill>
        </w:rPr>
        <w:t>政府性基金预算支出决算情况说明</w:t>
      </w:r>
      <w:bookmarkEnd w:id="40"/>
      <w:bookmarkEnd w:id="41"/>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2024年度政府性基金预算财政拨款支出</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万元，占本年支出合计的</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%。与2023年度相比，政府性基金预算财政拨款支出与上年持平。</w:t>
      </w:r>
    </w:p>
    <w:p>
      <w:pPr>
        <w:numPr>
          <w:ilvl w:val="0"/>
          <w:numId w:val="0"/>
        </w:numPr>
        <w:spacing w:line="600" w:lineRule="exact"/>
        <w:ind w:left="630" w:leftChars="0"/>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42" w:name="_Toc15396611"/>
      <w:bookmarkStart w:id="43" w:name="_Toc15377219"/>
      <w:r>
        <w:rPr>
          <w:rStyle w:val="31"/>
          <w:rFonts w:hint="default" w:ascii="Times New Roman" w:hAnsi="Times New Roman" w:eastAsia="黑体" w:cs="Times New Roman"/>
          <w:b w:val="0"/>
          <w:color w:val="000000" w:themeColor="text1"/>
          <w:highlight w:val="none"/>
          <w:lang w:eastAsia="zh-CN"/>
          <w14:textFill>
            <w14:solidFill>
              <w14:schemeClr w14:val="tx1"/>
            </w14:solidFill>
          </w14:textFill>
        </w:rPr>
        <w:t>九、</w:t>
      </w:r>
      <w:r>
        <w:rPr>
          <w:rStyle w:val="31"/>
          <w:rFonts w:hint="default" w:ascii="Times New Roman" w:hAnsi="Times New Roman" w:eastAsia="黑体" w:cs="Times New Roman"/>
          <w:b w:val="0"/>
          <w:color w:val="000000" w:themeColor="text1"/>
          <w:highlight w:val="none"/>
          <w14:textFill>
            <w14:solidFill>
              <w14:schemeClr w14:val="tx1"/>
            </w14:solidFill>
          </w14:textFill>
        </w:rPr>
        <w:t>国有资本经营预算支出决算情况说明</w:t>
      </w:r>
      <w:bookmarkEnd w:id="42"/>
      <w:bookmarkEnd w:id="43"/>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2024年度国有资本经营预算财政拨款支出</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万元，占本年支出合计的</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%。与2023年度相比，国有资本经营预算财政拨款支出</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与上年持平。</w:t>
      </w:r>
    </w:p>
    <w:p>
      <w:pPr>
        <w:numPr>
          <w:ilvl w:val="0"/>
          <w:numId w:val="0"/>
        </w:numPr>
        <w:spacing w:line="600" w:lineRule="exact"/>
        <w:ind w:left="630" w:leftChars="0"/>
        <w:outlineLvl w:val="1"/>
        <w:rPr>
          <w:rStyle w:val="31"/>
          <w:rFonts w:hint="default" w:ascii="Times New Roman" w:hAnsi="Times New Roman" w:eastAsia="黑体" w:cs="Times New Roman"/>
          <w:b w:val="0"/>
          <w:color w:val="000000" w:themeColor="text1"/>
          <w:highlight w:val="none"/>
          <w14:textFill>
            <w14:solidFill>
              <w14:schemeClr w14:val="tx1"/>
            </w14:solidFill>
          </w14:textFill>
        </w:rPr>
      </w:pPr>
      <w:bookmarkStart w:id="44" w:name="_Toc15396612"/>
      <w:bookmarkStart w:id="45" w:name="_Toc15377221"/>
      <w:r>
        <w:rPr>
          <w:rStyle w:val="31"/>
          <w:rFonts w:hint="default" w:ascii="Times New Roman" w:hAnsi="Times New Roman" w:eastAsia="黑体" w:cs="Times New Roman"/>
          <w:b w:val="0"/>
          <w:color w:val="000000" w:themeColor="text1"/>
          <w:highlight w:val="none"/>
          <w:lang w:eastAsia="zh-CN"/>
          <w14:textFill>
            <w14:solidFill>
              <w14:schemeClr w14:val="tx1"/>
            </w14:solidFill>
          </w14:textFill>
        </w:rPr>
        <w:t>十、</w:t>
      </w:r>
      <w:r>
        <w:rPr>
          <w:rStyle w:val="31"/>
          <w:rFonts w:hint="default" w:ascii="Times New Roman" w:hAnsi="Times New Roman" w:eastAsia="黑体" w:cs="Times New Roman"/>
          <w:b w:val="0"/>
          <w:color w:val="000000" w:themeColor="text1"/>
          <w:highlight w:val="none"/>
          <w14:textFill>
            <w14:solidFill>
              <w14:schemeClr w14:val="tx1"/>
            </w14:solidFill>
          </w14:textFill>
        </w:rPr>
        <w:t>其他重要事项的情况说明</w:t>
      </w:r>
      <w:bookmarkEnd w:id="44"/>
      <w:bookmarkEnd w:id="45"/>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46" w:name="_Toc15377222"/>
      <w:r>
        <w:rPr>
          <w:rFonts w:hint="default" w:ascii="Times New Roman" w:hAnsi="Times New Roman" w:eastAsia="楷体_GB2312" w:cs="Times New Roman"/>
          <w:b/>
          <w:color w:val="000000" w:themeColor="text1"/>
          <w:sz w:val="32"/>
          <w:szCs w:val="32"/>
          <w:highlight w:val="none"/>
          <w14:textFill>
            <w14:solidFill>
              <w14:schemeClr w14:val="tx1"/>
            </w14:solidFill>
          </w14:textFill>
        </w:rPr>
        <w:t>（一）机关运行经费支出情况</w:t>
      </w:r>
      <w:bookmarkEnd w:id="46"/>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w:t>
      </w:r>
      <w:r>
        <w:rPr>
          <w:rFonts w:hint="default" w:ascii="Times New Roman" w:hAnsi="Times New Roman" w:eastAsia="仿宋_GB2312" w:cs="Times New Roman"/>
          <w:color w:val="000000" w:themeColor="text1"/>
          <w:sz w:val="32"/>
          <w:szCs w:val="32"/>
          <w14:textFill>
            <w14:solidFill>
              <w14:schemeClr w14:val="tx1"/>
            </w14:solidFill>
          </w14:textFill>
        </w:rPr>
        <w:t>中共九寨沟县纪律检查委员会（本级）</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机关运行经费支出</w:t>
      </w:r>
      <w:r>
        <w:rPr>
          <w:rFonts w:hint="default" w:ascii="Times New Roman" w:hAnsi="Times New Roman" w:eastAsia="仿宋_GB2312" w:cs="Times New Roman"/>
          <w:color w:val="000000" w:themeColor="text1"/>
          <w:sz w:val="32"/>
          <w:szCs w:val="32"/>
          <w14:textFill>
            <w14:solidFill>
              <w14:schemeClr w14:val="tx1"/>
            </w14:solidFill>
          </w14:textFill>
        </w:rPr>
        <w:t>178.96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万元，比2023年度减少</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144.25</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万元，下降</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45</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%。主要原因是</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资本性支出和差旅费下降等。</w:t>
      </w:r>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47" w:name="_Toc15377223"/>
      <w:r>
        <w:rPr>
          <w:rFonts w:hint="default" w:ascii="Times New Roman" w:hAnsi="Times New Roman" w:eastAsia="楷体_GB2312" w:cs="Times New Roman"/>
          <w:b/>
          <w:color w:val="000000" w:themeColor="text1"/>
          <w:sz w:val="32"/>
          <w:szCs w:val="32"/>
          <w:highlight w:val="none"/>
          <w14:textFill>
            <w14:solidFill>
              <w14:schemeClr w14:val="tx1"/>
            </w14:solidFill>
          </w14:textFill>
        </w:rPr>
        <w:t>（二）政府采购支出情况</w:t>
      </w:r>
      <w:bookmarkEnd w:id="47"/>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2024年度，</w:t>
      </w:r>
      <w:r>
        <w:rPr>
          <w:rFonts w:hint="default" w:ascii="Times New Roman" w:hAnsi="Times New Roman" w:eastAsia="仿宋_GB2312" w:cs="Times New Roman"/>
          <w:color w:val="000000" w:themeColor="text1"/>
          <w:sz w:val="32"/>
          <w:szCs w:val="32"/>
          <w14:textFill>
            <w14:solidFill>
              <w14:schemeClr w14:val="tx1"/>
            </w14:solidFill>
          </w14:textFill>
        </w:rPr>
        <w:t>中共九寨沟县纪律检查委员会（本级）</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政府采购支出总额</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万元，其中：政府采购货物支出</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万元、政府采购工程支出</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万元、政府采购服务支出</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万元。主要用于……（具体工作）。授予中小企业合同金额</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万元，占政府采购支出总额的</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%，其中：授予小微企业合同金额</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万元，占政府采购支出总额的</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bookmarkStart w:id="48" w:name="_Toc15377224"/>
      <w:r>
        <w:rPr>
          <w:rFonts w:hint="default" w:ascii="Times New Roman" w:hAnsi="Times New Roman" w:eastAsia="楷体_GB2312" w:cs="Times New Roman"/>
          <w:b/>
          <w:color w:val="000000" w:themeColor="text1"/>
          <w:sz w:val="32"/>
          <w:szCs w:val="32"/>
          <w:highlight w:val="none"/>
          <w14:textFill>
            <w14:solidFill>
              <w14:schemeClr w14:val="tx1"/>
            </w14:solidFill>
          </w14:textFill>
        </w:rPr>
        <w:t>（三）国有资产占有使用情况</w:t>
      </w:r>
      <w:bookmarkEnd w:id="48"/>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截至2024年12月31日，</w:t>
      </w:r>
      <w:r>
        <w:rPr>
          <w:rFonts w:hint="default" w:ascii="Times New Roman" w:hAnsi="Times New Roman" w:eastAsia="仿宋_GB2312" w:cs="Times New Roman"/>
          <w:color w:val="000000" w:themeColor="text1"/>
          <w:sz w:val="32"/>
          <w:szCs w:val="32"/>
          <w14:textFill>
            <w14:solidFill>
              <w14:schemeClr w14:val="tx1"/>
            </w14:solidFill>
          </w14:textFill>
        </w:rPr>
        <w:t>中共九寨沟县纪律检查委员会（本级）</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共有车辆4辆，其中：主要负责人用车</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辆、机要通信用车</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辆、应急保障用车</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辆、其他用车4辆，其他用车主要是用于执法执勤及公务用车。单价100万元（含）以上设备（不含车辆）</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台（套）。</w:t>
      </w:r>
    </w:p>
    <w:p>
      <w:pPr>
        <w:spacing w:line="600" w:lineRule="exact"/>
        <w:ind w:firstLine="642" w:firstLineChars="200"/>
        <w:outlineLvl w:val="2"/>
        <w:rPr>
          <w:rFonts w:hint="default" w:ascii="Times New Roman" w:hAnsi="Times New Roman" w:eastAsia="楷体_GB2312" w:cs="Times New Roman"/>
          <w:b/>
          <w:color w:val="000000" w:themeColor="text1"/>
          <w:sz w:val="32"/>
          <w:szCs w:val="32"/>
          <w:highlight w:val="none"/>
          <w14:textFill>
            <w14:solidFill>
              <w14:schemeClr w14:val="tx1"/>
            </w14:solidFill>
          </w14:textFill>
        </w:rPr>
      </w:pPr>
      <w:r>
        <w:rPr>
          <w:rFonts w:hint="default" w:ascii="Times New Roman" w:hAnsi="Times New Roman" w:eastAsia="楷体_GB2312" w:cs="Times New Roman"/>
          <w:b/>
          <w:color w:val="000000" w:themeColor="text1"/>
          <w:sz w:val="32"/>
          <w:szCs w:val="32"/>
          <w:highlight w:val="none"/>
          <w14:textFill>
            <w14:solidFill>
              <w14:schemeClr w14:val="tx1"/>
            </w14:solidFill>
          </w14:textFill>
        </w:rPr>
        <w:t>（四）预算绩效管理情况</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根据预算绩效管理要求，本单位在2024年度预算编制阶段，组织对多个项目开展了预算事前绩效评估，对多个项目编制了绩效目标。</w:t>
      </w:r>
    </w:p>
    <w:p>
      <w:pPr>
        <w:numPr>
          <w:ilvl w:val="0"/>
          <w:numId w:val="0"/>
        </w:numPr>
        <w:spacing w:line="600" w:lineRule="exact"/>
        <w:jc w:val="center"/>
        <w:outlineLvl w:val="0"/>
        <w:rPr>
          <w:rFonts w:hint="default" w:ascii="Times New Roman" w:hAnsi="Times New Roman" w:cs="Times New Roman"/>
          <w:b/>
          <w:color w:val="000000" w:themeColor="text1"/>
          <w:sz w:val="44"/>
          <w:szCs w:val="44"/>
          <w:highlight w:val="none"/>
          <w14:textFill>
            <w14:solidFill>
              <w14:schemeClr w14:val="tx1"/>
            </w14:solidFill>
          </w14:textFill>
        </w:rPr>
      </w:pPr>
      <w:bookmarkStart w:id="49" w:name="_Toc15377225"/>
      <w:bookmarkStart w:id="50" w:name="_Toc15396613"/>
      <w:r>
        <w:rPr>
          <w:rFonts w:hint="default" w:ascii="Times New Roman" w:hAnsi="Times New Roman" w:eastAsia="黑体" w:cs="Times New Roman"/>
          <w:color w:val="000000" w:themeColor="text1"/>
          <w:sz w:val="44"/>
          <w:szCs w:val="44"/>
          <w:highlight w:val="none"/>
          <w14:textFill>
            <w14:solidFill>
              <w14:schemeClr w14:val="tx1"/>
            </w14:solidFill>
          </w14:textFill>
        </w:rPr>
        <w:t>第</w:t>
      </w:r>
      <w:r>
        <w:rPr>
          <w:rFonts w:hint="default" w:ascii="Times New Roman" w:hAnsi="Times New Roman" w:eastAsia="黑体" w:cs="Times New Roman"/>
          <w:color w:val="000000" w:themeColor="text1"/>
          <w:sz w:val="44"/>
          <w:szCs w:val="44"/>
          <w:highlight w:val="none"/>
          <w:lang w:eastAsia="zh-CN"/>
          <w14:textFill>
            <w14:solidFill>
              <w14:schemeClr w14:val="tx1"/>
            </w14:solidFill>
          </w14:textFill>
        </w:rPr>
        <w:t>三</w:t>
      </w:r>
      <w:r>
        <w:rPr>
          <w:rFonts w:hint="default" w:ascii="Times New Roman" w:hAnsi="Times New Roman" w:eastAsia="黑体" w:cs="Times New Roman"/>
          <w:color w:val="000000" w:themeColor="text1"/>
          <w:sz w:val="44"/>
          <w:szCs w:val="44"/>
          <w:highlight w:val="none"/>
          <w14:textFill>
            <w14:solidFill>
              <w14:schemeClr w14:val="tx1"/>
            </w14:solidFill>
          </w14:textFill>
        </w:rPr>
        <w:t>部分</w:t>
      </w:r>
      <w:r>
        <w:rPr>
          <w:rFonts w:hint="default" w:ascii="Times New Roman" w:hAnsi="Times New Roman" w:eastAsia="黑体" w:cs="Times New Roman"/>
          <w:color w:val="000000" w:themeColor="text1"/>
          <w:sz w:val="44"/>
          <w:szCs w:val="44"/>
          <w:highlight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44"/>
          <w:szCs w:val="44"/>
          <w:highlight w:val="none"/>
          <w14:textFill>
            <w14:solidFill>
              <w14:schemeClr w14:val="tx1"/>
            </w14:solidFill>
          </w14:textFill>
        </w:rPr>
        <w:t>名词解释</w:t>
      </w:r>
      <w:bookmarkEnd w:id="49"/>
      <w:bookmarkEnd w:id="50"/>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 xml:space="preserve">1.财政拨款收入：指单位从同级财政部门取得的财政预 算资金。 </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2.年初结转和结余：指以前年度尚未完成、结转到本年 按有关规定继续使用的资金。</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3.年末结转和结余：指单位按有关规定结转到下年或以 后年度继续使用的资金。</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4.一般公共服务（201）纪检监察事务（11）行政运行（01）： 指反映行政单位（包括实行公务员管理的事业单位）的基本 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5.社会保障和就业（208）行政事业单位养老支出（05） 机关事业单位基本养老保险缴费支出（05）：指反映机关事 业单位实施养老保险制度由单位缴纳的基本养老保险费支 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6.社会保障和就业（208）行政事业单位养老支出（05） 机关事业单位职业年金缴费支出（06）：指反映机关事业单 位实施养老保险制度由单位实际缴纳的职业年金支出。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7.卫生健康（210）行政事业单位医疗（11）行政单位医 疗（01）：指反映财政部门安排的行政单位（包括实行公务 员管理的事业单位，下同）基本医疗保险缴费经费，未参加 医疗保险的行政单位的公费医疗经费，按国家规定享受离休16 人员、红军老战士待遇人员的医疗经费。</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8.卫生健康（210）行政事业单位医疗（11）公务员医疗 补助（03）：指反映财政部门安排的公务员医疗补助经费。</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9.住房保障（221）住房改革支出（02）住房公积金（01）： 指反映行政事业单位按人力资源和社会保障部、财政部规定 的基本工资和津贴补贴以及规定比例为职工缴纳的住房公 积金。</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10.基本支出：指为保障机构正常运转、完成日常工作任 务而发生的人员支出和公用支出。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11.项目支出：指在基本支出之外为完成特定行政任务和 事业发展目标所发生的支出。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12.基本支出：指为保障机构正常运转、完成日常工作任 务而发生的人员支出和公用支出。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13.项目支出：指在基本支出之外为完成特定行政任务和 事业发展目标所发生的支出。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14.“三公”经费：指单位用财政拨款安排的因公出国（境） 费、公务用车购置及运行费和公务接待费。其中，因公出国 （境）费反映单位公务出国（境）的国际旅费、国外城市间 交通费、住宿费、伙食费、培训费、公杂费等支出；公务用 车购置及运行费反映单位公务用车车辆购置支出（含车辆购 置税）及租用费、燃料费、维修费、过路过桥费、保险费等 支出；公务接待费反映单位按规定开支的各类公务接待（含 外宾接待）支出。</w:t>
      </w:r>
    </w:p>
    <w:p>
      <w:pPr>
        <w:spacing w:line="600" w:lineRule="exact"/>
        <w:ind w:firstLine="64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15.机关运行经费：为保障行政单位（含参照公务员法管 理的事业单位）运行用于购买货物和服务的各项资金，包括 办公及印刷费、邮电费、差旅费、会议费、福利费、日常维 修费、专用材料及一般设备购置费、办公用房水电费、办公 用房取暖费、办公用房物业管理费、公务用车运行维护费以 及其他费用。</w:t>
      </w:r>
    </w:p>
    <w:p>
      <w:pPr>
        <w:spacing w:line="600" w:lineRule="exact"/>
        <w:jc w:val="center"/>
        <w:rPr>
          <w:rStyle w:val="30"/>
          <w:rFonts w:hint="default" w:ascii="Times New Roman" w:hAnsi="Times New Roman" w:eastAsia="黑体" w:cs="Times New Roman"/>
          <w:b w:val="0"/>
          <w:color w:val="000000" w:themeColor="text1"/>
          <w:highlight w:val="none"/>
          <w:lang w:eastAsia="zh-CN"/>
          <w14:textFill>
            <w14:solidFill>
              <w14:schemeClr w14:val="tx1"/>
            </w14:solidFill>
          </w14:textFill>
        </w:rPr>
      </w:pPr>
      <w:bookmarkStart w:id="51" w:name="_Toc15377226"/>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br w:type="page"/>
      </w:r>
      <w:bookmarkStart w:id="52" w:name="_Toc15396614"/>
      <w:r>
        <w:rPr>
          <w:rFonts w:hint="default" w:ascii="Times New Roman" w:hAnsi="Times New Roman" w:eastAsia="黑体" w:cs="Times New Roman"/>
          <w:color w:val="000000" w:themeColor="text1"/>
          <w:sz w:val="44"/>
          <w:szCs w:val="44"/>
          <w:highlight w:val="none"/>
          <w14:textFill>
            <w14:solidFill>
              <w14:schemeClr w14:val="tx1"/>
            </w14:solidFill>
          </w14:textFill>
        </w:rPr>
        <w:t>第四部分</w:t>
      </w:r>
      <w:r>
        <w:rPr>
          <w:rFonts w:hint="default" w:ascii="Times New Roman" w:hAnsi="Times New Roman" w:eastAsia="黑体" w:cs="Times New Roman"/>
          <w:color w:val="000000" w:themeColor="text1"/>
          <w:sz w:val="44"/>
          <w:szCs w:val="44"/>
          <w:highlight w:val="none"/>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44"/>
          <w:szCs w:val="44"/>
          <w:highlight w:val="none"/>
          <w14:textFill>
            <w14:solidFill>
              <w14:schemeClr w14:val="tx1"/>
            </w14:solidFill>
          </w14:textFill>
        </w:rPr>
        <w:t xml:space="preserve"> 附件</w:t>
      </w:r>
      <w:bookmarkEnd w:id="52"/>
    </w:p>
    <w:p>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黑体" w:cs="Times New Roman"/>
          <w:color w:val="000000" w:themeColor="text1"/>
          <w:sz w:val="32"/>
          <w:szCs w:val="32"/>
          <w:highlight w:val="none"/>
          <w14:textFill>
            <w14:solidFill>
              <w14:schemeClr w14:val="tx1"/>
            </w14:solidFill>
          </w14:textFill>
        </w:rPr>
      </w:pPr>
    </w:p>
    <w:p>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黑体" w:cs="Times New Roman"/>
          <w:color w:val="000000" w:themeColor="text1"/>
          <w:sz w:val="44"/>
          <w:szCs w:val="44"/>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附件</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1</w:t>
      </w:r>
    </w:p>
    <w:p>
      <w:pPr>
        <w:widowControl/>
        <w:spacing w:line="580" w:lineRule="exact"/>
        <w:contextualSpacing/>
        <w:jc w:val="center"/>
        <w:rPr>
          <w:rFonts w:hint="default" w:ascii="Times New Roman" w:hAnsi="Times New Roman" w:eastAsia="宋体" w:cs="Times New Roman"/>
          <w:b/>
          <w:color w:val="000000" w:themeColor="text1"/>
          <w:sz w:val="44"/>
          <w:szCs w:val="44"/>
          <w:shd w:val="clear" w:color="auto" w:fill="FFFFFF"/>
          <w:lang w:val="en-US" w:eastAsia="zh-CN"/>
          <w14:textFill>
            <w14:solidFill>
              <w14:schemeClr w14:val="tx1"/>
            </w14:solidFill>
          </w14:textFill>
        </w:rPr>
      </w:pPr>
      <w:r>
        <w:rPr>
          <w:rFonts w:hint="default" w:ascii="Times New Roman" w:hAnsi="Times New Roman" w:eastAsia="宋体" w:cs="Times New Roman"/>
          <w:b/>
          <w:color w:val="000000" w:themeColor="text1"/>
          <w:sz w:val="44"/>
          <w:szCs w:val="44"/>
          <w:shd w:val="clear" w:color="auto" w:fill="FFFFFF"/>
          <w:lang w:val="en-US" w:eastAsia="zh-CN"/>
          <w14:textFill>
            <w14:solidFill>
              <w14:schemeClr w14:val="tx1"/>
            </w14:solidFill>
          </w14:textFill>
        </w:rPr>
        <w:t>九寨沟县纪律检查委员会</w:t>
      </w:r>
    </w:p>
    <w:p>
      <w:pPr>
        <w:widowControl/>
        <w:spacing w:line="580" w:lineRule="exact"/>
        <w:contextualSpacing/>
        <w:jc w:val="center"/>
        <w:rPr>
          <w:rFonts w:hint="default" w:ascii="Times New Roman" w:hAnsi="Times New Roman" w:eastAsia="黑体" w:cs="Times New Roman"/>
          <w:color w:val="000000" w:themeColor="text1"/>
          <w:kern w:val="0"/>
          <w:sz w:val="24"/>
          <w:szCs w:val="32"/>
          <w:shd w:val="clear" w:color="auto" w:fill="FFFFFF"/>
          <w14:textFill>
            <w14:solidFill>
              <w14:schemeClr w14:val="tx1"/>
            </w14:solidFill>
          </w14:textFill>
        </w:rPr>
      </w:pPr>
      <w:r>
        <w:rPr>
          <w:rFonts w:hint="default" w:ascii="Times New Roman" w:hAnsi="Times New Roman" w:eastAsia="宋体" w:cs="Times New Roman"/>
          <w:b/>
          <w:color w:val="000000" w:themeColor="text1"/>
          <w:sz w:val="44"/>
          <w:szCs w:val="44"/>
          <w:shd w:val="clear" w:color="auto" w:fill="FFFFFF"/>
          <w:lang w:val="en-US" w:eastAsia="zh-CN"/>
          <w14:textFill>
            <w14:solidFill>
              <w14:schemeClr w14:val="tx1"/>
            </w14:solidFill>
          </w14:textFill>
        </w:rPr>
        <w:t>关于</w:t>
      </w:r>
      <w:r>
        <w:rPr>
          <w:rFonts w:hint="default" w:ascii="Times New Roman" w:hAnsi="Times New Roman" w:eastAsia="宋体" w:cs="Times New Roman"/>
          <w:b/>
          <w:color w:val="000000" w:themeColor="text1"/>
          <w:sz w:val="44"/>
          <w:szCs w:val="44"/>
          <w:shd w:val="clear" w:color="auto" w:fill="FFFFFF"/>
          <w14:textFill>
            <w14:solidFill>
              <w14:schemeClr w14:val="tx1"/>
            </w14:solidFill>
          </w14:textFill>
        </w:rPr>
        <w:t>202</w:t>
      </w:r>
      <w:r>
        <w:rPr>
          <w:rFonts w:hint="default" w:ascii="Times New Roman" w:hAnsi="Times New Roman" w:eastAsia="宋体" w:cs="Times New Roman"/>
          <w:b/>
          <w:color w:val="000000" w:themeColor="text1"/>
          <w:sz w:val="44"/>
          <w:szCs w:val="44"/>
          <w:shd w:val="clear" w:color="auto" w:fill="FFFFFF"/>
          <w:lang w:val="en-US" w:eastAsia="zh-CN"/>
          <w14:textFill>
            <w14:solidFill>
              <w14:schemeClr w14:val="tx1"/>
            </w14:solidFill>
          </w14:textFill>
        </w:rPr>
        <w:t>4</w:t>
      </w:r>
      <w:r>
        <w:rPr>
          <w:rFonts w:hint="default" w:ascii="Times New Roman" w:hAnsi="Times New Roman" w:eastAsia="宋体" w:cs="Times New Roman"/>
          <w:b/>
          <w:color w:val="000000" w:themeColor="text1"/>
          <w:sz w:val="44"/>
          <w:szCs w:val="44"/>
          <w:shd w:val="clear" w:color="auto" w:fill="FFFFFF"/>
          <w14:textFill>
            <w14:solidFill>
              <w14:schemeClr w14:val="tx1"/>
            </w14:solidFill>
          </w14:textFill>
        </w:rPr>
        <w:t>年部门整体支出绩效评价报告</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t>一、部门（单位）概况</w:t>
      </w:r>
    </w:p>
    <w:p>
      <w:pPr>
        <w:spacing w:line="560" w:lineRule="exact"/>
        <w:ind w:firstLine="642" w:firstLineChars="200"/>
        <w:rPr>
          <w:rFonts w:hint="default" w:ascii="Times New Roman" w:hAnsi="Times New Roman" w:eastAsia="楷体" w:cs="Times New Roman"/>
          <w:b/>
          <w:bCs/>
          <w:color w:val="000000" w:themeColor="text1"/>
          <w:sz w:val="32"/>
          <w:szCs w:val="32"/>
          <w:lang w:val="zh-CN"/>
          <w14:textFill>
            <w14:solidFill>
              <w14:schemeClr w14:val="tx1"/>
            </w14:solidFill>
          </w14:textFill>
        </w:rPr>
      </w:pPr>
      <w:r>
        <w:rPr>
          <w:rFonts w:hint="default" w:ascii="Times New Roman" w:hAnsi="Times New Roman" w:eastAsia="楷体" w:cs="Times New Roman"/>
          <w:b/>
          <w:bCs/>
          <w:color w:val="000000" w:themeColor="text1"/>
          <w:sz w:val="32"/>
          <w:szCs w:val="32"/>
          <w:lang w:val="zh-CN"/>
          <w14:textFill>
            <w14:solidFill>
              <w14:schemeClr w14:val="tx1"/>
            </w14:solidFill>
          </w14:textFill>
        </w:rPr>
        <w:t>（一）机构组成</w:t>
      </w:r>
    </w:p>
    <w:p>
      <w:pPr>
        <w:spacing w:line="552" w:lineRule="exact"/>
        <w:ind w:firstLine="645"/>
        <w:textAlignment w:val="baseline"/>
        <w:rPr>
          <w:rFonts w:hint="default" w:ascii="Times New Roman" w:hAnsi="Times New Roman" w:eastAsia="仿宋" w:cs="Times New Roman"/>
          <w:color w:val="000000" w:themeColor="text1"/>
          <w:sz w:val="32"/>
          <w:szCs w:val="32"/>
          <w:lang w:val="zh-CN"/>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县纪委监委</w:t>
      </w:r>
      <w:r>
        <w:rPr>
          <w:rFonts w:hint="default" w:ascii="Times New Roman" w:hAnsi="Times New Roman" w:eastAsia="仿宋" w:cs="Times New Roman"/>
          <w:color w:val="000000" w:themeColor="text1"/>
          <w:sz w:val="32"/>
          <w:szCs w:val="32"/>
          <w:lang w:eastAsia="zh-CN"/>
          <w14:textFill>
            <w14:solidFill>
              <w14:schemeClr w14:val="tx1"/>
            </w14:solidFill>
          </w14:textFill>
        </w:rPr>
        <w:t>合署办公，</w:t>
      </w:r>
      <w:r>
        <w:rPr>
          <w:rFonts w:hint="default" w:ascii="Times New Roman" w:hAnsi="Times New Roman" w:eastAsia="仿宋" w:cs="Times New Roman"/>
          <w:color w:val="000000" w:themeColor="text1"/>
          <w:sz w:val="32"/>
          <w:szCs w:val="32"/>
          <w14:textFill>
            <w14:solidFill>
              <w14:schemeClr w14:val="tx1"/>
            </w14:solidFill>
          </w14:textFill>
        </w:rPr>
        <w:t>属于</w:t>
      </w:r>
      <w:r>
        <w:rPr>
          <w:rFonts w:hint="default" w:ascii="Times New Roman" w:hAnsi="Times New Roman" w:eastAsia="仿宋" w:cs="Times New Roman"/>
          <w:color w:val="000000" w:themeColor="text1"/>
          <w:sz w:val="32"/>
          <w:szCs w:val="32"/>
          <w:lang w:eastAsia="zh-CN"/>
          <w14:textFill>
            <w14:solidFill>
              <w14:schemeClr w14:val="tx1"/>
            </w14:solidFill>
          </w14:textFill>
        </w:rPr>
        <w:t>一级预算</w:t>
      </w:r>
      <w:r>
        <w:rPr>
          <w:rFonts w:hint="default" w:ascii="Times New Roman" w:hAnsi="Times New Roman" w:eastAsia="仿宋" w:cs="Times New Roman"/>
          <w:color w:val="000000" w:themeColor="text1"/>
          <w:sz w:val="32"/>
          <w:szCs w:val="32"/>
          <w14:textFill>
            <w14:solidFill>
              <w14:schemeClr w14:val="tx1"/>
            </w14:solidFill>
          </w14:textFill>
        </w:rPr>
        <w:t>单位</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,内设机构为9个</w:t>
      </w:r>
      <w:r>
        <w:rPr>
          <w:rFonts w:hint="default" w:ascii="Times New Roman" w:hAnsi="Times New Roman" w:eastAsia="仿宋"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仿宋" w:cs="Times New Roman"/>
          <w:color w:val="000000" w:themeColor="text1"/>
          <w:sz w:val="32"/>
          <w:szCs w:val="32"/>
          <w:shd w:val="clear" w:color="auto" w:fill="FFFFFF"/>
          <w:lang w:eastAsia="zh-CN"/>
          <w14:textFill>
            <w14:solidFill>
              <w14:schemeClr w14:val="tx1"/>
            </w14:solidFill>
          </w14:textFill>
        </w:rPr>
        <w:t>分别为</w:t>
      </w:r>
      <w:r>
        <w:rPr>
          <w:rFonts w:hint="default" w:ascii="Times New Roman" w:hAnsi="Times New Roman" w:eastAsia="仿宋" w:cs="Times New Roman"/>
          <w:color w:val="000000" w:themeColor="text1"/>
          <w:sz w:val="32"/>
          <w:szCs w:val="32"/>
          <w:shd w:val="clear" w:color="auto" w:fill="FFFFFF"/>
          <w14:textFill>
            <w14:solidFill>
              <w14:schemeClr w14:val="tx1"/>
            </w14:solidFill>
          </w14:textFill>
        </w:rPr>
        <w:t>：办公室、党风政风监督室、信访室、案件监督管理室、第一纪检监察室、第二纪检监察室、第三纪检监察室、第四纪检监察室、案件审理</w:t>
      </w:r>
      <w:r>
        <w:rPr>
          <w:rFonts w:hint="default" w:ascii="Times New Roman" w:hAnsi="Times New Roman" w:eastAsia="仿宋" w:cs="Times New Roman"/>
          <w:color w:val="000000" w:themeColor="text1"/>
          <w:sz w:val="32"/>
          <w:szCs w:val="32"/>
          <w:shd w:val="clear" w:color="auto" w:fill="FFFFFF"/>
          <w:lang w:eastAsia="zh-CN"/>
          <w14:textFill>
            <w14:solidFill>
              <w14:schemeClr w14:val="tx1"/>
            </w14:solidFill>
          </w14:textFill>
        </w:rPr>
        <w:t>。</w:t>
      </w:r>
    </w:p>
    <w:p>
      <w:pPr>
        <w:spacing w:line="560" w:lineRule="exact"/>
        <w:ind w:firstLine="642" w:firstLineChars="200"/>
        <w:rPr>
          <w:rFonts w:hint="default" w:ascii="Times New Roman" w:hAnsi="Times New Roman" w:eastAsia="楷体" w:cs="Times New Roman"/>
          <w:b/>
          <w:bCs/>
          <w:color w:val="000000" w:themeColor="text1"/>
          <w:sz w:val="32"/>
          <w:szCs w:val="32"/>
          <w:lang w:val="zh-CN"/>
          <w14:textFill>
            <w14:solidFill>
              <w14:schemeClr w14:val="tx1"/>
            </w14:solidFill>
          </w14:textFill>
        </w:rPr>
      </w:pPr>
      <w:r>
        <w:rPr>
          <w:rFonts w:hint="default" w:ascii="Times New Roman" w:hAnsi="Times New Roman" w:eastAsia="楷体" w:cs="Times New Roman"/>
          <w:b/>
          <w:bCs/>
          <w:color w:val="000000" w:themeColor="text1"/>
          <w:sz w:val="32"/>
          <w:szCs w:val="32"/>
          <w:lang w:val="zh-CN" w:eastAsia="zh-CN"/>
          <w14:textFill>
            <w14:solidFill>
              <w14:schemeClr w14:val="tx1"/>
            </w14:solidFill>
          </w14:textFill>
        </w:rPr>
        <w:t>（二）</w:t>
      </w:r>
      <w:r>
        <w:rPr>
          <w:rFonts w:hint="default" w:ascii="Times New Roman" w:hAnsi="Times New Roman" w:eastAsia="楷体" w:cs="Times New Roman"/>
          <w:b/>
          <w:bCs/>
          <w:color w:val="000000" w:themeColor="text1"/>
          <w:sz w:val="32"/>
          <w:szCs w:val="32"/>
          <w:lang w:val="zh-CN"/>
          <w14:textFill>
            <w14:solidFill>
              <w14:schemeClr w14:val="tx1"/>
            </w14:solidFill>
          </w14:textFill>
        </w:rPr>
        <w:t>机构职能</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zh-CN"/>
          <w14:textFill>
            <w14:solidFill>
              <w14:schemeClr w14:val="tx1"/>
            </w14:solidFill>
          </w14:textFill>
        </w:rPr>
        <w:t>1.负责全县党的纪律检查工</w:t>
      </w:r>
      <w:r>
        <w:rPr>
          <w:rFonts w:hint="default" w:ascii="Times New Roman" w:hAnsi="Times New Roman" w:eastAsia="仿宋" w:cs="Times New Roman"/>
          <w:color w:val="000000" w:themeColor="text1"/>
          <w:sz w:val="32"/>
          <w:szCs w:val="32"/>
          <w14:textFill>
            <w14:solidFill>
              <w14:schemeClr w14:val="tx1"/>
            </w14:solidFill>
          </w14:textFill>
        </w:rPr>
        <w:t>作。</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2.依照党的章程和其他党内法规履行监督、执纪、问责职责。负责经常对党员进行遵守纪律的教育。受理党员的控告和申诉。</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3.负责全县监察工作。</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4.依照法律规定履行监督、调查、处置职责。推动开展廉政教育。</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5.负责组织协调全面从严治党、党风廉政建设和反腐败宣传教育工作。</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6.负责综合分析全面从严治党、党风廉政建设和反腐败工作情况。参与起草我县规范性文件。</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7.在州纪委监委的领导下，加强对反腐败国际追逃追赃和防逃工作的组织协调，督促有关部门做好相关工作。</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8.根据干部管理权限，负责纪检监察系统队伍建设和组织建设。</w:t>
      </w:r>
    </w:p>
    <w:p>
      <w:p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9.完成县委和州纪委监委交办的其他任务。</w:t>
      </w:r>
    </w:p>
    <w:p>
      <w:pPr>
        <w:spacing w:line="560" w:lineRule="exact"/>
        <w:ind w:firstLine="642" w:firstLineChars="200"/>
        <w:rPr>
          <w:rFonts w:hint="default" w:ascii="Times New Roman" w:hAnsi="Times New Roman" w:eastAsia="楷体" w:cs="Times New Roman"/>
          <w:b/>
          <w:bCs/>
          <w:color w:val="000000" w:themeColor="text1"/>
          <w:sz w:val="32"/>
          <w:szCs w:val="32"/>
          <w:lang w:val="zh-CN"/>
          <w14:textFill>
            <w14:solidFill>
              <w14:schemeClr w14:val="tx1"/>
            </w14:solidFill>
          </w14:textFill>
        </w:rPr>
      </w:pPr>
      <w:r>
        <w:rPr>
          <w:rFonts w:hint="default" w:ascii="Times New Roman" w:hAnsi="Times New Roman" w:eastAsia="楷体" w:cs="Times New Roman"/>
          <w:b/>
          <w:bCs/>
          <w:color w:val="000000" w:themeColor="text1"/>
          <w:sz w:val="32"/>
          <w:szCs w:val="32"/>
          <w:lang w:val="zh-CN"/>
          <w14:textFill>
            <w14:solidFill>
              <w14:schemeClr w14:val="tx1"/>
            </w14:solidFill>
          </w14:textFill>
        </w:rPr>
        <w:t>（三）人员概况</w:t>
      </w:r>
    </w:p>
    <w:p>
      <w:pPr>
        <w:spacing w:line="560" w:lineRule="exact"/>
        <w:ind w:firstLine="640" w:firstLineChars="200"/>
        <w:rPr>
          <w:rFonts w:hint="default" w:ascii="Times New Roman" w:hAnsi="Times New Roman" w:eastAsia="方正小标宋简体" w:cs="Times New Roman"/>
          <w:b w:val="0"/>
          <w:bCs/>
          <w:color w:val="000000" w:themeColor="text1"/>
          <w:sz w:val="44"/>
          <w:szCs w:val="44"/>
          <w:highlight w:val="none"/>
          <w:shd w:val="clear" w:color="auto" w:fill="FFFFFF"/>
          <w14:textFill>
            <w14:solidFill>
              <w14:schemeClr w14:val="tx1"/>
            </w14:solidFill>
          </w14:textFill>
        </w:rPr>
      </w:pPr>
      <w:r>
        <w:rPr>
          <w:rFonts w:hint="default" w:ascii="Times New Roman" w:hAnsi="Times New Roman" w:eastAsia="仿宋" w:cs="Times New Roman"/>
          <w:color w:val="000000" w:themeColor="text1"/>
          <w:sz w:val="32"/>
          <w:szCs w:val="32"/>
          <w:lang w:val="zh-CN"/>
          <w14:textFill>
            <w14:solidFill>
              <w14:schemeClr w14:val="tx1"/>
            </w14:solidFill>
          </w14:textFill>
        </w:rPr>
        <w:t>县纪委监委编制数为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48</w:t>
      </w:r>
      <w:r>
        <w:rPr>
          <w:rFonts w:hint="default" w:ascii="Times New Roman" w:hAnsi="Times New Roman" w:eastAsia="仿宋" w:cs="Times New Roman"/>
          <w:color w:val="000000" w:themeColor="text1"/>
          <w:sz w:val="32"/>
          <w:szCs w:val="32"/>
          <w14:textFill>
            <w14:solidFill>
              <w14:schemeClr w14:val="tx1"/>
            </w14:solidFill>
          </w14:textFill>
        </w:rPr>
        <w:t>人，其中行政编制4</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14:textFill>
            <w14:solidFill>
              <w14:schemeClr w14:val="tx1"/>
            </w14:solidFill>
          </w14:textFill>
        </w:rPr>
        <w:t>人，行政工勤编制2人。年末实有人数</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48</w:t>
      </w:r>
      <w:r>
        <w:rPr>
          <w:rFonts w:hint="default" w:ascii="Times New Roman" w:hAnsi="Times New Roman" w:eastAsia="仿宋" w:cs="Times New Roman"/>
          <w:color w:val="000000" w:themeColor="text1"/>
          <w:sz w:val="32"/>
          <w:szCs w:val="32"/>
          <w14:textFill>
            <w14:solidFill>
              <w14:schemeClr w14:val="tx1"/>
            </w14:solidFill>
          </w14:textFill>
        </w:rPr>
        <w:t>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lang w:val="zh-CN" w:eastAsia="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val="zh-CN" w:eastAsia="zh-CN"/>
          <w14:textFill>
            <w14:solidFill>
              <w14:schemeClr w14:val="tx1"/>
            </w14:solidFill>
          </w14:textFill>
        </w:rPr>
        <w:t>二、部门资金收支情况</w:t>
      </w:r>
    </w:p>
    <w:p>
      <w:pPr>
        <w:spacing w:line="560" w:lineRule="exact"/>
        <w:ind w:firstLine="642" w:firstLineChars="200"/>
        <w:rPr>
          <w:rFonts w:hint="default" w:ascii="Times New Roman" w:hAnsi="Times New Roman" w:eastAsia="楷体_GB2312" w:cs="Times New Roman"/>
          <w:b/>
          <w:bCs/>
          <w:color w:val="000000" w:themeColor="text1"/>
          <w:kern w:val="0"/>
          <w:szCs w:val="32"/>
          <w:highlight w:val="none"/>
          <w:shd w:val="clear" w:color="auto" w:fill="FFFFFF"/>
          <w:lang w:val="en-US"/>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（一）收入情况。</w:t>
      </w:r>
      <w:r>
        <w:rPr>
          <w:rFonts w:hint="default" w:ascii="Times New Roman" w:hAnsi="Times New Roman" w:eastAsia="仿宋" w:cs="Times New Roman"/>
          <w:color w:val="000000" w:themeColor="text1"/>
          <w:sz w:val="32"/>
          <w:szCs w:val="32"/>
          <w14:textFill>
            <w14:solidFill>
              <w14:schemeClr w14:val="tx1"/>
            </w14:solidFill>
          </w14:textFill>
        </w:rPr>
        <w:t>按照综合预算的原则，县纪委监察所有收入均纳入部门预算管理。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2024年度本年收入合计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1244.11万元，其中：一般公共预算财政拨款收入1244.11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100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spacing w:line="560" w:lineRule="exact"/>
        <w:ind w:firstLine="642" w:firstLineChars="200"/>
        <w:rPr>
          <w:rFonts w:hint="default" w:ascii="Times New Roman" w:hAnsi="Times New Roman" w:cs="Times New Roman"/>
          <w:color w:val="000000" w:themeColor="text1"/>
          <w:szCs w:val="32"/>
          <w:lang w:val="zh-CN" w:eastAsia="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（二）支出情况。</w:t>
      </w:r>
      <w:r>
        <w:rPr>
          <w:rFonts w:hint="default" w:ascii="Times New Roman" w:hAnsi="Times New Roman" w:eastAsia="仿宋" w:cs="Times New Roman"/>
          <w:color w:val="000000" w:themeColor="text1"/>
          <w:sz w:val="32"/>
          <w:szCs w:val="32"/>
          <w14:textFill>
            <w14:solidFill>
              <w14:schemeClr w14:val="tx1"/>
            </w14:solidFill>
          </w14:textFill>
        </w:rPr>
        <w:t>截止202</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14:textFill>
            <w14:solidFill>
              <w14:schemeClr w14:val="tx1"/>
            </w14:solidFill>
          </w14:textFill>
        </w:rPr>
        <w:t>年</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 w:cs="Times New Roman"/>
          <w:color w:val="000000" w:themeColor="text1"/>
          <w:sz w:val="32"/>
          <w:szCs w:val="32"/>
          <w14:textFill>
            <w14:solidFill>
              <w14:schemeClr w14:val="tx1"/>
            </w14:solidFill>
          </w14:textFill>
        </w:rPr>
        <w:t>月3</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 w:cs="Times New Roman"/>
          <w:color w:val="000000" w:themeColor="text1"/>
          <w:sz w:val="32"/>
          <w:szCs w:val="32"/>
          <w14:textFill>
            <w14:solidFill>
              <w14:schemeClr w14:val="tx1"/>
            </w14:solidFill>
          </w14:textFill>
        </w:rPr>
        <w:t>日</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2024年度本年支出合计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1333.28</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万元，其中：基本支出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1289.52</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96.71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%；项目支出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43.76</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万元，占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3.28</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lang w:val="zh-CN" w:eastAsia="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val="zh-CN" w:eastAsia="zh-CN"/>
          <w14:textFill>
            <w14:solidFill>
              <w14:schemeClr w14:val="tx1"/>
            </w14:solidFill>
          </w14:textFill>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hint="default" w:ascii="Times New Roman" w:hAnsi="Times New Roman" w:eastAsia="仿宋_GB2312" w:cs="Times New Roman"/>
          <w:color w:val="000000" w:themeColor="text1"/>
          <w:kern w:val="2"/>
          <w:sz w:val="32"/>
          <w:szCs w:val="32"/>
          <w:highlight w:val="none"/>
          <w:lang w:val="zh-CN" w:eastAsia="zh-CN" w:bidi="ar-SA"/>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w:t>
      </w:r>
      <w:r>
        <w:rPr>
          <w:rFonts w:hint="default" w:ascii="Times New Roman" w:hAnsi="Times New Roman" w:eastAsia="楷体_GB2312" w:cs="Times New Roman"/>
          <w:b/>
          <w:bCs/>
          <w:color w:val="000000" w:themeColor="text1"/>
          <w:kern w:val="0"/>
          <w:sz w:val="32"/>
          <w:szCs w:val="32"/>
          <w:highlight w:val="none"/>
          <w:shd w:val="clear" w:color="auto" w:fill="FFFFFF"/>
          <w:lang w:val="zh-CN" w:eastAsia="zh-CN" w:bidi="ar-SA"/>
          <w14:textFill>
            <w14:solidFill>
              <w14:schemeClr w14:val="tx1"/>
            </w14:solidFill>
          </w14:textFill>
        </w:rPr>
        <w:t>履职效能</w:t>
      </w:r>
      <w:r>
        <w:rPr>
          <w:rFonts w:hint="default" w:ascii="Times New Roman" w:hAnsi="Times New Roman" w:eastAsia="仿宋_GB2312" w:cs="Times New Roman"/>
          <w:color w:val="000000" w:themeColor="text1"/>
          <w:kern w:val="2"/>
          <w:sz w:val="32"/>
          <w:szCs w:val="32"/>
          <w:highlight w:val="none"/>
          <w:lang w:val="zh-CN" w:eastAsia="zh-CN" w:bidi="ar-SA"/>
          <w14:textFill>
            <w14:solidFill>
              <w14:schemeClr w14:val="tx1"/>
            </w14:solidFill>
          </w14:textFill>
        </w:rPr>
        <w:t>。</w:t>
      </w:r>
    </w:p>
    <w:p>
      <w:pPr>
        <w:pStyle w:val="7"/>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right="0" w:rightChars="0" w:firstLine="642" w:firstLineChars="200"/>
        <w:jc w:val="both"/>
        <w:textAlignment w:val="auto"/>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bCs/>
          <w:color w:val="000000" w:themeColor="text1"/>
          <w:sz w:val="32"/>
          <w:szCs w:val="32"/>
          <w:lang w:val="en-US" w:eastAsia="zh-CN"/>
          <w14:textFill>
            <w14:solidFill>
              <w14:schemeClr w14:val="tx1"/>
            </w14:solidFill>
          </w14:textFill>
        </w:rPr>
        <w:t>监督检查方面。</w:t>
      </w:r>
      <w:r>
        <w:rPr>
          <w:rFonts w:hint="default" w:ascii="Times New Roman" w:hAnsi="Times New Roman" w:eastAsia="方正楷体_GBK" w:cs="Times New Roman"/>
          <w:color w:val="000000" w:themeColor="text1"/>
          <w:sz w:val="32"/>
          <w:szCs w:val="32"/>
          <w:lang w:val="en-US" w:eastAsia="zh-CN"/>
          <w14:textFill>
            <w14:solidFill>
              <w14:schemeClr w14:val="tx1"/>
            </w14:solidFill>
          </w14:textFill>
        </w:rPr>
        <w:t>一是坚持以学铸魂，持续擦亮政治底色。</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县纪委常委会始终把政治建设摆在首位，在政治上思想上行动上始终同以习近平同志为核心的党中央保持高度一致。扎实开展党纪学习教育，自觉用习近平新时代中国特色社会主义思想凝心铸魂，</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充分利用党纪</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学习专班，认真督导全县各基层党组织条逐句集中学习《条例》3轮次，讲纪律党课224场次，围绕“六项纪律”开展学习研讨1276次，推动全县学纪、知纪、明纪、守纪。严格执行“第一议题”制度，全面学习贯彻党的二十大精神、习近平总书记系列重要讲话和指示精神9次，理论学习中心组专题学习研讨4次、研究部署意识形态工作2次，委领导班子带头讲党课2次，组织党员开展党性教育1场次，全县纪检监察干部拥护“两个确立”、做到“两个维护”的思想行动自觉不断增强。主动扛起全县党纪学习教育工作职责，开展党纪学习教育专项督导16次，发现问题21个，督促全县各基层党组织观看警示教育片《插手》，确保我县党纪学习教育走深走实。</w:t>
      </w:r>
      <w:r>
        <w:rPr>
          <w:rFonts w:hint="default" w:ascii="Times New Roman" w:hAnsi="Times New Roman" w:eastAsia="方正楷体_GBK" w:cs="Times New Roman"/>
          <w:color w:val="000000" w:themeColor="text1"/>
          <w:sz w:val="32"/>
          <w:szCs w:val="32"/>
          <w:lang w:val="en-US" w:eastAsia="zh-CN"/>
          <w14:textFill>
            <w14:solidFill>
              <w14:schemeClr w14:val="tx1"/>
            </w14:solidFill>
          </w14:textFill>
        </w:rPr>
        <w:t>二是聚焦两个维护，持续深化政治监督。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始终将贯彻落实习近平总书记对九寨沟的重要指示作为政治监督的“根”和“魂”，把全县各级党组织贯彻落实中央重大决策部署及省、州、县工作安排作为政治监督的重点，组建4个督导组对12个乡镇、50余个县级部门全覆盖开展党的二十大精神、习近平总书记重要讲话精神学习贯彻落实情况、党纪学习教育及意识形态工作专项督查1轮次，发现各类问题20余个。督促各级党组织结合实际差异化制定主体责任清单，对各乡镇、重点部门“一把手”“面对面”交办主体责任52次，开展“两个责任”落实全覆盖督查1轮，聚焦“十四五”规划实施、生态环境保护、森林草原防灭火、安全生产等重点工作开展监督检查27次，发现并督促整改问题46个，组织处理6人，下发违反中央八项规定精神问题通报一期。坚持监督关口前移，</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回复党风廉政建设（廉洁自律）征求意见158件涉及4200</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余人，为县委选人用人、推优争先提供决策依据。</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一是强化政治监督。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始终将政治监督作为首要政治任务，督促全县党员干部牢固树立“四个意识”，坚定“四个自信”，坚决做到“两个维护”。截至目前，围绕党的二十大精神、习近平总书记重要讲话精神学习贯彻落实情况开展1轮全覆盖督查，督促全县各乡镇部门结合实际抓好学习贯彻落实。结合会前学学纪学法工作，督促县级领导干部在全县中心组学习会上扎实开展学纪学法。</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二是强化日常监督。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严格落实《加强对“一把手”和领导班子监督的36条措施》，督促县委健全领导干部违规插手干预重大事项记录和报告机制，及时制发《党风廉政建设主体责任清单提示卡》，督促各乡镇、县级各部门制定本单位本部门落实党风廉政建设主体责任工作计划，差异化制定主体责任清单。拟定2024年监督检查工作计划，将乡村振兴、优化营商环境、五粮春系列案以案促改、招投标治理、村集体三资、婚丧喜庆事宜、粮食购销领域等内容纳入“三察三治”中。2024年开展监督检查15次，发现整改问题11个，对州纪委3月督查反馈问题开展全覆盖检查2轮次，督促相关责任单位按照反馈问题采取切实可行的举措抓实整改，目前已全部整改到位。</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三是强化巡察监督。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通过完善纪巡联动机制，突出政治巡察定位，先后组织实施了2轮常规巡察和1轮专项巡察，涉及县委宣传部、县委办等16个县级部门和南坪镇、漳扎镇、双河镇3个镇54个村（社区），累计发现问题629条，反馈立行立改问题76条，发现问题线索10条，移交问题线索8条，解决问题30余个，退缴违规资金32.3万元。督促县医保局追回医疗违规款7.26万元，督促县科农局对全县12个乡镇开展现有贫困村集体经济发展情况摸排工作1次，督促原国投集团公司收回应收未收款1.38亿元。同时组建九寨沟县巡察工作事务中心，核定事业编制2名。深化东西部结对协作，组织6名同志赴浙江嘉善开展巡察交流考察，全面提升巡察工作质效。</w:t>
      </w:r>
    </w:p>
    <w:p>
      <w:pPr>
        <w:keepNext w:val="0"/>
        <w:keepLines w:val="0"/>
        <w:pageBreakBefore w:val="0"/>
        <w:wordWrap/>
        <w:overflowPunct/>
        <w:topLinePunct w:val="0"/>
        <w:bidi w:val="0"/>
        <w:spacing w:line="540" w:lineRule="exact"/>
        <w:ind w:firstLine="642"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lang w:val="en-US" w:eastAsia="zh-CN" w:bidi="ar-SA"/>
          <w14:textFill>
            <w14:solidFill>
              <w14:schemeClr w14:val="tx1"/>
            </w14:solidFill>
          </w14:textFill>
        </w:rPr>
        <w:t>案件质效提升方面。</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一是线索处置和审查调查工作。</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聚焦主责主业，持续保持高压反腐。2024年1至12月，共受理问题线索230条，给予组织处理65人，同比增80%；立案86件101人，（其中同级党委管理干部20人），给予党纪政务处分93人，同比增长31%；留置2人，全县初核成案率93%，委机关初核成案率85%，主动发现线索成案68件，派驻纪检监察组立案15件，乡镇纪委立案45件。受理巡察、审计、林草、教育等部门移送问题线索24条，立案15件21人。充分发挥组织协调职能，运用“室组地”联合办案机制，指定办理5件，交办14件，提级管辖12件。定期对问题线索交办台账进行核对，全程跟踪督办，通过电话督办30余批次，实现案件办结时长同比缩短12%，纳入州纪委领导包案5件，县纪委领导包案22件。</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二是信访举报工作。</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今年以来，共接收各类信访举报36件。其中：检举控告类24件，业务范围外12件，实名举报6件。县乡两级纪检监察干部聚焦民生领域以及群众反映强烈的突出问题，主动下沉乡村社区、田间地头及群众家中接访460余场次，接待群众630余批次900余人，全方位收集惠农补助资金发放、基层干部作风、群众身边的不正之风和“微腐败”等情况问题478个，面对面听取群众的意见建议25条，主动为群众解决人畜牧饮水、生产便道、基础设施等急难愁盼问题416个，信访转问题线索52件，立案24件27人，党纪政务处分21人。</w:t>
      </w:r>
      <w:r>
        <w:rPr>
          <w:rFonts w:hint="default" w:ascii="Times New Roman" w:hAnsi="Times New Roman" w:eastAsia="仿宋_GB2312" w:cs="Times New Roman"/>
          <w:bCs/>
          <w:color w:val="000000" w:themeColor="text1"/>
          <w:sz w:val="32"/>
          <w:szCs w:val="32"/>
          <w14:textFill>
            <w14:solidFill>
              <w14:schemeClr w14:val="tx1"/>
            </w14:solidFill>
          </w14:textFill>
        </w:rPr>
        <w:t>202</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年，受理实名检举控告</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Cs/>
          <w:color w:val="000000" w:themeColor="text1"/>
          <w:sz w:val="32"/>
          <w:szCs w:val="32"/>
          <w14:textFill>
            <w14:solidFill>
              <w14:schemeClr w14:val="tx1"/>
            </w14:solidFill>
          </w14:textFill>
        </w:rPr>
        <w:t>件，对实名检举控告受理告知</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Cs/>
          <w:color w:val="000000" w:themeColor="text1"/>
          <w:sz w:val="32"/>
          <w:szCs w:val="32"/>
          <w14:textFill>
            <w14:solidFill>
              <w14:schemeClr w14:val="tx1"/>
            </w14:solidFill>
          </w14:textFill>
        </w:rPr>
        <w:t>件，已办结</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Cs/>
          <w:color w:val="000000" w:themeColor="text1"/>
          <w:sz w:val="32"/>
          <w:szCs w:val="32"/>
          <w14:textFill>
            <w14:solidFill>
              <w14:schemeClr w14:val="tx1"/>
            </w14:solidFill>
          </w14:textFill>
        </w:rPr>
        <w:t>件、反馈</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Cs/>
          <w:color w:val="000000" w:themeColor="text1"/>
          <w:sz w:val="32"/>
          <w:szCs w:val="32"/>
          <w14:textFill>
            <w14:solidFill>
              <w14:schemeClr w14:val="tx1"/>
            </w14:solidFill>
          </w14:textFill>
        </w:rPr>
        <w:t>件，</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群众满意率达到</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100%</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left="0" w:leftChars="0" w:firstLine="642"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三是审理和申诉工作。</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为全面落实“乡案县审”工作要求，不断加强对涉嫌行贿、受贿犯罪案件证据的把握，提升违法犯罪案件质效，在案件审理中逐案反馈审理问题清单，要求承办室整改完善后再移送审理，截至目前，组织各室学习县纪委编发的《审理提示》2期，发出“一事一提醒清单”5份，反馈问题18个，开展机关2022年自办案件质量评查工作1次，审理“乡案县审”3件3人，无申诉案件。</w:t>
      </w:r>
    </w:p>
    <w:p>
      <w:pPr>
        <w:keepNext w:val="0"/>
        <w:keepLines w:val="0"/>
        <w:pageBreakBefore w:val="0"/>
        <w:wordWrap/>
        <w:overflowPunct/>
        <w:topLinePunct w:val="0"/>
        <w:bidi w:val="0"/>
        <w:spacing w:line="540" w:lineRule="exact"/>
        <w:ind w:firstLine="642" w:firstLineChars="200"/>
        <w:rPr>
          <w:rFonts w:hint="default" w:ascii="Times New Roman" w:hAnsi="Times New Roman" w:eastAsia="仿宋_GB2312" w:cs="Times New Roman"/>
          <w:color w:val="000000" w:themeColor="text1"/>
          <w:kern w:val="2"/>
          <w:sz w:val="32"/>
          <w:szCs w:val="32"/>
          <w:highlight w:val="none"/>
          <w:lang w:val="zh-CN" w:eastAsia="zh-CN" w:bidi="ar-SA"/>
          <w14:textFill>
            <w14:solidFill>
              <w14:schemeClr w14:val="tx1"/>
            </w14:solidFill>
          </w14:textFill>
        </w:rPr>
      </w:pPr>
      <w:r>
        <w:rPr>
          <w:rFonts w:hint="default" w:ascii="Times New Roman" w:hAnsi="Times New Roman" w:eastAsia="方正楷体_GBK" w:cs="Times New Roman"/>
          <w:b/>
          <w:bCs/>
          <w:color w:val="000000" w:themeColor="text1"/>
          <w:sz w:val="32"/>
          <w:szCs w:val="32"/>
          <w:lang w:val="en-US" w:eastAsia="zh-CN"/>
          <w14:textFill>
            <w14:solidFill>
              <w14:schemeClr w14:val="tx1"/>
            </w14:solidFill>
          </w14:textFill>
        </w:rPr>
        <w:t>加强基层党风廉政建设方面。</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一是强化政治担当，压实两个责任。</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严格落实主体责任，县纪委及时向各乡镇、县级各部门下发主体责任提示单；向乡镇纪委、派驻纪检组下发监督责任提示单。对12个乡镇和县级部门一把手交办主体责任16次。今年2月份组织12个乡镇、7个县级部门进行述责述廉。</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二是扎实开展集中整治群众身边不正之风和腐败问题。</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聚焦群众反映强烈的突出问题，主要领导亲自谋划指挥，定期听取工作进展汇报，分管领导各司其职，各成员单位密切配合。成立工作专班，召开群腐领导小组会议19次，研究解决整治工作中存在的问题。制定集中整治工作方案，明确整治重点围绕民生等多个具体领域，确保整治工作有的放矢。今年以来，集中整治工作与“有事找纪检”相结合，共收集群众诉求473个，推动解决399个。开展以案促改11次，向职能部门发送《纪检监察建议书》8份，督促自查整改问题60个，推动建章立制11个，上报九寨沟县集中整治亮点做法65期，典型案例15期、民生实事10余件，其中州级采用49期。11月19日组织召开全县“阳光问廉”现场问答会1次，指导开展村级“坝坝会”110场次，解决民生诉求、现场答疑问题876个。</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三是强化警示教育，巩固反腐成果。</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开展会前学纪172次，覆盖5330余人次，推送廉洁提醒等内容40余条，召开“四个面对面”警示教育2场，宣布受处分人员51人，组织乡镇、县级部门党员干部观看《权力“围城”》警示教育片，发放各类警示教育宣传资料6000余份，切实筑牢思想防线。</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四是强化源头治理，完善监督体系。</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严格督促各乡镇纪委执行“三转”要求，结合“两联一进”及时收集群众“急难愁盼”问题。开展村党风政风监督员培训16场次，培训人员171人。常态化围绕森林草原防灭火、防汛减灾、扫黑除恶等重点工作开展监督检查1轮次，规范更新完善全县科级领导干部廉政档案516份。开展以案促改11次，向职能部门发送《纪检监察建议书》8份，督促自查整改问题60个，推动建章立制11个。</w:t>
      </w:r>
    </w:p>
    <w:p>
      <w:pPr>
        <w:numPr>
          <w:ilvl w:val="0"/>
          <w:numId w:val="0"/>
        </w:numPr>
        <w:spacing w:line="560" w:lineRule="exact"/>
        <w:ind w:firstLine="642" w:firstLineChars="200"/>
        <w:rPr>
          <w:rFonts w:hint="default" w:ascii="Times New Roman" w:hAnsi="Times New Roman" w:eastAsia="楷体" w:cs="Times New Roman"/>
          <w:b/>
          <w:bCs/>
          <w:color w:val="000000" w:themeColor="text1"/>
          <w:kern w:val="2"/>
          <w:sz w:val="32"/>
          <w:szCs w:val="32"/>
          <w:highlight w:val="none"/>
          <w:lang w:val="zh-CN"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zh-CN" w:eastAsia="zh-CN" w:bidi="ar-SA"/>
          <w14:textFill>
            <w14:solidFill>
              <w14:schemeClr w14:val="tx1"/>
            </w14:solidFill>
          </w14:textFill>
        </w:rPr>
        <w:t>（</w:t>
      </w: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二</w:t>
      </w:r>
      <w:r>
        <w:rPr>
          <w:rFonts w:hint="default" w:ascii="Times New Roman" w:hAnsi="Times New Roman" w:eastAsia="楷体" w:cs="Times New Roman"/>
          <w:b/>
          <w:bCs/>
          <w:color w:val="000000" w:themeColor="text1"/>
          <w:kern w:val="2"/>
          <w:sz w:val="32"/>
          <w:szCs w:val="32"/>
          <w:highlight w:val="none"/>
          <w:lang w:val="zh-CN" w:eastAsia="zh-CN" w:bidi="ar-SA"/>
          <w14:textFill>
            <w14:solidFill>
              <w14:schemeClr w14:val="tx1"/>
            </w14:solidFill>
          </w14:textFill>
        </w:rPr>
        <w:t>）预算管理。</w:t>
      </w:r>
    </w:p>
    <w:p>
      <w:pPr>
        <w:numPr>
          <w:ilvl w:val="0"/>
          <w:numId w:val="0"/>
        </w:numPr>
        <w:spacing w:line="560" w:lineRule="exact"/>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按照综合预算的原则，所有收入和支出均纳入部门预算管理。收入包括：一般公共预算拨款收入、上年结转；支出包括：一般公共服务支出、教育支出、社会保障和就业支出、医疗卫生与计划生育支出、住房保障支出。202</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14:textFill>
            <w14:solidFill>
              <w14:schemeClr w14:val="tx1"/>
            </w14:solidFill>
          </w14:textFill>
        </w:rPr>
        <w:t>年收支总预算</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1244.11</w:t>
      </w:r>
      <w:r>
        <w:rPr>
          <w:rFonts w:hint="default" w:ascii="Times New Roman" w:hAnsi="Times New Roman" w:eastAsia="仿宋" w:cs="Times New Roman"/>
          <w:color w:val="000000" w:themeColor="text1"/>
          <w:sz w:val="32"/>
          <w:szCs w:val="32"/>
          <w14:textFill>
            <w14:solidFill>
              <w14:schemeClr w14:val="tx1"/>
            </w14:solidFill>
          </w14:textFill>
        </w:rPr>
        <w:t>万元。</w:t>
      </w:r>
    </w:p>
    <w:p>
      <w:pPr>
        <w:numPr>
          <w:ilvl w:val="0"/>
          <w:numId w:val="0"/>
        </w:numPr>
        <w:spacing w:line="560" w:lineRule="exact"/>
        <w:ind w:firstLine="642" w:firstLineChars="200"/>
        <w:rPr>
          <w:rFonts w:hint="default" w:ascii="Times New Roman" w:hAnsi="Times New Roman" w:eastAsia="楷体" w:cs="Times New Roman"/>
          <w:b/>
          <w:bCs/>
          <w:color w:val="000000" w:themeColor="text1"/>
          <w:kern w:val="2"/>
          <w:sz w:val="32"/>
          <w:szCs w:val="32"/>
          <w:highlight w:val="none"/>
          <w:lang w:val="zh-CN" w:eastAsia="zh-CN" w:bidi="ar-SA"/>
          <w14:textFill>
            <w14:solidFill>
              <w14:schemeClr w14:val="tx1"/>
            </w14:solidFill>
          </w14:textFill>
        </w:rPr>
      </w:pPr>
      <w:r>
        <w:rPr>
          <w:rFonts w:hint="default" w:ascii="Times New Roman" w:hAnsi="Times New Roman" w:eastAsia="楷体" w:cs="Times New Roman"/>
          <w:b/>
          <w:bCs/>
          <w:color w:val="000000" w:themeColor="text1"/>
          <w:kern w:val="2"/>
          <w:sz w:val="32"/>
          <w:szCs w:val="32"/>
          <w:highlight w:val="none"/>
          <w:lang w:val="zh-CN" w:eastAsia="zh-CN" w:bidi="ar-SA"/>
          <w14:textFill>
            <w14:solidFill>
              <w14:schemeClr w14:val="tx1"/>
            </w14:solidFill>
          </w14:textFill>
        </w:rPr>
        <w:t>（</w:t>
      </w:r>
      <w:r>
        <w:rPr>
          <w:rFonts w:hint="default" w:ascii="Times New Roman" w:hAnsi="Times New Roman" w:eastAsia="楷体" w:cs="Times New Roman"/>
          <w:b/>
          <w:bCs/>
          <w:color w:val="000000" w:themeColor="text1"/>
          <w:kern w:val="2"/>
          <w:sz w:val="32"/>
          <w:szCs w:val="32"/>
          <w:highlight w:val="none"/>
          <w:lang w:val="en-US" w:eastAsia="zh-CN" w:bidi="ar-SA"/>
          <w14:textFill>
            <w14:solidFill>
              <w14:schemeClr w14:val="tx1"/>
            </w14:solidFill>
          </w14:textFill>
        </w:rPr>
        <w:t>三</w:t>
      </w:r>
      <w:r>
        <w:rPr>
          <w:rFonts w:hint="default" w:ascii="Times New Roman" w:hAnsi="Times New Roman" w:eastAsia="楷体" w:cs="Times New Roman"/>
          <w:b/>
          <w:bCs/>
          <w:color w:val="000000" w:themeColor="text1"/>
          <w:kern w:val="2"/>
          <w:sz w:val="32"/>
          <w:szCs w:val="32"/>
          <w:highlight w:val="none"/>
          <w:lang w:val="zh-CN" w:eastAsia="zh-CN" w:bidi="ar-SA"/>
          <w14:textFill>
            <w14:solidFill>
              <w14:schemeClr w14:val="tx1"/>
            </w14:solidFill>
          </w14:textFill>
        </w:rPr>
        <w:t>）财务管理。</w:t>
      </w:r>
    </w:p>
    <w:p>
      <w:pPr>
        <w:spacing w:line="560" w:lineRule="exact"/>
        <w:ind w:firstLine="640" w:firstLineChars="200"/>
        <w:rPr>
          <w:rFonts w:hint="default" w:ascii="Times New Roman" w:hAnsi="Times New Roman" w:eastAsia="仿宋" w:cs="Times New Roman"/>
          <w:color w:val="000000" w:themeColor="text1"/>
          <w:sz w:val="32"/>
          <w:szCs w:val="32"/>
          <w:lang w:val="zh-CN"/>
          <w14:textFill>
            <w14:solidFill>
              <w14:schemeClr w14:val="tx1"/>
            </w14:solidFill>
          </w14:textFill>
        </w:rPr>
      </w:pPr>
      <w:r>
        <w:rPr>
          <w:rFonts w:hint="default" w:ascii="Times New Roman" w:hAnsi="Times New Roman" w:eastAsia="仿宋" w:cs="Times New Roman"/>
          <w:color w:val="000000" w:themeColor="text1"/>
          <w:sz w:val="32"/>
          <w:szCs w:val="32"/>
          <w:lang w:val="zh-CN" w:eastAsia="zh-CN"/>
          <w14:textFill>
            <w14:solidFill>
              <w14:schemeClr w14:val="tx1"/>
            </w14:solidFill>
          </w14:textFill>
        </w:rPr>
        <w:t>202</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lang w:val="zh-CN"/>
          <w14:textFill>
            <w14:solidFill>
              <w14:schemeClr w14:val="tx1"/>
            </w14:solidFill>
          </w14:textFill>
        </w:rPr>
        <w:t>年我单位</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进一步完善了</w:t>
      </w:r>
      <w:r>
        <w:rPr>
          <w:rFonts w:hint="default" w:ascii="Times New Roman" w:hAnsi="Times New Roman" w:eastAsia="仿宋" w:cs="Times New Roman"/>
          <w:color w:val="000000" w:themeColor="text1"/>
          <w:sz w:val="32"/>
          <w:szCs w:val="32"/>
          <w:lang w:val="zh-CN"/>
          <w14:textFill>
            <w14:solidFill>
              <w14:schemeClr w14:val="tx1"/>
            </w14:solidFill>
          </w14:textFill>
        </w:rPr>
        <w:t>财务管理制度和会计核算等管理制度，明确了财务职责，制定了厉行节约制度，管理制度依照有关国家法律法规而制定的，具有合法性、合规性、完整性、同时相关制度得到认真执行。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val="zh-CN" w:eastAsia="zh-CN"/>
          <w14:textFill>
            <w14:solidFill>
              <w14:schemeClr w14:val="tx1"/>
            </w14:solidFill>
          </w14:textFill>
        </w:rPr>
        <w:t>四、</w:t>
      </w:r>
      <w:r>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t>评价结论及建议</w:t>
      </w:r>
    </w:p>
    <w:p>
      <w:pPr>
        <w:spacing w:line="560" w:lineRule="exact"/>
        <w:ind w:firstLine="642" w:firstLineChars="200"/>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（一）评价结论。</w:t>
      </w:r>
      <w:r>
        <w:rPr>
          <w:rFonts w:hint="default" w:ascii="Times New Roman" w:hAnsi="Times New Roman" w:eastAsia="仿宋" w:cs="Times New Roman"/>
          <w:color w:val="000000" w:themeColor="text1"/>
          <w:sz w:val="32"/>
          <w:szCs w:val="32"/>
          <w:lang w:eastAsia="zh-CN"/>
          <w14:textFill>
            <w14:solidFill>
              <w14:schemeClr w14:val="tx1"/>
            </w14:solidFill>
          </w14:textFill>
        </w:rPr>
        <w:t>我单位财务管理制度健全，会计核算符合相关规定，资金专款专用，资金支付依据和开支标准合法合规，严格执行政府采购的相关规定。按照县级部门预算编制通知和有关要求，按时完成基础信息、项目库报送工作，预算编制准确。部门整体绩效目标编制完整、合理，项目绩效目标编制明确、量化。按要求及时公开预算、决算、绩效等信息。认真开展资产清查工作，及时上报国有资产报表，做到数据的真实、准确、全面。内部控制制度健全完整并执行良好。</w:t>
      </w:r>
    </w:p>
    <w:p>
      <w:pPr>
        <w:spacing w:line="560" w:lineRule="exact"/>
        <w:ind w:firstLine="642" w:firstLineChars="200"/>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（二）存在问题。</w:t>
      </w:r>
      <w:r>
        <w:rPr>
          <w:rFonts w:hint="default" w:ascii="Times New Roman" w:hAnsi="Times New Roman" w:eastAsia="仿宋" w:cs="Times New Roman"/>
          <w:color w:val="000000" w:themeColor="text1"/>
          <w:sz w:val="32"/>
          <w:szCs w:val="32"/>
          <w14:textFill>
            <w14:solidFill>
              <w14:schemeClr w14:val="tx1"/>
            </w14:solidFill>
          </w14:textFill>
        </w:rPr>
        <w:t>对绩效评估工作了解不够深入</w:t>
      </w:r>
      <w:r>
        <w:rPr>
          <w:rFonts w:hint="default" w:ascii="Times New Roman" w:hAnsi="Times New Roman" w:eastAsia="仿宋" w:cs="Times New Roman"/>
          <w:color w:val="000000" w:themeColor="text1"/>
          <w:sz w:val="32"/>
          <w:szCs w:val="32"/>
          <w:lang w:eastAsia="zh-CN"/>
          <w14:textFill>
            <w14:solidFill>
              <w14:schemeClr w14:val="tx1"/>
            </w14:solidFill>
          </w14:textFill>
        </w:rPr>
        <w:t>，</w:t>
      </w:r>
      <w:r>
        <w:rPr>
          <w:rFonts w:hint="default" w:ascii="Times New Roman" w:hAnsi="Times New Roman" w:eastAsia="仿宋" w:cs="Times New Roman"/>
          <w:color w:val="000000" w:themeColor="text1"/>
          <w:sz w:val="32"/>
          <w:szCs w:val="32"/>
          <w14:textFill>
            <w14:solidFill>
              <w14:schemeClr w14:val="tx1"/>
            </w14:solidFill>
          </w14:textFill>
        </w:rPr>
        <w:t>在财务工作中对绩效评估工作重视度不够。</w:t>
      </w:r>
    </w:p>
    <w:p>
      <w:pPr>
        <w:spacing w:line="560" w:lineRule="exact"/>
        <w:ind w:firstLine="642" w:firstLineChars="200"/>
        <w:rPr>
          <w:rFonts w:hint="default" w:ascii="Times New Roman" w:hAnsi="Times New Roman" w:eastAsia="仿宋" w:cs="Times New Roman"/>
          <w:color w:val="000000" w:themeColor="text1"/>
          <w:sz w:val="32"/>
          <w:szCs w:val="32"/>
          <w:lang w:val="en-US"/>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eastAsia="zh-CN"/>
          <w14:textFill>
            <w14:solidFill>
              <w14:schemeClr w14:val="tx1"/>
            </w14:solidFill>
          </w14:textFill>
        </w:rPr>
        <w:t>（三）改进建议。</w:t>
      </w:r>
      <w:bookmarkStart w:id="53" w:name="_Hlk110546638"/>
      <w:r>
        <w:rPr>
          <w:rFonts w:hint="default" w:ascii="Times New Roman" w:hAnsi="Times New Roman" w:eastAsia="仿宋" w:cs="Times New Roman"/>
          <w:color w:val="000000" w:themeColor="text1"/>
          <w:sz w:val="32"/>
          <w:szCs w:val="32"/>
          <w:lang w:eastAsia="zh-CN"/>
          <w14:textFill>
            <w14:solidFill>
              <w14:schemeClr w14:val="tx1"/>
            </w14:solidFill>
          </w14:textFill>
        </w:rPr>
        <w:t>加强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相关人员的培训，更好的把绩效评价结果运用到工作中去。</w:t>
      </w:r>
    </w:p>
    <w:bookmarkEnd w:id="53"/>
    <w:p>
      <w:pPr>
        <w:pStyle w:val="2"/>
        <w:keepNext w:val="0"/>
        <w:keepLines w:val="0"/>
        <w:pageBreakBefore w:val="0"/>
        <w:numPr>
          <w:ilvl w:val="0"/>
          <w:numId w:val="0"/>
        </w:numPr>
        <w:kinsoku/>
        <w:wordWrap/>
        <w:overflowPunct/>
        <w:topLinePunct w:val="0"/>
        <w:autoSpaceDE/>
        <w:autoSpaceDN/>
        <w:bidi w:val="0"/>
        <w:spacing w:line="560" w:lineRule="exact"/>
        <w:textAlignment w:val="auto"/>
        <w:rPr>
          <w:rFonts w:hint="default" w:ascii="Times New Roman" w:hAnsi="Times New Roman" w:cs="Times New Roman"/>
          <w:color w:val="000000" w:themeColor="text1"/>
          <w:sz w:val="32"/>
          <w:szCs w:val="32"/>
          <w:highlight w:val="yellow"/>
          <w:lang w:val="zh-CN" w:eastAsia="zh-CN"/>
          <w14:textFill>
            <w14:solidFill>
              <w14:schemeClr w14:val="tx1"/>
            </w14:solidFill>
          </w14:textFill>
        </w:rPr>
      </w:pPr>
    </w:p>
    <w:p>
      <w:pPr>
        <w:pStyle w:val="7"/>
        <w:rPr>
          <w:rFonts w:hint="default" w:ascii="Times New Roman" w:hAnsi="Times New Roman" w:cs="Times New Roman"/>
          <w:color w:val="000000" w:themeColor="text1"/>
          <w:kern w:val="0"/>
          <w:sz w:val="32"/>
          <w:szCs w:val="32"/>
          <w:highlight w:val="yellow"/>
          <w:shd w:val="clear" w:color="auto" w:fill="FFFFFF"/>
          <w:lang w:val="zh-CN"/>
          <w14:textFill>
            <w14:solidFill>
              <w14:schemeClr w14:val="tx1"/>
            </w14:solidFill>
          </w14:textFill>
        </w:rPr>
      </w:pPr>
    </w:p>
    <w:p>
      <w:pPr>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br w:type="page"/>
      </w:r>
    </w:p>
    <w:p>
      <w:pPr>
        <w:widowControl/>
        <w:jc w:val="center"/>
        <w:rPr>
          <w:rFonts w:hint="default" w:ascii="Times New Roman" w:hAnsi="Times New Roman" w:eastAsia="仿宋" w:cs="Times New Roman"/>
          <w:b w:val="0"/>
          <w:color w:val="000000" w:themeColor="text1"/>
          <w:highlight w:val="none"/>
          <w14:textFill>
            <w14:solidFill>
              <w14:schemeClr w14:val="tx1"/>
            </w14:solidFill>
          </w14:textFill>
        </w:rPr>
      </w:pPr>
      <w:bookmarkStart w:id="54" w:name="_Toc15396618"/>
      <w:r>
        <w:rPr>
          <w:rFonts w:hint="default" w:ascii="Times New Roman" w:hAnsi="Times New Roman" w:eastAsia="黑体" w:cs="Times New Roman"/>
          <w:color w:val="000000" w:themeColor="text1"/>
          <w:sz w:val="44"/>
          <w:szCs w:val="44"/>
          <w:highlight w:val="none"/>
          <w14:textFill>
            <w14:solidFill>
              <w14:schemeClr w14:val="tx1"/>
            </w14:solidFill>
          </w14:textFill>
        </w:rPr>
        <w:t>第</w:t>
      </w:r>
      <w:r>
        <w:rPr>
          <w:rStyle w:val="30"/>
          <w:rFonts w:hint="default" w:ascii="Times New Roman" w:hAnsi="Times New Roman" w:eastAsia="黑体" w:cs="Times New Roman"/>
          <w:b w:val="0"/>
          <w:color w:val="000000" w:themeColor="text1"/>
          <w:highlight w:val="none"/>
          <w14:textFill>
            <w14:solidFill>
              <w14:schemeClr w14:val="tx1"/>
            </w14:solidFill>
          </w14:textFill>
        </w:rPr>
        <w:t>五部分 附表</w:t>
      </w:r>
      <w:bookmarkEnd w:id="51"/>
      <w:bookmarkEnd w:id="54"/>
      <w:bookmarkStart w:id="55"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一、收入支出决算总表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56" w:name="_Toc15396620"/>
      <w:r>
        <w:rPr>
          <w:rFonts w:hint="default" w:ascii="Times New Roman" w:hAnsi="Times New Roman" w:eastAsia="仿宋_GB2312" w:cs="Times New Roman"/>
          <w:color w:val="000000" w:themeColor="text1"/>
          <w:sz w:val="32"/>
          <w:szCs w:val="32"/>
          <w:highlight w:val="none"/>
          <w14:textFill>
            <w14:solidFill>
              <w14:schemeClr w14:val="tx1"/>
            </w14:solidFill>
          </w14:textFill>
        </w:rPr>
        <w:t>二、收入决算表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57" w:name="_Toc15396621"/>
      <w:r>
        <w:rPr>
          <w:rFonts w:hint="default" w:ascii="Times New Roman" w:hAnsi="Times New Roman" w:eastAsia="仿宋_GB2312" w:cs="Times New Roman"/>
          <w:color w:val="000000" w:themeColor="text1"/>
          <w:sz w:val="32"/>
          <w:szCs w:val="32"/>
          <w:highlight w:val="none"/>
          <w14:textFill>
            <w14:solidFill>
              <w14:schemeClr w14:val="tx1"/>
            </w14:solidFill>
          </w14:textFill>
        </w:rPr>
        <w:t>三、支出决算表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58" w:name="_Toc15396622"/>
      <w:r>
        <w:rPr>
          <w:rFonts w:hint="default" w:ascii="Times New Roman" w:hAnsi="Times New Roman" w:eastAsia="仿宋_GB2312" w:cs="Times New Roman"/>
          <w:color w:val="000000" w:themeColor="text1"/>
          <w:sz w:val="32"/>
          <w:szCs w:val="32"/>
          <w:highlight w:val="none"/>
          <w14:textFill>
            <w14:solidFill>
              <w14:schemeClr w14:val="tx1"/>
            </w14:solidFill>
          </w14:textFill>
        </w:rPr>
        <w:t>四、财政拨款收入支出决算总表</w:t>
      </w:r>
      <w:bookmarkEnd w:id="5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59" w:name="_Toc15396623"/>
      <w:r>
        <w:rPr>
          <w:rFonts w:hint="default" w:ascii="Times New Roman" w:hAnsi="Times New Roman" w:eastAsia="仿宋_GB2312" w:cs="Times New Roman"/>
          <w:color w:val="000000" w:themeColor="text1"/>
          <w:sz w:val="32"/>
          <w:szCs w:val="32"/>
          <w:highlight w:val="none"/>
          <w14:textFill>
            <w14:solidFill>
              <w14:schemeClr w14:val="tx1"/>
            </w14:solidFill>
          </w14:textFill>
        </w:rPr>
        <w:t>五、财政拨款支出决算明细表</w:t>
      </w:r>
      <w:bookmarkEnd w:id="59"/>
      <w:bookmarkStart w:id="60"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六、一般公共预算财政拨款支出决算表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61" w:name="_Toc15396625"/>
      <w:r>
        <w:rPr>
          <w:rFonts w:hint="default" w:ascii="Times New Roman" w:hAnsi="Times New Roman" w:eastAsia="仿宋_GB2312" w:cs="Times New Roman"/>
          <w:color w:val="000000" w:themeColor="text1"/>
          <w:sz w:val="32"/>
          <w:szCs w:val="32"/>
          <w:highlight w:val="none"/>
          <w14:textFill>
            <w14:solidFill>
              <w14:schemeClr w14:val="tx1"/>
            </w14:solidFill>
          </w14:textFill>
        </w:rPr>
        <w:t>七、一般公共预算财政拨款支出决算明细表</w:t>
      </w:r>
      <w:bookmarkEnd w:id="6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62" w:name="_Toc15396626"/>
      <w:r>
        <w:rPr>
          <w:rFonts w:hint="default" w:ascii="Times New Roman" w:hAnsi="Times New Roman" w:eastAsia="仿宋_GB2312" w:cs="Times New Roman"/>
          <w:color w:val="000000" w:themeColor="text1"/>
          <w:sz w:val="32"/>
          <w:szCs w:val="32"/>
          <w:highlight w:val="none"/>
          <w14:textFill>
            <w14:solidFill>
              <w14:schemeClr w14:val="tx1"/>
            </w14:solidFill>
          </w14:textFill>
        </w:rPr>
        <w:t>八、一般公共预算财政拨款基本支出决算表</w:t>
      </w:r>
      <w:bookmarkEnd w:id="6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63" w:name="_Toc15396627"/>
      <w:r>
        <w:rPr>
          <w:rFonts w:hint="default" w:ascii="Times New Roman" w:hAnsi="Times New Roman" w:eastAsia="仿宋_GB2312" w:cs="Times New Roman"/>
          <w:color w:val="000000" w:themeColor="text1"/>
          <w:sz w:val="32"/>
          <w:szCs w:val="32"/>
          <w:highlight w:val="none"/>
          <w14:textFill>
            <w14:solidFill>
              <w14:schemeClr w14:val="tx1"/>
            </w14:solidFill>
          </w14:textFill>
        </w:rPr>
        <w:t>九、一般公共预算财政拨款项目支出决算表</w:t>
      </w:r>
      <w:bookmarkEnd w:id="6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64" w:name="_Toc15396628"/>
      <w:r>
        <w:rPr>
          <w:rFonts w:hint="default" w:ascii="Times New Roman" w:hAnsi="Times New Roman" w:eastAsia="仿宋_GB2312" w:cs="Times New Roman"/>
          <w:color w:val="000000" w:themeColor="text1"/>
          <w:sz w:val="32"/>
          <w:szCs w:val="32"/>
          <w:highlight w:val="none"/>
          <w14:textFill>
            <w14:solidFill>
              <w14:schemeClr w14:val="tx1"/>
            </w14:solidFill>
          </w14:textFill>
        </w:rPr>
        <w:t>十、</w:t>
      </w:r>
      <w:bookmarkEnd w:id="64"/>
      <w:r>
        <w:rPr>
          <w:rFonts w:hint="default" w:ascii="Times New Roman" w:hAnsi="Times New Roman" w:eastAsia="仿宋_GB2312" w:cs="Times New Roman"/>
          <w:color w:val="000000" w:themeColor="text1"/>
          <w:sz w:val="32"/>
          <w:szCs w:val="32"/>
          <w:highlight w:val="none"/>
          <w14:textFill>
            <w14:solidFill>
              <w14:schemeClr w14:val="tx1"/>
            </w14:solidFill>
          </w14:textFill>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65" w:name="_Toc15396629"/>
      <w:r>
        <w:rPr>
          <w:rFonts w:hint="default" w:ascii="Times New Roman" w:hAnsi="Times New Roman" w:eastAsia="仿宋_GB2312" w:cs="Times New Roman"/>
          <w:color w:val="000000" w:themeColor="text1"/>
          <w:sz w:val="32"/>
          <w:szCs w:val="32"/>
          <w:highlight w:val="none"/>
          <w14:textFill>
            <w14:solidFill>
              <w14:schemeClr w14:val="tx1"/>
            </w14:solidFill>
          </w14:textFill>
        </w:rPr>
        <w:t>十一、</w:t>
      </w:r>
      <w:bookmarkEnd w:id="65"/>
      <w:r>
        <w:rPr>
          <w:rFonts w:hint="default" w:ascii="Times New Roman" w:hAnsi="Times New Roman" w:eastAsia="仿宋_GB2312" w:cs="Times New Roman"/>
          <w:color w:val="000000" w:themeColor="text1"/>
          <w:sz w:val="32"/>
          <w:szCs w:val="32"/>
          <w:highlight w:val="none"/>
          <w14:textFill>
            <w14:solidFill>
              <w14:schemeClr w14:val="tx1"/>
            </w14:solidFill>
          </w14:textFill>
        </w:rPr>
        <w:t>国有资本经营预算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财政拨款收入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bookmarkStart w:id="66" w:name="_Toc15396630"/>
      <w:r>
        <w:rPr>
          <w:rFonts w:hint="default" w:ascii="Times New Roman" w:hAnsi="Times New Roman" w:eastAsia="仿宋_GB2312" w:cs="Times New Roman"/>
          <w:color w:val="000000" w:themeColor="text1"/>
          <w:sz w:val="32"/>
          <w:szCs w:val="32"/>
          <w:highlight w:val="none"/>
          <w14:textFill>
            <w14:solidFill>
              <w14:schemeClr w14:val="tx1"/>
            </w14:solidFill>
          </w14:textFill>
        </w:rPr>
        <w:t>十二、</w:t>
      </w:r>
      <w:bookmarkEnd w:id="66"/>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bookmarkStart w:id="67" w:name="_Toc15396631"/>
      <w:r>
        <w:rPr>
          <w:rFonts w:hint="default" w:ascii="Times New Roman" w:hAnsi="Times New Roman" w:eastAsia="仿宋_GB2312" w:cs="Times New Roman"/>
          <w:color w:val="000000" w:themeColor="text1"/>
          <w:sz w:val="32"/>
          <w:szCs w:val="32"/>
          <w:highlight w:val="none"/>
          <w14:textFill>
            <w14:solidFill>
              <w14:schemeClr w14:val="tx1"/>
            </w14:solidFill>
          </w14:textFill>
        </w:rPr>
        <w:t>十三、</w:t>
      </w:r>
      <w:bookmarkEnd w:id="67"/>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财政拨款“三公”经费支出决算表</w:t>
      </w:r>
    </w:p>
    <w:p>
      <w:pPr>
        <w:rPr>
          <w:rFonts w:hint="default" w:ascii="Times New Roman" w:hAnsi="Times New Roman" w:cs="Times New Roman"/>
          <w:color w:val="000000" w:themeColor="text1"/>
          <w:lang w:eastAsia="zh-CN"/>
          <w14:textFill>
            <w14:solidFill>
              <w14:schemeClr w14:val="tx1"/>
            </w14:solidFill>
          </w14:textFill>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B736DD"/>
    <w:rsid w:val="02FEBE30"/>
    <w:rsid w:val="04916F1E"/>
    <w:rsid w:val="04E349C3"/>
    <w:rsid w:val="061E35DE"/>
    <w:rsid w:val="066E0107"/>
    <w:rsid w:val="07996F6E"/>
    <w:rsid w:val="07DFD8BA"/>
    <w:rsid w:val="09867E8F"/>
    <w:rsid w:val="0A2032A3"/>
    <w:rsid w:val="0CA8290A"/>
    <w:rsid w:val="0D35B1ED"/>
    <w:rsid w:val="0E254B6B"/>
    <w:rsid w:val="0F130CAE"/>
    <w:rsid w:val="0F98263C"/>
    <w:rsid w:val="101860EC"/>
    <w:rsid w:val="101F47CC"/>
    <w:rsid w:val="10C055FF"/>
    <w:rsid w:val="11346CF7"/>
    <w:rsid w:val="11694EBD"/>
    <w:rsid w:val="11772AA4"/>
    <w:rsid w:val="118107EC"/>
    <w:rsid w:val="12E24EE2"/>
    <w:rsid w:val="13D50BC4"/>
    <w:rsid w:val="14B17F78"/>
    <w:rsid w:val="165E0673"/>
    <w:rsid w:val="16B831D5"/>
    <w:rsid w:val="16BB723D"/>
    <w:rsid w:val="17E50567"/>
    <w:rsid w:val="17FB6783"/>
    <w:rsid w:val="1860599E"/>
    <w:rsid w:val="186504BB"/>
    <w:rsid w:val="19A445FC"/>
    <w:rsid w:val="1BE8440E"/>
    <w:rsid w:val="1D155CEE"/>
    <w:rsid w:val="1D1638FE"/>
    <w:rsid w:val="1E312DEB"/>
    <w:rsid w:val="1E740ACF"/>
    <w:rsid w:val="1EEB4DB7"/>
    <w:rsid w:val="1FF35744"/>
    <w:rsid w:val="1FF6BC77"/>
    <w:rsid w:val="2186353C"/>
    <w:rsid w:val="21DB6E7F"/>
    <w:rsid w:val="23860B96"/>
    <w:rsid w:val="23CB77BA"/>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501E42"/>
    <w:rsid w:val="32BD1EF1"/>
    <w:rsid w:val="3304709D"/>
    <w:rsid w:val="33A773CB"/>
    <w:rsid w:val="34180991"/>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9A4950"/>
    <w:rsid w:val="3FF4CAE0"/>
    <w:rsid w:val="3FF7B227"/>
    <w:rsid w:val="43266B0A"/>
    <w:rsid w:val="44E268DA"/>
    <w:rsid w:val="450D13D7"/>
    <w:rsid w:val="45506656"/>
    <w:rsid w:val="458B6526"/>
    <w:rsid w:val="486A6C7A"/>
    <w:rsid w:val="4A627F82"/>
    <w:rsid w:val="4B0E749A"/>
    <w:rsid w:val="4B2477C4"/>
    <w:rsid w:val="4B4F25DA"/>
    <w:rsid w:val="4BE068DB"/>
    <w:rsid w:val="4D577224"/>
    <w:rsid w:val="4DBF1CEB"/>
    <w:rsid w:val="4DF0007C"/>
    <w:rsid w:val="4EAB630A"/>
    <w:rsid w:val="4ECE2238"/>
    <w:rsid w:val="4F833267"/>
    <w:rsid w:val="4FE9BD67"/>
    <w:rsid w:val="4FF24139"/>
    <w:rsid w:val="4FFB052F"/>
    <w:rsid w:val="537E6D0A"/>
    <w:rsid w:val="53F74C96"/>
    <w:rsid w:val="55170BA8"/>
    <w:rsid w:val="553218C9"/>
    <w:rsid w:val="567E1AA5"/>
    <w:rsid w:val="56E47B74"/>
    <w:rsid w:val="57175D52"/>
    <w:rsid w:val="57BD3DD4"/>
    <w:rsid w:val="57FF4275"/>
    <w:rsid w:val="5AF92295"/>
    <w:rsid w:val="5B250254"/>
    <w:rsid w:val="5BDD79E6"/>
    <w:rsid w:val="5BF561CA"/>
    <w:rsid w:val="5BFF5DFC"/>
    <w:rsid w:val="5CC50384"/>
    <w:rsid w:val="5CD71FC4"/>
    <w:rsid w:val="5D1F11B5"/>
    <w:rsid w:val="5D695134"/>
    <w:rsid w:val="5DAE1B18"/>
    <w:rsid w:val="5DE7D9E5"/>
    <w:rsid w:val="5ECEC941"/>
    <w:rsid w:val="5FBF9FF3"/>
    <w:rsid w:val="5FC9535A"/>
    <w:rsid w:val="5FCD4E2C"/>
    <w:rsid w:val="5FEF394A"/>
    <w:rsid w:val="5FF67715"/>
    <w:rsid w:val="60104B30"/>
    <w:rsid w:val="62BF3928"/>
    <w:rsid w:val="63B3701E"/>
    <w:rsid w:val="647F5392"/>
    <w:rsid w:val="65752C9E"/>
    <w:rsid w:val="65E66580"/>
    <w:rsid w:val="664B1D71"/>
    <w:rsid w:val="664B4E8E"/>
    <w:rsid w:val="67277B67"/>
    <w:rsid w:val="67AA3209"/>
    <w:rsid w:val="68921DB9"/>
    <w:rsid w:val="698D0931"/>
    <w:rsid w:val="6A7FE5F3"/>
    <w:rsid w:val="6B053271"/>
    <w:rsid w:val="6B526944"/>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6F2793"/>
    <w:rsid w:val="78E875D7"/>
    <w:rsid w:val="79086DAD"/>
    <w:rsid w:val="79D7FD79"/>
    <w:rsid w:val="79EE5BA4"/>
    <w:rsid w:val="7A894339"/>
    <w:rsid w:val="7AB143CC"/>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0"/>
    <w:rPr>
      <w:rFonts w:ascii="宋体" w:hAnsi="Courier New" w:cs="Courier New"/>
      <w:szCs w:val="21"/>
    </w:r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2"/>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Body Text 2"/>
    <w:basedOn w:val="1"/>
    <w:qFormat/>
    <w:uiPriority w:val="0"/>
    <w:pPr>
      <w:spacing w:line="560" w:lineRule="exact"/>
    </w:pPr>
    <w:rPr>
      <w:sz w:val="28"/>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4"/>
    <w:qFormat/>
    <w:uiPriority w:val="9"/>
    <w:rPr>
      <w:rFonts w:ascii="Times New Roman" w:hAnsi="Times New Roman"/>
      <w:b/>
      <w:bCs/>
      <w:kern w:val="44"/>
      <w:sz w:val="44"/>
      <w:szCs w:val="44"/>
    </w:rPr>
  </w:style>
  <w:style w:type="character" w:customStyle="1" w:styleId="31">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6954</Words>
  <Characters>7563</Characters>
  <Lines>61</Lines>
  <Paragraphs>17</Paragraphs>
  <TotalTime>19</TotalTime>
  <ScaleCrop>false</ScaleCrop>
  <LinksUpToDate>false</LinksUpToDate>
  <CharactersWithSpaces>7638</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UOS</cp:lastModifiedBy>
  <cp:lastPrinted>2025-08-07T01:34:00Z</cp:lastPrinted>
  <dcterms:modified xsi:type="dcterms:W3CDTF">2026-02-11T10:33:49Z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F88B2B67476245C4A78CCFEF16E9ABED_13</vt:lpwstr>
  </property>
  <property fmtid="{D5CDD505-2E9C-101B-9397-08002B2CF9AE}" pid="4" name="KSOTemplateDocerSaveRecord">
    <vt:lpwstr>eyJoZGlkIjoiODdjYWVmMjM1YzBmNzZlNDMyNTdiYTNlNzAwZGJiZmMiLCJ1c2VySWQiOiI3NTk2NDExMDUifQ==</vt:lpwstr>
  </property>
</Properties>
</file>