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96475"/>
      <w:bookmarkStart w:id="2" w:name="_Toc15378441"/>
      <w:bookmarkStart w:id="3" w:name="_Toc15377193"/>
      <w:bookmarkStart w:id="4" w:name="_Toc15306267"/>
      <w:bookmarkStart w:id="5" w:name="_Toc15377425"/>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rPr>
          <w:rFonts w:hint="eastAsia" w:ascii="Times New Roman" w:hAnsi="Times New Roman" w:eastAsia="方正小标宋简体" w:cs="Times New Roman"/>
          <w:color w:val="auto"/>
          <w:kern w:val="2"/>
          <w:sz w:val="72"/>
          <w:szCs w:val="72"/>
          <w:highlight w:val="none"/>
          <w:lang w:val="en-US" w:eastAsia="zh-CN" w:bidi="ar-SA"/>
        </w:rPr>
      </w:pPr>
    </w:p>
    <w:p>
      <w:pPr>
        <w:pStyle w:val="7"/>
        <w:jc w:val="center"/>
        <w:rPr>
          <w:rFonts w:hint="default" w:ascii="Times New Roman" w:hAnsi="Times New Roman" w:eastAsia="方正小标宋_GBK" w:cs="Times New Roman"/>
          <w:color w:val="FF0000"/>
          <w:kern w:val="2"/>
          <w:sz w:val="56"/>
          <w:szCs w:val="56"/>
          <w:highlight w:val="none"/>
          <w:lang w:val="en-US" w:eastAsia="zh-CN" w:bidi="ar-SA"/>
        </w:rPr>
      </w:pPr>
      <w:r>
        <w:rPr>
          <w:rFonts w:hint="default" w:ascii="Times New Roman" w:hAnsi="Times New Roman" w:eastAsia="方正小标宋_GBK" w:cs="Times New Roman"/>
          <w:color w:val="FF0000"/>
          <w:kern w:val="2"/>
          <w:sz w:val="56"/>
          <w:szCs w:val="56"/>
          <w:highlight w:val="none"/>
          <w:lang w:val="en-US" w:eastAsia="zh-CN" w:bidi="ar-SA"/>
        </w:rPr>
        <w:t>2024年度</w:t>
      </w:r>
    </w:p>
    <w:p>
      <w:pPr>
        <w:pStyle w:val="7"/>
        <w:jc w:val="center"/>
        <w:rPr>
          <w:rFonts w:hint="default" w:ascii="Times New Roman" w:hAnsi="Times New Roman" w:eastAsia="方正小标宋_GBK" w:cs="Times New Roman"/>
          <w:color w:val="FF0000"/>
          <w:kern w:val="2"/>
          <w:sz w:val="56"/>
          <w:szCs w:val="56"/>
          <w:highlight w:val="none"/>
          <w:lang w:val="en-US" w:eastAsia="zh-CN" w:bidi="ar-SA"/>
        </w:rPr>
      </w:pPr>
      <w:r>
        <w:rPr>
          <w:rFonts w:hint="default" w:ascii="Times New Roman" w:hAnsi="Times New Roman" w:eastAsia="方正小标宋_GBK" w:cs="Times New Roman"/>
          <w:color w:val="FF0000"/>
          <w:kern w:val="2"/>
          <w:sz w:val="56"/>
          <w:szCs w:val="56"/>
          <w:highlight w:val="none"/>
          <w:lang w:val="en-US" w:eastAsia="zh-CN" w:bidi="ar-SA"/>
        </w:rPr>
        <w:t>四川省九寨沟县纪律检查委员会</w:t>
      </w:r>
    </w:p>
    <w:p>
      <w:pPr>
        <w:pStyle w:val="7"/>
        <w:jc w:val="center"/>
        <w:rPr>
          <w:rFonts w:hint="default" w:ascii="Times New Roman" w:hAnsi="Times New Roman" w:eastAsia="方正小标宋_GBK" w:cs="Times New Roman"/>
          <w:color w:val="FF0000"/>
          <w:kern w:val="2"/>
          <w:sz w:val="56"/>
          <w:szCs w:val="56"/>
          <w:highlight w:val="none"/>
          <w:lang w:val="en-US" w:eastAsia="zh-CN" w:bidi="ar-SA"/>
        </w:rPr>
      </w:pPr>
      <w:r>
        <w:rPr>
          <w:rFonts w:hint="eastAsia" w:ascii="Times New Roman" w:hAnsi="Times New Roman" w:eastAsia="方正小标宋_GBK" w:cs="Times New Roman"/>
          <w:color w:val="FF0000"/>
          <w:kern w:val="2"/>
          <w:sz w:val="56"/>
          <w:szCs w:val="56"/>
          <w:highlight w:val="none"/>
          <w:lang w:val="en-US" w:eastAsia="zh-CN" w:bidi="ar-SA"/>
        </w:rPr>
        <w:t>宣传教育信息中心</w:t>
      </w:r>
      <w:r>
        <w:rPr>
          <w:rFonts w:hint="default" w:ascii="Times New Roman" w:hAnsi="Times New Roman" w:eastAsia="方正小标宋_GBK" w:cs="Times New Roman"/>
          <w:color w:val="FF0000"/>
          <w:kern w:val="2"/>
          <w:sz w:val="56"/>
          <w:szCs w:val="56"/>
          <w:highlight w:val="none"/>
          <w:lang w:val="en-US" w:eastAsia="zh-CN" w:bidi="ar-SA"/>
        </w:rPr>
        <w:t>单位决算</w:t>
      </w:r>
    </w:p>
    <w:p>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pStyle w:val="7"/>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bookmarkStart w:id="64" w:name="_GoBack"/>
      <w:bookmarkEnd w:id="64"/>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18</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pPr>
        <w:pStyle w:val="4"/>
        <w:jc w:val="center"/>
        <w:rPr>
          <w:rStyle w:val="29"/>
          <w:rFonts w:hint="eastAsia" w:ascii="Times New Roman" w:hAnsi="Times New Roman" w:eastAsia="方正小标宋简体" w:cs="方正小标宋简体"/>
          <w:b/>
          <w:bCs w:val="0"/>
          <w:color w:val="FF0000"/>
          <w:highlight w:val="none"/>
        </w:rPr>
      </w:pPr>
      <w:r>
        <w:rPr>
          <w:rFonts w:hint="eastAsia" w:ascii="Times New Roman" w:hAnsi="Times New Roman" w:eastAsia="方正小标宋简体" w:cs="方正小标宋简体"/>
          <w:b w:val="0"/>
          <w:color w:val="FF0000"/>
          <w:highlight w:val="none"/>
        </w:rPr>
        <w:t>第一部分</w:t>
      </w:r>
      <w:r>
        <w:rPr>
          <w:rFonts w:hint="eastAsia" w:ascii="Times New Roman" w:hAnsi="Times New Roman" w:eastAsia="方正小标宋简体" w:cs="方正小标宋简体"/>
          <w:b w:val="0"/>
          <w:color w:val="FF0000"/>
          <w:highlight w:val="none"/>
          <w:lang w:val="en-US" w:eastAsia="zh-CN"/>
        </w:rPr>
        <w:t xml:space="preserve"> </w:t>
      </w:r>
      <w:r>
        <w:rPr>
          <w:rFonts w:hint="eastAsia" w:ascii="Times New Roman" w:hAnsi="Times New Roman" w:eastAsia="方正小标宋简体" w:cs="方正小标宋简体"/>
          <w:b w:val="0"/>
          <w:color w:val="FF0000"/>
          <w:highlight w:val="none"/>
        </w:rPr>
        <w:t xml:space="preserve"> </w:t>
      </w:r>
      <w:r>
        <w:rPr>
          <w:rStyle w:val="29"/>
          <w:rFonts w:hint="eastAsia" w:ascii="Times New Roman" w:hAnsi="Times New Roman" w:eastAsia="方正小标宋简体" w:cs="方正小标宋简体"/>
          <w:b w:val="0"/>
          <w:bCs w:val="0"/>
          <w:color w:val="FF0000"/>
          <w:highlight w:val="none"/>
        </w:rPr>
        <w:t>部门概况</w:t>
      </w:r>
      <w:bookmarkEnd w:id="6"/>
      <w:bookmarkEnd w:id="7"/>
    </w:p>
    <w:p>
      <w:pPr>
        <w:widowControl/>
        <w:jc w:val="left"/>
        <w:rPr>
          <w:rFonts w:ascii="Times New Roman" w:hAnsi="Times New Roman" w:eastAsia="黑体"/>
          <w:color w:val="FF0000"/>
          <w:sz w:val="32"/>
          <w:szCs w:val="32"/>
          <w:highlight w:val="none"/>
        </w:rPr>
      </w:pPr>
    </w:p>
    <w:p>
      <w:pPr>
        <w:pStyle w:val="5"/>
        <w:rPr>
          <w:rStyle w:val="30"/>
          <w:rFonts w:hint="eastAsia" w:ascii="Times New Roman" w:hAnsi="Times New Roman" w:eastAsia="黑体"/>
          <w:b w:val="0"/>
          <w:bCs w:val="0"/>
          <w:color w:val="FF0000"/>
          <w:highlight w:val="none"/>
          <w:lang w:eastAsia="zh-CN"/>
        </w:rPr>
      </w:pPr>
      <w:bookmarkStart w:id="8" w:name="_Toc15396600"/>
      <w:bookmarkStart w:id="9" w:name="_Toc15377197"/>
      <w:r>
        <w:rPr>
          <w:rFonts w:hint="eastAsia" w:ascii="Times New Roman" w:hAnsi="Times New Roman" w:eastAsia="黑体"/>
          <w:b w:val="0"/>
          <w:color w:val="FF0000"/>
          <w:highlight w:val="none"/>
        </w:rPr>
        <w:t>一、</w:t>
      </w:r>
      <w:bookmarkEnd w:id="8"/>
      <w:bookmarkEnd w:id="9"/>
      <w:r>
        <w:rPr>
          <w:rFonts w:hint="eastAsia" w:ascii="Times New Roman" w:hAnsi="Times New Roman" w:eastAsia="黑体"/>
          <w:b w:val="0"/>
          <w:color w:val="FF0000"/>
          <w:highlight w:val="none"/>
          <w:lang w:eastAsia="zh-CN"/>
        </w:rPr>
        <w:t>部门职责</w:t>
      </w:r>
    </w:p>
    <w:p>
      <w:pPr>
        <w:ind w:firstLine="640" w:firstLineChars="200"/>
        <w:rPr>
          <w:rFonts w:hint="eastAsia" w:ascii="仿宋_GB2312" w:hAnsi="仿宋_GB2312" w:eastAsia="仿宋_GB2312" w:cs="仿宋_GB2312"/>
          <w:color w:val="FF0000"/>
          <w:sz w:val="32"/>
          <w:szCs w:val="32"/>
          <w:highlight w:val="none"/>
        </w:rPr>
      </w:pPr>
      <w:bookmarkStart w:id="10" w:name="_Toc15377200"/>
      <w:bookmarkStart w:id="11" w:name="_Toc15396601"/>
      <w:r>
        <w:rPr>
          <w:rFonts w:hint="eastAsia" w:ascii="仿宋_GB2312" w:hAnsi="仿宋_GB2312" w:eastAsia="仿宋_GB2312" w:cs="仿宋_GB2312"/>
          <w:color w:val="FF0000"/>
          <w:sz w:val="32"/>
          <w:szCs w:val="32"/>
          <w:highlight w:val="none"/>
        </w:rPr>
        <w:t>1.负责监督执纪和监察有关事务性工作。</w:t>
      </w:r>
    </w:p>
    <w:p>
      <w:pPr>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FF0000"/>
          <w:sz w:val="32"/>
          <w:szCs w:val="32"/>
          <w:highlight w:val="none"/>
        </w:rPr>
        <w:t>2.负责全面从严治党、党风廉政建设和反腐败宣传教育以及廉洁文化建设工作。</w:t>
      </w:r>
    </w:p>
    <w:p>
      <w:pPr>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FF0000"/>
          <w:sz w:val="32"/>
          <w:szCs w:val="32"/>
          <w:highlight w:val="none"/>
        </w:rPr>
        <w:t>3.负责纪检监察系统外宣信息收集、编写和上报。</w:t>
      </w:r>
    </w:p>
    <w:p>
      <w:pPr>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FF0000"/>
          <w:sz w:val="32"/>
          <w:szCs w:val="32"/>
          <w:highlight w:val="none"/>
        </w:rPr>
        <w:t>4.负责纪检监察网络建设与维护、办案数据分析、技术保障、机房管理、专用软件管理与运行等工作。</w:t>
      </w:r>
    </w:p>
    <w:p>
      <w:pPr>
        <w:pStyle w:val="5"/>
        <w:rPr>
          <w:rStyle w:val="30"/>
          <w:rFonts w:ascii="Times New Roman" w:hAnsi="Times New Roman"/>
          <w:b w:val="0"/>
          <w:bCs w:val="0"/>
          <w:color w:val="FF0000"/>
          <w:highlight w:val="none"/>
        </w:rPr>
      </w:pPr>
      <w:r>
        <w:rPr>
          <w:rFonts w:hint="eastAsia" w:ascii="Times New Roman" w:hAnsi="Times New Roman" w:eastAsia="黑体"/>
          <w:b w:val="0"/>
          <w:color w:val="FF0000"/>
          <w:highlight w:val="none"/>
        </w:rPr>
        <w:t>二、机</w:t>
      </w:r>
      <w:r>
        <w:rPr>
          <w:rStyle w:val="30"/>
          <w:rFonts w:hint="eastAsia" w:ascii="Times New Roman" w:hAnsi="Times New Roman" w:eastAsia="黑体"/>
          <w:b w:val="0"/>
          <w:bCs w:val="0"/>
          <w:color w:val="FF0000"/>
          <w:highlight w:val="none"/>
        </w:rPr>
        <w:t>构设置</w:t>
      </w:r>
      <w:bookmarkEnd w:id="10"/>
      <w:bookmarkEnd w:id="11"/>
    </w:p>
    <w:p>
      <w:pPr>
        <w:ind w:firstLine="640" w:firstLineChars="200"/>
        <w:rPr>
          <w:rFonts w:hint="eastAsia" w:ascii="Times New Roman" w:hAnsi="Times New Roman" w:eastAsia="仿宋_GB2312" w:cs="仿宋_GB2312"/>
          <w:color w:val="FF0000"/>
          <w:sz w:val="32"/>
          <w:szCs w:val="32"/>
          <w:highlight w:val="none"/>
        </w:rPr>
      </w:pPr>
      <w:r>
        <w:rPr>
          <w:rFonts w:hint="eastAsia" w:ascii="仿宋_GB2312" w:hAnsi="仿宋_GB2312" w:eastAsia="仿宋_GB2312" w:cs="仿宋_GB2312"/>
          <w:color w:val="FF0000"/>
          <w:sz w:val="32"/>
          <w:szCs w:val="32"/>
          <w:highlight w:val="none"/>
        </w:rPr>
        <w:t>九寨沟县纪委监委宣传教育信息中心</w:t>
      </w:r>
      <w:r>
        <w:rPr>
          <w:rFonts w:hint="eastAsia" w:ascii="Times New Roman" w:hAnsi="Times New Roman" w:eastAsia="仿宋_GB2312" w:cs="仿宋_GB2312"/>
          <w:color w:val="FF0000"/>
          <w:sz w:val="32"/>
          <w:szCs w:val="32"/>
          <w:highlight w:val="none"/>
        </w:rPr>
        <w:t>下属二级</w:t>
      </w:r>
      <w:r>
        <w:rPr>
          <w:rFonts w:hint="eastAsia" w:ascii="Times New Roman" w:hAnsi="Times New Roman" w:eastAsia="仿宋_GB2312" w:cs="仿宋_GB2312"/>
          <w:color w:val="FF0000"/>
          <w:sz w:val="32"/>
          <w:szCs w:val="32"/>
          <w:highlight w:val="none"/>
          <w:lang w:eastAsia="zh-CN"/>
        </w:rPr>
        <w:t>预算</w:t>
      </w:r>
      <w:r>
        <w:rPr>
          <w:rFonts w:hint="eastAsia" w:ascii="Times New Roman" w:hAnsi="Times New Roman" w:eastAsia="仿宋_GB2312" w:cs="仿宋_GB2312"/>
          <w:color w:val="FF0000"/>
          <w:sz w:val="32"/>
          <w:szCs w:val="32"/>
          <w:highlight w:val="none"/>
        </w:rPr>
        <w:t>单位</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个，其中行政单位</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个，参照公务员法管理的事业单位</w:t>
      </w:r>
      <w:r>
        <w:rPr>
          <w:rFonts w:hint="eastAsia" w:eastAsia="仿宋_GB2312" w:cs="仿宋_GB2312"/>
          <w:bCs/>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个，其他事业单位</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个。</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4"/>
        <w:jc w:val="center"/>
        <w:rPr>
          <w:rFonts w:hint="eastAsia" w:ascii="Times New Roman" w:hAnsi="Times New Roman" w:eastAsia="方正小标宋简体" w:cs="方正小标宋简体"/>
          <w:b w:val="0"/>
          <w:color w:val="auto"/>
          <w:highlight w:val="none"/>
        </w:rPr>
      </w:pPr>
      <w:bookmarkStart w:id="12" w:name="_Toc15396602"/>
      <w:bookmarkStart w:id="13"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2"/>
      <w:bookmarkEnd w:id="13"/>
    </w:p>
    <w:p>
      <w:pPr>
        <w:rPr>
          <w:rFonts w:ascii="Times New Roman" w:hAnsi="Times New Roman"/>
          <w:color w:val="auto"/>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4" w:name="_Toc15396603"/>
      <w:bookmarkStart w:id="15"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4"/>
      <w:bookmarkEnd w:id="15"/>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FF0000"/>
          <w:sz w:val="32"/>
          <w:szCs w:val="32"/>
          <w:highlight w:val="none"/>
          <w:lang w:eastAsia="zh-CN"/>
        </w:rPr>
        <w:t>2024年度收入</w:t>
      </w:r>
      <w:r>
        <w:rPr>
          <w:rFonts w:hint="eastAsia" w:ascii="Times New Roman" w:hAnsi="Times New Roman" w:eastAsia="仿宋_GB2312" w:cs="仿宋_GB2312"/>
          <w:color w:val="FF0000"/>
          <w:sz w:val="32"/>
          <w:szCs w:val="32"/>
          <w:highlight w:val="none"/>
        </w:rPr>
        <w:t>、</w:t>
      </w:r>
      <w:r>
        <w:rPr>
          <w:rFonts w:hint="eastAsia" w:ascii="Times New Roman" w:hAnsi="Times New Roman" w:eastAsia="仿宋_GB2312" w:cs="仿宋_GB2312"/>
          <w:color w:val="FF0000"/>
          <w:sz w:val="32"/>
          <w:szCs w:val="32"/>
          <w:highlight w:val="none"/>
          <w:lang w:eastAsia="zh-CN"/>
        </w:rPr>
        <w:t>支出</w:t>
      </w:r>
      <w:r>
        <w:rPr>
          <w:rFonts w:hint="eastAsia" w:ascii="Times New Roman" w:hAnsi="Times New Roman" w:eastAsia="仿宋_GB2312" w:cs="仿宋_GB2312"/>
          <w:color w:val="FF0000"/>
          <w:sz w:val="32"/>
          <w:szCs w:val="32"/>
          <w:highlight w:val="none"/>
        </w:rPr>
        <w:t>总计</w:t>
      </w:r>
      <w:r>
        <w:rPr>
          <w:rFonts w:hint="eastAsia" w:ascii="Times New Roman" w:hAnsi="Times New Roman" w:eastAsia="仿宋_GB2312" w:cs="仿宋_GB2312"/>
          <w:color w:val="FF0000"/>
          <w:sz w:val="32"/>
          <w:szCs w:val="32"/>
          <w:highlight w:val="none"/>
          <w:lang w:eastAsia="zh-CN"/>
        </w:rPr>
        <w:t>均为</w:t>
      </w:r>
      <w:r>
        <w:rPr>
          <w:rFonts w:hint="eastAsia" w:ascii="仿宋_GB2312" w:hAnsi="仿宋_GB2312" w:eastAsia="仿宋_GB2312" w:cs="仿宋_GB2312"/>
          <w:color w:val="FF0000"/>
          <w:sz w:val="32"/>
          <w:szCs w:val="32"/>
        </w:rPr>
        <w:t>64.13</w:t>
      </w:r>
      <w:r>
        <w:rPr>
          <w:rFonts w:hint="eastAsia" w:ascii="Times New Roman" w:hAnsi="Times New Roman" w:eastAsia="仿宋_GB2312" w:cs="仿宋_GB2312"/>
          <w:color w:val="FF0000"/>
          <w:sz w:val="32"/>
          <w:szCs w:val="32"/>
          <w:highlight w:val="none"/>
        </w:rPr>
        <w:t>万元。与</w:t>
      </w:r>
      <w:r>
        <w:rPr>
          <w:rFonts w:hint="eastAsia" w:ascii="Times New Roman" w:hAnsi="Times New Roman" w:eastAsia="仿宋_GB2312" w:cs="仿宋_GB2312"/>
          <w:color w:val="FF0000"/>
          <w:sz w:val="32"/>
          <w:szCs w:val="32"/>
          <w:highlight w:val="none"/>
          <w:lang w:eastAsia="zh-CN"/>
        </w:rPr>
        <w:t>202</w:t>
      </w:r>
      <w:r>
        <w:rPr>
          <w:rFonts w:hint="eastAsia" w:ascii="Times New Roman" w:hAnsi="Times New Roman" w:eastAsia="仿宋_GB2312" w:cs="仿宋_GB2312"/>
          <w:color w:val="FF0000"/>
          <w:sz w:val="32"/>
          <w:szCs w:val="32"/>
          <w:highlight w:val="none"/>
          <w:lang w:val="en-US" w:eastAsia="zh-CN"/>
        </w:rPr>
        <w:t>3</w:t>
      </w:r>
      <w:r>
        <w:rPr>
          <w:rFonts w:hint="eastAsia" w:ascii="Times New Roman" w:hAnsi="Times New Roman" w:eastAsia="仿宋_GB2312" w:cs="仿宋_GB2312"/>
          <w:color w:val="FF0000"/>
          <w:sz w:val="32"/>
          <w:szCs w:val="32"/>
          <w:highlight w:val="none"/>
        </w:rPr>
        <w:t>年</w:t>
      </w:r>
      <w:r>
        <w:rPr>
          <w:rFonts w:hint="eastAsia" w:ascii="Times New Roman" w:hAnsi="Times New Roman" w:eastAsia="仿宋_GB2312" w:cs="仿宋_GB2312"/>
          <w:color w:val="FF0000"/>
          <w:sz w:val="32"/>
          <w:szCs w:val="32"/>
          <w:highlight w:val="none"/>
          <w:lang w:eastAsia="zh-CN"/>
        </w:rPr>
        <w:t>度</w:t>
      </w:r>
      <w:r>
        <w:rPr>
          <w:rFonts w:hint="eastAsia" w:ascii="Times New Roman" w:hAnsi="Times New Roman" w:eastAsia="仿宋_GB2312" w:cs="仿宋_GB2312"/>
          <w:color w:val="FF0000"/>
          <w:sz w:val="32"/>
          <w:szCs w:val="32"/>
          <w:highlight w:val="none"/>
        </w:rPr>
        <w:t>相比，</w:t>
      </w:r>
      <w:r>
        <w:rPr>
          <w:rFonts w:hint="eastAsia" w:ascii="Times New Roman" w:hAnsi="Times New Roman" w:eastAsia="仿宋_GB2312" w:cs="仿宋_GB2312"/>
          <w:color w:val="FF0000"/>
          <w:sz w:val="32"/>
          <w:szCs w:val="32"/>
          <w:highlight w:val="none"/>
          <w:lang w:eastAsia="zh-CN"/>
        </w:rPr>
        <w:t>收入</w:t>
      </w:r>
      <w:r>
        <w:rPr>
          <w:rFonts w:hint="eastAsia" w:ascii="Times New Roman" w:hAnsi="Times New Roman" w:eastAsia="仿宋_GB2312" w:cs="仿宋_GB2312"/>
          <w:color w:val="FF0000"/>
          <w:sz w:val="32"/>
          <w:szCs w:val="32"/>
          <w:highlight w:val="none"/>
        </w:rPr>
        <w:t>、</w:t>
      </w:r>
      <w:r>
        <w:rPr>
          <w:rFonts w:hint="eastAsia" w:ascii="Times New Roman" w:hAnsi="Times New Roman" w:eastAsia="仿宋_GB2312" w:cs="仿宋_GB2312"/>
          <w:color w:val="FF0000"/>
          <w:sz w:val="32"/>
          <w:szCs w:val="32"/>
          <w:highlight w:val="none"/>
          <w:lang w:eastAsia="zh-CN"/>
        </w:rPr>
        <w:t>支出</w:t>
      </w:r>
      <w:r>
        <w:rPr>
          <w:rFonts w:hint="eastAsia" w:ascii="Times New Roman" w:hAnsi="Times New Roman" w:eastAsia="仿宋_GB2312" w:cs="仿宋_GB2312"/>
          <w:color w:val="FF0000"/>
          <w:sz w:val="32"/>
          <w:szCs w:val="32"/>
          <w:highlight w:val="none"/>
        </w:rPr>
        <w:t>总计各增加</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万元，增长</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%。主要变动原因是</w:t>
      </w:r>
      <w:r>
        <w:rPr>
          <w:rFonts w:hint="eastAsia" w:eastAsia="仿宋_GB2312" w:cs="仿宋_GB2312"/>
          <w:color w:val="FF0000"/>
          <w:sz w:val="32"/>
          <w:szCs w:val="32"/>
          <w:highlight w:val="none"/>
          <w:lang w:val="en-US" w:eastAsia="zh-CN"/>
        </w:rPr>
        <w:t>2023年未开通此单位。</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FF0000"/>
          <w:sz w:val="32"/>
          <w:szCs w:val="32"/>
          <w:highlight w:val="none"/>
          <w:lang w:eastAsia="zh-CN"/>
        </w:rPr>
      </w:pPr>
      <w:bookmarkStart w:id="16" w:name="_Toc15396604"/>
      <w:bookmarkStart w:id="17" w:name="_Toc15377206"/>
      <w:r>
        <w:rPr>
          <w:rFonts w:hint="eastAsia" w:ascii="Times New Roman" w:hAnsi="Times New Roman" w:eastAsia="黑体"/>
          <w:color w:val="FF0000"/>
          <w:sz w:val="32"/>
          <w:szCs w:val="32"/>
          <w:highlight w:val="none"/>
          <w:lang w:eastAsia="zh-CN"/>
        </w:rPr>
        <w:t>二、收入决算情况说明</w:t>
      </w:r>
      <w:bookmarkEnd w:id="16"/>
      <w:bookmarkEnd w:id="17"/>
    </w:p>
    <w:p>
      <w:pPr>
        <w:ind w:firstLine="800" w:firstLineChars="250"/>
        <w:rPr>
          <w:rFonts w:hint="eastAsia" w:ascii="Times New Roman" w:hAnsi="Times New Roman" w:eastAsia="仿宋_GB2312" w:cs="仿宋_GB2312"/>
          <w:color w:val="FF0000"/>
          <w:sz w:val="32"/>
          <w:szCs w:val="32"/>
          <w:highlight w:val="none"/>
          <w:lang w:eastAsia="zh-CN"/>
        </w:rPr>
      </w:pPr>
      <w:r>
        <w:rPr>
          <w:rFonts w:hint="eastAsia" w:ascii="仿宋_GB2312" w:hAnsi="仿宋_GB2312" w:eastAsia="仿宋_GB2312" w:cs="仿宋_GB2312"/>
          <w:color w:val="FF0000"/>
          <w:sz w:val="32"/>
          <w:szCs w:val="32"/>
          <w:highlight w:val="none"/>
          <w:lang w:eastAsia="zh-CN"/>
        </w:rPr>
        <w:t>2024年度本年收入合计</w:t>
      </w:r>
      <w:r>
        <w:rPr>
          <w:rFonts w:hint="eastAsia" w:ascii="仿宋_GB2312" w:hAnsi="仿宋_GB2312" w:eastAsia="仿宋_GB2312" w:cs="仿宋_GB2312"/>
          <w:color w:val="FF0000"/>
          <w:sz w:val="32"/>
          <w:szCs w:val="32"/>
        </w:rPr>
        <w:t>57.39万元，其中：一般公共预算财政拨款收入57.39</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100</w:t>
      </w:r>
      <w:r>
        <w:rPr>
          <w:rFonts w:hint="eastAsia" w:ascii="仿宋_GB2312" w:hAnsi="仿宋_GB2312" w:eastAsia="仿宋_GB2312" w:cs="仿宋_GB2312"/>
          <w:color w:val="FF0000"/>
          <w:sz w:val="32"/>
          <w:szCs w:val="32"/>
          <w:highlight w:val="none"/>
          <w:lang w:eastAsia="zh-CN"/>
        </w:rPr>
        <w:t>%；政府性基金预算财政拨款收入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%；国有资本经营预算财政拨款收入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%；上级补助收入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%；事业收入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%；经营收入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%；附属单位上缴收入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%；其他收入</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FF0000"/>
          <w:highlight w:val="none"/>
        </w:rPr>
      </w:pPr>
      <w:bookmarkStart w:id="18" w:name="_Toc15377207"/>
      <w:bookmarkStart w:id="19" w:name="_Toc15396605"/>
      <w:r>
        <w:rPr>
          <w:rFonts w:hint="eastAsia" w:ascii="Times New Roman" w:hAnsi="Times New Roman" w:eastAsia="黑体"/>
          <w:color w:val="FF0000"/>
          <w:sz w:val="32"/>
          <w:szCs w:val="32"/>
          <w:highlight w:val="none"/>
          <w:lang w:eastAsia="zh-CN"/>
        </w:rPr>
        <w:t>三、</w:t>
      </w:r>
      <w:r>
        <w:rPr>
          <w:rFonts w:hint="eastAsia" w:ascii="Times New Roman" w:hAnsi="Times New Roman" w:eastAsia="黑体"/>
          <w:color w:val="FF0000"/>
          <w:sz w:val="32"/>
          <w:szCs w:val="32"/>
          <w:highlight w:val="none"/>
        </w:rPr>
        <w:t>支</w:t>
      </w:r>
      <w:r>
        <w:rPr>
          <w:rStyle w:val="30"/>
          <w:rFonts w:hint="eastAsia" w:ascii="Times New Roman" w:hAnsi="Times New Roman" w:eastAsia="黑体"/>
          <w:b w:val="0"/>
          <w:color w:val="FF0000"/>
          <w:highlight w:val="none"/>
        </w:rPr>
        <w:t>出决算情况说明</w:t>
      </w:r>
      <w:bookmarkEnd w:id="18"/>
      <w:bookmarkEnd w:id="19"/>
    </w:p>
    <w:p>
      <w:pPr>
        <w:ind w:firstLine="800" w:firstLineChars="250"/>
        <w:rPr>
          <w:rFonts w:hint="eastAsia" w:ascii="Times New Roman" w:hAnsi="Times New Roman" w:eastAsia="仿宋_GB2312" w:cs="仿宋_GB2312"/>
          <w:color w:val="FF0000"/>
          <w:sz w:val="32"/>
          <w:szCs w:val="32"/>
          <w:highlight w:val="none"/>
          <w:lang w:eastAsia="zh-CN"/>
        </w:rPr>
      </w:pPr>
      <w:r>
        <w:rPr>
          <w:rFonts w:hint="eastAsia" w:ascii="仿宋_GB2312" w:hAnsi="仿宋_GB2312" w:eastAsia="仿宋_GB2312" w:cs="仿宋_GB2312"/>
          <w:color w:val="FF0000"/>
          <w:sz w:val="32"/>
          <w:szCs w:val="32"/>
          <w:highlight w:val="none"/>
          <w:lang w:eastAsia="zh-CN"/>
        </w:rPr>
        <w:t>2024年度本年支出合计</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sz w:val="32"/>
          <w:szCs w:val="32"/>
          <w:highlight w:val="none"/>
          <w:lang w:eastAsia="zh-CN"/>
        </w:rPr>
        <w:t>万元，其中：基本支出</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100</w:t>
      </w:r>
      <w:r>
        <w:rPr>
          <w:rFonts w:hint="eastAsia" w:ascii="仿宋_GB2312" w:hAnsi="仿宋_GB2312" w:eastAsia="仿宋_GB2312" w:cs="仿宋_GB2312"/>
          <w:color w:val="FF0000"/>
          <w:sz w:val="32"/>
          <w:szCs w:val="32"/>
          <w:highlight w:val="none"/>
          <w:lang w:eastAsia="zh-CN"/>
        </w:rPr>
        <w:t>%；项目支出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%；上缴上级支出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%；经营支出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%；对附属单位补助支出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万元，占</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highlight w:val="none"/>
          <w:lang w:eastAsia="zh-CN"/>
        </w:rPr>
        <w:t>。</w:t>
      </w:r>
    </w:p>
    <w:p>
      <w:pPr>
        <w:spacing w:line="600" w:lineRule="exact"/>
        <w:ind w:firstLine="640" w:firstLineChars="200"/>
        <w:outlineLvl w:val="1"/>
        <w:rPr>
          <w:rStyle w:val="30"/>
          <w:rFonts w:ascii="Times New Roman" w:hAnsi="Times New Roman" w:eastAsia="黑体"/>
          <w:b w:val="0"/>
          <w:color w:val="FF0000"/>
          <w:highlight w:val="none"/>
        </w:rPr>
      </w:pPr>
      <w:bookmarkStart w:id="20" w:name="_Toc15396606"/>
      <w:bookmarkStart w:id="21" w:name="_Toc15377208"/>
      <w:r>
        <w:rPr>
          <w:rFonts w:hint="eastAsia" w:ascii="Times New Roman" w:hAnsi="Times New Roman" w:eastAsia="黑体"/>
          <w:color w:val="FF0000"/>
          <w:sz w:val="32"/>
          <w:szCs w:val="32"/>
          <w:highlight w:val="none"/>
        </w:rPr>
        <w:t>四、财</w:t>
      </w:r>
      <w:r>
        <w:rPr>
          <w:rStyle w:val="30"/>
          <w:rFonts w:hint="eastAsia" w:ascii="Times New Roman" w:hAnsi="Times New Roman" w:eastAsia="黑体"/>
          <w:b w:val="0"/>
          <w:color w:val="FF0000"/>
          <w:highlight w:val="none"/>
        </w:rPr>
        <w:t>政拨款收入支出决算总体情况说明</w:t>
      </w:r>
      <w:bookmarkEnd w:id="20"/>
      <w:bookmarkEnd w:id="21"/>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FF0000"/>
          <w:sz w:val="32"/>
          <w:szCs w:val="32"/>
          <w:highlight w:val="none"/>
        </w:rPr>
      </w:pPr>
      <w:r>
        <w:rPr>
          <w:rFonts w:hint="eastAsia" w:ascii="Times New Roman" w:hAnsi="Times New Roman" w:eastAsia="仿宋_GB2312" w:cs="仿宋_GB2312"/>
          <w:color w:val="FF0000"/>
          <w:kern w:val="2"/>
          <w:sz w:val="32"/>
          <w:szCs w:val="32"/>
          <w:highlight w:val="none"/>
          <w:lang w:val="en-US" w:eastAsia="zh-CN" w:bidi="ar-SA"/>
        </w:rPr>
        <w:t>2024年度财政拨款收入、支出总计均为</w:t>
      </w:r>
      <w:r>
        <w:rPr>
          <w:rFonts w:hint="eastAsia" w:ascii="仿宋_GB2312" w:hAnsi="仿宋_GB2312" w:eastAsia="仿宋_GB2312" w:cs="仿宋_GB2312"/>
          <w:color w:val="FF0000"/>
          <w:sz w:val="32"/>
          <w:szCs w:val="32"/>
        </w:rPr>
        <w:t>64.13</w:t>
      </w:r>
      <w:r>
        <w:rPr>
          <w:rFonts w:hint="eastAsia" w:ascii="Times New Roman" w:hAnsi="Times New Roman" w:eastAsia="仿宋_GB2312" w:cs="仿宋_GB2312"/>
          <w:color w:val="FF0000"/>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FF0000"/>
          <w:sz w:val="32"/>
          <w:szCs w:val="32"/>
          <w:highlight w:val="none"/>
        </w:rPr>
        <w:t>增加</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万元，增长</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%。主要变动原因是</w:t>
      </w:r>
      <w:r>
        <w:rPr>
          <w:rFonts w:hint="eastAsia" w:eastAsia="仿宋_GB2312" w:cs="仿宋_GB2312"/>
          <w:color w:val="FF0000"/>
          <w:sz w:val="32"/>
          <w:szCs w:val="32"/>
          <w:highlight w:val="none"/>
          <w:lang w:val="en-US" w:eastAsia="zh-CN"/>
        </w:rPr>
        <w:t>2023年未开通此单位。</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Style w:val="30"/>
          <w:rFonts w:ascii="Times New Roman" w:hAnsi="Times New Roman" w:eastAsia="黑体"/>
          <w:b w:val="0"/>
          <w:color w:val="auto"/>
          <w:highlight w:val="none"/>
        </w:rPr>
      </w:pPr>
      <w:bookmarkStart w:id="22" w:name="_Toc15396607"/>
      <w:bookmarkStart w:id="23"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2"/>
      <w:bookmarkEnd w:id="2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4"/>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FF0000"/>
          <w:sz w:val="32"/>
          <w:szCs w:val="32"/>
          <w:highlight w:val="none"/>
        </w:rPr>
      </w:pPr>
      <w:r>
        <w:rPr>
          <w:rFonts w:hint="eastAsia" w:ascii="仿宋_GB2312" w:hAnsi="仿宋_GB2312" w:eastAsia="仿宋_GB2312" w:cs="仿宋_GB2312"/>
          <w:color w:val="FF0000"/>
          <w:kern w:val="2"/>
          <w:sz w:val="32"/>
          <w:szCs w:val="32"/>
          <w:highlight w:val="none"/>
          <w:lang w:val="en-US" w:eastAsia="zh-CN" w:bidi="ar-SA"/>
        </w:rPr>
        <w:t>2024年度一般公共预算财政拨款支出</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kern w:val="2"/>
          <w:sz w:val="32"/>
          <w:szCs w:val="32"/>
          <w:highlight w:val="none"/>
          <w:lang w:val="en-US" w:eastAsia="zh-CN" w:bidi="ar-SA"/>
        </w:rPr>
        <w:t>万元，占本年支出合计的</w:t>
      </w:r>
      <w:r>
        <w:rPr>
          <w:rFonts w:hint="eastAsia" w:ascii="仿宋_GB2312" w:hAnsi="仿宋_GB2312" w:eastAsia="仿宋_GB2312" w:cs="仿宋_GB2312"/>
          <w:color w:val="FF0000"/>
          <w:sz w:val="32"/>
          <w:szCs w:val="32"/>
        </w:rPr>
        <w:t>100</w:t>
      </w:r>
      <w:r>
        <w:rPr>
          <w:rFonts w:hint="eastAsia" w:ascii="仿宋_GB2312" w:hAnsi="仿宋_GB2312" w:eastAsia="仿宋_GB2312" w:cs="仿宋_GB2312"/>
          <w:color w:val="FF0000"/>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FF0000"/>
          <w:sz w:val="32"/>
          <w:szCs w:val="32"/>
          <w:highlight w:val="none"/>
        </w:rPr>
        <w:t>增加</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万元，增长</w:t>
      </w:r>
      <w:r>
        <w:rPr>
          <w:rFonts w:hint="eastAsia" w:eastAsia="仿宋_GB2312" w:cs="仿宋_GB2312"/>
          <w:color w:val="FF0000"/>
          <w:sz w:val="32"/>
          <w:szCs w:val="32"/>
          <w:highlight w:val="none"/>
          <w:lang w:val="en-US" w:eastAsia="zh-CN"/>
        </w:rPr>
        <w:t>0</w:t>
      </w:r>
      <w:r>
        <w:rPr>
          <w:rFonts w:hint="eastAsia" w:ascii="Times New Roman" w:hAnsi="Times New Roman" w:eastAsia="仿宋_GB2312" w:cs="仿宋_GB2312"/>
          <w:color w:val="FF0000"/>
          <w:sz w:val="32"/>
          <w:szCs w:val="32"/>
          <w:highlight w:val="none"/>
        </w:rPr>
        <w:t>%。主要变动原因是</w:t>
      </w:r>
      <w:r>
        <w:rPr>
          <w:rFonts w:hint="eastAsia" w:eastAsia="仿宋_GB2312" w:cs="仿宋_GB2312"/>
          <w:color w:val="FF0000"/>
          <w:sz w:val="32"/>
          <w:szCs w:val="32"/>
          <w:highlight w:val="none"/>
          <w:lang w:val="en-US" w:eastAsia="zh-CN"/>
        </w:rPr>
        <w:t>2023年未开通此单位。</w:t>
      </w:r>
    </w:p>
    <w:p>
      <w:pPr>
        <w:spacing w:line="600" w:lineRule="exact"/>
        <w:ind w:firstLine="642" w:firstLineChars="200"/>
        <w:outlineLvl w:val="2"/>
        <w:rPr>
          <w:rFonts w:hint="eastAsia" w:ascii="Times New Roman" w:hAnsi="Times New Roman" w:eastAsia="楷体_GB2312" w:cs="楷体_GB2312"/>
          <w:b/>
          <w:color w:val="FF0000"/>
          <w:sz w:val="32"/>
          <w:szCs w:val="32"/>
          <w:highlight w:val="none"/>
        </w:rPr>
      </w:pPr>
      <w:bookmarkStart w:id="25" w:name="_Toc15377211"/>
      <w:r>
        <w:rPr>
          <w:rFonts w:hint="eastAsia" w:ascii="Times New Roman" w:hAnsi="Times New Roman" w:eastAsia="楷体_GB2312" w:cs="楷体_GB2312"/>
          <w:b/>
          <w:color w:val="FF0000"/>
          <w:sz w:val="32"/>
          <w:szCs w:val="32"/>
          <w:highlight w:val="none"/>
        </w:rPr>
        <w:t>（二）一般公共预算财政拨款支出决算结构情况</w:t>
      </w:r>
      <w:bookmarkEnd w:id="25"/>
    </w:p>
    <w:p>
      <w:pPr>
        <w:spacing w:line="600" w:lineRule="exact"/>
        <w:ind w:firstLine="640"/>
        <w:rPr>
          <w:rFonts w:hint="eastAsia" w:ascii="Times New Roman" w:hAnsi="Times New Roman" w:eastAsia="仿宋_GB2312" w:cs="仿宋_GB2312"/>
          <w:b/>
          <w:bCs/>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2024年度一般公共预算财政拨款支出</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kern w:val="2"/>
          <w:sz w:val="32"/>
          <w:szCs w:val="32"/>
          <w:highlight w:val="none"/>
          <w:lang w:val="en-US" w:eastAsia="zh-CN" w:bidi="ar-SA"/>
        </w:rPr>
        <w:t>万元</w:t>
      </w:r>
      <w:r>
        <w:rPr>
          <w:rFonts w:hint="eastAsia" w:ascii="Times New Roman" w:hAnsi="Times New Roman" w:eastAsia="仿宋_GB2312" w:cs="仿宋_GB2312"/>
          <w:color w:val="FF0000"/>
          <w:kern w:val="2"/>
          <w:sz w:val="32"/>
          <w:szCs w:val="32"/>
          <w:highlight w:val="none"/>
          <w:lang w:val="en-US" w:eastAsia="zh-CN" w:bidi="ar-SA"/>
        </w:rPr>
        <w:t>，主要用于以下方面</w:t>
      </w:r>
      <w:r>
        <w:rPr>
          <w:rFonts w:hint="eastAsia" w:eastAsia="仿宋_GB2312" w:cs="仿宋_GB2312"/>
          <w:color w:val="FF0000"/>
          <w:kern w:val="2"/>
          <w:sz w:val="32"/>
          <w:szCs w:val="32"/>
          <w:highlight w:val="none"/>
          <w:lang w:val="en-US" w:eastAsia="zh-CN" w:bidi="ar-SA"/>
        </w:rPr>
        <w:t>：</w:t>
      </w:r>
      <w:r>
        <w:rPr>
          <w:rFonts w:hint="eastAsia" w:ascii="Times New Roman" w:hAnsi="Times New Roman" w:eastAsia="仿宋_GB2312" w:cs="仿宋_GB2312"/>
          <w:color w:val="FF0000"/>
          <w:kern w:val="2"/>
          <w:sz w:val="32"/>
          <w:szCs w:val="32"/>
          <w:highlight w:val="none"/>
          <w:lang w:val="en-US" w:eastAsia="zh-CN" w:bidi="ar-SA"/>
        </w:rPr>
        <w:t>一般公共服务支出</w:t>
      </w:r>
      <w:r>
        <w:rPr>
          <w:rFonts w:hint="eastAsia" w:eastAsia="仿宋_GB2312" w:cs="仿宋_GB2312"/>
          <w:color w:val="FF0000"/>
          <w:kern w:val="2"/>
          <w:sz w:val="32"/>
          <w:szCs w:val="32"/>
          <w:highlight w:val="none"/>
          <w:lang w:val="en-US" w:eastAsia="zh-CN" w:bidi="ar-SA"/>
        </w:rPr>
        <w:t>48.85</w:t>
      </w:r>
      <w:r>
        <w:rPr>
          <w:rFonts w:hint="eastAsia" w:ascii="Times New Roman" w:hAnsi="Times New Roman" w:eastAsia="仿宋_GB2312" w:cs="仿宋_GB2312"/>
          <w:color w:val="FF0000"/>
          <w:kern w:val="2"/>
          <w:sz w:val="32"/>
          <w:szCs w:val="32"/>
          <w:highlight w:val="none"/>
          <w:lang w:val="en-US" w:eastAsia="zh-CN" w:bidi="ar-SA"/>
        </w:rPr>
        <w:t>万元，占</w:t>
      </w:r>
      <w:r>
        <w:rPr>
          <w:rFonts w:hint="eastAsia" w:eastAsia="仿宋_GB2312" w:cs="仿宋_GB2312"/>
          <w:color w:val="FF0000"/>
          <w:kern w:val="2"/>
          <w:sz w:val="32"/>
          <w:szCs w:val="32"/>
          <w:highlight w:val="none"/>
          <w:lang w:val="en-US" w:eastAsia="zh-CN" w:bidi="ar-SA"/>
        </w:rPr>
        <w:t>76</w:t>
      </w:r>
      <w:r>
        <w:rPr>
          <w:rFonts w:hint="eastAsia" w:ascii="Times New Roman" w:hAnsi="Times New Roman" w:eastAsia="仿宋_GB2312" w:cs="仿宋_GB2312"/>
          <w:color w:val="FF0000"/>
          <w:kern w:val="2"/>
          <w:sz w:val="32"/>
          <w:szCs w:val="32"/>
          <w:highlight w:val="none"/>
          <w:lang w:val="en-US" w:eastAsia="zh-CN" w:bidi="ar-SA"/>
        </w:rPr>
        <w:t>%；社会保障和就业支出</w:t>
      </w:r>
      <w:r>
        <w:rPr>
          <w:rFonts w:hint="eastAsia" w:eastAsia="仿宋_GB2312" w:cs="仿宋_GB2312"/>
          <w:color w:val="FF0000"/>
          <w:kern w:val="2"/>
          <w:sz w:val="32"/>
          <w:szCs w:val="32"/>
          <w:highlight w:val="none"/>
          <w:lang w:val="en-US" w:eastAsia="zh-CN" w:bidi="ar-SA"/>
        </w:rPr>
        <w:t>7.65</w:t>
      </w:r>
      <w:r>
        <w:rPr>
          <w:rFonts w:hint="eastAsia" w:ascii="Times New Roman" w:hAnsi="Times New Roman" w:eastAsia="仿宋_GB2312" w:cs="仿宋_GB2312"/>
          <w:color w:val="FF0000"/>
          <w:kern w:val="2"/>
          <w:sz w:val="32"/>
          <w:szCs w:val="32"/>
          <w:highlight w:val="none"/>
          <w:lang w:val="en-US" w:eastAsia="zh-CN" w:bidi="ar-SA"/>
        </w:rPr>
        <w:t>万元，占</w:t>
      </w:r>
      <w:r>
        <w:rPr>
          <w:rFonts w:hint="eastAsia" w:eastAsia="仿宋_GB2312" w:cs="仿宋_GB2312"/>
          <w:color w:val="FF0000"/>
          <w:kern w:val="2"/>
          <w:sz w:val="32"/>
          <w:szCs w:val="32"/>
          <w:highlight w:val="none"/>
          <w:lang w:val="en-US" w:eastAsia="zh-CN" w:bidi="ar-SA"/>
        </w:rPr>
        <w:t>12</w:t>
      </w:r>
      <w:r>
        <w:rPr>
          <w:rFonts w:hint="eastAsia" w:ascii="Times New Roman" w:hAnsi="Times New Roman" w:eastAsia="仿宋_GB2312" w:cs="仿宋_GB2312"/>
          <w:color w:val="FF0000"/>
          <w:kern w:val="2"/>
          <w:sz w:val="32"/>
          <w:szCs w:val="32"/>
          <w:highlight w:val="none"/>
          <w:lang w:val="en-US" w:eastAsia="zh-CN" w:bidi="ar-SA"/>
        </w:rPr>
        <w:t>%；卫生健康支出</w:t>
      </w:r>
      <w:r>
        <w:rPr>
          <w:rFonts w:hint="eastAsia" w:eastAsia="仿宋_GB2312" w:cs="仿宋_GB2312"/>
          <w:color w:val="FF0000"/>
          <w:kern w:val="2"/>
          <w:sz w:val="32"/>
          <w:szCs w:val="32"/>
          <w:highlight w:val="none"/>
          <w:lang w:val="en-US" w:eastAsia="zh-CN" w:bidi="ar-SA"/>
        </w:rPr>
        <w:t>3.27</w:t>
      </w:r>
      <w:r>
        <w:rPr>
          <w:rFonts w:hint="eastAsia" w:ascii="Times New Roman" w:hAnsi="Times New Roman" w:eastAsia="仿宋_GB2312" w:cs="仿宋_GB2312"/>
          <w:color w:val="FF0000"/>
          <w:kern w:val="2"/>
          <w:sz w:val="32"/>
          <w:szCs w:val="32"/>
          <w:highlight w:val="none"/>
          <w:lang w:val="en-US" w:eastAsia="zh-CN" w:bidi="ar-SA"/>
        </w:rPr>
        <w:t>万元，占</w:t>
      </w:r>
      <w:r>
        <w:rPr>
          <w:rFonts w:hint="eastAsia" w:eastAsia="仿宋_GB2312" w:cs="仿宋_GB2312"/>
          <w:color w:val="FF0000"/>
          <w:kern w:val="2"/>
          <w:sz w:val="32"/>
          <w:szCs w:val="32"/>
          <w:highlight w:val="none"/>
          <w:lang w:val="en-US" w:eastAsia="zh-CN" w:bidi="ar-SA"/>
        </w:rPr>
        <w:t>5</w:t>
      </w:r>
      <w:r>
        <w:rPr>
          <w:rFonts w:hint="eastAsia" w:ascii="Times New Roman" w:hAnsi="Times New Roman" w:eastAsia="仿宋_GB2312" w:cs="仿宋_GB2312"/>
          <w:color w:val="FF0000"/>
          <w:kern w:val="2"/>
          <w:sz w:val="32"/>
          <w:szCs w:val="32"/>
          <w:highlight w:val="none"/>
          <w:lang w:val="en-US" w:eastAsia="zh-CN" w:bidi="ar-SA"/>
        </w:rPr>
        <w:t>%；住房保障支出</w:t>
      </w:r>
      <w:r>
        <w:rPr>
          <w:rFonts w:hint="eastAsia" w:eastAsia="仿宋_GB2312" w:cs="仿宋_GB2312"/>
          <w:color w:val="FF0000"/>
          <w:kern w:val="2"/>
          <w:sz w:val="32"/>
          <w:szCs w:val="32"/>
          <w:highlight w:val="none"/>
          <w:lang w:val="en-US" w:eastAsia="zh-CN" w:bidi="ar-SA"/>
        </w:rPr>
        <w:t>4.36</w:t>
      </w:r>
      <w:r>
        <w:rPr>
          <w:rFonts w:hint="eastAsia" w:ascii="Times New Roman" w:hAnsi="Times New Roman" w:eastAsia="仿宋_GB2312" w:cs="仿宋_GB2312"/>
          <w:color w:val="FF0000"/>
          <w:kern w:val="2"/>
          <w:sz w:val="32"/>
          <w:szCs w:val="32"/>
          <w:highlight w:val="none"/>
          <w:lang w:val="en-US" w:eastAsia="zh-CN" w:bidi="ar-SA"/>
        </w:rPr>
        <w:t>万元，占</w:t>
      </w:r>
      <w:r>
        <w:rPr>
          <w:rFonts w:hint="eastAsia" w:eastAsia="仿宋_GB2312" w:cs="仿宋_GB2312"/>
          <w:color w:val="FF0000"/>
          <w:kern w:val="2"/>
          <w:sz w:val="32"/>
          <w:szCs w:val="32"/>
          <w:highlight w:val="none"/>
          <w:lang w:val="en-US" w:eastAsia="zh-CN" w:bidi="ar-SA"/>
        </w:rPr>
        <w:t>7</w:t>
      </w:r>
      <w:r>
        <w:rPr>
          <w:rFonts w:hint="eastAsia" w:ascii="Times New Roman" w:hAnsi="Times New Roman" w:eastAsia="仿宋_GB2312" w:cs="仿宋_GB2312"/>
          <w:color w:val="FF0000"/>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FF0000"/>
          <w:sz w:val="32"/>
          <w:szCs w:val="32"/>
          <w:highlight w:val="none"/>
        </w:rPr>
      </w:pPr>
      <w:bookmarkStart w:id="26" w:name="_Toc15377212"/>
      <w:r>
        <w:rPr>
          <w:rFonts w:hint="eastAsia" w:ascii="Times New Roman" w:hAnsi="Times New Roman" w:eastAsia="楷体_GB2312" w:cs="楷体_GB2312"/>
          <w:b/>
          <w:color w:val="FF0000"/>
          <w:sz w:val="32"/>
          <w:szCs w:val="32"/>
          <w:highlight w:val="none"/>
        </w:rPr>
        <w:t>（三）一般公共预算财政拨款支出决算具体情况</w:t>
      </w:r>
      <w:bookmarkEnd w:id="26"/>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bookmarkStart w:id="27" w:name="_Toc15378460"/>
      <w:bookmarkStart w:id="28" w:name="_Toc15377444"/>
      <w:bookmarkStart w:id="29" w:name="_Toc15377213"/>
      <w:r>
        <w:rPr>
          <w:rFonts w:hint="eastAsia" w:ascii="Times New Roman" w:hAnsi="Times New Roman" w:eastAsia="仿宋_GB2312" w:cs="仿宋_GB2312"/>
          <w:color w:val="FF0000"/>
          <w:kern w:val="2"/>
          <w:sz w:val="32"/>
          <w:szCs w:val="32"/>
          <w:highlight w:val="none"/>
          <w:lang w:val="en-US" w:eastAsia="zh-CN" w:bidi="ar-SA"/>
        </w:rPr>
        <w:t>2024年度一般公共预算财政拨款支出决算数为</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kern w:val="2"/>
          <w:sz w:val="32"/>
          <w:szCs w:val="32"/>
          <w:highlight w:val="none"/>
          <w:lang w:val="en-US" w:eastAsia="zh-CN" w:bidi="ar-SA"/>
        </w:rPr>
        <w:t>，</w:t>
      </w:r>
      <w:r>
        <w:rPr>
          <w:rFonts w:hint="eastAsia" w:ascii="Times New Roman" w:hAnsi="Times New Roman" w:eastAsia="仿宋_GB2312" w:cs="仿宋_GB2312"/>
          <w:color w:val="FF0000"/>
          <w:kern w:val="2"/>
          <w:sz w:val="32"/>
          <w:szCs w:val="32"/>
          <w:highlight w:val="none"/>
          <w:lang w:val="en-US" w:eastAsia="zh-CN" w:bidi="ar-SA"/>
        </w:rPr>
        <w:t>完成预算</w:t>
      </w:r>
      <w:r>
        <w:rPr>
          <w:rFonts w:hint="eastAsia" w:eastAsia="仿宋_GB2312" w:cs="仿宋_GB2312"/>
          <w:color w:val="FF0000"/>
          <w:kern w:val="2"/>
          <w:sz w:val="32"/>
          <w:szCs w:val="32"/>
          <w:highlight w:val="none"/>
          <w:lang w:val="en-US" w:eastAsia="zh-CN" w:bidi="ar-SA"/>
        </w:rPr>
        <w:t>100</w:t>
      </w:r>
      <w:r>
        <w:rPr>
          <w:rFonts w:hint="eastAsia" w:ascii="Times New Roman" w:hAnsi="Times New Roman" w:eastAsia="仿宋_GB2312" w:cs="仿宋_GB2312"/>
          <w:color w:val="FF0000"/>
          <w:kern w:val="2"/>
          <w:sz w:val="32"/>
          <w:szCs w:val="32"/>
          <w:highlight w:val="none"/>
          <w:lang w:val="en-US" w:eastAsia="zh-CN" w:bidi="ar-SA"/>
        </w:rPr>
        <w:t>%。其中：</w:t>
      </w:r>
      <w:bookmarkEnd w:id="27"/>
      <w:bookmarkEnd w:id="28"/>
      <w:bookmarkEnd w:id="29"/>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1</w:t>
      </w:r>
      <w:r>
        <w:rPr>
          <w:rFonts w:hint="eastAsia" w:eastAsia="仿宋_GB2312" w:cs="仿宋_GB2312"/>
          <w:color w:val="FF0000"/>
          <w:kern w:val="2"/>
          <w:sz w:val="32"/>
          <w:szCs w:val="32"/>
          <w:highlight w:val="none"/>
          <w:lang w:val="en-US" w:eastAsia="zh-CN" w:bidi="ar-SA"/>
        </w:rPr>
        <w:t>.</w:t>
      </w:r>
      <w:r>
        <w:rPr>
          <w:rFonts w:hint="eastAsia" w:ascii="Times New Roman" w:hAnsi="Times New Roman" w:eastAsia="仿宋_GB2312" w:cs="仿宋_GB2312"/>
          <w:color w:val="FF0000"/>
          <w:kern w:val="2"/>
          <w:sz w:val="32"/>
          <w:szCs w:val="32"/>
          <w:highlight w:val="none"/>
          <w:lang w:val="en-US" w:eastAsia="zh-CN" w:bidi="ar-SA"/>
        </w:rPr>
        <w:t>一般公共服务（类）</w:t>
      </w:r>
      <w:r>
        <w:rPr>
          <w:rFonts w:hint="eastAsia" w:eastAsia="仿宋_GB2312" w:cs="仿宋_GB2312"/>
          <w:color w:val="FF0000"/>
          <w:kern w:val="2"/>
          <w:sz w:val="32"/>
          <w:szCs w:val="32"/>
          <w:highlight w:val="none"/>
          <w:lang w:val="en-US" w:eastAsia="zh-CN" w:bidi="ar-SA"/>
        </w:rPr>
        <w:t>2011150：</w:t>
      </w:r>
      <w:r>
        <w:rPr>
          <w:rFonts w:hint="eastAsia" w:ascii="Times New Roman" w:hAnsi="Times New Roman" w:eastAsia="仿宋_GB2312" w:cs="仿宋_GB2312"/>
          <w:color w:val="FF0000"/>
          <w:kern w:val="2"/>
          <w:sz w:val="32"/>
          <w:szCs w:val="32"/>
          <w:highlight w:val="none"/>
          <w:lang w:val="en-US" w:eastAsia="zh-CN" w:bidi="ar-SA"/>
        </w:rPr>
        <w:t>支出决算为</w:t>
      </w:r>
      <w:r>
        <w:rPr>
          <w:rFonts w:hint="eastAsia" w:eastAsia="仿宋_GB2312" w:cs="仿宋_GB2312"/>
          <w:color w:val="FF0000"/>
          <w:kern w:val="2"/>
          <w:sz w:val="32"/>
          <w:szCs w:val="32"/>
          <w:highlight w:val="none"/>
          <w:lang w:val="en-US" w:eastAsia="zh-CN" w:bidi="ar-SA"/>
        </w:rPr>
        <w:t>48.85</w:t>
      </w:r>
      <w:r>
        <w:rPr>
          <w:rFonts w:hint="eastAsia" w:ascii="Times New Roman" w:hAnsi="Times New Roman" w:eastAsia="仿宋_GB2312" w:cs="仿宋_GB2312"/>
          <w:color w:val="FF0000"/>
          <w:kern w:val="2"/>
          <w:sz w:val="32"/>
          <w:szCs w:val="32"/>
          <w:highlight w:val="none"/>
          <w:lang w:val="en-US" w:eastAsia="zh-CN" w:bidi="ar-SA"/>
        </w:rPr>
        <w:t>万元，完成预算</w:t>
      </w:r>
      <w:r>
        <w:rPr>
          <w:rFonts w:hint="eastAsia" w:eastAsia="仿宋_GB2312" w:cs="仿宋_GB2312"/>
          <w:color w:val="FF0000"/>
          <w:kern w:val="2"/>
          <w:sz w:val="32"/>
          <w:szCs w:val="32"/>
          <w:highlight w:val="none"/>
          <w:lang w:val="en-US" w:eastAsia="zh-CN" w:bidi="ar-SA"/>
        </w:rPr>
        <w:t>100</w:t>
      </w:r>
      <w:r>
        <w:rPr>
          <w:rFonts w:hint="eastAsia" w:ascii="Times New Roman" w:hAnsi="Times New Roman" w:eastAsia="仿宋_GB2312" w:cs="仿宋_GB2312"/>
          <w:color w:val="FF0000"/>
          <w:kern w:val="2"/>
          <w:sz w:val="32"/>
          <w:szCs w:val="32"/>
          <w:highlight w:val="none"/>
          <w:lang w:val="en-US" w:eastAsia="zh-CN" w:bidi="ar-SA"/>
        </w:rPr>
        <w:t>%</w:t>
      </w:r>
      <w:r>
        <w:rPr>
          <w:rFonts w:hint="eastAsia" w:eastAsia="仿宋_GB2312" w:cs="仿宋_GB2312"/>
          <w:color w:val="FF0000"/>
          <w:kern w:val="2"/>
          <w:sz w:val="32"/>
          <w:szCs w:val="32"/>
          <w:highlight w:val="none"/>
          <w:lang w:val="en-US" w:eastAsia="zh-CN" w:bidi="ar-SA"/>
        </w:rPr>
        <w:t>。</w:t>
      </w:r>
    </w:p>
    <w:p>
      <w:pPr>
        <w:spacing w:line="600" w:lineRule="exact"/>
        <w:ind w:firstLine="640"/>
        <w:rPr>
          <w:rFonts w:hint="default" w:ascii="Times New Roman" w:hAnsi="Times New Roman" w:eastAsia="仿宋_GB2312" w:cs="仿宋_GB2312"/>
          <w:color w:val="FF0000"/>
          <w:kern w:val="2"/>
          <w:sz w:val="32"/>
          <w:szCs w:val="32"/>
          <w:highlight w:val="none"/>
          <w:lang w:val="en-US" w:eastAsia="zh-CN" w:bidi="ar-SA"/>
        </w:rPr>
      </w:pPr>
      <w:r>
        <w:rPr>
          <w:rFonts w:hint="eastAsia" w:eastAsia="仿宋_GB2312" w:cs="仿宋_GB2312"/>
          <w:color w:val="FF0000"/>
          <w:kern w:val="2"/>
          <w:sz w:val="32"/>
          <w:szCs w:val="32"/>
          <w:highlight w:val="none"/>
          <w:lang w:val="en-US" w:eastAsia="zh-CN" w:bidi="ar-SA"/>
        </w:rPr>
        <w:t>2</w:t>
      </w:r>
      <w:r>
        <w:rPr>
          <w:rFonts w:hint="eastAsia" w:ascii="Times New Roman" w:hAnsi="Times New Roman" w:eastAsia="仿宋_GB2312" w:cs="仿宋_GB2312"/>
          <w:color w:val="FF0000"/>
          <w:kern w:val="2"/>
          <w:sz w:val="32"/>
          <w:szCs w:val="32"/>
          <w:highlight w:val="none"/>
          <w:lang w:val="en-US" w:eastAsia="zh-CN" w:bidi="ar-SA"/>
        </w:rPr>
        <w:t>.社会保障和就业（类）</w:t>
      </w:r>
      <w:r>
        <w:rPr>
          <w:rFonts w:hint="eastAsia" w:eastAsia="仿宋_GB2312" w:cs="仿宋_GB2312"/>
          <w:color w:val="FF0000"/>
          <w:kern w:val="2"/>
          <w:sz w:val="32"/>
          <w:szCs w:val="32"/>
          <w:highlight w:val="none"/>
          <w:lang w:val="en-US" w:eastAsia="zh-CN" w:bidi="ar-SA"/>
        </w:rPr>
        <w:t>2080505：</w:t>
      </w:r>
      <w:r>
        <w:rPr>
          <w:rFonts w:hint="eastAsia" w:ascii="Times New Roman" w:hAnsi="Times New Roman" w:eastAsia="仿宋_GB2312" w:cs="仿宋_GB2312"/>
          <w:color w:val="FF0000"/>
          <w:kern w:val="2"/>
          <w:sz w:val="32"/>
          <w:szCs w:val="32"/>
          <w:highlight w:val="none"/>
          <w:lang w:val="en-US" w:eastAsia="zh-CN" w:bidi="ar-SA"/>
        </w:rPr>
        <w:t>支出决算为</w:t>
      </w:r>
      <w:r>
        <w:rPr>
          <w:rFonts w:hint="eastAsia" w:eastAsia="仿宋_GB2312" w:cs="仿宋_GB2312"/>
          <w:color w:val="FF0000"/>
          <w:kern w:val="2"/>
          <w:sz w:val="32"/>
          <w:szCs w:val="32"/>
          <w:highlight w:val="none"/>
          <w:lang w:val="en-US" w:eastAsia="zh-CN" w:bidi="ar-SA"/>
        </w:rPr>
        <w:t>5.1</w:t>
      </w:r>
      <w:r>
        <w:rPr>
          <w:rFonts w:hint="eastAsia" w:ascii="Times New Roman" w:hAnsi="Times New Roman" w:eastAsia="仿宋_GB2312" w:cs="仿宋_GB2312"/>
          <w:color w:val="FF0000"/>
          <w:kern w:val="2"/>
          <w:sz w:val="32"/>
          <w:szCs w:val="32"/>
          <w:highlight w:val="none"/>
          <w:lang w:val="en-US" w:eastAsia="zh-CN" w:bidi="ar-SA"/>
        </w:rPr>
        <w:t>万元，完成预算</w:t>
      </w:r>
      <w:r>
        <w:rPr>
          <w:rFonts w:hint="eastAsia" w:eastAsia="仿宋_GB2312" w:cs="仿宋_GB2312"/>
          <w:color w:val="FF0000"/>
          <w:kern w:val="2"/>
          <w:sz w:val="32"/>
          <w:szCs w:val="32"/>
          <w:highlight w:val="none"/>
          <w:lang w:val="en-US" w:eastAsia="zh-CN" w:bidi="ar-SA"/>
        </w:rPr>
        <w:t>100</w:t>
      </w:r>
      <w:r>
        <w:rPr>
          <w:rFonts w:hint="eastAsia" w:ascii="Times New Roman" w:hAnsi="Times New Roman" w:eastAsia="仿宋_GB2312" w:cs="仿宋_GB2312"/>
          <w:color w:val="FF0000"/>
          <w:kern w:val="2"/>
          <w:sz w:val="32"/>
          <w:szCs w:val="32"/>
          <w:highlight w:val="none"/>
          <w:lang w:val="en-US" w:eastAsia="zh-CN" w:bidi="ar-SA"/>
        </w:rPr>
        <w:t>%</w:t>
      </w:r>
      <w:r>
        <w:rPr>
          <w:rFonts w:hint="eastAsia" w:eastAsia="仿宋_GB2312" w:cs="仿宋_GB2312"/>
          <w:color w:val="FF0000"/>
          <w:kern w:val="2"/>
          <w:sz w:val="32"/>
          <w:szCs w:val="32"/>
          <w:highlight w:val="none"/>
          <w:lang w:val="en-US" w:eastAsia="zh-CN" w:bidi="ar-SA"/>
        </w:rPr>
        <w:t>；</w:t>
      </w:r>
      <w:r>
        <w:rPr>
          <w:rFonts w:hint="eastAsia" w:ascii="Times New Roman" w:hAnsi="Times New Roman" w:eastAsia="仿宋_GB2312" w:cs="仿宋_GB2312"/>
          <w:color w:val="FF0000"/>
          <w:kern w:val="2"/>
          <w:sz w:val="32"/>
          <w:szCs w:val="32"/>
          <w:highlight w:val="none"/>
          <w:lang w:val="en-US" w:eastAsia="zh-CN" w:bidi="ar-SA"/>
        </w:rPr>
        <w:t>社会保障和就业（类）</w:t>
      </w:r>
      <w:r>
        <w:rPr>
          <w:rFonts w:hint="eastAsia" w:eastAsia="仿宋_GB2312" w:cs="仿宋_GB2312"/>
          <w:color w:val="FF0000"/>
          <w:kern w:val="2"/>
          <w:sz w:val="32"/>
          <w:szCs w:val="32"/>
          <w:highlight w:val="none"/>
          <w:lang w:val="en-US" w:eastAsia="zh-CN" w:bidi="ar-SA"/>
        </w:rPr>
        <w:t>2080506：2.55万元，</w:t>
      </w:r>
      <w:r>
        <w:rPr>
          <w:rFonts w:hint="eastAsia" w:ascii="Times New Roman" w:hAnsi="Times New Roman" w:eastAsia="仿宋_GB2312" w:cs="仿宋_GB2312"/>
          <w:color w:val="FF0000"/>
          <w:kern w:val="2"/>
          <w:sz w:val="32"/>
          <w:szCs w:val="32"/>
          <w:highlight w:val="none"/>
          <w:lang w:val="en-US" w:eastAsia="zh-CN" w:bidi="ar-SA"/>
        </w:rPr>
        <w:t>完成预算</w:t>
      </w:r>
      <w:r>
        <w:rPr>
          <w:rFonts w:hint="eastAsia" w:eastAsia="仿宋_GB2312" w:cs="仿宋_GB2312"/>
          <w:color w:val="FF0000"/>
          <w:kern w:val="2"/>
          <w:sz w:val="32"/>
          <w:szCs w:val="32"/>
          <w:highlight w:val="none"/>
          <w:lang w:val="en-US" w:eastAsia="zh-CN" w:bidi="ar-SA"/>
        </w:rPr>
        <w:t>100</w:t>
      </w:r>
      <w:r>
        <w:rPr>
          <w:rFonts w:hint="eastAsia" w:ascii="Times New Roman" w:hAnsi="Times New Roman" w:eastAsia="仿宋_GB2312" w:cs="仿宋_GB2312"/>
          <w:color w:val="FF0000"/>
          <w:kern w:val="2"/>
          <w:sz w:val="32"/>
          <w:szCs w:val="32"/>
          <w:highlight w:val="none"/>
          <w:lang w:val="en-US" w:eastAsia="zh-CN" w:bidi="ar-SA"/>
        </w:rPr>
        <w:t>%</w:t>
      </w:r>
      <w:r>
        <w:rPr>
          <w:rFonts w:hint="eastAsia" w:eastAsia="仿宋_GB2312" w:cs="仿宋_GB2312"/>
          <w:color w:val="FF0000"/>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eastAsia="仿宋_GB2312" w:cs="仿宋_GB2312"/>
          <w:color w:val="FF0000"/>
          <w:kern w:val="2"/>
          <w:sz w:val="32"/>
          <w:szCs w:val="32"/>
          <w:highlight w:val="none"/>
          <w:lang w:val="en-US" w:eastAsia="zh-CN" w:bidi="ar-SA"/>
        </w:rPr>
        <w:t>3</w:t>
      </w:r>
      <w:r>
        <w:rPr>
          <w:rFonts w:hint="eastAsia" w:ascii="Times New Roman" w:hAnsi="Times New Roman" w:eastAsia="仿宋_GB2312" w:cs="仿宋_GB2312"/>
          <w:color w:val="FF0000"/>
          <w:kern w:val="2"/>
          <w:sz w:val="32"/>
          <w:szCs w:val="32"/>
          <w:highlight w:val="none"/>
          <w:lang w:val="en-US" w:eastAsia="zh-CN" w:bidi="ar-SA"/>
        </w:rPr>
        <w:t>.卫生健康（类）</w:t>
      </w:r>
      <w:r>
        <w:rPr>
          <w:rFonts w:hint="eastAsia" w:eastAsia="仿宋_GB2312" w:cs="仿宋_GB2312"/>
          <w:color w:val="FF0000"/>
          <w:kern w:val="2"/>
          <w:sz w:val="32"/>
          <w:szCs w:val="32"/>
          <w:highlight w:val="none"/>
          <w:lang w:val="en-US" w:eastAsia="zh-CN" w:bidi="ar-SA"/>
        </w:rPr>
        <w:t>21011：</w:t>
      </w:r>
      <w:r>
        <w:rPr>
          <w:rFonts w:hint="eastAsia" w:ascii="Times New Roman" w:hAnsi="Times New Roman" w:eastAsia="仿宋_GB2312" w:cs="仿宋_GB2312"/>
          <w:color w:val="FF0000"/>
          <w:kern w:val="2"/>
          <w:sz w:val="32"/>
          <w:szCs w:val="32"/>
          <w:highlight w:val="none"/>
          <w:lang w:val="en-US" w:eastAsia="zh-CN" w:bidi="ar-SA"/>
        </w:rPr>
        <w:t>支出决算为</w:t>
      </w:r>
      <w:r>
        <w:rPr>
          <w:rFonts w:hint="eastAsia" w:eastAsia="仿宋_GB2312" w:cs="仿宋_GB2312"/>
          <w:color w:val="FF0000"/>
          <w:kern w:val="2"/>
          <w:sz w:val="32"/>
          <w:szCs w:val="32"/>
          <w:highlight w:val="none"/>
          <w:lang w:val="en-US" w:eastAsia="zh-CN" w:bidi="ar-SA"/>
        </w:rPr>
        <w:t>3.27</w:t>
      </w:r>
      <w:r>
        <w:rPr>
          <w:rFonts w:hint="eastAsia" w:ascii="Times New Roman" w:hAnsi="Times New Roman" w:eastAsia="仿宋_GB2312" w:cs="仿宋_GB2312"/>
          <w:color w:val="FF0000"/>
          <w:kern w:val="2"/>
          <w:sz w:val="32"/>
          <w:szCs w:val="32"/>
          <w:highlight w:val="none"/>
          <w:lang w:val="en-US" w:eastAsia="zh-CN" w:bidi="ar-SA"/>
        </w:rPr>
        <w:t>万元，完成预算</w:t>
      </w:r>
      <w:r>
        <w:rPr>
          <w:rFonts w:hint="eastAsia" w:eastAsia="仿宋_GB2312" w:cs="仿宋_GB2312"/>
          <w:color w:val="FF0000"/>
          <w:kern w:val="2"/>
          <w:sz w:val="32"/>
          <w:szCs w:val="32"/>
          <w:highlight w:val="none"/>
          <w:lang w:val="en-US" w:eastAsia="zh-CN" w:bidi="ar-SA"/>
        </w:rPr>
        <w:t>100</w:t>
      </w:r>
      <w:r>
        <w:rPr>
          <w:rFonts w:hint="eastAsia" w:ascii="Times New Roman" w:hAnsi="Times New Roman" w:eastAsia="仿宋_GB2312" w:cs="仿宋_GB2312"/>
          <w:color w:val="FF0000"/>
          <w:kern w:val="2"/>
          <w:sz w:val="32"/>
          <w:szCs w:val="32"/>
          <w:highlight w:val="none"/>
          <w:lang w:val="en-US" w:eastAsia="zh-CN" w:bidi="ar-SA"/>
        </w:rPr>
        <w:t>%</w:t>
      </w:r>
      <w:r>
        <w:rPr>
          <w:rFonts w:hint="eastAsia" w:eastAsia="仿宋_GB2312" w:cs="仿宋_GB2312"/>
          <w:color w:val="FF0000"/>
          <w:kern w:val="2"/>
          <w:sz w:val="32"/>
          <w:szCs w:val="32"/>
          <w:highlight w:val="none"/>
          <w:lang w:val="en-US" w:eastAsia="zh-CN" w:bidi="ar-SA"/>
        </w:rPr>
        <w:t>。</w:t>
      </w:r>
    </w:p>
    <w:p>
      <w:pPr>
        <w:spacing w:line="600" w:lineRule="exact"/>
        <w:rPr>
          <w:rFonts w:hint="eastAsia" w:ascii="Times New Roman" w:hAnsi="Times New Roman" w:eastAsia="仿宋_GB2312" w:cs="仿宋_GB2312"/>
          <w:color w:val="FF0000"/>
          <w:kern w:val="2"/>
          <w:sz w:val="32"/>
          <w:szCs w:val="32"/>
          <w:highlight w:val="none"/>
          <w:lang w:val="en-US" w:eastAsia="zh-CN" w:bidi="ar-SA"/>
        </w:rPr>
      </w:pPr>
      <w:r>
        <w:rPr>
          <w:rFonts w:hint="eastAsia" w:eastAsia="仿宋_GB2312" w:cs="仿宋_GB2312"/>
          <w:color w:val="FF0000"/>
          <w:kern w:val="2"/>
          <w:sz w:val="32"/>
          <w:szCs w:val="32"/>
          <w:highlight w:val="none"/>
          <w:lang w:val="en-US" w:eastAsia="zh-CN" w:bidi="ar-SA"/>
        </w:rPr>
        <w:t xml:space="preserve">    4.住房保障</w:t>
      </w:r>
      <w:r>
        <w:rPr>
          <w:rFonts w:hint="eastAsia" w:ascii="Times New Roman" w:hAnsi="Times New Roman" w:eastAsia="仿宋_GB2312" w:cs="仿宋_GB2312"/>
          <w:color w:val="FF0000"/>
          <w:kern w:val="2"/>
          <w:sz w:val="32"/>
          <w:szCs w:val="32"/>
          <w:highlight w:val="none"/>
          <w:lang w:val="en-US" w:eastAsia="zh-CN" w:bidi="ar-SA"/>
        </w:rPr>
        <w:t>（类）</w:t>
      </w:r>
      <w:r>
        <w:rPr>
          <w:rFonts w:hint="eastAsia" w:eastAsia="仿宋_GB2312" w:cs="仿宋_GB2312"/>
          <w:color w:val="FF0000"/>
          <w:kern w:val="2"/>
          <w:sz w:val="32"/>
          <w:szCs w:val="32"/>
          <w:highlight w:val="none"/>
          <w:lang w:val="en-US" w:eastAsia="zh-CN" w:bidi="ar-SA"/>
        </w:rPr>
        <w:t>2210201：支出决算4.36万元，完成预算100%。</w:t>
      </w:r>
    </w:p>
    <w:p>
      <w:pPr>
        <w:tabs>
          <w:tab w:val="right" w:pos="8306"/>
        </w:tabs>
        <w:spacing w:line="600" w:lineRule="exact"/>
        <w:ind w:firstLine="640"/>
        <w:outlineLvl w:val="1"/>
        <w:rPr>
          <w:rStyle w:val="30"/>
          <w:rFonts w:ascii="Times New Roman" w:hAnsi="Times New Roman"/>
          <w:color w:val="auto"/>
          <w:highlight w:val="none"/>
        </w:rPr>
      </w:pPr>
      <w:bookmarkStart w:id="30" w:name="_Toc15396608"/>
      <w:bookmarkStart w:id="31"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0"/>
      <w:bookmarkEnd w:id="31"/>
      <w:r>
        <w:rPr>
          <w:rStyle w:val="30"/>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2024年度一般公共预算财政拨款基本支出</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kern w:val="2"/>
          <w:sz w:val="32"/>
          <w:szCs w:val="32"/>
          <w:highlight w:val="none"/>
          <w:lang w:val="en-US" w:eastAsia="zh-CN" w:bidi="ar-SA"/>
        </w:rPr>
        <w:t>万</w:t>
      </w:r>
      <w:r>
        <w:rPr>
          <w:rFonts w:hint="eastAsia" w:ascii="Times New Roman" w:hAnsi="Times New Roman" w:eastAsia="仿宋_GB2312" w:cs="仿宋_GB2312"/>
          <w:color w:val="FF0000"/>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人员经费</w:t>
      </w:r>
      <w:r>
        <w:rPr>
          <w:rFonts w:hint="eastAsia" w:ascii="仿宋_GB2312" w:hAnsi="仿宋_GB2312" w:eastAsia="仿宋_GB2312" w:cs="仿宋_GB2312"/>
          <w:color w:val="FF0000"/>
          <w:sz w:val="32"/>
          <w:szCs w:val="32"/>
        </w:rPr>
        <w:t>62.52</w:t>
      </w:r>
      <w:r>
        <w:rPr>
          <w:rFonts w:hint="eastAsia" w:ascii="仿宋_GB2312" w:hAnsi="仿宋_GB2312" w:eastAsia="仿宋_GB2312" w:cs="仿宋_GB2312"/>
          <w:color w:val="FF0000"/>
          <w:kern w:val="2"/>
          <w:sz w:val="32"/>
          <w:szCs w:val="32"/>
          <w:highlight w:val="none"/>
          <w:lang w:val="en-US" w:eastAsia="zh-CN" w:bidi="ar-SA"/>
        </w:rPr>
        <w:t>万</w:t>
      </w:r>
      <w:r>
        <w:rPr>
          <w:rFonts w:hint="eastAsia" w:ascii="Times New Roman" w:hAnsi="Times New Roman" w:eastAsia="仿宋_GB2312" w:cs="仿宋_GB2312"/>
          <w:color w:val="FF0000"/>
          <w:kern w:val="2"/>
          <w:sz w:val="32"/>
          <w:szCs w:val="32"/>
          <w:highlight w:val="none"/>
          <w:lang w:val="en-US" w:eastAsia="zh-CN" w:bidi="ar-SA"/>
        </w:rPr>
        <w:t>元，主要包括：基本工资、津贴补贴、奖金、绩效工资、机关事业单位基本养老保险缴费、职业年金缴费、其他社会保障缴费、住房公积金等。</w:t>
      </w:r>
      <w:r>
        <w:rPr>
          <w:rFonts w:hint="eastAsia" w:ascii="Times New Roman" w:hAnsi="Times New Roman" w:eastAsia="仿宋_GB2312" w:cs="仿宋_GB2312"/>
          <w:color w:val="FF0000"/>
          <w:kern w:val="2"/>
          <w:sz w:val="32"/>
          <w:szCs w:val="32"/>
          <w:highlight w:val="none"/>
          <w:lang w:val="en-US" w:eastAsia="zh-CN" w:bidi="ar-SA"/>
        </w:rPr>
        <w:br w:type="textWrapping"/>
      </w:r>
      <w:r>
        <w:rPr>
          <w:rFonts w:hint="eastAsia" w:ascii="Times New Roman" w:hAnsi="Times New Roman" w:eastAsia="仿宋_GB2312" w:cs="仿宋_GB2312"/>
          <w:color w:val="FF0000"/>
          <w:kern w:val="2"/>
          <w:sz w:val="32"/>
          <w:szCs w:val="32"/>
          <w:highlight w:val="none"/>
          <w:lang w:val="en-US" w:eastAsia="zh-CN" w:bidi="ar-SA"/>
        </w:rPr>
        <w:t>　　公用经费</w:t>
      </w:r>
      <w:r>
        <w:rPr>
          <w:rFonts w:hint="eastAsia" w:ascii="仿宋_GB2312" w:hAnsi="仿宋_GB2312" w:eastAsia="仿宋_GB2312" w:cs="仿宋_GB2312"/>
          <w:color w:val="FF0000"/>
          <w:sz w:val="32"/>
          <w:szCs w:val="32"/>
        </w:rPr>
        <w:t>1.61</w:t>
      </w:r>
      <w:r>
        <w:rPr>
          <w:rFonts w:hint="eastAsia" w:ascii="仿宋_GB2312" w:hAnsi="仿宋_GB2312" w:eastAsia="仿宋_GB2312" w:cs="仿宋_GB2312"/>
          <w:color w:val="FF0000"/>
          <w:kern w:val="2"/>
          <w:sz w:val="32"/>
          <w:szCs w:val="32"/>
          <w:highlight w:val="none"/>
          <w:lang w:val="en-US" w:eastAsia="zh-CN" w:bidi="ar-SA"/>
        </w:rPr>
        <w:t>万</w:t>
      </w:r>
      <w:r>
        <w:rPr>
          <w:rFonts w:hint="eastAsia" w:ascii="Times New Roman" w:hAnsi="Times New Roman" w:eastAsia="仿宋_GB2312" w:cs="仿宋_GB2312"/>
          <w:color w:val="FF0000"/>
          <w:kern w:val="2"/>
          <w:sz w:val="32"/>
          <w:szCs w:val="32"/>
          <w:highlight w:val="none"/>
          <w:lang w:val="en-US" w:eastAsia="zh-CN" w:bidi="ar-SA"/>
        </w:rPr>
        <w:t>元，主要包括：办公费、差旅费、工会经费、福利费等。</w:t>
      </w:r>
    </w:p>
    <w:p>
      <w:pPr>
        <w:spacing w:line="600" w:lineRule="exact"/>
        <w:ind w:firstLine="640"/>
        <w:outlineLvl w:val="1"/>
        <w:rPr>
          <w:rStyle w:val="30"/>
          <w:rFonts w:ascii="Times New Roman" w:hAnsi="Times New Roman" w:eastAsia="黑体"/>
          <w:b w:val="0"/>
          <w:color w:val="FF0000"/>
          <w:highlight w:val="none"/>
        </w:rPr>
      </w:pPr>
      <w:bookmarkStart w:id="32" w:name="_Toc15377215"/>
      <w:bookmarkStart w:id="33" w:name="_Toc15396609"/>
      <w:r>
        <w:rPr>
          <w:rFonts w:hint="eastAsia" w:ascii="Times New Roman" w:hAnsi="Times New Roman" w:eastAsia="黑体"/>
          <w:color w:val="FF0000"/>
          <w:sz w:val="32"/>
          <w:szCs w:val="32"/>
          <w:highlight w:val="none"/>
        </w:rPr>
        <w:t>七、</w:t>
      </w:r>
      <w:r>
        <w:rPr>
          <w:rStyle w:val="30"/>
          <w:rFonts w:hint="eastAsia" w:ascii="Times New Roman" w:hAnsi="Times New Roman" w:eastAsia="黑体"/>
          <w:b w:val="0"/>
          <w:color w:val="FF0000"/>
          <w:highlight w:val="none"/>
        </w:rPr>
        <w:t>财政拨款</w:t>
      </w:r>
      <w:r>
        <w:rPr>
          <w:rStyle w:val="30"/>
          <w:rFonts w:hint="eastAsia" w:ascii="Times New Roman" w:hAnsi="Times New Roman" w:eastAsia="黑体"/>
          <w:color w:val="FF0000"/>
          <w:highlight w:val="none"/>
        </w:rPr>
        <w:t>“</w:t>
      </w:r>
      <w:r>
        <w:rPr>
          <w:rStyle w:val="30"/>
          <w:rFonts w:hint="eastAsia" w:ascii="Times New Roman" w:hAnsi="Times New Roman" w:eastAsia="黑体"/>
          <w:b w:val="0"/>
          <w:color w:val="FF0000"/>
          <w:highlight w:val="none"/>
        </w:rPr>
        <w:t>三公”经费支出决算情况说明</w:t>
      </w:r>
      <w:bookmarkEnd w:id="32"/>
      <w:bookmarkEnd w:id="33"/>
    </w:p>
    <w:p>
      <w:pPr>
        <w:spacing w:line="600" w:lineRule="exact"/>
        <w:ind w:firstLine="642" w:firstLineChars="200"/>
        <w:outlineLvl w:val="2"/>
        <w:rPr>
          <w:rFonts w:hint="eastAsia" w:ascii="Times New Roman" w:hAnsi="Times New Roman" w:eastAsia="楷体_GB2312" w:cs="楷体_GB2312"/>
          <w:b/>
          <w:color w:val="FF0000"/>
          <w:sz w:val="32"/>
          <w:szCs w:val="32"/>
          <w:highlight w:val="none"/>
        </w:rPr>
      </w:pPr>
      <w:bookmarkStart w:id="34" w:name="_Toc15377216"/>
      <w:r>
        <w:rPr>
          <w:rFonts w:hint="eastAsia" w:ascii="Times New Roman" w:hAnsi="Times New Roman" w:eastAsia="楷体_GB2312" w:cs="楷体_GB2312"/>
          <w:b/>
          <w:color w:val="FF0000"/>
          <w:sz w:val="32"/>
          <w:szCs w:val="32"/>
          <w:highlight w:val="none"/>
        </w:rPr>
        <w:t>（一）“三公”经费财政拨款支出决算总体情况说明</w:t>
      </w:r>
      <w:bookmarkEnd w:id="34"/>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2024年度“三公”经费财政拨款支出决算为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万元，完成预算100%，</w:t>
      </w:r>
      <w:r>
        <w:rPr>
          <w:rFonts w:hint="eastAsia" w:ascii="Times New Roman" w:hAnsi="Times New Roman" w:eastAsia="仿宋_GB2312" w:cs="仿宋_GB2312"/>
          <w:color w:val="FF0000"/>
          <w:kern w:val="2"/>
          <w:sz w:val="32"/>
          <w:szCs w:val="32"/>
          <w:highlight w:val="none"/>
          <w:lang w:val="en-US" w:eastAsia="zh-CN" w:bidi="ar-SA"/>
        </w:rPr>
        <w:t>较上年度增加/减少</w:t>
      </w:r>
      <w:r>
        <w:rPr>
          <w:rFonts w:hint="eastAsia" w:eastAsia="仿宋_GB2312" w:cs="仿宋_GB2312"/>
          <w:color w:val="FF0000"/>
          <w:kern w:val="2"/>
          <w:sz w:val="32"/>
          <w:szCs w:val="32"/>
          <w:highlight w:val="none"/>
          <w:lang w:val="en-US" w:eastAsia="zh-CN" w:bidi="ar-SA"/>
        </w:rPr>
        <w:t>0</w:t>
      </w:r>
      <w:r>
        <w:rPr>
          <w:rFonts w:hint="eastAsia" w:ascii="Times New Roman" w:hAnsi="Times New Roman" w:eastAsia="仿宋_GB2312" w:cs="仿宋_GB2312"/>
          <w:color w:val="FF0000"/>
          <w:kern w:val="2"/>
          <w:sz w:val="32"/>
          <w:szCs w:val="32"/>
          <w:highlight w:val="none"/>
          <w:lang w:val="en-US" w:eastAsia="zh-CN" w:bidi="ar-SA"/>
        </w:rPr>
        <w:t>万元。</w:t>
      </w:r>
    </w:p>
    <w:p>
      <w:pPr>
        <w:spacing w:line="600" w:lineRule="exact"/>
        <w:ind w:firstLine="642" w:firstLineChars="200"/>
        <w:outlineLvl w:val="2"/>
        <w:rPr>
          <w:rFonts w:hint="eastAsia" w:ascii="Times New Roman" w:hAnsi="Times New Roman" w:eastAsia="楷体_GB2312" w:cs="楷体_GB2312"/>
          <w:b/>
          <w:color w:val="FF0000"/>
          <w:sz w:val="32"/>
          <w:szCs w:val="32"/>
          <w:highlight w:val="none"/>
        </w:rPr>
      </w:pPr>
      <w:bookmarkStart w:id="35" w:name="_Toc15377217"/>
      <w:r>
        <w:rPr>
          <w:rFonts w:hint="eastAsia" w:ascii="Times New Roman" w:hAnsi="Times New Roman" w:eastAsia="楷体_GB2312" w:cs="楷体_GB2312"/>
          <w:b/>
          <w:color w:val="FF0000"/>
          <w:sz w:val="32"/>
          <w:szCs w:val="32"/>
          <w:highlight w:val="none"/>
        </w:rPr>
        <w:t>（二）“三公”经费财政拨款支出决算具体情况说明</w:t>
      </w:r>
      <w:bookmarkEnd w:id="35"/>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仿宋_GB2312" w:hAnsi="仿宋_GB2312" w:eastAsia="仿宋_GB2312" w:cs="仿宋_GB2312"/>
          <w:color w:val="FF0000"/>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万元，占0%；公务用车购置及运行维护费支出决算</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万元，占0%；公务接待费支出决算</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万元，占0%。</w:t>
      </w:r>
      <w:bookmarkStart w:id="36" w:name="_Toc15396610"/>
      <w:bookmarkStart w:id="37" w:name="_Toc15377218"/>
    </w:p>
    <w:p>
      <w:pPr>
        <w:spacing w:line="600" w:lineRule="exact"/>
        <w:ind w:firstLine="640"/>
        <w:outlineLvl w:val="1"/>
        <w:rPr>
          <w:rStyle w:val="30"/>
          <w:rFonts w:ascii="Times New Roman" w:hAnsi="Times New Roman" w:eastAsia="黑体"/>
          <w:color w:val="FF0000"/>
          <w:highlight w:val="none"/>
        </w:rPr>
      </w:pPr>
      <w:r>
        <w:rPr>
          <w:rFonts w:hint="eastAsia" w:ascii="Times New Roman" w:hAnsi="Times New Roman" w:eastAsia="黑体"/>
          <w:color w:val="FF0000"/>
          <w:sz w:val="32"/>
          <w:szCs w:val="32"/>
          <w:highlight w:val="none"/>
        </w:rPr>
        <w:t>八、</w:t>
      </w:r>
      <w:r>
        <w:rPr>
          <w:rStyle w:val="30"/>
          <w:rFonts w:hint="eastAsia" w:ascii="Times New Roman" w:hAnsi="Times New Roman" w:eastAsia="黑体"/>
          <w:b w:val="0"/>
          <w:color w:val="FF0000"/>
          <w:highlight w:val="none"/>
        </w:rPr>
        <w:t>政府性基金预算支出决算情况说明</w:t>
      </w:r>
      <w:bookmarkEnd w:id="36"/>
      <w:bookmarkEnd w:id="37"/>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仿宋_GB2312" w:hAnsi="仿宋_GB2312" w:eastAsia="仿宋_GB2312" w:cs="仿宋_GB2312"/>
          <w:color w:val="FF0000"/>
          <w:kern w:val="2"/>
          <w:sz w:val="32"/>
          <w:szCs w:val="32"/>
          <w:highlight w:val="none"/>
          <w:lang w:val="en-US" w:eastAsia="zh-CN" w:bidi="ar-SA"/>
        </w:rPr>
        <w:t>2024年度政府性基金预算财政拨款支出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万元，占本年支出合计的</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w:t>
      </w:r>
      <w:r>
        <w:rPr>
          <w:rFonts w:hint="eastAsia" w:ascii="Times New Roman" w:hAnsi="Times New Roman" w:eastAsia="仿宋_GB2312" w:cs="仿宋_GB2312"/>
          <w:color w:val="FF0000"/>
          <w:kern w:val="2"/>
          <w:sz w:val="32"/>
          <w:szCs w:val="32"/>
          <w:highlight w:val="none"/>
          <w:lang w:val="en-US" w:eastAsia="zh-CN" w:bidi="ar-SA"/>
        </w:rPr>
        <w:t>。</w:t>
      </w:r>
    </w:p>
    <w:p>
      <w:pPr>
        <w:numPr>
          <w:ilvl w:val="0"/>
          <w:numId w:val="0"/>
        </w:numPr>
        <w:spacing w:line="600" w:lineRule="exact"/>
        <w:ind w:left="630" w:leftChars="0"/>
        <w:outlineLvl w:val="1"/>
        <w:rPr>
          <w:rStyle w:val="30"/>
          <w:rFonts w:ascii="Times New Roman" w:hAnsi="Times New Roman" w:eastAsia="黑体"/>
          <w:b w:val="0"/>
          <w:color w:val="FF0000"/>
          <w:highlight w:val="none"/>
        </w:rPr>
      </w:pPr>
      <w:bookmarkStart w:id="38" w:name="_Toc15396611"/>
      <w:bookmarkStart w:id="39" w:name="_Toc15377219"/>
      <w:r>
        <w:rPr>
          <w:rStyle w:val="30"/>
          <w:rFonts w:hint="eastAsia" w:ascii="Times New Roman" w:hAnsi="Times New Roman" w:eastAsia="黑体"/>
          <w:b w:val="0"/>
          <w:color w:val="FF0000"/>
          <w:highlight w:val="none"/>
          <w:lang w:eastAsia="zh-CN"/>
        </w:rPr>
        <w:t>九、</w:t>
      </w:r>
      <w:r>
        <w:rPr>
          <w:rStyle w:val="30"/>
          <w:rFonts w:hint="eastAsia" w:ascii="Times New Roman" w:hAnsi="Times New Roman" w:eastAsia="黑体"/>
          <w:b w:val="0"/>
          <w:color w:val="FF0000"/>
          <w:highlight w:val="none"/>
        </w:rPr>
        <w:t>国有资本经营预算支出决算情况说明</w:t>
      </w:r>
      <w:bookmarkEnd w:id="38"/>
      <w:bookmarkEnd w:id="39"/>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2024年度国有资本经营预算财政拨款支出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万元，占本年支出合计的</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w:t>
      </w:r>
      <w:r>
        <w:rPr>
          <w:rFonts w:hint="eastAsia" w:ascii="Times New Roman" w:hAnsi="Times New Roman" w:eastAsia="仿宋_GB2312" w:cs="仿宋_GB2312"/>
          <w:color w:val="FF0000"/>
          <w:kern w:val="2"/>
          <w:sz w:val="32"/>
          <w:szCs w:val="32"/>
          <w:highlight w:val="none"/>
          <w:lang w:val="en-US" w:eastAsia="zh-CN" w:bidi="ar-SA"/>
        </w:rPr>
        <w:t>。</w:t>
      </w:r>
    </w:p>
    <w:p>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0" w:name="_Toc15377221"/>
      <w:bookmarkStart w:id="41"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0"/>
      <w:bookmarkEnd w:id="41"/>
    </w:p>
    <w:p>
      <w:pPr>
        <w:spacing w:line="600" w:lineRule="exact"/>
        <w:ind w:firstLine="642" w:firstLineChars="200"/>
        <w:outlineLvl w:val="2"/>
        <w:rPr>
          <w:rFonts w:hint="eastAsia" w:ascii="Times New Roman" w:hAnsi="Times New Roman" w:eastAsia="楷体_GB2312" w:cs="楷体_GB2312"/>
          <w:b/>
          <w:color w:val="FF0000"/>
          <w:sz w:val="32"/>
          <w:szCs w:val="32"/>
          <w:highlight w:val="none"/>
        </w:rPr>
      </w:pPr>
      <w:bookmarkStart w:id="42" w:name="_Toc15377222"/>
      <w:r>
        <w:rPr>
          <w:rFonts w:hint="eastAsia" w:ascii="Times New Roman" w:hAnsi="Times New Roman" w:eastAsia="楷体_GB2312" w:cs="楷体_GB2312"/>
          <w:b/>
          <w:color w:val="FF0000"/>
          <w:sz w:val="32"/>
          <w:szCs w:val="32"/>
          <w:highlight w:val="none"/>
        </w:rPr>
        <w:t>（一）机关运行经费支出情况</w:t>
      </w:r>
      <w:bookmarkEnd w:id="42"/>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Times New Roman" w:hAnsi="Times New Roman" w:eastAsia="仿宋_GB2312" w:cs="仿宋_GB2312"/>
          <w:color w:val="FF0000"/>
          <w:kern w:val="2"/>
          <w:sz w:val="32"/>
          <w:szCs w:val="32"/>
          <w:highlight w:val="none"/>
          <w:lang w:val="en-US" w:eastAsia="zh-CN" w:bidi="ar-SA"/>
        </w:rPr>
        <w:t>2024年度</w:t>
      </w:r>
      <w:r>
        <w:rPr>
          <w:rFonts w:hint="eastAsia" w:ascii="仿宋_GB2312" w:hAnsi="仿宋_GB2312" w:eastAsia="仿宋_GB2312" w:cs="仿宋_GB2312"/>
          <w:color w:val="FF0000"/>
          <w:kern w:val="2"/>
          <w:sz w:val="32"/>
          <w:szCs w:val="32"/>
          <w:highlight w:val="none"/>
          <w:lang w:val="en-US" w:eastAsia="zh-CN" w:bidi="ar-SA"/>
        </w:rPr>
        <w:t>，</w:t>
      </w:r>
      <w:r>
        <w:rPr>
          <w:rFonts w:hint="eastAsia" w:ascii="仿宋_GB2312" w:hAnsi="仿宋_GB2312" w:eastAsia="仿宋_GB2312" w:cs="仿宋_GB2312"/>
          <w:color w:val="FF0000"/>
          <w:sz w:val="32"/>
          <w:szCs w:val="32"/>
        </w:rPr>
        <w:t>九寨沟县纪委监委宣传教育信息中心</w:t>
      </w:r>
      <w:r>
        <w:rPr>
          <w:rFonts w:hint="eastAsia" w:ascii="仿宋_GB2312" w:hAnsi="仿宋_GB2312" w:eastAsia="仿宋_GB2312" w:cs="仿宋_GB2312"/>
          <w:color w:val="FF0000"/>
          <w:kern w:val="2"/>
          <w:sz w:val="32"/>
          <w:szCs w:val="32"/>
          <w:highlight w:val="none"/>
          <w:lang w:val="en-US" w:eastAsia="zh-CN" w:bidi="ar-SA"/>
        </w:rPr>
        <w:t>机关运行经费支出</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w:t>
      </w:r>
      <w:r>
        <w:rPr>
          <w:rFonts w:hint="eastAsia" w:ascii="Times New Roman" w:hAnsi="Times New Roman" w:eastAsia="仿宋_GB2312" w:cs="仿宋_GB2312"/>
          <w:color w:val="FF0000"/>
          <w:kern w:val="2"/>
          <w:sz w:val="32"/>
          <w:szCs w:val="32"/>
          <w:highlight w:val="none"/>
          <w:lang w:val="en-US" w:eastAsia="zh-CN" w:bidi="ar-SA"/>
        </w:rPr>
        <w:t>元</w:t>
      </w:r>
      <w:r>
        <w:rPr>
          <w:rFonts w:hint="eastAsia" w:eastAsia="仿宋_GB2312" w:cs="仿宋_GB2312"/>
          <w:color w:val="FF0000"/>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FF0000"/>
          <w:sz w:val="32"/>
          <w:szCs w:val="32"/>
          <w:highlight w:val="none"/>
        </w:rPr>
      </w:pPr>
      <w:bookmarkStart w:id="43" w:name="_Toc15377223"/>
      <w:r>
        <w:rPr>
          <w:rFonts w:hint="eastAsia" w:ascii="Times New Roman" w:hAnsi="Times New Roman" w:eastAsia="楷体_GB2312" w:cs="楷体_GB2312"/>
          <w:b/>
          <w:color w:val="FF0000"/>
          <w:sz w:val="32"/>
          <w:szCs w:val="32"/>
          <w:highlight w:val="none"/>
        </w:rPr>
        <w:t>（二）政府采购支出情况</w:t>
      </w:r>
      <w:bookmarkEnd w:id="43"/>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仿宋_GB2312" w:hAnsi="仿宋_GB2312" w:eastAsia="仿宋_GB2312" w:cs="仿宋_GB2312"/>
          <w:color w:val="FF0000"/>
          <w:kern w:val="2"/>
          <w:sz w:val="32"/>
          <w:szCs w:val="32"/>
          <w:highlight w:val="none"/>
          <w:lang w:val="en-US" w:eastAsia="zh-CN" w:bidi="ar-SA"/>
        </w:rPr>
        <w:t>2024年度，</w:t>
      </w:r>
      <w:r>
        <w:rPr>
          <w:rFonts w:hint="eastAsia" w:ascii="仿宋_GB2312" w:hAnsi="仿宋_GB2312" w:eastAsia="仿宋_GB2312" w:cs="仿宋_GB2312"/>
          <w:color w:val="FF0000"/>
          <w:sz w:val="32"/>
          <w:szCs w:val="32"/>
        </w:rPr>
        <w:t>九寨沟县纪委监委宣传教育信息中心</w:t>
      </w:r>
      <w:r>
        <w:rPr>
          <w:rFonts w:hint="eastAsia" w:ascii="仿宋_GB2312" w:hAnsi="仿宋_GB2312" w:eastAsia="仿宋_GB2312" w:cs="仿宋_GB2312"/>
          <w:color w:val="FF0000"/>
          <w:kern w:val="2"/>
          <w:sz w:val="32"/>
          <w:szCs w:val="32"/>
          <w:highlight w:val="none"/>
          <w:lang w:val="en-US" w:eastAsia="zh-CN" w:bidi="ar-SA"/>
        </w:rPr>
        <w:t>政府采购支出总额</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万元。</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5377224"/>
      <w:r>
        <w:rPr>
          <w:rFonts w:hint="eastAsia" w:ascii="Times New Roman" w:hAnsi="Times New Roman" w:eastAsia="楷体_GB2312" w:cs="楷体_GB2312"/>
          <w:b/>
          <w:color w:val="auto"/>
          <w:sz w:val="32"/>
          <w:szCs w:val="32"/>
          <w:highlight w:val="none"/>
        </w:rPr>
        <w:t>（三）国有资产占有使用情况</w:t>
      </w:r>
      <w:bookmarkEnd w:id="44"/>
    </w:p>
    <w:p>
      <w:pPr>
        <w:spacing w:line="600" w:lineRule="exact"/>
        <w:ind w:firstLine="640"/>
        <w:rPr>
          <w:rFonts w:hint="eastAsia" w:ascii="Times New Roman" w:hAnsi="Times New Roman" w:eastAsia="仿宋_GB2312" w:cs="仿宋_GB2312"/>
          <w:color w:val="FF0000"/>
          <w:kern w:val="2"/>
          <w:sz w:val="32"/>
          <w:szCs w:val="32"/>
          <w:highlight w:val="none"/>
          <w:lang w:val="en-US" w:eastAsia="zh-CN" w:bidi="ar-SA"/>
        </w:rPr>
      </w:pPr>
      <w:r>
        <w:rPr>
          <w:rFonts w:hint="eastAsia" w:ascii="仿宋_GB2312" w:hAnsi="仿宋_GB2312" w:eastAsia="仿宋_GB2312" w:cs="仿宋_GB2312"/>
          <w:color w:val="FF0000"/>
          <w:kern w:val="2"/>
          <w:sz w:val="32"/>
          <w:szCs w:val="32"/>
          <w:highlight w:val="none"/>
          <w:lang w:val="en-US" w:eastAsia="zh-CN" w:bidi="ar-SA"/>
        </w:rPr>
        <w:t>截至2024年12月31日，</w:t>
      </w:r>
      <w:r>
        <w:rPr>
          <w:rFonts w:hint="eastAsia" w:ascii="仿宋_GB2312" w:hAnsi="仿宋_GB2312" w:eastAsia="仿宋_GB2312" w:cs="仿宋_GB2312"/>
          <w:color w:val="FF0000"/>
          <w:sz w:val="32"/>
          <w:szCs w:val="32"/>
        </w:rPr>
        <w:t>九寨沟县纪委监委宣传教育信息中心</w:t>
      </w:r>
      <w:r>
        <w:rPr>
          <w:rFonts w:hint="eastAsia" w:ascii="仿宋_GB2312" w:hAnsi="仿宋_GB2312" w:eastAsia="仿宋_GB2312" w:cs="仿宋_GB2312"/>
          <w:color w:val="FF0000"/>
          <w:kern w:val="2"/>
          <w:sz w:val="32"/>
          <w:szCs w:val="32"/>
          <w:highlight w:val="none"/>
          <w:lang w:val="en-US" w:eastAsia="zh-CN" w:bidi="ar-SA"/>
        </w:rPr>
        <w:t>共有车辆</w:t>
      </w:r>
      <w:r>
        <w:rPr>
          <w:rFonts w:hint="eastAsia" w:ascii="仿宋_GB2312" w:hAnsi="仿宋_GB2312" w:eastAsia="仿宋_GB2312" w:cs="仿宋_GB2312"/>
          <w:color w:val="FF0000"/>
          <w:sz w:val="32"/>
          <w:szCs w:val="32"/>
        </w:rPr>
        <w:t>0</w:t>
      </w:r>
      <w:r>
        <w:rPr>
          <w:rFonts w:hint="eastAsia" w:ascii="仿宋_GB2312" w:hAnsi="仿宋_GB2312" w:eastAsia="仿宋_GB2312" w:cs="仿宋_GB2312"/>
          <w:color w:val="FF0000"/>
          <w:kern w:val="2"/>
          <w:sz w:val="32"/>
          <w:szCs w:val="32"/>
          <w:highlight w:val="none"/>
          <w:lang w:val="en-US" w:eastAsia="zh-CN" w:bidi="ar-SA"/>
        </w:rPr>
        <w:t>辆</w:t>
      </w:r>
      <w:r>
        <w:rPr>
          <w:rFonts w:hint="eastAsia" w:ascii="Times New Roman" w:hAnsi="Times New Roman" w:eastAsia="仿宋_GB2312" w:cs="仿宋_GB2312"/>
          <w:color w:val="FF0000"/>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根据预算绩效管理要求，本单位在2024年度预算编制阶段，组织对多个项目开展了预算事前绩效评估，对多个项目编制了绩效目标。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pStyle w:val="2"/>
        <w:rPr>
          <w:rFonts w:hint="eastAsia"/>
          <w:lang w:val="en-US" w:eastAsia="zh-CN"/>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5" w:name="_Toc15377225"/>
      <w:bookmarkStart w:id="46"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5"/>
      <w:bookmarkEnd w:id="46"/>
    </w:p>
    <w:p>
      <w:pPr>
        <w:spacing w:line="600" w:lineRule="exact"/>
        <w:jc w:val="left"/>
        <w:rPr>
          <w:rFonts w:ascii="Times New Roman" w:hAnsi="Times New Roman"/>
          <w:b/>
          <w:color w:val="auto"/>
          <w:sz w:val="44"/>
          <w:szCs w:val="44"/>
          <w:highlight w:val="none"/>
        </w:rPr>
      </w:pP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bookmarkStart w:id="47" w:name="_Toc15377226"/>
      <w:r>
        <w:rPr>
          <w:rFonts w:hint="default" w:ascii="Times New Roman" w:hAnsi="Times New Roman" w:eastAsia="仿宋_GB2312" w:cs="Times New Roman"/>
          <w:color w:val="FF0000"/>
          <w:kern w:val="2"/>
          <w:sz w:val="32"/>
          <w:szCs w:val="32"/>
          <w:highlight w:val="none"/>
          <w:lang w:val="en-US" w:eastAsia="zh-CN" w:bidi="ar-SA"/>
        </w:rPr>
        <w:t xml:space="preserve">1.财政拨款收入：指单位从同级财政部门取得的财政预 算资金。 </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2.年初结转和结余：指以前年度尚未完成、结转到本年 按有关规定继续使用的资金。</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3.年末结转和结余：指单位按有关规定结转到下年或以 后年度继续使用的资金。</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4.一般公共服务（201）纪检监察事务（11）行政运行（</w:t>
      </w:r>
      <w:r>
        <w:rPr>
          <w:rFonts w:hint="eastAsia" w:eastAsia="仿宋_GB2312" w:cs="Times New Roman"/>
          <w:color w:val="FF0000"/>
          <w:kern w:val="2"/>
          <w:sz w:val="32"/>
          <w:szCs w:val="32"/>
          <w:highlight w:val="none"/>
          <w:lang w:val="en-US" w:eastAsia="zh-CN" w:bidi="ar-SA"/>
        </w:rPr>
        <w:t>50</w:t>
      </w:r>
      <w:r>
        <w:rPr>
          <w:rFonts w:hint="default" w:ascii="Times New Roman" w:hAnsi="Times New Roman" w:eastAsia="仿宋_GB2312" w:cs="Times New Roman"/>
          <w:color w:val="FF0000"/>
          <w:kern w:val="2"/>
          <w:sz w:val="32"/>
          <w:szCs w:val="32"/>
          <w:highlight w:val="none"/>
          <w:lang w:val="en-US" w:eastAsia="zh-CN" w:bidi="ar-SA"/>
        </w:rPr>
        <w:t>）： 指反映</w:t>
      </w:r>
      <w:r>
        <w:rPr>
          <w:rFonts w:hint="eastAsia" w:eastAsia="仿宋_GB2312" w:cs="Times New Roman"/>
          <w:color w:val="FF0000"/>
          <w:kern w:val="2"/>
          <w:sz w:val="32"/>
          <w:szCs w:val="32"/>
          <w:highlight w:val="none"/>
          <w:lang w:val="en-US" w:eastAsia="zh-CN" w:bidi="ar-SA"/>
        </w:rPr>
        <w:t>事业</w:t>
      </w:r>
      <w:r>
        <w:rPr>
          <w:rFonts w:hint="default" w:ascii="Times New Roman" w:hAnsi="Times New Roman" w:eastAsia="仿宋_GB2312" w:cs="Times New Roman"/>
          <w:color w:val="FF0000"/>
          <w:kern w:val="2"/>
          <w:sz w:val="32"/>
          <w:szCs w:val="32"/>
          <w:highlight w:val="none"/>
          <w:lang w:val="en-US" w:eastAsia="zh-CN" w:bidi="ar-SA"/>
        </w:rPr>
        <w:t>单位的基本支出。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5.社会保障和就业（208）行政事业单位养老支出（05） 机关事业单位基本养老保险缴费支出（05）：指反映机关事 业单位实施养老保险制度由单位缴纳的基本养老保险费支 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6.社会保障和就业（208）行政事业单位养老支出（05） 机关事业单位职业年金缴费支出（06）：指反映机关事业单 位实施养老保险制度由单位实际缴纳的职业年金支出。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7.卫生健康（210）行政事业单位医疗（11）行政单位医 疗（01）：指反映财政部门安排的行政单位（包括实行公务 员管理的事业单位，下同）基本医疗保险缴费经费，未参加 医疗保险的行政单位的公费医疗经费，按国家规定享受离休16 人员、红军老战士待遇人员的医疗经费。</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8.卫生健康（210）行政事业单位医疗（11）公务员医疗 补助（03）：指反映财政部门安排的公务员医疗补助经费。</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9.住房保障（221）住房改革支出（02）住房公积金（01）： 指反映行政事业单位按人力资源和社会保障部、财政部规定 的基本工资和津贴补贴以及规定比例为职工缴纳的住房公 积金。</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10.基本支出：指为保障机构正常运转、完成日常工作任 务而发生的人员支出和公用支出。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11.项目支出：指在基本支出之外为完成特定行政任务和 事业发展目标所发生的支出。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12.基本支出：指为保障机构正常运转、完成日常工作任 务而发生的人员支出和公用支出。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13.项目支出：指在基本支出之外为完成特定行政任务和 事业发展目标所发生的支出。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14.“三公”经费：指单位用财政拨款安排的因公出国（境） 费、公务用车购置及运行费和公务接待费。其中，因公出国 （境）费反映单位公务出国（境）的国际旅费、国外城市间 交通费、住宿费、伙食费、培训费、公杂费等支出；公务用 车购置及运行费反映单位公务用车车辆购置支出（含车辆购 置税）及租用费、燃料费、维修费、过路过桥费、保险费等 支出；公务接待费反映单位按规定开支的各类公务接待（含 外宾接待）支出。</w:t>
      </w:r>
    </w:p>
    <w:p>
      <w:pPr>
        <w:spacing w:line="600" w:lineRule="exact"/>
        <w:ind w:firstLine="640"/>
        <w:rPr>
          <w:rFonts w:hint="default" w:ascii="Times New Roman" w:hAnsi="Times New Roman" w:eastAsia="仿宋_GB2312" w:cs="Times New Roman"/>
          <w:color w:val="FF0000"/>
          <w:kern w:val="2"/>
          <w:sz w:val="32"/>
          <w:szCs w:val="32"/>
          <w:highlight w:val="none"/>
          <w:lang w:val="en-US" w:eastAsia="zh-CN" w:bidi="ar-SA"/>
        </w:rPr>
      </w:pPr>
      <w:r>
        <w:rPr>
          <w:rFonts w:hint="default" w:ascii="Times New Roman" w:hAnsi="Times New Roman" w:eastAsia="仿宋_GB2312" w:cs="Times New Roman"/>
          <w:color w:val="FF0000"/>
          <w:kern w:val="2"/>
          <w:sz w:val="32"/>
          <w:szCs w:val="32"/>
          <w:highlight w:val="none"/>
          <w:lang w:val="en-US" w:eastAsia="zh-CN" w:bidi="ar-SA"/>
        </w:rPr>
        <w:t>15.机关运行经费：为保障行政单位（含参照公务员法管 理的事业单位）运行用于购买货物和服务的各项资金，包括 办公及印刷费、邮电费、差旅费、会议费、福利费、日常维 修费、专用材料及一般设备购置费、办公用房水电费、办公 用房取暖费、办公用房物业管理费、公务用车运行维护费以 及其他费用。</w:t>
      </w:r>
    </w:p>
    <w:p>
      <w:pPr>
        <w:spacing w:line="600" w:lineRule="exact"/>
        <w:jc w:val="center"/>
        <w:rPr>
          <w:rStyle w:val="29"/>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48"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8"/>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Times New Roman" w:hAnsi="Times New Roman" w:eastAsia="仿宋_GB2312" w:cs="仿宋_GB2312"/>
          <w:color w:val="FF0000"/>
          <w:kern w:val="2"/>
          <w:sz w:val="32"/>
          <w:szCs w:val="32"/>
          <w:highlight w:val="none"/>
          <w:lang w:val="en-US" w:eastAsia="zh-CN" w:bidi="ar-SA"/>
        </w:rPr>
        <w:t>未内设</w:t>
      </w:r>
      <w:r>
        <w:rPr>
          <w:rFonts w:hint="eastAsia" w:eastAsia="仿宋_GB2312" w:cs="仿宋_GB2312"/>
          <w:color w:val="FF0000"/>
          <w:kern w:val="2"/>
          <w:sz w:val="32"/>
          <w:szCs w:val="32"/>
          <w:highlight w:val="none"/>
          <w:lang w:val="en-US" w:eastAsia="zh-CN" w:bidi="ar-SA"/>
        </w:rPr>
        <w:t>科（股）</w:t>
      </w:r>
      <w:r>
        <w:rPr>
          <w:rFonts w:hint="default" w:ascii="Times New Roman" w:hAnsi="Times New Roman" w:eastAsia="仿宋_GB2312" w:cs="仿宋_GB2312"/>
          <w:color w:val="FF0000"/>
          <w:kern w:val="2"/>
          <w:sz w:val="32"/>
          <w:szCs w:val="32"/>
          <w:highlight w:val="none"/>
          <w:lang w:val="en-US" w:eastAsia="zh-CN" w:bidi="ar-SA"/>
        </w:rPr>
        <w:t>室。</w:t>
      </w:r>
    </w:p>
    <w:p>
      <w:pPr>
        <w:ind w:firstLine="642" w:firstLineChars="200"/>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color w:val="FF0000"/>
          <w:sz w:val="32"/>
          <w:szCs w:val="32"/>
          <w:highlight w:val="none"/>
        </w:rPr>
        <w:t>负责监督执纪和监察有关事务性工作。负责全面从严治党、党风廉政建设和反腐败宣传教育以及廉洁文化建设工作。负责纪检监察系统外宣信息收集、编写和上报。负责纪检监察网络建设与维护、办案数据分析、技术保障、机房管理、专用软件管理与运行等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color w:val="FF0000"/>
          <w:sz w:val="32"/>
          <w:szCs w:val="32"/>
          <w:lang w:val="en-US" w:eastAsia="zh-CN"/>
        </w:rPr>
        <w:t>截至202</w:t>
      </w:r>
      <w:r>
        <w:rPr>
          <w:rFonts w:hint="eastAsia" w:ascii="Times New Roman" w:hAnsi="Times New Roman" w:eastAsia="仿宋_GB2312" w:cs="Times New Roman"/>
          <w:color w:val="FF0000"/>
          <w:sz w:val="32"/>
          <w:szCs w:val="32"/>
          <w:lang w:val="en-US" w:eastAsia="zh-CN"/>
        </w:rPr>
        <w:t>4</w:t>
      </w:r>
      <w:r>
        <w:rPr>
          <w:rFonts w:hint="default" w:ascii="Times New Roman" w:hAnsi="Times New Roman" w:eastAsia="仿宋_GB2312" w:cs="Times New Roman"/>
          <w:color w:val="FF0000"/>
          <w:sz w:val="32"/>
          <w:szCs w:val="32"/>
          <w:lang w:val="en-US" w:eastAsia="zh-CN"/>
        </w:rPr>
        <w:t>年末，</w:t>
      </w:r>
      <w:r>
        <w:rPr>
          <w:rFonts w:hint="eastAsia" w:eastAsia="仿宋_GB2312" w:cs="Times New Roman"/>
          <w:color w:val="FF0000"/>
          <w:sz w:val="32"/>
          <w:szCs w:val="32"/>
          <w:lang w:val="en-US" w:eastAsia="zh-CN"/>
        </w:rPr>
        <w:t>宣传教育信息中心共有在职在编人员4人</w:t>
      </w:r>
      <w:r>
        <w:rPr>
          <w:rFonts w:hint="eastAsia" w:ascii="Times New Roman" w:hAnsi="Times New Roman" w:eastAsia="仿宋_GB2312" w:cs="Times New Roman"/>
          <w:color w:val="FF000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仿宋_GB2312" w:cs="Times New Roman"/>
          <w:b/>
          <w:bCs/>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FF0000"/>
          <w:sz w:val="32"/>
          <w:szCs w:val="32"/>
          <w:highlight w:val="none"/>
          <w:lang w:eastAsia="zh-CN"/>
        </w:rPr>
        <w:t>2024年度本年收入合计</w:t>
      </w:r>
      <w:r>
        <w:rPr>
          <w:rFonts w:hint="eastAsia" w:ascii="仿宋_GB2312" w:hAnsi="仿宋_GB2312" w:eastAsia="仿宋_GB2312" w:cs="仿宋_GB2312"/>
          <w:color w:val="FF0000"/>
          <w:sz w:val="32"/>
          <w:szCs w:val="32"/>
        </w:rPr>
        <w:t>57.39万元</w:t>
      </w:r>
      <w:r>
        <w:rPr>
          <w:rFonts w:hint="eastAsia" w:ascii="仿宋_GB2312" w:hAnsi="仿宋_GB2312" w:eastAsia="仿宋_GB2312" w:cs="仿宋_GB2312"/>
          <w:color w:val="FF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FF0000"/>
          <w:sz w:val="32"/>
          <w:szCs w:val="32"/>
          <w:highlight w:val="none"/>
          <w:lang w:eastAsia="zh-CN"/>
        </w:rPr>
        <w:t>2024年度本年支出合计</w:t>
      </w:r>
      <w:r>
        <w:rPr>
          <w:rFonts w:hint="eastAsia" w:ascii="仿宋_GB2312" w:hAnsi="仿宋_GB2312" w:eastAsia="仿宋_GB2312" w:cs="仿宋_GB2312"/>
          <w:color w:val="FF0000"/>
          <w:sz w:val="32"/>
          <w:szCs w:val="32"/>
        </w:rPr>
        <w:t>64.13</w:t>
      </w:r>
      <w:r>
        <w:rPr>
          <w:rFonts w:hint="eastAsia" w:ascii="仿宋_GB2312" w:hAnsi="仿宋_GB2312" w:eastAsia="仿宋_GB2312" w:cs="仿宋_GB2312"/>
          <w:color w:val="FF0000"/>
          <w:sz w:val="32"/>
          <w:szCs w:val="32"/>
          <w:highlight w:val="none"/>
          <w:lang w:eastAsia="zh-CN"/>
        </w:rPr>
        <w:t>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FF0000"/>
          <w:kern w:val="2"/>
          <w:sz w:val="32"/>
          <w:szCs w:val="32"/>
          <w:highlight w:val="none"/>
          <w:lang w:val="zh-CN" w:eastAsia="zh-CN" w:bidi="ar-SA"/>
        </w:rPr>
      </w:pPr>
      <w:r>
        <w:rPr>
          <w:rFonts w:hint="default" w:ascii="Times New Roman" w:hAnsi="Times New Roman" w:eastAsia="楷体_GB2312" w:cs="Times New Roman"/>
          <w:b/>
          <w:bCs/>
          <w:color w:val="FF0000"/>
          <w:kern w:val="0"/>
          <w:sz w:val="32"/>
          <w:szCs w:val="32"/>
          <w:highlight w:val="none"/>
          <w:shd w:val="clear" w:color="auto" w:fill="FFFFFF"/>
          <w:lang w:val="zh-CN"/>
        </w:rPr>
        <w:t>（一）</w:t>
      </w:r>
      <w:r>
        <w:rPr>
          <w:rFonts w:hint="default" w:ascii="Times New Roman" w:hAnsi="Times New Roman" w:eastAsia="楷体_GB2312" w:cs="Times New Roman"/>
          <w:b/>
          <w:bCs/>
          <w:color w:val="FF0000"/>
          <w:kern w:val="0"/>
          <w:sz w:val="32"/>
          <w:szCs w:val="32"/>
          <w:highlight w:val="none"/>
          <w:shd w:val="clear" w:color="auto" w:fill="FFFFFF"/>
          <w:lang w:val="zh-CN" w:eastAsia="zh-CN" w:bidi="ar-SA"/>
        </w:rPr>
        <w:t>履职效能</w:t>
      </w:r>
      <w:r>
        <w:rPr>
          <w:rFonts w:hint="default" w:ascii="Times New Roman" w:hAnsi="Times New Roman" w:eastAsia="仿宋_GB2312" w:cs="Times New Roman"/>
          <w:color w:val="FF0000"/>
          <w:kern w:val="2"/>
          <w:sz w:val="32"/>
          <w:szCs w:val="32"/>
          <w:highlight w:val="none"/>
          <w:lang w:val="zh-CN" w:eastAsia="zh-CN" w:bidi="ar-SA"/>
        </w:rPr>
        <w:t>。</w:t>
      </w:r>
    </w:p>
    <w:p>
      <w:pPr>
        <w:pStyle w:val="7"/>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42" w:firstLineChars="200"/>
        <w:jc w:val="both"/>
        <w:textAlignment w:val="auto"/>
        <w:rPr>
          <w:rFonts w:hint="default" w:ascii="Times New Roman" w:hAnsi="Times New Roman" w:eastAsia="方正仿宋_GBK" w:cs="Times New Roman"/>
          <w:b/>
          <w:bCs/>
          <w:color w:val="FF0000"/>
          <w:sz w:val="32"/>
          <w:szCs w:val="32"/>
          <w:lang w:val="en-US" w:eastAsia="zh-CN"/>
        </w:rPr>
      </w:pPr>
      <w:r>
        <w:rPr>
          <w:rFonts w:hint="default" w:ascii="Times New Roman" w:hAnsi="Times New Roman" w:eastAsia="方正楷体_GBK" w:cs="Times New Roman"/>
          <w:b/>
          <w:bCs/>
          <w:color w:val="FF0000"/>
          <w:sz w:val="32"/>
          <w:szCs w:val="32"/>
          <w:lang w:val="en-US" w:eastAsia="zh-CN"/>
        </w:rPr>
        <w:t>监督检查方面。</w:t>
      </w:r>
      <w:r>
        <w:rPr>
          <w:rFonts w:hint="default" w:ascii="Times New Roman" w:hAnsi="Times New Roman" w:eastAsia="方正楷体_GBK" w:cs="Times New Roman"/>
          <w:color w:val="FF0000"/>
          <w:sz w:val="32"/>
          <w:szCs w:val="32"/>
          <w:lang w:val="en-US" w:eastAsia="zh-CN"/>
        </w:rPr>
        <w:t>一是坚持以学铸魂，持续擦亮政治底色。</w:t>
      </w:r>
      <w:r>
        <w:rPr>
          <w:rFonts w:hint="default" w:ascii="Times New Roman" w:hAnsi="Times New Roman" w:eastAsia="方正仿宋_GBK" w:cs="Times New Roman"/>
          <w:color w:val="FF0000"/>
          <w:sz w:val="32"/>
          <w:szCs w:val="32"/>
          <w:lang w:val="en-US" w:eastAsia="zh-CN"/>
        </w:rPr>
        <w:t>县纪委常委会始终把政治建设摆在首位，在政治上思想上行动上始终同以习近平同志为核心的党中央保持高度一致。扎实开展党纪学习教育，自觉用习近平新时代中国特色社会主义思想凝心铸魂，</w:t>
      </w:r>
      <w:r>
        <w:rPr>
          <w:rFonts w:hint="default" w:ascii="Times New Roman" w:hAnsi="Times New Roman" w:eastAsia="方正仿宋_GBK" w:cs="Times New Roman"/>
          <w:b w:val="0"/>
          <w:bCs w:val="0"/>
          <w:color w:val="FF0000"/>
          <w:sz w:val="32"/>
          <w:szCs w:val="32"/>
          <w:lang w:val="en-US" w:eastAsia="zh-CN"/>
        </w:rPr>
        <w:t>充分利用党纪</w:t>
      </w:r>
      <w:r>
        <w:rPr>
          <w:rFonts w:hint="default" w:ascii="Times New Roman" w:hAnsi="Times New Roman" w:eastAsia="方正仿宋_GBK" w:cs="Times New Roman"/>
          <w:color w:val="FF0000"/>
          <w:sz w:val="32"/>
          <w:szCs w:val="32"/>
          <w:lang w:val="en-US" w:eastAsia="zh-CN"/>
        </w:rPr>
        <w:t>学习专班，认真督导全县各基层党组织条逐句集中学习《条例》3轮次，讲纪律党课224场次，围绕“六项纪律”开展学习研讨1276次，推动全县学纪、知纪、明纪、守纪。严格执行“第一议题”制度，全面学习贯彻党的二十大精神、习近平总书记系列重要讲话和指示精神9次，理论学习中心组专题学习研讨4次、研究部署意识形态工作2次，委领导班子带头讲党课2次，组织党员开展党性教育1场次，全县纪检监察干部拥护“两个确立”、做到“两个维护”的思想行动自觉不断增强。主动扛起全县党纪学习教育工作职责，开展党纪学习教育专项督导16次，发现问题21个，督促全县各基层党组织观看警示教育片《插手》，确保我县党纪学习教育走深走实。</w:t>
      </w:r>
      <w:r>
        <w:rPr>
          <w:rFonts w:hint="default" w:ascii="Times New Roman" w:hAnsi="Times New Roman" w:eastAsia="方正楷体_GBK" w:cs="Times New Roman"/>
          <w:color w:val="FF0000"/>
          <w:sz w:val="32"/>
          <w:szCs w:val="32"/>
          <w:lang w:val="en-US" w:eastAsia="zh-CN"/>
        </w:rPr>
        <w:t>二是聚焦两个维护，持续深化政治监督。</w:t>
      </w:r>
      <w:r>
        <w:rPr>
          <w:rFonts w:hint="default" w:ascii="Times New Roman" w:hAnsi="Times New Roman" w:eastAsia="方正仿宋_GBK" w:cs="Times New Roman"/>
          <w:color w:val="FF0000"/>
          <w:sz w:val="32"/>
          <w:szCs w:val="32"/>
          <w:lang w:val="en-US" w:eastAsia="zh-CN"/>
        </w:rPr>
        <w:t>始终将贯彻落实习近平总书记对九寨沟的重要指示作为政治监督的“根”和“魂”，把全县各级党组织贯彻落实中央重大决策部署及省、州、县工作安排作为政治监督的重点，组建4个督导组对12个乡镇、50余个县级部门全覆盖开展党的二十大精神、习近平总书记重要讲话精神学习贯彻落实情况、党纪学习教育及意识形态工作专项督查1轮次，发现各类问题20余个。督促各级党组织结合实际差异化制定主体责任清单，对各乡镇、重点部门“一把手”“面对面”交办主体责任52次，开展“两个责任”落实全覆盖督查1轮，聚焦“十四五”规划实施、生态环境保护、森林草原防灭火、安全生产等重点工作开展监督检查27次，发现并督促整改问题46个，组织处理6人，下发违反中央八项规定精神问题通报一期。坚持监督关口前移，</w:t>
      </w:r>
      <w:r>
        <w:rPr>
          <w:rFonts w:hint="default" w:ascii="Times New Roman" w:hAnsi="Times New Roman" w:eastAsia="方正仿宋_GBK" w:cs="Times New Roman"/>
          <w:color w:val="FF0000"/>
          <w:sz w:val="32"/>
          <w:szCs w:val="32"/>
          <w:highlight w:val="none"/>
          <w:lang w:val="en-US" w:eastAsia="zh-CN"/>
        </w:rPr>
        <w:t>回复党风廉政建设（廉洁自律）征求意见158件涉及4200</w:t>
      </w:r>
      <w:r>
        <w:rPr>
          <w:rFonts w:hint="default" w:ascii="Times New Roman" w:hAnsi="Times New Roman" w:eastAsia="方正仿宋_GBK" w:cs="Times New Roman"/>
          <w:color w:val="FF0000"/>
          <w:sz w:val="32"/>
          <w:szCs w:val="32"/>
          <w:lang w:val="en-US" w:eastAsia="zh-CN"/>
        </w:rPr>
        <w:t>余人，为县委选人用人、推优争先提供决策依据。</w:t>
      </w:r>
      <w:r>
        <w:rPr>
          <w:rFonts w:hint="default" w:ascii="Times New Roman" w:hAnsi="Times New Roman" w:eastAsia="方正仿宋_GBK" w:cs="Times New Roman"/>
          <w:b/>
          <w:bCs/>
          <w:color w:val="FF0000"/>
          <w:sz w:val="32"/>
          <w:szCs w:val="32"/>
          <w:lang w:val="en-US" w:eastAsia="zh-CN"/>
        </w:rPr>
        <w:t>一是强化政治监督。</w:t>
      </w:r>
      <w:r>
        <w:rPr>
          <w:rFonts w:hint="default" w:ascii="Times New Roman" w:hAnsi="Times New Roman" w:eastAsia="方正仿宋_GBK" w:cs="Times New Roman"/>
          <w:color w:val="FF0000"/>
          <w:sz w:val="32"/>
          <w:szCs w:val="32"/>
          <w:lang w:val="en-US" w:eastAsia="zh-CN"/>
        </w:rPr>
        <w:t>始终将政治监督作为首要政治任务，督促全县党员干部牢固树立“四个意识”，坚定“四个自信”，坚决做到“两个维护”。截至目前，围绕党的二十大精神、习近平总书记重要讲话精神学习贯彻落实情况开展1轮全覆盖督查，督促全县各乡镇部门结合实际抓好学习贯彻落实。结合会前学学纪学法工作，督促县级领导干部在全县中心组学习会上扎实开展学纪学法。</w:t>
      </w:r>
      <w:r>
        <w:rPr>
          <w:rFonts w:hint="default" w:ascii="Times New Roman" w:hAnsi="Times New Roman" w:eastAsia="方正仿宋_GBK" w:cs="Times New Roman"/>
          <w:b/>
          <w:bCs/>
          <w:color w:val="FF0000"/>
          <w:sz w:val="32"/>
          <w:szCs w:val="32"/>
          <w:lang w:val="en-US" w:eastAsia="zh-CN"/>
        </w:rPr>
        <w:t>二是强化日常监督。</w:t>
      </w:r>
      <w:r>
        <w:rPr>
          <w:rFonts w:hint="default" w:ascii="Times New Roman" w:hAnsi="Times New Roman" w:eastAsia="方正仿宋_GBK" w:cs="Times New Roman"/>
          <w:color w:val="FF0000"/>
          <w:sz w:val="32"/>
          <w:szCs w:val="32"/>
          <w:lang w:val="en-US" w:eastAsia="zh-CN"/>
        </w:rPr>
        <w:t>严格落实《加强对“一把手”和领导班子监督的36条措施》，督促县委健全领导干部违规插手干预重大事项记录和报告机制，及时制发《党风廉政建设主体责任清单提示卡》，督促各乡镇、县级各部门制定本单位本部门落实党风廉政建设主体责任工作计划，差异化制定主体责任清单。拟定2024年监督检查工作计划，将乡村振兴、优化营商环境、五粮春系列案以案促改、招投标治理、村集体三资、婚丧喜庆事宜、粮食购销领域等内容纳入“三察三治”中。2024年开展监督检查15次，发现整改问题11个，对州纪委3月督查反馈问题开展全覆盖检查2轮次，督促相关责任单位按照反馈问题采取切实可行的举措抓实整改，目前已全部整改到位。</w:t>
      </w:r>
      <w:r>
        <w:rPr>
          <w:rFonts w:hint="default" w:ascii="Times New Roman" w:hAnsi="Times New Roman" w:eastAsia="方正仿宋_GBK" w:cs="Times New Roman"/>
          <w:b/>
          <w:bCs/>
          <w:color w:val="FF0000"/>
          <w:sz w:val="32"/>
          <w:szCs w:val="32"/>
          <w:lang w:val="en-US" w:eastAsia="zh-CN"/>
        </w:rPr>
        <w:t>三是强化巡察监督。</w:t>
      </w:r>
      <w:r>
        <w:rPr>
          <w:rFonts w:hint="default" w:ascii="Times New Roman" w:hAnsi="Times New Roman" w:eastAsia="方正仿宋_GBK" w:cs="Times New Roman"/>
          <w:color w:val="FF0000"/>
          <w:sz w:val="32"/>
          <w:szCs w:val="32"/>
          <w:lang w:val="en-US" w:eastAsia="zh-CN"/>
        </w:rPr>
        <w:t>通过完善纪巡联动机制，突出政治巡察定位，先后组织实施了2轮常规巡察和1轮专项巡察，涉及县委宣传部、县委办等16个县级部门和南坪镇、漳扎镇、双河镇3个镇54个村（社区），累计发现问题629条，反馈立行立改问题76条，发现问题线索10条，移交问题线索8条，解决问题30余个，退缴违规资金32.3万元。督促县医保局追回医疗违规款7.26万元，督促县科农局对全县12个乡镇开展现有贫困村集体经济发展情况摸排工作1次，督促原国投集团公司收回应收未收款1.38亿元。同时组建九寨沟县巡察工作事务中心，核定事业编制2名。深化东西部结对协作，组织6名同志赴浙江嘉善开展巡察交流考察，全面提升巡察工作质效。</w:t>
      </w:r>
    </w:p>
    <w:p>
      <w:pPr>
        <w:keepNext w:val="0"/>
        <w:keepLines w:val="0"/>
        <w:pageBreakBefore w:val="0"/>
        <w:wordWrap/>
        <w:overflowPunct/>
        <w:topLinePunct w:val="0"/>
        <w:bidi w:val="0"/>
        <w:spacing w:line="540" w:lineRule="exact"/>
        <w:ind w:firstLine="642" w:firstLineChars="200"/>
        <w:rPr>
          <w:rFonts w:hint="default" w:ascii="Times New Roman" w:hAnsi="Times New Roman" w:eastAsia="仿宋_GB2312" w:cs="Times New Roman"/>
          <w:color w:val="FF0000"/>
          <w:sz w:val="32"/>
          <w:szCs w:val="32"/>
        </w:rPr>
      </w:pPr>
      <w:r>
        <w:rPr>
          <w:rFonts w:hint="default" w:ascii="Times New Roman" w:hAnsi="Times New Roman" w:eastAsia="方正楷体_GBK" w:cs="Times New Roman"/>
          <w:b/>
          <w:bCs/>
          <w:color w:val="FF0000"/>
          <w:kern w:val="0"/>
          <w:sz w:val="32"/>
          <w:szCs w:val="32"/>
          <w:lang w:val="en-US" w:eastAsia="zh-CN" w:bidi="ar-SA"/>
        </w:rPr>
        <w:t>案件质效提升方面。</w:t>
      </w:r>
      <w:r>
        <w:rPr>
          <w:rFonts w:hint="default" w:ascii="Times New Roman" w:hAnsi="Times New Roman" w:eastAsia="方正仿宋_GBK" w:cs="Times New Roman"/>
          <w:b/>
          <w:bCs/>
          <w:color w:val="FF0000"/>
          <w:sz w:val="32"/>
          <w:szCs w:val="32"/>
          <w:lang w:val="en-US" w:eastAsia="zh-CN"/>
        </w:rPr>
        <w:t>一是线索处置和审查调查工作。</w:t>
      </w:r>
      <w:r>
        <w:rPr>
          <w:rFonts w:hint="default" w:ascii="Times New Roman" w:hAnsi="Times New Roman" w:eastAsia="方正仿宋_GBK" w:cs="Times New Roman"/>
          <w:color w:val="FF0000"/>
          <w:sz w:val="32"/>
          <w:szCs w:val="32"/>
          <w:lang w:val="en-US" w:eastAsia="zh-CN"/>
        </w:rPr>
        <w:t>聚焦主责主业，持续保持高压反腐。2024年1至12月，共受理问题线索230条，给予组织处理65人，同比增80%；立案86件101人，（其中同级党委管理干部20人），给予党纪政务处分93人，同比增长31%；留置2人，全县初核成案率93%，委机关初核成案率85%，主动发现线索成案68件，派驻纪检监察组立案15件，乡镇纪委立案45件。受理巡察、审计、林草、教育等部门移送问题线索24条，立案15件21人。充分发挥组织协调职能，运用“室组地”联合办案机制，指定办理5件，交办14件，提级管辖12件。定期对问题线索交办台账进行核对，全程跟踪督办，通过电话督办30余批次，实现案件办结时长同比缩短12%，纳入州纪委领导包案5件，县纪委领导包案22件。</w:t>
      </w:r>
      <w:r>
        <w:rPr>
          <w:rFonts w:hint="default" w:ascii="Times New Roman" w:hAnsi="Times New Roman" w:eastAsia="方正仿宋_GBK" w:cs="Times New Roman"/>
          <w:b/>
          <w:bCs/>
          <w:color w:val="FF0000"/>
          <w:sz w:val="32"/>
          <w:szCs w:val="32"/>
          <w:lang w:val="en-US" w:eastAsia="zh-CN"/>
        </w:rPr>
        <w:t>二是信访举报工作。</w:t>
      </w:r>
      <w:r>
        <w:rPr>
          <w:rFonts w:hint="default" w:ascii="Times New Roman" w:hAnsi="Times New Roman" w:eastAsia="方正仿宋_GBK" w:cs="Times New Roman"/>
          <w:color w:val="FF0000"/>
          <w:sz w:val="32"/>
          <w:szCs w:val="32"/>
          <w:lang w:val="en-US" w:eastAsia="zh-CN"/>
        </w:rPr>
        <w:t>今年以来，共接收各类信访举报36件。其中：检举控告类24件，业务范围外12件，实名举报6件。县乡两级纪检监察干部聚焦民生领域以及群众反映强烈的突出问题，主动下沉乡村社区、田间地头及群众家中接访460余场次，接待群众630余批次900余人，全方位收集惠农补助资金发放、基层干部作风、群众身边的不正之风和“微腐败”等情况问题478个，面对面听取群众的意见建议25条，主动为群众解决人畜牧饮水、生产便道、基础设施等急难愁盼问题416个，信访转问题线索52件，立案24件27人，党纪政务处分21人。</w:t>
      </w:r>
      <w:r>
        <w:rPr>
          <w:rFonts w:hint="default" w:ascii="Times New Roman" w:hAnsi="Times New Roman" w:eastAsia="仿宋_GB2312" w:cs="Times New Roman"/>
          <w:bCs/>
          <w:color w:val="FF0000"/>
          <w:sz w:val="32"/>
          <w:szCs w:val="32"/>
        </w:rPr>
        <w:t>202</w:t>
      </w:r>
      <w:r>
        <w:rPr>
          <w:rFonts w:hint="default" w:ascii="Times New Roman" w:hAnsi="Times New Roman" w:eastAsia="仿宋_GB2312" w:cs="Times New Roman"/>
          <w:bCs/>
          <w:color w:val="FF0000"/>
          <w:sz w:val="32"/>
          <w:szCs w:val="32"/>
          <w:lang w:val="en-US" w:eastAsia="zh-CN"/>
        </w:rPr>
        <w:t>4</w:t>
      </w:r>
      <w:r>
        <w:rPr>
          <w:rFonts w:hint="default" w:ascii="Times New Roman" w:hAnsi="Times New Roman" w:eastAsia="仿宋_GB2312" w:cs="Times New Roman"/>
          <w:bCs/>
          <w:color w:val="FF0000"/>
          <w:sz w:val="32"/>
          <w:szCs w:val="32"/>
        </w:rPr>
        <w:t>年，受理实名检举控告</w:t>
      </w:r>
      <w:r>
        <w:rPr>
          <w:rFonts w:hint="default" w:ascii="Times New Roman" w:hAnsi="Times New Roman" w:eastAsia="仿宋_GB2312" w:cs="Times New Roman"/>
          <w:bCs/>
          <w:color w:val="FF0000"/>
          <w:sz w:val="32"/>
          <w:szCs w:val="32"/>
          <w:lang w:val="en-US" w:eastAsia="zh-CN"/>
        </w:rPr>
        <w:t>10</w:t>
      </w:r>
      <w:r>
        <w:rPr>
          <w:rFonts w:hint="default" w:ascii="Times New Roman" w:hAnsi="Times New Roman" w:eastAsia="仿宋_GB2312" w:cs="Times New Roman"/>
          <w:bCs/>
          <w:color w:val="FF0000"/>
          <w:sz w:val="32"/>
          <w:szCs w:val="32"/>
        </w:rPr>
        <w:t>件，对实名检举控告受理告知</w:t>
      </w:r>
      <w:r>
        <w:rPr>
          <w:rFonts w:hint="default" w:ascii="Times New Roman" w:hAnsi="Times New Roman" w:eastAsia="仿宋_GB2312" w:cs="Times New Roman"/>
          <w:bCs/>
          <w:color w:val="FF0000"/>
          <w:sz w:val="32"/>
          <w:szCs w:val="32"/>
          <w:lang w:val="en-US" w:eastAsia="zh-CN"/>
        </w:rPr>
        <w:t>10</w:t>
      </w:r>
      <w:r>
        <w:rPr>
          <w:rFonts w:hint="default" w:ascii="Times New Roman" w:hAnsi="Times New Roman" w:eastAsia="仿宋_GB2312" w:cs="Times New Roman"/>
          <w:bCs/>
          <w:color w:val="FF0000"/>
          <w:sz w:val="32"/>
          <w:szCs w:val="32"/>
        </w:rPr>
        <w:t>件，已办结</w:t>
      </w:r>
      <w:r>
        <w:rPr>
          <w:rFonts w:hint="default" w:ascii="Times New Roman" w:hAnsi="Times New Roman" w:eastAsia="仿宋_GB2312" w:cs="Times New Roman"/>
          <w:bCs/>
          <w:color w:val="FF0000"/>
          <w:sz w:val="32"/>
          <w:szCs w:val="32"/>
          <w:lang w:val="en-US" w:eastAsia="zh-CN"/>
        </w:rPr>
        <w:t>9</w:t>
      </w:r>
      <w:r>
        <w:rPr>
          <w:rFonts w:hint="default" w:ascii="Times New Roman" w:hAnsi="Times New Roman" w:eastAsia="仿宋_GB2312" w:cs="Times New Roman"/>
          <w:bCs/>
          <w:color w:val="FF0000"/>
          <w:sz w:val="32"/>
          <w:szCs w:val="32"/>
        </w:rPr>
        <w:t>件、反馈</w:t>
      </w:r>
      <w:r>
        <w:rPr>
          <w:rFonts w:hint="default" w:ascii="Times New Roman" w:hAnsi="Times New Roman" w:eastAsia="仿宋_GB2312" w:cs="Times New Roman"/>
          <w:bCs/>
          <w:color w:val="FF0000"/>
          <w:sz w:val="32"/>
          <w:szCs w:val="32"/>
          <w:lang w:val="en-US" w:eastAsia="zh-CN"/>
        </w:rPr>
        <w:t>9</w:t>
      </w:r>
      <w:r>
        <w:rPr>
          <w:rFonts w:hint="default" w:ascii="Times New Roman" w:hAnsi="Times New Roman" w:eastAsia="仿宋_GB2312" w:cs="Times New Roman"/>
          <w:bCs/>
          <w:color w:val="FF0000"/>
          <w:sz w:val="32"/>
          <w:szCs w:val="32"/>
        </w:rPr>
        <w:t>件，</w:t>
      </w:r>
      <w:r>
        <w:rPr>
          <w:rFonts w:hint="default" w:ascii="Times New Roman" w:hAnsi="Times New Roman" w:eastAsia="仿宋_GB2312" w:cs="Times New Roman"/>
          <w:bCs/>
          <w:color w:val="FF0000"/>
          <w:sz w:val="32"/>
          <w:szCs w:val="32"/>
          <w:lang w:eastAsia="zh-CN"/>
        </w:rPr>
        <w:t>群众满意率达到</w:t>
      </w:r>
      <w:r>
        <w:rPr>
          <w:rFonts w:hint="default" w:ascii="Times New Roman" w:hAnsi="Times New Roman" w:eastAsia="仿宋_GB2312" w:cs="Times New Roman"/>
          <w:bCs/>
          <w:color w:val="FF0000"/>
          <w:sz w:val="32"/>
          <w:szCs w:val="32"/>
          <w:lang w:val="en-US" w:eastAsia="zh-CN"/>
        </w:rPr>
        <w:t>100%</w:t>
      </w:r>
      <w:r>
        <w:rPr>
          <w:rFonts w:hint="default" w:ascii="Times New Roman" w:hAnsi="Times New Roman" w:eastAsia="仿宋_GB2312" w:cs="Times New Roman"/>
          <w:bCs/>
          <w:color w:val="FF0000"/>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left="0" w:leftChars="0" w:firstLine="642" w:firstLineChars="200"/>
        <w:textAlignment w:val="auto"/>
        <w:rPr>
          <w:rFonts w:hint="default" w:ascii="Times New Roman" w:hAnsi="Times New Roman" w:eastAsia="方正仿宋_GBK" w:cs="Times New Roman"/>
          <w:color w:val="FF0000"/>
          <w:sz w:val="32"/>
          <w:szCs w:val="32"/>
          <w:lang w:val="en-US" w:eastAsia="zh-CN"/>
        </w:rPr>
      </w:pPr>
      <w:r>
        <w:rPr>
          <w:rFonts w:hint="default" w:ascii="Times New Roman" w:hAnsi="Times New Roman" w:eastAsia="方正仿宋_GBK" w:cs="Times New Roman"/>
          <w:b/>
          <w:bCs/>
          <w:color w:val="FF0000"/>
          <w:sz w:val="32"/>
          <w:szCs w:val="32"/>
          <w:lang w:val="en-US" w:eastAsia="zh-CN"/>
        </w:rPr>
        <w:t>三是审理和申诉工作。</w:t>
      </w:r>
      <w:r>
        <w:rPr>
          <w:rFonts w:hint="default" w:ascii="Times New Roman" w:hAnsi="Times New Roman" w:eastAsia="方正仿宋_GBK" w:cs="Times New Roman"/>
          <w:color w:val="FF0000"/>
          <w:sz w:val="32"/>
          <w:szCs w:val="32"/>
          <w:lang w:val="en-US" w:eastAsia="zh-CN"/>
        </w:rPr>
        <w:t>为全面落实“乡案县审”工作要求，不断加强对涉嫌行贿、受贿犯罪案件证据的把握，提升违法犯罪案件质效，在案件审理中逐案反馈审理问题清单，要求承办室整改完善后再移送审理，截至目前，组织各室学习县纪委编发的《审理提示》2期，发出“一事一提醒清单”5份，反馈问题18个，开展机关2022年自办案件质量评查工作1次，审理“乡案县审”3件3人，无申诉案件。</w:t>
      </w:r>
    </w:p>
    <w:p>
      <w:pPr>
        <w:keepNext w:val="0"/>
        <w:keepLines w:val="0"/>
        <w:pageBreakBefore w:val="0"/>
        <w:wordWrap/>
        <w:overflowPunct/>
        <w:topLinePunct w:val="0"/>
        <w:bidi w:val="0"/>
        <w:spacing w:line="540" w:lineRule="exact"/>
        <w:ind w:firstLine="642" w:firstLineChars="200"/>
        <w:rPr>
          <w:rFonts w:hint="default" w:ascii="Times New Roman" w:hAnsi="Times New Roman" w:eastAsia="仿宋_GB2312" w:cs="Times New Roman"/>
          <w:color w:val="FF0000"/>
          <w:kern w:val="2"/>
          <w:sz w:val="32"/>
          <w:szCs w:val="32"/>
          <w:highlight w:val="none"/>
          <w:lang w:val="zh-CN" w:eastAsia="zh-CN" w:bidi="ar-SA"/>
        </w:rPr>
      </w:pPr>
      <w:r>
        <w:rPr>
          <w:rFonts w:hint="default" w:ascii="Times New Roman" w:hAnsi="Times New Roman" w:eastAsia="方正楷体_GBK" w:cs="Times New Roman"/>
          <w:b/>
          <w:bCs/>
          <w:color w:val="FF0000"/>
          <w:sz w:val="32"/>
          <w:szCs w:val="32"/>
          <w:lang w:val="en-US" w:eastAsia="zh-CN"/>
        </w:rPr>
        <w:t>加强基层党风廉政建设方面。</w:t>
      </w:r>
      <w:r>
        <w:rPr>
          <w:rFonts w:hint="default" w:ascii="Times New Roman" w:hAnsi="Times New Roman" w:eastAsia="方正仿宋_GBK" w:cs="Times New Roman"/>
          <w:b/>
          <w:bCs/>
          <w:color w:val="FF0000"/>
          <w:sz w:val="32"/>
          <w:szCs w:val="32"/>
          <w:lang w:val="en-US" w:eastAsia="zh-CN"/>
        </w:rPr>
        <w:t>一是强化政治担当，压实两个责任。</w:t>
      </w:r>
      <w:r>
        <w:rPr>
          <w:rFonts w:hint="default" w:ascii="Times New Roman" w:hAnsi="Times New Roman" w:eastAsia="方正仿宋_GBK" w:cs="Times New Roman"/>
          <w:color w:val="FF0000"/>
          <w:sz w:val="32"/>
          <w:szCs w:val="32"/>
          <w:lang w:val="en-US" w:eastAsia="zh-CN"/>
        </w:rPr>
        <w:t>严格落实主体责任，县纪委及时向各乡镇、县级各部门下发主体责任提示单；向乡镇纪委、派驻纪检组下发监督责任提示单。对12个乡镇和县级部门一把手交办主体责任16次。今年2月份组织12个乡镇、7个县级部门进行述责述廉。</w:t>
      </w:r>
      <w:r>
        <w:rPr>
          <w:rFonts w:hint="default" w:ascii="Times New Roman" w:hAnsi="Times New Roman" w:eastAsia="方正仿宋_GBK" w:cs="Times New Roman"/>
          <w:b/>
          <w:bCs/>
          <w:color w:val="FF0000"/>
          <w:sz w:val="32"/>
          <w:szCs w:val="32"/>
          <w:lang w:val="en-US" w:eastAsia="zh-CN"/>
        </w:rPr>
        <w:t>二是扎实开展集中整治群众身边不正之风和腐败问题。</w:t>
      </w:r>
      <w:r>
        <w:rPr>
          <w:rFonts w:hint="default" w:ascii="Times New Roman" w:hAnsi="Times New Roman" w:eastAsia="方正仿宋_GBK" w:cs="Times New Roman"/>
          <w:color w:val="FF0000"/>
          <w:sz w:val="32"/>
          <w:szCs w:val="32"/>
          <w:lang w:val="en-US" w:eastAsia="zh-CN"/>
        </w:rPr>
        <w:t>聚焦群众反映强烈的突出问题，主要领导亲自谋划指挥，定期听取工作进展汇报，分管领导各司其职，各成员单位密切配合。成立工作专班，召开群腐领导小组会议19次，研究解决整治工作中存在的问题。制定集中整治工作方案，明确整治重点围绕民生等多个具体领域，确保整治工作有的放矢。今年以来，集中整治工作与“有事找纪检”相结合，共收集群众诉求473个，推动解决399个。开展以案促改11次，向职能部门发送《纪检监察建议书》8份，督促自查整改问题60个，推动建章立制11个，上报九寨沟县集中整治亮点做法65期，典型案例15期、民生实事10余件，其中州级采用49期。11月19日组织召开全县“阳光问廉”现场问答会1次，指导开展村级“坝坝会”110场次，解决民生诉求、现场答疑问题876个。</w:t>
      </w:r>
      <w:r>
        <w:rPr>
          <w:rFonts w:hint="default" w:ascii="Times New Roman" w:hAnsi="Times New Roman" w:eastAsia="方正仿宋_GBK" w:cs="Times New Roman"/>
          <w:b/>
          <w:bCs/>
          <w:color w:val="FF0000"/>
          <w:sz w:val="32"/>
          <w:szCs w:val="32"/>
          <w:lang w:val="en-US" w:eastAsia="zh-CN"/>
        </w:rPr>
        <w:t>三是强化警示教育，巩固反腐成果。</w:t>
      </w:r>
      <w:r>
        <w:rPr>
          <w:rFonts w:hint="default" w:ascii="Times New Roman" w:hAnsi="Times New Roman" w:eastAsia="方正仿宋_GBK" w:cs="Times New Roman"/>
          <w:color w:val="FF0000"/>
          <w:sz w:val="32"/>
          <w:szCs w:val="32"/>
          <w:lang w:val="en-US" w:eastAsia="zh-CN"/>
        </w:rPr>
        <w:t>开展会前学纪172次，覆盖5330余人次，推送廉洁提醒等内容40余条，召开“四个面对面”警示教育2场，宣布受处分人员51人，组织乡镇、县级部门党员干部观看《权力“围城”》警示教育片，发放各类警示教育宣传资料6000余份，切实筑牢思想防线。</w:t>
      </w:r>
      <w:r>
        <w:rPr>
          <w:rFonts w:hint="default" w:ascii="Times New Roman" w:hAnsi="Times New Roman" w:eastAsia="方正仿宋_GBK" w:cs="Times New Roman"/>
          <w:b/>
          <w:bCs/>
          <w:color w:val="FF0000"/>
          <w:sz w:val="32"/>
          <w:szCs w:val="32"/>
          <w:lang w:val="en-US" w:eastAsia="zh-CN"/>
        </w:rPr>
        <w:t>四是强化源头治理，完善监督体系。</w:t>
      </w:r>
      <w:r>
        <w:rPr>
          <w:rFonts w:hint="default" w:ascii="Times New Roman" w:hAnsi="Times New Roman" w:eastAsia="方正仿宋_GBK" w:cs="Times New Roman"/>
          <w:color w:val="FF0000"/>
          <w:sz w:val="32"/>
          <w:szCs w:val="32"/>
          <w:lang w:val="en-US" w:eastAsia="zh-CN"/>
        </w:rPr>
        <w:t>严格督促各乡镇纪委执行“三转”要求，结合“两联一进”及时收集群众“急难愁盼”问题。开展村党风政风监督员培训16场次，培训人员171人。常态化围绕森林草原防灭火、防汛减灾、扫黑除恶等重点工作开展监督检查1轮次，规范更新完善全县科级领导干部廉政档案516份。开展以案促改11次，向职能部门发送《纪检监察建议书》8份，督促自查整改问题60个，推动建章立制11个。</w:t>
      </w:r>
    </w:p>
    <w:p>
      <w:pPr>
        <w:numPr>
          <w:ilvl w:val="0"/>
          <w:numId w:val="0"/>
        </w:numPr>
        <w:spacing w:line="560" w:lineRule="exact"/>
        <w:ind w:firstLine="642" w:firstLineChars="200"/>
        <w:rPr>
          <w:rFonts w:hint="default" w:ascii="Times New Roman" w:hAnsi="Times New Roman" w:eastAsia="楷体" w:cs="Times New Roman"/>
          <w:b/>
          <w:bCs/>
          <w:color w:val="FF0000"/>
          <w:kern w:val="2"/>
          <w:sz w:val="32"/>
          <w:szCs w:val="32"/>
          <w:highlight w:val="none"/>
          <w:lang w:val="zh-CN" w:eastAsia="zh-CN" w:bidi="ar-SA"/>
        </w:rPr>
      </w:pPr>
      <w:r>
        <w:rPr>
          <w:rFonts w:hint="default" w:ascii="Times New Roman" w:hAnsi="Times New Roman" w:eastAsia="楷体" w:cs="Times New Roman"/>
          <w:b/>
          <w:bCs/>
          <w:color w:val="FF0000"/>
          <w:kern w:val="2"/>
          <w:sz w:val="32"/>
          <w:szCs w:val="32"/>
          <w:highlight w:val="none"/>
          <w:lang w:val="zh-CN" w:eastAsia="zh-CN" w:bidi="ar-SA"/>
        </w:rPr>
        <w:t>（</w:t>
      </w:r>
      <w:r>
        <w:rPr>
          <w:rFonts w:hint="eastAsia" w:eastAsia="楷体" w:cs="Times New Roman"/>
          <w:b/>
          <w:bCs/>
          <w:color w:val="FF0000"/>
          <w:kern w:val="2"/>
          <w:sz w:val="32"/>
          <w:szCs w:val="32"/>
          <w:highlight w:val="none"/>
          <w:lang w:val="en-US" w:eastAsia="zh-CN" w:bidi="ar-SA"/>
        </w:rPr>
        <w:t>二</w:t>
      </w:r>
      <w:r>
        <w:rPr>
          <w:rFonts w:hint="default" w:ascii="Times New Roman" w:hAnsi="Times New Roman" w:eastAsia="楷体" w:cs="Times New Roman"/>
          <w:b/>
          <w:bCs/>
          <w:color w:val="FF0000"/>
          <w:kern w:val="2"/>
          <w:sz w:val="32"/>
          <w:szCs w:val="32"/>
          <w:highlight w:val="none"/>
          <w:lang w:val="zh-CN" w:eastAsia="zh-CN" w:bidi="ar-SA"/>
        </w:rPr>
        <w:t>）财务管理。</w:t>
      </w:r>
    </w:p>
    <w:p>
      <w:pPr>
        <w:spacing w:line="560" w:lineRule="exact"/>
        <w:ind w:firstLine="640" w:firstLineChars="200"/>
        <w:rPr>
          <w:rFonts w:hint="default" w:ascii="Times New Roman" w:hAnsi="Times New Roman" w:eastAsia="仿宋" w:cs="Times New Roman"/>
          <w:color w:val="FF0000"/>
          <w:sz w:val="32"/>
          <w:szCs w:val="32"/>
          <w:lang w:val="zh-CN"/>
        </w:rPr>
      </w:pPr>
      <w:r>
        <w:rPr>
          <w:rFonts w:hint="default" w:ascii="Times New Roman" w:hAnsi="Times New Roman" w:eastAsia="仿宋" w:cs="Times New Roman"/>
          <w:color w:val="FF0000"/>
          <w:sz w:val="32"/>
          <w:szCs w:val="32"/>
          <w:lang w:val="zh-CN" w:eastAsia="zh-CN"/>
        </w:rPr>
        <w:t>202</w:t>
      </w:r>
      <w:r>
        <w:rPr>
          <w:rFonts w:hint="default" w:ascii="Times New Roman" w:hAnsi="Times New Roman" w:eastAsia="仿宋" w:cs="Times New Roman"/>
          <w:color w:val="FF0000"/>
          <w:sz w:val="32"/>
          <w:szCs w:val="32"/>
          <w:lang w:val="en-US" w:eastAsia="zh-CN"/>
        </w:rPr>
        <w:t>4</w:t>
      </w:r>
      <w:r>
        <w:rPr>
          <w:rFonts w:hint="default" w:ascii="Times New Roman" w:hAnsi="Times New Roman" w:eastAsia="仿宋" w:cs="Times New Roman"/>
          <w:color w:val="FF0000"/>
          <w:sz w:val="32"/>
          <w:szCs w:val="32"/>
          <w:lang w:val="zh-CN"/>
        </w:rPr>
        <w:t>年我单位</w:t>
      </w:r>
      <w:r>
        <w:rPr>
          <w:rFonts w:hint="default" w:ascii="Times New Roman" w:hAnsi="Times New Roman" w:eastAsia="仿宋" w:cs="Times New Roman"/>
          <w:color w:val="FF0000"/>
          <w:sz w:val="32"/>
          <w:szCs w:val="32"/>
          <w:lang w:val="en-US" w:eastAsia="zh-CN"/>
        </w:rPr>
        <w:t>进一步完善了</w:t>
      </w:r>
      <w:r>
        <w:rPr>
          <w:rFonts w:hint="default" w:ascii="Times New Roman" w:hAnsi="Times New Roman" w:eastAsia="仿宋" w:cs="Times New Roman"/>
          <w:color w:val="FF0000"/>
          <w:sz w:val="32"/>
          <w:szCs w:val="32"/>
          <w:lang w:val="zh-CN"/>
        </w:rPr>
        <w:t>财务管理制度和会计核算等管理制度，明确了财务职责，制定了厉行节约制度，管理制度依照有关国家法律法规而制定的，具有合法性、合规性、完整性、同时相关制度得到认真执行。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FF0000"/>
          <w:kern w:val="0"/>
          <w:sz w:val="32"/>
          <w:szCs w:val="32"/>
          <w:highlight w:val="none"/>
          <w:shd w:val="clear" w:color="auto" w:fill="FFFFFF"/>
          <w:lang w:val="zh-CN"/>
        </w:rPr>
      </w:pPr>
      <w:r>
        <w:rPr>
          <w:rFonts w:hint="default" w:ascii="Times New Roman" w:hAnsi="Times New Roman" w:eastAsia="黑体" w:cs="Times New Roman"/>
          <w:color w:val="FF0000"/>
          <w:kern w:val="0"/>
          <w:sz w:val="32"/>
          <w:szCs w:val="32"/>
          <w:highlight w:val="none"/>
          <w:shd w:val="clear" w:color="auto" w:fill="FFFFFF"/>
          <w:lang w:val="zh-CN" w:eastAsia="zh-CN"/>
        </w:rPr>
        <w:t>四、</w:t>
      </w:r>
      <w:r>
        <w:rPr>
          <w:rFonts w:hint="default" w:ascii="Times New Roman" w:hAnsi="Times New Roman" w:eastAsia="黑体" w:cs="Times New Roman"/>
          <w:color w:val="FF0000"/>
          <w:kern w:val="0"/>
          <w:sz w:val="32"/>
          <w:szCs w:val="32"/>
          <w:highlight w:val="none"/>
          <w:shd w:val="clear" w:color="auto" w:fill="FFFFFF"/>
          <w:lang w:val="zh-CN"/>
        </w:rPr>
        <w:t>评价结论及建议</w:t>
      </w:r>
    </w:p>
    <w:p>
      <w:pPr>
        <w:spacing w:line="560" w:lineRule="exact"/>
        <w:ind w:firstLine="642" w:firstLineChars="200"/>
        <w:rPr>
          <w:rFonts w:hint="default" w:ascii="Times New Roman" w:hAnsi="Times New Roman" w:eastAsia="仿宋_GB2312" w:cs="Times New Roman"/>
          <w:color w:val="FF0000"/>
          <w:sz w:val="32"/>
          <w:szCs w:val="32"/>
          <w:u w:val="none"/>
          <w:lang w:val="en-US" w:eastAsia="zh-CN" w:bidi="ar"/>
        </w:rPr>
      </w:pPr>
      <w:r>
        <w:rPr>
          <w:rFonts w:hint="default" w:ascii="Times New Roman" w:hAnsi="Times New Roman" w:eastAsia="楷体_GB2312" w:cs="Times New Roman"/>
          <w:b/>
          <w:bCs/>
          <w:color w:val="FF0000"/>
          <w:kern w:val="0"/>
          <w:sz w:val="32"/>
          <w:szCs w:val="32"/>
          <w:highlight w:val="none"/>
          <w:shd w:val="clear" w:color="auto" w:fill="FFFFFF"/>
          <w:lang w:val="zh-CN"/>
        </w:rPr>
        <w:t>（一）评价结论。</w:t>
      </w:r>
      <w:r>
        <w:rPr>
          <w:rFonts w:hint="default" w:ascii="Times New Roman" w:hAnsi="Times New Roman" w:eastAsia="仿宋" w:cs="Times New Roman"/>
          <w:color w:val="FF0000"/>
          <w:sz w:val="32"/>
          <w:szCs w:val="32"/>
          <w:lang w:eastAsia="zh-CN"/>
        </w:rPr>
        <w:t>我单位财务管理制度健全，会计核算符合相关规定，资金专款专用，资金支付依据和开支标准合法合规，严格执行政府采购的相关规定。按照县级部门预算编制通知和有关要求，按时完成基础信息、项目库报送工作，预算编制准确。部门整体绩效目标编制完整、合理，项目绩效目标编制明确、量化。按要求及时公开预算、决算、绩效等信息。认真开展资产清查工作，及时上报国有资产报表，做到数据的真实、准确、全面。内部控制制度健全完整并执行良好。</w:t>
      </w:r>
    </w:p>
    <w:p>
      <w:pPr>
        <w:spacing w:line="560" w:lineRule="exact"/>
        <w:ind w:firstLine="642" w:firstLineChars="200"/>
        <w:rPr>
          <w:rFonts w:hint="default" w:ascii="Times New Roman" w:hAnsi="Times New Roman" w:eastAsia="仿宋_GB2312" w:cs="Times New Roman"/>
          <w:color w:val="FF0000"/>
          <w:sz w:val="32"/>
          <w:szCs w:val="32"/>
          <w:u w:val="none"/>
          <w:lang w:val="en-US" w:eastAsia="zh-CN" w:bidi="ar"/>
        </w:rPr>
      </w:pPr>
      <w:r>
        <w:rPr>
          <w:rFonts w:hint="default" w:ascii="Times New Roman" w:hAnsi="Times New Roman" w:eastAsia="楷体_GB2312" w:cs="Times New Roman"/>
          <w:b/>
          <w:bCs/>
          <w:color w:val="FF0000"/>
          <w:kern w:val="0"/>
          <w:sz w:val="32"/>
          <w:szCs w:val="32"/>
          <w:highlight w:val="none"/>
          <w:shd w:val="clear" w:color="auto" w:fill="FFFFFF"/>
          <w:lang w:val="zh-CN"/>
        </w:rPr>
        <w:t>（二）存在问题。</w:t>
      </w:r>
      <w:r>
        <w:rPr>
          <w:rFonts w:hint="default" w:ascii="Times New Roman" w:hAnsi="Times New Roman" w:eastAsia="仿宋" w:cs="Times New Roman"/>
          <w:color w:val="FF0000"/>
          <w:sz w:val="32"/>
          <w:szCs w:val="32"/>
        </w:rPr>
        <w:t>对绩效评估工作了解不够深入</w:t>
      </w:r>
      <w:r>
        <w:rPr>
          <w:rFonts w:hint="default" w:ascii="Times New Roman" w:hAnsi="Times New Roman" w:eastAsia="仿宋" w:cs="Times New Roman"/>
          <w:color w:val="FF0000"/>
          <w:sz w:val="32"/>
          <w:szCs w:val="32"/>
          <w:lang w:eastAsia="zh-CN"/>
        </w:rPr>
        <w:t>，</w:t>
      </w:r>
      <w:r>
        <w:rPr>
          <w:rFonts w:hint="default" w:ascii="Times New Roman" w:hAnsi="Times New Roman" w:eastAsia="仿宋" w:cs="Times New Roman"/>
          <w:color w:val="FF0000"/>
          <w:sz w:val="32"/>
          <w:szCs w:val="32"/>
        </w:rPr>
        <w:t>在财务工作中对绩效评估工作重视度不够。</w:t>
      </w:r>
    </w:p>
    <w:p>
      <w:pPr>
        <w:spacing w:line="560" w:lineRule="exact"/>
        <w:ind w:firstLine="642" w:firstLineChars="200"/>
        <w:rPr>
          <w:rFonts w:hint="eastAsia" w:ascii="Times New Roman" w:hAnsi="Times New Roman" w:cs="Times New Roman"/>
          <w:sz w:val="32"/>
          <w:szCs w:val="32"/>
          <w:highlight w:val="yellow"/>
          <w:lang w:val="zh-CN" w:eastAsia="zh-CN"/>
        </w:rPr>
      </w:pPr>
      <w:r>
        <w:rPr>
          <w:rFonts w:hint="default" w:ascii="Times New Roman" w:hAnsi="Times New Roman" w:eastAsia="楷体_GB2312" w:cs="Times New Roman"/>
          <w:b/>
          <w:bCs/>
          <w:color w:val="FF0000"/>
          <w:kern w:val="0"/>
          <w:sz w:val="32"/>
          <w:szCs w:val="32"/>
          <w:highlight w:val="none"/>
          <w:shd w:val="clear" w:color="auto" w:fill="FFFFFF"/>
          <w:lang w:val="zh-CN" w:eastAsia="zh-CN"/>
        </w:rPr>
        <w:t>（三）改进建议。</w:t>
      </w:r>
      <w:bookmarkStart w:id="49" w:name="_Hlk110546638"/>
      <w:r>
        <w:rPr>
          <w:rFonts w:hint="default" w:ascii="Times New Roman" w:hAnsi="Times New Roman" w:eastAsia="仿宋" w:cs="Times New Roman"/>
          <w:color w:val="FF0000"/>
          <w:sz w:val="32"/>
          <w:szCs w:val="32"/>
          <w:lang w:eastAsia="zh-CN"/>
        </w:rPr>
        <w:t>加强</w:t>
      </w:r>
      <w:r>
        <w:rPr>
          <w:rFonts w:hint="default" w:ascii="Times New Roman" w:hAnsi="Times New Roman" w:eastAsia="仿宋" w:cs="Times New Roman"/>
          <w:color w:val="FF0000"/>
          <w:sz w:val="32"/>
          <w:szCs w:val="32"/>
          <w:lang w:val="en-US" w:eastAsia="zh-CN"/>
        </w:rPr>
        <w:t>相关人员的培训，更好的把绩效评价结果运用到工作中去。</w:t>
      </w:r>
      <w:bookmarkEnd w:id="49"/>
    </w:p>
    <w:p>
      <w:pPr>
        <w:pStyle w:val="7"/>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0"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47"/>
      <w:bookmarkEnd w:id="50"/>
      <w:bookmarkStart w:id="51"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0"/>
      <w:r>
        <w:rPr>
          <w:rFonts w:hint="eastAsia" w:ascii="Times New Roman" w:hAnsi="Times New Roman" w:eastAsia="仿宋_GB2312" w:cs="仿宋_GB2312"/>
          <w:color w:val="auto"/>
          <w:sz w:val="32"/>
          <w:szCs w:val="32"/>
          <w:highlight w:val="none"/>
        </w:rPr>
        <w:t>二、收入决算表</w:t>
      </w:r>
      <w:bookmarkEnd w:id="52"/>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1"/>
      <w:r>
        <w:rPr>
          <w:rFonts w:hint="eastAsia" w:ascii="Times New Roman" w:hAnsi="Times New Roman" w:eastAsia="仿宋_GB2312" w:cs="仿宋_GB2312"/>
          <w:color w:val="auto"/>
          <w:sz w:val="32"/>
          <w:szCs w:val="32"/>
          <w:highlight w:val="none"/>
        </w:rPr>
        <w:t>三、支出决算表</w:t>
      </w:r>
      <w:bookmarkEnd w:id="5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2"/>
      <w:r>
        <w:rPr>
          <w:rFonts w:hint="eastAsia" w:ascii="Times New Roman" w:hAnsi="Times New Roman" w:eastAsia="仿宋_GB2312" w:cs="仿宋_GB2312"/>
          <w:color w:val="auto"/>
          <w:sz w:val="32"/>
          <w:szCs w:val="32"/>
          <w:highlight w:val="none"/>
        </w:rPr>
        <w:t>四、财政拨款收入支出决算总表</w:t>
      </w:r>
      <w:bookmarkEnd w:id="5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3"/>
      <w:r>
        <w:rPr>
          <w:rFonts w:hint="eastAsia" w:ascii="Times New Roman" w:hAnsi="Times New Roman" w:eastAsia="仿宋_GB2312" w:cs="仿宋_GB2312"/>
          <w:color w:val="auto"/>
          <w:sz w:val="32"/>
          <w:szCs w:val="32"/>
          <w:highlight w:val="none"/>
        </w:rPr>
        <w:t>五、财政拨款支出决算明细表</w:t>
      </w:r>
      <w:bookmarkEnd w:id="55"/>
      <w:bookmarkStart w:id="56"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5"/>
      <w:r>
        <w:rPr>
          <w:rFonts w:hint="eastAsia" w:ascii="Times New Roman" w:hAnsi="Times New Roman" w:eastAsia="仿宋_GB2312" w:cs="仿宋_GB2312"/>
          <w:color w:val="auto"/>
          <w:sz w:val="32"/>
          <w:szCs w:val="32"/>
          <w:highlight w:val="none"/>
        </w:rPr>
        <w:t>七、一般公共预算财政拨款支出决算明细表</w:t>
      </w:r>
      <w:bookmarkEnd w:id="5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6"/>
      <w:r>
        <w:rPr>
          <w:rFonts w:hint="eastAsia" w:ascii="Times New Roman" w:hAnsi="Times New Roman" w:eastAsia="仿宋_GB2312" w:cs="仿宋_GB2312"/>
          <w:color w:val="auto"/>
          <w:sz w:val="32"/>
          <w:szCs w:val="32"/>
          <w:highlight w:val="none"/>
        </w:rPr>
        <w:t>八、一般公共预算财政拨款基本支出决算表</w:t>
      </w:r>
      <w:bookmarkEnd w:id="5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7"/>
      <w:r>
        <w:rPr>
          <w:rFonts w:hint="eastAsia" w:ascii="Times New Roman" w:hAnsi="Times New Roman" w:eastAsia="仿宋_GB2312" w:cs="仿宋_GB2312"/>
          <w:color w:val="auto"/>
          <w:sz w:val="32"/>
          <w:szCs w:val="32"/>
          <w:highlight w:val="none"/>
        </w:rPr>
        <w:t>九、一般公共预算财政拨款项目支出决算表</w:t>
      </w:r>
      <w:bookmarkEnd w:id="5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8"/>
      <w:r>
        <w:rPr>
          <w:rFonts w:hint="eastAsia" w:ascii="Times New Roman" w:hAnsi="Times New Roman" w:eastAsia="仿宋_GB2312" w:cs="仿宋_GB2312"/>
          <w:color w:val="auto"/>
          <w:sz w:val="32"/>
          <w:szCs w:val="32"/>
          <w:highlight w:val="none"/>
        </w:rPr>
        <w:t>十、</w:t>
      </w:r>
      <w:bookmarkEnd w:id="60"/>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9"/>
      <w:r>
        <w:rPr>
          <w:rFonts w:hint="eastAsia" w:ascii="Times New Roman" w:hAnsi="Times New Roman" w:eastAsia="仿宋_GB2312" w:cs="仿宋_GB2312"/>
          <w:color w:val="auto"/>
          <w:sz w:val="32"/>
          <w:szCs w:val="32"/>
          <w:highlight w:val="none"/>
        </w:rPr>
        <w:t>十一、</w:t>
      </w:r>
      <w:bookmarkEnd w:id="6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30"/>
      <w:r>
        <w:rPr>
          <w:rFonts w:hint="eastAsia" w:ascii="Times New Roman" w:hAnsi="Times New Roman" w:eastAsia="仿宋_GB2312" w:cs="仿宋_GB2312"/>
          <w:color w:val="auto"/>
          <w:sz w:val="32"/>
          <w:szCs w:val="32"/>
          <w:highlight w:val="none"/>
        </w:rPr>
        <w:t>十二、</w:t>
      </w:r>
      <w:bookmarkEnd w:id="62"/>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3" w:name="_Toc15396631"/>
      <w:r>
        <w:rPr>
          <w:rFonts w:hint="eastAsia" w:ascii="Times New Roman" w:hAnsi="Times New Roman" w:eastAsia="仿宋_GB2312" w:cs="仿宋_GB2312"/>
          <w:color w:val="auto"/>
          <w:sz w:val="32"/>
          <w:szCs w:val="32"/>
          <w:highlight w:val="none"/>
        </w:rPr>
        <w:t>十三、</w:t>
      </w:r>
      <w:bookmarkEnd w:id="63"/>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6A911B2"/>
    <w:rsid w:val="07996F6E"/>
    <w:rsid w:val="07DFD8BA"/>
    <w:rsid w:val="08952DE0"/>
    <w:rsid w:val="08A9093E"/>
    <w:rsid w:val="08F65882"/>
    <w:rsid w:val="09867E8F"/>
    <w:rsid w:val="09DE0D23"/>
    <w:rsid w:val="0A2032A3"/>
    <w:rsid w:val="0CA8290A"/>
    <w:rsid w:val="0D35B1ED"/>
    <w:rsid w:val="0D4E59FF"/>
    <w:rsid w:val="0E254B6B"/>
    <w:rsid w:val="0F98263C"/>
    <w:rsid w:val="101860EC"/>
    <w:rsid w:val="101F47CC"/>
    <w:rsid w:val="10837B03"/>
    <w:rsid w:val="10C055FF"/>
    <w:rsid w:val="11694EBD"/>
    <w:rsid w:val="11772AA4"/>
    <w:rsid w:val="118107EC"/>
    <w:rsid w:val="11856B38"/>
    <w:rsid w:val="12E24EE2"/>
    <w:rsid w:val="12F86E2F"/>
    <w:rsid w:val="135D4BEE"/>
    <w:rsid w:val="13D50BC4"/>
    <w:rsid w:val="143A0A8B"/>
    <w:rsid w:val="14B17F78"/>
    <w:rsid w:val="165A5414"/>
    <w:rsid w:val="165E0673"/>
    <w:rsid w:val="16B831D5"/>
    <w:rsid w:val="16BB723D"/>
    <w:rsid w:val="17D80CE7"/>
    <w:rsid w:val="17E50567"/>
    <w:rsid w:val="186504BB"/>
    <w:rsid w:val="19A445FC"/>
    <w:rsid w:val="1AA01C45"/>
    <w:rsid w:val="1BE8440E"/>
    <w:rsid w:val="1D155CEE"/>
    <w:rsid w:val="1D1638FE"/>
    <w:rsid w:val="1E312DEB"/>
    <w:rsid w:val="1E740ACF"/>
    <w:rsid w:val="1FF35744"/>
    <w:rsid w:val="1FF6BC77"/>
    <w:rsid w:val="2186353C"/>
    <w:rsid w:val="22BE6D2B"/>
    <w:rsid w:val="23860B96"/>
    <w:rsid w:val="240371BF"/>
    <w:rsid w:val="240F5DE0"/>
    <w:rsid w:val="244F3473"/>
    <w:rsid w:val="24C97D99"/>
    <w:rsid w:val="25A718F0"/>
    <w:rsid w:val="25BB59F6"/>
    <w:rsid w:val="260F557C"/>
    <w:rsid w:val="26970054"/>
    <w:rsid w:val="2714160F"/>
    <w:rsid w:val="281408E2"/>
    <w:rsid w:val="29FD04D3"/>
    <w:rsid w:val="2BFF7BC6"/>
    <w:rsid w:val="2C20287A"/>
    <w:rsid w:val="2C8A61B5"/>
    <w:rsid w:val="2DF04E50"/>
    <w:rsid w:val="2E586DFA"/>
    <w:rsid w:val="2F040D46"/>
    <w:rsid w:val="2F6B035B"/>
    <w:rsid w:val="2FAE5751"/>
    <w:rsid w:val="2FB1A395"/>
    <w:rsid w:val="2FD9A7D8"/>
    <w:rsid w:val="2FDBF714"/>
    <w:rsid w:val="30AB6865"/>
    <w:rsid w:val="319F7F4E"/>
    <w:rsid w:val="326700FB"/>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698179F"/>
    <w:rsid w:val="46DC584E"/>
    <w:rsid w:val="486A6C7A"/>
    <w:rsid w:val="4A627F82"/>
    <w:rsid w:val="4B0E749A"/>
    <w:rsid w:val="4B2477C4"/>
    <w:rsid w:val="4B4F25DA"/>
    <w:rsid w:val="4BE068DB"/>
    <w:rsid w:val="4D577224"/>
    <w:rsid w:val="4DBF1CEB"/>
    <w:rsid w:val="4DF0007C"/>
    <w:rsid w:val="4EAB630A"/>
    <w:rsid w:val="4ECE2238"/>
    <w:rsid w:val="4F833267"/>
    <w:rsid w:val="4FE9BD67"/>
    <w:rsid w:val="4FFB052F"/>
    <w:rsid w:val="50741C6D"/>
    <w:rsid w:val="52287173"/>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3481F"/>
    <w:rsid w:val="5ECEC941"/>
    <w:rsid w:val="5FBF9FF3"/>
    <w:rsid w:val="5FCD4E2C"/>
    <w:rsid w:val="5FEF394A"/>
    <w:rsid w:val="5FF67715"/>
    <w:rsid w:val="604F0101"/>
    <w:rsid w:val="62BF3928"/>
    <w:rsid w:val="63B3701E"/>
    <w:rsid w:val="645B798F"/>
    <w:rsid w:val="647F5392"/>
    <w:rsid w:val="65E66580"/>
    <w:rsid w:val="66176E5E"/>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86299B"/>
    <w:rsid w:val="76E3355F"/>
    <w:rsid w:val="76FF5125"/>
    <w:rsid w:val="77190BA1"/>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EA58C8"/>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6784EB6"/>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next w:val="1"/>
    <w:qFormat/>
    <w:uiPriority w:val="0"/>
    <w:pPr>
      <w:widowControl/>
      <w:spacing w:before="100" w:beforeAutospacing="1" w:after="100" w:afterAutospacing="1"/>
      <w:jc w:val="left"/>
    </w:pPr>
    <w:rPr>
      <w:rFonts w:ascii="宋体" w:eastAsia="宋体" w:cs="宋体"/>
      <w:kern w:val="0"/>
      <w:sz w:val="24"/>
      <w:szCs w:val="24"/>
      <w:lang w:bidi="ar-SA"/>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8198</Words>
  <Characters>8674</Characters>
  <Lines>61</Lines>
  <Paragraphs>17</Paragraphs>
  <TotalTime>2</TotalTime>
  <ScaleCrop>false</ScaleCrop>
  <LinksUpToDate>false</LinksUpToDate>
  <CharactersWithSpaces>8730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UOS</cp:lastModifiedBy>
  <cp:lastPrinted>2025-08-07T01:34:00Z</cp:lastPrinted>
  <dcterms:modified xsi:type="dcterms:W3CDTF">2026-02-11T10:33:01Z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1257161364924F098061E42F8047A7BF_13</vt:lpwstr>
  </property>
  <property fmtid="{D5CDD505-2E9C-101B-9397-08002B2CF9AE}" pid="4" name="KSOTemplateDocerSaveRecord">
    <vt:lpwstr>eyJoZGlkIjoiODdjYWVmMjM1YzBmNzZlNDMyNTdiYTNlNzAwZGJiZmMiLCJ1c2VySWQiOiI3NTk2NDExMDUifQ==</vt:lpwstr>
  </property>
</Properties>
</file>