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AB115">
      <w:pPr>
        <w:pStyle w:val="5"/>
        <w:rPr>
          <w:rFonts w:hint="default" w:ascii="Times New Roman" w:hAnsi="Times New Roman" w:eastAsia="方正小标宋简体" w:cs="Times New Roman"/>
          <w:color w:val="000000" w:themeColor="text1"/>
          <w:kern w:val="2"/>
          <w:sz w:val="72"/>
          <w:szCs w:val="72"/>
          <w:highlight w:val="none"/>
          <w:lang w:val="en-US" w:eastAsia="zh-CN" w:bidi="ar-SA"/>
          <w14:textFill>
            <w14:solidFill>
              <w14:schemeClr w14:val="tx1"/>
            </w14:solidFill>
          </w14:textFill>
        </w:rPr>
      </w:pPr>
      <w:bookmarkStart w:id="0" w:name="_Toc15377193"/>
      <w:bookmarkStart w:id="1" w:name="_Toc15378441"/>
      <w:bookmarkStart w:id="2" w:name="_Toc15396475"/>
      <w:bookmarkStart w:id="3" w:name="_Toc15396597"/>
      <w:bookmarkStart w:id="4" w:name="_Toc15377425"/>
      <w:bookmarkStart w:id="5" w:name="_Toc15306267"/>
    </w:p>
    <w:p w14:paraId="6D00C0B9">
      <w:pPr>
        <w:pStyle w:val="5"/>
        <w:rPr>
          <w:rFonts w:hint="default" w:ascii="Times New Roman" w:hAnsi="Times New Roman" w:eastAsia="方正小标宋简体" w:cs="Times New Roman"/>
          <w:color w:val="000000" w:themeColor="text1"/>
          <w:kern w:val="2"/>
          <w:sz w:val="72"/>
          <w:szCs w:val="72"/>
          <w:highlight w:val="none"/>
          <w:lang w:val="en-US" w:eastAsia="zh-CN" w:bidi="ar-SA"/>
          <w14:textFill>
            <w14:solidFill>
              <w14:schemeClr w14:val="tx1"/>
            </w14:solidFill>
          </w14:textFill>
        </w:rPr>
      </w:pPr>
    </w:p>
    <w:p w14:paraId="428A4D4A">
      <w:pPr>
        <w:pStyle w:val="5"/>
        <w:rPr>
          <w:rFonts w:hint="default" w:ascii="Times New Roman" w:hAnsi="Times New Roman" w:eastAsia="方正小标宋简体" w:cs="Times New Roman"/>
          <w:color w:val="000000" w:themeColor="text1"/>
          <w:kern w:val="2"/>
          <w:sz w:val="72"/>
          <w:szCs w:val="72"/>
          <w:highlight w:val="none"/>
          <w:lang w:val="en-US" w:eastAsia="zh-CN" w:bidi="ar-SA"/>
          <w14:textFill>
            <w14:solidFill>
              <w14:schemeClr w14:val="tx1"/>
            </w14:solidFill>
          </w14:textFill>
        </w:rPr>
      </w:pPr>
    </w:p>
    <w:p w14:paraId="4BB4D873">
      <w:pPr>
        <w:pStyle w:val="5"/>
        <w:jc w:val="cente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pPr>
      <w: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t>202</w:t>
      </w:r>
      <w:r>
        <w:rPr>
          <w:rFonts w:hint="eastAsia" w:ascii="Times New Roman" w:eastAsia="方正小标宋_GBK" w:cs="Times New Roman"/>
          <w:color w:val="000000" w:themeColor="text1"/>
          <w:kern w:val="2"/>
          <w:sz w:val="56"/>
          <w:szCs w:val="56"/>
          <w:highlight w:val="none"/>
          <w:lang w:val="en-US" w:eastAsia="zh-CN" w:bidi="ar-SA"/>
          <w14:textFill>
            <w14:solidFill>
              <w14:schemeClr w14:val="tx1"/>
            </w14:solidFill>
          </w14:textFill>
        </w:rPr>
        <w:t>5</w:t>
      </w:r>
      <w: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t>年度</w:t>
      </w:r>
    </w:p>
    <w:p w14:paraId="2222FC92">
      <w:pPr>
        <w:pStyle w:val="5"/>
        <w:jc w:val="cente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pPr>
      <w: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t>四川省九寨沟县纪律检查委员会</w:t>
      </w:r>
    </w:p>
    <w:p w14:paraId="48F34AAA">
      <w:pPr>
        <w:pStyle w:val="5"/>
        <w:jc w:val="cente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pPr>
      <w:r>
        <w:rPr>
          <w:rFonts w:hint="default" w:ascii="Times New Roman" w:hAnsi="Times New Roman" w:eastAsia="方正小标宋_GBK" w:cs="Times New Roman"/>
          <w:color w:val="000000" w:themeColor="text1"/>
          <w:kern w:val="2"/>
          <w:sz w:val="56"/>
          <w:szCs w:val="56"/>
          <w:highlight w:val="none"/>
          <w:lang w:val="en-US" w:eastAsia="zh-CN" w:bidi="ar-SA"/>
          <w14:textFill>
            <w14:solidFill>
              <w14:schemeClr w14:val="tx1"/>
            </w14:solidFill>
          </w14:textFill>
        </w:rPr>
        <w:t>单位决算</w:t>
      </w:r>
    </w:p>
    <w:p w14:paraId="43D56441">
      <w:pPr>
        <w:spacing w:line="600" w:lineRule="exact"/>
        <w:jc w:val="center"/>
        <w:outlineLvl w:val="0"/>
        <w:rPr>
          <w:rFonts w:hint="default" w:ascii="Times New Roman" w:hAnsi="Times New Roman" w:eastAsia="方正小标宋简体" w:cs="Times New Roman"/>
          <w:color w:val="000000" w:themeColor="text1"/>
          <w:sz w:val="72"/>
          <w:szCs w:val="72"/>
          <w:highlight w:val="none"/>
          <w14:textFill>
            <w14:solidFill>
              <w14:schemeClr w14:val="tx1"/>
            </w14:solidFill>
          </w14:textFill>
        </w:rPr>
      </w:pPr>
    </w:p>
    <w:p w14:paraId="55C5513B">
      <w:pPr>
        <w:pStyle w:val="21"/>
        <w:rPr>
          <w:rFonts w:hint="default" w:ascii="Times New Roman" w:hAnsi="Times New Roman" w:cs="Times New Roman"/>
          <w:color w:val="000000" w:themeColor="text1"/>
          <w:highlight w:val="none"/>
          <w14:textFill>
            <w14:solidFill>
              <w14:schemeClr w14:val="tx1"/>
            </w14:solidFill>
          </w14:textFill>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14:paraId="2F23B1EF">
      <w:pPr>
        <w:widowControl/>
        <w:jc w:val="center"/>
        <w:rPr>
          <w:rFonts w:hint="default" w:ascii="Times New Roman" w:hAnsi="Times New Roman" w:eastAsia="黑体" w:cs="Times New Roman"/>
          <w:color w:val="000000" w:themeColor="text1"/>
          <w:sz w:val="48"/>
          <w:szCs w:val="48"/>
          <w:highlight w:val="none"/>
          <w14:textFill>
            <w14:solidFill>
              <w14:schemeClr w14:val="tx1"/>
            </w14:solidFill>
          </w14:textFill>
        </w:rPr>
      </w:pPr>
      <w:r>
        <w:rPr>
          <w:rFonts w:hint="default" w:ascii="Times New Roman" w:hAnsi="Times New Roman" w:eastAsia="黑体" w:cs="Times New Roman"/>
          <w:color w:val="000000" w:themeColor="text1"/>
          <w:sz w:val="48"/>
          <w:szCs w:val="48"/>
          <w:highlight w:val="none"/>
          <w14:textFill>
            <w14:solidFill>
              <w14:schemeClr w14:val="tx1"/>
            </w14:solidFill>
          </w14:textFill>
        </w:rPr>
        <w:t>目录</w:t>
      </w:r>
    </w:p>
    <w:p w14:paraId="7381E09D">
      <w:pPr>
        <w:widowControl/>
        <w:jc w:val="center"/>
        <w:rPr>
          <w:rFonts w:hint="default" w:ascii="Times New Roman" w:hAnsi="Times New Roman" w:eastAsia="黑体" w:cs="Times New Roman"/>
          <w:color w:val="000000" w:themeColor="text1"/>
          <w:sz w:val="28"/>
          <w:szCs w:val="28"/>
          <w:highlight w:val="none"/>
          <w14:textFill>
            <w14:solidFill>
              <w14:schemeClr w14:val="tx1"/>
            </w14:solidFill>
          </w14:textFill>
        </w:rPr>
      </w:pPr>
    </w:p>
    <w:p w14:paraId="42684C58">
      <w:pPr>
        <w:pStyle w:val="13"/>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公开时间：20</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月</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30</w:t>
      </w:r>
      <w:bookmarkStart w:id="68" w:name="_GoBack"/>
      <w:bookmarkEnd w:id="68"/>
      <w:r>
        <w:rPr>
          <w:rFonts w:hint="default" w:ascii="Times New Roman" w:hAnsi="Times New Roman" w:eastAsia="仿宋_GB2312" w:cs="Times New Roman"/>
          <w:color w:val="000000" w:themeColor="text1"/>
          <w:sz w:val="32"/>
          <w:szCs w:val="32"/>
          <w:highlight w:val="none"/>
          <w14:textFill>
            <w14:solidFill>
              <w14:schemeClr w14:val="tx1"/>
            </w14:solidFill>
          </w14:textFill>
        </w:rPr>
        <w:t>日</w:t>
      </w:r>
    </w:p>
    <w:p w14:paraId="5B72971C">
      <w:pPr>
        <w:rPr>
          <w:rFonts w:hint="default" w:ascii="Times New Roman" w:hAnsi="Times New Roman" w:cs="Times New Roman"/>
          <w:color w:val="000000" w:themeColor="text1"/>
          <w:highlight w:val="none"/>
          <w14:textFill>
            <w14:solidFill>
              <w14:schemeClr w14:val="tx1"/>
            </w14:solidFill>
          </w14:textFill>
        </w:rPr>
      </w:pPr>
    </w:p>
    <w:p w14:paraId="1A47E30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第一部分 部门概况</w:t>
      </w:r>
    </w:p>
    <w:p w14:paraId="4A04FED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部门职责</w:t>
      </w:r>
    </w:p>
    <w:p w14:paraId="653D37D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二、机构设置</w:t>
      </w:r>
    </w:p>
    <w:p w14:paraId="22E791F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第二部分</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 xml:space="preserve"> 202</w:t>
      </w:r>
      <w:r>
        <w:rPr>
          <w:rFonts w:hint="eastAsia" w:ascii="Times New Roman" w:hAnsi="Times New Roman" w:eastAsia="黑体"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年度</w:t>
      </w:r>
      <w:r>
        <w:rPr>
          <w:rFonts w:hint="default" w:ascii="Times New Roman" w:hAnsi="Times New Roman" w:eastAsia="黑体" w:cs="Times New Roman"/>
          <w:color w:val="000000" w:themeColor="text1"/>
          <w:sz w:val="32"/>
          <w:szCs w:val="32"/>
          <w:highlight w:val="none"/>
          <w14:textFill>
            <w14:solidFill>
              <w14:schemeClr w14:val="tx1"/>
            </w14:solidFill>
          </w14:textFill>
        </w:rPr>
        <w:t>部门决算情况说明</w:t>
      </w:r>
    </w:p>
    <w:p w14:paraId="10811DB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一、收入支出决算总体情况说明</w:t>
      </w:r>
    </w:p>
    <w:p w14:paraId="3C51101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二、收入决算情况说明</w:t>
      </w:r>
    </w:p>
    <w:p w14:paraId="266C93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三、支出决算情况说明</w:t>
      </w:r>
    </w:p>
    <w:p w14:paraId="47597E2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四、财政拨款收入支出决算总体情况说明</w:t>
      </w:r>
    </w:p>
    <w:p w14:paraId="3DE925D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五、一般公共预算财政拨款支出决算情况说明</w:t>
      </w:r>
    </w:p>
    <w:p w14:paraId="4045AFF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六、一般公共预算财政拨款基本支出决算情况说明</w:t>
      </w:r>
    </w:p>
    <w:p w14:paraId="2FB65D4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七、财政拨款</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三公”经费支出决算情况说明</w:t>
      </w:r>
    </w:p>
    <w:p w14:paraId="1D01C6F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八、政府性基金预算支出决算情况说明</w:t>
      </w:r>
    </w:p>
    <w:p w14:paraId="14CFD8B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九、</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有资本经营预算支出决算情况说明</w:t>
      </w:r>
    </w:p>
    <w:p w14:paraId="248C5B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十</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、其他重要事项的情况说明</w:t>
      </w:r>
    </w:p>
    <w:p w14:paraId="4F9D4EF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第三部分 名词解释</w:t>
      </w:r>
    </w:p>
    <w:p w14:paraId="254ED1A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第四部分 附件</w:t>
      </w:r>
    </w:p>
    <w:p w14:paraId="247719B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000000" w:themeColor="text1"/>
          <w:sz w:val="32"/>
          <w:szCs w:val="32"/>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第五部分 附表</w:t>
      </w:r>
    </w:p>
    <w:p w14:paraId="57B6527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一、收入支出决算总表</w:t>
      </w:r>
    </w:p>
    <w:p w14:paraId="3C0DDB2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二、收入决算表</w:t>
      </w:r>
    </w:p>
    <w:p w14:paraId="0C746E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三、支出决算表</w:t>
      </w:r>
    </w:p>
    <w:p w14:paraId="3212BF9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四、财政拨款收入支出决算总表</w:t>
      </w:r>
    </w:p>
    <w:p w14:paraId="47F1AD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五、财政拨款支出决算明细表</w:t>
      </w:r>
    </w:p>
    <w:p w14:paraId="28055B5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六、一般公共预算财政拨款支出决算表</w:t>
      </w:r>
    </w:p>
    <w:p w14:paraId="735BC45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七、一般公共预算财政拨款支出决算明细表</w:t>
      </w:r>
    </w:p>
    <w:p w14:paraId="357D7B7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八、一般公共预算财政拨款基本支出决算</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明细</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表</w:t>
      </w:r>
    </w:p>
    <w:p w14:paraId="633A5F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九、一般公共预算财政拨款项目支出决算表</w:t>
      </w:r>
    </w:p>
    <w:p w14:paraId="74A798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十、政府性基金预算财政拨款收入支出决算表</w:t>
      </w:r>
    </w:p>
    <w:p w14:paraId="57E269D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十一、国有资本经营预算财政拨款收入支出决算表</w:t>
      </w:r>
    </w:p>
    <w:p w14:paraId="3C54289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十二、</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国有资本经营预算财政拨款支出决算表</w:t>
      </w:r>
    </w:p>
    <w:p w14:paraId="15CB8FA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十三、财政拨款“三公”经费支出决算表</w:t>
      </w:r>
    </w:p>
    <w:p w14:paraId="0F8134D6">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000000" w:themeColor="text1"/>
          <w:kern w:val="44"/>
          <w:sz w:val="32"/>
          <w:szCs w:val="32"/>
          <w:highlight w:val="none"/>
          <w14:textFill>
            <w14:solidFill>
              <w14:schemeClr w14:val="tx1"/>
            </w14:solidFill>
          </w14:textFill>
        </w:rPr>
      </w:pPr>
      <w:bookmarkStart w:id="6" w:name="_Toc15396599"/>
      <w:bookmarkStart w:id="7" w:name="_Toc15377196"/>
      <w:r>
        <w:rPr>
          <w:rFonts w:hint="default" w:ascii="Times New Roman" w:hAnsi="Times New Roman" w:eastAsia="仿宋_GB2312" w:cs="Times New Roman"/>
          <w:b/>
          <w:color w:val="000000" w:themeColor="text1"/>
          <w:sz w:val="32"/>
          <w:szCs w:val="32"/>
          <w:highlight w:val="none"/>
          <w14:textFill>
            <w14:solidFill>
              <w14:schemeClr w14:val="tx1"/>
            </w14:solidFill>
          </w14:textFill>
        </w:rPr>
        <w:br w:type="page"/>
      </w:r>
    </w:p>
    <w:p w14:paraId="2982B918">
      <w:pPr>
        <w:pStyle w:val="2"/>
        <w:jc w:val="center"/>
        <w:rPr>
          <w:rStyle w:val="30"/>
          <w:rFonts w:hint="default" w:ascii="Times New Roman" w:hAnsi="Times New Roman" w:eastAsia="方正小标宋简体" w:cs="Times New Roman"/>
          <w:b/>
          <w:bCs w:val="0"/>
          <w:color w:val="000000" w:themeColor="text1"/>
          <w:highlight w:val="none"/>
          <w14:textFill>
            <w14:solidFill>
              <w14:schemeClr w14:val="tx1"/>
            </w14:solidFill>
          </w14:textFill>
        </w:rPr>
      </w:pPr>
      <w:r>
        <w:rPr>
          <w:rFonts w:hint="default" w:ascii="Times New Roman" w:hAnsi="Times New Roman" w:eastAsia="方正小标宋简体" w:cs="Times New Roman"/>
          <w:b w:val="0"/>
          <w:color w:val="000000" w:themeColor="text1"/>
          <w:highlight w:val="none"/>
          <w14:textFill>
            <w14:solidFill>
              <w14:schemeClr w14:val="tx1"/>
            </w14:solidFill>
          </w14:textFill>
        </w:rPr>
        <w:t>第一部分</w:t>
      </w:r>
      <w:r>
        <w:rPr>
          <w:rFonts w:hint="default" w:ascii="Times New Roman" w:hAnsi="Times New Roman" w:eastAsia="方正小标宋简体" w:cs="Times New Roman"/>
          <w:b w:val="0"/>
          <w:color w:val="000000" w:themeColor="text1"/>
          <w:highlight w:val="none"/>
          <w:lang w:val="en-US" w:eastAsia="zh-CN"/>
          <w14:textFill>
            <w14:solidFill>
              <w14:schemeClr w14:val="tx1"/>
            </w14:solidFill>
          </w14:textFill>
        </w:rPr>
        <w:t xml:space="preserve"> </w:t>
      </w:r>
      <w:r>
        <w:rPr>
          <w:rFonts w:hint="default" w:ascii="Times New Roman" w:hAnsi="Times New Roman" w:eastAsia="方正小标宋简体" w:cs="Times New Roman"/>
          <w:b w:val="0"/>
          <w:color w:val="000000" w:themeColor="text1"/>
          <w:highlight w:val="none"/>
          <w14:textFill>
            <w14:solidFill>
              <w14:schemeClr w14:val="tx1"/>
            </w14:solidFill>
          </w14:textFill>
        </w:rPr>
        <w:t xml:space="preserve"> </w:t>
      </w:r>
      <w:r>
        <w:rPr>
          <w:rStyle w:val="30"/>
          <w:rFonts w:hint="default" w:ascii="Times New Roman" w:hAnsi="Times New Roman" w:eastAsia="方正小标宋简体" w:cs="Times New Roman"/>
          <w:b w:val="0"/>
          <w:bCs w:val="0"/>
          <w:color w:val="000000" w:themeColor="text1"/>
          <w:highlight w:val="none"/>
          <w14:textFill>
            <w14:solidFill>
              <w14:schemeClr w14:val="tx1"/>
            </w14:solidFill>
          </w14:textFill>
        </w:rPr>
        <w:t>部门概况</w:t>
      </w:r>
      <w:bookmarkEnd w:id="6"/>
      <w:bookmarkEnd w:id="7"/>
    </w:p>
    <w:p w14:paraId="3FAA6CFF">
      <w:pPr>
        <w:widowControl/>
        <w:jc w:val="left"/>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78E2ED4E">
      <w:pPr>
        <w:pStyle w:val="3"/>
        <w:rPr>
          <w:rStyle w:val="31"/>
          <w:rFonts w:hint="default" w:ascii="Times New Roman" w:hAnsi="Times New Roman" w:eastAsia="黑体" w:cs="Times New Roman"/>
          <w:b w:val="0"/>
          <w:bCs w:val="0"/>
          <w:color w:val="000000" w:themeColor="text1"/>
          <w:highlight w:val="none"/>
          <w:lang w:eastAsia="zh-CN"/>
          <w14:textFill>
            <w14:solidFill>
              <w14:schemeClr w14:val="tx1"/>
            </w14:solidFill>
          </w14:textFill>
        </w:rPr>
      </w:pPr>
      <w:bookmarkStart w:id="8" w:name="_Toc15396600"/>
      <w:bookmarkStart w:id="9" w:name="_Toc15377197"/>
      <w:r>
        <w:rPr>
          <w:rFonts w:hint="default" w:ascii="Times New Roman" w:hAnsi="Times New Roman" w:eastAsia="黑体" w:cs="Times New Roman"/>
          <w:b w:val="0"/>
          <w:color w:val="000000" w:themeColor="text1"/>
          <w:highlight w:val="none"/>
          <w14:textFill>
            <w14:solidFill>
              <w14:schemeClr w14:val="tx1"/>
            </w14:solidFill>
          </w14:textFill>
        </w:rPr>
        <w:t>一、</w:t>
      </w:r>
      <w:bookmarkEnd w:id="8"/>
      <w:bookmarkEnd w:id="9"/>
      <w:r>
        <w:rPr>
          <w:rFonts w:hint="default" w:ascii="Times New Roman" w:hAnsi="Times New Roman" w:eastAsia="黑体" w:cs="Times New Roman"/>
          <w:b w:val="0"/>
          <w:color w:val="000000" w:themeColor="text1"/>
          <w:highlight w:val="none"/>
          <w:lang w:eastAsia="zh-CN"/>
          <w14:textFill>
            <w14:solidFill>
              <w14:schemeClr w14:val="tx1"/>
            </w14:solidFill>
          </w14:textFill>
        </w:rPr>
        <w:t>部门职责</w:t>
      </w:r>
    </w:p>
    <w:p w14:paraId="7515ACC4">
      <w:pPr>
        <w:keepNext w:val="0"/>
        <w:keepLines w:val="0"/>
        <w:pageBreakBefore w:val="0"/>
        <w:widowControl w:val="0"/>
        <w:kinsoku/>
        <w:wordWrap/>
        <w:overflowPunct/>
        <w:topLinePunct w:val="0"/>
        <w:autoSpaceDE/>
        <w:autoSpaceDN/>
        <w:bidi w:val="0"/>
        <w:adjustRightInd/>
        <w:snapToGrid/>
        <w:spacing w:before="113" w:line="480" w:lineRule="exact"/>
        <w:ind w:firstLine="632" w:firstLineChars="200"/>
        <w:textAlignment w:val="auto"/>
        <w:rPr>
          <w:rFonts w:hint="default" w:ascii="Times New Roman" w:hAnsi="Times New Roman" w:eastAsia="方正仿宋_GBK" w:cs="Times New Roman"/>
          <w:color w:val="000000" w:themeColor="text1"/>
          <w:sz w:val="31"/>
          <w:szCs w:val="31"/>
          <w:highlight w:val="none"/>
          <w14:textFill>
            <w14:solidFill>
              <w14:schemeClr w14:val="tx1"/>
            </w14:solidFill>
          </w14:textFill>
        </w:rPr>
      </w:pPr>
      <w:bookmarkStart w:id="10" w:name="_Toc15377200"/>
      <w:bookmarkStart w:id="11" w:name="_Toc15396601"/>
      <w:r>
        <w:rPr>
          <w:rFonts w:hint="default" w:ascii="Times New Roman" w:hAnsi="Times New Roman" w:eastAsia="Times New Roman" w:cs="Times New Roman"/>
          <w:color w:val="000000" w:themeColor="text1"/>
          <w:spacing w:val="3"/>
          <w:sz w:val="31"/>
          <w:szCs w:val="31"/>
          <w:highlight w:val="none"/>
          <w14:textFill>
            <w14:solidFill>
              <w14:schemeClr w14:val="tx1"/>
            </w14:solidFill>
          </w14:textFill>
        </w:rPr>
        <w:t>1.</w:t>
      </w:r>
      <w:r>
        <w:rPr>
          <w:rFonts w:hint="default" w:ascii="Times New Roman" w:hAnsi="Times New Roman" w:eastAsia="Times New Roman" w:cs="Times New Roman"/>
          <w:color w:val="000000" w:themeColor="text1"/>
          <w:spacing w:val="-34"/>
          <w:sz w:val="31"/>
          <w:szCs w:val="31"/>
          <w:highlight w:val="none"/>
          <w14:textFill>
            <w14:solidFill>
              <w14:schemeClr w14:val="tx1"/>
            </w14:solidFill>
          </w14:textFill>
        </w:rPr>
        <w:t xml:space="preserve"> </w:t>
      </w:r>
      <w:r>
        <w:rPr>
          <w:rFonts w:hint="default" w:ascii="Times New Roman" w:hAnsi="Times New Roman" w:eastAsia="方正仿宋_GBK" w:cs="Times New Roman"/>
          <w:color w:val="000000" w:themeColor="text1"/>
          <w:spacing w:val="3"/>
          <w:sz w:val="31"/>
          <w:szCs w:val="31"/>
          <w:highlight w:val="none"/>
          <w14:textFill>
            <w14:solidFill>
              <w14:schemeClr w14:val="tx1"/>
            </w14:solidFill>
          </w14:textFill>
        </w:rPr>
        <w:t>负责全县党的纪律检查工作。</w:t>
      </w:r>
    </w:p>
    <w:p w14:paraId="1533ADC5">
      <w:pPr>
        <w:keepNext w:val="0"/>
        <w:keepLines w:val="0"/>
        <w:pageBreakBefore w:val="0"/>
        <w:widowControl w:val="0"/>
        <w:kinsoku/>
        <w:wordWrap/>
        <w:overflowPunct/>
        <w:topLinePunct w:val="0"/>
        <w:autoSpaceDE/>
        <w:autoSpaceDN/>
        <w:bidi w:val="0"/>
        <w:adjustRightInd/>
        <w:snapToGrid/>
        <w:spacing w:before="111" w:line="480" w:lineRule="exact"/>
        <w:ind w:left="41" w:right="13" w:firstLine="620"/>
        <w:textAlignment w:val="auto"/>
        <w:rPr>
          <w:rFonts w:hint="default" w:ascii="Times New Roman" w:hAnsi="Times New Roman" w:eastAsia="方正仿宋_GBK" w:cs="Times New Roman"/>
          <w:color w:val="000000" w:themeColor="text1"/>
          <w:sz w:val="31"/>
          <w:szCs w:val="31"/>
          <w:highlight w:val="none"/>
          <w14:textFill>
            <w14:solidFill>
              <w14:schemeClr w14:val="tx1"/>
            </w14:solidFill>
          </w14:textFill>
        </w:rPr>
      </w:pPr>
      <w:r>
        <w:rPr>
          <w:rFonts w:hint="default" w:ascii="Times New Roman" w:hAnsi="Times New Roman" w:eastAsia="Times New Roman" w:cs="Times New Roman"/>
          <w:color w:val="000000" w:themeColor="text1"/>
          <w:spacing w:val="9"/>
          <w:sz w:val="31"/>
          <w:szCs w:val="31"/>
          <w:highlight w:val="none"/>
          <w14:textFill>
            <w14:solidFill>
              <w14:schemeClr w14:val="tx1"/>
            </w14:solidFill>
          </w14:textFill>
        </w:rPr>
        <w:t>2.</w:t>
      </w:r>
      <w:r>
        <w:rPr>
          <w:rFonts w:hint="default" w:ascii="Times New Roman" w:hAnsi="Times New Roman" w:eastAsia="方正仿宋_GBK" w:cs="Times New Roman"/>
          <w:color w:val="000000" w:themeColor="text1"/>
          <w:spacing w:val="9"/>
          <w:sz w:val="31"/>
          <w:szCs w:val="31"/>
          <w:highlight w:val="none"/>
          <w14:textFill>
            <w14:solidFill>
              <w14:schemeClr w14:val="tx1"/>
            </w14:solidFill>
          </w14:textFill>
        </w:rPr>
        <w:t>依照党的章程和其他党内法规履行监督、执纪、</w:t>
      </w:r>
      <w:r>
        <w:rPr>
          <w:rFonts w:hint="default" w:ascii="Times New Roman" w:hAnsi="Times New Roman" w:eastAsia="方正仿宋_GBK" w:cs="Times New Roman"/>
          <w:color w:val="000000" w:themeColor="text1"/>
          <w:spacing w:val="-71"/>
          <w:sz w:val="31"/>
          <w:szCs w:val="31"/>
          <w:highlight w:val="none"/>
          <w14:textFill>
            <w14:solidFill>
              <w14:schemeClr w14:val="tx1"/>
            </w14:solidFill>
          </w14:textFill>
        </w:rPr>
        <w:t xml:space="preserve"> </w:t>
      </w:r>
      <w:r>
        <w:rPr>
          <w:rFonts w:hint="default" w:ascii="Times New Roman" w:hAnsi="Times New Roman" w:eastAsia="方正仿宋_GBK" w:cs="Times New Roman"/>
          <w:color w:val="000000" w:themeColor="text1"/>
          <w:spacing w:val="9"/>
          <w:sz w:val="31"/>
          <w:szCs w:val="31"/>
          <w:highlight w:val="none"/>
          <w14:textFill>
            <w14:solidFill>
              <w14:schemeClr w14:val="tx1"/>
            </w14:solidFill>
          </w14:textFill>
        </w:rPr>
        <w:t>问责</w:t>
      </w:r>
      <w:r>
        <w:rPr>
          <w:rFonts w:hint="default" w:ascii="Times New Roman" w:hAnsi="Times New Roman" w:eastAsia="方正仿宋_GBK" w:cs="Times New Roman"/>
          <w:color w:val="000000" w:themeColor="text1"/>
          <w:spacing w:val="8"/>
          <w:sz w:val="31"/>
          <w:szCs w:val="31"/>
          <w:highlight w:val="none"/>
          <w14:textFill>
            <w14:solidFill>
              <w14:schemeClr w14:val="tx1"/>
            </w14:solidFill>
          </w14:textFill>
        </w:rPr>
        <w:t>职责。负责经常对党员进行遵守纪律的教育。受理党员的控</w:t>
      </w:r>
      <w:r>
        <w:rPr>
          <w:rFonts w:hint="default" w:ascii="Times New Roman" w:hAnsi="Times New Roman" w:eastAsia="方正仿宋_GBK" w:cs="Times New Roman"/>
          <w:color w:val="000000" w:themeColor="text1"/>
          <w:spacing w:val="2"/>
          <w:sz w:val="31"/>
          <w:szCs w:val="31"/>
          <w:highlight w:val="none"/>
          <w14:textFill>
            <w14:solidFill>
              <w14:schemeClr w14:val="tx1"/>
            </w14:solidFill>
          </w14:textFill>
        </w:rPr>
        <w:t>告和申诉。</w:t>
      </w:r>
    </w:p>
    <w:p w14:paraId="695739CC">
      <w:pPr>
        <w:keepNext w:val="0"/>
        <w:keepLines w:val="0"/>
        <w:pageBreakBefore w:val="0"/>
        <w:widowControl w:val="0"/>
        <w:kinsoku/>
        <w:wordWrap/>
        <w:overflowPunct/>
        <w:topLinePunct w:val="0"/>
        <w:autoSpaceDE/>
        <w:autoSpaceDN/>
        <w:bidi w:val="0"/>
        <w:adjustRightInd/>
        <w:snapToGrid/>
        <w:spacing w:before="110" w:line="480" w:lineRule="exact"/>
        <w:ind w:left="667"/>
        <w:textAlignment w:val="auto"/>
        <w:rPr>
          <w:rFonts w:hint="default" w:ascii="Times New Roman" w:hAnsi="Times New Roman" w:eastAsia="方正仿宋_GBK" w:cs="Times New Roman"/>
          <w:color w:val="000000" w:themeColor="text1"/>
          <w:sz w:val="31"/>
          <w:szCs w:val="31"/>
          <w:highlight w:val="none"/>
          <w14:textFill>
            <w14:solidFill>
              <w14:schemeClr w14:val="tx1"/>
            </w14:solidFill>
          </w14:textFill>
        </w:rPr>
      </w:pPr>
      <w:r>
        <w:rPr>
          <w:rFonts w:hint="default" w:ascii="Times New Roman" w:hAnsi="Times New Roman" w:eastAsia="Times New Roman" w:cs="Times New Roman"/>
          <w:color w:val="000000" w:themeColor="text1"/>
          <w:spacing w:val="3"/>
          <w:sz w:val="31"/>
          <w:szCs w:val="31"/>
          <w:highlight w:val="none"/>
          <w14:textFill>
            <w14:solidFill>
              <w14:schemeClr w14:val="tx1"/>
            </w14:solidFill>
          </w14:textFill>
        </w:rPr>
        <w:t>3.</w:t>
      </w:r>
      <w:r>
        <w:rPr>
          <w:rFonts w:hint="default" w:ascii="Times New Roman" w:hAnsi="Times New Roman" w:eastAsia="Times New Roman" w:cs="Times New Roman"/>
          <w:color w:val="000000" w:themeColor="text1"/>
          <w:spacing w:val="-39"/>
          <w:sz w:val="31"/>
          <w:szCs w:val="31"/>
          <w:highlight w:val="none"/>
          <w14:textFill>
            <w14:solidFill>
              <w14:schemeClr w14:val="tx1"/>
            </w14:solidFill>
          </w14:textFill>
        </w:rPr>
        <w:t xml:space="preserve"> </w:t>
      </w:r>
      <w:r>
        <w:rPr>
          <w:rFonts w:hint="default" w:ascii="Times New Roman" w:hAnsi="Times New Roman" w:eastAsia="方正仿宋_GBK" w:cs="Times New Roman"/>
          <w:color w:val="000000" w:themeColor="text1"/>
          <w:spacing w:val="3"/>
          <w:sz w:val="31"/>
          <w:szCs w:val="31"/>
          <w:highlight w:val="none"/>
          <w14:textFill>
            <w14:solidFill>
              <w14:schemeClr w14:val="tx1"/>
            </w14:solidFill>
          </w14:textFill>
        </w:rPr>
        <w:t>负责全县监察工作。</w:t>
      </w:r>
    </w:p>
    <w:p w14:paraId="40A3795B">
      <w:pPr>
        <w:keepNext w:val="0"/>
        <w:keepLines w:val="0"/>
        <w:pageBreakBefore w:val="0"/>
        <w:widowControl w:val="0"/>
        <w:kinsoku/>
        <w:wordWrap/>
        <w:overflowPunct/>
        <w:topLinePunct w:val="0"/>
        <w:autoSpaceDE/>
        <w:autoSpaceDN/>
        <w:bidi w:val="0"/>
        <w:adjustRightInd/>
        <w:snapToGrid/>
        <w:spacing w:before="114" w:line="480" w:lineRule="exact"/>
        <w:ind w:left="31" w:right="13" w:firstLine="628"/>
        <w:textAlignment w:val="auto"/>
        <w:rPr>
          <w:rFonts w:hint="default" w:ascii="Times New Roman" w:hAnsi="Times New Roman" w:eastAsia="方正仿宋_GBK" w:cs="Times New Roman"/>
          <w:color w:val="000000" w:themeColor="text1"/>
          <w:sz w:val="31"/>
          <w:szCs w:val="31"/>
          <w:highlight w:val="none"/>
          <w14:textFill>
            <w14:solidFill>
              <w14:schemeClr w14:val="tx1"/>
            </w14:solidFill>
          </w14:textFill>
        </w:rPr>
      </w:pPr>
      <w:r>
        <w:rPr>
          <w:rFonts w:hint="default" w:ascii="Times New Roman" w:hAnsi="Times New Roman" w:eastAsia="Times New Roman" w:cs="Times New Roman"/>
          <w:color w:val="000000" w:themeColor="text1"/>
          <w:spacing w:val="12"/>
          <w:sz w:val="31"/>
          <w:szCs w:val="31"/>
          <w:highlight w:val="none"/>
          <w14:textFill>
            <w14:solidFill>
              <w14:schemeClr w14:val="tx1"/>
            </w14:solidFill>
          </w14:textFill>
        </w:rPr>
        <w:t>4.</w:t>
      </w:r>
      <w:r>
        <w:rPr>
          <w:rFonts w:hint="default" w:ascii="Times New Roman" w:hAnsi="Times New Roman" w:eastAsia="方正仿宋_GBK" w:cs="Times New Roman"/>
          <w:color w:val="000000" w:themeColor="text1"/>
          <w:spacing w:val="12"/>
          <w:sz w:val="31"/>
          <w:szCs w:val="31"/>
          <w:highlight w:val="none"/>
          <w14:textFill>
            <w14:solidFill>
              <w14:schemeClr w14:val="tx1"/>
            </w14:solidFill>
          </w14:textFill>
        </w:rPr>
        <w:t>依照法律规定履行监督、调查、处置职责、</w:t>
      </w:r>
      <w:r>
        <w:rPr>
          <w:rFonts w:hint="default" w:ascii="Times New Roman" w:hAnsi="Times New Roman" w:eastAsia="方正仿宋_GBK" w:cs="Times New Roman"/>
          <w:color w:val="000000" w:themeColor="text1"/>
          <w:spacing w:val="11"/>
          <w:sz w:val="31"/>
          <w:szCs w:val="31"/>
          <w:highlight w:val="none"/>
          <w14:textFill>
            <w14:solidFill>
              <w14:schemeClr w14:val="tx1"/>
            </w14:solidFill>
          </w14:textFill>
        </w:rPr>
        <w:t>查办违纪</w:t>
      </w:r>
      <w:r>
        <w:rPr>
          <w:rFonts w:hint="default" w:ascii="Times New Roman" w:hAnsi="Times New Roman" w:eastAsia="方正仿宋_GBK" w:cs="Times New Roman"/>
          <w:color w:val="000000" w:themeColor="text1"/>
          <w:spacing w:val="8"/>
          <w:sz w:val="31"/>
          <w:szCs w:val="31"/>
          <w:highlight w:val="none"/>
          <w14:textFill>
            <w14:solidFill>
              <w14:schemeClr w14:val="tx1"/>
            </w14:solidFill>
          </w14:textFill>
        </w:rPr>
        <w:t>违法及职务犯罪案件。推动开展廉政教育。</w:t>
      </w:r>
    </w:p>
    <w:p w14:paraId="39CA41F9">
      <w:pPr>
        <w:keepNext w:val="0"/>
        <w:keepLines w:val="0"/>
        <w:pageBreakBefore w:val="0"/>
        <w:widowControl w:val="0"/>
        <w:kinsoku/>
        <w:wordWrap/>
        <w:overflowPunct/>
        <w:topLinePunct w:val="0"/>
        <w:autoSpaceDE/>
        <w:autoSpaceDN/>
        <w:bidi w:val="0"/>
        <w:adjustRightInd/>
        <w:snapToGrid/>
        <w:spacing w:before="112" w:line="480" w:lineRule="exact"/>
        <w:ind w:left="47" w:right="16" w:firstLine="622"/>
        <w:textAlignment w:val="auto"/>
        <w:rPr>
          <w:rFonts w:hint="default" w:ascii="Times New Roman" w:hAnsi="Times New Roman" w:eastAsia="方正仿宋_GBK" w:cs="Times New Roman"/>
          <w:color w:val="000000" w:themeColor="text1"/>
          <w:sz w:val="31"/>
          <w:szCs w:val="31"/>
          <w:highlight w:val="none"/>
          <w14:textFill>
            <w14:solidFill>
              <w14:schemeClr w14:val="tx1"/>
            </w14:solidFill>
          </w14:textFill>
        </w:rPr>
      </w:pPr>
      <w:r>
        <w:rPr>
          <w:rFonts w:hint="default" w:ascii="Times New Roman" w:hAnsi="Times New Roman" w:eastAsia="Times New Roman" w:cs="Times New Roman"/>
          <w:color w:val="000000" w:themeColor="text1"/>
          <w:spacing w:val="10"/>
          <w:sz w:val="31"/>
          <w:szCs w:val="31"/>
          <w:highlight w:val="none"/>
          <w14:textFill>
            <w14:solidFill>
              <w14:schemeClr w14:val="tx1"/>
            </w14:solidFill>
          </w14:textFill>
        </w:rPr>
        <w:t>5.</w:t>
      </w:r>
      <w:r>
        <w:rPr>
          <w:rFonts w:hint="default" w:ascii="Times New Roman" w:hAnsi="Times New Roman" w:eastAsia="Times New Roman" w:cs="Times New Roman"/>
          <w:color w:val="000000" w:themeColor="text1"/>
          <w:spacing w:val="-41"/>
          <w:sz w:val="31"/>
          <w:szCs w:val="31"/>
          <w:highlight w:val="none"/>
          <w14:textFill>
            <w14:solidFill>
              <w14:schemeClr w14:val="tx1"/>
            </w14:solidFill>
          </w14:textFill>
        </w:rPr>
        <w:t xml:space="preserve"> </w:t>
      </w:r>
      <w:r>
        <w:rPr>
          <w:rFonts w:hint="default" w:ascii="Times New Roman" w:hAnsi="Times New Roman" w:eastAsia="方正仿宋_GBK" w:cs="Times New Roman"/>
          <w:color w:val="000000" w:themeColor="text1"/>
          <w:spacing w:val="10"/>
          <w:sz w:val="31"/>
          <w:szCs w:val="31"/>
          <w:highlight w:val="none"/>
          <w14:textFill>
            <w14:solidFill>
              <w14:schemeClr w14:val="tx1"/>
            </w14:solidFill>
          </w14:textFill>
        </w:rPr>
        <w:t>负责组织协调全面从严治党、党风廉政建设和</w:t>
      </w:r>
      <w:r>
        <w:rPr>
          <w:rFonts w:hint="default" w:ascii="Times New Roman" w:hAnsi="Times New Roman" w:eastAsia="方正仿宋_GBK" w:cs="Times New Roman"/>
          <w:color w:val="000000" w:themeColor="text1"/>
          <w:spacing w:val="9"/>
          <w:sz w:val="31"/>
          <w:szCs w:val="31"/>
          <w:highlight w:val="none"/>
          <w14:textFill>
            <w14:solidFill>
              <w14:schemeClr w14:val="tx1"/>
            </w14:solidFill>
          </w14:textFill>
        </w:rPr>
        <w:t>反腐败</w:t>
      </w:r>
      <w:r>
        <w:rPr>
          <w:rFonts w:hint="default" w:ascii="Times New Roman" w:hAnsi="Times New Roman" w:eastAsia="方正仿宋_GBK" w:cs="Times New Roman"/>
          <w:color w:val="000000" w:themeColor="text1"/>
          <w:spacing w:val="3"/>
          <w:sz w:val="31"/>
          <w:szCs w:val="31"/>
          <w:highlight w:val="none"/>
          <w14:textFill>
            <w14:solidFill>
              <w14:schemeClr w14:val="tx1"/>
            </w14:solidFill>
          </w14:textFill>
        </w:rPr>
        <w:t>宣传教育工作。</w:t>
      </w:r>
    </w:p>
    <w:p w14:paraId="75FE830D">
      <w:pPr>
        <w:keepNext w:val="0"/>
        <w:keepLines w:val="0"/>
        <w:pageBreakBefore w:val="0"/>
        <w:widowControl w:val="0"/>
        <w:kinsoku/>
        <w:wordWrap/>
        <w:overflowPunct/>
        <w:topLinePunct w:val="0"/>
        <w:autoSpaceDE/>
        <w:autoSpaceDN/>
        <w:bidi w:val="0"/>
        <w:adjustRightInd/>
        <w:snapToGrid/>
        <w:spacing w:before="115" w:line="480" w:lineRule="exact"/>
        <w:ind w:left="38" w:right="16" w:firstLine="629"/>
        <w:textAlignment w:val="auto"/>
        <w:rPr>
          <w:rFonts w:hint="default" w:ascii="Times New Roman" w:hAnsi="Times New Roman" w:eastAsia="方正仿宋_GBK" w:cs="Times New Roman"/>
          <w:color w:val="000000" w:themeColor="text1"/>
          <w:sz w:val="31"/>
          <w:szCs w:val="31"/>
          <w:highlight w:val="none"/>
          <w14:textFill>
            <w14:solidFill>
              <w14:schemeClr w14:val="tx1"/>
            </w14:solidFill>
          </w14:textFill>
        </w:rPr>
      </w:pPr>
      <w:r>
        <w:rPr>
          <w:rFonts w:hint="default" w:ascii="Times New Roman" w:hAnsi="Times New Roman" w:eastAsia="Times New Roman" w:cs="Times New Roman"/>
          <w:color w:val="000000" w:themeColor="text1"/>
          <w:spacing w:val="10"/>
          <w:sz w:val="31"/>
          <w:szCs w:val="31"/>
          <w:highlight w:val="none"/>
          <w14:textFill>
            <w14:solidFill>
              <w14:schemeClr w14:val="tx1"/>
            </w14:solidFill>
          </w14:textFill>
        </w:rPr>
        <w:t>6.</w:t>
      </w:r>
      <w:r>
        <w:rPr>
          <w:rFonts w:hint="default" w:ascii="Times New Roman" w:hAnsi="Times New Roman" w:eastAsia="Times New Roman" w:cs="Times New Roman"/>
          <w:color w:val="000000" w:themeColor="text1"/>
          <w:spacing w:val="-40"/>
          <w:sz w:val="31"/>
          <w:szCs w:val="31"/>
          <w:highlight w:val="none"/>
          <w14:textFill>
            <w14:solidFill>
              <w14:schemeClr w14:val="tx1"/>
            </w14:solidFill>
          </w14:textFill>
        </w:rPr>
        <w:t xml:space="preserve"> </w:t>
      </w:r>
      <w:r>
        <w:rPr>
          <w:rFonts w:hint="default" w:ascii="Times New Roman" w:hAnsi="Times New Roman" w:eastAsia="方正仿宋_GBK" w:cs="Times New Roman"/>
          <w:color w:val="000000" w:themeColor="text1"/>
          <w:spacing w:val="10"/>
          <w:sz w:val="31"/>
          <w:szCs w:val="31"/>
          <w:highlight w:val="none"/>
          <w14:textFill>
            <w14:solidFill>
              <w14:schemeClr w14:val="tx1"/>
            </w14:solidFill>
          </w14:textFill>
        </w:rPr>
        <w:t>负责综合分析全面从严治党、党风廉政建设和反</w:t>
      </w:r>
      <w:r>
        <w:rPr>
          <w:rFonts w:hint="default" w:ascii="Times New Roman" w:hAnsi="Times New Roman" w:eastAsia="方正仿宋_GBK" w:cs="Times New Roman"/>
          <w:color w:val="000000" w:themeColor="text1"/>
          <w:spacing w:val="9"/>
          <w:sz w:val="31"/>
          <w:szCs w:val="31"/>
          <w:highlight w:val="none"/>
          <w14:textFill>
            <w14:solidFill>
              <w14:schemeClr w14:val="tx1"/>
            </w14:solidFill>
          </w14:textFill>
        </w:rPr>
        <w:t>腐败</w:t>
      </w:r>
      <w:r>
        <w:rPr>
          <w:rFonts w:hint="default" w:ascii="Times New Roman" w:hAnsi="Times New Roman" w:eastAsia="方正仿宋_GBK" w:cs="Times New Roman"/>
          <w:color w:val="000000" w:themeColor="text1"/>
          <w:spacing w:val="7"/>
          <w:sz w:val="31"/>
          <w:szCs w:val="31"/>
          <w:highlight w:val="none"/>
          <w14:textFill>
            <w14:solidFill>
              <w14:schemeClr w14:val="tx1"/>
            </w14:solidFill>
          </w14:textFill>
        </w:rPr>
        <w:t>工作情况。参与起草我县规范性文件。</w:t>
      </w:r>
    </w:p>
    <w:p w14:paraId="336F2B89">
      <w:pPr>
        <w:keepNext w:val="0"/>
        <w:keepLines w:val="0"/>
        <w:pageBreakBefore w:val="0"/>
        <w:widowControl w:val="0"/>
        <w:kinsoku/>
        <w:wordWrap/>
        <w:overflowPunct/>
        <w:topLinePunct w:val="0"/>
        <w:autoSpaceDE/>
        <w:autoSpaceDN/>
        <w:bidi w:val="0"/>
        <w:adjustRightInd/>
        <w:snapToGrid/>
        <w:spacing w:before="115" w:line="480" w:lineRule="exact"/>
        <w:ind w:left="35" w:right="16" w:firstLine="631"/>
        <w:textAlignment w:val="auto"/>
        <w:rPr>
          <w:rFonts w:hint="default" w:ascii="Times New Roman" w:hAnsi="Times New Roman" w:eastAsia="方正仿宋_GBK" w:cs="Times New Roman"/>
          <w:color w:val="000000" w:themeColor="text1"/>
          <w:sz w:val="31"/>
          <w:szCs w:val="31"/>
          <w:highlight w:val="none"/>
          <w14:textFill>
            <w14:solidFill>
              <w14:schemeClr w14:val="tx1"/>
            </w14:solidFill>
          </w14:textFill>
        </w:rPr>
      </w:pPr>
      <w:r>
        <w:rPr>
          <w:rFonts w:hint="default" w:ascii="Times New Roman" w:hAnsi="Times New Roman" w:eastAsia="Times New Roman" w:cs="Times New Roman"/>
          <w:color w:val="000000" w:themeColor="text1"/>
          <w:spacing w:val="11"/>
          <w:sz w:val="31"/>
          <w:szCs w:val="31"/>
          <w:highlight w:val="none"/>
          <w14:textFill>
            <w14:solidFill>
              <w14:schemeClr w14:val="tx1"/>
            </w14:solidFill>
          </w14:textFill>
        </w:rPr>
        <w:t>7.</w:t>
      </w:r>
      <w:r>
        <w:rPr>
          <w:rFonts w:hint="default" w:ascii="Times New Roman" w:hAnsi="Times New Roman" w:eastAsia="方正仿宋_GBK" w:cs="Times New Roman"/>
          <w:color w:val="000000" w:themeColor="text1"/>
          <w:spacing w:val="11"/>
          <w:sz w:val="31"/>
          <w:szCs w:val="31"/>
          <w:highlight w:val="none"/>
          <w14:textFill>
            <w14:solidFill>
              <w14:schemeClr w14:val="tx1"/>
            </w14:solidFill>
          </w14:textFill>
        </w:rPr>
        <w:t>在州纪委监委的领导下，加强对反腐败国际追逃追赃</w:t>
      </w:r>
      <w:r>
        <w:rPr>
          <w:rFonts w:hint="default" w:ascii="Times New Roman" w:hAnsi="Times New Roman" w:eastAsia="方正仿宋_GBK" w:cs="Times New Roman"/>
          <w:color w:val="000000" w:themeColor="text1"/>
          <w:spacing w:val="8"/>
          <w:sz w:val="31"/>
          <w:szCs w:val="31"/>
          <w:highlight w:val="none"/>
          <w14:textFill>
            <w14:solidFill>
              <w14:schemeClr w14:val="tx1"/>
            </w14:solidFill>
          </w14:textFill>
        </w:rPr>
        <w:t>和防逃工作的组织协调，督促有关部门做好相关工作。</w:t>
      </w:r>
    </w:p>
    <w:p w14:paraId="64CED345">
      <w:pPr>
        <w:keepNext w:val="0"/>
        <w:keepLines w:val="0"/>
        <w:pageBreakBefore w:val="0"/>
        <w:widowControl w:val="0"/>
        <w:kinsoku/>
        <w:wordWrap/>
        <w:overflowPunct/>
        <w:topLinePunct w:val="0"/>
        <w:autoSpaceDE/>
        <w:autoSpaceDN/>
        <w:bidi w:val="0"/>
        <w:adjustRightInd/>
        <w:snapToGrid/>
        <w:spacing w:before="124" w:line="480" w:lineRule="exact"/>
        <w:ind w:left="46" w:right="16" w:firstLine="627"/>
        <w:textAlignment w:val="auto"/>
        <w:rPr>
          <w:rFonts w:hint="default" w:ascii="Times New Roman" w:hAnsi="Times New Roman" w:eastAsia="方正仿宋_GBK" w:cs="Times New Roman"/>
          <w:color w:val="000000" w:themeColor="text1"/>
          <w:sz w:val="31"/>
          <w:szCs w:val="31"/>
          <w:highlight w:val="none"/>
          <w14:textFill>
            <w14:solidFill>
              <w14:schemeClr w14:val="tx1"/>
            </w14:solidFill>
          </w14:textFill>
        </w:rPr>
      </w:pPr>
      <w:r>
        <w:rPr>
          <w:rFonts w:hint="default" w:ascii="Times New Roman" w:hAnsi="Times New Roman" w:eastAsia="Times New Roman" w:cs="Times New Roman"/>
          <w:color w:val="000000" w:themeColor="text1"/>
          <w:spacing w:val="11"/>
          <w:sz w:val="31"/>
          <w:szCs w:val="31"/>
          <w:highlight w:val="none"/>
          <w14:textFill>
            <w14:solidFill>
              <w14:schemeClr w14:val="tx1"/>
            </w14:solidFill>
          </w14:textFill>
        </w:rPr>
        <w:t>8.</w:t>
      </w:r>
      <w:r>
        <w:rPr>
          <w:rFonts w:hint="default" w:ascii="Times New Roman" w:hAnsi="Times New Roman" w:eastAsia="方正仿宋_GBK" w:cs="Times New Roman"/>
          <w:color w:val="000000" w:themeColor="text1"/>
          <w:spacing w:val="11"/>
          <w:sz w:val="31"/>
          <w:szCs w:val="31"/>
          <w:highlight w:val="none"/>
          <w14:textFill>
            <w14:solidFill>
              <w14:schemeClr w14:val="tx1"/>
            </w14:solidFill>
          </w14:textFill>
        </w:rPr>
        <w:t>根据干部管理权限，负责纪检监察系统队伍建设和组</w:t>
      </w:r>
      <w:r>
        <w:rPr>
          <w:rFonts w:hint="default" w:ascii="Times New Roman" w:hAnsi="Times New Roman" w:eastAsia="方正仿宋_GBK" w:cs="Times New Roman"/>
          <w:color w:val="000000" w:themeColor="text1"/>
          <w:spacing w:val="-1"/>
          <w:sz w:val="31"/>
          <w:szCs w:val="31"/>
          <w:highlight w:val="none"/>
          <w14:textFill>
            <w14:solidFill>
              <w14:schemeClr w14:val="tx1"/>
            </w14:solidFill>
          </w14:textFill>
        </w:rPr>
        <w:t>织建设。</w:t>
      </w:r>
    </w:p>
    <w:p w14:paraId="774FB183">
      <w:pPr>
        <w:keepNext w:val="0"/>
        <w:keepLines w:val="0"/>
        <w:pageBreakBefore w:val="0"/>
        <w:widowControl w:val="0"/>
        <w:kinsoku/>
        <w:wordWrap/>
        <w:overflowPunct/>
        <w:topLinePunct w:val="0"/>
        <w:autoSpaceDE/>
        <w:autoSpaceDN/>
        <w:bidi w:val="0"/>
        <w:adjustRightInd/>
        <w:snapToGrid/>
        <w:spacing w:before="74" w:line="480" w:lineRule="exact"/>
        <w:ind w:left="26" w:firstLine="652" w:firstLineChars="200"/>
        <w:textAlignment w:val="auto"/>
        <w:rPr>
          <w:rFonts w:hint="default" w:ascii="Times New Roman" w:hAnsi="Times New Roman" w:eastAsia="黑体" w:cs="Times New Roman"/>
          <w:b w:val="0"/>
          <w:color w:val="000000" w:themeColor="text1"/>
          <w:highlight w:val="none"/>
          <w14:textFill>
            <w14:solidFill>
              <w14:schemeClr w14:val="tx1"/>
            </w14:solidFill>
          </w14:textFill>
        </w:rPr>
      </w:pPr>
      <w:r>
        <w:rPr>
          <w:rFonts w:hint="default" w:ascii="Times New Roman" w:hAnsi="Times New Roman" w:eastAsia="Times New Roman" w:cs="Times New Roman"/>
          <w:color w:val="000000" w:themeColor="text1"/>
          <w:spacing w:val="8"/>
          <w:sz w:val="31"/>
          <w:szCs w:val="31"/>
          <w:highlight w:val="none"/>
          <w14:textFill>
            <w14:solidFill>
              <w14:schemeClr w14:val="tx1"/>
            </w14:solidFill>
          </w14:textFill>
        </w:rPr>
        <w:t>9.</w:t>
      </w:r>
      <w:r>
        <w:rPr>
          <w:rFonts w:hint="default" w:ascii="Times New Roman" w:hAnsi="Times New Roman" w:eastAsia="方正仿宋_GBK" w:cs="Times New Roman"/>
          <w:color w:val="000000" w:themeColor="text1"/>
          <w:spacing w:val="8"/>
          <w:sz w:val="31"/>
          <w:szCs w:val="31"/>
          <w:highlight w:val="none"/>
          <w14:textFill>
            <w14:solidFill>
              <w14:schemeClr w14:val="tx1"/>
            </w14:solidFill>
          </w14:textFill>
        </w:rPr>
        <w:t>完成县委和州纪委监委交办的其他任务。</w:t>
      </w:r>
    </w:p>
    <w:p w14:paraId="74CF4FD7">
      <w:pPr>
        <w:pStyle w:val="3"/>
        <w:rPr>
          <w:rStyle w:val="31"/>
          <w:rFonts w:hint="default" w:ascii="Times New Roman" w:hAnsi="Times New Roman" w:cs="Times New Roman"/>
          <w:b w:val="0"/>
          <w:bCs w:val="0"/>
          <w:color w:val="000000" w:themeColor="text1"/>
          <w:highlight w:val="none"/>
          <w14:textFill>
            <w14:solidFill>
              <w14:schemeClr w14:val="tx1"/>
            </w14:solidFill>
          </w14:textFill>
        </w:rPr>
      </w:pPr>
      <w:r>
        <w:rPr>
          <w:rFonts w:hint="default" w:ascii="Times New Roman" w:hAnsi="Times New Roman" w:eastAsia="黑体" w:cs="Times New Roman"/>
          <w:b w:val="0"/>
          <w:color w:val="000000" w:themeColor="text1"/>
          <w:highlight w:val="none"/>
          <w14:textFill>
            <w14:solidFill>
              <w14:schemeClr w14:val="tx1"/>
            </w14:solidFill>
          </w14:textFill>
        </w:rPr>
        <w:t>二、机</w:t>
      </w:r>
      <w:r>
        <w:rPr>
          <w:rStyle w:val="31"/>
          <w:rFonts w:hint="default" w:ascii="Times New Roman" w:hAnsi="Times New Roman" w:eastAsia="黑体" w:cs="Times New Roman"/>
          <w:b w:val="0"/>
          <w:bCs w:val="0"/>
          <w:color w:val="000000" w:themeColor="text1"/>
          <w:highlight w:val="none"/>
          <w14:textFill>
            <w14:solidFill>
              <w14:schemeClr w14:val="tx1"/>
            </w14:solidFill>
          </w14:textFill>
        </w:rPr>
        <w:t>构设置</w:t>
      </w:r>
      <w:bookmarkEnd w:id="10"/>
      <w:bookmarkEnd w:id="11"/>
    </w:p>
    <w:p w14:paraId="2490F83F">
      <w:pPr>
        <w:ind w:firstLine="800" w:firstLineChars="25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中共九寨沟县纪律检查委员会（本级）下属二级</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预算</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单位</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个，其中行政单位</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个，参照公务员法管理的事业单位</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个，其他事业单位</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个。</w:t>
      </w:r>
    </w:p>
    <w:p w14:paraId="7456D77D">
      <w:pPr>
        <w:pStyle w:val="5"/>
        <w:adjustRightInd w:val="0"/>
        <w:snapToGrid w:val="0"/>
        <w:spacing w:before="93" w:line="600" w:lineRule="exact"/>
        <w:ind w:firstLine="672" w:firstLineChars="21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纳入</w:t>
      </w:r>
      <w:r>
        <w:rPr>
          <w:rFonts w:hint="default" w:ascii="Times New Roman" w:hAnsi="Times New Roman" w:cs="Times New Roman"/>
          <w:color w:val="000000" w:themeColor="text1"/>
          <w:sz w:val="32"/>
          <w:szCs w:val="32"/>
          <w:highlight w:val="none"/>
          <w14:textFill>
            <w14:solidFill>
              <w14:schemeClr w14:val="tx1"/>
            </w14:solidFill>
          </w14:textFill>
        </w:rPr>
        <w:t>中共九寨沟县纪律检查委员会（本级）</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ascii="Times New Roman"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部门决算编制范围的二级预算单位包括：</w:t>
      </w:r>
    </w:p>
    <w:p w14:paraId="44F47615">
      <w:pPr>
        <w:pStyle w:val="5"/>
        <w:numPr>
          <w:ilvl w:val="0"/>
          <w:numId w:val="1"/>
        </w:numPr>
        <w:adjustRightInd w:val="0"/>
        <w:snapToGrid w:val="0"/>
        <w:spacing w:before="93" w:line="600" w:lineRule="exact"/>
        <w:outlineLvl w:val="2"/>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12" w:name="_Toc15306276"/>
      <w:bookmarkStart w:id="13" w:name="_Toc15378449"/>
      <w:bookmarkStart w:id="14" w:name="_Toc15377433"/>
      <w:bookmarkStart w:id="15" w:name="_Toc15377202"/>
      <w:r>
        <w:rPr>
          <w:rFonts w:hint="default" w:ascii="Times New Roman" w:hAnsi="Times New Roman" w:cs="Times New Roman"/>
          <w:color w:val="000000" w:themeColor="text1"/>
          <w:sz w:val="32"/>
          <w:szCs w:val="32"/>
          <w:highlight w:val="none"/>
          <w:lang w:val="en-US" w:eastAsia="zh-CN"/>
          <w14:textFill>
            <w14:solidFill>
              <w14:schemeClr w14:val="tx1"/>
            </w14:solidFill>
          </w14:textFill>
        </w:rPr>
        <w:t>九寨沟县纪律检查委员会</w:t>
      </w:r>
      <w:bookmarkEnd w:id="12"/>
      <w:bookmarkEnd w:id="13"/>
      <w:bookmarkEnd w:id="14"/>
      <w:bookmarkEnd w:id="15"/>
    </w:p>
    <w:p w14:paraId="675DE0B9">
      <w:pPr>
        <w:pStyle w:val="5"/>
        <w:adjustRightInd w:val="0"/>
        <w:snapToGrid w:val="0"/>
        <w:spacing w:before="93" w:line="600" w:lineRule="exact"/>
        <w:ind w:firstLine="320" w:firstLineChars="100"/>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p>
    <w:p w14:paraId="205A6194">
      <w:pPr>
        <w:widowControl/>
        <w:jc w:val="left"/>
        <w:rPr>
          <w:rFonts w:hint="default" w:ascii="Times New Roman" w:hAnsi="Times New Roman" w:eastAsia="仿宋" w:cs="Times New Roman"/>
          <w:color w:val="000000" w:themeColor="text1"/>
          <w:kern w:val="0"/>
          <w:sz w:val="32"/>
          <w:szCs w:val="32"/>
          <w:highlight w:val="none"/>
          <w14:textFill>
            <w14:solidFill>
              <w14:schemeClr w14:val="tx1"/>
            </w14:solidFill>
          </w14:textFill>
        </w:rPr>
      </w:pPr>
      <w:r>
        <w:rPr>
          <w:rFonts w:hint="default" w:ascii="Times New Roman" w:hAnsi="Times New Roman" w:eastAsia="仿宋" w:cs="Times New Roman"/>
          <w:color w:val="000000" w:themeColor="text1"/>
          <w:sz w:val="32"/>
          <w:szCs w:val="32"/>
          <w:highlight w:val="none"/>
          <w14:textFill>
            <w14:solidFill>
              <w14:schemeClr w14:val="tx1"/>
            </w14:solidFill>
          </w14:textFill>
        </w:rPr>
        <w:br w:type="page"/>
      </w:r>
    </w:p>
    <w:p w14:paraId="19293124">
      <w:pPr>
        <w:pStyle w:val="2"/>
        <w:jc w:val="center"/>
        <w:rPr>
          <w:rFonts w:hint="default" w:ascii="Times New Roman" w:hAnsi="Times New Roman" w:eastAsia="方正小标宋简体" w:cs="Times New Roman"/>
          <w:b w:val="0"/>
          <w:color w:val="000000" w:themeColor="text1"/>
          <w:highlight w:val="none"/>
          <w14:textFill>
            <w14:solidFill>
              <w14:schemeClr w14:val="tx1"/>
            </w14:solidFill>
          </w14:textFill>
        </w:rPr>
      </w:pPr>
      <w:bookmarkStart w:id="16" w:name="_Toc15396602"/>
      <w:bookmarkStart w:id="17" w:name="_Toc15377204"/>
      <w:r>
        <w:rPr>
          <w:rFonts w:hint="default" w:ascii="Times New Roman" w:hAnsi="Times New Roman" w:eastAsia="方正小标宋简体" w:cs="Times New Roman"/>
          <w:b w:val="0"/>
          <w:color w:val="000000" w:themeColor="text1"/>
          <w:highlight w:val="none"/>
          <w14:textFill>
            <w14:solidFill>
              <w14:schemeClr w14:val="tx1"/>
            </w14:solidFill>
          </w14:textFill>
        </w:rPr>
        <w:t>第二部分</w:t>
      </w:r>
      <w:r>
        <w:rPr>
          <w:rFonts w:hint="default" w:ascii="Times New Roman" w:hAnsi="Times New Roman" w:eastAsia="方正小标宋简体" w:cs="Times New Roman"/>
          <w:b w:val="0"/>
          <w:color w:val="000000" w:themeColor="text1"/>
          <w:highlight w:val="none"/>
          <w:lang w:val="en-US" w:eastAsia="zh-CN"/>
          <w14:textFill>
            <w14:solidFill>
              <w14:schemeClr w14:val="tx1"/>
            </w14:solidFill>
          </w14:textFill>
        </w:rPr>
        <w:t xml:space="preserve"> </w:t>
      </w:r>
      <w:r>
        <w:rPr>
          <w:rFonts w:hint="default" w:ascii="Times New Roman" w:hAnsi="Times New Roman" w:eastAsia="方正小标宋简体" w:cs="Times New Roman"/>
          <w:b w:val="0"/>
          <w:color w:val="000000" w:themeColor="text1"/>
          <w:highlight w:val="none"/>
          <w14:textFill>
            <w14:solidFill>
              <w14:schemeClr w14:val="tx1"/>
            </w14:solidFill>
          </w14:textFill>
        </w:rPr>
        <w:t xml:space="preserve"> </w:t>
      </w:r>
      <w:r>
        <w:rPr>
          <w:rFonts w:hint="default" w:ascii="Times New Roman" w:hAnsi="Times New Roman" w:eastAsia="方正小标宋简体" w:cs="Times New Roman"/>
          <w:b w:val="0"/>
          <w:color w:val="000000" w:themeColor="text1"/>
          <w:highlight w:val="none"/>
          <w:lang w:val="en-US" w:eastAsia="zh-CN"/>
          <w14:textFill>
            <w14:solidFill>
              <w14:schemeClr w14:val="tx1"/>
            </w14:solidFill>
          </w14:textFill>
        </w:rPr>
        <w:t>202</w:t>
      </w:r>
      <w:r>
        <w:rPr>
          <w:rFonts w:hint="eastAsia" w:eastAsia="方正小标宋简体" w:cs="Times New Roman"/>
          <w:b w:val="0"/>
          <w:color w:val="000000" w:themeColor="text1"/>
          <w:highlight w:val="none"/>
          <w:lang w:val="en-US" w:eastAsia="zh-CN"/>
          <w14:textFill>
            <w14:solidFill>
              <w14:schemeClr w14:val="tx1"/>
            </w14:solidFill>
          </w14:textFill>
        </w:rPr>
        <w:t>5</w:t>
      </w:r>
      <w:r>
        <w:rPr>
          <w:rFonts w:hint="default" w:ascii="Times New Roman" w:hAnsi="Times New Roman" w:eastAsia="方正小标宋简体" w:cs="Times New Roman"/>
          <w:b w:val="0"/>
          <w:color w:val="000000" w:themeColor="text1"/>
          <w:highlight w:val="none"/>
          <w:lang w:val="en-US" w:eastAsia="zh-CN"/>
          <w14:textFill>
            <w14:solidFill>
              <w14:schemeClr w14:val="tx1"/>
            </w14:solidFill>
          </w14:textFill>
        </w:rPr>
        <w:t>年度</w:t>
      </w:r>
      <w:r>
        <w:rPr>
          <w:rFonts w:hint="default" w:ascii="Times New Roman" w:hAnsi="Times New Roman" w:eastAsia="方正小标宋简体" w:cs="Times New Roman"/>
          <w:b w:val="0"/>
          <w:color w:val="000000" w:themeColor="text1"/>
          <w:highlight w:val="none"/>
          <w14:textFill>
            <w14:solidFill>
              <w14:schemeClr w14:val="tx1"/>
            </w14:solidFill>
          </w14:textFill>
        </w:rPr>
        <w:t>部门决算情况说明</w:t>
      </w:r>
      <w:bookmarkEnd w:id="16"/>
      <w:bookmarkEnd w:id="17"/>
    </w:p>
    <w:p w14:paraId="569413E0">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18" w:name="_Toc15377205"/>
      <w:bookmarkStart w:id="19" w:name="_Toc15396603"/>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一、</w:t>
      </w:r>
      <w:r>
        <w:rPr>
          <w:rFonts w:hint="default" w:ascii="Times New Roman" w:hAnsi="Times New Roman" w:eastAsia="黑体" w:cs="Times New Roman"/>
          <w:color w:val="000000" w:themeColor="text1"/>
          <w:sz w:val="32"/>
          <w:szCs w:val="32"/>
          <w:highlight w:val="none"/>
          <w14:textFill>
            <w14:solidFill>
              <w14:schemeClr w14:val="tx1"/>
            </w14:solidFill>
          </w14:textFill>
        </w:rPr>
        <w:t>收</w:t>
      </w:r>
      <w:r>
        <w:rPr>
          <w:rStyle w:val="31"/>
          <w:rFonts w:hint="default" w:ascii="Times New Roman" w:hAnsi="Times New Roman" w:eastAsia="黑体" w:cs="Times New Roman"/>
          <w:b w:val="0"/>
          <w:color w:val="000000" w:themeColor="text1"/>
          <w:highlight w:val="none"/>
          <w14:textFill>
            <w14:solidFill>
              <w14:schemeClr w14:val="tx1"/>
            </w14:solidFill>
          </w14:textFill>
        </w:rPr>
        <w:t>入支出决算总体情况说明</w:t>
      </w:r>
      <w:bookmarkEnd w:id="18"/>
      <w:bookmarkEnd w:id="19"/>
    </w:p>
    <w:p w14:paraId="2BEEC0E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总计</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均为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426.33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万元。与</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度</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相比，</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总计各</w:t>
      </w:r>
      <w:r>
        <w:rPr>
          <w:rFonts w:hint="eastAsia" w:eastAsia="仿宋_GB2312" w:cs="Times New Roman"/>
          <w:color w:val="000000" w:themeColor="text1"/>
          <w:sz w:val="32"/>
          <w:szCs w:val="32"/>
          <w:highlight w:val="none"/>
          <w:lang w:val="en-US" w:eastAsia="zh-CN"/>
          <w14:textFill>
            <w14:solidFill>
              <w14:schemeClr w14:val="tx1"/>
            </w14:solidFill>
          </w14:textFill>
        </w:rPr>
        <w:t>增加93.05</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eastAsia="仿宋_GB2312" w:cs="Times New Roman"/>
          <w:color w:val="000000" w:themeColor="text1"/>
          <w:sz w:val="32"/>
          <w:szCs w:val="32"/>
          <w:highlight w:val="none"/>
          <w:lang w:val="en-US" w:eastAsia="zh-CN"/>
          <w14:textFill>
            <w14:solidFill>
              <w14:schemeClr w14:val="tx1"/>
            </w14:solidFill>
          </w14:textFill>
        </w:rPr>
        <w:t>增加6.98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由于</w:t>
      </w:r>
      <w:r>
        <w:rPr>
          <w:rFonts w:hint="eastAsia" w:eastAsia="仿宋_GB2312" w:cs="Times New Roman"/>
          <w:color w:val="000000" w:themeColor="text1"/>
          <w:sz w:val="32"/>
          <w:szCs w:val="32"/>
          <w:highlight w:val="none"/>
          <w:lang w:val="en-US" w:eastAsia="zh-CN"/>
          <w14:textFill>
            <w14:solidFill>
              <w14:schemeClr w14:val="tx1"/>
            </w14:solidFill>
          </w14:textFill>
        </w:rPr>
        <w:t>公务用车购置及运行维护增加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w:t>
      </w:r>
    </w:p>
    <w:p w14:paraId="16BEDE08">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pPr>
      <w:bookmarkStart w:id="20" w:name="_Toc15377206"/>
      <w:bookmarkStart w:id="21" w:name="_Toc15396604"/>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二、收入决算情况说明</w:t>
      </w:r>
      <w:bookmarkEnd w:id="20"/>
      <w:bookmarkEnd w:id="21"/>
    </w:p>
    <w:p w14:paraId="7B4230F9">
      <w:pPr>
        <w:ind w:firstLine="800" w:firstLineChars="250"/>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年度本年收入合计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426.33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万元，其中：一般公共预算财政拨款收入</w:t>
      </w:r>
      <w:r>
        <w:rPr>
          <w:rFonts w:hint="eastAsia" w:eastAsia="仿宋_GB2312" w:cs="Times New Roman"/>
          <w:color w:val="000000" w:themeColor="text1"/>
          <w:sz w:val="32"/>
          <w:szCs w:val="32"/>
          <w:highlight w:val="none"/>
          <w:lang w:val="en-US" w:eastAsia="zh-CN"/>
          <w14:textFill>
            <w14:solidFill>
              <w14:schemeClr w14:val="tx1"/>
            </w14:solidFill>
          </w14:textFill>
        </w:rPr>
        <w:t>1426.33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%；政府性基金预算财政拨款收入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%；国有资本经营预算财政拨款收入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%；上级补助收入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%；事业收入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%；经营收入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%；附属单位上缴收入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%；其他收入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49D74BE6">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22" w:name="_Toc15396605"/>
      <w:bookmarkStart w:id="23" w:name="_Toc15377207"/>
      <w:r>
        <w:rPr>
          <w:rFonts w:hint="default" w:ascii="Times New Roman" w:hAnsi="Times New Roman" w:eastAsia="黑体" w:cs="Times New Roman"/>
          <w:color w:val="000000" w:themeColor="text1"/>
          <w:sz w:val="32"/>
          <w:szCs w:val="32"/>
          <w:highlight w:val="none"/>
          <w:lang w:eastAsia="zh-CN"/>
          <w14:textFill>
            <w14:solidFill>
              <w14:schemeClr w14:val="tx1"/>
            </w14:solidFill>
          </w14:textFill>
        </w:rPr>
        <w:t>三、</w:t>
      </w:r>
      <w:r>
        <w:rPr>
          <w:rFonts w:hint="default" w:ascii="Times New Roman" w:hAnsi="Times New Roman" w:eastAsia="黑体" w:cs="Times New Roman"/>
          <w:color w:val="000000" w:themeColor="text1"/>
          <w:sz w:val="32"/>
          <w:szCs w:val="32"/>
          <w:highlight w:val="none"/>
          <w14:textFill>
            <w14:solidFill>
              <w14:schemeClr w14:val="tx1"/>
            </w14:solidFill>
          </w14:textFill>
        </w:rPr>
        <w:t>支</w:t>
      </w:r>
      <w:r>
        <w:rPr>
          <w:rStyle w:val="31"/>
          <w:rFonts w:hint="default" w:ascii="Times New Roman" w:hAnsi="Times New Roman" w:eastAsia="黑体" w:cs="Times New Roman"/>
          <w:b w:val="0"/>
          <w:color w:val="000000" w:themeColor="text1"/>
          <w:highlight w:val="none"/>
          <w14:textFill>
            <w14:solidFill>
              <w14:schemeClr w14:val="tx1"/>
            </w14:solidFill>
          </w14:textFill>
        </w:rPr>
        <w:t>出决算情况说明</w:t>
      </w:r>
      <w:bookmarkEnd w:id="22"/>
      <w:bookmarkEnd w:id="23"/>
    </w:p>
    <w:p w14:paraId="77BB0F17">
      <w:pPr>
        <w:pStyle w:val="29"/>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年度本年支出合计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426.33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万元，其中：基本支出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388.31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9</w:t>
      </w:r>
      <w:r>
        <w:rPr>
          <w:rFonts w:hint="eastAsia" w:eastAsia="仿宋_GB2312" w:cs="Times New Roman"/>
          <w:color w:val="000000" w:themeColor="text1"/>
          <w:sz w:val="32"/>
          <w:szCs w:val="32"/>
          <w:highlight w:val="none"/>
          <w:lang w:val="en-US" w:eastAsia="zh-CN"/>
          <w14:textFill>
            <w14:solidFill>
              <w14:schemeClr w14:val="tx1"/>
            </w14:solidFill>
          </w14:textFill>
        </w:rPr>
        <w:t>7.33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%；项目支出</w:t>
      </w:r>
      <w:r>
        <w:rPr>
          <w:rFonts w:hint="eastAsia" w:eastAsia="仿宋_GB2312" w:cs="Times New Roman"/>
          <w:color w:val="000000" w:themeColor="text1"/>
          <w:sz w:val="32"/>
          <w:szCs w:val="32"/>
          <w:highlight w:val="none"/>
          <w:lang w:val="en-US" w:eastAsia="zh-CN"/>
          <w14:textFill>
            <w14:solidFill>
              <w14:schemeClr w14:val="tx1"/>
            </w14:solidFill>
          </w14:textFill>
        </w:rPr>
        <w:t>38.02</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eastAsia" w:eastAsia="仿宋_GB2312" w:cs="Times New Roman"/>
          <w:color w:val="000000" w:themeColor="text1"/>
          <w:sz w:val="32"/>
          <w:szCs w:val="32"/>
          <w:highlight w:val="none"/>
          <w:lang w:val="en-US" w:eastAsia="zh-CN"/>
          <w14:textFill>
            <w14:solidFill>
              <w14:schemeClr w14:val="tx1"/>
            </w14:solidFill>
          </w14:textFill>
        </w:rPr>
        <w:t>2.67</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%；上缴上级支出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%；经营支出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%；对附属单位补助支出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38AD50EA">
      <w:pPr>
        <w:spacing w:line="600" w:lineRule="exact"/>
        <w:ind w:firstLine="640" w:firstLineChars="20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24" w:name="_Toc15396606"/>
      <w:bookmarkStart w:id="25" w:name="_Toc15377208"/>
      <w:r>
        <w:rPr>
          <w:rFonts w:hint="default" w:ascii="Times New Roman" w:hAnsi="Times New Roman" w:eastAsia="黑体" w:cs="Times New Roman"/>
          <w:color w:val="000000" w:themeColor="text1"/>
          <w:sz w:val="32"/>
          <w:szCs w:val="32"/>
          <w:highlight w:val="none"/>
          <w14:textFill>
            <w14:solidFill>
              <w14:schemeClr w14:val="tx1"/>
            </w14:solidFill>
          </w14:textFill>
        </w:rPr>
        <w:t>四、财</w:t>
      </w:r>
      <w:r>
        <w:rPr>
          <w:rStyle w:val="31"/>
          <w:rFonts w:hint="default" w:ascii="Times New Roman" w:hAnsi="Times New Roman" w:eastAsia="黑体" w:cs="Times New Roman"/>
          <w:b w:val="0"/>
          <w:color w:val="000000" w:themeColor="text1"/>
          <w:highlight w:val="none"/>
          <w14:textFill>
            <w14:solidFill>
              <w14:schemeClr w14:val="tx1"/>
            </w14:solidFill>
          </w14:textFill>
        </w:rPr>
        <w:t>政拨款收入支出决算总体情况说明</w:t>
      </w:r>
      <w:bookmarkEnd w:id="24"/>
      <w:bookmarkEnd w:id="25"/>
    </w:p>
    <w:p w14:paraId="7E29934E">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年度财政拨款收入、支出总计均为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426.33</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万元。与202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年度相比，财政拨款收入总计、支出总计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各</w:t>
      </w:r>
      <w:r>
        <w:rPr>
          <w:rFonts w:hint="eastAsia" w:eastAsia="仿宋_GB2312" w:cs="Times New Roman"/>
          <w:color w:val="000000" w:themeColor="text1"/>
          <w:sz w:val="32"/>
          <w:szCs w:val="32"/>
          <w:highlight w:val="none"/>
          <w:lang w:val="en-US" w:eastAsia="zh-CN"/>
          <w14:textFill>
            <w14:solidFill>
              <w14:schemeClr w14:val="tx1"/>
            </w14:solidFill>
          </w14:textFill>
        </w:rPr>
        <w:t>增加93.05</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eastAsia="仿宋_GB2312" w:cs="Times New Roman"/>
          <w:color w:val="000000" w:themeColor="text1"/>
          <w:sz w:val="32"/>
          <w:szCs w:val="32"/>
          <w:highlight w:val="none"/>
          <w:lang w:val="en-US" w:eastAsia="zh-CN"/>
          <w14:textFill>
            <w14:solidFill>
              <w14:schemeClr w14:val="tx1"/>
            </w14:solidFill>
          </w14:textFill>
        </w:rPr>
        <w:t>增加6.98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由于</w:t>
      </w:r>
      <w:r>
        <w:rPr>
          <w:rFonts w:hint="eastAsia" w:eastAsia="仿宋_GB2312" w:cs="Times New Roman"/>
          <w:color w:val="000000" w:themeColor="text1"/>
          <w:sz w:val="32"/>
          <w:szCs w:val="32"/>
          <w:highlight w:val="none"/>
          <w:lang w:val="en-US" w:eastAsia="zh-CN"/>
          <w14:textFill>
            <w14:solidFill>
              <w14:schemeClr w14:val="tx1"/>
            </w14:solidFill>
          </w14:textFill>
        </w:rPr>
        <w:t>公务用车购置及运行维护增加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w:t>
      </w:r>
    </w:p>
    <w:p w14:paraId="57B912AA">
      <w:pPr>
        <w:spacing w:line="600" w:lineRule="exact"/>
        <w:ind w:firstLine="640" w:firstLineChars="20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26" w:name="_Toc15396607"/>
      <w:bookmarkStart w:id="27" w:name="_Toc15377209"/>
      <w:r>
        <w:rPr>
          <w:rFonts w:hint="default" w:ascii="Times New Roman" w:hAnsi="Times New Roman" w:eastAsia="黑体" w:cs="Times New Roman"/>
          <w:color w:val="000000" w:themeColor="text1"/>
          <w:sz w:val="32"/>
          <w:szCs w:val="32"/>
          <w:highlight w:val="none"/>
          <w14:textFill>
            <w14:solidFill>
              <w14:schemeClr w14:val="tx1"/>
            </w14:solidFill>
          </w14:textFill>
        </w:rPr>
        <w:t>五、</w:t>
      </w:r>
      <w:r>
        <w:rPr>
          <w:rFonts w:hint="default" w:ascii="Times New Roman" w:hAnsi="Times New Roman" w:eastAsia="黑体" w:cs="Times New Roman"/>
          <w:b/>
          <w:color w:val="000000" w:themeColor="text1"/>
          <w:sz w:val="32"/>
          <w:szCs w:val="32"/>
          <w:highlight w:val="none"/>
          <w14:textFill>
            <w14:solidFill>
              <w14:schemeClr w14:val="tx1"/>
            </w14:solidFill>
          </w14:textFill>
        </w:rPr>
        <w:t>一</w:t>
      </w:r>
      <w:r>
        <w:rPr>
          <w:rStyle w:val="31"/>
          <w:rFonts w:hint="default" w:ascii="Times New Roman" w:hAnsi="Times New Roman" w:eastAsia="黑体" w:cs="Times New Roman"/>
          <w:b w:val="0"/>
          <w:color w:val="000000" w:themeColor="text1"/>
          <w:highlight w:val="none"/>
          <w14:textFill>
            <w14:solidFill>
              <w14:schemeClr w14:val="tx1"/>
            </w14:solidFill>
          </w14:textFill>
        </w:rPr>
        <w:t>般公共预算财政拨款支出决算情况说明</w:t>
      </w:r>
      <w:bookmarkEnd w:id="26"/>
      <w:bookmarkEnd w:id="27"/>
    </w:p>
    <w:p w14:paraId="574AF43B">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28" w:name="_Toc15377210"/>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（一）一般公共预算财政拨款支出决算总体情况</w:t>
      </w:r>
      <w:bookmarkEnd w:id="28"/>
    </w:p>
    <w:p w14:paraId="3197D44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年度一般公共预算财政拨款支出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426.33</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万元，占本年支出合计的</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%。与202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年度相比，一般公共预算财政拨款支出</w:t>
      </w:r>
      <w:r>
        <w:rPr>
          <w:rFonts w:hint="eastAsia" w:eastAsia="仿宋_GB2312" w:cs="Times New Roman"/>
          <w:color w:val="000000" w:themeColor="text1"/>
          <w:sz w:val="32"/>
          <w:szCs w:val="32"/>
          <w:highlight w:val="none"/>
          <w:lang w:val="en-US" w:eastAsia="zh-CN"/>
          <w14:textFill>
            <w14:solidFill>
              <w14:schemeClr w14:val="tx1"/>
            </w14:solidFill>
          </w14:textFill>
        </w:rPr>
        <w:t>增加93.05</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w:t>
      </w:r>
      <w:r>
        <w:rPr>
          <w:rFonts w:hint="eastAsia" w:eastAsia="仿宋_GB2312" w:cs="Times New Roman"/>
          <w:color w:val="000000" w:themeColor="text1"/>
          <w:sz w:val="32"/>
          <w:szCs w:val="32"/>
          <w:highlight w:val="none"/>
          <w:lang w:val="en-US" w:eastAsia="zh-CN"/>
          <w14:textFill>
            <w14:solidFill>
              <w14:schemeClr w14:val="tx1"/>
            </w14:solidFill>
          </w14:textFill>
        </w:rPr>
        <w:t>增加6.98</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%。主要变动原因是</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由于</w:t>
      </w:r>
      <w:r>
        <w:rPr>
          <w:rFonts w:hint="eastAsia" w:eastAsia="仿宋_GB2312" w:cs="Times New Roman"/>
          <w:color w:val="000000" w:themeColor="text1"/>
          <w:sz w:val="32"/>
          <w:szCs w:val="32"/>
          <w:highlight w:val="none"/>
          <w:lang w:val="en-US" w:eastAsia="zh-CN"/>
          <w14:textFill>
            <w14:solidFill>
              <w14:schemeClr w14:val="tx1"/>
            </w14:solidFill>
          </w14:textFill>
        </w:rPr>
        <w:t>公务用车购置及运行维护增加</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等。</w:t>
      </w:r>
    </w:p>
    <w:p w14:paraId="06F025EE">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29" w:name="_Toc15377211"/>
      <w:r>
        <w:rPr>
          <w:rFonts w:hint="default" w:ascii="Times New Roman" w:hAnsi="Times New Roman" w:eastAsia="楷体_GB2312" w:cs="Times New Roman"/>
          <w:b/>
          <w:color w:val="000000" w:themeColor="text1"/>
          <w:sz w:val="32"/>
          <w:szCs w:val="32"/>
          <w:highlight w:val="none"/>
          <w14:textFill>
            <w14:solidFill>
              <w14:schemeClr w14:val="tx1"/>
            </w14:solidFill>
          </w14:textFill>
        </w:rPr>
        <w:t>（二）一般公共预算财政拨款支出决算结构情况</w:t>
      </w:r>
      <w:bookmarkEnd w:id="29"/>
    </w:p>
    <w:p w14:paraId="0D13D26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年度一般公共预算财政拨款支出</w:t>
      </w: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eastAsia="仿宋_GB2312" w:cs="Times New Roman"/>
          <w:color w:val="000000" w:themeColor="text1"/>
          <w:sz w:val="32"/>
          <w:szCs w:val="32"/>
          <w:lang w:val="en-US" w:eastAsia="zh-CN"/>
          <w14:textFill>
            <w14:solidFill>
              <w14:schemeClr w14:val="tx1"/>
            </w14:solidFill>
          </w14:textFill>
        </w:rPr>
        <w:t>426.33</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万元，主要用于以下方面：一般公共服务支出1</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108.46</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77.71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%；社会保障和就业支出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167.09</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11.71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%；卫生健康支出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62.96</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4.41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%；住房保障支出87.</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82</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6.17</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w:t>
      </w:r>
    </w:p>
    <w:p w14:paraId="2057BAFC">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30" w:name="_Toc15377212"/>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（三）一般公共预算财政拨款支出决算具体情况</w:t>
      </w:r>
      <w:bookmarkEnd w:id="30"/>
    </w:p>
    <w:p w14:paraId="1998D881">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bookmarkStart w:id="31" w:name="_Toc15378460"/>
      <w:bookmarkStart w:id="32" w:name="_Toc15377444"/>
      <w:bookmarkStart w:id="33" w:name="_Toc15377213"/>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年度一般公共预算财政拨款支出决算数为</w:t>
      </w: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eastAsia="仿宋_GB2312" w:cs="Times New Roman"/>
          <w:color w:val="000000" w:themeColor="text1"/>
          <w:sz w:val="32"/>
          <w:szCs w:val="32"/>
          <w:lang w:val="en-US" w:eastAsia="zh-CN"/>
          <w14:textFill>
            <w14:solidFill>
              <w14:schemeClr w14:val="tx1"/>
            </w14:solidFill>
          </w14:textFill>
        </w:rPr>
        <w:t>426.33</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，完成预算100%。其中：</w:t>
      </w:r>
      <w:bookmarkEnd w:id="31"/>
      <w:bookmarkEnd w:id="32"/>
      <w:bookmarkEnd w:id="33"/>
    </w:p>
    <w:p w14:paraId="603041F5">
      <w:pPr>
        <w:numPr>
          <w:ilvl w:val="0"/>
          <w:numId w:val="0"/>
        </w:numPr>
        <w:spacing w:line="600" w:lineRule="exact"/>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 xml:space="preserve">   1.</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纪检监察事务</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行政运行</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1070.44</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纪检监察事务</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行政运行</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02</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18.82</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r>
        <w:rPr>
          <w:rStyle w:val="19"/>
          <w:rFonts w:hint="default" w:ascii="Times New Roman" w:hAnsi="Times New Roman" w:eastAsia="仿宋" w:cs="Times New Roman"/>
          <w:bCs/>
          <w:color w:val="000000" w:themeColor="text1"/>
          <w:sz w:val="32"/>
          <w:szCs w:val="32"/>
          <w14:textFill>
            <w14:solidFill>
              <w14:schemeClr w14:val="tx1"/>
            </w14:solidFill>
          </w14:textFill>
        </w:rPr>
        <w:t>一般公共服务（</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纪检监察事务</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其他纪检监察事务支出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99</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支出决算为</w:t>
      </w:r>
      <w:r>
        <w:rPr>
          <w:rStyle w:val="19"/>
          <w:rFonts w:hint="eastAsia" w:eastAsia="仿宋" w:cs="Times New Roman"/>
          <w:b w:val="0"/>
          <w:bCs/>
          <w:color w:val="000000" w:themeColor="text1"/>
          <w:sz w:val="32"/>
          <w:szCs w:val="32"/>
          <w:lang w:val="en-US" w:eastAsia="zh-CN"/>
          <w14:textFill>
            <w14:solidFill>
              <w14:schemeClr w14:val="tx1"/>
            </w14:solidFill>
          </w14:textFill>
        </w:rPr>
        <w:t>19.2</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万元，完成预算100%。</w:t>
      </w:r>
    </w:p>
    <w:p w14:paraId="22DCAFBF">
      <w:pPr>
        <w:numPr>
          <w:ilvl w:val="0"/>
          <w:numId w:val="0"/>
        </w:numPr>
        <w:spacing w:line="600" w:lineRule="exact"/>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 xml:space="preserve">    2.</w:t>
      </w:r>
      <w:r>
        <w:rPr>
          <w:rStyle w:val="19"/>
          <w:rFonts w:hint="default" w:ascii="Times New Roman" w:hAnsi="Times New Roman" w:eastAsia="仿宋" w:cs="Times New Roman"/>
          <w:bCs/>
          <w:color w:val="000000" w:themeColor="text1"/>
          <w:sz w:val="32"/>
          <w:szCs w:val="32"/>
          <w14:textFill>
            <w14:solidFill>
              <w14:schemeClr w14:val="tx1"/>
            </w14:solidFill>
          </w14:textFill>
        </w:rPr>
        <w:t>社会保障和就业（</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208</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行政事业单位养老支出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05</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机关事业单位基本养老保险缴费支出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05</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w:t>
      </w:r>
      <w:r>
        <w:rPr>
          <w:rStyle w:val="19"/>
          <w:rFonts w:hint="eastAsia" w:eastAsia="仿宋" w:cs="Times New Roman"/>
          <w:b w:val="0"/>
          <w:bCs/>
          <w:color w:val="000000" w:themeColor="text1"/>
          <w:sz w:val="32"/>
          <w:szCs w:val="32"/>
          <w:lang w:val="en-US" w:eastAsia="zh-CN"/>
          <w14:textFill>
            <w14:solidFill>
              <w14:schemeClr w14:val="tx1"/>
            </w14:solidFill>
          </w14:textFill>
        </w:rPr>
        <w:t>5</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5F089B97">
      <w:pPr>
        <w:numPr>
          <w:ilvl w:val="0"/>
          <w:numId w:val="0"/>
        </w:numPr>
        <w:spacing w:line="600" w:lineRule="exact"/>
        <w:rPr>
          <w:rFonts w:hint="default" w:ascii="Times New Roman" w:hAnsi="Times New Roman" w:cs="Times New Roman"/>
          <w:color w:val="000000" w:themeColor="text1"/>
          <w:lang w:eastAsia="zh-CN"/>
          <w14:textFill>
            <w14:solidFill>
              <w14:schemeClr w14:val="tx1"/>
            </w14:solidFill>
          </w14:textFill>
        </w:rPr>
      </w:pP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 xml:space="preserve">    3.</w:t>
      </w:r>
      <w:r>
        <w:rPr>
          <w:rStyle w:val="19"/>
          <w:rFonts w:hint="default" w:ascii="Times New Roman" w:hAnsi="Times New Roman" w:eastAsia="仿宋" w:cs="Times New Roman"/>
          <w:bCs/>
          <w:color w:val="000000" w:themeColor="text1"/>
          <w:sz w:val="32"/>
          <w:szCs w:val="32"/>
          <w14:textFill>
            <w14:solidFill>
              <w14:schemeClr w14:val="tx1"/>
            </w14:solidFill>
          </w14:textFill>
        </w:rPr>
        <w:t>社会保障和就业（</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208</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行政事业单位养老支出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05</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机关事业单位职业年金缴费支出</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06</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6</w:t>
      </w:r>
      <w:r>
        <w:rPr>
          <w:rStyle w:val="19"/>
          <w:rFonts w:hint="eastAsia" w:eastAsia="仿宋" w:cs="Times New Roman"/>
          <w:b w:val="0"/>
          <w:bCs/>
          <w:color w:val="000000" w:themeColor="text1"/>
          <w:sz w:val="32"/>
          <w:szCs w:val="32"/>
          <w:lang w:val="en-US" w:eastAsia="zh-CN"/>
          <w14:textFill>
            <w14:solidFill>
              <w14:schemeClr w14:val="tx1"/>
            </w14:solidFill>
          </w14:textFill>
        </w:rPr>
        <w:t>2.09</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503E1F6B">
      <w:pPr>
        <w:numPr>
          <w:ilvl w:val="0"/>
          <w:numId w:val="0"/>
        </w:numPr>
        <w:spacing w:line="600" w:lineRule="exact"/>
        <w:rPr>
          <w:rFonts w:hint="default" w:ascii="Times New Roman" w:hAnsi="Times New Roman" w:eastAsia="仿宋" w:cs="Times New Roman"/>
          <w:b/>
          <w:color w:val="000000" w:themeColor="text1"/>
          <w:sz w:val="32"/>
          <w:szCs w:val="32"/>
          <w:lang w:val="en-US"/>
          <w14:textFill>
            <w14:solidFill>
              <w14:schemeClr w14:val="tx1"/>
            </w14:solidFill>
          </w14:textFill>
        </w:rPr>
      </w:pPr>
      <w:r>
        <w:rPr>
          <w:rFonts w:hint="default" w:ascii="Times New Roman" w:hAnsi="Times New Roman" w:eastAsia="仿宋" w:cs="Times New Roman"/>
          <w:b/>
          <w:bCs/>
          <w:color w:val="000000" w:themeColor="text1"/>
          <w:sz w:val="32"/>
          <w:szCs w:val="32"/>
          <w:lang w:val="en-US" w:eastAsia="zh-CN"/>
          <w14:textFill>
            <w14:solidFill>
              <w14:schemeClr w14:val="tx1"/>
            </w14:solidFill>
          </w14:textFill>
        </w:rPr>
        <w:t xml:space="preserve">    4.</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210</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52.</w:t>
      </w:r>
      <w:r>
        <w:rPr>
          <w:rStyle w:val="19"/>
          <w:rFonts w:hint="eastAsia" w:eastAsia="仿宋" w:cs="Times New Roman"/>
          <w:b w:val="0"/>
          <w:bCs/>
          <w:color w:val="000000" w:themeColor="text1"/>
          <w:sz w:val="32"/>
          <w:szCs w:val="32"/>
          <w:lang w:val="en-US" w:eastAsia="zh-CN"/>
          <w14:textFill>
            <w14:solidFill>
              <w14:schemeClr w14:val="tx1"/>
            </w14:solidFill>
          </w14:textFill>
        </w:rPr>
        <w:t>45</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5BCB4BEC">
      <w:pPr>
        <w:numPr>
          <w:ilvl w:val="0"/>
          <w:numId w:val="0"/>
        </w:numPr>
        <w:spacing w:line="600" w:lineRule="exact"/>
        <w:rPr>
          <w:rFonts w:hint="default" w:ascii="Times New Roman" w:hAnsi="Times New Roman" w:eastAsia="仿宋" w:cs="Times New Roman"/>
          <w:b/>
          <w:color w:val="000000" w:themeColor="text1"/>
          <w:sz w:val="32"/>
          <w:szCs w:val="32"/>
          <w:lang w:val="en-US"/>
          <w14:textFill>
            <w14:solidFill>
              <w14:schemeClr w14:val="tx1"/>
            </w14:solidFill>
          </w14:textFill>
        </w:rPr>
      </w:pPr>
      <w:r>
        <w:rPr>
          <w:rFonts w:hint="default" w:ascii="Times New Roman" w:hAnsi="Times New Roman" w:eastAsia="仿宋" w:cs="Times New Roman"/>
          <w:b/>
          <w:bCs/>
          <w:color w:val="000000" w:themeColor="text1"/>
          <w:sz w:val="32"/>
          <w:szCs w:val="32"/>
          <w:lang w:val="en-US" w:eastAsia="zh-CN"/>
          <w14:textFill>
            <w14:solidFill>
              <w14:schemeClr w14:val="tx1"/>
            </w14:solidFill>
          </w14:textFill>
        </w:rPr>
        <w:t xml:space="preserve">    5.</w:t>
      </w:r>
      <w:r>
        <w:rPr>
          <w:rFonts w:hint="default" w:ascii="Times New Roman" w:hAnsi="Times New Roman" w:eastAsia="仿宋" w:cs="Times New Roman"/>
          <w:b/>
          <w:bCs/>
          <w:color w:val="000000" w:themeColor="text1"/>
          <w:sz w:val="32"/>
          <w:szCs w:val="32"/>
          <w14:textFill>
            <w14:solidFill>
              <w14:schemeClr w14:val="tx1"/>
            </w14:solidFill>
          </w14:textFill>
        </w:rPr>
        <w:t>卫生健康</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210</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行政事业单位医疗</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11</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eastAsia="zh-CN"/>
          <w14:textFill>
            <w14:solidFill>
              <w14:schemeClr w14:val="tx1"/>
            </w14:solidFill>
          </w14:textFill>
        </w:rPr>
        <w:t>公务员医疗补助</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03</w:t>
      </w:r>
      <w:r>
        <w:rPr>
          <w:rStyle w:val="19"/>
          <w:rFonts w:hint="default" w:ascii="Times New Roman" w:hAnsi="Times New Roman" w:eastAsia="仿宋" w:cs="Times New Roman"/>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w:t>
      </w:r>
      <w:r>
        <w:rPr>
          <w:rStyle w:val="19"/>
          <w:rFonts w:hint="eastAsia" w:eastAsia="仿宋" w:cs="Times New Roman"/>
          <w:b w:val="0"/>
          <w:bCs/>
          <w:color w:val="000000" w:themeColor="text1"/>
          <w:sz w:val="32"/>
          <w:szCs w:val="32"/>
          <w:lang w:val="en-US" w:eastAsia="zh-CN"/>
          <w14:textFill>
            <w14:solidFill>
              <w14:schemeClr w14:val="tx1"/>
            </w14:solidFill>
          </w14:textFill>
        </w:rPr>
        <w:t>0.51</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100</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w:t>
      </w:r>
      <w:r>
        <w:rPr>
          <w:rStyle w:val="19"/>
          <w:rFonts w:hint="default" w:ascii="Times New Roman" w:hAnsi="Times New Roman" w:eastAsia="仿宋" w:cs="Times New Roman"/>
          <w:b w:val="0"/>
          <w:bCs/>
          <w:color w:val="000000" w:themeColor="text1"/>
          <w:sz w:val="32"/>
          <w:szCs w:val="32"/>
          <w:lang w:eastAsia="zh-CN"/>
          <w14:textFill>
            <w14:solidFill>
              <w14:schemeClr w14:val="tx1"/>
            </w14:solidFill>
          </w14:textFill>
        </w:rPr>
        <w:t>。</w:t>
      </w:r>
    </w:p>
    <w:p w14:paraId="1456831E">
      <w:pPr>
        <w:spacing w:line="576" w:lineRule="exact"/>
        <w:ind w:firstLine="643" w:firstLineChars="200"/>
        <w:rPr>
          <w:rFonts w:hint="default" w:ascii="Times New Roman" w:hAnsi="Times New Roman" w:cs="Times New Roman"/>
          <w:color w:val="000000" w:themeColor="text1"/>
          <w:lang w:val="en-US" w:eastAsia="zh-CN"/>
          <w14:textFill>
            <w14:solidFill>
              <w14:schemeClr w14:val="tx1"/>
            </w14:solidFill>
          </w14:textFill>
        </w:rPr>
      </w:pPr>
      <w:r>
        <w:rPr>
          <w:rStyle w:val="19"/>
          <w:rFonts w:hint="eastAsia" w:eastAsia="仿宋" w:cs="Times New Roman"/>
          <w:bCs/>
          <w:color w:val="000000" w:themeColor="text1"/>
          <w:sz w:val="32"/>
          <w:szCs w:val="32"/>
          <w:lang w:val="en-US" w:eastAsia="zh-CN"/>
          <w14:textFill>
            <w14:solidFill>
              <w14:schemeClr w14:val="tx1"/>
            </w14:solidFill>
          </w14:textFill>
        </w:rPr>
        <w:t>6</w:t>
      </w:r>
      <w:r>
        <w:rPr>
          <w:rStyle w:val="19"/>
          <w:rFonts w:hint="default" w:ascii="Times New Roman" w:hAnsi="Times New Roman" w:eastAsia="仿宋" w:cs="Times New Roman"/>
          <w:bCs/>
          <w:color w:val="000000" w:themeColor="text1"/>
          <w:sz w:val="32"/>
          <w:szCs w:val="32"/>
          <w:lang w:val="en-US" w:eastAsia="zh-CN"/>
          <w14:textFill>
            <w14:solidFill>
              <w14:schemeClr w14:val="tx1"/>
            </w14:solidFill>
          </w14:textFill>
        </w:rPr>
        <w:t>.</w:t>
      </w:r>
      <w:r>
        <w:rPr>
          <w:rStyle w:val="19"/>
          <w:rFonts w:hint="default" w:ascii="Times New Roman" w:hAnsi="Times New Roman" w:eastAsia="仿宋" w:cs="Times New Roman"/>
          <w:bCs/>
          <w:color w:val="000000" w:themeColor="text1"/>
          <w:sz w:val="32"/>
          <w:szCs w:val="32"/>
          <w14:textFill>
            <w14:solidFill>
              <w14:schemeClr w14:val="tx1"/>
            </w14:solidFill>
          </w14:textFill>
        </w:rPr>
        <w:t>住房保障（221）住房改革支出（02）住房公积金（01）:</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支出决算为</w:t>
      </w:r>
      <w:r>
        <w:rPr>
          <w:rStyle w:val="19"/>
          <w:rFonts w:hint="default" w:ascii="Times New Roman" w:hAnsi="Times New Roman" w:eastAsia="仿宋" w:cs="Times New Roman"/>
          <w:b w:val="0"/>
          <w:bCs/>
          <w:color w:val="000000" w:themeColor="text1"/>
          <w:sz w:val="32"/>
          <w:szCs w:val="32"/>
          <w:lang w:val="en-US" w:eastAsia="zh-CN"/>
          <w14:textFill>
            <w14:solidFill>
              <w14:schemeClr w14:val="tx1"/>
            </w14:solidFill>
          </w14:textFill>
        </w:rPr>
        <w:t>87.</w:t>
      </w:r>
      <w:r>
        <w:rPr>
          <w:rStyle w:val="19"/>
          <w:rFonts w:hint="eastAsia" w:eastAsia="仿宋" w:cs="Times New Roman"/>
          <w:b w:val="0"/>
          <w:bCs/>
          <w:color w:val="000000" w:themeColor="text1"/>
          <w:sz w:val="32"/>
          <w:szCs w:val="32"/>
          <w:lang w:val="en-US" w:eastAsia="zh-CN"/>
          <w14:textFill>
            <w14:solidFill>
              <w14:schemeClr w14:val="tx1"/>
            </w14:solidFill>
          </w14:textFill>
        </w:rPr>
        <w:t>82</w:t>
      </w:r>
      <w:r>
        <w:rPr>
          <w:rStyle w:val="19"/>
          <w:rFonts w:hint="default" w:ascii="Times New Roman" w:hAnsi="Times New Roman" w:eastAsia="仿宋" w:cs="Times New Roman"/>
          <w:b w:val="0"/>
          <w:bCs/>
          <w:color w:val="000000" w:themeColor="text1"/>
          <w:sz w:val="32"/>
          <w:szCs w:val="32"/>
          <w14:textFill>
            <w14:solidFill>
              <w14:schemeClr w14:val="tx1"/>
            </w14:solidFill>
          </w14:textFill>
        </w:rPr>
        <w:t>万元，完成预算100%。</w:t>
      </w:r>
    </w:p>
    <w:p w14:paraId="72BAC05D">
      <w:pPr>
        <w:tabs>
          <w:tab w:val="right" w:pos="8306"/>
        </w:tabs>
        <w:spacing w:line="600" w:lineRule="exact"/>
        <w:ind w:firstLine="640"/>
        <w:outlineLvl w:val="1"/>
        <w:rPr>
          <w:rStyle w:val="31"/>
          <w:rFonts w:hint="default" w:ascii="Times New Roman" w:hAnsi="Times New Roman" w:cs="Times New Roman"/>
          <w:color w:val="000000" w:themeColor="text1"/>
          <w:highlight w:val="none"/>
          <w14:textFill>
            <w14:solidFill>
              <w14:schemeClr w14:val="tx1"/>
            </w14:solidFill>
          </w14:textFill>
        </w:rPr>
      </w:pPr>
      <w:bookmarkStart w:id="34" w:name="_Toc15396608"/>
      <w:bookmarkStart w:id="35" w:name="_Toc15377214"/>
      <w:r>
        <w:rPr>
          <w:rFonts w:hint="default" w:ascii="Times New Roman" w:hAnsi="Times New Roman" w:eastAsia="黑体" w:cs="Times New Roman"/>
          <w:color w:val="000000" w:themeColor="text1"/>
          <w:sz w:val="32"/>
          <w:szCs w:val="32"/>
          <w:highlight w:val="none"/>
          <w14:textFill>
            <w14:solidFill>
              <w14:schemeClr w14:val="tx1"/>
            </w14:solidFill>
          </w14:textFill>
        </w:rPr>
        <w:t>六</w:t>
      </w:r>
      <w:r>
        <w:rPr>
          <w:rFonts w:hint="default" w:ascii="Times New Roman" w:hAnsi="Times New Roman" w:eastAsia="黑体" w:cs="Times New Roman"/>
          <w:b/>
          <w:color w:val="000000" w:themeColor="text1"/>
          <w:sz w:val="32"/>
          <w:szCs w:val="32"/>
          <w:highlight w:val="none"/>
          <w14:textFill>
            <w14:solidFill>
              <w14:schemeClr w14:val="tx1"/>
            </w14:solidFill>
          </w14:textFill>
        </w:rPr>
        <w:t>、一</w:t>
      </w:r>
      <w:r>
        <w:rPr>
          <w:rStyle w:val="31"/>
          <w:rFonts w:hint="default" w:ascii="Times New Roman" w:hAnsi="Times New Roman" w:eastAsia="黑体" w:cs="Times New Roman"/>
          <w:b w:val="0"/>
          <w:color w:val="000000" w:themeColor="text1"/>
          <w:highlight w:val="none"/>
          <w14:textFill>
            <w14:solidFill>
              <w14:schemeClr w14:val="tx1"/>
            </w14:solidFill>
          </w14:textFill>
        </w:rPr>
        <w:t>般公共预算财政拨款基本支出决算情况说明</w:t>
      </w:r>
      <w:bookmarkEnd w:id="34"/>
      <w:bookmarkEnd w:id="35"/>
      <w:r>
        <w:rPr>
          <w:rStyle w:val="31"/>
          <w:rFonts w:hint="default" w:ascii="Times New Roman" w:hAnsi="Times New Roman" w:eastAsia="黑体" w:cs="Times New Roman"/>
          <w:b w:val="0"/>
          <w:color w:val="000000" w:themeColor="text1"/>
          <w:highlight w:val="none"/>
          <w14:textFill>
            <w14:solidFill>
              <w14:schemeClr w14:val="tx1"/>
            </w14:solidFill>
          </w14:textFill>
        </w:rPr>
        <w:tab/>
      </w:r>
    </w:p>
    <w:p w14:paraId="29391AE0">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年度一般公共预算财政拨款基本支出</w:t>
      </w: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eastAsia="仿宋_GB2312" w:cs="Times New Roman"/>
          <w:color w:val="000000" w:themeColor="text1"/>
          <w:sz w:val="32"/>
          <w:szCs w:val="32"/>
          <w:lang w:val="en-US" w:eastAsia="zh-CN"/>
          <w14:textFill>
            <w14:solidFill>
              <w14:schemeClr w14:val="tx1"/>
            </w14:solidFill>
          </w14:textFill>
        </w:rPr>
        <w:t>388.31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万元，其中：</w:t>
      </w:r>
    </w:p>
    <w:p w14:paraId="3FB61542">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人员经费</w:t>
      </w: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eastAsia" w:eastAsia="仿宋_GB2312" w:cs="Times New Roman"/>
          <w:color w:val="000000" w:themeColor="text1"/>
          <w:sz w:val="32"/>
          <w:szCs w:val="32"/>
          <w:lang w:val="en-US" w:eastAsia="zh-CN"/>
          <w14:textFill>
            <w14:solidFill>
              <w14:schemeClr w14:val="tx1"/>
            </w14:solidFill>
          </w14:textFill>
        </w:rPr>
        <w:t>141.19</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万元，主要包括：基本工资、津贴补贴、奖金、机关事业单位基本养老保险缴费、职业年金缴费、其他社会保障缴费、其他工资福利支出、生活补助、住房公积金、其他对个人和家庭的补助支出等。</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br w:type="textWrapping"/>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　　公用经费</w:t>
      </w:r>
      <w:r>
        <w:rPr>
          <w:rFonts w:hint="eastAsia" w:eastAsia="仿宋_GB2312" w:cs="Times New Roman"/>
          <w:color w:val="000000" w:themeColor="text1"/>
          <w:sz w:val="32"/>
          <w:szCs w:val="32"/>
          <w:lang w:val="en-US" w:eastAsia="zh-CN"/>
          <w14:textFill>
            <w14:solidFill>
              <w14:schemeClr w14:val="tx1"/>
            </w14:solidFill>
          </w14:textFill>
        </w:rPr>
        <w:t>247.12</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包括：办公费、邮电费、差旅费、因公出国（境）费用、维修（护）费、租赁费、培训费、劳务费、委托业务费、工会经费、福利费、公务用车运行维护费、其他交通费、办公设备购置、专用设备购置等。</w:t>
      </w:r>
    </w:p>
    <w:p w14:paraId="03473FF8">
      <w:pPr>
        <w:spacing w:line="600" w:lineRule="exact"/>
        <w:ind w:firstLine="64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36" w:name="_Toc15396609"/>
      <w:bookmarkStart w:id="37" w:name="_Toc15377215"/>
      <w:r>
        <w:rPr>
          <w:rFonts w:hint="default" w:ascii="Times New Roman" w:hAnsi="Times New Roman" w:eastAsia="黑体" w:cs="Times New Roman"/>
          <w:color w:val="000000" w:themeColor="text1"/>
          <w:sz w:val="32"/>
          <w:szCs w:val="32"/>
          <w:highlight w:val="none"/>
          <w14:textFill>
            <w14:solidFill>
              <w14:schemeClr w14:val="tx1"/>
            </w14:solidFill>
          </w14:textFill>
        </w:rPr>
        <w:t>七、</w:t>
      </w:r>
      <w:r>
        <w:rPr>
          <w:rStyle w:val="31"/>
          <w:rFonts w:hint="default" w:ascii="Times New Roman" w:hAnsi="Times New Roman" w:eastAsia="黑体" w:cs="Times New Roman"/>
          <w:b w:val="0"/>
          <w:color w:val="000000" w:themeColor="text1"/>
          <w:highlight w:val="none"/>
          <w14:textFill>
            <w14:solidFill>
              <w14:schemeClr w14:val="tx1"/>
            </w14:solidFill>
          </w14:textFill>
        </w:rPr>
        <w:t>财政拨款</w:t>
      </w:r>
      <w:r>
        <w:rPr>
          <w:rStyle w:val="31"/>
          <w:rFonts w:hint="default" w:ascii="Times New Roman" w:hAnsi="Times New Roman" w:eastAsia="黑体" w:cs="Times New Roman"/>
          <w:color w:val="000000" w:themeColor="text1"/>
          <w:highlight w:val="none"/>
          <w14:textFill>
            <w14:solidFill>
              <w14:schemeClr w14:val="tx1"/>
            </w14:solidFill>
          </w14:textFill>
        </w:rPr>
        <w:t>“</w:t>
      </w:r>
      <w:r>
        <w:rPr>
          <w:rStyle w:val="31"/>
          <w:rFonts w:hint="default" w:ascii="Times New Roman" w:hAnsi="Times New Roman" w:eastAsia="黑体" w:cs="Times New Roman"/>
          <w:b w:val="0"/>
          <w:color w:val="000000" w:themeColor="text1"/>
          <w:highlight w:val="none"/>
          <w14:textFill>
            <w14:solidFill>
              <w14:schemeClr w14:val="tx1"/>
            </w14:solidFill>
          </w14:textFill>
        </w:rPr>
        <w:t>三公”经费支出决算情况说明</w:t>
      </w:r>
      <w:bookmarkEnd w:id="36"/>
      <w:bookmarkEnd w:id="37"/>
    </w:p>
    <w:p w14:paraId="285EE95E">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38" w:name="_Toc15377216"/>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（一）“三公”经费财政拨款支出决算总体情况说明</w:t>
      </w:r>
      <w:bookmarkEnd w:id="38"/>
    </w:p>
    <w:p w14:paraId="63A4332C">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年度“三公”经费财政拨款支出决算为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69</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万元，完成预算</w:t>
      </w:r>
      <w:r>
        <w:rPr>
          <w:rFonts w:hint="default" w:ascii="Times New Roman" w:hAnsi="Times New Roman" w:eastAsia="仿宋_GB2312" w:cs="Times New Roman"/>
          <w:color w:val="000000" w:themeColor="text1"/>
          <w:sz w:val="32"/>
          <w:szCs w:val="32"/>
          <w14:textFill>
            <w14:solidFill>
              <w14:schemeClr w14:val="tx1"/>
            </w14:solidFill>
          </w14:textFill>
        </w:rPr>
        <w:t>100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%，较上年度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增加57</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增加475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w:t>
      </w:r>
    </w:p>
    <w:p w14:paraId="33860F08">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39" w:name="_Toc15377217"/>
      <w:r>
        <w:rPr>
          <w:rFonts w:hint="default" w:ascii="Times New Roman" w:hAnsi="Times New Roman" w:eastAsia="楷体_GB2312" w:cs="Times New Roman"/>
          <w:b/>
          <w:color w:val="000000" w:themeColor="text1"/>
          <w:sz w:val="32"/>
          <w:szCs w:val="32"/>
          <w:highlight w:val="none"/>
          <w14:textFill>
            <w14:solidFill>
              <w14:schemeClr w14:val="tx1"/>
            </w14:solidFill>
          </w14:textFill>
        </w:rPr>
        <w:t>（二）“三公”经费财政拨款支出决算具体情况说明</w:t>
      </w:r>
      <w:bookmarkEnd w:id="39"/>
    </w:p>
    <w:p w14:paraId="6FCA8A75">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年度“三公”经费财政拨款支出决算中，公务用车购置及运行维护费支出决算</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69</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万元，占100%。具体情况如下：</w:t>
      </w:r>
    </w:p>
    <w:p w14:paraId="0DADE871">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1.公务用车购置及运行维护费支出</w:t>
      </w:r>
      <w:r>
        <w:rPr>
          <w:rFonts w:hint="eastAsia" w:eastAsia="仿宋_GB2312" w:cs="Times New Roman"/>
          <w:b/>
          <w:bCs/>
          <w:color w:val="000000" w:themeColor="text1"/>
          <w:kern w:val="2"/>
          <w:sz w:val="32"/>
          <w:szCs w:val="32"/>
          <w:highlight w:val="none"/>
          <w:lang w:val="en-US" w:eastAsia="zh-CN" w:bidi="ar-SA"/>
          <w14:textFill>
            <w14:solidFill>
              <w14:schemeClr w14:val="tx1"/>
            </w14:solidFill>
          </w14:textFill>
        </w:rPr>
        <w:t>69</w:t>
      </w:r>
      <w:r>
        <w:rPr>
          <w:rFonts w:hint="default" w:ascii="Times New Roman" w:hAnsi="Times New Roman" w:eastAsia="仿宋_GB2312" w:cs="Times New Roman"/>
          <w:b/>
          <w:bCs/>
          <w:color w:val="000000" w:themeColor="text1"/>
          <w:kern w:val="2"/>
          <w:sz w:val="32"/>
          <w:szCs w:val="32"/>
          <w:highlight w:val="none"/>
          <w:lang w:val="en-US" w:eastAsia="zh-CN" w:bidi="ar-SA"/>
          <w14:textFill>
            <w14:solidFill>
              <w14:schemeClr w14:val="tx1"/>
            </w14:solidFill>
          </w14:textFill>
        </w:rPr>
        <w:t>万元，完成预算100%。</w:t>
      </w:r>
    </w:p>
    <w:p w14:paraId="1197A732">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其中：公务用车购置支出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24.35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万元。全年按规定更新购置公务用车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辆，其中：轿车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辆、金额</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万元，越野车0辆、金额0万元，载客汽车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辆、金额</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24.35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万元。截至202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年12月31日，单位共有公务用车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辆，其中：轿车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辆、越野车3辆、载客汽车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w:t>
      </w:r>
    </w:p>
    <w:p w14:paraId="61568D0C">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bookmarkStart w:id="40" w:name="_Toc15396610"/>
      <w:bookmarkStart w:id="41" w:name="_Toc15377218"/>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公务用车运行维护费支出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44.65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万元。主要用于监督检查、案件办理所需的公务用车燃料费、维修费、过路过桥费、保险费等支出。</w:t>
      </w:r>
    </w:p>
    <w:p w14:paraId="4E71B6CD">
      <w:pPr>
        <w:spacing w:line="600" w:lineRule="exact"/>
        <w:ind w:firstLine="640"/>
        <w:outlineLvl w:val="1"/>
        <w:rPr>
          <w:rStyle w:val="31"/>
          <w:rFonts w:hint="default" w:ascii="Times New Roman" w:hAnsi="Times New Roman" w:eastAsia="黑体" w:cs="Times New Roman"/>
          <w:color w:val="000000" w:themeColor="text1"/>
          <w:highlight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八、</w:t>
      </w:r>
      <w:r>
        <w:rPr>
          <w:rStyle w:val="31"/>
          <w:rFonts w:hint="default" w:ascii="Times New Roman" w:hAnsi="Times New Roman" w:eastAsia="黑体" w:cs="Times New Roman"/>
          <w:b w:val="0"/>
          <w:color w:val="000000" w:themeColor="text1"/>
          <w:highlight w:val="none"/>
          <w14:textFill>
            <w14:solidFill>
              <w14:schemeClr w14:val="tx1"/>
            </w14:solidFill>
          </w14:textFill>
        </w:rPr>
        <w:t>政府性基金预算支出决算情况说明</w:t>
      </w:r>
      <w:bookmarkEnd w:id="40"/>
      <w:bookmarkEnd w:id="41"/>
    </w:p>
    <w:p w14:paraId="34DA792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年度政府性基金预算财政拨款支出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万元，占本年支出合计的</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%。与202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年度相比，政府性基金预算财政拨款支出与上年持平。</w:t>
      </w:r>
    </w:p>
    <w:p w14:paraId="4C0039EC">
      <w:pPr>
        <w:numPr>
          <w:ilvl w:val="0"/>
          <w:numId w:val="0"/>
        </w:numPr>
        <w:spacing w:line="600" w:lineRule="exact"/>
        <w:ind w:left="630" w:leftChars="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42" w:name="_Toc15377219"/>
      <w:bookmarkStart w:id="43" w:name="_Toc15396611"/>
      <w:r>
        <w:rPr>
          <w:rStyle w:val="31"/>
          <w:rFonts w:hint="default" w:ascii="Times New Roman" w:hAnsi="Times New Roman" w:eastAsia="黑体" w:cs="Times New Roman"/>
          <w:b w:val="0"/>
          <w:color w:val="000000" w:themeColor="text1"/>
          <w:highlight w:val="none"/>
          <w:lang w:eastAsia="zh-CN"/>
          <w14:textFill>
            <w14:solidFill>
              <w14:schemeClr w14:val="tx1"/>
            </w14:solidFill>
          </w14:textFill>
        </w:rPr>
        <w:t>九、</w:t>
      </w:r>
      <w:r>
        <w:rPr>
          <w:rStyle w:val="31"/>
          <w:rFonts w:hint="default" w:ascii="Times New Roman" w:hAnsi="Times New Roman" w:eastAsia="黑体" w:cs="Times New Roman"/>
          <w:b w:val="0"/>
          <w:color w:val="000000" w:themeColor="text1"/>
          <w:highlight w:val="none"/>
          <w14:textFill>
            <w14:solidFill>
              <w14:schemeClr w14:val="tx1"/>
            </w14:solidFill>
          </w14:textFill>
        </w:rPr>
        <w:t>国有资本经营预算支出决算情况说明</w:t>
      </w:r>
      <w:bookmarkEnd w:id="42"/>
      <w:bookmarkEnd w:id="43"/>
    </w:p>
    <w:p w14:paraId="4202DB7B">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年度国有资本经营预算财政拨款支出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万元，占本年支出合计的</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%。与202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年度相比，国有资本经营预算财政拨款支出</w:t>
      </w:r>
      <w:r>
        <w:rPr>
          <w:rFonts w:hint="default" w:ascii="Times New Roman" w:hAnsi="Times New Roman" w:eastAsia="仿宋_GB2312" w:cs="Times New Roman"/>
          <w:b w:val="0"/>
          <w:bCs w:val="0"/>
          <w:color w:val="000000" w:themeColor="text1"/>
          <w:kern w:val="2"/>
          <w:sz w:val="32"/>
          <w:szCs w:val="32"/>
          <w:highlight w:val="none"/>
          <w:lang w:val="en-US" w:eastAsia="zh-CN" w:bidi="ar-SA"/>
          <w14:textFill>
            <w14:solidFill>
              <w14:schemeClr w14:val="tx1"/>
            </w14:solidFill>
          </w14:textFill>
        </w:rPr>
        <w:t>与上年持平。</w:t>
      </w:r>
    </w:p>
    <w:p w14:paraId="1D6329C7">
      <w:pPr>
        <w:numPr>
          <w:ilvl w:val="0"/>
          <w:numId w:val="0"/>
        </w:numPr>
        <w:spacing w:line="600" w:lineRule="exact"/>
        <w:ind w:left="630" w:leftChars="0"/>
        <w:outlineLvl w:val="1"/>
        <w:rPr>
          <w:rStyle w:val="31"/>
          <w:rFonts w:hint="default" w:ascii="Times New Roman" w:hAnsi="Times New Roman" w:eastAsia="黑体" w:cs="Times New Roman"/>
          <w:b w:val="0"/>
          <w:color w:val="000000" w:themeColor="text1"/>
          <w:highlight w:val="none"/>
          <w14:textFill>
            <w14:solidFill>
              <w14:schemeClr w14:val="tx1"/>
            </w14:solidFill>
          </w14:textFill>
        </w:rPr>
      </w:pPr>
      <w:bookmarkStart w:id="44" w:name="_Toc15396612"/>
      <w:bookmarkStart w:id="45" w:name="_Toc15377221"/>
      <w:r>
        <w:rPr>
          <w:rStyle w:val="31"/>
          <w:rFonts w:hint="default" w:ascii="Times New Roman" w:hAnsi="Times New Roman" w:eastAsia="黑体" w:cs="Times New Roman"/>
          <w:b w:val="0"/>
          <w:color w:val="000000" w:themeColor="text1"/>
          <w:highlight w:val="none"/>
          <w:lang w:eastAsia="zh-CN"/>
          <w14:textFill>
            <w14:solidFill>
              <w14:schemeClr w14:val="tx1"/>
            </w14:solidFill>
          </w14:textFill>
        </w:rPr>
        <w:t>十、</w:t>
      </w:r>
      <w:r>
        <w:rPr>
          <w:rStyle w:val="31"/>
          <w:rFonts w:hint="default" w:ascii="Times New Roman" w:hAnsi="Times New Roman" w:eastAsia="黑体" w:cs="Times New Roman"/>
          <w:b w:val="0"/>
          <w:color w:val="000000" w:themeColor="text1"/>
          <w:highlight w:val="none"/>
          <w14:textFill>
            <w14:solidFill>
              <w14:schemeClr w14:val="tx1"/>
            </w14:solidFill>
          </w14:textFill>
        </w:rPr>
        <w:t>其他重要事项的情况说明</w:t>
      </w:r>
      <w:bookmarkEnd w:id="44"/>
      <w:bookmarkEnd w:id="45"/>
    </w:p>
    <w:p w14:paraId="1EC30D3E">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46" w:name="_Toc15377222"/>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（一）机关运行经费支出情况</w:t>
      </w:r>
      <w:bookmarkEnd w:id="46"/>
    </w:p>
    <w:p w14:paraId="207E2C44">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bookmarkStart w:id="47" w:name="_Toc15377223"/>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w:t>
      </w:r>
      <w:r>
        <w:rPr>
          <w:rFonts w:hint="default" w:ascii="Times New Roman" w:hAnsi="Times New Roman" w:eastAsia="仿宋_GB2312" w:cs="Times New Roman"/>
          <w:color w:val="000000" w:themeColor="text1"/>
          <w:sz w:val="32"/>
          <w:szCs w:val="32"/>
          <w14:textFill>
            <w14:solidFill>
              <w14:schemeClr w14:val="tx1"/>
            </w14:solidFill>
          </w14:textFill>
        </w:rPr>
        <w:t>中共九寨沟县纪律检查委员会（</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本级</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机关运行经费支出</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247.12万元，</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比202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4</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增加68.16</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增加38.1</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%。主要原因是</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公务用车购置及维护费增加</w:t>
      </w:r>
      <w:r>
        <w:rPr>
          <w:rFonts w:hint="eastAsia"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等。</w:t>
      </w:r>
    </w:p>
    <w:p w14:paraId="5669A389">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r>
        <w:rPr>
          <w:rFonts w:hint="default" w:ascii="Times New Roman" w:hAnsi="Times New Roman" w:eastAsia="楷体_GB2312" w:cs="Times New Roman"/>
          <w:b/>
          <w:color w:val="000000" w:themeColor="text1"/>
          <w:sz w:val="32"/>
          <w:szCs w:val="32"/>
          <w:highlight w:val="none"/>
          <w14:textFill>
            <w14:solidFill>
              <w14:schemeClr w14:val="tx1"/>
            </w14:solidFill>
          </w14:textFill>
        </w:rPr>
        <w:t>（二）政府采购支出情况</w:t>
      </w:r>
      <w:bookmarkEnd w:id="47"/>
    </w:p>
    <w:p w14:paraId="1CC95BAD">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w:t>
      </w:r>
      <w:r>
        <w:rPr>
          <w:rFonts w:hint="default" w:ascii="Times New Roman" w:hAnsi="Times New Roman" w:eastAsia="仿宋_GB2312" w:cs="Times New Roman"/>
          <w:color w:val="000000" w:themeColor="text1"/>
          <w:sz w:val="32"/>
          <w:szCs w:val="32"/>
          <w14:textFill>
            <w14:solidFill>
              <w14:schemeClr w14:val="tx1"/>
            </w14:solidFill>
          </w14:textFill>
        </w:rPr>
        <w:t>中共九寨沟县纪律检查委员会（本级）</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政府采购支出总额</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万元，其中：政府采购货物支出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万元、政府采购工程支出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万元、政府采购服务支出</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万元。主要用于……（具体工作）。授予中小企业合同金额</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万元，占政府采购支出总额的</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%，其中：授予小微企业合同金额</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万元，占政府采购支出总额的</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w:t>
      </w:r>
    </w:p>
    <w:p w14:paraId="336C7A81">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bookmarkStart w:id="48" w:name="_Toc15377224"/>
      <w:r>
        <w:rPr>
          <w:rFonts w:hint="default" w:ascii="Times New Roman" w:hAnsi="Times New Roman" w:eastAsia="楷体_GB2312" w:cs="Times New Roman"/>
          <w:b/>
          <w:color w:val="000000" w:themeColor="text1"/>
          <w:sz w:val="32"/>
          <w:szCs w:val="32"/>
          <w:highlight w:val="none"/>
          <w14:textFill>
            <w14:solidFill>
              <w14:schemeClr w14:val="tx1"/>
            </w14:solidFill>
          </w14:textFill>
        </w:rPr>
        <w:t>（三）国有资产占有使用情况</w:t>
      </w:r>
      <w:bookmarkEnd w:id="48"/>
    </w:p>
    <w:p w14:paraId="529DA01A">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截至202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年12月31日，</w:t>
      </w:r>
      <w:r>
        <w:rPr>
          <w:rFonts w:hint="default" w:ascii="Times New Roman" w:hAnsi="Times New Roman" w:eastAsia="仿宋_GB2312" w:cs="Times New Roman"/>
          <w:color w:val="000000" w:themeColor="text1"/>
          <w:sz w:val="32"/>
          <w:szCs w:val="32"/>
          <w14:textFill>
            <w14:solidFill>
              <w14:schemeClr w14:val="tx1"/>
            </w14:solidFill>
          </w14:textFill>
        </w:rPr>
        <w:t>中共九寨沟县纪律检查委员会（本级）</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共有车辆</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辆，其中：主要负责人用车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辆、机要通信用车</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辆、应急保障用车</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辆、其他用车</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辆，其他用车主要是用于执法执勤及公务用车。单价100万元（含）以上设备（不含车辆）</w:t>
      </w:r>
      <w:r>
        <w:rPr>
          <w:rFonts w:hint="default" w:ascii="Times New Roman" w:hAnsi="Times New Roman" w:eastAsia="仿宋_GB2312" w:cs="Times New Roman"/>
          <w:color w:val="000000" w:themeColor="text1"/>
          <w:sz w:val="32"/>
          <w:szCs w:val="32"/>
          <w14:textFill>
            <w14:solidFill>
              <w14:schemeClr w14:val="tx1"/>
            </w14:solidFill>
          </w14:textFill>
        </w:rPr>
        <w:t>0</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台（套）。</w:t>
      </w:r>
    </w:p>
    <w:p w14:paraId="00C3D289">
      <w:pPr>
        <w:spacing w:line="600" w:lineRule="exact"/>
        <w:ind w:firstLine="643" w:firstLineChars="200"/>
        <w:outlineLvl w:val="2"/>
        <w:rPr>
          <w:rFonts w:hint="default" w:ascii="Times New Roman" w:hAnsi="Times New Roman" w:eastAsia="楷体_GB2312" w:cs="Times New Roman"/>
          <w:b/>
          <w:color w:val="000000" w:themeColor="text1"/>
          <w:sz w:val="32"/>
          <w:szCs w:val="32"/>
          <w:highlight w:val="none"/>
          <w14:textFill>
            <w14:solidFill>
              <w14:schemeClr w14:val="tx1"/>
            </w14:solidFill>
          </w14:textFill>
        </w:rPr>
      </w:pPr>
      <w:r>
        <w:rPr>
          <w:rFonts w:hint="default" w:ascii="Times New Roman" w:hAnsi="Times New Roman" w:eastAsia="楷体_GB2312" w:cs="Times New Roman"/>
          <w:b/>
          <w:color w:val="000000" w:themeColor="text1"/>
          <w:sz w:val="32"/>
          <w:szCs w:val="32"/>
          <w:highlight w:val="none"/>
          <w14:textFill>
            <w14:solidFill>
              <w14:schemeClr w14:val="tx1"/>
            </w14:solidFill>
          </w14:textFill>
        </w:rPr>
        <w:t>（四）预算绩效管理情况</w:t>
      </w:r>
    </w:p>
    <w:p w14:paraId="58B27E2A">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根据预算绩效管理要求，本单位在202</w:t>
      </w:r>
      <w:r>
        <w:rPr>
          <w:rFonts w:hint="eastAsia" w:eastAsia="仿宋_GB2312" w:cs="Times New Roman"/>
          <w:color w:val="000000" w:themeColor="text1"/>
          <w:kern w:val="2"/>
          <w:sz w:val="32"/>
          <w:szCs w:val="32"/>
          <w:highlight w:val="none"/>
          <w:lang w:val="en-US" w:eastAsia="zh-CN" w:bidi="ar-SA"/>
          <w14:textFill>
            <w14:solidFill>
              <w14:schemeClr w14:val="tx1"/>
            </w14:solidFill>
          </w14:textFill>
        </w:rPr>
        <w:t>5</w:t>
      </w: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年度预算编制阶段，组织对多个项目开展了预算事前绩效评估，对多个项目编制了绩效目标。</w:t>
      </w:r>
    </w:p>
    <w:p w14:paraId="18DC3DED">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p>
    <w:p w14:paraId="0E62DEFF">
      <w:pPr>
        <w:numPr>
          <w:ilvl w:val="0"/>
          <w:numId w:val="0"/>
        </w:numPr>
        <w:spacing w:line="600" w:lineRule="exact"/>
        <w:jc w:val="center"/>
        <w:outlineLvl w:val="0"/>
        <w:rPr>
          <w:rFonts w:hint="default" w:ascii="Times New Roman" w:hAnsi="Times New Roman" w:cs="Times New Roman"/>
          <w:b/>
          <w:color w:val="000000" w:themeColor="text1"/>
          <w:sz w:val="44"/>
          <w:szCs w:val="44"/>
          <w:highlight w:val="none"/>
          <w14:textFill>
            <w14:solidFill>
              <w14:schemeClr w14:val="tx1"/>
            </w14:solidFill>
          </w14:textFill>
        </w:rPr>
      </w:pPr>
      <w:bookmarkStart w:id="49" w:name="_Toc15377225"/>
      <w:bookmarkStart w:id="50" w:name="_Toc15396613"/>
      <w:r>
        <w:rPr>
          <w:rFonts w:hint="default" w:ascii="Times New Roman" w:hAnsi="Times New Roman" w:eastAsia="黑体" w:cs="Times New Roman"/>
          <w:color w:val="000000" w:themeColor="text1"/>
          <w:sz w:val="44"/>
          <w:szCs w:val="44"/>
          <w:highlight w:val="none"/>
          <w14:textFill>
            <w14:solidFill>
              <w14:schemeClr w14:val="tx1"/>
            </w14:solidFill>
          </w14:textFill>
        </w:rPr>
        <w:t>第</w:t>
      </w:r>
      <w:r>
        <w:rPr>
          <w:rFonts w:hint="default" w:ascii="Times New Roman" w:hAnsi="Times New Roman" w:eastAsia="黑体" w:cs="Times New Roman"/>
          <w:color w:val="000000" w:themeColor="text1"/>
          <w:sz w:val="44"/>
          <w:szCs w:val="44"/>
          <w:highlight w:val="none"/>
          <w:lang w:eastAsia="zh-CN"/>
          <w14:textFill>
            <w14:solidFill>
              <w14:schemeClr w14:val="tx1"/>
            </w14:solidFill>
          </w14:textFill>
        </w:rPr>
        <w:t>三</w:t>
      </w:r>
      <w:r>
        <w:rPr>
          <w:rFonts w:hint="default" w:ascii="Times New Roman" w:hAnsi="Times New Roman" w:eastAsia="黑体" w:cs="Times New Roman"/>
          <w:color w:val="000000" w:themeColor="text1"/>
          <w:sz w:val="44"/>
          <w:szCs w:val="44"/>
          <w:highlight w:val="none"/>
          <w14:textFill>
            <w14:solidFill>
              <w14:schemeClr w14:val="tx1"/>
            </w14:solidFill>
          </w14:textFill>
        </w:rPr>
        <w:t>部分</w:t>
      </w:r>
      <w: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44"/>
          <w:szCs w:val="44"/>
          <w:highlight w:val="none"/>
          <w14:textFill>
            <w14:solidFill>
              <w14:schemeClr w14:val="tx1"/>
            </w14:solidFill>
          </w14:textFill>
        </w:rPr>
        <w:t>名词解释</w:t>
      </w:r>
      <w:bookmarkEnd w:id="49"/>
      <w:bookmarkEnd w:id="50"/>
    </w:p>
    <w:p w14:paraId="6A37AF7C">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 xml:space="preserve">1.财政拨款收入：指单位从同级财政部门取得的财政预 算资金。 </w:t>
      </w:r>
    </w:p>
    <w:p w14:paraId="144F957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2.年初结转和结余：指以前年度尚未完成、结转到本年 按有关规定继续使用的资金。</w:t>
      </w:r>
    </w:p>
    <w:p w14:paraId="282D4EFE">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3.年末结转和结余：指单位按有关规定结转到下年或以 后年度继续使用的资金。</w:t>
      </w:r>
    </w:p>
    <w:p w14:paraId="41325509">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4.一般公共服务（201）纪检监察事务（11）行政运行（01）： 指反映行政单位（包括实行公务员管理的事业单位）的基本 支出。</w:t>
      </w:r>
    </w:p>
    <w:p w14:paraId="55612D47">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5.社会保障和就业（208）行政事业单位养老支出（05） 机关事业单位基本养老保险缴费支出（05）：指反映机关事 业单位实施养老保险制度由单位缴纳的基本养老保险费支 出。</w:t>
      </w:r>
    </w:p>
    <w:p w14:paraId="09B684E6">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6.社会保障和就业（208）行政事业单位养老支出（05） 机关事业单位职业年金缴费支出（06）：指反映机关事业单 位实施养老保险制度由单位实际缴纳的职业年金支出。</w:t>
      </w:r>
    </w:p>
    <w:p w14:paraId="148BA812">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7.卫生健康（210）行政事业单位医疗（11）行政单位医 疗（01）：指反映财政部门安排的行政单位（包括实行公务 员管理的事业单位，下同）基本医疗保险缴费经费，未参加 医疗保险的行政单位的公费医疗经费，按国家规定享受离休16 人员、红军老战士待遇人员的医疗经费。</w:t>
      </w:r>
    </w:p>
    <w:p w14:paraId="242963D4">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8.卫生健康（210）行政事业单位医疗（11）公务员医疗 补助（03）：指反映财政部门安排的公务员医疗补助经费。</w:t>
      </w:r>
    </w:p>
    <w:p w14:paraId="7861CD51">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9.住房保障（221）住房改革支出（02）住房公积金（01）： 指反映行政事业单位按人力资源和社会保障部、财政部规定 的基本工资和津贴补贴以及规定比例为职工缴纳的住房公 积金。</w:t>
      </w:r>
    </w:p>
    <w:p w14:paraId="5E01092E">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10.基本支出：指为保障机构正常运转、完成日常工作任 务而发生的人员支出和公用支出。</w:t>
      </w:r>
    </w:p>
    <w:p w14:paraId="36E988FF">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11.项目支出：指在基本支出之外为完成特定行政任务和 事业发展目标所发生的支出。</w:t>
      </w:r>
    </w:p>
    <w:p w14:paraId="13366EDE">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12.基本支出：指为保障机构正常运转、完成日常工作任 务而发生的人员支出和公用支出。</w:t>
      </w:r>
    </w:p>
    <w:p w14:paraId="03598BF3">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13.项目支出：指在基本支出之外为完成特定行政任务和 事业发展目标所发生的支出。</w:t>
      </w:r>
    </w:p>
    <w:p w14:paraId="3AD44247">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14.“三公”经费：指单位用财政拨款安排的因公出国（境） 费、公务用车购置及运行费和公务接待费。其中，因公出国 （境）费反映单位公务出国（境）的国际旅费、国外城市间 交通费、住宿费、伙食费、培训费、公杂费等支出；公务用 车购置及运行费反映单位公务用车车辆购置支出（含车辆购 置税）及租用费、燃料费、维修费、过路过桥费、保险费等 支出；公务接待费反映单位按规定开支的各类公务接待（含 外宾接待）支出。</w:t>
      </w:r>
    </w:p>
    <w:p w14:paraId="4B42422F">
      <w:pPr>
        <w:spacing w:line="600" w:lineRule="exact"/>
        <w:ind w:firstLine="640"/>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t>15.机关运行经费：为保障行政单位（含参照公务员法管 理的事业单位）运行用于购买货物和服务的各项资金，包括 办公及印刷费、邮电费、差旅费、会议费、福利费、日常维 修费、专用材料及一般设备购置费、办公用房水电费、办公 用房取暖费、办公用房物业管理费、公务用车运行维护费以 及其他费用。</w:t>
      </w:r>
    </w:p>
    <w:p w14:paraId="67CF6200">
      <w:pPr>
        <w:spacing w:line="600" w:lineRule="exact"/>
        <w:jc w:val="center"/>
        <w:rPr>
          <w:rStyle w:val="30"/>
          <w:rFonts w:hint="default" w:ascii="Times New Roman" w:hAnsi="Times New Roman" w:eastAsia="黑体" w:cs="Times New Roman"/>
          <w:b w:val="0"/>
          <w:color w:val="000000" w:themeColor="text1"/>
          <w:highlight w:val="none"/>
          <w:lang w:eastAsia="zh-CN"/>
          <w14:textFill>
            <w14:solidFill>
              <w14:schemeClr w14:val="tx1"/>
            </w14:solidFill>
          </w14:textFill>
        </w:rPr>
      </w:pPr>
      <w:bookmarkStart w:id="51" w:name="_Toc15377226"/>
      <w:r>
        <w:rPr>
          <w:rFonts w:hint="default" w:ascii="Times New Roman" w:hAnsi="Times New Roman" w:eastAsia="仿宋_GB2312" w:cs="Times New Roman"/>
          <w:color w:val="000000" w:themeColor="text1"/>
          <w:kern w:val="2"/>
          <w:sz w:val="32"/>
          <w:szCs w:val="32"/>
          <w:highlight w:val="none"/>
          <w:lang w:val="en-US" w:eastAsia="zh-CN" w:bidi="ar-SA"/>
          <w14:textFill>
            <w14:solidFill>
              <w14:schemeClr w14:val="tx1"/>
            </w14:solidFill>
          </w14:textFill>
        </w:rPr>
        <w:br w:type="page"/>
      </w:r>
      <w:bookmarkStart w:id="52" w:name="_Toc15396614"/>
      <w:r>
        <w:rPr>
          <w:rFonts w:hint="default" w:ascii="Times New Roman" w:hAnsi="Times New Roman" w:eastAsia="黑体" w:cs="Times New Roman"/>
          <w:color w:val="000000" w:themeColor="text1"/>
          <w:sz w:val="44"/>
          <w:szCs w:val="44"/>
          <w:highlight w:val="none"/>
          <w14:textFill>
            <w14:solidFill>
              <w14:schemeClr w14:val="tx1"/>
            </w14:solidFill>
          </w14:textFill>
        </w:rPr>
        <w:t>第四部分</w:t>
      </w:r>
      <w:r>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t xml:space="preserve"> </w:t>
      </w:r>
      <w:r>
        <w:rPr>
          <w:rFonts w:hint="default" w:ascii="Times New Roman" w:hAnsi="Times New Roman" w:eastAsia="黑体" w:cs="Times New Roman"/>
          <w:color w:val="000000" w:themeColor="text1"/>
          <w:sz w:val="44"/>
          <w:szCs w:val="44"/>
          <w:highlight w:val="none"/>
          <w14:textFill>
            <w14:solidFill>
              <w14:schemeClr w14:val="tx1"/>
            </w14:solidFill>
          </w14:textFill>
        </w:rPr>
        <w:t xml:space="preserve"> 附件</w:t>
      </w:r>
      <w:bookmarkEnd w:id="52"/>
    </w:p>
    <w:p w14:paraId="75CE17AD">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000000" w:themeColor="text1"/>
          <w:sz w:val="32"/>
          <w:szCs w:val="32"/>
          <w:highlight w:val="none"/>
          <w14:textFill>
            <w14:solidFill>
              <w14:schemeClr w14:val="tx1"/>
            </w14:solidFill>
          </w14:textFill>
        </w:rPr>
      </w:pPr>
    </w:p>
    <w:p w14:paraId="6A6568F7">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000000" w:themeColor="text1"/>
          <w:sz w:val="44"/>
          <w:szCs w:val="44"/>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14:textFill>
            <w14:solidFill>
              <w14:schemeClr w14:val="tx1"/>
            </w14:solidFill>
          </w14:textFill>
        </w:rPr>
        <w:t>附件</w:t>
      </w: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1</w:t>
      </w:r>
    </w:p>
    <w:p w14:paraId="6E4BBF82">
      <w:pPr>
        <w:widowControl/>
        <w:spacing w:line="580" w:lineRule="exact"/>
        <w:contextualSpacing/>
        <w:jc w:val="center"/>
        <w:rPr>
          <w:rFonts w:hint="default" w:ascii="Times New Roman" w:hAnsi="Times New Roman" w:eastAsia="宋体" w:cs="Times New Roman"/>
          <w:b/>
          <w:color w:val="000000" w:themeColor="text1"/>
          <w:sz w:val="44"/>
          <w:szCs w:val="44"/>
          <w:shd w:val="clear" w:color="auto" w:fill="FFFFFF"/>
          <w:lang w:val="en-US" w:eastAsia="zh-CN"/>
          <w14:textFill>
            <w14:solidFill>
              <w14:schemeClr w14:val="tx1"/>
            </w14:solidFill>
          </w14:textFill>
        </w:rPr>
      </w:pPr>
      <w:r>
        <w:rPr>
          <w:rFonts w:hint="default" w:ascii="Times New Roman" w:hAnsi="Times New Roman" w:eastAsia="宋体" w:cs="Times New Roman"/>
          <w:b/>
          <w:color w:val="000000" w:themeColor="text1"/>
          <w:sz w:val="44"/>
          <w:szCs w:val="44"/>
          <w:shd w:val="clear" w:color="auto" w:fill="FFFFFF"/>
          <w:lang w:val="en-US" w:eastAsia="zh-CN"/>
          <w14:textFill>
            <w14:solidFill>
              <w14:schemeClr w14:val="tx1"/>
            </w14:solidFill>
          </w14:textFill>
        </w:rPr>
        <w:t>九寨沟县纪律检查委员会</w:t>
      </w:r>
    </w:p>
    <w:p w14:paraId="2D4A976A">
      <w:pPr>
        <w:widowControl/>
        <w:spacing w:line="580" w:lineRule="exact"/>
        <w:contextualSpacing/>
        <w:jc w:val="center"/>
        <w:rPr>
          <w:rFonts w:hint="default" w:ascii="Times New Roman" w:hAnsi="Times New Roman" w:eastAsia="黑体" w:cs="Times New Roman"/>
          <w:color w:val="000000" w:themeColor="text1"/>
          <w:kern w:val="0"/>
          <w:sz w:val="24"/>
          <w:szCs w:val="32"/>
          <w:shd w:val="clear" w:color="auto" w:fill="FFFFFF"/>
          <w14:textFill>
            <w14:solidFill>
              <w14:schemeClr w14:val="tx1"/>
            </w14:solidFill>
          </w14:textFill>
        </w:rPr>
      </w:pPr>
      <w:r>
        <w:rPr>
          <w:rFonts w:hint="default" w:ascii="Times New Roman" w:hAnsi="Times New Roman" w:eastAsia="宋体" w:cs="Times New Roman"/>
          <w:b/>
          <w:color w:val="000000" w:themeColor="text1"/>
          <w:sz w:val="44"/>
          <w:szCs w:val="44"/>
          <w:shd w:val="clear" w:color="auto" w:fill="FFFFFF"/>
          <w:lang w:val="en-US" w:eastAsia="zh-CN"/>
          <w14:textFill>
            <w14:solidFill>
              <w14:schemeClr w14:val="tx1"/>
            </w14:solidFill>
          </w14:textFill>
        </w:rPr>
        <w:t>关于</w:t>
      </w:r>
      <w:r>
        <w:rPr>
          <w:rFonts w:hint="default" w:ascii="Times New Roman" w:hAnsi="Times New Roman" w:eastAsia="宋体" w:cs="Times New Roman"/>
          <w:b/>
          <w:color w:val="000000" w:themeColor="text1"/>
          <w:sz w:val="44"/>
          <w:szCs w:val="44"/>
          <w:shd w:val="clear" w:color="auto" w:fill="FFFFFF"/>
          <w14:textFill>
            <w14:solidFill>
              <w14:schemeClr w14:val="tx1"/>
            </w14:solidFill>
          </w14:textFill>
        </w:rPr>
        <w:t>202</w:t>
      </w:r>
      <w:r>
        <w:rPr>
          <w:rFonts w:hint="eastAsia" w:cs="Times New Roman"/>
          <w:b/>
          <w:color w:val="000000" w:themeColor="text1"/>
          <w:sz w:val="44"/>
          <w:szCs w:val="44"/>
          <w:shd w:val="clear" w:color="auto" w:fill="FFFFFF"/>
          <w:lang w:val="en-US" w:eastAsia="zh-CN"/>
          <w14:textFill>
            <w14:solidFill>
              <w14:schemeClr w14:val="tx1"/>
            </w14:solidFill>
          </w14:textFill>
        </w:rPr>
        <w:t>5</w:t>
      </w:r>
      <w:r>
        <w:rPr>
          <w:rFonts w:hint="default" w:ascii="Times New Roman" w:hAnsi="Times New Roman" w:eastAsia="宋体" w:cs="Times New Roman"/>
          <w:b/>
          <w:color w:val="000000" w:themeColor="text1"/>
          <w:sz w:val="44"/>
          <w:szCs w:val="44"/>
          <w:shd w:val="clear" w:color="auto" w:fill="FFFFFF"/>
          <w14:textFill>
            <w14:solidFill>
              <w14:schemeClr w14:val="tx1"/>
            </w14:solidFill>
          </w14:textFill>
        </w:rPr>
        <w:t>年</w:t>
      </w:r>
      <w:r>
        <w:rPr>
          <w:rFonts w:hint="eastAsia" w:cs="Times New Roman"/>
          <w:b/>
          <w:color w:val="000000" w:themeColor="text1"/>
          <w:sz w:val="44"/>
          <w:szCs w:val="44"/>
          <w:shd w:val="clear" w:color="auto" w:fill="FFFFFF"/>
          <w:lang w:val="en-US" w:eastAsia="zh-CN"/>
          <w14:textFill>
            <w14:solidFill>
              <w14:schemeClr w14:val="tx1"/>
            </w14:solidFill>
          </w14:textFill>
        </w:rPr>
        <w:t>单位</w:t>
      </w:r>
      <w:r>
        <w:rPr>
          <w:rFonts w:hint="default" w:ascii="Times New Roman" w:hAnsi="Times New Roman" w:eastAsia="宋体" w:cs="Times New Roman"/>
          <w:b/>
          <w:color w:val="000000" w:themeColor="text1"/>
          <w:sz w:val="44"/>
          <w:szCs w:val="44"/>
          <w:shd w:val="clear" w:color="auto" w:fill="FFFFFF"/>
          <w14:textFill>
            <w14:solidFill>
              <w14:schemeClr w14:val="tx1"/>
            </w14:solidFill>
          </w14:textFill>
        </w:rPr>
        <w:t>整体支出绩效评价报告</w:t>
      </w:r>
    </w:p>
    <w:p w14:paraId="4C62DAF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t>一、部门（单位）概况</w:t>
      </w:r>
    </w:p>
    <w:p w14:paraId="1DB03376">
      <w:pPr>
        <w:spacing w:line="560" w:lineRule="exact"/>
        <w:ind w:firstLine="643" w:firstLineChars="200"/>
        <w:rPr>
          <w:rFonts w:hint="default" w:ascii="Times New Roman" w:hAnsi="Times New Roman" w:eastAsia="楷体" w:cs="Times New Roman"/>
          <w:b/>
          <w:bCs/>
          <w:color w:val="000000" w:themeColor="text1"/>
          <w:sz w:val="32"/>
          <w:szCs w:val="32"/>
          <w:lang w:val="zh-CN"/>
          <w14:textFill>
            <w14:solidFill>
              <w14:schemeClr w14:val="tx1"/>
            </w14:solidFill>
          </w14:textFill>
        </w:rPr>
      </w:pPr>
      <w:r>
        <w:rPr>
          <w:rFonts w:hint="default" w:ascii="Times New Roman" w:hAnsi="Times New Roman" w:eastAsia="楷体" w:cs="Times New Roman"/>
          <w:b/>
          <w:bCs/>
          <w:color w:val="000000" w:themeColor="text1"/>
          <w:sz w:val="32"/>
          <w:szCs w:val="32"/>
          <w:lang w:val="zh-CN"/>
          <w14:textFill>
            <w14:solidFill>
              <w14:schemeClr w14:val="tx1"/>
            </w14:solidFill>
          </w14:textFill>
        </w:rPr>
        <w:t>（一）机构组成</w:t>
      </w:r>
    </w:p>
    <w:p w14:paraId="7D940EB0">
      <w:pPr>
        <w:spacing w:line="552" w:lineRule="exact"/>
        <w:ind w:firstLine="645"/>
        <w:textAlignment w:val="baseline"/>
        <w:rPr>
          <w:rFonts w:hint="default" w:ascii="Times New Roman" w:hAnsi="Times New Roman" w:eastAsia="仿宋" w:cs="Times New Roman"/>
          <w:color w:val="000000" w:themeColor="text1"/>
          <w:sz w:val="32"/>
          <w:szCs w:val="32"/>
          <w:lang w:val="zh-C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县纪委监委</w:t>
      </w:r>
      <w:r>
        <w:rPr>
          <w:rFonts w:hint="default" w:ascii="Times New Roman" w:hAnsi="Times New Roman" w:eastAsia="仿宋" w:cs="Times New Roman"/>
          <w:color w:val="000000" w:themeColor="text1"/>
          <w:sz w:val="32"/>
          <w:szCs w:val="32"/>
          <w:lang w:eastAsia="zh-CN"/>
          <w14:textFill>
            <w14:solidFill>
              <w14:schemeClr w14:val="tx1"/>
            </w14:solidFill>
          </w14:textFill>
        </w:rPr>
        <w:t>合署办公，</w:t>
      </w:r>
      <w:r>
        <w:rPr>
          <w:rFonts w:hint="default" w:ascii="Times New Roman" w:hAnsi="Times New Roman" w:eastAsia="仿宋" w:cs="Times New Roman"/>
          <w:color w:val="000000" w:themeColor="text1"/>
          <w:sz w:val="32"/>
          <w:szCs w:val="32"/>
          <w14:textFill>
            <w14:solidFill>
              <w14:schemeClr w14:val="tx1"/>
            </w14:solidFill>
          </w14:textFill>
        </w:rPr>
        <w:t>属于</w:t>
      </w:r>
      <w:r>
        <w:rPr>
          <w:rFonts w:hint="default" w:ascii="Times New Roman" w:hAnsi="Times New Roman" w:eastAsia="仿宋" w:cs="Times New Roman"/>
          <w:color w:val="000000" w:themeColor="text1"/>
          <w:sz w:val="32"/>
          <w:szCs w:val="32"/>
          <w:lang w:eastAsia="zh-CN"/>
          <w14:textFill>
            <w14:solidFill>
              <w14:schemeClr w14:val="tx1"/>
            </w14:solidFill>
          </w14:textFill>
        </w:rPr>
        <w:t>一级预算</w:t>
      </w:r>
      <w:r>
        <w:rPr>
          <w:rFonts w:hint="default" w:ascii="Times New Roman" w:hAnsi="Times New Roman" w:eastAsia="仿宋" w:cs="Times New Roman"/>
          <w:color w:val="000000" w:themeColor="text1"/>
          <w:sz w:val="32"/>
          <w:szCs w:val="32"/>
          <w14:textFill>
            <w14:solidFill>
              <w14:schemeClr w14:val="tx1"/>
            </w14:solidFill>
          </w14:textFill>
        </w:rPr>
        <w:t>单位</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,内设机构为9个</w:t>
      </w:r>
      <w:r>
        <w:rPr>
          <w:rFonts w:hint="default" w:ascii="Times New Roman" w:hAnsi="Times New Roman" w:eastAsia="仿宋" w:cs="Times New Roman"/>
          <w:color w:val="000000" w:themeColor="text1"/>
          <w:sz w:val="32"/>
          <w:szCs w:val="32"/>
          <w:shd w:val="clear" w:color="auto" w:fill="FFFFFF"/>
          <w14:textFill>
            <w14:solidFill>
              <w14:schemeClr w14:val="tx1"/>
            </w14:solidFill>
          </w14:textFill>
        </w:rPr>
        <w:t>，</w:t>
      </w:r>
      <w:r>
        <w:rPr>
          <w:rFonts w:hint="default" w:ascii="Times New Roman" w:hAnsi="Times New Roman" w:eastAsia="仿宋" w:cs="Times New Roman"/>
          <w:color w:val="000000" w:themeColor="text1"/>
          <w:sz w:val="32"/>
          <w:szCs w:val="32"/>
          <w:shd w:val="clear" w:color="auto" w:fill="FFFFFF"/>
          <w:lang w:eastAsia="zh-CN"/>
          <w14:textFill>
            <w14:solidFill>
              <w14:schemeClr w14:val="tx1"/>
            </w14:solidFill>
          </w14:textFill>
        </w:rPr>
        <w:t>分别为</w:t>
      </w:r>
      <w:r>
        <w:rPr>
          <w:rFonts w:hint="default" w:ascii="Times New Roman" w:hAnsi="Times New Roman" w:eastAsia="仿宋" w:cs="Times New Roman"/>
          <w:color w:val="000000" w:themeColor="text1"/>
          <w:sz w:val="32"/>
          <w:szCs w:val="32"/>
          <w:shd w:val="clear" w:color="auto" w:fill="FFFFFF"/>
          <w14:textFill>
            <w14:solidFill>
              <w14:schemeClr w14:val="tx1"/>
            </w14:solidFill>
          </w14:textFill>
        </w:rPr>
        <w:t>：办公室、党风政风监督室、信访室、案件监督管理室、第一纪检监察室、第二纪检监察室、第三纪检监察室、第四纪检监察室、案件审理</w:t>
      </w:r>
      <w:r>
        <w:rPr>
          <w:rFonts w:hint="default" w:ascii="Times New Roman" w:hAnsi="Times New Roman" w:eastAsia="仿宋" w:cs="Times New Roman"/>
          <w:color w:val="000000" w:themeColor="text1"/>
          <w:sz w:val="32"/>
          <w:szCs w:val="32"/>
          <w:shd w:val="clear" w:color="auto" w:fill="FFFFFF"/>
          <w:lang w:eastAsia="zh-CN"/>
          <w14:textFill>
            <w14:solidFill>
              <w14:schemeClr w14:val="tx1"/>
            </w14:solidFill>
          </w14:textFill>
        </w:rPr>
        <w:t>。</w:t>
      </w:r>
    </w:p>
    <w:p w14:paraId="492FE722">
      <w:pPr>
        <w:spacing w:line="560" w:lineRule="exact"/>
        <w:ind w:firstLine="643" w:firstLineChars="200"/>
        <w:rPr>
          <w:rFonts w:hint="default" w:ascii="Times New Roman" w:hAnsi="Times New Roman" w:eastAsia="楷体" w:cs="Times New Roman"/>
          <w:b/>
          <w:bCs/>
          <w:color w:val="000000" w:themeColor="text1"/>
          <w:sz w:val="32"/>
          <w:szCs w:val="32"/>
          <w:lang w:val="zh-CN"/>
          <w14:textFill>
            <w14:solidFill>
              <w14:schemeClr w14:val="tx1"/>
            </w14:solidFill>
          </w14:textFill>
        </w:rPr>
      </w:pPr>
      <w:r>
        <w:rPr>
          <w:rFonts w:hint="default" w:ascii="Times New Roman" w:hAnsi="Times New Roman" w:eastAsia="楷体" w:cs="Times New Roman"/>
          <w:b/>
          <w:bCs/>
          <w:color w:val="000000" w:themeColor="text1"/>
          <w:sz w:val="32"/>
          <w:szCs w:val="32"/>
          <w:lang w:val="zh-CN" w:eastAsia="zh-CN"/>
          <w14:textFill>
            <w14:solidFill>
              <w14:schemeClr w14:val="tx1"/>
            </w14:solidFill>
          </w14:textFill>
        </w:rPr>
        <w:t>（二）</w:t>
      </w:r>
      <w:r>
        <w:rPr>
          <w:rFonts w:hint="default" w:ascii="Times New Roman" w:hAnsi="Times New Roman" w:eastAsia="楷体" w:cs="Times New Roman"/>
          <w:b/>
          <w:bCs/>
          <w:color w:val="000000" w:themeColor="text1"/>
          <w:sz w:val="32"/>
          <w:szCs w:val="32"/>
          <w:lang w:val="zh-CN"/>
          <w14:textFill>
            <w14:solidFill>
              <w14:schemeClr w14:val="tx1"/>
            </w14:solidFill>
          </w14:textFill>
        </w:rPr>
        <w:t>机构职能</w:t>
      </w:r>
    </w:p>
    <w:p w14:paraId="212F3C0D">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lang w:val="zh-CN"/>
          <w14:textFill>
            <w14:solidFill>
              <w14:schemeClr w14:val="tx1"/>
            </w14:solidFill>
          </w14:textFill>
        </w:rPr>
        <w:t>1.负责全县党的纪律检查工</w:t>
      </w:r>
      <w:r>
        <w:rPr>
          <w:rFonts w:hint="default" w:ascii="Times New Roman" w:hAnsi="Times New Roman" w:eastAsia="仿宋" w:cs="Times New Roman"/>
          <w:color w:val="000000" w:themeColor="text1"/>
          <w:sz w:val="32"/>
          <w:szCs w:val="32"/>
          <w14:textFill>
            <w14:solidFill>
              <w14:schemeClr w14:val="tx1"/>
            </w14:solidFill>
          </w14:textFill>
        </w:rPr>
        <w:t>作。</w:t>
      </w:r>
    </w:p>
    <w:p w14:paraId="3E384CE0">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2.依照党的章程和其他党内法规履行监督、执纪、问责职责。负责经常对党员进行遵守纪律的教育。受理党员的控告和申诉。</w:t>
      </w:r>
    </w:p>
    <w:p w14:paraId="1A8B0917">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3.负责全县监察工作。</w:t>
      </w:r>
    </w:p>
    <w:p w14:paraId="412ACF73">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4.依照法律规定履行监督、调查、处置职责。推动开展廉政教育。</w:t>
      </w:r>
    </w:p>
    <w:p w14:paraId="195CB5B8">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5.负责组织协调全面从严治党、党风廉政建设和反腐败宣传教育工作。</w:t>
      </w:r>
    </w:p>
    <w:p w14:paraId="078429ED">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6.负责综合分析全面从严治党、党风廉政建设和反腐败工作情况。参与起草我县规范性文件。</w:t>
      </w:r>
    </w:p>
    <w:p w14:paraId="5CABAEA5">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7.在州纪委监委的领导下，加强对反腐败国际追逃追赃和防逃工作的组织协调，督促有关部门做好相关工作。</w:t>
      </w:r>
    </w:p>
    <w:p w14:paraId="6F0EC7A9">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8.根据干部管理权限，负责纪检监察系统队伍建设和组织建设。</w:t>
      </w:r>
    </w:p>
    <w:p w14:paraId="7C101A9B">
      <w:p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9.完成县委和州纪委监委交办的其他任务。</w:t>
      </w:r>
    </w:p>
    <w:p w14:paraId="275C50AA">
      <w:pPr>
        <w:spacing w:line="560" w:lineRule="exact"/>
        <w:ind w:firstLine="643" w:firstLineChars="200"/>
        <w:rPr>
          <w:rFonts w:hint="default" w:ascii="Times New Roman" w:hAnsi="Times New Roman" w:eastAsia="楷体" w:cs="Times New Roman"/>
          <w:b/>
          <w:bCs/>
          <w:color w:val="000000" w:themeColor="text1"/>
          <w:sz w:val="32"/>
          <w:szCs w:val="32"/>
          <w:lang w:val="zh-CN"/>
          <w14:textFill>
            <w14:solidFill>
              <w14:schemeClr w14:val="tx1"/>
            </w14:solidFill>
          </w14:textFill>
        </w:rPr>
      </w:pPr>
      <w:r>
        <w:rPr>
          <w:rFonts w:hint="default" w:ascii="Times New Roman" w:hAnsi="Times New Roman" w:eastAsia="楷体" w:cs="Times New Roman"/>
          <w:b/>
          <w:bCs/>
          <w:color w:val="000000" w:themeColor="text1"/>
          <w:sz w:val="32"/>
          <w:szCs w:val="32"/>
          <w:lang w:val="zh-CN"/>
          <w14:textFill>
            <w14:solidFill>
              <w14:schemeClr w14:val="tx1"/>
            </w14:solidFill>
          </w14:textFill>
        </w:rPr>
        <w:t>（三）人员概况</w:t>
      </w:r>
    </w:p>
    <w:p w14:paraId="6B672549">
      <w:pPr>
        <w:spacing w:line="560" w:lineRule="exact"/>
        <w:ind w:firstLine="640" w:firstLineChars="200"/>
        <w:rPr>
          <w:rFonts w:hint="default" w:ascii="Times New Roman" w:hAnsi="Times New Roman" w:eastAsia="方正小标宋简体" w:cs="Times New Roman"/>
          <w:b w:val="0"/>
          <w:bCs/>
          <w:color w:val="000000" w:themeColor="text1"/>
          <w:sz w:val="44"/>
          <w:szCs w:val="44"/>
          <w:highlight w:val="none"/>
          <w:shd w:val="clear" w:color="auto" w:fill="FFFFFF"/>
          <w14:textFill>
            <w14:solidFill>
              <w14:schemeClr w14:val="tx1"/>
            </w14:solidFill>
          </w14:textFill>
        </w:rPr>
      </w:pPr>
      <w:r>
        <w:rPr>
          <w:rFonts w:hint="default" w:ascii="Times New Roman" w:hAnsi="Times New Roman" w:eastAsia="仿宋" w:cs="Times New Roman"/>
          <w:color w:val="000000" w:themeColor="text1"/>
          <w:sz w:val="32"/>
          <w:szCs w:val="32"/>
          <w:lang w:val="zh-CN"/>
          <w14:textFill>
            <w14:solidFill>
              <w14:schemeClr w14:val="tx1"/>
            </w14:solidFill>
          </w14:textFill>
        </w:rPr>
        <w:t>县纪委监委编制数为</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48</w:t>
      </w:r>
      <w:r>
        <w:rPr>
          <w:rFonts w:hint="default" w:ascii="Times New Roman" w:hAnsi="Times New Roman" w:eastAsia="仿宋" w:cs="Times New Roman"/>
          <w:color w:val="000000" w:themeColor="text1"/>
          <w:sz w:val="32"/>
          <w:szCs w:val="32"/>
          <w14:textFill>
            <w14:solidFill>
              <w14:schemeClr w14:val="tx1"/>
            </w14:solidFill>
          </w14:textFill>
        </w:rPr>
        <w:t>人，其中行政编制4</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 w:cs="Times New Roman"/>
          <w:color w:val="000000" w:themeColor="text1"/>
          <w:sz w:val="32"/>
          <w:szCs w:val="32"/>
          <w14:textFill>
            <w14:solidFill>
              <w14:schemeClr w14:val="tx1"/>
            </w14:solidFill>
          </w14:textFill>
        </w:rPr>
        <w:t>人，行政工勤编制2人。年末实有人数</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48</w:t>
      </w:r>
      <w:r>
        <w:rPr>
          <w:rFonts w:hint="default" w:ascii="Times New Roman" w:hAnsi="Times New Roman" w:eastAsia="仿宋" w:cs="Times New Roman"/>
          <w:color w:val="000000" w:themeColor="text1"/>
          <w:sz w:val="32"/>
          <w:szCs w:val="32"/>
          <w14:textFill>
            <w14:solidFill>
              <w14:schemeClr w14:val="tx1"/>
            </w14:solidFill>
          </w14:textFill>
        </w:rPr>
        <w:t>人。</w:t>
      </w:r>
    </w:p>
    <w:p w14:paraId="5EC2F5B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t>二、部门资金收支情况</w:t>
      </w:r>
    </w:p>
    <w:p w14:paraId="58D9A115">
      <w:pPr>
        <w:spacing w:line="560" w:lineRule="exact"/>
        <w:ind w:firstLine="643" w:firstLineChars="200"/>
        <w:rPr>
          <w:rFonts w:hint="default" w:ascii="Times New Roman" w:hAnsi="Times New Roman" w:eastAsia="楷体_GB2312" w:cs="Times New Roman"/>
          <w:b/>
          <w:bCs/>
          <w:color w:val="000000" w:themeColor="text1"/>
          <w:kern w:val="0"/>
          <w:szCs w:val="32"/>
          <w:highlight w:val="none"/>
          <w:shd w:val="clear" w:color="auto" w:fill="FFFFFF"/>
          <w:lang w:val="en-US"/>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（一）收入情况。</w:t>
      </w:r>
      <w:r>
        <w:rPr>
          <w:rFonts w:hint="default" w:ascii="Times New Roman" w:hAnsi="Times New Roman" w:eastAsia="仿宋" w:cs="Times New Roman"/>
          <w:color w:val="000000" w:themeColor="text1"/>
          <w:sz w:val="32"/>
          <w:szCs w:val="32"/>
          <w14:textFill>
            <w14:solidFill>
              <w14:schemeClr w14:val="tx1"/>
            </w14:solidFill>
          </w14:textFill>
        </w:rPr>
        <w:t>按照综合预算的原则，县纪委监察所有收入均纳入部门预算管理。</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年度本年收入合计</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426.33</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万元，其中：一般公共预算财政拨款收入1</w:t>
      </w:r>
      <w:r>
        <w:rPr>
          <w:rFonts w:hint="eastAsia" w:eastAsia="仿宋_GB2312" w:cs="Times New Roman"/>
          <w:color w:val="000000" w:themeColor="text1"/>
          <w:sz w:val="32"/>
          <w:szCs w:val="32"/>
          <w:highlight w:val="none"/>
          <w:lang w:val="en-US" w:eastAsia="zh-CN"/>
          <w14:textFill>
            <w14:solidFill>
              <w14:schemeClr w14:val="tx1"/>
            </w14:solidFill>
          </w14:textFill>
        </w:rPr>
        <w:t>426.33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100</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1EE31475">
      <w:pPr>
        <w:spacing w:line="560" w:lineRule="exact"/>
        <w:ind w:firstLine="643" w:firstLineChars="200"/>
        <w:rPr>
          <w:rFonts w:hint="default" w:ascii="Times New Roman" w:hAnsi="Times New Roman" w:cs="Times New Roman"/>
          <w:color w:val="000000" w:themeColor="text1"/>
          <w:szCs w:val="32"/>
          <w:lang w:val="zh-CN" w:eastAsia="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（二）支出情况。</w:t>
      </w:r>
      <w:r>
        <w:rPr>
          <w:rFonts w:hint="default" w:ascii="Times New Roman" w:hAnsi="Times New Roman" w:eastAsia="仿宋" w:cs="Times New Roman"/>
          <w:color w:val="000000" w:themeColor="text1"/>
          <w:sz w:val="32"/>
          <w:szCs w:val="32"/>
          <w14:textFill>
            <w14:solidFill>
              <w14:schemeClr w14:val="tx1"/>
            </w14:solidFill>
          </w14:textFill>
        </w:rPr>
        <w:t>截止202</w:t>
      </w:r>
      <w:r>
        <w:rPr>
          <w:rFonts w:hint="eastAsia" w:eastAsia="仿宋"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 w:cs="Times New Roman"/>
          <w:color w:val="000000" w:themeColor="text1"/>
          <w:sz w:val="32"/>
          <w:szCs w:val="32"/>
          <w14:textFill>
            <w14:solidFill>
              <w14:schemeClr w14:val="tx1"/>
            </w14:solidFill>
          </w14:textFill>
        </w:rPr>
        <w:t>年</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12</w:t>
      </w:r>
      <w:r>
        <w:rPr>
          <w:rFonts w:hint="default" w:ascii="Times New Roman" w:hAnsi="Times New Roman" w:eastAsia="仿宋" w:cs="Times New Roman"/>
          <w:color w:val="000000" w:themeColor="text1"/>
          <w:sz w:val="32"/>
          <w:szCs w:val="32"/>
          <w14:textFill>
            <w14:solidFill>
              <w14:schemeClr w14:val="tx1"/>
            </w14:solidFill>
          </w14:textFill>
        </w:rPr>
        <w:t>月3</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1</w:t>
      </w:r>
      <w:r>
        <w:rPr>
          <w:rFonts w:hint="default" w:ascii="Times New Roman" w:hAnsi="Times New Roman" w:eastAsia="仿宋" w:cs="Times New Roman"/>
          <w:color w:val="000000" w:themeColor="text1"/>
          <w:sz w:val="32"/>
          <w:szCs w:val="32"/>
          <w14:textFill>
            <w14:solidFill>
              <w14:schemeClr w14:val="tx1"/>
            </w14:solidFill>
          </w14:textFill>
        </w:rPr>
        <w:t>日</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202</w:t>
      </w:r>
      <w:r>
        <w:rPr>
          <w:rFonts w:hint="eastAsia" w:eastAsia="仿宋_GB2312" w:cs="Times New Roman"/>
          <w:color w:val="000000" w:themeColor="text1"/>
          <w:sz w:val="32"/>
          <w:szCs w:val="32"/>
          <w:highlight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年度本年支出合计</w:t>
      </w:r>
      <w:r>
        <w:rPr>
          <w:rFonts w:hint="eastAsia" w:eastAsia="仿宋_GB2312" w:cs="Times New Roman"/>
          <w:color w:val="000000" w:themeColor="text1"/>
          <w:sz w:val="32"/>
          <w:szCs w:val="32"/>
          <w:highlight w:val="none"/>
          <w:lang w:val="en-US" w:eastAsia="zh-CN"/>
          <w14:textFill>
            <w14:solidFill>
              <w14:schemeClr w14:val="tx1"/>
            </w14:solidFill>
          </w14:textFill>
        </w:rPr>
        <w:t>1426.33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万元，其中：基本支出</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388.31</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9</w:t>
      </w:r>
      <w:r>
        <w:rPr>
          <w:rFonts w:hint="eastAsia" w:eastAsia="仿宋_GB2312" w:cs="Times New Roman"/>
          <w:color w:val="000000" w:themeColor="text1"/>
          <w:sz w:val="32"/>
          <w:szCs w:val="32"/>
          <w:highlight w:val="none"/>
          <w:lang w:val="en-US" w:eastAsia="zh-CN"/>
          <w14:textFill>
            <w14:solidFill>
              <w14:schemeClr w14:val="tx1"/>
            </w14:solidFill>
          </w14:textFill>
        </w:rPr>
        <w:t>7.33</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%；项目支出</w:t>
      </w:r>
      <w:r>
        <w:rPr>
          <w:rFonts w:hint="eastAsia" w:eastAsia="仿宋_GB2312" w:cs="Times New Roman"/>
          <w:color w:val="000000" w:themeColor="text1"/>
          <w:sz w:val="32"/>
          <w:szCs w:val="32"/>
          <w:highlight w:val="none"/>
          <w:lang w:val="en-US" w:eastAsia="zh-CN"/>
          <w14:textFill>
            <w14:solidFill>
              <w14:schemeClr w14:val="tx1"/>
            </w14:solidFill>
          </w14:textFill>
        </w:rPr>
        <w:t>38.02</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万元，占</w:t>
      </w:r>
      <w:r>
        <w:rPr>
          <w:rFonts w:hint="eastAsia" w:eastAsia="仿宋_GB2312" w:cs="Times New Roman"/>
          <w:color w:val="000000" w:themeColor="text1"/>
          <w:sz w:val="32"/>
          <w:szCs w:val="32"/>
          <w:highlight w:val="none"/>
          <w:lang w:val="en-US" w:eastAsia="zh-CN"/>
          <w14:textFill>
            <w14:solidFill>
              <w14:schemeClr w14:val="tx1"/>
            </w14:solidFill>
          </w14:textFill>
        </w:rPr>
        <w:t>2.67</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w:t>
      </w:r>
    </w:p>
    <w:p w14:paraId="54CFDE0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t>三、部门预算绩效分析</w:t>
      </w:r>
    </w:p>
    <w:p w14:paraId="3A3C39F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color w:val="000000" w:themeColor="text1"/>
          <w:kern w:val="2"/>
          <w:sz w:val="32"/>
          <w:szCs w:val="32"/>
          <w:highlight w:val="none"/>
          <w:lang w:val="zh-CN" w:eastAsia="zh-CN" w:bidi="ar-SA"/>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（一）</w:t>
      </w:r>
      <w:r>
        <w:rPr>
          <w:rFonts w:hint="default" w:ascii="Times New Roman" w:hAnsi="Times New Roman" w:eastAsia="楷体_GB2312" w:cs="Times New Roman"/>
          <w:b/>
          <w:bCs/>
          <w:color w:val="000000" w:themeColor="text1"/>
          <w:kern w:val="0"/>
          <w:sz w:val="32"/>
          <w:szCs w:val="32"/>
          <w:highlight w:val="none"/>
          <w:shd w:val="clear" w:color="auto" w:fill="FFFFFF"/>
          <w:lang w:val="zh-CN" w:eastAsia="zh-CN" w:bidi="ar-SA"/>
          <w14:textFill>
            <w14:solidFill>
              <w14:schemeClr w14:val="tx1"/>
            </w14:solidFill>
          </w14:textFill>
        </w:rPr>
        <w:t>履职效能</w:t>
      </w:r>
      <w:r>
        <w:rPr>
          <w:rFonts w:hint="default" w:ascii="Times New Roman" w:hAnsi="Times New Roman" w:eastAsia="仿宋_GB2312" w:cs="Times New Roman"/>
          <w:color w:val="000000" w:themeColor="text1"/>
          <w:kern w:val="2"/>
          <w:sz w:val="32"/>
          <w:szCs w:val="32"/>
          <w:highlight w:val="none"/>
          <w:lang w:val="zh-CN" w:eastAsia="zh-CN" w:bidi="ar-SA"/>
          <w14:textFill>
            <w14:solidFill>
              <w14:schemeClr w14:val="tx1"/>
            </w14:solidFill>
          </w14:textFill>
        </w:rPr>
        <w:t>。</w:t>
      </w:r>
    </w:p>
    <w:p w14:paraId="23970112">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方正黑体_GBK" w:cs="Times New Roman"/>
          <w:b w:val="0"/>
          <w:bCs w:val="0"/>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一、</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全力</w:t>
      </w:r>
      <w:r>
        <w:rPr>
          <w:rFonts w:hint="eastAsia" w:ascii="仿宋_GB2312" w:hAnsi="仿宋_GB2312" w:eastAsia="仿宋_GB2312" w:cs="仿宋_GB2312"/>
          <w:b/>
          <w:bCs/>
          <w:color w:val="000000" w:themeColor="text1"/>
          <w:sz w:val="32"/>
          <w:szCs w:val="32"/>
          <w14:textFill>
            <w14:solidFill>
              <w14:schemeClr w14:val="tx1"/>
            </w14:solidFill>
          </w14:textFill>
        </w:rPr>
        <w:t>聚焦政治监督，保障决策部署落地</w:t>
      </w:r>
    </w:p>
    <w:p w14:paraId="44FD2113">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始终将政治监督融入全县经济社会发展大局中去谋划和推进，聚焦高质量发展、乡村振兴、生态环保、安全生产等重点领域，通过制定监督清单、开展专项检查、参与重要会议等方式，尝试推动监督具体化、常态化。截止10月30日，组织开展相关专项监督10余次，发现并督促整改问题22个</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严把选人用人关，累计回复党风政风意见80余件，涉及3300余人。</w:t>
      </w:r>
    </w:p>
    <w:p w14:paraId="2A43C64B">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方正黑体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二</w:t>
      </w:r>
      <w:r>
        <w:rPr>
          <w:rFonts w:hint="default" w:ascii="仿宋_GB2312" w:hAnsi="仿宋_GB2312" w:eastAsia="仿宋_GB2312" w:cs="仿宋_GB2312"/>
          <w:b/>
          <w:bCs/>
          <w:color w:val="000000" w:themeColor="text1"/>
          <w:sz w:val="32"/>
          <w:szCs w:val="32"/>
          <w:lang w:eastAsia="zh-CN"/>
          <w14:textFill>
            <w14:solidFill>
              <w14:schemeClr w14:val="tx1"/>
            </w14:solidFill>
          </w14:textFill>
        </w:rPr>
        <w:t>、高压态势护发展，精准监督提效能</w:t>
      </w:r>
    </w:p>
    <w:p w14:paraId="3F24E82C">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（一）强化日常监督，</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制定《党风廉政建设主体责任检查清单》，采取“听汇报、查台账、个别谈、实地看”等方式，组织12个乡镇纪委和4个派驻纪检组开展全覆盖检查。重点核查“两个责任” 清单落实、廉政风险防控、案件查办等情况，发现共性问题 18个、个性问题35个，现场反馈并责令限期整改。通过“责任清单+履责记实”模式，推动12个乡镇和54个部门完善主体责任台账，督促党组织负责人开展廉政谈话200余人次，压实管党治党政治责任。针对检查中发现的基层监督力量薄弱问题，协调开展专题培训3期，覆盖纪检干部150余人次。</w:t>
      </w:r>
    </w:p>
    <w:p w14:paraId="7E9CCA95">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Times New Roman" w:hAnsi="Times New Roman" w:eastAsia="方正黑体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（二）推进重点领域监督检查。</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督针对节假日纪律执行、重点项目推进、民生领域政策落实等关键事项，开展专项督查17次，依托 “室组地” 联动机制，对生态环保、安全生产等领域开展明察暗访，累计发现并督促整改问题32个，推动相关单位建立长效监管机制6项，切实以监督实效护航县域发展。</w:t>
      </w:r>
    </w:p>
    <w:p w14:paraId="60FB31BF">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（三）强化巡察整改情况督查。</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成立专项督查组，对五届县委第四轮12个被巡察单位开展“拉网式”检查，推动巡察反馈的394个问题整改到位239个，整改完成率60.6%。针对共性问题提出意见建议8条，对 155 个未整改到位问题实行“一对一”督办，针对农村集体 “三资” 管理不规范、项目建设滞后等问题约谈2人。</w:t>
      </w:r>
    </w:p>
    <w:p w14:paraId="2DF1C10F">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（四）深化换届选举风气监督。</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印发《村（社区）换届选举风气监督实施方案》，编制《村（居）务监督委员会换届选举实事方案》明确监督标准与流程；组织乡镇纪委、村务监督委员会开展业务培训，提升监督队伍专业能力；成立专项监督组，聚焦选举全流程开展蹲点检查，重点核查候选人资格审查、投票程序规范等关键环节。</w:t>
      </w:r>
    </w:p>
    <w:p w14:paraId="6A8084BB">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三、</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紧盯群众关切，整治群众身边腐败</w:t>
      </w:r>
    </w:p>
    <w:p w14:paraId="1B210E4C">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2025年以来，严格落实中央纪委“再抓两年”部署要求，以7个专项和16件民生实事为核心抓手，完善《集中整治群众身边不正之风和腐败问题方案》，同步调整领导小组，实行清单化管理、挂图式作战，向2名分管副县长及15个牵头部门“一把手”派发工作提示，累计召开工作专班会、部门联席会等36次。开展专项监督检查40余次，累计收集群众诉求4840件，办结4734件。2025年共受理群众身边不正之风和腐败问题线索148条，立案51人。7个专项线索受理均破零，7个专项立案破零6个。向职能部门制发《纪检监察建议书》8份，督促其自查整改问题100余个，同步推动建立健全制度机制62项，切实以监督实效护航民生。</w:t>
      </w:r>
    </w:p>
    <w:p w14:paraId="514B78D7">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四</w:t>
      </w:r>
      <w:r>
        <w:rPr>
          <w:rFonts w:hint="eastAsia" w:ascii="仿宋_GB2312" w:hAnsi="仿宋_GB2312" w:eastAsia="仿宋_GB2312" w:cs="仿宋_GB2312"/>
          <w:b/>
          <w:bCs/>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持续高压震慑，强化案件查办质效</w:t>
      </w:r>
    </w:p>
    <w:p w14:paraId="17476F97">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2021年11月至2025年12月，共受理问题线索796件，精准处置问题线索754件，立案302件325人（同级党委管理的干部立案67人），留置 11人（留置同级党委管理的干部7人），移送司法机关9人，给予组织处理236人，给予党纪政务处分322人，挽回经济损失1136.78万元。</w:t>
      </w:r>
    </w:p>
    <w:p w14:paraId="69308A51">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五、</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推进“三化”建设，提升监督执纪效能</w:t>
      </w:r>
    </w:p>
    <w:p w14:paraId="76312B15">
      <w:pPr>
        <w:keepNext w:val="0"/>
        <w:keepLines w:val="0"/>
        <w:pageBreakBefore w:val="0"/>
        <w:widowControl w:val="0"/>
        <w:kinsoku/>
        <w:wordWrap/>
        <w:overflowPunct/>
        <w:topLinePunct w:val="0"/>
        <w:autoSpaceDE/>
        <w:autoSpaceDN/>
        <w:bidi w:val="0"/>
        <w:spacing w:beforeAutospacing="0" w:afterAutospacing="0" w:line="576" w:lineRule="exact"/>
        <w:ind w:left="0" w:leftChars="0" w:right="0" w:rightChars="0" w:firstLine="640" w:firstLineChars="200"/>
        <w:textAlignment w:val="auto"/>
        <w:rPr>
          <w:rFonts w:hint="default" w:ascii="Times New Roman" w:hAnsi="Times New Roman" w:eastAsia="方正仿宋_GBK" w:cs="方正仿宋_GBK"/>
          <w:b w:val="0"/>
          <w:bCs w:val="0"/>
          <w:color w:val="000000" w:themeColor="text1"/>
          <w:spacing w:val="6"/>
          <w:kern w:val="2"/>
          <w:sz w:val="32"/>
          <w:szCs w:val="32"/>
          <w:lang w:val="en-US" w:eastAsia="zh-CN" w:bidi="ar-SA"/>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制定《纪检监察系统“三化”建设年实施方案》，从制度建设、能力提升、信息化建设三方面统筹推进。完善《监督检查工作规程》《案件质量评查办法》等制度文件</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10</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项，规范监督检查、审查调查流程</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采取调整内部人员编制的方式，审查调查一线占内设机构编制总数的63.15%。</w:t>
      </w:r>
      <w:r>
        <w:rPr>
          <w:rFonts w:hint="eastAsia" w:ascii="Times New Roman" w:hAnsi="Times New Roman" w:eastAsia="方正仿宋_GBK" w:cs="方正仿宋_GBK"/>
          <w:b w:val="0"/>
          <w:bCs w:val="0"/>
          <w:color w:val="000000" w:themeColor="text1"/>
          <w:spacing w:val="6"/>
          <w:kern w:val="2"/>
          <w:sz w:val="32"/>
          <w:szCs w:val="32"/>
          <w:lang w:val="en-US" w:eastAsia="zh-CN" w:bidi="ar-SA"/>
          <w14:textFill>
            <w14:solidFill>
              <w14:schemeClr w14:val="tx1"/>
            </w14:solidFill>
          </w14:textFill>
        </w:rPr>
        <w:t>建立县属国企派驻纪检监察组织4个，配备县医院、县中学等事业单位专职纪委书记4人。巡察办（含县委巡察组）的9名行政编制调整至纪委监委机关列编。</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开展“业务大练兵”活动，组织专题培训5期、跟案学习20人次，选派3名干部到省州纪委跟班锻炼，提升专业化水平</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方正仿宋_GBK"/>
          <w:b w:val="0"/>
          <w:bCs w:val="0"/>
          <w:color w:val="000000" w:themeColor="text1"/>
          <w:spacing w:val="6"/>
          <w:kern w:val="2"/>
          <w:sz w:val="32"/>
          <w:szCs w:val="32"/>
          <w:lang w:val="en-US" w:eastAsia="zh-CN" w:bidi="ar-SA"/>
          <w14:textFill>
            <w14:solidFill>
              <w14:schemeClr w14:val="tx1"/>
            </w14:solidFill>
          </w14:textFill>
        </w:rPr>
        <w:t>推进“智慧纪检监察” 建设，升级党风政风监督平台，实现问题线索线上管理、处置流程全程</w:t>
      </w:r>
      <w:r>
        <w:rPr>
          <w:rFonts w:hint="eastAsia" w:ascii="Times New Roman" w:hAnsi="Times New Roman" w:eastAsia="方正仿宋_GBK" w:cs="方正仿宋_GBK"/>
          <w:b w:val="0"/>
          <w:bCs w:val="0"/>
          <w:color w:val="000000" w:themeColor="text1"/>
          <w:spacing w:val="6"/>
          <w:kern w:val="2"/>
          <w:sz w:val="32"/>
          <w:szCs w:val="32"/>
          <w:lang w:val="en-US" w:eastAsia="zh-CN" w:bidi="ar-SA"/>
          <w14:textFill>
            <w14:solidFill>
              <w14:schemeClr w14:val="tx1"/>
            </w14:solidFill>
          </w14:textFill>
        </w:rPr>
        <w:t>。</w:t>
      </w:r>
    </w:p>
    <w:p w14:paraId="495C306A">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六、持续</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深化正风肃纪，持之以恒纠“四风”</w:t>
      </w:r>
    </w:p>
    <w:p w14:paraId="7E4AE9CE">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持续深化中央八项规定精神落实，对发现的违规收送礼品礼金、违规吃喝、违规发放津补贴等顽瘴痼疾，坚持露头就打、从严查处，截止10月30日，开展正风肃纪监督检查12次，查处“四风”问题4个，处分4人。</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同时，</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加强廉洁教育</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，累计组织开展会前学纪</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320余</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次，覆盖</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15000</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人次，</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利用清风九寨公众号向全县干部发送各类廉洁提醒5条，发放各类警示教育宣传资料1000余份，切实筑牢思想防线。</w:t>
      </w:r>
    </w:p>
    <w:p w14:paraId="06093237">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eastAsia="zh-CN"/>
          <w14:textFill>
            <w14:solidFill>
              <w14:schemeClr w14:val="tx1"/>
            </w14:solidFill>
          </w14:textFill>
        </w:rPr>
        <w:t>七、</w:t>
      </w:r>
      <w:r>
        <w:rPr>
          <w:rFonts w:hint="eastAsia" w:ascii="仿宋_GB2312" w:hAnsi="仿宋_GB2312" w:eastAsia="仿宋_GB2312" w:cs="仿宋_GB2312"/>
          <w:b/>
          <w:bCs/>
          <w:color w:val="000000" w:themeColor="text1"/>
          <w:sz w:val="32"/>
          <w:szCs w:val="32"/>
          <w14:textFill>
            <w14:solidFill>
              <w14:schemeClr w14:val="tx1"/>
            </w14:solidFill>
          </w14:textFill>
        </w:rPr>
        <w:t>发挥巡察利剑，做实巡察后半篇文章</w:t>
      </w:r>
    </w:p>
    <w:p w14:paraId="56C355BE">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（一）</w:t>
      </w:r>
      <w:r>
        <w:rPr>
          <w:rFonts w:hint="eastAsia" w:ascii="仿宋_GB2312" w:hAnsi="仿宋_GB2312" w:eastAsia="仿宋_GB2312" w:cs="仿宋_GB2312"/>
          <w:b/>
          <w:bCs/>
          <w:color w:val="000000" w:themeColor="text1"/>
          <w:sz w:val="32"/>
          <w:szCs w:val="32"/>
          <w14:textFill>
            <w14:solidFill>
              <w14:schemeClr w14:val="tx1"/>
            </w14:solidFill>
          </w14:textFill>
        </w:rPr>
        <w:t>实现巡察监督全覆盖</w:t>
      </w:r>
      <w:r>
        <w:rPr>
          <w:rFonts w:hint="default" w:ascii="仿宋_GB2312" w:hAnsi="仿宋_GB2312" w:eastAsia="仿宋_GB2312" w:cs="仿宋_GB2312"/>
          <w:b/>
          <w:bCs/>
          <w:color w:val="000000" w:themeColor="text1"/>
          <w:sz w:val="32"/>
          <w:szCs w:val="32"/>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采取常规巡察暨联动巡察的方式，深入开展五届县委第</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六、</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七轮巡察</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。预计年底</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完成了对285个党组织（含村、社区党组织）的常规巡察，</w:t>
      </w:r>
      <w:r>
        <w:rPr>
          <w:rFonts w:hint="eastAsia" w:ascii="Times New Roman" w:hAnsi="Times New Roman" w:eastAsia="方正仿宋_GBK" w:cs="Times New Roman"/>
          <w:b w:val="0"/>
          <w:bCs w:val="0"/>
          <w:color w:val="000000" w:themeColor="text1"/>
          <w:sz w:val="32"/>
          <w:szCs w:val="32"/>
          <w:lang w:val="en-US" w:eastAsia="zh-CN"/>
          <w14:textFill>
            <w14:solidFill>
              <w14:schemeClr w14:val="tx1"/>
            </w14:solidFill>
          </w14:textFill>
        </w:rPr>
        <w:t>实现五届县委任期内巡察全覆盖。</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目前</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第一阶段联动巡察县法院、县检察院、县教育局、县公安局等4个单位</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第二阶段</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计划</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常规巡察县委社工部、县信访局、县财政局、县中学、七一南坪中学等5个单位。</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同时</w:t>
      </w:r>
      <w:r>
        <w:rPr>
          <w:rFonts w:hint="default" w:ascii="Times New Roman" w:hAnsi="Times New Roman" w:eastAsia="方正仿宋_GBK" w:cs="Times New Roman"/>
          <w:b w:val="0"/>
          <w:bCs w:val="0"/>
          <w:color w:val="000000" w:themeColor="text1"/>
          <w:sz w:val="32"/>
          <w:szCs w:val="32"/>
          <w:lang w:eastAsia="zh-CN"/>
          <w14:textFill>
            <w14:solidFill>
              <w14:schemeClr w14:val="tx1"/>
            </w14:solidFill>
          </w14:textFill>
        </w:rPr>
        <w:t>主动接受省委第十巡视组关于巡察工作专项检查和州委第四巡察组的提级巡察</w:t>
      </w:r>
      <w:r>
        <w:rPr>
          <w:rFonts w:hint="eastAsia" w:ascii="Times New Roman" w:hAnsi="Times New Roman" w:eastAsia="方正仿宋_GBK" w:cs="Times New Roman"/>
          <w:b w:val="0"/>
          <w:bCs w:val="0"/>
          <w:color w:val="000000" w:themeColor="text1"/>
          <w:sz w:val="32"/>
          <w:szCs w:val="32"/>
          <w:lang w:eastAsia="zh-CN"/>
          <w14:textFill>
            <w14:solidFill>
              <w14:schemeClr w14:val="tx1"/>
            </w14:solidFill>
          </w14:textFill>
        </w:rPr>
        <w:t>。</w:t>
      </w:r>
    </w:p>
    <w:p w14:paraId="3E2D1858">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w:t>
      </w:r>
      <w:r>
        <w:rPr>
          <w:rFonts w:hint="default" w:ascii="仿宋_GB2312" w:hAnsi="仿宋_GB2312" w:eastAsia="仿宋_GB2312" w:cs="仿宋_GB2312"/>
          <w:b/>
          <w:bCs/>
          <w:color w:val="000000" w:themeColor="text1"/>
          <w:sz w:val="32"/>
          <w:szCs w:val="32"/>
          <w:lang w:val="en-US" w:eastAsia="zh-CN"/>
          <w14:textFill>
            <w14:solidFill>
              <w14:schemeClr w14:val="tx1"/>
            </w14:solidFill>
          </w14:textFill>
        </w:rPr>
        <w:t>压实巡察整改责任。</w:t>
      </w:r>
      <w:r>
        <w:rPr>
          <w:rFonts w:hint="default" w:ascii="Times New Roman" w:hAnsi="Times New Roman" w:eastAsia="方正仿宋_GBK" w:cs="Times New Roman"/>
          <w:b w:val="0"/>
          <w:bCs w:val="0"/>
          <w:color w:val="000000" w:themeColor="text1"/>
          <w:sz w:val="32"/>
          <w:szCs w:val="32"/>
          <w:lang w:val="en-US" w:eastAsia="zh-CN"/>
          <w14:textFill>
            <w14:solidFill>
              <w14:schemeClr w14:val="tx1"/>
            </w14:solidFill>
          </w14:textFill>
        </w:rPr>
        <w:t>以“发点球”的形式，对县林业和草原局、县驻蓉办、县供销社等被巡察单位巡察发现的有关问题，向县委组织部、县政府办、县财政局等部门进行交办，制发巡察工作提示单5份。</w:t>
      </w:r>
    </w:p>
    <w:p w14:paraId="35F12B7B">
      <w:pPr>
        <w:numPr>
          <w:ilvl w:val="0"/>
          <w:numId w:val="0"/>
        </w:numPr>
        <w:spacing w:line="560" w:lineRule="exact"/>
        <w:ind w:firstLine="643" w:firstLineChars="200"/>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w:t>
      </w:r>
      <w:r>
        <w:rPr>
          <w:rFonts w:hint="default" w:ascii="Times New Roman" w:hAnsi="Times New Roman" w:eastAsia="楷体" w:cs="Times New Roman"/>
          <w:b/>
          <w:bCs/>
          <w:color w:val="000000" w:themeColor="text1"/>
          <w:kern w:val="2"/>
          <w:sz w:val="32"/>
          <w:szCs w:val="32"/>
          <w:highlight w:val="none"/>
          <w:lang w:val="en-US" w:eastAsia="zh-CN" w:bidi="ar-SA"/>
          <w14:textFill>
            <w14:solidFill>
              <w14:schemeClr w14:val="tx1"/>
            </w14:solidFill>
          </w14:textFill>
        </w:rPr>
        <w:t>二</w:t>
      </w: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）预算管理。</w:t>
      </w:r>
    </w:p>
    <w:p w14:paraId="7EF911F4">
      <w:pPr>
        <w:numPr>
          <w:ilvl w:val="0"/>
          <w:numId w:val="0"/>
        </w:num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按照综合预算的原则，所有收入和支出均纳入部门预算管理。收入包括：一般公共预算拨款收入、上年结转；支出包括：一般公共服务支出、教育支出、社会保障和就业支出、医疗卫生与计划生育支出、住房保障支出。202</w:t>
      </w:r>
      <w:r>
        <w:rPr>
          <w:rFonts w:hint="eastAsia" w:eastAsia="仿宋"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 w:cs="Times New Roman"/>
          <w:color w:val="000000" w:themeColor="text1"/>
          <w:sz w:val="32"/>
          <w:szCs w:val="32"/>
          <w14:textFill>
            <w14:solidFill>
              <w14:schemeClr w14:val="tx1"/>
            </w14:solidFill>
          </w14:textFill>
        </w:rPr>
        <w:t>年收支总预算</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520.1</w:t>
      </w:r>
      <w:r>
        <w:rPr>
          <w:rFonts w:hint="default" w:ascii="Times New Roman" w:hAnsi="Times New Roman" w:eastAsia="仿宋" w:cs="Times New Roman"/>
          <w:color w:val="000000" w:themeColor="text1"/>
          <w:sz w:val="32"/>
          <w:szCs w:val="32"/>
          <w14:textFill>
            <w14:solidFill>
              <w14:schemeClr w14:val="tx1"/>
            </w14:solidFill>
          </w14:textFill>
        </w:rPr>
        <w:t>万元。</w:t>
      </w:r>
    </w:p>
    <w:p w14:paraId="4D234832">
      <w:pPr>
        <w:numPr>
          <w:ilvl w:val="0"/>
          <w:numId w:val="0"/>
        </w:numPr>
        <w:spacing w:line="560" w:lineRule="exact"/>
        <w:ind w:firstLine="643" w:firstLineChars="200"/>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w:t>
      </w:r>
      <w:r>
        <w:rPr>
          <w:rFonts w:hint="default" w:ascii="Times New Roman" w:hAnsi="Times New Roman" w:eastAsia="楷体" w:cs="Times New Roman"/>
          <w:b/>
          <w:bCs/>
          <w:color w:val="000000" w:themeColor="text1"/>
          <w:kern w:val="2"/>
          <w:sz w:val="32"/>
          <w:szCs w:val="32"/>
          <w:highlight w:val="none"/>
          <w:lang w:val="en-US" w:eastAsia="zh-CN" w:bidi="ar-SA"/>
          <w14:textFill>
            <w14:solidFill>
              <w14:schemeClr w14:val="tx1"/>
            </w14:solidFill>
          </w14:textFill>
        </w:rPr>
        <w:t>二</w:t>
      </w: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）预算管理。</w:t>
      </w:r>
    </w:p>
    <w:p w14:paraId="63275AA0">
      <w:pPr>
        <w:numPr>
          <w:ilvl w:val="0"/>
          <w:numId w:val="0"/>
        </w:numPr>
        <w:spacing w:line="560" w:lineRule="exact"/>
        <w:ind w:firstLine="640" w:firstLineChars="200"/>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按照综合预算的原则，所有收入和支出均纳入部门预算管理。收入包括：一般公共预算拨款收入、上年结转；支出包括：一般公共服务支出、教育支出、社会保障和就业支出、医疗卫生与计划生育支出、住房保障支出。202</w:t>
      </w:r>
      <w:r>
        <w:rPr>
          <w:rFonts w:hint="eastAsia" w:eastAsia="仿宋"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 w:cs="Times New Roman"/>
          <w:color w:val="000000" w:themeColor="text1"/>
          <w:sz w:val="32"/>
          <w:szCs w:val="32"/>
          <w14:textFill>
            <w14:solidFill>
              <w14:schemeClr w14:val="tx1"/>
            </w14:solidFill>
          </w14:textFill>
        </w:rPr>
        <w:t>年收支总预算</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1</w:t>
      </w:r>
      <w:r>
        <w:rPr>
          <w:rFonts w:hint="eastAsia" w:eastAsia="仿宋_GB2312" w:cs="Times New Roman"/>
          <w:color w:val="000000" w:themeColor="text1"/>
          <w:sz w:val="32"/>
          <w:szCs w:val="32"/>
          <w:highlight w:val="none"/>
          <w:lang w:val="en-US" w:eastAsia="zh-CN"/>
          <w14:textFill>
            <w14:solidFill>
              <w14:schemeClr w14:val="tx1"/>
            </w14:solidFill>
          </w14:textFill>
        </w:rPr>
        <w:t>426.33</w:t>
      </w:r>
      <w:r>
        <w:rPr>
          <w:rFonts w:hint="default" w:ascii="Times New Roman" w:hAnsi="Times New Roman" w:eastAsia="仿宋" w:cs="Times New Roman"/>
          <w:color w:val="000000" w:themeColor="text1"/>
          <w:sz w:val="32"/>
          <w:szCs w:val="32"/>
          <w14:textFill>
            <w14:solidFill>
              <w14:schemeClr w14:val="tx1"/>
            </w14:solidFill>
          </w14:textFill>
        </w:rPr>
        <w:t>万元。</w:t>
      </w:r>
    </w:p>
    <w:p w14:paraId="3D0E5F36">
      <w:pPr>
        <w:numPr>
          <w:ilvl w:val="0"/>
          <w:numId w:val="0"/>
        </w:numPr>
        <w:spacing w:line="560" w:lineRule="exact"/>
        <w:ind w:firstLine="643" w:firstLineChars="200"/>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pP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w:t>
      </w:r>
      <w:r>
        <w:rPr>
          <w:rFonts w:hint="default" w:ascii="Times New Roman" w:hAnsi="Times New Roman" w:eastAsia="楷体" w:cs="Times New Roman"/>
          <w:b/>
          <w:bCs/>
          <w:color w:val="000000" w:themeColor="text1"/>
          <w:kern w:val="2"/>
          <w:sz w:val="32"/>
          <w:szCs w:val="32"/>
          <w:highlight w:val="none"/>
          <w:lang w:val="en-US" w:eastAsia="zh-CN" w:bidi="ar-SA"/>
          <w14:textFill>
            <w14:solidFill>
              <w14:schemeClr w14:val="tx1"/>
            </w14:solidFill>
          </w14:textFill>
        </w:rPr>
        <w:t>三</w:t>
      </w:r>
      <w:r>
        <w:rPr>
          <w:rFonts w:hint="default" w:ascii="Times New Roman" w:hAnsi="Times New Roman" w:eastAsia="楷体" w:cs="Times New Roman"/>
          <w:b/>
          <w:bCs/>
          <w:color w:val="000000" w:themeColor="text1"/>
          <w:kern w:val="2"/>
          <w:sz w:val="32"/>
          <w:szCs w:val="32"/>
          <w:highlight w:val="none"/>
          <w:lang w:val="zh-CN" w:eastAsia="zh-CN" w:bidi="ar-SA"/>
          <w14:textFill>
            <w14:solidFill>
              <w14:schemeClr w14:val="tx1"/>
            </w14:solidFill>
          </w14:textFill>
        </w:rPr>
        <w:t>）财务管理。</w:t>
      </w:r>
    </w:p>
    <w:p w14:paraId="5A39B11C">
      <w:pPr>
        <w:spacing w:line="560" w:lineRule="exact"/>
        <w:ind w:firstLine="640" w:firstLineChars="200"/>
        <w:rPr>
          <w:rFonts w:hint="default" w:ascii="Times New Roman" w:hAnsi="Times New Roman" w:eastAsia="仿宋" w:cs="Times New Roman"/>
          <w:color w:val="000000" w:themeColor="text1"/>
          <w:sz w:val="32"/>
          <w:szCs w:val="32"/>
          <w:lang w:val="zh-CN"/>
          <w14:textFill>
            <w14:solidFill>
              <w14:schemeClr w14:val="tx1"/>
            </w14:solidFill>
          </w14:textFill>
        </w:rPr>
      </w:pPr>
      <w:r>
        <w:rPr>
          <w:rFonts w:hint="default" w:ascii="Times New Roman" w:hAnsi="Times New Roman" w:eastAsia="仿宋" w:cs="Times New Roman"/>
          <w:color w:val="000000" w:themeColor="text1"/>
          <w:sz w:val="32"/>
          <w:szCs w:val="32"/>
          <w:lang w:val="zh-CN" w:eastAsia="zh-CN"/>
          <w14:textFill>
            <w14:solidFill>
              <w14:schemeClr w14:val="tx1"/>
            </w14:solidFill>
          </w14:textFill>
        </w:rPr>
        <w:t>202</w:t>
      </w:r>
      <w:r>
        <w:rPr>
          <w:rFonts w:hint="eastAsia" w:eastAsia="仿宋"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 w:cs="Times New Roman"/>
          <w:color w:val="000000" w:themeColor="text1"/>
          <w:sz w:val="32"/>
          <w:szCs w:val="32"/>
          <w:lang w:val="zh-CN"/>
          <w14:textFill>
            <w14:solidFill>
              <w14:schemeClr w14:val="tx1"/>
            </w14:solidFill>
          </w14:textFill>
        </w:rPr>
        <w:t>年我单位</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进一步完善了</w:t>
      </w:r>
      <w:r>
        <w:rPr>
          <w:rFonts w:hint="default" w:ascii="Times New Roman" w:hAnsi="Times New Roman" w:eastAsia="仿宋" w:cs="Times New Roman"/>
          <w:color w:val="000000" w:themeColor="text1"/>
          <w:sz w:val="32"/>
          <w:szCs w:val="32"/>
          <w:lang w:val="zh-CN"/>
          <w14:textFill>
            <w14:solidFill>
              <w14:schemeClr w14:val="tx1"/>
            </w14:solidFill>
          </w14:textFill>
        </w:rPr>
        <w:t>财务管理制度和会计核算等管理制度，明确了财务职责，制定了厉行节约制度，管理制度依照有关国家法律法规而制定的，具有合法性、合规性、完整性、同时相关制度得到认真执行。</w:t>
      </w:r>
    </w:p>
    <w:p w14:paraId="63618F7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eastAsia="zh-CN"/>
          <w14:textFill>
            <w14:solidFill>
              <w14:schemeClr w14:val="tx1"/>
            </w14:solidFill>
          </w14:textFill>
        </w:rPr>
        <w:t>四、</w:t>
      </w:r>
      <w:r>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t>评价结论及建议</w:t>
      </w:r>
    </w:p>
    <w:p w14:paraId="1F869F95">
      <w:pPr>
        <w:spacing w:line="560" w:lineRule="exact"/>
        <w:ind w:firstLine="643" w:firstLineChars="200"/>
        <w:rPr>
          <w:rFonts w:hint="default" w:ascii="Times New Roman" w:hAnsi="Times New Roman" w:eastAsia="仿宋_GB2312" w:cs="Times New Roman"/>
          <w:color w:val="000000" w:themeColor="text1"/>
          <w:sz w:val="32"/>
          <w:szCs w:val="32"/>
          <w:u w:val="none"/>
          <w:lang w:val="en-US" w:eastAsia="zh-CN" w:bidi="ar"/>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（一）评价结论。</w:t>
      </w:r>
      <w:r>
        <w:rPr>
          <w:rFonts w:hint="default" w:ascii="Times New Roman" w:hAnsi="Times New Roman" w:eastAsia="仿宋" w:cs="Times New Roman"/>
          <w:color w:val="000000" w:themeColor="text1"/>
          <w:sz w:val="32"/>
          <w:szCs w:val="32"/>
          <w:lang w:eastAsia="zh-CN"/>
          <w14:textFill>
            <w14:solidFill>
              <w14:schemeClr w14:val="tx1"/>
            </w14:solidFill>
          </w14:textFill>
        </w:rPr>
        <w:t>我单位财务管理制度健全，会计核算符合相关规定，资金专款专用，资金支付依据和开支标准合法合规，严格执行政府采购的相关规定。按照县级部门预算编制通知和有关要求，按时完成基础信息、项目库报送工作，预算编制准确。部门整体绩效目标编制完整、合理，项目绩效目标编制明确、量化。按要求及时公开预算、决算、绩效等信息。认真开展资产清查工作，及时上报国有资产报表，做到数据的真实、准确、全面。内部控制制度健全完整并执行良好。</w:t>
      </w:r>
    </w:p>
    <w:p w14:paraId="4E05108A">
      <w:pPr>
        <w:spacing w:line="560" w:lineRule="exact"/>
        <w:ind w:firstLine="643" w:firstLineChars="200"/>
        <w:rPr>
          <w:rFonts w:hint="default" w:ascii="Times New Roman" w:hAnsi="Times New Roman" w:eastAsia="仿宋_GB2312" w:cs="Times New Roman"/>
          <w:color w:val="000000" w:themeColor="text1"/>
          <w:sz w:val="32"/>
          <w:szCs w:val="32"/>
          <w:u w:val="none"/>
          <w:lang w:val="en-US" w:eastAsia="zh-CN" w:bidi="ar"/>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（二）存在问题。</w:t>
      </w:r>
      <w:r>
        <w:rPr>
          <w:rFonts w:hint="default" w:ascii="Times New Roman" w:hAnsi="Times New Roman" w:eastAsia="仿宋" w:cs="Times New Roman"/>
          <w:color w:val="000000" w:themeColor="text1"/>
          <w:sz w:val="32"/>
          <w:szCs w:val="32"/>
          <w14:textFill>
            <w14:solidFill>
              <w14:schemeClr w14:val="tx1"/>
            </w14:solidFill>
          </w14:textFill>
        </w:rPr>
        <w:t>对绩效评估工作了解不够深入</w:t>
      </w:r>
      <w:r>
        <w:rPr>
          <w:rFonts w:hint="default" w:ascii="Times New Roman" w:hAnsi="Times New Roman" w:eastAsia="仿宋" w:cs="Times New Roman"/>
          <w:color w:val="000000" w:themeColor="text1"/>
          <w:sz w:val="32"/>
          <w:szCs w:val="32"/>
          <w:lang w:eastAsia="zh-CN"/>
          <w14:textFill>
            <w14:solidFill>
              <w14:schemeClr w14:val="tx1"/>
            </w14:solidFill>
          </w14:textFill>
        </w:rPr>
        <w:t>，</w:t>
      </w:r>
      <w:r>
        <w:rPr>
          <w:rFonts w:hint="default" w:ascii="Times New Roman" w:hAnsi="Times New Roman" w:eastAsia="仿宋" w:cs="Times New Roman"/>
          <w:color w:val="000000" w:themeColor="text1"/>
          <w:sz w:val="32"/>
          <w:szCs w:val="32"/>
          <w14:textFill>
            <w14:solidFill>
              <w14:schemeClr w14:val="tx1"/>
            </w14:solidFill>
          </w14:textFill>
        </w:rPr>
        <w:t>在财务工作中对绩效评估工作重视度不够。</w:t>
      </w:r>
    </w:p>
    <w:p w14:paraId="28999747">
      <w:pPr>
        <w:spacing w:line="560" w:lineRule="exact"/>
        <w:ind w:firstLine="643" w:firstLineChars="200"/>
        <w:rPr>
          <w:rFonts w:hint="default" w:ascii="Times New Roman" w:hAnsi="Times New Roman" w:eastAsia="仿宋" w:cs="Times New Roman"/>
          <w:color w:val="000000" w:themeColor="text1"/>
          <w:sz w:val="32"/>
          <w:szCs w:val="32"/>
          <w:lang w:val="en-US"/>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eastAsia="zh-CN"/>
          <w14:textFill>
            <w14:solidFill>
              <w14:schemeClr w14:val="tx1"/>
            </w14:solidFill>
          </w14:textFill>
        </w:rPr>
        <w:t>（三）改进建议。</w:t>
      </w:r>
      <w:bookmarkStart w:id="53" w:name="_Hlk110546638"/>
      <w:r>
        <w:rPr>
          <w:rFonts w:hint="default" w:ascii="Times New Roman" w:hAnsi="Times New Roman" w:eastAsia="仿宋" w:cs="Times New Roman"/>
          <w:color w:val="000000" w:themeColor="text1"/>
          <w:sz w:val="32"/>
          <w:szCs w:val="32"/>
          <w:lang w:eastAsia="zh-CN"/>
          <w14:textFill>
            <w14:solidFill>
              <w14:schemeClr w14:val="tx1"/>
            </w14:solidFill>
          </w14:textFill>
        </w:rPr>
        <w:t>加强</w:t>
      </w:r>
      <w:r>
        <w:rPr>
          <w:rFonts w:hint="default" w:ascii="Times New Roman" w:hAnsi="Times New Roman" w:eastAsia="仿宋" w:cs="Times New Roman"/>
          <w:color w:val="000000" w:themeColor="text1"/>
          <w:sz w:val="32"/>
          <w:szCs w:val="32"/>
          <w:lang w:val="en-US" w:eastAsia="zh-CN"/>
          <w14:textFill>
            <w14:solidFill>
              <w14:schemeClr w14:val="tx1"/>
            </w14:solidFill>
          </w14:textFill>
        </w:rPr>
        <w:t>相关人员的培训，更好的把绩效评价结果运用到工作中去。</w:t>
      </w:r>
    </w:p>
    <w:bookmarkEnd w:id="53"/>
    <w:p w14:paraId="741DB451">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default" w:ascii="Times New Roman" w:hAnsi="Times New Roman" w:cs="Times New Roman"/>
          <w:color w:val="000000" w:themeColor="text1"/>
          <w:sz w:val="32"/>
          <w:szCs w:val="32"/>
          <w:highlight w:val="yellow"/>
          <w:lang w:val="zh-CN" w:eastAsia="zh-CN"/>
          <w14:textFill>
            <w14:solidFill>
              <w14:schemeClr w14:val="tx1"/>
            </w14:solidFill>
          </w14:textFill>
        </w:rPr>
      </w:pPr>
    </w:p>
    <w:p w14:paraId="60D66F3A">
      <w:pPr>
        <w:pStyle w:val="5"/>
        <w:rPr>
          <w:rFonts w:hint="default" w:ascii="Times New Roman" w:hAnsi="Times New Roman" w:cs="Times New Roman"/>
          <w:color w:val="000000" w:themeColor="text1"/>
          <w:kern w:val="0"/>
          <w:sz w:val="32"/>
          <w:szCs w:val="32"/>
          <w:highlight w:val="yellow"/>
          <w:shd w:val="clear" w:color="auto" w:fill="FFFFFF"/>
          <w:lang w:val="zh-CN"/>
          <w14:textFill>
            <w14:solidFill>
              <w14:schemeClr w14:val="tx1"/>
            </w14:solidFill>
          </w14:textFill>
        </w:rPr>
      </w:pPr>
    </w:p>
    <w:p w14:paraId="36FC20D3">
      <w:pPr>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pPr>
      <w:r>
        <w:rPr>
          <w:rFonts w:hint="default" w:ascii="Times New Roman" w:hAnsi="Times New Roman" w:eastAsia="黑体" w:cs="Times New Roman"/>
          <w:color w:val="000000" w:themeColor="text1"/>
          <w:kern w:val="0"/>
          <w:sz w:val="32"/>
          <w:szCs w:val="32"/>
          <w:highlight w:val="none"/>
          <w:shd w:val="clear" w:color="auto" w:fill="FFFFFF"/>
          <w:lang w:val="zh-CN"/>
          <w14:textFill>
            <w14:solidFill>
              <w14:schemeClr w14:val="tx1"/>
            </w14:solidFill>
          </w14:textFill>
        </w:rPr>
        <w:br w:type="page"/>
      </w:r>
    </w:p>
    <w:p w14:paraId="21078FEB">
      <w:pPr>
        <w:widowControl/>
        <w:jc w:val="center"/>
        <w:rPr>
          <w:rFonts w:hint="default" w:ascii="Times New Roman" w:hAnsi="Times New Roman" w:eastAsia="仿宋" w:cs="Times New Roman"/>
          <w:b w:val="0"/>
          <w:color w:val="000000" w:themeColor="text1"/>
          <w:highlight w:val="none"/>
          <w14:textFill>
            <w14:solidFill>
              <w14:schemeClr w14:val="tx1"/>
            </w14:solidFill>
          </w14:textFill>
        </w:rPr>
      </w:pPr>
      <w:bookmarkStart w:id="54" w:name="_Toc15396618"/>
      <w:r>
        <w:rPr>
          <w:rFonts w:hint="default" w:ascii="Times New Roman" w:hAnsi="Times New Roman" w:eastAsia="黑体" w:cs="Times New Roman"/>
          <w:color w:val="000000" w:themeColor="text1"/>
          <w:sz w:val="44"/>
          <w:szCs w:val="44"/>
          <w:highlight w:val="none"/>
          <w14:textFill>
            <w14:solidFill>
              <w14:schemeClr w14:val="tx1"/>
            </w14:solidFill>
          </w14:textFill>
        </w:rPr>
        <w:t>第</w:t>
      </w:r>
      <w:r>
        <w:rPr>
          <w:rStyle w:val="30"/>
          <w:rFonts w:hint="default" w:ascii="Times New Roman" w:hAnsi="Times New Roman" w:eastAsia="黑体" w:cs="Times New Roman"/>
          <w:b w:val="0"/>
          <w:color w:val="000000" w:themeColor="text1"/>
          <w:highlight w:val="none"/>
          <w14:textFill>
            <w14:solidFill>
              <w14:schemeClr w14:val="tx1"/>
            </w14:solidFill>
          </w14:textFill>
        </w:rPr>
        <w:t>五部分 附表</w:t>
      </w:r>
      <w:bookmarkEnd w:id="51"/>
      <w:bookmarkEnd w:id="54"/>
      <w:bookmarkStart w:id="55" w:name="_Toc15396619"/>
    </w:p>
    <w:p w14:paraId="4799B43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p>
    <w:p w14:paraId="4F932F0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一、收入支出决算总表</w:t>
      </w:r>
      <w:bookmarkEnd w:id="55"/>
    </w:p>
    <w:p w14:paraId="34406A4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56" w:name="_Toc15396620"/>
      <w:r>
        <w:rPr>
          <w:rFonts w:hint="default" w:ascii="Times New Roman" w:hAnsi="Times New Roman" w:eastAsia="仿宋_GB2312" w:cs="Times New Roman"/>
          <w:color w:val="000000" w:themeColor="text1"/>
          <w:sz w:val="32"/>
          <w:szCs w:val="32"/>
          <w:highlight w:val="none"/>
          <w14:textFill>
            <w14:solidFill>
              <w14:schemeClr w14:val="tx1"/>
            </w14:solidFill>
          </w14:textFill>
        </w:rPr>
        <w:t>二、收入决算表</w:t>
      </w:r>
      <w:bookmarkEnd w:id="56"/>
    </w:p>
    <w:p w14:paraId="6C47237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57" w:name="_Toc15396621"/>
      <w:r>
        <w:rPr>
          <w:rFonts w:hint="default" w:ascii="Times New Roman" w:hAnsi="Times New Roman" w:eastAsia="仿宋_GB2312" w:cs="Times New Roman"/>
          <w:color w:val="000000" w:themeColor="text1"/>
          <w:sz w:val="32"/>
          <w:szCs w:val="32"/>
          <w:highlight w:val="none"/>
          <w14:textFill>
            <w14:solidFill>
              <w14:schemeClr w14:val="tx1"/>
            </w14:solidFill>
          </w14:textFill>
        </w:rPr>
        <w:t>三、支出决算表</w:t>
      </w:r>
      <w:bookmarkEnd w:id="57"/>
    </w:p>
    <w:p w14:paraId="615935A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58" w:name="_Toc15396622"/>
      <w:r>
        <w:rPr>
          <w:rFonts w:hint="default" w:ascii="Times New Roman" w:hAnsi="Times New Roman" w:eastAsia="仿宋_GB2312" w:cs="Times New Roman"/>
          <w:color w:val="000000" w:themeColor="text1"/>
          <w:sz w:val="32"/>
          <w:szCs w:val="32"/>
          <w:highlight w:val="none"/>
          <w14:textFill>
            <w14:solidFill>
              <w14:schemeClr w14:val="tx1"/>
            </w14:solidFill>
          </w14:textFill>
        </w:rPr>
        <w:t>四、财政拨款收入支出决算总表</w:t>
      </w:r>
      <w:bookmarkEnd w:id="58"/>
    </w:p>
    <w:p w14:paraId="6051D91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59" w:name="_Toc15396623"/>
      <w:r>
        <w:rPr>
          <w:rFonts w:hint="default" w:ascii="Times New Roman" w:hAnsi="Times New Roman" w:eastAsia="仿宋_GB2312" w:cs="Times New Roman"/>
          <w:color w:val="000000" w:themeColor="text1"/>
          <w:sz w:val="32"/>
          <w:szCs w:val="32"/>
          <w:highlight w:val="none"/>
          <w14:textFill>
            <w14:solidFill>
              <w14:schemeClr w14:val="tx1"/>
            </w14:solidFill>
          </w14:textFill>
        </w:rPr>
        <w:t>五、财政拨款支出决算明细表</w:t>
      </w:r>
      <w:bookmarkEnd w:id="59"/>
      <w:bookmarkStart w:id="60" w:name="_Toc15396624"/>
    </w:p>
    <w:p w14:paraId="6DD388E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14:textFill>
            <w14:solidFill>
              <w14:schemeClr w14:val="tx1"/>
            </w14:solidFill>
          </w14:textFill>
        </w:rPr>
        <w:t>六、一般公共预算财政拨款支出决算表</w:t>
      </w:r>
      <w:bookmarkEnd w:id="60"/>
    </w:p>
    <w:p w14:paraId="2AE7EC2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1" w:name="_Toc15396625"/>
      <w:r>
        <w:rPr>
          <w:rFonts w:hint="default" w:ascii="Times New Roman" w:hAnsi="Times New Roman" w:eastAsia="仿宋_GB2312" w:cs="Times New Roman"/>
          <w:color w:val="000000" w:themeColor="text1"/>
          <w:sz w:val="32"/>
          <w:szCs w:val="32"/>
          <w:highlight w:val="none"/>
          <w14:textFill>
            <w14:solidFill>
              <w14:schemeClr w14:val="tx1"/>
            </w14:solidFill>
          </w14:textFill>
        </w:rPr>
        <w:t>七、一般公共预算财政拨款支出决算明细表</w:t>
      </w:r>
      <w:bookmarkEnd w:id="61"/>
    </w:p>
    <w:p w14:paraId="24DE6AB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2" w:name="_Toc15396626"/>
      <w:r>
        <w:rPr>
          <w:rFonts w:hint="default" w:ascii="Times New Roman" w:hAnsi="Times New Roman" w:eastAsia="仿宋_GB2312" w:cs="Times New Roman"/>
          <w:color w:val="000000" w:themeColor="text1"/>
          <w:sz w:val="32"/>
          <w:szCs w:val="32"/>
          <w:highlight w:val="none"/>
          <w14:textFill>
            <w14:solidFill>
              <w14:schemeClr w14:val="tx1"/>
            </w14:solidFill>
          </w14:textFill>
        </w:rPr>
        <w:t>八、一般公共预算财政拨款基本支出决算表</w:t>
      </w:r>
      <w:bookmarkEnd w:id="62"/>
    </w:p>
    <w:p w14:paraId="4BC0302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3" w:name="_Toc15396627"/>
      <w:r>
        <w:rPr>
          <w:rFonts w:hint="default" w:ascii="Times New Roman" w:hAnsi="Times New Roman" w:eastAsia="仿宋_GB2312" w:cs="Times New Roman"/>
          <w:color w:val="000000" w:themeColor="text1"/>
          <w:sz w:val="32"/>
          <w:szCs w:val="32"/>
          <w:highlight w:val="none"/>
          <w14:textFill>
            <w14:solidFill>
              <w14:schemeClr w14:val="tx1"/>
            </w14:solidFill>
          </w14:textFill>
        </w:rPr>
        <w:t>九、一般公共预算财政拨款项目支出决算表</w:t>
      </w:r>
      <w:bookmarkEnd w:id="63"/>
    </w:p>
    <w:p w14:paraId="30ECB67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4" w:name="_Toc15396628"/>
      <w:r>
        <w:rPr>
          <w:rFonts w:hint="default" w:ascii="Times New Roman" w:hAnsi="Times New Roman" w:eastAsia="仿宋_GB2312" w:cs="Times New Roman"/>
          <w:color w:val="000000" w:themeColor="text1"/>
          <w:sz w:val="32"/>
          <w:szCs w:val="32"/>
          <w:highlight w:val="none"/>
          <w14:textFill>
            <w14:solidFill>
              <w14:schemeClr w14:val="tx1"/>
            </w14:solidFill>
          </w14:textFill>
        </w:rPr>
        <w:t>十、</w:t>
      </w:r>
      <w:bookmarkEnd w:id="64"/>
      <w:r>
        <w:rPr>
          <w:rFonts w:hint="default" w:ascii="Times New Roman" w:hAnsi="Times New Roman" w:eastAsia="仿宋_GB2312" w:cs="Times New Roman"/>
          <w:color w:val="000000" w:themeColor="text1"/>
          <w:sz w:val="32"/>
          <w:szCs w:val="32"/>
          <w:highlight w:val="none"/>
          <w14:textFill>
            <w14:solidFill>
              <w14:schemeClr w14:val="tx1"/>
            </w14:solidFill>
          </w14:textFill>
        </w:rPr>
        <w:t>政府性基金预算财政拨款收入支出决算表</w:t>
      </w:r>
    </w:p>
    <w:p w14:paraId="5BF07C2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5" w:name="_Toc15396629"/>
      <w:r>
        <w:rPr>
          <w:rFonts w:hint="default" w:ascii="Times New Roman" w:hAnsi="Times New Roman" w:eastAsia="仿宋_GB2312" w:cs="Times New Roman"/>
          <w:color w:val="000000" w:themeColor="text1"/>
          <w:sz w:val="32"/>
          <w:szCs w:val="32"/>
          <w:highlight w:val="none"/>
          <w14:textFill>
            <w14:solidFill>
              <w14:schemeClr w14:val="tx1"/>
            </w14:solidFill>
          </w14:textFill>
        </w:rPr>
        <w:t>十一、</w:t>
      </w:r>
      <w:bookmarkEnd w:id="65"/>
      <w:r>
        <w:rPr>
          <w:rFonts w:hint="default" w:ascii="Times New Roman" w:hAnsi="Times New Roman" w:eastAsia="仿宋_GB2312" w:cs="Times New Roman"/>
          <w:color w:val="000000" w:themeColor="text1"/>
          <w:sz w:val="32"/>
          <w:szCs w:val="32"/>
          <w:highlight w:val="none"/>
          <w14:textFill>
            <w14:solidFill>
              <w14:schemeClr w14:val="tx1"/>
            </w14:solidFill>
          </w14:textFill>
        </w:rPr>
        <w:t>国有资本经营预算</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财政拨款收入</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支出决算表</w:t>
      </w:r>
    </w:p>
    <w:p w14:paraId="523DCCF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14:textFill>
            <w14:solidFill>
              <w14:schemeClr w14:val="tx1"/>
            </w14:solidFill>
          </w14:textFill>
        </w:rPr>
      </w:pPr>
      <w:bookmarkStart w:id="66" w:name="_Toc15396630"/>
      <w:r>
        <w:rPr>
          <w:rFonts w:hint="default" w:ascii="Times New Roman" w:hAnsi="Times New Roman" w:eastAsia="仿宋_GB2312" w:cs="Times New Roman"/>
          <w:color w:val="000000" w:themeColor="text1"/>
          <w:sz w:val="32"/>
          <w:szCs w:val="32"/>
          <w:highlight w:val="none"/>
          <w14:textFill>
            <w14:solidFill>
              <w14:schemeClr w14:val="tx1"/>
            </w14:solidFill>
          </w14:textFill>
        </w:rPr>
        <w:t>十二、</w:t>
      </w:r>
      <w:bookmarkEnd w:id="66"/>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国有资本经营预算财政拨款支出决算表</w:t>
      </w:r>
    </w:p>
    <w:p w14:paraId="0C6454B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pPr>
      <w:bookmarkStart w:id="67" w:name="_Toc15396631"/>
      <w:r>
        <w:rPr>
          <w:rFonts w:hint="default" w:ascii="Times New Roman" w:hAnsi="Times New Roman" w:eastAsia="仿宋_GB2312" w:cs="Times New Roman"/>
          <w:color w:val="000000" w:themeColor="text1"/>
          <w:sz w:val="32"/>
          <w:szCs w:val="32"/>
          <w:highlight w:val="none"/>
          <w14:textFill>
            <w14:solidFill>
              <w14:schemeClr w14:val="tx1"/>
            </w14:solidFill>
          </w14:textFill>
        </w:rPr>
        <w:t>十三、</w:t>
      </w:r>
      <w:bookmarkEnd w:id="67"/>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财政拨款“三公”经费支出决算表</w:t>
      </w:r>
    </w:p>
    <w:p w14:paraId="6F3FD088">
      <w:pPr>
        <w:rPr>
          <w:rFonts w:hint="default" w:ascii="Times New Roman" w:hAnsi="Times New Roman" w:cs="Times New Roman"/>
          <w:color w:val="000000" w:themeColor="text1"/>
          <w:lang w:eastAsia="zh-CN"/>
          <w14:textFill>
            <w14:solidFill>
              <w14:schemeClr w14:val="tx1"/>
            </w14:solidFill>
          </w14:textFill>
        </w:rPr>
      </w:pP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decorative"/>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F4A4A">
    <w:pPr>
      <w:pStyle w:val="11"/>
      <w:jc w:val="center"/>
    </w:pPr>
  </w:p>
  <w:p w14:paraId="43CAE21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D35888">
    <w:pPr>
      <w:pStyle w:val="11"/>
      <w:jc w:val="center"/>
    </w:pPr>
  </w:p>
  <w:p w14:paraId="5BB3A097">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34B44">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6C427">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B736DD"/>
    <w:rsid w:val="02FEBE30"/>
    <w:rsid w:val="03771E7F"/>
    <w:rsid w:val="04916F1E"/>
    <w:rsid w:val="04E349C3"/>
    <w:rsid w:val="061E35DE"/>
    <w:rsid w:val="066E0107"/>
    <w:rsid w:val="07996F6E"/>
    <w:rsid w:val="07DFD8BA"/>
    <w:rsid w:val="09867E8F"/>
    <w:rsid w:val="0A2032A3"/>
    <w:rsid w:val="0CA8290A"/>
    <w:rsid w:val="0CC954FA"/>
    <w:rsid w:val="0D35B1ED"/>
    <w:rsid w:val="0D887A89"/>
    <w:rsid w:val="0E254B6B"/>
    <w:rsid w:val="0F130CAE"/>
    <w:rsid w:val="0F98263C"/>
    <w:rsid w:val="101860EC"/>
    <w:rsid w:val="101F47CC"/>
    <w:rsid w:val="10C055FF"/>
    <w:rsid w:val="11346CF7"/>
    <w:rsid w:val="11694EBD"/>
    <w:rsid w:val="11772AA4"/>
    <w:rsid w:val="118107EC"/>
    <w:rsid w:val="12266D0A"/>
    <w:rsid w:val="12E24EE2"/>
    <w:rsid w:val="13D50BC4"/>
    <w:rsid w:val="14B17F78"/>
    <w:rsid w:val="165E0673"/>
    <w:rsid w:val="16B831D5"/>
    <w:rsid w:val="16BB723D"/>
    <w:rsid w:val="17E50567"/>
    <w:rsid w:val="17FB6783"/>
    <w:rsid w:val="1860599E"/>
    <w:rsid w:val="186504BB"/>
    <w:rsid w:val="19A445FC"/>
    <w:rsid w:val="1BE8440E"/>
    <w:rsid w:val="1D155CEE"/>
    <w:rsid w:val="1D1638FE"/>
    <w:rsid w:val="1D381033"/>
    <w:rsid w:val="1E312DEB"/>
    <w:rsid w:val="1E740ACF"/>
    <w:rsid w:val="1EEB4DB7"/>
    <w:rsid w:val="1FF35744"/>
    <w:rsid w:val="1FF6BC77"/>
    <w:rsid w:val="2186353C"/>
    <w:rsid w:val="21DB6E7F"/>
    <w:rsid w:val="2250591D"/>
    <w:rsid w:val="23860B96"/>
    <w:rsid w:val="23CB77BA"/>
    <w:rsid w:val="240371BF"/>
    <w:rsid w:val="244F3473"/>
    <w:rsid w:val="24C97D99"/>
    <w:rsid w:val="25A718F0"/>
    <w:rsid w:val="25BB59F6"/>
    <w:rsid w:val="260F557C"/>
    <w:rsid w:val="26970054"/>
    <w:rsid w:val="271B2DB1"/>
    <w:rsid w:val="27627884"/>
    <w:rsid w:val="281408E2"/>
    <w:rsid w:val="29FD04D3"/>
    <w:rsid w:val="2BFF7BC6"/>
    <w:rsid w:val="2C8A61B5"/>
    <w:rsid w:val="2DF04E50"/>
    <w:rsid w:val="2E586DFA"/>
    <w:rsid w:val="2F040D46"/>
    <w:rsid w:val="2F6B035B"/>
    <w:rsid w:val="2FAE5751"/>
    <w:rsid w:val="2FB1A395"/>
    <w:rsid w:val="2FD9A7D8"/>
    <w:rsid w:val="2FDBF714"/>
    <w:rsid w:val="30AB6865"/>
    <w:rsid w:val="319F7F4E"/>
    <w:rsid w:val="31D64091"/>
    <w:rsid w:val="32501E42"/>
    <w:rsid w:val="32BD1EF1"/>
    <w:rsid w:val="3304709D"/>
    <w:rsid w:val="33A773CB"/>
    <w:rsid w:val="33F55693"/>
    <w:rsid w:val="34180991"/>
    <w:rsid w:val="349D6851"/>
    <w:rsid w:val="35AE69FC"/>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9D316A"/>
    <w:rsid w:val="3CEBA265"/>
    <w:rsid w:val="3D98207C"/>
    <w:rsid w:val="3DEE7CF3"/>
    <w:rsid w:val="3E46434D"/>
    <w:rsid w:val="3E740A63"/>
    <w:rsid w:val="3E78745D"/>
    <w:rsid w:val="3EE17838"/>
    <w:rsid w:val="3F2B5235"/>
    <w:rsid w:val="3F55381A"/>
    <w:rsid w:val="3F7F7599"/>
    <w:rsid w:val="3F9A4950"/>
    <w:rsid w:val="3FF4CAE0"/>
    <w:rsid w:val="3FF7B227"/>
    <w:rsid w:val="42587586"/>
    <w:rsid w:val="43266B0A"/>
    <w:rsid w:val="44E268DA"/>
    <w:rsid w:val="450D13D7"/>
    <w:rsid w:val="45506656"/>
    <w:rsid w:val="458B6526"/>
    <w:rsid w:val="486A6C7A"/>
    <w:rsid w:val="4A627F82"/>
    <w:rsid w:val="4B0E749A"/>
    <w:rsid w:val="4B2477C4"/>
    <w:rsid w:val="4B4F25DA"/>
    <w:rsid w:val="4BE068DB"/>
    <w:rsid w:val="4D577224"/>
    <w:rsid w:val="4D9432E8"/>
    <w:rsid w:val="4DBF1CEB"/>
    <w:rsid w:val="4DF0007C"/>
    <w:rsid w:val="4E485577"/>
    <w:rsid w:val="4EAB630A"/>
    <w:rsid w:val="4ECE2238"/>
    <w:rsid w:val="4F833267"/>
    <w:rsid w:val="4F860A4D"/>
    <w:rsid w:val="4FE9BD67"/>
    <w:rsid w:val="4FF24139"/>
    <w:rsid w:val="4FFB052F"/>
    <w:rsid w:val="51510D2A"/>
    <w:rsid w:val="51F36396"/>
    <w:rsid w:val="537E6D0A"/>
    <w:rsid w:val="53F74C96"/>
    <w:rsid w:val="55170BA8"/>
    <w:rsid w:val="553218C9"/>
    <w:rsid w:val="55961833"/>
    <w:rsid w:val="567E1AA5"/>
    <w:rsid w:val="56E47B74"/>
    <w:rsid w:val="57175D52"/>
    <w:rsid w:val="57BD3DD4"/>
    <w:rsid w:val="5AF92295"/>
    <w:rsid w:val="5B250254"/>
    <w:rsid w:val="5BDD79E6"/>
    <w:rsid w:val="5BF561CA"/>
    <w:rsid w:val="5BFF5DFC"/>
    <w:rsid w:val="5CC50384"/>
    <w:rsid w:val="5CD71FC4"/>
    <w:rsid w:val="5D1F11B5"/>
    <w:rsid w:val="5D695134"/>
    <w:rsid w:val="5DAE1B18"/>
    <w:rsid w:val="5DE7D9E5"/>
    <w:rsid w:val="5ECEC941"/>
    <w:rsid w:val="5FBF9FF3"/>
    <w:rsid w:val="5FC9535A"/>
    <w:rsid w:val="5FCD4E2C"/>
    <w:rsid w:val="5FEF394A"/>
    <w:rsid w:val="5FF67715"/>
    <w:rsid w:val="60104B30"/>
    <w:rsid w:val="611D2893"/>
    <w:rsid w:val="62BF3928"/>
    <w:rsid w:val="63B3701E"/>
    <w:rsid w:val="647F5392"/>
    <w:rsid w:val="650C334B"/>
    <w:rsid w:val="65752C9E"/>
    <w:rsid w:val="65E66580"/>
    <w:rsid w:val="664B1D71"/>
    <w:rsid w:val="664B4E8E"/>
    <w:rsid w:val="67277B67"/>
    <w:rsid w:val="67AA3209"/>
    <w:rsid w:val="68921DB9"/>
    <w:rsid w:val="698D0931"/>
    <w:rsid w:val="6A7FE5F3"/>
    <w:rsid w:val="6B053271"/>
    <w:rsid w:val="6B526944"/>
    <w:rsid w:val="6B624931"/>
    <w:rsid w:val="6BDD78B3"/>
    <w:rsid w:val="6C4A05C8"/>
    <w:rsid w:val="6C8742B8"/>
    <w:rsid w:val="6DBF5E93"/>
    <w:rsid w:val="6DFF077E"/>
    <w:rsid w:val="6E714EF0"/>
    <w:rsid w:val="6E7E3605"/>
    <w:rsid w:val="6E7FDCC7"/>
    <w:rsid w:val="6ED6A62E"/>
    <w:rsid w:val="6EE00B15"/>
    <w:rsid w:val="6EFA0BE9"/>
    <w:rsid w:val="6F6FB3EB"/>
    <w:rsid w:val="6F8731EA"/>
    <w:rsid w:val="6FCE6052"/>
    <w:rsid w:val="6FD57C00"/>
    <w:rsid w:val="6FEFFFD8"/>
    <w:rsid w:val="6FF5CC65"/>
    <w:rsid w:val="6FFB47EC"/>
    <w:rsid w:val="6FFF034A"/>
    <w:rsid w:val="70484440"/>
    <w:rsid w:val="712A28F1"/>
    <w:rsid w:val="715C0E4B"/>
    <w:rsid w:val="71992E7C"/>
    <w:rsid w:val="72233669"/>
    <w:rsid w:val="72604CD6"/>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6F2793"/>
    <w:rsid w:val="78E875D7"/>
    <w:rsid w:val="79086DAD"/>
    <w:rsid w:val="79D7FD79"/>
    <w:rsid w:val="79EE5BA4"/>
    <w:rsid w:val="7A894339"/>
    <w:rsid w:val="7AB143CC"/>
    <w:rsid w:val="7AD284E8"/>
    <w:rsid w:val="7AE933C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81EFE"/>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7"/>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unhideWhenUsed/>
    <w:qFormat/>
    <w:uiPriority w:val="0"/>
    <w:rPr>
      <w:rFonts w:ascii="宋体" w:hAnsi="Courier New" w:cs="Courier New"/>
      <w:szCs w:val="21"/>
    </w:r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7"/>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Body Text 2"/>
    <w:basedOn w:val="1"/>
    <w:qFormat/>
    <w:uiPriority w:val="0"/>
    <w:pPr>
      <w:spacing w:line="560" w:lineRule="exact"/>
    </w:pPr>
    <w:rPr>
      <w:sz w:val="28"/>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869</Words>
  <Characters>891</Characters>
  <Lines>61</Lines>
  <Paragraphs>17</Paragraphs>
  <TotalTime>0</TotalTime>
  <ScaleCrop>false</ScaleCrop>
  <LinksUpToDate>false</LinksUpToDate>
  <CharactersWithSpaces>903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Kool Herc</cp:lastModifiedBy>
  <cp:lastPrinted>2025-08-06T17:34:00Z</cp:lastPrinted>
  <dcterms:modified xsi:type="dcterms:W3CDTF">2026-09-30T08:29:01Z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F88B2B67476245C4A78CCFEF16E9ABED_13</vt:lpwstr>
  </property>
  <property fmtid="{D5CDD505-2E9C-101B-9397-08002B2CF9AE}" pid="4" name="KSOTemplateDocerSaveRecord">
    <vt:lpwstr>eyJoZGlkIjoiODdjYWVmMjM1YzBmNzZlNDMyNTdiYTNlNzAwZGJiZmMiLCJ1c2VySWQiOiI3NTk2NDExMDUifQ==</vt:lpwstr>
  </property>
</Properties>
</file>