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3B7B2">
      <w:pPr>
        <w:pStyle w:val="5"/>
        <w:rPr>
          <w:rFonts w:hint="eastAsia" w:ascii="Times New Roman" w:hAnsi="Times New Roman" w:eastAsia="方正小标宋简体" w:cs="Times New Roman"/>
          <w:color w:val="000000" w:themeColor="text1"/>
          <w:kern w:val="2"/>
          <w:sz w:val="72"/>
          <w:szCs w:val="7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Toc15396597"/>
      <w:bookmarkStart w:id="1" w:name="_Toc15396475"/>
      <w:bookmarkStart w:id="2" w:name="_Toc15377425"/>
      <w:bookmarkStart w:id="3" w:name="_Toc15377193"/>
      <w:bookmarkStart w:id="4" w:name="_Toc15306267"/>
      <w:bookmarkStart w:id="5" w:name="_Toc15378441"/>
    </w:p>
    <w:p w14:paraId="782CE762">
      <w:pPr>
        <w:pStyle w:val="5"/>
        <w:rPr>
          <w:rFonts w:hint="eastAsia" w:ascii="Times New Roman" w:hAnsi="Times New Roman" w:eastAsia="方正小标宋简体" w:cs="Times New Roman"/>
          <w:color w:val="000000" w:themeColor="text1"/>
          <w:kern w:val="2"/>
          <w:sz w:val="72"/>
          <w:szCs w:val="7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635E3B1">
      <w:pPr>
        <w:pStyle w:val="5"/>
        <w:rPr>
          <w:rFonts w:hint="eastAsia" w:ascii="Times New Roman" w:hAnsi="Times New Roman" w:eastAsia="方正小标宋简体" w:cs="Times New Roman"/>
          <w:color w:val="000000" w:themeColor="text1"/>
          <w:kern w:val="2"/>
          <w:sz w:val="72"/>
          <w:szCs w:val="7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BB4D873">
      <w:pPr>
        <w:pStyle w:val="5"/>
        <w:jc w:val="center"/>
        <w:rPr>
          <w:rFonts w:hint="default" w:ascii="Times New Roman" w:hAnsi="Times New Roman" w:eastAsia="方正小标宋_GBK" w:cs="Times New Roman"/>
          <w:color w:val="000000" w:themeColor="text1"/>
          <w:kern w:val="2"/>
          <w:sz w:val="56"/>
          <w:szCs w:val="5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kern w:val="2"/>
          <w:sz w:val="56"/>
          <w:szCs w:val="5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eastAsia="方正小标宋_GBK" w:cs="Times New Roman"/>
          <w:color w:val="000000" w:themeColor="text1"/>
          <w:kern w:val="2"/>
          <w:sz w:val="56"/>
          <w:szCs w:val="5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方正小标宋_GBK" w:cs="Times New Roman"/>
          <w:color w:val="000000" w:themeColor="text1"/>
          <w:kern w:val="2"/>
          <w:sz w:val="56"/>
          <w:szCs w:val="5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</w:t>
      </w:r>
    </w:p>
    <w:p w14:paraId="264D09F0">
      <w:pPr>
        <w:pStyle w:val="5"/>
        <w:jc w:val="center"/>
        <w:rPr>
          <w:rFonts w:hint="default" w:ascii="Times New Roman" w:hAnsi="Times New Roman" w:eastAsia="方正小标宋_GBK" w:cs="Times New Roman"/>
          <w:color w:val="000000" w:themeColor="text1"/>
          <w:kern w:val="2"/>
          <w:sz w:val="56"/>
          <w:szCs w:val="5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kern w:val="2"/>
          <w:sz w:val="56"/>
          <w:szCs w:val="5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四川省九寨沟县纪律检查委员会</w:t>
      </w:r>
    </w:p>
    <w:p w14:paraId="48F34AAA">
      <w:pPr>
        <w:pStyle w:val="5"/>
        <w:jc w:val="center"/>
        <w:rPr>
          <w:rFonts w:hint="default" w:ascii="Times New Roman" w:hAnsi="Times New Roman" w:eastAsia="方正小标宋_GBK" w:cs="Times New Roman"/>
          <w:color w:val="000000" w:themeColor="text1"/>
          <w:kern w:val="2"/>
          <w:sz w:val="56"/>
          <w:szCs w:val="5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kern w:val="2"/>
          <w:sz w:val="56"/>
          <w:szCs w:val="5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宣传教育信息中心</w:t>
      </w:r>
      <w:r>
        <w:rPr>
          <w:rFonts w:hint="default" w:ascii="Times New Roman" w:hAnsi="Times New Roman" w:eastAsia="方正小标宋_GBK" w:cs="Times New Roman"/>
          <w:color w:val="000000" w:themeColor="text1"/>
          <w:kern w:val="2"/>
          <w:sz w:val="56"/>
          <w:szCs w:val="5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单位决算</w:t>
      </w:r>
    </w:p>
    <w:p w14:paraId="45B4141E">
      <w:pPr>
        <w:pStyle w:val="2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titlePg/>
          <w:docGrid w:type="lines" w:linePitch="312" w:charSpace="0"/>
        </w:sectPr>
      </w:pPr>
    </w:p>
    <w:p w14:paraId="68B7F377">
      <w:pPr>
        <w:pStyle w:val="5"/>
        <w:jc w:val="both"/>
        <w:rPr>
          <w:rFonts w:hint="eastAsia" w:ascii="Times New Roman" w:hAnsi="Times New Roman" w:eastAsia="方正小标宋简体" w:cs="Times New Roman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bookmarkEnd w:id="0"/>
    <w:bookmarkEnd w:id="1"/>
    <w:bookmarkEnd w:id="2"/>
    <w:bookmarkEnd w:id="3"/>
    <w:bookmarkEnd w:id="4"/>
    <w:bookmarkEnd w:id="5"/>
    <w:p w14:paraId="4C7929AD">
      <w:pPr>
        <w:widowControl/>
        <w:jc w:val="center"/>
        <w:rPr>
          <w:rFonts w:ascii="Times New Roman" w:hAnsi="Times New Roman" w:eastAsia="黑体" w:cstheme="minorBidi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48"/>
          <w:szCs w:val="48"/>
          <w:highlight w:val="none"/>
          <w14:textFill>
            <w14:solidFill>
              <w14:schemeClr w14:val="tx1"/>
            </w14:solidFill>
          </w14:textFill>
        </w:rPr>
        <w:t>目录</w:t>
      </w:r>
    </w:p>
    <w:p w14:paraId="5143AAF0">
      <w:pPr>
        <w:pStyle w:val="12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公开时间：20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bookmarkStart w:id="64" w:name="_GoBack"/>
      <w:bookmarkEnd w:id="64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6B9F2ACE">
      <w:pPr>
        <w:rPr>
          <w:rFonts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EC17EE8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60" w:lineRule="exact"/>
        <w:jc w:val="left"/>
        <w:textAlignment w:val="auto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第一部分 部门概况</w:t>
      </w:r>
    </w:p>
    <w:p w14:paraId="39F265F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部门职责</w:t>
      </w:r>
    </w:p>
    <w:p w14:paraId="6C1B511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二、机构设置</w:t>
      </w:r>
    </w:p>
    <w:p w14:paraId="7632565C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60" w:lineRule="exact"/>
        <w:jc w:val="left"/>
        <w:textAlignment w:val="auto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第二部分</w:t>
      </w: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2024年度</w:t>
      </w: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部门决算情况说明</w:t>
      </w:r>
    </w:p>
    <w:p w14:paraId="1512C5D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一、收入支出决算总体情况说明</w:t>
      </w:r>
    </w:p>
    <w:p w14:paraId="58AE62A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二、收入决算情况说明</w:t>
      </w:r>
    </w:p>
    <w:p w14:paraId="185FA8E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三、支出决算情况说明</w:t>
      </w:r>
    </w:p>
    <w:p w14:paraId="36B11D6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四、财政拨款收入支出决算总体情况说明</w:t>
      </w:r>
    </w:p>
    <w:p w14:paraId="750E170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五、一般公共预算财政拨款支出决算情况说明</w:t>
      </w:r>
    </w:p>
    <w:p w14:paraId="047C9B7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六、一般公共预算财政拨款基本支出决算情况说明</w:t>
      </w:r>
    </w:p>
    <w:p w14:paraId="1395E02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七、财政拨款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三公”经费支出决算情况说明</w:t>
      </w:r>
    </w:p>
    <w:p w14:paraId="0C3094A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八、政府性基金预算支出决算情况说明</w:t>
      </w:r>
    </w:p>
    <w:p w14:paraId="55F472E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国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有资本经营预算支出决算情况说明</w:t>
      </w:r>
    </w:p>
    <w:p w14:paraId="354ADC4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、其他重要事项的情况说明</w:t>
      </w:r>
    </w:p>
    <w:p w14:paraId="75433205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60" w:lineRule="exact"/>
        <w:jc w:val="left"/>
        <w:textAlignment w:val="auto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第三部分 名词解释</w:t>
      </w:r>
    </w:p>
    <w:p w14:paraId="6928FFCF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60" w:lineRule="exact"/>
        <w:jc w:val="left"/>
        <w:textAlignment w:val="auto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第四部分 附件</w:t>
      </w:r>
    </w:p>
    <w:p w14:paraId="7C2F7FBF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60" w:lineRule="exact"/>
        <w:jc w:val="left"/>
        <w:textAlignment w:val="auto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第五部分 附表</w:t>
      </w:r>
    </w:p>
    <w:p w14:paraId="5D09C9B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一、收入支出决算总表</w:t>
      </w:r>
    </w:p>
    <w:p w14:paraId="6A9E88A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二、收入决算表</w:t>
      </w:r>
    </w:p>
    <w:p w14:paraId="14E0B0B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三、支出决算表</w:t>
      </w:r>
    </w:p>
    <w:p w14:paraId="778038B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四、财政拨款收入支出决算总表</w:t>
      </w:r>
    </w:p>
    <w:p w14:paraId="6968884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五、财政拨款支出决算明细表</w:t>
      </w:r>
    </w:p>
    <w:p w14:paraId="3741DB8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六、一般公共预算财政拨款支出决算表</w:t>
      </w:r>
    </w:p>
    <w:p w14:paraId="7FCFFB4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七、一般公共预算财政拨款支出决算明细表</w:t>
      </w:r>
    </w:p>
    <w:p w14:paraId="6422BA2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八、一般公共预算财政拨款基本支出决算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明细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表</w:t>
      </w:r>
    </w:p>
    <w:p w14:paraId="6D748F7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九、一般公共预算财政拨款项目支出决算表</w:t>
      </w:r>
    </w:p>
    <w:p w14:paraId="6C9B97D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十、政府性基金预算财政拨款收入支出决算表</w:t>
      </w:r>
    </w:p>
    <w:p w14:paraId="6D3CCD2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十一、国有资本经营预算财政拨款收入支出决算表</w:t>
      </w:r>
    </w:p>
    <w:p w14:paraId="042FEA1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十二、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国有资本经营预算财政拨款支出决算表</w:t>
      </w:r>
    </w:p>
    <w:p w14:paraId="0193955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十三、财政拨款“三公”经费支出决算表</w:t>
      </w:r>
    </w:p>
    <w:p w14:paraId="1BA0F9B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left"/>
        <w:textAlignment w:val="auto"/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注：请部门根据实际注明页码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C1578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bCs/>
          <w:color w:val="000000" w:themeColor="text1"/>
          <w:kern w:val="44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6" w:name="_Toc15377196"/>
      <w:bookmarkStart w:id="7" w:name="_Toc15396599"/>
      <w:r>
        <w:rPr>
          <w:rFonts w:hint="eastAsia" w:ascii="Times New Roman" w:hAnsi="Times New Roman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6DB44EA2">
      <w:pPr>
        <w:pStyle w:val="2"/>
        <w:jc w:val="center"/>
        <w:rPr>
          <w:rStyle w:val="29"/>
          <w:rFonts w:hint="eastAsia" w:ascii="Times New Roman" w:hAnsi="Times New Roman" w:eastAsia="方正小标宋简体" w:cs="方正小标宋简体"/>
          <w:b/>
          <w:bCs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第一部分</w:t>
      </w:r>
      <w:r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29"/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部门概况</w:t>
      </w:r>
      <w:bookmarkEnd w:id="6"/>
      <w:bookmarkEnd w:id="7"/>
    </w:p>
    <w:p w14:paraId="5E408EBC">
      <w:pPr>
        <w:widowControl/>
        <w:jc w:val="left"/>
        <w:rPr>
          <w:rFonts w:ascii="Times New Roman" w:hAnsi="Times New Roman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3207698F">
      <w:pPr>
        <w:pStyle w:val="3"/>
        <w:rPr>
          <w:rStyle w:val="30"/>
          <w:rFonts w:hint="eastAsia" w:ascii="Times New Roman" w:hAnsi="Times New Roman" w:eastAsia="黑体"/>
          <w:b w:val="0"/>
          <w:bCs w:val="0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8" w:name="_Toc15396600"/>
      <w:bookmarkStart w:id="9" w:name="_Toc15377197"/>
      <w:r>
        <w:rPr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一、</w:t>
      </w:r>
      <w:bookmarkEnd w:id="8"/>
      <w:bookmarkEnd w:id="9"/>
      <w:r>
        <w:rPr>
          <w:rFonts w:hint="eastAsia" w:ascii="Times New Roman" w:hAnsi="Times New Roman" w:eastAsia="黑体"/>
          <w:b w:val="0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部门职责</w:t>
      </w:r>
    </w:p>
    <w:p w14:paraId="7EF76B4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10" w:name="_Toc15377200"/>
      <w:bookmarkStart w:id="11" w:name="_Toc1539660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1.负责监督执纪和监察有关事务性工作。</w:t>
      </w:r>
    </w:p>
    <w:p w14:paraId="4BB696C6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2.负责全面从严治党、党风廉政建设和反腐败宣传教育以及廉洁文化建设工作。</w:t>
      </w:r>
    </w:p>
    <w:p w14:paraId="24C4B04B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3.负责纪检监察系统外宣信息收集、编写和上报。</w:t>
      </w:r>
    </w:p>
    <w:p w14:paraId="03B49C65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4.负责纪检监察网络建设与维护、办案数据分析、技术保障、机房管理、专用软件管理与运行等工作。</w:t>
      </w:r>
    </w:p>
    <w:p w14:paraId="391237D8">
      <w:pPr>
        <w:pStyle w:val="3"/>
        <w:rPr>
          <w:rStyle w:val="30"/>
          <w:rFonts w:ascii="Times New Roman" w:hAnsi="Times New Roman"/>
          <w:b w:val="0"/>
          <w:bCs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二、机</w:t>
      </w:r>
      <w:r>
        <w:rPr>
          <w:rStyle w:val="30"/>
          <w:rFonts w:hint="eastAsia" w:ascii="Times New Roman" w:hAnsi="Times New Roman" w:eastAsia="黑体"/>
          <w:b w:val="0"/>
          <w:bCs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构设置</w:t>
      </w:r>
      <w:bookmarkEnd w:id="10"/>
      <w:bookmarkEnd w:id="11"/>
    </w:p>
    <w:p w14:paraId="73BF3D9D">
      <w:pPr>
        <w:ind w:firstLine="640" w:firstLineChars="200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九寨沟县纪委监委宣传教育信息中心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下属二级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预算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个，其中行政单位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个，参照公务员法管理的事业单位</w:t>
      </w:r>
      <w:r>
        <w:rPr>
          <w:rFonts w:hint="eastAsia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个，其他事业单位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个。</w:t>
      </w:r>
    </w:p>
    <w:p w14:paraId="28D9E35D">
      <w:pPr>
        <w:widowControl/>
        <w:jc w:val="left"/>
        <w:rPr>
          <w:rFonts w:ascii="Times New Roman" w:hAnsi="Times New Roman" w:eastAsia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25939A31">
      <w:pPr>
        <w:pStyle w:val="2"/>
        <w:jc w:val="center"/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12" w:name="_Toc15377204"/>
      <w:bookmarkStart w:id="13" w:name="_Toc15396602"/>
      <w:r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第二部分</w:t>
      </w:r>
      <w:r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方正小标宋简体" w:cs="方正小标宋简体"/>
          <w:b w:val="0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eastAsia" w:ascii="Times New Roman" w:hAnsi="Times New Roman" w:eastAsia="方正小标宋简体" w:cs="方正小标宋简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部门决算情况说明</w:t>
      </w:r>
      <w:bookmarkEnd w:id="12"/>
      <w:bookmarkEnd w:id="13"/>
    </w:p>
    <w:p w14:paraId="3E835158">
      <w:pPr>
        <w:rPr>
          <w:rFonts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2A27048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14" w:name="_Toc15377205"/>
      <w:bookmarkStart w:id="15" w:name="_Toc15396603"/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收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入支出决算总体情况说明</w:t>
      </w:r>
      <w:bookmarkEnd w:id="14"/>
      <w:bookmarkEnd w:id="15"/>
    </w:p>
    <w:p w14:paraId="6551F638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年度收入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支出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总计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均为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万元。与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度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相比，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收入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支出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总计各增加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29.64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万元，增长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46.21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%。主要变动原因是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2025年人员新增以及人员经费增加。</w:t>
      </w:r>
    </w:p>
    <w:p w14:paraId="19E5A80B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16" w:name="_Toc15377206"/>
      <w:bookmarkStart w:id="17" w:name="_Toc15396604"/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二、收入决算情况说明</w:t>
      </w:r>
      <w:bookmarkEnd w:id="16"/>
      <w:bookmarkEnd w:id="17"/>
    </w:p>
    <w:p w14:paraId="53F04703">
      <w:pPr>
        <w:ind w:firstLine="800" w:firstLineChars="250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年度本年收入合计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万元，其中：一般公共预算财政拨款收入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%；政府性基金预算财政拨款收入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0%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%；国有资本经营预算财政拨款收入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%；上级补助收入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%；事业收入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%；经营收入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%；附属单位上缴收入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%；其他收入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%。</w:t>
      </w:r>
    </w:p>
    <w:p w14:paraId="18137FC5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18" w:name="_Toc15396605"/>
      <w:bookmarkStart w:id="19" w:name="_Toc15377207"/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支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出决算情况说明</w:t>
      </w:r>
      <w:bookmarkEnd w:id="18"/>
      <w:bookmarkEnd w:id="19"/>
    </w:p>
    <w:p w14:paraId="2451856A">
      <w:pPr>
        <w:ind w:firstLine="800" w:firstLineChars="250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年度本年支出合计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万元，其中：基本支出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%；项目支出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%；上缴上级支出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%；经营支出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%；对附属单位补助支出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0%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8A67516">
      <w:pPr>
        <w:spacing w:line="600" w:lineRule="exact"/>
        <w:ind w:firstLine="640" w:firstLineChars="200"/>
        <w:outlineLvl w:val="1"/>
        <w:rPr>
          <w:rStyle w:val="30"/>
          <w:rFonts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20" w:name="_Toc15396606"/>
      <w:bookmarkStart w:id="21" w:name="_Toc15377208"/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四、财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政拨款收入支出决算总体情况说明</w:t>
      </w:r>
      <w:bookmarkEnd w:id="20"/>
      <w:bookmarkEnd w:id="21"/>
    </w:p>
    <w:p w14:paraId="30C63421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年度财政拨款收入、支出总计均为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万元。与202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年度相比，财政拨款收入总计、支出总计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各增加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29.64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万元，增长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46.21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%。主要变动原因是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2025年人员新增以及人员经费增加。</w:t>
      </w:r>
    </w:p>
    <w:p w14:paraId="55B6F1F0">
      <w:pPr>
        <w:spacing w:line="600" w:lineRule="exact"/>
        <w:ind w:firstLine="640" w:firstLineChars="200"/>
        <w:outlineLvl w:val="1"/>
        <w:rPr>
          <w:rStyle w:val="30"/>
          <w:rFonts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22" w:name="_Toc15396607"/>
      <w:bookmarkStart w:id="23" w:name="_Toc15377209"/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Times New Roman" w:hAnsi="Times New Roman" w:eastAsia="黑体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般公共预算财政拨款支出决算情况说明</w:t>
      </w:r>
      <w:bookmarkEnd w:id="22"/>
      <w:bookmarkEnd w:id="23"/>
    </w:p>
    <w:p w14:paraId="3AFF9E2C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24" w:name="_Toc15377210"/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（一）一般公共预算财政拨款支出决算总体情况</w:t>
      </w:r>
      <w:bookmarkEnd w:id="24"/>
    </w:p>
    <w:p w14:paraId="65984D0B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2025年度一般公共预算财政拨款支出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万元，占本年支出合计的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%。与2024年度相比，一般公共预算财政拨款支出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增加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29.64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万元，增长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46.21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%。主要变动原因是</w:t>
      </w:r>
      <w:r>
        <w:rPr>
          <w:rFonts w:hint="eastAsia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2025年人员新增以及人员经费增加。</w:t>
      </w:r>
    </w:p>
    <w:p w14:paraId="06543748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25" w:name="_Toc15377211"/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（二）一般公共预算财政拨款支出决算结构情况</w:t>
      </w:r>
      <w:bookmarkEnd w:id="25"/>
    </w:p>
    <w:p w14:paraId="294C78CF">
      <w:pPr>
        <w:spacing w:line="600" w:lineRule="exact"/>
        <w:ind w:firstLine="640"/>
        <w:rPr>
          <w:rFonts w:hint="eastAsia" w:ascii="Times New Roman" w:hAnsi="Times New Roman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年度一般公共预算财政拨款支出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，主要用于以下方面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一般公共服务支出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69.99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74.64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%；社会保障和就业支出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12.06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12.86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%；卫生健康支出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4.69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%；住房保障支出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7.03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7.5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%；</w:t>
      </w:r>
    </w:p>
    <w:p w14:paraId="3D7DA375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26" w:name="_Toc15377212"/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（三）一般公共预算财政拨款支出决算具体情况</w:t>
      </w:r>
      <w:bookmarkEnd w:id="26"/>
    </w:p>
    <w:p w14:paraId="56C72AEC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27" w:name="_Toc15378460"/>
      <w:bookmarkStart w:id="28" w:name="_Toc15377213"/>
      <w:bookmarkStart w:id="29" w:name="_Toc15377444"/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年度一般公共预算财政拨款支出决算数为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93.77万元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完成预算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%。其中：</w:t>
      </w:r>
      <w:bookmarkEnd w:id="27"/>
      <w:bookmarkEnd w:id="28"/>
      <w:bookmarkEnd w:id="29"/>
    </w:p>
    <w:p w14:paraId="6CB80694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一般公共服务（类）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2011150：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支出决算为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69.99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万元，完成预算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267AAE73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.社会保障和就业（类）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2080505：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支出决算为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8.63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万元，完成预算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社会保障和就业（类）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2080506：3.43万元，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完成预算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4B7F9D44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.卫生健康（类）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21011：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支出决算为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4.69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万元，完成预算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2B2553C2">
      <w:pPr>
        <w:spacing w:line="600" w:lineRule="exact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4.住房保障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（类）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2210201：支出决算7.03万元，完成预算100%。</w:t>
      </w:r>
    </w:p>
    <w:p w14:paraId="0E7A7F3C">
      <w:pPr>
        <w:tabs>
          <w:tab w:val="right" w:pos="8306"/>
        </w:tabs>
        <w:spacing w:line="600" w:lineRule="exact"/>
        <w:ind w:firstLine="640"/>
        <w:outlineLvl w:val="1"/>
        <w:rPr>
          <w:rStyle w:val="30"/>
          <w:rFonts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30" w:name="_Toc15396608"/>
      <w:bookmarkStart w:id="31" w:name="_Toc15377214"/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Times New Roman" w:hAnsi="Times New Roman" w:eastAsia="黑体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、一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般公共预算财政拨款基本支出决算情况说明</w:t>
      </w:r>
      <w:bookmarkEnd w:id="30"/>
      <w:bookmarkEnd w:id="31"/>
      <w:r>
        <w:rPr>
          <w:rStyle w:val="30"/>
          <w:rFonts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ab/>
      </w:r>
    </w:p>
    <w:p w14:paraId="25809B9C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年度一般公共预算财政拨款基本支出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元，其中：</w:t>
      </w:r>
    </w:p>
    <w:p w14:paraId="69A621EF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人员经费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85.25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元，主要包括：基本工资、津贴补贴、奖金、绩效工资、机关事业单位基本养老保险缴费、职业年金缴费、其他社会保障缴费、住房公积金等。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　　公用经费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8.52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元，主要包括：办公费、差旅费、工会经费、福利费等。</w:t>
      </w:r>
    </w:p>
    <w:p w14:paraId="0192AC3B">
      <w:pPr>
        <w:spacing w:line="600" w:lineRule="exact"/>
        <w:ind w:firstLine="640"/>
        <w:outlineLvl w:val="1"/>
        <w:rPr>
          <w:rStyle w:val="30"/>
          <w:rFonts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32" w:name="_Toc15396609"/>
      <w:bookmarkStart w:id="33" w:name="_Toc15377215"/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七、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财政拨款</w:t>
      </w:r>
      <w:r>
        <w:rPr>
          <w:rStyle w:val="30"/>
          <w:rFonts w:hint="eastAsia" w:ascii="Times New Roman" w:hAnsi="Times New Roman" w:eastAsia="黑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“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三公”经费支出决算情况说明</w:t>
      </w:r>
      <w:bookmarkEnd w:id="32"/>
      <w:bookmarkEnd w:id="33"/>
    </w:p>
    <w:p w14:paraId="01541791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34" w:name="_Toc15377216"/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（一）“三公”经费财政拨款支出决算总体情况说明</w:t>
      </w:r>
      <w:bookmarkEnd w:id="34"/>
    </w:p>
    <w:p w14:paraId="71C8C500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年度“三公”经费财政拨款支出决算为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.05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万元，完成预算100%，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较上年度增加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0.05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万元。</w:t>
      </w:r>
    </w:p>
    <w:p w14:paraId="54117873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35" w:name="_Toc15377217"/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（二）“三公”经费财政拨款支出决算具体情况说明</w:t>
      </w:r>
      <w:bookmarkEnd w:id="35"/>
    </w:p>
    <w:p w14:paraId="60E59FEC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2025年度“三公”经费财政拨款支出决算中，因公出国（境）费支出决算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万元，占0%；公务用车购置及运行维护费支出决算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.05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万元，占100%；公务接待费支出决算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万元，占0%。</w:t>
      </w:r>
      <w:bookmarkStart w:id="36" w:name="_Toc15377218"/>
      <w:bookmarkStart w:id="37" w:name="_Toc15396610"/>
    </w:p>
    <w:p w14:paraId="455F871F">
      <w:pPr>
        <w:spacing w:line="600" w:lineRule="exact"/>
        <w:ind w:firstLine="640"/>
        <w:outlineLvl w:val="1"/>
        <w:rPr>
          <w:rStyle w:val="30"/>
          <w:rFonts w:ascii="Times New Roman" w:hAnsi="Times New Roman" w:eastAsia="黑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八、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政府性基金预算支出决算情况说明</w:t>
      </w:r>
      <w:bookmarkEnd w:id="36"/>
      <w:bookmarkEnd w:id="37"/>
    </w:p>
    <w:p w14:paraId="0DB9A13C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2025年度政府性基金预算财政拨款支出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万元，占本年支出合计的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60B1D1C6">
      <w:pPr>
        <w:numPr>
          <w:ilvl w:val="0"/>
          <w:numId w:val="0"/>
        </w:numPr>
        <w:spacing w:line="600" w:lineRule="exact"/>
        <w:ind w:left="630" w:leftChars="0"/>
        <w:outlineLvl w:val="1"/>
        <w:rPr>
          <w:rStyle w:val="30"/>
          <w:rFonts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38" w:name="_Toc15377219"/>
      <w:bookmarkStart w:id="39" w:name="_Toc15396611"/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九、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国有资本经营预算支出决算情况说明</w:t>
      </w:r>
      <w:bookmarkEnd w:id="38"/>
      <w:bookmarkEnd w:id="39"/>
    </w:p>
    <w:p w14:paraId="56EE31E8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年度国有资本经营预算财政拨款支出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万元，占本年支出合计的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494FD21C">
      <w:pPr>
        <w:numPr>
          <w:ilvl w:val="0"/>
          <w:numId w:val="0"/>
        </w:numPr>
        <w:spacing w:line="600" w:lineRule="exact"/>
        <w:ind w:left="630" w:leftChars="0"/>
        <w:outlineLvl w:val="1"/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40" w:name="_Toc15377221"/>
      <w:bookmarkStart w:id="41" w:name="_Toc15396612"/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十、</w:t>
      </w:r>
      <w:r>
        <w:rPr>
          <w:rStyle w:val="30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其他重要事项的情况说明</w:t>
      </w:r>
      <w:bookmarkEnd w:id="40"/>
      <w:bookmarkEnd w:id="41"/>
    </w:p>
    <w:p w14:paraId="26D9233C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42" w:name="_Toc15377222"/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（一）机关运行经费支出情况</w:t>
      </w:r>
      <w:bookmarkEnd w:id="42"/>
    </w:p>
    <w:p w14:paraId="427DAF85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九寨沟县纪委监委宣传教育信息中心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机关运行经费支出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元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68C05A46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43" w:name="_Toc15377223"/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（二）政府采购支出情况</w:t>
      </w:r>
      <w:bookmarkEnd w:id="43"/>
    </w:p>
    <w:p w14:paraId="2F76D29C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2025年度，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九寨沟县纪委监委宣传教育信息中心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政府采购支出总额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万元。</w:t>
      </w:r>
    </w:p>
    <w:p w14:paraId="50A75CA0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44" w:name="_Toc15377224"/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（三）国有资产占有使用情况</w:t>
      </w:r>
      <w:bookmarkEnd w:id="44"/>
    </w:p>
    <w:p w14:paraId="25854306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截至2025年12月31日，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九寨沟县纪委监委宣传教育信息中心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共有车辆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辆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5ACCF648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（四）预算绩效管理情况</w:t>
      </w:r>
    </w:p>
    <w:p w14:paraId="58B27E2A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根据预算绩效管理要求，本单位在202</w:t>
      </w:r>
      <w:r>
        <w:rPr>
          <w:rFonts w:hint="eastAsia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年度预算编制阶段，组织对多个项目开展了预算事前绩效评估，对多个项目编制了绩效目标。</w:t>
      </w:r>
    </w:p>
    <w:p w14:paraId="73FB6362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7157819">
      <w:pPr>
        <w:pStyle w:val="7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D3BAE75">
      <w:pP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EC0215E">
      <w:pPr>
        <w:pStyle w:val="7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B07BD09">
      <w:pP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F14E815">
      <w:pPr>
        <w:pStyle w:val="7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53B33E6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C615A42">
      <w:pPr>
        <w:pStyle w:val="7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7B1B6D2">
      <w:pPr>
        <w:numPr>
          <w:ilvl w:val="0"/>
          <w:numId w:val="0"/>
        </w:numPr>
        <w:spacing w:line="600" w:lineRule="exact"/>
        <w:jc w:val="center"/>
        <w:outlineLvl w:val="0"/>
        <w:rPr>
          <w:rFonts w:hint="eastAsia" w:ascii="Times New Roman" w:hAnsi="Times New Roman" w:eastAsia="黑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45" w:name="_Toc15377225"/>
      <w:bookmarkStart w:id="46" w:name="_Toc15396613"/>
      <w:r>
        <w:rPr>
          <w:rFonts w:hint="eastAsia" w:ascii="Times New Roman" w:hAnsi="Times New Roman" w:eastAsia="黑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eastAsia="黑体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Times New Roman" w:hAnsi="Times New Roman" w:eastAsia="黑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部分</w:t>
      </w:r>
      <w:r>
        <w:rPr>
          <w:rFonts w:hint="eastAsia" w:ascii="Times New Roman" w:hAnsi="Times New Roman" w:eastAsia="黑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黑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名词解释</w:t>
      </w:r>
      <w:bookmarkEnd w:id="45"/>
      <w:bookmarkEnd w:id="46"/>
    </w:p>
    <w:p w14:paraId="61C8A992">
      <w:pPr>
        <w:spacing w:line="600" w:lineRule="exact"/>
        <w:jc w:val="left"/>
        <w:rPr>
          <w:rFonts w:ascii="Times New Roman" w:hAnsi="Times New Roman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6A37AF7C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47" w:name="_Toc15377226"/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1.财政拨款收入：指单位从同级财政部门取得的财政预 算资金。 </w:t>
      </w:r>
    </w:p>
    <w:p w14:paraId="144F9573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2.年初结转和结余：指以前年度尚未完成、结转到本年 按有关规定继续使用的资金。</w:t>
      </w:r>
    </w:p>
    <w:p w14:paraId="282D4EFE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3.年末结转和结余：指单位按有关规定结转到下年或以 后年度继续使用的资金。</w:t>
      </w:r>
    </w:p>
    <w:p w14:paraId="41325509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4.一般公共服务（201）纪检监察事务（11）行政运行（</w:t>
      </w:r>
      <w:r>
        <w:rPr>
          <w:rFonts w:hint="eastAsia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50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）： 指反映</w:t>
      </w:r>
      <w:r>
        <w:rPr>
          <w:rFonts w:hint="eastAsia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事业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单位的基本支出。</w:t>
      </w:r>
    </w:p>
    <w:p w14:paraId="55612D47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5.社会保障和就业（208）行政事业单位养老支出（05） 机关事业单位基本养老保险缴费支出（05）：指反映机关事 业单位实施养老保险制度由单位缴纳的基本养老保险费支 出。</w:t>
      </w:r>
    </w:p>
    <w:p w14:paraId="09B684E6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6.社会保障和就业（208）行政事业单位养老支出（05） 机关事业单位职业年金缴费支出（06）：指反映机关事业单 位实施养老保险制度由单位实际缴纳的职业年金支出。</w:t>
      </w:r>
    </w:p>
    <w:p w14:paraId="148BA812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7.卫生健康（210）行政事业单位医疗（11）行政单位医 疗（01）：指反映财政部门安排的行政单位（包括实行公务 员管理的事业单位，下同）基本医疗保险缴费经费，未参加 医疗保险的行政单位的公费医疗经费，按国家规定享受离休16 人员、红军老战士待遇人员的医疗经费。</w:t>
      </w:r>
    </w:p>
    <w:p w14:paraId="242963D4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8.卫生健康（210）行政事业单位医疗（11）公务员医疗 补助（03）：指反映财政部门安排的公务员医疗补助经费。</w:t>
      </w:r>
    </w:p>
    <w:p w14:paraId="7861CD51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9.住房保障（221）住房改革支出（02）住房公积金（01）： 指反映行政事业单位按人力资源和社会保障部、财政部规定 的基本工资和津贴补贴以及规定比例为职工缴纳的住房公 积金。</w:t>
      </w:r>
    </w:p>
    <w:p w14:paraId="5E01092E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10.基本支出：指为保障机构正常运转、完成日常工作任 务而发生的人员支出和公用支出。</w:t>
      </w:r>
    </w:p>
    <w:p w14:paraId="36E988FF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11.项目支出：指在基本支出之外为完成特定行政任务和 事业发展目标所发生的支出。</w:t>
      </w:r>
    </w:p>
    <w:p w14:paraId="13366EDE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12.基本支出：指为保障机构正常运转、完成日常工作任 务而发生的人员支出和公用支出。</w:t>
      </w:r>
    </w:p>
    <w:p w14:paraId="03598BF3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13.项目支出：指在基本支出之外为完成特定行政任务和 事业发展目标所发生的支出。</w:t>
      </w:r>
    </w:p>
    <w:p w14:paraId="3AD44247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14.“三公”经费：指单位用财政拨款安排的因公出国（境） 费、公务用车购置及运行费和公务接待费。其中，因公出国 （境）费反映单位公务出国（境）的国际旅费、国外城市间 交通费、住宿费、伙食费、培训费、公杂费等支出；公务用 车购置及运行费反映单位公务用车车辆购置支出（含车辆购 置税）及租用费、燃料费、维修费、过路过桥费、保险费等 支出；公务接待费反映单位按规定开支的各类公务接待（含 外宾接待）支出。</w:t>
      </w:r>
    </w:p>
    <w:p w14:paraId="4B42422F">
      <w:pPr>
        <w:spacing w:line="600" w:lineRule="exact"/>
        <w:ind w:firstLine="64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15.机关运行经费：为保障行政单位（含参照公务员法管 理的事业单位）运行用于购买货物和服务的各项资金，包括 办公及印刷费、邮电费、差旅费、会议费、福利费、日常维 修费、专用材料及一般设备购置费、办公用房水电费、办公 用房取暖费、办公用房物业管理费、公务用车运行维护费以 及其他费用。</w:t>
      </w:r>
    </w:p>
    <w:p w14:paraId="5013C560">
      <w:pPr>
        <w:spacing w:line="600" w:lineRule="exact"/>
        <w:jc w:val="center"/>
        <w:rPr>
          <w:rStyle w:val="29"/>
          <w:rFonts w:hint="eastAsia" w:ascii="Times New Roman" w:hAnsi="Times New Roman" w:eastAsia="黑体"/>
          <w:b w:val="0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  <w:bookmarkStart w:id="48" w:name="_Toc15396614"/>
      <w:r>
        <w:rPr>
          <w:rFonts w:hint="eastAsia" w:ascii="Times New Roman" w:hAnsi="Times New Roman" w:eastAsia="黑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第四部分</w:t>
      </w:r>
      <w:r>
        <w:rPr>
          <w:rFonts w:hint="eastAsia" w:ascii="Times New Roman" w:hAnsi="Times New Roman" w:eastAsia="黑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 xml:space="preserve"> 附件</w:t>
      </w:r>
      <w:bookmarkEnd w:id="48"/>
    </w:p>
    <w:p w14:paraId="43C5FE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2" w:lineRule="exact"/>
        <w:jc w:val="left"/>
        <w:textAlignment w:val="auto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B7348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2" w:lineRule="exact"/>
        <w:jc w:val="left"/>
        <w:textAlignment w:val="auto"/>
        <w:outlineLvl w:val="0"/>
        <w:rPr>
          <w:rFonts w:hint="eastAsia" w:ascii="Times New Roman" w:hAnsi="Times New Roman" w:eastAsia="黑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6F3C68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contextualSpacing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5EC3CF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contextualSpacing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部门</w:t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预算</w:t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绩效</w:t>
      </w:r>
      <w:r>
        <w:rPr>
          <w:rFonts w:hint="eastAsia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报告范本</w:t>
      </w:r>
    </w:p>
    <w:p w14:paraId="5CEABF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48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 w:val="24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3046175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一、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部门（单位）基本情况</w:t>
      </w:r>
    </w:p>
    <w:p w14:paraId="34AF422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3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机构组成。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未内设</w:t>
      </w:r>
      <w:r>
        <w:rPr>
          <w:rFonts w:hint="eastAsia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科（股）</w:t>
      </w:r>
      <w:r>
        <w:rPr>
          <w:rFonts w:hint="default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室。</w:t>
      </w:r>
    </w:p>
    <w:p w14:paraId="7FDC6290">
      <w:pPr>
        <w:ind w:firstLine="643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（二）机构职能</w:t>
      </w:r>
      <w:r>
        <w:rPr>
          <w:rFonts w:hint="eastAsia" w:ascii="Times New Roman" w:hAnsi="Times New Roman" w:eastAsia="楷体_GB2312" w:cs="楷体_GB2312"/>
          <w:b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负责监督执纪和监察有关事务性工作。负责全面从严治党、党风廉政建设和反腐败宣传教育以及廉洁文化建设工作。负责纪检监察系统外宣信息收集、编写和上报。负责纪检监察网络建设与维护、办案数据分析、技术保障、机房管理、专用软件管理与运行等工作。</w:t>
      </w:r>
    </w:p>
    <w:p w14:paraId="72B81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）人员概况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截至202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年末，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宣传教育信息中心共有在职在编人员4人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3B1BD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 w:eastAsia="zh-CN"/>
          <w14:textFill>
            <w14:solidFill>
              <w14:schemeClr w14:val="tx1"/>
            </w14:solidFill>
          </w14:textFill>
        </w:rPr>
        <w:t>二、部门资金收支情况</w:t>
      </w:r>
    </w:p>
    <w:p w14:paraId="25812E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3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/>
          <w:bCs/>
          <w:color w:val="000000" w:themeColor="text1"/>
          <w:kern w:val="0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收入情况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年度本年收入合计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B60CB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3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color w:val="000000" w:themeColor="text1"/>
          <w:szCs w:val="32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支出情况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年度本年支出合计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93.77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万元。</w:t>
      </w:r>
    </w:p>
    <w:p w14:paraId="4ABF39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 w:eastAsia="zh-CN"/>
          <w14:textFill>
            <w14:solidFill>
              <w14:schemeClr w14:val="tx1"/>
            </w14:solidFill>
          </w14:textFill>
        </w:rPr>
        <w:t>三、部门预算绩效分析</w:t>
      </w:r>
    </w:p>
    <w:p w14:paraId="3A3C39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3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 w:eastAsia="zh-CN" w:bidi="ar-SA"/>
          <w14:textFill>
            <w14:solidFill>
              <w14:schemeClr w14:val="tx1"/>
            </w14:solidFill>
          </w14:textFill>
        </w:rPr>
        <w:t>履职效能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  <w:t>。</w:t>
      </w:r>
    </w:p>
    <w:p w14:paraId="23970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全力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聚焦政治监督，保障决策部署落地</w:t>
      </w:r>
    </w:p>
    <w:p w14:paraId="44FD2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始终将政治监督融入全县经济社会发展大局中去谋划和推进，聚焦高质量发展、乡村振兴、生态环保、安全生产等重点领域，通过制定监督清单、开展专项检查、参与重要会议等方式，尝试推动监督具体化、常态化。截止10月30日，组织开展相关专项监督10余次，发现并督促整改问题22个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严把选人用人关，累计回复党风政风意见80余件，涉及3300余人。</w:t>
      </w:r>
    </w:p>
    <w:p w14:paraId="2A43C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、高压态势护发展，精准监督提效能</w:t>
      </w:r>
    </w:p>
    <w:p w14:paraId="3F24E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（一）强化日常监督，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制定《党风廉政建设主体责任检查清单》，采取“听汇报、查台账、个别谈、实地看”等方式，组织12个乡镇纪委和4个派驻纪检组开展全覆盖检查。重点核查“两个责任” 清单落实、廉政风险防控、案件查办等情况，发现共性问题 18个、个性问题35个，现场反馈并责令限期整改。通过“责任清单+履责记实”模式，推动12个乡镇和54个部门完善主体责任台账，督促党组织负责人开展廉政谈话200余人次，压实管党治党政治责任。针对检查中发现的基层监督力量薄弱问题，协调开展专题培训3期，覆盖纪检干部150余人次。</w:t>
      </w:r>
    </w:p>
    <w:p w14:paraId="7E9CC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Times New Roman" w:hAnsi="Times New Roman" w:eastAsia="方正黑体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（二）推进重点领域监督检查。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督针对节假日纪律执行、重点项目推进、民生领域政策落实等关键事项，开展专项督查17次，依托 “室组地” 联动机制，对生态环保、安全生产等领域开展明察暗访，累计发现并督促整改问题32个，推动相关单位建立长效监管机制6项，切实以监督实效护航县域发展。</w:t>
      </w:r>
    </w:p>
    <w:p w14:paraId="60FB3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（三）强化巡察整改情况督查。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成立专项督查组，对五届县委第四轮12个被巡察单位开展“拉网式”检查，推动巡察反馈的394个问题整改到位239个，整改完成率60.6%。针对共性问题提出意见建议8条，对 155 个未整改到位问题实行“一对一”督办，针对农村集体 “三资” 管理不规范、项目建设滞后等问题约谈2人。</w:t>
      </w:r>
    </w:p>
    <w:p w14:paraId="2DF1C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（四）深化换届选举风气监督。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印发《村（社区）换届选举风气监督实施方案》，编制《村（居）务监督委员会换届选举实事方案》明确监督标准与流程；组织乡镇纪委、村务监督委员会开展业务培训，提升监督队伍专业能力；成立专项监督组，聚焦选举全流程开展蹲点检查，重点核查候选人资格审查、投票程序规范等关键环节。</w:t>
      </w:r>
    </w:p>
    <w:p w14:paraId="6A808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紧盯群众关切，整治群众身边腐败</w:t>
      </w:r>
    </w:p>
    <w:p w14:paraId="1B210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年以来，严格落实中央纪委“再抓两年”部署要求，以7个专项和16件民生实事为核心抓手，完善《集中整治群众身边不正之风和腐败问题方案》，同步调整领导小组，实行清单化管理、挂图式作战，向2名分管副县长及15个牵头部门“一把手”派发工作提示，累计召开工作专班会、部门联席会等36次。开展专项监督检查40余次，累计收集群众诉求4840件，办结4734件。2025年共受理群众身边不正之风和腐败问题线索148条，立案51人。7个专项线索受理均破零，7个专项立案破零6个。向职能部门制发《纪检监察建议书》8份，督促其自查整改问题100余个，同步推动建立健全制度机制62项，切实以监督实效护航民生。</w:t>
      </w:r>
    </w:p>
    <w:p w14:paraId="495C3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六、持续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深化正风肃纪，持之以恒纠“四风”</w:t>
      </w:r>
    </w:p>
    <w:p w14:paraId="7E4AE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加强廉洁教育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，累计组织开展会前学纪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320余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次，覆盖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15000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人次，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利用清风九寨公众号向全县干部发送各类廉洁提醒5条，发放各类警示教育宣传资料1000余份，切实筑牢思想防线。</w:t>
      </w:r>
    </w:p>
    <w:p w14:paraId="3D0E5F36">
      <w:pPr>
        <w:numPr>
          <w:ilvl w:val="0"/>
          <w:numId w:val="0"/>
        </w:numPr>
        <w:spacing w:line="560" w:lineRule="exact"/>
        <w:ind w:firstLine="643" w:firstLineChars="200"/>
        <w:rPr>
          <w:rFonts w:hint="default" w:ascii="Times New Roman" w:hAnsi="Times New Roman" w:eastAsia="楷体" w:cs="Times New Roman"/>
          <w:b/>
          <w:bCs/>
          <w:color w:val="000000" w:themeColor="text1"/>
          <w:kern w:val="2"/>
          <w:sz w:val="32"/>
          <w:szCs w:val="32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/>
          <w:bCs/>
          <w:color w:val="000000" w:themeColor="text1"/>
          <w:kern w:val="2"/>
          <w:sz w:val="32"/>
          <w:szCs w:val="32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楷体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楷体" w:cs="Times New Roman"/>
          <w:b/>
          <w:bCs/>
          <w:color w:val="000000" w:themeColor="text1"/>
          <w:kern w:val="2"/>
          <w:sz w:val="32"/>
          <w:szCs w:val="32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  <w:t>）财务管理。</w:t>
      </w:r>
    </w:p>
    <w:p w14:paraId="5A39B11C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zh-CN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年我单位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进一步完善了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财务管理制度和会计核算等管理制度，明确了财务职责，制定了厉行节约制度，管理制度依照有关国家法律法规而制定的，具有合法性、合规性、完整性、同时相关制度得到认真执行。</w:t>
      </w:r>
    </w:p>
    <w:p w14:paraId="63618F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评价结论及建议</w:t>
      </w:r>
    </w:p>
    <w:p w14:paraId="1F869F95">
      <w:pPr>
        <w:spacing w:line="560" w:lineRule="exact"/>
        <w:ind w:firstLine="643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（一）评价结论。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我单位财务管理制度健全，会计核算符合相关规定，资金专款专用，资金支付依据和开支标准合法合规，严格执行政府采购的相关规定。按照县级部门预算编制通知和有关要求，按时完成基础信息、项目库报送工作，预算编制准确。部门整体绩效目标编制完整、合理，项目绩效目标编制明确、量化。按要求及时公开预算、决算、绩效等信息。认真开展资产清查工作，及时上报国有资产报表，做到数据的真实、准确、全面。内部控制制度健全完整并执行良好。</w:t>
      </w:r>
    </w:p>
    <w:p w14:paraId="4E05108A">
      <w:pPr>
        <w:spacing w:line="560" w:lineRule="exact"/>
        <w:ind w:firstLine="643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（二）存在问题。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对绩效评估工作了解不够深入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在财务工作中对绩效评估工作重视度不够。</w:t>
      </w:r>
    </w:p>
    <w:p w14:paraId="6EF752CA">
      <w:pPr>
        <w:spacing w:line="560" w:lineRule="exact"/>
        <w:ind w:firstLine="643" w:firstLineChars="200"/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yellow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 w:eastAsia="zh-CN"/>
          <w14:textFill>
            <w14:solidFill>
              <w14:schemeClr w14:val="tx1"/>
            </w14:solidFill>
          </w14:textFill>
        </w:rPr>
        <w:t>（三）改进建议。</w:t>
      </w:r>
      <w:bookmarkStart w:id="49" w:name="_Hlk110546638"/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加强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相关人员的培训，更好的把绩效评价结果运用到工作中去。</w:t>
      </w:r>
      <w:bookmarkEnd w:id="49"/>
    </w:p>
    <w:p w14:paraId="11F6A7FC">
      <w:pPr>
        <w:pStyle w:val="5"/>
        <w:rPr>
          <w:rFonts w:hint="eastAsia" w:ascii="Times New Roman" w:hAnsi="Times New Roman" w:cs="宋体"/>
          <w:color w:val="000000" w:themeColor="text1"/>
          <w:kern w:val="0"/>
          <w:sz w:val="32"/>
          <w:szCs w:val="32"/>
          <w:highlight w:val="yellow"/>
          <w:shd w:val="clear" w:color="auto" w:fill="FFFFFF"/>
          <w:lang w:val="zh-CN"/>
          <w14:textFill>
            <w14:solidFill>
              <w14:schemeClr w14:val="tx1"/>
            </w14:solidFill>
          </w14:textFill>
        </w:rPr>
      </w:pPr>
    </w:p>
    <w:p w14:paraId="4B6283BD">
      <w:pPr>
        <w:rPr>
          <w:rFonts w:hint="eastAsia" w:ascii="Times New Roman" w:hAnsi="Times New Roman" w:eastAsia="黑体" w:cs="黑体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0"/>
          <w:sz w:val="32"/>
          <w:szCs w:val="32"/>
          <w:highlight w:val="none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br w:type="page"/>
      </w:r>
    </w:p>
    <w:p w14:paraId="1ECC9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0"/>
          <w:positio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DBCE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0"/>
          <w:positio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BDE0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0"/>
          <w:positio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50" w:name="_Toc15396618"/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0"/>
          <w:positio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341870B1">
      <w:pPr>
        <w:widowControl/>
        <w:jc w:val="center"/>
        <w:rPr>
          <w:rFonts w:hint="eastAsia" w:ascii="Times New Roman" w:hAnsi="Times New Roman" w:eastAsia="仿宋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第</w:t>
      </w:r>
      <w:r>
        <w:rPr>
          <w:rStyle w:val="29"/>
          <w:rFonts w:hint="eastAsia" w:ascii="Times New Roman" w:hAnsi="Times New Roman" w:eastAsia="黑体"/>
          <w:b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五部分 附表</w:t>
      </w:r>
      <w:bookmarkEnd w:id="47"/>
      <w:bookmarkEnd w:id="50"/>
      <w:bookmarkStart w:id="51" w:name="_Toc15396619"/>
    </w:p>
    <w:p w14:paraId="494F796C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68D71B19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一、收入支出决算总表</w:t>
      </w:r>
      <w:bookmarkEnd w:id="51"/>
    </w:p>
    <w:p w14:paraId="26B7230A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52" w:name="_Toc15396620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二、收入决算表</w:t>
      </w:r>
      <w:bookmarkEnd w:id="52"/>
    </w:p>
    <w:p w14:paraId="665745AD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53" w:name="_Toc15396621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三、支出决算表</w:t>
      </w:r>
      <w:bookmarkEnd w:id="53"/>
    </w:p>
    <w:p w14:paraId="036F0DD8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54" w:name="_Toc15396622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四、财政拨款收入支出决算总表</w:t>
      </w:r>
      <w:bookmarkEnd w:id="54"/>
    </w:p>
    <w:p w14:paraId="057C4813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55" w:name="_Toc15396623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五、财政拨款支出决算明细表</w:t>
      </w:r>
      <w:bookmarkEnd w:id="55"/>
      <w:bookmarkStart w:id="56" w:name="_Toc15396624"/>
    </w:p>
    <w:p w14:paraId="6BEB51AC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六、一般公共预算财政拨款支出决算表</w:t>
      </w:r>
      <w:bookmarkEnd w:id="56"/>
    </w:p>
    <w:p w14:paraId="06B71EB3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57" w:name="_Toc15396625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七、一般公共预算财政拨款支出决算明细表</w:t>
      </w:r>
      <w:bookmarkEnd w:id="57"/>
    </w:p>
    <w:p w14:paraId="325212C5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58" w:name="_Toc15396626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八、一般公共预算财政拨款基本支出决算表</w:t>
      </w:r>
      <w:bookmarkEnd w:id="58"/>
    </w:p>
    <w:p w14:paraId="31D8B214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59" w:name="_Toc15396627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九、一般公共预算财政拨款项目支出决算表</w:t>
      </w:r>
      <w:bookmarkEnd w:id="59"/>
    </w:p>
    <w:p w14:paraId="6AE65376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60" w:name="_Toc15396628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十、</w:t>
      </w:r>
      <w:bookmarkEnd w:id="60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政府性基金预算财政拨款收入支出决算表</w:t>
      </w:r>
    </w:p>
    <w:p w14:paraId="1589C28E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61" w:name="_Toc15396629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十一、</w:t>
      </w:r>
      <w:bookmarkEnd w:id="61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国有资本经营预算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财政拨款收入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支出决算表</w:t>
      </w:r>
    </w:p>
    <w:p w14:paraId="1722D20A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62" w:name="_Toc15396630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十二、</w:t>
      </w:r>
      <w:bookmarkEnd w:id="62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国有资本经营预算财政拨款支出决算表</w:t>
      </w:r>
    </w:p>
    <w:p w14:paraId="31ADD528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63" w:name="_Toc15396631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十三、</w:t>
      </w:r>
      <w:bookmarkEnd w:id="63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财政拨款“三公”经费支出决算表</w:t>
      </w:r>
    </w:p>
    <w:p w14:paraId="50C406FB">
      <w:pPr>
        <w:rPr>
          <w:rFonts w:hint="eastAsia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6" w:type="first"/>
      <w:footerReference r:id="rId5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D5201">
    <w:pPr>
      <w:pStyle w:val="10"/>
      <w:jc w:val="center"/>
    </w:pPr>
  </w:p>
  <w:p w14:paraId="2C729464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C6B68">
    <w:pPr>
      <w:pStyle w:val="10"/>
      <w:jc w:val="center"/>
    </w:pPr>
  </w:p>
  <w:p w14:paraId="0B82B680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846F1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F1ED4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1C"/>
    <w:rsid w:val="000222C6"/>
    <w:rsid w:val="0002549F"/>
    <w:rsid w:val="000468DB"/>
    <w:rsid w:val="0006487A"/>
    <w:rsid w:val="00065F8F"/>
    <w:rsid w:val="00070A43"/>
    <w:rsid w:val="000768F2"/>
    <w:rsid w:val="0009184B"/>
    <w:rsid w:val="00094236"/>
    <w:rsid w:val="0009593C"/>
    <w:rsid w:val="00097322"/>
    <w:rsid w:val="000A6A92"/>
    <w:rsid w:val="000B047F"/>
    <w:rsid w:val="000B5923"/>
    <w:rsid w:val="000B5A48"/>
    <w:rsid w:val="000B6FF3"/>
    <w:rsid w:val="000C3467"/>
    <w:rsid w:val="000C3CA6"/>
    <w:rsid w:val="000D1267"/>
    <w:rsid w:val="000D1D50"/>
    <w:rsid w:val="000D5782"/>
    <w:rsid w:val="000E6613"/>
    <w:rsid w:val="000E7119"/>
    <w:rsid w:val="00114E9B"/>
    <w:rsid w:val="00142216"/>
    <w:rsid w:val="00144D6A"/>
    <w:rsid w:val="0014729F"/>
    <w:rsid w:val="00157BAB"/>
    <w:rsid w:val="001654D1"/>
    <w:rsid w:val="00174518"/>
    <w:rsid w:val="0018106D"/>
    <w:rsid w:val="001877A7"/>
    <w:rsid w:val="00191536"/>
    <w:rsid w:val="00196687"/>
    <w:rsid w:val="001C0962"/>
    <w:rsid w:val="001D7531"/>
    <w:rsid w:val="001E737D"/>
    <w:rsid w:val="001F0592"/>
    <w:rsid w:val="001F7506"/>
    <w:rsid w:val="002006CD"/>
    <w:rsid w:val="00202B36"/>
    <w:rsid w:val="00204B7A"/>
    <w:rsid w:val="00204CDE"/>
    <w:rsid w:val="0021101A"/>
    <w:rsid w:val="00220536"/>
    <w:rsid w:val="00235629"/>
    <w:rsid w:val="00260C38"/>
    <w:rsid w:val="002616C0"/>
    <w:rsid w:val="00265372"/>
    <w:rsid w:val="002662AA"/>
    <w:rsid w:val="00280496"/>
    <w:rsid w:val="00294DC9"/>
    <w:rsid w:val="00295495"/>
    <w:rsid w:val="002A31DE"/>
    <w:rsid w:val="002B2613"/>
    <w:rsid w:val="002D6D05"/>
    <w:rsid w:val="002F1818"/>
    <w:rsid w:val="002F567B"/>
    <w:rsid w:val="003216A9"/>
    <w:rsid w:val="00335A74"/>
    <w:rsid w:val="0036561B"/>
    <w:rsid w:val="0037013F"/>
    <w:rsid w:val="00380C92"/>
    <w:rsid w:val="003A484F"/>
    <w:rsid w:val="003A4883"/>
    <w:rsid w:val="003B0BE0"/>
    <w:rsid w:val="003B0C1B"/>
    <w:rsid w:val="003B688C"/>
    <w:rsid w:val="003C0291"/>
    <w:rsid w:val="003C39AE"/>
    <w:rsid w:val="003C7B60"/>
    <w:rsid w:val="003D0C0F"/>
    <w:rsid w:val="003D1FB2"/>
    <w:rsid w:val="003D66DA"/>
    <w:rsid w:val="003E1310"/>
    <w:rsid w:val="003E6F55"/>
    <w:rsid w:val="00406254"/>
    <w:rsid w:val="004223DE"/>
    <w:rsid w:val="00434489"/>
    <w:rsid w:val="00437085"/>
    <w:rsid w:val="00443880"/>
    <w:rsid w:val="004464F4"/>
    <w:rsid w:val="00471401"/>
    <w:rsid w:val="00473F31"/>
    <w:rsid w:val="0048263A"/>
    <w:rsid w:val="00487E5D"/>
    <w:rsid w:val="004A711F"/>
    <w:rsid w:val="004B199D"/>
    <w:rsid w:val="004B4690"/>
    <w:rsid w:val="004E0A2D"/>
    <w:rsid w:val="004E206B"/>
    <w:rsid w:val="004E6DF7"/>
    <w:rsid w:val="004F0FBD"/>
    <w:rsid w:val="00505A47"/>
    <w:rsid w:val="00512FDA"/>
    <w:rsid w:val="00520DA0"/>
    <w:rsid w:val="005664BB"/>
    <w:rsid w:val="00566FFA"/>
    <w:rsid w:val="0057481D"/>
    <w:rsid w:val="0058486E"/>
    <w:rsid w:val="00585B33"/>
    <w:rsid w:val="0059014D"/>
    <w:rsid w:val="005B5C64"/>
    <w:rsid w:val="005C5337"/>
    <w:rsid w:val="005C6BD0"/>
    <w:rsid w:val="005D1C8B"/>
    <w:rsid w:val="005D468D"/>
    <w:rsid w:val="005D5CED"/>
    <w:rsid w:val="005F1A4C"/>
    <w:rsid w:val="00605688"/>
    <w:rsid w:val="006070AF"/>
    <w:rsid w:val="00607E6C"/>
    <w:rsid w:val="006101B1"/>
    <w:rsid w:val="00614E44"/>
    <w:rsid w:val="0062270A"/>
    <w:rsid w:val="00622830"/>
    <w:rsid w:val="00623DA0"/>
    <w:rsid w:val="00623EB9"/>
    <w:rsid w:val="00630AEF"/>
    <w:rsid w:val="006325F8"/>
    <w:rsid w:val="00633463"/>
    <w:rsid w:val="00634C9A"/>
    <w:rsid w:val="006440E4"/>
    <w:rsid w:val="0066343B"/>
    <w:rsid w:val="00664777"/>
    <w:rsid w:val="006748A4"/>
    <w:rsid w:val="00681A31"/>
    <w:rsid w:val="00683E73"/>
    <w:rsid w:val="006A3141"/>
    <w:rsid w:val="006A5E34"/>
    <w:rsid w:val="006B2422"/>
    <w:rsid w:val="006B2B9A"/>
    <w:rsid w:val="006C1937"/>
    <w:rsid w:val="006F020C"/>
    <w:rsid w:val="007127B7"/>
    <w:rsid w:val="0071798E"/>
    <w:rsid w:val="007416B6"/>
    <w:rsid w:val="00746F48"/>
    <w:rsid w:val="0075404D"/>
    <w:rsid w:val="0076182A"/>
    <w:rsid w:val="00767B7E"/>
    <w:rsid w:val="007770C3"/>
    <w:rsid w:val="00784D24"/>
    <w:rsid w:val="00785FBA"/>
    <w:rsid w:val="00786E4A"/>
    <w:rsid w:val="007875EB"/>
    <w:rsid w:val="0079426B"/>
    <w:rsid w:val="007D1682"/>
    <w:rsid w:val="007D312A"/>
    <w:rsid w:val="007D3F19"/>
    <w:rsid w:val="007E23B0"/>
    <w:rsid w:val="007E23E5"/>
    <w:rsid w:val="007F1991"/>
    <w:rsid w:val="007F2C2F"/>
    <w:rsid w:val="007F55FC"/>
    <w:rsid w:val="007F5665"/>
    <w:rsid w:val="00800112"/>
    <w:rsid w:val="00813348"/>
    <w:rsid w:val="008253BB"/>
    <w:rsid w:val="0083706E"/>
    <w:rsid w:val="008408F6"/>
    <w:rsid w:val="008423A5"/>
    <w:rsid w:val="00850625"/>
    <w:rsid w:val="00853718"/>
    <w:rsid w:val="00855221"/>
    <w:rsid w:val="00860645"/>
    <w:rsid w:val="00871F71"/>
    <w:rsid w:val="00872FD8"/>
    <w:rsid w:val="00885AF4"/>
    <w:rsid w:val="008939CD"/>
    <w:rsid w:val="008B768C"/>
    <w:rsid w:val="008C4DB1"/>
    <w:rsid w:val="008C4EAF"/>
    <w:rsid w:val="008C5176"/>
    <w:rsid w:val="008C7FD0"/>
    <w:rsid w:val="008E1DE7"/>
    <w:rsid w:val="008E707C"/>
    <w:rsid w:val="00900B08"/>
    <w:rsid w:val="00902155"/>
    <w:rsid w:val="00902FA3"/>
    <w:rsid w:val="00923564"/>
    <w:rsid w:val="0092392E"/>
    <w:rsid w:val="009315F9"/>
    <w:rsid w:val="00933499"/>
    <w:rsid w:val="00935C98"/>
    <w:rsid w:val="00936276"/>
    <w:rsid w:val="00946945"/>
    <w:rsid w:val="00951248"/>
    <w:rsid w:val="0095152F"/>
    <w:rsid w:val="00954C49"/>
    <w:rsid w:val="00955E37"/>
    <w:rsid w:val="0097099F"/>
    <w:rsid w:val="00971997"/>
    <w:rsid w:val="00971FFC"/>
    <w:rsid w:val="0098660A"/>
    <w:rsid w:val="009931C3"/>
    <w:rsid w:val="009B2C43"/>
    <w:rsid w:val="009B4EAE"/>
    <w:rsid w:val="009B7573"/>
    <w:rsid w:val="009C22F4"/>
    <w:rsid w:val="009C2A4B"/>
    <w:rsid w:val="009C2E98"/>
    <w:rsid w:val="009D3447"/>
    <w:rsid w:val="009D4711"/>
    <w:rsid w:val="009F1185"/>
    <w:rsid w:val="009F18CD"/>
    <w:rsid w:val="009F2A13"/>
    <w:rsid w:val="009F7527"/>
    <w:rsid w:val="00A04EB0"/>
    <w:rsid w:val="00A13CC1"/>
    <w:rsid w:val="00A16847"/>
    <w:rsid w:val="00A237D8"/>
    <w:rsid w:val="00A24A14"/>
    <w:rsid w:val="00A268C4"/>
    <w:rsid w:val="00A307CD"/>
    <w:rsid w:val="00A331C8"/>
    <w:rsid w:val="00A40A00"/>
    <w:rsid w:val="00A4142F"/>
    <w:rsid w:val="00A422EB"/>
    <w:rsid w:val="00A45BB7"/>
    <w:rsid w:val="00A56DF2"/>
    <w:rsid w:val="00A56E6E"/>
    <w:rsid w:val="00A67AB5"/>
    <w:rsid w:val="00A733B2"/>
    <w:rsid w:val="00A741C2"/>
    <w:rsid w:val="00A91760"/>
    <w:rsid w:val="00A93B00"/>
    <w:rsid w:val="00A93C21"/>
    <w:rsid w:val="00AB64C9"/>
    <w:rsid w:val="00AC3C6A"/>
    <w:rsid w:val="00AD5620"/>
    <w:rsid w:val="00AD656B"/>
    <w:rsid w:val="00AD7C1B"/>
    <w:rsid w:val="00AE16BA"/>
    <w:rsid w:val="00AE1EBE"/>
    <w:rsid w:val="00B03C9D"/>
    <w:rsid w:val="00B060AE"/>
    <w:rsid w:val="00B10517"/>
    <w:rsid w:val="00B14E76"/>
    <w:rsid w:val="00B161B8"/>
    <w:rsid w:val="00B2048C"/>
    <w:rsid w:val="00B310B9"/>
    <w:rsid w:val="00B35F3F"/>
    <w:rsid w:val="00B36CBB"/>
    <w:rsid w:val="00B425E0"/>
    <w:rsid w:val="00B440AA"/>
    <w:rsid w:val="00B44B70"/>
    <w:rsid w:val="00B53C56"/>
    <w:rsid w:val="00B57DAF"/>
    <w:rsid w:val="00B77EA6"/>
    <w:rsid w:val="00B81598"/>
    <w:rsid w:val="00B841F1"/>
    <w:rsid w:val="00B944D6"/>
    <w:rsid w:val="00BB4DF0"/>
    <w:rsid w:val="00BC289F"/>
    <w:rsid w:val="00BC2D50"/>
    <w:rsid w:val="00BC5361"/>
    <w:rsid w:val="00BC5460"/>
    <w:rsid w:val="00BC6B50"/>
    <w:rsid w:val="00BD0E25"/>
    <w:rsid w:val="00BF5BD6"/>
    <w:rsid w:val="00C03E31"/>
    <w:rsid w:val="00C33E72"/>
    <w:rsid w:val="00C354B2"/>
    <w:rsid w:val="00C35554"/>
    <w:rsid w:val="00C42709"/>
    <w:rsid w:val="00C533CC"/>
    <w:rsid w:val="00C5751C"/>
    <w:rsid w:val="00C61BFC"/>
    <w:rsid w:val="00C62B85"/>
    <w:rsid w:val="00C65438"/>
    <w:rsid w:val="00C87FD8"/>
    <w:rsid w:val="00C91381"/>
    <w:rsid w:val="00C91CBB"/>
    <w:rsid w:val="00CB4E70"/>
    <w:rsid w:val="00CC09B6"/>
    <w:rsid w:val="00CC666F"/>
    <w:rsid w:val="00CD1E3F"/>
    <w:rsid w:val="00CE44F6"/>
    <w:rsid w:val="00CE49DA"/>
    <w:rsid w:val="00CE7B61"/>
    <w:rsid w:val="00D00095"/>
    <w:rsid w:val="00D114F0"/>
    <w:rsid w:val="00D20620"/>
    <w:rsid w:val="00D254F7"/>
    <w:rsid w:val="00D26091"/>
    <w:rsid w:val="00D2685C"/>
    <w:rsid w:val="00D34E7C"/>
    <w:rsid w:val="00D35489"/>
    <w:rsid w:val="00D36AFE"/>
    <w:rsid w:val="00D51276"/>
    <w:rsid w:val="00D7035F"/>
    <w:rsid w:val="00DA634F"/>
    <w:rsid w:val="00DA65AC"/>
    <w:rsid w:val="00DB1913"/>
    <w:rsid w:val="00DC410D"/>
    <w:rsid w:val="00DC5A81"/>
    <w:rsid w:val="00DC68CA"/>
    <w:rsid w:val="00DC7CBA"/>
    <w:rsid w:val="00DD73B7"/>
    <w:rsid w:val="00DF28BC"/>
    <w:rsid w:val="00DF34B9"/>
    <w:rsid w:val="00E01053"/>
    <w:rsid w:val="00E07ACF"/>
    <w:rsid w:val="00E331A1"/>
    <w:rsid w:val="00E33202"/>
    <w:rsid w:val="00E336A9"/>
    <w:rsid w:val="00E472B1"/>
    <w:rsid w:val="00E50624"/>
    <w:rsid w:val="00E54633"/>
    <w:rsid w:val="00E568DF"/>
    <w:rsid w:val="00E64269"/>
    <w:rsid w:val="00E82267"/>
    <w:rsid w:val="00E853CE"/>
    <w:rsid w:val="00E867B6"/>
    <w:rsid w:val="00EA010F"/>
    <w:rsid w:val="00ED1B63"/>
    <w:rsid w:val="00ED3C1F"/>
    <w:rsid w:val="00ED4085"/>
    <w:rsid w:val="00ED420E"/>
    <w:rsid w:val="00ED6FBE"/>
    <w:rsid w:val="00EE2F57"/>
    <w:rsid w:val="00EF4C34"/>
    <w:rsid w:val="00EF77C6"/>
    <w:rsid w:val="00F05438"/>
    <w:rsid w:val="00F1361C"/>
    <w:rsid w:val="00F156F0"/>
    <w:rsid w:val="00F160C7"/>
    <w:rsid w:val="00F2408F"/>
    <w:rsid w:val="00F240E9"/>
    <w:rsid w:val="00F36D8F"/>
    <w:rsid w:val="00F417B1"/>
    <w:rsid w:val="00F45853"/>
    <w:rsid w:val="00F602DF"/>
    <w:rsid w:val="00F754A1"/>
    <w:rsid w:val="00F81FD9"/>
    <w:rsid w:val="00F841AA"/>
    <w:rsid w:val="00F84A94"/>
    <w:rsid w:val="00F87E96"/>
    <w:rsid w:val="00FA23E8"/>
    <w:rsid w:val="00FD3CC1"/>
    <w:rsid w:val="00FF1E02"/>
    <w:rsid w:val="00FF30B4"/>
    <w:rsid w:val="012A5EC2"/>
    <w:rsid w:val="015975B8"/>
    <w:rsid w:val="02A46519"/>
    <w:rsid w:val="02FEBE30"/>
    <w:rsid w:val="04497107"/>
    <w:rsid w:val="04916F1E"/>
    <w:rsid w:val="05594EA2"/>
    <w:rsid w:val="061E35DE"/>
    <w:rsid w:val="066E0107"/>
    <w:rsid w:val="06A911B2"/>
    <w:rsid w:val="07996F6E"/>
    <w:rsid w:val="07DFD8BA"/>
    <w:rsid w:val="08952DE0"/>
    <w:rsid w:val="08A9093E"/>
    <w:rsid w:val="08F65882"/>
    <w:rsid w:val="09867E8F"/>
    <w:rsid w:val="09DE0D23"/>
    <w:rsid w:val="0A2032A3"/>
    <w:rsid w:val="0CA8290A"/>
    <w:rsid w:val="0D35B1ED"/>
    <w:rsid w:val="0D4E59FF"/>
    <w:rsid w:val="0E254B6B"/>
    <w:rsid w:val="0F98263C"/>
    <w:rsid w:val="101860EC"/>
    <w:rsid w:val="101F47CC"/>
    <w:rsid w:val="10837B03"/>
    <w:rsid w:val="10C055FF"/>
    <w:rsid w:val="11694EBD"/>
    <w:rsid w:val="11772AA4"/>
    <w:rsid w:val="118107EC"/>
    <w:rsid w:val="11856B38"/>
    <w:rsid w:val="12E24EE2"/>
    <w:rsid w:val="12F86E2F"/>
    <w:rsid w:val="135D4BEE"/>
    <w:rsid w:val="13D50BC4"/>
    <w:rsid w:val="143A0A8B"/>
    <w:rsid w:val="14B17F78"/>
    <w:rsid w:val="165A5414"/>
    <w:rsid w:val="165E0673"/>
    <w:rsid w:val="16B831D5"/>
    <w:rsid w:val="16BB723D"/>
    <w:rsid w:val="17D80CE7"/>
    <w:rsid w:val="17E50567"/>
    <w:rsid w:val="186504BB"/>
    <w:rsid w:val="19A445FC"/>
    <w:rsid w:val="1A0E455F"/>
    <w:rsid w:val="1AA01C45"/>
    <w:rsid w:val="1BE8440E"/>
    <w:rsid w:val="1D155CEE"/>
    <w:rsid w:val="1D1638FE"/>
    <w:rsid w:val="1E312DEB"/>
    <w:rsid w:val="1E740ACF"/>
    <w:rsid w:val="1FF35744"/>
    <w:rsid w:val="1FF6BC77"/>
    <w:rsid w:val="2186353C"/>
    <w:rsid w:val="22BE6D2B"/>
    <w:rsid w:val="23860B96"/>
    <w:rsid w:val="240371BF"/>
    <w:rsid w:val="240F5DE0"/>
    <w:rsid w:val="244F3473"/>
    <w:rsid w:val="24C97D99"/>
    <w:rsid w:val="25A718F0"/>
    <w:rsid w:val="25BB59F6"/>
    <w:rsid w:val="260F557C"/>
    <w:rsid w:val="26970054"/>
    <w:rsid w:val="2714160F"/>
    <w:rsid w:val="281408E2"/>
    <w:rsid w:val="29FD04D3"/>
    <w:rsid w:val="2BFF7BC6"/>
    <w:rsid w:val="2C20287A"/>
    <w:rsid w:val="2C8A61B5"/>
    <w:rsid w:val="2DAF3E40"/>
    <w:rsid w:val="2DF04E50"/>
    <w:rsid w:val="2E586DFA"/>
    <w:rsid w:val="2F040D46"/>
    <w:rsid w:val="2F6B035B"/>
    <w:rsid w:val="2F7A262F"/>
    <w:rsid w:val="2FAE5751"/>
    <w:rsid w:val="2FB1A395"/>
    <w:rsid w:val="2FD9A7D8"/>
    <w:rsid w:val="2FDBF714"/>
    <w:rsid w:val="30AB6865"/>
    <w:rsid w:val="319F7F4E"/>
    <w:rsid w:val="326700FB"/>
    <w:rsid w:val="32BD1EF1"/>
    <w:rsid w:val="3304709D"/>
    <w:rsid w:val="33A773CB"/>
    <w:rsid w:val="349D6851"/>
    <w:rsid w:val="36AA5135"/>
    <w:rsid w:val="36BE0DA7"/>
    <w:rsid w:val="376B6AA6"/>
    <w:rsid w:val="376D39B2"/>
    <w:rsid w:val="37E16F03"/>
    <w:rsid w:val="37F53A3B"/>
    <w:rsid w:val="389B6C89"/>
    <w:rsid w:val="38D469F0"/>
    <w:rsid w:val="39627CCD"/>
    <w:rsid w:val="397BAF1F"/>
    <w:rsid w:val="3AB79AF3"/>
    <w:rsid w:val="3AE834C0"/>
    <w:rsid w:val="3B7EF35A"/>
    <w:rsid w:val="3B9FDB6C"/>
    <w:rsid w:val="3BF5BC2F"/>
    <w:rsid w:val="3CEBA265"/>
    <w:rsid w:val="3D98207C"/>
    <w:rsid w:val="3DEE7CF3"/>
    <w:rsid w:val="3E740A63"/>
    <w:rsid w:val="3E78745D"/>
    <w:rsid w:val="3EE17838"/>
    <w:rsid w:val="3F55381A"/>
    <w:rsid w:val="3F7F7599"/>
    <w:rsid w:val="3FF4CAE0"/>
    <w:rsid w:val="3FF7B227"/>
    <w:rsid w:val="44E268DA"/>
    <w:rsid w:val="450D13D7"/>
    <w:rsid w:val="45506656"/>
    <w:rsid w:val="4698179F"/>
    <w:rsid w:val="46DC584E"/>
    <w:rsid w:val="486A6C7A"/>
    <w:rsid w:val="4A627F82"/>
    <w:rsid w:val="4B0E749A"/>
    <w:rsid w:val="4B2477C4"/>
    <w:rsid w:val="4B4F25DA"/>
    <w:rsid w:val="4BE068DB"/>
    <w:rsid w:val="4D577224"/>
    <w:rsid w:val="4DBF1CEB"/>
    <w:rsid w:val="4DF0007C"/>
    <w:rsid w:val="4EAB630A"/>
    <w:rsid w:val="4ECE2238"/>
    <w:rsid w:val="4F833267"/>
    <w:rsid w:val="4FE9BD67"/>
    <w:rsid w:val="4FFB052F"/>
    <w:rsid w:val="50741C6D"/>
    <w:rsid w:val="52287173"/>
    <w:rsid w:val="537E6D0A"/>
    <w:rsid w:val="53F74C96"/>
    <w:rsid w:val="55170BA8"/>
    <w:rsid w:val="553218C9"/>
    <w:rsid w:val="567E1AA5"/>
    <w:rsid w:val="56E47B74"/>
    <w:rsid w:val="57175D52"/>
    <w:rsid w:val="57BD3DD4"/>
    <w:rsid w:val="582B421C"/>
    <w:rsid w:val="5AF92295"/>
    <w:rsid w:val="5B250254"/>
    <w:rsid w:val="5B8B67E7"/>
    <w:rsid w:val="5BDD79E6"/>
    <w:rsid w:val="5BF561CA"/>
    <w:rsid w:val="5BFF5DFC"/>
    <w:rsid w:val="5CD71FC4"/>
    <w:rsid w:val="5D1F11B5"/>
    <w:rsid w:val="5D695134"/>
    <w:rsid w:val="5DAE1B18"/>
    <w:rsid w:val="5DE7D9E5"/>
    <w:rsid w:val="5EC3481F"/>
    <w:rsid w:val="5ECEC941"/>
    <w:rsid w:val="5FBF9FF3"/>
    <w:rsid w:val="5FCD4E2C"/>
    <w:rsid w:val="5FEF394A"/>
    <w:rsid w:val="5FF67715"/>
    <w:rsid w:val="604F0101"/>
    <w:rsid w:val="62BF3928"/>
    <w:rsid w:val="63B3701E"/>
    <w:rsid w:val="645B798F"/>
    <w:rsid w:val="647F5392"/>
    <w:rsid w:val="65E66580"/>
    <w:rsid w:val="66176E5E"/>
    <w:rsid w:val="664B1D71"/>
    <w:rsid w:val="664B4E8E"/>
    <w:rsid w:val="67277B67"/>
    <w:rsid w:val="67AA3209"/>
    <w:rsid w:val="68F669DD"/>
    <w:rsid w:val="698D0931"/>
    <w:rsid w:val="6A7FE5F3"/>
    <w:rsid w:val="6B053271"/>
    <w:rsid w:val="6BDD78B3"/>
    <w:rsid w:val="6C4A05C8"/>
    <w:rsid w:val="6C8742B8"/>
    <w:rsid w:val="6DBF5E93"/>
    <w:rsid w:val="6DFF077E"/>
    <w:rsid w:val="6E714EF0"/>
    <w:rsid w:val="6E7E3605"/>
    <w:rsid w:val="6E7FDCC7"/>
    <w:rsid w:val="6ED6A62E"/>
    <w:rsid w:val="6EE00B15"/>
    <w:rsid w:val="6F6FB3EB"/>
    <w:rsid w:val="6F8731EA"/>
    <w:rsid w:val="6FCE6052"/>
    <w:rsid w:val="6FD57C00"/>
    <w:rsid w:val="6FEFFFD8"/>
    <w:rsid w:val="6FF5CC65"/>
    <w:rsid w:val="6FFB47EC"/>
    <w:rsid w:val="6FFF034A"/>
    <w:rsid w:val="70484440"/>
    <w:rsid w:val="712A28F1"/>
    <w:rsid w:val="715C0E4B"/>
    <w:rsid w:val="71992E7C"/>
    <w:rsid w:val="72233669"/>
    <w:rsid w:val="72734D90"/>
    <w:rsid w:val="73160E6D"/>
    <w:rsid w:val="7332FE48"/>
    <w:rsid w:val="73AB61DA"/>
    <w:rsid w:val="73AD73D5"/>
    <w:rsid w:val="73B6EB34"/>
    <w:rsid w:val="73FA497D"/>
    <w:rsid w:val="744731E5"/>
    <w:rsid w:val="74BBD01D"/>
    <w:rsid w:val="74ED5379"/>
    <w:rsid w:val="753E06B6"/>
    <w:rsid w:val="75DEEEC2"/>
    <w:rsid w:val="75E32345"/>
    <w:rsid w:val="765A357F"/>
    <w:rsid w:val="7686299B"/>
    <w:rsid w:val="76E3355F"/>
    <w:rsid w:val="76FF5125"/>
    <w:rsid w:val="77190BA1"/>
    <w:rsid w:val="776F6FFA"/>
    <w:rsid w:val="778769C8"/>
    <w:rsid w:val="77A75DCA"/>
    <w:rsid w:val="77DC22F5"/>
    <w:rsid w:val="783E271A"/>
    <w:rsid w:val="78616DE9"/>
    <w:rsid w:val="78714364"/>
    <w:rsid w:val="78E875D7"/>
    <w:rsid w:val="79086DAD"/>
    <w:rsid w:val="79D7FD79"/>
    <w:rsid w:val="79EE5BA4"/>
    <w:rsid w:val="7A894339"/>
    <w:rsid w:val="7AB364C5"/>
    <w:rsid w:val="7AD284E8"/>
    <w:rsid w:val="7AFF7572"/>
    <w:rsid w:val="7B6C7DFB"/>
    <w:rsid w:val="7BBFBED0"/>
    <w:rsid w:val="7BC3E394"/>
    <w:rsid w:val="7C1F3737"/>
    <w:rsid w:val="7CBFC87B"/>
    <w:rsid w:val="7CEA58C8"/>
    <w:rsid w:val="7CFE0F48"/>
    <w:rsid w:val="7D272ABC"/>
    <w:rsid w:val="7D7EC23E"/>
    <w:rsid w:val="7E8ADEBF"/>
    <w:rsid w:val="7EEF11D3"/>
    <w:rsid w:val="7EFE4840"/>
    <w:rsid w:val="7F0971A6"/>
    <w:rsid w:val="7F1D62E7"/>
    <w:rsid w:val="7F3F679B"/>
    <w:rsid w:val="7F4FC4EF"/>
    <w:rsid w:val="7F5E4D54"/>
    <w:rsid w:val="7F6E0135"/>
    <w:rsid w:val="7F79F205"/>
    <w:rsid w:val="7FA30C79"/>
    <w:rsid w:val="7FA79C44"/>
    <w:rsid w:val="7FAF8ABF"/>
    <w:rsid w:val="7FB7269E"/>
    <w:rsid w:val="7FC96657"/>
    <w:rsid w:val="7FDA9588"/>
    <w:rsid w:val="7FDF220F"/>
    <w:rsid w:val="7FEDC5F7"/>
    <w:rsid w:val="7FEDD9DE"/>
    <w:rsid w:val="7FF5890D"/>
    <w:rsid w:val="7FF93490"/>
    <w:rsid w:val="99FF2014"/>
    <w:rsid w:val="A6DD0D7F"/>
    <w:rsid w:val="ACFF4FBB"/>
    <w:rsid w:val="ADC6F725"/>
    <w:rsid w:val="B7CF06AB"/>
    <w:rsid w:val="B7CFA926"/>
    <w:rsid w:val="B7F8786B"/>
    <w:rsid w:val="BABB6AA1"/>
    <w:rsid w:val="BB2F4199"/>
    <w:rsid w:val="BCFFB442"/>
    <w:rsid w:val="BD079C78"/>
    <w:rsid w:val="BD733540"/>
    <w:rsid w:val="BF3735D5"/>
    <w:rsid w:val="BF7F09AC"/>
    <w:rsid w:val="BFD475C3"/>
    <w:rsid w:val="BFDE5EA6"/>
    <w:rsid w:val="CF6FC6F3"/>
    <w:rsid w:val="CFD3D3D7"/>
    <w:rsid w:val="CFDF1009"/>
    <w:rsid w:val="D7D7B16A"/>
    <w:rsid w:val="D8D6DB89"/>
    <w:rsid w:val="DB6F4CAB"/>
    <w:rsid w:val="DB777682"/>
    <w:rsid w:val="DD1FB521"/>
    <w:rsid w:val="DEFBFEAE"/>
    <w:rsid w:val="DF1F3B80"/>
    <w:rsid w:val="DF6F9789"/>
    <w:rsid w:val="DFE9BE81"/>
    <w:rsid w:val="DFFFA9E8"/>
    <w:rsid w:val="E5F4E9DC"/>
    <w:rsid w:val="E70FE695"/>
    <w:rsid w:val="EB2E368B"/>
    <w:rsid w:val="ECFED1BC"/>
    <w:rsid w:val="ED1D69BB"/>
    <w:rsid w:val="ED7FD312"/>
    <w:rsid w:val="EF2E1AC6"/>
    <w:rsid w:val="EF53993F"/>
    <w:rsid w:val="EF6FD633"/>
    <w:rsid w:val="EFBFB2F4"/>
    <w:rsid w:val="EFBFFA21"/>
    <w:rsid w:val="F2BEBCB8"/>
    <w:rsid w:val="F36FB518"/>
    <w:rsid w:val="F3DE1A04"/>
    <w:rsid w:val="F3F722E5"/>
    <w:rsid w:val="F4FBCD07"/>
    <w:rsid w:val="FA5F1E70"/>
    <w:rsid w:val="FA5FDB97"/>
    <w:rsid w:val="FB7F486A"/>
    <w:rsid w:val="FBFF5B2E"/>
    <w:rsid w:val="FD7FFE2B"/>
    <w:rsid w:val="FDEE196B"/>
    <w:rsid w:val="FDFE6575"/>
    <w:rsid w:val="FEDFDDC2"/>
    <w:rsid w:val="FEED32F6"/>
    <w:rsid w:val="FEF781DD"/>
    <w:rsid w:val="FF3F7E3F"/>
    <w:rsid w:val="FFBA12D7"/>
    <w:rsid w:val="FFCBD314"/>
    <w:rsid w:val="FFDFF91C"/>
    <w:rsid w:val="FFDFFAEE"/>
    <w:rsid w:val="FFEF6777"/>
    <w:rsid w:val="FFF9B57B"/>
    <w:rsid w:val="FFFD61D9"/>
    <w:rsid w:val="FFFD8F59"/>
    <w:rsid w:val="FFFF2BB1"/>
    <w:rsid w:val="FFFFB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6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6">
    <w:name w:val="Body Text Indent"/>
    <w:basedOn w:val="1"/>
    <w:next w:val="7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7">
    <w:name w:val="Body Text First Indent 2"/>
    <w:basedOn w:val="6"/>
    <w:next w:val="1"/>
    <w:unhideWhenUsed/>
    <w:qFormat/>
    <w:uiPriority w:val="99"/>
    <w:pPr>
      <w:ind w:firstLine="420" w:firstLineChars="200"/>
    </w:pPr>
  </w:style>
  <w:style w:type="paragraph" w:styleId="8">
    <w:name w:val="toc 3"/>
    <w:basedOn w:val="1"/>
    <w:next w:val="1"/>
    <w:unhideWhenUsed/>
    <w:qFormat/>
    <w:uiPriority w:val="39"/>
    <w:pPr>
      <w:tabs>
        <w:tab w:val="right" w:leader="dot" w:pos="8296"/>
      </w:tabs>
      <w:ind w:left="840" w:leftChars="400"/>
    </w:pPr>
  </w:style>
  <w:style w:type="paragraph" w:styleId="9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11">
    <w:name w:val="header"/>
    <w:basedOn w:val="1"/>
    <w:link w:val="2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right" w:leader="dot" w:pos="8296"/>
      </w:tabs>
      <w:spacing w:before="93"/>
      <w:jc w:val="center"/>
    </w:pPr>
    <w:rPr>
      <w:rFonts w:ascii="仿宋" w:hAnsi="仿宋" w:eastAsia="仿宋"/>
      <w:sz w:val="28"/>
      <w:szCs w:val="28"/>
    </w:rPr>
  </w:style>
  <w:style w:type="paragraph" w:styleId="13">
    <w:name w:val="footnote text"/>
    <w:basedOn w:val="1"/>
    <w:next w:val="7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4">
    <w:name w:val="toc 2"/>
    <w:basedOn w:val="1"/>
    <w:next w:val="1"/>
    <w:unhideWhenUsed/>
    <w:qFormat/>
    <w:uiPriority w:val="39"/>
    <w:pPr>
      <w:tabs>
        <w:tab w:val="right" w:leader="dot" w:pos="8296"/>
      </w:tabs>
      <w:ind w:left="420" w:leftChars="200"/>
    </w:pPr>
  </w:style>
  <w:style w:type="paragraph" w:styleId="15">
    <w:name w:val="Normal (Web)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  <w:lang w:bidi="ar-SA"/>
    </w:rPr>
  </w:style>
  <w:style w:type="character" w:styleId="18">
    <w:name w:val="Strong"/>
    <w:basedOn w:val="17"/>
    <w:qFormat/>
    <w:uiPriority w:val="99"/>
    <w:rPr>
      <w:b/>
    </w:rPr>
  </w:style>
  <w:style w:type="character" w:styleId="19">
    <w:name w:val="Hyperlink"/>
    <w:basedOn w:val="1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character" w:customStyle="1" w:styleId="21">
    <w:name w:val="Header Char"/>
    <w:basedOn w:val="17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2">
    <w:name w:val="页眉 Char"/>
    <w:link w:val="11"/>
    <w:semiHidden/>
    <w:qFormat/>
    <w:locked/>
    <w:uiPriority w:val="99"/>
    <w:rPr>
      <w:sz w:val="18"/>
    </w:rPr>
  </w:style>
  <w:style w:type="character" w:customStyle="1" w:styleId="23">
    <w:name w:val="Footer Char"/>
    <w:basedOn w:val="17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4">
    <w:name w:val="页脚 Char"/>
    <w:link w:val="10"/>
    <w:qFormat/>
    <w:locked/>
    <w:uiPriority w:val="99"/>
    <w:rPr>
      <w:sz w:val="18"/>
    </w:rPr>
  </w:style>
  <w:style w:type="character" w:customStyle="1" w:styleId="25">
    <w:name w:val="Body Text Char"/>
    <w:basedOn w:val="17"/>
    <w:semiHidden/>
    <w:qFormat/>
    <w:uiPriority w:val="99"/>
    <w:rPr>
      <w:rFonts w:ascii="Times New Roman" w:hAnsi="Times New Roman"/>
      <w:szCs w:val="24"/>
    </w:rPr>
  </w:style>
  <w:style w:type="character" w:customStyle="1" w:styleId="26">
    <w:name w:val="正文文本 Char"/>
    <w:link w:val="5"/>
    <w:qFormat/>
    <w:locked/>
    <w:uiPriority w:val="99"/>
    <w:rPr>
      <w:rFonts w:ascii="仿宋_GB2312" w:hAnsi="Times New Roman" w:eastAsia="仿宋_GB2312"/>
      <w:sz w:val="24"/>
    </w:rPr>
  </w:style>
  <w:style w:type="paragraph" w:customStyle="1" w:styleId="2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character" w:customStyle="1" w:styleId="29">
    <w:name w:val="标题 1 Char"/>
    <w:basedOn w:val="17"/>
    <w:link w:val="2"/>
    <w:qFormat/>
    <w:uiPriority w:val="9"/>
    <w:rPr>
      <w:rFonts w:ascii="Times New Roman" w:hAnsi="Times New Roman"/>
      <w:b/>
      <w:bCs/>
      <w:kern w:val="44"/>
      <w:sz w:val="44"/>
      <w:szCs w:val="44"/>
    </w:rPr>
  </w:style>
  <w:style w:type="character" w:customStyle="1" w:styleId="30">
    <w:name w:val="标题 2 Char"/>
    <w:basedOn w:val="17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31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2">
    <w:name w:val="批注框文本 Char"/>
    <w:basedOn w:val="17"/>
    <w:link w:val="9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33">
    <w:name w:val="标题 3 Char"/>
    <w:basedOn w:val="17"/>
    <w:link w:val="4"/>
    <w:qFormat/>
    <w:uiPriority w:val="9"/>
    <w:rPr>
      <w:rFonts w:ascii="Times New Roman" w:hAnsi="Times New Roman"/>
      <w:b/>
      <w:bCs/>
      <w:kern w:val="2"/>
      <w:sz w:val="32"/>
      <w:szCs w:val="32"/>
    </w:rPr>
  </w:style>
  <w:style w:type="paragraph" w:customStyle="1" w:styleId="34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customStyle="1" w:styleId="35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四川省财政厅</Company>
  <Pages>17</Pages>
  <Words>5288</Words>
  <Characters>5709</Characters>
  <Lines>61</Lines>
  <Paragraphs>17</Paragraphs>
  <TotalTime>1</TotalTime>
  <ScaleCrop>false</ScaleCrop>
  <LinksUpToDate>false</LinksUpToDate>
  <CharactersWithSpaces>5772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2020-08-09T09:49:00Z</dcterms:created>
  <dc:creator>曹颖</dc:creator>
  <cp:lastModifiedBy>Kool Herc</cp:lastModifiedBy>
  <cp:lastPrinted>2025-08-06T17:34:00Z</cp:lastPrinted>
  <dcterms:modified xsi:type="dcterms:W3CDTF">2026-09-30T08:29:04Z</dcterms:modified>
  <dc:title>四川省***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1257161364924F098061E42F8047A7BF_13</vt:lpwstr>
  </property>
  <property fmtid="{D5CDD505-2E9C-101B-9397-08002B2CF9AE}" pid="4" name="KSOTemplateDocerSaveRecord">
    <vt:lpwstr>eyJoZGlkIjoiODdjYWVmMjM1YzBmNzZlNDMyNTdiYTNlNzAwZGJiZmMiLCJ1c2VySWQiOiI3NTk2NDExMDUifQ==</vt:lpwstr>
  </property>
</Properties>
</file>