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65548">
      <w:pPr>
        <w:pStyle w:val="3"/>
        <w:ind w:left="0"/>
        <w:rPr>
          <w:rFonts w:ascii="Times New Roman"/>
          <w:sz w:val="20"/>
        </w:rPr>
      </w:pPr>
    </w:p>
    <w:p w14:paraId="6DE9D0A8">
      <w:pPr>
        <w:pStyle w:val="3"/>
        <w:ind w:left="0"/>
        <w:rPr>
          <w:rFonts w:ascii="Times New Roman"/>
          <w:sz w:val="20"/>
        </w:rPr>
      </w:pPr>
    </w:p>
    <w:p w14:paraId="79ABE90E">
      <w:pPr>
        <w:pStyle w:val="3"/>
        <w:ind w:left="0"/>
        <w:rPr>
          <w:rFonts w:ascii="Times New Roman"/>
          <w:sz w:val="20"/>
        </w:rPr>
      </w:pPr>
    </w:p>
    <w:p w14:paraId="7FF4C5DB">
      <w:pPr>
        <w:pStyle w:val="3"/>
        <w:ind w:left="0"/>
        <w:rPr>
          <w:rFonts w:ascii="Times New Roman"/>
          <w:sz w:val="20"/>
        </w:rPr>
      </w:pPr>
    </w:p>
    <w:p w14:paraId="00ECC5CF">
      <w:pPr>
        <w:pStyle w:val="3"/>
        <w:ind w:left="0"/>
        <w:rPr>
          <w:rFonts w:ascii="Times New Roman"/>
          <w:sz w:val="20"/>
        </w:rPr>
      </w:pPr>
    </w:p>
    <w:p w14:paraId="6BA77851">
      <w:pPr>
        <w:pStyle w:val="3"/>
        <w:ind w:left="0"/>
        <w:rPr>
          <w:rFonts w:ascii="Times New Roman"/>
          <w:sz w:val="20"/>
        </w:rPr>
      </w:pPr>
    </w:p>
    <w:p w14:paraId="2011A242">
      <w:pPr>
        <w:pStyle w:val="3"/>
        <w:ind w:left="0"/>
        <w:rPr>
          <w:rFonts w:ascii="Times New Roman"/>
          <w:sz w:val="20"/>
        </w:rPr>
      </w:pPr>
    </w:p>
    <w:p w14:paraId="58500E33">
      <w:pPr>
        <w:pStyle w:val="3"/>
        <w:ind w:left="0"/>
        <w:rPr>
          <w:rFonts w:ascii="Times New Roman"/>
          <w:sz w:val="20"/>
        </w:rPr>
      </w:pPr>
    </w:p>
    <w:p w14:paraId="2BE3094F">
      <w:pPr>
        <w:pStyle w:val="3"/>
        <w:ind w:left="0"/>
        <w:rPr>
          <w:rFonts w:ascii="Times New Roman"/>
          <w:sz w:val="20"/>
        </w:rPr>
      </w:pPr>
    </w:p>
    <w:p w14:paraId="74E64FDA">
      <w:pPr>
        <w:pStyle w:val="3"/>
        <w:ind w:left="0"/>
        <w:rPr>
          <w:rFonts w:ascii="Times New Roman"/>
          <w:sz w:val="20"/>
        </w:rPr>
      </w:pPr>
    </w:p>
    <w:p w14:paraId="5244C1CC">
      <w:pPr>
        <w:pStyle w:val="3"/>
        <w:ind w:left="0"/>
        <w:rPr>
          <w:rFonts w:ascii="Times New Roman"/>
          <w:sz w:val="20"/>
        </w:rPr>
      </w:pPr>
    </w:p>
    <w:p w14:paraId="788C6CEF">
      <w:pPr>
        <w:pStyle w:val="3"/>
        <w:ind w:left="0"/>
        <w:rPr>
          <w:rFonts w:ascii="Times New Roman"/>
          <w:sz w:val="20"/>
        </w:rPr>
      </w:pPr>
    </w:p>
    <w:p w14:paraId="6A0E5A2E">
      <w:pPr>
        <w:pStyle w:val="3"/>
        <w:ind w:left="0"/>
        <w:rPr>
          <w:rFonts w:ascii="Times New Roman"/>
          <w:sz w:val="20"/>
        </w:rPr>
      </w:pPr>
    </w:p>
    <w:p w14:paraId="6574B390">
      <w:pPr>
        <w:pStyle w:val="3"/>
        <w:ind w:left="0"/>
        <w:rPr>
          <w:rFonts w:ascii="Times New Roman"/>
          <w:sz w:val="20"/>
        </w:rPr>
      </w:pPr>
    </w:p>
    <w:p w14:paraId="30B18247">
      <w:pPr>
        <w:pStyle w:val="3"/>
        <w:ind w:left="0"/>
        <w:rPr>
          <w:rFonts w:ascii="Times New Roman"/>
          <w:sz w:val="20"/>
        </w:rPr>
      </w:pPr>
    </w:p>
    <w:p w14:paraId="270F835C">
      <w:pPr>
        <w:pStyle w:val="3"/>
        <w:ind w:left="0"/>
        <w:rPr>
          <w:rFonts w:ascii="Times New Roman"/>
          <w:sz w:val="20"/>
        </w:rPr>
      </w:pPr>
    </w:p>
    <w:p w14:paraId="27F6DF8F">
      <w:pPr>
        <w:pStyle w:val="3"/>
        <w:ind w:left="0"/>
        <w:rPr>
          <w:rFonts w:ascii="Times New Roman"/>
          <w:sz w:val="20"/>
        </w:rPr>
      </w:pPr>
    </w:p>
    <w:p w14:paraId="458910B6">
      <w:pPr>
        <w:pStyle w:val="3"/>
        <w:ind w:left="0"/>
        <w:rPr>
          <w:rFonts w:ascii="Times New Roman"/>
          <w:sz w:val="20"/>
        </w:rPr>
      </w:pPr>
    </w:p>
    <w:p w14:paraId="53CD8C62">
      <w:pPr>
        <w:pStyle w:val="3"/>
        <w:spacing w:before="2"/>
        <w:ind w:left="0"/>
        <w:rPr>
          <w:rFonts w:ascii="Times New Roman"/>
          <w:sz w:val="18"/>
        </w:rPr>
      </w:pPr>
    </w:p>
    <w:p w14:paraId="0B8B8F6C">
      <w:pPr>
        <w:spacing w:before="41" w:line="403" w:lineRule="auto"/>
        <w:ind w:left="1756" w:right="2107" w:firstLine="43"/>
        <w:jc w:val="center"/>
        <w:rPr>
          <w:rFonts w:hint="eastAsia" w:ascii="宋体" w:eastAsia="宋体"/>
          <w:sz w:val="42"/>
        </w:rPr>
      </w:pPr>
      <w:r>
        <w:rPr>
          <w:rFonts w:hint="eastAsia" w:ascii="宋体" w:eastAsia="宋体"/>
          <w:sz w:val="42"/>
        </w:rPr>
        <w:t>2022</w:t>
      </w:r>
      <w:r>
        <w:rPr>
          <w:rFonts w:hint="eastAsia" w:ascii="宋体" w:eastAsia="宋体"/>
          <w:spacing w:val="-14"/>
          <w:sz w:val="42"/>
        </w:rPr>
        <w:t xml:space="preserve"> 年度中共四川省阿坝州</w:t>
      </w:r>
      <w:r>
        <w:rPr>
          <w:rFonts w:hint="eastAsia" w:ascii="宋体" w:eastAsia="宋体"/>
          <w:sz w:val="42"/>
        </w:rPr>
        <w:t>九寨沟县委组织部部门决算(部门公开)</w:t>
      </w:r>
    </w:p>
    <w:p w14:paraId="3459283A">
      <w:pPr>
        <w:pStyle w:val="3"/>
        <w:ind w:left="0"/>
        <w:rPr>
          <w:rFonts w:ascii="宋体"/>
          <w:sz w:val="42"/>
        </w:rPr>
      </w:pPr>
    </w:p>
    <w:p w14:paraId="018849EB">
      <w:pPr>
        <w:pStyle w:val="3"/>
        <w:ind w:left="0"/>
        <w:rPr>
          <w:rFonts w:ascii="宋体"/>
          <w:sz w:val="42"/>
        </w:rPr>
      </w:pPr>
    </w:p>
    <w:p w14:paraId="005EC641">
      <w:pPr>
        <w:pStyle w:val="3"/>
        <w:ind w:left="0"/>
        <w:rPr>
          <w:rFonts w:ascii="宋体"/>
          <w:sz w:val="42"/>
        </w:rPr>
      </w:pPr>
    </w:p>
    <w:p w14:paraId="54851630">
      <w:pPr>
        <w:pStyle w:val="3"/>
        <w:ind w:left="0"/>
        <w:rPr>
          <w:rFonts w:ascii="宋体"/>
          <w:sz w:val="42"/>
        </w:rPr>
      </w:pPr>
    </w:p>
    <w:p w14:paraId="72AC1BA0">
      <w:pPr>
        <w:pStyle w:val="3"/>
        <w:ind w:left="0"/>
        <w:rPr>
          <w:rFonts w:ascii="宋体"/>
          <w:sz w:val="42"/>
        </w:rPr>
      </w:pPr>
    </w:p>
    <w:p w14:paraId="5A94AC44">
      <w:pPr>
        <w:pStyle w:val="3"/>
        <w:ind w:left="0"/>
        <w:rPr>
          <w:rFonts w:ascii="宋体"/>
          <w:sz w:val="42"/>
        </w:rPr>
      </w:pPr>
    </w:p>
    <w:p w14:paraId="64670C0A">
      <w:pPr>
        <w:pStyle w:val="3"/>
        <w:ind w:left="0"/>
        <w:rPr>
          <w:rFonts w:ascii="宋体"/>
          <w:sz w:val="42"/>
        </w:rPr>
      </w:pPr>
    </w:p>
    <w:p w14:paraId="413D28A7">
      <w:pPr>
        <w:spacing w:before="339"/>
        <w:ind w:left="2116" w:right="0" w:firstLine="0"/>
        <w:jc w:val="left"/>
        <w:rPr>
          <w:rFonts w:hint="eastAsia" w:ascii="宋体" w:eastAsia="宋体"/>
          <w:sz w:val="24"/>
        </w:rPr>
      </w:pPr>
      <w:r>
        <w:rPr>
          <w:rFonts w:hint="eastAsia" w:ascii="宋体" w:eastAsia="宋体"/>
          <w:sz w:val="24"/>
        </w:rPr>
        <w:t>已经保密审查、内容审定，同意对外公开</w:t>
      </w:r>
    </w:p>
    <w:p w14:paraId="09A51329">
      <w:pPr>
        <w:spacing w:after="0"/>
        <w:jc w:val="left"/>
        <w:rPr>
          <w:rFonts w:hint="eastAsia" w:ascii="宋体" w:eastAsia="宋体"/>
          <w:sz w:val="24"/>
        </w:rPr>
        <w:sectPr>
          <w:type w:val="continuous"/>
          <w:pgSz w:w="11920" w:h="16860"/>
          <w:pgMar w:top="1600" w:right="1180" w:bottom="280" w:left="1680" w:header="720" w:footer="720" w:gutter="0"/>
          <w:cols w:space="720" w:num="1"/>
        </w:sectPr>
      </w:pPr>
    </w:p>
    <w:p w14:paraId="6BC9CFA7">
      <w:pPr>
        <w:spacing w:before="52"/>
        <w:ind w:left="103" w:right="602" w:firstLine="0"/>
        <w:jc w:val="center"/>
        <w:rPr>
          <w:rFonts w:hint="eastAsia" w:ascii="宋体" w:eastAsia="宋体"/>
          <w:b/>
          <w:sz w:val="24"/>
        </w:rPr>
      </w:pPr>
      <w:r>
        <w:rPr>
          <w:rFonts w:hint="eastAsia" w:ascii="宋体" w:eastAsia="宋体"/>
          <w:b/>
          <w:sz w:val="24"/>
        </w:rPr>
        <w:t>目录</w:t>
      </w:r>
    </w:p>
    <w:p w14:paraId="762906D0">
      <w:pPr>
        <w:pStyle w:val="3"/>
        <w:spacing w:before="1"/>
        <w:ind w:left="0"/>
        <w:rPr>
          <w:rFonts w:ascii="宋体"/>
          <w:b/>
          <w:sz w:val="22"/>
        </w:rPr>
      </w:pPr>
    </w:p>
    <w:p w14:paraId="01382E46">
      <w:pPr>
        <w:spacing w:before="0"/>
        <w:ind w:left="103" w:right="602" w:firstLine="0"/>
        <w:jc w:val="center"/>
        <w:rPr>
          <w:rFonts w:hint="eastAsia" w:ascii="宋体" w:eastAsia="宋体"/>
          <w:b/>
          <w:sz w:val="24"/>
        </w:rPr>
      </w:pPr>
      <w:r>
        <w:rPr>
          <w:rFonts w:hint="eastAsia" w:ascii="宋体" w:eastAsia="宋体"/>
          <w:b/>
          <w:sz w:val="24"/>
        </w:rPr>
        <w:t>公开时间：2023 年 9 月 20 日</w:t>
      </w:r>
    </w:p>
    <w:p w14:paraId="051789CF">
      <w:pPr>
        <w:pStyle w:val="3"/>
        <w:ind w:left="0"/>
        <w:rPr>
          <w:rFonts w:ascii="宋体"/>
          <w:b/>
          <w:sz w:val="24"/>
        </w:rPr>
      </w:pPr>
    </w:p>
    <w:p w14:paraId="127D2AE1">
      <w:pPr>
        <w:pStyle w:val="3"/>
        <w:ind w:left="0"/>
        <w:rPr>
          <w:rFonts w:ascii="宋体"/>
          <w:b/>
          <w:sz w:val="24"/>
        </w:rPr>
      </w:pPr>
    </w:p>
    <w:p w14:paraId="26F182B3">
      <w:pPr>
        <w:pStyle w:val="3"/>
        <w:spacing w:before="2"/>
        <w:ind w:left="0"/>
        <w:rPr>
          <w:rFonts w:ascii="宋体"/>
          <w:b/>
          <w:sz w:val="30"/>
        </w:rPr>
      </w:pPr>
    </w:p>
    <w:p w14:paraId="44813322">
      <w:pPr>
        <w:spacing w:after="0"/>
        <w:rPr>
          <w:rFonts w:ascii="宋体"/>
          <w:sz w:val="30"/>
        </w:rPr>
        <w:sectPr>
          <w:pgSz w:w="11920" w:h="16860"/>
          <w:pgMar w:top="1380" w:right="1180" w:bottom="1455" w:left="1680" w:header="720" w:footer="720" w:gutter="0"/>
          <w:cols w:space="720" w:num="1"/>
        </w:sectPr>
      </w:pPr>
    </w:p>
    <w:sdt>
      <w:sdtPr>
        <w:id w:val="147452630"/>
        <w:docPartObj>
          <w:docPartGallery w:val="Table of Contents"/>
          <w:docPartUnique/>
        </w:docPartObj>
      </w:sdtPr>
      <w:sdtContent>
        <w:p w14:paraId="685E3271">
          <w:pPr>
            <w:pStyle w:val="4"/>
            <w:tabs>
              <w:tab w:val="right" w:leader="dot" w:pos="8355"/>
            </w:tabs>
            <w:spacing w:before="0"/>
            <w:rPr>
              <w:rFonts w:ascii="Times New Roman" w:eastAsia="Times New Roman"/>
              <w:sz w:val="32"/>
            </w:rPr>
          </w:pPr>
          <w:r>
            <w:fldChar w:fldCharType="begin"/>
          </w:r>
          <w:r>
            <w:instrText xml:space="preserve"> HYPERLINK \l "_TOC_250025" </w:instrText>
          </w:r>
          <w:r>
            <w:fldChar w:fldCharType="separate"/>
          </w:r>
          <w:r>
            <w:t>第一部分</w:t>
          </w:r>
          <w:r>
            <w:rPr>
              <w:spacing w:val="-52"/>
            </w:rPr>
            <w:t xml:space="preserve"> </w:t>
          </w:r>
          <w:r>
            <w:t>部门概况</w:t>
          </w:r>
          <w:r>
            <w:tab/>
          </w:r>
          <w:r>
            <w:rPr>
              <w:rFonts w:ascii="Times New Roman" w:eastAsia="Times New Roman"/>
              <w:sz w:val="32"/>
              <w:vertAlign w:val="subscript"/>
            </w:rPr>
            <w:t>1</w:t>
          </w:r>
          <w:r>
            <w:rPr>
              <w:rFonts w:ascii="Times New Roman" w:eastAsia="Times New Roman"/>
              <w:sz w:val="32"/>
              <w:vertAlign w:val="subscript"/>
            </w:rPr>
            <w:fldChar w:fldCharType="end"/>
          </w:r>
        </w:p>
        <w:p w14:paraId="6E71003A">
          <w:pPr>
            <w:pStyle w:val="4"/>
            <w:tabs>
              <w:tab w:val="right" w:leader="dot" w:pos="8427"/>
            </w:tabs>
            <w:spacing w:before="377"/>
            <w:rPr>
              <w:rFonts w:ascii="Times New Roman" w:eastAsia="Times New Roman"/>
              <w:sz w:val="32"/>
            </w:rPr>
          </w:pPr>
          <w:r>
            <w:fldChar w:fldCharType="begin"/>
          </w:r>
          <w:r>
            <w:instrText xml:space="preserve"> HYPERLINK \l "_TOC_250024" </w:instrText>
          </w:r>
          <w:r>
            <w:fldChar w:fldCharType="separate"/>
          </w:r>
          <w:r>
            <w:t>一、基本职能及主要工作</w:t>
          </w:r>
          <w:r>
            <w:tab/>
          </w:r>
          <w:r>
            <w:rPr>
              <w:rFonts w:ascii="Times New Roman" w:eastAsia="Times New Roman"/>
              <w:sz w:val="32"/>
              <w:vertAlign w:val="subscript"/>
            </w:rPr>
            <w:t>1</w:t>
          </w:r>
          <w:r>
            <w:rPr>
              <w:rFonts w:ascii="Times New Roman" w:eastAsia="Times New Roman"/>
              <w:sz w:val="32"/>
              <w:vertAlign w:val="subscript"/>
            </w:rPr>
            <w:fldChar w:fldCharType="end"/>
          </w:r>
        </w:p>
        <w:p w14:paraId="285B3119">
          <w:pPr>
            <w:pStyle w:val="4"/>
            <w:tabs>
              <w:tab w:val="right" w:leader="dot" w:pos="8384"/>
            </w:tabs>
            <w:rPr>
              <w:rFonts w:ascii="Times New Roman" w:eastAsia="Times New Roman"/>
              <w:sz w:val="32"/>
            </w:rPr>
          </w:pPr>
          <w:r>
            <w:fldChar w:fldCharType="begin"/>
          </w:r>
          <w:r>
            <w:instrText xml:space="preserve"> HYPERLINK \l "_TOC_250023" </w:instrText>
          </w:r>
          <w:r>
            <w:fldChar w:fldCharType="separate"/>
          </w:r>
          <w:r>
            <w:t>二、机构设置</w:t>
          </w:r>
          <w:r>
            <w:tab/>
          </w:r>
          <w:r>
            <w:rPr>
              <w:rFonts w:ascii="Times New Roman" w:eastAsia="Times New Roman"/>
              <w:sz w:val="32"/>
              <w:vertAlign w:val="subscript"/>
            </w:rPr>
            <w:t>2</w:t>
          </w:r>
          <w:r>
            <w:rPr>
              <w:rFonts w:ascii="Times New Roman" w:eastAsia="Times New Roman"/>
              <w:sz w:val="32"/>
              <w:vertAlign w:val="subscript"/>
            </w:rPr>
            <w:fldChar w:fldCharType="end"/>
          </w:r>
        </w:p>
        <w:p w14:paraId="29CA86F7">
          <w:pPr>
            <w:pStyle w:val="4"/>
            <w:tabs>
              <w:tab w:val="right" w:leader="dot" w:pos="8403"/>
            </w:tabs>
            <w:rPr>
              <w:rFonts w:ascii="Times New Roman" w:eastAsia="Times New Roman"/>
              <w:sz w:val="32"/>
            </w:rPr>
          </w:pPr>
          <w:r>
            <w:fldChar w:fldCharType="begin"/>
          </w:r>
          <w:r>
            <w:instrText xml:space="preserve"> HYPERLINK \l "_TOC_250022" </w:instrText>
          </w:r>
          <w:r>
            <w:fldChar w:fldCharType="separate"/>
          </w:r>
          <w:r>
            <w:t>第二部分</w:t>
          </w:r>
          <w:r>
            <w:rPr>
              <w:spacing w:val="-52"/>
            </w:rPr>
            <w:t xml:space="preserve"> </w:t>
          </w:r>
          <w:r>
            <w:rPr>
              <w:rFonts w:ascii="Times New Roman" w:eastAsia="Times New Roman"/>
            </w:rPr>
            <w:t>2022</w:t>
          </w:r>
          <w:r>
            <w:rPr>
              <w:rFonts w:ascii="Times New Roman" w:eastAsia="Times New Roman"/>
              <w:spacing w:val="-6"/>
            </w:rPr>
            <w:t xml:space="preserve"> </w:t>
          </w:r>
          <w:r>
            <w:t>年度部门决算情况说明</w:t>
          </w:r>
          <w:r>
            <w:tab/>
          </w:r>
          <w:r>
            <w:rPr>
              <w:rFonts w:ascii="Times New Roman" w:eastAsia="Times New Roman"/>
              <w:sz w:val="32"/>
              <w:vertAlign w:val="subscript"/>
            </w:rPr>
            <w:t>3</w:t>
          </w:r>
          <w:r>
            <w:rPr>
              <w:rFonts w:ascii="Times New Roman" w:eastAsia="Times New Roman"/>
              <w:sz w:val="32"/>
              <w:vertAlign w:val="subscript"/>
            </w:rPr>
            <w:fldChar w:fldCharType="end"/>
          </w:r>
        </w:p>
        <w:p w14:paraId="1027A60A">
          <w:pPr>
            <w:pStyle w:val="4"/>
            <w:tabs>
              <w:tab w:val="right" w:leader="dot" w:pos="8389"/>
            </w:tabs>
            <w:rPr>
              <w:rFonts w:ascii="Times New Roman" w:eastAsia="Times New Roman"/>
              <w:sz w:val="32"/>
            </w:rPr>
          </w:pPr>
          <w:r>
            <w:fldChar w:fldCharType="begin"/>
          </w:r>
          <w:r>
            <w:instrText xml:space="preserve"> HYPERLINK \l "_TOC_250021" </w:instrText>
          </w:r>
          <w:r>
            <w:fldChar w:fldCharType="separate"/>
          </w:r>
          <w:r>
            <w:t>一、收入支出决算总体情况说明</w:t>
          </w:r>
          <w:r>
            <w:tab/>
          </w:r>
          <w:r>
            <w:rPr>
              <w:rFonts w:ascii="Times New Roman" w:eastAsia="Times New Roman"/>
              <w:sz w:val="32"/>
              <w:vertAlign w:val="subscript"/>
            </w:rPr>
            <w:t>3</w:t>
          </w:r>
          <w:r>
            <w:rPr>
              <w:rFonts w:ascii="Times New Roman" w:eastAsia="Times New Roman"/>
              <w:sz w:val="32"/>
              <w:vertAlign w:val="subscript"/>
            </w:rPr>
            <w:fldChar w:fldCharType="end"/>
          </w:r>
        </w:p>
        <w:p w14:paraId="4127F9BC">
          <w:pPr>
            <w:pStyle w:val="4"/>
            <w:tabs>
              <w:tab w:val="right" w:leader="dot" w:pos="8386"/>
            </w:tabs>
            <w:rPr>
              <w:rFonts w:ascii="Times New Roman" w:eastAsia="Times New Roman"/>
              <w:sz w:val="32"/>
            </w:rPr>
          </w:pPr>
          <w:r>
            <w:fldChar w:fldCharType="begin"/>
          </w:r>
          <w:r>
            <w:instrText xml:space="preserve"> HYPERLINK \l "_TOC_250020" </w:instrText>
          </w:r>
          <w:r>
            <w:fldChar w:fldCharType="separate"/>
          </w:r>
          <w:r>
            <w:t>二、收入决算情况说明</w:t>
          </w:r>
          <w:r>
            <w:tab/>
          </w:r>
          <w:r>
            <w:rPr>
              <w:rFonts w:ascii="Times New Roman" w:eastAsia="Times New Roman"/>
              <w:sz w:val="32"/>
              <w:vertAlign w:val="subscript"/>
            </w:rPr>
            <w:t>3</w:t>
          </w:r>
          <w:r>
            <w:rPr>
              <w:rFonts w:ascii="Times New Roman" w:eastAsia="Times New Roman"/>
              <w:sz w:val="32"/>
              <w:vertAlign w:val="subscript"/>
            </w:rPr>
            <w:fldChar w:fldCharType="end"/>
          </w:r>
        </w:p>
        <w:p w14:paraId="4EF4BECA">
          <w:pPr>
            <w:pStyle w:val="4"/>
            <w:tabs>
              <w:tab w:val="right" w:leader="dot" w:pos="8386"/>
            </w:tabs>
            <w:rPr>
              <w:rFonts w:ascii="Times New Roman" w:eastAsia="Times New Roman"/>
              <w:sz w:val="32"/>
            </w:rPr>
          </w:pPr>
          <w:r>
            <w:fldChar w:fldCharType="begin"/>
          </w:r>
          <w:r>
            <w:instrText xml:space="preserve"> HYPERLINK \l "_TOC_250019" </w:instrText>
          </w:r>
          <w:r>
            <w:fldChar w:fldCharType="separate"/>
          </w:r>
          <w:r>
            <w:t>三、支出决算情况说明</w:t>
          </w:r>
          <w:r>
            <w:tab/>
          </w:r>
          <w:r>
            <w:rPr>
              <w:rFonts w:ascii="Times New Roman" w:eastAsia="Times New Roman"/>
              <w:sz w:val="32"/>
              <w:vertAlign w:val="subscript"/>
            </w:rPr>
            <w:t>3</w:t>
          </w:r>
          <w:r>
            <w:rPr>
              <w:rFonts w:ascii="Times New Roman" w:eastAsia="Times New Roman"/>
              <w:sz w:val="32"/>
              <w:vertAlign w:val="subscript"/>
            </w:rPr>
            <w:fldChar w:fldCharType="end"/>
          </w:r>
        </w:p>
        <w:p w14:paraId="665481C6">
          <w:pPr>
            <w:pStyle w:val="4"/>
            <w:tabs>
              <w:tab w:val="right" w:leader="dot" w:pos="8393"/>
            </w:tabs>
            <w:rPr>
              <w:rFonts w:ascii="Times New Roman" w:eastAsia="Times New Roman"/>
              <w:sz w:val="32"/>
            </w:rPr>
          </w:pPr>
          <w:r>
            <w:fldChar w:fldCharType="begin"/>
          </w:r>
          <w:r>
            <w:instrText xml:space="preserve"> HYPERLINK \l "_TOC_250018" </w:instrText>
          </w:r>
          <w:r>
            <w:fldChar w:fldCharType="separate"/>
          </w:r>
          <w:r>
            <w:t>四、财政拨款收入支出决算总体情况说明</w:t>
          </w:r>
          <w:r>
            <w:tab/>
          </w:r>
          <w:r>
            <w:rPr>
              <w:rFonts w:ascii="Times New Roman" w:eastAsia="Times New Roman"/>
              <w:sz w:val="32"/>
              <w:vertAlign w:val="subscript"/>
            </w:rPr>
            <w:t>3</w:t>
          </w:r>
          <w:r>
            <w:rPr>
              <w:rFonts w:ascii="Times New Roman" w:eastAsia="Times New Roman"/>
              <w:sz w:val="32"/>
              <w:vertAlign w:val="subscript"/>
            </w:rPr>
            <w:fldChar w:fldCharType="end"/>
          </w:r>
        </w:p>
        <w:p w14:paraId="053EAB54">
          <w:pPr>
            <w:pStyle w:val="4"/>
            <w:tabs>
              <w:tab w:val="right" w:leader="dot" w:pos="8393"/>
            </w:tabs>
            <w:spacing w:before="256"/>
            <w:rPr>
              <w:rFonts w:ascii="Times New Roman" w:eastAsia="Times New Roman"/>
              <w:sz w:val="32"/>
            </w:rPr>
          </w:pPr>
          <w:r>
            <w:fldChar w:fldCharType="begin"/>
          </w:r>
          <w:r>
            <w:instrText xml:space="preserve"> HYPERLINK \l "_TOC_250017" </w:instrText>
          </w:r>
          <w:r>
            <w:fldChar w:fldCharType="separate"/>
          </w:r>
          <w:r>
            <w:t>五、一般公共预算财政拨款支出决算情况说明</w:t>
          </w:r>
          <w:r>
            <w:tab/>
          </w:r>
          <w:r>
            <w:rPr>
              <w:rFonts w:ascii="Times New Roman" w:eastAsia="Times New Roman"/>
              <w:sz w:val="32"/>
              <w:vertAlign w:val="subscript"/>
            </w:rPr>
            <w:t>4</w:t>
          </w:r>
          <w:r>
            <w:rPr>
              <w:rFonts w:ascii="Times New Roman" w:eastAsia="Times New Roman"/>
              <w:sz w:val="32"/>
              <w:vertAlign w:val="subscript"/>
            </w:rPr>
            <w:fldChar w:fldCharType="end"/>
          </w:r>
        </w:p>
        <w:p w14:paraId="1AD39F02">
          <w:pPr>
            <w:pStyle w:val="4"/>
            <w:tabs>
              <w:tab w:val="right" w:leader="dot" w:pos="8396"/>
            </w:tabs>
            <w:rPr>
              <w:rFonts w:ascii="Times New Roman" w:eastAsia="Times New Roman"/>
              <w:sz w:val="32"/>
            </w:rPr>
          </w:pPr>
          <w:r>
            <w:t>六、一般公共预算财政拨款基本支出决算情况说明</w:t>
          </w:r>
          <w:r>
            <w:tab/>
          </w:r>
          <w:r>
            <w:rPr>
              <w:rFonts w:ascii="Times New Roman" w:eastAsia="Times New Roman"/>
              <w:sz w:val="32"/>
              <w:vertAlign w:val="subscript"/>
            </w:rPr>
            <w:t>6</w:t>
          </w:r>
        </w:p>
        <w:p w14:paraId="56EF74EB">
          <w:pPr>
            <w:pStyle w:val="4"/>
            <w:tabs>
              <w:tab w:val="right" w:leader="dot" w:pos="8432"/>
            </w:tabs>
            <w:rPr>
              <w:rFonts w:ascii="Times New Roman" w:hAnsi="Times New Roman" w:eastAsia="Times New Roman"/>
              <w:sz w:val="32"/>
            </w:rPr>
          </w:pPr>
          <w:r>
            <w:t>七、财政拨款</w:t>
          </w:r>
          <w:r>
            <w:rPr>
              <w:rFonts w:ascii="Times New Roman" w:hAnsi="Times New Roman" w:eastAsia="Times New Roman"/>
            </w:rPr>
            <w:t>“</w:t>
          </w:r>
          <w:r>
            <w:t>三公</w:t>
          </w:r>
          <w:r>
            <w:rPr>
              <w:rFonts w:ascii="Times New Roman" w:hAnsi="Times New Roman" w:eastAsia="Times New Roman"/>
            </w:rPr>
            <w:t>”</w:t>
          </w:r>
          <w:r>
            <w:t>经费支出决算情况说明</w:t>
          </w:r>
          <w:r>
            <w:tab/>
          </w:r>
          <w:r>
            <w:rPr>
              <w:rFonts w:ascii="Times New Roman" w:hAnsi="Times New Roman" w:eastAsia="Times New Roman"/>
              <w:sz w:val="32"/>
              <w:vertAlign w:val="subscript"/>
            </w:rPr>
            <w:t>7</w:t>
          </w:r>
        </w:p>
        <w:p w14:paraId="2368E87C">
          <w:pPr>
            <w:pStyle w:val="4"/>
            <w:tabs>
              <w:tab w:val="right" w:leader="dot" w:pos="8432"/>
            </w:tabs>
            <w:rPr>
              <w:rFonts w:ascii="Times New Roman" w:eastAsia="Times New Roman"/>
              <w:sz w:val="32"/>
            </w:rPr>
          </w:pPr>
          <w:r>
            <w:t>八、政府性基金预算支出决算情况说明</w:t>
          </w:r>
          <w:r>
            <w:tab/>
          </w:r>
          <w:r>
            <w:rPr>
              <w:rFonts w:ascii="Times New Roman" w:eastAsia="Times New Roman"/>
              <w:sz w:val="32"/>
              <w:vertAlign w:val="subscript"/>
            </w:rPr>
            <w:t>8</w:t>
          </w:r>
        </w:p>
        <w:p w14:paraId="194F0B96">
          <w:pPr>
            <w:pStyle w:val="4"/>
            <w:tabs>
              <w:tab w:val="right" w:leader="dot" w:pos="8393"/>
            </w:tabs>
            <w:rPr>
              <w:rFonts w:ascii="Times New Roman" w:eastAsia="Times New Roman"/>
              <w:sz w:val="32"/>
            </w:rPr>
          </w:pPr>
          <w:r>
            <w:t>九、国有资本经营预算支出决算情况说明</w:t>
          </w:r>
          <w:r>
            <w:tab/>
          </w:r>
          <w:r>
            <w:rPr>
              <w:rFonts w:ascii="Times New Roman" w:eastAsia="Times New Roman"/>
              <w:sz w:val="32"/>
              <w:vertAlign w:val="subscript"/>
            </w:rPr>
            <w:t>8</w:t>
          </w:r>
        </w:p>
        <w:p w14:paraId="65A05E07">
          <w:pPr>
            <w:pStyle w:val="4"/>
            <w:tabs>
              <w:tab w:val="right" w:leader="dot" w:pos="8429"/>
            </w:tabs>
            <w:rPr>
              <w:rFonts w:ascii="Times New Roman" w:eastAsia="Times New Roman"/>
              <w:sz w:val="32"/>
            </w:rPr>
          </w:pPr>
          <w:r>
            <w:fldChar w:fldCharType="begin"/>
          </w:r>
          <w:r>
            <w:instrText xml:space="preserve"> HYPERLINK \l "_TOC_250016" </w:instrText>
          </w:r>
          <w:r>
            <w:fldChar w:fldCharType="separate"/>
          </w:r>
          <w:r>
            <w:t>十、其他重要事项的情况说明</w:t>
          </w:r>
          <w:r>
            <w:tab/>
          </w:r>
          <w:r>
            <w:rPr>
              <w:rFonts w:ascii="Times New Roman" w:eastAsia="Times New Roman"/>
              <w:sz w:val="32"/>
              <w:vertAlign w:val="subscript"/>
            </w:rPr>
            <w:t>8</w:t>
          </w:r>
          <w:r>
            <w:rPr>
              <w:rFonts w:ascii="Times New Roman" w:eastAsia="Times New Roman"/>
              <w:sz w:val="32"/>
              <w:vertAlign w:val="subscript"/>
            </w:rPr>
            <w:fldChar w:fldCharType="end"/>
          </w:r>
        </w:p>
        <w:p w14:paraId="2B861368">
          <w:pPr>
            <w:pStyle w:val="4"/>
            <w:tabs>
              <w:tab w:val="right" w:leader="dot" w:pos="8377"/>
            </w:tabs>
            <w:rPr>
              <w:rFonts w:ascii="Times New Roman" w:eastAsia="Times New Roman"/>
              <w:sz w:val="32"/>
            </w:rPr>
          </w:pPr>
          <w:r>
            <w:fldChar w:fldCharType="begin"/>
          </w:r>
          <w:r>
            <w:instrText xml:space="preserve"> HYPERLINK \l "_TOC_250015" </w:instrText>
          </w:r>
          <w:r>
            <w:fldChar w:fldCharType="separate"/>
          </w:r>
          <w:r>
            <w:t>第三部分</w:t>
          </w:r>
          <w:r>
            <w:rPr>
              <w:spacing w:val="-51"/>
            </w:rPr>
            <w:t xml:space="preserve"> </w:t>
          </w:r>
          <w:r>
            <w:t>名词解释</w:t>
          </w:r>
          <w:r>
            <w:tab/>
          </w:r>
          <w:r>
            <w:rPr>
              <w:rFonts w:ascii="Times New Roman" w:eastAsia="Times New Roman"/>
              <w:sz w:val="32"/>
              <w:vertAlign w:val="subscript"/>
            </w:rPr>
            <w:t>10</w:t>
          </w:r>
          <w:r>
            <w:rPr>
              <w:rFonts w:ascii="Times New Roman" w:eastAsia="Times New Roman"/>
              <w:sz w:val="32"/>
              <w:vertAlign w:val="subscript"/>
            </w:rPr>
            <w:fldChar w:fldCharType="end"/>
          </w:r>
        </w:p>
        <w:p w14:paraId="71985A3F">
          <w:pPr>
            <w:pStyle w:val="4"/>
            <w:tabs>
              <w:tab w:val="right" w:leader="dot" w:pos="8379"/>
            </w:tabs>
            <w:rPr>
              <w:rFonts w:ascii="Times New Roman" w:eastAsia="Times New Roman"/>
              <w:sz w:val="32"/>
            </w:rPr>
          </w:pPr>
          <w:r>
            <w:fldChar w:fldCharType="begin"/>
          </w:r>
          <w:r>
            <w:instrText xml:space="preserve"> HYPERLINK \l "_TOC_250014" </w:instrText>
          </w:r>
          <w:r>
            <w:fldChar w:fldCharType="separate"/>
          </w:r>
          <w:r>
            <w:t>第四部分</w:t>
          </w:r>
          <w:r>
            <w:rPr>
              <w:spacing w:val="-51"/>
            </w:rPr>
            <w:t xml:space="preserve"> </w:t>
          </w:r>
          <w:r>
            <w:t>附件</w:t>
          </w:r>
          <w:r>
            <w:tab/>
          </w:r>
          <w:r>
            <w:rPr>
              <w:rFonts w:ascii="Times New Roman" w:eastAsia="Times New Roman"/>
              <w:sz w:val="32"/>
              <w:vertAlign w:val="subscript"/>
            </w:rPr>
            <w:t>13</w:t>
          </w:r>
          <w:r>
            <w:rPr>
              <w:rFonts w:ascii="Times New Roman" w:eastAsia="Times New Roman"/>
              <w:sz w:val="32"/>
              <w:vertAlign w:val="subscript"/>
            </w:rPr>
            <w:fldChar w:fldCharType="end"/>
          </w:r>
        </w:p>
        <w:p w14:paraId="1CBF33E0">
          <w:pPr>
            <w:pStyle w:val="4"/>
            <w:tabs>
              <w:tab w:val="right" w:leader="dot" w:pos="8374"/>
            </w:tabs>
            <w:spacing w:before="256" w:after="20"/>
            <w:rPr>
              <w:rFonts w:ascii="Times New Roman" w:eastAsia="Times New Roman"/>
              <w:sz w:val="32"/>
            </w:rPr>
          </w:pPr>
          <w:r>
            <w:fldChar w:fldCharType="begin"/>
          </w:r>
          <w:r>
            <w:instrText xml:space="preserve"> HYPERLINK \l "_TOC_250013" </w:instrText>
          </w:r>
          <w:r>
            <w:fldChar w:fldCharType="separate"/>
          </w:r>
          <w:r>
            <w:t>第五部分</w:t>
          </w:r>
          <w:r>
            <w:rPr>
              <w:spacing w:val="-51"/>
            </w:rPr>
            <w:t xml:space="preserve"> </w:t>
          </w:r>
          <w:r>
            <w:t>附表</w:t>
          </w:r>
          <w:r>
            <w:tab/>
          </w:r>
          <w:r>
            <w:rPr>
              <w:rFonts w:ascii="Times New Roman" w:eastAsia="Times New Roman"/>
              <w:sz w:val="32"/>
              <w:vertAlign w:val="subscript"/>
            </w:rPr>
            <w:t>19</w:t>
          </w:r>
          <w:r>
            <w:rPr>
              <w:rFonts w:ascii="Times New Roman" w:eastAsia="Times New Roman"/>
              <w:sz w:val="32"/>
              <w:vertAlign w:val="subscript"/>
            </w:rPr>
            <w:fldChar w:fldCharType="end"/>
          </w:r>
        </w:p>
        <w:p w14:paraId="43296277">
          <w:pPr>
            <w:pStyle w:val="4"/>
            <w:tabs>
              <w:tab w:val="right" w:leader="dot" w:pos="8326"/>
            </w:tabs>
            <w:spacing w:before="56"/>
            <w:rPr>
              <w:rFonts w:ascii="Times New Roman" w:eastAsia="Times New Roman"/>
              <w:sz w:val="32"/>
            </w:rPr>
          </w:pPr>
          <w:r>
            <w:fldChar w:fldCharType="begin"/>
          </w:r>
          <w:r>
            <w:instrText xml:space="preserve"> HYPERLINK \l "_TOC_250012" </w:instrText>
          </w:r>
          <w:r>
            <w:fldChar w:fldCharType="separate"/>
          </w:r>
          <w:r>
            <w:t>一、收入支出决算总表</w:t>
          </w:r>
          <w:r>
            <w:tab/>
          </w:r>
          <w:r>
            <w:rPr>
              <w:rFonts w:ascii="Times New Roman" w:eastAsia="Times New Roman"/>
              <w:sz w:val="32"/>
              <w:vertAlign w:val="subscript"/>
            </w:rPr>
            <w:t>19</w:t>
          </w:r>
          <w:r>
            <w:rPr>
              <w:rFonts w:ascii="Times New Roman" w:eastAsia="Times New Roman"/>
              <w:sz w:val="32"/>
              <w:vertAlign w:val="subscript"/>
            </w:rPr>
            <w:fldChar w:fldCharType="end"/>
          </w:r>
        </w:p>
        <w:p w14:paraId="05882998">
          <w:pPr>
            <w:pStyle w:val="4"/>
            <w:tabs>
              <w:tab w:val="right" w:leader="dot" w:pos="8384"/>
            </w:tabs>
            <w:rPr>
              <w:rFonts w:ascii="Times New Roman" w:eastAsia="Times New Roman"/>
              <w:sz w:val="32"/>
            </w:rPr>
          </w:pPr>
          <w:r>
            <w:fldChar w:fldCharType="begin"/>
          </w:r>
          <w:r>
            <w:instrText xml:space="preserve"> HYPERLINK \l "_TOC_250011" </w:instrText>
          </w:r>
          <w:r>
            <w:fldChar w:fldCharType="separate"/>
          </w:r>
          <w:r>
            <w:t>二、收入决算表</w:t>
          </w:r>
          <w:r>
            <w:tab/>
          </w:r>
          <w:r>
            <w:rPr>
              <w:rFonts w:ascii="Times New Roman" w:eastAsia="Times New Roman"/>
              <w:sz w:val="32"/>
              <w:vertAlign w:val="subscript"/>
            </w:rPr>
            <w:t>20</w:t>
          </w:r>
          <w:r>
            <w:rPr>
              <w:rFonts w:ascii="Times New Roman" w:eastAsia="Times New Roman"/>
              <w:sz w:val="32"/>
              <w:vertAlign w:val="subscript"/>
            </w:rPr>
            <w:fldChar w:fldCharType="end"/>
          </w:r>
        </w:p>
        <w:p w14:paraId="0C2C28DF">
          <w:pPr>
            <w:pStyle w:val="4"/>
            <w:tabs>
              <w:tab w:val="right" w:leader="dot" w:pos="8415"/>
            </w:tabs>
            <w:spacing w:before="256"/>
            <w:rPr>
              <w:rFonts w:ascii="Times New Roman" w:eastAsia="Times New Roman"/>
              <w:sz w:val="32"/>
            </w:rPr>
          </w:pPr>
          <w:r>
            <w:fldChar w:fldCharType="begin"/>
          </w:r>
          <w:r>
            <w:instrText xml:space="preserve"> HYPERLINK \l "_TOC_250010" </w:instrText>
          </w:r>
          <w:r>
            <w:fldChar w:fldCharType="separate"/>
          </w:r>
          <w:r>
            <w:t>三、支出决算表</w:t>
          </w:r>
          <w:r>
            <w:tab/>
          </w:r>
          <w:r>
            <w:rPr>
              <w:rFonts w:ascii="Times New Roman" w:eastAsia="Times New Roman"/>
              <w:sz w:val="32"/>
              <w:vertAlign w:val="subscript"/>
            </w:rPr>
            <w:t>20</w:t>
          </w:r>
          <w:r>
            <w:rPr>
              <w:rFonts w:ascii="Times New Roman" w:eastAsia="Times New Roman"/>
              <w:sz w:val="32"/>
              <w:vertAlign w:val="subscript"/>
            </w:rPr>
            <w:fldChar w:fldCharType="end"/>
          </w:r>
        </w:p>
        <w:p w14:paraId="3501D004">
          <w:pPr>
            <w:pStyle w:val="4"/>
            <w:tabs>
              <w:tab w:val="right" w:leader="dot" w:pos="8410"/>
            </w:tabs>
            <w:rPr>
              <w:rFonts w:ascii="Times New Roman" w:eastAsia="Times New Roman"/>
              <w:sz w:val="32"/>
            </w:rPr>
          </w:pPr>
          <w:r>
            <w:fldChar w:fldCharType="begin"/>
          </w:r>
          <w:r>
            <w:instrText xml:space="preserve"> HYPERLINK \l "_TOC_250009" </w:instrText>
          </w:r>
          <w:r>
            <w:fldChar w:fldCharType="separate"/>
          </w:r>
          <w:r>
            <w:t>四、财政拨款收入支出决算总表</w:t>
          </w:r>
          <w:r>
            <w:tab/>
          </w:r>
          <w:r>
            <w:rPr>
              <w:rFonts w:ascii="Times New Roman" w:eastAsia="Times New Roman"/>
              <w:sz w:val="32"/>
              <w:vertAlign w:val="subscript"/>
            </w:rPr>
            <w:t>21</w:t>
          </w:r>
          <w:r>
            <w:rPr>
              <w:rFonts w:ascii="Times New Roman" w:eastAsia="Times New Roman"/>
              <w:sz w:val="32"/>
              <w:vertAlign w:val="subscript"/>
            </w:rPr>
            <w:fldChar w:fldCharType="end"/>
          </w:r>
        </w:p>
        <w:p w14:paraId="57BF1F0D">
          <w:pPr>
            <w:pStyle w:val="4"/>
            <w:tabs>
              <w:tab w:val="right" w:leader="dot" w:pos="8369"/>
            </w:tabs>
            <w:rPr>
              <w:rFonts w:ascii="Times New Roman" w:eastAsia="Times New Roman"/>
              <w:sz w:val="32"/>
            </w:rPr>
          </w:pPr>
          <w:r>
            <w:fldChar w:fldCharType="begin"/>
          </w:r>
          <w:r>
            <w:instrText xml:space="preserve"> HYPERLINK \l "_TOC_250008" </w:instrText>
          </w:r>
          <w:r>
            <w:fldChar w:fldCharType="separate"/>
          </w:r>
          <w:r>
            <w:t>五、财政拨款支出决算明细表</w:t>
          </w:r>
          <w:r>
            <w:tab/>
          </w:r>
          <w:r>
            <w:rPr>
              <w:rFonts w:ascii="Times New Roman" w:eastAsia="Times New Roman"/>
              <w:sz w:val="32"/>
              <w:vertAlign w:val="subscript"/>
            </w:rPr>
            <w:t>22</w:t>
          </w:r>
          <w:r>
            <w:rPr>
              <w:rFonts w:ascii="Times New Roman" w:eastAsia="Times New Roman"/>
              <w:sz w:val="32"/>
              <w:vertAlign w:val="subscript"/>
            </w:rPr>
            <w:fldChar w:fldCharType="end"/>
          </w:r>
        </w:p>
        <w:p w14:paraId="1B24DED7">
          <w:pPr>
            <w:pStyle w:val="4"/>
            <w:tabs>
              <w:tab w:val="right" w:leader="dot" w:pos="8372"/>
            </w:tabs>
            <w:rPr>
              <w:rFonts w:ascii="Times New Roman" w:eastAsia="Times New Roman"/>
              <w:sz w:val="32"/>
            </w:rPr>
          </w:pPr>
          <w:r>
            <w:fldChar w:fldCharType="begin"/>
          </w:r>
          <w:r>
            <w:instrText xml:space="preserve"> HYPERLINK \l "_TOC_250007" </w:instrText>
          </w:r>
          <w:r>
            <w:fldChar w:fldCharType="separate"/>
          </w:r>
          <w:r>
            <w:t>六、一般公共预算财政拨款支出决算表</w:t>
          </w:r>
          <w:r>
            <w:tab/>
          </w:r>
          <w:r>
            <w:rPr>
              <w:rFonts w:ascii="Times New Roman" w:eastAsia="Times New Roman"/>
              <w:sz w:val="32"/>
              <w:vertAlign w:val="subscript"/>
            </w:rPr>
            <w:t>24</w:t>
          </w:r>
          <w:r>
            <w:rPr>
              <w:rFonts w:ascii="Times New Roman" w:eastAsia="Times New Roman"/>
              <w:sz w:val="32"/>
              <w:vertAlign w:val="subscript"/>
            </w:rPr>
            <w:fldChar w:fldCharType="end"/>
          </w:r>
        </w:p>
        <w:p w14:paraId="1C9686F2">
          <w:pPr>
            <w:pStyle w:val="4"/>
            <w:tabs>
              <w:tab w:val="right" w:leader="dot" w:pos="8343"/>
            </w:tabs>
            <w:rPr>
              <w:rFonts w:ascii="Times New Roman" w:eastAsia="Times New Roman"/>
              <w:sz w:val="32"/>
            </w:rPr>
          </w:pPr>
          <w:r>
            <w:fldChar w:fldCharType="begin"/>
          </w:r>
          <w:r>
            <w:instrText xml:space="preserve"> HYPERLINK \l "_TOC_250006" </w:instrText>
          </w:r>
          <w:r>
            <w:fldChar w:fldCharType="separate"/>
          </w:r>
          <w:r>
            <w:t>七、一般公共预算财政拨款支出决算明细表</w:t>
          </w:r>
          <w:r>
            <w:tab/>
          </w:r>
          <w:r>
            <w:rPr>
              <w:rFonts w:ascii="Times New Roman" w:eastAsia="Times New Roman"/>
              <w:sz w:val="32"/>
              <w:vertAlign w:val="subscript"/>
            </w:rPr>
            <w:t>25</w:t>
          </w:r>
          <w:r>
            <w:rPr>
              <w:rFonts w:ascii="Times New Roman" w:eastAsia="Times New Roman"/>
              <w:sz w:val="32"/>
              <w:vertAlign w:val="subscript"/>
            </w:rPr>
            <w:fldChar w:fldCharType="end"/>
          </w:r>
        </w:p>
        <w:p w14:paraId="10749090">
          <w:pPr>
            <w:pStyle w:val="4"/>
            <w:tabs>
              <w:tab w:val="right" w:leader="dot" w:pos="8374"/>
            </w:tabs>
            <w:rPr>
              <w:rFonts w:ascii="Times New Roman" w:eastAsia="Times New Roman"/>
              <w:sz w:val="32"/>
            </w:rPr>
          </w:pPr>
          <w:r>
            <w:fldChar w:fldCharType="begin"/>
          </w:r>
          <w:r>
            <w:instrText xml:space="preserve"> HYPERLINK \l "_TOC_250005" </w:instrText>
          </w:r>
          <w:r>
            <w:fldChar w:fldCharType="separate"/>
          </w:r>
          <w:r>
            <w:t>八、一般公共预算财政拨款基本支出决算表</w:t>
          </w:r>
          <w:r>
            <w:tab/>
          </w:r>
          <w:r>
            <w:rPr>
              <w:rFonts w:ascii="Times New Roman" w:eastAsia="Times New Roman"/>
              <w:sz w:val="32"/>
              <w:vertAlign w:val="subscript"/>
            </w:rPr>
            <w:t>26</w:t>
          </w:r>
          <w:r>
            <w:rPr>
              <w:rFonts w:ascii="Times New Roman" w:eastAsia="Times New Roman"/>
              <w:sz w:val="32"/>
              <w:vertAlign w:val="subscript"/>
            </w:rPr>
            <w:fldChar w:fldCharType="end"/>
          </w:r>
        </w:p>
        <w:p w14:paraId="2203BC06">
          <w:pPr>
            <w:pStyle w:val="4"/>
            <w:tabs>
              <w:tab w:val="right" w:leader="dot" w:pos="8374"/>
            </w:tabs>
            <w:rPr>
              <w:rFonts w:ascii="Times New Roman" w:eastAsia="Times New Roman"/>
              <w:sz w:val="32"/>
            </w:rPr>
          </w:pPr>
          <w:r>
            <w:fldChar w:fldCharType="begin"/>
          </w:r>
          <w:r>
            <w:instrText xml:space="preserve"> HYPERLINK \l "_TOC_250004" </w:instrText>
          </w:r>
          <w:r>
            <w:fldChar w:fldCharType="separate"/>
          </w:r>
          <w:r>
            <w:t>九、一般公共预算财政拨款项目支出决算表</w:t>
          </w:r>
          <w:r>
            <w:tab/>
          </w:r>
          <w:r>
            <w:rPr>
              <w:rFonts w:ascii="Times New Roman" w:eastAsia="Times New Roman"/>
              <w:sz w:val="32"/>
              <w:vertAlign w:val="subscript"/>
            </w:rPr>
            <w:t>27</w:t>
          </w:r>
          <w:r>
            <w:rPr>
              <w:rFonts w:ascii="Times New Roman" w:eastAsia="Times New Roman"/>
              <w:sz w:val="32"/>
              <w:vertAlign w:val="subscript"/>
            </w:rPr>
            <w:fldChar w:fldCharType="end"/>
          </w:r>
        </w:p>
        <w:p w14:paraId="5B193E56">
          <w:pPr>
            <w:pStyle w:val="4"/>
            <w:tabs>
              <w:tab w:val="right" w:leader="dot" w:pos="8415"/>
            </w:tabs>
            <w:rPr>
              <w:rFonts w:ascii="Times New Roman" w:eastAsia="Times New Roman"/>
              <w:sz w:val="32"/>
            </w:rPr>
          </w:pPr>
          <w:r>
            <w:fldChar w:fldCharType="begin"/>
          </w:r>
          <w:r>
            <w:instrText xml:space="preserve"> HYPERLINK \l "_TOC_250003" </w:instrText>
          </w:r>
          <w:r>
            <w:fldChar w:fldCharType="separate"/>
          </w:r>
          <w:r>
            <w:t>十、政府性基金预算财政拨款收入支出决算表</w:t>
          </w:r>
          <w:r>
            <w:tab/>
          </w:r>
          <w:r>
            <w:rPr>
              <w:rFonts w:ascii="Times New Roman" w:eastAsia="Times New Roman"/>
              <w:sz w:val="32"/>
              <w:vertAlign w:val="subscript"/>
            </w:rPr>
            <w:t>27</w:t>
          </w:r>
          <w:r>
            <w:rPr>
              <w:rFonts w:ascii="Times New Roman" w:eastAsia="Times New Roman"/>
              <w:sz w:val="32"/>
              <w:vertAlign w:val="subscript"/>
            </w:rPr>
            <w:fldChar w:fldCharType="end"/>
          </w:r>
        </w:p>
        <w:p w14:paraId="06ECFE25">
          <w:pPr>
            <w:pStyle w:val="4"/>
            <w:tabs>
              <w:tab w:val="right" w:leader="dot" w:pos="8417"/>
            </w:tabs>
            <w:rPr>
              <w:rFonts w:ascii="Times New Roman" w:eastAsia="Times New Roman"/>
              <w:sz w:val="32"/>
            </w:rPr>
          </w:pPr>
          <w:r>
            <w:fldChar w:fldCharType="begin"/>
          </w:r>
          <w:r>
            <w:instrText xml:space="preserve"> HYPERLINK \l "_TOC_250002" </w:instrText>
          </w:r>
          <w:r>
            <w:fldChar w:fldCharType="separate"/>
          </w:r>
          <w:r>
            <w:t>十一、国有资本经营预算财政拨款收入支出决算表</w:t>
          </w:r>
          <w:r>
            <w:tab/>
          </w:r>
          <w:r>
            <w:rPr>
              <w:rFonts w:ascii="Times New Roman" w:eastAsia="Times New Roman"/>
              <w:sz w:val="32"/>
              <w:vertAlign w:val="subscript"/>
            </w:rPr>
            <w:t>28</w:t>
          </w:r>
          <w:r>
            <w:rPr>
              <w:rFonts w:ascii="Times New Roman" w:eastAsia="Times New Roman"/>
              <w:sz w:val="32"/>
              <w:vertAlign w:val="subscript"/>
            </w:rPr>
            <w:fldChar w:fldCharType="end"/>
          </w:r>
        </w:p>
        <w:p w14:paraId="3A9D6FE9">
          <w:pPr>
            <w:pStyle w:val="4"/>
            <w:tabs>
              <w:tab w:val="right" w:leader="dot" w:pos="8415"/>
            </w:tabs>
            <w:rPr>
              <w:rFonts w:ascii="Times New Roman" w:eastAsia="Times New Roman"/>
              <w:sz w:val="32"/>
            </w:rPr>
          </w:pPr>
          <w:r>
            <w:fldChar w:fldCharType="begin"/>
          </w:r>
          <w:r>
            <w:instrText xml:space="preserve"> HYPERLINK \l "_TOC_250001" </w:instrText>
          </w:r>
          <w:r>
            <w:fldChar w:fldCharType="separate"/>
          </w:r>
          <w:r>
            <w:t>十二、国有资本经营预算财政拨款支出决算表</w:t>
          </w:r>
          <w:r>
            <w:tab/>
          </w:r>
          <w:r>
            <w:rPr>
              <w:rFonts w:ascii="Times New Roman" w:eastAsia="Times New Roman"/>
              <w:sz w:val="32"/>
              <w:vertAlign w:val="subscript"/>
            </w:rPr>
            <w:t>28</w:t>
          </w:r>
          <w:r>
            <w:rPr>
              <w:rFonts w:ascii="Times New Roman" w:eastAsia="Times New Roman"/>
              <w:sz w:val="32"/>
              <w:vertAlign w:val="subscript"/>
            </w:rPr>
            <w:fldChar w:fldCharType="end"/>
          </w:r>
        </w:p>
        <w:p w14:paraId="7328B94F">
          <w:pPr>
            <w:pStyle w:val="4"/>
            <w:tabs>
              <w:tab w:val="right" w:leader="dot" w:pos="8372"/>
            </w:tabs>
            <w:rPr>
              <w:rFonts w:ascii="Times New Roman" w:hAnsi="Times New Roman" w:eastAsia="Times New Roman"/>
              <w:sz w:val="32"/>
            </w:rPr>
          </w:pPr>
          <w:r>
            <w:fldChar w:fldCharType="begin"/>
          </w:r>
          <w:r>
            <w:instrText xml:space="preserve"> HYPERLINK \l "_TOC_250000" </w:instrText>
          </w:r>
          <w:r>
            <w:fldChar w:fldCharType="separate"/>
          </w:r>
          <w:r>
            <w:t>十三、财政拨款</w:t>
          </w:r>
          <w:r>
            <w:rPr>
              <w:rFonts w:ascii="Times New Roman" w:hAnsi="Times New Roman" w:eastAsia="Times New Roman"/>
            </w:rPr>
            <w:t>“</w:t>
          </w:r>
          <w:r>
            <w:t>三公</w:t>
          </w:r>
          <w:r>
            <w:rPr>
              <w:rFonts w:ascii="Times New Roman" w:hAnsi="Times New Roman" w:eastAsia="Times New Roman"/>
            </w:rPr>
            <w:t>”</w:t>
          </w:r>
          <w:r>
            <w:t>经费支出决算表</w:t>
          </w:r>
          <w:r>
            <w:tab/>
          </w:r>
          <w:r>
            <w:rPr>
              <w:rFonts w:ascii="Times New Roman" w:hAnsi="Times New Roman" w:eastAsia="Times New Roman"/>
              <w:sz w:val="32"/>
              <w:vertAlign w:val="subscript"/>
            </w:rPr>
            <w:t>28</w:t>
          </w:r>
          <w:r>
            <w:rPr>
              <w:rFonts w:ascii="Times New Roman" w:hAnsi="Times New Roman" w:eastAsia="Times New Roman"/>
              <w:sz w:val="32"/>
              <w:vertAlign w:val="subscript"/>
            </w:rPr>
            <w:fldChar w:fldCharType="end"/>
          </w:r>
        </w:p>
      </w:sdtContent>
    </w:sdt>
    <w:p w14:paraId="79AC273D">
      <w:pPr>
        <w:spacing w:after="0"/>
        <w:rPr>
          <w:rFonts w:ascii="Times New Roman" w:hAnsi="Times New Roman" w:eastAsia="Times New Roman"/>
          <w:sz w:val="32"/>
        </w:rPr>
        <w:sectPr>
          <w:type w:val="continuous"/>
          <w:pgSz w:w="11920" w:h="16860"/>
          <w:pgMar w:top="1520" w:right="1180" w:bottom="1455" w:left="1680" w:header="720" w:footer="720" w:gutter="0"/>
          <w:cols w:space="720" w:num="1"/>
        </w:sectPr>
      </w:pPr>
    </w:p>
    <w:p w14:paraId="7FD7FB48">
      <w:pPr>
        <w:pStyle w:val="2"/>
        <w:ind w:right="484"/>
        <w:jc w:val="center"/>
      </w:pPr>
      <w:bookmarkStart w:id="0" w:name="_TOC_250025"/>
      <w:bookmarkEnd w:id="0"/>
      <w:r>
        <w:t>第一部分 部门概况</w:t>
      </w:r>
    </w:p>
    <w:p w14:paraId="78999329">
      <w:pPr>
        <w:pStyle w:val="3"/>
        <w:ind w:left="0"/>
        <w:rPr>
          <w:rFonts w:ascii="宋体"/>
          <w:b/>
          <w:sz w:val="48"/>
        </w:rPr>
      </w:pPr>
    </w:p>
    <w:p w14:paraId="20B38CE6">
      <w:pPr>
        <w:spacing w:before="347"/>
        <w:ind w:left="840" w:right="0" w:firstLine="0"/>
        <w:jc w:val="left"/>
        <w:rPr>
          <w:rFonts w:hint="eastAsia" w:ascii="宋体" w:eastAsia="宋体"/>
          <w:b/>
          <w:sz w:val="36"/>
        </w:rPr>
      </w:pPr>
      <w:bookmarkStart w:id="1" w:name="_TOC_250024"/>
      <w:bookmarkEnd w:id="1"/>
      <w:r>
        <w:rPr>
          <w:rFonts w:hint="eastAsia" w:ascii="宋体" w:eastAsia="宋体"/>
          <w:b/>
          <w:sz w:val="36"/>
        </w:rPr>
        <w:t>一、基本职能及主要工作</w:t>
      </w:r>
    </w:p>
    <w:p w14:paraId="6C31B1D7">
      <w:pPr>
        <w:pStyle w:val="3"/>
        <w:spacing w:before="155"/>
        <w:ind w:left="760"/>
        <w:rPr>
          <w:rFonts w:hint="eastAsia" w:ascii="黑体" w:eastAsia="黑体"/>
        </w:rPr>
      </w:pPr>
      <w:r>
        <w:rPr>
          <w:rFonts w:hint="eastAsia" w:ascii="黑体" w:eastAsia="黑体"/>
        </w:rPr>
        <w:t>（一）主要职能</w:t>
      </w:r>
    </w:p>
    <w:p w14:paraId="3758191F">
      <w:pPr>
        <w:pStyle w:val="3"/>
        <w:spacing w:before="166" w:line="336" w:lineRule="auto"/>
        <w:ind w:right="935" w:firstLine="640"/>
      </w:pPr>
      <w:r>
        <w:rPr>
          <w:spacing w:val="-1"/>
        </w:rPr>
        <w:t>县委组织部是县委主管组织工作、干部工作、人才工作、公务员工作的职能部门，为正科级，列县委工作机关</w:t>
      </w:r>
      <w:r>
        <w:t>序列。坚</w:t>
      </w:r>
      <w:r>
        <w:rPr>
          <w:rFonts w:hint="eastAsia"/>
          <w:lang w:val="en-US" w:eastAsia="zh-CN"/>
        </w:rPr>
        <w:t>持</w:t>
      </w:r>
      <w:r>
        <w:t xml:space="preserve">以习近平新时代中国特色社会主义思想为指 </w:t>
      </w:r>
      <w:r>
        <w:rPr>
          <w:spacing w:val="-1"/>
        </w:rPr>
        <w:t>引，</w:t>
      </w:r>
      <w:bookmarkStart w:id="26" w:name="_GoBack"/>
      <w:bookmarkEnd w:id="26"/>
      <w:r>
        <w:rPr>
          <w:spacing w:val="-1"/>
        </w:rPr>
        <w:t>加强党的全面领导，全面贯彻落实党的路线、方针、政策和党中央、省委、州委、县委的决策部署。严格落实新时代党的建设总要求，按照“讲政治、铸忠诚， 提本领、能担当，弃私情、处公正，严管理、建一流”要求，踔厉奋发、勇毅前行，推动九寨沟县组织工作高质量</w:t>
      </w:r>
      <w:r>
        <w:t>发展。</w:t>
      </w:r>
    </w:p>
    <w:p w14:paraId="092F82C6">
      <w:pPr>
        <w:pStyle w:val="3"/>
        <w:spacing w:before="18"/>
        <w:ind w:left="760"/>
        <w:rPr>
          <w:rFonts w:hint="eastAsia" w:ascii="黑体" w:eastAsia="黑体"/>
        </w:rPr>
      </w:pPr>
      <w:r>
        <w:rPr>
          <w:rFonts w:hint="eastAsia" w:ascii="黑体" w:eastAsia="黑体"/>
        </w:rPr>
        <w:t>（二）2022 年重点工作完成情况</w:t>
      </w:r>
    </w:p>
    <w:p w14:paraId="0C9BB155">
      <w:pPr>
        <w:pStyle w:val="3"/>
        <w:spacing w:before="166" w:line="336" w:lineRule="auto"/>
        <w:ind w:right="934" w:firstLine="640"/>
        <w:jc w:val="both"/>
      </w:pPr>
      <w:r>
        <w:t>一、聚焦“一条主线”，全领域强化政治引领。以迎接和学习宣传贯彻党的二十大为主线，全面加强党的政治建设，不断提升党员干部政治觉悟和政治能力。</w:t>
      </w:r>
    </w:p>
    <w:p w14:paraId="2AA9D51F">
      <w:pPr>
        <w:pStyle w:val="3"/>
        <w:spacing w:before="6" w:line="336" w:lineRule="auto"/>
        <w:ind w:right="1253" w:firstLine="640"/>
      </w:pPr>
      <w:r>
        <w:t>二、深化“选优配强”行动、深化“铸魂提能”行动、深化“关爱激励”行动，全链条推进干部培养。</w:t>
      </w:r>
    </w:p>
    <w:p w14:paraId="37259514">
      <w:pPr>
        <w:pStyle w:val="3"/>
        <w:spacing w:before="4" w:line="336" w:lineRule="auto"/>
        <w:ind w:right="773" w:firstLine="640"/>
        <w:jc w:val="both"/>
      </w:pPr>
      <w:r>
        <w:t>三、突出有效覆盖强基础，扎实开展新一轮“乡村分类转化提升行动”；突出有效衔接促振兴，严格落实“四</w:t>
      </w:r>
      <w:r>
        <w:rPr>
          <w:spacing w:val="-10"/>
        </w:rPr>
        <w:t xml:space="preserve">个不摘”要求，向 </w:t>
      </w:r>
      <w:r>
        <w:t>44</w:t>
      </w:r>
      <w:r>
        <w:rPr>
          <w:spacing w:val="-10"/>
        </w:rPr>
        <w:t xml:space="preserve"> 个重点村全覆盖选派驻村工作队，全</w:t>
      </w:r>
    </w:p>
    <w:p w14:paraId="0AA88E27">
      <w:pPr>
        <w:pStyle w:val="3"/>
        <w:spacing w:before="6"/>
        <w:jc w:val="both"/>
      </w:pPr>
      <w:r>
        <w:t>覆盖培训 140 名驻村工作队员，大力实施集体经济“消薄</w:t>
      </w:r>
    </w:p>
    <w:p w14:paraId="16C8F7D8">
      <w:pPr>
        <w:spacing w:after="0"/>
        <w:jc w:val="both"/>
        <w:sectPr>
          <w:pgSz w:w="11920" w:h="16860"/>
          <w:pgMar w:top="1420" w:right="1180" w:bottom="280" w:left="1680" w:header="720" w:footer="720" w:gutter="0"/>
          <w:cols w:space="720" w:num="1"/>
        </w:sectPr>
      </w:pPr>
    </w:p>
    <w:p w14:paraId="28D531C4">
      <w:pPr>
        <w:pStyle w:val="3"/>
        <w:spacing w:before="30" w:line="336" w:lineRule="auto"/>
        <w:ind w:right="934"/>
      </w:pPr>
      <w:r>
        <w:t xml:space="preserve">计划”；突出有效引领抓治理。主动融入全州基层党建 </w:t>
      </w:r>
      <w:r>
        <w:rPr>
          <w:spacing w:val="-1"/>
        </w:rPr>
        <w:t>“一廊五带五体系”总体布局，大力推进省州县基层治理</w:t>
      </w:r>
      <w:r>
        <w:t>“4+2+12”三级试点示范建设。</w:t>
      </w:r>
    </w:p>
    <w:p w14:paraId="09A78416">
      <w:pPr>
        <w:pStyle w:val="3"/>
        <w:spacing w:before="7" w:line="336" w:lineRule="auto"/>
        <w:ind w:right="934" w:firstLine="640"/>
        <w:jc w:val="both"/>
      </w:pPr>
      <w:r>
        <w:t>四、健全人才工作机制、强化平台项目建设、深化人才交流合作，持续深化人才发展体制机制改革，全方位构建人才支撑，提高人才对县域高质量发展的牵引力和支撑力。</w:t>
      </w:r>
    </w:p>
    <w:p w14:paraId="7822B61F">
      <w:pPr>
        <w:spacing w:before="0" w:line="427" w:lineRule="exact"/>
        <w:ind w:left="840" w:right="0" w:firstLine="0"/>
        <w:jc w:val="left"/>
        <w:rPr>
          <w:rFonts w:hint="eastAsia" w:ascii="宋体" w:eastAsia="宋体"/>
          <w:b/>
          <w:sz w:val="36"/>
        </w:rPr>
      </w:pPr>
      <w:bookmarkStart w:id="2" w:name="_TOC_250023"/>
      <w:bookmarkEnd w:id="2"/>
      <w:r>
        <w:rPr>
          <w:rFonts w:hint="eastAsia" w:ascii="宋体" w:eastAsia="宋体"/>
          <w:b/>
          <w:sz w:val="36"/>
        </w:rPr>
        <w:t>二、机构设置</w:t>
      </w:r>
    </w:p>
    <w:p w14:paraId="53D4B023">
      <w:pPr>
        <w:pStyle w:val="3"/>
        <w:spacing w:before="157"/>
        <w:ind w:left="760"/>
      </w:pPr>
      <w:r>
        <w:t>中共九寨沟县委组织部为行政单位，内设 5 个职能股</w:t>
      </w:r>
    </w:p>
    <w:p w14:paraId="345676B5">
      <w:pPr>
        <w:pStyle w:val="3"/>
        <w:spacing w:before="166"/>
      </w:pPr>
      <w:r>
        <w:t>室，编制总数 42 名，其中行政编制 19 名、行政工勤编制 3</w:t>
      </w:r>
    </w:p>
    <w:p w14:paraId="5590FDC8">
      <w:pPr>
        <w:pStyle w:val="3"/>
        <w:spacing w:before="166"/>
      </w:pPr>
      <w:r>
        <w:t>名、参公编制 11 名、事业编制 9 名。核定公务员编制 17</w:t>
      </w:r>
    </w:p>
    <w:p w14:paraId="30CA1006">
      <w:pPr>
        <w:pStyle w:val="3"/>
        <w:spacing w:before="166"/>
      </w:pPr>
      <w:r>
        <w:t>名，行政工勤 2 名。</w:t>
      </w:r>
    </w:p>
    <w:p w14:paraId="1456B971">
      <w:pPr>
        <w:spacing w:after="0"/>
        <w:sectPr>
          <w:pgSz w:w="11920" w:h="16860"/>
          <w:pgMar w:top="1540" w:right="1180" w:bottom="280" w:left="1680" w:header="720" w:footer="720" w:gutter="0"/>
          <w:cols w:space="720" w:num="1"/>
        </w:sectPr>
      </w:pPr>
    </w:p>
    <w:p w14:paraId="1B9473E1">
      <w:pPr>
        <w:pStyle w:val="2"/>
        <w:ind w:left="240"/>
      </w:pPr>
      <w:bookmarkStart w:id="3" w:name="_TOC_250022"/>
      <w:bookmarkEnd w:id="3"/>
      <w:r>
        <w:t>第二部分 2022 年度部门决算情况说明</w:t>
      </w:r>
    </w:p>
    <w:p w14:paraId="1D6834C0">
      <w:pPr>
        <w:pStyle w:val="3"/>
        <w:ind w:left="0"/>
        <w:rPr>
          <w:rFonts w:ascii="宋体"/>
          <w:b/>
          <w:sz w:val="48"/>
        </w:rPr>
      </w:pPr>
    </w:p>
    <w:p w14:paraId="7BD7FC51">
      <w:pPr>
        <w:spacing w:before="364"/>
        <w:ind w:left="840" w:right="0" w:firstLine="0"/>
        <w:jc w:val="left"/>
        <w:rPr>
          <w:rFonts w:hint="eastAsia" w:ascii="宋体" w:eastAsia="宋体"/>
          <w:b/>
          <w:sz w:val="36"/>
        </w:rPr>
      </w:pPr>
      <w:bookmarkStart w:id="4" w:name="_TOC_250021"/>
      <w:bookmarkEnd w:id="4"/>
      <w:r>
        <w:rPr>
          <w:rFonts w:hint="eastAsia" w:ascii="宋体" w:eastAsia="宋体"/>
          <w:b/>
          <w:sz w:val="36"/>
        </w:rPr>
        <w:t>一、收入支出决算总体情况说明</w:t>
      </w:r>
    </w:p>
    <w:p w14:paraId="09C33367">
      <w:pPr>
        <w:pStyle w:val="3"/>
        <w:spacing w:before="154"/>
        <w:ind w:left="760"/>
      </w:pPr>
      <w:r>
        <w:t>2022 年度收、支总计 1,864.11 万元。与 2021 年相</w:t>
      </w:r>
    </w:p>
    <w:p w14:paraId="27EAED8F">
      <w:pPr>
        <w:pStyle w:val="3"/>
        <w:spacing w:before="166" w:line="336" w:lineRule="auto"/>
        <w:ind w:right="694"/>
      </w:pPr>
      <w:r>
        <w:rPr>
          <w:spacing w:val="-8"/>
        </w:rPr>
        <w:t xml:space="preserve">比，收、支总计各减少 </w:t>
      </w:r>
      <w:r>
        <w:t>81.39</w:t>
      </w:r>
      <w:r>
        <w:rPr>
          <w:spacing w:val="-25"/>
        </w:rPr>
        <w:t xml:space="preserve"> 万元，降低 </w:t>
      </w:r>
      <w:r>
        <w:t>4.18%。主要变动原因是对口帮扶项目资金减少。</w:t>
      </w:r>
    </w:p>
    <w:p w14:paraId="71960A42">
      <w:pPr>
        <w:spacing w:before="0" w:line="425" w:lineRule="exact"/>
        <w:ind w:left="840" w:right="0" w:firstLine="0"/>
        <w:jc w:val="left"/>
        <w:rPr>
          <w:rFonts w:hint="eastAsia" w:ascii="宋体" w:eastAsia="宋体"/>
          <w:b/>
          <w:sz w:val="36"/>
        </w:rPr>
      </w:pPr>
      <w:bookmarkStart w:id="5" w:name="_TOC_250020"/>
      <w:bookmarkEnd w:id="5"/>
      <w:r>
        <w:rPr>
          <w:rFonts w:hint="eastAsia" w:ascii="宋体" w:eastAsia="宋体"/>
          <w:b/>
          <w:sz w:val="36"/>
        </w:rPr>
        <w:t>二、收入决算情况说明</w:t>
      </w:r>
    </w:p>
    <w:p w14:paraId="15A29805">
      <w:pPr>
        <w:pStyle w:val="3"/>
        <w:spacing w:before="155" w:line="336" w:lineRule="auto"/>
        <w:ind w:right="694" w:firstLine="640"/>
      </w:pPr>
      <w:r>
        <w:t>2022</w:t>
      </w:r>
      <w:r>
        <w:rPr>
          <w:spacing w:val="-21"/>
        </w:rPr>
        <w:t xml:space="preserve"> 年本年收入合计 </w:t>
      </w:r>
      <w:r>
        <w:t>1,578.08</w:t>
      </w:r>
      <w:r>
        <w:rPr>
          <w:spacing w:val="-10"/>
        </w:rPr>
        <w:t xml:space="preserve"> 万元，其中：一般公共</w:t>
      </w:r>
      <w:r>
        <w:rPr>
          <w:spacing w:val="-18"/>
        </w:rPr>
        <w:t xml:space="preserve">预算财政拨款收入 </w:t>
      </w:r>
      <w:r>
        <w:t>1,578.08</w:t>
      </w:r>
      <w:r>
        <w:rPr>
          <w:spacing w:val="-29"/>
        </w:rPr>
        <w:t xml:space="preserve"> 万元，占 </w:t>
      </w:r>
      <w:r>
        <w:t>100.00%；政府性基</w:t>
      </w:r>
      <w:r>
        <w:rPr>
          <w:spacing w:val="-9"/>
        </w:rPr>
        <w:t xml:space="preserve">金预算财政拨款收入 </w:t>
      </w:r>
      <w:r>
        <w:t>0.00</w:t>
      </w:r>
      <w:r>
        <w:rPr>
          <w:spacing w:val="-28"/>
        </w:rPr>
        <w:t xml:space="preserve"> 万元，占 </w:t>
      </w:r>
      <w:r>
        <w:t>0.00%；国有资本经营</w:t>
      </w:r>
      <w:r>
        <w:rPr>
          <w:spacing w:val="-9"/>
        </w:rPr>
        <w:t xml:space="preserve">预算财政拨款收入 </w:t>
      </w:r>
      <w:r>
        <w:t>0.00</w:t>
      </w:r>
      <w:r>
        <w:rPr>
          <w:spacing w:val="-28"/>
        </w:rPr>
        <w:t xml:space="preserve"> 万元，占 </w:t>
      </w:r>
      <w:r>
        <w:t>0.00%；上级补助收入0.00</w:t>
      </w:r>
      <w:r>
        <w:rPr>
          <w:spacing w:val="-29"/>
        </w:rPr>
        <w:t xml:space="preserve"> 万元，占 </w:t>
      </w:r>
      <w:r>
        <w:t>0.00</w:t>
      </w:r>
      <w:r>
        <w:rPr>
          <w:spacing w:val="-12"/>
        </w:rPr>
        <w:t xml:space="preserve">%；事业收入 </w:t>
      </w:r>
      <w:r>
        <w:t>0.00</w:t>
      </w:r>
      <w:r>
        <w:rPr>
          <w:spacing w:val="-28"/>
        </w:rPr>
        <w:t xml:space="preserve"> 万元，占 </w:t>
      </w:r>
      <w:r>
        <w:t>0.00%%；经</w:t>
      </w:r>
    </w:p>
    <w:p w14:paraId="635D156E">
      <w:pPr>
        <w:pStyle w:val="3"/>
        <w:spacing w:before="10" w:line="336" w:lineRule="auto"/>
        <w:ind w:right="854"/>
      </w:pPr>
      <w:r>
        <w:rPr>
          <w:spacing w:val="-21"/>
        </w:rPr>
        <w:t xml:space="preserve">营收入 </w:t>
      </w:r>
      <w:r>
        <w:t>0.00</w:t>
      </w:r>
      <w:r>
        <w:rPr>
          <w:spacing w:val="-28"/>
        </w:rPr>
        <w:t xml:space="preserve"> 万元，占 </w:t>
      </w:r>
      <w:r>
        <w:t>0.00%</w:t>
      </w:r>
      <w:r>
        <w:rPr>
          <w:spacing w:val="-8"/>
        </w:rPr>
        <w:t xml:space="preserve">%；附属单位上缴收入 </w:t>
      </w:r>
      <w:r>
        <w:t>0.00</w:t>
      </w:r>
      <w:r>
        <w:rPr>
          <w:spacing w:val="-42"/>
        </w:rPr>
        <w:t xml:space="preserve"> 万</w:t>
      </w:r>
      <w:r>
        <w:rPr>
          <w:spacing w:val="-52"/>
        </w:rPr>
        <w:t xml:space="preserve">元，占 </w:t>
      </w:r>
      <w:r>
        <w:t>0.00%</w:t>
      </w:r>
      <w:r>
        <w:rPr>
          <w:spacing w:val="-14"/>
        </w:rPr>
        <w:t xml:space="preserve">；其他收入 </w:t>
      </w:r>
      <w:r>
        <w:t>0.00</w:t>
      </w:r>
      <w:r>
        <w:rPr>
          <w:spacing w:val="-28"/>
        </w:rPr>
        <w:t xml:space="preserve"> 万元，占 </w:t>
      </w:r>
      <w:r>
        <w:t>0.00%。</w:t>
      </w:r>
    </w:p>
    <w:p w14:paraId="01831995">
      <w:pPr>
        <w:spacing w:before="0" w:line="425" w:lineRule="exact"/>
        <w:ind w:left="840" w:right="0" w:firstLine="0"/>
        <w:jc w:val="left"/>
        <w:rPr>
          <w:rFonts w:hint="eastAsia" w:ascii="宋体" w:eastAsia="宋体"/>
          <w:b/>
          <w:sz w:val="36"/>
        </w:rPr>
      </w:pPr>
      <w:bookmarkStart w:id="6" w:name="_TOC_250019"/>
      <w:bookmarkEnd w:id="6"/>
      <w:r>
        <w:rPr>
          <w:rFonts w:hint="eastAsia" w:ascii="宋体" w:eastAsia="宋体"/>
          <w:b/>
          <w:sz w:val="36"/>
        </w:rPr>
        <w:t>三、支出决算情况说明</w:t>
      </w:r>
    </w:p>
    <w:p w14:paraId="60C83335">
      <w:pPr>
        <w:pStyle w:val="3"/>
        <w:spacing w:before="155"/>
        <w:ind w:left="760"/>
      </w:pPr>
      <w:r>
        <w:t>2022 年本年支出合计 1,864.11 万元，其中：基本支出</w:t>
      </w:r>
    </w:p>
    <w:p w14:paraId="7751DB15">
      <w:pPr>
        <w:pStyle w:val="3"/>
        <w:spacing w:before="166"/>
      </w:pPr>
      <w:r>
        <w:t>1,092.76 万元，占 58.62%；项目支出 771.36 万元，占</w:t>
      </w:r>
    </w:p>
    <w:p w14:paraId="2CC29711">
      <w:pPr>
        <w:pStyle w:val="3"/>
        <w:spacing w:before="166"/>
      </w:pPr>
      <w:r>
        <w:t>41.38%；上缴上级支出 0.00 万元，占 0.00%；经营支出</w:t>
      </w:r>
    </w:p>
    <w:p w14:paraId="222B1E6A">
      <w:pPr>
        <w:pStyle w:val="8"/>
        <w:numPr>
          <w:ilvl w:val="1"/>
          <w:numId w:val="1"/>
        </w:numPr>
        <w:tabs>
          <w:tab w:val="left" w:pos="840"/>
        </w:tabs>
        <w:spacing w:before="166" w:after="0" w:line="336" w:lineRule="auto"/>
        <w:ind w:left="120" w:right="694" w:firstLine="0"/>
        <w:jc w:val="left"/>
        <w:rPr>
          <w:sz w:val="32"/>
        </w:rPr>
      </w:pPr>
      <w:r>
        <w:rPr>
          <w:spacing w:val="-10"/>
          <w:sz w:val="32"/>
        </w:rPr>
        <w:t xml:space="preserve">万元，占经营支出 </w:t>
      </w:r>
      <w:r>
        <w:rPr>
          <w:sz w:val="32"/>
        </w:rPr>
        <w:t>0.00</w:t>
      </w:r>
      <w:r>
        <w:rPr>
          <w:spacing w:val="-15"/>
          <w:sz w:val="32"/>
        </w:rPr>
        <w:t xml:space="preserve"> 万元，占 </w:t>
      </w:r>
      <w:r>
        <w:rPr>
          <w:sz w:val="32"/>
        </w:rPr>
        <w:t>0.00%；对附属单位</w:t>
      </w:r>
      <w:r>
        <w:rPr>
          <w:spacing w:val="-16"/>
          <w:sz w:val="32"/>
        </w:rPr>
        <w:t xml:space="preserve">补助支出 </w:t>
      </w:r>
      <w:r>
        <w:rPr>
          <w:sz w:val="32"/>
        </w:rPr>
        <w:t>0.00</w:t>
      </w:r>
      <w:r>
        <w:rPr>
          <w:spacing w:val="-28"/>
          <w:sz w:val="32"/>
        </w:rPr>
        <w:t xml:space="preserve"> 万元，占 </w:t>
      </w:r>
      <w:r>
        <w:rPr>
          <w:sz w:val="32"/>
        </w:rPr>
        <w:t>0.00%。</w:t>
      </w:r>
    </w:p>
    <w:p w14:paraId="6E80064F">
      <w:pPr>
        <w:spacing w:before="0" w:line="425" w:lineRule="exact"/>
        <w:ind w:left="840" w:right="0" w:firstLine="0"/>
        <w:jc w:val="left"/>
        <w:rPr>
          <w:rFonts w:hint="eastAsia" w:ascii="宋体" w:eastAsia="宋体"/>
          <w:b/>
          <w:sz w:val="36"/>
        </w:rPr>
      </w:pPr>
      <w:bookmarkStart w:id="7" w:name="_TOC_250018"/>
      <w:bookmarkEnd w:id="7"/>
      <w:r>
        <w:rPr>
          <w:rFonts w:hint="eastAsia" w:ascii="宋体" w:eastAsia="宋体"/>
          <w:b/>
          <w:sz w:val="36"/>
        </w:rPr>
        <w:t>四、财政拨款收入支出决算总体情况说明</w:t>
      </w:r>
    </w:p>
    <w:p w14:paraId="263FADEE">
      <w:pPr>
        <w:spacing w:after="0" w:line="425" w:lineRule="exact"/>
        <w:jc w:val="left"/>
        <w:rPr>
          <w:rFonts w:hint="eastAsia" w:ascii="宋体" w:eastAsia="宋体"/>
          <w:sz w:val="36"/>
        </w:rPr>
        <w:sectPr>
          <w:pgSz w:w="11920" w:h="16860"/>
          <w:pgMar w:top="1420" w:right="1180" w:bottom="280" w:left="1680" w:header="720" w:footer="720" w:gutter="0"/>
          <w:cols w:space="720" w:num="1"/>
        </w:sectPr>
      </w:pPr>
    </w:p>
    <w:p w14:paraId="05C22CC8">
      <w:pPr>
        <w:pStyle w:val="3"/>
        <w:spacing w:before="30"/>
        <w:ind w:left="760"/>
      </w:pPr>
      <w:r>
        <w:t>2022 年财政拨款收、支总计 1,864.11 万元。与 2021</w:t>
      </w:r>
    </w:p>
    <w:p w14:paraId="0D0A056B">
      <w:pPr>
        <w:pStyle w:val="3"/>
        <w:spacing w:before="167" w:line="336" w:lineRule="auto"/>
        <w:ind w:right="1253"/>
      </w:pPr>
      <w:r>
        <w:rPr>
          <w:spacing w:val="-5"/>
        </w:rPr>
        <w:t xml:space="preserve">年相比，财政拨款收、支总计各减少 </w:t>
      </w:r>
      <w:r>
        <w:t>81.39</w:t>
      </w:r>
      <w:r>
        <w:rPr>
          <w:spacing w:val="-15"/>
        </w:rPr>
        <w:t xml:space="preserve"> 万元，降低4.18%。主要变动原因是对口帮扶项目资金减少。</w:t>
      </w:r>
    </w:p>
    <w:p w14:paraId="6FCA05F2">
      <w:pPr>
        <w:spacing w:before="0" w:line="423" w:lineRule="exact"/>
        <w:ind w:left="840" w:right="0" w:firstLine="0"/>
        <w:jc w:val="left"/>
        <w:rPr>
          <w:rFonts w:hint="eastAsia" w:ascii="宋体" w:eastAsia="宋体"/>
          <w:b/>
          <w:sz w:val="36"/>
        </w:rPr>
      </w:pPr>
      <w:bookmarkStart w:id="8" w:name="_TOC_250017"/>
      <w:bookmarkEnd w:id="8"/>
      <w:r>
        <w:rPr>
          <w:rFonts w:hint="eastAsia" w:ascii="宋体" w:eastAsia="宋体"/>
          <w:b/>
          <w:sz w:val="36"/>
        </w:rPr>
        <w:t>五、一般公共预算财政拨款支出决算情况说明</w:t>
      </w:r>
    </w:p>
    <w:p w14:paraId="1F233529">
      <w:pPr>
        <w:spacing w:before="157"/>
        <w:ind w:left="760" w:right="0" w:firstLine="0"/>
        <w:jc w:val="left"/>
        <w:rPr>
          <w:b/>
          <w:sz w:val="32"/>
        </w:rPr>
      </w:pPr>
      <w:r>
        <w:rPr>
          <w:b/>
          <w:sz w:val="32"/>
        </w:rPr>
        <w:t>（一）一般公共预算财政拨款支出决算总体情况</w:t>
      </w:r>
    </w:p>
    <w:p w14:paraId="14071A42">
      <w:pPr>
        <w:pStyle w:val="3"/>
        <w:spacing w:before="166" w:line="336" w:lineRule="auto"/>
        <w:ind w:right="694" w:firstLine="640"/>
      </w:pPr>
      <w:r>
        <w:t>2022</w:t>
      </w:r>
      <w:r>
        <w:rPr>
          <w:spacing w:val="-15"/>
        </w:rPr>
        <w:t xml:space="preserve"> 年一般公共预算财政拨款支出 </w:t>
      </w:r>
      <w:r>
        <w:t>1,864.11</w:t>
      </w:r>
      <w:r>
        <w:rPr>
          <w:spacing w:val="-17"/>
        </w:rPr>
        <w:t xml:space="preserve"> 万元，占</w:t>
      </w:r>
      <w:r>
        <w:rPr>
          <w:spacing w:val="-26"/>
        </w:rPr>
        <w:t xml:space="preserve">本年支出合计的 </w:t>
      </w:r>
      <w:r>
        <w:t>100.00</w:t>
      </w:r>
      <w:r>
        <w:rPr>
          <w:spacing w:val="-21"/>
        </w:rPr>
        <w:t xml:space="preserve">%。与 </w:t>
      </w:r>
      <w:r>
        <w:t>2021</w:t>
      </w:r>
      <w:r>
        <w:rPr>
          <w:spacing w:val="-10"/>
        </w:rPr>
        <w:t xml:space="preserve"> 年相比，一般公共预算</w:t>
      </w:r>
      <w:r>
        <w:rPr>
          <w:spacing w:val="-19"/>
        </w:rPr>
        <w:t xml:space="preserve">财政拨款支出减少 </w:t>
      </w:r>
      <w:r>
        <w:t>81.39</w:t>
      </w:r>
      <w:r>
        <w:rPr>
          <w:spacing w:val="-25"/>
        </w:rPr>
        <w:t xml:space="preserve"> 万元，降低 </w:t>
      </w:r>
      <w:r>
        <w:t>4.18%。主要变动原因是对口帮扶项目资金减少。</w:t>
      </w:r>
    </w:p>
    <w:p w14:paraId="3F44C2AD">
      <w:pPr>
        <w:spacing w:before="8"/>
        <w:ind w:left="760" w:right="0" w:firstLine="0"/>
        <w:jc w:val="left"/>
        <w:rPr>
          <w:b/>
          <w:sz w:val="32"/>
        </w:rPr>
      </w:pPr>
      <w:r>
        <w:rPr>
          <w:b/>
          <w:sz w:val="32"/>
        </w:rPr>
        <w:t>（二）一般公共预算财政拨款支出决算结构情况</w:t>
      </w:r>
    </w:p>
    <w:p w14:paraId="37FF8114">
      <w:pPr>
        <w:pStyle w:val="3"/>
        <w:spacing w:before="166"/>
        <w:ind w:left="760"/>
      </w:pPr>
      <w:r>
        <w:t>2022 年一般公共预算财政拨款支出 1,864.11 万元，主</w:t>
      </w:r>
    </w:p>
    <w:p w14:paraId="3AEE4F87">
      <w:pPr>
        <w:pStyle w:val="3"/>
        <w:spacing w:before="166" w:line="336" w:lineRule="auto"/>
        <w:ind w:right="777"/>
      </w:pPr>
      <w:r>
        <w:t>要用于以下方面:一般公共服务（类）支出 1,697.33 万元，占 91.05%；教育支出（类）0.30 万元，占 0.02%；社</w:t>
      </w:r>
    </w:p>
    <w:p w14:paraId="7AF3B059">
      <w:pPr>
        <w:pStyle w:val="3"/>
        <w:spacing w:before="4" w:line="336" w:lineRule="auto"/>
        <w:ind w:right="695"/>
        <w:jc w:val="both"/>
      </w:pPr>
      <w:r>
        <w:t>会保障和就业（类）</w:t>
      </w:r>
      <w:r>
        <w:rPr>
          <w:spacing w:val="-28"/>
        </w:rPr>
        <w:t xml:space="preserve">支出 </w:t>
      </w:r>
      <w:r>
        <w:t>90.15</w:t>
      </w:r>
      <w:r>
        <w:rPr>
          <w:spacing w:val="-29"/>
        </w:rPr>
        <w:t xml:space="preserve"> 万元，占 </w:t>
      </w:r>
      <w:r>
        <w:t>4.84%；卫生健康</w:t>
      </w:r>
      <w:r>
        <w:rPr>
          <w:spacing w:val="-28"/>
        </w:rPr>
        <w:t xml:space="preserve">支出 </w:t>
      </w:r>
      <w:r>
        <w:t>32.16</w:t>
      </w:r>
      <w:r>
        <w:rPr>
          <w:spacing w:val="-29"/>
        </w:rPr>
        <w:t xml:space="preserve"> 万元，占 </w:t>
      </w:r>
      <w:r>
        <w:t>1.73%</w:t>
      </w:r>
      <w:r>
        <w:rPr>
          <w:spacing w:val="-11"/>
        </w:rPr>
        <w:t xml:space="preserve">；住房保障支出 </w:t>
      </w:r>
      <w:r>
        <w:t>44.17</w:t>
      </w:r>
      <w:r>
        <w:rPr>
          <w:spacing w:val="-17"/>
        </w:rPr>
        <w:t xml:space="preserve"> 万元，占2.37%。</w:t>
      </w:r>
    </w:p>
    <w:p w14:paraId="1DF15105">
      <w:pPr>
        <w:spacing w:before="6" w:line="336" w:lineRule="auto"/>
        <w:ind w:left="760" w:right="773" w:firstLine="0"/>
        <w:jc w:val="both"/>
        <w:rPr>
          <w:sz w:val="32"/>
        </w:rPr>
      </w:pPr>
      <w:r>
        <w:rPr>
          <w:b/>
          <w:sz w:val="32"/>
        </w:rPr>
        <w:t xml:space="preserve">（三）一般公共预算财政拨款支出决算具体情况 </w:t>
      </w:r>
      <w:r>
        <w:rPr>
          <w:sz w:val="32"/>
        </w:rPr>
        <w:t>2022</w:t>
      </w:r>
      <w:r>
        <w:rPr>
          <w:spacing w:val="-16"/>
          <w:sz w:val="32"/>
        </w:rPr>
        <w:t xml:space="preserve"> 年一般公共预算支出决算数为 </w:t>
      </w:r>
      <w:r>
        <w:rPr>
          <w:sz w:val="32"/>
        </w:rPr>
        <w:t>1,864.11，完成预</w:t>
      </w:r>
    </w:p>
    <w:p w14:paraId="33E2B105">
      <w:pPr>
        <w:pStyle w:val="3"/>
        <w:spacing w:before="4"/>
        <w:jc w:val="both"/>
      </w:pPr>
      <w:r>
        <w:t>算 100.00%。其中：</w:t>
      </w:r>
    </w:p>
    <w:p w14:paraId="0BB72E1A">
      <w:pPr>
        <w:pStyle w:val="8"/>
        <w:numPr>
          <w:ilvl w:val="2"/>
          <w:numId w:val="1"/>
        </w:numPr>
        <w:tabs>
          <w:tab w:val="left" w:pos="1083"/>
        </w:tabs>
        <w:spacing w:before="166" w:after="0" w:line="240" w:lineRule="auto"/>
        <w:ind w:left="1082" w:right="0" w:hanging="323"/>
        <w:jc w:val="left"/>
        <w:rPr>
          <w:sz w:val="32"/>
        </w:rPr>
      </w:pPr>
      <w:r>
        <w:rPr>
          <w:sz w:val="32"/>
        </w:rPr>
        <w:t>一般公共服务（201）组织事务（32）行政运行</w:t>
      </w:r>
    </w:p>
    <w:p w14:paraId="30402E8E">
      <w:pPr>
        <w:pStyle w:val="8"/>
        <w:numPr>
          <w:ilvl w:val="0"/>
          <w:numId w:val="2"/>
        </w:numPr>
        <w:tabs>
          <w:tab w:val="left" w:pos="1081"/>
        </w:tabs>
        <w:spacing w:before="166" w:after="0" w:line="336" w:lineRule="auto"/>
        <w:ind w:left="120" w:right="694" w:firstLine="0"/>
        <w:jc w:val="left"/>
        <w:rPr>
          <w:sz w:val="32"/>
        </w:rPr>
      </w:pPr>
      <w:r>
        <w:rPr>
          <w:spacing w:val="-12"/>
          <w:sz w:val="32"/>
        </w:rPr>
        <w:t xml:space="preserve">: 支出决算为 </w:t>
      </w:r>
      <w:r>
        <w:rPr>
          <w:sz w:val="32"/>
        </w:rPr>
        <w:t>801.35</w:t>
      </w:r>
      <w:r>
        <w:rPr>
          <w:spacing w:val="-20"/>
          <w:sz w:val="32"/>
        </w:rPr>
        <w:t xml:space="preserve"> 万元，完成预算 </w:t>
      </w:r>
      <w:r>
        <w:rPr>
          <w:sz w:val="32"/>
        </w:rPr>
        <w:t>100%，决算数等于预算数。</w:t>
      </w:r>
    </w:p>
    <w:p w14:paraId="16D70190">
      <w:pPr>
        <w:spacing w:after="0" w:line="336" w:lineRule="auto"/>
        <w:jc w:val="left"/>
        <w:rPr>
          <w:sz w:val="32"/>
        </w:rPr>
        <w:sectPr>
          <w:pgSz w:w="11920" w:h="16860"/>
          <w:pgMar w:top="1540" w:right="1180" w:bottom="280" w:left="1680" w:header="720" w:footer="720" w:gutter="0"/>
          <w:cols w:space="720" w:num="1"/>
        </w:sectPr>
      </w:pPr>
    </w:p>
    <w:p w14:paraId="14D79500">
      <w:pPr>
        <w:pStyle w:val="8"/>
        <w:numPr>
          <w:ilvl w:val="2"/>
          <w:numId w:val="1"/>
        </w:numPr>
        <w:tabs>
          <w:tab w:val="left" w:pos="1083"/>
        </w:tabs>
        <w:spacing w:before="30" w:after="0" w:line="240" w:lineRule="auto"/>
        <w:ind w:left="1082" w:right="0" w:hanging="323"/>
        <w:jc w:val="left"/>
        <w:rPr>
          <w:sz w:val="32"/>
        </w:rPr>
      </w:pPr>
      <w:r>
        <w:rPr>
          <w:sz w:val="32"/>
        </w:rPr>
        <w:t>一般公共服务（201）组织事务（32）其他组织事</w:t>
      </w:r>
    </w:p>
    <w:p w14:paraId="75491CCC">
      <w:pPr>
        <w:pStyle w:val="8"/>
        <w:numPr>
          <w:ilvl w:val="0"/>
          <w:numId w:val="2"/>
        </w:numPr>
        <w:tabs>
          <w:tab w:val="left" w:pos="1081"/>
        </w:tabs>
        <w:spacing w:before="167" w:after="0" w:line="336" w:lineRule="auto"/>
        <w:ind w:left="120" w:right="854" w:firstLine="0"/>
        <w:jc w:val="left"/>
        <w:rPr>
          <w:sz w:val="32"/>
        </w:rPr>
      </w:pPr>
      <w:r>
        <w:rPr>
          <w:spacing w:val="-13"/>
          <w:sz w:val="32"/>
        </w:rPr>
        <w:t xml:space="preserve">: 支出决算为 </w:t>
      </w:r>
      <w:r>
        <w:rPr>
          <w:sz w:val="32"/>
        </w:rPr>
        <w:t>88.03</w:t>
      </w:r>
      <w:r>
        <w:rPr>
          <w:spacing w:val="-20"/>
          <w:sz w:val="32"/>
        </w:rPr>
        <w:t xml:space="preserve"> 万元，完成预算 </w:t>
      </w:r>
      <w:r>
        <w:rPr>
          <w:sz w:val="32"/>
        </w:rPr>
        <w:t>100%，决算数等于预算数。</w:t>
      </w:r>
    </w:p>
    <w:p w14:paraId="038477D7">
      <w:pPr>
        <w:pStyle w:val="8"/>
        <w:numPr>
          <w:ilvl w:val="2"/>
          <w:numId w:val="1"/>
        </w:numPr>
        <w:tabs>
          <w:tab w:val="left" w:pos="1083"/>
        </w:tabs>
        <w:spacing w:before="4" w:after="0" w:line="240" w:lineRule="auto"/>
        <w:ind w:left="1082" w:right="0" w:hanging="323"/>
        <w:jc w:val="left"/>
        <w:rPr>
          <w:sz w:val="32"/>
        </w:rPr>
      </w:pPr>
      <w:r>
        <w:rPr>
          <w:sz w:val="32"/>
        </w:rPr>
        <w:t>一般公共服务（201）组织事务（32）事业运行</w:t>
      </w:r>
    </w:p>
    <w:p w14:paraId="7A349E93">
      <w:pPr>
        <w:pStyle w:val="3"/>
        <w:spacing w:before="165" w:line="336" w:lineRule="auto"/>
        <w:ind w:right="852"/>
      </w:pPr>
      <w:r>
        <w:t>（50）</w:t>
      </w:r>
      <w:r>
        <w:rPr>
          <w:spacing w:val="-13"/>
        </w:rPr>
        <w:t xml:space="preserve"> ：支出决算为 </w:t>
      </w:r>
      <w:r>
        <w:t>124.93</w:t>
      </w:r>
      <w:r>
        <w:rPr>
          <w:spacing w:val="-20"/>
        </w:rPr>
        <w:t xml:space="preserve"> 万元，完成预算 </w:t>
      </w:r>
      <w:r>
        <w:t>100%，决算数等于预算数。</w:t>
      </w:r>
    </w:p>
    <w:p w14:paraId="49346FF6">
      <w:pPr>
        <w:pStyle w:val="8"/>
        <w:numPr>
          <w:ilvl w:val="2"/>
          <w:numId w:val="1"/>
        </w:numPr>
        <w:tabs>
          <w:tab w:val="left" w:pos="1083"/>
        </w:tabs>
        <w:spacing w:before="5" w:after="0" w:line="240" w:lineRule="auto"/>
        <w:ind w:left="1082" w:right="0" w:hanging="323"/>
        <w:jc w:val="left"/>
        <w:rPr>
          <w:sz w:val="32"/>
        </w:rPr>
      </w:pPr>
      <w:r>
        <w:rPr>
          <w:sz w:val="32"/>
        </w:rPr>
        <w:t>一般公共服务（201）组织事务（32）其他组织事务</w:t>
      </w:r>
    </w:p>
    <w:p w14:paraId="129EF0A3">
      <w:pPr>
        <w:pStyle w:val="3"/>
        <w:spacing w:before="166" w:line="336" w:lineRule="auto"/>
        <w:ind w:right="852"/>
      </w:pPr>
      <w:r>
        <w:t>（99）</w:t>
      </w:r>
      <w:r>
        <w:rPr>
          <w:spacing w:val="-13"/>
        </w:rPr>
        <w:t xml:space="preserve"> ：支出决算为 </w:t>
      </w:r>
      <w:r>
        <w:t>683.02</w:t>
      </w:r>
      <w:r>
        <w:rPr>
          <w:spacing w:val="-20"/>
        </w:rPr>
        <w:t xml:space="preserve"> 万元，完成预算 </w:t>
      </w:r>
      <w:r>
        <w:t>100%，决算数等于预算数。</w:t>
      </w:r>
    </w:p>
    <w:p w14:paraId="2A990301">
      <w:pPr>
        <w:pStyle w:val="8"/>
        <w:numPr>
          <w:ilvl w:val="2"/>
          <w:numId w:val="1"/>
        </w:numPr>
        <w:tabs>
          <w:tab w:val="left" w:pos="1083"/>
        </w:tabs>
        <w:spacing w:before="3" w:after="0" w:line="240" w:lineRule="auto"/>
        <w:ind w:left="1082" w:right="0" w:hanging="323"/>
        <w:jc w:val="left"/>
        <w:rPr>
          <w:sz w:val="32"/>
        </w:rPr>
      </w:pPr>
      <w:r>
        <w:rPr>
          <w:sz w:val="32"/>
        </w:rPr>
        <w:t>教育支出（205）其他教育支出（99）其他教育支出</w:t>
      </w:r>
    </w:p>
    <w:p w14:paraId="638ABBDA">
      <w:pPr>
        <w:pStyle w:val="3"/>
        <w:spacing w:before="167" w:line="336" w:lineRule="auto"/>
        <w:ind w:right="854"/>
      </w:pPr>
      <w:r>
        <w:t>（99）</w:t>
      </w:r>
      <w:r>
        <w:rPr>
          <w:spacing w:val="-12"/>
        </w:rPr>
        <w:t xml:space="preserve">：支出决算为 </w:t>
      </w:r>
      <w:r>
        <w:t>0.3</w:t>
      </w:r>
      <w:r>
        <w:rPr>
          <w:spacing w:val="-20"/>
        </w:rPr>
        <w:t xml:space="preserve"> 万元，完成预算 </w:t>
      </w:r>
      <w:r>
        <w:t>100%，决算数等于预算数。</w:t>
      </w:r>
    </w:p>
    <w:p w14:paraId="5DF7DB47">
      <w:pPr>
        <w:pStyle w:val="8"/>
        <w:numPr>
          <w:ilvl w:val="2"/>
          <w:numId w:val="1"/>
        </w:numPr>
        <w:tabs>
          <w:tab w:val="left" w:pos="1083"/>
        </w:tabs>
        <w:spacing w:before="4" w:after="0" w:line="240" w:lineRule="auto"/>
        <w:ind w:left="1082" w:right="0" w:hanging="323"/>
        <w:jc w:val="left"/>
        <w:rPr>
          <w:sz w:val="32"/>
        </w:rPr>
      </w:pPr>
      <w:r>
        <w:rPr>
          <w:sz w:val="32"/>
        </w:rPr>
        <w:t>社会保障和就业（208）行政事业单位养老支出</w:t>
      </w:r>
    </w:p>
    <w:p w14:paraId="6FC870C9">
      <w:pPr>
        <w:pStyle w:val="3"/>
        <w:spacing w:before="166" w:line="336" w:lineRule="auto"/>
        <w:ind w:right="934"/>
      </w:pPr>
      <w:r>
        <w:t>（05）机关事业单位养老保险缴费支出（05）: 支出决算为 50.64 万元，完成预算 100%，决算数等于预算数。</w:t>
      </w:r>
    </w:p>
    <w:p w14:paraId="23CA0D05">
      <w:pPr>
        <w:pStyle w:val="8"/>
        <w:numPr>
          <w:ilvl w:val="2"/>
          <w:numId w:val="1"/>
        </w:numPr>
        <w:tabs>
          <w:tab w:val="left" w:pos="1083"/>
        </w:tabs>
        <w:spacing w:before="4" w:after="0" w:line="240" w:lineRule="auto"/>
        <w:ind w:left="1082" w:right="653" w:hanging="1083"/>
        <w:jc w:val="left"/>
        <w:rPr>
          <w:sz w:val="32"/>
        </w:rPr>
      </w:pPr>
      <w:r>
        <w:rPr>
          <w:sz w:val="32"/>
        </w:rPr>
        <w:t>社会保障和就业（208）行政事业单位养老支出</w:t>
      </w:r>
    </w:p>
    <w:p w14:paraId="4F4B99F7">
      <w:pPr>
        <w:pStyle w:val="3"/>
        <w:spacing w:before="165"/>
        <w:ind w:left="103" w:right="756"/>
        <w:jc w:val="center"/>
      </w:pPr>
      <w:r>
        <w:t>（05）机关事业单位职业年金缴费支出（06）:支出决算为</w:t>
      </w:r>
    </w:p>
    <w:p w14:paraId="7C0434E1">
      <w:pPr>
        <w:pStyle w:val="3"/>
        <w:spacing w:before="167"/>
        <w:jc w:val="both"/>
      </w:pPr>
      <w:r>
        <w:t>39.51 万元，完成预算 100%，决算数等于预算数。</w:t>
      </w:r>
    </w:p>
    <w:p w14:paraId="15F2896F">
      <w:pPr>
        <w:pStyle w:val="8"/>
        <w:numPr>
          <w:ilvl w:val="2"/>
          <w:numId w:val="1"/>
        </w:numPr>
        <w:tabs>
          <w:tab w:val="left" w:pos="1083"/>
        </w:tabs>
        <w:spacing w:before="166" w:after="0" w:line="336" w:lineRule="auto"/>
        <w:ind w:left="120" w:right="694" w:firstLine="640"/>
        <w:jc w:val="both"/>
        <w:rPr>
          <w:sz w:val="32"/>
        </w:rPr>
      </w:pPr>
      <w:r>
        <w:rPr>
          <w:sz w:val="32"/>
        </w:rPr>
        <w:t>卫生健康（210）行政事业单位医疗（11）行政单位医（01）</w:t>
      </w:r>
      <w:r>
        <w:rPr>
          <w:spacing w:val="-12"/>
          <w:sz w:val="32"/>
        </w:rPr>
        <w:t xml:space="preserve">:支出决算为 </w:t>
      </w:r>
      <w:r>
        <w:rPr>
          <w:sz w:val="32"/>
        </w:rPr>
        <w:t>19.82</w:t>
      </w:r>
      <w:r>
        <w:rPr>
          <w:spacing w:val="-21"/>
          <w:sz w:val="32"/>
        </w:rPr>
        <w:t xml:space="preserve"> 万元，完成预算 </w:t>
      </w:r>
      <w:r>
        <w:rPr>
          <w:sz w:val="32"/>
        </w:rPr>
        <w:t>100%，决算数等于预算数。</w:t>
      </w:r>
    </w:p>
    <w:p w14:paraId="173F954C">
      <w:pPr>
        <w:pStyle w:val="8"/>
        <w:numPr>
          <w:ilvl w:val="2"/>
          <w:numId w:val="1"/>
        </w:numPr>
        <w:tabs>
          <w:tab w:val="left" w:pos="1083"/>
        </w:tabs>
        <w:spacing w:before="5" w:after="0" w:line="336" w:lineRule="auto"/>
        <w:ind w:left="120" w:right="775" w:firstLine="640"/>
        <w:jc w:val="both"/>
        <w:rPr>
          <w:sz w:val="32"/>
        </w:rPr>
      </w:pPr>
      <w:r>
        <w:rPr>
          <w:w w:val="95"/>
          <w:sz w:val="32"/>
        </w:rPr>
        <w:t xml:space="preserve">卫生健康（210）行政事业单位医疗（11）公务员医 </w:t>
      </w:r>
      <w:r>
        <w:rPr>
          <w:sz w:val="32"/>
        </w:rPr>
        <w:t>疗补助（03）</w:t>
      </w:r>
      <w:r>
        <w:rPr>
          <w:spacing w:val="-12"/>
          <w:sz w:val="32"/>
        </w:rPr>
        <w:t xml:space="preserve">:支出决算为 </w:t>
      </w:r>
      <w:r>
        <w:rPr>
          <w:sz w:val="32"/>
        </w:rPr>
        <w:t>6.20</w:t>
      </w:r>
      <w:r>
        <w:rPr>
          <w:spacing w:val="-20"/>
          <w:sz w:val="32"/>
        </w:rPr>
        <w:t xml:space="preserve"> 万元，完成预算 </w:t>
      </w:r>
      <w:r>
        <w:rPr>
          <w:sz w:val="32"/>
        </w:rPr>
        <w:t>100%，决算数等于预算数。</w:t>
      </w:r>
    </w:p>
    <w:p w14:paraId="29BCA9BC">
      <w:pPr>
        <w:spacing w:after="0" w:line="336" w:lineRule="auto"/>
        <w:jc w:val="both"/>
        <w:rPr>
          <w:sz w:val="32"/>
        </w:rPr>
        <w:sectPr>
          <w:pgSz w:w="11920" w:h="16860"/>
          <w:pgMar w:top="1540" w:right="1180" w:bottom="280" w:left="1680" w:header="720" w:footer="720" w:gutter="0"/>
          <w:cols w:space="720" w:num="1"/>
        </w:sectPr>
      </w:pPr>
    </w:p>
    <w:p w14:paraId="7CC73D3B">
      <w:pPr>
        <w:pStyle w:val="8"/>
        <w:numPr>
          <w:ilvl w:val="2"/>
          <w:numId w:val="1"/>
        </w:numPr>
        <w:tabs>
          <w:tab w:val="left" w:pos="1241"/>
        </w:tabs>
        <w:spacing w:before="30" w:after="0" w:line="336" w:lineRule="auto"/>
        <w:ind w:left="120" w:right="934" w:firstLine="640"/>
        <w:jc w:val="both"/>
        <w:rPr>
          <w:sz w:val="32"/>
        </w:rPr>
      </w:pPr>
      <w:r>
        <w:rPr>
          <w:sz w:val="32"/>
        </w:rPr>
        <w:t>卫生健康（210）行政事业单位医疗（11）其他行政事业单位医疗支出（99）</w:t>
      </w:r>
      <w:r>
        <w:rPr>
          <w:spacing w:val="-13"/>
          <w:sz w:val="32"/>
        </w:rPr>
        <w:t xml:space="preserve">:支出决算为 </w:t>
      </w:r>
      <w:r>
        <w:rPr>
          <w:sz w:val="32"/>
        </w:rPr>
        <w:t>1.32</w:t>
      </w:r>
      <w:r>
        <w:rPr>
          <w:spacing w:val="-15"/>
          <w:sz w:val="32"/>
        </w:rPr>
        <w:t xml:space="preserve"> 万元，完成</w:t>
      </w:r>
      <w:r>
        <w:rPr>
          <w:spacing w:val="-37"/>
          <w:sz w:val="32"/>
        </w:rPr>
        <w:t xml:space="preserve">预算 </w:t>
      </w:r>
      <w:r>
        <w:rPr>
          <w:sz w:val="32"/>
        </w:rPr>
        <w:t>100%，决算数等于预算数。</w:t>
      </w:r>
    </w:p>
    <w:p w14:paraId="58D6D1E1">
      <w:pPr>
        <w:pStyle w:val="8"/>
        <w:numPr>
          <w:ilvl w:val="2"/>
          <w:numId w:val="1"/>
        </w:numPr>
        <w:tabs>
          <w:tab w:val="left" w:pos="1241"/>
        </w:tabs>
        <w:spacing w:before="7" w:after="0" w:line="336" w:lineRule="auto"/>
        <w:ind w:left="120" w:right="694" w:firstLine="640"/>
        <w:jc w:val="left"/>
        <w:rPr>
          <w:sz w:val="32"/>
        </w:rPr>
      </w:pPr>
      <w:r>
        <w:rPr>
          <w:sz w:val="32"/>
        </w:rPr>
        <w:t>住房保障支出（221）住房改革支出（02）住房公积金（01）</w:t>
      </w:r>
      <w:r>
        <w:rPr>
          <w:spacing w:val="-13"/>
          <w:sz w:val="32"/>
        </w:rPr>
        <w:t xml:space="preserve">:支出决算为 </w:t>
      </w:r>
      <w:r>
        <w:rPr>
          <w:sz w:val="32"/>
        </w:rPr>
        <w:t>44.17</w:t>
      </w:r>
      <w:r>
        <w:rPr>
          <w:spacing w:val="-20"/>
          <w:sz w:val="32"/>
        </w:rPr>
        <w:t xml:space="preserve"> 万元，完成预算 </w:t>
      </w:r>
      <w:r>
        <w:rPr>
          <w:sz w:val="32"/>
        </w:rPr>
        <w:t>100%，决算数等于预算数。</w:t>
      </w:r>
    </w:p>
    <w:p w14:paraId="33FFCB53">
      <w:pPr>
        <w:spacing w:before="0" w:line="425" w:lineRule="exact"/>
        <w:ind w:left="840" w:right="0" w:firstLine="0"/>
        <w:jc w:val="left"/>
        <w:rPr>
          <w:rFonts w:hint="eastAsia" w:ascii="宋体" w:eastAsia="宋体"/>
          <w:b/>
          <w:sz w:val="36"/>
        </w:rPr>
      </w:pPr>
      <w:r>
        <w:rPr>
          <w:rFonts w:hint="eastAsia" w:ascii="宋体" w:eastAsia="宋体"/>
          <w:b/>
          <w:sz w:val="36"/>
        </w:rPr>
        <w:t>六、一般公共预算财政拨款基本支出决算情况说</w:t>
      </w:r>
    </w:p>
    <w:p w14:paraId="6A247BD2">
      <w:pPr>
        <w:spacing w:before="114"/>
        <w:ind w:left="120" w:right="0" w:firstLine="0"/>
        <w:jc w:val="left"/>
        <w:rPr>
          <w:rFonts w:hint="eastAsia" w:ascii="宋体" w:eastAsia="宋体"/>
          <w:b/>
          <w:sz w:val="36"/>
        </w:rPr>
      </w:pPr>
      <w:r>
        <w:rPr>
          <w:rFonts w:hint="eastAsia" w:ascii="宋体" w:eastAsia="宋体"/>
          <w:b/>
          <w:w w:val="99"/>
          <w:sz w:val="36"/>
        </w:rPr>
        <w:t>明</w:t>
      </w:r>
    </w:p>
    <w:p w14:paraId="2B3ED60B">
      <w:pPr>
        <w:pStyle w:val="3"/>
        <w:spacing w:before="157"/>
        <w:ind w:left="760"/>
      </w:pPr>
      <w:r>
        <w:t>2022 年一般公共预算财政拨款基本支出 1,092.76 万</w:t>
      </w:r>
    </w:p>
    <w:p w14:paraId="645799B1">
      <w:pPr>
        <w:pStyle w:val="3"/>
        <w:spacing w:before="10"/>
        <w:ind w:left="0"/>
        <w:rPr>
          <w:sz w:val="8"/>
        </w:rPr>
      </w:pPr>
    </w:p>
    <w:p w14:paraId="7CDDA0B9">
      <w:pPr>
        <w:pStyle w:val="3"/>
        <w:spacing w:before="54"/>
      </w:pPr>
      <w:r>
        <w:t>元，其中：</w:t>
      </w:r>
    </w:p>
    <w:p w14:paraId="486DB399">
      <w:pPr>
        <w:pStyle w:val="3"/>
        <w:spacing w:before="166" w:line="336" w:lineRule="auto"/>
        <w:ind w:right="773" w:firstLine="640"/>
      </w:pPr>
      <w:r>
        <w:rPr>
          <w:spacing w:val="-18"/>
        </w:rPr>
        <w:t xml:space="preserve">人员经费 </w:t>
      </w:r>
      <w:r>
        <w:t>759.83</w:t>
      </w:r>
      <w:r>
        <w:rPr>
          <w:spacing w:val="-10"/>
        </w:rPr>
        <w:t xml:space="preserve"> 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33954F91">
      <w:pPr>
        <w:pStyle w:val="3"/>
        <w:spacing w:before="12" w:line="336" w:lineRule="auto"/>
        <w:ind w:right="934" w:firstLine="960"/>
      </w:pPr>
      <w:r>
        <w:rPr>
          <w:spacing w:val="-17"/>
        </w:rPr>
        <w:t xml:space="preserve">公用经费 </w:t>
      </w:r>
      <w:r>
        <w:t>332.93</w:t>
      </w:r>
      <w:r>
        <w:rPr>
          <w:spacing w:val="-10"/>
        </w:rPr>
        <w:t xml:space="preserve"> 万元，主要包括：办公费、印刷</w:t>
      </w:r>
      <w:r>
        <w:rPr>
          <w:spacing w:val="-11"/>
        </w:rPr>
        <w:t>费、咨询费、手续费、水费、电费、邮电费、取暖费、物</w:t>
      </w:r>
      <w:r>
        <w:t xml:space="preserve">业管理费、差旅费、因公出国（境）费用、维修（护） </w:t>
      </w:r>
      <w:r>
        <w:rPr>
          <w:spacing w:val="-1"/>
        </w:rPr>
        <w:t>费、租赁费、会议费、培训费、公务接待费、劳务费、委托业务费、工会经费、福利费、公务用车运行维护费、其他交通费、税金及附加费用、其他商品和服务支出、办公设备购置、专用设备购置、信息网络及软件购置更新、其</w:t>
      </w:r>
      <w:r>
        <w:t>他资本性支出等。</w:t>
      </w:r>
    </w:p>
    <w:p w14:paraId="723D3702">
      <w:pPr>
        <w:spacing w:after="0" w:line="336" w:lineRule="auto"/>
        <w:sectPr>
          <w:pgSz w:w="11920" w:h="16860"/>
          <w:pgMar w:top="1540" w:right="1180" w:bottom="280" w:left="1680" w:header="720" w:footer="720" w:gutter="0"/>
          <w:cols w:space="720" w:num="1"/>
        </w:sectPr>
      </w:pPr>
    </w:p>
    <w:p w14:paraId="3D55D0B6">
      <w:pPr>
        <w:spacing w:before="28"/>
        <w:ind w:left="840" w:right="0" w:firstLine="0"/>
        <w:jc w:val="left"/>
        <w:rPr>
          <w:rFonts w:hint="eastAsia" w:ascii="宋体" w:hAnsi="宋体" w:eastAsia="宋体"/>
          <w:b/>
          <w:sz w:val="36"/>
        </w:rPr>
      </w:pPr>
      <w:r>
        <w:rPr>
          <w:rFonts w:hint="eastAsia" w:ascii="宋体" w:hAnsi="宋体" w:eastAsia="宋体"/>
          <w:b/>
          <w:sz w:val="36"/>
        </w:rPr>
        <w:t>七、“三公”经费财政拨款支出决算情况说明</w:t>
      </w:r>
    </w:p>
    <w:p w14:paraId="1BD2996B">
      <w:pPr>
        <w:spacing w:before="157" w:line="336" w:lineRule="auto"/>
        <w:ind w:left="760" w:right="907" w:firstLine="0"/>
        <w:jc w:val="both"/>
        <w:rPr>
          <w:sz w:val="32"/>
        </w:rPr>
      </w:pPr>
      <w:r>
        <w:rPr>
          <w:b/>
          <w:w w:val="95"/>
          <w:sz w:val="32"/>
        </w:rPr>
        <w:t>（一）“三公”经费财政拨款支出决算总体情况说明</w:t>
      </w:r>
      <w:r>
        <w:rPr>
          <w:sz w:val="32"/>
        </w:rPr>
        <w:t>2022 年“三公”经费财政拨款支出决算为 14.92 万</w:t>
      </w:r>
    </w:p>
    <w:p w14:paraId="1520F90E">
      <w:pPr>
        <w:pStyle w:val="3"/>
        <w:spacing w:before="4"/>
        <w:jc w:val="both"/>
      </w:pPr>
      <w:r>
        <w:t>元，完成预算 100.00%，决算数与预算数持平。</w:t>
      </w:r>
    </w:p>
    <w:p w14:paraId="6629A1C9">
      <w:pPr>
        <w:spacing w:before="166" w:line="336" w:lineRule="auto"/>
        <w:ind w:left="760" w:right="854" w:firstLine="0"/>
        <w:jc w:val="both"/>
        <w:rPr>
          <w:sz w:val="32"/>
        </w:rPr>
      </w:pPr>
      <w:r>
        <w:rPr>
          <w:b/>
          <w:sz w:val="32"/>
        </w:rPr>
        <w:t>（二）“三公”经费财政拨款支出决算具体情况说明</w:t>
      </w:r>
      <w:r>
        <w:rPr>
          <w:sz w:val="32"/>
        </w:rPr>
        <w:t>2022</w:t>
      </w:r>
      <w:r>
        <w:rPr>
          <w:spacing w:val="-10"/>
          <w:sz w:val="32"/>
        </w:rPr>
        <w:t xml:space="preserve"> 年“三公”经费财政拨款支出决算中，因公出国</w:t>
      </w:r>
    </w:p>
    <w:p w14:paraId="789D23C6">
      <w:pPr>
        <w:pStyle w:val="3"/>
        <w:spacing w:before="4" w:line="336" w:lineRule="auto"/>
        <w:ind w:right="852"/>
        <w:jc w:val="both"/>
      </w:pPr>
      <w:r>
        <w:t>（境）</w:t>
      </w:r>
      <w:r>
        <w:rPr>
          <w:spacing w:val="-15"/>
        </w:rPr>
        <w:t xml:space="preserve">费支出决算 </w:t>
      </w:r>
      <w:r>
        <w:t>0.00</w:t>
      </w:r>
      <w:r>
        <w:rPr>
          <w:spacing w:val="-29"/>
        </w:rPr>
        <w:t xml:space="preserve"> 万元，占 </w:t>
      </w:r>
      <w:r>
        <w:t>0.00%；公务用车购置及</w:t>
      </w:r>
      <w:r>
        <w:rPr>
          <w:spacing w:val="-9"/>
        </w:rPr>
        <w:t xml:space="preserve">运行维护费支出决算 </w:t>
      </w:r>
      <w:r>
        <w:t>14.77</w:t>
      </w:r>
      <w:r>
        <w:rPr>
          <w:spacing w:val="-28"/>
        </w:rPr>
        <w:t xml:space="preserve"> 万元，占 </w:t>
      </w:r>
      <w:r>
        <w:t>98.99%；公务接待费</w:t>
      </w:r>
      <w:r>
        <w:rPr>
          <w:spacing w:val="-16"/>
        </w:rPr>
        <w:t xml:space="preserve">支出决算 </w:t>
      </w:r>
      <w:r>
        <w:t>0.15</w:t>
      </w:r>
      <w:r>
        <w:rPr>
          <w:spacing w:val="-28"/>
        </w:rPr>
        <w:t xml:space="preserve"> 万元，占 </w:t>
      </w:r>
      <w:r>
        <w:t>1.01%。</w:t>
      </w:r>
    </w:p>
    <w:p w14:paraId="7D2783A1">
      <w:pPr>
        <w:pStyle w:val="8"/>
        <w:numPr>
          <w:ilvl w:val="0"/>
          <w:numId w:val="3"/>
        </w:numPr>
        <w:tabs>
          <w:tab w:val="left" w:pos="1083"/>
        </w:tabs>
        <w:spacing w:before="6" w:after="0" w:line="240" w:lineRule="auto"/>
        <w:ind w:left="1082" w:right="0" w:hanging="323"/>
        <w:jc w:val="both"/>
        <w:rPr>
          <w:sz w:val="32"/>
        </w:rPr>
      </w:pPr>
      <w:r>
        <w:rPr>
          <w:sz w:val="32"/>
        </w:rPr>
        <w:t>因公出国（境）</w:t>
      </w:r>
      <w:r>
        <w:rPr>
          <w:spacing w:val="-16"/>
          <w:sz w:val="32"/>
        </w:rPr>
        <w:t xml:space="preserve">经费支出 </w:t>
      </w:r>
      <w:r>
        <w:rPr>
          <w:sz w:val="32"/>
        </w:rPr>
        <w:t>0.00</w:t>
      </w:r>
      <w:r>
        <w:rPr>
          <w:spacing w:val="-12"/>
          <w:sz w:val="32"/>
        </w:rPr>
        <w:t xml:space="preserve"> 万元，完成预算</w:t>
      </w:r>
    </w:p>
    <w:p w14:paraId="0FDD1A07">
      <w:pPr>
        <w:pStyle w:val="3"/>
        <w:spacing w:before="166"/>
        <w:jc w:val="both"/>
      </w:pPr>
      <w:r>
        <w:t>0.00%。全年安排因公出国（境）团组 0 次，出国（境）0</w:t>
      </w:r>
    </w:p>
    <w:p w14:paraId="26856E48">
      <w:pPr>
        <w:pStyle w:val="3"/>
        <w:spacing w:before="166" w:line="336" w:lineRule="auto"/>
        <w:ind w:right="934"/>
        <w:jc w:val="both"/>
      </w:pPr>
      <w:r>
        <w:t>人。因公出国（境）</w:t>
      </w:r>
      <w:r>
        <w:rPr>
          <w:spacing w:val="-14"/>
        </w:rPr>
        <w:t xml:space="preserve">支出决算比 </w:t>
      </w:r>
      <w:r>
        <w:t>2021</w:t>
      </w:r>
      <w:r>
        <w:rPr>
          <w:spacing w:val="-34"/>
        </w:rPr>
        <w:t xml:space="preserve"> 年增加 </w:t>
      </w:r>
      <w:r>
        <w:t>0.00</w:t>
      </w:r>
      <w:r>
        <w:rPr>
          <w:spacing w:val="-21"/>
        </w:rPr>
        <w:t xml:space="preserve"> 万元， </w:t>
      </w:r>
      <w:r>
        <w:rPr>
          <w:spacing w:val="-41"/>
        </w:rPr>
        <w:t xml:space="preserve">增长 </w:t>
      </w:r>
      <w:r>
        <w:t>0.00%。</w:t>
      </w:r>
    </w:p>
    <w:p w14:paraId="61613786">
      <w:pPr>
        <w:pStyle w:val="8"/>
        <w:numPr>
          <w:ilvl w:val="0"/>
          <w:numId w:val="3"/>
        </w:numPr>
        <w:tabs>
          <w:tab w:val="left" w:pos="1083"/>
        </w:tabs>
        <w:spacing w:before="4" w:after="0" w:line="240" w:lineRule="auto"/>
        <w:ind w:left="1082" w:right="0" w:hanging="323"/>
        <w:jc w:val="both"/>
        <w:rPr>
          <w:sz w:val="32"/>
        </w:rPr>
      </w:pPr>
      <w:r>
        <w:rPr>
          <w:spacing w:val="-6"/>
          <w:sz w:val="32"/>
        </w:rPr>
        <w:t xml:space="preserve">公务用车购置及运行维护费支出 </w:t>
      </w:r>
      <w:r>
        <w:rPr>
          <w:sz w:val="32"/>
        </w:rPr>
        <w:t>14.77</w:t>
      </w:r>
      <w:r>
        <w:rPr>
          <w:spacing w:val="-13"/>
          <w:sz w:val="32"/>
        </w:rPr>
        <w:t xml:space="preserve"> 万元,完成预</w:t>
      </w:r>
    </w:p>
    <w:p w14:paraId="4A570EA5">
      <w:pPr>
        <w:pStyle w:val="3"/>
        <w:spacing w:before="166" w:line="336" w:lineRule="auto"/>
        <w:ind w:right="854"/>
        <w:jc w:val="both"/>
      </w:pPr>
      <w:r>
        <w:rPr>
          <w:spacing w:val="-42"/>
        </w:rPr>
        <w:t xml:space="preserve">算 </w:t>
      </w:r>
      <w:r>
        <w:t>100.00</w:t>
      </w:r>
      <w:r>
        <w:rPr>
          <w:spacing w:val="-5"/>
        </w:rPr>
        <w:t xml:space="preserve">%。公务用车购置及运行维护费支出决算比 </w:t>
      </w:r>
      <w:r>
        <w:t xml:space="preserve">2021 </w:t>
      </w:r>
      <w:r>
        <w:rPr>
          <w:spacing w:val="-22"/>
        </w:rPr>
        <w:t xml:space="preserve">年减少 </w:t>
      </w:r>
      <w:r>
        <w:t>24.49</w:t>
      </w:r>
      <w:r>
        <w:rPr>
          <w:spacing w:val="-25"/>
        </w:rPr>
        <w:t xml:space="preserve"> 万元，降低 </w:t>
      </w:r>
      <w:r>
        <w:t xml:space="preserve">62.38%。主要原因是厉行节约， </w:t>
      </w:r>
      <w:r>
        <w:rPr>
          <w:spacing w:val="-4"/>
        </w:rPr>
        <w:t xml:space="preserve">严格控制经费支出。其中：其中：公务用车购置支出 </w:t>
      </w:r>
      <w:r>
        <w:t>0</w:t>
      </w:r>
      <w:r>
        <w:rPr>
          <w:spacing w:val="-42"/>
        </w:rPr>
        <w:t xml:space="preserve"> 万</w:t>
      </w:r>
    </w:p>
    <w:p w14:paraId="15AA8432">
      <w:pPr>
        <w:pStyle w:val="3"/>
        <w:spacing w:before="6"/>
      </w:pPr>
      <w:r>
        <w:t>元。全年按规定更新购置公务用车 0 辆，其中：轿车 0</w:t>
      </w:r>
    </w:p>
    <w:p w14:paraId="38CE38B4">
      <w:pPr>
        <w:pStyle w:val="3"/>
        <w:spacing w:before="166"/>
      </w:pPr>
      <w:r>
        <w:t>辆、金额 0 万元，越野车 0 辆、金额 0 万元，载客汽车 0</w:t>
      </w:r>
    </w:p>
    <w:p w14:paraId="34EA63AB">
      <w:pPr>
        <w:pStyle w:val="3"/>
        <w:spacing w:before="166"/>
      </w:pPr>
      <w:r>
        <w:rPr>
          <w:spacing w:val="-16"/>
        </w:rPr>
        <w:t xml:space="preserve">辆、金额 </w:t>
      </w:r>
      <w:r>
        <w:t>0</w:t>
      </w:r>
      <w:r>
        <w:rPr>
          <w:spacing w:val="-25"/>
        </w:rPr>
        <w:t xml:space="preserve"> 万元。截至 </w:t>
      </w:r>
      <w:r>
        <w:t>2022</w:t>
      </w:r>
      <w:r>
        <w:rPr>
          <w:spacing w:val="-54"/>
        </w:rPr>
        <w:t xml:space="preserve"> 年 </w:t>
      </w:r>
      <w:r>
        <w:t>12</w:t>
      </w:r>
      <w:r>
        <w:rPr>
          <w:spacing w:val="-10"/>
        </w:rPr>
        <w:t xml:space="preserve"> 月底，单位共有公务用</w:t>
      </w:r>
    </w:p>
    <w:p w14:paraId="27A627ED">
      <w:pPr>
        <w:pStyle w:val="3"/>
        <w:spacing w:before="166"/>
      </w:pPr>
      <w:r>
        <w:t>车 3 辆，其中：越野车 2 辆、多功能车 1 辆。</w:t>
      </w:r>
    </w:p>
    <w:p w14:paraId="2132D2A4">
      <w:pPr>
        <w:pStyle w:val="3"/>
        <w:spacing w:before="166" w:line="336" w:lineRule="auto"/>
        <w:ind w:right="934" w:firstLine="640"/>
        <w:jc w:val="both"/>
      </w:pPr>
      <w:r>
        <w:rPr>
          <w:spacing w:val="-8"/>
        </w:rPr>
        <w:t xml:space="preserve">公务用车运行维护费支出 </w:t>
      </w:r>
      <w:r>
        <w:t>14.77</w:t>
      </w:r>
      <w:r>
        <w:rPr>
          <w:spacing w:val="-10"/>
        </w:rPr>
        <w:t xml:space="preserve"> 万元。主要用于干部</w:t>
      </w:r>
      <w:r>
        <w:rPr>
          <w:spacing w:val="-11"/>
        </w:rPr>
        <w:t>人才工作、党建工作等所需的公务用车燃料费、维修费、</w:t>
      </w:r>
      <w:r>
        <w:t>过路过桥费、保险费等支出。</w:t>
      </w:r>
    </w:p>
    <w:p w14:paraId="1BAD7783">
      <w:pPr>
        <w:spacing w:after="0" w:line="336" w:lineRule="auto"/>
        <w:jc w:val="both"/>
        <w:sectPr>
          <w:pgSz w:w="11920" w:h="16860"/>
          <w:pgMar w:top="1500" w:right="1180" w:bottom="280" w:left="1680" w:header="720" w:footer="720" w:gutter="0"/>
          <w:cols w:space="720" w:num="1"/>
        </w:sectPr>
      </w:pPr>
    </w:p>
    <w:p w14:paraId="5102A822">
      <w:pPr>
        <w:pStyle w:val="8"/>
        <w:numPr>
          <w:ilvl w:val="0"/>
          <w:numId w:val="3"/>
        </w:numPr>
        <w:tabs>
          <w:tab w:val="left" w:pos="1083"/>
        </w:tabs>
        <w:spacing w:before="30" w:after="0" w:line="336" w:lineRule="auto"/>
        <w:ind w:left="120" w:right="694" w:firstLine="640"/>
        <w:jc w:val="left"/>
        <w:rPr>
          <w:sz w:val="32"/>
        </w:rPr>
      </w:pPr>
      <w:r>
        <w:rPr>
          <w:spacing w:val="-11"/>
          <w:sz w:val="32"/>
        </w:rPr>
        <w:t xml:space="preserve">公务接待费支出 </w:t>
      </w:r>
      <w:r>
        <w:rPr>
          <w:sz w:val="32"/>
        </w:rPr>
        <w:t>0.15</w:t>
      </w:r>
      <w:r>
        <w:rPr>
          <w:spacing w:val="-21"/>
          <w:sz w:val="32"/>
        </w:rPr>
        <w:t xml:space="preserve"> 万元，完成预算 </w:t>
      </w:r>
      <w:r>
        <w:rPr>
          <w:sz w:val="32"/>
        </w:rPr>
        <w:t>100%。公务接</w:t>
      </w:r>
      <w:r>
        <w:rPr>
          <w:spacing w:val="-11"/>
          <w:sz w:val="32"/>
        </w:rPr>
        <w:t xml:space="preserve">待费支出决算比 </w:t>
      </w:r>
      <w:r>
        <w:rPr>
          <w:sz w:val="32"/>
        </w:rPr>
        <w:t>2021</w:t>
      </w:r>
      <w:r>
        <w:rPr>
          <w:spacing w:val="-34"/>
          <w:sz w:val="32"/>
        </w:rPr>
        <w:t xml:space="preserve"> 年减少 </w:t>
      </w:r>
      <w:r>
        <w:rPr>
          <w:sz w:val="32"/>
        </w:rPr>
        <w:t>0.68</w:t>
      </w:r>
      <w:r>
        <w:rPr>
          <w:spacing w:val="-25"/>
          <w:sz w:val="32"/>
        </w:rPr>
        <w:t xml:space="preserve"> 万元，降低 </w:t>
      </w:r>
      <w:r>
        <w:rPr>
          <w:sz w:val="32"/>
        </w:rPr>
        <w:t>81.79%。认真贯彻落实中央八项规定及省委省政府十项规定精神要</w:t>
      </w:r>
    </w:p>
    <w:p w14:paraId="2842D6DD">
      <w:pPr>
        <w:pStyle w:val="3"/>
        <w:spacing w:before="7"/>
      </w:pPr>
      <w:r>
        <w:t>求。其中：</w:t>
      </w:r>
    </w:p>
    <w:p w14:paraId="23C65630">
      <w:pPr>
        <w:pStyle w:val="3"/>
        <w:spacing w:before="165" w:line="336" w:lineRule="auto"/>
        <w:ind w:right="773" w:firstLine="640"/>
      </w:pPr>
      <w:r>
        <w:rPr>
          <w:spacing w:val="-10"/>
        </w:rPr>
        <w:t xml:space="preserve">国内公务接待支出 </w:t>
      </w:r>
      <w:r>
        <w:t>0.15</w:t>
      </w:r>
      <w:r>
        <w:rPr>
          <w:spacing w:val="-10"/>
        </w:rPr>
        <w:t xml:space="preserve"> 万元，主要用于执行公务、开展业务活动开支的交通费、住宿费、用餐费等。国内公务</w:t>
      </w:r>
      <w:r>
        <w:rPr>
          <w:spacing w:val="-34"/>
        </w:rPr>
        <w:t xml:space="preserve">接待 </w:t>
      </w:r>
      <w:r>
        <w:t>1</w:t>
      </w:r>
      <w:r>
        <w:rPr>
          <w:spacing w:val="-21"/>
        </w:rPr>
        <w:t xml:space="preserve"> 批次，</w:t>
      </w:r>
      <w:r>
        <w:t>16</w:t>
      </w:r>
      <w:r>
        <w:rPr>
          <w:spacing w:val="-28"/>
        </w:rPr>
        <w:t xml:space="preserve"> 人次</w:t>
      </w:r>
      <w:r>
        <w:t>（不包括陪同人员）</w:t>
      </w:r>
      <w:r>
        <w:rPr>
          <w:spacing w:val="-14"/>
        </w:rPr>
        <w:t xml:space="preserve">，共计支出 </w:t>
      </w:r>
      <w:r>
        <w:t>0.15 万元。</w:t>
      </w:r>
    </w:p>
    <w:p w14:paraId="71A6AC28">
      <w:pPr>
        <w:pStyle w:val="3"/>
        <w:spacing w:before="9"/>
        <w:ind w:left="760"/>
      </w:pPr>
      <w:r>
        <w:t>外事接待支出 0.00 万元，外事接待 0 批次，0 人，共</w:t>
      </w:r>
    </w:p>
    <w:p w14:paraId="5C862FD8">
      <w:pPr>
        <w:pStyle w:val="3"/>
        <w:spacing w:before="165"/>
      </w:pPr>
      <w:r>
        <w:t>计支出 0.00 万元。</w:t>
      </w:r>
    </w:p>
    <w:p w14:paraId="597B12FF">
      <w:pPr>
        <w:spacing w:before="124" w:line="316" w:lineRule="auto"/>
        <w:ind w:left="760" w:right="1332" w:firstLine="79"/>
        <w:jc w:val="left"/>
        <w:rPr>
          <w:rFonts w:hint="eastAsia" w:ascii="宋体" w:eastAsia="宋体"/>
          <w:b/>
          <w:sz w:val="36"/>
        </w:rPr>
      </w:pPr>
      <w:r>
        <w:rPr>
          <w:rFonts w:hint="eastAsia" w:ascii="宋体" w:eastAsia="宋体"/>
          <w:b/>
          <w:sz w:val="36"/>
        </w:rPr>
        <w:t xml:space="preserve">八、政府性基金预算支出决算情况说明 </w:t>
      </w:r>
      <w:r>
        <w:rPr>
          <w:sz w:val="32"/>
        </w:rPr>
        <w:t>2022</w:t>
      </w:r>
      <w:r>
        <w:rPr>
          <w:spacing w:val="-15"/>
          <w:sz w:val="32"/>
        </w:rPr>
        <w:t xml:space="preserve"> 年政府性基金预算财政拨款支出 </w:t>
      </w:r>
      <w:r>
        <w:rPr>
          <w:sz w:val="32"/>
        </w:rPr>
        <w:t>0.00</w:t>
      </w:r>
      <w:r>
        <w:rPr>
          <w:spacing w:val="-21"/>
          <w:sz w:val="32"/>
        </w:rPr>
        <w:t xml:space="preserve"> 万元。</w:t>
      </w:r>
      <w:r>
        <w:rPr>
          <w:rFonts w:hint="eastAsia" w:ascii="宋体" w:eastAsia="宋体"/>
          <w:b/>
          <w:spacing w:val="-21"/>
          <w:sz w:val="36"/>
        </w:rPr>
        <w:t>九、国有资本经营预算支出决算情况说明</w:t>
      </w:r>
    </w:p>
    <w:p w14:paraId="64F3826A">
      <w:pPr>
        <w:pStyle w:val="3"/>
        <w:spacing w:before="12"/>
        <w:ind w:left="760"/>
      </w:pPr>
      <w:r>
        <w:t>2022 年国有资本经营预算财政拨款支出 0.00 万元。</w:t>
      </w:r>
    </w:p>
    <w:p w14:paraId="181F5D5C">
      <w:pPr>
        <w:spacing w:before="123"/>
        <w:ind w:left="840" w:right="0" w:firstLine="0"/>
        <w:jc w:val="left"/>
        <w:rPr>
          <w:rFonts w:hint="eastAsia" w:ascii="宋体" w:eastAsia="宋体"/>
          <w:b/>
          <w:sz w:val="36"/>
        </w:rPr>
      </w:pPr>
      <w:bookmarkStart w:id="9" w:name="_TOC_250016"/>
      <w:bookmarkEnd w:id="9"/>
      <w:r>
        <w:rPr>
          <w:rFonts w:hint="eastAsia" w:ascii="宋体" w:eastAsia="宋体"/>
          <w:b/>
          <w:sz w:val="36"/>
        </w:rPr>
        <w:t>十、其他重要事项的情况说明</w:t>
      </w:r>
    </w:p>
    <w:p w14:paraId="6FA38DCE">
      <w:pPr>
        <w:spacing w:before="157"/>
        <w:ind w:left="760" w:right="0" w:firstLine="0"/>
        <w:jc w:val="left"/>
        <w:rPr>
          <w:b/>
          <w:sz w:val="32"/>
        </w:rPr>
      </w:pPr>
      <w:r>
        <w:rPr>
          <w:b/>
          <w:sz w:val="32"/>
        </w:rPr>
        <w:t>（一）机关运行经费支出情况</w:t>
      </w:r>
    </w:p>
    <w:p w14:paraId="2AB13A37">
      <w:pPr>
        <w:pStyle w:val="3"/>
        <w:spacing w:before="166"/>
        <w:ind w:left="760"/>
      </w:pPr>
      <w:r>
        <w:t>2022 年，中共四川省阿坝州九寨沟县委组织部（本</w:t>
      </w:r>
    </w:p>
    <w:p w14:paraId="1F91E861">
      <w:pPr>
        <w:pStyle w:val="3"/>
        <w:spacing w:before="166"/>
      </w:pPr>
      <w:r>
        <w:t>级）机关运行经费支出 328.96 万元，比 2021 年增加</w:t>
      </w:r>
    </w:p>
    <w:p w14:paraId="0576647F">
      <w:pPr>
        <w:pStyle w:val="3"/>
        <w:spacing w:before="166"/>
      </w:pPr>
      <w:r>
        <w:t>177.51 万元，增长 117.21%，主要原因为人员经费增加。</w:t>
      </w:r>
    </w:p>
    <w:p w14:paraId="1D29A23A">
      <w:pPr>
        <w:spacing w:before="166"/>
        <w:ind w:left="760" w:right="0" w:firstLine="0"/>
        <w:jc w:val="left"/>
        <w:rPr>
          <w:b/>
          <w:sz w:val="32"/>
        </w:rPr>
      </w:pPr>
      <w:r>
        <w:rPr>
          <w:b/>
          <w:sz w:val="32"/>
        </w:rPr>
        <w:t>（二）政府采购支出情况</w:t>
      </w:r>
    </w:p>
    <w:p w14:paraId="2501E508">
      <w:pPr>
        <w:pStyle w:val="3"/>
        <w:spacing w:before="166"/>
        <w:ind w:left="760"/>
      </w:pPr>
      <w:r>
        <w:t>2022 年，中共四川省阿坝州九寨沟县委组织部（本</w:t>
      </w:r>
    </w:p>
    <w:p w14:paraId="30E2B0CA">
      <w:pPr>
        <w:pStyle w:val="3"/>
        <w:spacing w:before="166"/>
      </w:pPr>
      <w:r>
        <w:t>级）政府采购支出总额 5.91 万元，其中：政府采购货物支</w:t>
      </w:r>
    </w:p>
    <w:p w14:paraId="27FD7744">
      <w:pPr>
        <w:pStyle w:val="3"/>
        <w:spacing w:before="166"/>
      </w:pPr>
      <w:r>
        <w:rPr>
          <w:spacing w:val="-42"/>
        </w:rPr>
        <w:t xml:space="preserve">出 </w:t>
      </w:r>
      <w:r>
        <w:t>5.91</w:t>
      </w:r>
      <w:r>
        <w:rPr>
          <w:spacing w:val="-16"/>
        </w:rPr>
        <w:t xml:space="preserve"> 万元、政府采购工程支出 </w:t>
      </w:r>
      <w:r>
        <w:t>0.00</w:t>
      </w:r>
      <w:r>
        <w:rPr>
          <w:spacing w:val="-11"/>
        </w:rPr>
        <w:t xml:space="preserve"> 万元、政府采购服</w:t>
      </w:r>
    </w:p>
    <w:p w14:paraId="6C9A30A9">
      <w:pPr>
        <w:pStyle w:val="3"/>
        <w:spacing w:before="166"/>
      </w:pPr>
      <w:r>
        <w:rPr>
          <w:spacing w:val="-21"/>
        </w:rPr>
        <w:t xml:space="preserve">务支出 </w:t>
      </w:r>
      <w:r>
        <w:t>0.00</w:t>
      </w:r>
      <w:r>
        <w:rPr>
          <w:spacing w:val="-15"/>
        </w:rPr>
        <w:t xml:space="preserve"> 万元。授予中小企业合同金额 </w:t>
      </w:r>
      <w:r>
        <w:t>5.91</w:t>
      </w:r>
      <w:r>
        <w:rPr>
          <w:spacing w:val="-17"/>
        </w:rPr>
        <w:t xml:space="preserve"> 万元，占</w:t>
      </w:r>
    </w:p>
    <w:p w14:paraId="1ED138EC">
      <w:pPr>
        <w:spacing w:after="0"/>
        <w:sectPr>
          <w:pgSz w:w="11920" w:h="16860"/>
          <w:pgMar w:top="1540" w:right="1180" w:bottom="280" w:left="1680" w:header="720" w:footer="720" w:gutter="0"/>
          <w:cols w:space="720" w:num="1"/>
        </w:sectPr>
      </w:pPr>
    </w:p>
    <w:p w14:paraId="453A829B">
      <w:pPr>
        <w:pStyle w:val="3"/>
        <w:spacing w:before="30" w:line="336" w:lineRule="auto"/>
        <w:ind w:right="617"/>
      </w:pPr>
      <w:r>
        <w:t>政府采购支出总额的 100.00%，其中：授予小微企业合同金额 5.91 万元，占政府采购支出总额的 100.00%。</w:t>
      </w:r>
    </w:p>
    <w:p w14:paraId="21BC095E">
      <w:pPr>
        <w:spacing w:before="5"/>
        <w:ind w:left="760" w:right="0" w:firstLine="0"/>
        <w:jc w:val="left"/>
        <w:rPr>
          <w:b/>
          <w:sz w:val="32"/>
        </w:rPr>
      </w:pPr>
      <w:r>
        <w:rPr>
          <w:b/>
          <w:sz w:val="32"/>
        </w:rPr>
        <w:t>（三）国有资产占有使用情况</w:t>
      </w:r>
    </w:p>
    <w:p w14:paraId="56D52E83">
      <w:pPr>
        <w:pStyle w:val="3"/>
        <w:spacing w:before="166"/>
        <w:ind w:left="760"/>
      </w:pPr>
      <w:r>
        <w:rPr>
          <w:spacing w:val="-27"/>
        </w:rPr>
        <w:t xml:space="preserve">截至 </w:t>
      </w:r>
      <w:r>
        <w:t>2022</w:t>
      </w:r>
      <w:r>
        <w:rPr>
          <w:spacing w:val="-55"/>
        </w:rPr>
        <w:t xml:space="preserve"> 年 </w:t>
      </w:r>
      <w:r>
        <w:t>12</w:t>
      </w:r>
      <w:r>
        <w:rPr>
          <w:spacing w:val="-54"/>
        </w:rPr>
        <w:t xml:space="preserve"> 月 </w:t>
      </w:r>
      <w:r>
        <w:t>31</w:t>
      </w:r>
      <w:r>
        <w:rPr>
          <w:spacing w:val="-10"/>
        </w:rPr>
        <w:t xml:space="preserve"> 日，中共四川省阿坝州九寨沟县</w:t>
      </w:r>
    </w:p>
    <w:p w14:paraId="342169F7">
      <w:pPr>
        <w:pStyle w:val="3"/>
        <w:spacing w:before="165"/>
      </w:pPr>
      <w:r>
        <w:t>委组织部（本级）</w:t>
      </w:r>
      <w:r>
        <w:rPr>
          <w:spacing w:val="-18"/>
        </w:rPr>
        <w:t xml:space="preserve">共有车辆 </w:t>
      </w:r>
      <w:r>
        <w:t>3</w:t>
      </w:r>
      <w:r>
        <w:rPr>
          <w:spacing w:val="-10"/>
        </w:rPr>
        <w:t xml:space="preserve"> 辆，其中：主要领导干部用</w:t>
      </w:r>
    </w:p>
    <w:p w14:paraId="073BFD10">
      <w:pPr>
        <w:pStyle w:val="3"/>
        <w:spacing w:before="166"/>
      </w:pPr>
      <w:r>
        <w:rPr>
          <w:spacing w:val="-41"/>
        </w:rPr>
        <w:t xml:space="preserve">车 </w:t>
      </w:r>
      <w:r>
        <w:t>0</w:t>
      </w:r>
      <w:r>
        <w:rPr>
          <w:spacing w:val="-18"/>
        </w:rPr>
        <w:t xml:space="preserve"> 辆、机要通信用车 </w:t>
      </w:r>
      <w:r>
        <w:t>0</w:t>
      </w:r>
      <w:r>
        <w:rPr>
          <w:spacing w:val="-19"/>
        </w:rPr>
        <w:t xml:space="preserve"> 辆、应急保障用车 </w:t>
      </w:r>
      <w:r>
        <w:t>3</w:t>
      </w:r>
      <w:r>
        <w:rPr>
          <w:spacing w:val="-15"/>
        </w:rPr>
        <w:t xml:space="preserve"> 辆、其他用</w:t>
      </w:r>
    </w:p>
    <w:p w14:paraId="600B15F2">
      <w:pPr>
        <w:pStyle w:val="3"/>
        <w:spacing w:before="167"/>
      </w:pPr>
      <w:r>
        <w:t>车 0 辆，单价 100 万元（含）以上设备（不含车辆）0 台</w:t>
      </w:r>
    </w:p>
    <w:p w14:paraId="120F2FBB">
      <w:pPr>
        <w:pStyle w:val="3"/>
        <w:spacing w:before="166"/>
      </w:pPr>
      <w:r>
        <w:t>（套）。</w:t>
      </w:r>
    </w:p>
    <w:p w14:paraId="22CC1223">
      <w:pPr>
        <w:spacing w:before="166"/>
        <w:ind w:left="760" w:right="0" w:firstLine="0"/>
        <w:jc w:val="left"/>
        <w:rPr>
          <w:b/>
          <w:sz w:val="32"/>
        </w:rPr>
      </w:pPr>
      <w:r>
        <w:rPr>
          <w:b/>
          <w:sz w:val="32"/>
        </w:rPr>
        <w:t>（四）预算绩效管理情况</w:t>
      </w:r>
    </w:p>
    <w:p w14:paraId="1FEDCC6E">
      <w:pPr>
        <w:pStyle w:val="8"/>
        <w:numPr>
          <w:ilvl w:val="0"/>
          <w:numId w:val="4"/>
        </w:numPr>
        <w:tabs>
          <w:tab w:val="left" w:pos="1083"/>
        </w:tabs>
        <w:spacing w:before="165" w:after="0" w:line="240" w:lineRule="auto"/>
        <w:ind w:left="1082" w:right="0" w:hanging="323"/>
        <w:jc w:val="left"/>
        <w:rPr>
          <w:b/>
          <w:sz w:val="32"/>
        </w:rPr>
      </w:pPr>
      <w:r>
        <w:rPr>
          <w:b/>
          <w:sz w:val="32"/>
        </w:rPr>
        <w:t>预算绩效管理工作开展及完成情况</w:t>
      </w:r>
    </w:p>
    <w:p w14:paraId="05966FC8">
      <w:pPr>
        <w:pStyle w:val="3"/>
        <w:spacing w:before="167"/>
        <w:ind w:left="760"/>
      </w:pPr>
      <w:r>
        <w:t>根据预算绩效管理要求，本部门在 2022 年度预算编制</w:t>
      </w:r>
    </w:p>
    <w:p w14:paraId="49815233">
      <w:pPr>
        <w:pStyle w:val="3"/>
        <w:spacing w:before="165" w:line="336" w:lineRule="auto"/>
        <w:ind w:right="934"/>
      </w:pPr>
      <w:r>
        <w:t>阶段，本部门按要求对 2022 年部门整体支出开展绩效自评。从评价情况来看，我单位认真履行好部门职能职责， 圆满完成了县委、县政府下达的各项目标任务。在预算执行过程中能严格执行国家有关财经法律法规，本着勤俭节约原则，管理好用好每笔资金。</w:t>
      </w:r>
    </w:p>
    <w:p w14:paraId="30EAA847">
      <w:pPr>
        <w:pStyle w:val="8"/>
        <w:numPr>
          <w:ilvl w:val="0"/>
          <w:numId w:val="4"/>
        </w:numPr>
        <w:tabs>
          <w:tab w:val="left" w:pos="1083"/>
        </w:tabs>
        <w:spacing w:before="10" w:after="0" w:line="240" w:lineRule="auto"/>
        <w:ind w:left="1082" w:right="0" w:hanging="323"/>
        <w:jc w:val="left"/>
        <w:rPr>
          <w:b/>
          <w:sz w:val="32"/>
        </w:rPr>
      </w:pPr>
      <w:r>
        <w:rPr>
          <w:b/>
          <w:sz w:val="32"/>
        </w:rPr>
        <w:t>部门开展绩效评价结果</w:t>
      </w:r>
    </w:p>
    <w:p w14:paraId="37E39A8E">
      <w:pPr>
        <w:pStyle w:val="3"/>
        <w:spacing w:before="167"/>
        <w:ind w:left="760"/>
      </w:pPr>
      <w:r>
        <w:t>县委组织部按要求对 2022 年部门整体支出绩效评价情</w:t>
      </w:r>
    </w:p>
    <w:p w14:paraId="7BF86A89">
      <w:pPr>
        <w:pStyle w:val="3"/>
        <w:spacing w:before="166" w:line="336" w:lineRule="auto"/>
        <w:ind w:right="775"/>
      </w:pPr>
      <w:r>
        <w:rPr>
          <w:spacing w:val="-6"/>
        </w:rPr>
        <w:t xml:space="preserve">况开展自评，《九寨沟县委组织部 </w:t>
      </w:r>
      <w:r>
        <w:t>2022</w:t>
      </w:r>
      <w:r>
        <w:rPr>
          <w:spacing w:val="-11"/>
        </w:rPr>
        <w:t xml:space="preserve"> 年部门整体支出绩效评价报告》，绩效自评表详见第四部分附件。</w:t>
      </w:r>
    </w:p>
    <w:p w14:paraId="37265CC0">
      <w:pPr>
        <w:spacing w:after="0" w:line="336" w:lineRule="auto"/>
        <w:sectPr>
          <w:pgSz w:w="11920" w:h="16860"/>
          <w:pgMar w:top="1540" w:right="1180" w:bottom="280" w:left="1680" w:header="720" w:footer="720" w:gutter="0"/>
          <w:cols w:space="720" w:num="1"/>
        </w:sectPr>
      </w:pPr>
    </w:p>
    <w:p w14:paraId="39E18A22">
      <w:pPr>
        <w:spacing w:before="31"/>
        <w:ind w:left="103" w:right="607" w:firstLine="0"/>
        <w:jc w:val="center"/>
        <w:rPr>
          <w:rFonts w:hint="eastAsia" w:ascii="宋体" w:eastAsia="宋体"/>
          <w:b/>
          <w:sz w:val="39"/>
        </w:rPr>
      </w:pPr>
      <w:bookmarkStart w:id="10" w:name="_TOC_250015"/>
      <w:bookmarkEnd w:id="10"/>
      <w:r>
        <w:rPr>
          <w:rFonts w:hint="eastAsia" w:ascii="宋体" w:eastAsia="宋体"/>
          <w:b/>
          <w:sz w:val="39"/>
        </w:rPr>
        <w:t>第三部分 名词解释</w:t>
      </w:r>
    </w:p>
    <w:p w14:paraId="5994B2D3">
      <w:pPr>
        <w:pStyle w:val="3"/>
        <w:ind w:left="0"/>
        <w:rPr>
          <w:rFonts w:ascii="宋体"/>
          <w:b/>
          <w:sz w:val="38"/>
        </w:rPr>
      </w:pPr>
    </w:p>
    <w:p w14:paraId="2E340893">
      <w:pPr>
        <w:pStyle w:val="3"/>
        <w:spacing w:before="11"/>
        <w:ind w:left="0"/>
        <w:rPr>
          <w:rFonts w:ascii="宋体"/>
          <w:b/>
          <w:sz w:val="45"/>
        </w:rPr>
      </w:pPr>
    </w:p>
    <w:p w14:paraId="7D1CA748">
      <w:pPr>
        <w:pStyle w:val="8"/>
        <w:numPr>
          <w:ilvl w:val="0"/>
          <w:numId w:val="5"/>
        </w:numPr>
        <w:tabs>
          <w:tab w:val="left" w:pos="1083"/>
        </w:tabs>
        <w:spacing w:before="1" w:after="0" w:line="336" w:lineRule="auto"/>
        <w:ind w:left="120" w:right="934" w:firstLine="640"/>
        <w:jc w:val="left"/>
        <w:rPr>
          <w:sz w:val="32"/>
        </w:rPr>
      </w:pPr>
      <w:r>
        <w:rPr>
          <w:sz w:val="32"/>
        </w:rPr>
        <w:t>财政拨款收入：指单位从同级财政部门取得的财政预算资金。</w:t>
      </w:r>
    </w:p>
    <w:p w14:paraId="6597C850">
      <w:pPr>
        <w:pStyle w:val="8"/>
        <w:numPr>
          <w:ilvl w:val="0"/>
          <w:numId w:val="5"/>
        </w:numPr>
        <w:tabs>
          <w:tab w:val="left" w:pos="1083"/>
        </w:tabs>
        <w:spacing w:before="4" w:after="0" w:line="336" w:lineRule="auto"/>
        <w:ind w:left="120" w:right="934" w:firstLine="640"/>
        <w:jc w:val="left"/>
        <w:rPr>
          <w:sz w:val="32"/>
        </w:rPr>
      </w:pPr>
      <w:r>
        <w:rPr>
          <w:sz w:val="32"/>
        </w:rPr>
        <w:t>事业收入：指事业单位开展专业业务活动及辅助活动取得的收入。</w:t>
      </w:r>
    </w:p>
    <w:p w14:paraId="67163B69">
      <w:pPr>
        <w:pStyle w:val="8"/>
        <w:numPr>
          <w:ilvl w:val="0"/>
          <w:numId w:val="5"/>
        </w:numPr>
        <w:tabs>
          <w:tab w:val="left" w:pos="1083"/>
        </w:tabs>
        <w:spacing w:before="4" w:after="0" w:line="336" w:lineRule="auto"/>
        <w:ind w:left="120" w:right="934" w:firstLine="640"/>
        <w:jc w:val="left"/>
        <w:rPr>
          <w:sz w:val="32"/>
        </w:rPr>
      </w:pPr>
      <w:r>
        <w:rPr>
          <w:sz w:val="32"/>
        </w:rPr>
        <w:t>经营收入：指事业单位在专业业务活动及其辅助活动之外开展非独立核算经营活动取得的收入。</w:t>
      </w:r>
    </w:p>
    <w:p w14:paraId="104E0DEF">
      <w:pPr>
        <w:pStyle w:val="8"/>
        <w:numPr>
          <w:ilvl w:val="0"/>
          <w:numId w:val="5"/>
        </w:numPr>
        <w:tabs>
          <w:tab w:val="left" w:pos="1083"/>
        </w:tabs>
        <w:spacing w:before="4" w:after="0" w:line="240" w:lineRule="auto"/>
        <w:ind w:left="1082" w:right="0" w:hanging="323"/>
        <w:jc w:val="left"/>
        <w:rPr>
          <w:sz w:val="32"/>
        </w:rPr>
      </w:pPr>
      <w:r>
        <w:rPr>
          <w:sz w:val="32"/>
        </w:rPr>
        <w:t>其他收入：指单位取得的除上述收入以外的各项收</w:t>
      </w:r>
    </w:p>
    <w:p w14:paraId="5D96EB32">
      <w:pPr>
        <w:pStyle w:val="3"/>
        <w:spacing w:before="9"/>
        <w:ind w:left="0"/>
        <w:rPr>
          <w:sz w:val="8"/>
        </w:rPr>
      </w:pPr>
    </w:p>
    <w:p w14:paraId="02128302">
      <w:pPr>
        <w:pStyle w:val="3"/>
        <w:spacing w:before="54"/>
      </w:pPr>
      <w:r>
        <w:t>入。</w:t>
      </w:r>
    </w:p>
    <w:p w14:paraId="12A1A5AB">
      <w:pPr>
        <w:pStyle w:val="8"/>
        <w:numPr>
          <w:ilvl w:val="0"/>
          <w:numId w:val="5"/>
        </w:numPr>
        <w:tabs>
          <w:tab w:val="left" w:pos="1083"/>
        </w:tabs>
        <w:spacing w:before="166" w:after="0" w:line="240" w:lineRule="auto"/>
        <w:ind w:left="1082" w:right="0" w:hanging="323"/>
        <w:jc w:val="left"/>
        <w:rPr>
          <w:sz w:val="32"/>
        </w:rPr>
      </w:pPr>
      <w:r>
        <w:rPr>
          <w:sz w:val="32"/>
        </w:rPr>
        <w:t>使用非财政拨款结余：指事业单位使用以前年度积</w:t>
      </w:r>
    </w:p>
    <w:p w14:paraId="75F65426">
      <w:pPr>
        <w:pStyle w:val="3"/>
        <w:spacing w:before="9"/>
        <w:ind w:left="0"/>
        <w:rPr>
          <w:sz w:val="8"/>
        </w:rPr>
      </w:pPr>
    </w:p>
    <w:p w14:paraId="46E49709">
      <w:pPr>
        <w:pStyle w:val="3"/>
        <w:spacing w:before="55"/>
      </w:pPr>
      <w:r>
        <w:t>累的非财政拨款结余弥补当年收支差额的金额。</w:t>
      </w:r>
    </w:p>
    <w:p w14:paraId="01FE303B">
      <w:pPr>
        <w:pStyle w:val="8"/>
        <w:numPr>
          <w:ilvl w:val="0"/>
          <w:numId w:val="5"/>
        </w:numPr>
        <w:tabs>
          <w:tab w:val="left" w:pos="1083"/>
        </w:tabs>
        <w:spacing w:before="166" w:after="0" w:line="336" w:lineRule="auto"/>
        <w:ind w:left="120" w:right="934" w:firstLine="640"/>
        <w:jc w:val="left"/>
        <w:rPr>
          <w:sz w:val="32"/>
        </w:rPr>
      </w:pPr>
      <w:r>
        <w:rPr>
          <w:sz w:val="32"/>
        </w:rPr>
        <w:t>年初结转和结余：指以前年度尚未完成、结转到本年按有关规定继续使用的资金。</w:t>
      </w:r>
    </w:p>
    <w:p w14:paraId="7D76B01D">
      <w:pPr>
        <w:pStyle w:val="8"/>
        <w:numPr>
          <w:ilvl w:val="0"/>
          <w:numId w:val="5"/>
        </w:numPr>
        <w:tabs>
          <w:tab w:val="left" w:pos="1083"/>
        </w:tabs>
        <w:spacing w:before="4" w:after="0" w:line="336" w:lineRule="auto"/>
        <w:ind w:left="120" w:right="934" w:firstLine="640"/>
        <w:jc w:val="left"/>
        <w:rPr>
          <w:sz w:val="32"/>
        </w:rPr>
      </w:pPr>
      <w:r>
        <w:rPr>
          <w:sz w:val="32"/>
        </w:rPr>
        <w:t>结余分配：指事业单位按照会计制度规定缴纳的所得税、提取的专用结余以及转入非财政拨款结余的金额 等。</w:t>
      </w:r>
    </w:p>
    <w:p w14:paraId="4BC75E6B">
      <w:pPr>
        <w:pStyle w:val="3"/>
        <w:spacing w:before="6" w:line="336" w:lineRule="auto"/>
        <w:ind w:right="775" w:firstLine="640"/>
      </w:pPr>
      <w:r>
        <w:rPr>
          <w:w w:val="95"/>
        </w:rPr>
        <w:t xml:space="preserve">8、年末结转和结余：指单位按有关规定结转到下年或 </w:t>
      </w:r>
      <w:r>
        <w:t>以后年度继续使用的资金。</w:t>
      </w:r>
    </w:p>
    <w:p w14:paraId="0C11CE8F">
      <w:pPr>
        <w:pStyle w:val="8"/>
        <w:numPr>
          <w:ilvl w:val="0"/>
          <w:numId w:val="6"/>
        </w:numPr>
        <w:tabs>
          <w:tab w:val="left" w:pos="1083"/>
        </w:tabs>
        <w:spacing w:before="4" w:after="0" w:line="240" w:lineRule="auto"/>
        <w:ind w:left="1082" w:right="0" w:hanging="323"/>
        <w:jc w:val="left"/>
        <w:rPr>
          <w:sz w:val="32"/>
        </w:rPr>
      </w:pPr>
      <w:r>
        <w:rPr>
          <w:sz w:val="32"/>
        </w:rPr>
        <w:t>一般公共服务（201）组织事务（32）行政运行</w:t>
      </w:r>
    </w:p>
    <w:p w14:paraId="2791CF80">
      <w:pPr>
        <w:pStyle w:val="3"/>
        <w:spacing w:before="166" w:line="336" w:lineRule="auto"/>
        <w:ind w:right="934"/>
      </w:pPr>
      <w:r>
        <w:t>（01）：指部机关用于保障机构正常运行、开展日常工作的基本支出。</w:t>
      </w:r>
    </w:p>
    <w:p w14:paraId="56015A75">
      <w:pPr>
        <w:pStyle w:val="8"/>
        <w:numPr>
          <w:ilvl w:val="0"/>
          <w:numId w:val="6"/>
        </w:numPr>
        <w:tabs>
          <w:tab w:val="left" w:pos="1241"/>
        </w:tabs>
        <w:spacing w:before="4" w:after="0" w:line="240" w:lineRule="auto"/>
        <w:ind w:left="1240" w:right="0" w:hanging="481"/>
        <w:jc w:val="left"/>
        <w:rPr>
          <w:sz w:val="32"/>
        </w:rPr>
      </w:pPr>
      <w:r>
        <w:rPr>
          <w:sz w:val="32"/>
        </w:rPr>
        <w:t>一般公共服务（201）一般行政管理事务（32）其</w:t>
      </w:r>
    </w:p>
    <w:p w14:paraId="3FA8FA36">
      <w:pPr>
        <w:spacing w:after="0" w:line="240" w:lineRule="auto"/>
        <w:jc w:val="left"/>
        <w:rPr>
          <w:sz w:val="32"/>
        </w:rPr>
        <w:sectPr>
          <w:pgSz w:w="11920" w:h="16860"/>
          <w:pgMar w:top="1460" w:right="1180" w:bottom="280" w:left="1680" w:header="720" w:footer="720" w:gutter="0"/>
          <w:cols w:space="720" w:num="1"/>
        </w:sectPr>
      </w:pPr>
    </w:p>
    <w:p w14:paraId="62649D66">
      <w:pPr>
        <w:pStyle w:val="3"/>
        <w:spacing w:before="30" w:line="336" w:lineRule="auto"/>
        <w:ind w:right="934"/>
      </w:pPr>
      <w:r>
        <w:t>他组织事务支出（99）：指除一般行政管理事务、机关服务、公务员事务、事业运行以外用于组织部门的事务支 出。</w:t>
      </w:r>
    </w:p>
    <w:p w14:paraId="513958E2">
      <w:pPr>
        <w:pStyle w:val="8"/>
        <w:numPr>
          <w:ilvl w:val="0"/>
          <w:numId w:val="6"/>
        </w:numPr>
        <w:tabs>
          <w:tab w:val="left" w:pos="1241"/>
        </w:tabs>
        <w:spacing w:before="7" w:after="0" w:line="240" w:lineRule="auto"/>
        <w:ind w:left="1240" w:right="0" w:hanging="481"/>
        <w:jc w:val="left"/>
        <w:rPr>
          <w:sz w:val="32"/>
        </w:rPr>
      </w:pPr>
      <w:r>
        <w:rPr>
          <w:sz w:val="32"/>
        </w:rPr>
        <w:t>社会保障和就业支出（208）行政事业单位离退休</w:t>
      </w:r>
    </w:p>
    <w:p w14:paraId="230513AF">
      <w:pPr>
        <w:pStyle w:val="3"/>
        <w:spacing w:before="165" w:line="336" w:lineRule="auto"/>
        <w:ind w:right="775"/>
      </w:pPr>
      <w:r>
        <w:rPr>
          <w:w w:val="95"/>
        </w:rPr>
        <w:t xml:space="preserve">（05）机关事业单位基本养老缴费支出（05）:指实施养老 </w:t>
      </w:r>
      <w:r>
        <w:t>保险制度后，部门按规定由单位缴纳的基本养老保险费支出。</w:t>
      </w:r>
    </w:p>
    <w:p w14:paraId="40BCA6E1">
      <w:pPr>
        <w:pStyle w:val="8"/>
        <w:numPr>
          <w:ilvl w:val="0"/>
          <w:numId w:val="6"/>
        </w:numPr>
        <w:tabs>
          <w:tab w:val="left" w:pos="1241"/>
        </w:tabs>
        <w:spacing w:before="7" w:after="0" w:line="240" w:lineRule="auto"/>
        <w:ind w:left="1240" w:right="0" w:hanging="481"/>
        <w:jc w:val="left"/>
        <w:rPr>
          <w:sz w:val="32"/>
        </w:rPr>
      </w:pPr>
      <w:r>
        <w:rPr>
          <w:sz w:val="32"/>
        </w:rPr>
        <w:t>社会保障和就业支出（208）行政事业单位离退休</w:t>
      </w:r>
    </w:p>
    <w:p w14:paraId="6A2509FD">
      <w:pPr>
        <w:pStyle w:val="3"/>
        <w:spacing w:before="166" w:line="336" w:lineRule="auto"/>
        <w:ind w:right="775"/>
      </w:pPr>
      <w:r>
        <w:rPr>
          <w:w w:val="95"/>
        </w:rPr>
        <w:t xml:space="preserve">（05）机关事业单位职业年金缴费支出（06）:指实施养老 </w:t>
      </w:r>
      <w:r>
        <w:t>保险制度由单位实际缴纳的职业年金支出。</w:t>
      </w:r>
    </w:p>
    <w:p w14:paraId="34C1AC99">
      <w:pPr>
        <w:pStyle w:val="8"/>
        <w:numPr>
          <w:ilvl w:val="0"/>
          <w:numId w:val="6"/>
        </w:numPr>
        <w:tabs>
          <w:tab w:val="left" w:pos="1241"/>
        </w:tabs>
        <w:spacing w:before="4" w:after="0" w:line="336" w:lineRule="auto"/>
        <w:ind w:left="120" w:right="934" w:firstLine="640"/>
        <w:jc w:val="both"/>
        <w:rPr>
          <w:sz w:val="32"/>
        </w:rPr>
      </w:pPr>
      <w:r>
        <w:rPr>
          <w:sz w:val="32"/>
        </w:rPr>
        <w:t>卫生健康支出（210）公共卫生（04）重大公共卫生服务（09）</w:t>
      </w:r>
      <w:r>
        <w:rPr>
          <w:spacing w:val="-1"/>
          <w:sz w:val="32"/>
        </w:rPr>
        <w:t>：指重大疾病、重大传染病预防控制等重大</w:t>
      </w:r>
      <w:r>
        <w:rPr>
          <w:sz w:val="32"/>
        </w:rPr>
        <w:t>公共卫生服务项目支出。</w:t>
      </w:r>
    </w:p>
    <w:p w14:paraId="425B2AF4">
      <w:pPr>
        <w:pStyle w:val="8"/>
        <w:numPr>
          <w:ilvl w:val="0"/>
          <w:numId w:val="6"/>
        </w:numPr>
        <w:tabs>
          <w:tab w:val="left" w:pos="1241"/>
        </w:tabs>
        <w:spacing w:before="6" w:after="0" w:line="336" w:lineRule="auto"/>
        <w:ind w:left="120" w:right="934" w:firstLine="640"/>
        <w:jc w:val="both"/>
        <w:rPr>
          <w:sz w:val="32"/>
        </w:rPr>
      </w:pPr>
      <w:r>
        <w:rPr>
          <w:sz w:val="32"/>
        </w:rPr>
        <w:t>卫生健康支出（210）行政单位医疗（11）行政单位医疗（01）</w:t>
      </w:r>
      <w:r>
        <w:rPr>
          <w:spacing w:val="-1"/>
          <w:sz w:val="32"/>
        </w:rPr>
        <w:t>：指财政部门安排的行政单位基本医疗保险</w:t>
      </w:r>
      <w:r>
        <w:rPr>
          <w:sz w:val="32"/>
        </w:rPr>
        <w:t>缴费经费。</w:t>
      </w:r>
    </w:p>
    <w:p w14:paraId="744C7D1C">
      <w:pPr>
        <w:pStyle w:val="8"/>
        <w:numPr>
          <w:ilvl w:val="0"/>
          <w:numId w:val="6"/>
        </w:numPr>
        <w:tabs>
          <w:tab w:val="left" w:pos="1241"/>
        </w:tabs>
        <w:spacing w:before="5" w:after="0" w:line="336" w:lineRule="auto"/>
        <w:ind w:left="120" w:right="934" w:firstLine="640"/>
        <w:jc w:val="both"/>
        <w:rPr>
          <w:sz w:val="32"/>
        </w:rPr>
      </w:pPr>
      <w:r>
        <w:rPr>
          <w:sz w:val="32"/>
        </w:rPr>
        <w:t>卫生健康支出（210）行政单位医疗（11）公务员医疗补助（03）是指反映财政部门集中安排的公务员医疗补助经费。</w:t>
      </w:r>
    </w:p>
    <w:p w14:paraId="6D76DFA1">
      <w:pPr>
        <w:pStyle w:val="8"/>
        <w:numPr>
          <w:ilvl w:val="0"/>
          <w:numId w:val="6"/>
        </w:numPr>
        <w:tabs>
          <w:tab w:val="left" w:pos="1241"/>
        </w:tabs>
        <w:spacing w:before="7" w:after="0" w:line="336" w:lineRule="auto"/>
        <w:ind w:left="120" w:right="934" w:firstLine="640"/>
        <w:jc w:val="both"/>
        <w:rPr>
          <w:sz w:val="32"/>
        </w:rPr>
      </w:pPr>
      <w:r>
        <w:rPr>
          <w:sz w:val="32"/>
        </w:rPr>
        <w:t>卫生健康支出（210）行政单位医疗（11）其他行政事业单位医疗支出（99）</w:t>
      </w:r>
      <w:r>
        <w:rPr>
          <w:spacing w:val="-1"/>
          <w:sz w:val="32"/>
        </w:rPr>
        <w:t>是指反映上述项目以外的其他</w:t>
      </w:r>
      <w:r>
        <w:rPr>
          <w:sz w:val="32"/>
        </w:rPr>
        <w:t>用于行政事业单位医疗方面的支出。</w:t>
      </w:r>
    </w:p>
    <w:p w14:paraId="4BAD6F9D">
      <w:pPr>
        <w:pStyle w:val="8"/>
        <w:numPr>
          <w:ilvl w:val="0"/>
          <w:numId w:val="6"/>
        </w:numPr>
        <w:tabs>
          <w:tab w:val="left" w:pos="1241"/>
        </w:tabs>
        <w:spacing w:before="5" w:after="0" w:line="336" w:lineRule="auto"/>
        <w:ind w:left="120" w:right="934" w:firstLine="640"/>
        <w:jc w:val="left"/>
        <w:rPr>
          <w:sz w:val="32"/>
        </w:rPr>
      </w:pPr>
      <w:r>
        <w:rPr>
          <w:sz w:val="32"/>
        </w:rPr>
        <w:t>住房保障支出（221）住房改革支出（02）住房公积金（01）是指反映行政事业单位按人力资源和社会保障</w:t>
      </w:r>
    </w:p>
    <w:p w14:paraId="507B54C3">
      <w:pPr>
        <w:spacing w:after="0" w:line="336" w:lineRule="auto"/>
        <w:jc w:val="left"/>
        <w:rPr>
          <w:sz w:val="32"/>
        </w:rPr>
        <w:sectPr>
          <w:pgSz w:w="11920" w:h="16860"/>
          <w:pgMar w:top="1540" w:right="1180" w:bottom="280" w:left="1680" w:header="720" w:footer="720" w:gutter="0"/>
          <w:cols w:space="720" w:num="1"/>
        </w:sectPr>
      </w:pPr>
    </w:p>
    <w:p w14:paraId="020CB612">
      <w:pPr>
        <w:pStyle w:val="3"/>
        <w:spacing w:before="30" w:line="336" w:lineRule="auto"/>
        <w:ind w:right="934"/>
      </w:pPr>
      <w:r>
        <w:t>部、财政规定的基本工资和津贴补贴以及规定比例为职工缴纳的住房公积金。</w:t>
      </w:r>
    </w:p>
    <w:p w14:paraId="4CDF0329">
      <w:pPr>
        <w:pStyle w:val="8"/>
        <w:numPr>
          <w:ilvl w:val="0"/>
          <w:numId w:val="6"/>
        </w:numPr>
        <w:tabs>
          <w:tab w:val="left" w:pos="1241"/>
        </w:tabs>
        <w:spacing w:before="5" w:after="0" w:line="336" w:lineRule="auto"/>
        <w:ind w:left="120" w:right="773" w:firstLine="640"/>
        <w:jc w:val="left"/>
        <w:rPr>
          <w:sz w:val="32"/>
        </w:rPr>
      </w:pPr>
      <w:r>
        <w:rPr>
          <w:sz w:val="32"/>
        </w:rPr>
        <w:t>基本支出：指为保障机构正常运转、完成日常工作任务而发生的人员支出和公用支出。</w:t>
      </w:r>
    </w:p>
    <w:p w14:paraId="5EAF5F52">
      <w:pPr>
        <w:pStyle w:val="8"/>
        <w:numPr>
          <w:ilvl w:val="0"/>
          <w:numId w:val="6"/>
        </w:numPr>
        <w:tabs>
          <w:tab w:val="left" w:pos="1241"/>
        </w:tabs>
        <w:spacing w:before="3" w:after="0" w:line="336" w:lineRule="auto"/>
        <w:ind w:left="120" w:right="773" w:firstLine="640"/>
        <w:jc w:val="left"/>
        <w:rPr>
          <w:sz w:val="32"/>
        </w:rPr>
      </w:pPr>
      <w:r>
        <w:rPr>
          <w:sz w:val="32"/>
        </w:rPr>
        <w:t>项目支出：指在基本支出之外为完成特定行政任务和事业发展目标所发生的支出。</w:t>
      </w:r>
    </w:p>
    <w:p w14:paraId="0E66EFA9">
      <w:pPr>
        <w:pStyle w:val="8"/>
        <w:numPr>
          <w:ilvl w:val="0"/>
          <w:numId w:val="6"/>
        </w:numPr>
        <w:tabs>
          <w:tab w:val="left" w:pos="1241"/>
        </w:tabs>
        <w:spacing w:before="5" w:after="0" w:line="336" w:lineRule="auto"/>
        <w:ind w:left="120" w:right="773" w:firstLine="640"/>
        <w:jc w:val="left"/>
        <w:rPr>
          <w:sz w:val="32"/>
        </w:rPr>
      </w:pPr>
      <w:r>
        <w:rPr>
          <w:sz w:val="32"/>
        </w:rPr>
        <w:t>经营支出：指事业单位在专业业务活动及其辅助活动之外开展非独立核算经营活动发生的支出。</w:t>
      </w:r>
    </w:p>
    <w:p w14:paraId="2A58C146">
      <w:pPr>
        <w:pStyle w:val="8"/>
        <w:numPr>
          <w:ilvl w:val="0"/>
          <w:numId w:val="6"/>
        </w:numPr>
        <w:tabs>
          <w:tab w:val="left" w:pos="1241"/>
        </w:tabs>
        <w:spacing w:before="4" w:after="0" w:line="240" w:lineRule="auto"/>
        <w:ind w:left="1240" w:right="0" w:hanging="481"/>
        <w:jc w:val="left"/>
        <w:rPr>
          <w:sz w:val="32"/>
        </w:rPr>
      </w:pPr>
      <w:r>
        <w:rPr>
          <w:sz w:val="32"/>
        </w:rPr>
        <w:t>“三公”经费：指部门用财政拨款安排的因公出国</w:t>
      </w:r>
    </w:p>
    <w:p w14:paraId="1DCD8775">
      <w:pPr>
        <w:pStyle w:val="3"/>
        <w:spacing w:before="165" w:line="336" w:lineRule="auto"/>
        <w:ind w:right="934"/>
        <w:jc w:val="both"/>
      </w:pPr>
      <w:r>
        <w:t>（境）费、公务用车购置及运行费和公务接待费。其中， 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937E8FB">
      <w:pPr>
        <w:pStyle w:val="8"/>
        <w:numPr>
          <w:ilvl w:val="0"/>
          <w:numId w:val="6"/>
        </w:numPr>
        <w:tabs>
          <w:tab w:val="left" w:pos="1241"/>
        </w:tabs>
        <w:spacing w:before="14" w:after="0" w:line="336" w:lineRule="auto"/>
        <w:ind w:left="120" w:right="773" w:firstLine="640"/>
        <w:jc w:val="left"/>
        <w:rPr>
          <w:sz w:val="32"/>
        </w:rPr>
      </w:pPr>
      <w:r>
        <w:rPr>
          <w:sz w:val="32"/>
        </w:rPr>
        <w:t>机关运行经费：为保障行政单位（含参照公务员法管理的事业单位）运行用于购买货物和服务的各项资金， 包括办公及印刷费、邮电费、差旅费、会议费、福利费、日常维修费、专用材料及一般设备购置费、办公用房水电费、办公用房取暖费、办公用房物业管理费、公务用车运行维护费以及其他费用。</w:t>
      </w:r>
    </w:p>
    <w:p w14:paraId="5FD79203">
      <w:pPr>
        <w:spacing w:after="0" w:line="336" w:lineRule="auto"/>
        <w:jc w:val="left"/>
        <w:rPr>
          <w:sz w:val="32"/>
        </w:rPr>
        <w:sectPr>
          <w:pgSz w:w="11920" w:h="16860"/>
          <w:pgMar w:top="1540" w:right="1180" w:bottom="280" w:left="1680" w:header="720" w:footer="720" w:gutter="0"/>
          <w:cols w:space="720" w:num="1"/>
        </w:sectPr>
      </w:pPr>
    </w:p>
    <w:p w14:paraId="629FD1E0">
      <w:pPr>
        <w:spacing w:before="31"/>
        <w:ind w:left="103" w:right="607" w:firstLine="0"/>
        <w:jc w:val="center"/>
        <w:rPr>
          <w:rFonts w:hint="eastAsia" w:ascii="宋体" w:eastAsia="宋体"/>
          <w:b/>
          <w:sz w:val="39"/>
        </w:rPr>
      </w:pPr>
      <w:bookmarkStart w:id="11" w:name="_TOC_250014"/>
      <w:bookmarkEnd w:id="11"/>
      <w:r>
        <w:rPr>
          <w:rFonts w:hint="eastAsia" w:ascii="宋体" w:eastAsia="宋体"/>
          <w:b/>
          <w:sz w:val="39"/>
        </w:rPr>
        <w:t>第四部分 附件</w:t>
      </w:r>
    </w:p>
    <w:p w14:paraId="3FF9D6C9">
      <w:pPr>
        <w:pStyle w:val="3"/>
        <w:ind w:left="0"/>
        <w:rPr>
          <w:rFonts w:ascii="宋体"/>
          <w:b/>
          <w:sz w:val="38"/>
        </w:rPr>
      </w:pPr>
    </w:p>
    <w:p w14:paraId="2B097DCA">
      <w:pPr>
        <w:pStyle w:val="3"/>
        <w:ind w:left="0"/>
        <w:rPr>
          <w:rFonts w:ascii="宋体"/>
          <w:b/>
          <w:sz w:val="38"/>
        </w:rPr>
      </w:pPr>
    </w:p>
    <w:p w14:paraId="5C489479">
      <w:pPr>
        <w:pStyle w:val="3"/>
        <w:spacing w:before="12"/>
        <w:ind w:left="0"/>
        <w:rPr>
          <w:rFonts w:ascii="宋体"/>
          <w:b/>
          <w:sz w:val="28"/>
        </w:rPr>
      </w:pPr>
    </w:p>
    <w:p w14:paraId="08803B2F">
      <w:pPr>
        <w:spacing w:before="0"/>
        <w:ind w:left="103" w:right="602" w:firstLine="0"/>
        <w:jc w:val="center"/>
        <w:rPr>
          <w:rFonts w:hint="eastAsia" w:ascii="宋体" w:eastAsia="宋体"/>
          <w:sz w:val="36"/>
        </w:rPr>
      </w:pPr>
      <w:r>
        <w:rPr>
          <w:rFonts w:hint="eastAsia" w:ascii="宋体" w:eastAsia="宋体"/>
          <w:sz w:val="36"/>
        </w:rPr>
        <w:t>九寨沟县委组织部</w:t>
      </w:r>
    </w:p>
    <w:p w14:paraId="11849458">
      <w:pPr>
        <w:spacing w:before="115"/>
        <w:ind w:left="103" w:right="602" w:firstLine="0"/>
        <w:jc w:val="center"/>
        <w:rPr>
          <w:rFonts w:hint="eastAsia" w:ascii="宋体" w:eastAsia="宋体"/>
          <w:sz w:val="36"/>
        </w:rPr>
      </w:pPr>
      <w:r>
        <w:rPr>
          <w:rFonts w:hint="eastAsia" w:ascii="宋体" w:eastAsia="宋体"/>
          <w:sz w:val="36"/>
        </w:rPr>
        <w:t>2022 年部门整体绩效评价报告</w:t>
      </w:r>
    </w:p>
    <w:p w14:paraId="4D0908B5">
      <w:pPr>
        <w:spacing w:before="19"/>
        <w:ind w:left="103" w:right="602" w:firstLine="0"/>
        <w:jc w:val="center"/>
        <w:rPr>
          <w:rFonts w:hint="eastAsia" w:ascii="宋体" w:eastAsia="宋体"/>
          <w:sz w:val="24"/>
        </w:rPr>
      </w:pPr>
      <w:r>
        <w:rPr>
          <w:rFonts w:hint="eastAsia" w:ascii="宋体" w:eastAsia="宋体"/>
          <w:sz w:val="24"/>
        </w:rPr>
        <w:t>（报告范围包括机关和下属单位）</w:t>
      </w:r>
    </w:p>
    <w:p w14:paraId="21B83C7F">
      <w:pPr>
        <w:pStyle w:val="3"/>
        <w:ind w:left="0"/>
        <w:rPr>
          <w:rFonts w:ascii="宋体"/>
          <w:sz w:val="24"/>
        </w:rPr>
      </w:pPr>
    </w:p>
    <w:p w14:paraId="23B2CECC">
      <w:pPr>
        <w:pStyle w:val="3"/>
        <w:ind w:left="0"/>
        <w:rPr>
          <w:rFonts w:ascii="宋体"/>
          <w:sz w:val="24"/>
        </w:rPr>
      </w:pPr>
    </w:p>
    <w:p w14:paraId="51EE9EC2">
      <w:pPr>
        <w:pStyle w:val="3"/>
        <w:spacing w:before="1"/>
        <w:ind w:left="0"/>
        <w:rPr>
          <w:rFonts w:ascii="宋体"/>
          <w:sz w:val="31"/>
        </w:rPr>
      </w:pPr>
    </w:p>
    <w:p w14:paraId="327E8404">
      <w:pPr>
        <w:pStyle w:val="3"/>
        <w:spacing w:before="1"/>
        <w:ind w:left="760"/>
        <w:rPr>
          <w:rFonts w:hint="eastAsia" w:ascii="黑体" w:eastAsia="黑体"/>
        </w:rPr>
      </w:pPr>
      <w:r>
        <w:rPr>
          <w:rFonts w:hint="eastAsia" w:ascii="黑体" w:eastAsia="黑体"/>
        </w:rPr>
        <w:t>一、部门（单位）概况</w:t>
      </w:r>
    </w:p>
    <w:p w14:paraId="32F0D5D1">
      <w:pPr>
        <w:pStyle w:val="3"/>
        <w:spacing w:before="187"/>
        <w:ind w:left="760"/>
        <w:rPr>
          <w:rFonts w:hint="eastAsia" w:ascii="宋体" w:eastAsia="宋体"/>
        </w:rPr>
      </w:pPr>
      <w:r>
        <w:rPr>
          <w:rFonts w:hint="eastAsia" w:ascii="宋体" w:eastAsia="宋体"/>
        </w:rPr>
        <w:t>（一）机构组成。</w:t>
      </w:r>
    </w:p>
    <w:p w14:paraId="117BE188">
      <w:pPr>
        <w:pStyle w:val="3"/>
        <w:spacing w:before="137"/>
        <w:ind w:left="760"/>
        <w:rPr>
          <w:rFonts w:hint="eastAsia" w:ascii="宋体" w:eastAsia="宋体"/>
        </w:rPr>
      </w:pPr>
      <w:r>
        <w:rPr>
          <w:rFonts w:hint="eastAsia" w:ascii="宋体" w:eastAsia="宋体"/>
        </w:rPr>
        <w:t>中共九寨沟县委组织部为行政单位，内设 5 个职能股</w:t>
      </w:r>
    </w:p>
    <w:p w14:paraId="00B8A3D7">
      <w:pPr>
        <w:pStyle w:val="3"/>
        <w:spacing w:before="214"/>
        <w:rPr>
          <w:rFonts w:hint="eastAsia" w:ascii="宋体" w:eastAsia="宋体"/>
        </w:rPr>
      </w:pPr>
      <w:r>
        <w:rPr>
          <w:rFonts w:hint="eastAsia" w:ascii="宋体" w:eastAsia="宋体"/>
        </w:rPr>
        <w:t>室，编制总数 42 名，其中行政编制 19 名、行政工勤编制 3</w:t>
      </w:r>
    </w:p>
    <w:p w14:paraId="5E1695E3">
      <w:pPr>
        <w:pStyle w:val="3"/>
        <w:spacing w:before="214"/>
        <w:rPr>
          <w:rFonts w:hint="eastAsia" w:ascii="宋体" w:eastAsia="宋体"/>
        </w:rPr>
      </w:pPr>
      <w:r>
        <w:rPr>
          <w:rFonts w:hint="eastAsia" w:ascii="宋体" w:eastAsia="宋体"/>
        </w:rPr>
        <w:t>名、参公编制 11 名、事业编制 9 名。核定公务员编制 17</w:t>
      </w:r>
    </w:p>
    <w:p w14:paraId="5F0B9D7D">
      <w:pPr>
        <w:pStyle w:val="3"/>
        <w:spacing w:before="214"/>
        <w:rPr>
          <w:rFonts w:hint="eastAsia" w:ascii="宋体" w:eastAsia="宋体"/>
        </w:rPr>
      </w:pPr>
      <w:r>
        <w:rPr>
          <w:rFonts w:hint="eastAsia" w:ascii="宋体" w:eastAsia="宋体"/>
        </w:rPr>
        <w:t>名，行政工勤 2 名。</w:t>
      </w:r>
    </w:p>
    <w:p w14:paraId="365AD20A">
      <w:pPr>
        <w:pStyle w:val="3"/>
        <w:spacing w:before="267"/>
        <w:ind w:left="760"/>
        <w:rPr>
          <w:rFonts w:hint="eastAsia" w:ascii="宋体" w:eastAsia="宋体"/>
        </w:rPr>
      </w:pPr>
      <w:r>
        <w:rPr>
          <w:rFonts w:hint="eastAsia" w:ascii="宋体" w:eastAsia="宋体"/>
        </w:rPr>
        <w:t>（二）县委组织部机构职能。</w:t>
      </w:r>
    </w:p>
    <w:p w14:paraId="4C885972">
      <w:pPr>
        <w:pStyle w:val="3"/>
        <w:spacing w:before="169" w:line="336" w:lineRule="auto"/>
        <w:ind w:right="934" w:firstLine="640"/>
      </w:pPr>
      <w:r>
        <w:rPr>
          <w:spacing w:val="-1"/>
        </w:rPr>
        <w:t>县委组织部是县委主管组织工作、干部工作、人才工作、公务员工作的职能部门，坚定以习近平新时代中国特</w:t>
      </w:r>
      <w:r>
        <w:t xml:space="preserve">色社会主义思想为指导，严格落实新时代党的建设总要 </w:t>
      </w:r>
      <w:r>
        <w:rPr>
          <w:spacing w:val="-1"/>
        </w:rPr>
        <w:t xml:space="preserve">求，按照“讲政治、铸忠诚，提本领、能担当，弃私情、处公正，严管理、建一流”要求，踔厉奋发、勇毅前行， </w:t>
      </w:r>
      <w:r>
        <w:t>推动九寨沟县组织工作高质量发展。</w:t>
      </w:r>
    </w:p>
    <w:p w14:paraId="6C90EBD3">
      <w:pPr>
        <w:pStyle w:val="3"/>
        <w:spacing w:before="33"/>
        <w:ind w:left="760"/>
        <w:rPr>
          <w:rFonts w:hint="eastAsia" w:ascii="宋体" w:eastAsia="宋体"/>
        </w:rPr>
      </w:pPr>
      <w:r>
        <w:rPr>
          <w:rFonts w:hint="eastAsia" w:ascii="宋体" w:eastAsia="宋体"/>
        </w:rPr>
        <w:t>（三）人员概况。</w:t>
      </w:r>
    </w:p>
    <w:p w14:paraId="5E033D52">
      <w:pPr>
        <w:spacing w:after="0"/>
        <w:rPr>
          <w:rFonts w:hint="eastAsia" w:ascii="宋体" w:eastAsia="宋体"/>
        </w:rPr>
        <w:sectPr>
          <w:pgSz w:w="11920" w:h="16860"/>
          <w:pgMar w:top="1460" w:right="1180" w:bottom="280" w:left="1680" w:header="720" w:footer="720" w:gutter="0"/>
          <w:cols w:space="720" w:num="1"/>
        </w:sectPr>
      </w:pPr>
    </w:p>
    <w:p w14:paraId="4C15F541">
      <w:pPr>
        <w:pStyle w:val="3"/>
        <w:spacing w:before="30"/>
        <w:ind w:left="760"/>
        <w:rPr>
          <w:rFonts w:hint="eastAsia" w:ascii="宋体" w:eastAsia="宋体"/>
        </w:rPr>
      </w:pPr>
      <w:r>
        <w:rPr>
          <w:rFonts w:hint="eastAsia" w:ascii="宋体" w:eastAsia="宋体"/>
        </w:rPr>
        <w:t>中共九寨沟县委组织部、县委编办 2022 年财政供养人</w:t>
      </w:r>
    </w:p>
    <w:p w14:paraId="7BF0AC27">
      <w:pPr>
        <w:pStyle w:val="3"/>
        <w:spacing w:before="190"/>
        <w:rPr>
          <w:rFonts w:hint="eastAsia" w:ascii="宋体" w:eastAsia="宋体"/>
        </w:rPr>
      </w:pPr>
      <w:r>
        <w:rPr>
          <w:rFonts w:hint="eastAsia" w:ascii="宋体" w:eastAsia="宋体"/>
        </w:rPr>
        <w:t>员 34 人，全额供给人员和公用经费 34 人，全额供给基本</w:t>
      </w:r>
    </w:p>
    <w:p w14:paraId="4E59D65B">
      <w:pPr>
        <w:pStyle w:val="3"/>
        <w:spacing w:before="190"/>
        <w:rPr>
          <w:rFonts w:hint="eastAsia" w:ascii="宋体" w:eastAsia="宋体"/>
        </w:rPr>
      </w:pPr>
      <w:r>
        <w:rPr>
          <w:rFonts w:hint="eastAsia" w:ascii="宋体" w:eastAsia="宋体"/>
        </w:rPr>
        <w:t>工资 34 人。</w:t>
      </w:r>
    </w:p>
    <w:p w14:paraId="1FD22674">
      <w:pPr>
        <w:pStyle w:val="3"/>
        <w:spacing w:before="170"/>
        <w:ind w:left="760"/>
        <w:rPr>
          <w:rFonts w:hint="eastAsia" w:ascii="黑体" w:eastAsia="黑体"/>
        </w:rPr>
      </w:pPr>
      <w:r>
        <w:rPr>
          <w:rFonts w:hint="eastAsia" w:ascii="黑体" w:eastAsia="黑体"/>
        </w:rPr>
        <w:t>二、部门财政资金收支情况</w:t>
      </w:r>
    </w:p>
    <w:p w14:paraId="072674A9">
      <w:pPr>
        <w:pStyle w:val="3"/>
        <w:spacing w:before="167"/>
        <w:ind w:left="760"/>
        <w:rPr>
          <w:rFonts w:hint="eastAsia" w:ascii="宋体" w:eastAsia="宋体"/>
        </w:rPr>
      </w:pPr>
      <w:r>
        <w:rPr>
          <w:rFonts w:hint="eastAsia" w:ascii="宋体" w:eastAsia="宋体"/>
        </w:rPr>
        <w:t>（一）部门财政资金收入情况。</w:t>
      </w:r>
    </w:p>
    <w:p w14:paraId="6C6F941A">
      <w:pPr>
        <w:pStyle w:val="3"/>
        <w:spacing w:before="166" w:line="336" w:lineRule="auto"/>
        <w:ind w:right="775" w:firstLine="640"/>
        <w:jc w:val="both"/>
      </w:pPr>
      <w:r>
        <w:t>按照综合预算的原则，县委组织部所有收入和支出均纳入部门预算管理。收入包括：一般公共预算拨款收入； 支出包括：一般公共服务支出、社会保障和就业支出、医</w:t>
      </w:r>
      <w:r>
        <w:rPr>
          <w:spacing w:val="-4"/>
        </w:rPr>
        <w:t xml:space="preserve">疗卫生与计划生育支出、住房保障支出。县委组织部 </w:t>
      </w:r>
      <w:r>
        <w:t xml:space="preserve">2022 </w:t>
      </w:r>
      <w:r>
        <w:rPr>
          <w:spacing w:val="-14"/>
        </w:rPr>
        <w:t xml:space="preserve">年收入合计 </w:t>
      </w:r>
      <w:r>
        <w:t>1578.08</w:t>
      </w:r>
      <w:r>
        <w:rPr>
          <w:spacing w:val="-28"/>
        </w:rPr>
        <w:t xml:space="preserve"> 万元，占 </w:t>
      </w:r>
      <w:r>
        <w:t>100%；政府性基金预算财政</w:t>
      </w:r>
      <w:r>
        <w:rPr>
          <w:spacing w:val="-17"/>
        </w:rPr>
        <w:t xml:space="preserve">拨款收入 </w:t>
      </w:r>
      <w:r>
        <w:t>0</w:t>
      </w:r>
      <w:r>
        <w:rPr>
          <w:spacing w:val="-28"/>
        </w:rPr>
        <w:t xml:space="preserve"> 万元，占 </w:t>
      </w:r>
      <w:r>
        <w:t>0%</w:t>
      </w:r>
      <w:r>
        <w:rPr>
          <w:spacing w:val="-11"/>
        </w:rPr>
        <w:t xml:space="preserve">；上级补助收入 </w:t>
      </w:r>
      <w:r>
        <w:t>0</w:t>
      </w:r>
      <w:r>
        <w:rPr>
          <w:spacing w:val="-28"/>
        </w:rPr>
        <w:t xml:space="preserve"> 万元，占 </w:t>
      </w:r>
      <w:r>
        <w:t>0%；事</w:t>
      </w:r>
      <w:r>
        <w:rPr>
          <w:spacing w:val="-21"/>
        </w:rPr>
        <w:t xml:space="preserve">业收入 </w:t>
      </w:r>
      <w:r>
        <w:t>0</w:t>
      </w:r>
      <w:r>
        <w:rPr>
          <w:spacing w:val="-28"/>
        </w:rPr>
        <w:t xml:space="preserve"> 万元，占 </w:t>
      </w:r>
      <w:r>
        <w:t>0</w:t>
      </w:r>
      <w:r>
        <w:rPr>
          <w:spacing w:val="-12"/>
        </w:rPr>
        <w:t xml:space="preserve">%；经营收入 </w:t>
      </w:r>
      <w:r>
        <w:t>0</w:t>
      </w:r>
      <w:r>
        <w:rPr>
          <w:spacing w:val="-28"/>
        </w:rPr>
        <w:t xml:space="preserve"> 万元，占 </w:t>
      </w:r>
      <w:r>
        <w:t>0%；附属单位</w:t>
      </w:r>
      <w:r>
        <w:rPr>
          <w:spacing w:val="-16"/>
        </w:rPr>
        <w:t xml:space="preserve">上缴收入 </w:t>
      </w:r>
      <w:r>
        <w:t>0</w:t>
      </w:r>
      <w:r>
        <w:rPr>
          <w:spacing w:val="-28"/>
        </w:rPr>
        <w:t xml:space="preserve"> 万元，占 </w:t>
      </w:r>
      <w:r>
        <w:t>0%</w:t>
      </w:r>
      <w:r>
        <w:rPr>
          <w:spacing w:val="-14"/>
        </w:rPr>
        <w:t xml:space="preserve">；其他收入 </w:t>
      </w:r>
      <w:r>
        <w:t>0</w:t>
      </w:r>
      <w:r>
        <w:rPr>
          <w:spacing w:val="-28"/>
        </w:rPr>
        <w:t xml:space="preserve"> 万元，占 </w:t>
      </w:r>
      <w:r>
        <w:t>0%。</w:t>
      </w:r>
    </w:p>
    <w:p w14:paraId="46E9B4C7">
      <w:pPr>
        <w:pStyle w:val="3"/>
        <w:spacing w:before="16"/>
        <w:ind w:left="600"/>
        <w:rPr>
          <w:rFonts w:hint="eastAsia" w:ascii="宋体" w:eastAsia="宋体"/>
        </w:rPr>
      </w:pPr>
      <w:r>
        <w:rPr>
          <w:rFonts w:hint="eastAsia" w:ascii="宋体" w:eastAsia="宋体"/>
        </w:rPr>
        <w:t>（二）部门财政资金支出情况。</w:t>
      </w:r>
    </w:p>
    <w:p w14:paraId="5335BE39">
      <w:pPr>
        <w:pStyle w:val="3"/>
        <w:spacing w:before="165"/>
        <w:ind w:left="760"/>
      </w:pPr>
      <w:r>
        <w:t>2022 年本年支出合计 1864.11 万元，其中：基本支出</w:t>
      </w:r>
    </w:p>
    <w:p w14:paraId="5A60EF08">
      <w:pPr>
        <w:pStyle w:val="3"/>
        <w:spacing w:before="167"/>
      </w:pPr>
      <w:r>
        <w:t>1092.76 万元，占 58.62%；项目支出 771.36 万元，占</w:t>
      </w:r>
    </w:p>
    <w:p w14:paraId="3FAEAC7C">
      <w:pPr>
        <w:pStyle w:val="8"/>
        <w:numPr>
          <w:ilvl w:val="1"/>
          <w:numId w:val="7"/>
        </w:numPr>
        <w:tabs>
          <w:tab w:val="left" w:pos="922"/>
        </w:tabs>
        <w:spacing w:before="166" w:after="0" w:line="240" w:lineRule="auto"/>
        <w:ind w:left="921" w:right="0" w:hanging="802"/>
        <w:jc w:val="left"/>
        <w:rPr>
          <w:sz w:val="32"/>
        </w:rPr>
      </w:pPr>
      <w:r>
        <w:rPr>
          <w:sz w:val="32"/>
        </w:rPr>
        <w:t>%。</w:t>
      </w:r>
    </w:p>
    <w:p w14:paraId="7814BCB2">
      <w:pPr>
        <w:pStyle w:val="3"/>
        <w:spacing w:before="166"/>
        <w:ind w:left="760"/>
        <w:rPr>
          <w:rFonts w:hint="eastAsia" w:ascii="黑体" w:eastAsia="黑体"/>
        </w:rPr>
      </w:pPr>
      <w:r>
        <w:rPr>
          <w:rFonts w:hint="eastAsia" w:ascii="黑体" w:eastAsia="黑体"/>
        </w:rPr>
        <w:t>三、部门整体预算绩效管理情况</w:t>
      </w:r>
    </w:p>
    <w:p w14:paraId="0CA8F378">
      <w:pPr>
        <w:pStyle w:val="3"/>
        <w:spacing w:before="165"/>
        <w:ind w:left="760"/>
        <w:rPr>
          <w:rFonts w:hint="eastAsia" w:ascii="宋体" w:eastAsia="宋体"/>
        </w:rPr>
      </w:pPr>
      <w:r>
        <w:rPr>
          <w:rFonts w:hint="eastAsia" w:ascii="宋体" w:eastAsia="宋体"/>
        </w:rPr>
        <w:t>（一）部门预算管理。</w:t>
      </w:r>
    </w:p>
    <w:p w14:paraId="5BB1333D">
      <w:pPr>
        <w:pStyle w:val="8"/>
        <w:numPr>
          <w:ilvl w:val="2"/>
          <w:numId w:val="7"/>
        </w:numPr>
        <w:tabs>
          <w:tab w:val="left" w:pos="1083"/>
        </w:tabs>
        <w:spacing w:before="166" w:after="0" w:line="336" w:lineRule="auto"/>
        <w:ind w:left="120" w:right="934" w:firstLine="640"/>
        <w:jc w:val="left"/>
        <w:rPr>
          <w:sz w:val="30"/>
        </w:rPr>
      </w:pPr>
      <w:r>
        <w:rPr>
          <w:sz w:val="32"/>
        </w:rPr>
        <w:t xml:space="preserve">我单位按照部门预算编制通知和有关要求，按时完成基础库、项目库报送工作，部门整体绩效目标编制完 </w:t>
      </w:r>
      <w:r>
        <w:rPr>
          <w:spacing w:val="-1"/>
          <w:sz w:val="32"/>
        </w:rPr>
        <w:t>整、合理，项目绩效目标编制明确、量化。收入包括：一</w:t>
      </w:r>
      <w:r>
        <w:rPr>
          <w:spacing w:val="-9"/>
          <w:sz w:val="32"/>
        </w:rPr>
        <w:t xml:space="preserve">般公共预算拨款收入 </w:t>
      </w:r>
      <w:r>
        <w:rPr>
          <w:sz w:val="32"/>
        </w:rPr>
        <w:t>1578.08</w:t>
      </w:r>
      <w:r>
        <w:rPr>
          <w:spacing w:val="-10"/>
          <w:sz w:val="32"/>
        </w:rPr>
        <w:t xml:space="preserve"> 万元；支出包括：一般公共</w:t>
      </w:r>
    </w:p>
    <w:p w14:paraId="46A33470">
      <w:pPr>
        <w:pStyle w:val="3"/>
        <w:spacing w:before="9"/>
      </w:pPr>
      <w:r>
        <w:t>预算财政拨款支出 1864.11 万元，主要用于以下方面:一般</w:t>
      </w:r>
    </w:p>
    <w:p w14:paraId="4FFA872B">
      <w:pPr>
        <w:spacing w:after="0"/>
        <w:sectPr>
          <w:pgSz w:w="11920" w:h="16860"/>
          <w:pgMar w:top="1560" w:right="1180" w:bottom="280" w:left="1680" w:header="720" w:footer="720" w:gutter="0"/>
          <w:cols w:space="720" w:num="1"/>
        </w:sectPr>
      </w:pPr>
    </w:p>
    <w:p w14:paraId="58A85E74">
      <w:pPr>
        <w:pStyle w:val="3"/>
        <w:spacing w:before="30" w:line="336" w:lineRule="auto"/>
        <w:ind w:right="695"/>
      </w:pPr>
      <w:r>
        <w:rPr>
          <w:spacing w:val="-12"/>
        </w:rPr>
        <w:t xml:space="preserve">公共服务支出 </w:t>
      </w:r>
      <w:r>
        <w:t>1697.33</w:t>
      </w:r>
      <w:r>
        <w:rPr>
          <w:spacing w:val="-28"/>
        </w:rPr>
        <w:t xml:space="preserve"> 万元，占 </w:t>
      </w:r>
      <w:r>
        <w:t>91.05%；社会保障和就业</w:t>
      </w:r>
      <w:r>
        <w:rPr>
          <w:spacing w:val="-28"/>
        </w:rPr>
        <w:t xml:space="preserve">支出 </w:t>
      </w:r>
      <w:r>
        <w:t>90.15</w:t>
      </w:r>
      <w:r>
        <w:rPr>
          <w:spacing w:val="-29"/>
        </w:rPr>
        <w:t xml:space="preserve"> 万元，占 </w:t>
      </w:r>
      <w:r>
        <w:t>4.84%</w:t>
      </w:r>
      <w:r>
        <w:rPr>
          <w:spacing w:val="-11"/>
        </w:rPr>
        <w:t xml:space="preserve">；卫生健康支出 </w:t>
      </w:r>
      <w:r>
        <w:t>32.16</w:t>
      </w:r>
      <w:r>
        <w:rPr>
          <w:spacing w:val="-17"/>
        </w:rPr>
        <w:t xml:space="preserve"> 万元，占1.73</w:t>
      </w:r>
      <w:r>
        <w:rPr>
          <w:spacing w:val="-25"/>
        </w:rPr>
        <w:t xml:space="preserve">%；住房保障支出 </w:t>
      </w:r>
      <w:r>
        <w:t>44.17</w:t>
      </w:r>
      <w:r>
        <w:rPr>
          <w:spacing w:val="-28"/>
        </w:rPr>
        <w:t xml:space="preserve"> 万元，占 </w:t>
      </w:r>
      <w:r>
        <w:t>2.37%，教育支出</w:t>
      </w:r>
    </w:p>
    <w:p w14:paraId="4F48CC3A">
      <w:pPr>
        <w:pStyle w:val="3"/>
        <w:spacing w:before="7"/>
      </w:pPr>
      <w:r>
        <w:t>0.3 万元，占 0.02%。</w:t>
      </w:r>
    </w:p>
    <w:p w14:paraId="6C74B3B5">
      <w:pPr>
        <w:pStyle w:val="8"/>
        <w:numPr>
          <w:ilvl w:val="2"/>
          <w:numId w:val="7"/>
        </w:numPr>
        <w:tabs>
          <w:tab w:val="left" w:pos="1083"/>
        </w:tabs>
        <w:spacing w:before="165" w:after="0" w:line="240" w:lineRule="auto"/>
        <w:ind w:left="1082" w:right="0" w:hanging="323"/>
        <w:jc w:val="left"/>
        <w:rPr>
          <w:rFonts w:hint="eastAsia" w:ascii="宋体" w:eastAsia="宋体"/>
          <w:sz w:val="30"/>
        </w:rPr>
      </w:pPr>
      <w:r>
        <w:rPr>
          <w:rFonts w:hint="eastAsia" w:ascii="宋体" w:eastAsia="宋体"/>
          <w:sz w:val="32"/>
        </w:rPr>
        <w:t>三公经费使用情况。</w:t>
      </w:r>
    </w:p>
    <w:p w14:paraId="32068885">
      <w:pPr>
        <w:pStyle w:val="3"/>
        <w:spacing w:before="166" w:line="336" w:lineRule="auto"/>
        <w:ind w:right="934" w:firstLine="640"/>
        <w:rPr>
          <w:rFonts w:hint="eastAsia" w:ascii="宋体" w:hAnsi="宋体" w:eastAsia="宋体"/>
        </w:rPr>
      </w:pPr>
      <w:r>
        <w:rPr>
          <w:rFonts w:hint="eastAsia" w:ascii="宋体" w:hAnsi="宋体" w:eastAsia="宋体"/>
          <w:spacing w:val="-1"/>
        </w:rPr>
        <w:t>我单位按要求严格预算执行管理，严格执行“三公经</w:t>
      </w:r>
      <w:r>
        <w:rPr>
          <w:rFonts w:hint="eastAsia" w:ascii="宋体" w:hAnsi="宋体" w:eastAsia="宋体"/>
        </w:rPr>
        <w:t>费”预算和调整预算，未出现超预算支出现象。2022</w:t>
      </w:r>
      <w:r>
        <w:rPr>
          <w:rFonts w:hint="eastAsia" w:ascii="宋体" w:hAnsi="宋体" w:eastAsia="宋体"/>
          <w:spacing w:val="-42"/>
        </w:rPr>
        <w:t xml:space="preserve"> 年</w:t>
      </w:r>
      <w:r>
        <w:rPr>
          <w:rFonts w:hint="eastAsia" w:ascii="宋体" w:hAnsi="宋体" w:eastAsia="宋体"/>
          <w:spacing w:val="-47"/>
        </w:rPr>
        <w:t xml:space="preserve">“三公”经费支出为 </w:t>
      </w:r>
      <w:r>
        <w:rPr>
          <w:rFonts w:hint="eastAsia" w:ascii="宋体" w:hAnsi="宋体" w:eastAsia="宋体"/>
        </w:rPr>
        <w:t>14.92</w:t>
      </w:r>
      <w:r>
        <w:rPr>
          <w:rFonts w:hint="eastAsia" w:ascii="宋体" w:hAnsi="宋体" w:eastAsia="宋体"/>
          <w:spacing w:val="-10"/>
        </w:rPr>
        <w:t xml:space="preserve"> 万元，其中因公出国</w:t>
      </w:r>
      <w:r>
        <w:rPr>
          <w:rFonts w:hint="eastAsia" w:ascii="宋体" w:hAnsi="宋体" w:eastAsia="宋体"/>
        </w:rPr>
        <w:t>（境）费</w:t>
      </w:r>
    </w:p>
    <w:p w14:paraId="623133E4">
      <w:pPr>
        <w:pStyle w:val="3"/>
        <w:spacing w:before="11"/>
        <w:rPr>
          <w:rFonts w:hint="eastAsia" w:ascii="宋体" w:eastAsia="宋体"/>
        </w:rPr>
      </w:pPr>
      <w:r>
        <w:rPr>
          <w:rFonts w:hint="eastAsia" w:ascii="宋体" w:eastAsia="宋体"/>
        </w:rPr>
        <w:t>支出决算</w:t>
      </w:r>
      <w:r>
        <w:rPr>
          <w:rFonts w:hint="eastAsia" w:ascii="宋体" w:eastAsia="宋体"/>
          <w:spacing w:val="-81"/>
        </w:rPr>
        <w:t xml:space="preserve"> </w:t>
      </w:r>
      <w:r>
        <w:rPr>
          <w:rFonts w:hint="eastAsia" w:ascii="宋体" w:eastAsia="宋体"/>
        </w:rPr>
        <w:t>0</w:t>
      </w:r>
      <w:r>
        <w:rPr>
          <w:rFonts w:hint="eastAsia" w:ascii="宋体" w:eastAsia="宋体"/>
          <w:spacing w:val="-82"/>
        </w:rPr>
        <w:t xml:space="preserve"> </w:t>
      </w:r>
      <w:r>
        <w:rPr>
          <w:rFonts w:hint="eastAsia" w:ascii="宋体" w:eastAsia="宋体"/>
        </w:rPr>
        <w:t>万元，占</w:t>
      </w:r>
      <w:r>
        <w:rPr>
          <w:rFonts w:hint="eastAsia" w:ascii="宋体" w:eastAsia="宋体"/>
          <w:spacing w:val="-82"/>
        </w:rPr>
        <w:t xml:space="preserve"> </w:t>
      </w:r>
      <w:r>
        <w:rPr>
          <w:rFonts w:hint="eastAsia" w:ascii="宋体" w:eastAsia="宋体"/>
          <w:spacing w:val="11"/>
        </w:rPr>
        <w:t>0</w:t>
      </w:r>
      <w:r>
        <w:rPr>
          <w:rFonts w:hint="eastAsia" w:ascii="宋体" w:eastAsia="宋体"/>
          <w:spacing w:val="11"/>
          <w:w w:val="99"/>
        </w:rPr>
        <w:drawing>
          <wp:inline distT="0" distB="0" distL="0" distR="0">
            <wp:extent cx="85090" cy="15494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rFonts w:hint="eastAsia" w:ascii="宋体" w:eastAsia="宋体"/>
        </w:rPr>
        <w:t>；公务用车购置及运行维护费支出</w:t>
      </w:r>
    </w:p>
    <w:p w14:paraId="735E08E4">
      <w:pPr>
        <w:pStyle w:val="3"/>
        <w:spacing w:before="156"/>
        <w:rPr>
          <w:rFonts w:hint="eastAsia" w:ascii="宋体" w:eastAsia="宋体"/>
        </w:rPr>
      </w:pPr>
      <w:r>
        <w:rPr>
          <w:rFonts w:hint="eastAsia" w:ascii="宋体" w:eastAsia="宋体"/>
          <w:position w:val="1"/>
        </w:rPr>
        <w:t>决算</w:t>
      </w:r>
      <w:r>
        <w:rPr>
          <w:rFonts w:hint="eastAsia" w:ascii="宋体" w:eastAsia="宋体"/>
          <w:spacing w:val="-82"/>
          <w:position w:val="1"/>
        </w:rPr>
        <w:t xml:space="preserve"> </w:t>
      </w:r>
      <w:r>
        <w:rPr>
          <w:rFonts w:hint="eastAsia" w:ascii="宋体" w:eastAsia="宋体"/>
          <w:position w:val="1"/>
        </w:rPr>
        <w:t>14.77</w:t>
      </w:r>
      <w:r>
        <w:rPr>
          <w:rFonts w:hint="eastAsia" w:ascii="宋体" w:eastAsia="宋体"/>
          <w:spacing w:val="-82"/>
          <w:position w:val="1"/>
        </w:rPr>
        <w:t xml:space="preserve"> </w:t>
      </w:r>
      <w:r>
        <w:rPr>
          <w:rFonts w:hint="eastAsia" w:ascii="宋体" w:eastAsia="宋体"/>
          <w:position w:val="1"/>
        </w:rPr>
        <w:t>万元，占</w:t>
      </w:r>
      <w:r>
        <w:rPr>
          <w:rFonts w:hint="eastAsia" w:ascii="宋体" w:eastAsia="宋体"/>
          <w:spacing w:val="-82"/>
          <w:position w:val="1"/>
        </w:rPr>
        <w:t xml:space="preserve"> </w:t>
      </w:r>
      <w:r>
        <w:rPr>
          <w:rFonts w:hint="eastAsia" w:ascii="宋体" w:eastAsia="宋体"/>
          <w:spacing w:val="2"/>
          <w:position w:val="1"/>
        </w:rPr>
        <w:t>98.99</w:t>
      </w:r>
      <w:r>
        <w:rPr>
          <w:rFonts w:hint="eastAsia" w:ascii="宋体" w:eastAsia="宋体"/>
          <w:spacing w:val="11"/>
          <w:w w:val="99"/>
        </w:rPr>
        <w:drawing>
          <wp:inline distT="0" distB="0" distL="0" distR="0">
            <wp:extent cx="85090" cy="15494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rFonts w:hint="eastAsia" w:ascii="宋体" w:eastAsia="宋体"/>
          <w:position w:val="1"/>
        </w:rPr>
        <w:t>；公务接待费支出决算</w:t>
      </w:r>
      <w:r>
        <w:rPr>
          <w:rFonts w:hint="eastAsia" w:ascii="宋体" w:eastAsia="宋体"/>
          <w:spacing w:val="-80"/>
          <w:position w:val="1"/>
        </w:rPr>
        <w:t xml:space="preserve"> </w:t>
      </w:r>
      <w:r>
        <w:rPr>
          <w:rFonts w:hint="eastAsia" w:ascii="宋体" w:eastAsia="宋体"/>
          <w:position w:val="1"/>
        </w:rPr>
        <w:t>0.15</w:t>
      </w:r>
      <w:r>
        <w:rPr>
          <w:rFonts w:hint="eastAsia" w:ascii="宋体" w:eastAsia="宋体"/>
          <w:spacing w:val="-81"/>
          <w:position w:val="1"/>
        </w:rPr>
        <w:t xml:space="preserve"> </w:t>
      </w:r>
      <w:r>
        <w:rPr>
          <w:rFonts w:hint="eastAsia" w:ascii="宋体" w:eastAsia="宋体"/>
          <w:position w:val="1"/>
        </w:rPr>
        <w:t>万</w:t>
      </w:r>
    </w:p>
    <w:p w14:paraId="72126B55">
      <w:pPr>
        <w:pStyle w:val="3"/>
        <w:spacing w:before="176"/>
        <w:rPr>
          <w:rFonts w:hint="eastAsia" w:ascii="宋体" w:eastAsia="宋体"/>
        </w:rPr>
      </w:pPr>
      <w:r>
        <w:rPr>
          <w:rFonts w:hint="eastAsia" w:ascii="宋体" w:eastAsia="宋体"/>
        </w:rPr>
        <w:t>元，占</w:t>
      </w:r>
      <w:r>
        <w:rPr>
          <w:rFonts w:hint="eastAsia" w:ascii="宋体" w:eastAsia="宋体"/>
          <w:spacing w:val="-81"/>
        </w:rPr>
        <w:t xml:space="preserve"> </w:t>
      </w:r>
      <w:r>
        <w:rPr>
          <w:rFonts w:hint="eastAsia" w:ascii="宋体" w:eastAsia="宋体"/>
          <w:spacing w:val="2"/>
        </w:rPr>
        <w:t>1.01</w:t>
      </w:r>
      <w:r>
        <w:rPr>
          <w:rFonts w:hint="eastAsia" w:ascii="宋体" w:eastAsia="宋体"/>
          <w:spacing w:val="11"/>
          <w:w w:val="99"/>
        </w:rPr>
        <w:drawing>
          <wp:inline distT="0" distB="0" distL="0" distR="0">
            <wp:extent cx="85090" cy="154940"/>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rFonts w:hint="eastAsia" w:ascii="宋体" w:eastAsia="宋体"/>
        </w:rPr>
        <w:t>。</w:t>
      </w:r>
    </w:p>
    <w:p w14:paraId="45D20C80">
      <w:pPr>
        <w:pStyle w:val="3"/>
        <w:spacing w:before="161"/>
        <w:ind w:left="748"/>
        <w:rPr>
          <w:rFonts w:hint="eastAsia" w:ascii="楷体" w:eastAsia="楷体"/>
        </w:rPr>
      </w:pPr>
      <w:r>
        <w:rPr>
          <w:rFonts w:hint="eastAsia" w:ascii="宋体" w:eastAsia="宋体"/>
        </w:rPr>
        <w:t>（二）</w:t>
      </w:r>
      <w:r>
        <w:rPr>
          <w:rFonts w:hint="eastAsia" w:ascii="楷体" w:eastAsia="楷体"/>
        </w:rPr>
        <w:t>执行管理情况。</w:t>
      </w:r>
    </w:p>
    <w:p w14:paraId="07771A00">
      <w:pPr>
        <w:pStyle w:val="3"/>
        <w:spacing w:before="167" w:line="336" w:lineRule="auto"/>
        <w:ind w:right="934" w:firstLine="640"/>
      </w:pPr>
      <w:r>
        <w:t>我单位按要求严格预算执行管理，严格执行“三公经费”预算和调整预算，未出现超预算支出现象。</w:t>
      </w:r>
    </w:p>
    <w:p w14:paraId="31895696">
      <w:pPr>
        <w:pStyle w:val="3"/>
        <w:spacing w:before="3" w:line="336" w:lineRule="auto"/>
        <w:ind w:left="760" w:right="5093"/>
      </w:pPr>
      <w:r>
        <w:t>（三）综合管理情况。1.政府性债务管理</w:t>
      </w:r>
    </w:p>
    <w:p w14:paraId="08113C4B">
      <w:pPr>
        <w:pStyle w:val="3"/>
        <w:spacing w:before="4" w:line="336" w:lineRule="auto"/>
        <w:ind w:right="934" w:firstLine="640"/>
      </w:pPr>
      <w:r>
        <w:t>单位严格按执行上级政府关于政府性债务管理的相关规定，严格执行预算法，没有向社会举借债务的情况。</w:t>
      </w:r>
    </w:p>
    <w:p w14:paraId="7FF113F6">
      <w:pPr>
        <w:pStyle w:val="8"/>
        <w:numPr>
          <w:ilvl w:val="0"/>
          <w:numId w:val="8"/>
        </w:numPr>
        <w:tabs>
          <w:tab w:val="left" w:pos="1083"/>
        </w:tabs>
        <w:spacing w:before="5" w:after="0" w:line="240" w:lineRule="auto"/>
        <w:ind w:left="1082" w:right="0" w:hanging="323"/>
        <w:jc w:val="left"/>
        <w:rPr>
          <w:sz w:val="32"/>
        </w:rPr>
      </w:pPr>
      <w:r>
        <w:rPr>
          <w:sz w:val="32"/>
        </w:rPr>
        <w:t>非税收入执收</w:t>
      </w:r>
    </w:p>
    <w:p w14:paraId="009E3BFD">
      <w:pPr>
        <w:pStyle w:val="3"/>
        <w:spacing w:before="166" w:line="336" w:lineRule="auto"/>
        <w:ind w:right="1253" w:firstLine="640"/>
      </w:pPr>
      <w:r>
        <w:t>单位按照规定的项目、标准、征收方式执收非税收入，及时上缴本级财政。</w:t>
      </w:r>
    </w:p>
    <w:p w14:paraId="57FDBB1D">
      <w:pPr>
        <w:pStyle w:val="8"/>
        <w:numPr>
          <w:ilvl w:val="0"/>
          <w:numId w:val="8"/>
        </w:numPr>
        <w:tabs>
          <w:tab w:val="left" w:pos="1083"/>
        </w:tabs>
        <w:spacing w:before="3" w:after="0" w:line="240" w:lineRule="auto"/>
        <w:ind w:left="1082" w:right="0" w:hanging="323"/>
        <w:jc w:val="left"/>
        <w:rPr>
          <w:sz w:val="32"/>
        </w:rPr>
      </w:pPr>
      <w:r>
        <w:rPr>
          <w:sz w:val="32"/>
        </w:rPr>
        <w:t>政策采购实施计划</w:t>
      </w:r>
    </w:p>
    <w:p w14:paraId="107AB2F3">
      <w:pPr>
        <w:spacing w:after="0" w:line="240" w:lineRule="auto"/>
        <w:jc w:val="left"/>
        <w:rPr>
          <w:sz w:val="32"/>
        </w:rPr>
        <w:sectPr>
          <w:pgSz w:w="11920" w:h="16860"/>
          <w:pgMar w:top="1540" w:right="1180" w:bottom="280" w:left="1680" w:header="720" w:footer="720" w:gutter="0"/>
          <w:cols w:space="720" w:num="1"/>
        </w:sectPr>
      </w:pPr>
    </w:p>
    <w:p w14:paraId="6E34E8B3">
      <w:pPr>
        <w:pStyle w:val="3"/>
        <w:spacing w:before="30" w:line="336" w:lineRule="auto"/>
        <w:ind w:right="934" w:firstLine="640"/>
        <w:jc w:val="both"/>
      </w:pPr>
      <w:r>
        <w:t>单位严格执行政府采购相关法律法规，所实施计划与政府采购预算一致，执行的实施计划与备案的实施计划一致性。</w:t>
      </w:r>
    </w:p>
    <w:p w14:paraId="171554A6">
      <w:pPr>
        <w:pStyle w:val="8"/>
        <w:numPr>
          <w:ilvl w:val="0"/>
          <w:numId w:val="8"/>
        </w:numPr>
        <w:tabs>
          <w:tab w:val="left" w:pos="1083"/>
        </w:tabs>
        <w:spacing w:before="7" w:after="0" w:line="240" w:lineRule="auto"/>
        <w:ind w:left="1082" w:right="0" w:hanging="323"/>
        <w:jc w:val="left"/>
        <w:rPr>
          <w:sz w:val="32"/>
        </w:rPr>
      </w:pPr>
      <w:r>
        <w:rPr>
          <w:sz w:val="32"/>
        </w:rPr>
        <w:t>资产管理</w:t>
      </w:r>
    </w:p>
    <w:p w14:paraId="1CF4D3CA">
      <w:pPr>
        <w:pStyle w:val="3"/>
        <w:spacing w:before="165" w:line="336" w:lineRule="auto"/>
        <w:ind w:right="934" w:firstLine="640"/>
        <w:jc w:val="both"/>
      </w:pPr>
      <w:r>
        <w:t>单位建立了资产信息系统管理系统，落实人员负责管理系统，将国有资产纳入资产信息系统进行管理，将资产变动情况及时录入系统；落实专人负责资产报表，单位上报国有资产报表数据真实、准确、全面，对资产变动情况进行了分析说明。按要求及时、准确、全面开展资产清查工作，及时按批复的清查结果进行账务调整，及时更新资产管理信息系统，做到账账，账实，账表，账与系统数据一致。</w:t>
      </w:r>
    </w:p>
    <w:p w14:paraId="6360A0B0">
      <w:pPr>
        <w:pStyle w:val="8"/>
        <w:numPr>
          <w:ilvl w:val="0"/>
          <w:numId w:val="8"/>
        </w:numPr>
        <w:tabs>
          <w:tab w:val="left" w:pos="1083"/>
        </w:tabs>
        <w:spacing w:before="17" w:after="0" w:line="240" w:lineRule="auto"/>
        <w:ind w:left="1082" w:right="0" w:hanging="323"/>
        <w:jc w:val="left"/>
        <w:rPr>
          <w:sz w:val="32"/>
        </w:rPr>
      </w:pPr>
      <w:r>
        <w:rPr>
          <w:sz w:val="32"/>
        </w:rPr>
        <w:t>信息公开</w:t>
      </w:r>
    </w:p>
    <w:p w14:paraId="582AE3F9">
      <w:pPr>
        <w:pStyle w:val="3"/>
        <w:spacing w:before="166" w:line="336" w:lineRule="auto"/>
        <w:ind w:right="934" w:firstLine="640"/>
        <w:jc w:val="both"/>
      </w:pPr>
      <w:r>
        <w:t>单位在财政部门批复后二十日内向社会公开本部门预算和决算工作（含所有财政资金安排的“三公”经费、机关运行经费的安排、使用情况等）。对应当公开的其他信息进行了及时公开。</w:t>
      </w:r>
    </w:p>
    <w:p w14:paraId="72B83067">
      <w:pPr>
        <w:pStyle w:val="8"/>
        <w:numPr>
          <w:ilvl w:val="0"/>
          <w:numId w:val="8"/>
        </w:numPr>
        <w:tabs>
          <w:tab w:val="left" w:pos="1083"/>
        </w:tabs>
        <w:spacing w:before="8" w:after="0" w:line="240" w:lineRule="auto"/>
        <w:ind w:left="1082" w:right="0" w:hanging="323"/>
        <w:jc w:val="left"/>
        <w:rPr>
          <w:sz w:val="32"/>
        </w:rPr>
      </w:pPr>
      <w:r>
        <w:rPr>
          <w:sz w:val="32"/>
        </w:rPr>
        <w:t>绩效评价及依法接受财政监督情况等。</w:t>
      </w:r>
    </w:p>
    <w:p w14:paraId="288477A5">
      <w:pPr>
        <w:pStyle w:val="3"/>
        <w:spacing w:before="166" w:line="336" w:lineRule="auto"/>
        <w:ind w:right="934" w:firstLine="640"/>
      </w:pPr>
      <w:r>
        <w:t xml:space="preserve">单位按要求向财政部门报告自评报告等相关绩效信 </w:t>
      </w:r>
      <w:r>
        <w:rPr>
          <w:spacing w:val="-1"/>
        </w:rPr>
        <w:t>息，按要求针对绩效评价发现问题制定整改措施，并整改落实到位。做到用钱必问效，无效必问责，主动接受财政</w:t>
      </w:r>
      <w:r>
        <w:t>和社会的监督。</w:t>
      </w:r>
    </w:p>
    <w:p w14:paraId="22C7D161">
      <w:pPr>
        <w:pStyle w:val="3"/>
        <w:spacing w:before="7"/>
        <w:ind w:left="760"/>
        <w:rPr>
          <w:rFonts w:hint="eastAsia" w:ascii="宋体" w:eastAsia="宋体"/>
        </w:rPr>
      </w:pPr>
      <w:r>
        <w:rPr>
          <w:rFonts w:hint="eastAsia" w:ascii="宋体" w:eastAsia="宋体"/>
        </w:rPr>
        <w:t>（四）整体绩效。</w:t>
      </w:r>
    </w:p>
    <w:p w14:paraId="43023F9E">
      <w:pPr>
        <w:spacing w:after="0"/>
        <w:rPr>
          <w:rFonts w:hint="eastAsia" w:ascii="宋体" w:eastAsia="宋体"/>
        </w:rPr>
        <w:sectPr>
          <w:pgSz w:w="11920" w:h="16860"/>
          <w:pgMar w:top="1540" w:right="1180" w:bottom="280" w:left="1680" w:header="720" w:footer="720" w:gutter="0"/>
          <w:cols w:space="720" w:num="1"/>
        </w:sectPr>
      </w:pPr>
    </w:p>
    <w:p w14:paraId="5CC3F4B3">
      <w:pPr>
        <w:pStyle w:val="3"/>
        <w:spacing w:before="26" w:line="350" w:lineRule="auto"/>
        <w:ind w:right="843" w:firstLine="732"/>
        <w:jc w:val="both"/>
      </w:pPr>
      <w:r>
        <w:t>县委组织部各项资金的主要用途是确保单位的正常运转，促进各项工作任务顺利完成。在人员经费支出、公共支出严格执行县委县政府的各项制度；在经费的使用上， 在保证各项任务顺利完成的同时，严格落实厉行节约的原则。</w:t>
      </w:r>
    </w:p>
    <w:p w14:paraId="6400BB1D">
      <w:pPr>
        <w:pStyle w:val="3"/>
        <w:spacing w:before="71" w:line="336" w:lineRule="auto"/>
        <w:ind w:right="619" w:firstLine="640"/>
        <w:jc w:val="both"/>
      </w:pPr>
      <w:r>
        <w:rPr>
          <w:spacing w:val="10"/>
          <w:w w:val="95"/>
        </w:rPr>
        <w:t xml:space="preserve">一、聚焦“一条主线”，全领域强化政治引领。以迎 </w:t>
      </w:r>
      <w:r>
        <w:rPr>
          <w:spacing w:val="11"/>
          <w:w w:val="95"/>
        </w:rPr>
        <w:t xml:space="preserve">接和学习宣传贯彻党的二十大为主线，全面加强党的政治 </w:t>
      </w:r>
      <w:r>
        <w:rPr>
          <w:spacing w:val="11"/>
        </w:rPr>
        <w:t>建设，不断提升党员干部政治觉悟和政治能力。</w:t>
      </w:r>
    </w:p>
    <w:p w14:paraId="624FF09F">
      <w:pPr>
        <w:pStyle w:val="3"/>
        <w:spacing w:before="7" w:line="336" w:lineRule="auto"/>
        <w:ind w:right="619" w:firstLine="640"/>
      </w:pPr>
      <w:r>
        <w:t>二、深化“ 选优配强” 行动、深化“ 铸魂提能” 行动、深化“关爱激励”行动，全链条推进干部培养。</w:t>
      </w:r>
    </w:p>
    <w:p w14:paraId="06E70BB7">
      <w:pPr>
        <w:pStyle w:val="3"/>
        <w:spacing w:before="4" w:line="336" w:lineRule="auto"/>
        <w:ind w:right="619" w:firstLine="640"/>
        <w:jc w:val="both"/>
      </w:pPr>
      <w:r>
        <w:rPr>
          <w:spacing w:val="13"/>
          <w:w w:val="95"/>
        </w:rPr>
        <w:t xml:space="preserve">三、突出有效覆盖强基础，扎实开展新一轮“乡村分 </w:t>
      </w:r>
      <w:r>
        <w:rPr>
          <w:spacing w:val="11"/>
          <w:w w:val="95"/>
        </w:rPr>
        <w:t xml:space="preserve">类转化提升行动”；突出有效衔接促振兴，严格落实“四 </w:t>
      </w:r>
      <w:r>
        <w:rPr>
          <w:spacing w:val="-5"/>
        </w:rPr>
        <w:t xml:space="preserve">个不摘”要求，向 </w:t>
      </w:r>
      <w:r>
        <w:t>44</w:t>
      </w:r>
      <w:r>
        <w:rPr>
          <w:spacing w:val="-4"/>
        </w:rPr>
        <w:t xml:space="preserve"> 个重点村全覆盖选派驻村工作队，全</w:t>
      </w:r>
    </w:p>
    <w:p w14:paraId="5662FED4">
      <w:pPr>
        <w:pStyle w:val="3"/>
        <w:spacing w:before="6" w:line="336" w:lineRule="auto"/>
        <w:ind w:right="619"/>
        <w:jc w:val="both"/>
      </w:pPr>
      <w:r>
        <w:t>覆盖培训 140 名驻村工作队员，大力实施集体经济“消薄计划”； 突出有效引领抓治理。主动融入全州基层党建</w:t>
      </w:r>
      <w:r>
        <w:rPr>
          <w:w w:val="95"/>
        </w:rPr>
        <w:t>“一廊五带五体系”总体布局，大力推进省州县基层治理</w:t>
      </w:r>
      <w:r>
        <w:t>“4+2+12”三级试点示范建设。</w:t>
      </w:r>
    </w:p>
    <w:p w14:paraId="254D01FC">
      <w:pPr>
        <w:pStyle w:val="3"/>
        <w:spacing w:before="7" w:line="336" w:lineRule="auto"/>
        <w:ind w:right="617" w:firstLine="640"/>
        <w:jc w:val="both"/>
      </w:pPr>
      <w:r>
        <w:rPr>
          <w:spacing w:val="13"/>
          <w:w w:val="95"/>
        </w:rPr>
        <w:t xml:space="preserve">四、健全人才工作机制、强化平台项目建设、深化人 </w:t>
      </w:r>
      <w:r>
        <w:rPr>
          <w:spacing w:val="11"/>
          <w:w w:val="95"/>
        </w:rPr>
        <w:t xml:space="preserve">才交流合作，持续深化人才发展体制机制改革，全方位构 建人才支撑，提高人才对县域高质量发展的牵引力和支撑 </w:t>
      </w:r>
      <w:r>
        <w:rPr>
          <w:spacing w:val="11"/>
        </w:rPr>
        <w:t>力。</w:t>
      </w:r>
    </w:p>
    <w:p w14:paraId="7A0C0983">
      <w:pPr>
        <w:pStyle w:val="3"/>
        <w:spacing w:before="8"/>
        <w:ind w:left="760"/>
        <w:rPr>
          <w:rFonts w:hint="eastAsia" w:ascii="黑体" w:eastAsia="黑体"/>
        </w:rPr>
      </w:pPr>
      <w:r>
        <w:rPr>
          <w:rFonts w:hint="eastAsia" w:ascii="黑体" w:eastAsia="黑体"/>
        </w:rPr>
        <w:t>四、评价结论及建议</w:t>
      </w:r>
    </w:p>
    <w:p w14:paraId="3CFEC268">
      <w:pPr>
        <w:pStyle w:val="3"/>
        <w:spacing w:before="166"/>
        <w:ind w:left="760"/>
        <w:rPr>
          <w:rFonts w:hint="eastAsia" w:ascii="宋体" w:eastAsia="宋体"/>
        </w:rPr>
      </w:pPr>
      <w:r>
        <w:rPr>
          <w:rFonts w:hint="eastAsia" w:ascii="宋体" w:eastAsia="宋体"/>
        </w:rPr>
        <w:t>（一）评价结论。</w:t>
      </w:r>
    </w:p>
    <w:p w14:paraId="3C0EA3E2">
      <w:pPr>
        <w:spacing w:after="0"/>
        <w:rPr>
          <w:rFonts w:hint="eastAsia" w:ascii="宋体" w:eastAsia="宋体"/>
        </w:rPr>
        <w:sectPr>
          <w:pgSz w:w="11920" w:h="16860"/>
          <w:pgMar w:top="1480" w:right="1180" w:bottom="280" w:left="1680" w:header="720" w:footer="720" w:gutter="0"/>
          <w:cols w:space="720" w:num="1"/>
        </w:sectPr>
      </w:pPr>
    </w:p>
    <w:p w14:paraId="6EFC0A68">
      <w:pPr>
        <w:pStyle w:val="3"/>
        <w:spacing w:before="30" w:line="336" w:lineRule="auto"/>
        <w:ind w:right="1092" w:firstLine="640"/>
        <w:jc w:val="both"/>
      </w:pPr>
      <w:r>
        <w:rPr>
          <w:spacing w:val="-10"/>
        </w:rPr>
        <w:t xml:space="preserve">经过认真开展单位 </w:t>
      </w:r>
      <w:r>
        <w:t>2022</w:t>
      </w:r>
      <w:r>
        <w:rPr>
          <w:spacing w:val="-10"/>
        </w:rPr>
        <w:t xml:space="preserve"> 年部门整体支出绩效评价工作，绩效自评综合为优秀。</w:t>
      </w:r>
    </w:p>
    <w:p w14:paraId="3EA64707">
      <w:pPr>
        <w:pStyle w:val="3"/>
        <w:spacing w:before="5"/>
        <w:ind w:left="760"/>
        <w:rPr>
          <w:rFonts w:hint="eastAsia" w:ascii="宋体" w:eastAsia="宋体"/>
        </w:rPr>
      </w:pPr>
      <w:r>
        <w:rPr>
          <w:rFonts w:hint="eastAsia" w:ascii="宋体" w:eastAsia="宋体"/>
        </w:rPr>
        <w:t>（二）存在问题。</w:t>
      </w:r>
    </w:p>
    <w:p w14:paraId="73F62822">
      <w:pPr>
        <w:pStyle w:val="3"/>
        <w:spacing w:before="166"/>
        <w:ind w:left="760"/>
      </w:pPr>
      <w:r>
        <w:t>制度执行力有待加强</w:t>
      </w:r>
    </w:p>
    <w:p w14:paraId="1E9499F9">
      <w:pPr>
        <w:pStyle w:val="3"/>
        <w:spacing w:before="165"/>
        <w:ind w:left="760"/>
        <w:rPr>
          <w:rFonts w:hint="eastAsia" w:ascii="宋体" w:eastAsia="宋体"/>
        </w:rPr>
      </w:pPr>
      <w:r>
        <w:rPr>
          <w:rFonts w:hint="eastAsia" w:ascii="宋体" w:eastAsia="宋体"/>
        </w:rPr>
        <w:t>（三）改进建议。</w:t>
      </w:r>
    </w:p>
    <w:p w14:paraId="3F7EEFC2">
      <w:pPr>
        <w:pStyle w:val="8"/>
        <w:numPr>
          <w:ilvl w:val="0"/>
          <w:numId w:val="9"/>
        </w:numPr>
        <w:tabs>
          <w:tab w:val="left" w:pos="1083"/>
        </w:tabs>
        <w:spacing w:before="166" w:after="0" w:line="336" w:lineRule="auto"/>
        <w:ind w:left="120" w:right="934" w:firstLine="640"/>
        <w:jc w:val="both"/>
        <w:rPr>
          <w:rFonts w:hint="eastAsia" w:ascii="宋体" w:eastAsia="宋体"/>
          <w:sz w:val="32"/>
        </w:rPr>
      </w:pPr>
      <w:r>
        <w:rPr>
          <w:rFonts w:hint="eastAsia" w:ascii="宋体" w:eastAsia="宋体"/>
          <w:sz w:val="32"/>
        </w:rPr>
        <w:t>加强单位预算编制工作，根据人员情况、业务开展</w:t>
      </w:r>
      <w:r>
        <w:rPr>
          <w:rFonts w:hint="eastAsia" w:ascii="宋体" w:eastAsia="宋体"/>
          <w:spacing w:val="-1"/>
          <w:sz w:val="32"/>
        </w:rPr>
        <w:t>需要，逐项做出预算计划，预算合理、不留缺口、不留空</w:t>
      </w:r>
      <w:r>
        <w:rPr>
          <w:rFonts w:hint="eastAsia" w:ascii="宋体" w:eastAsia="宋体"/>
          <w:sz w:val="32"/>
        </w:rPr>
        <w:t>项。</w:t>
      </w:r>
    </w:p>
    <w:p w14:paraId="1978FC4D">
      <w:pPr>
        <w:pStyle w:val="8"/>
        <w:numPr>
          <w:ilvl w:val="0"/>
          <w:numId w:val="9"/>
        </w:numPr>
        <w:tabs>
          <w:tab w:val="left" w:pos="1083"/>
        </w:tabs>
        <w:spacing w:before="7" w:after="0" w:line="336" w:lineRule="auto"/>
        <w:ind w:left="120" w:right="934" w:firstLine="640"/>
        <w:jc w:val="both"/>
        <w:rPr>
          <w:rFonts w:hint="eastAsia" w:ascii="宋体" w:eastAsia="宋体"/>
          <w:sz w:val="32"/>
        </w:rPr>
      </w:pPr>
      <w:r>
        <w:rPr>
          <w:rFonts w:hint="eastAsia" w:ascii="宋体" w:eastAsia="宋体"/>
          <w:sz w:val="32"/>
        </w:rPr>
        <w:t>加强业务培训，提高评价水平。部门整体绩效评价</w:t>
      </w:r>
      <w:r>
        <w:rPr>
          <w:rFonts w:hint="eastAsia" w:ascii="宋体" w:eastAsia="宋体"/>
          <w:spacing w:val="-1"/>
          <w:sz w:val="32"/>
        </w:rPr>
        <w:t>工作是一项长期性的工作，专业性强，工作量大，建议财政部门进一步加强开展部门领导及经办人员相关的政策、业务工作培训和指导，优化相关指标，切实推进绩效评价</w:t>
      </w:r>
      <w:r>
        <w:rPr>
          <w:rFonts w:hint="eastAsia" w:ascii="宋体" w:eastAsia="宋体"/>
          <w:sz w:val="32"/>
        </w:rPr>
        <w:t>工作的开展。</w:t>
      </w:r>
    </w:p>
    <w:p w14:paraId="6D465E99">
      <w:pPr>
        <w:spacing w:after="0" w:line="336" w:lineRule="auto"/>
        <w:jc w:val="both"/>
        <w:rPr>
          <w:rFonts w:hint="eastAsia" w:ascii="宋体" w:eastAsia="宋体"/>
          <w:sz w:val="32"/>
        </w:rPr>
        <w:sectPr>
          <w:pgSz w:w="11920" w:h="16860"/>
          <w:pgMar w:top="1540" w:right="1180" w:bottom="280" w:left="1680" w:header="720" w:footer="720" w:gutter="0"/>
          <w:cols w:space="720" w:num="1"/>
        </w:sectPr>
      </w:pPr>
    </w:p>
    <w:p w14:paraId="57F907B0">
      <w:pPr>
        <w:spacing w:before="31"/>
        <w:ind w:left="103" w:right="604" w:firstLine="0"/>
        <w:jc w:val="center"/>
        <w:rPr>
          <w:rFonts w:hint="eastAsia" w:ascii="宋体" w:eastAsia="宋体"/>
          <w:b/>
          <w:sz w:val="39"/>
        </w:rPr>
      </w:pPr>
      <w:bookmarkStart w:id="12" w:name="_TOC_250013"/>
      <w:bookmarkEnd w:id="12"/>
      <w:r>
        <w:rPr>
          <w:rFonts w:hint="eastAsia" w:ascii="宋体" w:eastAsia="宋体"/>
          <w:b/>
          <w:sz w:val="39"/>
        </w:rPr>
        <w:t>第五部分 附表</w:t>
      </w:r>
    </w:p>
    <w:p w14:paraId="026EE8D6">
      <w:pPr>
        <w:pStyle w:val="3"/>
        <w:spacing w:before="2"/>
        <w:ind w:left="0"/>
        <w:rPr>
          <w:rFonts w:ascii="宋体"/>
          <w:b/>
          <w:sz w:val="35"/>
        </w:rPr>
      </w:pPr>
    </w:p>
    <w:p w14:paraId="051FF040">
      <w:pPr>
        <w:spacing w:before="1"/>
        <w:ind w:left="120" w:right="0" w:firstLine="0"/>
        <w:jc w:val="left"/>
        <w:rPr>
          <w:b/>
          <w:sz w:val="32"/>
        </w:rPr>
      </w:pPr>
      <w:bookmarkStart w:id="13" w:name="_TOC_250012"/>
      <w:bookmarkEnd w:id="13"/>
      <w:r>
        <w:rPr>
          <w:b/>
          <w:sz w:val="32"/>
        </w:rPr>
        <w:t>一、收入支出决算总表</w:t>
      </w:r>
    </w:p>
    <w:p w14:paraId="03B6B68E">
      <w:pPr>
        <w:pStyle w:val="3"/>
        <w:spacing w:before="5"/>
        <w:ind w:left="0"/>
        <w:rPr>
          <w:b/>
          <w:sz w:val="28"/>
        </w:rPr>
      </w:pPr>
      <w:r>
        <w:drawing>
          <wp:anchor distT="0" distB="0" distL="0" distR="0" simplePos="0" relativeHeight="251659264" behindDoc="0" locked="0" layoutInCell="1" allowOverlap="1">
            <wp:simplePos x="0" y="0"/>
            <wp:positionH relativeFrom="page">
              <wp:posOffset>1143000</wp:posOffset>
            </wp:positionH>
            <wp:positionV relativeFrom="paragraph">
              <wp:posOffset>255905</wp:posOffset>
            </wp:positionV>
            <wp:extent cx="5600700" cy="4533900"/>
            <wp:effectExtent l="0" t="0" r="0" b="0"/>
            <wp:wrapTopAndBottom/>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a:picLocks noChangeAspect="1"/>
                    </pic:cNvPicPr>
                  </pic:nvPicPr>
                  <pic:blipFill>
                    <a:blip r:embed="rId7" cstate="print"/>
                    <a:stretch>
                      <a:fillRect/>
                    </a:stretch>
                  </pic:blipFill>
                  <pic:spPr>
                    <a:xfrm>
                      <a:off x="0" y="0"/>
                      <a:ext cx="5600700" cy="4533900"/>
                    </a:xfrm>
                    <a:prstGeom prst="rect">
                      <a:avLst/>
                    </a:prstGeom>
                  </pic:spPr>
                </pic:pic>
              </a:graphicData>
            </a:graphic>
          </wp:anchor>
        </w:drawing>
      </w:r>
    </w:p>
    <w:p w14:paraId="73B25A98">
      <w:pPr>
        <w:spacing w:after="0"/>
        <w:rPr>
          <w:sz w:val="28"/>
        </w:rPr>
        <w:sectPr>
          <w:pgSz w:w="11920" w:h="16860"/>
          <w:pgMar w:top="1460" w:right="1180" w:bottom="280" w:left="1680" w:header="720" w:footer="720" w:gutter="0"/>
          <w:cols w:space="720" w:num="1"/>
        </w:sectPr>
      </w:pPr>
    </w:p>
    <w:p w14:paraId="3B9B611D">
      <w:pPr>
        <w:spacing w:before="37"/>
        <w:ind w:left="120" w:right="0" w:firstLine="0"/>
        <w:jc w:val="left"/>
        <w:rPr>
          <w:b/>
          <w:sz w:val="32"/>
        </w:rPr>
      </w:pPr>
      <w:bookmarkStart w:id="14" w:name="_TOC_250011"/>
      <w:bookmarkEnd w:id="14"/>
      <w:r>
        <w:rPr>
          <w:b/>
          <w:w w:val="95"/>
          <w:sz w:val="32"/>
        </w:rPr>
        <w:t>二、收入决算表</w:t>
      </w:r>
    </w:p>
    <w:p w14:paraId="7F0247FD">
      <w:pPr>
        <w:pStyle w:val="3"/>
        <w:ind w:left="0"/>
        <w:rPr>
          <w:b/>
          <w:sz w:val="20"/>
        </w:rPr>
      </w:pPr>
    </w:p>
    <w:p w14:paraId="291A8DC5">
      <w:pPr>
        <w:pStyle w:val="3"/>
        <w:spacing w:before="6"/>
        <w:ind w:left="0"/>
        <w:rPr>
          <w:b/>
          <w:sz w:val="10"/>
        </w:rPr>
      </w:pPr>
      <w:r>
        <w:drawing>
          <wp:anchor distT="0" distB="0" distL="0" distR="0" simplePos="0" relativeHeight="251660288" behindDoc="0" locked="0" layoutInCell="1" allowOverlap="1">
            <wp:simplePos x="0" y="0"/>
            <wp:positionH relativeFrom="page">
              <wp:posOffset>1143000</wp:posOffset>
            </wp:positionH>
            <wp:positionV relativeFrom="paragraph">
              <wp:posOffset>109855</wp:posOffset>
            </wp:positionV>
            <wp:extent cx="5266690" cy="2905125"/>
            <wp:effectExtent l="0" t="0" r="0" b="0"/>
            <wp:wrapTopAndBottom/>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a:picLocks noChangeAspect="1"/>
                    </pic:cNvPicPr>
                  </pic:nvPicPr>
                  <pic:blipFill>
                    <a:blip r:embed="rId8" cstate="print"/>
                    <a:stretch>
                      <a:fillRect/>
                    </a:stretch>
                  </pic:blipFill>
                  <pic:spPr>
                    <a:xfrm>
                      <a:off x="0" y="0"/>
                      <a:ext cx="5266708" cy="2905125"/>
                    </a:xfrm>
                    <a:prstGeom prst="rect">
                      <a:avLst/>
                    </a:prstGeom>
                  </pic:spPr>
                </pic:pic>
              </a:graphicData>
            </a:graphic>
          </wp:anchor>
        </w:drawing>
      </w:r>
    </w:p>
    <w:p w14:paraId="0F72B331">
      <w:pPr>
        <w:pStyle w:val="3"/>
        <w:spacing w:before="9"/>
        <w:ind w:left="0"/>
        <w:rPr>
          <w:b/>
          <w:sz w:val="6"/>
        </w:rPr>
      </w:pPr>
    </w:p>
    <w:p w14:paraId="70253CFF">
      <w:pPr>
        <w:spacing w:before="55"/>
        <w:ind w:left="120" w:right="0" w:firstLine="0"/>
        <w:jc w:val="left"/>
        <w:rPr>
          <w:b/>
          <w:sz w:val="32"/>
        </w:rPr>
      </w:pPr>
      <w:bookmarkStart w:id="15" w:name="_TOC_250010"/>
      <w:bookmarkEnd w:id="15"/>
      <w:r>
        <w:rPr>
          <w:b/>
          <w:w w:val="95"/>
          <w:sz w:val="32"/>
        </w:rPr>
        <w:t>三、支出决算表</w:t>
      </w:r>
    </w:p>
    <w:p w14:paraId="43EE8E9A">
      <w:pPr>
        <w:pStyle w:val="3"/>
        <w:ind w:left="0"/>
        <w:rPr>
          <w:b/>
          <w:sz w:val="20"/>
        </w:rPr>
      </w:pPr>
    </w:p>
    <w:p w14:paraId="1C85A344">
      <w:pPr>
        <w:pStyle w:val="3"/>
        <w:spacing w:before="5"/>
        <w:ind w:left="0"/>
        <w:rPr>
          <w:b/>
          <w:sz w:val="14"/>
        </w:rPr>
      </w:pPr>
      <w:r>
        <w:drawing>
          <wp:anchor distT="0" distB="0" distL="0" distR="0" simplePos="0" relativeHeight="251660288" behindDoc="0" locked="0" layoutInCell="1" allowOverlap="1">
            <wp:simplePos x="0" y="0"/>
            <wp:positionH relativeFrom="page">
              <wp:posOffset>1143000</wp:posOffset>
            </wp:positionH>
            <wp:positionV relativeFrom="paragraph">
              <wp:posOffset>142240</wp:posOffset>
            </wp:positionV>
            <wp:extent cx="5205730" cy="3206115"/>
            <wp:effectExtent l="0" t="0" r="0" b="0"/>
            <wp:wrapTopAndBottom/>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a:picLocks noChangeAspect="1"/>
                    </pic:cNvPicPr>
                  </pic:nvPicPr>
                  <pic:blipFill>
                    <a:blip r:embed="rId9" cstate="print"/>
                    <a:stretch>
                      <a:fillRect/>
                    </a:stretch>
                  </pic:blipFill>
                  <pic:spPr>
                    <a:xfrm>
                      <a:off x="0" y="0"/>
                      <a:ext cx="5205456" cy="3206115"/>
                    </a:xfrm>
                    <a:prstGeom prst="rect">
                      <a:avLst/>
                    </a:prstGeom>
                  </pic:spPr>
                </pic:pic>
              </a:graphicData>
            </a:graphic>
          </wp:anchor>
        </w:drawing>
      </w:r>
    </w:p>
    <w:p w14:paraId="6DC03B3F">
      <w:pPr>
        <w:spacing w:after="0"/>
        <w:rPr>
          <w:sz w:val="14"/>
        </w:rPr>
        <w:sectPr>
          <w:pgSz w:w="11920" w:h="16860"/>
          <w:pgMar w:top="1500" w:right="1180" w:bottom="280" w:left="1680" w:header="720" w:footer="720" w:gutter="0"/>
          <w:cols w:space="720" w:num="1"/>
        </w:sectPr>
      </w:pPr>
    </w:p>
    <w:p w14:paraId="4D194962">
      <w:pPr>
        <w:spacing w:before="37"/>
        <w:ind w:left="120" w:right="0" w:firstLine="0"/>
        <w:jc w:val="left"/>
        <w:rPr>
          <w:b/>
          <w:sz w:val="32"/>
        </w:rPr>
      </w:pPr>
      <w:bookmarkStart w:id="16" w:name="_TOC_250009"/>
      <w:bookmarkEnd w:id="16"/>
      <w:r>
        <w:rPr>
          <w:b/>
          <w:sz w:val="32"/>
        </w:rPr>
        <w:t>四、财政拨款收入支出决算总表</w:t>
      </w:r>
    </w:p>
    <w:p w14:paraId="010F05F1">
      <w:pPr>
        <w:pStyle w:val="3"/>
        <w:ind w:left="0"/>
        <w:rPr>
          <w:b/>
          <w:sz w:val="20"/>
        </w:rPr>
      </w:pPr>
    </w:p>
    <w:p w14:paraId="7692E9FE">
      <w:pPr>
        <w:pStyle w:val="3"/>
        <w:spacing w:before="9"/>
        <w:ind w:left="0"/>
        <w:rPr>
          <w:b/>
          <w:sz w:val="15"/>
        </w:rPr>
      </w:pPr>
      <w:r>
        <w:drawing>
          <wp:anchor distT="0" distB="0" distL="0" distR="0" simplePos="0" relativeHeight="251660288" behindDoc="0" locked="0" layoutInCell="1" allowOverlap="1">
            <wp:simplePos x="0" y="0"/>
            <wp:positionH relativeFrom="page">
              <wp:posOffset>1143000</wp:posOffset>
            </wp:positionH>
            <wp:positionV relativeFrom="paragraph">
              <wp:posOffset>152400</wp:posOffset>
            </wp:positionV>
            <wp:extent cx="5267325" cy="4010025"/>
            <wp:effectExtent l="0" t="0" r="0" b="0"/>
            <wp:wrapTopAndBottom/>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pic:cNvPicPr>
                      <a:picLocks noChangeAspect="1"/>
                    </pic:cNvPicPr>
                  </pic:nvPicPr>
                  <pic:blipFill>
                    <a:blip r:embed="rId10" cstate="print"/>
                    <a:stretch>
                      <a:fillRect/>
                    </a:stretch>
                  </pic:blipFill>
                  <pic:spPr>
                    <a:xfrm>
                      <a:off x="0" y="0"/>
                      <a:ext cx="5267087" cy="4010025"/>
                    </a:xfrm>
                    <a:prstGeom prst="rect">
                      <a:avLst/>
                    </a:prstGeom>
                  </pic:spPr>
                </pic:pic>
              </a:graphicData>
            </a:graphic>
          </wp:anchor>
        </w:drawing>
      </w:r>
    </w:p>
    <w:p w14:paraId="3D037693">
      <w:pPr>
        <w:spacing w:after="0"/>
        <w:rPr>
          <w:sz w:val="15"/>
        </w:rPr>
        <w:sectPr>
          <w:pgSz w:w="11920" w:h="16860"/>
          <w:pgMar w:top="1500" w:right="1180" w:bottom="280" w:left="1680" w:header="720" w:footer="720" w:gutter="0"/>
          <w:cols w:space="720" w:num="1"/>
        </w:sectPr>
      </w:pPr>
    </w:p>
    <w:p w14:paraId="3117C629">
      <w:pPr>
        <w:spacing w:before="37"/>
        <w:ind w:left="120" w:right="0" w:firstLine="0"/>
        <w:jc w:val="left"/>
        <w:rPr>
          <w:b/>
          <w:sz w:val="32"/>
        </w:rPr>
      </w:pPr>
      <w:bookmarkStart w:id="17" w:name="_TOC_250008"/>
      <w:bookmarkEnd w:id="17"/>
      <w:r>
        <w:rPr>
          <w:b/>
          <w:sz w:val="32"/>
        </w:rPr>
        <w:t>五、财政拨款支出决算明细表</w:t>
      </w:r>
    </w:p>
    <w:p w14:paraId="25DD3757">
      <w:pPr>
        <w:pStyle w:val="3"/>
        <w:ind w:left="0"/>
        <w:rPr>
          <w:b/>
          <w:sz w:val="20"/>
        </w:rPr>
      </w:pPr>
    </w:p>
    <w:p w14:paraId="14B066C9">
      <w:pPr>
        <w:pStyle w:val="3"/>
        <w:spacing w:before="1"/>
        <w:ind w:left="0"/>
        <w:rPr>
          <w:b/>
          <w:sz w:val="10"/>
        </w:rPr>
      </w:pPr>
      <w:r>
        <w:drawing>
          <wp:anchor distT="0" distB="0" distL="0" distR="0" simplePos="0" relativeHeight="251660288" behindDoc="0" locked="0" layoutInCell="1" allowOverlap="1">
            <wp:simplePos x="0" y="0"/>
            <wp:positionH relativeFrom="page">
              <wp:posOffset>1143000</wp:posOffset>
            </wp:positionH>
            <wp:positionV relativeFrom="paragraph">
              <wp:posOffset>106680</wp:posOffset>
            </wp:positionV>
            <wp:extent cx="5267325" cy="7677150"/>
            <wp:effectExtent l="0" t="0" r="0" b="0"/>
            <wp:wrapTopAndBottom/>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png"/>
                    <pic:cNvPicPr>
                      <a:picLocks noChangeAspect="1"/>
                    </pic:cNvPicPr>
                  </pic:nvPicPr>
                  <pic:blipFill>
                    <a:blip r:embed="rId11" cstate="print"/>
                    <a:stretch>
                      <a:fillRect/>
                    </a:stretch>
                  </pic:blipFill>
                  <pic:spPr>
                    <a:xfrm>
                      <a:off x="0" y="0"/>
                      <a:ext cx="5267562" cy="7677150"/>
                    </a:xfrm>
                    <a:prstGeom prst="rect">
                      <a:avLst/>
                    </a:prstGeom>
                  </pic:spPr>
                </pic:pic>
              </a:graphicData>
            </a:graphic>
          </wp:anchor>
        </w:drawing>
      </w:r>
    </w:p>
    <w:p w14:paraId="3DE01464">
      <w:pPr>
        <w:spacing w:after="0"/>
        <w:rPr>
          <w:sz w:val="10"/>
        </w:rPr>
        <w:sectPr>
          <w:pgSz w:w="11920" w:h="16860"/>
          <w:pgMar w:top="1500" w:right="1180" w:bottom="280" w:left="1680" w:header="720" w:footer="720" w:gutter="0"/>
          <w:cols w:space="720" w:num="1"/>
        </w:sectPr>
      </w:pPr>
    </w:p>
    <w:p w14:paraId="09FC5DB5">
      <w:pPr>
        <w:pStyle w:val="3"/>
        <w:rPr>
          <w:sz w:val="20"/>
        </w:rPr>
      </w:pPr>
      <w:r>
        <w:rPr>
          <w:sz w:val="20"/>
        </w:rPr>
        <w:drawing>
          <wp:inline distT="0" distB="0" distL="0" distR="0">
            <wp:extent cx="5277485" cy="6591300"/>
            <wp:effectExtent l="0" t="0" r="0" b="0"/>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png"/>
                    <pic:cNvPicPr>
                      <a:picLocks noChangeAspect="1"/>
                    </pic:cNvPicPr>
                  </pic:nvPicPr>
                  <pic:blipFill>
                    <a:blip r:embed="rId12" cstate="print"/>
                    <a:stretch>
                      <a:fillRect/>
                    </a:stretch>
                  </pic:blipFill>
                  <pic:spPr>
                    <a:xfrm>
                      <a:off x="0" y="0"/>
                      <a:ext cx="5277612" cy="6591300"/>
                    </a:xfrm>
                    <a:prstGeom prst="rect">
                      <a:avLst/>
                    </a:prstGeom>
                  </pic:spPr>
                </pic:pic>
              </a:graphicData>
            </a:graphic>
          </wp:inline>
        </w:drawing>
      </w:r>
    </w:p>
    <w:p w14:paraId="573E2F5F">
      <w:pPr>
        <w:spacing w:after="0"/>
        <w:rPr>
          <w:sz w:val="20"/>
        </w:rPr>
        <w:sectPr>
          <w:pgSz w:w="11920" w:h="16860"/>
          <w:pgMar w:top="1540" w:right="1180" w:bottom="280" w:left="1680" w:header="720" w:footer="720" w:gutter="0"/>
          <w:cols w:space="720" w:num="1"/>
        </w:sectPr>
      </w:pPr>
    </w:p>
    <w:p w14:paraId="06B1084D">
      <w:pPr>
        <w:spacing w:before="37"/>
        <w:ind w:left="120" w:right="0" w:firstLine="0"/>
        <w:jc w:val="left"/>
        <w:rPr>
          <w:b/>
          <w:sz w:val="32"/>
        </w:rPr>
      </w:pPr>
      <w:bookmarkStart w:id="18" w:name="_TOC_250007"/>
      <w:bookmarkEnd w:id="18"/>
      <w:r>
        <w:rPr>
          <w:b/>
          <w:sz w:val="32"/>
        </w:rPr>
        <w:t>六、一般公共预算财政拨款支出决算表</w:t>
      </w:r>
    </w:p>
    <w:p w14:paraId="37688FCA">
      <w:pPr>
        <w:pStyle w:val="3"/>
        <w:ind w:left="0"/>
        <w:rPr>
          <w:b/>
          <w:sz w:val="20"/>
        </w:rPr>
      </w:pPr>
    </w:p>
    <w:p w14:paraId="2ADAE38A">
      <w:pPr>
        <w:pStyle w:val="3"/>
        <w:spacing w:before="12"/>
        <w:ind w:left="0"/>
        <w:rPr>
          <w:b/>
          <w:sz w:val="18"/>
        </w:rPr>
      </w:pPr>
      <w:r>
        <w:drawing>
          <wp:anchor distT="0" distB="0" distL="0" distR="0" simplePos="0" relativeHeight="251660288" behindDoc="0" locked="0" layoutInCell="1" allowOverlap="1">
            <wp:simplePos x="0" y="0"/>
            <wp:positionH relativeFrom="page">
              <wp:posOffset>1143000</wp:posOffset>
            </wp:positionH>
            <wp:positionV relativeFrom="paragraph">
              <wp:posOffset>178435</wp:posOffset>
            </wp:positionV>
            <wp:extent cx="5266055" cy="4362450"/>
            <wp:effectExtent l="0" t="0" r="0" b="0"/>
            <wp:wrapTopAndBottom/>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png"/>
                    <pic:cNvPicPr>
                      <a:picLocks noChangeAspect="1"/>
                    </pic:cNvPicPr>
                  </pic:nvPicPr>
                  <pic:blipFill>
                    <a:blip r:embed="rId13" cstate="print"/>
                    <a:stretch>
                      <a:fillRect/>
                    </a:stretch>
                  </pic:blipFill>
                  <pic:spPr>
                    <a:xfrm>
                      <a:off x="0" y="0"/>
                      <a:ext cx="5266024" cy="4362450"/>
                    </a:xfrm>
                    <a:prstGeom prst="rect">
                      <a:avLst/>
                    </a:prstGeom>
                  </pic:spPr>
                </pic:pic>
              </a:graphicData>
            </a:graphic>
          </wp:anchor>
        </w:drawing>
      </w:r>
    </w:p>
    <w:p w14:paraId="3E1CD528">
      <w:pPr>
        <w:pStyle w:val="3"/>
        <w:ind w:left="0"/>
        <w:rPr>
          <w:b/>
          <w:sz w:val="14"/>
        </w:rPr>
      </w:pPr>
    </w:p>
    <w:p w14:paraId="0C3CC503">
      <w:pPr>
        <w:spacing w:before="54"/>
        <w:ind w:left="120" w:right="0" w:firstLine="0"/>
        <w:jc w:val="left"/>
        <w:rPr>
          <w:b/>
          <w:sz w:val="32"/>
        </w:rPr>
      </w:pPr>
      <w:bookmarkStart w:id="19" w:name="_TOC_250006"/>
      <w:bookmarkEnd w:id="19"/>
      <w:r>
        <w:rPr>
          <w:b/>
          <w:sz w:val="32"/>
        </w:rPr>
        <w:t>七、一般公共预算财政拨款支出决算明细表</w:t>
      </w:r>
    </w:p>
    <w:p w14:paraId="1C97C1A9">
      <w:pPr>
        <w:pStyle w:val="3"/>
        <w:ind w:left="0"/>
        <w:rPr>
          <w:b/>
          <w:sz w:val="20"/>
        </w:rPr>
      </w:pPr>
    </w:p>
    <w:p w14:paraId="5774C6E1">
      <w:pPr>
        <w:pStyle w:val="3"/>
        <w:spacing w:before="3"/>
        <w:ind w:left="0"/>
        <w:rPr>
          <w:b/>
          <w:sz w:val="14"/>
        </w:rPr>
      </w:pPr>
      <w:r>
        <w:drawing>
          <wp:anchor distT="0" distB="0" distL="0" distR="0" simplePos="0" relativeHeight="251660288" behindDoc="0" locked="0" layoutInCell="1" allowOverlap="1">
            <wp:simplePos x="0" y="0"/>
            <wp:positionH relativeFrom="page">
              <wp:posOffset>1143000</wp:posOffset>
            </wp:positionH>
            <wp:positionV relativeFrom="paragraph">
              <wp:posOffset>140970</wp:posOffset>
            </wp:positionV>
            <wp:extent cx="5255895" cy="2447925"/>
            <wp:effectExtent l="0" t="0" r="0" b="0"/>
            <wp:wrapTopAndBottom/>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png"/>
                    <pic:cNvPicPr>
                      <a:picLocks noChangeAspect="1"/>
                    </pic:cNvPicPr>
                  </pic:nvPicPr>
                  <pic:blipFill>
                    <a:blip r:embed="rId14" cstate="print"/>
                    <a:stretch>
                      <a:fillRect/>
                    </a:stretch>
                  </pic:blipFill>
                  <pic:spPr>
                    <a:xfrm>
                      <a:off x="0" y="0"/>
                      <a:ext cx="5255789" cy="2447925"/>
                    </a:xfrm>
                    <a:prstGeom prst="rect">
                      <a:avLst/>
                    </a:prstGeom>
                  </pic:spPr>
                </pic:pic>
              </a:graphicData>
            </a:graphic>
          </wp:anchor>
        </w:drawing>
      </w:r>
    </w:p>
    <w:p w14:paraId="2F4016C3">
      <w:pPr>
        <w:spacing w:after="0"/>
        <w:rPr>
          <w:sz w:val="14"/>
        </w:rPr>
        <w:sectPr>
          <w:pgSz w:w="11920" w:h="16860"/>
          <w:pgMar w:top="1500" w:right="1180" w:bottom="280" w:left="1680" w:header="720" w:footer="720" w:gutter="0"/>
          <w:cols w:space="720" w:num="1"/>
        </w:sectPr>
      </w:pPr>
    </w:p>
    <w:p w14:paraId="2B7958E1">
      <w:pPr>
        <w:pStyle w:val="3"/>
        <w:rPr>
          <w:sz w:val="20"/>
        </w:rPr>
      </w:pPr>
      <w:r>
        <w:drawing>
          <wp:anchor distT="0" distB="0" distL="0" distR="0" simplePos="0" relativeHeight="251660288" behindDoc="0" locked="0" layoutInCell="1" allowOverlap="1">
            <wp:simplePos x="0" y="0"/>
            <wp:positionH relativeFrom="page">
              <wp:posOffset>1143000</wp:posOffset>
            </wp:positionH>
            <wp:positionV relativeFrom="paragraph">
              <wp:posOffset>2587625</wp:posOffset>
            </wp:positionV>
            <wp:extent cx="5255895" cy="2714625"/>
            <wp:effectExtent l="0" t="0" r="0" b="0"/>
            <wp:wrapTopAndBottom/>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png"/>
                    <pic:cNvPicPr>
                      <a:picLocks noChangeAspect="1"/>
                    </pic:cNvPicPr>
                  </pic:nvPicPr>
                  <pic:blipFill>
                    <a:blip r:embed="rId15" cstate="print"/>
                    <a:stretch>
                      <a:fillRect/>
                    </a:stretch>
                  </pic:blipFill>
                  <pic:spPr>
                    <a:xfrm>
                      <a:off x="0" y="0"/>
                      <a:ext cx="5255949" cy="2714625"/>
                    </a:xfrm>
                    <a:prstGeom prst="rect">
                      <a:avLst/>
                    </a:prstGeom>
                  </pic:spPr>
                </pic:pic>
              </a:graphicData>
            </a:graphic>
          </wp:anchor>
        </w:drawing>
      </w:r>
      <w:r>
        <w:rPr>
          <w:sz w:val="20"/>
        </w:rPr>
        <w:drawing>
          <wp:inline distT="0" distB="0" distL="0" distR="0">
            <wp:extent cx="5248275" cy="2543175"/>
            <wp:effectExtent l="0" t="0" r="0" b="0"/>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1.png"/>
                    <pic:cNvPicPr>
                      <a:picLocks noChangeAspect="1"/>
                    </pic:cNvPicPr>
                  </pic:nvPicPr>
                  <pic:blipFill>
                    <a:blip r:embed="rId16" cstate="print"/>
                    <a:stretch>
                      <a:fillRect/>
                    </a:stretch>
                  </pic:blipFill>
                  <pic:spPr>
                    <a:xfrm>
                      <a:off x="0" y="0"/>
                      <a:ext cx="5248275" cy="2543175"/>
                    </a:xfrm>
                    <a:prstGeom prst="rect">
                      <a:avLst/>
                    </a:prstGeom>
                  </pic:spPr>
                </pic:pic>
              </a:graphicData>
            </a:graphic>
          </wp:inline>
        </w:drawing>
      </w:r>
    </w:p>
    <w:p w14:paraId="57ED6F78">
      <w:pPr>
        <w:pStyle w:val="3"/>
        <w:spacing w:before="9"/>
        <w:ind w:left="0"/>
        <w:rPr>
          <w:b/>
          <w:sz w:val="5"/>
        </w:rPr>
      </w:pPr>
    </w:p>
    <w:p w14:paraId="7B352E25">
      <w:pPr>
        <w:pStyle w:val="3"/>
        <w:rPr>
          <w:sz w:val="20"/>
        </w:rPr>
      </w:pPr>
      <w:r>
        <w:rPr>
          <w:sz w:val="20"/>
        </w:rPr>
        <w:drawing>
          <wp:inline distT="0" distB="0" distL="0" distR="0">
            <wp:extent cx="5257165" cy="2514600"/>
            <wp:effectExtent l="0" t="0" r="0" b="0"/>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png"/>
                    <pic:cNvPicPr>
                      <a:picLocks noChangeAspect="1"/>
                    </pic:cNvPicPr>
                  </pic:nvPicPr>
                  <pic:blipFill>
                    <a:blip r:embed="rId17" cstate="print"/>
                    <a:stretch>
                      <a:fillRect/>
                    </a:stretch>
                  </pic:blipFill>
                  <pic:spPr>
                    <a:xfrm>
                      <a:off x="0" y="0"/>
                      <a:ext cx="5257419" cy="2514600"/>
                    </a:xfrm>
                    <a:prstGeom prst="rect">
                      <a:avLst/>
                    </a:prstGeom>
                  </pic:spPr>
                </pic:pic>
              </a:graphicData>
            </a:graphic>
          </wp:inline>
        </w:drawing>
      </w:r>
    </w:p>
    <w:p w14:paraId="2FFB8D28">
      <w:pPr>
        <w:spacing w:after="0"/>
        <w:rPr>
          <w:sz w:val="20"/>
        </w:rPr>
        <w:sectPr>
          <w:pgSz w:w="11920" w:h="16860"/>
          <w:pgMar w:top="1440" w:right="1180" w:bottom="280" w:left="1680" w:header="720" w:footer="720" w:gutter="0"/>
          <w:cols w:space="720" w:num="1"/>
        </w:sectPr>
      </w:pPr>
    </w:p>
    <w:p w14:paraId="0BE298B7">
      <w:pPr>
        <w:pStyle w:val="3"/>
        <w:rPr>
          <w:sz w:val="20"/>
        </w:rPr>
      </w:pPr>
      <w:r>
        <w:rPr>
          <w:sz w:val="20"/>
        </w:rPr>
        <w:drawing>
          <wp:inline distT="0" distB="0" distL="0" distR="0">
            <wp:extent cx="5256530" cy="2314575"/>
            <wp:effectExtent l="0" t="0" r="0" b="0"/>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3.png"/>
                    <pic:cNvPicPr>
                      <a:picLocks noChangeAspect="1"/>
                    </pic:cNvPicPr>
                  </pic:nvPicPr>
                  <pic:blipFill>
                    <a:blip r:embed="rId18" cstate="print"/>
                    <a:stretch>
                      <a:fillRect/>
                    </a:stretch>
                  </pic:blipFill>
                  <pic:spPr>
                    <a:xfrm>
                      <a:off x="0" y="0"/>
                      <a:ext cx="5256554" cy="2314575"/>
                    </a:xfrm>
                    <a:prstGeom prst="rect">
                      <a:avLst/>
                    </a:prstGeom>
                  </pic:spPr>
                </pic:pic>
              </a:graphicData>
            </a:graphic>
          </wp:inline>
        </w:drawing>
      </w:r>
    </w:p>
    <w:p w14:paraId="17F4A23B">
      <w:pPr>
        <w:pStyle w:val="3"/>
        <w:spacing w:before="12"/>
        <w:ind w:left="0"/>
        <w:rPr>
          <w:b/>
          <w:sz w:val="7"/>
        </w:rPr>
      </w:pPr>
    </w:p>
    <w:p w14:paraId="596CFFB2">
      <w:pPr>
        <w:spacing w:before="54"/>
        <w:ind w:left="120" w:right="0" w:firstLine="0"/>
        <w:jc w:val="left"/>
        <w:rPr>
          <w:b/>
          <w:sz w:val="32"/>
        </w:rPr>
      </w:pPr>
      <w:bookmarkStart w:id="20" w:name="_TOC_250005"/>
      <w:bookmarkEnd w:id="20"/>
      <w:r>
        <w:rPr>
          <w:b/>
          <w:sz w:val="32"/>
        </w:rPr>
        <w:t>八、一般公共预算财政拨款基本支出决算表</w:t>
      </w:r>
    </w:p>
    <w:p w14:paraId="3BAC0FFB">
      <w:pPr>
        <w:pStyle w:val="3"/>
        <w:ind w:left="0"/>
        <w:rPr>
          <w:b/>
          <w:sz w:val="20"/>
        </w:rPr>
      </w:pPr>
    </w:p>
    <w:p w14:paraId="5C86364F">
      <w:pPr>
        <w:pStyle w:val="3"/>
        <w:spacing w:before="9"/>
        <w:ind w:left="0"/>
        <w:rPr>
          <w:b/>
          <w:sz w:val="16"/>
        </w:rPr>
      </w:pPr>
      <w:r>
        <w:drawing>
          <wp:anchor distT="0" distB="0" distL="0" distR="0" simplePos="0" relativeHeight="251660288" behindDoc="0" locked="0" layoutInCell="1" allowOverlap="1">
            <wp:simplePos x="0" y="0"/>
            <wp:positionH relativeFrom="page">
              <wp:posOffset>1143000</wp:posOffset>
            </wp:positionH>
            <wp:positionV relativeFrom="paragraph">
              <wp:posOffset>160655</wp:posOffset>
            </wp:positionV>
            <wp:extent cx="5205730" cy="3093085"/>
            <wp:effectExtent l="0" t="0" r="0" b="0"/>
            <wp:wrapTopAndBottom/>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4.png"/>
                    <pic:cNvPicPr>
                      <a:picLocks noChangeAspect="1"/>
                    </pic:cNvPicPr>
                  </pic:nvPicPr>
                  <pic:blipFill>
                    <a:blip r:embed="rId19" cstate="print"/>
                    <a:stretch>
                      <a:fillRect/>
                    </a:stretch>
                  </pic:blipFill>
                  <pic:spPr>
                    <a:xfrm>
                      <a:off x="0" y="0"/>
                      <a:ext cx="5205463" cy="3092957"/>
                    </a:xfrm>
                    <a:prstGeom prst="rect">
                      <a:avLst/>
                    </a:prstGeom>
                  </pic:spPr>
                </pic:pic>
              </a:graphicData>
            </a:graphic>
          </wp:anchor>
        </w:drawing>
      </w:r>
    </w:p>
    <w:p w14:paraId="49E85123">
      <w:pPr>
        <w:spacing w:after="0"/>
        <w:rPr>
          <w:sz w:val="16"/>
        </w:rPr>
        <w:sectPr>
          <w:pgSz w:w="11920" w:h="16860"/>
          <w:pgMar w:top="1480" w:right="1180" w:bottom="280" w:left="1680" w:header="720" w:footer="720" w:gutter="0"/>
          <w:cols w:space="720" w:num="1"/>
        </w:sectPr>
      </w:pPr>
    </w:p>
    <w:p w14:paraId="323CD6AD">
      <w:pPr>
        <w:spacing w:before="37"/>
        <w:ind w:left="120" w:right="0" w:firstLine="0"/>
        <w:jc w:val="left"/>
        <w:rPr>
          <w:b/>
          <w:sz w:val="32"/>
        </w:rPr>
      </w:pPr>
      <w:bookmarkStart w:id="21" w:name="_TOC_250004"/>
      <w:bookmarkEnd w:id="21"/>
      <w:r>
        <w:rPr>
          <w:b/>
          <w:sz w:val="32"/>
        </w:rPr>
        <w:t>九、一般公共预算财政拨款项目支出决算表</w:t>
      </w:r>
    </w:p>
    <w:p w14:paraId="584FE9C8">
      <w:pPr>
        <w:pStyle w:val="3"/>
        <w:ind w:left="0"/>
        <w:rPr>
          <w:b/>
          <w:sz w:val="20"/>
        </w:rPr>
      </w:pPr>
    </w:p>
    <w:p w14:paraId="2D415B31">
      <w:pPr>
        <w:pStyle w:val="3"/>
        <w:spacing w:before="9"/>
        <w:ind w:left="0"/>
        <w:rPr>
          <w:b/>
          <w:sz w:val="12"/>
        </w:rPr>
      </w:pPr>
      <w:r>
        <w:drawing>
          <wp:anchor distT="0" distB="0" distL="0" distR="0" simplePos="0" relativeHeight="251660288" behindDoc="0" locked="0" layoutInCell="1" allowOverlap="1">
            <wp:simplePos x="0" y="0"/>
            <wp:positionH relativeFrom="page">
              <wp:posOffset>1143000</wp:posOffset>
            </wp:positionH>
            <wp:positionV relativeFrom="paragraph">
              <wp:posOffset>128270</wp:posOffset>
            </wp:positionV>
            <wp:extent cx="5266690" cy="5057775"/>
            <wp:effectExtent l="0" t="0" r="0" b="0"/>
            <wp:wrapTopAndBottom/>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5.png"/>
                    <pic:cNvPicPr>
                      <a:picLocks noChangeAspect="1"/>
                    </pic:cNvPicPr>
                  </pic:nvPicPr>
                  <pic:blipFill>
                    <a:blip r:embed="rId20" cstate="print"/>
                    <a:stretch>
                      <a:fillRect/>
                    </a:stretch>
                  </pic:blipFill>
                  <pic:spPr>
                    <a:xfrm>
                      <a:off x="0" y="0"/>
                      <a:ext cx="5266547" cy="5057775"/>
                    </a:xfrm>
                    <a:prstGeom prst="rect">
                      <a:avLst/>
                    </a:prstGeom>
                  </pic:spPr>
                </pic:pic>
              </a:graphicData>
            </a:graphic>
          </wp:anchor>
        </w:drawing>
      </w:r>
    </w:p>
    <w:p w14:paraId="1071D220">
      <w:pPr>
        <w:pStyle w:val="3"/>
        <w:spacing w:before="10"/>
        <w:ind w:left="0"/>
        <w:rPr>
          <w:b/>
          <w:sz w:val="7"/>
        </w:rPr>
      </w:pPr>
    </w:p>
    <w:p w14:paraId="6066B0D9">
      <w:pPr>
        <w:spacing w:before="54"/>
        <w:ind w:left="120" w:right="0" w:firstLine="0"/>
        <w:jc w:val="left"/>
        <w:rPr>
          <w:b/>
          <w:sz w:val="32"/>
        </w:rPr>
      </w:pPr>
      <w:bookmarkStart w:id="22" w:name="_TOC_250003"/>
      <w:bookmarkEnd w:id="22"/>
      <w:r>
        <w:rPr>
          <w:b/>
          <w:sz w:val="32"/>
        </w:rPr>
        <w:t>十、政府性基金预算财政拨款收入支出决算表</w:t>
      </w:r>
    </w:p>
    <w:p w14:paraId="37FC5546">
      <w:pPr>
        <w:pStyle w:val="3"/>
        <w:ind w:left="0"/>
        <w:rPr>
          <w:b/>
          <w:sz w:val="20"/>
        </w:rPr>
      </w:pPr>
    </w:p>
    <w:p w14:paraId="1FB1EAEC">
      <w:pPr>
        <w:pStyle w:val="3"/>
        <w:spacing w:before="2"/>
        <w:ind w:left="0"/>
        <w:rPr>
          <w:b/>
          <w:sz w:val="19"/>
        </w:rPr>
      </w:pPr>
      <w:r>
        <w:drawing>
          <wp:anchor distT="0" distB="0" distL="0" distR="0" simplePos="0" relativeHeight="251660288" behindDoc="0" locked="0" layoutInCell="1" allowOverlap="1">
            <wp:simplePos x="0" y="0"/>
            <wp:positionH relativeFrom="page">
              <wp:posOffset>1143000</wp:posOffset>
            </wp:positionH>
            <wp:positionV relativeFrom="paragraph">
              <wp:posOffset>180340</wp:posOffset>
            </wp:positionV>
            <wp:extent cx="5206365" cy="1178560"/>
            <wp:effectExtent l="0" t="0" r="0" b="0"/>
            <wp:wrapTopAndBottom/>
            <wp:docPr id="3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6.png"/>
                    <pic:cNvPicPr>
                      <a:picLocks noChangeAspect="1"/>
                    </pic:cNvPicPr>
                  </pic:nvPicPr>
                  <pic:blipFill>
                    <a:blip r:embed="rId21" cstate="print"/>
                    <a:stretch>
                      <a:fillRect/>
                    </a:stretch>
                  </pic:blipFill>
                  <pic:spPr>
                    <a:xfrm>
                      <a:off x="0" y="0"/>
                      <a:ext cx="5206511" cy="1178718"/>
                    </a:xfrm>
                    <a:prstGeom prst="rect">
                      <a:avLst/>
                    </a:prstGeom>
                  </pic:spPr>
                </pic:pic>
              </a:graphicData>
            </a:graphic>
          </wp:anchor>
        </w:drawing>
      </w:r>
    </w:p>
    <w:p w14:paraId="6AC904B5">
      <w:pPr>
        <w:spacing w:after="0"/>
        <w:rPr>
          <w:sz w:val="19"/>
        </w:rPr>
        <w:sectPr>
          <w:pgSz w:w="11920" w:h="16860"/>
          <w:pgMar w:top="1500" w:right="1180" w:bottom="280" w:left="1680" w:header="720" w:footer="720" w:gutter="0"/>
          <w:cols w:space="720" w:num="1"/>
        </w:sectPr>
      </w:pPr>
    </w:p>
    <w:p w14:paraId="2D95CF1B">
      <w:pPr>
        <w:spacing w:before="37"/>
        <w:ind w:left="120" w:right="0" w:firstLine="0"/>
        <w:jc w:val="left"/>
        <w:rPr>
          <w:b/>
          <w:sz w:val="32"/>
        </w:rPr>
      </w:pPr>
      <w:bookmarkStart w:id="23" w:name="_TOC_250002"/>
      <w:bookmarkEnd w:id="23"/>
      <w:r>
        <w:rPr>
          <w:b/>
          <w:sz w:val="32"/>
        </w:rPr>
        <w:t>十一、国有资本经营预算财政拨款收入支出决算表</w:t>
      </w:r>
    </w:p>
    <w:p w14:paraId="6DC15068">
      <w:pPr>
        <w:pStyle w:val="3"/>
        <w:ind w:left="0"/>
        <w:rPr>
          <w:b/>
          <w:sz w:val="20"/>
        </w:rPr>
      </w:pPr>
    </w:p>
    <w:p w14:paraId="6B4B596D">
      <w:pPr>
        <w:pStyle w:val="3"/>
        <w:spacing w:before="8"/>
        <w:ind w:left="0"/>
        <w:rPr>
          <w:b/>
          <w:sz w:val="17"/>
        </w:rPr>
      </w:pPr>
      <w:r>
        <w:drawing>
          <wp:anchor distT="0" distB="0" distL="0" distR="0" simplePos="0" relativeHeight="251660288" behindDoc="0" locked="0" layoutInCell="1" allowOverlap="1">
            <wp:simplePos x="0" y="0"/>
            <wp:positionH relativeFrom="page">
              <wp:posOffset>1143000</wp:posOffset>
            </wp:positionH>
            <wp:positionV relativeFrom="paragraph">
              <wp:posOffset>167640</wp:posOffset>
            </wp:positionV>
            <wp:extent cx="5266055" cy="1809750"/>
            <wp:effectExtent l="0" t="0" r="0" b="0"/>
            <wp:wrapTopAndBottom/>
            <wp:docPr id="3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7.png"/>
                    <pic:cNvPicPr>
                      <a:picLocks noChangeAspect="1"/>
                    </pic:cNvPicPr>
                  </pic:nvPicPr>
                  <pic:blipFill>
                    <a:blip r:embed="rId22" cstate="print"/>
                    <a:stretch>
                      <a:fillRect/>
                    </a:stretch>
                  </pic:blipFill>
                  <pic:spPr>
                    <a:xfrm>
                      <a:off x="0" y="0"/>
                      <a:ext cx="5265868" cy="1809750"/>
                    </a:xfrm>
                    <a:prstGeom prst="rect">
                      <a:avLst/>
                    </a:prstGeom>
                  </pic:spPr>
                </pic:pic>
              </a:graphicData>
            </a:graphic>
          </wp:anchor>
        </w:drawing>
      </w:r>
    </w:p>
    <w:p w14:paraId="6EE20BA8">
      <w:pPr>
        <w:pStyle w:val="3"/>
        <w:spacing w:before="6"/>
        <w:ind w:left="0"/>
        <w:rPr>
          <w:b/>
          <w:sz w:val="12"/>
        </w:rPr>
      </w:pPr>
    </w:p>
    <w:p w14:paraId="7FE62925">
      <w:pPr>
        <w:spacing w:before="55"/>
        <w:ind w:left="120" w:right="0" w:firstLine="0"/>
        <w:jc w:val="left"/>
        <w:rPr>
          <w:b/>
          <w:sz w:val="32"/>
        </w:rPr>
      </w:pPr>
      <w:bookmarkStart w:id="24" w:name="_TOC_250001"/>
      <w:bookmarkEnd w:id="24"/>
      <w:r>
        <w:rPr>
          <w:b/>
          <w:sz w:val="32"/>
        </w:rPr>
        <w:t>十二、国有资本经营预算财政拨款支出决算表</w:t>
      </w:r>
    </w:p>
    <w:p w14:paraId="63BE9FB8">
      <w:pPr>
        <w:pStyle w:val="3"/>
        <w:ind w:left="0"/>
        <w:rPr>
          <w:b/>
          <w:sz w:val="20"/>
        </w:rPr>
      </w:pPr>
    </w:p>
    <w:p w14:paraId="2C0141CA">
      <w:pPr>
        <w:pStyle w:val="3"/>
        <w:spacing w:before="9"/>
        <w:ind w:left="0"/>
        <w:rPr>
          <w:b/>
          <w:sz w:val="18"/>
        </w:rPr>
      </w:pPr>
      <w:r>
        <w:drawing>
          <wp:anchor distT="0" distB="0" distL="0" distR="0" simplePos="0" relativeHeight="251660288" behindDoc="0" locked="0" layoutInCell="1" allowOverlap="1">
            <wp:simplePos x="0" y="0"/>
            <wp:positionH relativeFrom="page">
              <wp:posOffset>1143000</wp:posOffset>
            </wp:positionH>
            <wp:positionV relativeFrom="paragraph">
              <wp:posOffset>177165</wp:posOffset>
            </wp:positionV>
            <wp:extent cx="5257165" cy="1790700"/>
            <wp:effectExtent l="0" t="0" r="0" b="0"/>
            <wp:wrapTopAndBottom/>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png"/>
                    <pic:cNvPicPr>
                      <a:picLocks noChangeAspect="1"/>
                    </pic:cNvPicPr>
                  </pic:nvPicPr>
                  <pic:blipFill>
                    <a:blip r:embed="rId23" cstate="print"/>
                    <a:stretch>
                      <a:fillRect/>
                    </a:stretch>
                  </pic:blipFill>
                  <pic:spPr>
                    <a:xfrm>
                      <a:off x="0" y="0"/>
                      <a:ext cx="5257419" cy="1790700"/>
                    </a:xfrm>
                    <a:prstGeom prst="rect">
                      <a:avLst/>
                    </a:prstGeom>
                  </pic:spPr>
                </pic:pic>
              </a:graphicData>
            </a:graphic>
          </wp:anchor>
        </w:drawing>
      </w:r>
    </w:p>
    <w:p w14:paraId="15DC6EE9">
      <w:pPr>
        <w:pStyle w:val="3"/>
        <w:spacing w:before="7"/>
        <w:ind w:left="0"/>
        <w:rPr>
          <w:b/>
          <w:sz w:val="13"/>
        </w:rPr>
      </w:pPr>
    </w:p>
    <w:p w14:paraId="289068D9">
      <w:pPr>
        <w:spacing w:before="54"/>
        <w:ind w:left="120" w:right="0" w:firstLine="0"/>
        <w:jc w:val="left"/>
        <w:rPr>
          <w:b/>
          <w:sz w:val="32"/>
        </w:rPr>
      </w:pPr>
      <w:bookmarkStart w:id="25" w:name="_TOC_250000"/>
      <w:bookmarkEnd w:id="25"/>
      <w:r>
        <w:rPr>
          <w:b/>
          <w:sz w:val="32"/>
        </w:rPr>
        <w:t>十三、财政拨款“三公”经费支出决算表</w:t>
      </w:r>
    </w:p>
    <w:p w14:paraId="1A79341E">
      <w:pPr>
        <w:pStyle w:val="3"/>
        <w:ind w:left="0"/>
        <w:rPr>
          <w:b/>
          <w:sz w:val="20"/>
        </w:rPr>
      </w:pPr>
    </w:p>
    <w:p w14:paraId="5050BEDA">
      <w:pPr>
        <w:pStyle w:val="3"/>
        <w:spacing w:before="10"/>
        <w:ind w:left="0"/>
        <w:rPr>
          <w:b/>
          <w:sz w:val="12"/>
        </w:rPr>
      </w:pPr>
      <w:r>
        <w:drawing>
          <wp:anchor distT="0" distB="0" distL="0" distR="0" simplePos="0" relativeHeight="251660288" behindDoc="0" locked="0" layoutInCell="1" allowOverlap="1">
            <wp:simplePos x="0" y="0"/>
            <wp:positionH relativeFrom="page">
              <wp:posOffset>1143000</wp:posOffset>
            </wp:positionH>
            <wp:positionV relativeFrom="paragraph">
              <wp:posOffset>128270</wp:posOffset>
            </wp:positionV>
            <wp:extent cx="5257165" cy="1276350"/>
            <wp:effectExtent l="0" t="0" r="0" b="0"/>
            <wp:wrapTopAndBottom/>
            <wp:docPr id="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9.png"/>
                    <pic:cNvPicPr>
                      <a:picLocks noChangeAspect="1"/>
                    </pic:cNvPicPr>
                  </pic:nvPicPr>
                  <pic:blipFill>
                    <a:blip r:embed="rId24" cstate="print"/>
                    <a:stretch>
                      <a:fillRect/>
                    </a:stretch>
                  </pic:blipFill>
                  <pic:spPr>
                    <a:xfrm>
                      <a:off x="0" y="0"/>
                      <a:ext cx="5257419" cy="1276350"/>
                    </a:xfrm>
                    <a:prstGeom prst="rect">
                      <a:avLst/>
                    </a:prstGeom>
                  </pic:spPr>
                </pic:pic>
              </a:graphicData>
            </a:graphic>
          </wp:anchor>
        </w:drawing>
      </w:r>
    </w:p>
    <w:sectPr>
      <w:pgSz w:w="11920" w:h="16860"/>
      <w:pgMar w:top="1500" w:right="1180" w:bottom="280" w:left="16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C3BCE9"/>
    <w:multiLevelType w:val="multilevel"/>
    <w:tmpl w:val="8CC3BCE9"/>
    <w:lvl w:ilvl="0" w:tentative="0">
      <w:start w:val="1"/>
      <w:numFmt w:val="decimal"/>
      <w:lvlText w:val="%1."/>
      <w:lvlJc w:val="left"/>
      <w:pPr>
        <w:ind w:left="1082" w:hanging="322"/>
        <w:jc w:val="left"/>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1877" w:hanging="322"/>
      </w:pPr>
      <w:rPr>
        <w:rFonts w:hint="default"/>
        <w:lang w:val="zh-CN" w:eastAsia="zh-CN" w:bidi="zh-CN"/>
      </w:rPr>
    </w:lvl>
    <w:lvl w:ilvl="2" w:tentative="0">
      <w:start w:val="0"/>
      <w:numFmt w:val="bullet"/>
      <w:lvlText w:val="•"/>
      <w:lvlJc w:val="left"/>
      <w:pPr>
        <w:ind w:left="2675" w:hanging="322"/>
      </w:pPr>
      <w:rPr>
        <w:rFonts w:hint="default"/>
        <w:lang w:val="zh-CN" w:eastAsia="zh-CN" w:bidi="zh-CN"/>
      </w:rPr>
    </w:lvl>
    <w:lvl w:ilvl="3" w:tentative="0">
      <w:start w:val="0"/>
      <w:numFmt w:val="bullet"/>
      <w:lvlText w:val="•"/>
      <w:lvlJc w:val="left"/>
      <w:pPr>
        <w:ind w:left="3472" w:hanging="322"/>
      </w:pPr>
      <w:rPr>
        <w:rFonts w:hint="default"/>
        <w:lang w:val="zh-CN" w:eastAsia="zh-CN" w:bidi="zh-CN"/>
      </w:rPr>
    </w:lvl>
    <w:lvl w:ilvl="4" w:tentative="0">
      <w:start w:val="0"/>
      <w:numFmt w:val="bullet"/>
      <w:lvlText w:val="•"/>
      <w:lvlJc w:val="left"/>
      <w:pPr>
        <w:ind w:left="4270" w:hanging="322"/>
      </w:pPr>
      <w:rPr>
        <w:rFonts w:hint="default"/>
        <w:lang w:val="zh-CN" w:eastAsia="zh-CN" w:bidi="zh-CN"/>
      </w:rPr>
    </w:lvl>
    <w:lvl w:ilvl="5" w:tentative="0">
      <w:start w:val="0"/>
      <w:numFmt w:val="bullet"/>
      <w:lvlText w:val="•"/>
      <w:lvlJc w:val="left"/>
      <w:pPr>
        <w:ind w:left="5067" w:hanging="322"/>
      </w:pPr>
      <w:rPr>
        <w:rFonts w:hint="default"/>
        <w:lang w:val="zh-CN" w:eastAsia="zh-CN" w:bidi="zh-CN"/>
      </w:rPr>
    </w:lvl>
    <w:lvl w:ilvl="6" w:tentative="0">
      <w:start w:val="0"/>
      <w:numFmt w:val="bullet"/>
      <w:lvlText w:val="•"/>
      <w:lvlJc w:val="left"/>
      <w:pPr>
        <w:ind w:left="5865" w:hanging="322"/>
      </w:pPr>
      <w:rPr>
        <w:rFonts w:hint="default"/>
        <w:lang w:val="zh-CN" w:eastAsia="zh-CN" w:bidi="zh-CN"/>
      </w:rPr>
    </w:lvl>
    <w:lvl w:ilvl="7" w:tentative="0">
      <w:start w:val="0"/>
      <w:numFmt w:val="bullet"/>
      <w:lvlText w:val="•"/>
      <w:lvlJc w:val="left"/>
      <w:pPr>
        <w:ind w:left="6662" w:hanging="322"/>
      </w:pPr>
      <w:rPr>
        <w:rFonts w:hint="default"/>
        <w:lang w:val="zh-CN" w:eastAsia="zh-CN" w:bidi="zh-CN"/>
      </w:rPr>
    </w:lvl>
    <w:lvl w:ilvl="8" w:tentative="0">
      <w:start w:val="0"/>
      <w:numFmt w:val="bullet"/>
      <w:lvlText w:val="•"/>
      <w:lvlJc w:val="left"/>
      <w:pPr>
        <w:ind w:left="7460" w:hanging="322"/>
      </w:pPr>
      <w:rPr>
        <w:rFonts w:hint="default"/>
        <w:lang w:val="zh-CN" w:eastAsia="zh-CN" w:bidi="zh-CN"/>
      </w:rPr>
    </w:lvl>
  </w:abstractNum>
  <w:abstractNum w:abstractNumId="1">
    <w:nsid w:val="C3BBC0D4"/>
    <w:multiLevelType w:val="multilevel"/>
    <w:tmpl w:val="C3BBC0D4"/>
    <w:lvl w:ilvl="0" w:tentative="0">
      <w:start w:val="1"/>
      <w:numFmt w:val="decimalZero"/>
      <w:lvlText w:val="（%1）"/>
      <w:lvlJc w:val="left"/>
      <w:pPr>
        <w:ind w:left="120" w:hanging="961"/>
        <w:jc w:val="left"/>
      </w:pPr>
      <w:rPr>
        <w:rFonts w:hint="default" w:ascii="仿宋" w:hAnsi="仿宋" w:eastAsia="仿宋" w:cs="仿宋"/>
        <w:spacing w:val="-81"/>
        <w:w w:val="99"/>
        <w:sz w:val="30"/>
        <w:szCs w:val="30"/>
        <w:lang w:val="zh-CN" w:eastAsia="zh-CN" w:bidi="zh-CN"/>
      </w:rPr>
    </w:lvl>
    <w:lvl w:ilvl="1" w:tentative="0">
      <w:start w:val="0"/>
      <w:numFmt w:val="bullet"/>
      <w:lvlText w:val="•"/>
      <w:lvlJc w:val="left"/>
      <w:pPr>
        <w:ind w:left="1013" w:hanging="961"/>
      </w:pPr>
      <w:rPr>
        <w:rFonts w:hint="default"/>
        <w:lang w:val="zh-CN" w:eastAsia="zh-CN" w:bidi="zh-CN"/>
      </w:rPr>
    </w:lvl>
    <w:lvl w:ilvl="2" w:tentative="0">
      <w:start w:val="0"/>
      <w:numFmt w:val="bullet"/>
      <w:lvlText w:val="•"/>
      <w:lvlJc w:val="left"/>
      <w:pPr>
        <w:ind w:left="1907" w:hanging="961"/>
      </w:pPr>
      <w:rPr>
        <w:rFonts w:hint="default"/>
        <w:lang w:val="zh-CN" w:eastAsia="zh-CN" w:bidi="zh-CN"/>
      </w:rPr>
    </w:lvl>
    <w:lvl w:ilvl="3" w:tentative="0">
      <w:start w:val="0"/>
      <w:numFmt w:val="bullet"/>
      <w:lvlText w:val="•"/>
      <w:lvlJc w:val="left"/>
      <w:pPr>
        <w:ind w:left="2800" w:hanging="961"/>
      </w:pPr>
      <w:rPr>
        <w:rFonts w:hint="default"/>
        <w:lang w:val="zh-CN" w:eastAsia="zh-CN" w:bidi="zh-CN"/>
      </w:rPr>
    </w:lvl>
    <w:lvl w:ilvl="4" w:tentative="0">
      <w:start w:val="0"/>
      <w:numFmt w:val="bullet"/>
      <w:lvlText w:val="•"/>
      <w:lvlJc w:val="left"/>
      <w:pPr>
        <w:ind w:left="3694" w:hanging="961"/>
      </w:pPr>
      <w:rPr>
        <w:rFonts w:hint="default"/>
        <w:lang w:val="zh-CN" w:eastAsia="zh-CN" w:bidi="zh-CN"/>
      </w:rPr>
    </w:lvl>
    <w:lvl w:ilvl="5" w:tentative="0">
      <w:start w:val="0"/>
      <w:numFmt w:val="bullet"/>
      <w:lvlText w:val="•"/>
      <w:lvlJc w:val="left"/>
      <w:pPr>
        <w:ind w:left="4587" w:hanging="961"/>
      </w:pPr>
      <w:rPr>
        <w:rFonts w:hint="default"/>
        <w:lang w:val="zh-CN" w:eastAsia="zh-CN" w:bidi="zh-CN"/>
      </w:rPr>
    </w:lvl>
    <w:lvl w:ilvl="6" w:tentative="0">
      <w:start w:val="0"/>
      <w:numFmt w:val="bullet"/>
      <w:lvlText w:val="•"/>
      <w:lvlJc w:val="left"/>
      <w:pPr>
        <w:ind w:left="5481" w:hanging="961"/>
      </w:pPr>
      <w:rPr>
        <w:rFonts w:hint="default"/>
        <w:lang w:val="zh-CN" w:eastAsia="zh-CN" w:bidi="zh-CN"/>
      </w:rPr>
    </w:lvl>
    <w:lvl w:ilvl="7" w:tentative="0">
      <w:start w:val="0"/>
      <w:numFmt w:val="bullet"/>
      <w:lvlText w:val="•"/>
      <w:lvlJc w:val="left"/>
      <w:pPr>
        <w:ind w:left="6374" w:hanging="961"/>
      </w:pPr>
      <w:rPr>
        <w:rFonts w:hint="default"/>
        <w:lang w:val="zh-CN" w:eastAsia="zh-CN" w:bidi="zh-CN"/>
      </w:rPr>
    </w:lvl>
    <w:lvl w:ilvl="8" w:tentative="0">
      <w:start w:val="0"/>
      <w:numFmt w:val="bullet"/>
      <w:lvlText w:val="•"/>
      <w:lvlJc w:val="left"/>
      <w:pPr>
        <w:ind w:left="7268" w:hanging="961"/>
      </w:pPr>
      <w:rPr>
        <w:rFonts w:hint="default"/>
        <w:lang w:val="zh-CN" w:eastAsia="zh-CN" w:bidi="zh-CN"/>
      </w:rPr>
    </w:lvl>
  </w:abstractNum>
  <w:abstractNum w:abstractNumId="2">
    <w:nsid w:val="DCB6DE11"/>
    <w:multiLevelType w:val="multilevel"/>
    <w:tmpl w:val="DCB6DE11"/>
    <w:lvl w:ilvl="0" w:tentative="0">
      <w:start w:val="9"/>
      <w:numFmt w:val="decimal"/>
      <w:lvlText w:val="%1."/>
      <w:lvlJc w:val="left"/>
      <w:pPr>
        <w:ind w:left="1082" w:hanging="322"/>
        <w:jc w:val="left"/>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1877" w:hanging="322"/>
      </w:pPr>
      <w:rPr>
        <w:rFonts w:hint="default"/>
        <w:lang w:val="zh-CN" w:eastAsia="zh-CN" w:bidi="zh-CN"/>
      </w:rPr>
    </w:lvl>
    <w:lvl w:ilvl="2" w:tentative="0">
      <w:start w:val="0"/>
      <w:numFmt w:val="bullet"/>
      <w:lvlText w:val="•"/>
      <w:lvlJc w:val="left"/>
      <w:pPr>
        <w:ind w:left="2675" w:hanging="322"/>
      </w:pPr>
      <w:rPr>
        <w:rFonts w:hint="default"/>
        <w:lang w:val="zh-CN" w:eastAsia="zh-CN" w:bidi="zh-CN"/>
      </w:rPr>
    </w:lvl>
    <w:lvl w:ilvl="3" w:tentative="0">
      <w:start w:val="0"/>
      <w:numFmt w:val="bullet"/>
      <w:lvlText w:val="•"/>
      <w:lvlJc w:val="left"/>
      <w:pPr>
        <w:ind w:left="3472" w:hanging="322"/>
      </w:pPr>
      <w:rPr>
        <w:rFonts w:hint="default"/>
        <w:lang w:val="zh-CN" w:eastAsia="zh-CN" w:bidi="zh-CN"/>
      </w:rPr>
    </w:lvl>
    <w:lvl w:ilvl="4" w:tentative="0">
      <w:start w:val="0"/>
      <w:numFmt w:val="bullet"/>
      <w:lvlText w:val="•"/>
      <w:lvlJc w:val="left"/>
      <w:pPr>
        <w:ind w:left="4270" w:hanging="322"/>
      </w:pPr>
      <w:rPr>
        <w:rFonts w:hint="default"/>
        <w:lang w:val="zh-CN" w:eastAsia="zh-CN" w:bidi="zh-CN"/>
      </w:rPr>
    </w:lvl>
    <w:lvl w:ilvl="5" w:tentative="0">
      <w:start w:val="0"/>
      <w:numFmt w:val="bullet"/>
      <w:lvlText w:val="•"/>
      <w:lvlJc w:val="left"/>
      <w:pPr>
        <w:ind w:left="5067" w:hanging="322"/>
      </w:pPr>
      <w:rPr>
        <w:rFonts w:hint="default"/>
        <w:lang w:val="zh-CN" w:eastAsia="zh-CN" w:bidi="zh-CN"/>
      </w:rPr>
    </w:lvl>
    <w:lvl w:ilvl="6" w:tentative="0">
      <w:start w:val="0"/>
      <w:numFmt w:val="bullet"/>
      <w:lvlText w:val="•"/>
      <w:lvlJc w:val="left"/>
      <w:pPr>
        <w:ind w:left="5865" w:hanging="322"/>
      </w:pPr>
      <w:rPr>
        <w:rFonts w:hint="default"/>
        <w:lang w:val="zh-CN" w:eastAsia="zh-CN" w:bidi="zh-CN"/>
      </w:rPr>
    </w:lvl>
    <w:lvl w:ilvl="7" w:tentative="0">
      <w:start w:val="0"/>
      <w:numFmt w:val="bullet"/>
      <w:lvlText w:val="•"/>
      <w:lvlJc w:val="left"/>
      <w:pPr>
        <w:ind w:left="6662" w:hanging="322"/>
      </w:pPr>
      <w:rPr>
        <w:rFonts w:hint="default"/>
        <w:lang w:val="zh-CN" w:eastAsia="zh-CN" w:bidi="zh-CN"/>
      </w:rPr>
    </w:lvl>
    <w:lvl w:ilvl="8" w:tentative="0">
      <w:start w:val="0"/>
      <w:numFmt w:val="bullet"/>
      <w:lvlText w:val="•"/>
      <w:lvlJc w:val="left"/>
      <w:pPr>
        <w:ind w:left="7460" w:hanging="322"/>
      </w:pPr>
      <w:rPr>
        <w:rFonts w:hint="default"/>
        <w:lang w:val="zh-CN" w:eastAsia="zh-CN" w:bidi="zh-CN"/>
      </w:rPr>
    </w:lvl>
  </w:abstractNum>
  <w:abstractNum w:abstractNumId="3">
    <w:nsid w:val="FADE8D02"/>
    <w:multiLevelType w:val="multilevel"/>
    <w:tmpl w:val="FADE8D02"/>
    <w:lvl w:ilvl="0" w:tentative="0">
      <w:start w:val="41"/>
      <w:numFmt w:val="decimal"/>
      <w:lvlText w:val="%1"/>
      <w:lvlJc w:val="left"/>
      <w:pPr>
        <w:ind w:left="921" w:hanging="802"/>
        <w:jc w:val="left"/>
      </w:pPr>
      <w:rPr>
        <w:rFonts w:hint="default"/>
        <w:lang w:val="zh-CN" w:eastAsia="zh-CN" w:bidi="zh-CN"/>
      </w:rPr>
    </w:lvl>
    <w:lvl w:ilvl="1" w:tentative="0">
      <w:start w:val="38"/>
      <w:numFmt w:val="decimal"/>
      <w:lvlText w:val="%1.%2"/>
      <w:lvlJc w:val="left"/>
      <w:pPr>
        <w:ind w:left="921" w:hanging="802"/>
        <w:jc w:val="left"/>
      </w:pPr>
      <w:rPr>
        <w:rFonts w:hint="default" w:ascii="仿宋" w:hAnsi="仿宋" w:eastAsia="仿宋" w:cs="仿宋"/>
        <w:spacing w:val="-2"/>
        <w:w w:val="99"/>
        <w:sz w:val="30"/>
        <w:szCs w:val="30"/>
        <w:lang w:val="zh-CN" w:eastAsia="zh-CN" w:bidi="zh-CN"/>
      </w:rPr>
    </w:lvl>
    <w:lvl w:ilvl="2" w:tentative="0">
      <w:start w:val="1"/>
      <w:numFmt w:val="decimal"/>
      <w:lvlText w:val="%3."/>
      <w:lvlJc w:val="left"/>
      <w:pPr>
        <w:ind w:left="120" w:hanging="322"/>
        <w:jc w:val="left"/>
      </w:pPr>
      <w:rPr>
        <w:rFonts w:hint="default"/>
        <w:spacing w:val="-2"/>
        <w:w w:val="99"/>
        <w:lang w:val="zh-CN" w:eastAsia="zh-CN" w:bidi="zh-CN"/>
      </w:rPr>
    </w:lvl>
    <w:lvl w:ilvl="3" w:tentative="0">
      <w:start w:val="0"/>
      <w:numFmt w:val="bullet"/>
      <w:lvlText w:val="•"/>
      <w:lvlJc w:val="left"/>
      <w:pPr>
        <w:ind w:left="2727" w:hanging="322"/>
      </w:pPr>
      <w:rPr>
        <w:rFonts w:hint="default"/>
        <w:lang w:val="zh-CN" w:eastAsia="zh-CN" w:bidi="zh-CN"/>
      </w:rPr>
    </w:lvl>
    <w:lvl w:ilvl="4" w:tentative="0">
      <w:start w:val="0"/>
      <w:numFmt w:val="bullet"/>
      <w:lvlText w:val="•"/>
      <w:lvlJc w:val="left"/>
      <w:pPr>
        <w:ind w:left="3631" w:hanging="322"/>
      </w:pPr>
      <w:rPr>
        <w:rFonts w:hint="default"/>
        <w:lang w:val="zh-CN" w:eastAsia="zh-CN" w:bidi="zh-CN"/>
      </w:rPr>
    </w:lvl>
    <w:lvl w:ilvl="5" w:tentative="0">
      <w:start w:val="0"/>
      <w:numFmt w:val="bullet"/>
      <w:lvlText w:val="•"/>
      <w:lvlJc w:val="left"/>
      <w:pPr>
        <w:ind w:left="4535" w:hanging="322"/>
      </w:pPr>
      <w:rPr>
        <w:rFonts w:hint="default"/>
        <w:lang w:val="zh-CN" w:eastAsia="zh-CN" w:bidi="zh-CN"/>
      </w:rPr>
    </w:lvl>
    <w:lvl w:ilvl="6" w:tentative="0">
      <w:start w:val="0"/>
      <w:numFmt w:val="bullet"/>
      <w:lvlText w:val="•"/>
      <w:lvlJc w:val="left"/>
      <w:pPr>
        <w:ind w:left="5439" w:hanging="322"/>
      </w:pPr>
      <w:rPr>
        <w:rFonts w:hint="default"/>
        <w:lang w:val="zh-CN" w:eastAsia="zh-CN" w:bidi="zh-CN"/>
      </w:rPr>
    </w:lvl>
    <w:lvl w:ilvl="7" w:tentative="0">
      <w:start w:val="0"/>
      <w:numFmt w:val="bullet"/>
      <w:lvlText w:val="•"/>
      <w:lvlJc w:val="left"/>
      <w:pPr>
        <w:ind w:left="6343" w:hanging="322"/>
      </w:pPr>
      <w:rPr>
        <w:rFonts w:hint="default"/>
        <w:lang w:val="zh-CN" w:eastAsia="zh-CN" w:bidi="zh-CN"/>
      </w:rPr>
    </w:lvl>
    <w:lvl w:ilvl="8" w:tentative="0">
      <w:start w:val="0"/>
      <w:numFmt w:val="bullet"/>
      <w:lvlText w:val="•"/>
      <w:lvlJc w:val="left"/>
      <w:pPr>
        <w:ind w:left="7247" w:hanging="322"/>
      </w:pPr>
      <w:rPr>
        <w:rFonts w:hint="default"/>
        <w:lang w:val="zh-CN" w:eastAsia="zh-CN" w:bidi="zh-CN"/>
      </w:rPr>
    </w:lvl>
  </w:abstractNum>
  <w:abstractNum w:abstractNumId="4">
    <w:nsid w:val="188325C5"/>
    <w:multiLevelType w:val="multilevel"/>
    <w:tmpl w:val="188325C5"/>
    <w:lvl w:ilvl="0" w:tentative="0">
      <w:start w:val="2"/>
      <w:numFmt w:val="decimal"/>
      <w:lvlText w:val="%1."/>
      <w:lvlJc w:val="left"/>
      <w:pPr>
        <w:ind w:left="1082" w:hanging="322"/>
        <w:jc w:val="left"/>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1877" w:hanging="322"/>
      </w:pPr>
      <w:rPr>
        <w:rFonts w:hint="default"/>
        <w:lang w:val="zh-CN" w:eastAsia="zh-CN" w:bidi="zh-CN"/>
      </w:rPr>
    </w:lvl>
    <w:lvl w:ilvl="2" w:tentative="0">
      <w:start w:val="0"/>
      <w:numFmt w:val="bullet"/>
      <w:lvlText w:val="•"/>
      <w:lvlJc w:val="left"/>
      <w:pPr>
        <w:ind w:left="2675" w:hanging="322"/>
      </w:pPr>
      <w:rPr>
        <w:rFonts w:hint="default"/>
        <w:lang w:val="zh-CN" w:eastAsia="zh-CN" w:bidi="zh-CN"/>
      </w:rPr>
    </w:lvl>
    <w:lvl w:ilvl="3" w:tentative="0">
      <w:start w:val="0"/>
      <w:numFmt w:val="bullet"/>
      <w:lvlText w:val="•"/>
      <w:lvlJc w:val="left"/>
      <w:pPr>
        <w:ind w:left="3472" w:hanging="322"/>
      </w:pPr>
      <w:rPr>
        <w:rFonts w:hint="default"/>
        <w:lang w:val="zh-CN" w:eastAsia="zh-CN" w:bidi="zh-CN"/>
      </w:rPr>
    </w:lvl>
    <w:lvl w:ilvl="4" w:tentative="0">
      <w:start w:val="0"/>
      <w:numFmt w:val="bullet"/>
      <w:lvlText w:val="•"/>
      <w:lvlJc w:val="left"/>
      <w:pPr>
        <w:ind w:left="4270" w:hanging="322"/>
      </w:pPr>
      <w:rPr>
        <w:rFonts w:hint="default"/>
        <w:lang w:val="zh-CN" w:eastAsia="zh-CN" w:bidi="zh-CN"/>
      </w:rPr>
    </w:lvl>
    <w:lvl w:ilvl="5" w:tentative="0">
      <w:start w:val="0"/>
      <w:numFmt w:val="bullet"/>
      <w:lvlText w:val="•"/>
      <w:lvlJc w:val="left"/>
      <w:pPr>
        <w:ind w:left="5067" w:hanging="322"/>
      </w:pPr>
      <w:rPr>
        <w:rFonts w:hint="default"/>
        <w:lang w:val="zh-CN" w:eastAsia="zh-CN" w:bidi="zh-CN"/>
      </w:rPr>
    </w:lvl>
    <w:lvl w:ilvl="6" w:tentative="0">
      <w:start w:val="0"/>
      <w:numFmt w:val="bullet"/>
      <w:lvlText w:val="•"/>
      <w:lvlJc w:val="left"/>
      <w:pPr>
        <w:ind w:left="5865" w:hanging="322"/>
      </w:pPr>
      <w:rPr>
        <w:rFonts w:hint="default"/>
        <w:lang w:val="zh-CN" w:eastAsia="zh-CN" w:bidi="zh-CN"/>
      </w:rPr>
    </w:lvl>
    <w:lvl w:ilvl="7" w:tentative="0">
      <w:start w:val="0"/>
      <w:numFmt w:val="bullet"/>
      <w:lvlText w:val="•"/>
      <w:lvlJc w:val="left"/>
      <w:pPr>
        <w:ind w:left="6662" w:hanging="322"/>
      </w:pPr>
      <w:rPr>
        <w:rFonts w:hint="default"/>
        <w:lang w:val="zh-CN" w:eastAsia="zh-CN" w:bidi="zh-CN"/>
      </w:rPr>
    </w:lvl>
    <w:lvl w:ilvl="8" w:tentative="0">
      <w:start w:val="0"/>
      <w:numFmt w:val="bullet"/>
      <w:lvlText w:val="•"/>
      <w:lvlJc w:val="left"/>
      <w:pPr>
        <w:ind w:left="7460" w:hanging="322"/>
      </w:pPr>
      <w:rPr>
        <w:rFonts w:hint="default"/>
        <w:lang w:val="zh-CN" w:eastAsia="zh-CN" w:bidi="zh-CN"/>
      </w:rPr>
    </w:lvl>
  </w:abstractNum>
  <w:abstractNum w:abstractNumId="5">
    <w:nsid w:val="1CC95F8D"/>
    <w:multiLevelType w:val="multilevel"/>
    <w:tmpl w:val="1CC95F8D"/>
    <w:lvl w:ilvl="0" w:tentative="0">
      <w:start w:val="1"/>
      <w:numFmt w:val="decimal"/>
      <w:lvlText w:val="%1."/>
      <w:lvlJc w:val="left"/>
      <w:pPr>
        <w:ind w:left="1082" w:hanging="322"/>
        <w:jc w:val="left"/>
      </w:pPr>
      <w:rPr>
        <w:rFonts w:hint="default" w:ascii="仿宋" w:hAnsi="仿宋" w:eastAsia="仿宋" w:cs="仿宋"/>
        <w:b/>
        <w:bCs/>
        <w:spacing w:val="1"/>
        <w:w w:val="98"/>
        <w:sz w:val="30"/>
        <w:szCs w:val="30"/>
        <w:lang w:val="zh-CN" w:eastAsia="zh-CN" w:bidi="zh-CN"/>
      </w:rPr>
    </w:lvl>
    <w:lvl w:ilvl="1" w:tentative="0">
      <w:start w:val="0"/>
      <w:numFmt w:val="bullet"/>
      <w:lvlText w:val="•"/>
      <w:lvlJc w:val="left"/>
      <w:pPr>
        <w:ind w:left="1877" w:hanging="322"/>
      </w:pPr>
      <w:rPr>
        <w:rFonts w:hint="default"/>
        <w:lang w:val="zh-CN" w:eastAsia="zh-CN" w:bidi="zh-CN"/>
      </w:rPr>
    </w:lvl>
    <w:lvl w:ilvl="2" w:tentative="0">
      <w:start w:val="0"/>
      <w:numFmt w:val="bullet"/>
      <w:lvlText w:val="•"/>
      <w:lvlJc w:val="left"/>
      <w:pPr>
        <w:ind w:left="2675" w:hanging="322"/>
      </w:pPr>
      <w:rPr>
        <w:rFonts w:hint="default"/>
        <w:lang w:val="zh-CN" w:eastAsia="zh-CN" w:bidi="zh-CN"/>
      </w:rPr>
    </w:lvl>
    <w:lvl w:ilvl="3" w:tentative="0">
      <w:start w:val="0"/>
      <w:numFmt w:val="bullet"/>
      <w:lvlText w:val="•"/>
      <w:lvlJc w:val="left"/>
      <w:pPr>
        <w:ind w:left="3472" w:hanging="322"/>
      </w:pPr>
      <w:rPr>
        <w:rFonts w:hint="default"/>
        <w:lang w:val="zh-CN" w:eastAsia="zh-CN" w:bidi="zh-CN"/>
      </w:rPr>
    </w:lvl>
    <w:lvl w:ilvl="4" w:tentative="0">
      <w:start w:val="0"/>
      <w:numFmt w:val="bullet"/>
      <w:lvlText w:val="•"/>
      <w:lvlJc w:val="left"/>
      <w:pPr>
        <w:ind w:left="4270" w:hanging="322"/>
      </w:pPr>
      <w:rPr>
        <w:rFonts w:hint="default"/>
        <w:lang w:val="zh-CN" w:eastAsia="zh-CN" w:bidi="zh-CN"/>
      </w:rPr>
    </w:lvl>
    <w:lvl w:ilvl="5" w:tentative="0">
      <w:start w:val="0"/>
      <w:numFmt w:val="bullet"/>
      <w:lvlText w:val="•"/>
      <w:lvlJc w:val="left"/>
      <w:pPr>
        <w:ind w:left="5067" w:hanging="322"/>
      </w:pPr>
      <w:rPr>
        <w:rFonts w:hint="default"/>
        <w:lang w:val="zh-CN" w:eastAsia="zh-CN" w:bidi="zh-CN"/>
      </w:rPr>
    </w:lvl>
    <w:lvl w:ilvl="6" w:tentative="0">
      <w:start w:val="0"/>
      <w:numFmt w:val="bullet"/>
      <w:lvlText w:val="•"/>
      <w:lvlJc w:val="left"/>
      <w:pPr>
        <w:ind w:left="5865" w:hanging="322"/>
      </w:pPr>
      <w:rPr>
        <w:rFonts w:hint="default"/>
        <w:lang w:val="zh-CN" w:eastAsia="zh-CN" w:bidi="zh-CN"/>
      </w:rPr>
    </w:lvl>
    <w:lvl w:ilvl="7" w:tentative="0">
      <w:start w:val="0"/>
      <w:numFmt w:val="bullet"/>
      <w:lvlText w:val="•"/>
      <w:lvlJc w:val="left"/>
      <w:pPr>
        <w:ind w:left="6662" w:hanging="322"/>
      </w:pPr>
      <w:rPr>
        <w:rFonts w:hint="default"/>
        <w:lang w:val="zh-CN" w:eastAsia="zh-CN" w:bidi="zh-CN"/>
      </w:rPr>
    </w:lvl>
    <w:lvl w:ilvl="8" w:tentative="0">
      <w:start w:val="0"/>
      <w:numFmt w:val="bullet"/>
      <w:lvlText w:val="•"/>
      <w:lvlJc w:val="left"/>
      <w:pPr>
        <w:ind w:left="7460" w:hanging="322"/>
      </w:pPr>
      <w:rPr>
        <w:rFonts w:hint="default"/>
        <w:lang w:val="zh-CN" w:eastAsia="zh-CN" w:bidi="zh-CN"/>
      </w:rPr>
    </w:lvl>
  </w:abstractNum>
  <w:abstractNum w:abstractNumId="6">
    <w:nsid w:val="2075C231"/>
    <w:multiLevelType w:val="multilevel"/>
    <w:tmpl w:val="2075C231"/>
    <w:lvl w:ilvl="0" w:tentative="0">
      <w:start w:val="1"/>
      <w:numFmt w:val="decimal"/>
      <w:lvlText w:val="%1."/>
      <w:lvlJc w:val="left"/>
      <w:pPr>
        <w:ind w:left="120" w:hanging="322"/>
        <w:jc w:val="left"/>
      </w:pPr>
      <w:rPr>
        <w:rFonts w:hint="default" w:ascii="宋体" w:hAnsi="宋体" w:eastAsia="宋体" w:cs="宋体"/>
        <w:spacing w:val="-2"/>
        <w:w w:val="99"/>
        <w:sz w:val="30"/>
        <w:szCs w:val="30"/>
        <w:lang w:val="zh-CN" w:eastAsia="zh-CN" w:bidi="zh-CN"/>
      </w:rPr>
    </w:lvl>
    <w:lvl w:ilvl="1" w:tentative="0">
      <w:start w:val="0"/>
      <w:numFmt w:val="bullet"/>
      <w:lvlText w:val="•"/>
      <w:lvlJc w:val="left"/>
      <w:pPr>
        <w:ind w:left="1013" w:hanging="322"/>
      </w:pPr>
      <w:rPr>
        <w:rFonts w:hint="default"/>
        <w:lang w:val="zh-CN" w:eastAsia="zh-CN" w:bidi="zh-CN"/>
      </w:rPr>
    </w:lvl>
    <w:lvl w:ilvl="2" w:tentative="0">
      <w:start w:val="0"/>
      <w:numFmt w:val="bullet"/>
      <w:lvlText w:val="•"/>
      <w:lvlJc w:val="left"/>
      <w:pPr>
        <w:ind w:left="1907" w:hanging="322"/>
      </w:pPr>
      <w:rPr>
        <w:rFonts w:hint="default"/>
        <w:lang w:val="zh-CN" w:eastAsia="zh-CN" w:bidi="zh-CN"/>
      </w:rPr>
    </w:lvl>
    <w:lvl w:ilvl="3" w:tentative="0">
      <w:start w:val="0"/>
      <w:numFmt w:val="bullet"/>
      <w:lvlText w:val="•"/>
      <w:lvlJc w:val="left"/>
      <w:pPr>
        <w:ind w:left="2800" w:hanging="322"/>
      </w:pPr>
      <w:rPr>
        <w:rFonts w:hint="default"/>
        <w:lang w:val="zh-CN" w:eastAsia="zh-CN" w:bidi="zh-CN"/>
      </w:rPr>
    </w:lvl>
    <w:lvl w:ilvl="4" w:tentative="0">
      <w:start w:val="0"/>
      <w:numFmt w:val="bullet"/>
      <w:lvlText w:val="•"/>
      <w:lvlJc w:val="left"/>
      <w:pPr>
        <w:ind w:left="3694" w:hanging="322"/>
      </w:pPr>
      <w:rPr>
        <w:rFonts w:hint="default"/>
        <w:lang w:val="zh-CN" w:eastAsia="zh-CN" w:bidi="zh-CN"/>
      </w:rPr>
    </w:lvl>
    <w:lvl w:ilvl="5" w:tentative="0">
      <w:start w:val="0"/>
      <w:numFmt w:val="bullet"/>
      <w:lvlText w:val="•"/>
      <w:lvlJc w:val="left"/>
      <w:pPr>
        <w:ind w:left="4587" w:hanging="322"/>
      </w:pPr>
      <w:rPr>
        <w:rFonts w:hint="default"/>
        <w:lang w:val="zh-CN" w:eastAsia="zh-CN" w:bidi="zh-CN"/>
      </w:rPr>
    </w:lvl>
    <w:lvl w:ilvl="6" w:tentative="0">
      <w:start w:val="0"/>
      <w:numFmt w:val="bullet"/>
      <w:lvlText w:val="•"/>
      <w:lvlJc w:val="left"/>
      <w:pPr>
        <w:ind w:left="5481" w:hanging="322"/>
      </w:pPr>
      <w:rPr>
        <w:rFonts w:hint="default"/>
        <w:lang w:val="zh-CN" w:eastAsia="zh-CN" w:bidi="zh-CN"/>
      </w:rPr>
    </w:lvl>
    <w:lvl w:ilvl="7" w:tentative="0">
      <w:start w:val="0"/>
      <w:numFmt w:val="bullet"/>
      <w:lvlText w:val="•"/>
      <w:lvlJc w:val="left"/>
      <w:pPr>
        <w:ind w:left="6374" w:hanging="322"/>
      </w:pPr>
      <w:rPr>
        <w:rFonts w:hint="default"/>
        <w:lang w:val="zh-CN" w:eastAsia="zh-CN" w:bidi="zh-CN"/>
      </w:rPr>
    </w:lvl>
    <w:lvl w:ilvl="8" w:tentative="0">
      <w:start w:val="0"/>
      <w:numFmt w:val="bullet"/>
      <w:lvlText w:val="•"/>
      <w:lvlJc w:val="left"/>
      <w:pPr>
        <w:ind w:left="7268" w:hanging="322"/>
      </w:pPr>
      <w:rPr>
        <w:rFonts w:hint="default"/>
        <w:lang w:val="zh-CN" w:eastAsia="zh-CN" w:bidi="zh-CN"/>
      </w:rPr>
    </w:lvl>
  </w:abstractNum>
  <w:abstractNum w:abstractNumId="7">
    <w:nsid w:val="38DB8211"/>
    <w:multiLevelType w:val="multilevel"/>
    <w:tmpl w:val="38DB8211"/>
    <w:lvl w:ilvl="0" w:tentative="0">
      <w:start w:val="1"/>
      <w:numFmt w:val="decimal"/>
      <w:lvlText w:val="%1."/>
      <w:lvlJc w:val="left"/>
      <w:pPr>
        <w:ind w:left="120" w:hanging="322"/>
        <w:jc w:val="left"/>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1013" w:hanging="322"/>
      </w:pPr>
      <w:rPr>
        <w:rFonts w:hint="default"/>
        <w:lang w:val="zh-CN" w:eastAsia="zh-CN" w:bidi="zh-CN"/>
      </w:rPr>
    </w:lvl>
    <w:lvl w:ilvl="2" w:tentative="0">
      <w:start w:val="0"/>
      <w:numFmt w:val="bullet"/>
      <w:lvlText w:val="•"/>
      <w:lvlJc w:val="left"/>
      <w:pPr>
        <w:ind w:left="1907" w:hanging="322"/>
      </w:pPr>
      <w:rPr>
        <w:rFonts w:hint="default"/>
        <w:lang w:val="zh-CN" w:eastAsia="zh-CN" w:bidi="zh-CN"/>
      </w:rPr>
    </w:lvl>
    <w:lvl w:ilvl="3" w:tentative="0">
      <w:start w:val="0"/>
      <w:numFmt w:val="bullet"/>
      <w:lvlText w:val="•"/>
      <w:lvlJc w:val="left"/>
      <w:pPr>
        <w:ind w:left="2800" w:hanging="322"/>
      </w:pPr>
      <w:rPr>
        <w:rFonts w:hint="default"/>
        <w:lang w:val="zh-CN" w:eastAsia="zh-CN" w:bidi="zh-CN"/>
      </w:rPr>
    </w:lvl>
    <w:lvl w:ilvl="4" w:tentative="0">
      <w:start w:val="0"/>
      <w:numFmt w:val="bullet"/>
      <w:lvlText w:val="•"/>
      <w:lvlJc w:val="left"/>
      <w:pPr>
        <w:ind w:left="3694" w:hanging="322"/>
      </w:pPr>
      <w:rPr>
        <w:rFonts w:hint="default"/>
        <w:lang w:val="zh-CN" w:eastAsia="zh-CN" w:bidi="zh-CN"/>
      </w:rPr>
    </w:lvl>
    <w:lvl w:ilvl="5" w:tentative="0">
      <w:start w:val="0"/>
      <w:numFmt w:val="bullet"/>
      <w:lvlText w:val="•"/>
      <w:lvlJc w:val="left"/>
      <w:pPr>
        <w:ind w:left="4587" w:hanging="322"/>
      </w:pPr>
      <w:rPr>
        <w:rFonts w:hint="default"/>
        <w:lang w:val="zh-CN" w:eastAsia="zh-CN" w:bidi="zh-CN"/>
      </w:rPr>
    </w:lvl>
    <w:lvl w:ilvl="6" w:tentative="0">
      <w:start w:val="0"/>
      <w:numFmt w:val="bullet"/>
      <w:lvlText w:val="•"/>
      <w:lvlJc w:val="left"/>
      <w:pPr>
        <w:ind w:left="5481" w:hanging="322"/>
      </w:pPr>
      <w:rPr>
        <w:rFonts w:hint="default"/>
        <w:lang w:val="zh-CN" w:eastAsia="zh-CN" w:bidi="zh-CN"/>
      </w:rPr>
    </w:lvl>
    <w:lvl w:ilvl="7" w:tentative="0">
      <w:start w:val="0"/>
      <w:numFmt w:val="bullet"/>
      <w:lvlText w:val="•"/>
      <w:lvlJc w:val="left"/>
      <w:pPr>
        <w:ind w:left="6374" w:hanging="322"/>
      </w:pPr>
      <w:rPr>
        <w:rFonts w:hint="default"/>
        <w:lang w:val="zh-CN" w:eastAsia="zh-CN" w:bidi="zh-CN"/>
      </w:rPr>
    </w:lvl>
    <w:lvl w:ilvl="8" w:tentative="0">
      <w:start w:val="0"/>
      <w:numFmt w:val="bullet"/>
      <w:lvlText w:val="•"/>
      <w:lvlJc w:val="left"/>
      <w:pPr>
        <w:ind w:left="7268" w:hanging="322"/>
      </w:pPr>
      <w:rPr>
        <w:rFonts w:hint="default"/>
        <w:lang w:val="zh-CN" w:eastAsia="zh-CN" w:bidi="zh-CN"/>
      </w:rPr>
    </w:lvl>
  </w:abstractNum>
  <w:abstractNum w:abstractNumId="8">
    <w:nsid w:val="4651DD0C"/>
    <w:multiLevelType w:val="multilevel"/>
    <w:tmpl w:val="4651DD0C"/>
    <w:lvl w:ilvl="0" w:tentative="0">
      <w:start w:val="0"/>
      <w:numFmt w:val="decimal"/>
      <w:lvlText w:val="%1"/>
      <w:lvlJc w:val="left"/>
      <w:pPr>
        <w:ind w:left="120" w:hanging="720"/>
        <w:jc w:val="left"/>
      </w:pPr>
      <w:rPr>
        <w:rFonts w:hint="default"/>
        <w:lang w:val="zh-CN" w:eastAsia="zh-CN" w:bidi="zh-CN"/>
      </w:rPr>
    </w:lvl>
    <w:lvl w:ilvl="1" w:tentative="0">
      <w:start w:val="0"/>
      <w:numFmt w:val="decimalZero"/>
      <w:lvlText w:val="%1.%2"/>
      <w:lvlJc w:val="left"/>
      <w:pPr>
        <w:ind w:left="120" w:hanging="720"/>
        <w:jc w:val="left"/>
      </w:pPr>
      <w:rPr>
        <w:rFonts w:hint="default" w:ascii="仿宋" w:hAnsi="仿宋" w:eastAsia="仿宋" w:cs="仿宋"/>
        <w:spacing w:val="-2"/>
        <w:w w:val="99"/>
        <w:sz w:val="32"/>
        <w:szCs w:val="32"/>
        <w:lang w:val="zh-CN" w:eastAsia="zh-CN" w:bidi="zh-CN"/>
      </w:rPr>
    </w:lvl>
    <w:lvl w:ilvl="2" w:tentative="0">
      <w:start w:val="1"/>
      <w:numFmt w:val="decimal"/>
      <w:lvlText w:val="%3."/>
      <w:lvlJc w:val="left"/>
      <w:pPr>
        <w:ind w:left="1082" w:hanging="322"/>
        <w:jc w:val="left"/>
      </w:pPr>
      <w:rPr>
        <w:rFonts w:hint="default" w:ascii="仿宋" w:hAnsi="仿宋" w:eastAsia="仿宋" w:cs="仿宋"/>
        <w:spacing w:val="-2"/>
        <w:w w:val="99"/>
        <w:sz w:val="30"/>
        <w:szCs w:val="30"/>
        <w:lang w:val="zh-CN" w:eastAsia="zh-CN" w:bidi="zh-CN"/>
      </w:rPr>
    </w:lvl>
    <w:lvl w:ilvl="3" w:tentative="0">
      <w:start w:val="0"/>
      <w:numFmt w:val="bullet"/>
      <w:lvlText w:val="•"/>
      <w:lvlJc w:val="left"/>
      <w:pPr>
        <w:ind w:left="2852" w:hanging="322"/>
      </w:pPr>
      <w:rPr>
        <w:rFonts w:hint="default"/>
        <w:lang w:val="zh-CN" w:eastAsia="zh-CN" w:bidi="zh-CN"/>
      </w:rPr>
    </w:lvl>
    <w:lvl w:ilvl="4" w:tentative="0">
      <w:start w:val="0"/>
      <w:numFmt w:val="bullet"/>
      <w:lvlText w:val="•"/>
      <w:lvlJc w:val="left"/>
      <w:pPr>
        <w:ind w:left="3738" w:hanging="322"/>
      </w:pPr>
      <w:rPr>
        <w:rFonts w:hint="default"/>
        <w:lang w:val="zh-CN" w:eastAsia="zh-CN" w:bidi="zh-CN"/>
      </w:rPr>
    </w:lvl>
    <w:lvl w:ilvl="5" w:tentative="0">
      <w:start w:val="0"/>
      <w:numFmt w:val="bullet"/>
      <w:lvlText w:val="•"/>
      <w:lvlJc w:val="left"/>
      <w:pPr>
        <w:ind w:left="4624" w:hanging="322"/>
      </w:pPr>
      <w:rPr>
        <w:rFonts w:hint="default"/>
        <w:lang w:val="zh-CN" w:eastAsia="zh-CN" w:bidi="zh-CN"/>
      </w:rPr>
    </w:lvl>
    <w:lvl w:ilvl="6" w:tentative="0">
      <w:start w:val="0"/>
      <w:numFmt w:val="bullet"/>
      <w:lvlText w:val="•"/>
      <w:lvlJc w:val="left"/>
      <w:pPr>
        <w:ind w:left="5510" w:hanging="322"/>
      </w:pPr>
      <w:rPr>
        <w:rFonts w:hint="default"/>
        <w:lang w:val="zh-CN" w:eastAsia="zh-CN" w:bidi="zh-CN"/>
      </w:rPr>
    </w:lvl>
    <w:lvl w:ilvl="7" w:tentative="0">
      <w:start w:val="0"/>
      <w:numFmt w:val="bullet"/>
      <w:lvlText w:val="•"/>
      <w:lvlJc w:val="left"/>
      <w:pPr>
        <w:ind w:left="6396" w:hanging="322"/>
      </w:pPr>
      <w:rPr>
        <w:rFonts w:hint="default"/>
        <w:lang w:val="zh-CN" w:eastAsia="zh-CN" w:bidi="zh-CN"/>
      </w:rPr>
    </w:lvl>
    <w:lvl w:ilvl="8" w:tentative="0">
      <w:start w:val="0"/>
      <w:numFmt w:val="bullet"/>
      <w:lvlText w:val="•"/>
      <w:lvlJc w:val="left"/>
      <w:pPr>
        <w:ind w:left="7282" w:hanging="322"/>
      </w:pPr>
      <w:rPr>
        <w:rFonts w:hint="default"/>
        <w:lang w:val="zh-CN" w:eastAsia="zh-CN" w:bidi="zh-CN"/>
      </w:rPr>
    </w:lvl>
  </w:abstractNum>
  <w:num w:numId="1">
    <w:abstractNumId w:val="8"/>
  </w:num>
  <w:num w:numId="2">
    <w:abstractNumId w:val="1"/>
  </w:num>
  <w:num w:numId="3">
    <w:abstractNumId w:val="0"/>
  </w:num>
  <w:num w:numId="4">
    <w:abstractNumId w:val="5"/>
  </w:num>
  <w:num w:numId="5">
    <w:abstractNumId w:val="7"/>
  </w:num>
  <w:num w:numId="6">
    <w:abstractNumId w:val="2"/>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26A133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qFormat/>
    <w:uiPriority w:val="1"/>
    <w:pPr>
      <w:spacing w:before="12"/>
      <w:ind w:left="103"/>
      <w:outlineLvl w:val="1"/>
    </w:pPr>
    <w:rPr>
      <w:rFonts w:ascii="宋体" w:hAnsi="宋体" w:eastAsia="宋体" w:cs="宋体"/>
      <w:b/>
      <w:bCs/>
      <w:sz w:val="48"/>
      <w:szCs w:val="48"/>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20"/>
    </w:pPr>
    <w:rPr>
      <w:rFonts w:ascii="仿宋" w:hAnsi="仿宋" w:eastAsia="仿宋" w:cs="仿宋"/>
      <w:sz w:val="32"/>
      <w:szCs w:val="32"/>
      <w:lang w:val="zh-CN" w:eastAsia="zh-CN" w:bidi="zh-CN"/>
    </w:rPr>
  </w:style>
  <w:style w:type="paragraph" w:styleId="4">
    <w:name w:val="toc 1"/>
    <w:basedOn w:val="1"/>
    <w:qFormat/>
    <w:uiPriority w:val="1"/>
    <w:pPr>
      <w:spacing w:before="376"/>
      <w:ind w:left="120"/>
    </w:pPr>
    <w:rPr>
      <w:rFonts w:ascii="黑体" w:hAnsi="黑体" w:eastAsia="黑体" w:cs="黑体"/>
      <w:b/>
      <w:bCs/>
      <w:sz w:val="20"/>
      <w:szCs w:val="20"/>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4"/>
      <w:ind w:left="120" w:firstLine="640"/>
    </w:pPr>
    <w:rPr>
      <w:rFonts w:ascii="仿宋" w:hAnsi="仿宋" w:eastAsia="仿宋" w:cs="仿宋"/>
      <w:lang w:val="zh-CN" w:eastAsia="zh-CN" w:bidi="zh-CN"/>
    </w:rPr>
  </w:style>
  <w:style w:type="paragraph" w:customStyle="1" w:styleId="9">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31</Pages>
  <Words>7829</Words>
  <Characters>8656</Characters>
  <TotalTime>1</TotalTime>
  <ScaleCrop>false</ScaleCrop>
  <LinksUpToDate>false</LinksUpToDate>
  <CharactersWithSpaces>9110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2026-04-20T09:14:00Z</dcterms:created>
  <dc:creator>Lenovo</dc:creator>
  <cp:lastModifiedBy>秦时明月</cp:lastModifiedBy>
  <dcterms:modified xsi:type="dcterms:W3CDTF">2026-04-21T01:07:17Z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2026-04-20T00:00:00Z</vt:filetime>
  </property>
  <property fmtid="{D5CDD505-2E9C-101B-9397-08002B2CF9AE}" pid="3" name="Creator">
    <vt:lpwstr>Aspose Ltd.</vt:lpwstr>
  </property>
  <property fmtid="{D5CDD505-2E9C-101B-9397-08002B2CF9AE}" pid="4" name="LastSaved">
    <vt:filetime>2026-04-20T00:00:00Z</vt:filetime>
  </property>
  <property fmtid="{D5CDD505-2E9C-101B-9397-08002B2CF9AE}" pid="5" name="KSOTemplateDocerSaveRecord">
    <vt:lpwstr>eyJoZGlkIjoiOGQ5NmRiMTE0OGI4NzlkYTFjZjBhMTRjMWVkNzU0OWUiLCJ1c2VySWQiOiI2MzcwOTMzMzYifQ==</vt:lpwstr>
  </property>
  <property fmtid="{D5CDD505-2E9C-101B-9397-08002B2CF9AE}" pid="6" name="KSOProductBuildVer">
    <vt:lpwstr>2052-12.1.0.25865</vt:lpwstr>
  </property>
  <property fmtid="{D5CDD505-2E9C-101B-9397-08002B2CF9AE}" pid="7" name="ICV">
    <vt:lpwstr>5CA92C203F6249599827235604CE9691_12</vt:lpwstr>
  </property>
</Properties>
</file>