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bookmarkEnd w:id="0"/>
    <w:p>
      <w:pPr>
        <w:jc w:val="center"/>
        <w:rPr>
          <w:rFonts w:ascii="方正小标宋_GBK" w:hAnsi="方正小标宋_GBK" w:eastAsia="方正小标宋_GBK" w:cs="方正小标宋_GBK"/>
          <w:sz w:val="52"/>
          <w:szCs w:val="52"/>
        </w:rPr>
      </w:pPr>
      <w:bookmarkStart w:id="1" w:name="_Toc15378441"/>
      <w:bookmarkStart w:id="2" w:name="_Toc20648"/>
      <w:bookmarkStart w:id="3" w:name="_Toc15396475"/>
      <w:bookmarkStart w:id="4" w:name="_Toc15377425"/>
      <w:bookmarkStart w:id="5" w:name="_Toc15377193"/>
      <w:bookmarkStart w:id="6" w:name="_Toc15396597"/>
    </w:p>
    <w:p>
      <w:pPr>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2021年度</w:t>
      </w:r>
      <w:bookmarkEnd w:id="1"/>
      <w:bookmarkEnd w:id="2"/>
      <w:bookmarkEnd w:id="3"/>
      <w:bookmarkEnd w:id="4"/>
      <w:bookmarkEnd w:id="5"/>
      <w:bookmarkEnd w:id="6"/>
    </w:p>
    <w:p>
      <w:pPr>
        <w:jc w:val="center"/>
        <w:rPr>
          <w:rFonts w:ascii="方正小标宋_GBK" w:hAnsi="方正小标宋_GBK" w:eastAsia="方正小标宋_GBK" w:cs="方正小标宋_GBK"/>
          <w:sz w:val="52"/>
          <w:szCs w:val="52"/>
        </w:rPr>
      </w:pPr>
      <w:bookmarkStart w:id="7" w:name="_Toc15396598"/>
      <w:bookmarkStart w:id="8" w:name="_Toc15377426"/>
      <w:bookmarkStart w:id="9" w:name="_Toc22624"/>
      <w:bookmarkStart w:id="10" w:name="_Toc15378442"/>
      <w:bookmarkStart w:id="11" w:name="_Toc15396476"/>
      <w:bookmarkStart w:id="12" w:name="_Toc15377194"/>
      <w:r>
        <w:rPr>
          <w:rFonts w:hint="eastAsia" w:ascii="方正小标宋_GBK" w:hAnsi="方正小标宋_GBK" w:eastAsia="方正小标宋_GBK" w:cs="方正小标宋_GBK"/>
          <w:sz w:val="52"/>
          <w:szCs w:val="52"/>
        </w:rPr>
        <w:t>四川省阿坝州</w:t>
      </w:r>
      <w:bookmarkStart w:id="13" w:name="_Toc15306268"/>
      <w:r>
        <w:rPr>
          <w:rFonts w:hint="eastAsia" w:ascii="方正小标宋_GBK" w:hAnsi="方正小标宋_GBK" w:eastAsia="方正小标宋_GBK" w:cs="方正小标宋_GBK"/>
          <w:sz w:val="52"/>
          <w:szCs w:val="52"/>
        </w:rPr>
        <w:t>九寨沟县委统战部</w:t>
      </w:r>
    </w:p>
    <w:p>
      <w:pPr>
        <w:jc w:val="center"/>
        <w:rPr>
          <w:rFonts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hint="eastAsia" w:ascii="黑体" w:hAnsi="黑体" w:eastAsia="黑体"/>
          <w:color w:val="000000"/>
          <w:sz w:val="48"/>
          <w:szCs w:val="48"/>
        </w:rPr>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pP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pStyle w:val="16"/>
        <w:jc w:val="center"/>
        <w:rPr>
          <w:rFonts w:hAnsiTheme="minorHAnsi"/>
          <w:b w:val="0"/>
          <w:bCs w:val="0"/>
          <w:sz w:val="24"/>
          <w:szCs w:val="24"/>
        </w:rPr>
      </w:pPr>
      <w:r>
        <w:rPr>
          <w:rFonts w:hint="eastAsia" w:hAnsiTheme="minorHAnsi"/>
          <w:b w:val="0"/>
          <w:bCs w:val="0"/>
          <w:sz w:val="24"/>
          <w:szCs w:val="24"/>
        </w:rPr>
        <w:t xml:space="preserve">公开时间：2022年 </w:t>
      </w:r>
      <w:r>
        <w:rPr>
          <w:rFonts w:hAnsiTheme="minorHAnsi"/>
          <w:b w:val="0"/>
          <w:bCs w:val="0"/>
          <w:sz w:val="24"/>
          <w:szCs w:val="24"/>
        </w:rPr>
        <w:t>9</w:t>
      </w:r>
      <w:r>
        <w:rPr>
          <w:rFonts w:hint="eastAsia" w:hAnsiTheme="minorHAnsi"/>
          <w:b w:val="0"/>
          <w:bCs w:val="0"/>
          <w:sz w:val="24"/>
          <w:szCs w:val="24"/>
        </w:rPr>
        <w:t>月23日</w:t>
      </w:r>
    </w:p>
    <w:p>
      <w:pPr>
        <w:pStyle w:val="16"/>
        <w:tabs>
          <w:tab w:val="right" w:leader="dot" w:pos="8296"/>
        </w:tabs>
        <w:jc w:val="both"/>
        <w:rPr>
          <w:rFonts w:hint="default" w:ascii="Times New Roman" w:hAnsi="Times New Roman" w:eastAsia="方正仿宋_GBK" w:cs="Times New Roman"/>
          <w:b/>
          <w:bCs/>
          <w:i w:val="0"/>
          <w:iCs w:val="0"/>
          <w:caps w:val="0"/>
          <w:sz w:val="30"/>
          <w:szCs w:val="30"/>
        </w:rPr>
      </w:pPr>
      <w:r>
        <w:rPr>
          <w:rFonts w:hint="default" w:ascii="Times New Roman" w:hAnsi="Times New Roman" w:eastAsia="方正仿宋_GBK" w:cs="Times New Roman"/>
          <w:b/>
          <w:bCs/>
          <w:i w:val="0"/>
          <w:iCs w:val="0"/>
          <w:caps w:val="0"/>
          <w:sz w:val="30"/>
          <w:szCs w:val="30"/>
        </w:rPr>
        <w:fldChar w:fldCharType="begin"/>
      </w:r>
      <w:r>
        <w:rPr>
          <w:rFonts w:hint="default" w:ascii="Times New Roman" w:hAnsi="Times New Roman" w:eastAsia="方正仿宋_GBK" w:cs="Times New Roman"/>
          <w:b/>
          <w:bCs/>
          <w:i w:val="0"/>
          <w:iCs w:val="0"/>
          <w:caps w:val="0"/>
          <w:sz w:val="30"/>
          <w:szCs w:val="30"/>
        </w:rPr>
        <w:instrText xml:space="preserve"> TOC \o \u </w:instrText>
      </w:r>
      <w:r>
        <w:rPr>
          <w:rFonts w:hint="default" w:ascii="Times New Roman" w:hAnsi="Times New Roman" w:eastAsia="方正仿宋_GBK" w:cs="Times New Roman"/>
          <w:b/>
          <w:bCs/>
          <w:i w:val="0"/>
          <w:iCs w:val="0"/>
          <w:caps w:val="0"/>
          <w:sz w:val="30"/>
          <w:szCs w:val="30"/>
        </w:rPr>
        <w:fldChar w:fldCharType="separate"/>
      </w:r>
      <w:r>
        <w:rPr>
          <w:rFonts w:hint="default" w:ascii="Times New Roman" w:hAnsi="Times New Roman" w:eastAsia="方正仿宋_GBK" w:cs="Times New Roman"/>
          <w:b/>
          <w:bCs/>
          <w:i w:val="0"/>
          <w:iCs w:val="0"/>
          <w:sz w:val="30"/>
          <w:szCs w:val="30"/>
        </w:rPr>
        <w:t>第一部分 部门概况</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_Toc79163851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4</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jc w:val="both"/>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color w:val="000000"/>
          <w:sz w:val="30"/>
          <w:szCs w:val="30"/>
        </w:rPr>
        <w:t>一、基</w:t>
      </w:r>
      <w:r>
        <w:rPr>
          <w:rFonts w:hint="default" w:ascii="Times New Roman" w:hAnsi="Times New Roman" w:eastAsia="方正仿宋_GBK" w:cs="Times New Roman"/>
          <w:b/>
          <w:bCs/>
          <w:i w:val="0"/>
          <w:iCs w:val="0"/>
          <w:sz w:val="30"/>
          <w:szCs w:val="30"/>
        </w:rPr>
        <w:t>本职能及主要工作</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_Toc79163852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4</w:t>
      </w:r>
      <w:r>
        <w:rPr>
          <w:rFonts w:hint="default" w:ascii="Times New Roman" w:hAnsi="Times New Roman" w:eastAsia="方正仿宋_GBK" w:cs="Times New Roman"/>
          <w:b/>
          <w:bCs/>
          <w:i w:val="0"/>
          <w:iCs w:val="0"/>
          <w:sz w:val="30"/>
          <w:szCs w:val="30"/>
        </w:rPr>
        <w:fldChar w:fldCharType="end"/>
      </w:r>
    </w:p>
    <w:p>
      <w:pPr>
        <w:pStyle w:val="11"/>
        <w:tabs>
          <w:tab w:val="right" w:leader="dot" w:pos="8296"/>
        </w:tabs>
        <w:ind w:left="0" w:leftChars="0" w:firstLine="0" w:firstLineChars="0"/>
        <w:jc w:val="both"/>
        <w:rPr>
          <w:rFonts w:hint="default" w:ascii="Times New Roman" w:hAnsi="Times New Roman" w:eastAsia="方正仿宋_GBK" w:cs="Times New Roman"/>
          <w:b/>
          <w:bCs/>
          <w:i w:val="0"/>
          <w:iCs w:val="0"/>
          <w:sz w:val="30"/>
          <w:szCs w:val="30"/>
        </w:rPr>
      </w:pPr>
      <w:r>
        <w:rPr>
          <w:rFonts w:hint="default" w:ascii="Times New Roman" w:hAnsi="Times New Roman" w:eastAsia="方正仿宋_GBK" w:cs="Times New Roman"/>
          <w:b/>
          <w:bCs/>
          <w:i w:val="0"/>
          <w:iCs w:val="0"/>
          <w:color w:val="000000"/>
          <w:sz w:val="30"/>
          <w:szCs w:val="30"/>
        </w:rPr>
        <w:t>（一）基本职能及主要工作</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_Toc79163853 \h </w:instrText>
      </w:r>
      <w:r>
        <w:rPr>
          <w:rFonts w:hint="default" w:ascii="Times New Roman" w:hAnsi="Times New Roman" w:eastAsia="方正仿宋_GBK" w:cs="Times New Roman"/>
          <w:b/>
          <w:bCs/>
          <w:i w:val="0"/>
          <w:iCs w:val="0"/>
          <w:sz w:val="30"/>
          <w:szCs w:val="30"/>
        </w:rPr>
        <w:fldChar w:fldCharType="separate"/>
      </w:r>
      <w:r>
        <w:rPr>
          <w:b/>
        </w:rPr>
        <w:t>错误！未定义书签。</w:t>
      </w:r>
      <w:r>
        <w:rPr>
          <w:rFonts w:hint="default" w:ascii="Times New Roman" w:hAnsi="Times New Roman" w:eastAsia="方正仿宋_GBK" w:cs="Times New Roman"/>
          <w:b/>
          <w:bCs/>
          <w:i w:val="0"/>
          <w:iCs w:val="0"/>
          <w:sz w:val="30"/>
          <w:szCs w:val="30"/>
        </w:rPr>
        <w:fldChar w:fldCharType="end"/>
      </w:r>
    </w:p>
    <w:p>
      <w:pPr>
        <w:pStyle w:val="11"/>
        <w:tabs>
          <w:tab w:val="right" w:leader="dot" w:pos="8296"/>
        </w:tabs>
        <w:ind w:left="0" w:leftChars="0" w:firstLine="0" w:firstLineChars="0"/>
        <w:jc w:val="both"/>
        <w:rPr>
          <w:rFonts w:hint="default" w:ascii="Times New Roman" w:hAnsi="Times New Roman" w:eastAsia="方正仿宋_GBK" w:cs="Times New Roman"/>
          <w:b/>
          <w:bCs/>
          <w:i w:val="0"/>
          <w:iCs w:val="0"/>
          <w:sz w:val="30"/>
          <w:szCs w:val="30"/>
        </w:rPr>
      </w:pPr>
      <w:r>
        <w:rPr>
          <w:rFonts w:hint="default" w:ascii="Times New Roman" w:hAnsi="Times New Roman" w:eastAsia="方正仿宋_GBK" w:cs="Times New Roman"/>
          <w:b/>
          <w:bCs/>
          <w:i w:val="0"/>
          <w:iCs w:val="0"/>
          <w:color w:val="000000"/>
          <w:sz w:val="30"/>
          <w:szCs w:val="30"/>
        </w:rPr>
        <w:t>（二）2021年重点工作完成情况</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_Toc79163854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4</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jc w:val="both"/>
        <w:rPr>
          <w:rFonts w:hint="default" w:ascii="Times New Roman" w:hAnsi="Times New Roman" w:eastAsia="方正仿宋_GBK" w:cs="Times New Roman"/>
          <w:b/>
          <w:bCs/>
          <w:i w:val="0"/>
          <w:iCs w:val="0"/>
          <w:sz w:val="30"/>
          <w:szCs w:val="30"/>
        </w:rPr>
      </w:pPr>
      <w:r>
        <w:rPr>
          <w:rFonts w:hint="default" w:ascii="Times New Roman" w:hAnsi="Times New Roman" w:eastAsia="方正仿宋_GBK" w:cs="Times New Roman"/>
          <w:b/>
          <w:bCs/>
          <w:i w:val="0"/>
          <w:iCs w:val="0"/>
          <w:color w:val="000000"/>
          <w:sz w:val="30"/>
          <w:szCs w:val="30"/>
        </w:rPr>
        <w:t>二、机</w:t>
      </w:r>
      <w:r>
        <w:rPr>
          <w:rFonts w:hint="default" w:ascii="Times New Roman" w:hAnsi="Times New Roman" w:eastAsia="方正仿宋_GBK" w:cs="Times New Roman"/>
          <w:b/>
          <w:bCs/>
          <w:i w:val="0"/>
          <w:iCs w:val="0"/>
          <w:sz w:val="30"/>
          <w:szCs w:val="30"/>
        </w:rPr>
        <w:t>构设置</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_Toc79163855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4</w:t>
      </w:r>
      <w:r>
        <w:rPr>
          <w:rFonts w:hint="default" w:ascii="Times New Roman" w:hAnsi="Times New Roman" w:eastAsia="方正仿宋_GBK" w:cs="Times New Roman"/>
          <w:b/>
          <w:bCs/>
          <w:i w:val="0"/>
          <w:iCs w:val="0"/>
          <w:sz w:val="30"/>
          <w:szCs w:val="30"/>
        </w:rPr>
        <w:fldChar w:fldCharType="end"/>
      </w:r>
    </w:p>
    <w:p>
      <w:pPr>
        <w:pStyle w:val="16"/>
        <w:tabs>
          <w:tab w:val="right" w:leader="dot" w:pos="8296"/>
        </w:tabs>
        <w:jc w:val="both"/>
        <w:rPr>
          <w:rFonts w:hint="default" w:ascii="Times New Roman" w:hAnsi="Times New Roman" w:eastAsia="方正仿宋_GBK" w:cs="Times New Roman"/>
          <w:b/>
          <w:bCs/>
          <w:i w:val="0"/>
          <w:iCs w:val="0"/>
          <w:caps w:val="0"/>
          <w:sz w:val="30"/>
          <w:szCs w:val="30"/>
          <w:lang w:val="en-US" w:eastAsia="zh-CN"/>
        </w:rPr>
      </w:pPr>
      <w:r>
        <w:rPr>
          <w:rFonts w:hint="default" w:ascii="Times New Roman" w:hAnsi="Times New Roman" w:eastAsia="方正仿宋_GBK" w:cs="Times New Roman"/>
          <w:b/>
          <w:bCs/>
          <w:i w:val="0"/>
          <w:iCs w:val="0"/>
          <w:color w:val="000000"/>
          <w:sz w:val="30"/>
          <w:szCs w:val="30"/>
        </w:rPr>
        <w:t>第二部分</w:t>
      </w:r>
      <w:r>
        <w:rPr>
          <w:rFonts w:hint="default" w:ascii="Times New Roman" w:hAnsi="Times New Roman" w:eastAsia="方正仿宋_GBK" w:cs="Times New Roman"/>
          <w:b/>
          <w:bCs/>
          <w:i w:val="0"/>
          <w:iCs w:val="0"/>
          <w:sz w:val="30"/>
          <w:szCs w:val="30"/>
        </w:rPr>
        <w:t>2021年度部门决算情况说明</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_Toc79163859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4</w:t>
      </w:r>
      <w:r>
        <w:rPr>
          <w:rFonts w:hint="default" w:ascii="Times New Roman" w:hAnsi="Times New Roman" w:eastAsia="方正仿宋_GBK" w:cs="Times New Roman"/>
          <w:b/>
          <w:bCs/>
          <w:i w:val="0"/>
          <w:iCs w:val="0"/>
          <w:sz w:val="30"/>
          <w:szCs w:val="30"/>
        </w:rPr>
        <w:fldChar w:fldCharType="end"/>
      </w:r>
      <w:r>
        <w:rPr>
          <w:rFonts w:hint="eastAsia" w:ascii="Times New Roman" w:eastAsia="方正仿宋_GBK" w:cs="Times New Roman"/>
          <w:b/>
          <w:bCs/>
          <w:i w:val="0"/>
          <w:iCs w:val="0"/>
          <w:sz w:val="30"/>
          <w:szCs w:val="30"/>
          <w:lang w:val="en-US" w:eastAsia="zh-CN"/>
        </w:rPr>
        <w:t>-14</w:t>
      </w:r>
    </w:p>
    <w:p>
      <w:pPr>
        <w:pStyle w:val="20"/>
        <w:tabs>
          <w:tab w:val="left" w:pos="840"/>
          <w:tab w:val="right" w:leader="dot" w:pos="8296"/>
        </w:tabs>
        <w:ind w:left="0" w:leftChars="0" w:firstLine="0" w:firstLineChars="0"/>
        <w:jc w:val="both"/>
        <w:rPr>
          <w:rFonts w:hint="default" w:ascii="Times New Roman" w:hAnsi="Times New Roman" w:eastAsia="方正仿宋_GBK" w:cs="Times New Roman"/>
          <w:b/>
          <w:bCs/>
          <w:i w:val="0"/>
          <w:iCs w:val="0"/>
          <w:smallCaps w:val="0"/>
          <w:sz w:val="30"/>
          <w:szCs w:val="30"/>
        </w:rPr>
      </w:pPr>
      <w:r>
        <w:rPr>
          <w:rFonts w:hint="eastAsia" w:ascii="Times New Roman" w:hAnsi="Times New Roman" w:eastAsia="方正仿宋_GBK" w:cs="Times New Roman"/>
          <w:b/>
          <w:bCs/>
          <w:i w:val="0"/>
          <w:iCs w:val="0"/>
          <w:smallCaps w:val="0"/>
          <w:sz w:val="30"/>
          <w:szCs w:val="30"/>
          <w:lang w:eastAsia="zh-CN"/>
        </w:rPr>
        <w:t>一、</w:t>
      </w:r>
      <w:r>
        <w:rPr>
          <w:rFonts w:hint="default" w:ascii="Times New Roman" w:hAnsi="Times New Roman" w:eastAsia="方正仿宋_GBK" w:cs="Times New Roman"/>
          <w:b/>
          <w:bCs/>
          <w:i w:val="0"/>
          <w:iCs w:val="0"/>
          <w:color w:val="000000"/>
          <w:sz w:val="30"/>
          <w:szCs w:val="30"/>
        </w:rPr>
        <w:t>收</w:t>
      </w:r>
      <w:r>
        <w:rPr>
          <w:rFonts w:hint="default" w:ascii="Times New Roman" w:hAnsi="Times New Roman" w:eastAsia="方正仿宋_GBK" w:cs="Times New Roman"/>
          <w:b/>
          <w:bCs/>
          <w:i w:val="0"/>
          <w:iCs w:val="0"/>
          <w:sz w:val="30"/>
          <w:szCs w:val="30"/>
        </w:rPr>
        <w:t>入支出决算总体情况说明</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_Toc79163860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5</w:t>
      </w:r>
      <w:r>
        <w:rPr>
          <w:rFonts w:hint="default" w:ascii="Times New Roman" w:hAnsi="Times New Roman" w:eastAsia="方正仿宋_GBK" w:cs="Times New Roman"/>
          <w:b/>
          <w:bCs/>
          <w:i w:val="0"/>
          <w:iCs w:val="0"/>
          <w:sz w:val="30"/>
          <w:szCs w:val="30"/>
        </w:rPr>
        <w:fldChar w:fldCharType="end"/>
      </w:r>
    </w:p>
    <w:p>
      <w:pPr>
        <w:pStyle w:val="20"/>
        <w:tabs>
          <w:tab w:val="left" w:pos="840"/>
          <w:tab w:val="right" w:leader="dot" w:pos="8296"/>
        </w:tabs>
        <w:ind w:left="0" w:leftChars="0" w:firstLine="0" w:firstLineChars="0"/>
        <w:jc w:val="both"/>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二、</w:t>
      </w:r>
      <w:r>
        <w:rPr>
          <w:rFonts w:hint="default" w:ascii="Times New Roman" w:hAnsi="Times New Roman" w:eastAsia="方正仿宋_GBK" w:cs="Times New Roman"/>
          <w:b/>
          <w:bCs/>
          <w:i w:val="0"/>
          <w:iCs w:val="0"/>
          <w:color w:val="000000"/>
          <w:sz w:val="30"/>
          <w:szCs w:val="30"/>
        </w:rPr>
        <w:t>收</w:t>
      </w:r>
      <w:r>
        <w:rPr>
          <w:rFonts w:hint="default" w:ascii="Times New Roman" w:hAnsi="Times New Roman" w:eastAsia="方正仿宋_GBK" w:cs="Times New Roman"/>
          <w:b/>
          <w:bCs/>
          <w:i w:val="0"/>
          <w:iCs w:val="0"/>
          <w:sz w:val="30"/>
          <w:szCs w:val="30"/>
        </w:rPr>
        <w:t>入决算情况说明</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_Toc79163861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5</w:t>
      </w:r>
      <w:r>
        <w:rPr>
          <w:rFonts w:hint="default" w:ascii="Times New Roman" w:hAnsi="Times New Roman" w:eastAsia="方正仿宋_GBK" w:cs="Times New Roman"/>
          <w:b/>
          <w:bCs/>
          <w:i w:val="0"/>
          <w:iCs w:val="0"/>
          <w:sz w:val="30"/>
          <w:szCs w:val="30"/>
        </w:rPr>
        <w:fldChar w:fldCharType="end"/>
      </w:r>
    </w:p>
    <w:p>
      <w:pPr>
        <w:pStyle w:val="20"/>
        <w:tabs>
          <w:tab w:val="left" w:pos="840"/>
          <w:tab w:val="right" w:leader="dot" w:pos="8296"/>
        </w:tabs>
        <w:ind w:left="0" w:leftChars="0" w:firstLine="0" w:firstLineChars="0"/>
        <w:jc w:val="both"/>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三、</w:t>
      </w:r>
      <w:r>
        <w:rPr>
          <w:rFonts w:hint="default" w:ascii="Times New Roman" w:hAnsi="Times New Roman" w:eastAsia="方正仿宋_GBK" w:cs="Times New Roman"/>
          <w:b/>
          <w:bCs/>
          <w:i w:val="0"/>
          <w:iCs w:val="0"/>
          <w:color w:val="000000"/>
          <w:sz w:val="30"/>
          <w:szCs w:val="30"/>
        </w:rPr>
        <w:t>支</w:t>
      </w:r>
      <w:r>
        <w:rPr>
          <w:rFonts w:hint="default" w:ascii="Times New Roman" w:hAnsi="Times New Roman" w:eastAsia="方正仿宋_GBK" w:cs="Times New Roman"/>
          <w:b/>
          <w:bCs/>
          <w:i w:val="0"/>
          <w:iCs w:val="0"/>
          <w:sz w:val="30"/>
          <w:szCs w:val="30"/>
        </w:rPr>
        <w:t>出决算情况说明</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_Toc79163862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5</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jc w:val="both"/>
        <w:rPr>
          <w:rFonts w:hint="eastAsia" w:ascii="Times New Roman" w:hAnsi="Times New Roman" w:eastAsia="方正仿宋_GBK" w:cs="Times New Roman"/>
          <w:b/>
          <w:bCs/>
          <w:i w:val="0"/>
          <w:iCs w:val="0"/>
          <w:smallCaps w:val="0"/>
          <w:sz w:val="30"/>
          <w:szCs w:val="30"/>
          <w:lang w:eastAsia="zh-CN"/>
        </w:rPr>
      </w:pPr>
      <w:r>
        <w:rPr>
          <w:rFonts w:hint="default" w:ascii="Times New Roman" w:hAnsi="Times New Roman" w:eastAsia="方正仿宋_GBK" w:cs="Times New Roman"/>
          <w:b/>
          <w:bCs/>
          <w:i w:val="0"/>
          <w:iCs w:val="0"/>
          <w:color w:val="000000"/>
          <w:sz w:val="30"/>
          <w:szCs w:val="30"/>
        </w:rPr>
        <w:t>四、财</w:t>
      </w:r>
      <w:r>
        <w:rPr>
          <w:rFonts w:hint="default" w:ascii="Times New Roman" w:hAnsi="Times New Roman" w:eastAsia="方正仿宋_GBK" w:cs="Times New Roman"/>
          <w:b/>
          <w:bCs/>
          <w:i w:val="0"/>
          <w:iCs w:val="0"/>
          <w:sz w:val="30"/>
          <w:szCs w:val="30"/>
        </w:rPr>
        <w:t>政拨款收入支出决算总体情况说明</w:t>
      </w:r>
      <w:r>
        <w:rPr>
          <w:rFonts w:hint="default" w:ascii="Times New Roman" w:hAnsi="Times New Roman" w:eastAsia="方正仿宋_GBK" w:cs="Times New Roman"/>
          <w:b/>
          <w:bCs/>
          <w:i w:val="0"/>
          <w:iCs w:val="0"/>
          <w:sz w:val="30"/>
          <w:szCs w:val="30"/>
        </w:rPr>
        <w:tab/>
      </w:r>
      <w:r>
        <w:rPr>
          <w:rFonts w:hint="eastAsia" w:ascii="Times New Roman" w:hAnsi="Times New Roman" w:eastAsia="方正仿宋_GBK" w:cs="Times New Roman"/>
          <w:b/>
          <w:bCs/>
          <w:i w:val="0"/>
          <w:iCs w:val="0"/>
          <w:sz w:val="30"/>
          <w:szCs w:val="30"/>
          <w:lang w:val="en-US" w:eastAsia="zh-CN"/>
        </w:rPr>
        <w:t>5</w:t>
      </w:r>
    </w:p>
    <w:p>
      <w:pPr>
        <w:pStyle w:val="20"/>
        <w:tabs>
          <w:tab w:val="right" w:leader="dot" w:pos="8296"/>
        </w:tabs>
        <w:ind w:left="0" w:leftChars="0" w:firstLine="0" w:firstLineChars="0"/>
        <w:jc w:val="both"/>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color w:val="000000"/>
          <w:sz w:val="30"/>
          <w:szCs w:val="30"/>
        </w:rPr>
        <w:t>五</w:t>
      </w:r>
      <w:r>
        <w:rPr>
          <w:rFonts w:hint="eastAsia" w:ascii="Times New Roman" w:hAnsi="Times New Roman" w:eastAsia="方正仿宋_GBK" w:cs="Times New Roman"/>
          <w:b/>
          <w:bCs/>
          <w:i w:val="0"/>
          <w:iCs w:val="0"/>
          <w:color w:val="000000"/>
          <w:sz w:val="30"/>
          <w:szCs w:val="30"/>
          <w:lang w:eastAsia="zh-CN"/>
        </w:rPr>
        <w:t>、</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般公共预算财政拨款支出决算情况说明</w:t>
      </w:r>
      <w:r>
        <w:rPr>
          <w:rFonts w:hint="default" w:ascii="Times New Roman" w:hAnsi="Times New Roman" w:eastAsia="方正仿宋_GBK" w:cs="Times New Roman"/>
          <w:b/>
          <w:bCs/>
          <w:i w:val="0"/>
          <w:iCs w:val="0"/>
          <w:sz w:val="30"/>
          <w:szCs w:val="30"/>
        </w:rPr>
        <w:tab/>
      </w:r>
      <w:r>
        <w:rPr>
          <w:rFonts w:hint="eastAsia" w:ascii="Times New Roman" w:hAnsi="Times New Roman" w:eastAsia="方正仿宋_GBK" w:cs="Times New Roman"/>
          <w:b/>
          <w:bCs/>
          <w:i w:val="0"/>
          <w:iCs w:val="0"/>
          <w:sz w:val="30"/>
          <w:szCs w:val="30"/>
          <w:lang w:val="en-US" w:eastAsia="zh-CN"/>
        </w:rPr>
        <w:t>5-</w:t>
      </w:r>
      <w:r>
        <w:rPr>
          <w:rFonts w:hint="eastAsia" w:ascii="Times New Roman" w:eastAsia="方正仿宋_GBK" w:cs="Times New Roman"/>
          <w:b/>
          <w:bCs/>
          <w:i w:val="0"/>
          <w:iCs w:val="0"/>
          <w:sz w:val="30"/>
          <w:szCs w:val="30"/>
          <w:lang w:val="en-US" w:eastAsia="zh-CN"/>
        </w:rPr>
        <w:t>7</w:t>
      </w:r>
    </w:p>
    <w:p>
      <w:pPr>
        <w:pStyle w:val="11"/>
        <w:tabs>
          <w:tab w:val="right" w:leader="dot" w:pos="8296"/>
        </w:tabs>
        <w:ind w:left="0" w:leftChars="0" w:firstLine="0" w:firstLineChars="0"/>
        <w:rPr>
          <w:rFonts w:hint="eastAsia" w:ascii="Times New Roman" w:hAnsi="Times New Roman" w:eastAsia="方正仿宋_GBK" w:cs="Times New Roman"/>
          <w:b/>
          <w:bCs/>
          <w:i w:val="0"/>
          <w:iCs w:val="0"/>
          <w:sz w:val="30"/>
          <w:szCs w:val="30"/>
          <w:lang w:eastAsia="zh-CN"/>
        </w:rPr>
      </w:pPr>
      <w:r>
        <w:rPr>
          <w:rFonts w:hint="default" w:ascii="Times New Roman" w:hAnsi="Times New Roman" w:eastAsia="方正仿宋_GBK" w:cs="Times New Roman"/>
          <w:b/>
          <w:bCs/>
          <w:i w:val="0"/>
          <w:iCs w:val="0"/>
          <w:color w:val="000000"/>
          <w:sz w:val="30"/>
          <w:szCs w:val="30"/>
        </w:rPr>
        <w:t>（一）一般公共预算财政拨款支出决算总体情况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5</w:t>
      </w:r>
    </w:p>
    <w:p>
      <w:pPr>
        <w:pStyle w:val="11"/>
        <w:tabs>
          <w:tab w:val="right" w:leader="dot" w:pos="8296"/>
        </w:tabs>
        <w:ind w:left="0" w:leftChars="0" w:firstLine="0" w:firstLineChars="0"/>
        <w:rPr>
          <w:rFonts w:hint="eastAsia" w:ascii="Times New Roman" w:hAnsi="Times New Roman" w:eastAsia="方正仿宋_GBK" w:cs="Times New Roman"/>
          <w:b/>
          <w:bCs/>
          <w:i w:val="0"/>
          <w:iCs w:val="0"/>
          <w:sz w:val="30"/>
          <w:szCs w:val="30"/>
          <w:lang w:eastAsia="zh-CN"/>
        </w:rPr>
      </w:pPr>
      <w:r>
        <w:rPr>
          <w:rFonts w:hint="default" w:ascii="Times New Roman" w:hAnsi="Times New Roman" w:eastAsia="方正仿宋_GBK" w:cs="Times New Roman"/>
          <w:b/>
          <w:bCs/>
          <w:i w:val="0"/>
          <w:iCs w:val="0"/>
          <w:color w:val="000000"/>
          <w:sz w:val="30"/>
          <w:szCs w:val="30"/>
        </w:rPr>
        <w:t>（二）一般公共预算财政拨款支出决算结构情况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6</w:t>
      </w:r>
    </w:p>
    <w:p>
      <w:pPr>
        <w:pStyle w:val="11"/>
        <w:tabs>
          <w:tab w:val="right" w:leader="dot" w:pos="8296"/>
        </w:tabs>
        <w:ind w:left="0" w:leftChars="0" w:firstLine="0" w:firstLineChars="0"/>
        <w:rPr>
          <w:rFonts w:hint="default" w:ascii="Times New Roman" w:hAnsi="Times New Roman" w:eastAsia="方正仿宋_GBK" w:cs="Times New Roman"/>
          <w:b/>
          <w:bCs/>
          <w:i w:val="0"/>
          <w:iCs w:val="0"/>
          <w:sz w:val="30"/>
          <w:szCs w:val="30"/>
          <w:lang w:val="en-US" w:eastAsia="zh-CN"/>
        </w:rPr>
      </w:pPr>
      <w:r>
        <w:rPr>
          <w:rFonts w:hint="default" w:ascii="Times New Roman" w:hAnsi="Times New Roman" w:eastAsia="方正仿宋_GBK" w:cs="Times New Roman"/>
          <w:b/>
          <w:bCs/>
          <w:i w:val="0"/>
          <w:iCs w:val="0"/>
          <w:color w:val="000000"/>
          <w:sz w:val="30"/>
          <w:szCs w:val="30"/>
        </w:rPr>
        <w:t>（三）一般公共预算财政拨款支出决算具体情况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6-7</w:t>
      </w:r>
    </w:p>
    <w:p>
      <w:pPr>
        <w:pStyle w:val="20"/>
        <w:tabs>
          <w:tab w:val="right" w:leader="dot" w:pos="8296"/>
        </w:tabs>
        <w:ind w:left="0" w:leftChars="0" w:firstLine="0" w:firstLineChars="0"/>
        <w:rPr>
          <w:rFonts w:hint="eastAsia" w:ascii="Times New Roman" w:hAnsi="Times New Roman" w:eastAsia="方正仿宋_GBK" w:cs="Times New Roman"/>
          <w:b/>
          <w:bCs/>
          <w:i w:val="0"/>
          <w:iCs w:val="0"/>
          <w:smallCaps w:val="0"/>
          <w:sz w:val="30"/>
          <w:szCs w:val="30"/>
          <w:lang w:eastAsia="zh-CN"/>
        </w:rPr>
      </w:pPr>
      <w:r>
        <w:rPr>
          <w:rFonts w:hint="default" w:ascii="Times New Roman" w:hAnsi="Times New Roman" w:eastAsia="方正仿宋_GBK" w:cs="Times New Roman"/>
          <w:b/>
          <w:bCs/>
          <w:i w:val="0"/>
          <w:iCs w:val="0"/>
          <w:color w:val="000000"/>
          <w:sz w:val="30"/>
          <w:szCs w:val="30"/>
        </w:rPr>
        <w:t>六、一</w:t>
      </w:r>
      <w:r>
        <w:rPr>
          <w:rFonts w:hint="default" w:ascii="Times New Roman" w:hAnsi="Times New Roman" w:eastAsia="方正仿宋_GBK" w:cs="Times New Roman"/>
          <w:b/>
          <w:bCs/>
          <w:i w:val="0"/>
          <w:iCs w:val="0"/>
          <w:sz w:val="30"/>
          <w:szCs w:val="30"/>
        </w:rPr>
        <w:t>般公共预算财政拨款基本支出决算情况说明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7</w:t>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color w:val="000000"/>
          <w:sz w:val="30"/>
          <w:szCs w:val="30"/>
        </w:rPr>
        <w:t>七、</w:t>
      </w:r>
      <w:r>
        <w:rPr>
          <w:rFonts w:hint="default" w:ascii="Times New Roman" w:hAnsi="Times New Roman" w:eastAsia="方正仿宋_GBK" w:cs="Times New Roman"/>
          <w:b/>
          <w:bCs/>
          <w:i w:val="0"/>
          <w:iCs w:val="0"/>
          <w:sz w:val="30"/>
          <w:szCs w:val="30"/>
        </w:rPr>
        <w:t>“三公”经费财政拨款支出决算情况说明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7-9</w:t>
      </w:r>
    </w:p>
    <w:p>
      <w:pPr>
        <w:pStyle w:val="11"/>
        <w:tabs>
          <w:tab w:val="right" w:leader="dot" w:pos="8296"/>
        </w:tabs>
        <w:ind w:left="0" w:leftChars="0" w:firstLine="0" w:firstLineChars="0"/>
        <w:rPr>
          <w:rFonts w:hint="eastAsia" w:ascii="Times New Roman" w:hAnsi="Times New Roman" w:eastAsia="方正仿宋_GBK" w:cs="Times New Roman"/>
          <w:b/>
          <w:bCs/>
          <w:i w:val="0"/>
          <w:iCs w:val="0"/>
          <w:sz w:val="30"/>
          <w:szCs w:val="30"/>
          <w:lang w:eastAsia="zh-CN"/>
        </w:rPr>
      </w:pPr>
      <w:r>
        <w:rPr>
          <w:rFonts w:hint="default" w:ascii="Times New Roman" w:hAnsi="Times New Roman" w:eastAsia="方正仿宋_GBK" w:cs="Times New Roman"/>
          <w:b/>
          <w:bCs/>
          <w:i w:val="0"/>
          <w:iCs w:val="0"/>
          <w:color w:val="000000"/>
          <w:sz w:val="30"/>
          <w:szCs w:val="30"/>
        </w:rPr>
        <w:t>（一）“三公”经费财政拨款支出决算总体情况说明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8</w:t>
      </w:r>
    </w:p>
    <w:p>
      <w:pPr>
        <w:pStyle w:val="11"/>
        <w:tabs>
          <w:tab w:val="right" w:leader="dot" w:pos="8296"/>
        </w:tabs>
        <w:ind w:left="0" w:leftChars="0" w:firstLine="0" w:firstLineChars="0"/>
        <w:rPr>
          <w:rFonts w:hint="default" w:ascii="Times New Roman" w:hAnsi="Times New Roman" w:eastAsia="方正仿宋_GBK" w:cs="Times New Roman"/>
          <w:b/>
          <w:bCs/>
          <w:i w:val="0"/>
          <w:iCs w:val="0"/>
          <w:sz w:val="30"/>
          <w:szCs w:val="30"/>
        </w:rPr>
      </w:pPr>
      <w:r>
        <w:rPr>
          <w:rFonts w:hint="default" w:ascii="Times New Roman" w:hAnsi="Times New Roman" w:eastAsia="方正仿宋_GBK" w:cs="Times New Roman"/>
          <w:b/>
          <w:bCs/>
          <w:i w:val="0"/>
          <w:iCs w:val="0"/>
          <w:color w:val="000000"/>
          <w:sz w:val="30"/>
          <w:szCs w:val="30"/>
        </w:rPr>
        <w:t>（二）“三公”经费财政拨款支出决算具体情况说明</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_Toc79163871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8</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eastAsia" w:ascii="Times New Roman" w:hAnsi="Times New Roman" w:eastAsia="方正仿宋_GBK" w:cs="Times New Roman"/>
          <w:b/>
          <w:bCs/>
          <w:i w:val="0"/>
          <w:iCs w:val="0"/>
          <w:smallCaps w:val="0"/>
          <w:sz w:val="30"/>
          <w:szCs w:val="30"/>
          <w:lang w:eastAsia="zh-CN"/>
        </w:rPr>
      </w:pPr>
      <w:r>
        <w:rPr>
          <w:rFonts w:hint="default" w:ascii="Times New Roman" w:hAnsi="Times New Roman" w:eastAsia="方正仿宋_GBK" w:cs="Times New Roman"/>
          <w:b/>
          <w:bCs/>
          <w:i w:val="0"/>
          <w:iCs w:val="0"/>
          <w:color w:val="000000"/>
          <w:sz w:val="30"/>
          <w:szCs w:val="30"/>
        </w:rPr>
        <w:t>八、</w:t>
      </w:r>
      <w:r>
        <w:rPr>
          <w:rFonts w:hint="default" w:ascii="Times New Roman" w:hAnsi="Times New Roman" w:eastAsia="方正仿宋_GBK" w:cs="Times New Roman"/>
          <w:b/>
          <w:bCs/>
          <w:i w:val="0"/>
          <w:iCs w:val="0"/>
          <w:sz w:val="30"/>
          <w:szCs w:val="30"/>
        </w:rPr>
        <w:t>政府性基金预算支出决算情况说明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w:t>
      </w:r>
    </w:p>
    <w:p>
      <w:pPr>
        <w:pStyle w:val="20"/>
        <w:tabs>
          <w:tab w:val="right" w:leader="dot" w:pos="8296"/>
        </w:tabs>
        <w:rPr>
          <w:rFonts w:hint="eastAsia" w:ascii="Times New Roman" w:hAnsi="Times New Roman" w:eastAsia="方正仿宋_GBK" w:cs="Times New Roman"/>
          <w:b/>
          <w:bCs/>
          <w:i w:val="0"/>
          <w:iCs w:val="0"/>
          <w:smallCaps w:val="0"/>
          <w:sz w:val="30"/>
          <w:szCs w:val="30"/>
          <w:lang w:eastAsia="zh-CN"/>
        </w:rPr>
      </w:pPr>
      <w:r>
        <w:rPr>
          <w:rFonts w:hint="default" w:ascii="Times New Roman" w:hAnsi="Times New Roman" w:eastAsia="方正仿宋_GBK" w:cs="Times New Roman"/>
          <w:b/>
          <w:bCs/>
          <w:i w:val="0"/>
          <w:iCs w:val="0"/>
          <w:sz w:val="30"/>
          <w:szCs w:val="30"/>
        </w:rPr>
        <w:t>九、 国有资本经营预算支出决算情况说明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w:t>
      </w:r>
    </w:p>
    <w:p>
      <w:pPr>
        <w:pStyle w:val="20"/>
        <w:tabs>
          <w:tab w:val="right" w:leader="dot" w:pos="8296"/>
        </w:tabs>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color w:val="000000"/>
          <w:sz w:val="30"/>
          <w:szCs w:val="30"/>
        </w:rPr>
        <w:t>十</w:t>
      </w:r>
      <w:r>
        <w:rPr>
          <w:rFonts w:hint="default" w:ascii="Times New Roman" w:hAnsi="Times New Roman" w:eastAsia="方正仿宋_GBK" w:cs="Times New Roman"/>
          <w:b/>
          <w:bCs/>
          <w:i w:val="0"/>
          <w:iCs w:val="0"/>
          <w:sz w:val="30"/>
          <w:szCs w:val="30"/>
        </w:rPr>
        <w:t>、其他重要事项的情况说明</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9-14</w:t>
      </w:r>
    </w:p>
    <w:p>
      <w:pPr>
        <w:pStyle w:val="11"/>
        <w:tabs>
          <w:tab w:val="right" w:leader="dot" w:pos="8296"/>
        </w:tabs>
        <w:ind w:left="0" w:leftChars="0" w:firstLine="0" w:firstLineChars="0"/>
        <w:rPr>
          <w:rFonts w:hint="eastAsia" w:ascii="Times New Roman" w:hAnsi="Times New Roman" w:eastAsia="方正仿宋_GBK" w:cs="Times New Roman"/>
          <w:b/>
          <w:bCs/>
          <w:i w:val="0"/>
          <w:iCs w:val="0"/>
          <w:sz w:val="30"/>
          <w:szCs w:val="30"/>
          <w:lang w:eastAsia="zh-CN"/>
        </w:rPr>
      </w:pPr>
      <w:r>
        <w:rPr>
          <w:rFonts w:hint="default" w:ascii="Times New Roman" w:hAnsi="Times New Roman" w:eastAsia="方正仿宋_GBK" w:cs="Times New Roman"/>
          <w:b/>
          <w:bCs/>
          <w:i w:val="0"/>
          <w:iCs w:val="0"/>
          <w:color w:val="000000"/>
          <w:sz w:val="30"/>
          <w:szCs w:val="30"/>
        </w:rPr>
        <w:t>（一）机关运行经费支出情况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w:t>
      </w:r>
    </w:p>
    <w:p>
      <w:pPr>
        <w:pStyle w:val="11"/>
        <w:tabs>
          <w:tab w:val="right" w:leader="dot" w:pos="8296"/>
        </w:tabs>
        <w:ind w:left="0" w:leftChars="0" w:firstLine="0" w:firstLineChars="0"/>
        <w:rPr>
          <w:rFonts w:hint="eastAsia" w:ascii="Times New Roman" w:hAnsi="Times New Roman" w:eastAsia="方正仿宋_GBK" w:cs="Times New Roman"/>
          <w:b/>
          <w:bCs/>
          <w:i w:val="0"/>
          <w:iCs w:val="0"/>
          <w:sz w:val="30"/>
          <w:szCs w:val="30"/>
          <w:lang w:eastAsia="zh-CN"/>
        </w:rPr>
      </w:pPr>
      <w:r>
        <w:rPr>
          <w:rFonts w:hint="default" w:ascii="Times New Roman" w:hAnsi="Times New Roman" w:eastAsia="方正仿宋_GBK" w:cs="Times New Roman"/>
          <w:b/>
          <w:bCs/>
          <w:i w:val="0"/>
          <w:iCs w:val="0"/>
          <w:color w:val="000000"/>
          <w:sz w:val="30"/>
          <w:szCs w:val="30"/>
        </w:rPr>
        <w:t>（二）政府采购支出情况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w:t>
      </w:r>
    </w:p>
    <w:p>
      <w:pPr>
        <w:pStyle w:val="11"/>
        <w:tabs>
          <w:tab w:val="right" w:leader="dot" w:pos="8296"/>
        </w:tabs>
        <w:ind w:left="0" w:leftChars="0" w:firstLine="0" w:firstLineChars="0"/>
        <w:rPr>
          <w:rFonts w:hint="default" w:ascii="Times New Roman" w:hAnsi="Times New Roman" w:eastAsia="方正仿宋_GBK" w:cs="Times New Roman"/>
          <w:b/>
          <w:bCs/>
          <w:i w:val="0"/>
          <w:iCs w:val="0"/>
          <w:sz w:val="30"/>
          <w:szCs w:val="30"/>
          <w:lang w:val="en-US" w:eastAsia="zh-CN"/>
        </w:rPr>
      </w:pPr>
      <w:r>
        <w:rPr>
          <w:rFonts w:hint="default" w:ascii="Times New Roman" w:hAnsi="Times New Roman" w:eastAsia="方正仿宋_GBK" w:cs="Times New Roman"/>
          <w:b/>
          <w:bCs/>
          <w:i w:val="0"/>
          <w:iCs w:val="0"/>
          <w:color w:val="000000"/>
          <w:sz w:val="30"/>
          <w:szCs w:val="30"/>
        </w:rPr>
        <w:t>（三）国有资产占有使用情况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9-10</w:t>
      </w:r>
    </w:p>
    <w:p>
      <w:pPr>
        <w:pStyle w:val="11"/>
        <w:tabs>
          <w:tab w:val="right" w:leader="dot" w:pos="8296"/>
        </w:tabs>
        <w:ind w:left="0" w:leftChars="0" w:firstLine="0" w:firstLineChars="0"/>
        <w:rPr>
          <w:rFonts w:hint="default" w:ascii="Times New Roman" w:hAnsi="Times New Roman" w:eastAsia="方正仿宋_GBK" w:cs="Times New Roman"/>
          <w:b/>
          <w:bCs/>
          <w:i w:val="0"/>
          <w:iCs w:val="0"/>
          <w:sz w:val="30"/>
          <w:szCs w:val="30"/>
          <w:lang w:val="en-US" w:eastAsia="zh-CN"/>
        </w:rPr>
      </w:pPr>
      <w:r>
        <w:rPr>
          <w:rFonts w:hint="default" w:ascii="Times New Roman" w:hAnsi="Times New Roman" w:eastAsia="方正仿宋_GBK" w:cs="Times New Roman"/>
          <w:b/>
          <w:bCs/>
          <w:i w:val="0"/>
          <w:iCs w:val="0"/>
          <w:color w:val="000000"/>
          <w:sz w:val="30"/>
          <w:szCs w:val="30"/>
        </w:rPr>
        <w:t>（四）预算绩效管理情况。</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10-14</w:t>
      </w:r>
    </w:p>
    <w:p>
      <w:pPr>
        <w:pStyle w:val="16"/>
        <w:tabs>
          <w:tab w:val="right" w:leader="dot" w:pos="8296"/>
        </w:tabs>
        <w:rPr>
          <w:rFonts w:hint="default" w:ascii="Times New Roman" w:hAnsi="Times New Roman" w:eastAsia="方正仿宋_GBK" w:cs="Times New Roman"/>
          <w:b/>
          <w:bCs/>
          <w:i w:val="0"/>
          <w:iCs w:val="0"/>
          <w:caps w:val="0"/>
          <w:sz w:val="30"/>
          <w:szCs w:val="30"/>
          <w:lang w:val="en-US" w:eastAsia="zh-CN"/>
        </w:rPr>
      </w:pPr>
      <w:r>
        <w:rPr>
          <w:rFonts w:hint="default" w:ascii="Times New Roman" w:hAnsi="Times New Roman" w:eastAsia="方正仿宋_GBK" w:cs="Times New Roman"/>
          <w:b/>
          <w:bCs/>
          <w:i w:val="0"/>
          <w:iCs w:val="0"/>
          <w:kern w:val="44"/>
          <w:sz w:val="30"/>
          <w:szCs w:val="30"/>
        </w:rPr>
        <w:t>第三部分</w:t>
      </w:r>
      <w:r>
        <w:rPr>
          <w:rFonts w:hint="default" w:ascii="Times New Roman" w:hAnsi="Times New Roman" w:eastAsia="方正仿宋_GBK" w:cs="Times New Roman"/>
          <w:b/>
          <w:bCs/>
          <w:i w:val="0"/>
          <w:iCs w:val="0"/>
          <w:color w:val="000000"/>
          <w:sz w:val="30"/>
          <w:szCs w:val="30"/>
        </w:rPr>
        <w:t xml:space="preserve"> 名</w:t>
      </w:r>
      <w:r>
        <w:rPr>
          <w:rFonts w:hint="default" w:ascii="Times New Roman" w:hAnsi="Times New Roman" w:eastAsia="方正仿宋_GBK" w:cs="Times New Roman"/>
          <w:b/>
          <w:bCs/>
          <w:i w:val="0"/>
          <w:iCs w:val="0"/>
          <w:kern w:val="44"/>
          <w:sz w:val="30"/>
          <w:szCs w:val="30"/>
        </w:rPr>
        <w:t>词解释</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15-17</w:t>
      </w:r>
    </w:p>
    <w:p>
      <w:pPr>
        <w:pStyle w:val="16"/>
        <w:tabs>
          <w:tab w:val="right" w:leader="dot" w:pos="8296"/>
        </w:tabs>
        <w:rPr>
          <w:rFonts w:hint="default" w:ascii="Times New Roman" w:hAnsi="Times New Roman" w:eastAsia="方正仿宋_GBK" w:cs="Times New Roman"/>
          <w:b/>
          <w:bCs/>
          <w:i w:val="0"/>
          <w:iCs w:val="0"/>
          <w:caps w:val="0"/>
          <w:sz w:val="30"/>
          <w:szCs w:val="30"/>
          <w:lang w:val="en-US" w:eastAsia="zh-CN"/>
        </w:rPr>
      </w:pPr>
      <w:r>
        <w:rPr>
          <w:rFonts w:hint="default" w:ascii="Times New Roman" w:hAnsi="Times New Roman" w:eastAsia="方正仿宋_GBK" w:cs="Times New Roman"/>
          <w:b/>
          <w:bCs/>
          <w:i w:val="0"/>
          <w:iCs w:val="0"/>
          <w:color w:val="000000"/>
          <w:sz w:val="30"/>
          <w:szCs w:val="30"/>
        </w:rPr>
        <w:t>第</w:t>
      </w:r>
      <w:r>
        <w:rPr>
          <w:rFonts w:hint="default" w:ascii="Times New Roman" w:hAnsi="Times New Roman" w:eastAsia="方正仿宋_GBK" w:cs="Times New Roman"/>
          <w:b/>
          <w:bCs/>
          <w:i w:val="0"/>
          <w:iCs w:val="0"/>
          <w:kern w:val="44"/>
          <w:sz w:val="30"/>
          <w:szCs w:val="30"/>
        </w:rPr>
        <w:t>四部分 附件</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18-25</w:t>
      </w:r>
    </w:p>
    <w:p>
      <w:pPr>
        <w:pStyle w:val="16"/>
        <w:tabs>
          <w:tab w:val="right" w:leader="dot" w:pos="8296"/>
        </w:tabs>
        <w:rPr>
          <w:rFonts w:hint="default" w:ascii="Times New Roman" w:hAnsi="Times New Roman" w:eastAsia="方正仿宋_GBK" w:cs="Times New Roman"/>
          <w:b/>
          <w:bCs/>
          <w:i w:val="0"/>
          <w:iCs w:val="0"/>
          <w:caps w:val="0"/>
          <w:sz w:val="30"/>
          <w:szCs w:val="30"/>
          <w:lang w:val="en-US" w:eastAsia="zh-CN"/>
        </w:rPr>
      </w:pPr>
      <w:r>
        <w:rPr>
          <w:rFonts w:hint="default" w:ascii="Times New Roman" w:hAnsi="Times New Roman" w:eastAsia="方正仿宋_GBK" w:cs="Times New Roman"/>
          <w:b/>
          <w:bCs/>
          <w:i w:val="0"/>
          <w:iCs w:val="0"/>
          <w:sz w:val="30"/>
          <w:szCs w:val="30"/>
        </w:rPr>
        <w:t>附件1</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18-21</w:t>
      </w:r>
    </w:p>
    <w:p>
      <w:pPr>
        <w:pStyle w:val="16"/>
        <w:tabs>
          <w:tab w:val="right" w:leader="dot" w:pos="8296"/>
        </w:tabs>
        <w:rPr>
          <w:rFonts w:hint="default" w:ascii="Times New Roman" w:hAnsi="Times New Roman" w:eastAsia="方正仿宋_GBK" w:cs="Times New Roman"/>
          <w:b/>
          <w:bCs/>
          <w:i w:val="0"/>
          <w:iCs w:val="0"/>
          <w:caps w:val="0"/>
          <w:sz w:val="30"/>
          <w:szCs w:val="30"/>
          <w:lang w:val="en-US" w:eastAsia="zh-CN"/>
        </w:rPr>
      </w:pPr>
      <w:r>
        <w:rPr>
          <w:rFonts w:hint="default" w:ascii="Times New Roman" w:hAnsi="Times New Roman" w:eastAsia="方正仿宋_GBK" w:cs="Times New Roman"/>
          <w:b/>
          <w:bCs/>
          <w:i w:val="0"/>
          <w:iCs w:val="0"/>
          <w:sz w:val="30"/>
          <w:szCs w:val="30"/>
        </w:rPr>
        <w:t>附件2</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22-25</w:t>
      </w:r>
    </w:p>
    <w:p>
      <w:pPr>
        <w:pStyle w:val="16"/>
        <w:tabs>
          <w:tab w:val="right" w:leader="dot" w:pos="8296"/>
        </w:tabs>
        <w:rPr>
          <w:rFonts w:hint="default" w:ascii="Times New Roman" w:hAnsi="Times New Roman" w:eastAsia="方正仿宋_GBK" w:cs="Times New Roman"/>
          <w:b/>
          <w:bCs/>
          <w:i w:val="0"/>
          <w:iCs w:val="0"/>
          <w:caps w:val="0"/>
          <w:sz w:val="30"/>
          <w:szCs w:val="30"/>
        </w:rPr>
      </w:pPr>
      <w:r>
        <w:rPr>
          <w:rFonts w:hint="default" w:ascii="Times New Roman" w:hAnsi="Times New Roman" w:eastAsia="方正仿宋_GBK" w:cs="Times New Roman"/>
          <w:b/>
          <w:bCs/>
          <w:i w:val="0"/>
          <w:iCs w:val="0"/>
          <w:color w:val="000000"/>
          <w:sz w:val="30"/>
          <w:szCs w:val="30"/>
        </w:rPr>
        <w:t>第</w:t>
      </w:r>
      <w:r>
        <w:rPr>
          <w:rFonts w:hint="default" w:ascii="Times New Roman" w:hAnsi="Times New Roman" w:eastAsia="方正仿宋_GBK" w:cs="Times New Roman"/>
          <w:b/>
          <w:bCs/>
          <w:i w:val="0"/>
          <w:iCs w:val="0"/>
          <w:kern w:val="44"/>
          <w:sz w:val="30"/>
          <w:szCs w:val="30"/>
        </w:rPr>
        <w:t>五部分 附表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_Toc79163885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color w:val="000000"/>
          <w:sz w:val="30"/>
          <w:szCs w:val="30"/>
        </w:rPr>
        <w:t>一、收</w:t>
      </w:r>
      <w:r>
        <w:rPr>
          <w:rFonts w:hint="default" w:ascii="Times New Roman" w:hAnsi="Times New Roman" w:eastAsia="方正仿宋_GBK" w:cs="Times New Roman"/>
          <w:b/>
          <w:bCs/>
          <w:i w:val="0"/>
          <w:iCs w:val="0"/>
          <w:sz w:val="30"/>
          <w:szCs w:val="30"/>
        </w:rPr>
        <w:t>入支出决算总表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_Toc79163886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color w:val="000000"/>
          <w:sz w:val="30"/>
          <w:szCs w:val="30"/>
        </w:rPr>
        <w:t>二、收</w:t>
      </w:r>
      <w:r>
        <w:rPr>
          <w:rFonts w:hint="default" w:ascii="Times New Roman" w:hAnsi="Times New Roman" w:eastAsia="方正仿宋_GBK" w:cs="Times New Roman"/>
          <w:b/>
          <w:bCs/>
          <w:i w:val="0"/>
          <w:iCs w:val="0"/>
          <w:sz w:val="30"/>
          <w:szCs w:val="30"/>
        </w:rPr>
        <w:t>入决算表</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26</w:t>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sz w:val="30"/>
          <w:szCs w:val="30"/>
        </w:rPr>
        <w:t>三、</w:t>
      </w:r>
      <w:r>
        <w:rPr>
          <w:rFonts w:hint="default" w:ascii="Times New Roman" w:hAnsi="Times New Roman" w:eastAsia="方正仿宋_GBK" w:cs="Times New Roman"/>
          <w:b/>
          <w:bCs/>
          <w:i w:val="0"/>
          <w:iCs w:val="0"/>
          <w:color w:val="000000"/>
          <w:sz w:val="30"/>
          <w:szCs w:val="30"/>
        </w:rPr>
        <w:t>支</w:t>
      </w:r>
      <w:r>
        <w:rPr>
          <w:rFonts w:hint="default" w:ascii="Times New Roman" w:hAnsi="Times New Roman" w:eastAsia="方正仿宋_GBK" w:cs="Times New Roman"/>
          <w:b/>
          <w:bCs/>
          <w:i w:val="0"/>
          <w:iCs w:val="0"/>
          <w:sz w:val="30"/>
          <w:szCs w:val="30"/>
        </w:rPr>
        <w:t>出决算表</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26</w:t>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lang w:val="en-US" w:eastAsia="zh-CN"/>
        </w:rPr>
      </w:pPr>
      <w:r>
        <w:rPr>
          <w:rFonts w:hint="default" w:ascii="Times New Roman" w:hAnsi="Times New Roman" w:eastAsia="方正仿宋_GBK" w:cs="Times New Roman"/>
          <w:b/>
          <w:bCs/>
          <w:i w:val="0"/>
          <w:iCs w:val="0"/>
          <w:sz w:val="30"/>
          <w:szCs w:val="30"/>
        </w:rPr>
        <w:t>四、</w:t>
      </w:r>
      <w:r>
        <w:rPr>
          <w:rFonts w:hint="default" w:ascii="Times New Roman" w:hAnsi="Times New Roman" w:eastAsia="方正仿宋_GBK" w:cs="Times New Roman"/>
          <w:b/>
          <w:bCs/>
          <w:i w:val="0"/>
          <w:iCs w:val="0"/>
          <w:color w:val="000000"/>
          <w:sz w:val="30"/>
          <w:szCs w:val="30"/>
        </w:rPr>
        <w:t>财</w:t>
      </w:r>
      <w:r>
        <w:rPr>
          <w:rFonts w:hint="default" w:ascii="Times New Roman" w:hAnsi="Times New Roman" w:eastAsia="方正仿宋_GBK" w:cs="Times New Roman"/>
          <w:b/>
          <w:bCs/>
          <w:i w:val="0"/>
          <w:iCs w:val="0"/>
          <w:sz w:val="30"/>
          <w:szCs w:val="30"/>
        </w:rPr>
        <w:t>政拨款收入支出决算总表</w:t>
      </w:r>
      <w:r>
        <w:rPr>
          <w:rFonts w:hint="default" w:ascii="Times New Roman" w:hAnsi="Times New Roman" w:eastAsia="方正仿宋_GBK" w:cs="Times New Roman"/>
          <w:b/>
          <w:bCs/>
          <w:i w:val="0"/>
          <w:iCs w:val="0"/>
          <w:sz w:val="30"/>
          <w:szCs w:val="30"/>
        </w:rPr>
        <w:tab/>
      </w:r>
      <w:r>
        <w:rPr>
          <w:rFonts w:hint="eastAsia" w:ascii="Times New Roman" w:eastAsia="方正仿宋_GBK" w:cs="Times New Roman"/>
          <w:b/>
          <w:bCs/>
          <w:i w:val="0"/>
          <w:iCs w:val="0"/>
          <w:sz w:val="30"/>
          <w:szCs w:val="30"/>
          <w:lang w:val="en-US" w:eastAsia="zh-CN"/>
        </w:rPr>
        <w:t>26</w:t>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五、</w:t>
      </w:r>
      <w:r>
        <w:rPr>
          <w:rFonts w:hint="default" w:ascii="Times New Roman" w:hAnsi="Times New Roman" w:eastAsia="方正仿宋_GBK" w:cs="Times New Roman"/>
          <w:b/>
          <w:bCs/>
          <w:i w:val="0"/>
          <w:iCs w:val="0"/>
          <w:color w:val="000000"/>
          <w:sz w:val="30"/>
          <w:szCs w:val="30"/>
        </w:rPr>
        <w:t>财</w:t>
      </w:r>
      <w:r>
        <w:rPr>
          <w:rFonts w:hint="default" w:ascii="Times New Roman" w:hAnsi="Times New Roman" w:eastAsia="方正仿宋_GBK" w:cs="Times New Roman"/>
          <w:b/>
          <w:bCs/>
          <w:i w:val="0"/>
          <w:iCs w:val="0"/>
          <w:sz w:val="30"/>
          <w:szCs w:val="30"/>
        </w:rPr>
        <w:t>政拨款支出决算明细表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_Toc79163890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六、</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_Toc79163891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七、</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般公共预算财政拨款支出决算明细表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_Toc79163892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八、</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般公共预算财政拨款基本支出决算表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_Toc79163893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九、</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般公共预算财政拨款项目支出决算表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_Toc79163894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十、</w:t>
      </w:r>
      <w:r>
        <w:rPr>
          <w:rFonts w:hint="default" w:ascii="Times New Roman" w:hAnsi="Times New Roman" w:eastAsia="方正仿宋_GBK" w:cs="Times New Roman"/>
          <w:b/>
          <w:bCs/>
          <w:i w:val="0"/>
          <w:iCs w:val="0"/>
          <w:color w:val="000000"/>
          <w:sz w:val="30"/>
          <w:szCs w:val="30"/>
        </w:rPr>
        <w:t>一</w:t>
      </w:r>
      <w:r>
        <w:rPr>
          <w:rFonts w:hint="default" w:ascii="Times New Roman" w:hAnsi="Times New Roman" w:eastAsia="方正仿宋_GBK" w:cs="Times New Roman"/>
          <w:b/>
          <w:bCs/>
          <w:i w:val="0"/>
          <w:iCs w:val="0"/>
          <w:sz w:val="30"/>
          <w:szCs w:val="30"/>
        </w:rPr>
        <w:t>般公共预算财政拨款“三公”经费支出决算表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_Toc79163895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十一、</w:t>
      </w:r>
      <w:r>
        <w:rPr>
          <w:rFonts w:hint="default" w:ascii="Times New Roman" w:hAnsi="Times New Roman" w:eastAsia="方正仿宋_GBK" w:cs="Times New Roman"/>
          <w:b/>
          <w:bCs/>
          <w:i w:val="0"/>
          <w:iCs w:val="0"/>
          <w:color w:val="000000"/>
          <w:sz w:val="30"/>
          <w:szCs w:val="30"/>
        </w:rPr>
        <w:t>政</w:t>
      </w:r>
      <w:r>
        <w:rPr>
          <w:rFonts w:hint="default" w:ascii="Times New Roman" w:hAnsi="Times New Roman" w:eastAsia="方正仿宋_GBK" w:cs="Times New Roman"/>
          <w:b/>
          <w:bCs/>
          <w:i w:val="0"/>
          <w:iCs w:val="0"/>
          <w:sz w:val="30"/>
          <w:szCs w:val="30"/>
        </w:rPr>
        <w:t>府性基金预算财政拨款收入支出决算表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_Toc79163896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十二、</w:t>
      </w:r>
      <w:r>
        <w:rPr>
          <w:rFonts w:hint="default" w:ascii="Times New Roman" w:hAnsi="Times New Roman" w:eastAsia="方正仿宋_GBK" w:cs="Times New Roman"/>
          <w:b/>
          <w:bCs/>
          <w:i w:val="0"/>
          <w:iCs w:val="0"/>
          <w:color w:val="000000"/>
          <w:sz w:val="30"/>
          <w:szCs w:val="30"/>
        </w:rPr>
        <w:t>政</w:t>
      </w:r>
      <w:r>
        <w:rPr>
          <w:rFonts w:hint="default" w:ascii="Times New Roman" w:hAnsi="Times New Roman" w:eastAsia="方正仿宋_GBK" w:cs="Times New Roman"/>
          <w:b/>
          <w:bCs/>
          <w:i w:val="0"/>
          <w:iCs w:val="0"/>
          <w:sz w:val="30"/>
          <w:szCs w:val="30"/>
        </w:rPr>
        <w:t>府性基金预算财政拨款“三公”经费支出决算表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_Toc79163897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十三、</w:t>
      </w:r>
      <w:r>
        <w:rPr>
          <w:rFonts w:hint="default" w:ascii="Times New Roman" w:hAnsi="Times New Roman" w:eastAsia="方正仿宋_GBK" w:cs="Times New Roman"/>
          <w:b/>
          <w:bCs/>
          <w:i w:val="0"/>
          <w:iCs w:val="0"/>
          <w:color w:val="000000"/>
          <w:sz w:val="30"/>
          <w:szCs w:val="30"/>
        </w:rPr>
        <w:t>国</w:t>
      </w:r>
      <w:r>
        <w:rPr>
          <w:rFonts w:hint="default" w:ascii="Times New Roman" w:hAnsi="Times New Roman" w:eastAsia="方正仿宋_GBK" w:cs="Times New Roman"/>
          <w:b/>
          <w:bCs/>
          <w:i w:val="0"/>
          <w:iCs w:val="0"/>
          <w:sz w:val="30"/>
          <w:szCs w:val="30"/>
        </w:rPr>
        <w:t>有资本经营预算财政拨款支出决算表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_Toc79163898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pPr>
        <w:pStyle w:val="20"/>
        <w:tabs>
          <w:tab w:val="right" w:leader="dot" w:pos="8296"/>
        </w:tabs>
        <w:ind w:left="0" w:leftChars="0" w:firstLine="0" w:firstLineChars="0"/>
        <w:rPr>
          <w:rFonts w:hint="default" w:ascii="Times New Roman" w:hAnsi="Times New Roman" w:eastAsia="方正仿宋_GBK" w:cs="Times New Roman"/>
          <w:b/>
          <w:bCs/>
          <w:i w:val="0"/>
          <w:iCs w:val="0"/>
          <w:smallCaps w:val="0"/>
          <w:sz w:val="30"/>
          <w:szCs w:val="30"/>
        </w:rPr>
      </w:pPr>
      <w:r>
        <w:rPr>
          <w:rFonts w:hint="default" w:ascii="Times New Roman" w:hAnsi="Times New Roman" w:eastAsia="方正仿宋_GBK" w:cs="Times New Roman"/>
          <w:b/>
          <w:bCs/>
          <w:i w:val="0"/>
          <w:iCs w:val="0"/>
          <w:sz w:val="30"/>
          <w:szCs w:val="30"/>
        </w:rPr>
        <w:t>十四、国有资本经营预算财政拨款支出决算表</w:t>
      </w:r>
      <w:r>
        <w:rPr>
          <w:rFonts w:hint="default" w:ascii="Times New Roman" w:hAnsi="Times New Roman" w:eastAsia="方正仿宋_GBK" w:cs="Times New Roman"/>
          <w:b/>
          <w:bCs/>
          <w:i w:val="0"/>
          <w:iCs w:val="0"/>
          <w:sz w:val="30"/>
          <w:szCs w:val="30"/>
        </w:rPr>
        <w:tab/>
      </w:r>
      <w:r>
        <w:rPr>
          <w:rFonts w:hint="default" w:ascii="Times New Roman" w:hAnsi="Times New Roman" w:eastAsia="方正仿宋_GBK" w:cs="Times New Roman"/>
          <w:b/>
          <w:bCs/>
          <w:i w:val="0"/>
          <w:iCs w:val="0"/>
          <w:sz w:val="30"/>
          <w:szCs w:val="30"/>
        </w:rPr>
        <w:fldChar w:fldCharType="begin"/>
      </w:r>
      <w:r>
        <w:rPr>
          <w:rFonts w:hint="default" w:ascii="Times New Roman" w:hAnsi="Times New Roman" w:eastAsia="方正仿宋_GBK" w:cs="Times New Roman"/>
          <w:b/>
          <w:bCs/>
          <w:i w:val="0"/>
          <w:iCs w:val="0"/>
          <w:sz w:val="30"/>
          <w:szCs w:val="30"/>
        </w:rPr>
        <w:instrText xml:space="preserve"> PAGEREF _Toc79163899 \h </w:instrText>
      </w:r>
      <w:r>
        <w:rPr>
          <w:rFonts w:hint="default" w:ascii="Times New Roman" w:hAnsi="Times New Roman" w:eastAsia="方正仿宋_GBK" w:cs="Times New Roman"/>
          <w:b/>
          <w:bCs/>
          <w:i w:val="0"/>
          <w:iCs w:val="0"/>
          <w:sz w:val="30"/>
          <w:szCs w:val="30"/>
        </w:rPr>
        <w:fldChar w:fldCharType="separate"/>
      </w:r>
      <w:r>
        <w:rPr>
          <w:rFonts w:hint="default" w:ascii="Times New Roman" w:hAnsi="Times New Roman" w:eastAsia="方正仿宋_GBK" w:cs="Times New Roman"/>
          <w:b/>
          <w:bCs/>
          <w:i w:val="0"/>
          <w:iCs w:val="0"/>
          <w:sz w:val="30"/>
          <w:szCs w:val="30"/>
        </w:rPr>
        <w:t>26</w:t>
      </w:r>
      <w:r>
        <w:rPr>
          <w:rFonts w:hint="default" w:ascii="Times New Roman" w:hAnsi="Times New Roman" w:eastAsia="方正仿宋_GBK" w:cs="Times New Roman"/>
          <w:b/>
          <w:bCs/>
          <w:i w:val="0"/>
          <w:iCs w:val="0"/>
          <w:sz w:val="30"/>
          <w:szCs w:val="30"/>
        </w:rPr>
        <w:fldChar w:fldCharType="end"/>
      </w:r>
    </w:p>
    <w:p>
      <w:r>
        <w:rPr>
          <w:rFonts w:hint="default" w:ascii="Times New Roman" w:hAnsi="Times New Roman" w:eastAsia="方正仿宋_GBK" w:cs="Times New Roman"/>
          <w:b/>
          <w:bCs/>
          <w:i w:val="0"/>
          <w:iCs w:val="0"/>
          <w:caps/>
          <w:sz w:val="30"/>
          <w:szCs w:val="30"/>
        </w:rPr>
        <w:fldChar w:fldCharType="end"/>
      </w:r>
    </w:p>
    <w:p>
      <w:pPr>
        <w:widowControl/>
        <w:spacing w:line="440" w:lineRule="exact"/>
        <w:jc w:val="left"/>
        <w:rPr>
          <w:rFonts w:ascii="仿宋" w:hAnsi="仿宋" w:eastAsia="仿宋"/>
          <w:bCs/>
          <w:kern w:val="44"/>
          <w:sz w:val="24"/>
        </w:rPr>
      </w:pPr>
      <w:bookmarkStart w:id="14" w:name="_Toc15377196"/>
      <w:bookmarkStart w:id="15" w:name="_Toc15396599"/>
      <w:r>
        <w:rPr>
          <w:rFonts w:ascii="仿宋" w:hAnsi="仿宋" w:eastAsia="仿宋"/>
          <w:b/>
          <w:sz w:val="24"/>
        </w:rPr>
        <w:br w:type="page"/>
      </w:r>
    </w:p>
    <w:p>
      <w:pPr>
        <w:pStyle w:val="3"/>
        <w:jc w:val="center"/>
        <w:rPr>
          <w:rStyle w:val="27"/>
          <w:rFonts w:ascii="黑体" w:hAnsi="黑体" w:eastAsia="黑体"/>
          <w:b/>
          <w:bCs w:val="0"/>
        </w:rPr>
      </w:pPr>
      <w:bookmarkStart w:id="16" w:name="_Toc79163601"/>
      <w:bookmarkStart w:id="17" w:name="_Toc79163851"/>
      <w:r>
        <w:rPr>
          <w:rFonts w:hint="eastAsia" w:ascii="黑体" w:hAnsi="黑体" w:eastAsia="黑体"/>
          <w:b w:val="0"/>
        </w:rPr>
        <w:t>第一部分</w:t>
      </w:r>
      <w:r>
        <w:rPr>
          <w:rStyle w:val="27"/>
          <w:rFonts w:hint="eastAsia" w:ascii="黑体" w:hAnsi="黑体" w:eastAsia="黑体"/>
          <w:b w:val="0"/>
          <w:bCs w:val="0"/>
        </w:rPr>
        <w:t>部门概况</w:t>
      </w:r>
      <w:bookmarkEnd w:id="14"/>
      <w:bookmarkEnd w:id="15"/>
      <w:bookmarkEnd w:id="16"/>
      <w:bookmarkEnd w:id="17"/>
    </w:p>
    <w:p>
      <w:pPr>
        <w:pStyle w:val="4"/>
        <w:spacing w:before="0" w:after="0" w:line="560" w:lineRule="exact"/>
        <w:ind w:firstLine="640" w:firstLineChars="200"/>
        <w:rPr>
          <w:rStyle w:val="28"/>
          <w:rFonts w:ascii="黑体" w:hAnsi="黑体" w:eastAsia="黑体"/>
          <w:b w:val="0"/>
          <w:bCs w:val="0"/>
        </w:rPr>
      </w:pPr>
      <w:bookmarkStart w:id="18" w:name="_Toc79163852"/>
      <w:bookmarkStart w:id="19" w:name="_Toc15377197"/>
      <w:bookmarkStart w:id="20" w:name="_Toc15396600"/>
      <w:bookmarkStart w:id="21" w:name="_Toc79163602"/>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8"/>
      <w:bookmarkEnd w:id="19"/>
      <w:bookmarkEnd w:id="20"/>
      <w:bookmarkEnd w:id="21"/>
      <w:bookmarkStart w:id="22" w:name="_Toc15377199"/>
      <w:bookmarkStart w:id="23" w:name="_Toc15378446"/>
      <w:bookmarkStart w:id="24" w:name="_Toc79163854"/>
      <w:bookmarkStart w:id="25" w:name="_Toc79163604"/>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（一）主要职责是：</w:t>
      </w:r>
    </w:p>
    <w:p>
      <w:pPr>
        <w:spacing w:line="560" w:lineRule="exact"/>
        <w:ind w:firstLine="640" w:firstLineChars="200"/>
        <w:rPr>
          <w:rFonts w:ascii="仿宋" w:hAnsi="仿宋" w:eastAsia="仿宋"/>
          <w:bCs/>
          <w:color w:val="000000"/>
          <w:kern w:val="0"/>
          <w:sz w:val="32"/>
          <w:szCs w:val="32"/>
          <w:lang w:val="zh-CN"/>
        </w:rPr>
      </w:pPr>
      <w:r>
        <w:rPr>
          <w:rFonts w:hint="eastAsia" w:ascii="仿宋" w:hAnsi="仿宋" w:eastAsia="仿宋"/>
          <w:bCs/>
          <w:color w:val="000000"/>
          <w:kern w:val="0"/>
          <w:sz w:val="32"/>
          <w:szCs w:val="32"/>
          <w:lang w:val="zh-CN"/>
        </w:rPr>
        <w:t>中共九寨沟县委统一战线工作部（简称县委统战部）是县委主管统一战线工作的职能部门，为正科级,列县委工作机关序列。统一领导民族宗教工作，归口领导县民族宗教局，统一管理县侨务、台湾事务等工作。县委统战部以习近平新时代中国特色社会主义思想为指引，坚持和加强党的全面领导，增强“四个意识”、坚定“四个自信”、做到“两个维护”，全面贯彻落实党的路线、方针、政策和党中央、省委、州委、县委的决策部署。</w:t>
      </w:r>
    </w:p>
    <w:p>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（二）2021年重点工作完成情况。</w:t>
      </w:r>
      <w:bookmarkEnd w:id="22"/>
      <w:bookmarkEnd w:id="23"/>
      <w:bookmarkEnd w:id="24"/>
      <w:bookmarkEnd w:id="25"/>
    </w:p>
    <w:p>
      <w:pPr>
        <w:pStyle w:val="7"/>
        <w:adjustRightInd w:val="0"/>
        <w:snapToGrid w:val="0"/>
        <w:spacing w:before="93" w:line="600" w:lineRule="exact"/>
        <w:ind w:firstLine="672" w:firstLineChars="210"/>
        <w:outlineLvl w:val="2"/>
        <w:rPr>
          <w:rFonts w:ascii="仿宋" w:hAnsi="仿宋" w:eastAsia="仿宋"/>
          <w:bCs/>
          <w:color w:val="000000"/>
          <w:sz w:val="32"/>
          <w:szCs w:val="32"/>
        </w:rPr>
      </w:pPr>
      <w:r>
        <w:rPr>
          <w:rFonts w:hint="eastAsia" w:ascii="仿宋" w:hAnsi="仿宋" w:eastAsia="仿宋"/>
          <w:bCs/>
          <w:color w:val="000000"/>
          <w:sz w:val="32"/>
          <w:szCs w:val="32"/>
          <w:lang w:val="en-US"/>
        </w:rPr>
        <w:t>1.</w:t>
      </w:r>
      <w:r>
        <w:rPr>
          <w:rFonts w:hint="eastAsia" w:ascii="仿宋" w:hAnsi="仿宋" w:eastAsia="仿宋"/>
          <w:bCs/>
          <w:color w:val="000000"/>
          <w:sz w:val="32"/>
          <w:szCs w:val="32"/>
        </w:rPr>
        <w:t>紧紧贯穿一条主线，全面加强党对统战工作的领导。</w:t>
      </w:r>
    </w:p>
    <w:p>
      <w:pPr>
        <w:pStyle w:val="7"/>
        <w:adjustRightInd w:val="0"/>
        <w:snapToGrid w:val="0"/>
        <w:spacing w:beforeLines="0" w:line="560" w:lineRule="exact"/>
        <w:ind w:firstLine="672" w:firstLineChars="210"/>
        <w:outlineLvl w:val="2"/>
        <w:rPr>
          <w:rFonts w:ascii="仿宋" w:hAnsi="仿宋" w:eastAsia="仿宋"/>
          <w:bCs/>
          <w:color w:val="000000"/>
          <w:sz w:val="32"/>
          <w:szCs w:val="32"/>
          <w:lang w:val="en-US"/>
        </w:rPr>
      </w:pPr>
      <w:r>
        <w:rPr>
          <w:rFonts w:hint="eastAsia" w:ascii="仿宋" w:hAnsi="仿宋" w:eastAsia="仿宋"/>
          <w:bCs/>
          <w:color w:val="000000"/>
          <w:sz w:val="32"/>
          <w:szCs w:val="32"/>
          <w:lang w:val="en-US"/>
        </w:rPr>
        <w:t>2.紧扣两个抓手，夯实统一战线共同思想政治基础。</w:t>
      </w:r>
    </w:p>
    <w:p>
      <w:pPr>
        <w:pStyle w:val="4"/>
        <w:spacing w:before="0" w:after="0" w:line="560" w:lineRule="exact"/>
        <w:ind w:firstLine="640" w:firstLineChars="200"/>
        <w:rPr>
          <w:rFonts w:ascii="仿宋" w:hAnsi="仿宋" w:eastAsia="仿宋"/>
          <w:b w:val="0"/>
          <w:color w:val="000000"/>
          <w:kern w:val="0"/>
        </w:rPr>
      </w:pPr>
      <w:r>
        <w:rPr>
          <w:rFonts w:hint="eastAsia" w:ascii="仿宋" w:hAnsi="仿宋" w:eastAsia="仿宋"/>
          <w:b w:val="0"/>
          <w:color w:val="000000"/>
          <w:kern w:val="0"/>
        </w:rPr>
        <w:t>3.聚焦“三全”，推进民族宗教工作依法有序开展。</w:t>
      </w:r>
      <w:bookmarkStart w:id="26" w:name="_Toc79163855"/>
      <w:bookmarkStart w:id="27" w:name="_Toc15377200"/>
      <w:bookmarkStart w:id="28" w:name="_Toc79163605"/>
      <w:bookmarkStart w:id="29" w:name="_Toc15396601"/>
    </w:p>
    <w:p>
      <w:pPr>
        <w:pStyle w:val="4"/>
        <w:spacing w:before="0" w:after="0" w:line="560" w:lineRule="exact"/>
        <w:ind w:firstLine="640" w:firstLineChars="200"/>
        <w:rPr>
          <w:rStyle w:val="28"/>
          <w:rFonts w:ascii="黑体" w:hAnsi="黑体" w:eastAsia="黑体"/>
          <w:b w:val="0"/>
          <w:bCs w:val="0"/>
        </w:rPr>
      </w:pPr>
      <w:r>
        <w:rPr>
          <w:rStyle w:val="28"/>
          <w:rFonts w:hint="eastAsia" w:ascii="黑体" w:hAnsi="黑体" w:eastAsia="黑体"/>
          <w:b w:val="0"/>
          <w:bCs w:val="0"/>
        </w:rPr>
        <w:t>二、机构设置</w:t>
      </w:r>
      <w:bookmarkEnd w:id="26"/>
      <w:bookmarkEnd w:id="27"/>
      <w:bookmarkEnd w:id="28"/>
      <w:bookmarkEnd w:id="29"/>
      <w:bookmarkStart w:id="30" w:name="_Toc15396602"/>
      <w:bookmarkStart w:id="31" w:name="_Toc15377204"/>
      <w:bookmarkStart w:id="32" w:name="_Toc79163609"/>
      <w:bookmarkStart w:id="33" w:name="_Toc79163859"/>
    </w:p>
    <w:p>
      <w:pPr>
        <w:pStyle w:val="4"/>
        <w:spacing w:before="0" w:after="0" w:line="560" w:lineRule="exact"/>
        <w:ind w:firstLine="640" w:firstLineChars="200"/>
        <w:rPr>
          <w:rFonts w:ascii="仿宋" w:hAnsi="仿宋" w:eastAsia="仿宋"/>
          <w:b w:val="0"/>
          <w:color w:val="000000"/>
          <w:kern w:val="0"/>
        </w:rPr>
      </w:pPr>
      <w:r>
        <w:rPr>
          <w:rFonts w:hint="eastAsia" w:ascii="仿宋" w:hAnsi="仿宋" w:eastAsia="仿宋"/>
          <w:b w:val="0"/>
          <w:color w:val="000000"/>
          <w:kern w:val="0"/>
        </w:rPr>
        <w:t>中共九寨沟县委统战部是一级决算单位，有行政编制14名。其中部长1名（由县领导兼任），常务副部长1名（正科级），副部长2名（不含兼职），县对国外藏胞工作领导小组办公室主任1名（副科级），股级领导职数5名。机关工勤人员事业编制1名。</w:t>
      </w:r>
    </w:p>
    <w:p/>
    <w:p>
      <w:pPr>
        <w:pStyle w:val="3"/>
        <w:spacing w:line="560" w:lineRule="exact"/>
        <w:jc w:val="right"/>
        <w:rPr>
          <w:rStyle w:val="27"/>
          <w:rFonts w:ascii="黑体" w:hAnsi="黑体" w:eastAsia="黑体"/>
          <w:b w:val="0"/>
          <w:bCs w:val="0"/>
        </w:rPr>
      </w:pPr>
      <w:r>
        <w:rPr>
          <w:rFonts w:hint="eastAsia" w:ascii="黑体" w:hAnsi="黑体" w:eastAsia="黑体"/>
          <w:b w:val="0"/>
          <w:color w:val="000000"/>
        </w:rPr>
        <w:t>第二部分</w:t>
      </w:r>
      <w:r>
        <w:rPr>
          <w:rStyle w:val="27"/>
          <w:rFonts w:hint="eastAsia" w:ascii="黑体" w:hAnsi="黑体" w:eastAsia="黑体"/>
          <w:b w:val="0"/>
          <w:bCs w:val="0"/>
        </w:rPr>
        <w:t>2021年度部门决算情况说明</w:t>
      </w:r>
      <w:bookmarkEnd w:id="30"/>
      <w:bookmarkEnd w:id="31"/>
      <w:bookmarkEnd w:id="32"/>
      <w:bookmarkEnd w:id="33"/>
    </w:p>
    <w:p/>
    <w:p>
      <w:pPr>
        <w:pStyle w:val="38"/>
        <w:numPr>
          <w:ilvl w:val="0"/>
          <w:numId w:val="0"/>
        </w:numPr>
        <w:spacing w:line="600" w:lineRule="exact"/>
        <w:ind w:left="640" w:leftChars="0"/>
        <w:outlineLvl w:val="1"/>
        <w:rPr>
          <w:rStyle w:val="28"/>
          <w:rFonts w:ascii="黑体" w:hAnsi="黑体" w:eastAsia="黑体"/>
          <w:b w:val="0"/>
        </w:rPr>
      </w:pPr>
      <w:bookmarkStart w:id="34" w:name="_Toc79163610"/>
      <w:bookmarkStart w:id="35" w:name="_Toc79163860"/>
      <w:bookmarkStart w:id="36" w:name="_Toc15396603"/>
      <w:bookmarkStart w:id="37" w:name="_Toc15377205"/>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34"/>
      <w:bookmarkEnd w:id="35"/>
      <w:bookmarkEnd w:id="36"/>
      <w:bookmarkEnd w:id="37"/>
    </w:p>
    <w:p>
      <w:pPr>
        <w:spacing w:line="600" w:lineRule="exact"/>
        <w:ind w:firstLine="640" w:firstLineChars="200"/>
        <w:rPr>
          <w:rFonts w:ascii="仿宋" w:hAnsi="仿宋" w:eastAsia="仿宋"/>
          <w:sz w:val="32"/>
          <w:szCs w:val="32"/>
        </w:rPr>
      </w:pPr>
      <w:r>
        <w:rPr>
          <w:rFonts w:hint="eastAsia" w:ascii="仿宋" w:hAnsi="仿宋" w:eastAsia="仿宋"/>
          <w:color w:val="000000"/>
          <w:sz w:val="32"/>
          <w:szCs w:val="32"/>
        </w:rPr>
        <w:t>2021年度收入总计631.59万元，支出总计631.59万元。与</w:t>
      </w:r>
      <w:r>
        <w:rPr>
          <w:rFonts w:ascii="仿宋" w:hAnsi="仿宋" w:eastAsia="仿宋"/>
          <w:color w:val="000000"/>
          <w:sz w:val="32"/>
          <w:szCs w:val="32"/>
        </w:rPr>
        <w:t>20</w:t>
      </w:r>
      <w:r>
        <w:rPr>
          <w:rFonts w:hint="eastAsia" w:ascii="仿宋" w:hAnsi="仿宋" w:eastAsia="仿宋"/>
          <w:color w:val="000000"/>
          <w:sz w:val="32"/>
          <w:szCs w:val="32"/>
        </w:rPr>
        <w:t>20年相比，收</w:t>
      </w:r>
      <w:r>
        <w:rPr>
          <w:rFonts w:hint="eastAsia" w:ascii="仿宋" w:hAnsi="仿宋" w:eastAsia="仿宋"/>
          <w:sz w:val="32"/>
          <w:szCs w:val="32"/>
        </w:rPr>
        <w:t>入增加235.57，支出总计增加263.57万元，收入增长</w:t>
      </w:r>
      <w:r>
        <w:rPr>
          <w:rFonts w:hint="eastAsia" w:ascii="仿宋" w:hAnsi="仿宋" w:eastAsia="仿宋"/>
          <w:color w:val="auto"/>
          <w:sz w:val="32"/>
          <w:szCs w:val="32"/>
        </w:rPr>
        <w:t>59.48</w:t>
      </w:r>
      <w:r>
        <w:rPr>
          <w:rFonts w:ascii="仿宋" w:hAnsi="仿宋" w:eastAsia="仿宋"/>
          <w:color w:val="auto"/>
          <w:sz w:val="32"/>
          <w:szCs w:val="32"/>
        </w:rPr>
        <w:t>%</w:t>
      </w:r>
      <w:r>
        <w:rPr>
          <w:rFonts w:hint="eastAsia" w:ascii="仿宋" w:hAnsi="仿宋" w:eastAsia="仿宋"/>
          <w:color w:val="auto"/>
          <w:sz w:val="32"/>
          <w:szCs w:val="32"/>
        </w:rPr>
        <w:t>，支出增加71</w:t>
      </w:r>
      <w:r>
        <w:rPr>
          <w:rFonts w:hint="eastAsia" w:ascii="仿宋" w:hAnsi="仿宋" w:eastAsia="仿宋"/>
          <w:sz w:val="32"/>
          <w:szCs w:val="32"/>
        </w:rPr>
        <w:t>.62%。收支增加的原因是项目增加。</w:t>
      </w:r>
    </w:p>
    <w:p>
      <w:pPr>
        <w:pStyle w:val="38"/>
        <w:numPr>
          <w:ilvl w:val="0"/>
          <w:numId w:val="0"/>
        </w:numPr>
        <w:spacing w:line="600" w:lineRule="exact"/>
        <w:ind w:left="640" w:leftChars="0"/>
        <w:outlineLvl w:val="1"/>
        <w:rPr>
          <w:rStyle w:val="28"/>
          <w:rFonts w:ascii="黑体" w:hAnsi="黑体" w:eastAsia="黑体"/>
          <w:b w:val="0"/>
        </w:rPr>
      </w:pPr>
      <w:bookmarkStart w:id="38" w:name="_Toc15396604"/>
      <w:bookmarkStart w:id="39" w:name="_Toc79163611"/>
      <w:bookmarkStart w:id="40" w:name="_Toc15377206"/>
      <w:bookmarkStart w:id="41" w:name="_Toc79163861"/>
      <w:r>
        <w:rPr>
          <w:rFonts w:hint="eastAsia" w:ascii="黑体" w:hAnsi="黑体" w:eastAsia="黑体"/>
          <w:color w:val="000000"/>
          <w:sz w:val="32"/>
          <w:szCs w:val="32"/>
          <w:lang w:eastAsia="zh-CN"/>
        </w:rPr>
        <w:t>二、</w:t>
      </w:r>
      <w:r>
        <w:rPr>
          <w:rFonts w:hint="eastAsia" w:ascii="黑体" w:hAnsi="黑体" w:eastAsia="黑体"/>
          <w:color w:val="000000"/>
          <w:sz w:val="32"/>
          <w:szCs w:val="32"/>
        </w:rPr>
        <w:t>收</w:t>
      </w:r>
      <w:r>
        <w:rPr>
          <w:rStyle w:val="28"/>
          <w:rFonts w:hint="eastAsia" w:ascii="黑体" w:hAnsi="黑体" w:eastAsia="黑体"/>
          <w:b w:val="0"/>
        </w:rPr>
        <w:t>入决算情况说明</w:t>
      </w:r>
      <w:bookmarkEnd w:id="38"/>
      <w:bookmarkEnd w:id="39"/>
      <w:bookmarkEnd w:id="40"/>
      <w:bookmarkEnd w:id="41"/>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2021年本年收入合计631.59万元，其中：一般公共预算财政拨款收入324.83万元，占51.43</w:t>
      </w:r>
      <w:r>
        <w:rPr>
          <w:rFonts w:ascii="仿宋" w:hAnsi="仿宋" w:eastAsia="仿宋"/>
          <w:color w:val="000000"/>
          <w:sz w:val="32"/>
          <w:szCs w:val="32"/>
        </w:rPr>
        <w:t>%</w:t>
      </w:r>
      <w:r>
        <w:rPr>
          <w:rFonts w:hint="eastAsia" w:ascii="仿宋" w:hAnsi="仿宋" w:eastAsia="仿宋"/>
          <w:color w:val="000000"/>
          <w:sz w:val="32"/>
          <w:szCs w:val="32"/>
        </w:rPr>
        <w:t>.</w:t>
      </w:r>
    </w:p>
    <w:p>
      <w:pPr>
        <w:pStyle w:val="38"/>
        <w:numPr>
          <w:ilvl w:val="0"/>
          <w:numId w:val="0"/>
        </w:numPr>
        <w:spacing w:line="600" w:lineRule="exact"/>
        <w:ind w:left="640" w:leftChars="0"/>
        <w:outlineLvl w:val="1"/>
        <w:rPr>
          <w:rStyle w:val="28"/>
          <w:rFonts w:ascii="黑体" w:hAnsi="黑体" w:eastAsia="黑体"/>
          <w:b w:val="0"/>
        </w:rPr>
      </w:pPr>
      <w:bookmarkStart w:id="42" w:name="_Toc15377207"/>
      <w:bookmarkStart w:id="43" w:name="_Toc79163612"/>
      <w:bookmarkStart w:id="44" w:name="_Toc15396605"/>
      <w:bookmarkStart w:id="45" w:name="_Toc79163862"/>
      <w:r>
        <w:rPr>
          <w:rFonts w:hint="eastAsia" w:ascii="黑体" w:hAnsi="黑体" w:eastAsia="黑体"/>
          <w:color w:val="000000"/>
          <w:sz w:val="32"/>
          <w:szCs w:val="32"/>
          <w:lang w:eastAsia="zh-CN"/>
        </w:rPr>
        <w:t>三、</w:t>
      </w:r>
      <w:r>
        <w:rPr>
          <w:rFonts w:hint="eastAsia" w:ascii="黑体" w:hAnsi="黑体" w:eastAsia="黑体"/>
          <w:color w:val="000000"/>
          <w:sz w:val="32"/>
          <w:szCs w:val="32"/>
        </w:rPr>
        <w:t>支</w:t>
      </w:r>
      <w:r>
        <w:rPr>
          <w:rStyle w:val="28"/>
          <w:rFonts w:hint="eastAsia" w:ascii="黑体" w:hAnsi="黑体" w:eastAsia="黑体"/>
          <w:b w:val="0"/>
        </w:rPr>
        <w:t>出决算情况说明</w:t>
      </w:r>
      <w:bookmarkEnd w:id="42"/>
      <w:bookmarkEnd w:id="43"/>
      <w:bookmarkEnd w:id="44"/>
      <w:bookmarkEnd w:id="45"/>
    </w:p>
    <w:p>
      <w:pPr>
        <w:spacing w:line="600" w:lineRule="exact"/>
        <w:ind w:firstLine="640" w:firstLineChars="200"/>
        <w:outlineLvl w:val="1"/>
        <w:rPr>
          <w:rFonts w:ascii="仿宋_GB2312" w:eastAsia="仿宋_GB2312"/>
          <w:sz w:val="32"/>
          <w:szCs w:val="32"/>
        </w:rPr>
      </w:pPr>
      <w:r>
        <w:rPr>
          <w:rFonts w:hint="eastAsia" w:ascii="仿宋_GB2312" w:eastAsia="仿宋_GB2312"/>
          <w:sz w:val="32"/>
          <w:szCs w:val="32"/>
        </w:rPr>
        <w:t>2021年本年支出合计631.59万元，其中：基本支出357.15万元，占56.55</w:t>
      </w:r>
      <w:r>
        <w:rPr>
          <w:rFonts w:ascii="仿宋_GB2312" w:eastAsia="仿宋_GB2312"/>
          <w:sz w:val="32"/>
          <w:szCs w:val="32"/>
        </w:rPr>
        <w:t>%</w:t>
      </w:r>
      <w:r>
        <w:rPr>
          <w:rFonts w:hint="eastAsia" w:ascii="仿宋_GB2312" w:eastAsia="仿宋_GB2312"/>
          <w:sz w:val="32"/>
          <w:szCs w:val="32"/>
        </w:rPr>
        <w:t>；项目支出274.44万元，占43.45</w:t>
      </w:r>
      <w:r>
        <w:rPr>
          <w:rFonts w:ascii="仿宋_GB2312" w:eastAsia="仿宋_GB2312"/>
          <w:sz w:val="32"/>
          <w:szCs w:val="32"/>
        </w:rPr>
        <w:t>%</w:t>
      </w:r>
      <w:bookmarkStart w:id="46" w:name="_Toc15396606"/>
      <w:bookmarkStart w:id="47" w:name="_Toc79163613"/>
      <w:bookmarkStart w:id="48" w:name="_Toc79163863"/>
      <w:bookmarkStart w:id="49" w:name="_Toc15377208"/>
      <w:r>
        <w:rPr>
          <w:rFonts w:hint="eastAsia" w:ascii="仿宋_GB2312" w:eastAsia="仿宋_GB2312"/>
          <w:sz w:val="32"/>
          <w:szCs w:val="32"/>
        </w:rPr>
        <w:t>。</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46"/>
      <w:bookmarkEnd w:id="47"/>
      <w:bookmarkEnd w:id="48"/>
      <w:bookmarkEnd w:id="49"/>
    </w:p>
    <w:p>
      <w:pPr>
        <w:spacing w:line="600" w:lineRule="exact"/>
        <w:ind w:firstLine="640" w:firstLineChars="200"/>
        <w:outlineLvl w:val="1"/>
        <w:rPr>
          <w:rFonts w:ascii="仿宋" w:hAnsi="仿宋" w:eastAsia="仿宋"/>
          <w:color w:val="000000"/>
          <w:sz w:val="32"/>
          <w:szCs w:val="32"/>
        </w:rPr>
      </w:pPr>
      <w:bookmarkStart w:id="50" w:name="_Toc79163614"/>
      <w:bookmarkStart w:id="51" w:name="_Toc15396607"/>
      <w:bookmarkStart w:id="52" w:name="_Toc15377209"/>
      <w:bookmarkStart w:id="53" w:name="_Toc79163864"/>
      <w:r>
        <w:rPr>
          <w:rFonts w:hint="eastAsia" w:ascii="仿宋" w:hAnsi="仿宋" w:eastAsia="仿宋"/>
          <w:color w:val="000000"/>
          <w:sz w:val="32"/>
          <w:szCs w:val="32"/>
        </w:rPr>
        <w:t>2021年度收入总计631.59万元，支出总计631.59万元。与2020年相比，收入增加235.57，支出总计增加263.57万元，收入增长59.48%，支出增加71.62%。收支增加的原因是项目增加。</w:t>
      </w:r>
    </w:p>
    <w:p>
      <w:pPr>
        <w:spacing w:line="600" w:lineRule="exact"/>
        <w:ind w:firstLine="640" w:firstLineChars="200"/>
        <w:outlineLvl w:val="1"/>
        <w:rPr>
          <w:rStyle w:val="28"/>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50"/>
      <w:bookmarkEnd w:id="51"/>
      <w:bookmarkEnd w:id="52"/>
      <w:bookmarkEnd w:id="53"/>
    </w:p>
    <w:p>
      <w:pPr>
        <w:spacing w:line="600" w:lineRule="exact"/>
        <w:ind w:firstLine="643" w:firstLineChars="200"/>
        <w:outlineLvl w:val="2"/>
        <w:rPr>
          <w:rFonts w:ascii="仿宋" w:hAnsi="仿宋" w:eastAsia="仿宋"/>
          <w:b/>
          <w:color w:val="000000"/>
          <w:sz w:val="32"/>
          <w:szCs w:val="32"/>
        </w:rPr>
      </w:pPr>
      <w:bookmarkStart w:id="54" w:name="_Toc79163615"/>
      <w:bookmarkStart w:id="55" w:name="_Toc15377210"/>
      <w:bookmarkStart w:id="56" w:name="_Toc79163865"/>
      <w:r>
        <w:rPr>
          <w:rFonts w:hint="eastAsia" w:ascii="仿宋" w:hAnsi="仿宋" w:eastAsia="仿宋"/>
          <w:b/>
          <w:color w:val="000000"/>
          <w:sz w:val="32"/>
          <w:szCs w:val="32"/>
        </w:rPr>
        <w:t>（一）一般公共预算财政拨款支出决算总体情况</w:t>
      </w:r>
      <w:bookmarkEnd w:id="54"/>
      <w:bookmarkEnd w:id="55"/>
      <w:bookmarkEnd w:id="56"/>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2021年一般公共预算财政拨款支出</w:t>
      </w:r>
      <w:r>
        <w:rPr>
          <w:rFonts w:hint="eastAsia" w:ascii="仿宋_GB2312" w:eastAsia="仿宋_GB2312"/>
          <w:sz w:val="32"/>
          <w:szCs w:val="32"/>
        </w:rPr>
        <w:t>631.59</w:t>
      </w:r>
      <w:r>
        <w:rPr>
          <w:rFonts w:hint="eastAsia" w:ascii="仿宋" w:hAnsi="仿宋" w:eastAsia="仿宋"/>
          <w:color w:val="000000"/>
          <w:sz w:val="32"/>
          <w:szCs w:val="32"/>
        </w:rPr>
        <w:t>万元，占本年支出合计的100</w:t>
      </w:r>
      <w:r>
        <w:rPr>
          <w:rFonts w:ascii="仿宋" w:hAnsi="仿宋" w:eastAsia="仿宋"/>
          <w:color w:val="000000"/>
          <w:sz w:val="32"/>
          <w:szCs w:val="32"/>
        </w:rPr>
        <w:t>%</w:t>
      </w:r>
      <w:r>
        <w:rPr>
          <w:rFonts w:hint="eastAsia" w:ascii="仿宋" w:hAnsi="仿宋" w:eastAsia="仿宋"/>
          <w:color w:val="000000"/>
          <w:sz w:val="32"/>
          <w:szCs w:val="32"/>
        </w:rPr>
        <w:t>。与2020年相比，一般公共预算财政拨款收入增加263.57万元，</w:t>
      </w:r>
      <w:r>
        <w:rPr>
          <w:rFonts w:hint="eastAsia" w:ascii="仿宋" w:hAnsi="仿宋" w:eastAsia="仿宋"/>
          <w:color w:val="auto"/>
          <w:sz w:val="32"/>
          <w:szCs w:val="32"/>
        </w:rPr>
        <w:t>增71.62</w:t>
      </w:r>
      <w:r>
        <w:rPr>
          <w:rFonts w:ascii="仿宋" w:hAnsi="仿宋" w:eastAsia="仿宋"/>
          <w:color w:val="auto"/>
          <w:sz w:val="32"/>
          <w:szCs w:val="32"/>
        </w:rPr>
        <w:t>%</w:t>
      </w:r>
      <w:r>
        <w:rPr>
          <w:rFonts w:hint="eastAsia" w:ascii="仿宋" w:hAnsi="仿宋" w:eastAsia="仿宋"/>
          <w:color w:val="auto"/>
          <w:sz w:val="32"/>
          <w:szCs w:val="32"/>
        </w:rPr>
        <w:t>。</w:t>
      </w:r>
      <w:r>
        <w:rPr>
          <w:rFonts w:hint="eastAsia" w:ascii="仿宋" w:hAnsi="仿宋" w:eastAsia="仿宋"/>
          <w:color w:val="000000"/>
          <w:sz w:val="32"/>
          <w:szCs w:val="32"/>
        </w:rPr>
        <w:t>主要变动原因是项目增加。</w:t>
      </w:r>
    </w:p>
    <w:p>
      <w:pPr>
        <w:spacing w:line="600" w:lineRule="exact"/>
        <w:ind w:firstLine="643" w:firstLineChars="200"/>
        <w:outlineLvl w:val="2"/>
        <w:rPr>
          <w:rFonts w:ascii="仿宋" w:hAnsi="仿宋" w:eastAsia="仿宋"/>
          <w:b/>
          <w:color w:val="000000"/>
          <w:sz w:val="32"/>
          <w:szCs w:val="32"/>
        </w:rPr>
      </w:pPr>
      <w:bookmarkStart w:id="57" w:name="_Toc79163866"/>
      <w:bookmarkStart w:id="58" w:name="_Toc79163616"/>
      <w:bookmarkStart w:id="59" w:name="_Toc15377211"/>
      <w:r>
        <w:rPr>
          <w:rFonts w:hint="eastAsia" w:ascii="仿宋" w:hAnsi="仿宋" w:eastAsia="仿宋"/>
          <w:b/>
          <w:color w:val="000000"/>
          <w:sz w:val="32"/>
          <w:szCs w:val="32"/>
        </w:rPr>
        <w:t>（二）一般公共预算财政拨款支出决算结构情况</w:t>
      </w:r>
      <w:bookmarkEnd w:id="57"/>
      <w:bookmarkEnd w:id="58"/>
      <w:bookmarkEnd w:id="59"/>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2021年一般公共预算财政拨款支出</w:t>
      </w:r>
      <w:r>
        <w:rPr>
          <w:rFonts w:hint="eastAsia" w:ascii="仿宋_GB2312" w:eastAsia="仿宋_GB2312"/>
          <w:sz w:val="32"/>
          <w:szCs w:val="32"/>
        </w:rPr>
        <w:t>631.59</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一般公共服务（201）</w:t>
      </w:r>
      <w:r>
        <w:rPr>
          <w:rFonts w:hint="eastAsia" w:ascii="仿宋" w:hAnsi="仿宋" w:eastAsia="仿宋"/>
          <w:color w:val="000000"/>
          <w:sz w:val="32"/>
          <w:szCs w:val="32"/>
        </w:rPr>
        <w:t>支出551.51万元，占87.32</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社会保障和就业（208）</w:t>
      </w:r>
      <w:r>
        <w:rPr>
          <w:rFonts w:hint="eastAsia" w:ascii="仿宋" w:hAnsi="仿宋" w:eastAsia="仿宋"/>
          <w:color w:val="000000"/>
          <w:sz w:val="32"/>
          <w:szCs w:val="32"/>
        </w:rPr>
        <w:t>支出42.86万元，占6.79</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卫生健康支出(210)</w:t>
      </w:r>
      <w:r>
        <w:rPr>
          <w:rFonts w:hint="eastAsia" w:ascii="仿宋" w:hAnsi="仿宋" w:eastAsia="仿宋"/>
          <w:color w:val="000000"/>
          <w:sz w:val="32"/>
          <w:szCs w:val="32"/>
        </w:rPr>
        <w:t>16.37万元，占2.59</w:t>
      </w:r>
      <w:r>
        <w:rPr>
          <w:rFonts w:ascii="仿宋" w:hAnsi="仿宋" w:eastAsia="仿宋"/>
          <w:color w:val="000000"/>
          <w:sz w:val="32"/>
          <w:szCs w:val="32"/>
        </w:rPr>
        <w:t>%</w:t>
      </w:r>
      <w:r>
        <w:rPr>
          <w:rFonts w:hint="eastAsia" w:ascii="仿宋" w:hAnsi="仿宋" w:eastAsia="仿宋"/>
          <w:color w:val="000000"/>
          <w:sz w:val="32"/>
          <w:szCs w:val="32"/>
        </w:rPr>
        <w:t>；住房保障支出(221)20.85万元，占3.30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3" w:firstLineChars="200"/>
        <w:outlineLvl w:val="2"/>
        <w:rPr>
          <w:rFonts w:ascii="仿宋" w:hAnsi="仿宋" w:eastAsia="仿宋"/>
          <w:b/>
          <w:color w:val="000000"/>
          <w:sz w:val="32"/>
          <w:szCs w:val="32"/>
        </w:rPr>
      </w:pPr>
      <w:bookmarkStart w:id="60" w:name="_Toc15377212"/>
      <w:bookmarkStart w:id="61" w:name="_Toc79163617"/>
      <w:bookmarkStart w:id="62" w:name="_Toc79163867"/>
      <w:r>
        <w:rPr>
          <w:rFonts w:hint="eastAsia" w:ascii="仿宋" w:hAnsi="仿宋" w:eastAsia="仿宋"/>
          <w:b/>
          <w:color w:val="000000"/>
          <w:sz w:val="32"/>
          <w:szCs w:val="32"/>
        </w:rPr>
        <w:t>（三）一般公共预算财政拨款支出决算具体情况</w:t>
      </w:r>
      <w:bookmarkEnd w:id="60"/>
      <w:bookmarkEnd w:id="61"/>
      <w:bookmarkEnd w:id="62"/>
    </w:p>
    <w:p>
      <w:pPr>
        <w:spacing w:line="600" w:lineRule="exact"/>
        <w:ind w:firstLine="643" w:firstLineChars="200"/>
        <w:rPr>
          <w:rFonts w:ascii="仿宋_GB2312" w:eastAsia="仿宋_GB2312"/>
          <w:b/>
          <w:bCs/>
          <w:sz w:val="32"/>
          <w:szCs w:val="32"/>
        </w:rPr>
      </w:pPr>
      <w:bookmarkStart w:id="63" w:name="_Toc15378460"/>
      <w:bookmarkStart w:id="64" w:name="_Toc15377213"/>
      <w:bookmarkStart w:id="65" w:name="_Toc15377444"/>
      <w:r>
        <w:rPr>
          <w:rFonts w:hint="eastAsia" w:ascii="仿宋_GB2312" w:eastAsia="仿宋_GB2312"/>
          <w:b/>
          <w:bCs/>
          <w:sz w:val="32"/>
          <w:szCs w:val="32"/>
        </w:rPr>
        <w:t>2021年一般公共预算支出决算数为</w:t>
      </w:r>
      <w:r>
        <w:rPr>
          <w:rFonts w:hint="eastAsia" w:ascii="仿宋_GB2312" w:eastAsia="仿宋_GB2312"/>
          <w:sz w:val="32"/>
          <w:szCs w:val="32"/>
        </w:rPr>
        <w:t>631.59</w:t>
      </w:r>
      <w:r>
        <w:rPr>
          <w:rFonts w:hint="eastAsia" w:ascii="仿宋_GB2312" w:eastAsia="仿宋_GB2312"/>
          <w:b/>
          <w:bCs/>
          <w:sz w:val="32"/>
          <w:szCs w:val="32"/>
        </w:rPr>
        <w:t>，完成预算100</w:t>
      </w:r>
      <w:r>
        <w:rPr>
          <w:rFonts w:ascii="仿宋_GB2312" w:eastAsia="仿宋_GB2312"/>
          <w:b/>
          <w:bCs/>
          <w:sz w:val="32"/>
          <w:szCs w:val="32"/>
        </w:rPr>
        <w:t>%</w:t>
      </w:r>
      <w:r>
        <w:rPr>
          <w:rFonts w:hint="eastAsia" w:ascii="仿宋_GB2312" w:eastAsia="仿宋_GB2312"/>
          <w:b/>
          <w:bCs/>
          <w:sz w:val="32"/>
          <w:szCs w:val="32"/>
        </w:rPr>
        <w:t>。其中：</w:t>
      </w:r>
      <w:bookmarkEnd w:id="63"/>
      <w:bookmarkEnd w:id="64"/>
      <w:bookmarkEnd w:id="65"/>
    </w:p>
    <w:p>
      <w:pPr>
        <w:spacing w:line="600" w:lineRule="exact"/>
        <w:ind w:firstLine="643" w:firstLineChars="200"/>
        <w:rPr>
          <w:rFonts w:ascii="仿宋" w:hAnsi="仿宋" w:eastAsia="仿宋"/>
          <w:b/>
          <w:color w:val="000000"/>
          <w:sz w:val="32"/>
          <w:szCs w:val="32"/>
        </w:rPr>
      </w:pPr>
      <w:r>
        <w:rPr>
          <w:rStyle w:val="25"/>
          <w:rFonts w:ascii="仿宋" w:hAnsi="仿宋" w:eastAsia="仿宋"/>
          <w:bCs/>
          <w:color w:val="000000"/>
          <w:sz w:val="32"/>
          <w:szCs w:val="32"/>
        </w:rPr>
        <w:t>1.</w:t>
      </w:r>
      <w:r>
        <w:rPr>
          <w:rStyle w:val="25"/>
          <w:rFonts w:hint="eastAsia" w:ascii="仿宋" w:hAnsi="仿宋" w:eastAsia="仿宋"/>
          <w:bCs/>
          <w:color w:val="000000"/>
          <w:sz w:val="32"/>
          <w:szCs w:val="32"/>
        </w:rPr>
        <w:t>一般公共服务（201）统战事务（34）行政运行（01）</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支出决算为551.51万元，完成预算100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，完成预算数100%。</w:t>
      </w:r>
    </w:p>
    <w:p>
      <w:pPr>
        <w:spacing w:line="600" w:lineRule="exact"/>
        <w:ind w:firstLine="643" w:firstLineChars="200"/>
        <w:rPr>
          <w:rStyle w:val="25"/>
          <w:rFonts w:ascii="仿宋" w:hAnsi="仿宋" w:eastAsia="仿宋"/>
          <w:b w:val="0"/>
          <w:bCs/>
          <w:color w:val="000000"/>
          <w:sz w:val="32"/>
          <w:szCs w:val="32"/>
        </w:rPr>
      </w:pPr>
      <w:r>
        <w:rPr>
          <w:rStyle w:val="25"/>
          <w:rFonts w:ascii="仿宋" w:hAnsi="仿宋" w:eastAsia="仿宋"/>
          <w:bCs/>
          <w:color w:val="000000"/>
          <w:sz w:val="32"/>
          <w:szCs w:val="32"/>
        </w:rPr>
        <w:t>2.</w:t>
      </w:r>
      <w:r>
        <w:rPr>
          <w:rStyle w:val="25"/>
          <w:rFonts w:hint="eastAsia" w:ascii="仿宋" w:hAnsi="仿宋" w:eastAsia="仿宋"/>
          <w:bCs/>
          <w:color w:val="000000"/>
          <w:sz w:val="32"/>
          <w:szCs w:val="32"/>
        </w:rPr>
        <w:t>社会保障和就业（208）社会保障和就业支出（05）机关事业单位基本养老保险缴费支出（05）</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支出决算为20.37万元，完成预算100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，完成预算数100%。</w:t>
      </w:r>
    </w:p>
    <w:p>
      <w:pPr>
        <w:spacing w:line="600" w:lineRule="exact"/>
        <w:ind w:firstLine="643" w:firstLineChars="200"/>
        <w:rPr>
          <w:rStyle w:val="25"/>
          <w:rFonts w:ascii="仿宋" w:hAnsi="仿宋" w:eastAsia="仿宋"/>
          <w:b w:val="0"/>
          <w:bCs/>
          <w:color w:val="000000"/>
          <w:sz w:val="32"/>
          <w:szCs w:val="32"/>
        </w:rPr>
      </w:pPr>
      <w:r>
        <w:rPr>
          <w:rStyle w:val="25"/>
          <w:rFonts w:hint="eastAsia" w:ascii="仿宋" w:hAnsi="仿宋" w:eastAsia="仿宋"/>
          <w:bCs/>
          <w:color w:val="000000"/>
          <w:sz w:val="32"/>
          <w:szCs w:val="32"/>
        </w:rPr>
        <w:t>3.社会保障和就业（208）社会保障和就业支出（05）  机关事业单位职业年金缴费支出（06）</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支出决算为22.49万元，完成预算100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，完成预算数100%。</w:t>
      </w:r>
    </w:p>
    <w:p>
      <w:pPr>
        <w:spacing w:line="600" w:lineRule="exact"/>
        <w:ind w:firstLine="643" w:firstLineChars="200"/>
        <w:rPr>
          <w:rStyle w:val="25"/>
          <w:rFonts w:ascii="仿宋" w:hAnsi="仿宋" w:eastAsia="仿宋"/>
          <w:b w:val="0"/>
          <w:bCs/>
          <w:color w:val="000000"/>
          <w:sz w:val="32"/>
          <w:szCs w:val="32"/>
        </w:rPr>
      </w:pPr>
      <w:r>
        <w:rPr>
          <w:rStyle w:val="25"/>
          <w:rFonts w:hint="eastAsia" w:ascii="仿宋" w:hAnsi="仿宋" w:eastAsia="仿宋"/>
          <w:bCs/>
          <w:color w:val="000000"/>
          <w:sz w:val="32"/>
          <w:szCs w:val="32"/>
        </w:rPr>
        <w:t>4</w:t>
      </w:r>
      <w:r>
        <w:rPr>
          <w:rStyle w:val="25"/>
          <w:rFonts w:ascii="仿宋" w:hAnsi="仿宋" w:eastAsia="仿宋"/>
          <w:bCs/>
          <w:color w:val="000000"/>
          <w:sz w:val="32"/>
          <w:szCs w:val="32"/>
        </w:rPr>
        <w:t>.</w:t>
      </w:r>
      <w:r>
        <w:rPr>
          <w:rFonts w:hint="eastAsia" w:ascii="仿宋" w:hAnsi="仿宋" w:eastAsia="仿宋"/>
          <w:b/>
          <w:bCs/>
          <w:color w:val="000000"/>
          <w:sz w:val="32"/>
          <w:szCs w:val="32"/>
        </w:rPr>
        <w:t>卫生健康</w:t>
      </w:r>
      <w:r>
        <w:rPr>
          <w:rStyle w:val="25"/>
          <w:rFonts w:hint="eastAsia" w:ascii="仿宋" w:hAnsi="仿宋" w:eastAsia="仿宋"/>
          <w:bCs/>
          <w:color w:val="000000"/>
          <w:sz w:val="32"/>
          <w:szCs w:val="32"/>
        </w:rPr>
        <w:t>（210）行政事业单位医疗（11）行政单位医疗（01）</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支出决算为10.89万元，完成预算100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，决算数100%。</w:t>
      </w:r>
    </w:p>
    <w:p>
      <w:pPr>
        <w:spacing w:line="600" w:lineRule="exact"/>
        <w:ind w:firstLine="643" w:firstLineChars="200"/>
        <w:rPr>
          <w:rStyle w:val="25"/>
          <w:rFonts w:ascii="仿宋" w:hAnsi="仿宋" w:eastAsia="仿宋"/>
          <w:b w:val="0"/>
          <w:bCs/>
          <w:color w:val="000000"/>
          <w:sz w:val="32"/>
          <w:szCs w:val="32"/>
        </w:rPr>
      </w:pPr>
      <w:r>
        <w:rPr>
          <w:rStyle w:val="25"/>
          <w:rFonts w:hint="eastAsia" w:ascii="仿宋" w:hAnsi="仿宋" w:eastAsia="仿宋"/>
          <w:bCs/>
          <w:color w:val="000000"/>
          <w:sz w:val="32"/>
          <w:szCs w:val="32"/>
        </w:rPr>
        <w:t>5</w:t>
      </w:r>
      <w:r>
        <w:rPr>
          <w:rStyle w:val="25"/>
          <w:rFonts w:ascii="仿宋" w:hAnsi="仿宋" w:eastAsia="仿宋"/>
          <w:bCs/>
          <w:color w:val="000000"/>
          <w:sz w:val="32"/>
          <w:szCs w:val="32"/>
        </w:rPr>
        <w:t>.</w:t>
      </w:r>
      <w:r>
        <w:rPr>
          <w:rFonts w:hint="eastAsia" w:ascii="仿宋" w:hAnsi="仿宋" w:eastAsia="仿宋"/>
          <w:b/>
          <w:bCs/>
          <w:color w:val="000000"/>
          <w:sz w:val="32"/>
          <w:szCs w:val="32"/>
        </w:rPr>
        <w:t>卫生健康</w:t>
      </w:r>
      <w:r>
        <w:rPr>
          <w:rStyle w:val="25"/>
          <w:rFonts w:hint="eastAsia" w:ascii="仿宋" w:hAnsi="仿宋" w:eastAsia="仿宋"/>
          <w:bCs/>
          <w:color w:val="000000"/>
          <w:sz w:val="32"/>
          <w:szCs w:val="32"/>
        </w:rPr>
        <w:t>（210）行政事业单位医疗（11）行政单位医疗公务员医疗补助（03）</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支出决算为3.5万元，完成预算100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，决算数100%。</w:t>
      </w:r>
    </w:p>
    <w:p>
      <w:pPr>
        <w:spacing w:line="600" w:lineRule="exact"/>
        <w:ind w:firstLine="643" w:firstLineChars="200"/>
        <w:rPr>
          <w:rFonts w:ascii="仿宋" w:hAnsi="仿宋" w:eastAsia="仿宋"/>
          <w:b/>
          <w:color w:val="000000"/>
          <w:sz w:val="32"/>
          <w:szCs w:val="32"/>
        </w:rPr>
      </w:pPr>
      <w:r>
        <w:rPr>
          <w:rStyle w:val="25"/>
          <w:rFonts w:hint="eastAsia" w:ascii="仿宋" w:hAnsi="仿宋" w:eastAsia="仿宋"/>
          <w:bCs/>
          <w:color w:val="000000"/>
          <w:sz w:val="32"/>
          <w:szCs w:val="32"/>
        </w:rPr>
        <w:t>6</w:t>
      </w:r>
      <w:r>
        <w:rPr>
          <w:rStyle w:val="25"/>
          <w:rFonts w:ascii="仿宋" w:hAnsi="仿宋" w:eastAsia="仿宋"/>
          <w:bCs/>
          <w:color w:val="000000"/>
          <w:sz w:val="32"/>
          <w:szCs w:val="32"/>
        </w:rPr>
        <w:t>.</w:t>
      </w:r>
      <w:r>
        <w:rPr>
          <w:rFonts w:hint="eastAsia" w:ascii="仿宋" w:hAnsi="仿宋" w:eastAsia="仿宋"/>
          <w:b/>
          <w:bCs/>
          <w:color w:val="000000"/>
          <w:sz w:val="32"/>
          <w:szCs w:val="32"/>
        </w:rPr>
        <w:t>卫生健康</w:t>
      </w:r>
      <w:r>
        <w:rPr>
          <w:rStyle w:val="25"/>
          <w:rFonts w:hint="eastAsia" w:ascii="仿宋" w:hAnsi="仿宋" w:eastAsia="仿宋"/>
          <w:bCs/>
          <w:color w:val="000000"/>
          <w:sz w:val="32"/>
          <w:szCs w:val="32"/>
        </w:rPr>
        <w:t>（210）行政事业单位医疗（11）其他行政事业单位医疗支出（99）</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支出决算为1.98万元，完成预算100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，决算数100%。</w:t>
      </w:r>
    </w:p>
    <w:p>
      <w:pPr>
        <w:spacing w:line="600" w:lineRule="exact"/>
        <w:ind w:firstLine="643" w:firstLineChars="200"/>
        <w:rPr>
          <w:rFonts w:ascii="仿宋" w:hAnsi="仿宋" w:eastAsia="仿宋"/>
          <w:b/>
          <w:color w:val="000000"/>
          <w:sz w:val="32"/>
          <w:szCs w:val="32"/>
        </w:rPr>
      </w:pPr>
      <w:r>
        <w:rPr>
          <w:rStyle w:val="25"/>
          <w:rFonts w:hint="eastAsia" w:ascii="仿宋" w:hAnsi="仿宋" w:eastAsia="仿宋"/>
          <w:bCs/>
          <w:color w:val="000000"/>
          <w:sz w:val="32"/>
          <w:szCs w:val="32"/>
        </w:rPr>
        <w:t>7</w:t>
      </w:r>
      <w:r>
        <w:rPr>
          <w:rStyle w:val="25"/>
          <w:rFonts w:ascii="仿宋" w:hAnsi="仿宋" w:eastAsia="仿宋"/>
          <w:bCs/>
          <w:color w:val="000000"/>
          <w:sz w:val="32"/>
          <w:szCs w:val="32"/>
        </w:rPr>
        <w:t>.</w:t>
      </w:r>
      <w:r>
        <w:rPr>
          <w:rFonts w:hint="eastAsia" w:ascii="仿宋" w:hAnsi="仿宋" w:eastAsia="仿宋"/>
          <w:b/>
          <w:bCs/>
          <w:color w:val="000000"/>
          <w:sz w:val="32"/>
          <w:szCs w:val="32"/>
        </w:rPr>
        <w:t>住房保障支出</w:t>
      </w:r>
      <w:r>
        <w:rPr>
          <w:rStyle w:val="25"/>
          <w:rFonts w:hint="eastAsia" w:ascii="仿宋" w:hAnsi="仿宋" w:eastAsia="仿宋"/>
          <w:bCs/>
          <w:color w:val="000000"/>
          <w:sz w:val="32"/>
          <w:szCs w:val="32"/>
        </w:rPr>
        <w:t>（211）住房改革支出（11）  住房公积金（99）</w:t>
      </w:r>
      <w:r>
        <w:rPr>
          <w:rStyle w:val="25"/>
          <w:rFonts w:ascii="仿宋" w:hAnsi="仿宋" w:eastAsia="仿宋"/>
          <w:bCs/>
          <w:color w:val="000000"/>
          <w:sz w:val="32"/>
          <w:szCs w:val="32"/>
        </w:rPr>
        <w:t>:</w:t>
      </w:r>
      <w:r>
        <w:rPr>
          <w:rStyle w:val="25"/>
          <w:rFonts w:hint="eastAsia" w:ascii="仿宋" w:hAnsi="仿宋" w:eastAsia="仿宋"/>
          <w:b w:val="0"/>
          <w:bCs/>
          <w:color w:val="000000"/>
          <w:sz w:val="32"/>
          <w:szCs w:val="32"/>
        </w:rPr>
        <w:t>支出决算为20.85万元，完成预算100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，决算数100%。</w:t>
      </w:r>
    </w:p>
    <w:p>
      <w:pPr>
        <w:tabs>
          <w:tab w:val="right" w:pos="8306"/>
        </w:tabs>
        <w:spacing w:line="600" w:lineRule="exact"/>
        <w:ind w:firstLine="640"/>
        <w:outlineLvl w:val="1"/>
        <w:rPr>
          <w:rStyle w:val="28"/>
        </w:rPr>
      </w:pPr>
      <w:bookmarkStart w:id="66" w:name="_Toc15396608"/>
      <w:bookmarkStart w:id="67" w:name="_Toc15377214"/>
      <w:bookmarkStart w:id="68" w:name="_Toc79163868"/>
      <w:bookmarkStart w:id="69" w:name="_Toc7916361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66"/>
      <w:bookmarkEnd w:id="67"/>
      <w:bookmarkEnd w:id="68"/>
      <w:bookmarkEnd w:id="69"/>
      <w:r>
        <w:rPr>
          <w:rStyle w:val="28"/>
          <w:rFonts w:ascii="黑体" w:hAnsi="黑体" w:eastAsia="黑体"/>
          <w:b w:val="0"/>
        </w:rPr>
        <w:tab/>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2021年一般公共预算财政拨款基本支出357.15万元，其中：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306.81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日常公用经费50.34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8"/>
          <w:rFonts w:ascii="黑体" w:hAnsi="黑体" w:eastAsia="黑体"/>
          <w:b w:val="0"/>
        </w:rPr>
      </w:pPr>
      <w:bookmarkStart w:id="70" w:name="_Toc15377215"/>
      <w:bookmarkStart w:id="71" w:name="_Toc79163619"/>
      <w:bookmarkStart w:id="72" w:name="_Toc15396609"/>
      <w:bookmarkStart w:id="73" w:name="_Toc7916386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70"/>
      <w:bookmarkEnd w:id="71"/>
      <w:bookmarkEnd w:id="72"/>
      <w:bookmarkEnd w:id="73"/>
    </w:p>
    <w:p>
      <w:pPr>
        <w:spacing w:line="600" w:lineRule="exact"/>
        <w:ind w:firstLine="640"/>
        <w:outlineLvl w:val="2"/>
        <w:rPr>
          <w:rFonts w:ascii="仿宋" w:hAnsi="仿宋" w:eastAsia="仿宋"/>
          <w:b/>
          <w:color w:val="000000"/>
          <w:sz w:val="32"/>
          <w:szCs w:val="32"/>
        </w:rPr>
      </w:pPr>
      <w:bookmarkStart w:id="74" w:name="_Toc79163870"/>
      <w:bookmarkStart w:id="75" w:name="_Toc79163620"/>
      <w:bookmarkStart w:id="76" w:name="_Toc15377216"/>
      <w:r>
        <w:rPr>
          <w:rFonts w:hint="eastAsia" w:ascii="仿宋" w:hAnsi="仿宋" w:eastAsia="仿宋"/>
          <w:b/>
          <w:color w:val="000000"/>
          <w:sz w:val="32"/>
          <w:szCs w:val="32"/>
        </w:rPr>
        <w:t>（一）“三公”经费财政拨款支出决算总体情况说明</w:t>
      </w:r>
      <w:bookmarkEnd w:id="74"/>
      <w:bookmarkEnd w:id="75"/>
      <w:bookmarkEnd w:id="76"/>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2021年“三公”经费财政拨款支出决算为14.02万元，完成预算100</w:t>
      </w:r>
      <w:r>
        <w:rPr>
          <w:rFonts w:ascii="仿宋" w:hAnsi="仿宋" w:eastAsia="仿宋"/>
          <w:color w:val="000000"/>
          <w:sz w:val="32"/>
          <w:szCs w:val="32"/>
        </w:rPr>
        <w:t>%</w:t>
      </w:r>
      <w:r>
        <w:rPr>
          <w:rFonts w:hint="eastAsia" w:ascii="仿宋" w:hAnsi="仿宋" w:eastAsia="仿宋"/>
          <w:color w:val="000000"/>
          <w:sz w:val="32"/>
          <w:szCs w:val="32"/>
        </w:rPr>
        <w:t>，决算数等于预算数。</w:t>
      </w:r>
    </w:p>
    <w:p>
      <w:pPr>
        <w:spacing w:line="600" w:lineRule="exact"/>
        <w:ind w:firstLine="640"/>
        <w:outlineLvl w:val="2"/>
        <w:rPr>
          <w:rFonts w:ascii="仿宋" w:hAnsi="仿宋" w:eastAsia="仿宋"/>
          <w:b/>
          <w:color w:val="000000"/>
          <w:sz w:val="32"/>
          <w:szCs w:val="32"/>
        </w:rPr>
      </w:pPr>
      <w:bookmarkStart w:id="77" w:name="_Toc79163621"/>
      <w:bookmarkStart w:id="78" w:name="_Toc79163871"/>
      <w:bookmarkStart w:id="79" w:name="_Toc15377217"/>
      <w:r>
        <w:rPr>
          <w:rFonts w:hint="eastAsia" w:ascii="仿宋" w:hAnsi="仿宋" w:eastAsia="仿宋"/>
          <w:b/>
          <w:color w:val="000000"/>
          <w:sz w:val="32"/>
          <w:szCs w:val="32"/>
        </w:rPr>
        <w:t>（二）“三公”经费财政拨款支出决算具体情况说明</w:t>
      </w:r>
      <w:bookmarkEnd w:id="77"/>
      <w:bookmarkEnd w:id="78"/>
      <w:bookmarkEnd w:id="79"/>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2021年“三公”经费财政拨款支出决算中，因公出国（境）费支出决算0万元，占0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；公务用车购置及运行维护费支出决算14.02万元，占100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25"/>
          <w:rFonts w:hint="eastAsia" w:ascii="仿宋" w:hAnsi="仿宋" w:eastAsia="仿宋"/>
          <w:b w:val="0"/>
          <w:bCs/>
          <w:color w:val="000000"/>
          <w:sz w:val="32"/>
          <w:szCs w:val="32"/>
        </w:rPr>
        <w:t>完成预算0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14.02万元</w:t>
      </w:r>
      <w:r>
        <w:rPr>
          <w:rFonts w:ascii="仿宋_GB2312" w:eastAsia="仿宋_GB2312"/>
          <w:color w:val="000000"/>
          <w:sz w:val="32"/>
          <w:szCs w:val="32"/>
        </w:rPr>
        <w:t>,</w:t>
      </w:r>
      <w:r>
        <w:rPr>
          <w:rStyle w:val="25"/>
          <w:rFonts w:hint="eastAsia" w:ascii="仿宋" w:hAnsi="仿宋" w:eastAsia="仿宋"/>
          <w:b w:val="0"/>
          <w:bCs/>
          <w:color w:val="000000"/>
          <w:sz w:val="32"/>
          <w:szCs w:val="32"/>
        </w:rPr>
        <w:t>完成预算100</w:t>
      </w:r>
      <w:r>
        <w:rPr>
          <w:rStyle w:val="25"/>
          <w:rFonts w:ascii="仿宋" w:hAnsi="仿宋" w:eastAsia="仿宋"/>
          <w:b w:val="0"/>
          <w:bCs/>
          <w:color w:val="000000"/>
          <w:sz w:val="32"/>
          <w:szCs w:val="32"/>
        </w:rPr>
        <w:t>%</w:t>
      </w:r>
      <w:r>
        <w:rPr>
          <w:rStyle w:val="25"/>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w:t>
      </w:r>
      <w:r>
        <w:rPr>
          <w:rFonts w:hint="eastAsia" w:ascii="仿宋_GB2312" w:eastAsia="仿宋_GB2312"/>
          <w:color w:val="000000"/>
          <w:sz w:val="32"/>
          <w:szCs w:val="32"/>
        </w:rPr>
        <w:t>20年增减少8.25万元，</w:t>
      </w:r>
      <w:r>
        <w:rPr>
          <w:rFonts w:hint="eastAsia" w:ascii="仿宋_GB2312" w:eastAsia="仿宋_GB2312"/>
          <w:color w:val="auto"/>
          <w:sz w:val="32"/>
          <w:szCs w:val="32"/>
        </w:rPr>
        <w:t>下降37.04</w:t>
      </w:r>
      <w:r>
        <w:rPr>
          <w:rFonts w:ascii="仿宋_GB2312" w:eastAsia="仿宋_GB2312"/>
          <w:color w:val="auto"/>
          <w:sz w:val="32"/>
          <w:szCs w:val="32"/>
        </w:rPr>
        <w:t>%</w:t>
      </w:r>
      <w:r>
        <w:rPr>
          <w:rFonts w:hint="eastAsia" w:ascii="仿宋_GB2312" w:eastAsia="仿宋_GB2312"/>
          <w:color w:val="auto"/>
          <w:sz w:val="32"/>
          <w:szCs w:val="32"/>
        </w:rPr>
        <w:t>。</w:t>
      </w:r>
      <w:r>
        <w:rPr>
          <w:rFonts w:hint="eastAsia" w:ascii="仿宋_GB2312" w:eastAsia="仿宋_GB2312"/>
          <w:color w:val="000000"/>
          <w:sz w:val="32"/>
          <w:szCs w:val="32"/>
        </w:rPr>
        <w:t>主要原因是严格按照工作要求列支公务用车购置及运行维护经费。</w:t>
      </w:r>
    </w:p>
    <w:p>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0万元。全年按规定更新购置公务用车0辆，其中：轿车0辆、金额0万元，越野车0辆、金额0万元，载客汽车0辆、金额0万元。截至2021年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月底，单位共有公务用车2辆，其中：轿车0辆、越野车2辆、载客汽车0辆。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14.02万元。主要用于公务用车燃料费、维修费、过路过桥费、保险费等支出。</w:t>
      </w:r>
    </w:p>
    <w:p>
      <w:pPr>
        <w:spacing w:line="600" w:lineRule="exact"/>
        <w:ind w:firstLine="643" w:firstLineChars="200"/>
        <w:rPr>
          <w:rFonts w:ascii="仿宋_GB2312" w:eastAsia="仿宋_GB2312"/>
          <w:sz w:val="32"/>
          <w:szCs w:val="32"/>
        </w:rPr>
      </w:pPr>
      <w:r>
        <w:rPr>
          <w:rFonts w:hint="eastAsia" w:ascii="仿宋_GB2312" w:eastAsia="仿宋_GB2312"/>
          <w:b/>
          <w:sz w:val="32"/>
          <w:szCs w:val="32"/>
        </w:rPr>
        <w:t>3.公务接待费支出</w:t>
      </w:r>
      <w:r>
        <w:rPr>
          <w:rFonts w:hint="eastAsia" w:ascii="仿宋_GB2312" w:eastAsia="仿宋_GB2312"/>
          <w:sz w:val="32"/>
          <w:szCs w:val="32"/>
        </w:rPr>
        <w:t>0万元，</w:t>
      </w:r>
      <w:r>
        <w:rPr>
          <w:rStyle w:val="25"/>
          <w:rFonts w:hint="eastAsia" w:ascii="仿宋" w:hAnsi="仿宋" w:eastAsia="仿宋"/>
          <w:b w:val="0"/>
          <w:bCs/>
          <w:sz w:val="32"/>
          <w:szCs w:val="32"/>
        </w:rPr>
        <w:t>完成预算</w:t>
      </w:r>
      <w:r>
        <w:rPr>
          <w:rFonts w:hint="eastAsia" w:ascii="仿宋_GB2312" w:eastAsia="仿宋_GB2312"/>
          <w:sz w:val="32"/>
          <w:szCs w:val="32"/>
        </w:rPr>
        <w:t>0</w:t>
      </w:r>
      <w:r>
        <w:rPr>
          <w:rStyle w:val="25"/>
          <w:rFonts w:ascii="仿宋" w:hAnsi="仿宋" w:eastAsia="仿宋"/>
          <w:b w:val="0"/>
          <w:bCs/>
          <w:sz w:val="32"/>
          <w:szCs w:val="32"/>
        </w:rPr>
        <w:t>%</w:t>
      </w:r>
      <w:r>
        <w:rPr>
          <w:rStyle w:val="25"/>
          <w:rFonts w:hint="eastAsia" w:ascii="仿宋" w:hAnsi="仿宋" w:eastAsia="仿宋"/>
          <w:b w:val="0"/>
          <w:bCs/>
          <w:sz w:val="32"/>
          <w:szCs w:val="32"/>
        </w:rPr>
        <w:t>。</w:t>
      </w:r>
      <w:r>
        <w:rPr>
          <w:rFonts w:hint="eastAsia" w:ascii="仿宋_GB2312" w:eastAsia="仿宋_GB2312"/>
          <w:sz w:val="32"/>
          <w:szCs w:val="32"/>
        </w:rPr>
        <w:t>公务接待费支出决算比2020年减少0.21万元，减少100</w:t>
      </w:r>
      <w:r>
        <w:rPr>
          <w:rFonts w:ascii="仿宋_GB2312" w:eastAsia="仿宋_GB2312"/>
          <w:sz w:val="32"/>
          <w:szCs w:val="32"/>
        </w:rPr>
        <w:t>%</w:t>
      </w:r>
      <w:r>
        <w:rPr>
          <w:rFonts w:hint="eastAsia" w:ascii="仿宋_GB2312" w:eastAsia="仿宋_GB2312"/>
          <w:sz w:val="32"/>
          <w:szCs w:val="32"/>
        </w:rPr>
        <w:t>。主要原因是严格按照中央八项规定等要求勤俭节约。</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4.国内公务接待支出</w:t>
      </w:r>
      <w:r>
        <w:rPr>
          <w:rFonts w:hint="eastAsia" w:ascii="仿宋_GB2312" w:eastAsia="仿宋_GB2312"/>
          <w:color w:val="000000"/>
          <w:sz w:val="32"/>
          <w:szCs w:val="32"/>
        </w:rPr>
        <w:t>0万元。</w:t>
      </w:r>
    </w:p>
    <w:p>
      <w:pPr>
        <w:spacing w:line="600" w:lineRule="exact"/>
        <w:ind w:firstLine="643" w:firstLineChars="200"/>
        <w:rPr>
          <w:rFonts w:ascii="仿宋_GB2312" w:eastAsia="仿宋_GB2312"/>
          <w:color w:val="000000"/>
          <w:sz w:val="32"/>
          <w:szCs w:val="32"/>
        </w:rPr>
      </w:pPr>
      <w:r>
        <w:rPr>
          <w:rFonts w:hint="eastAsia" w:ascii="仿宋" w:hAnsi="仿宋" w:eastAsia="仿宋"/>
          <w:b/>
          <w:color w:val="000000"/>
          <w:sz w:val="32"/>
          <w:szCs w:val="32"/>
        </w:rPr>
        <w:t>外事接待支出</w:t>
      </w:r>
      <w:r>
        <w:rPr>
          <w:rFonts w:hint="eastAsia" w:ascii="仿宋_GB2312" w:eastAsia="仿宋_GB2312"/>
          <w:color w:val="000000"/>
          <w:sz w:val="32"/>
          <w:szCs w:val="32"/>
        </w:rPr>
        <w:t>0万元，外事接待0批次，0人，共计支出0万元。</w:t>
      </w:r>
    </w:p>
    <w:p>
      <w:pPr>
        <w:spacing w:line="600" w:lineRule="exact"/>
        <w:ind w:firstLine="640"/>
        <w:outlineLvl w:val="1"/>
        <w:rPr>
          <w:rStyle w:val="28"/>
          <w:rFonts w:ascii="黑体" w:hAnsi="黑体" w:eastAsia="黑体"/>
        </w:rPr>
      </w:pPr>
      <w:bookmarkStart w:id="80" w:name="_Toc15377218"/>
      <w:bookmarkStart w:id="81" w:name="_Toc15396610"/>
      <w:bookmarkStart w:id="82" w:name="_Toc79163872"/>
      <w:bookmarkStart w:id="83" w:name="_Toc79163622"/>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80"/>
      <w:bookmarkEnd w:id="81"/>
      <w:bookmarkEnd w:id="82"/>
      <w:bookmarkEnd w:id="83"/>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2021年政府性基金预算拨款支出0万元。</w:t>
      </w:r>
    </w:p>
    <w:p>
      <w:pPr>
        <w:numPr>
          <w:ilvl w:val="0"/>
          <w:numId w:val="1"/>
        </w:numPr>
        <w:spacing w:line="600" w:lineRule="exact"/>
        <w:ind w:firstLine="640"/>
        <w:outlineLvl w:val="1"/>
        <w:rPr>
          <w:rStyle w:val="28"/>
          <w:rFonts w:ascii="黑体" w:hAnsi="黑体" w:eastAsia="黑体"/>
          <w:b w:val="0"/>
        </w:rPr>
      </w:pPr>
      <w:bookmarkStart w:id="84" w:name="_Toc79163873"/>
      <w:bookmarkStart w:id="85" w:name="_Toc15396611"/>
      <w:bookmarkStart w:id="86" w:name="_Toc15377219"/>
      <w:bookmarkStart w:id="87" w:name="_Toc79163623"/>
      <w:r>
        <w:rPr>
          <w:rStyle w:val="28"/>
          <w:rFonts w:hint="eastAsia" w:ascii="黑体" w:hAnsi="黑体" w:eastAsia="黑体"/>
          <w:b w:val="0"/>
        </w:rPr>
        <w:t>国有资本经营预算支出决算情况说明</w:t>
      </w:r>
      <w:bookmarkEnd w:id="84"/>
      <w:bookmarkEnd w:id="85"/>
      <w:bookmarkEnd w:id="86"/>
      <w:bookmarkEnd w:id="87"/>
    </w:p>
    <w:p>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rPr>
        <w:t>2021年国有资本经营预算拨款支出0万元。</w:t>
      </w:r>
    </w:p>
    <w:p>
      <w:pPr>
        <w:spacing w:line="600" w:lineRule="exact"/>
        <w:ind w:firstLine="800" w:firstLineChars="250"/>
        <w:outlineLvl w:val="1"/>
        <w:rPr>
          <w:rStyle w:val="28"/>
          <w:rFonts w:ascii="黑体" w:hAnsi="黑体" w:eastAsia="黑体"/>
        </w:rPr>
      </w:pPr>
      <w:bookmarkStart w:id="88" w:name="_Toc79163874"/>
      <w:bookmarkStart w:id="89" w:name="_Toc15396612"/>
      <w:bookmarkStart w:id="90" w:name="_Toc79163624"/>
      <w:bookmarkStart w:id="91" w:name="_Toc15377221"/>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88"/>
      <w:bookmarkEnd w:id="89"/>
      <w:bookmarkEnd w:id="90"/>
      <w:bookmarkEnd w:id="91"/>
    </w:p>
    <w:p>
      <w:pPr>
        <w:spacing w:line="600" w:lineRule="exact"/>
        <w:ind w:firstLine="643" w:firstLineChars="200"/>
        <w:outlineLvl w:val="2"/>
        <w:rPr>
          <w:rFonts w:ascii="仿宋" w:hAnsi="仿宋" w:eastAsia="仿宋"/>
          <w:color w:val="000000"/>
          <w:sz w:val="32"/>
          <w:szCs w:val="32"/>
        </w:rPr>
      </w:pPr>
      <w:bookmarkStart w:id="92" w:name="_Toc79163625"/>
      <w:bookmarkStart w:id="93" w:name="_Toc15377222"/>
      <w:bookmarkStart w:id="94" w:name="_Toc79163875"/>
      <w:r>
        <w:rPr>
          <w:rFonts w:hint="eastAsia" w:ascii="仿宋" w:hAnsi="仿宋" w:eastAsia="仿宋"/>
          <w:b/>
          <w:color w:val="000000"/>
          <w:sz w:val="32"/>
          <w:szCs w:val="32"/>
        </w:rPr>
        <w:t>（一）机关运行经费支出情况</w:t>
      </w:r>
      <w:bookmarkEnd w:id="92"/>
      <w:bookmarkEnd w:id="93"/>
      <w:bookmarkEnd w:id="94"/>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2021年，统战部机关运行经费支出50.34万元，比2020减少18.47万元，下降26.84</w:t>
      </w:r>
      <w:r>
        <w:rPr>
          <w:rFonts w:ascii="仿宋_GB2312" w:eastAsia="仿宋_GB2312"/>
          <w:color w:val="000000"/>
          <w:sz w:val="32"/>
          <w:szCs w:val="32"/>
        </w:rPr>
        <w:t>%</w:t>
      </w:r>
      <w:r>
        <w:rPr>
          <w:rFonts w:hint="eastAsia" w:ascii="仿宋_GB2312" w:eastAsia="仿宋_GB2312"/>
          <w:color w:val="000000"/>
          <w:sz w:val="32"/>
          <w:szCs w:val="32"/>
        </w:rPr>
        <w:t>。主要原因是公务用车维护经费、办公经费和会议费用等减少。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5" w:name="_Toc15377223"/>
      <w:bookmarkStart w:id="96" w:name="_Toc79163626"/>
      <w:bookmarkStart w:id="97" w:name="_Toc79163876"/>
      <w:r>
        <w:rPr>
          <w:rFonts w:hint="eastAsia" w:ascii="仿宋" w:hAnsi="仿宋" w:eastAsia="仿宋"/>
          <w:b/>
          <w:color w:val="000000"/>
          <w:sz w:val="32"/>
          <w:szCs w:val="32"/>
        </w:rPr>
        <w:t>（二）政府采购支出情况</w:t>
      </w:r>
      <w:bookmarkEnd w:id="95"/>
      <w:bookmarkEnd w:id="96"/>
      <w:bookmarkEnd w:id="97"/>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2021年，县委统战部政府采购支出总额0万元，其中：政府采购货物支出0万元、政府采购工程支出0万元、政府采购服务支出0万元。授予中小企业合同金额0万元，占政府采购支出总额的0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8" w:name="_Toc15377224"/>
      <w:bookmarkStart w:id="99" w:name="_Toc79163877"/>
      <w:bookmarkStart w:id="100" w:name="_Toc79163627"/>
      <w:r>
        <w:rPr>
          <w:rFonts w:hint="eastAsia" w:ascii="仿宋" w:hAnsi="仿宋" w:eastAsia="仿宋"/>
          <w:b/>
          <w:color w:val="000000"/>
          <w:sz w:val="32"/>
          <w:szCs w:val="32"/>
        </w:rPr>
        <w:t>（三）国有资产占有使用情况</w:t>
      </w:r>
      <w:bookmarkEnd w:id="98"/>
      <w:bookmarkEnd w:id="99"/>
      <w:bookmarkEnd w:id="100"/>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截至2021年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日，统战部共有车辆2辆，其中：主要领导干部用车0辆、机要通信用车0辆、应急保障用车0辆、其他用车2辆。单价</w:t>
      </w:r>
      <w:r>
        <w:rPr>
          <w:rFonts w:ascii="仿宋_GB2312" w:eastAsia="仿宋_GB2312"/>
          <w:color w:val="000000"/>
          <w:sz w:val="32"/>
          <w:szCs w:val="32"/>
        </w:rPr>
        <w:t>50</w:t>
      </w:r>
      <w:r>
        <w:rPr>
          <w:rFonts w:hint="eastAsia" w:ascii="仿宋_GB2312" w:eastAsia="仿宋_GB2312"/>
          <w:color w:val="000000"/>
          <w:sz w:val="32"/>
          <w:szCs w:val="32"/>
        </w:rPr>
        <w:t>万元以上通用设备0台（套），单价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79163878"/>
      <w:bookmarkStart w:id="102" w:name="_Toc79163628"/>
      <w:r>
        <w:rPr>
          <w:rFonts w:hint="eastAsia" w:ascii="仿宋" w:hAnsi="仿宋" w:eastAsia="仿宋"/>
          <w:b/>
          <w:color w:val="000000"/>
          <w:sz w:val="32"/>
          <w:szCs w:val="32"/>
        </w:rPr>
        <w:t>（四）预算绩效管理情况。</w:t>
      </w:r>
      <w:bookmarkEnd w:id="101"/>
      <w:bookmarkEnd w:id="10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根据预算绩效管理要求，本部门在年初预算编制阶段，组织对漳扎镇甘海子婚纱摄影小镇精品旅游民宿和上四寨特色民宿阿布鲁孜原乡藏寨项目</w:t>
      </w:r>
      <w:r>
        <w:rPr>
          <w:rFonts w:hint="eastAsia" w:ascii="仿宋_GB2312" w:hAnsi="仿宋_GB2312" w:eastAsia="仿宋_GB2312" w:cs="仿宋_GB2312"/>
          <w:sz w:val="32"/>
          <w:szCs w:val="32"/>
          <w:lang w:eastAsia="zh-CN"/>
        </w:rPr>
        <w:t>等</w:t>
      </w:r>
      <w:r>
        <w:rPr>
          <w:rFonts w:hint="eastAsia" w:ascii="仿宋_GB2312" w:hAnsi="仿宋_GB2312" w:eastAsia="仿宋_GB2312" w:cs="仿宋_GB2312"/>
          <w:sz w:val="32"/>
          <w:szCs w:val="32"/>
        </w:rPr>
        <w:t>开展了预算事前绩效评估，</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项目编制了绩效目标，预算执行过程中，选取</w:t>
      </w:r>
      <w:r>
        <w:rPr>
          <w:rFonts w:hint="eastAsia" w:ascii="仿宋_GB2312" w:hAnsi="仿宋_GB2312" w:eastAsia="仿宋_GB2312" w:cs="仿宋_GB2312"/>
          <w:sz w:val="32"/>
          <w:szCs w:val="32"/>
          <w:lang w:eastAsia="zh-CN"/>
        </w:rPr>
        <w:t>各个</w:t>
      </w:r>
      <w:r>
        <w:rPr>
          <w:rFonts w:hint="eastAsia" w:ascii="仿宋_GB2312" w:hAnsi="仿宋_GB2312" w:eastAsia="仿宋_GB2312" w:cs="仿宋_GB2312"/>
          <w:sz w:val="32"/>
          <w:szCs w:val="32"/>
        </w:rPr>
        <w:t>项目开展绩效监控，年终执行完毕后，对3个项目开展了绩效目标完成情况自评。</w:t>
      </w:r>
    </w:p>
    <w:p>
      <w:pPr>
        <w:widowControl/>
        <w:adjustRightInd w:val="0"/>
        <w:snapToGrid w:val="0"/>
        <w:spacing w:line="576" w:lineRule="exact"/>
        <w:ind w:firstLine="640" w:firstLineChars="200"/>
        <w:contextualSpacing/>
        <w:jc w:val="left"/>
        <w:rPr>
          <w:rFonts w:ascii="仿宋_GB2312" w:hAnsi="仿宋_GB2312" w:eastAsia="仿宋_GB2312" w:cs="仿宋_GB2312"/>
          <w:sz w:val="32"/>
          <w:szCs w:val="32"/>
          <w:lang w:val="zh-CN"/>
        </w:rPr>
      </w:pPr>
      <w:r>
        <w:rPr>
          <w:rFonts w:hint="eastAsia" w:ascii="仿宋_GB2312" w:hAnsi="仿宋_GB2312" w:eastAsia="仿宋_GB2312" w:cs="仿宋_GB2312"/>
          <w:sz w:val="32"/>
          <w:szCs w:val="32"/>
        </w:rPr>
        <w:t>本部门按要求对2021年部门整体支出开展绩效自评，从评价情况来看</w:t>
      </w:r>
      <w:r>
        <w:rPr>
          <w:rFonts w:hint="eastAsia" w:ascii="仿宋_GB2312" w:hAnsi="仿宋_GB2312" w:eastAsia="仿宋_GB2312" w:cs="仿宋_GB2312"/>
          <w:sz w:val="32"/>
          <w:szCs w:val="32"/>
          <w:lang w:val="zh-CN"/>
        </w:rPr>
        <w:t>本单位履职效益情况良好，对各项支出严格按照预算额度进行控制，本年预算配置方面，财政供养人员控制在预算编制以内，编制内在职人员控制率小于100%，“三公经费”控制较好。建立健全了财政收支管理、预算管理、资产管理制度等一系列内部控制制度，制度执行总体有效。</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本部门还自行组织</w:t>
      </w:r>
      <w:r>
        <w:rPr>
          <w:rFonts w:hint="eastAsia" w:ascii="仿宋_GB2312" w:hAnsi="仿宋_GB2312" w:eastAsia="仿宋_GB2312" w:cs="仿宋_GB2312"/>
          <w:sz w:val="32"/>
          <w:szCs w:val="32"/>
          <w:lang w:eastAsia="zh-CN"/>
        </w:rPr>
        <w:t>对当年实施的</w:t>
      </w:r>
      <w:r>
        <w:rPr>
          <w:rFonts w:hint="eastAsia" w:ascii="仿宋_GB2312" w:hAnsi="仿宋_GB2312" w:eastAsia="仿宋_GB2312" w:cs="仿宋_GB2312"/>
          <w:sz w:val="32"/>
          <w:szCs w:val="32"/>
        </w:rPr>
        <w:t>项目支出绩效评价，从评价情况来看</w:t>
      </w:r>
      <w:r>
        <w:rPr>
          <w:rFonts w:hint="eastAsia" w:ascii="仿宋_GB2312" w:hAnsi="仿宋_GB2312" w:eastAsia="仿宋_GB2312" w:cs="仿宋_GB2312"/>
          <w:sz w:val="32"/>
          <w:szCs w:val="32"/>
          <w:lang w:val="zh-CN"/>
        </w:rPr>
        <w:t>我单位项目管理良好，本着厉行节俭、只减不增的原则，严格执行经费标准和审批制度与程序，项目资金都发挥了最大效益。</w:t>
      </w:r>
    </w:p>
    <w:p>
      <w:pPr>
        <w:spacing w:line="580" w:lineRule="exact"/>
        <w:ind w:firstLine="640" w:firstLineChars="200"/>
        <w:jc w:val="left"/>
        <w:rPr>
          <w:rFonts w:ascii="楷体_GB2312" w:hAnsi="楷体_GB2312" w:eastAsia="楷体_GB2312" w:cs="楷体_GB2312"/>
          <w:sz w:val="32"/>
          <w:szCs w:val="32"/>
        </w:rPr>
      </w:pPr>
      <w:r>
        <w:rPr>
          <w:rFonts w:hint="eastAsia" w:ascii="楷体_GB2312" w:hAnsi="楷体_GB2312" w:eastAsia="楷体_GB2312" w:cs="楷体_GB2312"/>
          <w:sz w:val="32"/>
          <w:szCs w:val="32"/>
        </w:rPr>
        <w:t>1.项目绩效目标完成情况。</w:t>
      </w:r>
    </w:p>
    <w:p>
      <w:pPr>
        <w:spacing w:line="580" w:lineRule="exact"/>
        <w:ind w:firstLine="640" w:firstLineChars="200"/>
        <w:jc w:val="left"/>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本部门在2021年度部门决算中反映漳扎镇甘海子婚纱摄影小镇精品旅游民宿和上四寨特色民宿阿布鲁孜原乡藏寨”项目绩效目标实际完成情况。（本单位部门项目绩效目标个数共3个，选取3个项目进全部进行公开，公开了3个项目的基本情况、实施方式、管理方式等内容。</w:t>
      </w:r>
      <w:r>
        <w:rPr>
          <w:rFonts w:hint="eastAsia" w:ascii="仿宋_GB2312" w:hAnsi="仿宋_GB2312" w:eastAsia="仿宋_GB2312" w:cs="仿宋_GB2312"/>
          <w:sz w:val="32"/>
          <w:szCs w:val="32"/>
          <w:lang w:eastAsia="zh-CN"/>
        </w:rPr>
        <w:t>）</w:t>
      </w:r>
    </w:p>
    <w:p>
      <w:pPr>
        <w:ind w:firstLine="600"/>
        <w:rPr>
          <w:rFonts w:eastAsia="方正仿宋_GBK"/>
          <w:lang w:val="zh-CN"/>
        </w:rPr>
      </w:pPr>
      <w:r>
        <w:rPr>
          <w:rFonts w:hint="eastAsia" w:ascii="仿宋_GB2312" w:hAnsi="仿宋_GB2312" w:eastAsia="仿宋_GB2312" w:cs="仿宋_GB2312"/>
          <w:sz w:val="32"/>
          <w:szCs w:val="32"/>
        </w:rPr>
        <w:t>漳扎镇甘海子婚纱摄影小镇精品旅游民宿和上四寨特色民宿阿布鲁孜原乡藏寨”项目绩效目标完成情况综述。项目全年预算数224.17164万元，执行数为224.17164万元，完成预算的100</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。通过项目实施，</w:t>
      </w:r>
      <w:r>
        <w:rPr>
          <w:rFonts w:hint="eastAsia" w:eastAsia="方正仿宋_GBK"/>
          <w:sz w:val="32"/>
          <w:szCs w:val="32"/>
          <w:shd w:val="clear" w:color="auto" w:fill="FFFFFF"/>
          <w:lang w:val="zh-CN"/>
        </w:rPr>
        <w:t>项目建成后，</w:t>
      </w:r>
      <w:r>
        <w:rPr>
          <w:rFonts w:hint="eastAsia" w:eastAsia="方正仿宋_GBK"/>
          <w:b/>
          <w:bCs/>
          <w:sz w:val="32"/>
          <w:szCs w:val="32"/>
          <w:shd w:val="clear" w:color="auto" w:fill="FFFFFF"/>
          <w:lang w:val="zh-CN"/>
        </w:rPr>
        <w:t>一是经济效益</w:t>
      </w:r>
      <w:r>
        <w:rPr>
          <w:rFonts w:hint="eastAsia" w:eastAsia="方正仿宋_GBK"/>
          <w:sz w:val="32"/>
          <w:szCs w:val="32"/>
        </w:rPr>
        <w:t>参建农户通过房屋固定租赁和公司员工身份参与运营实现长期稳定就业增长，村支部通过提取管理费壮大村集体经济收入</w:t>
      </w:r>
      <w:r>
        <w:rPr>
          <w:rFonts w:eastAsia="方正仿宋_GBK"/>
          <w:sz w:val="32"/>
          <w:szCs w:val="32"/>
          <w:shd w:val="clear" w:color="auto" w:fill="FFFFFF"/>
        </w:rPr>
        <w:t>。</w:t>
      </w:r>
      <w:r>
        <w:rPr>
          <w:rFonts w:hint="eastAsia" w:eastAsia="方正仿宋_GBK"/>
          <w:b/>
          <w:bCs/>
          <w:sz w:val="32"/>
          <w:szCs w:val="32"/>
          <w:shd w:val="clear" w:color="auto" w:fill="FFFFFF"/>
        </w:rPr>
        <w:t>二是生态效益</w:t>
      </w:r>
      <w:r>
        <w:rPr>
          <w:rFonts w:hint="eastAsia" w:eastAsia="方正仿宋_GBK"/>
          <w:sz w:val="32"/>
          <w:szCs w:val="32"/>
        </w:rPr>
        <w:t>项目紧紧围绕了“两地一典范，美丽新九寨”战略部署，助力漳扎镇“国际生态旅游魅力小镇”的定位和建设，顺应了“乡村振兴”和高质量脱贫攻坚的形势和要求，将率先实现“垃圾、污水、厕所”革命，实现家园变花园，农房变客房、人文旅游和谐发展。</w:t>
      </w:r>
      <w:r>
        <w:rPr>
          <w:rFonts w:hint="eastAsia" w:ascii="仿宋_GB2312" w:hAnsi="仿宋_GB2312" w:eastAsia="仿宋_GB2312" w:cs="仿宋_GB2312"/>
          <w:sz w:val="32"/>
          <w:szCs w:val="32"/>
        </w:rPr>
        <w:t>发现的主要问题：无。下一步改进措施：无。</w:t>
      </w:r>
    </w:p>
    <w:p>
      <w:pPr>
        <w:spacing w:line="580" w:lineRule="exact"/>
        <w:ind w:firstLine="640" w:firstLineChars="200"/>
        <w:rPr>
          <w:rFonts w:hint="eastAsia" w:ascii="仿宋_GB2312" w:hAnsi="仿宋_GB2312" w:eastAsia="仿宋_GB2312" w:cs="仿宋_GB2312"/>
          <w:sz w:val="32"/>
          <w:szCs w:val="32"/>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p>
      <w:pPr>
        <w:pStyle w:val="7"/>
        <w:spacing w:before="93"/>
        <w:rPr>
          <w:rFonts w:hint="eastAsia"/>
          <w:lang w:val="en-US"/>
        </w:rPr>
      </w:pPr>
    </w:p>
    <w:tbl>
      <w:tblPr>
        <w:tblStyle w:val="23"/>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ascii="宋体" w:cs="宋体"/>
                <w:color w:val="000000"/>
                <w:sz w:val="36"/>
                <w:szCs w:val="36"/>
              </w:rPr>
            </w:pPr>
            <w:r>
              <w:rPr>
                <w:rFonts w:hint="eastAsia" w:ascii="宋体" w:hAnsi="宋体" w:cs="宋体"/>
                <w:b/>
                <w:bCs/>
                <w:color w:val="000000"/>
                <w:kern w:val="0"/>
                <w:sz w:val="36"/>
                <w:szCs w:val="36"/>
              </w:rPr>
              <w:t>项目绩效目标完成情况表</w:t>
            </w:r>
            <w:r>
              <w:rPr>
                <w:rFonts w:ascii="宋体" w:cs="宋体"/>
                <w:b/>
                <w:bCs/>
                <w:color w:val="000000"/>
                <w:kern w:val="0"/>
                <w:sz w:val="36"/>
                <w:szCs w:val="36"/>
              </w:rPr>
              <w:br w:type="textWrapping"/>
            </w:r>
            <w:r>
              <w:rPr>
                <w:rFonts w:ascii="宋体" w:hAnsi="宋体" w:cs="宋体"/>
                <w:color w:val="000000"/>
                <w:kern w:val="0"/>
                <w:sz w:val="36"/>
                <w:szCs w:val="36"/>
              </w:rPr>
              <w:t>(</w:t>
            </w:r>
            <w:r>
              <w:rPr>
                <w:rFonts w:hint="eastAsia" w:ascii="宋体" w:hAnsi="宋体" w:cs="宋体"/>
                <w:color w:val="000000"/>
                <w:kern w:val="0"/>
                <w:sz w:val="36"/>
                <w:szCs w:val="36"/>
              </w:rPr>
              <w:t>2021年度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漳扎镇甘海子婚纱摄影小镇精品旅游民宿和上四寨特色民宿阿布鲁孜原乡藏寨项目</w:t>
            </w:r>
          </w:p>
        </w:tc>
      </w:tr>
      <w:tr>
        <w:tblPrEx>
          <w:tblCellMar>
            <w:top w:w="0" w:type="dxa"/>
            <w:left w:w="0" w:type="dxa"/>
            <w:bottom w:w="0" w:type="dxa"/>
            <w:right w:w="0" w:type="dxa"/>
          </w:tblCellMar>
        </w:tblPrEx>
        <w:trPr>
          <w:trHeight w:val="276" w:hRule="atLeast"/>
          <w:jc w:val="center"/>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中共九寨沟县委统战部</w:t>
            </w: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预算执行情况</w:t>
            </w:r>
            <w:r>
              <w:rPr>
                <w:rFonts w:ascii="宋体" w:hAnsi="宋体" w:cs="宋体"/>
                <w:color w:val="000000"/>
                <w:kern w:val="0"/>
                <w:sz w:val="24"/>
              </w:rPr>
              <w:t>(</w:t>
            </w:r>
            <w:r>
              <w:rPr>
                <w:rFonts w:hint="eastAsia" w:ascii="宋体" w:hAnsi="宋体" w:cs="宋体"/>
                <w:color w:val="000000"/>
                <w:kern w:val="0"/>
                <w:sz w:val="24"/>
              </w:rPr>
              <w:t>万元</w:t>
            </w:r>
            <w:r>
              <w:rPr>
                <w:rFonts w:ascii="宋体" w:hAnsi="宋体" w:cs="宋体"/>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预算数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224.17164</w:t>
            </w:r>
            <w:r>
              <w:rPr>
                <w:rFonts w:hint="eastAsia" w:ascii="仿宋_GB2312" w:hAnsi="宋体"/>
                <w:lang w:val="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执行数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224.17164</w:t>
            </w:r>
            <w:r>
              <w:rPr>
                <w:rFonts w:hint="eastAsia" w:ascii="仿宋_GB2312" w:hAnsi="宋体"/>
                <w:lang w:val="zh-CN"/>
              </w:rPr>
              <w:t>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rPr>
              <w:t>224.17164</w:t>
            </w:r>
            <w:r>
              <w:rPr>
                <w:rFonts w:hint="eastAsia" w:ascii="仿宋_GB2312" w:hAnsi="宋体"/>
                <w:lang w:val="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其中</w:t>
            </w:r>
            <w:r>
              <w:rPr>
                <w:rFonts w:ascii="宋体" w:cs="宋体"/>
                <w:color w:val="000000"/>
                <w:kern w:val="0"/>
                <w:sz w:val="24"/>
              </w:rPr>
              <w:t>-</w:t>
            </w:r>
            <w:r>
              <w:rPr>
                <w:rFonts w:hint="eastAsia" w:ascii="宋体" w:hAnsi="宋体" w:cs="宋体"/>
                <w:color w:val="000000"/>
                <w:kern w:val="0"/>
                <w:sz w:val="24"/>
              </w:rPr>
              <w:t>财政拨款</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511"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其它资金</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仿宋_GB2312" w:hAnsi="宋体"/>
                <w:sz w:val="18"/>
                <w:szCs w:val="18"/>
                <w:lang w:val="zh-CN"/>
              </w:rPr>
            </w:pPr>
            <w:r>
              <w:rPr>
                <w:rFonts w:hint="eastAsia" w:ascii="仿宋_GB2312" w:hAnsi="宋体"/>
                <w:sz w:val="18"/>
                <w:szCs w:val="18"/>
                <w:lang w:val="zh-CN"/>
              </w:rPr>
              <w:t>甘海子婚纱摄影小镇精品旅游民宿项目将按各幢、各区域业态完成23幢民宿打造；上四寨特色民宿阿布鲁孜原乡藏寨项目选择上四寨二组扎雄藏寨民宿14户进行连片打造，覆盖52人，统一业态规划，将对各幢房屋按照功能定位进行精细化打造，布局为传统银饰手工制作体验区、藏族杂酒制作体验区、唐卡绘制作体验区、藏族山歌艺术体验区等。</w:t>
            </w:r>
          </w:p>
          <w:p>
            <w:pPr>
              <w:widowControl/>
              <w:ind w:firstLine="210" w:firstLineChars="100"/>
              <w:jc w:val="center"/>
              <w:textAlignment w:val="center"/>
              <w:rPr>
                <w:rFonts w:ascii="仿宋_GB2312" w:hAnsi="宋体"/>
                <w:lang w:val="zh-CN"/>
              </w:rPr>
            </w:pP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宋体"/>
                <w:lang w:val="zh-CN"/>
              </w:rPr>
              <w:t>通过项目实施，完成了项目期初业态规划建设内容。</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预期指标值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实际完成指标值</w:t>
            </w:r>
            <w:r>
              <w:rPr>
                <w:rFonts w:ascii="宋体" w:hAnsi="宋体" w:cs="宋体"/>
                <w:color w:val="000000"/>
                <w:kern w:val="0"/>
                <w:sz w:val="24"/>
              </w:rPr>
              <w:t>(</w:t>
            </w:r>
            <w:r>
              <w:rPr>
                <w:rFonts w:hint="eastAsia" w:ascii="宋体" w:hAnsi="宋体" w:cs="宋体"/>
                <w:color w:val="000000"/>
                <w:kern w:val="0"/>
                <w:sz w:val="24"/>
              </w:rPr>
              <w:t>包含数字及文字描述</w:t>
            </w:r>
            <w:r>
              <w:rPr>
                <w:rFonts w:ascii="宋体" w:hAnsi="宋体" w:cs="宋体"/>
                <w:color w:val="000000"/>
                <w:kern w:val="0"/>
                <w:sz w:val="24"/>
              </w:rPr>
              <w:t>)</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完成</w:t>
            </w:r>
          </w:p>
          <w:p>
            <w:pPr>
              <w:widowControl/>
              <w:jc w:val="center"/>
              <w:textAlignment w:val="center"/>
              <w:rPr>
                <w:rFonts w:ascii="宋体" w:cs="宋体"/>
                <w:color w:val="000000"/>
                <w:sz w:val="24"/>
              </w:rPr>
            </w:pPr>
            <w:r>
              <w:rPr>
                <w:rFonts w:hint="eastAsia" w:ascii="仿宋_GB2312" w:hAnsi="仿宋_GB2312" w:cs="仿宋_GB2312"/>
                <w:color w:val="000000"/>
                <w:kern w:val="0"/>
                <w:sz w:val="28"/>
                <w:szCs w:val="2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仿宋_GB2312" w:hAnsi="仿宋_GB2312" w:cs="仿宋_GB2312"/>
                <w:color w:val="000000"/>
                <w:kern w:val="0"/>
                <w:sz w:val="28"/>
                <w:szCs w:val="28"/>
              </w:rPr>
              <w:t>数量指标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szCs w:val="21"/>
                <w:lang w:val="zh-CN"/>
              </w:rPr>
            </w:pPr>
            <w:r>
              <w:rPr>
                <w:rFonts w:hint="eastAsia" w:ascii="仿宋_GB2312" w:hAnsi="宋体"/>
                <w:sz w:val="18"/>
                <w:szCs w:val="18"/>
                <w:lang w:val="zh-CN"/>
              </w:rPr>
              <w:t>海子婚纱摄影小镇精品旅游民宿项目按各幢、各区域业态完成23幢民宿打造；上四寨特色民宿阿布鲁孜原乡藏寨项目选择上四寨二组扎雄藏寨民宿14户进行连片打造，覆盖52人，统一业态规划，将对各幢房屋按照功能定位进行精细化打造，布局为传统银饰手工制作体验区、藏族杂酒制作体验区、唐卡绘制作体验区、藏族山歌艺术体验区等。</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仿宋_GB2312" w:hAnsi="宋体"/>
                <w:szCs w:val="21"/>
                <w:lang w:val="zh-CN"/>
              </w:rPr>
            </w:pPr>
            <w:r>
              <w:rPr>
                <w:rFonts w:hint="eastAsia" w:ascii="仿宋_GB2312" w:hAnsi="宋体"/>
                <w:lang w:val="zh-CN"/>
              </w:rPr>
              <w:t>通过项目实施，已完成了项目期初业态规划全部建设内容。</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bottom"/>
          </w:tcPr>
          <w:p>
            <w:pPr>
              <w:widowControl/>
              <w:spacing w:line="320" w:lineRule="exact"/>
              <w:jc w:val="center"/>
              <w:textAlignment w:val="bottom"/>
              <w:rPr>
                <w:rFonts w:ascii="仿宋_GB2312" w:hAnsi="仿宋_GB2312" w:cs="仿宋_GB2312"/>
                <w:color w:val="000000"/>
                <w:sz w:val="28"/>
                <w:szCs w:val="28"/>
              </w:rPr>
            </w:pPr>
            <w:r>
              <w:rPr>
                <w:rFonts w:hint="eastAsia" w:ascii="仿宋_GB2312" w:hAnsi="仿宋_GB2312" w:cs="仿宋_GB2312"/>
                <w:color w:val="000000"/>
                <w:kern w:val="0"/>
                <w:sz w:val="28"/>
                <w:szCs w:val="28"/>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exact"/>
              <w:jc w:val="center"/>
              <w:rPr>
                <w:rFonts w:ascii="仿宋_GB2312" w:hAnsi="仿宋_GB2312" w:cs="仿宋_GB2312"/>
                <w:color w:val="000000"/>
                <w:sz w:val="28"/>
                <w:szCs w:val="28"/>
              </w:rPr>
            </w:pPr>
            <w:r>
              <w:rPr>
                <w:rFonts w:hint="eastAsia" w:eastAsia="仿宋_GB2312"/>
                <w:sz w:val="24"/>
              </w:rPr>
              <w:t>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cs="仿宋_GB2312"/>
                <w:color w:val="000000"/>
                <w:sz w:val="28"/>
                <w:szCs w:val="28"/>
              </w:rPr>
            </w:pPr>
            <w:r>
              <w:rPr>
                <w:rFonts w:hint="eastAsia" w:eastAsia="仿宋_GB2312"/>
                <w:sz w:val="24"/>
              </w:rPr>
              <w:t>验收合格</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仿宋_GB2312" w:hAnsi="仿宋_GB2312" w:cs="仿宋_GB2312"/>
                <w:color w:val="000000"/>
                <w:sz w:val="28"/>
                <w:szCs w:val="28"/>
              </w:rPr>
            </w:pPr>
            <w:r>
              <w:rPr>
                <w:rFonts w:hint="eastAsia" w:eastAsia="仿宋_GB2312"/>
                <w:sz w:val="24"/>
              </w:rPr>
              <w:t>验收合格</w:t>
            </w: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4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经济效益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实现助农增收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参建农户通过房屋固定租赁和公司员工身份参与运营实现长期稳定就业增长，村支部通过提取管理费壮大村集体经济收入</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生态效益</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助力乡村振兴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项目紧紧围绕了“两地一典范，美丽新九寨”战略部署，助力漳扎镇“国际生态旅游魅力小镇”的定位和建设，顺应了“乡村振兴”和高质量脱贫攻坚的形势和要求，将率先实现“垃圾、污水、厕所”革命，实现家园变花园，农房变客房、人文旅游和谐发展。</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r>
      <w:tr>
        <w:tblPrEx>
          <w:tblCellMar>
            <w:top w:w="0" w:type="dxa"/>
            <w:left w:w="0" w:type="dxa"/>
            <w:bottom w:w="0" w:type="dxa"/>
            <w:right w:w="0" w:type="dxa"/>
          </w:tblCellMar>
        </w:tblPrEx>
        <w:trPr>
          <w:trHeight w:val="12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hAnsi="宋体" w:cs="宋体"/>
                <w:color w:val="000000"/>
                <w:kern w:val="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r>
      <w:tr>
        <w:tblPrEx>
          <w:tblCellMar>
            <w:top w:w="0" w:type="dxa"/>
            <w:left w:w="0" w:type="dxa"/>
            <w:bottom w:w="0" w:type="dxa"/>
            <w:right w:w="0" w:type="dxa"/>
          </w:tblCellMar>
        </w:tblPrEx>
        <w:trPr>
          <w:trHeight w:val="1050" w:hRule="atLeast"/>
          <w:jc w:val="center"/>
        </w:trPr>
        <w:tc>
          <w:tcPr>
            <w:tcW w:w="390" w:type="dxa"/>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hAns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spacing w:line="320" w:lineRule="exact"/>
              <w:jc w:val="center"/>
              <w:textAlignment w:val="bottom"/>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满意度</w:t>
            </w:r>
          </w:p>
          <w:p>
            <w:pPr>
              <w:widowControl/>
              <w:jc w:val="center"/>
              <w:textAlignment w:val="center"/>
              <w:rPr>
                <w:rFonts w:ascii="宋体" w:cs="宋体"/>
                <w:color w:val="000000"/>
                <w:sz w:val="24"/>
              </w:rPr>
            </w:pPr>
            <w:r>
              <w:rPr>
                <w:rFonts w:hint="eastAsia" w:ascii="仿宋_GB2312" w:hAnsi="仿宋_GB2312" w:cs="仿宋_GB2312"/>
                <w:color w:val="000000"/>
                <w:kern w:val="0"/>
                <w:sz w:val="28"/>
                <w:szCs w:val="28"/>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服务对象满意度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cs="宋体"/>
                <w:color w:val="000000"/>
                <w:sz w:val="24"/>
              </w:rPr>
            </w:pPr>
            <w:r>
              <w:rPr>
                <w:rFonts w:hint="eastAsia" w:eastAsia="仿宋_GB2312"/>
                <w:sz w:val="24"/>
              </w:rPr>
              <w:t>为游人创造了良好的游玩环境，为当地群众拓宽了增收途径。</w:t>
            </w:r>
          </w:p>
        </w:tc>
      </w:tr>
    </w:tbl>
    <w:p>
      <w:pPr>
        <w:pStyle w:val="7"/>
        <w:spacing w:before="93"/>
        <w:rPr>
          <w:rFonts w:hint="eastAsia"/>
          <w:lang w:val="en-US"/>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本部门按要求对2021年部门整体支出绩效评价情况开展自评，《统战部2021年部门整体支出绩效评价报告》见附件（附件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w:t>
      </w:r>
    </w:p>
    <w:p>
      <w:pPr>
        <w:spacing w:line="580" w:lineRule="exact"/>
        <w:ind w:firstLine="640" w:firstLineChars="200"/>
        <w:rPr>
          <w:rFonts w:ascii="仿宋_GB2312" w:eastAsia="仿宋_GB2312"/>
          <w:b/>
          <w:color w:val="auto"/>
          <w:sz w:val="32"/>
          <w:szCs w:val="32"/>
        </w:rPr>
      </w:pPr>
      <w:r>
        <w:rPr>
          <w:rFonts w:hint="eastAsia" w:ascii="仿宋_GB2312" w:hAnsi="仿宋_GB2312" w:eastAsia="仿宋_GB2312" w:cs="仿宋_GB2312"/>
          <w:sz w:val="32"/>
          <w:szCs w:val="32"/>
        </w:rPr>
        <w:t>本部门自行组织对漳扎镇甘海子婚纱摄影小镇精品旅游民宿和上四寨特色民宿阿布鲁孜原乡藏寨项目</w:t>
      </w:r>
      <w:r>
        <w:rPr>
          <w:rFonts w:hint="eastAsia" w:ascii="仿宋_GB2312" w:hAnsi="仿宋_GB2312" w:eastAsia="仿宋_GB2312" w:cs="仿宋_GB2312"/>
          <w:sz w:val="32"/>
          <w:szCs w:val="32"/>
          <w:lang w:eastAsia="zh-CN"/>
        </w:rPr>
        <w:t>等开展绩效评价，</w:t>
      </w:r>
      <w:r>
        <w:rPr>
          <w:rFonts w:hint="eastAsia" w:ascii="仿宋_GB2312" w:hAnsi="仿宋_GB2312" w:eastAsia="仿宋_GB2312" w:cs="仿宋_GB2312"/>
          <w:color w:val="auto"/>
          <w:sz w:val="32"/>
          <w:szCs w:val="32"/>
        </w:rPr>
        <w:t>《漳扎镇甘海子婚纱摄影小镇精品旅游民宿和上四寨特色民宿阿布鲁孜原乡藏寨项目2021年绩效评价报告》见附件（附件</w:t>
      </w:r>
      <w:r>
        <w:rPr>
          <w:rFonts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rPr>
        <w:t>）。</w:t>
      </w:r>
    </w:p>
    <w:p>
      <w:pPr>
        <w:widowControl/>
        <w:jc w:val="left"/>
        <w:rPr>
          <w:rFonts w:ascii="仿宋_GB2312" w:eastAsia="仿宋_GB2312"/>
          <w:b/>
          <w:color w:val="0000FF"/>
          <w:sz w:val="32"/>
          <w:szCs w:val="32"/>
        </w:rPr>
      </w:pPr>
      <w:r>
        <w:rPr>
          <w:rFonts w:ascii="仿宋_GB2312" w:eastAsia="仿宋_GB2312"/>
          <w:b/>
          <w:color w:val="0000FF"/>
          <w:sz w:val="32"/>
          <w:szCs w:val="32"/>
        </w:rPr>
        <w:br w:type="page"/>
      </w:r>
    </w:p>
    <w:p>
      <w:pPr>
        <w:numPr>
          <w:ilvl w:val="0"/>
          <w:numId w:val="2"/>
        </w:numPr>
        <w:spacing w:line="600" w:lineRule="exact"/>
        <w:ind w:firstLine="660" w:firstLineChars="150"/>
        <w:jc w:val="center"/>
        <w:outlineLvl w:val="0"/>
        <w:rPr>
          <w:rStyle w:val="27"/>
          <w:rFonts w:ascii="黑体" w:hAnsi="黑体" w:eastAsia="黑体"/>
          <w:b w:val="0"/>
        </w:rPr>
      </w:pPr>
      <w:bookmarkStart w:id="103" w:name="_Toc79163879"/>
      <w:bookmarkStart w:id="104" w:name="_Toc79163629"/>
      <w:bookmarkStart w:id="105" w:name="_Toc15396613"/>
      <w:bookmarkStart w:id="106" w:name="_Toc15377225"/>
      <w:r>
        <w:rPr>
          <w:rFonts w:hint="eastAsia" w:ascii="黑体" w:hAnsi="黑体" w:eastAsia="黑体"/>
          <w:color w:val="000000"/>
          <w:sz w:val="44"/>
          <w:szCs w:val="44"/>
        </w:rPr>
        <w:t>名</w:t>
      </w:r>
      <w:r>
        <w:rPr>
          <w:rStyle w:val="27"/>
          <w:rFonts w:hint="eastAsia" w:ascii="黑体" w:hAnsi="黑体" w:eastAsia="黑体"/>
          <w:b w:val="0"/>
        </w:rPr>
        <w:t>词解释</w:t>
      </w:r>
      <w:bookmarkEnd w:id="103"/>
      <w:bookmarkEnd w:id="104"/>
      <w:bookmarkEnd w:id="105"/>
      <w:bookmarkEnd w:id="106"/>
    </w:p>
    <w:p>
      <w:pPr>
        <w:spacing w:line="600" w:lineRule="exact"/>
        <w:jc w:val="left"/>
        <w:rPr>
          <w:rFonts w:ascii="宋体"/>
          <w:b/>
          <w:color w:val="000000"/>
          <w:sz w:val="44"/>
          <w:szCs w:val="44"/>
        </w:rPr>
      </w:pPr>
    </w:p>
    <w:p>
      <w:pPr>
        <w:pStyle w:val="37"/>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37"/>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年末结转和结余：指单位按有关规定结转到下年或以后年度继续使用的资金。</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3</w:t>
      </w:r>
      <w:r>
        <w:rPr>
          <w:rFonts w:ascii="仿宋_GB2312" w:eastAsia="仿宋_GB2312"/>
          <w:color w:val="000000"/>
          <w:sz w:val="32"/>
          <w:szCs w:val="32"/>
        </w:rPr>
        <w:t>.</w:t>
      </w:r>
      <w:r>
        <w:rPr>
          <w:rFonts w:hint="eastAsia" w:ascii="仿宋_GB2312" w:eastAsia="仿宋_GB2312"/>
          <w:color w:val="000000"/>
          <w:sz w:val="32"/>
          <w:szCs w:val="32"/>
        </w:rPr>
        <w:t>一般公共服务（201）统战事务（34）行政运行（01）：指统战事务行政运行。</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4</w:t>
      </w:r>
      <w:r>
        <w:rPr>
          <w:rFonts w:hint="eastAsia" w:ascii="仿宋_GB2312" w:hAnsi="Times New Roman" w:eastAsia="仿宋_GB2312" w:cs="Times New Roman"/>
          <w:color w:val="000000"/>
          <w:kern w:val="2"/>
          <w:sz w:val="32"/>
          <w:szCs w:val="32"/>
          <w:lang w:val="en-US" w:eastAsia="zh-CN" w:bidi="ar-SA"/>
        </w:rPr>
        <w:t>.一般公共服务</w:t>
      </w:r>
      <w:r>
        <w:rPr>
          <w:rFonts w:hint="default" w:ascii="仿宋_GB2312" w:hAnsi="Times New Roman" w:eastAsia="仿宋_GB2312" w:cs="Times New Roman"/>
          <w:color w:val="000000"/>
          <w:kern w:val="2"/>
          <w:sz w:val="32"/>
          <w:szCs w:val="32"/>
          <w:lang w:val="en-US" w:eastAsia="zh-CN" w:bidi="ar-SA"/>
        </w:rPr>
        <w:t>(201)</w:t>
      </w:r>
      <w:r>
        <w:rPr>
          <w:rFonts w:hint="eastAsia" w:ascii="仿宋_GB2312" w:hAnsi="Times New Roman" w:eastAsia="仿宋_GB2312" w:cs="Times New Roman"/>
          <w:color w:val="000000"/>
          <w:kern w:val="2"/>
          <w:sz w:val="32"/>
          <w:szCs w:val="32"/>
          <w:lang w:val="en-US" w:eastAsia="zh-CN" w:bidi="ar-SA"/>
        </w:rPr>
        <w:t>统战事务（34）行政运行（01）：指统战事务行政运作。</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5</w:t>
      </w:r>
      <w:r>
        <w:rPr>
          <w:rFonts w:hint="eastAsia" w:ascii="仿宋_GB2312" w:hAnsi="Times New Roman" w:eastAsia="仿宋_GB2312" w:cs="Times New Roman"/>
          <w:color w:val="000000"/>
          <w:kern w:val="2"/>
          <w:sz w:val="32"/>
          <w:szCs w:val="32"/>
          <w:lang w:val="en-US" w:eastAsia="zh-CN" w:bidi="ar-SA"/>
        </w:rPr>
        <w:t>.社会保障和就业支出（208）行政事业单位离退休（05）机关事业单位基本养老保险缴费支出（05）:指机关事业单位基本养老保险缴费支出。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6</w:t>
      </w:r>
      <w:r>
        <w:rPr>
          <w:rFonts w:hint="eastAsia" w:hAnsi="Times New Roman"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社会保障和就业支出（208）其他社会保障和就业支出（99）其他社会保障和就业支出（01）:指其他社会保障和就业支出。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7</w:t>
      </w:r>
      <w:r>
        <w:rPr>
          <w:rFonts w:hint="eastAsia" w:hAnsi="Times New Roman" w:cs="Times New Roman"/>
          <w:color w:val="000000"/>
          <w:kern w:val="2"/>
          <w:sz w:val="32"/>
          <w:szCs w:val="32"/>
          <w:lang w:val="en-US" w:eastAsia="zh-CN" w:bidi="ar-SA"/>
        </w:rPr>
        <w:t>.</w:t>
      </w:r>
      <w:r>
        <w:rPr>
          <w:rFonts w:hint="eastAsia" w:ascii="仿宋_GB2312" w:hAnsi="Times New Roman" w:eastAsia="仿宋_GB2312" w:cs="Times New Roman"/>
          <w:color w:val="000000"/>
          <w:kern w:val="2"/>
          <w:sz w:val="32"/>
          <w:szCs w:val="32"/>
          <w:lang w:val="en-US" w:eastAsia="zh-CN" w:bidi="ar-SA"/>
        </w:rPr>
        <w:t>卫生健康支出（210）公卫生健康管理事务（01）其他公卫生健康管理事务支出（99）:指其他卫生健康支出。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8</w:t>
      </w:r>
      <w:r>
        <w:rPr>
          <w:rFonts w:hint="eastAsia" w:ascii="仿宋_GB2312" w:hAnsi="Times New Roman" w:eastAsia="仿宋_GB2312" w:cs="Times New Roman"/>
          <w:color w:val="000000"/>
          <w:kern w:val="2"/>
          <w:sz w:val="32"/>
          <w:szCs w:val="32"/>
          <w:lang w:val="en-US" w:eastAsia="zh-CN" w:bidi="ar-SA"/>
        </w:rPr>
        <w:t>.卫生健康支出（210）公共卫生（04）其重大公共卫生专项（09）:指其他重大卫生事务支出。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cs="Times New Roman"/>
          <w:color w:val="000000"/>
          <w:kern w:val="2"/>
          <w:sz w:val="32"/>
          <w:szCs w:val="32"/>
          <w:lang w:val="en-US" w:eastAsia="zh-CN" w:bidi="ar-SA"/>
        </w:rPr>
        <w:t>9</w:t>
      </w:r>
      <w:r>
        <w:rPr>
          <w:rFonts w:hint="eastAsia" w:ascii="仿宋_GB2312" w:hAnsi="Times New Roman" w:eastAsia="仿宋_GB2312" w:cs="Times New Roman"/>
          <w:color w:val="000000"/>
          <w:kern w:val="2"/>
          <w:sz w:val="32"/>
          <w:szCs w:val="32"/>
          <w:lang w:val="en-US" w:eastAsia="zh-CN" w:bidi="ar-SA"/>
        </w:rPr>
        <w:t>.卫生健康支出（210）行政事业单位医疗（11）行政单位医疗支出（01）:指行政单位医疗。</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0</w:t>
      </w:r>
      <w:r>
        <w:rPr>
          <w:rFonts w:hint="eastAsia" w:ascii="仿宋_GB2312" w:hAnsi="Times New Roman" w:eastAsia="仿宋_GB2312" w:cs="Times New Roman"/>
          <w:color w:val="000000"/>
          <w:kern w:val="2"/>
          <w:sz w:val="32"/>
          <w:szCs w:val="32"/>
          <w:lang w:val="en-US" w:eastAsia="zh-CN" w:bidi="ar-SA"/>
        </w:rPr>
        <w:t>.卫生健康支出（210）行政事业单位医疗（11）公务员医疗补助支出（03）:指公务员医疗补助。</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1</w:t>
      </w:r>
      <w:r>
        <w:rPr>
          <w:rFonts w:hint="eastAsia" w:ascii="仿宋_GB2312" w:hAnsi="Times New Roman" w:eastAsia="仿宋_GB2312" w:cs="Times New Roman"/>
          <w:color w:val="000000"/>
          <w:kern w:val="2"/>
          <w:sz w:val="32"/>
          <w:szCs w:val="32"/>
          <w:lang w:val="en-US" w:eastAsia="zh-CN" w:bidi="ar-SA"/>
        </w:rPr>
        <w:t xml:space="preserve">.农林水支出（213）农业（01）其他农业支出（99）:指其他农林水支出。  </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2</w:t>
      </w:r>
      <w:r>
        <w:rPr>
          <w:rFonts w:hint="eastAsia" w:ascii="仿宋_GB2312" w:hAnsi="Times New Roman" w:eastAsia="仿宋_GB2312" w:cs="Times New Roman"/>
          <w:color w:val="000000"/>
          <w:kern w:val="2"/>
          <w:sz w:val="32"/>
          <w:szCs w:val="32"/>
          <w:lang w:val="en-US" w:eastAsia="zh-CN" w:bidi="ar-SA"/>
        </w:rPr>
        <w:t>.住房保障支出（221）住房改革支出（02）住房公积金（01）:指住房公积金。</w:t>
      </w:r>
    </w:p>
    <w:p>
      <w:pPr>
        <w:pStyle w:val="7"/>
        <w:ind w:firstLine="640" w:firstLineChars="200"/>
        <w:rPr>
          <w:rFonts w:hint="eastAsia" w:ascii="仿宋_GB2312" w:hAnsi="Times New Roman" w:eastAsia="仿宋_GB2312" w:cs="Times New Roman"/>
          <w:color w:val="auto"/>
          <w:kern w:val="2"/>
          <w:sz w:val="32"/>
          <w:szCs w:val="32"/>
          <w:lang w:val="en-US" w:eastAsia="zh-CN" w:bidi="ar-SA"/>
        </w:rPr>
      </w:pPr>
      <w:r>
        <w:rPr>
          <w:rFonts w:hint="eastAsia" w:ascii="仿宋_GB2312" w:hAnsi="Times New Roman" w:eastAsia="仿宋_GB2312" w:cs="Times New Roman"/>
          <w:color w:val="auto"/>
          <w:kern w:val="2"/>
          <w:sz w:val="32"/>
          <w:szCs w:val="32"/>
          <w:lang w:val="en-US" w:eastAsia="zh-CN" w:bidi="ar-SA"/>
        </w:rPr>
        <w:t>1</w:t>
      </w:r>
      <w:r>
        <w:rPr>
          <w:rFonts w:hint="eastAsia" w:cs="Times New Roman"/>
          <w:color w:val="auto"/>
          <w:kern w:val="2"/>
          <w:sz w:val="32"/>
          <w:szCs w:val="32"/>
          <w:lang w:val="en-US" w:eastAsia="zh-CN" w:bidi="ar-SA"/>
        </w:rPr>
        <w:t>3</w:t>
      </w:r>
      <w:r>
        <w:rPr>
          <w:rFonts w:hint="eastAsia" w:ascii="仿宋_GB2312" w:hAnsi="Times New Roman" w:eastAsia="仿宋_GB2312" w:cs="Times New Roman"/>
          <w:color w:val="auto"/>
          <w:kern w:val="2"/>
          <w:sz w:val="32"/>
          <w:szCs w:val="32"/>
          <w:lang w:val="en-US" w:eastAsia="zh-CN" w:bidi="ar-SA"/>
        </w:rPr>
        <w:t>.其他支出（229）其他支出（99）用于其他支出（01）:指其他支出。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4</w:t>
      </w:r>
      <w:r>
        <w:rPr>
          <w:rFonts w:hint="eastAsia" w:ascii="仿宋_GB2312" w:hAnsi="Times New Roman" w:eastAsia="仿宋_GB2312" w:cs="Times New Roman"/>
          <w:color w:val="000000"/>
          <w:kern w:val="2"/>
          <w:sz w:val="32"/>
          <w:szCs w:val="32"/>
          <w:lang w:val="en-US" w:eastAsia="zh-CN" w:bidi="ar-SA"/>
        </w:rPr>
        <w:t>.基本支出：指为保障机构正</w:t>
      </w:r>
      <w:bookmarkStart w:id="161" w:name="_GoBack"/>
      <w:bookmarkEnd w:id="161"/>
      <w:r>
        <w:rPr>
          <w:rFonts w:hint="eastAsia" w:ascii="仿宋_GB2312" w:hAnsi="Times New Roman" w:eastAsia="仿宋_GB2312" w:cs="Times New Roman"/>
          <w:color w:val="000000"/>
          <w:kern w:val="2"/>
          <w:sz w:val="32"/>
          <w:szCs w:val="32"/>
          <w:lang w:val="en-US" w:eastAsia="zh-CN" w:bidi="ar-SA"/>
        </w:rPr>
        <w:t>常运转、完成日常工作任务而发生的人员支出和公用支出。</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5</w:t>
      </w:r>
      <w:r>
        <w:rPr>
          <w:rFonts w:hint="eastAsia" w:ascii="仿宋_GB2312" w:hAnsi="Times New Roman" w:eastAsia="仿宋_GB2312" w:cs="Times New Roman"/>
          <w:color w:val="000000"/>
          <w:kern w:val="2"/>
          <w:sz w:val="32"/>
          <w:szCs w:val="32"/>
          <w:lang w:val="en-US" w:eastAsia="zh-CN" w:bidi="ar-SA"/>
        </w:rPr>
        <w:t xml:space="preserve">.项目支出：指在基本支出之外为完成特定行政任务和事业发展目标所发生的支出。 </w:t>
      </w:r>
    </w:p>
    <w:p>
      <w:pPr>
        <w:pStyle w:val="7"/>
        <w:ind w:firstLine="640" w:firstLineChars="200"/>
        <w:rPr>
          <w:rFonts w:hint="eastAsia" w:ascii="仿宋_GB2312" w:hAnsi="Times New Roman" w:eastAsia="仿宋_GB2312" w:cs="Times New Roman"/>
          <w:color w:val="000000"/>
          <w:kern w:val="2"/>
          <w:sz w:val="32"/>
          <w:szCs w:val="32"/>
          <w:lang w:val="en-US" w:eastAsia="zh-CN" w:bidi="ar-SA"/>
        </w:rPr>
      </w:pPr>
      <w:r>
        <w:rPr>
          <w:rFonts w:hint="eastAsia" w:ascii="仿宋_GB2312" w:hAnsi="Times New Roman" w:eastAsia="仿宋_GB2312" w:cs="Times New Roman"/>
          <w:color w:val="000000"/>
          <w:kern w:val="2"/>
          <w:sz w:val="32"/>
          <w:szCs w:val="32"/>
          <w:lang w:val="en-US" w:eastAsia="zh-CN" w:bidi="ar-SA"/>
        </w:rPr>
        <w:t>1</w:t>
      </w:r>
      <w:r>
        <w:rPr>
          <w:rFonts w:hint="eastAsia" w:cs="Times New Roman"/>
          <w:color w:val="000000"/>
          <w:kern w:val="2"/>
          <w:sz w:val="32"/>
          <w:szCs w:val="32"/>
          <w:lang w:val="en-US" w:eastAsia="zh-CN" w:bidi="ar-SA"/>
        </w:rPr>
        <w:t>6</w:t>
      </w:r>
      <w:r>
        <w:rPr>
          <w:rFonts w:hint="eastAsia" w:ascii="仿宋_GB2312" w:hAnsi="Times New Roman" w:eastAsia="仿宋_GB2312" w:cs="Times New Roman"/>
          <w:color w:val="000000"/>
          <w:kern w:val="2"/>
          <w:sz w:val="32"/>
          <w:szCs w:val="32"/>
          <w:lang w:val="en-US" w:eastAsia="zh-CN" w:bidi="ar-SA"/>
        </w:rPr>
        <w:t>.经营支出：指事业单位在专业业务活动及其辅助活动之外开展非独立核算经营活动发生的支出。</w:t>
      </w:r>
    </w:p>
    <w:p>
      <w:pPr>
        <w:pStyle w:val="37"/>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17.</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37"/>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18</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27"/>
          <w:rFonts w:ascii="黑体" w:hAnsi="黑体" w:eastAsia="黑体"/>
          <w:b w:val="0"/>
        </w:rPr>
      </w:pPr>
      <w:bookmarkStart w:id="107" w:name="_Toc15377226"/>
      <w:r>
        <w:rPr>
          <w:rFonts w:ascii="宋体"/>
          <w:b/>
          <w:color w:val="000000"/>
          <w:sz w:val="44"/>
          <w:szCs w:val="44"/>
        </w:rPr>
        <w:br w:type="page"/>
      </w:r>
      <w:bookmarkStart w:id="108" w:name="_Toc79163630"/>
      <w:bookmarkStart w:id="109" w:name="_Toc15396614"/>
      <w:bookmarkStart w:id="110" w:name="_Toc79163880"/>
      <w:r>
        <w:rPr>
          <w:rFonts w:hint="eastAsia" w:ascii="黑体" w:hAnsi="黑体" w:eastAsia="黑体"/>
          <w:color w:val="000000"/>
          <w:sz w:val="44"/>
          <w:szCs w:val="44"/>
        </w:rPr>
        <w:t>第</w:t>
      </w:r>
      <w:r>
        <w:rPr>
          <w:rStyle w:val="27"/>
          <w:rFonts w:hint="eastAsia" w:ascii="黑体" w:hAnsi="黑体" w:eastAsia="黑体"/>
          <w:b w:val="0"/>
        </w:rPr>
        <w:t>四部分附件</w:t>
      </w:r>
      <w:bookmarkEnd w:id="108"/>
      <w:bookmarkEnd w:id="109"/>
      <w:bookmarkEnd w:id="110"/>
    </w:p>
    <w:p>
      <w:pPr>
        <w:spacing w:line="600" w:lineRule="exact"/>
        <w:jc w:val="left"/>
        <w:outlineLvl w:val="0"/>
        <w:rPr>
          <w:rFonts w:ascii="方正小标宋简体" w:hAnsi="方正小标宋简体" w:eastAsia="方正小标宋简体" w:cs="方正小标宋简体"/>
          <w:sz w:val="32"/>
          <w:szCs w:val="32"/>
        </w:rPr>
      </w:pPr>
      <w:bookmarkStart w:id="111" w:name="_Toc79163631"/>
      <w:bookmarkStart w:id="112" w:name="_Toc79163881"/>
      <w:r>
        <w:rPr>
          <w:rFonts w:hint="eastAsia" w:ascii="黑体" w:hAnsi="黑体" w:eastAsia="黑体" w:cs="黑体"/>
          <w:sz w:val="32"/>
          <w:szCs w:val="32"/>
        </w:rPr>
        <w:t>附件</w:t>
      </w:r>
      <w:r>
        <w:rPr>
          <w:rFonts w:ascii="黑体" w:hAnsi="黑体" w:eastAsia="黑体" w:cs="黑体"/>
          <w:sz w:val="32"/>
          <w:szCs w:val="32"/>
        </w:rPr>
        <w:t>1</w:t>
      </w:r>
      <w:bookmarkEnd w:id="111"/>
      <w:bookmarkEnd w:id="112"/>
    </w:p>
    <w:p>
      <w:pPr>
        <w:spacing w:line="580" w:lineRule="exact"/>
        <w:jc w:val="center"/>
        <w:rPr>
          <w:rFonts w:ascii="方正小标宋简体" w:hAnsi="方正小标宋简体" w:eastAsia="方正小标宋简体" w:cs="方正小标宋简体"/>
          <w:sz w:val="44"/>
          <w:szCs w:val="44"/>
        </w:rPr>
      </w:pPr>
    </w:p>
    <w:p>
      <w:pPr>
        <w:spacing w:line="600" w:lineRule="exact"/>
        <w:jc w:val="both"/>
        <w:outlineLvl w:val="0"/>
        <w:rPr>
          <w:rFonts w:ascii="方正小标宋简体" w:hAnsi="黑体" w:eastAsia="方正小标宋简体" w:cs="黑体"/>
          <w:sz w:val="44"/>
          <w:szCs w:val="44"/>
        </w:rPr>
      </w:pPr>
      <w:bookmarkStart w:id="113" w:name="_Toc79163882"/>
      <w:bookmarkStart w:id="114" w:name="_Toc79163632"/>
      <w:r>
        <w:rPr>
          <w:rFonts w:hint="eastAsia" w:ascii="方正小标宋简体" w:hAnsi="黑体" w:eastAsia="方正小标宋简体" w:cs="黑体"/>
          <w:sz w:val="44"/>
          <w:szCs w:val="44"/>
          <w:lang w:eastAsia="zh-CN"/>
        </w:rPr>
        <w:t>统战部</w:t>
      </w:r>
      <w:r>
        <w:rPr>
          <w:rFonts w:hint="eastAsia" w:ascii="方正小标宋简体" w:hAnsi="黑体" w:eastAsia="方正小标宋简体" w:cs="黑体"/>
          <w:sz w:val="44"/>
          <w:szCs w:val="44"/>
        </w:rPr>
        <w:t>2021年部门整体支出绩效评价报告</w:t>
      </w:r>
      <w:bookmarkEnd w:id="113"/>
      <w:bookmarkEnd w:id="114"/>
    </w:p>
    <w:p>
      <w:pPr>
        <w:widowControl/>
        <w:adjustRightInd w:val="0"/>
        <w:snapToGrid w:val="0"/>
        <w:spacing w:line="580" w:lineRule="exact"/>
        <w:ind w:firstLine="640" w:firstLineChars="200"/>
        <w:contextualSpacing/>
        <w:jc w:val="left"/>
        <w:rPr>
          <w:rFonts w:hint="eastAsia"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rPr>
        <w:t>一、</w:t>
      </w:r>
      <w:r>
        <w:rPr>
          <w:rFonts w:hint="eastAsia" w:ascii="黑体" w:hAnsi="黑体" w:eastAsia="黑体" w:cs="黑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color w:val="000000"/>
          <w:kern w:val="0"/>
          <w:sz w:val="32"/>
          <w:szCs w:val="32"/>
          <w:shd w:val="clear" w:color="auto" w:fill="FFFFFF"/>
          <w:lang w:val="zh-CN"/>
        </w:rPr>
        <w:t>2021年单位机构数为1个。内设5个职能股室：综合股、民宗藏胞股、党外工作股、非公经济股、港澳台侨与新阶人士股。 核定公务员编制14名，行政工勤1名。</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eastAsia" w:ascii="Times New Roman" w:hAnsi="Times New Roman" w:eastAsia="方正仿宋_GBK" w:cs="Times New Roman"/>
          <w:color w:val="000000"/>
          <w:kern w:val="0"/>
          <w:sz w:val="32"/>
          <w:szCs w:val="32"/>
          <w:shd w:val="clear" w:color="auto" w:fill="FFFFFF"/>
          <w:lang w:val="zh-CN"/>
        </w:rPr>
        <w:t>（二）</w:t>
      </w:r>
      <w:r>
        <w:rPr>
          <w:rFonts w:hint="default" w:ascii="Times New Roman" w:hAnsi="Times New Roman" w:eastAsia="方正仿宋_GBK" w:cs="Times New Roman"/>
          <w:color w:val="000000"/>
          <w:kern w:val="0"/>
          <w:sz w:val="32"/>
          <w:szCs w:val="32"/>
          <w:shd w:val="clear" w:color="auto" w:fill="FFFFFF"/>
          <w:lang w:val="zh-CN"/>
        </w:rPr>
        <w:t>机构职能</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贯彻落实加强党对统一战线工作集中统一领导的要求，发挥县委在统战工作方面的参谋机构、组织协调机构、具体执行机构、督促检查机构作用，了解情况、掌握政策、协调关系、安排人事、增进共识、加强团结，协调统一战线各方面关系，组织落实党中央、省委、州委和县委关于统一战线工作重大决策部署，巩固壮大最广泛的统一战线。</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w:t>
      </w:r>
      <w:r>
        <w:rPr>
          <w:rFonts w:hint="eastAsia" w:ascii="Times New Roman" w:hAnsi="Times New Roman" w:eastAsia="方正仿宋_GBK" w:cs="Times New Roman"/>
          <w:color w:val="000000"/>
          <w:kern w:val="0"/>
          <w:sz w:val="32"/>
          <w:szCs w:val="32"/>
          <w:shd w:val="clear" w:color="auto" w:fill="FFFFFF"/>
          <w:lang w:val="zh-CN"/>
        </w:rPr>
        <w:t>三</w:t>
      </w:r>
      <w:r>
        <w:rPr>
          <w:rFonts w:hint="default" w:ascii="Times New Roman" w:hAnsi="Times New Roman" w:eastAsia="方正仿宋_GBK" w:cs="Times New Roman"/>
          <w:color w:val="000000"/>
          <w:kern w:val="0"/>
          <w:sz w:val="32"/>
          <w:szCs w:val="32"/>
          <w:shd w:val="clear" w:color="auto" w:fill="FFFFFF"/>
          <w:lang w:val="zh-CN"/>
        </w:rPr>
        <w:t>）人员概况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2021年财政供养人员15人，全额供给人员和公用经费15人，全额供给基本工资15人，定额定向补助经费15人。</w:t>
      </w:r>
    </w:p>
    <w:p>
      <w:pPr>
        <w:widowControl/>
        <w:adjustRightInd w:val="0"/>
        <w:snapToGrid w:val="0"/>
        <w:spacing w:line="580" w:lineRule="exact"/>
        <w:ind w:firstLine="640" w:firstLineChars="200"/>
        <w:contextualSpacing/>
        <w:jc w:val="left"/>
        <w:rPr>
          <w:rFonts w:hint="default"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二</w:t>
      </w:r>
      <w:r>
        <w:rPr>
          <w:rFonts w:hint="default" w:ascii="黑体" w:hAnsi="黑体" w:eastAsia="黑体" w:cs="黑体"/>
          <w:color w:val="000000"/>
          <w:kern w:val="0"/>
          <w:sz w:val="32"/>
          <w:szCs w:val="32"/>
          <w:shd w:val="clear" w:color="auto" w:fill="FFFFFF"/>
          <w:lang w:val="zh-CN"/>
        </w:rPr>
        <w:t>、部门财政资金收支情况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按照综合预算的原则，县委统战部所有收入和支出均纳入部门预算管理。收入包括：一般公共预算拨款收入；支出包括：一般公共服务支出、社会保障和就业支出、医疗卫生与计划生育支出、住房保障支出。县委统战部2021年收支总预算324.83万元。</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县委统战部2021年收入预算324.83万元，其中：上年结转28万元，占</w:t>
      </w:r>
      <w:r>
        <w:rPr>
          <w:rFonts w:hint="default" w:ascii="Times New Roman" w:hAnsi="Times New Roman" w:eastAsia="方正仿宋_GBK" w:cs="Times New Roman"/>
          <w:color w:val="000000"/>
          <w:kern w:val="0"/>
          <w:sz w:val="32"/>
          <w:szCs w:val="32"/>
          <w:shd w:val="clear" w:color="auto" w:fill="FFFFFF"/>
        </w:rPr>
        <w:t>8.62</w:t>
      </w:r>
      <w:r>
        <w:rPr>
          <w:rFonts w:hint="default" w:ascii="Times New Roman" w:hAnsi="Times New Roman" w:eastAsia="方正仿宋_GBK" w:cs="Times New Roman"/>
          <w:color w:val="000000"/>
          <w:kern w:val="0"/>
          <w:sz w:val="32"/>
          <w:szCs w:val="32"/>
          <w:shd w:val="clear" w:color="auto" w:fill="FFFFFF"/>
          <w:lang w:val="zh-CN"/>
        </w:rPr>
        <w:t>%；一般公共预算拨款收入324.83万元万元，占100%。</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（二）部门财政资金支出情况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县委统战部2021年支出预算631.59万元，其中：基本支出357.15万元，占</w:t>
      </w:r>
      <w:r>
        <w:rPr>
          <w:rFonts w:hint="default" w:ascii="Times New Roman" w:hAnsi="Times New Roman" w:eastAsia="方正仿宋_GBK" w:cs="Times New Roman"/>
          <w:color w:val="000000"/>
          <w:kern w:val="0"/>
          <w:sz w:val="32"/>
          <w:szCs w:val="32"/>
          <w:shd w:val="clear" w:color="auto" w:fill="FFFFFF"/>
        </w:rPr>
        <w:t>56.55</w:t>
      </w:r>
      <w:r>
        <w:rPr>
          <w:rFonts w:hint="default" w:ascii="Times New Roman" w:hAnsi="Times New Roman" w:eastAsia="方正仿宋_GBK" w:cs="Times New Roman"/>
          <w:color w:val="000000"/>
          <w:kern w:val="0"/>
          <w:sz w:val="32"/>
          <w:szCs w:val="32"/>
          <w:shd w:val="clear" w:color="auto" w:fill="FFFFFF"/>
          <w:lang w:val="zh-CN"/>
        </w:rPr>
        <w:t>%；项目支出274.44万元，占</w:t>
      </w:r>
      <w:r>
        <w:rPr>
          <w:rFonts w:hint="default" w:ascii="Times New Roman" w:hAnsi="Times New Roman" w:eastAsia="方正仿宋_GBK" w:cs="Times New Roman"/>
          <w:color w:val="000000"/>
          <w:kern w:val="0"/>
          <w:sz w:val="32"/>
          <w:szCs w:val="32"/>
          <w:shd w:val="clear" w:color="auto" w:fill="FFFFFF"/>
        </w:rPr>
        <w:t>43.45</w:t>
      </w:r>
      <w:r>
        <w:rPr>
          <w:rFonts w:hint="default" w:ascii="Times New Roman" w:hAnsi="Times New Roman" w:eastAsia="方正仿宋_GBK" w:cs="Times New Roman"/>
          <w:color w:val="000000"/>
          <w:kern w:val="0"/>
          <w:sz w:val="32"/>
          <w:szCs w:val="32"/>
          <w:shd w:val="clear" w:color="auto" w:fill="FFFFFF"/>
          <w:lang w:val="zh-CN"/>
        </w:rPr>
        <w:t>%。基支出主要包括：基本工资、津贴补贴、奖金、绩效工资、机关事业单位基本养老保险缴费、城镇职工基本医疗保险缴费、公务员医疗补助缴费、其他社会保障缴费、住房公积金支出；公用经费支出，主要包括：办公费、印刷费、水费、电费、邮电费、取暖费、差旅费、会议费、培训费、公务接待费、工会经费、福利费、公务用车运行维护费、其他商品和服务支出、专用材料费、维修（护）费、劳务费、伙食补助、生活补助费等。项目支出包括：寺庙办公费和寺庙生活补助，特情费、慰问费等。</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三</w:t>
      </w:r>
      <w:r>
        <w:rPr>
          <w:rFonts w:hint="default" w:ascii="黑体" w:hAnsi="黑体" w:eastAsia="黑体" w:cs="黑体"/>
          <w:color w:val="000000"/>
          <w:kern w:val="0"/>
          <w:sz w:val="32"/>
          <w:szCs w:val="32"/>
          <w:shd w:val="clear" w:color="auto" w:fill="FFFFFF"/>
          <w:lang w:val="zh-CN"/>
        </w:rPr>
        <w:t>、部门整体预算绩效管理情况</w:t>
      </w:r>
      <w:r>
        <w:rPr>
          <w:rFonts w:hint="default" w:ascii="Times New Roman" w:hAnsi="Times New Roman" w:eastAsia="方正仿宋_GBK" w:cs="Times New Roman"/>
          <w:color w:val="000000"/>
          <w:kern w:val="0"/>
          <w:sz w:val="32"/>
          <w:szCs w:val="32"/>
          <w:shd w:val="clear" w:color="auto" w:fill="FFFFFF"/>
          <w:lang w:val="zh-CN"/>
        </w:rPr>
        <w:t>（根据适用指标体系进行调整，涉及到有专项预算的部门，专项预算项目自评报告根据要求另行单独报送）</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（一）部门预算项目绩效管理。</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我单位预算管理方面较好，本着厉行节俭、只减不增的原则，严格执行“三公”经费标准和审批制度与程序，公用经费、三公经费都得到了有效控制。</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（二）结果应用情况。</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本单位履职效益情况良好，对各项支出严格按照预算额度进行控制，本年预算配置方面，财政供养人员控制在预算编制以内，编制内在职人员控制率小于100%，“三公经费”控制较好。建立健全了财政收支管理、预算管理、资产管理制度等一系列内部控制制度，制度执行总体有效。</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（二）自评质量</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根据评价指标体系评分。</w:t>
      </w:r>
    </w:p>
    <w:p>
      <w:pPr>
        <w:widowControl/>
        <w:adjustRightInd w:val="0"/>
        <w:snapToGrid w:val="0"/>
        <w:spacing w:line="580" w:lineRule="exact"/>
        <w:ind w:firstLine="640" w:firstLineChars="200"/>
        <w:contextualSpacing/>
        <w:jc w:val="left"/>
        <w:rPr>
          <w:rFonts w:hint="default" w:ascii="黑体" w:hAnsi="黑体" w:eastAsia="黑体" w:cs="黑体"/>
          <w:color w:val="000000"/>
          <w:kern w:val="0"/>
          <w:sz w:val="32"/>
          <w:szCs w:val="32"/>
          <w:shd w:val="clear" w:color="auto" w:fill="FFFFFF"/>
          <w:lang w:val="zh-CN"/>
        </w:rPr>
      </w:pPr>
      <w:r>
        <w:rPr>
          <w:rFonts w:hint="eastAsia" w:ascii="黑体" w:hAnsi="黑体" w:eastAsia="黑体" w:cs="黑体"/>
          <w:color w:val="000000"/>
          <w:kern w:val="0"/>
          <w:sz w:val="32"/>
          <w:szCs w:val="32"/>
          <w:shd w:val="clear" w:color="auto" w:fill="FFFFFF"/>
          <w:lang w:val="zh-CN"/>
        </w:rPr>
        <w:t>四</w:t>
      </w:r>
      <w:r>
        <w:rPr>
          <w:rFonts w:hint="default" w:ascii="黑体" w:hAnsi="黑体" w:eastAsia="黑体" w:cs="黑体"/>
          <w:color w:val="000000"/>
          <w:kern w:val="0"/>
          <w:sz w:val="32"/>
          <w:szCs w:val="32"/>
          <w:shd w:val="clear" w:color="auto" w:fill="FFFFFF"/>
          <w:lang w:val="zh-CN"/>
        </w:rPr>
        <w:t>、评价结论及建议</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（一）评价结论</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根据部门整体支出绩效评价指标体系，我单位202</w:t>
      </w:r>
      <w:r>
        <w:rPr>
          <w:rFonts w:hint="default" w:ascii="Times New Roman" w:hAnsi="Times New Roman" w:eastAsia="方正仿宋_GBK" w:cs="Times New Roman"/>
          <w:color w:val="000000"/>
          <w:kern w:val="0"/>
          <w:sz w:val="32"/>
          <w:szCs w:val="32"/>
          <w:shd w:val="clear" w:color="auto" w:fill="FFFFFF"/>
        </w:rPr>
        <w:t>2</w:t>
      </w:r>
      <w:r>
        <w:rPr>
          <w:rFonts w:hint="default" w:ascii="Times New Roman" w:hAnsi="Times New Roman" w:eastAsia="方正仿宋_GBK" w:cs="Times New Roman"/>
          <w:color w:val="000000"/>
          <w:kern w:val="0"/>
          <w:sz w:val="32"/>
          <w:szCs w:val="32"/>
          <w:shd w:val="clear" w:color="auto" w:fill="FFFFFF"/>
          <w:lang w:val="zh-CN"/>
        </w:rPr>
        <w:t>年度评分为98分。</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（二）存在的问题</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通过前述对我单位</w:t>
      </w:r>
      <w:r>
        <w:rPr>
          <w:rFonts w:hint="default" w:ascii="Times New Roman" w:hAnsi="Times New Roman" w:eastAsia="方正仿宋_GBK" w:cs="Times New Roman"/>
          <w:color w:val="000000"/>
          <w:kern w:val="0"/>
          <w:sz w:val="32"/>
          <w:szCs w:val="32"/>
          <w:shd w:val="clear" w:color="auto" w:fill="FFFFFF"/>
        </w:rPr>
        <w:t>2022年</w:t>
      </w:r>
      <w:r>
        <w:rPr>
          <w:rFonts w:hint="default" w:ascii="Times New Roman" w:hAnsi="Times New Roman" w:eastAsia="方正仿宋_GBK" w:cs="Times New Roman"/>
          <w:color w:val="000000"/>
          <w:kern w:val="0"/>
          <w:sz w:val="32"/>
          <w:szCs w:val="32"/>
          <w:shd w:val="clear" w:color="auto" w:fill="FFFFFF"/>
          <w:lang w:val="zh-CN"/>
        </w:rPr>
        <w:t>支出情况的分析，反映出目前在整体支出的预算编制、执行和管理过程中，依然存在一些问题和不足：一是公务卡执行力度不够。二是机关管理有待加强。部门预算管理有待进一步加强，厉行节约有待进一步落实。</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lang w:val="zh-CN"/>
        </w:rPr>
        <w:t>（三）改进建议</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lang w:val="zh-CN"/>
        </w:rPr>
      </w:pPr>
      <w:r>
        <w:rPr>
          <w:rFonts w:hint="default" w:ascii="Times New Roman" w:hAnsi="Times New Roman" w:eastAsia="方正仿宋_GBK" w:cs="Times New Roman"/>
          <w:color w:val="000000"/>
          <w:kern w:val="0"/>
          <w:sz w:val="32"/>
          <w:szCs w:val="32"/>
          <w:shd w:val="clear" w:color="auto" w:fill="FFFFFF"/>
        </w:rPr>
        <w:t>一是</w:t>
      </w:r>
      <w:r>
        <w:rPr>
          <w:rFonts w:hint="default" w:ascii="Times New Roman" w:hAnsi="Times New Roman" w:eastAsia="方正仿宋_GBK" w:cs="Times New Roman"/>
          <w:color w:val="000000"/>
          <w:kern w:val="0"/>
          <w:sz w:val="32"/>
          <w:szCs w:val="32"/>
          <w:shd w:val="clear" w:color="auto" w:fill="FFFFFF"/>
          <w:lang w:val="zh-CN"/>
        </w:rPr>
        <w:t>加强公务卡管理，及时结算费用，提高公务卡使用率。</w:t>
      </w:r>
    </w:p>
    <w:p>
      <w:pPr>
        <w:widowControl/>
        <w:adjustRightInd w:val="0"/>
        <w:snapToGrid w:val="0"/>
        <w:spacing w:line="580" w:lineRule="exact"/>
        <w:ind w:firstLine="640" w:firstLineChars="200"/>
        <w:contextualSpacing/>
        <w:jc w:val="left"/>
        <w:rPr>
          <w:rFonts w:hint="default" w:ascii="Times New Roman" w:hAnsi="Times New Roman" w:eastAsia="方正仿宋_GBK" w:cs="Times New Roman"/>
          <w:color w:val="000000"/>
          <w:kern w:val="0"/>
          <w:sz w:val="32"/>
          <w:szCs w:val="32"/>
          <w:shd w:val="clear" w:color="auto" w:fill="FFFFFF"/>
        </w:rPr>
      </w:pPr>
      <w:r>
        <w:rPr>
          <w:rFonts w:hint="default" w:ascii="Times New Roman" w:hAnsi="Times New Roman" w:eastAsia="方正仿宋_GBK" w:cs="Times New Roman"/>
          <w:color w:val="000000"/>
          <w:kern w:val="0"/>
          <w:sz w:val="32"/>
          <w:szCs w:val="32"/>
          <w:shd w:val="clear" w:color="auto" w:fill="FFFFFF"/>
        </w:rPr>
        <w:t>二是</w:t>
      </w:r>
      <w:r>
        <w:rPr>
          <w:rFonts w:hint="default" w:ascii="Times New Roman" w:hAnsi="Times New Roman" w:eastAsia="方正仿宋_GBK" w:cs="Times New Roman"/>
          <w:color w:val="000000"/>
          <w:kern w:val="0"/>
          <w:sz w:val="32"/>
          <w:szCs w:val="32"/>
          <w:shd w:val="clear" w:color="auto" w:fill="FFFFFF"/>
          <w:lang w:val="zh-CN"/>
        </w:rPr>
        <w:t>加强财务管理，严格财务审核，提高财务的精细化管理。在费用报账支付时，按照预算规定的费用项目和用途进行资金使用的审核，在预算金额内严格控制费用的支出，控制超支现象的发生；严格按照实际的费用支出内容进行财务核算，确保财务核算的真实、及时、准确、完整。</w:t>
      </w:r>
    </w:p>
    <w:p>
      <w:pPr>
        <w:spacing w:line="580" w:lineRule="exact"/>
        <w:ind w:firstLine="640" w:firstLineChars="200"/>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pStyle w:val="2"/>
        <w:rPr>
          <w:rFonts w:ascii="仿宋_GB2312" w:hAnsi="仿宋_GB2312" w:eastAsia="仿宋_GB2312" w:cs="仿宋_GB2312"/>
          <w:sz w:val="32"/>
          <w:szCs w:val="32"/>
        </w:rPr>
      </w:pPr>
    </w:p>
    <w:p>
      <w:pPr>
        <w:spacing w:line="600" w:lineRule="exact"/>
        <w:jc w:val="left"/>
        <w:outlineLvl w:val="0"/>
        <w:rPr>
          <w:rFonts w:ascii="黑体" w:hAnsi="黑体" w:eastAsia="黑体" w:cs="黑体"/>
          <w:sz w:val="32"/>
          <w:szCs w:val="32"/>
        </w:rPr>
      </w:pPr>
      <w:bookmarkStart w:id="115" w:name="_Toc79163633"/>
      <w:bookmarkStart w:id="116" w:name="_Toc79163883"/>
      <w:r>
        <w:rPr>
          <w:rFonts w:hint="eastAsia" w:ascii="黑体" w:hAnsi="黑体" w:eastAsia="黑体" w:cs="黑体"/>
          <w:sz w:val="32"/>
          <w:szCs w:val="32"/>
        </w:rPr>
        <w:t>附件</w:t>
      </w:r>
      <w:r>
        <w:rPr>
          <w:rFonts w:ascii="黑体" w:hAnsi="黑体" w:eastAsia="黑体" w:cs="黑体"/>
          <w:sz w:val="32"/>
          <w:szCs w:val="32"/>
        </w:rPr>
        <w:t>2</w:t>
      </w:r>
      <w:bookmarkEnd w:id="115"/>
      <w:bookmarkEnd w:id="116"/>
    </w:p>
    <w:p>
      <w:pPr>
        <w:pStyle w:val="2"/>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2021年</w:t>
      </w:r>
      <w:r>
        <w:rPr>
          <w:rFonts w:hint="eastAsia" w:ascii="方正小标宋简体" w:hAnsi="方正小标宋简体" w:eastAsia="方正小标宋简体" w:cs="方正小标宋简体"/>
          <w:sz w:val="32"/>
          <w:szCs w:val="32"/>
          <w:lang w:eastAsia="zh-CN"/>
        </w:rPr>
        <w:t>专项预算项目支出绩效自评</w:t>
      </w:r>
    </w:p>
    <w:p>
      <w:pPr>
        <w:pStyle w:val="2"/>
        <w:jc w:val="center"/>
        <w:rPr>
          <w:rFonts w:hint="eastAsia" w:ascii="方正小标宋简体" w:hAnsi="方正小标宋简体" w:eastAsia="方正小标宋简体" w:cs="方正小标宋简体"/>
          <w:sz w:val="32"/>
          <w:szCs w:val="32"/>
          <w:lang w:eastAsia="zh-CN"/>
        </w:rPr>
      </w:pPr>
      <w:r>
        <w:rPr>
          <w:rFonts w:hint="eastAsia" w:ascii="方正小标宋简体" w:hAnsi="方正小标宋简体" w:eastAsia="方正小标宋简体" w:cs="方正小标宋简体"/>
          <w:sz w:val="32"/>
          <w:szCs w:val="32"/>
          <w:lang w:val="en-US" w:eastAsia="zh-CN"/>
        </w:rPr>
        <w:t>(四川海外联谊会定向捐赠漳扎镇甘海子婚纱摄影小镇精品旅游民宿和上四寨特色民宿阿布鲁孜原乡藏寨项目资金和四川省光彩事业促进社会自主九寨沟县灾后重建资金)</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eastAsia="zh-CN"/>
        </w:rPr>
        <w:t>一、</w:t>
      </w:r>
      <w:r>
        <w:rPr>
          <w:rFonts w:hint="eastAsia" w:ascii="Times New Roman" w:hAnsi="Times New Roman" w:eastAsia="方正仿宋_GBK" w:cs="Times New Roman"/>
          <w:sz w:val="32"/>
          <w:szCs w:val="32"/>
          <w:lang w:val="zh-CN" w:eastAsia="zh-CN"/>
        </w:rPr>
        <w:t>项目概况</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1.甘海子婚纱摄影小镇精品旅游民宿项目位于九寨沟县漳扎镇东部，紧邻九寨沟甘海子生态旅游文化区，项目覆盖23户农户、106人。按各幢、各区域业态，注入爱情文化，诗情禅意文化，设计业态进行院落建设。改造现有公共区域，提升公共区域服务功能。项目估算投资2004万元，其中四川统一战线捐建资金补助276万元，社会其他资金1728万元（企业和农户自筹）。276万元捐建资金，用于23幢民宿打造，投入形成的固定资产属于农户所有。</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2.上四寨特色民宿阿布鲁孜原乡藏寨项目地位九寨沟景区12公里的上四寨村，该村辖3个村民小组，全村258户、863人。项目着力上四寨特色民宿和传统村落文化研究，选择上四寨二组扎雄藏寨民宿14户进行连片打造，覆盖52人。统一业态规划，对各幢房屋按照功能定位进行精细化打造，布局为传统银饰手工制作体验区、藏族杂酒制作体验区、唐卡绘制作体验区、藏族山歌艺术体验区等。项目投资估算758.6万元，其中四川统一战线捐建资补助222.1592万元，其他资金503万元（企业和农户自筹），222.1592万元捐建资金对14幢民宿功能、风貌、业进行修复、提升、改造，投入形成的固定资产属农户所有。</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（一）项目资金申报及批复情况。</w:t>
      </w:r>
      <w:r>
        <w:rPr>
          <w:rFonts w:hint="eastAsia" w:ascii="Times New Roman" w:hAnsi="Times New Roman" w:eastAsia="方正仿宋_GBK" w:cs="Times New Roman"/>
          <w:sz w:val="32"/>
          <w:szCs w:val="32"/>
          <w:lang w:eastAsia="zh-CN"/>
        </w:rPr>
        <w:t>四川海外联谊会定向捐赠漳扎镇甘海子婚纱摄影小镇精品旅游民宿和上四寨特色民宿阿布鲁孜原乡藏寨项目</w:t>
      </w:r>
      <w:r>
        <w:rPr>
          <w:rFonts w:hint="eastAsia" w:ascii="Times New Roman" w:hAnsi="Times New Roman" w:eastAsia="方正仿宋_GBK" w:cs="Times New Roman"/>
          <w:sz w:val="32"/>
          <w:szCs w:val="32"/>
          <w:lang w:val="zh-CN" w:eastAsia="zh-CN"/>
        </w:rPr>
        <w:t>资金使用与申报、批复相符合，符合资金管理办法等相关规定。</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（二）项目绩效目标。</w:t>
      </w:r>
      <w:r>
        <w:rPr>
          <w:rFonts w:hint="eastAsia" w:ascii="Times New Roman" w:hAnsi="Times New Roman" w:eastAsia="方正仿宋_GBK" w:cs="Times New Roman"/>
          <w:sz w:val="32"/>
          <w:szCs w:val="32"/>
          <w:lang w:eastAsia="zh-CN"/>
        </w:rPr>
        <w:t>通</w:t>
      </w:r>
      <w:r>
        <w:rPr>
          <w:rFonts w:hint="eastAsia" w:ascii="Times New Roman" w:hAnsi="Times New Roman" w:eastAsia="方正仿宋_GBK" w:cs="Times New Roman"/>
          <w:sz w:val="32"/>
          <w:szCs w:val="32"/>
          <w:lang w:val="zh-CN" w:eastAsia="zh-CN"/>
        </w:rPr>
        <w:t>过对项目的建设背景的调查研究和社会效益的评价，对项目的建设必要性、经济合理性、技术可行性及实施可能性提出综合性论证报告，供有关部门决策参考，并完成本项目的建设。</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（三）项目资金申报相符性。目申报内容资金于建设验收内容相一致，合理可行等。</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二、项目实施及管理情况</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（一）资金计划、到位及使用情况。</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w:t>
      </w:r>
      <w:r>
        <w:rPr>
          <w:rFonts w:hint="eastAsia" w:ascii="Times New Roman" w:hAnsi="Times New Roman" w:eastAsia="方正仿宋_GBK" w:cs="Times New Roman"/>
          <w:sz w:val="32"/>
          <w:szCs w:val="32"/>
          <w:lang w:eastAsia="zh-CN"/>
        </w:rPr>
        <w:t>1</w:t>
      </w:r>
      <w:r>
        <w:rPr>
          <w:rFonts w:hint="eastAsia" w:ascii="Times New Roman" w:hAnsi="Times New Roman" w:eastAsia="方正仿宋_GBK" w:cs="Times New Roman"/>
          <w:sz w:val="32"/>
          <w:szCs w:val="32"/>
          <w:lang w:val="zh-CN" w:eastAsia="zh-CN"/>
        </w:rPr>
        <w:t>）资金计划情况。一是在项目申报方面，该项目申报《项目申报指南》相关要求。申报项目符合“四个重在”指导思想和当年省领导小组确定投入方向等。二是在项目实施点进行了公示，对已完成项目在项目实施点都按照省办《关于进一步规范和完善项目公示牌的通知》要求树立了公示牌。三是严格按有关规定到位和使用项目资金。配套资金及时到位，切实按规定拨付项目资金，报账手续齐全、票据规范，实行县级财政报账制和专账核算。四是项目严格按照有关规定启动和实施。实施方案细化，在建设期内完成项目建设，招投标合规，并按时上报相关资料。五是在项目实施、监督方面严格落实项目法人责任制，签订项目责任书，执行项目下达上报备案制和项目实名备案制，监督检查涉及面到位，问题整改及时，项目辅导有力</w:t>
      </w:r>
      <w:r>
        <w:rPr>
          <w:rFonts w:hint="eastAsia" w:ascii="Times New Roman" w:hAnsi="Times New Roman" w:eastAsia="方正仿宋_GBK" w:cs="Times New Roman"/>
          <w:sz w:val="32"/>
          <w:szCs w:val="32"/>
          <w:lang w:eastAsia="zh-CN"/>
        </w:rPr>
        <w:t>。</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w:t>
      </w:r>
      <w:r>
        <w:rPr>
          <w:rFonts w:hint="eastAsia" w:ascii="Times New Roman" w:hAnsi="Times New Roman" w:eastAsia="方正仿宋_GBK" w:cs="Times New Roman"/>
          <w:sz w:val="32"/>
          <w:szCs w:val="32"/>
          <w:lang w:eastAsia="zh-CN"/>
        </w:rPr>
        <w:t>2</w:t>
      </w:r>
      <w:r>
        <w:rPr>
          <w:rFonts w:hint="eastAsia" w:ascii="Times New Roman" w:hAnsi="Times New Roman" w:eastAsia="方正仿宋_GBK" w:cs="Times New Roman"/>
          <w:sz w:val="32"/>
          <w:szCs w:val="32"/>
          <w:lang w:val="zh-CN" w:eastAsia="zh-CN"/>
        </w:rPr>
        <w:t>）资金使用情况。</w:t>
      </w:r>
      <w:r>
        <w:rPr>
          <w:rFonts w:hint="eastAsia" w:ascii="Times New Roman" w:hAnsi="Times New Roman" w:eastAsia="方正仿宋_GBK" w:cs="Times New Roman"/>
          <w:sz w:val="32"/>
          <w:szCs w:val="32"/>
          <w:lang w:eastAsia="zh-CN"/>
        </w:rPr>
        <w:t>四川海外联谊会定向捐赠漳扎镇甘海子婚纱摄影小镇精品旅游民宿和上四寨特色民宿阿布鲁孜原乡藏寨项目</w:t>
      </w:r>
      <w:r>
        <w:rPr>
          <w:rFonts w:hint="eastAsia" w:ascii="Times New Roman" w:hAnsi="Times New Roman" w:eastAsia="方正仿宋_GBK" w:cs="Times New Roman"/>
          <w:sz w:val="32"/>
          <w:szCs w:val="32"/>
          <w:lang w:val="zh-CN" w:eastAsia="zh-CN"/>
        </w:rPr>
        <w:t>，该项目已完成总工程量的100%，截止</w:t>
      </w:r>
      <w:r>
        <w:rPr>
          <w:rFonts w:hint="eastAsia" w:ascii="Times New Roman" w:hAnsi="Times New Roman" w:eastAsia="方正仿宋_GBK" w:cs="Times New Roman"/>
          <w:sz w:val="32"/>
          <w:szCs w:val="32"/>
          <w:lang w:eastAsia="zh-CN"/>
        </w:rPr>
        <w:t>2021年</w:t>
      </w:r>
      <w:r>
        <w:rPr>
          <w:rFonts w:hint="eastAsia" w:ascii="Times New Roman" w:hAnsi="Times New Roman" w:eastAsia="方正仿宋_GBK" w:cs="Times New Roman"/>
          <w:sz w:val="32"/>
          <w:szCs w:val="32"/>
          <w:lang w:val="zh-CN" w:eastAsia="zh-CN"/>
        </w:rPr>
        <w:t>已拨付</w:t>
      </w:r>
      <w:r>
        <w:rPr>
          <w:rFonts w:hint="eastAsia" w:ascii="Times New Roman" w:hAnsi="Times New Roman" w:eastAsia="方正仿宋_GBK" w:cs="Times New Roman"/>
          <w:sz w:val="32"/>
          <w:szCs w:val="32"/>
          <w:lang w:eastAsia="zh-CN"/>
        </w:rPr>
        <w:t>224.17164</w:t>
      </w:r>
      <w:r>
        <w:rPr>
          <w:rFonts w:hint="eastAsia" w:ascii="Times New Roman" w:hAnsi="Times New Roman" w:eastAsia="方正仿宋_GBK" w:cs="Times New Roman"/>
          <w:sz w:val="32"/>
          <w:szCs w:val="32"/>
          <w:lang w:val="zh-CN" w:eastAsia="zh-CN"/>
        </w:rPr>
        <w:t>万元。</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（二）项目财务管理情况。</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1.总体要求</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按照《捐赠协议书》的要求，捐建资金的使用严格坚持“专专用、专账核算、封闭运行、先建后补”的原则。结合项目实管理工作实际，捐建资金实行“村民自治监督+村党支部审核+责任单位（漳扎镇政府）把关+统战部监管”管理模式。</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2.拨付进度及额度</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按照《捐赠协议书》要求，补助分四次进行，民宿提升改造程开始后，给予补助资金总额的10％做为启动资金。工程量完50％以后，经验收合格给予补助资金总额的40％。工程建设完成后，经验收合格给予补助资金的30％。项目由第三方公司审结完毕后，支付补助资金的15％，剩余总额的5％作为工程质保金，一年后无工程质量问题给予补助兑现。</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3.报账程序</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公司按照项目施工建设进度和资金拨付额度规定，向漳扎镇人民政府提出书面申请，填写资金拨付审批表，出具相关报账资料要件，经参建农户本人确认、民主监督小组认可，村党支部审核，漳扎镇复核同意报县委统战部签署意见后，由县委统战部将资金划入镇政府专户，再由镇政府根据财政报账制的有关规定划拨至公司。</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（三）项目组织实施情况。</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甘海子婚纱摄影小镇精品旅游民宿和上四寨特色民宿阿布鲁孜原乡藏寨项目实施均采取“公司+支部+农户”的方式，民宿改造和业态打造均由公司负责，通过统一规划设计、统一实施建设、统一运营管理的方式进行。甘海子婚纱摄影小镇精品旅游民宿项目由九寨沟县爱情海文化旅游开发有限公司负责建设，上四寨特色民宿阿布氇孜原乡藏寨项目由九寨沟县扎雄萨曲旅游管理有限公司负责建设。加强对参建农户的宣传、教育引导，调动其主动性、积极自愿出劳出资参与项目建设，特别重视工程实施过程中的安全、质量和环保。镇村两级成立工作专班负责督促监督企业的安全、质量以及环保工作，村党支部要发动群众进行社会监督。县级相关职能部门要加强指导、督促，确保工程项目有序进行。</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eastAsia="zh-CN"/>
        </w:rPr>
        <w:t>三、项目绩效情况</w:t>
      </w:r>
      <w:r>
        <w:rPr>
          <w:rFonts w:hint="eastAsia" w:ascii="Times New Roman" w:hAnsi="Times New Roman" w:eastAsia="方正仿宋_GBK" w:cs="Times New Roman"/>
          <w:sz w:val="32"/>
          <w:szCs w:val="32"/>
          <w:lang w:val="zh-CN" w:eastAsia="zh-CN"/>
        </w:rPr>
        <w:tab/>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（一）项目管理情况。</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一是严格项目计划管理。在项目实施过程中，根据下达的项目资金计划，在规定工作日内及时将建设任务和资金计划转到项目实施责任单位，并严格按照规定的项目建设地点、建设规模、建设内容以及投资规模等组织实施。二是规范项目管理程序。项目下达后，严格按照有关规定启动和实施项目。三是按照“公开、透明”的原则，在项目实施地，就项目实施内容、补助资金、实施主体等相关内容进行了为期7天的公示，对群众反映的建议、意见进行认真研究，切实做到了“项目公开、群众认同”。</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（二）项目效益情况。项目建成后，一是经济效益</w:t>
      </w:r>
      <w:r>
        <w:rPr>
          <w:rFonts w:hint="eastAsia" w:ascii="Times New Roman" w:hAnsi="Times New Roman" w:eastAsia="方正仿宋_GBK" w:cs="Times New Roman"/>
          <w:sz w:val="32"/>
          <w:szCs w:val="32"/>
          <w:lang w:eastAsia="zh-CN"/>
        </w:rPr>
        <w:t>参建农户通过房屋固定租赁和公司员工身份参与运营实现长期稳定就业增长，村支部通过提取管理费壮大村集体经济收入。二是生态效益项目紧紧围绕了“两地一典范，美丽新九寨”战略部署，助力漳扎镇“国际生态旅游魅力小镇”的定位和建设，顺应了“乡村振兴”和高质量脱贫攻坚的形势和要求，将率先实现“垃圾、污水、厕所”革命，实现家园变花园，农房变客房、人文旅游和谐发展。</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四、问题及建议</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（一）存在的问题</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无。</w:t>
      </w:r>
    </w:p>
    <w:p>
      <w:pPr>
        <w:pStyle w:val="2"/>
        <w:ind w:firstLine="640" w:firstLineChars="200"/>
        <w:rPr>
          <w:rFonts w:hint="eastAsia" w:ascii="Times New Roman" w:hAnsi="Times New Roman" w:eastAsia="方正仿宋_GBK" w:cs="Times New Roman"/>
          <w:sz w:val="32"/>
          <w:szCs w:val="32"/>
          <w:lang w:val="zh-CN" w:eastAsia="zh-CN"/>
        </w:rPr>
      </w:pPr>
      <w:r>
        <w:rPr>
          <w:rFonts w:hint="eastAsia" w:ascii="Times New Roman" w:hAnsi="Times New Roman" w:eastAsia="方正仿宋_GBK" w:cs="Times New Roman"/>
          <w:sz w:val="32"/>
          <w:szCs w:val="32"/>
          <w:lang w:val="zh-CN" w:eastAsia="zh-CN"/>
        </w:rPr>
        <w:t>（二）相关建议</w:t>
      </w:r>
    </w:p>
    <w:p>
      <w:pPr>
        <w:pStyle w:val="2"/>
        <w:ind w:firstLine="640" w:firstLineChars="20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val="zh-CN" w:eastAsia="zh-CN"/>
        </w:rPr>
        <w:t>无。</w:t>
      </w:r>
    </w:p>
    <w:p>
      <w:pPr>
        <w:pStyle w:val="2"/>
        <w:rPr>
          <w:rFonts w:hint="eastAsia" w:ascii="Times New Roman" w:hAnsi="Times New Roman" w:eastAsia="方正仿宋_GBK" w:cs="Times New Roman"/>
          <w:sz w:val="32"/>
          <w:szCs w:val="32"/>
          <w:lang w:eastAsia="zh-CN"/>
        </w:rPr>
      </w:pPr>
    </w:p>
    <w:p>
      <w:pPr>
        <w:pStyle w:val="2"/>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pStyle w:val="2"/>
        <w:rPr>
          <w:rFonts w:hint="default" w:ascii="Times New Roman" w:hAnsi="Times New Roman" w:eastAsia="方正仿宋_GBK" w:cs="Times New Roman"/>
          <w:sz w:val="32"/>
          <w:szCs w:val="32"/>
        </w:rPr>
      </w:pPr>
    </w:p>
    <w:p>
      <w:pPr>
        <w:spacing w:line="600" w:lineRule="exact"/>
        <w:jc w:val="center"/>
        <w:outlineLvl w:val="0"/>
        <w:rPr>
          <w:rStyle w:val="27"/>
          <w:rFonts w:hint="eastAsia" w:ascii="方正小标宋简体" w:hAnsi="方正小标宋简体" w:eastAsia="方正小标宋简体" w:cs="方正小标宋简体"/>
          <w:b w:val="0"/>
          <w:sz w:val="44"/>
          <w:szCs w:val="44"/>
        </w:rPr>
      </w:pPr>
      <w:bookmarkStart w:id="117" w:name="_Toc79163885"/>
      <w:bookmarkStart w:id="118" w:name="_Toc79163635"/>
      <w:bookmarkStart w:id="119" w:name="_Toc15396618"/>
      <w:r>
        <w:rPr>
          <w:rFonts w:hint="eastAsia" w:ascii="方正小标宋简体" w:hAnsi="方正小标宋简体" w:eastAsia="方正小标宋简体" w:cs="方正小标宋简体"/>
          <w:color w:val="000000"/>
          <w:sz w:val="44"/>
          <w:szCs w:val="44"/>
        </w:rPr>
        <w:t>第</w:t>
      </w:r>
      <w:r>
        <w:rPr>
          <w:rStyle w:val="27"/>
          <w:rFonts w:hint="eastAsia" w:ascii="方正小标宋简体" w:hAnsi="方正小标宋简体" w:eastAsia="方正小标宋简体" w:cs="方正小标宋简体"/>
          <w:b w:val="0"/>
          <w:sz w:val="44"/>
          <w:szCs w:val="44"/>
        </w:rPr>
        <w:t>五部分附表</w:t>
      </w:r>
      <w:bookmarkEnd w:id="107"/>
      <w:bookmarkEnd w:id="117"/>
      <w:bookmarkEnd w:id="118"/>
      <w:bookmarkEnd w:id="119"/>
    </w:p>
    <w:p>
      <w:pPr>
        <w:pStyle w:val="4"/>
        <w:rPr>
          <w:rFonts w:ascii="仿宋" w:hAnsi="仿宋" w:eastAsia="仿宋"/>
          <w:color w:val="000000"/>
        </w:rPr>
      </w:pPr>
      <w:bookmarkStart w:id="120" w:name="_Toc79163886"/>
      <w:bookmarkStart w:id="121" w:name="_Toc15396619"/>
      <w:bookmarkStart w:id="122" w:name="_Toc79163636"/>
      <w:r>
        <w:rPr>
          <w:rFonts w:hint="eastAsia" w:ascii="仿宋" w:hAnsi="仿宋" w:eastAsia="仿宋"/>
          <w:b w:val="0"/>
          <w:color w:val="000000"/>
        </w:rPr>
        <w:t>一、收</w:t>
      </w:r>
      <w:r>
        <w:rPr>
          <w:rStyle w:val="28"/>
          <w:rFonts w:hint="eastAsia" w:ascii="仿宋" w:hAnsi="仿宋" w:eastAsia="仿宋"/>
          <w:b w:val="0"/>
          <w:bCs w:val="0"/>
        </w:rPr>
        <w:t>入支出决算总表</w:t>
      </w:r>
      <w:bookmarkEnd w:id="120"/>
      <w:bookmarkEnd w:id="121"/>
      <w:bookmarkEnd w:id="122"/>
    </w:p>
    <w:p>
      <w:pPr>
        <w:pStyle w:val="4"/>
        <w:rPr>
          <w:rFonts w:ascii="仿宋" w:hAnsi="仿宋" w:eastAsia="仿宋"/>
          <w:color w:val="000000"/>
        </w:rPr>
      </w:pPr>
      <w:bookmarkStart w:id="123" w:name="_Toc79163637"/>
      <w:bookmarkStart w:id="124" w:name="_Toc15396620"/>
      <w:bookmarkStart w:id="125" w:name="_Toc79163887"/>
      <w:r>
        <w:rPr>
          <w:rFonts w:hint="eastAsia" w:ascii="仿宋" w:hAnsi="仿宋" w:eastAsia="仿宋"/>
          <w:b w:val="0"/>
          <w:color w:val="000000"/>
        </w:rPr>
        <w:t>二、收</w:t>
      </w:r>
      <w:r>
        <w:rPr>
          <w:rStyle w:val="28"/>
          <w:rFonts w:hint="eastAsia" w:ascii="仿宋" w:hAnsi="仿宋" w:eastAsia="仿宋"/>
          <w:b w:val="0"/>
          <w:bCs w:val="0"/>
        </w:rPr>
        <w:t>入决算表</w:t>
      </w:r>
      <w:bookmarkEnd w:id="123"/>
      <w:bookmarkEnd w:id="124"/>
      <w:bookmarkEnd w:id="125"/>
    </w:p>
    <w:p>
      <w:pPr>
        <w:pStyle w:val="4"/>
        <w:rPr>
          <w:rFonts w:ascii="仿宋" w:hAnsi="仿宋" w:eastAsia="仿宋"/>
          <w:color w:val="000000"/>
        </w:rPr>
      </w:pPr>
      <w:bookmarkStart w:id="126" w:name="_Toc79163638"/>
      <w:bookmarkStart w:id="127" w:name="_Toc15396621"/>
      <w:bookmarkStart w:id="128" w:name="_Toc79163888"/>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出决算表</w:t>
      </w:r>
      <w:bookmarkEnd w:id="126"/>
      <w:bookmarkEnd w:id="127"/>
      <w:bookmarkEnd w:id="128"/>
    </w:p>
    <w:p>
      <w:pPr>
        <w:pStyle w:val="4"/>
        <w:rPr>
          <w:rFonts w:ascii="仿宋" w:hAnsi="仿宋" w:eastAsia="仿宋"/>
          <w:b w:val="0"/>
          <w:color w:val="000000"/>
        </w:rPr>
      </w:pPr>
      <w:bookmarkStart w:id="129" w:name="_Toc79163639"/>
      <w:bookmarkStart w:id="130" w:name="_Toc15396622"/>
      <w:bookmarkStart w:id="131" w:name="_Toc79163889"/>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129"/>
      <w:bookmarkEnd w:id="130"/>
      <w:bookmarkEnd w:id="131"/>
    </w:p>
    <w:p>
      <w:pPr>
        <w:pStyle w:val="4"/>
        <w:rPr>
          <w:rStyle w:val="28"/>
          <w:rFonts w:ascii="仿宋" w:hAnsi="仿宋" w:eastAsia="仿宋"/>
          <w:b w:val="0"/>
          <w:bCs w:val="0"/>
        </w:rPr>
      </w:pPr>
      <w:bookmarkStart w:id="132" w:name="_Toc15396623"/>
      <w:bookmarkStart w:id="133" w:name="_Toc79163890"/>
      <w:bookmarkStart w:id="134" w:name="_Toc79163640"/>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w:t>
      </w:r>
      <w:bookmarkEnd w:id="132"/>
      <w:bookmarkEnd w:id="133"/>
      <w:bookmarkEnd w:id="134"/>
      <w:bookmarkStart w:id="135" w:name="_Toc15396624"/>
    </w:p>
    <w:p>
      <w:pPr>
        <w:pStyle w:val="4"/>
        <w:rPr>
          <w:rFonts w:ascii="仿宋" w:hAnsi="仿宋" w:eastAsia="仿宋"/>
          <w:color w:val="000000"/>
        </w:rPr>
      </w:pPr>
      <w:bookmarkStart w:id="136" w:name="_Toc79163641"/>
      <w:bookmarkStart w:id="137" w:name="_Toc79163891"/>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135"/>
      <w:bookmarkEnd w:id="136"/>
      <w:bookmarkEnd w:id="137"/>
    </w:p>
    <w:p>
      <w:pPr>
        <w:pStyle w:val="4"/>
        <w:rPr>
          <w:rFonts w:ascii="仿宋" w:hAnsi="仿宋" w:eastAsia="仿宋"/>
          <w:color w:val="000000"/>
        </w:rPr>
      </w:pPr>
      <w:bookmarkStart w:id="138" w:name="_Toc79163892"/>
      <w:bookmarkStart w:id="139" w:name="_Toc15396625"/>
      <w:bookmarkStart w:id="140" w:name="_Toc79163642"/>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138"/>
      <w:bookmarkEnd w:id="139"/>
      <w:bookmarkEnd w:id="140"/>
    </w:p>
    <w:p>
      <w:pPr>
        <w:pStyle w:val="4"/>
        <w:rPr>
          <w:rFonts w:ascii="仿宋" w:hAnsi="仿宋" w:eastAsia="仿宋"/>
          <w:color w:val="000000"/>
        </w:rPr>
      </w:pPr>
      <w:bookmarkStart w:id="141" w:name="_Toc15396626"/>
      <w:bookmarkStart w:id="142" w:name="_Toc79163893"/>
      <w:bookmarkStart w:id="143" w:name="_Toc79163643"/>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141"/>
      <w:bookmarkEnd w:id="142"/>
      <w:bookmarkEnd w:id="143"/>
    </w:p>
    <w:p>
      <w:pPr>
        <w:pStyle w:val="4"/>
        <w:rPr>
          <w:rFonts w:ascii="仿宋" w:hAnsi="仿宋" w:eastAsia="仿宋"/>
          <w:color w:val="000000"/>
        </w:rPr>
      </w:pPr>
      <w:bookmarkStart w:id="144" w:name="_Toc79163894"/>
      <w:bookmarkStart w:id="145" w:name="_Toc79163644"/>
      <w:bookmarkStart w:id="146"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144"/>
      <w:bookmarkEnd w:id="145"/>
      <w:bookmarkEnd w:id="146"/>
    </w:p>
    <w:p>
      <w:pPr>
        <w:pStyle w:val="4"/>
        <w:rPr>
          <w:rFonts w:ascii="仿宋" w:hAnsi="仿宋" w:eastAsia="仿宋"/>
          <w:color w:val="000000"/>
        </w:rPr>
      </w:pPr>
      <w:bookmarkStart w:id="147" w:name="_Toc15396628"/>
      <w:bookmarkStart w:id="148" w:name="_Toc79163895"/>
      <w:bookmarkStart w:id="149" w:name="_Toc79163645"/>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147"/>
      <w:bookmarkEnd w:id="148"/>
      <w:bookmarkEnd w:id="149"/>
    </w:p>
    <w:p>
      <w:pPr>
        <w:pStyle w:val="4"/>
        <w:rPr>
          <w:rFonts w:ascii="仿宋" w:hAnsi="仿宋" w:eastAsia="仿宋"/>
          <w:color w:val="000000"/>
        </w:rPr>
      </w:pPr>
      <w:bookmarkStart w:id="150" w:name="_Toc79163646"/>
      <w:bookmarkStart w:id="151" w:name="_Toc15396629"/>
      <w:bookmarkStart w:id="152" w:name="_Toc79163896"/>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150"/>
      <w:bookmarkEnd w:id="151"/>
      <w:bookmarkEnd w:id="152"/>
    </w:p>
    <w:p>
      <w:pPr>
        <w:pStyle w:val="4"/>
        <w:rPr>
          <w:rFonts w:ascii="仿宋" w:hAnsi="仿宋" w:eastAsia="仿宋"/>
          <w:color w:val="000000"/>
        </w:rPr>
      </w:pPr>
      <w:bookmarkStart w:id="153" w:name="_Toc15396630"/>
      <w:bookmarkStart w:id="154" w:name="_Toc79163647"/>
      <w:bookmarkStart w:id="155" w:name="_Toc79163897"/>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153"/>
      <w:bookmarkEnd w:id="154"/>
      <w:bookmarkEnd w:id="155"/>
    </w:p>
    <w:p>
      <w:pPr>
        <w:pStyle w:val="4"/>
        <w:rPr>
          <w:rStyle w:val="28"/>
          <w:rFonts w:ascii="仿宋" w:hAnsi="仿宋" w:eastAsia="仿宋"/>
          <w:b w:val="0"/>
          <w:bCs w:val="0"/>
        </w:rPr>
      </w:pPr>
      <w:bookmarkStart w:id="156" w:name="_Toc79163648"/>
      <w:bookmarkStart w:id="157" w:name="_Toc15396631"/>
      <w:bookmarkStart w:id="158" w:name="_Toc79163898"/>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有资本经营预算财政拨款支出决算表</w:t>
      </w:r>
      <w:bookmarkEnd w:id="156"/>
      <w:bookmarkEnd w:id="157"/>
      <w:bookmarkEnd w:id="158"/>
    </w:p>
    <w:p>
      <w:pPr>
        <w:pStyle w:val="4"/>
        <w:rPr>
          <w:rStyle w:val="28"/>
          <w:rFonts w:ascii="仿宋" w:hAnsi="仿宋" w:eastAsia="仿宋"/>
          <w:b w:val="0"/>
          <w:bCs w:val="0"/>
        </w:rPr>
      </w:pPr>
      <w:bookmarkStart w:id="159" w:name="_Toc79163649"/>
      <w:bookmarkStart w:id="160" w:name="_Toc79163899"/>
      <w:r>
        <w:rPr>
          <w:rStyle w:val="28"/>
          <w:rFonts w:hint="eastAsia" w:ascii="仿宋" w:hAnsi="仿宋" w:eastAsia="仿宋"/>
          <w:b w:val="0"/>
          <w:bCs w:val="0"/>
        </w:rPr>
        <w:t>十四、国有资本经营预算财政拨款支出决算表</w:t>
      </w:r>
      <w:bookmarkEnd w:id="159"/>
      <w:bookmarkEnd w:id="160"/>
    </w:p>
    <w:sectPr>
      <w:footerReference r:id="rId6" w:type="first"/>
      <w:footerReference r:id="rId5"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2312">
    <w:panose1 w:val="02000000000000000000"/>
    <w:charset w:val="86"/>
    <w:family w:val="auto"/>
    <w:pitch w:val="default"/>
    <w:sig w:usb0="A00002BF" w:usb1="184F6CFA" w:usb2="00000012"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2FF" w:usb1="400004FF" w:usb2="00000000" w:usb3="00000000" w:csb0="2000019F" w:csb1="00000000"/>
  </w:font>
  <w:font w:name="等线">
    <w:altName w:val="宋体"/>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等线 Light">
    <w:altName w:val="宋体"/>
    <w:panose1 w:val="00000000000000000000"/>
    <w:charset w:val="86"/>
    <w:family w:val="auto"/>
    <w:pitch w:val="default"/>
    <w:sig w:usb0="00000000" w:usb1="00000000" w:usb2="00000016" w:usb3="00000000" w:csb0="0004000F" w:csb1="00000000"/>
  </w:font>
  <w:font w:name="??">
    <w:altName w:val="Times New Roman"/>
    <w:panose1 w:val="00000000000000000000"/>
    <w:charset w:val="00"/>
    <w:family w:val="decorative"/>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22</w:t>
    </w:r>
    <w: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fldChar w:fldCharType="begin"/>
    </w:r>
    <w:r>
      <w:instrText xml:space="preserve">PAGE   \* MERGEFORMAT</w:instrText>
    </w:r>
    <w:r>
      <w:fldChar w:fldCharType="separate"/>
    </w:r>
    <w:r>
      <w:t>22</w:t>
    </w:r>
    <w: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1">
    <w:nsid w:val="E2FA047D"/>
    <w:multiLevelType w:val="singleLevel"/>
    <w:tmpl w:val="E2FA047D"/>
    <w:lvl w:ilvl="0" w:tentative="0">
      <w:start w:val="3"/>
      <w:numFmt w:val="chineseCounting"/>
      <w:suff w:val="space"/>
      <w:lvlText w:val="第%1部分"/>
      <w:lvlJc w:val="left"/>
      <w:rPr>
        <w:rFonts w:hint="eastAsia"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ZjNmZmYTI3NWQ4MTljZTk1MGVmODM2Y2Y5Mjg1NGMifQ=="/>
  </w:docVars>
  <w:rsids>
    <w:rsidRoot w:val="00F1361C"/>
    <w:rsid w:val="000222C6"/>
    <w:rsid w:val="000228B4"/>
    <w:rsid w:val="0002549F"/>
    <w:rsid w:val="000468DB"/>
    <w:rsid w:val="0006487A"/>
    <w:rsid w:val="00065F8F"/>
    <w:rsid w:val="00070A43"/>
    <w:rsid w:val="000768F2"/>
    <w:rsid w:val="0009184B"/>
    <w:rsid w:val="00092B68"/>
    <w:rsid w:val="00094236"/>
    <w:rsid w:val="0009593C"/>
    <w:rsid w:val="00097322"/>
    <w:rsid w:val="000A4485"/>
    <w:rsid w:val="000A6A92"/>
    <w:rsid w:val="000A747F"/>
    <w:rsid w:val="000B047F"/>
    <w:rsid w:val="000B5923"/>
    <w:rsid w:val="000B5A48"/>
    <w:rsid w:val="000B6FF3"/>
    <w:rsid w:val="000C3467"/>
    <w:rsid w:val="000C3CA6"/>
    <w:rsid w:val="000D1267"/>
    <w:rsid w:val="000D1D50"/>
    <w:rsid w:val="000D5782"/>
    <w:rsid w:val="000E001D"/>
    <w:rsid w:val="000E6613"/>
    <w:rsid w:val="000E7119"/>
    <w:rsid w:val="00114E9B"/>
    <w:rsid w:val="00115301"/>
    <w:rsid w:val="001319E1"/>
    <w:rsid w:val="00133DBF"/>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0FA6"/>
    <w:rsid w:val="0021101A"/>
    <w:rsid w:val="00220536"/>
    <w:rsid w:val="00235629"/>
    <w:rsid w:val="00256262"/>
    <w:rsid w:val="00260C38"/>
    <w:rsid w:val="002616C0"/>
    <w:rsid w:val="00265372"/>
    <w:rsid w:val="002662AA"/>
    <w:rsid w:val="0027224D"/>
    <w:rsid w:val="00280496"/>
    <w:rsid w:val="00294DC9"/>
    <w:rsid w:val="00295495"/>
    <w:rsid w:val="002A31DE"/>
    <w:rsid w:val="002B2613"/>
    <w:rsid w:val="002B2FF7"/>
    <w:rsid w:val="002D45B0"/>
    <w:rsid w:val="002D6D05"/>
    <w:rsid w:val="002F1818"/>
    <w:rsid w:val="002F567B"/>
    <w:rsid w:val="003216A9"/>
    <w:rsid w:val="00335A74"/>
    <w:rsid w:val="0036561B"/>
    <w:rsid w:val="0037013F"/>
    <w:rsid w:val="00380C92"/>
    <w:rsid w:val="003947F3"/>
    <w:rsid w:val="003A484F"/>
    <w:rsid w:val="003A4883"/>
    <w:rsid w:val="003A5A1D"/>
    <w:rsid w:val="003B0BE0"/>
    <w:rsid w:val="003B0C1B"/>
    <w:rsid w:val="003B378A"/>
    <w:rsid w:val="003B688C"/>
    <w:rsid w:val="003C0291"/>
    <w:rsid w:val="003C39AE"/>
    <w:rsid w:val="003C7B60"/>
    <w:rsid w:val="003D0C0F"/>
    <w:rsid w:val="003D1FB2"/>
    <w:rsid w:val="003D66DA"/>
    <w:rsid w:val="003E1310"/>
    <w:rsid w:val="003E6F55"/>
    <w:rsid w:val="003E6FE4"/>
    <w:rsid w:val="00406254"/>
    <w:rsid w:val="004223DE"/>
    <w:rsid w:val="00434489"/>
    <w:rsid w:val="00437085"/>
    <w:rsid w:val="004410EE"/>
    <w:rsid w:val="00443880"/>
    <w:rsid w:val="00445607"/>
    <w:rsid w:val="00446464"/>
    <w:rsid w:val="004464F4"/>
    <w:rsid w:val="00471401"/>
    <w:rsid w:val="00473F31"/>
    <w:rsid w:val="0048263A"/>
    <w:rsid w:val="00487E5D"/>
    <w:rsid w:val="00491DFC"/>
    <w:rsid w:val="004A711F"/>
    <w:rsid w:val="004B199D"/>
    <w:rsid w:val="004B4690"/>
    <w:rsid w:val="004D5479"/>
    <w:rsid w:val="004E0A2D"/>
    <w:rsid w:val="004E206B"/>
    <w:rsid w:val="004E6DF7"/>
    <w:rsid w:val="004F0FBD"/>
    <w:rsid w:val="00505A47"/>
    <w:rsid w:val="00512FDA"/>
    <w:rsid w:val="00520DA0"/>
    <w:rsid w:val="005269A7"/>
    <w:rsid w:val="005269D7"/>
    <w:rsid w:val="005275BA"/>
    <w:rsid w:val="005664BB"/>
    <w:rsid w:val="00566FFA"/>
    <w:rsid w:val="0057481D"/>
    <w:rsid w:val="0058486E"/>
    <w:rsid w:val="00585B33"/>
    <w:rsid w:val="00586F0E"/>
    <w:rsid w:val="0059014D"/>
    <w:rsid w:val="005B53DC"/>
    <w:rsid w:val="005B5C64"/>
    <w:rsid w:val="005C1899"/>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45F81"/>
    <w:rsid w:val="00654407"/>
    <w:rsid w:val="0066343B"/>
    <w:rsid w:val="00664777"/>
    <w:rsid w:val="006748A4"/>
    <w:rsid w:val="00681A31"/>
    <w:rsid w:val="00683E73"/>
    <w:rsid w:val="00692129"/>
    <w:rsid w:val="00693C1D"/>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A287F"/>
    <w:rsid w:val="007D1682"/>
    <w:rsid w:val="007D1CDB"/>
    <w:rsid w:val="007D312A"/>
    <w:rsid w:val="007D3F19"/>
    <w:rsid w:val="007E23B0"/>
    <w:rsid w:val="007E23E5"/>
    <w:rsid w:val="007F1991"/>
    <w:rsid w:val="007F2C2F"/>
    <w:rsid w:val="007F55FC"/>
    <w:rsid w:val="007F5665"/>
    <w:rsid w:val="00800112"/>
    <w:rsid w:val="00807CA7"/>
    <w:rsid w:val="00813348"/>
    <w:rsid w:val="00816C3C"/>
    <w:rsid w:val="008253BB"/>
    <w:rsid w:val="0083706E"/>
    <w:rsid w:val="008408F6"/>
    <w:rsid w:val="008423A5"/>
    <w:rsid w:val="00850625"/>
    <w:rsid w:val="0085109C"/>
    <w:rsid w:val="00853718"/>
    <w:rsid w:val="00855221"/>
    <w:rsid w:val="00860645"/>
    <w:rsid w:val="0086088C"/>
    <w:rsid w:val="00871F71"/>
    <w:rsid w:val="00872FD8"/>
    <w:rsid w:val="00882EB0"/>
    <w:rsid w:val="00885AF4"/>
    <w:rsid w:val="00892977"/>
    <w:rsid w:val="008939CD"/>
    <w:rsid w:val="008B768C"/>
    <w:rsid w:val="008C4DB1"/>
    <w:rsid w:val="008C4EAF"/>
    <w:rsid w:val="008C5176"/>
    <w:rsid w:val="008C7EDF"/>
    <w:rsid w:val="008C7FD0"/>
    <w:rsid w:val="008D1557"/>
    <w:rsid w:val="008E1DE7"/>
    <w:rsid w:val="008E707C"/>
    <w:rsid w:val="00900B08"/>
    <w:rsid w:val="00902155"/>
    <w:rsid w:val="00902FA3"/>
    <w:rsid w:val="00907034"/>
    <w:rsid w:val="00923564"/>
    <w:rsid w:val="0092392E"/>
    <w:rsid w:val="009315F9"/>
    <w:rsid w:val="00933499"/>
    <w:rsid w:val="009334D8"/>
    <w:rsid w:val="00935C98"/>
    <w:rsid w:val="0094235D"/>
    <w:rsid w:val="00946945"/>
    <w:rsid w:val="00951248"/>
    <w:rsid w:val="0095152F"/>
    <w:rsid w:val="00954C49"/>
    <w:rsid w:val="00955E37"/>
    <w:rsid w:val="00962656"/>
    <w:rsid w:val="0097099F"/>
    <w:rsid w:val="00971997"/>
    <w:rsid w:val="00971FFC"/>
    <w:rsid w:val="00973C32"/>
    <w:rsid w:val="0098660A"/>
    <w:rsid w:val="009931C3"/>
    <w:rsid w:val="009B204F"/>
    <w:rsid w:val="009B2C43"/>
    <w:rsid w:val="009B4EAE"/>
    <w:rsid w:val="009B7573"/>
    <w:rsid w:val="009C22F4"/>
    <w:rsid w:val="009C2A4B"/>
    <w:rsid w:val="009C2E98"/>
    <w:rsid w:val="009D3447"/>
    <w:rsid w:val="009D4711"/>
    <w:rsid w:val="009F1185"/>
    <w:rsid w:val="009F18CD"/>
    <w:rsid w:val="009F2A13"/>
    <w:rsid w:val="009F37A1"/>
    <w:rsid w:val="009F7527"/>
    <w:rsid w:val="00A04EB0"/>
    <w:rsid w:val="00A0505B"/>
    <w:rsid w:val="00A05951"/>
    <w:rsid w:val="00A13CC1"/>
    <w:rsid w:val="00A16847"/>
    <w:rsid w:val="00A16C5C"/>
    <w:rsid w:val="00A237D8"/>
    <w:rsid w:val="00A264E6"/>
    <w:rsid w:val="00A268C4"/>
    <w:rsid w:val="00A307CD"/>
    <w:rsid w:val="00A331C8"/>
    <w:rsid w:val="00A40A00"/>
    <w:rsid w:val="00A4142F"/>
    <w:rsid w:val="00A422EB"/>
    <w:rsid w:val="00A45BB7"/>
    <w:rsid w:val="00A56DF2"/>
    <w:rsid w:val="00A56E6E"/>
    <w:rsid w:val="00A67AB5"/>
    <w:rsid w:val="00A733B2"/>
    <w:rsid w:val="00A741C2"/>
    <w:rsid w:val="00A77B92"/>
    <w:rsid w:val="00A91760"/>
    <w:rsid w:val="00A93B00"/>
    <w:rsid w:val="00A93C21"/>
    <w:rsid w:val="00AB64C9"/>
    <w:rsid w:val="00AC1EFB"/>
    <w:rsid w:val="00AC3C6A"/>
    <w:rsid w:val="00AD5362"/>
    <w:rsid w:val="00AD5620"/>
    <w:rsid w:val="00AD656B"/>
    <w:rsid w:val="00AD7C1B"/>
    <w:rsid w:val="00AE16BA"/>
    <w:rsid w:val="00AE1EBE"/>
    <w:rsid w:val="00B011E4"/>
    <w:rsid w:val="00B03C9D"/>
    <w:rsid w:val="00B05E5C"/>
    <w:rsid w:val="00B060AE"/>
    <w:rsid w:val="00B10517"/>
    <w:rsid w:val="00B12DC1"/>
    <w:rsid w:val="00B14E76"/>
    <w:rsid w:val="00B161B8"/>
    <w:rsid w:val="00B2048C"/>
    <w:rsid w:val="00B310B9"/>
    <w:rsid w:val="00B35F3F"/>
    <w:rsid w:val="00B36CBB"/>
    <w:rsid w:val="00B370F4"/>
    <w:rsid w:val="00B425E0"/>
    <w:rsid w:val="00B440AA"/>
    <w:rsid w:val="00B44B70"/>
    <w:rsid w:val="00B53C56"/>
    <w:rsid w:val="00B57DAF"/>
    <w:rsid w:val="00B667D7"/>
    <w:rsid w:val="00B7560F"/>
    <w:rsid w:val="00B77EA6"/>
    <w:rsid w:val="00B81598"/>
    <w:rsid w:val="00B81607"/>
    <w:rsid w:val="00B828B0"/>
    <w:rsid w:val="00B841F1"/>
    <w:rsid w:val="00B8457F"/>
    <w:rsid w:val="00B90E4E"/>
    <w:rsid w:val="00B925B5"/>
    <w:rsid w:val="00B944D6"/>
    <w:rsid w:val="00B965DC"/>
    <w:rsid w:val="00BB4DF0"/>
    <w:rsid w:val="00BC289F"/>
    <w:rsid w:val="00BC2D50"/>
    <w:rsid w:val="00BC2D63"/>
    <w:rsid w:val="00BC5361"/>
    <w:rsid w:val="00BC5460"/>
    <w:rsid w:val="00BC6B50"/>
    <w:rsid w:val="00BD07DF"/>
    <w:rsid w:val="00BD0E25"/>
    <w:rsid w:val="00BE1FC9"/>
    <w:rsid w:val="00BF5BD6"/>
    <w:rsid w:val="00C03E31"/>
    <w:rsid w:val="00C317E9"/>
    <w:rsid w:val="00C33E72"/>
    <w:rsid w:val="00C354B2"/>
    <w:rsid w:val="00C35554"/>
    <w:rsid w:val="00C42709"/>
    <w:rsid w:val="00C517A5"/>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03ABF"/>
    <w:rsid w:val="00D114F0"/>
    <w:rsid w:val="00D20620"/>
    <w:rsid w:val="00D254F7"/>
    <w:rsid w:val="00D26091"/>
    <w:rsid w:val="00D2685C"/>
    <w:rsid w:val="00D34E7C"/>
    <w:rsid w:val="00D35489"/>
    <w:rsid w:val="00D36AFE"/>
    <w:rsid w:val="00D51276"/>
    <w:rsid w:val="00D7035F"/>
    <w:rsid w:val="00D86175"/>
    <w:rsid w:val="00DA634F"/>
    <w:rsid w:val="00DA65AC"/>
    <w:rsid w:val="00DB1913"/>
    <w:rsid w:val="00DC410D"/>
    <w:rsid w:val="00DC5A81"/>
    <w:rsid w:val="00DC68CA"/>
    <w:rsid w:val="00DC74B0"/>
    <w:rsid w:val="00DC7CBA"/>
    <w:rsid w:val="00DD73B7"/>
    <w:rsid w:val="00DF10DE"/>
    <w:rsid w:val="00DF28BC"/>
    <w:rsid w:val="00DF34B9"/>
    <w:rsid w:val="00DF4962"/>
    <w:rsid w:val="00E01053"/>
    <w:rsid w:val="00E040FA"/>
    <w:rsid w:val="00E07ACF"/>
    <w:rsid w:val="00E32CAD"/>
    <w:rsid w:val="00E331A1"/>
    <w:rsid w:val="00E33202"/>
    <w:rsid w:val="00E336A9"/>
    <w:rsid w:val="00E472B1"/>
    <w:rsid w:val="00E50624"/>
    <w:rsid w:val="00E5617A"/>
    <w:rsid w:val="00E568DF"/>
    <w:rsid w:val="00E6044B"/>
    <w:rsid w:val="00E64269"/>
    <w:rsid w:val="00E70975"/>
    <w:rsid w:val="00E82267"/>
    <w:rsid w:val="00E853CE"/>
    <w:rsid w:val="00E867B6"/>
    <w:rsid w:val="00EA010F"/>
    <w:rsid w:val="00EB0244"/>
    <w:rsid w:val="00EB3408"/>
    <w:rsid w:val="00ED1B63"/>
    <w:rsid w:val="00ED3C1F"/>
    <w:rsid w:val="00ED4085"/>
    <w:rsid w:val="00ED420E"/>
    <w:rsid w:val="00ED6FBE"/>
    <w:rsid w:val="00EE2F57"/>
    <w:rsid w:val="00EF4C34"/>
    <w:rsid w:val="00EF60EF"/>
    <w:rsid w:val="00EF77C6"/>
    <w:rsid w:val="00F05438"/>
    <w:rsid w:val="00F07EC4"/>
    <w:rsid w:val="00F1361C"/>
    <w:rsid w:val="00F156F0"/>
    <w:rsid w:val="00F160C7"/>
    <w:rsid w:val="00F2408F"/>
    <w:rsid w:val="00F240E9"/>
    <w:rsid w:val="00F36D8F"/>
    <w:rsid w:val="00F417B1"/>
    <w:rsid w:val="00F45853"/>
    <w:rsid w:val="00F602DF"/>
    <w:rsid w:val="00F67211"/>
    <w:rsid w:val="00F754A1"/>
    <w:rsid w:val="00F81FD9"/>
    <w:rsid w:val="00F841AA"/>
    <w:rsid w:val="00F84A94"/>
    <w:rsid w:val="00F87E96"/>
    <w:rsid w:val="00FA23E8"/>
    <w:rsid w:val="00FD3CC1"/>
    <w:rsid w:val="00FF13E3"/>
    <w:rsid w:val="00FF1E02"/>
    <w:rsid w:val="00FF30B4"/>
    <w:rsid w:val="01011432"/>
    <w:rsid w:val="014641F9"/>
    <w:rsid w:val="01EE47F7"/>
    <w:rsid w:val="025B2DC4"/>
    <w:rsid w:val="02663C42"/>
    <w:rsid w:val="038956B1"/>
    <w:rsid w:val="03E65F01"/>
    <w:rsid w:val="03FB485E"/>
    <w:rsid w:val="045200C1"/>
    <w:rsid w:val="051931EE"/>
    <w:rsid w:val="055E32F7"/>
    <w:rsid w:val="05F31C91"/>
    <w:rsid w:val="06175254"/>
    <w:rsid w:val="064B5B68"/>
    <w:rsid w:val="07B25AB5"/>
    <w:rsid w:val="083D3697"/>
    <w:rsid w:val="086F1377"/>
    <w:rsid w:val="08986B20"/>
    <w:rsid w:val="08FD7DBD"/>
    <w:rsid w:val="09476D37"/>
    <w:rsid w:val="09BE6112"/>
    <w:rsid w:val="09C37BCC"/>
    <w:rsid w:val="0A2032A3"/>
    <w:rsid w:val="0A434869"/>
    <w:rsid w:val="0AEA1189"/>
    <w:rsid w:val="0B1701D0"/>
    <w:rsid w:val="0B3B7A20"/>
    <w:rsid w:val="0C1B3CF0"/>
    <w:rsid w:val="0D3606B5"/>
    <w:rsid w:val="0D60461B"/>
    <w:rsid w:val="0D703BC7"/>
    <w:rsid w:val="0DD11D2A"/>
    <w:rsid w:val="0E386917"/>
    <w:rsid w:val="0E4C75DA"/>
    <w:rsid w:val="0E855450"/>
    <w:rsid w:val="0FB85B18"/>
    <w:rsid w:val="101741BD"/>
    <w:rsid w:val="10C055FF"/>
    <w:rsid w:val="118107EC"/>
    <w:rsid w:val="11A826D8"/>
    <w:rsid w:val="12E96F9A"/>
    <w:rsid w:val="1347361C"/>
    <w:rsid w:val="13FA068E"/>
    <w:rsid w:val="14381EBC"/>
    <w:rsid w:val="144F6ED3"/>
    <w:rsid w:val="14593607"/>
    <w:rsid w:val="14E83CCB"/>
    <w:rsid w:val="15DE7531"/>
    <w:rsid w:val="160D038E"/>
    <w:rsid w:val="16133C89"/>
    <w:rsid w:val="169C503C"/>
    <w:rsid w:val="16A36DBB"/>
    <w:rsid w:val="16BB723D"/>
    <w:rsid w:val="18595A38"/>
    <w:rsid w:val="189015C1"/>
    <w:rsid w:val="18F41B50"/>
    <w:rsid w:val="18F51424"/>
    <w:rsid w:val="193C2E9F"/>
    <w:rsid w:val="199E1ABC"/>
    <w:rsid w:val="1A783330"/>
    <w:rsid w:val="1A8338DF"/>
    <w:rsid w:val="1ADA05D5"/>
    <w:rsid w:val="1B8015FE"/>
    <w:rsid w:val="1C13053F"/>
    <w:rsid w:val="1C5841A4"/>
    <w:rsid w:val="1D155CEE"/>
    <w:rsid w:val="1D187DD7"/>
    <w:rsid w:val="1D1A0D08"/>
    <w:rsid w:val="1D372BD9"/>
    <w:rsid w:val="1D4E55A7"/>
    <w:rsid w:val="1D5148BC"/>
    <w:rsid w:val="1DC27ED9"/>
    <w:rsid w:val="1DE2183F"/>
    <w:rsid w:val="1E051E98"/>
    <w:rsid w:val="1E35298D"/>
    <w:rsid w:val="1E8670F9"/>
    <w:rsid w:val="1EC75611"/>
    <w:rsid w:val="20890D54"/>
    <w:rsid w:val="20F841A8"/>
    <w:rsid w:val="21026DD4"/>
    <w:rsid w:val="218B501C"/>
    <w:rsid w:val="21AC521A"/>
    <w:rsid w:val="230A5322"/>
    <w:rsid w:val="2389558B"/>
    <w:rsid w:val="240371BF"/>
    <w:rsid w:val="252150C2"/>
    <w:rsid w:val="2717265C"/>
    <w:rsid w:val="274E68CF"/>
    <w:rsid w:val="27C16A75"/>
    <w:rsid w:val="287700A8"/>
    <w:rsid w:val="28CD405C"/>
    <w:rsid w:val="291664BB"/>
    <w:rsid w:val="29520B82"/>
    <w:rsid w:val="29FD04D3"/>
    <w:rsid w:val="2A0E67EA"/>
    <w:rsid w:val="2A714146"/>
    <w:rsid w:val="2A87085C"/>
    <w:rsid w:val="2ABB26E3"/>
    <w:rsid w:val="2AE8703B"/>
    <w:rsid w:val="2B540048"/>
    <w:rsid w:val="2CE35EAA"/>
    <w:rsid w:val="2D03015C"/>
    <w:rsid w:val="2D1D490A"/>
    <w:rsid w:val="2D865FF5"/>
    <w:rsid w:val="2D933910"/>
    <w:rsid w:val="2DBD5B29"/>
    <w:rsid w:val="2E2A659A"/>
    <w:rsid w:val="2E2E64E5"/>
    <w:rsid w:val="2E522D8F"/>
    <w:rsid w:val="2E725599"/>
    <w:rsid w:val="2F30535E"/>
    <w:rsid w:val="30977539"/>
    <w:rsid w:val="319F7F4E"/>
    <w:rsid w:val="31AE76A3"/>
    <w:rsid w:val="31B27924"/>
    <w:rsid w:val="31C87D2D"/>
    <w:rsid w:val="322C1F03"/>
    <w:rsid w:val="327D275F"/>
    <w:rsid w:val="333A0FFB"/>
    <w:rsid w:val="3353526D"/>
    <w:rsid w:val="33782ED8"/>
    <w:rsid w:val="342804A8"/>
    <w:rsid w:val="348C6C89"/>
    <w:rsid w:val="34B47F8E"/>
    <w:rsid w:val="351C1B11"/>
    <w:rsid w:val="353C245D"/>
    <w:rsid w:val="3555351F"/>
    <w:rsid w:val="3589141A"/>
    <w:rsid w:val="36203BF5"/>
    <w:rsid w:val="36896E97"/>
    <w:rsid w:val="36D10A32"/>
    <w:rsid w:val="385F1DAD"/>
    <w:rsid w:val="38A87E0A"/>
    <w:rsid w:val="39341D01"/>
    <w:rsid w:val="39365415"/>
    <w:rsid w:val="3B673668"/>
    <w:rsid w:val="3B893FFA"/>
    <w:rsid w:val="3BFC46F4"/>
    <w:rsid w:val="3C37572C"/>
    <w:rsid w:val="3C8C13E6"/>
    <w:rsid w:val="3CBB7434"/>
    <w:rsid w:val="3E2535BC"/>
    <w:rsid w:val="3E494E5B"/>
    <w:rsid w:val="3E87492C"/>
    <w:rsid w:val="3F012022"/>
    <w:rsid w:val="3F19380F"/>
    <w:rsid w:val="3F47037C"/>
    <w:rsid w:val="3F5D7BA0"/>
    <w:rsid w:val="40477F08"/>
    <w:rsid w:val="40636C62"/>
    <w:rsid w:val="41DE664A"/>
    <w:rsid w:val="42274495"/>
    <w:rsid w:val="425377DC"/>
    <w:rsid w:val="427D40B5"/>
    <w:rsid w:val="42BC4BDD"/>
    <w:rsid w:val="42D03213"/>
    <w:rsid w:val="42F425C9"/>
    <w:rsid w:val="43016A94"/>
    <w:rsid w:val="431D65A9"/>
    <w:rsid w:val="432E5437"/>
    <w:rsid w:val="43B560ED"/>
    <w:rsid w:val="44D34460"/>
    <w:rsid w:val="454A60D9"/>
    <w:rsid w:val="454F7F8B"/>
    <w:rsid w:val="45A6100F"/>
    <w:rsid w:val="46386C71"/>
    <w:rsid w:val="465516C8"/>
    <w:rsid w:val="46DC2A99"/>
    <w:rsid w:val="478F28C0"/>
    <w:rsid w:val="4799373F"/>
    <w:rsid w:val="47FC252B"/>
    <w:rsid w:val="48A04659"/>
    <w:rsid w:val="48FF3A76"/>
    <w:rsid w:val="494D610D"/>
    <w:rsid w:val="49886F6A"/>
    <w:rsid w:val="499D1894"/>
    <w:rsid w:val="49A40179"/>
    <w:rsid w:val="4A055423"/>
    <w:rsid w:val="4A0F4F58"/>
    <w:rsid w:val="4A3B3E54"/>
    <w:rsid w:val="4A5A1C87"/>
    <w:rsid w:val="4A896A3D"/>
    <w:rsid w:val="4B230450"/>
    <w:rsid w:val="4BDB773A"/>
    <w:rsid w:val="4C7B4735"/>
    <w:rsid w:val="4CB16E35"/>
    <w:rsid w:val="4D221AE1"/>
    <w:rsid w:val="4D3B09B0"/>
    <w:rsid w:val="4DB318F7"/>
    <w:rsid w:val="4E6600F3"/>
    <w:rsid w:val="4EC05A55"/>
    <w:rsid w:val="4ECE2238"/>
    <w:rsid w:val="501F5C8C"/>
    <w:rsid w:val="50D37043"/>
    <w:rsid w:val="51114346"/>
    <w:rsid w:val="524644C3"/>
    <w:rsid w:val="528079D5"/>
    <w:rsid w:val="528B637A"/>
    <w:rsid w:val="52B0193D"/>
    <w:rsid w:val="54AB273B"/>
    <w:rsid w:val="54B22B56"/>
    <w:rsid w:val="55BB4633"/>
    <w:rsid w:val="56206DD9"/>
    <w:rsid w:val="57BB444F"/>
    <w:rsid w:val="57F04C55"/>
    <w:rsid w:val="5807647D"/>
    <w:rsid w:val="584063F0"/>
    <w:rsid w:val="58F84A5E"/>
    <w:rsid w:val="592119E8"/>
    <w:rsid w:val="595379CD"/>
    <w:rsid w:val="59CD5602"/>
    <w:rsid w:val="59CD6EF6"/>
    <w:rsid w:val="59E7658C"/>
    <w:rsid w:val="5A1E5DD4"/>
    <w:rsid w:val="5A7233A2"/>
    <w:rsid w:val="5ACA2911"/>
    <w:rsid w:val="5AFA1D3E"/>
    <w:rsid w:val="5B662626"/>
    <w:rsid w:val="5C734447"/>
    <w:rsid w:val="5D227F56"/>
    <w:rsid w:val="5D4810F0"/>
    <w:rsid w:val="5D6B733E"/>
    <w:rsid w:val="5D885990"/>
    <w:rsid w:val="5E5B073A"/>
    <w:rsid w:val="5F6F5E8B"/>
    <w:rsid w:val="5FF11F12"/>
    <w:rsid w:val="5FF13938"/>
    <w:rsid w:val="602E2874"/>
    <w:rsid w:val="60624BBE"/>
    <w:rsid w:val="61BA39A7"/>
    <w:rsid w:val="61FE659E"/>
    <w:rsid w:val="62791D4B"/>
    <w:rsid w:val="62A85F07"/>
    <w:rsid w:val="63125099"/>
    <w:rsid w:val="6347009B"/>
    <w:rsid w:val="639952B6"/>
    <w:rsid w:val="63D835F8"/>
    <w:rsid w:val="64416854"/>
    <w:rsid w:val="645F2003"/>
    <w:rsid w:val="64F765B7"/>
    <w:rsid w:val="65637A4A"/>
    <w:rsid w:val="6599454B"/>
    <w:rsid w:val="65FB6DF5"/>
    <w:rsid w:val="66034C19"/>
    <w:rsid w:val="661324B7"/>
    <w:rsid w:val="6630127F"/>
    <w:rsid w:val="66A06EB2"/>
    <w:rsid w:val="678E0566"/>
    <w:rsid w:val="67E6698D"/>
    <w:rsid w:val="68295FC1"/>
    <w:rsid w:val="682D4D6B"/>
    <w:rsid w:val="68412E4C"/>
    <w:rsid w:val="69761D82"/>
    <w:rsid w:val="69B23B9D"/>
    <w:rsid w:val="6A09482D"/>
    <w:rsid w:val="6A132A85"/>
    <w:rsid w:val="6B0524C5"/>
    <w:rsid w:val="6B232F9A"/>
    <w:rsid w:val="6C1B2AF4"/>
    <w:rsid w:val="6C4A05C8"/>
    <w:rsid w:val="6C7F183B"/>
    <w:rsid w:val="6C962F9C"/>
    <w:rsid w:val="6D0C2A35"/>
    <w:rsid w:val="6D7E46BA"/>
    <w:rsid w:val="6DD17324"/>
    <w:rsid w:val="6E602011"/>
    <w:rsid w:val="6EB2165A"/>
    <w:rsid w:val="6EBA5BC5"/>
    <w:rsid w:val="6F1654F2"/>
    <w:rsid w:val="6F991C7F"/>
    <w:rsid w:val="701D465E"/>
    <w:rsid w:val="702E1464"/>
    <w:rsid w:val="703674CE"/>
    <w:rsid w:val="707E7812"/>
    <w:rsid w:val="70C06310"/>
    <w:rsid w:val="70E43E0B"/>
    <w:rsid w:val="710E1CF4"/>
    <w:rsid w:val="71326FC2"/>
    <w:rsid w:val="72206167"/>
    <w:rsid w:val="72734D90"/>
    <w:rsid w:val="728C727D"/>
    <w:rsid w:val="72BF64D5"/>
    <w:rsid w:val="72D51220"/>
    <w:rsid w:val="73532145"/>
    <w:rsid w:val="73A846EC"/>
    <w:rsid w:val="73E92344"/>
    <w:rsid w:val="741B7014"/>
    <w:rsid w:val="74CA47DC"/>
    <w:rsid w:val="75312C26"/>
    <w:rsid w:val="755A1EB0"/>
    <w:rsid w:val="75747DEC"/>
    <w:rsid w:val="76B069A3"/>
    <w:rsid w:val="76D90BB3"/>
    <w:rsid w:val="76F125B0"/>
    <w:rsid w:val="771D4568"/>
    <w:rsid w:val="77803A22"/>
    <w:rsid w:val="788D60F9"/>
    <w:rsid w:val="7940316B"/>
    <w:rsid w:val="79A13C0A"/>
    <w:rsid w:val="79D05397"/>
    <w:rsid w:val="7A3945F3"/>
    <w:rsid w:val="7B05466C"/>
    <w:rsid w:val="7BDD2EF3"/>
    <w:rsid w:val="7CFE6D88"/>
    <w:rsid w:val="7D0C3A90"/>
    <w:rsid w:val="7D104C8A"/>
    <w:rsid w:val="7D2428A3"/>
    <w:rsid w:val="7D254B52"/>
    <w:rsid w:val="7D2E1CDC"/>
    <w:rsid w:val="7D3031D2"/>
    <w:rsid w:val="7E6416AA"/>
    <w:rsid w:val="7E680A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8"/>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29"/>
    <w:qFormat/>
    <w:uiPriority w:val="9"/>
    <w:pPr>
      <w:keepNext/>
      <w:keepLines/>
      <w:spacing w:before="260" w:after="260" w:line="416" w:lineRule="auto"/>
      <w:outlineLvl w:val="2"/>
    </w:pPr>
    <w:rPr>
      <w:b/>
      <w:bCs/>
      <w:sz w:val="32"/>
      <w:szCs w:val="32"/>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35"/>
    <w:qFormat/>
    <w:uiPriority w:val="99"/>
    <w:pPr>
      <w:tabs>
        <w:tab w:val="center" w:pos="4153"/>
        <w:tab w:val="right" w:pos="8306"/>
      </w:tabs>
      <w:snapToGrid w:val="0"/>
      <w:jc w:val="left"/>
    </w:pPr>
    <w:rPr>
      <w:rFonts w:ascii="Calibri" w:hAnsi="Calibri"/>
      <w:kern w:val="0"/>
      <w:sz w:val="18"/>
      <w:szCs w:val="20"/>
      <w:lang w:val="zh-CN"/>
    </w:rPr>
  </w:style>
  <w:style w:type="paragraph" w:styleId="6">
    <w:name w:val="toc 7"/>
    <w:basedOn w:val="1"/>
    <w:next w:val="1"/>
    <w:unhideWhenUsed/>
    <w:qFormat/>
    <w:uiPriority w:val="39"/>
    <w:pPr>
      <w:ind w:left="1260"/>
      <w:jc w:val="left"/>
    </w:pPr>
    <w:rPr>
      <w:rFonts w:asciiTheme="minorHAnsi" w:eastAsiaTheme="minorHAnsi"/>
      <w:sz w:val="18"/>
      <w:szCs w:val="18"/>
    </w:rPr>
  </w:style>
  <w:style w:type="paragraph" w:styleId="7">
    <w:name w:val="Body Text"/>
    <w:basedOn w:val="1"/>
    <w:link w:val="36"/>
    <w:qFormat/>
    <w:uiPriority w:val="99"/>
    <w:pPr>
      <w:spacing w:beforeLines="30"/>
    </w:pPr>
    <w:rPr>
      <w:rFonts w:ascii="仿宋_GB2312" w:eastAsia="仿宋_GB2312"/>
      <w:kern w:val="0"/>
      <w:sz w:val="24"/>
      <w:szCs w:val="20"/>
      <w:lang w:val="zh-CN"/>
    </w:rPr>
  </w:style>
  <w:style w:type="paragraph" w:styleId="8">
    <w:name w:val="Body Text Indent"/>
    <w:basedOn w:val="1"/>
    <w:next w:val="9"/>
    <w:unhideWhenUsed/>
    <w:qFormat/>
    <w:uiPriority w:val="99"/>
    <w:pPr>
      <w:ind w:left="420" w:leftChars="200"/>
    </w:pPr>
    <w:rPr>
      <w:rFonts w:ascii="方正仿宋_GBK" w:hAnsi="方正仿宋_GBK" w:eastAsia="方正仿宋_GBK" w:cs="方正仿宋_GBK"/>
      <w:lang w:val="zh-CN" w:bidi="zh-CN"/>
    </w:rPr>
  </w:style>
  <w:style w:type="paragraph" w:styleId="9">
    <w:name w:val="Body Text First Indent 2"/>
    <w:basedOn w:val="8"/>
    <w:next w:val="1"/>
    <w:unhideWhenUsed/>
    <w:qFormat/>
    <w:uiPriority w:val="99"/>
    <w:pPr>
      <w:ind w:left="0" w:leftChars="0"/>
    </w:pPr>
  </w:style>
  <w:style w:type="paragraph" w:styleId="10">
    <w:name w:val="toc 5"/>
    <w:basedOn w:val="1"/>
    <w:next w:val="1"/>
    <w:unhideWhenUsed/>
    <w:qFormat/>
    <w:uiPriority w:val="39"/>
    <w:pPr>
      <w:ind w:left="840"/>
      <w:jc w:val="left"/>
    </w:pPr>
    <w:rPr>
      <w:rFonts w:asciiTheme="minorHAnsi" w:eastAsiaTheme="minorHAnsi"/>
      <w:sz w:val="18"/>
      <w:szCs w:val="18"/>
    </w:rPr>
  </w:style>
  <w:style w:type="paragraph" w:styleId="11">
    <w:name w:val="toc 3"/>
    <w:basedOn w:val="1"/>
    <w:next w:val="1"/>
    <w:unhideWhenUsed/>
    <w:qFormat/>
    <w:uiPriority w:val="39"/>
    <w:pPr>
      <w:ind w:left="420"/>
      <w:jc w:val="left"/>
    </w:pPr>
    <w:rPr>
      <w:rFonts w:asciiTheme="minorHAnsi" w:eastAsiaTheme="minorHAnsi"/>
      <w:i/>
      <w:iCs/>
      <w:sz w:val="20"/>
      <w:szCs w:val="20"/>
    </w:rPr>
  </w:style>
  <w:style w:type="paragraph" w:styleId="12">
    <w:name w:val="Plain Text"/>
    <w:basedOn w:val="1"/>
    <w:unhideWhenUsed/>
    <w:qFormat/>
    <w:uiPriority w:val="99"/>
    <w:rPr>
      <w:rFonts w:ascii="宋体" w:hAnsi="Courier New" w:eastAsia="宋体"/>
      <w:sz w:val="21"/>
      <w:szCs w:val="24"/>
    </w:rPr>
  </w:style>
  <w:style w:type="paragraph" w:styleId="13">
    <w:name w:val="toc 8"/>
    <w:basedOn w:val="1"/>
    <w:next w:val="1"/>
    <w:unhideWhenUsed/>
    <w:qFormat/>
    <w:uiPriority w:val="39"/>
    <w:pPr>
      <w:ind w:left="1470"/>
      <w:jc w:val="left"/>
    </w:pPr>
    <w:rPr>
      <w:rFonts w:asciiTheme="minorHAnsi" w:eastAsiaTheme="minorHAnsi"/>
      <w:sz w:val="18"/>
      <w:szCs w:val="18"/>
    </w:rPr>
  </w:style>
  <w:style w:type="paragraph" w:styleId="14">
    <w:name w:val="Balloon Text"/>
    <w:basedOn w:val="1"/>
    <w:link w:val="31"/>
    <w:unhideWhenUsed/>
    <w:qFormat/>
    <w:uiPriority w:val="99"/>
    <w:rPr>
      <w:sz w:val="18"/>
      <w:szCs w:val="18"/>
    </w:rPr>
  </w:style>
  <w:style w:type="paragraph" w:styleId="15">
    <w:name w:val="header"/>
    <w:basedOn w:val="1"/>
    <w:link w:val="34"/>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6">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7">
    <w:name w:val="toc 4"/>
    <w:basedOn w:val="1"/>
    <w:next w:val="1"/>
    <w:unhideWhenUsed/>
    <w:qFormat/>
    <w:uiPriority w:val="39"/>
    <w:pPr>
      <w:ind w:left="630"/>
      <w:jc w:val="left"/>
    </w:pPr>
    <w:rPr>
      <w:rFonts w:asciiTheme="minorHAnsi" w:eastAsiaTheme="minorHAnsi"/>
      <w:sz w:val="18"/>
      <w:szCs w:val="18"/>
    </w:rPr>
  </w:style>
  <w:style w:type="paragraph" w:styleId="18">
    <w:name w:val="toc 6"/>
    <w:basedOn w:val="1"/>
    <w:next w:val="1"/>
    <w:unhideWhenUsed/>
    <w:qFormat/>
    <w:uiPriority w:val="39"/>
    <w:pPr>
      <w:ind w:left="1050"/>
      <w:jc w:val="left"/>
    </w:pPr>
    <w:rPr>
      <w:rFonts w:asciiTheme="minorHAnsi" w:eastAsiaTheme="minorHAnsi"/>
      <w:sz w:val="18"/>
      <w:szCs w:val="18"/>
    </w:rPr>
  </w:style>
  <w:style w:type="paragraph" w:styleId="19">
    <w:name w:val="table of figures"/>
    <w:basedOn w:val="1"/>
    <w:next w:val="1"/>
    <w:unhideWhenUsed/>
    <w:qFormat/>
    <w:uiPriority w:val="99"/>
    <w:pPr>
      <w:spacing w:before="100" w:beforeAutospacing="1" w:after="100" w:afterAutospacing="1"/>
      <w:ind w:left="200" w:leftChars="200" w:hanging="200" w:hangingChars="200"/>
    </w:pPr>
    <w:rPr>
      <w:kern w:val="0"/>
      <w:sz w:val="20"/>
      <w:szCs w:val="20"/>
    </w:rPr>
  </w:style>
  <w:style w:type="paragraph" w:styleId="20">
    <w:name w:val="toc 2"/>
    <w:basedOn w:val="1"/>
    <w:next w:val="1"/>
    <w:unhideWhenUsed/>
    <w:qFormat/>
    <w:uiPriority w:val="39"/>
    <w:pPr>
      <w:ind w:left="210"/>
      <w:jc w:val="left"/>
    </w:pPr>
    <w:rPr>
      <w:rFonts w:asciiTheme="minorHAnsi" w:eastAsiaTheme="minorHAnsi"/>
      <w:smallCaps/>
      <w:sz w:val="20"/>
      <w:szCs w:val="20"/>
    </w:rPr>
  </w:style>
  <w:style w:type="paragraph" w:styleId="21">
    <w:name w:val="toc 9"/>
    <w:basedOn w:val="1"/>
    <w:next w:val="1"/>
    <w:unhideWhenUsed/>
    <w:qFormat/>
    <w:uiPriority w:val="39"/>
    <w:pPr>
      <w:ind w:left="1680"/>
      <w:jc w:val="left"/>
    </w:pPr>
    <w:rPr>
      <w:rFonts w:asciiTheme="minorHAnsi" w:eastAsiaTheme="minorHAnsi"/>
      <w:sz w:val="18"/>
      <w:szCs w:val="18"/>
    </w:rPr>
  </w:style>
  <w:style w:type="paragraph" w:styleId="22">
    <w:name w:val="Normal (Web)"/>
    <w:basedOn w:val="1"/>
    <w:qFormat/>
    <w:uiPriority w:val="0"/>
    <w:pPr>
      <w:spacing w:before="100" w:beforeAutospacing="1" w:after="100" w:afterAutospacing="1"/>
      <w:jc w:val="left"/>
    </w:pPr>
    <w:rPr>
      <w:rFonts w:ascii="宋体"/>
      <w:sz w:val="24"/>
    </w:rPr>
  </w:style>
  <w:style w:type="character" w:styleId="25">
    <w:name w:val="Strong"/>
    <w:basedOn w:val="24"/>
    <w:qFormat/>
    <w:uiPriority w:val="99"/>
    <w:rPr>
      <w:rFonts w:cs="Times New Roman"/>
      <w:b/>
    </w:rPr>
  </w:style>
  <w:style w:type="character" w:styleId="26">
    <w:name w:val="Hyperlink"/>
    <w:basedOn w:val="24"/>
    <w:unhideWhenUsed/>
    <w:qFormat/>
    <w:uiPriority w:val="99"/>
    <w:rPr>
      <w:rFonts w:cs="Times New Roman"/>
      <w:color w:val="0000FF"/>
      <w:u w:val="single"/>
    </w:rPr>
  </w:style>
  <w:style w:type="character" w:customStyle="1" w:styleId="27">
    <w:name w:val="标题 1 Char"/>
    <w:basedOn w:val="24"/>
    <w:link w:val="3"/>
    <w:qFormat/>
    <w:locked/>
    <w:uiPriority w:val="9"/>
    <w:rPr>
      <w:rFonts w:ascii="Times New Roman" w:hAnsi="Times New Roman" w:cs="Times New Roman"/>
      <w:b/>
      <w:bCs/>
      <w:kern w:val="44"/>
      <w:sz w:val="44"/>
      <w:szCs w:val="44"/>
    </w:rPr>
  </w:style>
  <w:style w:type="character" w:customStyle="1" w:styleId="28">
    <w:name w:val="标题 2 Char"/>
    <w:basedOn w:val="24"/>
    <w:link w:val="4"/>
    <w:qFormat/>
    <w:locked/>
    <w:uiPriority w:val="9"/>
    <w:rPr>
      <w:rFonts w:ascii="Cambria" w:hAnsi="Cambria" w:eastAsia="宋体" w:cs="Times New Roman"/>
      <w:b/>
      <w:bCs/>
      <w:kern w:val="2"/>
      <w:sz w:val="32"/>
      <w:szCs w:val="32"/>
    </w:rPr>
  </w:style>
  <w:style w:type="character" w:customStyle="1" w:styleId="29">
    <w:name w:val="标题 3 Char"/>
    <w:basedOn w:val="24"/>
    <w:link w:val="5"/>
    <w:qFormat/>
    <w:locked/>
    <w:uiPriority w:val="9"/>
    <w:rPr>
      <w:rFonts w:ascii="Times New Roman" w:hAnsi="Times New Roman" w:cs="Times New Roman"/>
      <w:b/>
      <w:bCs/>
      <w:kern w:val="2"/>
      <w:sz w:val="32"/>
      <w:szCs w:val="32"/>
    </w:rPr>
  </w:style>
  <w:style w:type="character" w:customStyle="1" w:styleId="30">
    <w:name w:val="Body Text Char"/>
    <w:basedOn w:val="24"/>
    <w:semiHidden/>
    <w:qFormat/>
    <w:uiPriority w:val="99"/>
    <w:rPr>
      <w:rFonts w:ascii="Times New Roman" w:hAnsi="Times New Roman" w:cs="Times New Roman"/>
      <w:sz w:val="24"/>
      <w:szCs w:val="24"/>
    </w:rPr>
  </w:style>
  <w:style w:type="character" w:customStyle="1" w:styleId="31">
    <w:name w:val="批注框文本 Char"/>
    <w:basedOn w:val="24"/>
    <w:link w:val="14"/>
    <w:semiHidden/>
    <w:qFormat/>
    <w:locked/>
    <w:uiPriority w:val="99"/>
    <w:rPr>
      <w:rFonts w:ascii="Times New Roman" w:hAnsi="Times New Roman" w:cs="Times New Roman"/>
      <w:kern w:val="2"/>
      <w:sz w:val="18"/>
      <w:szCs w:val="18"/>
    </w:rPr>
  </w:style>
  <w:style w:type="character" w:customStyle="1" w:styleId="32">
    <w:name w:val="Footer Char"/>
    <w:basedOn w:val="24"/>
    <w:semiHidden/>
    <w:qFormat/>
    <w:uiPriority w:val="99"/>
    <w:rPr>
      <w:rFonts w:ascii="Times New Roman" w:hAnsi="Times New Roman" w:cs="Times New Roman"/>
      <w:sz w:val="18"/>
      <w:szCs w:val="18"/>
    </w:rPr>
  </w:style>
  <w:style w:type="character" w:customStyle="1" w:styleId="33">
    <w:name w:val="Header Char"/>
    <w:basedOn w:val="24"/>
    <w:semiHidden/>
    <w:qFormat/>
    <w:uiPriority w:val="99"/>
    <w:rPr>
      <w:rFonts w:ascii="Times New Roman" w:hAnsi="Times New Roman" w:cs="Times New Roman"/>
      <w:sz w:val="18"/>
      <w:szCs w:val="18"/>
    </w:rPr>
  </w:style>
  <w:style w:type="character" w:customStyle="1" w:styleId="34">
    <w:name w:val="页眉 Char"/>
    <w:link w:val="15"/>
    <w:semiHidden/>
    <w:qFormat/>
    <w:locked/>
    <w:uiPriority w:val="99"/>
    <w:rPr>
      <w:sz w:val="18"/>
    </w:rPr>
  </w:style>
  <w:style w:type="character" w:customStyle="1" w:styleId="35">
    <w:name w:val="页脚 Char"/>
    <w:link w:val="2"/>
    <w:qFormat/>
    <w:locked/>
    <w:uiPriority w:val="99"/>
    <w:rPr>
      <w:sz w:val="18"/>
    </w:rPr>
  </w:style>
  <w:style w:type="character" w:customStyle="1" w:styleId="36">
    <w:name w:val="正文文本 Char"/>
    <w:link w:val="7"/>
    <w:qFormat/>
    <w:locked/>
    <w:uiPriority w:val="99"/>
    <w:rPr>
      <w:rFonts w:ascii="仿宋_GB2312" w:hAnsi="Times New Roman" w:eastAsia="仿宋_GB2312"/>
      <w:sz w:val="24"/>
    </w:rPr>
  </w:style>
  <w:style w:type="paragraph" w:customStyle="1" w:styleId="3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38">
    <w:name w:val="列表段落1"/>
    <w:basedOn w:val="1"/>
    <w:qFormat/>
    <w:uiPriority w:val="34"/>
    <w:pPr>
      <w:ind w:firstLine="420" w:firstLineChars="200"/>
    </w:pPr>
  </w:style>
  <w:style w:type="paragraph" w:customStyle="1" w:styleId="39">
    <w:name w:val="TOC 标题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0">
    <w:name w:val="TOC Heading1"/>
    <w:basedOn w:val="3"/>
    <w:next w:val="1"/>
    <w:unhideWhenUsed/>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41">
    <w:name w:val="TOC 标题2"/>
    <w:basedOn w:val="3"/>
    <w:next w:val="1"/>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F5496" w:themeColor="accent1" w:themeShade="BF"/>
      <w:kern w:val="0"/>
      <w:sz w:val="32"/>
      <w:szCs w:val="32"/>
    </w:rPr>
  </w:style>
  <w:style w:type="paragraph" w:styleId="42">
    <w:name w:val="List Paragraph"/>
    <w:basedOn w:val="1"/>
    <w:unhideWhenUsed/>
    <w:uiPriority w:val="99"/>
    <w:pPr>
      <w:ind w:firstLine="420" w:firstLineChars="200"/>
    </w:pPr>
  </w:style>
  <w:style w:type="paragraph" w:customStyle="1" w:styleId="43">
    <w:name w:val="列出段落1"/>
    <w:basedOn w:val="1"/>
    <w:qFormat/>
    <w:uiPriority w:val="99"/>
    <w:pPr>
      <w:ind w:firstLine="420" w:firstLineChars="200"/>
    </w:pPr>
  </w:style>
  <w:style w:type="paragraph" w:customStyle="1" w:styleId="44">
    <w:name w:val="四号正文"/>
    <w:basedOn w:val="1"/>
    <w:qFormat/>
    <w:uiPriority w:val="0"/>
    <w:pPr>
      <w:spacing w:line="360" w:lineRule="auto"/>
    </w:pPr>
    <w:rPr>
      <w:rFonts w:ascii="??" w:hAnsi="??" w:eastAsia="宋体"/>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CAE55-CD1B-4B4A-B759-66D9AAD6058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27</Pages>
  <Words>10224</Words>
  <Characters>11033</Characters>
  <Lines>23</Lines>
  <Paragraphs>26</Paragraphs>
  <TotalTime>14</TotalTime>
  <ScaleCrop>false</ScaleCrop>
  <LinksUpToDate>false</LinksUpToDate>
  <CharactersWithSpaces>11093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2021-08-06T09:38:00Z</dcterms:created>
  <dc:creator>曹颖</dc:creator>
  <cp:lastModifiedBy>admin</cp:lastModifiedBy>
  <cp:lastPrinted>2022-10-09T06:53:53Z</cp:lastPrinted>
  <dcterms:modified xsi:type="dcterms:W3CDTF">2022-10-09T06:53:57Z</dcterms:modified>
  <dc:title>阿坝州部门决算说明</dc:title>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3551B7E051CF488582256726FBDF98C4</vt:lpwstr>
  </property>
</Properties>
</file>