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D52E1">
      <w:pPr>
        <w:jc w:val="center"/>
        <w:rPr>
          <w:rFonts w:hint="eastAsia" w:ascii="方正小标宋_GBK" w:hAnsi="方正小标宋_GBK" w:eastAsia="方正小标宋_GBK" w:cs="方正小标宋_GBK"/>
          <w:sz w:val="52"/>
          <w:szCs w:val="52"/>
        </w:rPr>
      </w:pPr>
      <w:bookmarkStart w:id="0" w:name="_Toc15378441"/>
      <w:bookmarkStart w:id="1" w:name="_Toc15396475"/>
      <w:bookmarkStart w:id="2" w:name="_Toc15377425"/>
      <w:bookmarkStart w:id="3" w:name="_Toc15396597"/>
      <w:bookmarkStart w:id="4" w:name="_Toc20648"/>
      <w:bookmarkStart w:id="5" w:name="_Toc15377193"/>
      <w:bookmarkStart w:id="6" w:name="_Toc15306267"/>
    </w:p>
    <w:p w14:paraId="357BF1B7">
      <w:pPr>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2019年度</w:t>
      </w:r>
      <w:bookmarkEnd w:id="0"/>
      <w:bookmarkEnd w:id="1"/>
      <w:bookmarkEnd w:id="2"/>
      <w:bookmarkEnd w:id="3"/>
      <w:bookmarkEnd w:id="4"/>
      <w:bookmarkEnd w:id="5"/>
    </w:p>
    <w:p w14:paraId="1FB93419">
      <w:pPr>
        <w:jc w:val="center"/>
        <w:rPr>
          <w:rFonts w:ascii="方正小标宋_GBK" w:hAnsi="方正小标宋_GBK" w:eastAsia="方正小标宋_GBK" w:cs="方正小标宋_GBK"/>
          <w:sz w:val="52"/>
          <w:szCs w:val="52"/>
        </w:rPr>
      </w:pPr>
      <w:bookmarkStart w:id="7" w:name="_Toc15377194"/>
      <w:bookmarkStart w:id="8" w:name="_Toc15396598"/>
      <w:bookmarkStart w:id="9" w:name="_Toc15378442"/>
      <w:bookmarkStart w:id="10" w:name="_Toc15377426"/>
      <w:bookmarkStart w:id="11" w:name="_Toc22624"/>
      <w:bookmarkStart w:id="12" w:name="_Toc15396476"/>
      <w:r>
        <w:rPr>
          <w:rFonts w:hint="eastAsia" w:ascii="方正小标宋_GBK" w:hAnsi="方正小标宋_GBK" w:eastAsia="方正小标宋_GBK" w:cs="方正小标宋_GBK"/>
          <w:sz w:val="52"/>
          <w:szCs w:val="52"/>
        </w:rPr>
        <w:t>四川省阿坝州</w:t>
      </w:r>
      <w:bookmarkStart w:id="13" w:name="_Toc15306268"/>
      <w:r>
        <w:rPr>
          <w:rFonts w:hint="eastAsia" w:ascii="方正小标宋_GBK" w:hAnsi="方正小标宋_GBK" w:eastAsia="方正小标宋_GBK" w:cs="方正小标宋_GBK"/>
          <w:sz w:val="52"/>
          <w:szCs w:val="52"/>
        </w:rPr>
        <w:t>九寨沟县委统战部</w:t>
      </w:r>
    </w:p>
    <w:p w14:paraId="6263DB50">
      <w:pPr>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部门决算</w:t>
      </w:r>
      <w:bookmarkEnd w:id="7"/>
      <w:bookmarkEnd w:id="8"/>
      <w:bookmarkEnd w:id="9"/>
      <w:bookmarkEnd w:id="10"/>
      <w:bookmarkEnd w:id="11"/>
      <w:bookmarkEnd w:id="12"/>
      <w:bookmarkEnd w:id="13"/>
    </w:p>
    <w:p w14:paraId="0BD00440">
      <w:pPr>
        <w:jc w:val="center"/>
        <w:rPr>
          <w:rFonts w:ascii="方正小标宋_GBK" w:hAnsi="方正小标宋_GBK" w:eastAsia="方正小标宋_GBK" w:cs="方正小标宋_GBK"/>
          <w:sz w:val="52"/>
          <w:szCs w:val="52"/>
        </w:rPr>
      </w:pPr>
    </w:p>
    <w:p w14:paraId="5E51961D">
      <w:pPr>
        <w:jc w:val="center"/>
        <w:rPr>
          <w:rFonts w:ascii="宋体" w:hAnsi="宋体"/>
        </w:rPr>
      </w:pPr>
    </w:p>
    <w:p w14:paraId="4E768D44">
      <w:pPr>
        <w:jc w:val="center"/>
        <w:rPr>
          <w:rFonts w:ascii="宋体" w:hAnsi="宋体"/>
        </w:rPr>
      </w:pPr>
    </w:p>
    <w:p w14:paraId="1262CC0C">
      <w:pPr>
        <w:jc w:val="center"/>
        <w:rPr>
          <w:rFonts w:ascii="宋体" w:hAnsi="宋体"/>
        </w:rPr>
      </w:pPr>
    </w:p>
    <w:p w14:paraId="53C48197">
      <w:pPr>
        <w:jc w:val="center"/>
        <w:rPr>
          <w:rFonts w:ascii="方正仿宋_GBK" w:hAnsi="方正仿宋_GBK" w:eastAsia="方正仿宋_GBK" w:cs="方正仿宋_GBK"/>
          <w:sz w:val="32"/>
          <w:szCs w:val="32"/>
        </w:rPr>
      </w:pPr>
    </w:p>
    <w:p w14:paraId="2908F20D">
      <w:pPr>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保密审查情况：已审查，内容审定</w:t>
      </w:r>
    </w:p>
    <w:p w14:paraId="3C18930A">
      <w:pPr>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部门主要负责人审签情况：已审签，同意对外公开</w:t>
      </w:r>
    </w:p>
    <w:p w14:paraId="295B053F">
      <w:pPr>
        <w:jc w:val="center"/>
        <w:rPr>
          <w:rFonts w:ascii="宋体" w:hAnsi="宋体"/>
        </w:rPr>
      </w:pPr>
    </w:p>
    <w:p w14:paraId="1EDFB735">
      <w:pPr>
        <w:jc w:val="center"/>
        <w:rPr>
          <w:rFonts w:ascii="宋体" w:hAnsi="宋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sdt>
      <w:sdtPr>
        <w:rPr>
          <w:rFonts w:ascii="宋体" w:hAnsi="宋体"/>
        </w:rPr>
        <w:id w:val="147480983"/>
        <w15:color w:val="DBDBDB"/>
        <w:docPartObj>
          <w:docPartGallery w:val="Table of Contents"/>
          <w:docPartUnique/>
        </w:docPartObj>
      </w:sdtPr>
      <w:sdtEndPr>
        <w:rPr>
          <w:rFonts w:hint="eastAsia" w:asciiTheme="minorEastAsia" w:hAnsiTheme="minorEastAsia" w:eastAsiaTheme="minorEastAsia" w:cstheme="minorEastAsia"/>
          <w:color w:val="000000"/>
          <w:sz w:val="28"/>
          <w:szCs w:val="28"/>
        </w:rPr>
      </w:sdtEndPr>
      <w:sdtContent>
        <w:p w14:paraId="2F434247">
          <w:pPr>
            <w:jc w:val="center"/>
            <w:rPr>
              <w:rFonts w:ascii="黑体" w:hAnsi="黑体" w:eastAsia="黑体" w:cs="黑体"/>
              <w:sz w:val="32"/>
              <w:szCs w:val="32"/>
            </w:rPr>
          </w:pPr>
          <w:r>
            <w:rPr>
              <w:rFonts w:hint="eastAsia" w:ascii="黑体" w:hAnsi="黑体" w:eastAsia="黑体" w:cs="黑体"/>
              <w:sz w:val="32"/>
              <w:szCs w:val="32"/>
            </w:rPr>
            <w:t>目  录</w:t>
          </w:r>
        </w:p>
        <w:p w14:paraId="001BE395">
          <w:pPr>
            <w:pStyle w:val="12"/>
            <w:tabs>
              <w:tab w:val="right" w:leader="dot" w:pos="8306"/>
              <w:tab w:val="clear" w:pos="8296"/>
            </w:tabs>
            <w:spacing w:line="320" w:lineRule="exact"/>
            <w:rPr>
              <w:rFonts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公开时间：2020年8月25日</w:t>
          </w:r>
        </w:p>
        <w:p w14:paraId="4873FB8A">
          <w:pPr>
            <w:pStyle w:val="12"/>
            <w:tabs>
              <w:tab w:val="right" w:leader="dot" w:pos="8306"/>
              <w:tab w:val="clear" w:pos="8296"/>
            </w:tabs>
            <w:spacing w:line="320" w:lineRule="exact"/>
            <w:rPr>
              <w:rFonts w:asciiTheme="minorEastAsia" w:hAnsiTheme="minorEastAsia" w:eastAsiaTheme="minorEastAsia" w:cstheme="minorEastAsia"/>
            </w:rPr>
          </w:pPr>
          <w:r>
            <w:rPr>
              <w:rFonts w:hint="eastAsia" w:asciiTheme="minorEastAsia" w:hAnsiTheme="minorEastAsia" w:eastAsiaTheme="minorEastAsia" w:cstheme="minorEastAsia"/>
              <w:color w:val="000000"/>
            </w:rPr>
            <w:fldChar w:fldCharType="begin"/>
          </w:r>
          <w:r>
            <w:rPr>
              <w:rFonts w:hint="eastAsia" w:asciiTheme="minorEastAsia" w:hAnsiTheme="minorEastAsia" w:eastAsiaTheme="minorEastAsia" w:cstheme="minorEastAsia"/>
              <w:color w:val="000000"/>
            </w:rPr>
            <w:instrText xml:space="preserve">TOC \o "1-3" \h \u </w:instrText>
          </w:r>
          <w:r>
            <w:rPr>
              <w:rFonts w:hint="eastAsia" w:asciiTheme="minorEastAsia" w:hAnsiTheme="minorEastAsia" w:eastAsiaTheme="minorEastAsia" w:cstheme="minorEastAsia"/>
              <w:color w:val="000000"/>
            </w:rPr>
            <w:fldChar w:fldCharType="separate"/>
          </w:r>
        </w:p>
        <w:p w14:paraId="3665F484">
          <w:pPr>
            <w:pStyle w:val="12"/>
            <w:tabs>
              <w:tab w:val="right" w:leader="dot" w:pos="8306"/>
              <w:tab w:val="clear" w:pos="8296"/>
            </w:tabs>
            <w:spacing w:line="320" w:lineRule="exact"/>
            <w:rPr>
              <w:rFonts w:asciiTheme="minorEastAsia" w:hAnsiTheme="minorEastAsia" w:eastAsiaTheme="minorEastAsia" w:cstheme="minorEastAsia"/>
            </w:rPr>
          </w:pPr>
          <w:r>
            <w:fldChar w:fldCharType="begin"/>
          </w:r>
          <w:r>
            <w:instrText xml:space="preserve"> HYPERLINK \l "_Toc31866" </w:instrText>
          </w:r>
          <w:r>
            <w:fldChar w:fldCharType="separate"/>
          </w:r>
          <w:r>
            <w:rPr>
              <w:rFonts w:hint="eastAsia" w:asciiTheme="minorEastAsia" w:hAnsiTheme="minorEastAsia" w:eastAsiaTheme="minorEastAsia" w:cstheme="minorEastAsia"/>
            </w:rPr>
            <w:t>第一部分 部门概况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_Toc31866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14:paraId="00332BD6">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"_Toc12824" </w:instrText>
          </w:r>
          <w:r>
            <w:fldChar w:fldCharType="separate"/>
          </w:r>
          <w:r>
            <w:rPr>
              <w:rFonts w:hint="eastAsia" w:asciiTheme="minorEastAsia" w:hAnsiTheme="minorEastAsia" w:eastAsiaTheme="minorEastAsia" w:cstheme="minorEastAsia"/>
              <w:sz w:val="28"/>
              <w:szCs w:val="28"/>
            </w:rPr>
            <w:t>一、基本职能及主要工作</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_Toc12824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5EA86BF7">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"_Toc28960" </w:instrText>
          </w:r>
          <w:r>
            <w:fldChar w:fldCharType="separate"/>
          </w:r>
          <w:r>
            <w:rPr>
              <w:rFonts w:hint="eastAsia" w:asciiTheme="minorEastAsia" w:hAnsiTheme="minorEastAsia" w:eastAsiaTheme="minorEastAsia" w:cstheme="minorEastAsia"/>
              <w:sz w:val="28"/>
              <w:szCs w:val="28"/>
            </w:rPr>
            <w:t>二、机构设置</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_Toc28960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31A28FA7">
          <w:pPr>
            <w:pStyle w:val="12"/>
            <w:tabs>
              <w:tab w:val="right" w:leader="dot" w:pos="8306"/>
              <w:tab w:val="clear" w:pos="8296"/>
            </w:tabs>
            <w:spacing w:line="320" w:lineRule="exact"/>
            <w:rPr>
              <w:rFonts w:asciiTheme="minorEastAsia" w:hAnsiTheme="minorEastAsia" w:eastAsiaTheme="minorEastAsia" w:cstheme="minorEastAsia"/>
            </w:rPr>
          </w:pPr>
          <w:r>
            <w:fldChar w:fldCharType="begin"/>
          </w:r>
          <w:r>
            <w:instrText xml:space="preserve"> HYPERLINK \l "_Toc603" </w:instrText>
          </w:r>
          <w:r>
            <w:fldChar w:fldCharType="separate"/>
          </w:r>
          <w:r>
            <w:rPr>
              <w:rFonts w:hint="eastAsia" w:asciiTheme="minorEastAsia" w:hAnsiTheme="minorEastAsia" w:eastAsiaTheme="minorEastAsia" w:cstheme="minorEastAsia"/>
            </w:rPr>
            <w:t>第二部分 2019年度部门决算情况说明</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_Toc603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14:paraId="39B27D8F">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"_Toc2951" </w:instrText>
          </w:r>
          <w:r>
            <w:fldChar w:fldCharType="separate"/>
          </w:r>
          <w:r>
            <w:rPr>
              <w:rFonts w:hint="eastAsia" w:asciiTheme="minorEastAsia" w:hAnsiTheme="minorEastAsia" w:eastAsiaTheme="minorEastAsia" w:cstheme="minorEastAsia"/>
              <w:sz w:val="28"/>
              <w:szCs w:val="28"/>
            </w:rPr>
            <w:t>一、 收入支出决算总体情况说明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_Toc2951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39AAC928">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"_Toc20638" </w:instrText>
          </w:r>
          <w:r>
            <w:fldChar w:fldCharType="separate"/>
          </w:r>
          <w:r>
            <w:rPr>
              <w:rFonts w:hint="eastAsia" w:asciiTheme="minorEastAsia" w:hAnsiTheme="minorEastAsia" w:eastAsiaTheme="minorEastAsia" w:cstheme="minorEastAsia"/>
              <w:sz w:val="28"/>
              <w:szCs w:val="28"/>
            </w:rPr>
            <w:t>二、 收入决算情况说明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_Toc20638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5D3FD7A8">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"_Toc1224" </w:instrText>
          </w:r>
          <w:r>
            <w:fldChar w:fldCharType="separate"/>
          </w:r>
          <w:r>
            <w:rPr>
              <w:rFonts w:hint="eastAsia" w:asciiTheme="minorEastAsia" w:hAnsiTheme="minorEastAsia" w:eastAsiaTheme="minorEastAsia" w:cstheme="minorEastAsia"/>
              <w:sz w:val="28"/>
              <w:szCs w:val="28"/>
            </w:rPr>
            <w:t>三、 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_Toc1224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29B21E8E">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"_Toc32007" </w:instrText>
          </w:r>
          <w:r>
            <w:fldChar w:fldCharType="separate"/>
          </w:r>
          <w:r>
            <w:rPr>
              <w:rFonts w:hint="eastAsia" w:asciiTheme="minorEastAsia" w:hAnsiTheme="minorEastAsia" w:eastAsiaTheme="minorEastAsia" w:cstheme="minorEastAsia"/>
              <w:sz w:val="28"/>
              <w:szCs w:val="28"/>
            </w:rPr>
            <w:t>四、财政拨款收入支出决算总体情况说明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_Toc32007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35663FB9">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"_Toc32322" </w:instrText>
          </w:r>
          <w:r>
            <w:fldChar w:fldCharType="separate"/>
          </w:r>
          <w:r>
            <w:rPr>
              <w:rFonts w:hint="eastAsia" w:asciiTheme="minorEastAsia" w:hAnsiTheme="minorEastAsia" w:eastAsiaTheme="minorEastAsia" w:cstheme="minorEastAsia"/>
              <w:sz w:val="28"/>
              <w:szCs w:val="28"/>
            </w:rPr>
            <w:t>五、一般公共预算财政拨款支出决算情况说明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_Toc32322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7444DCA0">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"_Toc29754" </w:instrText>
          </w:r>
          <w:r>
            <w:fldChar w:fldCharType="separate"/>
          </w:r>
          <w:r>
            <w:rPr>
              <w:rFonts w:hint="eastAsia" w:asciiTheme="minorEastAsia" w:hAnsiTheme="minorEastAsia" w:eastAsiaTheme="minorEastAsia" w:cstheme="minorEastAsia"/>
              <w:sz w:val="28"/>
              <w:szCs w:val="28"/>
            </w:rPr>
            <w:t>六、一般公共预算财政拨款基本支出决算情况说明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_Toc29754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35562651">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"_Toc1844" </w:instrText>
          </w:r>
          <w:r>
            <w:fldChar w:fldCharType="separate"/>
          </w:r>
          <w:r>
            <w:rPr>
              <w:rFonts w:hint="eastAsia" w:asciiTheme="minorEastAsia" w:hAnsiTheme="minorEastAsia" w:eastAsiaTheme="minorEastAsia" w:cstheme="minorEastAsia"/>
              <w:sz w:val="28"/>
              <w:szCs w:val="28"/>
            </w:rPr>
            <w:t>七、“三公”经费财政拨款支出决算情况说明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_Toc1844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1568C922">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"_Toc12075" </w:instrText>
          </w:r>
          <w:r>
            <w:fldChar w:fldCharType="separate"/>
          </w:r>
          <w:r>
            <w:rPr>
              <w:rFonts w:hint="eastAsia" w:asciiTheme="minorEastAsia" w:hAnsiTheme="minorEastAsia" w:eastAsiaTheme="minorEastAsia" w:cstheme="minorEastAsia"/>
              <w:sz w:val="28"/>
              <w:szCs w:val="28"/>
            </w:rPr>
            <w:t>八、政府性基金预算支出决算情况说明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_Toc12075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5F698470">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"_Toc23142" </w:instrText>
          </w:r>
          <w:r>
            <w:fldChar w:fldCharType="separate"/>
          </w:r>
          <w:r>
            <w:rPr>
              <w:rFonts w:hint="eastAsia" w:asciiTheme="minorEastAsia" w:hAnsiTheme="minorEastAsia" w:eastAsiaTheme="minorEastAsia" w:cstheme="minorEastAsia"/>
              <w:sz w:val="28"/>
              <w:szCs w:val="28"/>
            </w:rPr>
            <w:t>九、 国有资本经营预算支出决算情况说明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_Toc23142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41032EF0">
          <w:pPr>
            <w:pStyle w:val="14"/>
            <w:tabs>
              <w:tab w:val="right" w:leader="dot" w:pos="8306"/>
              <w:tab w:val="clear" w:pos="8296"/>
            </w:tabs>
            <w:spacing w:line="320" w:lineRule="exact"/>
            <w:rPr>
              <w:rFonts w:asciiTheme="minorEastAsia" w:hAnsiTheme="minorEastAsia" w:eastAsiaTheme="minorEastAsia" w:cstheme="minorEastAsia"/>
              <w:sz w:val="28"/>
              <w:szCs w:val="28"/>
            </w:rPr>
          </w:pPr>
          <w:r>
            <w:fldChar w:fldCharType="begin"/>
          </w:r>
          <w:r>
            <w:instrText xml:space="preserve"> HYPERLINK \l "_Toc14604" </w:instrText>
          </w:r>
          <w:r>
            <w:fldChar w:fldCharType="separate"/>
          </w:r>
          <w:r>
            <w:rPr>
              <w:rFonts w:hint="eastAsia" w:asciiTheme="minorEastAsia" w:hAnsiTheme="minorEastAsia" w:eastAsiaTheme="minorEastAsia" w:cstheme="minorEastAsia"/>
              <w:sz w:val="28"/>
              <w:szCs w:val="28"/>
            </w:rPr>
            <w:t>十、其他重要事项的情况说明</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PAGEREF _Toc14604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27</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fldChar w:fldCharType="end"/>
          </w:r>
        </w:p>
        <w:p w14:paraId="0CBF0D06">
          <w:pPr>
            <w:pStyle w:val="12"/>
            <w:tabs>
              <w:tab w:val="right" w:leader="dot" w:pos="8306"/>
              <w:tab w:val="clear" w:pos="8296"/>
            </w:tabs>
            <w:spacing w:line="320" w:lineRule="exact"/>
            <w:rPr>
              <w:rFonts w:asciiTheme="minorEastAsia" w:hAnsiTheme="minorEastAsia" w:eastAsiaTheme="minorEastAsia" w:cstheme="minorEastAsia"/>
            </w:rPr>
          </w:pPr>
          <w:r>
            <w:fldChar w:fldCharType="begin"/>
          </w:r>
          <w:r>
            <w:instrText xml:space="preserve"> HYPERLINK \l "_Toc30586" </w:instrText>
          </w:r>
          <w:r>
            <w:fldChar w:fldCharType="separate"/>
          </w:r>
          <w:r>
            <w:rPr>
              <w:rFonts w:hint="eastAsia" w:asciiTheme="minorEastAsia" w:hAnsiTheme="minorEastAsia" w:eastAsiaTheme="minorEastAsia" w:cstheme="minorEastAsia"/>
            </w:rPr>
            <w:t>第三部分 名词解释</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_Toc30586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14:paraId="14923BE0">
          <w:pPr>
            <w:pStyle w:val="12"/>
            <w:tabs>
              <w:tab w:val="right" w:leader="dot" w:pos="8306"/>
              <w:tab w:val="clear" w:pos="8296"/>
            </w:tabs>
            <w:spacing w:line="320" w:lineRule="exact"/>
            <w:rPr>
              <w:rFonts w:asciiTheme="minorEastAsia" w:hAnsiTheme="minorEastAsia" w:eastAsiaTheme="minorEastAsia" w:cstheme="minorEastAsia"/>
            </w:rPr>
          </w:pPr>
          <w:r>
            <w:fldChar w:fldCharType="begin"/>
          </w:r>
          <w:r>
            <w:instrText xml:space="preserve"> HYPERLINK \l "_Toc5827" </w:instrText>
          </w:r>
          <w:r>
            <w:fldChar w:fldCharType="separate"/>
          </w:r>
          <w:r>
            <w:rPr>
              <w:rFonts w:hint="eastAsia" w:asciiTheme="minorEastAsia" w:hAnsiTheme="minorEastAsia" w:eastAsiaTheme="minorEastAsia" w:cstheme="minorEastAsia"/>
            </w:rPr>
            <w:t>第四部分 附件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_Toc5827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14:paraId="071823FA">
          <w:pPr>
            <w:pStyle w:val="12"/>
            <w:tabs>
              <w:tab w:val="right" w:leader="dot" w:pos="8306"/>
              <w:tab w:val="clear" w:pos="8296"/>
            </w:tabs>
            <w:spacing w:line="320" w:lineRule="exact"/>
            <w:rPr>
              <w:rFonts w:asciiTheme="minorEastAsia" w:hAnsiTheme="minorEastAsia" w:eastAsiaTheme="minorEastAsia" w:cstheme="minorEastAsia"/>
            </w:rPr>
          </w:pPr>
          <w:r>
            <w:fldChar w:fldCharType="begin"/>
          </w:r>
          <w:r>
            <w:instrText xml:space="preserve"> HYPERLINK \l "_Toc25475" </w:instrText>
          </w:r>
          <w:r>
            <w:fldChar w:fldCharType="separate"/>
          </w:r>
          <w:r>
            <w:rPr>
              <w:rFonts w:hint="eastAsia" w:asciiTheme="minorEastAsia" w:hAnsiTheme="minorEastAsia" w:eastAsiaTheme="minorEastAsia" w:cstheme="minorEastAsia"/>
            </w:rPr>
            <w:t>第五部分 附表</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_Toc25475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51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14:paraId="28F24AD4">
          <w:pPr>
            <w:spacing w:line="320" w:lineRule="exact"/>
            <w:jc w:val="center"/>
            <w:outlineLvl w:val="0"/>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fldChar w:fldCharType="end"/>
          </w:r>
        </w:p>
        <w:p w14:paraId="1704A974">
          <w:pPr>
            <w:spacing w:line="320" w:lineRule="exact"/>
            <w:jc w:val="center"/>
            <w:outlineLvl w:val="0"/>
            <w:rPr>
              <w:rFonts w:asciiTheme="minorEastAsia" w:hAnsiTheme="minorEastAsia" w:eastAsiaTheme="minorEastAsia" w:cstheme="minorEastAsia"/>
              <w:color w:val="000000"/>
              <w:sz w:val="28"/>
              <w:szCs w:val="28"/>
            </w:rPr>
          </w:pPr>
        </w:p>
        <w:p w14:paraId="1697BC25">
          <w:pPr>
            <w:spacing w:line="320" w:lineRule="exact"/>
            <w:jc w:val="center"/>
            <w:outlineLvl w:val="0"/>
            <w:rPr>
              <w:rFonts w:asciiTheme="minorEastAsia" w:hAnsiTheme="minorEastAsia" w:eastAsiaTheme="minorEastAsia" w:cstheme="minorEastAsia"/>
              <w:color w:val="000000"/>
              <w:sz w:val="28"/>
              <w:szCs w:val="28"/>
            </w:rPr>
          </w:pPr>
        </w:p>
        <w:p w14:paraId="1D636AF3">
          <w:pPr>
            <w:spacing w:line="320" w:lineRule="exact"/>
            <w:jc w:val="center"/>
            <w:outlineLvl w:val="0"/>
            <w:rPr>
              <w:rFonts w:asciiTheme="minorEastAsia" w:hAnsiTheme="minorEastAsia" w:eastAsiaTheme="minorEastAsia" w:cstheme="minorEastAsia"/>
              <w:color w:val="000000"/>
              <w:sz w:val="28"/>
              <w:szCs w:val="28"/>
            </w:rPr>
          </w:pPr>
        </w:p>
      </w:sdtContent>
    </w:sdt>
    <w:p w14:paraId="1C4960A0">
      <w:pPr>
        <w:spacing w:line="320" w:lineRule="exact"/>
        <w:jc w:val="center"/>
        <w:outlineLvl w:val="0"/>
        <w:rPr>
          <w:rFonts w:asciiTheme="minorEastAsia" w:hAnsiTheme="minorEastAsia" w:eastAsiaTheme="minorEastAsia" w:cstheme="minorEastAsia"/>
          <w:color w:val="000000"/>
          <w:sz w:val="28"/>
          <w:szCs w:val="28"/>
        </w:rPr>
      </w:pPr>
    </w:p>
    <w:bookmarkEnd w:id="6"/>
    <w:p w14:paraId="419E7361">
      <w:pPr>
        <w:widowControl/>
        <w:jc w:val="center"/>
        <w:rPr>
          <w:rFonts w:ascii="黑体" w:hAnsi="黑体" w:eastAsia="黑体" w:cstheme="minorBidi"/>
          <w:sz w:val="28"/>
          <w:szCs w:val="28"/>
        </w:rPr>
      </w:pPr>
    </w:p>
    <w:p w14:paraId="6FC2C316"/>
    <w:p w14:paraId="1F12329A"/>
    <w:p w14:paraId="610337C5">
      <w:pPr>
        <w:widowControl/>
        <w:spacing w:line="440" w:lineRule="exact"/>
        <w:jc w:val="left"/>
        <w:rPr>
          <w:rFonts w:ascii="仿宋" w:hAnsi="仿宋" w:eastAsia="方正仿宋_GBK"/>
          <w:bCs/>
          <w:kern w:val="44"/>
          <w:sz w:val="24"/>
        </w:rPr>
      </w:pPr>
      <w:bookmarkStart w:id="14" w:name="_Toc15377196"/>
      <w:bookmarkStart w:id="15" w:name="_Toc15396599"/>
      <w:r>
        <w:rPr>
          <w:rFonts w:ascii="仿宋" w:hAnsi="仿宋" w:eastAsia="方正仿宋_GBK"/>
          <w:b/>
          <w:sz w:val="24"/>
        </w:rPr>
        <w:br w:type="page"/>
      </w:r>
    </w:p>
    <w:p w14:paraId="05C2FAE1">
      <w:pPr>
        <w:pStyle w:val="2"/>
        <w:jc w:val="center"/>
        <w:rPr>
          <w:rFonts w:ascii="黑体" w:eastAsia="黑体"/>
          <w:color w:val="000000"/>
          <w:sz w:val="32"/>
          <w:szCs w:val="32"/>
        </w:rPr>
      </w:pPr>
      <w:bookmarkStart w:id="16" w:name="_Toc31866"/>
      <w:r>
        <w:rPr>
          <w:rFonts w:hint="eastAsia" w:ascii="黑体" w:hAnsi="黑体" w:eastAsia="黑体"/>
          <w:b w:val="0"/>
        </w:rPr>
        <w:t xml:space="preserve">第一部分 </w:t>
      </w:r>
      <w:r>
        <w:rPr>
          <w:rStyle w:val="27"/>
          <w:rFonts w:hint="eastAsia" w:ascii="黑体" w:hAnsi="黑体" w:eastAsia="黑体"/>
          <w:b w:val="0"/>
          <w:bCs w:val="0"/>
        </w:rPr>
        <w:t>部门概况</w:t>
      </w:r>
      <w:bookmarkEnd w:id="14"/>
      <w:bookmarkEnd w:id="15"/>
      <w:bookmarkEnd w:id="16"/>
    </w:p>
    <w:p w14:paraId="3EAF4A1E">
      <w:pPr>
        <w:pStyle w:val="3"/>
        <w:rPr>
          <w:rStyle w:val="28"/>
          <w:rFonts w:ascii="仿宋" w:hAnsi="仿宋" w:eastAsia="方正仿宋_GBK"/>
          <w:b w:val="0"/>
          <w:bCs w:val="0"/>
        </w:rPr>
      </w:pPr>
      <w:bookmarkStart w:id="17" w:name="_Toc12824"/>
      <w:bookmarkStart w:id="18" w:name="_Toc15377197"/>
      <w:bookmarkStart w:id="19"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7"/>
      <w:bookmarkEnd w:id="18"/>
      <w:bookmarkEnd w:id="19"/>
    </w:p>
    <w:p w14:paraId="28ABE8C6">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20" w:name="_Toc15378445"/>
      <w:bookmarkStart w:id="21" w:name="_Toc28777"/>
      <w:bookmarkStart w:id="22" w:name="_Toc15377198"/>
      <w:r>
        <w:rPr>
          <w:rFonts w:hint="eastAsia" w:ascii="仿宋" w:hAnsi="仿宋" w:eastAsia="方正仿宋_GBK"/>
          <w:bCs/>
          <w:color w:val="000000"/>
          <w:sz w:val="32"/>
          <w:szCs w:val="32"/>
        </w:rPr>
        <w:t>（一）主要职能</w:t>
      </w:r>
      <w:bookmarkEnd w:id="20"/>
      <w:bookmarkEnd w:id="21"/>
      <w:bookmarkEnd w:id="22"/>
    </w:p>
    <w:p w14:paraId="490BC98D">
      <w:pPr>
        <w:pStyle w:val="5"/>
        <w:adjustRightInd w:val="0"/>
        <w:snapToGrid w:val="0"/>
        <w:spacing w:before="93" w:line="600" w:lineRule="exact"/>
        <w:ind w:firstLine="672" w:firstLineChars="210"/>
        <w:outlineLvl w:val="2"/>
        <w:rPr>
          <w:rFonts w:hint="eastAsia" w:ascii="仿宋" w:hAnsi="仿宋" w:eastAsia="方正仿宋_GBK"/>
          <w:bCs/>
          <w:color w:val="000000"/>
          <w:sz w:val="32"/>
          <w:szCs w:val="32"/>
          <w:lang w:val="zh-CN"/>
        </w:rPr>
      </w:pPr>
      <w:bookmarkStart w:id="23" w:name="_Toc3427"/>
      <w:r>
        <w:rPr>
          <w:rFonts w:hint="eastAsia" w:ascii="仿宋" w:hAnsi="仿宋" w:eastAsia="方正仿宋_GBK"/>
          <w:bCs/>
          <w:color w:val="000000"/>
          <w:sz w:val="32"/>
          <w:szCs w:val="32"/>
          <w:lang w:val="en-US" w:eastAsia="zh-CN"/>
        </w:rPr>
        <w:t>1.</w:t>
      </w:r>
      <w:r>
        <w:rPr>
          <w:rFonts w:hint="eastAsia" w:ascii="仿宋" w:hAnsi="仿宋" w:eastAsia="方正仿宋_GBK"/>
          <w:bCs/>
          <w:color w:val="000000"/>
          <w:sz w:val="32"/>
          <w:szCs w:val="32"/>
          <w:lang w:val="zh-CN"/>
        </w:rPr>
        <w:t>中共九寨沟县委统一战线工作部（简称县委统战部）是县委主管统一战线工作的职能部门，为正科级单位,列入县委工作机关序列。县委统战部以习近平新时代中国特色社会主义思想为指引，坚持和加强党的全面领导，增强“四个意识”、坚定“四个自信”、做到“两个维护”，全面贯彻落实党的路线、方针、政策和党中央、省委、州委、县委的决策部署。</w:t>
      </w:r>
    </w:p>
    <w:p w14:paraId="2778BDCC">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r>
        <w:rPr>
          <w:rFonts w:hint="eastAsia" w:ascii="仿宋" w:hAnsi="仿宋" w:eastAsia="方正仿宋_GBK"/>
          <w:bCs/>
          <w:color w:val="000000"/>
          <w:sz w:val="32"/>
          <w:szCs w:val="32"/>
          <w:lang w:val="en-US" w:eastAsia="zh-CN"/>
        </w:rPr>
        <w:t>2.</w:t>
      </w:r>
      <w:r>
        <w:rPr>
          <w:rFonts w:hint="eastAsia" w:ascii="仿宋" w:hAnsi="仿宋" w:eastAsia="方正仿宋_GBK"/>
          <w:bCs/>
          <w:color w:val="000000"/>
          <w:sz w:val="32"/>
          <w:szCs w:val="32"/>
        </w:rPr>
        <w:t>完成县委交办的其他任务。</w:t>
      </w:r>
      <w:bookmarkEnd w:id="23"/>
    </w:p>
    <w:p w14:paraId="42D8DE15">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24" w:name="_Toc15377199"/>
      <w:bookmarkStart w:id="25" w:name="_Toc12367"/>
      <w:bookmarkStart w:id="26" w:name="_Toc15378446"/>
      <w:r>
        <w:rPr>
          <w:rFonts w:hint="eastAsia" w:ascii="仿宋" w:hAnsi="仿宋" w:eastAsia="方正仿宋_GBK"/>
          <w:bCs/>
          <w:color w:val="000000"/>
          <w:sz w:val="32"/>
          <w:szCs w:val="32"/>
        </w:rPr>
        <w:t>（二）</w:t>
      </w:r>
      <w:r>
        <w:rPr>
          <w:rFonts w:ascii="仿宋" w:hAnsi="仿宋" w:eastAsia="方正仿宋_GBK"/>
          <w:bCs/>
          <w:color w:val="000000"/>
          <w:sz w:val="32"/>
          <w:szCs w:val="32"/>
        </w:rPr>
        <w:t>201</w:t>
      </w:r>
      <w:r>
        <w:rPr>
          <w:rFonts w:hint="eastAsia" w:ascii="仿宋" w:hAnsi="仿宋" w:eastAsia="方正仿宋_GBK"/>
          <w:bCs/>
          <w:color w:val="000000"/>
          <w:sz w:val="32"/>
          <w:szCs w:val="32"/>
        </w:rPr>
        <w:t>9年重点工作完成情况。</w:t>
      </w:r>
      <w:bookmarkEnd w:id="24"/>
      <w:bookmarkEnd w:id="25"/>
      <w:bookmarkEnd w:id="26"/>
    </w:p>
    <w:p w14:paraId="688D3651">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27" w:name="_Toc31726"/>
      <w:r>
        <w:rPr>
          <w:rFonts w:hint="eastAsia" w:ascii="仿宋" w:hAnsi="仿宋" w:eastAsia="方正仿宋_GBK"/>
          <w:bCs/>
          <w:color w:val="000000"/>
          <w:sz w:val="32"/>
          <w:szCs w:val="32"/>
        </w:rPr>
        <w:t>2019年，全县统一战线坚持以习近平新时代中国特色社会主义思想为指导，紧紧围绕“四个全域、四个九寨”的战略规划，巩固和发展最广泛的爱国统一战线,积极促进政党关系、民族关系、宗教关系、阶层关系、海内外同胞关系和谐，扎实做好“导、聚、育、用、新”五篇文章，积极为建设“两地一典范、美丽新九寨”凝聚广泛智慧和力量。</w:t>
      </w:r>
      <w:bookmarkEnd w:id="27"/>
    </w:p>
    <w:p w14:paraId="523C2D9A">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28" w:name="_Toc27089"/>
      <w:r>
        <w:rPr>
          <w:rFonts w:hint="eastAsia" w:ascii="仿宋" w:hAnsi="仿宋" w:eastAsia="方正仿宋_GBK"/>
          <w:bCs/>
          <w:color w:val="000000"/>
          <w:sz w:val="32"/>
          <w:szCs w:val="32"/>
          <w:lang w:eastAsia="zh-CN"/>
        </w:rPr>
        <w:t>一</w:t>
      </w:r>
      <w:r>
        <w:rPr>
          <w:rFonts w:hint="eastAsia" w:ascii="仿宋" w:hAnsi="仿宋" w:eastAsia="方正仿宋_GBK"/>
          <w:bCs/>
          <w:color w:val="000000"/>
          <w:sz w:val="32"/>
          <w:szCs w:val="32"/>
        </w:rPr>
        <w:t>、全面“聚”人心，广泛凝聚党外人士智慧力量</w:t>
      </w:r>
      <w:bookmarkEnd w:id="28"/>
    </w:p>
    <w:p w14:paraId="24121557">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29" w:name="_Toc6885"/>
      <w:r>
        <w:rPr>
          <w:rFonts w:hint="eastAsia" w:ascii="仿宋" w:hAnsi="仿宋" w:eastAsia="方正仿宋_GBK"/>
          <w:bCs/>
          <w:color w:val="000000"/>
          <w:sz w:val="32"/>
          <w:szCs w:val="32"/>
        </w:rPr>
        <w:t>一是强化阵地建设，构筑起团结党外人士的桥梁纽带。持续赋能“雲丹桑吧”统战活动基地，坚持“阵地建设+平台联系+培训支持”工作模式，2019年共开展各类活动近40余场次，覆盖4000余人次，得到了省委常委省统战部长田向利、州委刘坪书记的肯定性批示。打造民族团结教育基地，加快推进四川省统一战线助力九寨全域旅游项目——上四寨原乡藏寨精品特色民宿和甘海子婚纱摄影小镇。</w:t>
      </w:r>
      <w:bookmarkEnd w:id="29"/>
    </w:p>
    <w:p w14:paraId="5D6E7D4C">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30" w:name="_Toc10786"/>
      <w:r>
        <w:rPr>
          <w:rFonts w:hint="eastAsia" w:ascii="仿宋" w:hAnsi="仿宋" w:eastAsia="方正仿宋_GBK"/>
          <w:bCs/>
          <w:color w:val="000000"/>
          <w:sz w:val="32"/>
          <w:szCs w:val="32"/>
        </w:rPr>
        <w:t>二是</w:t>
      </w:r>
      <w:bookmarkEnd w:id="30"/>
      <w:bookmarkStart w:id="31" w:name="_Toc11248"/>
      <w:r>
        <w:rPr>
          <w:rFonts w:hint="eastAsia" w:ascii="仿宋" w:hAnsi="仿宋" w:eastAsia="方正仿宋_GBK"/>
          <w:bCs/>
          <w:color w:val="000000"/>
          <w:sz w:val="32"/>
          <w:szCs w:val="32"/>
        </w:rPr>
        <w:t>强化氛围建设，建立起互相理解认同的意识格局。将思想引领与解决问题同步推进，以正确理念和优质服务不断提升统战对象政治认同、思想认同和情感认同。加大舆论引导，在全省县区统战工作会议上作交流发言，多篇经验材料、调研成果被《四川统一战线》、“同心四川”等多家媒体刊用、报道，得到省、州、县有关领导的充分肯定。</w:t>
      </w:r>
      <w:bookmarkEnd w:id="31"/>
    </w:p>
    <w:p w14:paraId="1FF2E372">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32" w:name="_Toc4904"/>
      <w:r>
        <w:rPr>
          <w:rFonts w:hint="eastAsia" w:ascii="仿宋" w:hAnsi="仿宋" w:eastAsia="方正仿宋_GBK"/>
          <w:bCs/>
          <w:color w:val="000000"/>
          <w:sz w:val="32"/>
          <w:szCs w:val="32"/>
          <w:lang w:eastAsia="zh-CN"/>
        </w:rPr>
        <w:t>二</w:t>
      </w:r>
      <w:r>
        <w:rPr>
          <w:rFonts w:hint="eastAsia" w:ascii="仿宋" w:hAnsi="仿宋" w:eastAsia="方正仿宋_GBK"/>
          <w:bCs/>
          <w:color w:val="000000"/>
          <w:sz w:val="32"/>
          <w:szCs w:val="32"/>
        </w:rPr>
        <w:t>、扎实“育”英才，切实加强人才队伍培训培养</w:t>
      </w:r>
      <w:bookmarkEnd w:id="32"/>
    </w:p>
    <w:p w14:paraId="6EE83B2B">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33" w:name="_Toc10341"/>
      <w:r>
        <w:rPr>
          <w:rFonts w:hint="eastAsia" w:ascii="仿宋" w:hAnsi="仿宋" w:eastAsia="方正仿宋_GBK"/>
          <w:bCs/>
          <w:color w:val="000000"/>
          <w:sz w:val="32"/>
          <w:szCs w:val="32"/>
        </w:rPr>
        <w:t>突出能力提升，扎实开展素质技能培训。对接省社会主义学院，定向举办3个批次 “九寨沟县乡村振兴人才培训班”并培训60余人。</w:t>
      </w:r>
      <w:bookmarkEnd w:id="33"/>
    </w:p>
    <w:p w14:paraId="652FDA1F">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34" w:name="_Toc23656"/>
      <w:r>
        <w:rPr>
          <w:rFonts w:hint="eastAsia" w:ascii="仿宋" w:hAnsi="仿宋" w:eastAsia="方正仿宋_GBK"/>
          <w:bCs/>
          <w:color w:val="000000"/>
          <w:sz w:val="32"/>
          <w:szCs w:val="32"/>
          <w:lang w:eastAsia="zh-CN"/>
        </w:rPr>
        <w:t>三</w:t>
      </w:r>
      <w:r>
        <w:rPr>
          <w:rFonts w:hint="eastAsia" w:ascii="仿宋" w:hAnsi="仿宋" w:eastAsia="方正仿宋_GBK"/>
          <w:bCs/>
          <w:color w:val="000000"/>
          <w:sz w:val="32"/>
          <w:szCs w:val="32"/>
        </w:rPr>
        <w:t>、对标“用”劲力，围绕中心工作服务发展大局</w:t>
      </w:r>
      <w:bookmarkEnd w:id="34"/>
    </w:p>
    <w:p w14:paraId="2A001188">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35" w:name="_Toc6224"/>
      <w:r>
        <w:rPr>
          <w:rFonts w:hint="eastAsia" w:ascii="仿宋" w:hAnsi="仿宋" w:eastAsia="方正仿宋_GBK"/>
          <w:bCs/>
          <w:color w:val="000000"/>
          <w:sz w:val="32"/>
          <w:szCs w:val="32"/>
        </w:rPr>
        <w:t>一是围绕“灾后重建”，全面落实“生产发展”要求。坚持规划引领，按照《“8·8”九寨沟地震灾后恢复重建总体规划》，全面完成扎如寺、达吉寺恢复重建任务。落实“社会大民生带寺庙小民生”理念，配套解决“五通”和“五个一”工程。协调争取爱德基金会投入32.6万元，修建四道城村7座便民小桥，提高当地基础设施和公共服务水平。</w:t>
      </w:r>
      <w:bookmarkEnd w:id="35"/>
    </w:p>
    <w:p w14:paraId="594311C7">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36" w:name="_Toc16587"/>
      <w:r>
        <w:rPr>
          <w:rFonts w:hint="eastAsia" w:ascii="仿宋" w:hAnsi="仿宋" w:eastAsia="方正仿宋_GBK"/>
          <w:bCs/>
          <w:color w:val="000000"/>
          <w:sz w:val="32"/>
          <w:szCs w:val="32"/>
        </w:rPr>
        <w:t>二是围绕“脱贫攻坚”，全面奔向“生活富裕”目标。组织联系干部和有关单位深入村寨、寺庙开展脱贫政策宣讲，积极发挥僧尼“政策宣传员”作用，组织高僧大德集中宣讲、教职人员入户宣讲扶贫政策，引导信教群众广泛参与、积极配合脱贫攻坚工作。</w:t>
      </w:r>
      <w:bookmarkEnd w:id="36"/>
    </w:p>
    <w:p w14:paraId="510D45A9">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37" w:name="_Toc7391"/>
      <w:r>
        <w:rPr>
          <w:rFonts w:hint="eastAsia" w:ascii="仿宋" w:hAnsi="仿宋" w:eastAsia="方正仿宋_GBK"/>
          <w:bCs/>
          <w:color w:val="000000"/>
          <w:sz w:val="32"/>
          <w:szCs w:val="32"/>
          <w:lang w:eastAsia="zh-CN"/>
        </w:rPr>
        <w:t>四</w:t>
      </w:r>
      <w:r>
        <w:rPr>
          <w:rFonts w:hint="eastAsia" w:ascii="仿宋" w:hAnsi="仿宋" w:eastAsia="方正仿宋_GBK"/>
          <w:bCs/>
          <w:color w:val="000000"/>
          <w:sz w:val="32"/>
          <w:szCs w:val="32"/>
        </w:rPr>
        <w:t>、探索“新”路径，创新工作举措推动提质升级</w:t>
      </w:r>
      <w:bookmarkEnd w:id="37"/>
    </w:p>
    <w:p w14:paraId="57901061">
      <w:pPr>
        <w:pStyle w:val="5"/>
        <w:adjustRightInd w:val="0"/>
        <w:snapToGrid w:val="0"/>
        <w:spacing w:before="93" w:line="600" w:lineRule="exact"/>
        <w:ind w:firstLine="672" w:firstLineChars="210"/>
        <w:outlineLvl w:val="2"/>
        <w:rPr>
          <w:rFonts w:ascii="仿宋" w:hAnsi="仿宋" w:eastAsia="方正仿宋_GBK"/>
          <w:bCs/>
          <w:color w:val="000000"/>
          <w:sz w:val="32"/>
          <w:szCs w:val="32"/>
        </w:rPr>
      </w:pPr>
      <w:bookmarkStart w:id="149" w:name="_GoBack"/>
      <w:bookmarkEnd w:id="149"/>
      <w:bookmarkStart w:id="38" w:name="_Toc25706"/>
      <w:r>
        <w:rPr>
          <w:rFonts w:hint="eastAsia" w:ascii="仿宋" w:hAnsi="仿宋" w:eastAsia="方正仿宋_GBK"/>
          <w:bCs/>
          <w:color w:val="000000"/>
          <w:sz w:val="32"/>
          <w:szCs w:val="32"/>
        </w:rPr>
        <w:t>创新发挥“九个一”平台作用，奏响民族团结进步和音。即一所乡风文明馆、一个教育基地、一首歌曲、一条示范街道、一个评先活动、一场同乐晚会、一个交流中心、一个和谐广场、一个宣讲团。</w:t>
      </w:r>
      <w:bookmarkEnd w:id="38"/>
    </w:p>
    <w:p w14:paraId="3BFB458B">
      <w:pPr>
        <w:pStyle w:val="3"/>
        <w:rPr>
          <w:rStyle w:val="28"/>
          <w:b w:val="0"/>
          <w:bCs w:val="0"/>
        </w:rPr>
      </w:pPr>
      <w:bookmarkStart w:id="39" w:name="_Toc28960"/>
      <w:bookmarkStart w:id="40" w:name="_Toc15396601"/>
      <w:bookmarkStart w:id="41" w:name="_Toc1537720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39"/>
      <w:bookmarkEnd w:id="40"/>
      <w:bookmarkEnd w:id="41"/>
    </w:p>
    <w:p w14:paraId="256C8D53">
      <w:pPr>
        <w:ind w:firstLine="800" w:firstLineChars="250"/>
        <w:rPr>
          <w:rFonts w:ascii="仿宋" w:hAnsi="仿宋" w:eastAsia="方正仿宋_GBK"/>
          <w:sz w:val="32"/>
          <w:szCs w:val="32"/>
        </w:rPr>
      </w:pPr>
      <w:r>
        <w:rPr>
          <w:rFonts w:hint="eastAsia" w:ascii="仿宋" w:hAnsi="仿宋" w:eastAsia="方正仿宋_GBK"/>
          <w:sz w:val="32"/>
          <w:szCs w:val="32"/>
        </w:rPr>
        <w:t>县委统战部下属二级单位0个，其中行政单位0个，参照公务员法管理的事业单位</w:t>
      </w:r>
      <w:r>
        <w:rPr>
          <w:rFonts w:hint="eastAsia" w:ascii="仿宋" w:hAnsi="仿宋" w:eastAsia="方正仿宋_GBK"/>
          <w:bCs/>
          <w:sz w:val="32"/>
          <w:szCs w:val="32"/>
        </w:rPr>
        <w:t>0</w:t>
      </w:r>
      <w:r>
        <w:rPr>
          <w:rFonts w:hint="eastAsia" w:ascii="仿宋" w:hAnsi="仿宋" w:eastAsia="方正仿宋_GBK"/>
          <w:sz w:val="32"/>
          <w:szCs w:val="32"/>
        </w:rPr>
        <w:t>个，其他事业单位0个。</w:t>
      </w:r>
    </w:p>
    <w:p w14:paraId="08E17ABD">
      <w:pPr>
        <w:pStyle w:val="5"/>
        <w:adjustRightInd w:val="0"/>
        <w:snapToGrid w:val="0"/>
        <w:spacing w:before="93" w:line="600" w:lineRule="exact"/>
        <w:ind w:firstLine="672" w:firstLineChars="210"/>
        <w:rPr>
          <w:rFonts w:ascii="仿宋" w:hAnsi="仿宋" w:eastAsia="方正仿宋_GBK"/>
          <w:color w:val="000000"/>
          <w:sz w:val="32"/>
          <w:szCs w:val="32"/>
        </w:rPr>
      </w:pPr>
      <w:r>
        <w:rPr>
          <w:rFonts w:hint="eastAsia" w:ascii="仿宋" w:hAnsi="仿宋" w:eastAsia="方正仿宋_GBK"/>
          <w:color w:val="000000"/>
          <w:sz w:val="32"/>
          <w:szCs w:val="32"/>
        </w:rPr>
        <w:t>纳入统战部2019年度部门决算编制范围的二级预算单位包括：</w:t>
      </w:r>
    </w:p>
    <w:p w14:paraId="3FF8C883">
      <w:pPr>
        <w:pStyle w:val="5"/>
        <w:adjustRightInd w:val="0"/>
        <w:snapToGrid w:val="0"/>
        <w:spacing w:before="93" w:line="600" w:lineRule="exact"/>
        <w:ind w:firstLine="1120" w:firstLineChars="350"/>
        <w:rPr>
          <w:rFonts w:ascii="仿宋" w:hAnsi="仿宋" w:eastAsia="方正仿宋_GBK"/>
          <w:color w:val="000000"/>
          <w:sz w:val="32"/>
          <w:szCs w:val="32"/>
        </w:rPr>
      </w:pPr>
      <w:r>
        <w:rPr>
          <w:rFonts w:hint="eastAsia" w:ascii="仿宋" w:hAnsi="仿宋" w:eastAsia="方正仿宋_GBK"/>
          <w:color w:val="000000"/>
          <w:sz w:val="32"/>
          <w:szCs w:val="32"/>
        </w:rPr>
        <w:t>无</w:t>
      </w:r>
    </w:p>
    <w:p w14:paraId="7EA5AF08">
      <w:pPr>
        <w:widowControl/>
        <w:jc w:val="left"/>
        <w:rPr>
          <w:rFonts w:ascii="仿宋" w:hAnsi="仿宋" w:eastAsia="方正仿宋_GBK"/>
          <w:color w:val="000000"/>
          <w:kern w:val="0"/>
          <w:sz w:val="32"/>
          <w:szCs w:val="32"/>
        </w:rPr>
      </w:pPr>
      <w:r>
        <w:rPr>
          <w:rFonts w:ascii="仿宋" w:hAnsi="仿宋" w:eastAsia="方正仿宋_GBK"/>
          <w:color w:val="000000"/>
          <w:sz w:val="32"/>
          <w:szCs w:val="32"/>
        </w:rPr>
        <w:br w:type="page"/>
      </w:r>
    </w:p>
    <w:p w14:paraId="266F520B">
      <w:pPr>
        <w:pStyle w:val="2"/>
        <w:ind w:right="440"/>
        <w:jc w:val="right"/>
        <w:rPr>
          <w:rStyle w:val="27"/>
          <w:rFonts w:ascii="黑体" w:hAnsi="黑体" w:eastAsia="黑体"/>
          <w:b w:val="0"/>
          <w:bCs w:val="0"/>
        </w:rPr>
      </w:pPr>
      <w:bookmarkStart w:id="42" w:name="_Toc15377204"/>
      <w:bookmarkStart w:id="43" w:name="_Toc15396602"/>
      <w:bookmarkStart w:id="44" w:name="_Toc603"/>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42"/>
      <w:bookmarkEnd w:id="43"/>
      <w:bookmarkEnd w:id="44"/>
    </w:p>
    <w:p w14:paraId="2FBB5F08"/>
    <w:p w14:paraId="135ECDDA">
      <w:pPr>
        <w:pStyle w:val="26"/>
        <w:numPr>
          <w:ilvl w:val="0"/>
          <w:numId w:val="1"/>
        </w:numPr>
        <w:spacing w:line="600" w:lineRule="exact"/>
        <w:ind w:firstLineChars="0"/>
        <w:outlineLvl w:val="1"/>
        <w:rPr>
          <w:rStyle w:val="28"/>
          <w:rFonts w:ascii="黑体" w:hAnsi="黑体" w:eastAsia="黑体"/>
          <w:b w:val="0"/>
        </w:rPr>
      </w:pPr>
      <w:bookmarkStart w:id="45" w:name="_Toc2951"/>
      <w:bookmarkStart w:id="46" w:name="_Toc15377205"/>
      <w:bookmarkStart w:id="47"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45"/>
      <w:bookmarkEnd w:id="46"/>
      <w:bookmarkEnd w:id="47"/>
    </w:p>
    <w:p w14:paraId="6491278A">
      <w:pPr>
        <w:spacing w:line="600" w:lineRule="exact"/>
        <w:ind w:firstLine="640" w:firstLineChars="200"/>
        <w:rPr>
          <w:rFonts w:ascii="仿宋" w:hAnsi="仿宋" w:eastAsia="方正仿宋_GBK"/>
          <w:color w:val="000000"/>
          <w:sz w:val="32"/>
          <w:szCs w:val="32"/>
        </w:rPr>
      </w:pPr>
      <w:r>
        <w:rPr>
          <w:rFonts w:hint="eastAsia" w:ascii="仿宋" w:hAnsi="仿宋" w:eastAsia="方正仿宋_GBK"/>
          <w:color w:val="000000"/>
          <w:sz w:val="32"/>
          <w:szCs w:val="32"/>
        </w:rPr>
        <w:t>2019年度收、支总计465.22万元。与2018年相比，收、支总计各增加49.2万元，增长11.83</w:t>
      </w:r>
      <w:r>
        <w:rPr>
          <w:rFonts w:ascii="仿宋" w:hAnsi="仿宋" w:eastAsia="方正仿宋_GBK"/>
          <w:color w:val="000000"/>
          <w:sz w:val="32"/>
          <w:szCs w:val="32"/>
        </w:rPr>
        <w:t>%</w:t>
      </w:r>
      <w:r>
        <w:rPr>
          <w:rFonts w:hint="eastAsia" w:ascii="仿宋" w:hAnsi="仿宋" w:eastAsia="方正仿宋_GBK"/>
          <w:color w:val="000000"/>
          <w:sz w:val="32"/>
          <w:szCs w:val="32"/>
        </w:rPr>
        <w:t>。主要变动原因是工作项目增加，支出增加。</w:t>
      </w:r>
    </w:p>
    <w:p w14:paraId="51E1DAFC">
      <w:pPr>
        <w:spacing w:line="600" w:lineRule="exact"/>
        <w:ind w:firstLine="640" w:firstLineChars="200"/>
        <w:rPr>
          <w:rFonts w:ascii="仿宋" w:hAnsi="仿宋" w:eastAsia="方正仿宋_GBK"/>
          <w:color w:val="000000" w:themeColor="text1"/>
          <w:sz w:val="32"/>
          <w:szCs w:val="32"/>
          <w14:textFill>
            <w14:solidFill>
              <w14:schemeClr w14:val="tx1"/>
            </w14:solidFill>
          </w14:textFill>
        </w:rPr>
      </w:pPr>
      <w:r>
        <w:rPr>
          <w:rFonts w:hint="eastAsia" w:ascii="仿宋" w:hAnsi="仿宋" w:eastAsia="方正仿宋_GBK"/>
          <w:color w:val="000000" w:themeColor="text1"/>
          <w:sz w:val="32"/>
          <w:szCs w:val="32"/>
          <w14:textFill>
            <w14:solidFill>
              <w14:schemeClr w14:val="tx1"/>
            </w14:solidFill>
          </w14:textFill>
        </w:rPr>
        <w:t>（图</w:t>
      </w:r>
      <w:r>
        <w:rPr>
          <w:rFonts w:ascii="仿宋" w:hAnsi="仿宋" w:eastAsia="方正仿宋_GBK"/>
          <w:color w:val="000000" w:themeColor="text1"/>
          <w:sz w:val="32"/>
          <w:szCs w:val="32"/>
          <w14:textFill>
            <w14:solidFill>
              <w14:schemeClr w14:val="tx1"/>
            </w14:solidFill>
          </w14:textFill>
        </w:rPr>
        <w:t>1</w:t>
      </w:r>
      <w:r>
        <w:rPr>
          <w:rFonts w:hint="eastAsia" w:ascii="仿宋" w:hAnsi="仿宋" w:eastAsia="方正仿宋_GBK"/>
          <w:color w:val="000000" w:themeColor="text1"/>
          <w:sz w:val="32"/>
          <w:szCs w:val="32"/>
          <w14:textFill>
            <w14:solidFill>
              <w14:schemeClr w14:val="tx1"/>
            </w14:solidFill>
          </w14:textFill>
        </w:rPr>
        <w:t>：收、支决算总计变动情况图）（柱状图）</w:t>
      </w:r>
    </w:p>
    <w:p w14:paraId="17414BC7">
      <w:pPr>
        <w:spacing w:line="600" w:lineRule="exact"/>
        <w:ind w:firstLine="640" w:firstLineChars="200"/>
        <w:jc w:val="left"/>
        <w:rPr>
          <w:rFonts w:ascii="仿宋_GB2312" w:eastAsia="方正仿宋_GBK"/>
          <w:color w:val="000000"/>
          <w:sz w:val="32"/>
          <w:szCs w:val="32"/>
        </w:rPr>
      </w:pPr>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358140</wp:posOffset>
            </wp:positionH>
            <wp:positionV relativeFrom="paragraph">
              <wp:posOffset>329565</wp:posOffset>
            </wp:positionV>
            <wp:extent cx="4572000" cy="2743200"/>
            <wp:effectExtent l="4445" t="4445" r="14605"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51E95053">
      <w:pPr>
        <w:pStyle w:val="26"/>
        <w:numPr>
          <w:ilvl w:val="0"/>
          <w:numId w:val="1"/>
        </w:numPr>
        <w:spacing w:line="600" w:lineRule="exact"/>
        <w:ind w:firstLineChars="0"/>
        <w:outlineLvl w:val="1"/>
        <w:rPr>
          <w:rStyle w:val="28"/>
          <w:rFonts w:ascii="黑体" w:hAnsi="黑体" w:eastAsia="黑体"/>
          <w:b w:val="0"/>
        </w:rPr>
      </w:pPr>
      <w:bookmarkStart w:id="48" w:name="_Toc20638"/>
      <w:bookmarkStart w:id="49" w:name="_Toc15396604"/>
      <w:bookmarkStart w:id="50"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48"/>
      <w:bookmarkEnd w:id="49"/>
      <w:bookmarkEnd w:id="50"/>
    </w:p>
    <w:p w14:paraId="78EB8D21">
      <w:pPr>
        <w:spacing w:line="600" w:lineRule="exact"/>
        <w:ind w:firstLine="640" w:firstLineChars="200"/>
        <w:outlineLvl w:val="1"/>
        <w:rPr>
          <w:rFonts w:ascii="仿宋" w:hAnsi="仿宋" w:eastAsia="方正仿宋_GBK"/>
          <w:color w:val="000000"/>
          <w:sz w:val="32"/>
          <w:szCs w:val="32"/>
        </w:rPr>
      </w:pPr>
      <w:bookmarkStart w:id="51" w:name="_Toc23030"/>
      <w:r>
        <w:rPr>
          <w:rFonts w:hint="eastAsia" w:ascii="仿宋" w:hAnsi="仿宋" w:eastAsia="方正仿宋_GBK"/>
          <w:color w:val="000000"/>
          <w:sz w:val="32"/>
          <w:szCs w:val="32"/>
        </w:rPr>
        <w:t>二、</w:t>
      </w:r>
      <w:r>
        <w:rPr>
          <w:rFonts w:hint="eastAsia" w:ascii="仿宋" w:hAnsi="仿宋" w:eastAsia="方正仿宋_GBK"/>
          <w:color w:val="000000"/>
          <w:sz w:val="32"/>
          <w:szCs w:val="32"/>
        </w:rPr>
        <w:tab/>
      </w:r>
      <w:r>
        <w:rPr>
          <w:rFonts w:hint="eastAsia" w:ascii="仿宋" w:hAnsi="仿宋" w:eastAsia="方正仿宋_GBK"/>
          <w:color w:val="000000"/>
          <w:sz w:val="32"/>
          <w:szCs w:val="32"/>
        </w:rPr>
        <w:t>收入决算情况说明</w:t>
      </w:r>
    </w:p>
    <w:p w14:paraId="658BA095">
      <w:pPr>
        <w:spacing w:line="600" w:lineRule="exact"/>
        <w:ind w:firstLine="640" w:firstLineChars="200"/>
        <w:outlineLvl w:val="1"/>
        <w:rPr>
          <w:rFonts w:ascii="仿宋" w:hAnsi="仿宋" w:eastAsia="方正仿宋_GBK"/>
          <w:color w:val="000000"/>
          <w:sz w:val="32"/>
          <w:szCs w:val="32"/>
        </w:rPr>
      </w:pPr>
      <w:r>
        <w:rPr>
          <w:rFonts w:ascii="仿宋" w:hAnsi="仿宋" w:eastAsia="方正仿宋_GBK"/>
          <w:color w:val="000000"/>
          <w:sz w:val="32"/>
          <w:szCs w:val="32"/>
        </w:rPr>
        <w:t>201</w:t>
      </w:r>
      <w:r>
        <w:rPr>
          <w:rFonts w:hint="eastAsia" w:ascii="仿宋" w:hAnsi="仿宋" w:eastAsia="方正仿宋_GBK"/>
          <w:color w:val="000000"/>
          <w:sz w:val="32"/>
          <w:szCs w:val="32"/>
        </w:rPr>
        <w:t>9年本年收入合计465.23万元，其中：一般公共预算财政拨款收入409.23万元，占87.96</w:t>
      </w:r>
      <w:r>
        <w:rPr>
          <w:rFonts w:ascii="仿宋" w:hAnsi="仿宋" w:eastAsia="方正仿宋_GBK"/>
          <w:color w:val="000000"/>
          <w:sz w:val="32"/>
          <w:szCs w:val="32"/>
        </w:rPr>
        <w:t>%</w:t>
      </w:r>
      <w:r>
        <w:rPr>
          <w:rFonts w:hint="eastAsia" w:ascii="仿宋" w:hAnsi="仿宋" w:eastAsia="方正仿宋_GBK"/>
          <w:color w:val="000000"/>
          <w:sz w:val="32"/>
          <w:szCs w:val="32"/>
        </w:rPr>
        <w:t>；政府性基金预算财政拨款收入0万元，占0</w:t>
      </w:r>
      <w:r>
        <w:rPr>
          <w:rFonts w:ascii="仿宋" w:hAnsi="仿宋" w:eastAsia="方正仿宋_GBK"/>
          <w:color w:val="000000"/>
          <w:sz w:val="32"/>
          <w:szCs w:val="32"/>
        </w:rPr>
        <w:t>%</w:t>
      </w:r>
      <w:r>
        <w:rPr>
          <w:rFonts w:hint="eastAsia" w:ascii="仿宋" w:hAnsi="仿宋" w:eastAsia="方正仿宋_GBK"/>
          <w:color w:val="000000"/>
          <w:sz w:val="32"/>
          <w:szCs w:val="32"/>
        </w:rPr>
        <w:t>；</w:t>
      </w:r>
      <w:r>
        <w:rPr>
          <w:rFonts w:hint="eastAsia" w:ascii="仿宋" w:hAnsi="仿宋" w:eastAsia="方正仿宋_GBK"/>
          <w:color w:val="000000" w:themeColor="text1"/>
          <w:sz w:val="32"/>
          <w:szCs w:val="32"/>
          <w14:textFill>
            <w14:solidFill>
              <w14:schemeClr w14:val="tx1"/>
            </w14:solidFill>
          </w14:textFill>
        </w:rPr>
        <w:t>上级补助收入0</w:t>
      </w:r>
      <w:r>
        <w:rPr>
          <w:rFonts w:hint="eastAsia" w:ascii="仿宋" w:hAnsi="仿宋" w:eastAsia="方正仿宋_GBK"/>
          <w:color w:val="000000"/>
          <w:sz w:val="32"/>
          <w:szCs w:val="32"/>
        </w:rPr>
        <w:t>万元，占0</w:t>
      </w:r>
      <w:r>
        <w:rPr>
          <w:rFonts w:ascii="仿宋" w:hAnsi="仿宋" w:eastAsia="方正仿宋_GBK"/>
          <w:color w:val="000000"/>
          <w:sz w:val="32"/>
          <w:szCs w:val="32"/>
        </w:rPr>
        <w:t>%</w:t>
      </w:r>
      <w:r>
        <w:rPr>
          <w:rFonts w:hint="eastAsia" w:ascii="仿宋" w:hAnsi="仿宋" w:eastAsia="方正仿宋_GBK"/>
          <w:color w:val="000000"/>
          <w:sz w:val="32"/>
          <w:szCs w:val="32"/>
        </w:rPr>
        <w:t>；事业收入0万元，占0</w:t>
      </w:r>
      <w:r>
        <w:rPr>
          <w:rFonts w:ascii="仿宋" w:hAnsi="仿宋" w:eastAsia="方正仿宋_GBK"/>
          <w:color w:val="000000"/>
          <w:sz w:val="32"/>
          <w:szCs w:val="32"/>
        </w:rPr>
        <w:t>%</w:t>
      </w:r>
      <w:r>
        <w:rPr>
          <w:rFonts w:hint="eastAsia" w:ascii="仿宋" w:hAnsi="仿宋" w:eastAsia="方正仿宋_GBK"/>
          <w:color w:val="000000"/>
          <w:sz w:val="32"/>
          <w:szCs w:val="32"/>
        </w:rPr>
        <w:t>；经营收入0万元，占0</w:t>
      </w:r>
      <w:r>
        <w:rPr>
          <w:rFonts w:ascii="仿宋" w:hAnsi="仿宋" w:eastAsia="方正仿宋_GBK"/>
          <w:color w:val="000000"/>
          <w:sz w:val="32"/>
          <w:szCs w:val="32"/>
        </w:rPr>
        <w:t>%</w:t>
      </w:r>
      <w:r>
        <w:rPr>
          <w:rFonts w:hint="eastAsia" w:ascii="仿宋" w:hAnsi="仿宋" w:eastAsia="方正仿宋_GBK"/>
          <w:color w:val="000000"/>
          <w:sz w:val="32"/>
          <w:szCs w:val="32"/>
        </w:rPr>
        <w:t>；附属单位上缴收入0万元，占0</w:t>
      </w:r>
      <w:r>
        <w:rPr>
          <w:rFonts w:ascii="仿宋" w:hAnsi="仿宋" w:eastAsia="方正仿宋_GBK"/>
          <w:color w:val="000000"/>
          <w:sz w:val="32"/>
          <w:szCs w:val="32"/>
        </w:rPr>
        <w:t>%</w:t>
      </w:r>
      <w:r>
        <w:rPr>
          <w:rFonts w:hint="eastAsia" w:ascii="仿宋" w:hAnsi="仿宋" w:eastAsia="方正仿宋_GBK"/>
          <w:color w:val="000000"/>
          <w:sz w:val="32"/>
          <w:szCs w:val="32"/>
        </w:rPr>
        <w:t>；其他收入56万元，占12.04</w:t>
      </w:r>
      <w:r>
        <w:rPr>
          <w:rFonts w:ascii="仿宋" w:hAnsi="仿宋" w:eastAsia="方正仿宋_GBK"/>
          <w:color w:val="000000"/>
          <w:sz w:val="32"/>
          <w:szCs w:val="32"/>
        </w:rPr>
        <w:t>%</w:t>
      </w:r>
      <w:r>
        <w:rPr>
          <w:rFonts w:hint="eastAsia" w:ascii="仿宋" w:hAnsi="仿宋" w:eastAsia="方正仿宋_GBK"/>
          <w:color w:val="000000"/>
          <w:sz w:val="32"/>
          <w:szCs w:val="32"/>
        </w:rPr>
        <w:t>。</w:t>
      </w:r>
      <w:bookmarkEnd w:id="51"/>
    </w:p>
    <w:p w14:paraId="00BD2C76">
      <w:pPr>
        <w:spacing w:line="600" w:lineRule="exact"/>
        <w:ind w:firstLine="640" w:firstLineChars="200"/>
        <w:outlineLvl w:val="1"/>
        <w:rPr>
          <w:rFonts w:ascii="仿宋" w:hAnsi="仿宋" w:eastAsia="方正仿宋_GBK"/>
          <w:color w:val="000000"/>
          <w:sz w:val="32"/>
          <w:szCs w:val="32"/>
        </w:rPr>
      </w:pPr>
    </w:p>
    <w:p w14:paraId="15752734">
      <w:pPr>
        <w:spacing w:line="600" w:lineRule="exact"/>
        <w:ind w:firstLine="640" w:firstLineChars="200"/>
        <w:outlineLvl w:val="1"/>
        <w:rPr>
          <w:rFonts w:ascii="仿宋" w:hAnsi="仿宋" w:eastAsia="方正仿宋_GBK"/>
          <w:color w:val="000000"/>
          <w:sz w:val="32"/>
          <w:szCs w:val="32"/>
        </w:rPr>
      </w:pPr>
    </w:p>
    <w:p w14:paraId="05108ED2">
      <w:pPr>
        <w:spacing w:line="600" w:lineRule="exact"/>
        <w:ind w:firstLine="640" w:firstLineChars="200"/>
        <w:rPr>
          <w:rFonts w:ascii="仿宋" w:hAnsi="仿宋" w:eastAsia="方正仿宋_GBK"/>
          <w:color w:val="000000" w:themeColor="text1"/>
          <w:sz w:val="32"/>
          <w:szCs w:val="32"/>
          <w14:textFill>
            <w14:solidFill>
              <w14:schemeClr w14:val="tx1"/>
            </w14:solidFill>
          </w14:textFill>
        </w:rPr>
      </w:pPr>
      <w:r>
        <w:rPr>
          <w:rFonts w:hint="eastAsia" w:ascii="仿宋" w:hAnsi="仿宋" w:eastAsia="方正仿宋_GBK"/>
          <w:color w:val="000000" w:themeColor="text1"/>
          <w:sz w:val="32"/>
          <w:szCs w:val="32"/>
          <w14:textFill>
            <w14:solidFill>
              <w14:schemeClr w14:val="tx1"/>
            </w14:solidFill>
          </w14:textFill>
        </w:rPr>
        <w:t>（图2：收入决算结构图）（饼状图）</w:t>
      </w:r>
    </w:p>
    <w:p w14:paraId="0C8BF977">
      <w:pPr>
        <w:spacing w:line="600" w:lineRule="exact"/>
        <w:ind w:firstLine="640" w:firstLineChars="200"/>
        <w:rPr>
          <w:rFonts w:ascii="仿宋_GB2312" w:eastAsia="方正仿宋_GBK"/>
          <w:color w:val="FF0000"/>
          <w:sz w:val="32"/>
          <w:szCs w:val="32"/>
        </w:rPr>
      </w:pPr>
    </w:p>
    <w:p w14:paraId="728EAEEC">
      <w:pPr>
        <w:pStyle w:val="26"/>
        <w:numPr>
          <w:ilvl w:val="0"/>
          <w:numId w:val="1"/>
        </w:numPr>
        <w:spacing w:line="600" w:lineRule="exact"/>
        <w:ind w:firstLineChars="0"/>
        <w:outlineLvl w:val="1"/>
        <w:rPr>
          <w:rStyle w:val="28"/>
          <w:rFonts w:ascii="黑体" w:hAnsi="黑体" w:eastAsia="黑体"/>
          <w:b w:val="0"/>
        </w:rPr>
      </w:pPr>
      <w:bookmarkStart w:id="52" w:name="_Toc15377207"/>
      <w:bookmarkStart w:id="53" w:name="_Toc1224"/>
      <w:bookmarkStart w:id="54" w:name="_Toc15396605"/>
      <w:r>
        <w:rPr>
          <w:rFonts w:ascii="仿宋" w:hAnsi="仿宋" w:eastAsia="仿宋"/>
          <w:color w:val="000000"/>
          <w:sz w:val="32"/>
          <w:szCs w:val="32"/>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116840</wp:posOffset>
            </wp:positionV>
            <wp:extent cx="4572000" cy="2743200"/>
            <wp:effectExtent l="0" t="0" r="0" b="57150"/>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黑体" w:hAnsi="黑体" w:eastAsia="黑体"/>
          <w:color w:val="000000"/>
          <w:sz w:val="32"/>
          <w:szCs w:val="32"/>
        </w:rPr>
        <w:t>支</w:t>
      </w:r>
      <w:r>
        <w:rPr>
          <w:rStyle w:val="28"/>
          <w:rFonts w:hint="eastAsia" w:ascii="黑体" w:hAnsi="黑体" w:eastAsia="黑体"/>
          <w:b w:val="0"/>
        </w:rPr>
        <w:t>出决算情况说明</w:t>
      </w:r>
      <w:bookmarkEnd w:id="52"/>
      <w:bookmarkEnd w:id="53"/>
      <w:bookmarkEnd w:id="54"/>
    </w:p>
    <w:p w14:paraId="2FE35BF5">
      <w:pPr>
        <w:spacing w:line="600" w:lineRule="exact"/>
        <w:ind w:firstLine="640" w:firstLineChars="200"/>
        <w:outlineLvl w:val="1"/>
        <w:rPr>
          <w:rFonts w:ascii="仿宋" w:hAnsi="仿宋" w:eastAsia="方正仿宋_GBK"/>
          <w:color w:val="000000"/>
          <w:sz w:val="32"/>
          <w:szCs w:val="32"/>
        </w:rPr>
      </w:pPr>
      <w:bookmarkStart w:id="55" w:name="_Toc32177"/>
      <w:r>
        <w:rPr>
          <w:rFonts w:hint="eastAsia" w:ascii="仿宋" w:hAnsi="仿宋" w:eastAsia="方正仿宋_GBK"/>
          <w:color w:val="000000"/>
          <w:sz w:val="32"/>
          <w:szCs w:val="32"/>
        </w:rPr>
        <w:t>三、</w:t>
      </w:r>
      <w:r>
        <w:rPr>
          <w:rFonts w:hint="eastAsia" w:ascii="仿宋" w:hAnsi="仿宋" w:eastAsia="方正仿宋_GBK"/>
          <w:color w:val="000000"/>
          <w:sz w:val="32"/>
          <w:szCs w:val="32"/>
        </w:rPr>
        <w:tab/>
      </w:r>
      <w:r>
        <w:rPr>
          <w:rFonts w:hint="eastAsia" w:ascii="仿宋" w:hAnsi="仿宋" w:eastAsia="方正仿宋_GBK"/>
          <w:color w:val="000000"/>
          <w:sz w:val="32"/>
          <w:szCs w:val="32"/>
        </w:rPr>
        <w:t>支出决算情况说明</w:t>
      </w:r>
    </w:p>
    <w:p w14:paraId="01BC74F6">
      <w:pPr>
        <w:spacing w:line="600" w:lineRule="exact"/>
        <w:ind w:firstLine="640" w:firstLineChars="200"/>
        <w:outlineLvl w:val="1"/>
        <w:rPr>
          <w:rFonts w:ascii="仿宋" w:hAnsi="仿宋" w:eastAsia="方正仿宋_GBK"/>
          <w:color w:val="000000"/>
          <w:sz w:val="32"/>
          <w:szCs w:val="32"/>
        </w:rPr>
      </w:pPr>
      <w:r>
        <w:rPr>
          <w:rFonts w:ascii="仿宋" w:hAnsi="仿宋" w:eastAsia="方正仿宋_GBK"/>
          <w:color w:val="000000"/>
          <w:sz w:val="32"/>
          <w:szCs w:val="32"/>
        </w:rPr>
        <w:t>201</w:t>
      </w:r>
      <w:r>
        <w:rPr>
          <w:rFonts w:hint="eastAsia" w:ascii="仿宋" w:hAnsi="仿宋" w:eastAsia="方正仿宋_GBK"/>
          <w:color w:val="000000"/>
          <w:sz w:val="32"/>
          <w:szCs w:val="32"/>
        </w:rPr>
        <w:t>9年本年支出合计368.25万元，其中：基本支出325.23万元，占88</w:t>
      </w:r>
      <w:r>
        <w:rPr>
          <w:rFonts w:ascii="仿宋" w:hAnsi="仿宋" w:eastAsia="方正仿宋_GBK"/>
          <w:color w:val="000000"/>
          <w:sz w:val="32"/>
          <w:szCs w:val="32"/>
        </w:rPr>
        <w:t>%</w:t>
      </w:r>
      <w:r>
        <w:rPr>
          <w:rFonts w:hint="eastAsia" w:ascii="仿宋" w:hAnsi="仿宋" w:eastAsia="方正仿宋_GBK"/>
          <w:color w:val="000000"/>
          <w:sz w:val="32"/>
          <w:szCs w:val="32"/>
        </w:rPr>
        <w:t>；项目支出43.02万元，占12</w:t>
      </w:r>
      <w:r>
        <w:rPr>
          <w:rFonts w:ascii="仿宋" w:hAnsi="仿宋" w:eastAsia="方正仿宋_GBK"/>
          <w:color w:val="000000"/>
          <w:sz w:val="32"/>
          <w:szCs w:val="32"/>
        </w:rPr>
        <w:t>%</w:t>
      </w:r>
      <w:r>
        <w:rPr>
          <w:rFonts w:hint="eastAsia" w:ascii="仿宋" w:hAnsi="仿宋" w:eastAsia="方正仿宋_GBK"/>
          <w:color w:val="000000"/>
          <w:sz w:val="32"/>
          <w:szCs w:val="32"/>
        </w:rPr>
        <w:t>；上缴上级支出0万元，占0</w:t>
      </w:r>
      <w:r>
        <w:rPr>
          <w:rFonts w:ascii="仿宋" w:hAnsi="仿宋" w:eastAsia="方正仿宋_GBK"/>
          <w:color w:val="000000"/>
          <w:sz w:val="32"/>
          <w:szCs w:val="32"/>
        </w:rPr>
        <w:t>%</w:t>
      </w:r>
      <w:r>
        <w:rPr>
          <w:rFonts w:hint="eastAsia" w:ascii="仿宋" w:hAnsi="仿宋" w:eastAsia="方正仿宋_GBK"/>
          <w:color w:val="000000"/>
          <w:sz w:val="32"/>
          <w:szCs w:val="32"/>
        </w:rPr>
        <w:t>；经营支出0万元，占0</w:t>
      </w:r>
      <w:r>
        <w:rPr>
          <w:rFonts w:ascii="仿宋" w:hAnsi="仿宋" w:eastAsia="方正仿宋_GBK"/>
          <w:color w:val="000000"/>
          <w:sz w:val="32"/>
          <w:szCs w:val="32"/>
        </w:rPr>
        <w:t>%</w:t>
      </w:r>
      <w:r>
        <w:rPr>
          <w:rFonts w:hint="eastAsia" w:ascii="仿宋" w:hAnsi="仿宋" w:eastAsia="方正仿宋_GBK"/>
          <w:color w:val="000000"/>
          <w:sz w:val="32"/>
          <w:szCs w:val="32"/>
        </w:rPr>
        <w:t>；对附属单位补助支出0万元，占0</w:t>
      </w:r>
      <w:r>
        <w:rPr>
          <w:rFonts w:ascii="仿宋" w:hAnsi="仿宋" w:eastAsia="方正仿宋_GBK"/>
          <w:color w:val="000000"/>
          <w:sz w:val="32"/>
          <w:szCs w:val="32"/>
        </w:rPr>
        <w:t>%</w:t>
      </w:r>
      <w:r>
        <w:rPr>
          <w:rFonts w:hint="eastAsia" w:ascii="仿宋" w:hAnsi="仿宋" w:eastAsia="方正仿宋_GBK"/>
          <w:color w:val="000000"/>
          <w:sz w:val="32"/>
          <w:szCs w:val="32"/>
        </w:rPr>
        <w:t>。</w:t>
      </w:r>
      <w:bookmarkEnd w:id="55"/>
    </w:p>
    <w:p w14:paraId="6A84E11A">
      <w:pPr>
        <w:spacing w:line="600" w:lineRule="exact"/>
        <w:ind w:firstLine="640" w:firstLineChars="200"/>
        <w:rPr>
          <w:rFonts w:ascii="仿宋_GB2312" w:eastAsia="方正仿宋_GBK"/>
          <w:color w:val="FF0000"/>
          <w:sz w:val="32"/>
          <w:szCs w:val="32"/>
        </w:rPr>
      </w:pPr>
      <w:r>
        <w:rPr>
          <w:rFonts w:hint="eastAsia" w:ascii="仿宋" w:hAnsi="仿宋" w:eastAsia="方正仿宋_GBK"/>
          <w:color w:val="000000" w:themeColor="text1"/>
          <w:sz w:val="32"/>
          <w:szCs w:val="32"/>
          <w14:textFill>
            <w14:solidFill>
              <w14:schemeClr w14:val="tx1"/>
            </w14:solidFill>
          </w14:textFill>
        </w:rPr>
        <w:t>（图3：支出决算结构图）（饼状图）</w:t>
      </w:r>
    </w:p>
    <w:p w14:paraId="36AEF7A6">
      <w:pPr>
        <w:spacing w:line="600" w:lineRule="exact"/>
        <w:ind w:firstLine="640" w:firstLineChars="200"/>
        <w:rPr>
          <w:rFonts w:ascii="仿宋_GB2312" w:eastAsia="方正仿宋_GBK"/>
          <w:color w:val="FF0000"/>
          <w:sz w:val="32"/>
          <w:szCs w:val="32"/>
        </w:rPr>
      </w:pPr>
      <w:r>
        <w:rPr>
          <w:rFonts w:ascii="仿宋_GB2312" w:eastAsia="仿宋_GB2312"/>
          <w:color w:val="FF0000"/>
          <w:sz w:val="32"/>
          <w:szCs w:val="32"/>
        </w:rPr>
        <w:drawing>
          <wp:anchor distT="0" distB="0" distL="114300" distR="114300" simplePos="0" relativeHeight="251661312" behindDoc="1" locked="0" layoutInCell="1" allowOverlap="1">
            <wp:simplePos x="0" y="0"/>
            <wp:positionH relativeFrom="column">
              <wp:posOffset>0</wp:posOffset>
            </wp:positionH>
            <wp:positionV relativeFrom="paragraph">
              <wp:posOffset>0</wp:posOffset>
            </wp:positionV>
            <wp:extent cx="4572000" cy="2743200"/>
            <wp:effectExtent l="0" t="0" r="0" b="57150"/>
            <wp:wrapTight wrapText="bothSides">
              <wp:wrapPolygon>
                <wp:start x="0" y="0"/>
                <wp:lineTo x="0" y="21150"/>
                <wp:lineTo x="180" y="21750"/>
                <wp:lineTo x="21510" y="21750"/>
                <wp:lineTo x="21510" y="150"/>
                <wp:lineTo x="21420" y="0"/>
                <wp:lineTo x="0" y="0"/>
              </wp:wrapPolygon>
            </wp:wrapTight>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53C1B68E">
      <w:pPr>
        <w:spacing w:line="600" w:lineRule="exact"/>
        <w:ind w:firstLine="640" w:firstLineChars="200"/>
        <w:outlineLvl w:val="1"/>
        <w:rPr>
          <w:rStyle w:val="28"/>
          <w:rFonts w:ascii="黑体" w:hAnsi="黑体" w:eastAsia="黑体"/>
          <w:b w:val="0"/>
        </w:rPr>
      </w:pPr>
      <w:bookmarkStart w:id="56" w:name="_Toc32007"/>
      <w:bookmarkStart w:id="57" w:name="_Toc15396606"/>
      <w:bookmarkStart w:id="58"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56"/>
      <w:bookmarkEnd w:id="57"/>
      <w:bookmarkEnd w:id="58"/>
    </w:p>
    <w:p w14:paraId="19089A81">
      <w:pPr>
        <w:spacing w:line="600" w:lineRule="exact"/>
        <w:rPr>
          <w:rFonts w:ascii="仿宋" w:hAnsi="仿宋" w:eastAsia="方正仿宋_GBK"/>
          <w:color w:val="000000"/>
          <w:sz w:val="32"/>
          <w:szCs w:val="32"/>
        </w:rPr>
      </w:pPr>
      <w:r>
        <w:rPr>
          <w:rFonts w:ascii="仿宋" w:hAnsi="仿宋" w:eastAsia="方正仿宋_GBK"/>
          <w:color w:val="000000"/>
          <w:sz w:val="32"/>
          <w:szCs w:val="32"/>
        </w:rPr>
        <w:t>201</w:t>
      </w:r>
      <w:r>
        <w:rPr>
          <w:rFonts w:hint="eastAsia" w:ascii="仿宋" w:hAnsi="仿宋" w:eastAsia="方正仿宋_GBK"/>
          <w:color w:val="000000"/>
          <w:sz w:val="32"/>
          <w:szCs w:val="32"/>
        </w:rPr>
        <w:t>9年财政拨款收、支总计465.23万元。与</w:t>
      </w:r>
      <w:r>
        <w:rPr>
          <w:rFonts w:ascii="仿宋" w:hAnsi="仿宋" w:eastAsia="方正仿宋_GBK"/>
          <w:color w:val="000000"/>
          <w:sz w:val="32"/>
          <w:szCs w:val="32"/>
        </w:rPr>
        <w:t>201</w:t>
      </w:r>
      <w:r>
        <w:rPr>
          <w:rFonts w:hint="eastAsia" w:ascii="仿宋" w:hAnsi="仿宋" w:eastAsia="方正仿宋_GBK"/>
          <w:color w:val="000000"/>
          <w:sz w:val="32"/>
          <w:szCs w:val="32"/>
        </w:rPr>
        <w:t>8年相比，财政拨款收、支总计各增加49.2万元，增长11.83%。主要变动原因是工作项目增加，支出增加。</w:t>
      </w:r>
    </w:p>
    <w:p w14:paraId="015A85E4">
      <w:pPr>
        <w:spacing w:line="600" w:lineRule="exact"/>
        <w:ind w:firstLine="640" w:firstLineChars="200"/>
        <w:rPr>
          <w:rFonts w:ascii="仿宋" w:hAnsi="仿宋" w:eastAsia="方正仿宋_GBK"/>
          <w:color w:val="000000" w:themeColor="text1"/>
          <w:sz w:val="32"/>
          <w:szCs w:val="32"/>
          <w14:textFill>
            <w14:solidFill>
              <w14:schemeClr w14:val="tx1"/>
            </w14:solidFill>
          </w14:textFill>
        </w:rPr>
      </w:pPr>
      <w:r>
        <w:rPr>
          <w:rFonts w:hint="eastAsia" w:ascii="仿宋" w:hAnsi="仿宋" w:eastAsia="方正仿宋_GBK"/>
          <w:color w:val="000000" w:themeColor="text1"/>
          <w:sz w:val="32"/>
          <w:szCs w:val="32"/>
          <w14:textFill>
            <w14:solidFill>
              <w14:schemeClr w14:val="tx1"/>
            </w14:solidFill>
          </w14:textFill>
        </w:rPr>
        <w:t>（图4：财政拨款收、支决算总计变动情况）（柱状图）</w:t>
      </w:r>
    </w:p>
    <w:p w14:paraId="381BBE46">
      <w:pPr>
        <w:spacing w:line="600" w:lineRule="exact"/>
        <w:ind w:firstLine="640"/>
        <w:rPr>
          <w:rFonts w:ascii="仿宋" w:hAnsi="仿宋" w:eastAsia="方正仿宋_GBK"/>
          <w:b/>
          <w:color w:val="00B050"/>
          <w:sz w:val="32"/>
          <w:szCs w:val="32"/>
        </w:rPr>
      </w:pPr>
      <w:r>
        <w:rPr>
          <w:rFonts w:ascii="仿宋" w:hAnsi="仿宋" w:eastAsia="仿宋"/>
          <w:b/>
          <w:color w:val="00B050"/>
          <w:sz w:val="32"/>
          <w:szCs w:val="32"/>
        </w:rPr>
        <w:drawing>
          <wp:anchor distT="0" distB="0" distL="114300" distR="114300" simplePos="0" relativeHeight="251662336" behindDoc="1" locked="0" layoutInCell="1" allowOverlap="1">
            <wp:simplePos x="0" y="0"/>
            <wp:positionH relativeFrom="column">
              <wp:posOffset>0</wp:posOffset>
            </wp:positionH>
            <wp:positionV relativeFrom="paragraph">
              <wp:posOffset>0</wp:posOffset>
            </wp:positionV>
            <wp:extent cx="4572000" cy="2743200"/>
            <wp:effectExtent l="4445" t="4445" r="14605" b="14605"/>
            <wp:wrapTight wrapText="bothSides">
              <wp:wrapPolygon>
                <wp:start x="-21" y="-35"/>
                <wp:lineTo x="-21" y="21565"/>
                <wp:lineTo x="21579" y="21565"/>
                <wp:lineTo x="21579" y="-35"/>
                <wp:lineTo x="-21" y="-35"/>
              </wp:wrapPolygon>
            </wp:wrapTight>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360EC7A0">
      <w:pPr>
        <w:spacing w:line="600" w:lineRule="exact"/>
        <w:ind w:firstLine="640" w:firstLineChars="200"/>
        <w:outlineLvl w:val="1"/>
        <w:rPr>
          <w:rStyle w:val="28"/>
          <w:rFonts w:ascii="黑体" w:hAnsi="黑体" w:eastAsia="黑体"/>
          <w:b w:val="0"/>
        </w:rPr>
      </w:pPr>
      <w:bookmarkStart w:id="59" w:name="_Toc32322"/>
      <w:bookmarkStart w:id="60" w:name="_Toc15377209"/>
      <w:bookmarkStart w:id="6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59"/>
      <w:bookmarkEnd w:id="60"/>
      <w:bookmarkEnd w:id="61"/>
    </w:p>
    <w:p w14:paraId="44739789">
      <w:pPr>
        <w:spacing w:line="600" w:lineRule="exact"/>
        <w:ind w:firstLine="643" w:firstLineChars="200"/>
        <w:outlineLvl w:val="2"/>
        <w:rPr>
          <w:rFonts w:ascii="仿宋" w:hAnsi="仿宋" w:eastAsia="方正仿宋_GBK"/>
          <w:b/>
          <w:color w:val="000000"/>
          <w:sz w:val="32"/>
          <w:szCs w:val="32"/>
        </w:rPr>
      </w:pPr>
      <w:bookmarkStart w:id="62" w:name="_Toc15377210"/>
      <w:bookmarkStart w:id="63" w:name="_Toc1160"/>
      <w:r>
        <w:rPr>
          <w:rFonts w:hint="eastAsia" w:ascii="仿宋" w:hAnsi="仿宋" w:eastAsia="方正仿宋_GBK"/>
          <w:b/>
          <w:color w:val="000000"/>
          <w:sz w:val="32"/>
          <w:szCs w:val="32"/>
        </w:rPr>
        <w:t>（一）一般公共预算财政拨款支出决算总体情况</w:t>
      </w:r>
      <w:bookmarkEnd w:id="62"/>
      <w:bookmarkEnd w:id="63"/>
    </w:p>
    <w:p w14:paraId="73315918">
      <w:pPr>
        <w:spacing w:line="600" w:lineRule="exact"/>
        <w:ind w:firstLine="640" w:firstLineChars="200"/>
        <w:rPr>
          <w:rFonts w:ascii="仿宋" w:hAnsi="仿宋" w:eastAsia="方正仿宋_GBK"/>
          <w:color w:val="000000"/>
          <w:sz w:val="32"/>
          <w:szCs w:val="32"/>
        </w:rPr>
      </w:pPr>
      <w:r>
        <w:rPr>
          <w:rFonts w:ascii="仿宋" w:hAnsi="仿宋" w:eastAsia="方正仿宋_GBK"/>
          <w:color w:val="000000"/>
          <w:sz w:val="32"/>
          <w:szCs w:val="32"/>
        </w:rPr>
        <w:t>201</w:t>
      </w:r>
      <w:r>
        <w:rPr>
          <w:rFonts w:hint="eastAsia" w:ascii="仿宋" w:hAnsi="仿宋" w:eastAsia="方正仿宋_GBK"/>
          <w:color w:val="000000"/>
          <w:sz w:val="32"/>
          <w:szCs w:val="32"/>
        </w:rPr>
        <w:t>9年一般公共预算财政拨款支出409.23万元，占本年支出合计的87.96</w:t>
      </w:r>
      <w:r>
        <w:rPr>
          <w:rFonts w:ascii="仿宋" w:hAnsi="仿宋" w:eastAsia="方正仿宋_GBK"/>
          <w:color w:val="000000"/>
          <w:sz w:val="32"/>
          <w:szCs w:val="32"/>
        </w:rPr>
        <w:t>%</w:t>
      </w:r>
      <w:r>
        <w:rPr>
          <w:rFonts w:hint="eastAsia" w:ascii="仿宋" w:hAnsi="仿宋" w:eastAsia="方正仿宋_GBK"/>
          <w:color w:val="000000"/>
          <w:sz w:val="32"/>
          <w:szCs w:val="32"/>
        </w:rPr>
        <w:t>。与</w:t>
      </w:r>
      <w:r>
        <w:rPr>
          <w:rFonts w:ascii="仿宋" w:hAnsi="仿宋" w:eastAsia="方正仿宋_GBK"/>
          <w:color w:val="000000"/>
          <w:sz w:val="32"/>
          <w:szCs w:val="32"/>
        </w:rPr>
        <w:t>201</w:t>
      </w:r>
      <w:r>
        <w:rPr>
          <w:rFonts w:hint="eastAsia" w:ascii="仿宋" w:hAnsi="仿宋" w:eastAsia="方正仿宋_GBK"/>
          <w:color w:val="000000"/>
          <w:sz w:val="32"/>
          <w:szCs w:val="32"/>
        </w:rPr>
        <w:t>8年相比，一般公共预算财政拨款增加103.25万元，增长33.74</w:t>
      </w:r>
      <w:r>
        <w:rPr>
          <w:rFonts w:ascii="仿宋" w:hAnsi="仿宋" w:eastAsia="方正仿宋_GBK"/>
          <w:color w:val="000000"/>
          <w:sz w:val="32"/>
          <w:szCs w:val="32"/>
        </w:rPr>
        <w:t>%</w:t>
      </w:r>
      <w:r>
        <w:rPr>
          <w:rFonts w:hint="eastAsia" w:ascii="仿宋" w:hAnsi="仿宋" w:eastAsia="方正仿宋_GBK"/>
          <w:color w:val="000000"/>
          <w:sz w:val="32"/>
          <w:szCs w:val="32"/>
        </w:rPr>
        <w:t>。主要变动原因是项目支出增加，人员支出增加。</w:t>
      </w:r>
    </w:p>
    <w:p w14:paraId="6FA59091">
      <w:pPr>
        <w:spacing w:line="600" w:lineRule="exact"/>
        <w:ind w:firstLine="640" w:firstLineChars="200"/>
        <w:rPr>
          <w:rFonts w:ascii="仿宋" w:hAnsi="仿宋" w:eastAsia="方正仿宋_GBK"/>
          <w:color w:val="000000"/>
          <w:sz w:val="32"/>
          <w:szCs w:val="32"/>
        </w:rPr>
      </w:pPr>
    </w:p>
    <w:p w14:paraId="3238A497">
      <w:pPr>
        <w:spacing w:line="600" w:lineRule="exact"/>
        <w:ind w:firstLine="640" w:firstLineChars="200"/>
        <w:rPr>
          <w:rFonts w:ascii="仿宋" w:hAnsi="仿宋" w:eastAsia="方正仿宋_GBK"/>
          <w:color w:val="000000" w:themeColor="text1"/>
          <w:sz w:val="32"/>
          <w:szCs w:val="32"/>
          <w14:textFill>
            <w14:solidFill>
              <w14:schemeClr w14:val="tx1"/>
            </w14:solidFill>
          </w14:textFill>
        </w:rPr>
      </w:pPr>
      <w:r>
        <w:rPr>
          <w:rFonts w:hint="eastAsia" w:ascii="仿宋" w:hAnsi="仿宋" w:eastAsia="方正仿宋_GBK"/>
          <w:color w:val="000000" w:themeColor="text1"/>
          <w:sz w:val="32"/>
          <w:szCs w:val="32"/>
          <w14:textFill>
            <w14:solidFill>
              <w14:schemeClr w14:val="tx1"/>
            </w14:solidFill>
          </w14:textFill>
        </w:rPr>
        <w:t>（图5：一般公共预算财政拨款支出决算变动情况）（柱状图）</w:t>
      </w:r>
    </w:p>
    <w:p w14:paraId="1422D5BE">
      <w:pPr>
        <w:spacing w:line="600" w:lineRule="exact"/>
        <w:ind w:firstLine="640" w:firstLineChars="200"/>
        <w:rPr>
          <w:rFonts w:ascii="仿宋" w:hAnsi="仿宋" w:eastAsia="方正仿宋_GBK"/>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1" locked="0" layoutInCell="1" allowOverlap="1">
            <wp:simplePos x="0" y="0"/>
            <wp:positionH relativeFrom="column">
              <wp:posOffset>0</wp:posOffset>
            </wp:positionH>
            <wp:positionV relativeFrom="paragraph">
              <wp:posOffset>0</wp:posOffset>
            </wp:positionV>
            <wp:extent cx="4572000" cy="2743200"/>
            <wp:effectExtent l="4445" t="4445" r="14605" b="71755"/>
            <wp:wrapTight wrapText="bothSides">
              <wp:wrapPolygon>
                <wp:start x="-21" y="-35"/>
                <wp:lineTo x="-21" y="21865"/>
                <wp:lineTo x="21579" y="21865"/>
                <wp:lineTo x="21579" y="-35"/>
                <wp:lineTo x="-21" y="-35"/>
              </wp:wrapPolygon>
            </wp:wrapTight>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27FF9DA">
      <w:pPr>
        <w:spacing w:line="600" w:lineRule="exact"/>
        <w:ind w:firstLine="643" w:firstLineChars="200"/>
        <w:outlineLvl w:val="2"/>
        <w:rPr>
          <w:rFonts w:ascii="仿宋" w:hAnsi="仿宋" w:eastAsia="方正仿宋_GBK"/>
          <w:b/>
          <w:color w:val="000000"/>
          <w:sz w:val="32"/>
          <w:szCs w:val="32"/>
        </w:rPr>
      </w:pPr>
      <w:bookmarkStart w:id="64" w:name="_Toc31943"/>
      <w:bookmarkStart w:id="65" w:name="_Toc15377211"/>
      <w:r>
        <w:rPr>
          <w:rFonts w:hint="eastAsia" w:ascii="仿宋" w:hAnsi="仿宋" w:eastAsia="方正仿宋_GBK"/>
          <w:b/>
          <w:color w:val="000000"/>
          <w:sz w:val="32"/>
          <w:szCs w:val="32"/>
        </w:rPr>
        <w:t>（二）一般公共预算财政拨款支出决算结构情况</w:t>
      </w:r>
      <w:bookmarkEnd w:id="64"/>
      <w:bookmarkEnd w:id="65"/>
    </w:p>
    <w:p w14:paraId="02940473">
      <w:pPr>
        <w:spacing w:line="600" w:lineRule="exact"/>
        <w:ind w:firstLine="640"/>
        <w:rPr>
          <w:rFonts w:ascii="方正仿宋_GBK" w:hAnsi="方正仿宋_GBK" w:eastAsia="方正仿宋_GBK" w:cs="方正仿宋_GBK"/>
          <w:b/>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sz w:val="32"/>
          <w:szCs w:val="32"/>
        </w:rPr>
        <w:t>2019年一般公共预算财</w:t>
      </w:r>
      <w:r>
        <w:rPr>
          <w:rFonts w:hint="eastAsia" w:ascii="方正仿宋_GBK" w:hAnsi="方正仿宋_GBK" w:eastAsia="方正仿宋_GBK" w:cs="方正仿宋_GBK"/>
          <w:color w:val="000000" w:themeColor="text1"/>
          <w:sz w:val="32"/>
          <w:szCs w:val="32"/>
          <w14:textFill>
            <w14:solidFill>
              <w14:schemeClr w14:val="tx1"/>
            </w14:solidFill>
          </w14:textFill>
        </w:rPr>
        <w:t>政拨款支出303.79万元，主要用于以下方面:</w:t>
      </w:r>
      <w:r>
        <w:rPr>
          <w:rFonts w:hint="eastAsia" w:ascii="方正仿宋_GBK" w:hAnsi="方正仿宋_GBK" w:eastAsia="方正仿宋_GBK" w:cs="方正仿宋_GBK"/>
          <w:b/>
          <w:color w:val="000000" w:themeColor="text1"/>
          <w:sz w:val="32"/>
          <w:szCs w:val="32"/>
          <w14:textFill>
            <w14:solidFill>
              <w14:schemeClr w14:val="tx1"/>
            </w14:solidFill>
          </w14:textFill>
        </w:rPr>
        <w:t>一般公共服务（201）统战事务(34）行政运行（01）</w:t>
      </w:r>
      <w:r>
        <w:rPr>
          <w:rFonts w:hint="eastAsia" w:ascii="方正仿宋_GBK" w:hAnsi="方正仿宋_GBK" w:eastAsia="方正仿宋_GBK" w:cs="方正仿宋_GBK"/>
          <w:color w:val="000000" w:themeColor="text1"/>
          <w:sz w:val="32"/>
          <w:szCs w:val="32"/>
          <w14:textFill>
            <w14:solidFill>
              <w14:schemeClr w14:val="tx1"/>
            </w14:solidFill>
          </w14:textFill>
        </w:rPr>
        <w:t>支出303.79万元，占83%；</w:t>
      </w:r>
      <w:r>
        <w:rPr>
          <w:rFonts w:hint="eastAsia" w:ascii="方正仿宋_GBK" w:hAnsi="方正仿宋_GBK" w:eastAsia="方正仿宋_GBK" w:cs="方正仿宋_GBK"/>
          <w:b/>
          <w:bCs/>
          <w:color w:val="000000" w:themeColor="text1"/>
          <w:sz w:val="32"/>
          <w:szCs w:val="32"/>
          <w14:textFill>
            <w14:solidFill>
              <w14:schemeClr w14:val="tx1"/>
            </w14:solidFill>
          </w14:textFill>
        </w:rPr>
        <w:t>社会保障和就业支出（208）行政事业单位离退休（05）机关事业单位基本养老保险缴费支出（05）:</w:t>
      </w:r>
      <w:r>
        <w:rPr>
          <w:rFonts w:hint="eastAsia" w:ascii="方正仿宋_GBK" w:hAnsi="方正仿宋_GBK" w:eastAsia="方正仿宋_GBK" w:cs="方正仿宋_GBK"/>
          <w:color w:val="000000" w:themeColor="text1"/>
          <w:sz w:val="32"/>
          <w:szCs w:val="32"/>
          <w14:textFill>
            <w14:solidFill>
              <w14:schemeClr w14:val="tx1"/>
            </w14:solidFill>
          </w14:textFill>
        </w:rPr>
        <w:t>支出23.81万元，占6%；</w:t>
      </w:r>
      <w:r>
        <w:rPr>
          <w:rFonts w:hint="eastAsia" w:ascii="方正仿宋_GBK" w:hAnsi="方正仿宋_GBK" w:eastAsia="方正仿宋_GBK" w:cs="方正仿宋_GBK"/>
          <w:b/>
          <w:bCs/>
          <w:color w:val="000000" w:themeColor="text1"/>
          <w:sz w:val="32"/>
          <w:szCs w:val="32"/>
          <w14:textFill>
            <w14:solidFill>
              <w14:schemeClr w14:val="tx1"/>
            </w14:solidFill>
          </w14:textFill>
        </w:rPr>
        <w:t>医疗卫生与计划生育支出（210），行政单位医疗（11）行政单位医疗（01）:支出</w:t>
      </w:r>
      <w:r>
        <w:rPr>
          <w:rFonts w:hint="eastAsia" w:ascii="方正仿宋_GBK" w:hAnsi="方正仿宋_GBK" w:eastAsia="方正仿宋_GBK" w:cs="方正仿宋_GBK"/>
          <w:color w:val="000000" w:themeColor="text1"/>
          <w:sz w:val="32"/>
          <w:szCs w:val="32"/>
          <w14:textFill>
            <w14:solidFill>
              <w14:schemeClr w14:val="tx1"/>
            </w14:solidFill>
          </w14:textFill>
        </w:rPr>
        <w:t>17.74万元，占5%；</w:t>
      </w:r>
      <w:r>
        <w:rPr>
          <w:rFonts w:hint="eastAsia" w:ascii="方正仿宋_GBK" w:hAnsi="方正仿宋_GBK" w:eastAsia="方正仿宋_GBK" w:cs="方正仿宋_GBK"/>
          <w:b/>
          <w:bCs/>
          <w:color w:val="000000" w:themeColor="text1"/>
          <w:sz w:val="32"/>
          <w:szCs w:val="32"/>
          <w14:textFill>
            <w14:solidFill>
              <w14:schemeClr w14:val="tx1"/>
            </w14:solidFill>
          </w14:textFill>
        </w:rPr>
        <w:t>房保障支出（221），住房改革支出（02）住房公积金（01），</w:t>
      </w:r>
      <w:r>
        <w:rPr>
          <w:rFonts w:hint="eastAsia" w:ascii="方正仿宋_GBK" w:hAnsi="方正仿宋_GBK" w:eastAsia="方正仿宋_GBK" w:cs="方正仿宋_GBK"/>
          <w:color w:val="000000" w:themeColor="text1"/>
          <w:sz w:val="32"/>
          <w:szCs w:val="32"/>
          <w14:textFill>
            <w14:solidFill>
              <w14:schemeClr w14:val="tx1"/>
            </w14:solidFill>
          </w14:textFill>
        </w:rPr>
        <w:t>支出22.9万元，占6%。</w:t>
      </w:r>
      <w:r>
        <w:rPr>
          <w:rFonts w:hint="eastAsia" w:ascii="方正仿宋_GBK" w:hAnsi="方正仿宋_GBK" w:eastAsia="方正仿宋_GBK" w:cs="方正仿宋_GBK"/>
          <w:b/>
          <w:color w:val="000000" w:themeColor="text1"/>
          <w:sz w:val="32"/>
          <w:szCs w:val="32"/>
          <w14:textFill>
            <w14:solidFill>
              <w14:schemeClr w14:val="tx1"/>
            </w14:solidFill>
          </w14:textFill>
        </w:rPr>
        <w:t>（罗列全部功能分类科目，至类级。）</w:t>
      </w:r>
    </w:p>
    <w:p w14:paraId="2182DAFE">
      <w:pPr>
        <w:spacing w:line="600" w:lineRule="exact"/>
        <w:ind w:firstLine="640"/>
        <w:rPr>
          <w:rFonts w:ascii="仿宋" w:hAnsi="仿宋" w:eastAsia="方正仿宋_GBK"/>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1" locked="0" layoutInCell="1" allowOverlap="1">
            <wp:simplePos x="0" y="0"/>
            <wp:positionH relativeFrom="column">
              <wp:posOffset>0</wp:posOffset>
            </wp:positionH>
            <wp:positionV relativeFrom="paragraph">
              <wp:posOffset>0</wp:posOffset>
            </wp:positionV>
            <wp:extent cx="4572000" cy="2743200"/>
            <wp:effectExtent l="4445" t="4445" r="14605" b="71755"/>
            <wp:wrapTight wrapText="bothSides">
              <wp:wrapPolygon>
                <wp:start x="-21" y="-35"/>
                <wp:lineTo x="-21" y="21865"/>
                <wp:lineTo x="21579" y="21865"/>
                <wp:lineTo x="21579" y="-35"/>
                <wp:lineTo x="-21" y="-35"/>
              </wp:wrapPolygon>
            </wp:wrapTight>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3C8A8AF">
      <w:pPr>
        <w:spacing w:line="600" w:lineRule="exact"/>
        <w:ind w:firstLine="640" w:firstLineChars="200"/>
        <w:rPr>
          <w:rFonts w:ascii="仿宋" w:hAnsi="仿宋" w:eastAsia="方正仿宋_GBK"/>
          <w:color w:val="000000"/>
          <w:sz w:val="32"/>
          <w:szCs w:val="32"/>
        </w:rPr>
      </w:pPr>
      <w:r>
        <w:rPr>
          <w:rFonts w:hint="eastAsia" w:ascii="仿宋" w:hAnsi="仿宋" w:eastAsia="方正仿宋_GBK"/>
          <w:color w:val="000000"/>
          <w:sz w:val="32"/>
          <w:szCs w:val="32"/>
        </w:rPr>
        <w:t>（图6：一般公共预算财政拨款支出决算结构）（饼状图）</w:t>
      </w:r>
    </w:p>
    <w:p w14:paraId="2F7E716D">
      <w:pPr>
        <w:spacing w:line="600" w:lineRule="exact"/>
        <w:ind w:firstLine="643" w:firstLineChars="200"/>
        <w:outlineLvl w:val="2"/>
        <w:rPr>
          <w:rFonts w:ascii="仿宋" w:hAnsi="仿宋" w:eastAsia="方正仿宋_GBK"/>
          <w:b/>
          <w:color w:val="000000"/>
          <w:sz w:val="32"/>
          <w:szCs w:val="32"/>
        </w:rPr>
      </w:pPr>
      <w:bookmarkStart w:id="66" w:name="_Toc15377212"/>
      <w:bookmarkStart w:id="67" w:name="_Toc14347"/>
      <w:r>
        <w:rPr>
          <w:rFonts w:hint="eastAsia" w:ascii="仿宋" w:hAnsi="仿宋" w:eastAsia="方正仿宋_GBK"/>
          <w:b/>
          <w:color w:val="000000"/>
          <w:sz w:val="32"/>
          <w:szCs w:val="32"/>
        </w:rPr>
        <w:t>（三）一般公共预算财政拨款支出决算具体情况</w:t>
      </w:r>
      <w:bookmarkEnd w:id="66"/>
      <w:bookmarkEnd w:id="67"/>
    </w:p>
    <w:p w14:paraId="080A03F8">
      <w:pPr>
        <w:spacing w:line="600" w:lineRule="exact"/>
        <w:ind w:firstLine="643" w:firstLineChars="200"/>
        <w:outlineLvl w:val="2"/>
        <w:rPr>
          <w:rFonts w:ascii="方正仿宋_GBK" w:hAnsi="方正仿宋_GBK" w:eastAsia="方正仿宋_GBK" w:cs="方正仿宋_GBK"/>
          <w:color w:val="FF0000"/>
          <w:sz w:val="32"/>
          <w:szCs w:val="32"/>
        </w:rPr>
      </w:pPr>
      <w:bookmarkStart w:id="68" w:name="_Toc2730"/>
      <w:bookmarkStart w:id="69" w:name="_Toc15377213"/>
      <w:bookmarkStart w:id="70" w:name="_Toc15377444"/>
      <w:bookmarkStart w:id="71" w:name="_Toc15378460"/>
      <w:r>
        <w:rPr>
          <w:rFonts w:hint="eastAsia" w:ascii="方正仿宋_GBK" w:hAnsi="方正仿宋_GBK" w:eastAsia="方正仿宋_GBK" w:cs="方正仿宋_GBK"/>
          <w:b/>
          <w:color w:val="000000" w:themeColor="text1"/>
          <w:sz w:val="32"/>
          <w:szCs w:val="32"/>
          <w14:textFill>
            <w14:solidFill>
              <w14:schemeClr w14:val="tx1"/>
            </w14:solidFill>
          </w14:textFill>
        </w:rPr>
        <w:t>2019年般公共预算支出决算数为303.79</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Style w:val="17"/>
          <w:rFonts w:hint="eastAsia" w:ascii="方正仿宋_GBK" w:hAnsi="方正仿宋_GBK" w:eastAsia="方正仿宋_GBK" w:cs="方正仿宋_GBK"/>
          <w:bCs/>
          <w:color w:val="000000" w:themeColor="text1"/>
          <w:sz w:val="32"/>
          <w:szCs w:val="32"/>
          <w14:textFill>
            <w14:solidFill>
              <w14:schemeClr w14:val="tx1"/>
            </w14:solidFill>
          </w14:textFill>
        </w:rPr>
        <w:t>完成</w:t>
      </w:r>
      <w:r>
        <w:rPr>
          <w:rStyle w:val="17"/>
          <w:rFonts w:hint="eastAsia" w:ascii="方正仿宋_GBK" w:hAnsi="方正仿宋_GBK" w:eastAsia="方正仿宋_GBK" w:cs="方正仿宋_GBK"/>
          <w:bCs/>
          <w:color w:val="000000"/>
          <w:sz w:val="32"/>
          <w:szCs w:val="32"/>
        </w:rPr>
        <w:t>预算83%。其中：</w:t>
      </w:r>
      <w:bookmarkEnd w:id="68"/>
      <w:bookmarkEnd w:id="69"/>
      <w:bookmarkEnd w:id="70"/>
      <w:bookmarkEnd w:id="71"/>
    </w:p>
    <w:p w14:paraId="41AAE556">
      <w:pPr>
        <w:spacing w:line="600" w:lineRule="exact"/>
        <w:ind w:firstLine="643" w:firstLineChars="200"/>
        <w:rPr>
          <w:rFonts w:ascii="方正仿宋_GBK" w:hAnsi="方正仿宋_GBK" w:eastAsia="方正仿宋_GBK" w:cs="方正仿宋_GBK"/>
          <w:b/>
          <w:color w:val="000000"/>
          <w:sz w:val="32"/>
          <w:szCs w:val="32"/>
        </w:rPr>
      </w:pPr>
      <w:r>
        <w:rPr>
          <w:rStyle w:val="17"/>
          <w:rFonts w:hint="eastAsia" w:ascii="方正仿宋_GBK" w:hAnsi="方正仿宋_GBK" w:eastAsia="方正仿宋_GBK" w:cs="方正仿宋_GBK"/>
          <w:bCs/>
          <w:color w:val="000000"/>
          <w:sz w:val="32"/>
          <w:szCs w:val="32"/>
        </w:rPr>
        <w:t>1.一般公共服务（201）统战事务(34）行政运行（01）:</w:t>
      </w:r>
      <w:r>
        <w:rPr>
          <w:rStyle w:val="17"/>
          <w:rFonts w:hint="eastAsia" w:ascii="方正仿宋_GBK" w:hAnsi="方正仿宋_GBK" w:eastAsia="方正仿宋_GBK" w:cs="方正仿宋_GBK"/>
          <w:b w:val="0"/>
          <w:bCs/>
          <w:color w:val="000000"/>
          <w:sz w:val="32"/>
          <w:szCs w:val="32"/>
        </w:rPr>
        <w:t xml:space="preserve"> 支出决算为303.79万元，完成预算100%，决算数等于预算数的主要原因是严格按照预算要求列支工作经费。</w:t>
      </w:r>
    </w:p>
    <w:p w14:paraId="476CC8AD">
      <w:pPr>
        <w:spacing w:line="600" w:lineRule="exact"/>
        <w:ind w:firstLine="643" w:firstLineChars="200"/>
        <w:rPr>
          <w:rFonts w:ascii="方正仿宋_GBK" w:hAnsi="方正仿宋_GBK" w:eastAsia="方正仿宋_GBK" w:cs="方正仿宋_GBK"/>
          <w:b/>
          <w:color w:val="000000"/>
          <w:sz w:val="32"/>
          <w:szCs w:val="32"/>
        </w:rPr>
      </w:pPr>
      <w:r>
        <w:rPr>
          <w:rStyle w:val="17"/>
          <w:rFonts w:hint="eastAsia" w:ascii="方正仿宋_GBK" w:hAnsi="方正仿宋_GBK" w:eastAsia="方正仿宋_GBK" w:cs="方正仿宋_GBK"/>
          <w:bCs/>
          <w:color w:val="000000"/>
          <w:sz w:val="32"/>
          <w:szCs w:val="32"/>
        </w:rPr>
        <w:t>2.社会保障和就业支出（208）行政事业单位离退休（05）机关事业单位基本养老保险缴费支出（05）:</w:t>
      </w:r>
      <w:r>
        <w:rPr>
          <w:rStyle w:val="17"/>
          <w:rFonts w:hint="eastAsia" w:ascii="方正仿宋_GBK" w:hAnsi="方正仿宋_GBK" w:eastAsia="方正仿宋_GBK" w:cs="方正仿宋_GBK"/>
          <w:b w:val="0"/>
          <w:bCs/>
          <w:color w:val="000000"/>
          <w:sz w:val="32"/>
          <w:szCs w:val="32"/>
        </w:rPr>
        <w:t xml:space="preserve"> 支出决算为23.81万元，完成预算100%，要原因是严格按照预算要求列支工作经费。</w:t>
      </w:r>
    </w:p>
    <w:p w14:paraId="00435201">
      <w:pPr>
        <w:spacing w:line="600" w:lineRule="exact"/>
        <w:ind w:firstLine="643" w:firstLineChars="200"/>
        <w:rPr>
          <w:rStyle w:val="17"/>
          <w:rFonts w:ascii="方正仿宋_GBK" w:hAnsi="方正仿宋_GBK" w:eastAsia="方正仿宋_GBK" w:cs="方正仿宋_GBK"/>
          <w:b w:val="0"/>
          <w:bCs/>
          <w:color w:val="000000"/>
          <w:sz w:val="32"/>
          <w:szCs w:val="32"/>
        </w:rPr>
      </w:pPr>
      <w:r>
        <w:rPr>
          <w:rStyle w:val="17"/>
          <w:rFonts w:hint="eastAsia" w:ascii="方正仿宋_GBK" w:hAnsi="方正仿宋_GBK" w:eastAsia="方正仿宋_GBK" w:cs="方正仿宋_GBK"/>
          <w:bCs/>
          <w:color w:val="000000"/>
          <w:sz w:val="32"/>
          <w:szCs w:val="32"/>
        </w:rPr>
        <w:t>3.</w:t>
      </w:r>
      <w:r>
        <w:rPr>
          <w:rFonts w:hint="eastAsia" w:ascii="方正仿宋_GBK" w:hAnsi="方正仿宋_GBK" w:eastAsia="方正仿宋_GBK" w:cs="方正仿宋_GBK"/>
          <w:b/>
          <w:bCs/>
          <w:color w:val="000000" w:themeColor="text1"/>
          <w:sz w:val="32"/>
          <w:szCs w:val="32"/>
          <w14:textFill>
            <w14:solidFill>
              <w14:schemeClr w14:val="tx1"/>
            </w14:solidFill>
          </w14:textFill>
        </w:rPr>
        <w:t>医疗卫生与计划生育支出（210），行政单位医疗（11）行政单位医疗（01）</w:t>
      </w:r>
      <w:r>
        <w:rPr>
          <w:rStyle w:val="17"/>
          <w:rFonts w:hint="eastAsia" w:ascii="方正仿宋_GBK" w:hAnsi="方正仿宋_GBK" w:eastAsia="方正仿宋_GBK" w:cs="方正仿宋_GBK"/>
          <w:bCs/>
          <w:color w:val="000000"/>
          <w:sz w:val="32"/>
          <w:szCs w:val="32"/>
        </w:rPr>
        <w:t>:</w:t>
      </w:r>
      <w:r>
        <w:rPr>
          <w:rStyle w:val="17"/>
          <w:rFonts w:hint="eastAsia" w:ascii="方正仿宋_GBK" w:hAnsi="方正仿宋_GBK" w:eastAsia="方正仿宋_GBK" w:cs="方正仿宋_GBK"/>
          <w:b w:val="0"/>
          <w:bCs/>
          <w:color w:val="000000"/>
          <w:sz w:val="32"/>
          <w:szCs w:val="32"/>
        </w:rPr>
        <w:t>支出决算为17.74万元，完成预算100%，要原因是严格按照预算要求列支工作经费。</w:t>
      </w:r>
    </w:p>
    <w:p w14:paraId="205ABC40">
      <w:pPr>
        <w:spacing w:line="600" w:lineRule="exact"/>
        <w:ind w:firstLine="643" w:firstLineChars="200"/>
        <w:rPr>
          <w:rFonts w:ascii="方正仿宋_GBK" w:hAnsi="方正仿宋_GBK" w:eastAsia="方正仿宋_GBK" w:cs="方正仿宋_GBK"/>
          <w:b/>
          <w:color w:val="000000"/>
          <w:sz w:val="32"/>
          <w:szCs w:val="32"/>
        </w:rPr>
      </w:pPr>
      <w:r>
        <w:rPr>
          <w:rStyle w:val="17"/>
          <w:rFonts w:hint="eastAsia" w:ascii="方正仿宋_GBK" w:hAnsi="方正仿宋_GBK" w:eastAsia="方正仿宋_GBK" w:cs="方正仿宋_GBK"/>
          <w:color w:val="000000"/>
          <w:sz w:val="32"/>
          <w:szCs w:val="32"/>
        </w:rPr>
        <w:t>4.住房保障支出（221），住房改革支出（02）住房公积金（01），</w:t>
      </w:r>
      <w:r>
        <w:rPr>
          <w:rFonts w:hint="eastAsia" w:ascii="方正仿宋_GBK" w:hAnsi="方正仿宋_GBK" w:eastAsia="方正仿宋_GBK" w:cs="方正仿宋_GBK"/>
          <w:color w:val="000000"/>
          <w:sz w:val="32"/>
          <w:szCs w:val="32"/>
        </w:rPr>
        <w:t>支出决算为22.9万元，完成预算100%，要原因是严格按照预算要求列支工作经费。</w:t>
      </w:r>
    </w:p>
    <w:p w14:paraId="66B72632">
      <w:pPr>
        <w:tabs>
          <w:tab w:val="right" w:pos="8306"/>
        </w:tabs>
        <w:spacing w:line="600" w:lineRule="exact"/>
        <w:ind w:firstLine="640"/>
        <w:outlineLvl w:val="1"/>
        <w:rPr>
          <w:rStyle w:val="28"/>
        </w:rPr>
      </w:pPr>
      <w:bookmarkStart w:id="72" w:name="_Toc15377214"/>
      <w:bookmarkStart w:id="73" w:name="_Toc15396608"/>
      <w:bookmarkStart w:id="74" w:name="_Toc2975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72"/>
      <w:bookmarkEnd w:id="73"/>
      <w:bookmarkEnd w:id="74"/>
      <w:r>
        <w:rPr>
          <w:rStyle w:val="28"/>
          <w:rFonts w:ascii="黑体" w:hAnsi="黑体" w:eastAsia="黑体"/>
          <w:b w:val="0"/>
        </w:rPr>
        <w:tab/>
      </w:r>
    </w:p>
    <w:p w14:paraId="15280B60">
      <w:pPr>
        <w:spacing w:line="600" w:lineRule="exact"/>
        <w:ind w:firstLine="645"/>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2019年一般公共预算财政拨款基本支出368.25万元，其中：</w:t>
      </w:r>
    </w:p>
    <w:p w14:paraId="7F03EF7C">
      <w:pPr>
        <w:spacing w:line="600" w:lineRule="exact"/>
        <w:ind w:firstLine="645"/>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人员经费264.93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方正仿宋_GBK" w:hAnsi="方正仿宋_GBK" w:eastAsia="方正仿宋_GBK" w:cs="方正仿宋_GBK"/>
          <w:color w:val="000000"/>
          <w:sz w:val="32"/>
          <w:szCs w:val="32"/>
        </w:rPr>
        <w:br w:type="textWrapping"/>
      </w:r>
      <w:r>
        <w:rPr>
          <w:rFonts w:hint="eastAsia" w:ascii="方正仿宋_GBK" w:hAnsi="方正仿宋_GBK" w:eastAsia="方正仿宋_GBK" w:cs="方正仿宋_GBK"/>
          <w:color w:val="000000"/>
          <w:sz w:val="32"/>
          <w:szCs w:val="32"/>
        </w:rPr>
        <w:t>　　日常公用经费79.14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C6E4A1F">
      <w:pPr>
        <w:spacing w:line="600" w:lineRule="exact"/>
        <w:ind w:firstLine="640"/>
        <w:outlineLvl w:val="1"/>
        <w:rPr>
          <w:rStyle w:val="28"/>
          <w:rFonts w:ascii="黑体" w:hAnsi="黑体" w:eastAsia="黑体"/>
          <w:b w:val="0"/>
        </w:rPr>
      </w:pPr>
      <w:bookmarkStart w:id="75" w:name="_Toc15377215"/>
      <w:bookmarkStart w:id="76" w:name="_Toc15396609"/>
      <w:bookmarkStart w:id="77" w:name="_Toc1844"/>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75"/>
      <w:bookmarkEnd w:id="76"/>
      <w:bookmarkEnd w:id="77"/>
    </w:p>
    <w:p w14:paraId="69A6B1FE">
      <w:pPr>
        <w:spacing w:line="600" w:lineRule="exact"/>
        <w:ind w:firstLine="640"/>
        <w:outlineLvl w:val="2"/>
        <w:rPr>
          <w:rFonts w:ascii="方正仿宋_GBK" w:hAnsi="方正仿宋_GBK" w:eastAsia="方正仿宋_GBK" w:cs="方正仿宋_GBK"/>
          <w:b/>
          <w:color w:val="000000"/>
          <w:sz w:val="32"/>
          <w:szCs w:val="32"/>
        </w:rPr>
      </w:pPr>
      <w:bookmarkStart w:id="78" w:name="_Toc17268"/>
      <w:bookmarkStart w:id="79" w:name="_Toc15377216"/>
      <w:r>
        <w:rPr>
          <w:rFonts w:hint="eastAsia" w:ascii="方正仿宋_GBK" w:hAnsi="方正仿宋_GBK" w:eastAsia="方正仿宋_GBK" w:cs="方正仿宋_GBK"/>
          <w:b/>
          <w:color w:val="000000"/>
          <w:sz w:val="32"/>
          <w:szCs w:val="32"/>
        </w:rPr>
        <w:t>（一）“三公”经费财政拨款支出决算总体情况说明</w:t>
      </w:r>
      <w:bookmarkEnd w:id="78"/>
      <w:bookmarkEnd w:id="79"/>
    </w:p>
    <w:p w14:paraId="56DBE744">
      <w:pPr>
        <w:spacing w:line="600" w:lineRule="exact"/>
        <w:ind w:firstLine="64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2019年“三公”经费财政拨款支出决算为10.83万元，完成预算100%，决算数与预算数持平的主要原因是严格按照工作要求列支工作经费。</w:t>
      </w:r>
    </w:p>
    <w:p w14:paraId="6F02F921">
      <w:pPr>
        <w:spacing w:line="600" w:lineRule="exact"/>
        <w:ind w:firstLine="640"/>
        <w:outlineLvl w:val="2"/>
        <w:rPr>
          <w:rFonts w:ascii="方正仿宋_GBK" w:hAnsi="方正仿宋_GBK" w:eastAsia="方正仿宋_GBK" w:cs="方正仿宋_GBK"/>
          <w:b/>
          <w:color w:val="000000"/>
          <w:sz w:val="32"/>
          <w:szCs w:val="32"/>
        </w:rPr>
      </w:pPr>
      <w:bookmarkStart w:id="80" w:name="_Toc17049"/>
      <w:bookmarkStart w:id="81" w:name="_Toc15377217"/>
      <w:r>
        <w:rPr>
          <w:rFonts w:hint="eastAsia" w:ascii="方正仿宋_GBK" w:hAnsi="方正仿宋_GBK" w:eastAsia="方正仿宋_GBK" w:cs="方正仿宋_GBK"/>
          <w:b/>
          <w:color w:val="000000"/>
          <w:sz w:val="32"/>
          <w:szCs w:val="32"/>
        </w:rPr>
        <w:t>（二）“三公”经费财政拨款支出决算具体情况说明</w:t>
      </w:r>
      <w:bookmarkEnd w:id="80"/>
      <w:bookmarkEnd w:id="81"/>
    </w:p>
    <w:p w14:paraId="3824D4F2">
      <w:pPr>
        <w:spacing w:line="600" w:lineRule="exact"/>
        <w:ind w:firstLine="64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2019年“三公”经费财政拨款支出决算中，因公出国（境）费支出决算0万元，占0%；公务用车购置及运行维护费支出决算10.80万元，占99.99%；公务接待费支出决算0.03万元，占0.01%。具体情况如下：</w:t>
      </w:r>
    </w:p>
    <w:p w14:paraId="3B57F028">
      <w:pPr>
        <w:spacing w:line="600" w:lineRule="exact"/>
        <w:ind w:firstLine="64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（图7：“三公”经费财政拨款支出结构）（饼状图）</w:t>
      </w:r>
    </w:p>
    <w:p w14:paraId="400244F1">
      <w:pPr>
        <w:pStyle w:val="7"/>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drawing>
          <wp:anchor distT="0" distB="0" distL="114300" distR="114300" simplePos="0" relativeHeight="251665408" behindDoc="1" locked="0" layoutInCell="1" allowOverlap="1">
            <wp:simplePos x="0" y="0"/>
            <wp:positionH relativeFrom="column">
              <wp:posOffset>278130</wp:posOffset>
            </wp:positionH>
            <wp:positionV relativeFrom="paragraph">
              <wp:posOffset>21590</wp:posOffset>
            </wp:positionV>
            <wp:extent cx="4572000" cy="2228850"/>
            <wp:effectExtent l="5080" t="4445" r="13970" b="71755"/>
            <wp:wrapTight wrapText="bothSides">
              <wp:wrapPolygon>
                <wp:start x="-24" y="-43"/>
                <wp:lineTo x="-24" y="21926"/>
                <wp:lineTo x="21576" y="21926"/>
                <wp:lineTo x="21576" y="-43"/>
                <wp:lineTo x="-24" y="-43"/>
              </wp:wrapPolygon>
            </wp:wrapTight>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6ED9F28">
      <w:pPr>
        <w:spacing w:line="600" w:lineRule="exact"/>
        <w:ind w:firstLine="640"/>
        <w:rPr>
          <w:rFonts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1.因公出国（境）经费支出</w:t>
      </w:r>
      <w:r>
        <w:rPr>
          <w:rFonts w:hint="eastAsia" w:ascii="方正仿宋_GBK" w:hAnsi="方正仿宋_GBK" w:eastAsia="方正仿宋_GBK" w:cs="方正仿宋_GBK"/>
          <w:color w:val="000000"/>
          <w:sz w:val="32"/>
          <w:szCs w:val="32"/>
        </w:rPr>
        <w:t>0万元，</w:t>
      </w:r>
      <w:r>
        <w:rPr>
          <w:rStyle w:val="17"/>
          <w:rFonts w:hint="eastAsia" w:ascii="方正仿宋_GBK" w:hAnsi="方正仿宋_GBK" w:eastAsia="方正仿宋_GBK" w:cs="方正仿宋_GBK"/>
          <w:b w:val="0"/>
          <w:bCs/>
          <w:color w:val="000000"/>
          <w:sz w:val="32"/>
          <w:szCs w:val="32"/>
        </w:rPr>
        <w:t>完成预算0%。</w:t>
      </w:r>
      <w:r>
        <w:rPr>
          <w:rFonts w:hint="eastAsia" w:ascii="方正仿宋_GBK" w:hAnsi="方正仿宋_GBK" w:eastAsia="方正仿宋_GBK" w:cs="方正仿宋_GBK"/>
          <w:color w:val="000000"/>
          <w:sz w:val="32"/>
          <w:szCs w:val="32"/>
        </w:rPr>
        <w:t>全年安排因公出国（境）团组0次，出国（境）0人。因公出国（境）支出决算比2018年增加/减少0万元，增长/下降0%。主要原因是无变动</w:t>
      </w:r>
    </w:p>
    <w:p w14:paraId="15FD4300">
      <w:pPr>
        <w:spacing w:line="600" w:lineRule="exact"/>
        <w:ind w:firstLine="64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开支内容包括：无（团组名称、出访地点、取得成效）</w:t>
      </w:r>
    </w:p>
    <w:p w14:paraId="5AC317F2">
      <w:pPr>
        <w:spacing w:line="600" w:lineRule="exact"/>
        <w:ind w:firstLine="640"/>
        <w:rPr>
          <w:rFonts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2.公务用车购置及运行维护费支出</w:t>
      </w:r>
      <w:r>
        <w:rPr>
          <w:rFonts w:hint="eastAsia" w:ascii="方正仿宋_GBK" w:hAnsi="方正仿宋_GBK" w:eastAsia="方正仿宋_GBK" w:cs="方正仿宋_GBK"/>
          <w:color w:val="000000"/>
          <w:sz w:val="32"/>
          <w:szCs w:val="32"/>
        </w:rPr>
        <w:t>10.8万元,</w:t>
      </w:r>
      <w:r>
        <w:rPr>
          <w:rStyle w:val="17"/>
          <w:rFonts w:hint="eastAsia" w:ascii="方正仿宋_GBK" w:hAnsi="方正仿宋_GBK" w:eastAsia="方正仿宋_GBK" w:cs="方正仿宋_GBK"/>
          <w:b w:val="0"/>
          <w:bCs/>
          <w:color w:val="000000"/>
          <w:sz w:val="32"/>
          <w:szCs w:val="32"/>
        </w:rPr>
        <w:t>完成预算100%。</w:t>
      </w:r>
      <w:r>
        <w:rPr>
          <w:rFonts w:hint="eastAsia" w:ascii="方正仿宋_GBK" w:hAnsi="方正仿宋_GBK" w:eastAsia="方正仿宋_GBK" w:cs="方正仿宋_GBK"/>
          <w:color w:val="000000"/>
          <w:sz w:val="32"/>
          <w:szCs w:val="32"/>
        </w:rPr>
        <w:t>公务用车购置及运行维护费支出决算比2018年增加2.68万元，增长33%。主要原因是开展灾后重建、精准扶贫及维护稳定等统战工作车辆使用次数增加</w:t>
      </w:r>
    </w:p>
    <w:p w14:paraId="65F2C64D">
      <w:pPr>
        <w:spacing w:line="600" w:lineRule="exact"/>
        <w:ind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其中：</w:t>
      </w:r>
      <w:r>
        <w:rPr>
          <w:rFonts w:hint="eastAsia" w:ascii="方正仿宋_GBK" w:hAnsi="方正仿宋_GBK" w:eastAsia="方正仿宋_GBK" w:cs="方正仿宋_GBK"/>
          <w:b/>
          <w:color w:val="000000"/>
          <w:sz w:val="32"/>
          <w:szCs w:val="32"/>
        </w:rPr>
        <w:t>公务用车购置支出</w:t>
      </w:r>
      <w:r>
        <w:rPr>
          <w:rFonts w:hint="eastAsia" w:ascii="方正仿宋_GBK" w:hAnsi="方正仿宋_GBK" w:eastAsia="方正仿宋_GBK" w:cs="方正仿宋_GBK"/>
          <w:color w:val="000000"/>
          <w:sz w:val="32"/>
          <w:szCs w:val="32"/>
        </w:rPr>
        <w:t>0万元。全年按规定更新购置公务用车0辆，金额0元。截至2019年12月底，单位共有公务用车2辆，其中：主要领导干部用车0辆、机要通信用车0辆、应急保障用车0辆、 执法执勤用车0辆、其他用车2辆。</w:t>
      </w:r>
    </w:p>
    <w:p w14:paraId="52E6B097">
      <w:pPr>
        <w:spacing w:line="600" w:lineRule="exact"/>
        <w:ind w:firstLine="64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b/>
          <w:color w:val="000000"/>
          <w:sz w:val="32"/>
          <w:szCs w:val="32"/>
        </w:rPr>
        <w:t>公务用车运行维护费支出</w:t>
      </w:r>
      <w:r>
        <w:rPr>
          <w:rFonts w:hint="eastAsia" w:ascii="方正仿宋_GBK" w:hAnsi="方正仿宋_GBK" w:eastAsia="方正仿宋_GBK" w:cs="方正仿宋_GBK"/>
          <w:color w:val="000000"/>
          <w:sz w:val="32"/>
          <w:szCs w:val="32"/>
        </w:rPr>
        <w:t>10.8万元。主要用于开展灾后重建、精准扶贫及维护稳定等统战工作所需的公务用车燃料费、维修费、过路过桥费、保险费等支出。</w:t>
      </w:r>
    </w:p>
    <w:p w14:paraId="470E310C">
      <w:pPr>
        <w:spacing w:line="600" w:lineRule="exact"/>
        <w:ind w:firstLine="64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b/>
          <w:color w:val="000000"/>
          <w:sz w:val="32"/>
          <w:szCs w:val="32"/>
        </w:rPr>
        <w:t>3.公务接待费支出</w:t>
      </w:r>
      <w:r>
        <w:rPr>
          <w:rFonts w:hint="eastAsia" w:ascii="方正仿宋_GBK" w:hAnsi="方正仿宋_GBK" w:eastAsia="方正仿宋_GBK" w:cs="方正仿宋_GBK"/>
          <w:color w:val="000000"/>
          <w:sz w:val="32"/>
          <w:szCs w:val="32"/>
        </w:rPr>
        <w:t>0.03万元，</w:t>
      </w:r>
      <w:r>
        <w:rPr>
          <w:rStyle w:val="17"/>
          <w:rFonts w:hint="eastAsia" w:ascii="方正仿宋_GBK" w:hAnsi="方正仿宋_GBK" w:eastAsia="方正仿宋_GBK" w:cs="方正仿宋_GBK"/>
          <w:b w:val="0"/>
          <w:bCs/>
          <w:color w:val="000000"/>
          <w:sz w:val="32"/>
          <w:szCs w:val="32"/>
        </w:rPr>
        <w:t>完成预算7.14%。</w:t>
      </w:r>
      <w:r>
        <w:rPr>
          <w:rFonts w:hint="eastAsia" w:ascii="方正仿宋_GBK" w:hAnsi="方正仿宋_GBK" w:eastAsia="方正仿宋_GBK" w:cs="方正仿宋_GBK"/>
          <w:color w:val="000000"/>
          <w:sz w:val="32"/>
          <w:szCs w:val="32"/>
        </w:rPr>
        <w:t>公务接待费支出决算比2018年增加/减少0.17万元，下降557%。主要原因是按照八项规定等节约开支，其中：</w:t>
      </w:r>
    </w:p>
    <w:p w14:paraId="16133DF3">
      <w:pPr>
        <w:spacing w:line="600" w:lineRule="exact"/>
        <w:ind w:firstLine="64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b/>
          <w:color w:val="000000"/>
          <w:sz w:val="32"/>
          <w:szCs w:val="32"/>
        </w:rPr>
        <w:t>国内公务接待支出</w:t>
      </w:r>
      <w:r>
        <w:rPr>
          <w:rFonts w:hint="eastAsia" w:ascii="方正仿宋_GBK" w:hAnsi="方正仿宋_GBK" w:eastAsia="方正仿宋_GBK" w:cs="方正仿宋_GBK"/>
          <w:color w:val="000000"/>
          <w:sz w:val="32"/>
          <w:szCs w:val="32"/>
        </w:rPr>
        <w:t>0.03万元，主要用于开展统战业务工作用餐费等。国内公务接待1批次，3人次（不包括陪同人员），共计支出0.03万元，具体内容包括：用于开展统战业务工作用餐费等0.03万元（接待具体项目、金额）。</w:t>
      </w:r>
    </w:p>
    <w:p w14:paraId="4750975C">
      <w:pPr>
        <w:spacing w:line="600" w:lineRule="exact"/>
        <w:ind w:firstLine="643"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b/>
          <w:color w:val="000000"/>
          <w:sz w:val="32"/>
          <w:szCs w:val="32"/>
        </w:rPr>
        <w:t>外事接待支出</w:t>
      </w:r>
      <w:r>
        <w:rPr>
          <w:rFonts w:hint="eastAsia" w:ascii="方正仿宋_GBK" w:hAnsi="方正仿宋_GBK" w:eastAsia="方正仿宋_GBK" w:cs="方正仿宋_GBK"/>
          <w:color w:val="000000"/>
          <w:sz w:val="32"/>
          <w:szCs w:val="32"/>
        </w:rPr>
        <w:t>0万元</w:t>
      </w:r>
      <w:r>
        <w:rPr>
          <w:rFonts w:hint="eastAsia" w:ascii="方正仿宋_GBK" w:hAnsi="方正仿宋_GBK" w:eastAsia="方正仿宋_GBK" w:cs="方正仿宋_GBK"/>
          <w:color w:val="000000" w:themeColor="text1"/>
          <w:sz w:val="32"/>
          <w:szCs w:val="32"/>
          <w14:textFill>
            <w14:solidFill>
              <w14:schemeClr w14:val="tx1"/>
            </w14:solidFill>
          </w14:textFill>
        </w:rPr>
        <w:t>，外事接待0批次，0人，共计支出0万元，主要用于接待无相关事宜（具体项目）</w:t>
      </w:r>
      <w:bookmarkStart w:id="82" w:name="_Toc15377218"/>
      <w:bookmarkStart w:id="83" w:name="_Toc15396610"/>
    </w:p>
    <w:p w14:paraId="11702D96">
      <w:pPr>
        <w:spacing w:line="600" w:lineRule="exact"/>
        <w:ind w:firstLine="640"/>
        <w:outlineLvl w:val="1"/>
        <w:rPr>
          <w:rStyle w:val="28"/>
          <w:rFonts w:ascii="黑体" w:hAnsi="黑体" w:eastAsia="黑体"/>
        </w:rPr>
      </w:pPr>
      <w:bookmarkStart w:id="84" w:name="_Toc12075"/>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82"/>
      <w:bookmarkEnd w:id="83"/>
      <w:bookmarkEnd w:id="84"/>
    </w:p>
    <w:p w14:paraId="04ED61AF">
      <w:pPr>
        <w:spacing w:line="600" w:lineRule="exact"/>
        <w:ind w:firstLine="640"/>
        <w:rPr>
          <w:rFonts w:ascii="仿宋_GB2312" w:eastAsia="方正仿宋_GBK"/>
          <w:color w:val="000000"/>
          <w:sz w:val="32"/>
          <w:szCs w:val="32"/>
        </w:rPr>
      </w:pPr>
      <w:r>
        <w:rPr>
          <w:rFonts w:ascii="仿宋_GB2312" w:eastAsia="方正仿宋_GBK"/>
          <w:color w:val="000000"/>
          <w:sz w:val="32"/>
          <w:szCs w:val="32"/>
        </w:rPr>
        <w:t>201</w:t>
      </w:r>
      <w:r>
        <w:rPr>
          <w:rFonts w:hint="eastAsia" w:ascii="仿宋_GB2312" w:eastAsia="方正仿宋_GBK"/>
          <w:color w:val="000000"/>
          <w:sz w:val="32"/>
          <w:szCs w:val="32"/>
        </w:rPr>
        <w:t>9年政府性基金预算拨款支出0万元。</w:t>
      </w:r>
    </w:p>
    <w:p w14:paraId="59847AF2">
      <w:pPr>
        <w:numPr>
          <w:ilvl w:val="0"/>
          <w:numId w:val="2"/>
        </w:numPr>
        <w:spacing w:line="600" w:lineRule="exact"/>
        <w:ind w:firstLine="640"/>
        <w:outlineLvl w:val="1"/>
        <w:rPr>
          <w:rStyle w:val="28"/>
          <w:rFonts w:ascii="黑体" w:hAnsi="黑体" w:eastAsia="黑体"/>
          <w:b w:val="0"/>
        </w:rPr>
      </w:pPr>
      <w:bookmarkStart w:id="85" w:name="_Toc15377219"/>
      <w:bookmarkStart w:id="86" w:name="_Toc15396611"/>
      <w:bookmarkStart w:id="87" w:name="_Toc23142"/>
      <w:r>
        <w:rPr>
          <w:rStyle w:val="28"/>
          <w:rFonts w:hint="eastAsia" w:ascii="黑体" w:hAnsi="黑体" w:eastAsia="黑体"/>
          <w:b w:val="0"/>
        </w:rPr>
        <w:t>国有资本经营预算支出决算情况说明</w:t>
      </w:r>
      <w:bookmarkEnd w:id="85"/>
      <w:bookmarkEnd w:id="86"/>
      <w:bookmarkEnd w:id="87"/>
    </w:p>
    <w:p w14:paraId="6776B78A">
      <w:pPr>
        <w:spacing w:line="600" w:lineRule="exact"/>
        <w:ind w:firstLine="640"/>
        <w:rPr>
          <w:rFonts w:ascii="方正小标宋简体" w:hAnsi="方正小标宋简体" w:eastAsia="方正小标宋简体" w:cs="方正小标宋简体"/>
          <w:sz w:val="44"/>
          <w:szCs w:val="44"/>
        </w:rPr>
      </w:pPr>
      <w:r>
        <w:rPr>
          <w:rFonts w:ascii="仿宋_GB2312" w:eastAsia="方正仿宋_GBK"/>
          <w:color w:val="000000"/>
          <w:sz w:val="32"/>
          <w:szCs w:val="32"/>
        </w:rPr>
        <w:t>201</w:t>
      </w:r>
      <w:r>
        <w:rPr>
          <w:rFonts w:hint="eastAsia" w:ascii="仿宋_GB2312" w:eastAsia="方正仿宋_GBK"/>
          <w:color w:val="000000"/>
          <w:sz w:val="32"/>
          <w:szCs w:val="32"/>
        </w:rPr>
        <w:t>9年国有资本经营预算拨款支出0万元。</w:t>
      </w:r>
    </w:p>
    <w:p w14:paraId="5E0435F2">
      <w:pPr>
        <w:spacing w:line="600" w:lineRule="exact"/>
        <w:ind w:firstLine="640" w:firstLineChars="200"/>
        <w:outlineLvl w:val="1"/>
        <w:rPr>
          <w:rStyle w:val="28"/>
          <w:rFonts w:ascii="黑体" w:hAnsi="黑体" w:eastAsia="黑体"/>
        </w:rPr>
      </w:pPr>
      <w:bookmarkStart w:id="88" w:name="_Toc15396612"/>
      <w:bookmarkStart w:id="89" w:name="_Toc15377221"/>
      <w:bookmarkStart w:id="90" w:name="_Toc14604"/>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88"/>
      <w:bookmarkEnd w:id="89"/>
      <w:bookmarkEnd w:id="90"/>
    </w:p>
    <w:p w14:paraId="1664457C">
      <w:pPr>
        <w:spacing w:line="600" w:lineRule="exact"/>
        <w:ind w:firstLine="643" w:firstLineChars="200"/>
        <w:outlineLvl w:val="2"/>
        <w:rPr>
          <w:rFonts w:ascii="仿宋" w:hAnsi="仿宋" w:eastAsia="方正仿宋_GBK"/>
          <w:color w:val="000000"/>
          <w:sz w:val="32"/>
          <w:szCs w:val="32"/>
        </w:rPr>
      </w:pPr>
      <w:bookmarkStart w:id="91" w:name="_Toc8838"/>
      <w:bookmarkStart w:id="92" w:name="_Toc15377222"/>
      <w:r>
        <w:rPr>
          <w:rFonts w:hint="eastAsia" w:ascii="仿宋" w:hAnsi="仿宋" w:eastAsia="方正仿宋_GBK"/>
          <w:b/>
          <w:color w:val="000000"/>
          <w:sz w:val="32"/>
          <w:szCs w:val="32"/>
        </w:rPr>
        <w:t>（一）机关运行经费支出情况</w:t>
      </w:r>
      <w:bookmarkEnd w:id="91"/>
      <w:bookmarkEnd w:id="92"/>
    </w:p>
    <w:p w14:paraId="792B551B">
      <w:pPr>
        <w:spacing w:line="600" w:lineRule="exact"/>
        <w:ind w:firstLine="640" w:firstLineChars="200"/>
        <w:rPr>
          <w:rFonts w:ascii="仿宋_GB2312" w:eastAsia="方正仿宋_GBK"/>
          <w:color w:val="000000" w:themeColor="text1"/>
          <w:sz w:val="32"/>
          <w:szCs w:val="32"/>
          <w14:textFill>
            <w14:solidFill>
              <w14:schemeClr w14:val="tx1"/>
            </w14:solidFill>
          </w14:textFill>
        </w:rPr>
      </w:pPr>
      <w:r>
        <w:rPr>
          <w:rFonts w:ascii="仿宋_GB2312" w:eastAsia="方正仿宋_GBK"/>
          <w:color w:val="000000"/>
          <w:sz w:val="32"/>
          <w:szCs w:val="32"/>
        </w:rPr>
        <w:t>201</w:t>
      </w:r>
      <w:r>
        <w:rPr>
          <w:rFonts w:hint="eastAsia" w:ascii="仿宋_GB2312" w:eastAsia="方正仿宋_GBK"/>
          <w:color w:val="000000"/>
          <w:sz w:val="32"/>
          <w:szCs w:val="32"/>
        </w:rPr>
        <w:t>9年，统战部机关运行经费支出79.14万元，比</w:t>
      </w:r>
      <w:r>
        <w:rPr>
          <w:rFonts w:ascii="仿宋_GB2312" w:eastAsia="方正仿宋_GBK"/>
          <w:color w:val="000000"/>
          <w:sz w:val="32"/>
          <w:szCs w:val="32"/>
        </w:rPr>
        <w:t>201</w:t>
      </w:r>
      <w:r>
        <w:rPr>
          <w:rFonts w:hint="eastAsia" w:ascii="仿宋_GB2312" w:eastAsia="方正仿宋_GBK"/>
          <w:color w:val="000000"/>
          <w:sz w:val="32"/>
          <w:szCs w:val="32"/>
        </w:rPr>
        <w:t>8年增加8.4万元，增长11.77</w:t>
      </w:r>
      <w:r>
        <w:rPr>
          <w:rFonts w:ascii="仿宋_GB2312" w:eastAsia="方正仿宋_GBK"/>
          <w:color w:val="000000"/>
          <w:sz w:val="32"/>
          <w:szCs w:val="32"/>
        </w:rPr>
        <w:t>%</w:t>
      </w:r>
      <w:r>
        <w:rPr>
          <w:rFonts w:hint="eastAsia" w:ascii="仿宋_GB2312" w:eastAsia="方正仿宋_GBK"/>
          <w:color w:val="000000"/>
          <w:sz w:val="32"/>
          <w:szCs w:val="32"/>
        </w:rPr>
        <w:t>。</w:t>
      </w:r>
      <w:r>
        <w:rPr>
          <w:rFonts w:hint="eastAsia" w:ascii="仿宋_GB2312" w:eastAsia="方正仿宋_GBK"/>
          <w:color w:val="000000" w:themeColor="text1"/>
          <w:sz w:val="32"/>
          <w:szCs w:val="32"/>
          <w14:textFill>
            <w14:solidFill>
              <w14:schemeClr w14:val="tx1"/>
            </w14:solidFill>
          </w14:textFill>
        </w:rPr>
        <w:t>主要原因是工作量增加，相关经费增长</w:t>
      </w:r>
    </w:p>
    <w:p w14:paraId="112368D0">
      <w:pPr>
        <w:autoSpaceDE w:val="0"/>
        <w:autoSpaceDN w:val="0"/>
        <w:adjustRightInd w:val="0"/>
        <w:spacing w:line="600" w:lineRule="exact"/>
        <w:ind w:firstLine="643" w:firstLineChars="200"/>
        <w:jc w:val="left"/>
        <w:outlineLvl w:val="2"/>
        <w:rPr>
          <w:rFonts w:ascii="仿宋" w:hAnsi="仿宋" w:eastAsia="方正仿宋_GBK"/>
          <w:b/>
          <w:color w:val="000000"/>
          <w:sz w:val="32"/>
          <w:szCs w:val="32"/>
        </w:rPr>
      </w:pPr>
      <w:bookmarkStart w:id="93" w:name="_Toc8837"/>
      <w:bookmarkStart w:id="94" w:name="_Toc15377223"/>
      <w:r>
        <w:rPr>
          <w:rFonts w:hint="eastAsia" w:ascii="仿宋" w:hAnsi="仿宋" w:eastAsia="方正仿宋_GBK"/>
          <w:b/>
          <w:color w:val="000000"/>
          <w:sz w:val="32"/>
          <w:szCs w:val="32"/>
        </w:rPr>
        <w:t>（二）政府采购支出情况</w:t>
      </w:r>
      <w:bookmarkEnd w:id="93"/>
      <w:bookmarkEnd w:id="94"/>
    </w:p>
    <w:p w14:paraId="4B63F867">
      <w:pPr>
        <w:spacing w:line="600" w:lineRule="exact"/>
        <w:ind w:firstLine="640" w:firstLineChars="200"/>
        <w:rPr>
          <w:rFonts w:ascii="仿宋_GB2312" w:eastAsia="方正仿宋_GBK"/>
          <w:color w:val="000000"/>
          <w:sz w:val="32"/>
          <w:szCs w:val="32"/>
        </w:rPr>
      </w:pPr>
      <w:r>
        <w:rPr>
          <w:rFonts w:ascii="仿宋_GB2312" w:eastAsia="方正仿宋_GBK"/>
          <w:color w:val="000000"/>
          <w:sz w:val="32"/>
          <w:szCs w:val="32"/>
        </w:rPr>
        <w:t>201</w:t>
      </w:r>
      <w:r>
        <w:rPr>
          <w:rFonts w:hint="eastAsia" w:ascii="仿宋_GB2312" w:eastAsia="方正仿宋_GBK"/>
          <w:color w:val="000000"/>
          <w:sz w:val="32"/>
          <w:szCs w:val="32"/>
        </w:rPr>
        <w:t>9年，统战部政府采购支出总额3万元，其中：政府采购货物支出3万元、政府采购工程支出0万元、政府采购服务支出0万元。主要用于购买办公设备。授予中小企业合同金额3万元，占政府采购支出总额的100</w:t>
      </w:r>
      <w:r>
        <w:rPr>
          <w:rFonts w:ascii="仿宋_GB2312" w:eastAsia="方正仿宋_GBK"/>
          <w:color w:val="000000"/>
          <w:sz w:val="32"/>
          <w:szCs w:val="32"/>
        </w:rPr>
        <w:t>%</w:t>
      </w:r>
      <w:r>
        <w:rPr>
          <w:rFonts w:hint="eastAsia" w:ascii="仿宋_GB2312" w:eastAsia="方正仿宋_GBK"/>
          <w:color w:val="000000"/>
          <w:sz w:val="32"/>
          <w:szCs w:val="32"/>
        </w:rPr>
        <w:t>，其中：授予小微企业合同金额0万元，占政府采购支出总额的0</w:t>
      </w:r>
      <w:r>
        <w:rPr>
          <w:rFonts w:ascii="仿宋_GB2312" w:eastAsia="方正仿宋_GBK"/>
          <w:color w:val="000000"/>
          <w:sz w:val="32"/>
          <w:szCs w:val="32"/>
        </w:rPr>
        <w:t>%</w:t>
      </w:r>
      <w:r>
        <w:rPr>
          <w:rFonts w:hint="eastAsia" w:ascii="仿宋_GB2312" w:eastAsia="方正仿宋_GBK"/>
          <w:color w:val="000000"/>
          <w:sz w:val="32"/>
          <w:szCs w:val="32"/>
        </w:rPr>
        <w:t>。</w:t>
      </w:r>
    </w:p>
    <w:p w14:paraId="4165461A">
      <w:pPr>
        <w:autoSpaceDE w:val="0"/>
        <w:autoSpaceDN w:val="0"/>
        <w:adjustRightInd w:val="0"/>
        <w:spacing w:line="600" w:lineRule="exact"/>
        <w:ind w:firstLine="643" w:firstLineChars="200"/>
        <w:jc w:val="left"/>
        <w:outlineLvl w:val="2"/>
        <w:rPr>
          <w:rFonts w:ascii="仿宋" w:hAnsi="仿宋" w:eastAsia="方正仿宋_GBK"/>
          <w:b/>
          <w:color w:val="000000"/>
          <w:sz w:val="32"/>
          <w:szCs w:val="32"/>
        </w:rPr>
      </w:pPr>
      <w:bookmarkStart w:id="95" w:name="_Toc18224"/>
      <w:bookmarkStart w:id="96" w:name="_Toc15377224"/>
      <w:r>
        <w:rPr>
          <w:rFonts w:hint="eastAsia" w:ascii="仿宋" w:hAnsi="仿宋" w:eastAsia="方正仿宋_GBK"/>
          <w:b/>
          <w:color w:val="000000"/>
          <w:sz w:val="32"/>
          <w:szCs w:val="32"/>
        </w:rPr>
        <w:t>（三）国有资产占有使用情况</w:t>
      </w:r>
      <w:bookmarkEnd w:id="95"/>
      <w:bookmarkEnd w:id="96"/>
    </w:p>
    <w:p w14:paraId="64F608CC">
      <w:pPr>
        <w:autoSpaceDE w:val="0"/>
        <w:autoSpaceDN w:val="0"/>
        <w:adjustRightInd w:val="0"/>
        <w:spacing w:line="600" w:lineRule="exact"/>
        <w:ind w:firstLine="640" w:firstLineChars="200"/>
        <w:jc w:val="left"/>
        <w:rPr>
          <w:rFonts w:ascii="仿宋" w:hAnsi="仿宋" w:eastAsia="方正仿宋_GBK"/>
          <w:b/>
          <w:color w:val="FF0000"/>
          <w:sz w:val="32"/>
          <w:szCs w:val="32"/>
        </w:rPr>
      </w:pPr>
      <w:r>
        <w:rPr>
          <w:rFonts w:hint="eastAsia" w:ascii="仿宋_GB2312" w:eastAsia="方正仿宋_GBK"/>
          <w:color w:val="000000"/>
          <w:sz w:val="32"/>
          <w:szCs w:val="32"/>
        </w:rPr>
        <w:t>截至</w:t>
      </w:r>
      <w:r>
        <w:rPr>
          <w:rFonts w:ascii="仿宋_GB2312" w:eastAsia="方正仿宋_GBK"/>
          <w:color w:val="000000"/>
          <w:sz w:val="32"/>
          <w:szCs w:val="32"/>
        </w:rPr>
        <w:t>201</w:t>
      </w:r>
      <w:r>
        <w:rPr>
          <w:rFonts w:hint="eastAsia" w:ascii="仿宋_GB2312" w:eastAsia="方正仿宋_GBK"/>
          <w:color w:val="000000"/>
          <w:sz w:val="32"/>
          <w:szCs w:val="32"/>
        </w:rPr>
        <w:t>9年</w:t>
      </w:r>
      <w:r>
        <w:rPr>
          <w:rFonts w:ascii="仿宋_GB2312" w:eastAsia="方正仿宋_GBK"/>
          <w:color w:val="000000"/>
          <w:sz w:val="32"/>
          <w:szCs w:val="32"/>
        </w:rPr>
        <w:t>12</w:t>
      </w:r>
      <w:r>
        <w:rPr>
          <w:rFonts w:hint="eastAsia" w:ascii="仿宋_GB2312" w:eastAsia="方正仿宋_GBK"/>
          <w:color w:val="000000"/>
          <w:sz w:val="32"/>
          <w:szCs w:val="32"/>
        </w:rPr>
        <w:t>月</w:t>
      </w:r>
      <w:r>
        <w:rPr>
          <w:rFonts w:ascii="仿宋_GB2312" w:eastAsia="方正仿宋_GBK"/>
          <w:color w:val="000000"/>
          <w:sz w:val="32"/>
          <w:szCs w:val="32"/>
        </w:rPr>
        <w:t>31</w:t>
      </w:r>
      <w:r>
        <w:rPr>
          <w:rFonts w:hint="eastAsia" w:ascii="仿宋_GB2312" w:eastAsia="方正仿宋_GBK"/>
          <w:color w:val="000000"/>
          <w:sz w:val="32"/>
          <w:szCs w:val="32"/>
        </w:rPr>
        <w:t>日，统战部共有车辆2辆，其中：主要领导干部用车0辆、机要通信用车0辆、应急保障用车0辆、其他用车2辆，</w:t>
      </w:r>
      <w:r>
        <w:rPr>
          <w:rFonts w:hint="eastAsia" w:ascii="仿宋_GB2312" w:eastAsia="方正仿宋_GBK"/>
          <w:color w:val="000000" w:themeColor="text1"/>
          <w:sz w:val="32"/>
          <w:szCs w:val="32"/>
          <w14:textFill>
            <w14:solidFill>
              <w14:schemeClr w14:val="tx1"/>
            </w14:solidFill>
          </w14:textFill>
        </w:rPr>
        <w:t>其他用车主要是用于统战部日常工作开展，单价</w:t>
      </w:r>
      <w:r>
        <w:rPr>
          <w:rFonts w:ascii="仿宋_GB2312" w:eastAsia="方正仿宋_GBK"/>
          <w:color w:val="000000" w:themeColor="text1"/>
          <w:sz w:val="32"/>
          <w:szCs w:val="32"/>
          <w14:textFill>
            <w14:solidFill>
              <w14:schemeClr w14:val="tx1"/>
            </w14:solidFill>
          </w14:textFill>
        </w:rPr>
        <w:t>50</w:t>
      </w:r>
      <w:r>
        <w:rPr>
          <w:rFonts w:hint="eastAsia" w:ascii="仿宋_GB2312" w:eastAsia="方正仿宋_GBK"/>
          <w:color w:val="000000" w:themeColor="text1"/>
          <w:sz w:val="32"/>
          <w:szCs w:val="32"/>
          <w14:textFill>
            <w14:solidFill>
              <w14:schemeClr w14:val="tx1"/>
            </w14:solidFill>
          </w14:textFill>
        </w:rPr>
        <w:t>万元以上通用设备0台（套），单价</w:t>
      </w:r>
      <w:r>
        <w:rPr>
          <w:rFonts w:ascii="仿宋_GB2312" w:eastAsia="方正仿宋_GBK"/>
          <w:color w:val="000000" w:themeColor="text1"/>
          <w:sz w:val="32"/>
          <w:szCs w:val="32"/>
          <w14:textFill>
            <w14:solidFill>
              <w14:schemeClr w14:val="tx1"/>
            </w14:solidFill>
          </w14:textFill>
        </w:rPr>
        <w:t>100</w:t>
      </w:r>
      <w:r>
        <w:rPr>
          <w:rFonts w:hint="eastAsia" w:ascii="仿宋_GB2312" w:eastAsia="方正仿宋_GBK"/>
          <w:color w:val="000000"/>
          <w:sz w:val="32"/>
          <w:szCs w:val="32"/>
        </w:rPr>
        <w:t>万元以上专用设备0台（套）。</w:t>
      </w:r>
    </w:p>
    <w:p w14:paraId="1BD2FE47">
      <w:pPr>
        <w:autoSpaceDE w:val="0"/>
        <w:autoSpaceDN w:val="0"/>
        <w:adjustRightInd w:val="0"/>
        <w:spacing w:line="600" w:lineRule="exact"/>
        <w:ind w:firstLine="643" w:firstLineChars="200"/>
        <w:jc w:val="left"/>
        <w:outlineLvl w:val="2"/>
        <w:rPr>
          <w:rFonts w:ascii="仿宋" w:hAnsi="仿宋" w:eastAsia="方正仿宋_GBK"/>
          <w:b/>
          <w:color w:val="000000"/>
          <w:sz w:val="32"/>
          <w:szCs w:val="32"/>
        </w:rPr>
      </w:pPr>
      <w:bookmarkStart w:id="97" w:name="_Toc7530"/>
      <w:r>
        <w:rPr>
          <w:rFonts w:hint="eastAsia" w:ascii="仿宋" w:hAnsi="仿宋" w:eastAsia="方正仿宋_GBK"/>
          <w:b/>
          <w:color w:val="000000"/>
          <w:sz w:val="32"/>
          <w:szCs w:val="32"/>
        </w:rPr>
        <w:t>（四）预算绩效管理情况。</w:t>
      </w:r>
      <w:bookmarkEnd w:id="97"/>
    </w:p>
    <w:p w14:paraId="1CBC35D1">
      <w:pPr>
        <w:spacing w:line="580" w:lineRule="exact"/>
        <w:ind w:firstLine="640" w:firstLineChars="200"/>
        <w:rPr>
          <w:rFonts w:ascii="仿宋_GB2312" w:hAnsi="仿宋_GB2312" w:eastAsia="方正仿宋_GBK" w:cs="仿宋_GB2312"/>
          <w:sz w:val="32"/>
          <w:szCs w:val="32"/>
        </w:rPr>
      </w:pPr>
      <w:r>
        <w:rPr>
          <w:rFonts w:hint="eastAsia" w:ascii="仿宋_GB2312" w:hAnsi="仿宋_GB2312" w:eastAsia="方正仿宋_GBK" w:cs="仿宋_GB2312"/>
          <w:sz w:val="32"/>
          <w:szCs w:val="32"/>
        </w:rPr>
        <w:t>根据预算绩效管理要求，本部门在年初预算编制阶段，本部门无专项预算项目，因此未组织开展项目支出绩效评价本部门按要求对2019年部门整体支出开展绩效自评，本单位各项项目资金其主要用途是确保单位的正常运转，促进各项工作任务顺利完成。在人员经费支出、公共支出严格执行县委县政府的各项制度；在项目经费的使用上，在保证各项任务顺利完成的同时，严格落实厉行节约的原则。</w:t>
      </w:r>
    </w:p>
    <w:p w14:paraId="683AF2F7">
      <w:pPr>
        <w:spacing w:line="580" w:lineRule="exact"/>
        <w:ind w:firstLine="640" w:firstLineChars="200"/>
        <w:rPr>
          <w:rFonts w:ascii="仿宋_GB2312" w:hAnsi="仿宋_GB2312" w:eastAsia="方正仿宋_GBK" w:cs="仿宋_GB2312"/>
          <w:sz w:val="32"/>
          <w:szCs w:val="32"/>
        </w:rPr>
      </w:pPr>
    </w:p>
    <w:p w14:paraId="4392259B">
      <w:pPr>
        <w:widowControl/>
        <w:jc w:val="left"/>
        <w:rPr>
          <w:rFonts w:ascii="仿宋_GB2312" w:eastAsia="方正仿宋_GBK"/>
          <w:b/>
          <w:color w:val="000000"/>
          <w:sz w:val="32"/>
          <w:szCs w:val="32"/>
        </w:rPr>
      </w:pPr>
    </w:p>
    <w:p w14:paraId="21FF66B3">
      <w:pPr>
        <w:numPr>
          <w:ilvl w:val="0"/>
          <w:numId w:val="3"/>
        </w:numPr>
        <w:spacing w:line="600" w:lineRule="exact"/>
        <w:ind w:firstLine="660" w:firstLineChars="150"/>
        <w:jc w:val="center"/>
        <w:outlineLvl w:val="0"/>
        <w:rPr>
          <w:rStyle w:val="27"/>
          <w:rFonts w:ascii="黑体" w:hAnsi="黑体" w:eastAsia="黑体"/>
          <w:b w:val="0"/>
        </w:rPr>
      </w:pPr>
      <w:bookmarkStart w:id="98" w:name="_Toc15396613"/>
      <w:bookmarkStart w:id="99" w:name="_Toc15377225"/>
      <w:bookmarkStart w:id="100" w:name="_Toc30586"/>
      <w:r>
        <w:rPr>
          <w:rFonts w:hint="eastAsia" w:ascii="黑体" w:hAnsi="黑体" w:eastAsia="黑体"/>
          <w:color w:val="000000"/>
          <w:sz w:val="44"/>
          <w:szCs w:val="44"/>
        </w:rPr>
        <w:t>名</w:t>
      </w:r>
      <w:r>
        <w:rPr>
          <w:rStyle w:val="27"/>
          <w:rFonts w:hint="eastAsia" w:ascii="黑体" w:hAnsi="黑体" w:eastAsia="黑体"/>
          <w:b w:val="0"/>
        </w:rPr>
        <w:t>词解释</w:t>
      </w:r>
      <w:bookmarkEnd w:id="98"/>
      <w:bookmarkEnd w:id="99"/>
      <w:bookmarkEnd w:id="100"/>
    </w:p>
    <w:p w14:paraId="0566BC9D">
      <w:pPr>
        <w:spacing w:line="600" w:lineRule="exact"/>
        <w:jc w:val="left"/>
        <w:rPr>
          <w:rFonts w:ascii="宋体"/>
          <w:b/>
          <w:color w:val="000000"/>
          <w:sz w:val="44"/>
          <w:szCs w:val="44"/>
        </w:rPr>
      </w:pPr>
    </w:p>
    <w:p w14:paraId="7A8C297D">
      <w:pPr>
        <w:pStyle w:val="25"/>
        <w:spacing w:line="560" w:lineRule="exact"/>
        <w:ind w:firstLine="640" w:firstLineChars="200"/>
        <w:rPr>
          <w:rFonts w:ascii="仿宋_GB2312" w:eastAsia="方正仿宋_GBK"/>
          <w:sz w:val="32"/>
          <w:szCs w:val="32"/>
        </w:rPr>
      </w:pPr>
      <w:r>
        <w:rPr>
          <w:rFonts w:ascii="仿宋_GB2312" w:eastAsia="方正仿宋_GBK"/>
          <w:sz w:val="32"/>
          <w:szCs w:val="32"/>
        </w:rPr>
        <w:t>1.</w:t>
      </w:r>
      <w:r>
        <w:rPr>
          <w:rFonts w:hint="eastAsia" w:ascii="仿宋_GB2312" w:eastAsia="方正仿宋_GBK"/>
          <w:sz w:val="32"/>
          <w:szCs w:val="32"/>
        </w:rPr>
        <w:t>财政拨款收入：指单位从同级财政部门取得的财政预算资金。</w:t>
      </w:r>
    </w:p>
    <w:p w14:paraId="50287463">
      <w:pPr>
        <w:pStyle w:val="25"/>
        <w:spacing w:line="560" w:lineRule="exact"/>
        <w:ind w:firstLine="640" w:firstLineChars="200"/>
        <w:rPr>
          <w:rFonts w:ascii="仿宋_GB2312" w:eastAsia="方正仿宋_GBK"/>
          <w:sz w:val="32"/>
          <w:szCs w:val="32"/>
        </w:rPr>
      </w:pPr>
      <w:r>
        <w:rPr>
          <w:rFonts w:ascii="仿宋_GB2312" w:eastAsia="方正仿宋_GBK"/>
          <w:sz w:val="32"/>
          <w:szCs w:val="32"/>
        </w:rPr>
        <w:t>2.</w:t>
      </w:r>
      <w:r>
        <w:rPr>
          <w:rFonts w:hint="eastAsia" w:ascii="仿宋_GB2312" w:eastAsia="方正仿宋_GBK"/>
          <w:sz w:val="32"/>
          <w:szCs w:val="32"/>
        </w:rPr>
        <w:t>事业收入：指事业单位开展专业业务活动及辅助活动取得的收入。</w:t>
      </w:r>
    </w:p>
    <w:p w14:paraId="0F2CEDE8">
      <w:pPr>
        <w:pStyle w:val="25"/>
        <w:spacing w:line="560" w:lineRule="exact"/>
        <w:ind w:firstLine="640" w:firstLineChars="200"/>
        <w:rPr>
          <w:rFonts w:ascii="仿宋_GB2312" w:eastAsia="方正仿宋_GBK"/>
          <w:sz w:val="32"/>
          <w:szCs w:val="32"/>
        </w:rPr>
      </w:pPr>
      <w:r>
        <w:rPr>
          <w:rFonts w:ascii="仿宋_GB2312" w:eastAsia="方正仿宋_GBK"/>
          <w:sz w:val="32"/>
          <w:szCs w:val="32"/>
        </w:rPr>
        <w:t>3.</w:t>
      </w:r>
      <w:r>
        <w:rPr>
          <w:rFonts w:hint="eastAsia" w:ascii="仿宋_GB2312" w:eastAsia="方正仿宋_GBK"/>
          <w:sz w:val="32"/>
          <w:szCs w:val="32"/>
        </w:rPr>
        <w:t>经营收入：指事业单位在专业业务活动及其辅助活动之外开展非独立核算经营活动取得的收入。</w:t>
      </w:r>
    </w:p>
    <w:p w14:paraId="58719C03">
      <w:pPr>
        <w:pStyle w:val="25"/>
        <w:spacing w:line="560" w:lineRule="exact"/>
        <w:ind w:firstLine="640" w:firstLineChars="200"/>
        <w:rPr>
          <w:rFonts w:ascii="仿宋_GB2312" w:eastAsia="方正仿宋_GBK"/>
          <w:sz w:val="32"/>
          <w:szCs w:val="32"/>
        </w:rPr>
      </w:pPr>
      <w:r>
        <w:rPr>
          <w:rFonts w:ascii="仿宋_GB2312" w:eastAsia="方正仿宋_GBK"/>
          <w:sz w:val="32"/>
          <w:szCs w:val="32"/>
        </w:rPr>
        <w:t>4.</w:t>
      </w:r>
      <w:r>
        <w:rPr>
          <w:rFonts w:hint="eastAsia" w:ascii="仿宋_GB2312" w:eastAsia="方正仿宋_GBK"/>
          <w:sz w:val="32"/>
          <w:szCs w:val="32"/>
        </w:rPr>
        <w:t>其他收入：指单位取得的除上述收入以外的各项收入。</w:t>
      </w:r>
      <w:r>
        <w:rPr>
          <w:rFonts w:ascii="仿宋_GB2312" w:eastAsia="方正仿宋_GBK"/>
          <w:sz w:val="32"/>
          <w:szCs w:val="32"/>
        </w:rPr>
        <w:t xml:space="preserve"> </w:t>
      </w:r>
    </w:p>
    <w:p w14:paraId="05A4CF89">
      <w:pPr>
        <w:pStyle w:val="25"/>
        <w:spacing w:line="560" w:lineRule="exact"/>
        <w:ind w:firstLine="640" w:firstLineChars="200"/>
        <w:rPr>
          <w:rFonts w:ascii="仿宋_GB2312" w:eastAsia="方正仿宋_GBK"/>
          <w:sz w:val="32"/>
          <w:szCs w:val="32"/>
        </w:rPr>
      </w:pPr>
      <w:r>
        <w:rPr>
          <w:rFonts w:ascii="仿宋_GB2312" w:eastAsia="方正仿宋_GBK"/>
          <w:sz w:val="32"/>
          <w:szCs w:val="32"/>
        </w:rPr>
        <w:t>5.</w:t>
      </w:r>
      <w:r>
        <w:rPr>
          <w:rFonts w:hint="eastAsia" w:ascii="仿宋_GB2312" w:eastAsia="方正仿宋_GBK"/>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方正仿宋_GBK"/>
          <w:sz w:val="32"/>
          <w:szCs w:val="32"/>
        </w:rPr>
        <w:t xml:space="preserve"> </w:t>
      </w:r>
    </w:p>
    <w:p w14:paraId="2153D608">
      <w:pPr>
        <w:pStyle w:val="25"/>
        <w:spacing w:line="560" w:lineRule="exact"/>
        <w:ind w:firstLine="640" w:firstLineChars="200"/>
        <w:rPr>
          <w:rFonts w:ascii="仿宋_GB2312" w:eastAsia="方正仿宋_GBK"/>
          <w:sz w:val="32"/>
          <w:szCs w:val="32"/>
        </w:rPr>
      </w:pPr>
      <w:r>
        <w:rPr>
          <w:rFonts w:ascii="仿宋_GB2312" w:eastAsia="方正仿宋_GBK"/>
          <w:sz w:val="32"/>
          <w:szCs w:val="32"/>
        </w:rPr>
        <w:t>6.</w:t>
      </w:r>
      <w:r>
        <w:rPr>
          <w:rFonts w:hint="eastAsia" w:ascii="仿宋_GB2312" w:eastAsia="方正仿宋_GBK"/>
          <w:sz w:val="32"/>
          <w:szCs w:val="32"/>
        </w:rPr>
        <w:t>年初结转和结余：指以前年度尚未完成、结转到本年按有关规定继续使用的资金。</w:t>
      </w:r>
      <w:r>
        <w:rPr>
          <w:rFonts w:ascii="仿宋_GB2312" w:eastAsia="方正仿宋_GBK"/>
          <w:sz w:val="32"/>
          <w:szCs w:val="32"/>
        </w:rPr>
        <w:t xml:space="preserve"> </w:t>
      </w:r>
    </w:p>
    <w:p w14:paraId="44AEAE03">
      <w:pPr>
        <w:pStyle w:val="25"/>
        <w:spacing w:line="560" w:lineRule="exact"/>
        <w:ind w:firstLine="640" w:firstLineChars="200"/>
        <w:rPr>
          <w:rFonts w:ascii="仿宋_GB2312" w:eastAsia="方正仿宋_GBK"/>
          <w:sz w:val="32"/>
          <w:szCs w:val="32"/>
        </w:rPr>
      </w:pPr>
      <w:r>
        <w:rPr>
          <w:rFonts w:ascii="仿宋_GB2312" w:eastAsia="方正仿宋_GBK"/>
          <w:sz w:val="32"/>
          <w:szCs w:val="32"/>
        </w:rPr>
        <w:t>7.</w:t>
      </w:r>
      <w:r>
        <w:rPr>
          <w:rFonts w:hint="eastAsia" w:ascii="仿宋_GB2312" w:eastAsia="方正仿宋_GBK"/>
          <w:sz w:val="32"/>
          <w:szCs w:val="32"/>
        </w:rPr>
        <w:t>结余分配：指事业单位按照事业单位会计制度的规定从非财政补助结余中分配的事业基金和职工福利基金等。</w:t>
      </w:r>
    </w:p>
    <w:p w14:paraId="228662B7">
      <w:pPr>
        <w:pStyle w:val="25"/>
        <w:spacing w:line="560" w:lineRule="exact"/>
        <w:ind w:firstLine="640" w:firstLineChars="200"/>
        <w:rPr>
          <w:rFonts w:ascii="仿宋_GB2312" w:eastAsia="方正仿宋_GBK"/>
          <w:sz w:val="32"/>
          <w:szCs w:val="32"/>
        </w:rPr>
      </w:pPr>
      <w:r>
        <w:rPr>
          <w:rFonts w:ascii="仿宋_GB2312" w:eastAsia="方正仿宋_GBK"/>
          <w:sz w:val="32"/>
          <w:szCs w:val="32"/>
        </w:rPr>
        <w:t>8</w:t>
      </w:r>
      <w:r>
        <w:rPr>
          <w:rFonts w:hint="eastAsia" w:ascii="仿宋_GB2312" w:eastAsia="方正仿宋_GBK"/>
          <w:sz w:val="32"/>
          <w:szCs w:val="32"/>
        </w:rPr>
        <w:t>、年末结转和结余：指单位按有关规定结转到下年或以后年度继续使用的资金。</w:t>
      </w:r>
    </w:p>
    <w:p w14:paraId="7748A208">
      <w:pPr>
        <w:pStyle w:val="25"/>
        <w:spacing w:line="560" w:lineRule="exact"/>
        <w:ind w:firstLine="640" w:firstLineChars="200"/>
        <w:rPr>
          <w:rFonts w:ascii="仿宋_GB2312" w:eastAsia="方正仿宋_GBK"/>
          <w:sz w:val="32"/>
          <w:szCs w:val="32"/>
        </w:rPr>
      </w:pPr>
      <w:r>
        <w:rPr>
          <w:rFonts w:ascii="仿宋_GB2312" w:eastAsia="方正仿宋_GBK"/>
          <w:sz w:val="32"/>
          <w:szCs w:val="32"/>
        </w:rPr>
        <w:t>9.</w:t>
      </w:r>
      <w:r>
        <w:rPr>
          <w:rFonts w:hint="eastAsia" w:ascii="仿宋_GB2312" w:eastAsia="方正仿宋_GBK"/>
          <w:sz w:val="32"/>
          <w:szCs w:val="32"/>
        </w:rPr>
        <w:t>一般公共服务支出（201）宗教事务(24)其他宗教事务支出(99)；是指反映除机关服务、宗教工作专项、事业运行外用于宗教事务方面的支出。</w:t>
      </w:r>
    </w:p>
    <w:p w14:paraId="437D5811">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10.一般公共服务支出（201）统战事务(34）行政运行（01）是指反映行政单位（包括实行公务员管理的事业单位）的基本支出；</w:t>
      </w:r>
    </w:p>
    <w:p w14:paraId="7E18F0CE">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11.一般公共服务支出（201）统战事务(34）一般行政管理事务（02）是指反映行政单位（包括实行公务员管理的事业单位）未单独设置项级科目的其他项目支出；</w:t>
      </w:r>
    </w:p>
    <w:p w14:paraId="6B218444">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12.一般公共服务支出（201）统战事务(34）其他统战事务支出（99）反映除上述项目以外其他用于中国共产党统战部门的事务支出；</w:t>
      </w:r>
    </w:p>
    <w:p w14:paraId="690F0EA2">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13.一般公共服务支出（201）其他一般公共服务支出（99）其他一般公共服务支出（99）反映上述项目未包括的其他一般公共服务支出。</w:t>
      </w:r>
    </w:p>
    <w:p w14:paraId="2BDB8323">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14.公共安全支出（204）公安（02）一般行政管理事务（02）是指反映行政单位（包括实行公务员管理的事业单位）未单独设置项级科目的其他项目支出。</w:t>
      </w:r>
    </w:p>
    <w:p w14:paraId="139F4E2C">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15.社会保障和就业支出（208）行政事业单位离退休（05）机关事业单位基本养老保险缴费支出（05）是指反映机关事业单位实施养老保险制度由单位缴纳的基本养老保险费支出。</w:t>
      </w:r>
    </w:p>
    <w:p w14:paraId="32E113F3">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16.医疗卫生与计划生育支出（210），行政单位医疗（11）行政单位医疗（01），</w:t>
      </w:r>
    </w:p>
    <w:p w14:paraId="6B07778D">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17.医疗卫生与计划生育支出（210），行政单位医疗（11）公务员医疗补助（03）是指反映财政部门集中安排的公务员医疗补助经费；</w:t>
      </w:r>
    </w:p>
    <w:p w14:paraId="1BB9A6B8">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18.医疗卫生与计划生育支出（210），行政单位医疗（11）其他行政事业单位医疗支出（99）是指反映上述项目以外的其他用于行政事业单位医疗方面的支出。</w:t>
      </w:r>
    </w:p>
    <w:p w14:paraId="381AC253">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19.住房保障支出（221），住房改革支出（02）住房公积金（01）是指反映行政事业单位按人力资源和社会保障部、财政规定的基本工资和津贴补贴以及规定比例为职工缴纳的住房公积金。</w:t>
      </w:r>
    </w:p>
    <w:p w14:paraId="2100EE25">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20.基本支出：指为保障机构正常运转、完成日常工作任务而发生的人员支出和公用支出。</w:t>
      </w:r>
    </w:p>
    <w:p w14:paraId="15D258E0">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 xml:space="preserve">21.项目支出：指在基本支出之外为完成特定行政任务和事业发展目标所发生的支出。 </w:t>
      </w:r>
    </w:p>
    <w:p w14:paraId="3B06B2E5">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22.经营支出：指事业单位在专业业务活动及其辅助活动之外开展非独立核算经营活动发生的支出。</w:t>
      </w:r>
    </w:p>
    <w:p w14:paraId="51E5E726">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AA76961">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46255BA">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（解释本部门决算报表中全部功能分类科目至项级，请参照《</w:t>
      </w:r>
      <w:r>
        <w:rPr>
          <w:rFonts w:ascii="仿宋_GB2312" w:eastAsia="方正仿宋_GBK"/>
          <w:sz w:val="32"/>
          <w:szCs w:val="32"/>
        </w:rPr>
        <w:t>201</w:t>
      </w:r>
      <w:r>
        <w:rPr>
          <w:rFonts w:hint="eastAsia" w:ascii="仿宋_GB2312" w:eastAsia="方正仿宋_GBK"/>
          <w:sz w:val="32"/>
          <w:szCs w:val="32"/>
        </w:rPr>
        <w:t>8年政府收支分类科目》增减内容。）</w:t>
      </w:r>
    </w:p>
    <w:p w14:paraId="3852C839">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25</w:t>
      </w:r>
      <w:r>
        <w:rPr>
          <w:rFonts w:ascii="仿宋_GB2312" w:eastAsia="方正仿宋_GBK"/>
          <w:sz w:val="32"/>
          <w:szCs w:val="32"/>
        </w:rPr>
        <w:t>.</w:t>
      </w:r>
      <w:r>
        <w:rPr>
          <w:rFonts w:hint="eastAsia" w:ascii="仿宋_GB2312" w:eastAsia="方正仿宋_GBK"/>
          <w:sz w:val="32"/>
          <w:szCs w:val="32"/>
        </w:rPr>
        <w:t>基本支出：指为保障机构正常运转、完成日常工作任务而发生的人员支出和公用支出。</w:t>
      </w:r>
    </w:p>
    <w:p w14:paraId="6946F4D2">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26</w:t>
      </w:r>
      <w:r>
        <w:rPr>
          <w:rFonts w:ascii="仿宋_GB2312" w:eastAsia="方正仿宋_GBK"/>
          <w:sz w:val="32"/>
          <w:szCs w:val="32"/>
        </w:rPr>
        <w:t>.</w:t>
      </w:r>
      <w:r>
        <w:rPr>
          <w:rFonts w:hint="eastAsia" w:ascii="仿宋_GB2312" w:eastAsia="方正仿宋_GBK"/>
          <w:sz w:val="32"/>
          <w:szCs w:val="32"/>
        </w:rPr>
        <w:t>项目支出：指在基本支出之外为完成特定行政任务和事业发展目标所发生的支出。</w:t>
      </w:r>
      <w:r>
        <w:rPr>
          <w:rFonts w:ascii="仿宋_GB2312" w:eastAsia="方正仿宋_GBK"/>
          <w:sz w:val="32"/>
          <w:szCs w:val="32"/>
        </w:rPr>
        <w:t xml:space="preserve"> </w:t>
      </w:r>
    </w:p>
    <w:p w14:paraId="29107B1F">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27</w:t>
      </w:r>
      <w:r>
        <w:rPr>
          <w:rFonts w:ascii="仿宋_GB2312" w:eastAsia="方正仿宋_GBK"/>
          <w:sz w:val="32"/>
          <w:szCs w:val="32"/>
        </w:rPr>
        <w:t>.</w:t>
      </w:r>
      <w:r>
        <w:rPr>
          <w:rFonts w:hint="eastAsia" w:ascii="仿宋_GB2312" w:eastAsia="方正仿宋_GBK"/>
          <w:sz w:val="32"/>
          <w:szCs w:val="32"/>
        </w:rPr>
        <w:t>经营支出：指事业单位在专业业务活动及其辅助活动之外开展非独立核算经营活动发生的支出。</w:t>
      </w:r>
    </w:p>
    <w:p w14:paraId="472E8F4B">
      <w:pPr>
        <w:pStyle w:val="25"/>
        <w:spacing w:line="560" w:lineRule="exact"/>
        <w:ind w:firstLine="640" w:firstLineChars="200"/>
        <w:rPr>
          <w:rFonts w:ascii="仿宋_GB2312" w:eastAsia="方正仿宋_GBK"/>
          <w:sz w:val="32"/>
          <w:szCs w:val="32"/>
        </w:rPr>
      </w:pPr>
      <w:r>
        <w:rPr>
          <w:rFonts w:hint="eastAsia" w:ascii="仿宋_GB2312" w:eastAsia="方正仿宋_GBK"/>
          <w:sz w:val="32"/>
          <w:szCs w:val="32"/>
        </w:rPr>
        <w:t>28</w:t>
      </w:r>
      <w:r>
        <w:rPr>
          <w:rFonts w:ascii="仿宋_GB2312" w:eastAsia="方正仿宋_GBK"/>
          <w:sz w:val="32"/>
          <w:szCs w:val="32"/>
        </w:rPr>
        <w:t>.</w:t>
      </w:r>
      <w:r>
        <w:rPr>
          <w:rFonts w:hint="eastAsia" w:ascii="仿宋_GB2312" w:eastAsia="方正仿宋_GBK"/>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FCA399F">
      <w:pPr>
        <w:pStyle w:val="25"/>
        <w:spacing w:line="560" w:lineRule="exact"/>
        <w:ind w:firstLine="640" w:firstLineChars="200"/>
        <w:rPr>
          <w:rFonts w:ascii="仿宋_GB2312" w:eastAsia="方正仿宋_GBK" w:cs="黑体"/>
          <w:sz w:val="32"/>
          <w:szCs w:val="32"/>
        </w:rPr>
      </w:pPr>
      <w:r>
        <w:rPr>
          <w:rFonts w:hint="eastAsia" w:ascii="仿宋_GB2312" w:eastAsia="方正仿宋_GBK"/>
          <w:sz w:val="32"/>
          <w:szCs w:val="32"/>
        </w:rPr>
        <w:t>29</w:t>
      </w:r>
      <w:r>
        <w:rPr>
          <w:rFonts w:ascii="仿宋_GB2312" w:eastAsia="方正仿宋_GBK"/>
          <w:sz w:val="32"/>
          <w:szCs w:val="32"/>
        </w:rPr>
        <w:t>.</w:t>
      </w:r>
      <w:r>
        <w:rPr>
          <w:rFonts w:hint="eastAsia" w:ascii="仿宋_GB2312" w:eastAsia="方正仿宋_GBK"/>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78EBE89">
      <w:pPr>
        <w:spacing w:line="600" w:lineRule="exact"/>
        <w:jc w:val="center"/>
        <w:outlineLvl w:val="0"/>
        <w:rPr>
          <w:rStyle w:val="27"/>
          <w:rFonts w:ascii="黑体" w:hAnsi="黑体" w:eastAsia="黑体"/>
          <w:b w:val="0"/>
        </w:rPr>
      </w:pPr>
      <w:bookmarkStart w:id="101" w:name="_Toc15377226"/>
      <w:r>
        <w:rPr>
          <w:rFonts w:ascii="宋体"/>
          <w:b/>
          <w:color w:val="000000"/>
          <w:sz w:val="44"/>
          <w:szCs w:val="44"/>
        </w:rPr>
        <w:br w:type="page"/>
      </w:r>
      <w:bookmarkStart w:id="102" w:name="_Toc15396614"/>
      <w:bookmarkStart w:id="103" w:name="_Toc5827"/>
      <w:r>
        <w:rPr>
          <w:rFonts w:hint="eastAsia" w:ascii="黑体" w:hAnsi="黑体" w:eastAsia="黑体"/>
          <w:color w:val="000000"/>
          <w:sz w:val="44"/>
          <w:szCs w:val="44"/>
        </w:rPr>
        <w:t>第</w:t>
      </w:r>
      <w:r>
        <w:rPr>
          <w:rStyle w:val="27"/>
          <w:rFonts w:hint="eastAsia" w:ascii="黑体" w:hAnsi="黑体" w:eastAsia="黑体"/>
          <w:b w:val="0"/>
        </w:rPr>
        <w:t>四部分 附件</w:t>
      </w:r>
      <w:bookmarkEnd w:id="102"/>
      <w:bookmarkEnd w:id="103"/>
    </w:p>
    <w:p w14:paraId="2D99F70D">
      <w:pPr>
        <w:spacing w:line="600" w:lineRule="exact"/>
        <w:jc w:val="left"/>
        <w:outlineLvl w:val="0"/>
        <w:rPr>
          <w:rFonts w:ascii="方正小标宋简体" w:hAnsi="方正小标宋简体" w:eastAsia="方正小标宋简体" w:cs="方正小标宋简体"/>
          <w:sz w:val="32"/>
          <w:szCs w:val="32"/>
        </w:rPr>
      </w:pPr>
      <w:bookmarkStart w:id="104" w:name="_Toc9581"/>
      <w:r>
        <w:rPr>
          <w:rFonts w:hint="eastAsia" w:ascii="黑体" w:hAnsi="黑体" w:eastAsia="黑体" w:cs="黑体"/>
          <w:sz w:val="32"/>
          <w:szCs w:val="32"/>
        </w:rPr>
        <w:t>附件1</w:t>
      </w:r>
      <w:bookmarkEnd w:id="104"/>
    </w:p>
    <w:p w14:paraId="01946C6B">
      <w:pPr>
        <w:spacing w:line="580" w:lineRule="exact"/>
        <w:jc w:val="center"/>
        <w:rPr>
          <w:rFonts w:ascii="方正小标宋简体" w:hAnsi="方正小标宋简体" w:eastAsia="方正小标宋简体" w:cs="方正小标宋简体"/>
          <w:sz w:val="44"/>
          <w:szCs w:val="44"/>
        </w:rPr>
      </w:pPr>
    </w:p>
    <w:p w14:paraId="6D74F80E">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统战部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1AB7ABAA">
      <w:pPr>
        <w:widowControl/>
        <w:spacing w:line="580" w:lineRule="exact"/>
        <w:ind w:firstLine="640" w:firstLineChars="200"/>
        <w:contextualSpacing/>
        <w:jc w:val="center"/>
        <w:rPr>
          <w:rFonts w:ascii="仿宋_GB2312" w:hAnsi="宋体" w:eastAsia="方正仿宋_GBK"/>
          <w:sz w:val="32"/>
          <w:szCs w:val="32"/>
          <w:shd w:val="clear" w:color="auto" w:fill="FFFFFF"/>
        </w:rPr>
      </w:pPr>
      <w:r>
        <w:rPr>
          <w:rFonts w:hint="eastAsia" w:ascii="仿宋_GB2312" w:hAnsi="宋体" w:eastAsia="方正仿宋_GBK"/>
          <w:sz w:val="32"/>
          <w:szCs w:val="32"/>
          <w:shd w:val="clear" w:color="auto" w:fill="FFFFFF"/>
        </w:rPr>
        <w:t>（报告范围包括机关和下属单位）</w:t>
      </w:r>
    </w:p>
    <w:p w14:paraId="07FD18A1">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11563774">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0B1E8986">
      <w:pPr>
        <w:widowControl/>
        <w:adjustRightInd w:val="0"/>
        <w:snapToGrid w:val="0"/>
        <w:spacing w:line="580" w:lineRule="exact"/>
        <w:ind w:firstLine="640" w:firstLineChars="200"/>
        <w:contextualSpacing/>
        <w:jc w:val="left"/>
        <w:rPr>
          <w:rFonts w:ascii="仿宋_GB2312" w:hAnsi="宋体" w:eastAsia="方正仿宋_GBK" w:cs="宋体"/>
          <w:color w:val="000000"/>
          <w:kern w:val="0"/>
          <w:sz w:val="32"/>
          <w:szCs w:val="32"/>
          <w:shd w:val="clear" w:color="auto" w:fill="FFFFFF"/>
          <w:lang w:val="zh-CN"/>
        </w:rPr>
      </w:pPr>
      <w:r>
        <w:rPr>
          <w:rFonts w:hint="eastAsia" w:ascii="仿宋_GB2312" w:hAnsi="宋体" w:eastAsia="方正仿宋_GBK" w:cs="宋体"/>
          <w:color w:val="000000"/>
          <w:kern w:val="0"/>
          <w:sz w:val="32"/>
          <w:szCs w:val="32"/>
          <w:shd w:val="clear" w:color="auto" w:fill="FFFFFF"/>
          <w:lang w:val="zh-CN"/>
        </w:rPr>
        <w:t>（一）机构组成。</w:t>
      </w:r>
    </w:p>
    <w:p w14:paraId="04DE250E">
      <w:pPr>
        <w:pStyle w:val="13"/>
        <w:ind w:left="0" w:leftChars="0" w:firstLine="835" w:firstLineChars="261"/>
        <w:rPr>
          <w:rFonts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val="zh-CN"/>
        </w:rPr>
        <w:t>办公室。承担县委统一战线工作领导小组办公室日常工作。负责内外联系及日常协调工作，承担督查、公文处理、有关文稿起草。负责会务、信访、档案、财务、接待、后勤保障、固定资产管理、审计、保密、保卫、社会服务工作。做好本单位的安全生产和节能减排工作。负责部机关目标管理和组织对有关单位的工作考评。组织开展统战系统信息化建设。负责部机关法律顾问遴选和管理。协调开展统一战线理论政策和相关法规研究,组织起草统战工作重要文稿。统筹规划统一战线规范性文件的拟订工作,组织拟订统一战线工作综合性文件,参与有关法规草案拟订和审核工作。负责拟订统一战线重点课题调研计划,协调部机关和有关研究机构开展研究，组织开展综合性课题调研。负责统一战线史志编纂和信息工作。负责统一战线意识形态、新闻宣传和文化工作，协调做好涉侨、涉港澳统战宣传工作。统筹推进网络统战工作，打造网络统战工作平台，协调开展统一战线舆情分析并会同有关部门进行舆情引导和应急处置。协调指导统战系统宣传工作。开展创建民族团结进步示范县相关工作。负责部机关党群工作，负责机关精神文明建设工作。负责部机关及统战系统干部人事、机构编制、职工工资、社会保险、年度考核等工作，负责部机关退休人员管理和服务工作。负责部机关财务核算工作。</w:t>
      </w:r>
    </w:p>
    <w:p w14:paraId="3C1D006E">
      <w:pPr>
        <w:pStyle w:val="13"/>
        <w:ind w:left="0" w:leftChars="0" w:firstLine="835" w:firstLineChars="261"/>
        <w:rPr>
          <w:rFonts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val="zh-CN"/>
        </w:rPr>
        <w:t>民宗藏胞股。承担县委宗教工作领导小组办公室日常工作。开展民族、宗教工作重大问题的调查研究、指导和综合协调工作。研究拟订民族、宗教工作的政策和重大措施。指导党的民族、宗教政策的贯彻落实，协调处理民族、宗教工作中的重大问题。牵头开展统一多民族国情和民族团结进步教育。联系少数民族、宗教界代表人士，做好教育引导工作。根据分工，统筹协调做好少数民族干部工作。统筹开展宗教活动场所依法管理。协调处理宗教领域重要问题。联系宗教界代表人士，做好教育引导工作。联系全县性宗教团体。协调指导宗教团体及院校工作，协助做好寺庙管理委员主要负责人管理工作。承担县对国外藏胞工作领导小组办公室日常工作。负责对境外藏胞工作专题调研、对外宣传和联络、争取、分化工作。负责我县境外藏胞探访、旅游、定居等申请事项的审核工作，负责回国探亲藏胞的接待管理和服务工作。负责境外藏胞、定居藏胞、探亲藏胞和滞留藏胞的建档立卡以及国外藏胞亲属的统计造册工作。负责妥善安置归国定居藏胞工作和定居藏胞的宣传教育工作，协助指导其发展生产。</w:t>
      </w:r>
    </w:p>
    <w:p w14:paraId="4BD245B2">
      <w:pPr>
        <w:pStyle w:val="13"/>
        <w:ind w:left="0" w:leftChars="0" w:firstLine="835" w:firstLineChars="261"/>
        <w:rPr>
          <w:rFonts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rPr>
        <w:t>3.</w:t>
      </w:r>
      <w:r>
        <w:rPr>
          <w:rFonts w:hint="eastAsia" w:ascii="方正仿宋_GBK" w:hAnsi="方正仿宋_GBK" w:eastAsia="方正仿宋_GBK" w:cs="方正仿宋_GBK"/>
          <w:sz w:val="32"/>
          <w:szCs w:val="32"/>
          <w:lang w:val="zh-CN"/>
        </w:rPr>
        <w:t>党外工作股。负责党外代表人士的政治安排和党外干部的培养、选拔、考察、推荐等工作。负责做好党外代表人士和优秀年轻干部队伍建设工作。负责县领导与党外干部联谊交友工作。负责统一战线教育培训的综合协调、规划和指导。负责拟订党外干部培养计划，建立协商机制。负责党外代表人士档案资料收集、管理及遗孀、遗属联系工作。负责联系、培养无党派人士和党外知识分子代表人士。调查研究无党派代表人士工作并提出政策建议，支持其发挥作用、加强自身建设。贯彻落实党外知识分子政策，调查了解党外知识分子的情况，反映动态。指导和推动高等学校、科研院所、国有企业的党外知识分子统战工作。</w:t>
      </w:r>
    </w:p>
    <w:p w14:paraId="62B79636">
      <w:pPr>
        <w:pStyle w:val="13"/>
        <w:ind w:left="0" w:leftChars="0" w:firstLine="835" w:firstLineChars="261"/>
        <w:rPr>
          <w:rFonts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rPr>
        <w:t>4.</w:t>
      </w:r>
      <w:r>
        <w:rPr>
          <w:rFonts w:hint="eastAsia" w:ascii="方正仿宋_GBK" w:hAnsi="方正仿宋_GBK" w:eastAsia="方正仿宋_GBK" w:cs="方正仿宋_GBK"/>
          <w:sz w:val="32"/>
          <w:szCs w:val="32"/>
          <w:lang w:val="zh-CN"/>
        </w:rPr>
        <w:t>非公经济股。参与拟订、推动落实鼓励支持引导非公制经济发展的政策，了解贯彻落实情况并提出工作建议。开展非公有制经济领域统战工作调查研究，提出政策建议。联系、培养非公有制经济代表人士，开展思想政治工作，了解、反映意见建议，推动构建亲清新型政商关系。联系港澳工商社团及相关人士。组织推动工商联和非公有制经济人士投身公益慈善事业，引导非公有制经济人士开展光彩事业。负责县级领导联系非公有制经济人士和行业商协会工作。协助县工商联做好干部管理工作。联系县工商联。</w:t>
      </w:r>
    </w:p>
    <w:p w14:paraId="09BF62A9">
      <w:pPr>
        <w:pStyle w:val="13"/>
        <w:ind w:left="0" w:leftChars="0" w:firstLine="835" w:firstLineChars="261"/>
        <w:rPr>
          <w:rFonts w:ascii="方正仿宋_GBK" w:hAnsi="方正仿宋_GBK" w:eastAsia="方正仿宋_GBK" w:cs="方正仿宋_GBK"/>
          <w:sz w:val="32"/>
          <w:szCs w:val="32"/>
          <w:lang w:val="zh-CN"/>
        </w:rPr>
      </w:pPr>
      <w:r>
        <w:rPr>
          <w:rFonts w:hint="eastAsia" w:ascii="方正仿宋_GBK" w:hAnsi="方正仿宋_GBK" w:eastAsia="方正仿宋_GBK" w:cs="方正仿宋_GBK"/>
          <w:sz w:val="32"/>
          <w:szCs w:val="32"/>
        </w:rPr>
        <w:t>5.</w:t>
      </w:r>
      <w:r>
        <w:rPr>
          <w:rFonts w:hint="eastAsia" w:ascii="方正仿宋_GBK" w:hAnsi="方正仿宋_GBK" w:eastAsia="方正仿宋_GBK" w:cs="方正仿宋_GBK"/>
          <w:sz w:val="32"/>
          <w:szCs w:val="32"/>
          <w:lang w:val="zh-CN"/>
        </w:rPr>
        <w:t>港澳台侨与新阶人士股。调查研究香港、澳门地区统一战线工作并提出政策建议，联系香港、澳门有关团体及代表人士。联系台湾有关党政、团体及人士。指导海外反“独”促统工作。联系、指导、协调统战系统、有关团体的对台统战工作。负责侨情和侨务工作调查研究，拟订全县侨务工作规划并推动贯彻落实。指导协调有关部门和社会团体涉侨工作，统筹协调统战系统、有关团体的涉侨工作。联系海外有关侨团及代表人士，联系、培养新生代代表人士，负责海外侨胞代表人士在相关团战团体的安排，指导代表人士的授容工作。联系归侨侨眷代表人士，做好归侨侨眷代表人士在相关团体的安排工作。统筹协调保护华侨和归侨侨眷在县内的合法权利和利益。承担管理侨务行政事务，承办需请县领导会见重要海外代表人士的审核报批工作，承担相关行政许可证审批事项，指导引进侨资侨智工作并推动相关政策法规贯彻落实，引导海外侨胞在“一带一路”建设中发挥独特作用。拟定涉侨文化交流和华文教育工作规划，指导推动相关工作，协助指导有关团体工作。联系海外华文媒体，开展交流合作。负责部机关及统战系统外事管理工作。开展调查研究新的社会阶层人士工作并提出政策建议。联系、培养新的社会阶层代表人士，了解思想状况，反映意见建议。指导党外知识分子和新的社会阶层人士联谊会建设。协调、指导有关单位和人民团体、统战团体、社会组织等开展新的社会阶层人士统战工作。</w:t>
      </w:r>
    </w:p>
    <w:p w14:paraId="040FFB97">
      <w:pPr>
        <w:widowControl/>
        <w:adjustRightInd w:val="0"/>
        <w:snapToGrid w:val="0"/>
        <w:spacing w:line="580" w:lineRule="exact"/>
        <w:ind w:firstLine="640" w:firstLineChars="200"/>
        <w:contextualSpacing/>
        <w:jc w:val="left"/>
        <w:rPr>
          <w:rFonts w:ascii="仿宋_GB2312" w:hAnsi="宋体" w:eastAsia="方正仿宋_GBK" w:cs="宋体"/>
          <w:color w:val="000000"/>
          <w:kern w:val="0"/>
          <w:sz w:val="32"/>
          <w:szCs w:val="32"/>
          <w:shd w:val="clear" w:color="auto" w:fill="FFFFFF"/>
          <w:lang w:val="zh-CN"/>
        </w:rPr>
      </w:pPr>
      <w:r>
        <w:rPr>
          <w:rFonts w:hint="eastAsia" w:ascii="仿宋_GB2312" w:hAnsi="宋体" w:eastAsia="方正仿宋_GBK" w:cs="宋体"/>
          <w:color w:val="000000"/>
          <w:kern w:val="0"/>
          <w:sz w:val="32"/>
          <w:szCs w:val="32"/>
          <w:shd w:val="clear" w:color="auto" w:fill="FFFFFF"/>
          <w:lang w:val="zh-CN"/>
        </w:rPr>
        <w:t>（二）机构职能。</w:t>
      </w:r>
    </w:p>
    <w:p w14:paraId="3EE7E262">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05" w:name="_Toc5387"/>
      <w:r>
        <w:rPr>
          <w:rFonts w:hint="eastAsia" w:ascii="仿宋" w:hAnsi="仿宋" w:eastAsia="方正仿宋_GBK"/>
          <w:bCs/>
          <w:color w:val="000000"/>
          <w:kern w:val="0"/>
          <w:sz w:val="32"/>
          <w:szCs w:val="32"/>
        </w:rPr>
        <w:t>1.贯彻落实加强党对统一战线工作集中统一领导的要求，发挥县委在统战工作方面的参谋机构、组织协调机构、具体执行机构、督促检查机构作用，了解情况、掌握政策、协调关系、安排人事、增进共识、加强团结，协调统一战线各方面关系，组织落实党中央、省委、州委和县委关于统一战线工作重大决策部署，巩固壮大最广泛的统一战线。</w:t>
      </w:r>
      <w:bookmarkEnd w:id="105"/>
    </w:p>
    <w:p w14:paraId="7028E6FF">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06" w:name="_Toc4044"/>
      <w:r>
        <w:rPr>
          <w:rFonts w:hint="eastAsia" w:ascii="仿宋" w:hAnsi="仿宋" w:eastAsia="方正仿宋_GBK"/>
          <w:bCs/>
          <w:color w:val="000000"/>
          <w:kern w:val="0"/>
          <w:sz w:val="32"/>
          <w:szCs w:val="32"/>
        </w:rPr>
        <w:t>2.研究拟订统一战线工作的政策，并推动落实，深入调查研究，及时向县委报告统一战线工作情况并提出建议，统筹协调和指导各乡（镇）、各部门（单位）统一战线工作。</w:t>
      </w:r>
      <w:bookmarkEnd w:id="106"/>
    </w:p>
    <w:p w14:paraId="67B1AB28">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07" w:name="_Toc11624"/>
      <w:r>
        <w:rPr>
          <w:rFonts w:hint="eastAsia" w:ascii="仿宋" w:hAnsi="仿宋" w:eastAsia="方正仿宋_GBK"/>
          <w:bCs/>
          <w:color w:val="000000"/>
          <w:kern w:val="0"/>
          <w:sz w:val="32"/>
          <w:szCs w:val="32"/>
        </w:rPr>
        <w:t>3.负责发现、培养党外代表人士，制定党外干部培养规划，负责党外人士的政治安排，会同有关部门做好安排党外人士担任政府和司法机关等领导职务的工作，推动高等学校、人民团体、科研院所、国有企业党外干部安排工作。协助县工商联做好干部管理工作。反映和协调解决党外代表人士工作生活中的实际困难。</w:t>
      </w:r>
      <w:bookmarkEnd w:id="107"/>
    </w:p>
    <w:p w14:paraId="3CC2ED81">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08" w:name="_Toc10983"/>
      <w:r>
        <w:rPr>
          <w:rFonts w:hint="eastAsia" w:ascii="仿宋" w:hAnsi="仿宋" w:eastAsia="方正仿宋_GBK"/>
          <w:bCs/>
          <w:color w:val="000000"/>
          <w:kern w:val="0"/>
          <w:sz w:val="32"/>
          <w:szCs w:val="32"/>
        </w:rPr>
        <w:t>4.贯彻落实党的宣传工作方针，统筹推进全县统一战线宣传和意识形态工作，组织贯彻落实党中央、省委、州委和县委统一战线宣传工作政策和规划，统筹推进网络统战工作，打造网络统战工作平台，研判涉及统一战线的舆情并协调有关部门应对处置。</w:t>
      </w:r>
      <w:bookmarkEnd w:id="108"/>
    </w:p>
    <w:p w14:paraId="30A0BBEE">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09" w:name="_Toc28581"/>
      <w:r>
        <w:rPr>
          <w:rFonts w:hint="eastAsia" w:ascii="仿宋" w:hAnsi="仿宋" w:eastAsia="方正仿宋_GBK"/>
          <w:bCs/>
          <w:color w:val="000000"/>
          <w:kern w:val="0"/>
          <w:sz w:val="32"/>
          <w:szCs w:val="32"/>
        </w:rPr>
        <w:t>5.贯彻落实党的民族工作方针，研究拟订民族工作的政策和措施，协调处理民族工作中的重大问题，根据分工，统筹协调做好少数民族干部工作，领导县民族宗教局依法管理民族事务，全面促进民族事业发展。</w:t>
      </w:r>
      <w:bookmarkEnd w:id="109"/>
    </w:p>
    <w:p w14:paraId="52792919">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10" w:name="_Toc26927"/>
      <w:r>
        <w:rPr>
          <w:rFonts w:hint="eastAsia" w:ascii="仿宋" w:hAnsi="仿宋" w:eastAsia="方正仿宋_GBK"/>
          <w:bCs/>
          <w:color w:val="000000"/>
          <w:kern w:val="0"/>
          <w:sz w:val="32"/>
          <w:szCs w:val="32"/>
        </w:rPr>
        <w:t>6.贯彻落实党的宗教工作基本方针和政策，研究拟订宗教工作的政策措施并督促落实，领导县民族宗教局依法管理宗教行政事务，保护公民宗教信仰自由和正常的宗教活动，维护宗教界合法权益，抵御境外利用宗教进行渗透，引导各宗教坚持中国化方向，巩固和发展同宗教界的爱国统一战线。</w:t>
      </w:r>
      <w:bookmarkEnd w:id="110"/>
    </w:p>
    <w:p w14:paraId="47B4C911">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11" w:name="_Toc26353"/>
      <w:r>
        <w:rPr>
          <w:rFonts w:hint="eastAsia" w:ascii="仿宋" w:hAnsi="仿宋" w:eastAsia="方正仿宋_GBK"/>
          <w:bCs/>
          <w:color w:val="000000"/>
          <w:kern w:val="0"/>
          <w:sz w:val="32"/>
          <w:szCs w:val="32"/>
        </w:rPr>
        <w:t>7.负责联系、培养无党派代表人士，支持、帮助无党派人士加强自身建设、发挥作用。调查研究全县党外知识分子情况并提出政策建议，联系、培养党外知识分子代表人士，开展思想政治工作。指导高等学校、科研院所、国有企业等有关单位开展统战工作。</w:t>
      </w:r>
      <w:bookmarkEnd w:id="111"/>
    </w:p>
    <w:p w14:paraId="767A85EE">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12" w:name="_Toc10615"/>
      <w:r>
        <w:rPr>
          <w:rFonts w:hint="eastAsia" w:ascii="仿宋" w:hAnsi="仿宋" w:eastAsia="方正仿宋_GBK"/>
          <w:bCs/>
          <w:color w:val="000000"/>
          <w:kern w:val="0"/>
          <w:sz w:val="32"/>
          <w:szCs w:val="32"/>
        </w:rPr>
        <w:t>8.负责联系、培养新的社会阶层代表人士，支持、帮助新的社会阶层人士加强自身建设、发挥作用。调查研究全县新的社会阶层人士情况并提出政策建议，开展思想政治工作，指导社会组织开展新的社会阶层人士统战工作。</w:t>
      </w:r>
      <w:bookmarkEnd w:id="112"/>
    </w:p>
    <w:p w14:paraId="2D1A8A6F">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13" w:name="_Toc32183"/>
      <w:r>
        <w:rPr>
          <w:rFonts w:hint="eastAsia" w:ascii="仿宋" w:hAnsi="仿宋" w:eastAsia="方正仿宋_GBK"/>
          <w:bCs/>
          <w:color w:val="000000"/>
          <w:kern w:val="0"/>
          <w:sz w:val="32"/>
          <w:szCs w:val="32"/>
        </w:rPr>
        <w:t>9.承担全县非公有制经济协调工作，负责全县非公有制经济代表人士工作，参与制定、推动落实鼓励支持引导非公有制经济发展的政策，调查研究全县非有制经济人士情况并提出政策建议，了解和反映非公有制经济人士的意见，团结、服务、引导、教育非公有制经济人士，促进非公有制经济健康发展和非公有制经济人士健康成长。</w:t>
      </w:r>
      <w:bookmarkEnd w:id="113"/>
    </w:p>
    <w:p w14:paraId="2274CF54">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14" w:name="_Toc32752"/>
      <w:r>
        <w:rPr>
          <w:rFonts w:hint="eastAsia" w:ascii="仿宋" w:hAnsi="仿宋" w:eastAsia="方正仿宋_GBK"/>
          <w:bCs/>
          <w:color w:val="000000"/>
          <w:kern w:val="0"/>
          <w:sz w:val="32"/>
          <w:szCs w:val="32"/>
        </w:rPr>
        <w:t>10.贯彻落实中央、省委、州委和县委关于对境外藏胞工作的方针、政策。结合我县实际提出实施意见并组织实施。调查了解达赖集团和国外藏胞的动态信息，负责接待和管理来县探访的国外藏胞，负责安置回国定居藏胞并配合有关部门加强对他们的教育和管理工作，负责对国外藏胞重点人物的联络争取工作,负责对国外藏胞和及其家属的宣传教育工作，组织动员国外藏胞为我县经济、教育、文化和卫生事业发展服务。会同有关部门处理我县涉及国外藏胞的重大事件。承担县对国外藏胞工作领导小组办公室日常工作。</w:t>
      </w:r>
      <w:bookmarkEnd w:id="114"/>
    </w:p>
    <w:p w14:paraId="4C4EB54D">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15" w:name="_Toc17672"/>
      <w:r>
        <w:rPr>
          <w:rFonts w:hint="eastAsia" w:ascii="仿宋" w:hAnsi="仿宋" w:eastAsia="方正仿宋_GBK"/>
          <w:bCs/>
          <w:color w:val="000000"/>
          <w:kern w:val="0"/>
          <w:sz w:val="32"/>
          <w:szCs w:val="32"/>
        </w:rPr>
        <w:t>11.统一领导对港澳台统战工作，牵头开展港澳统战工作，开展对台统战工作。贯彻落实中央海外统战工作政策和规划并组织协调、督促检查落实，会同有关部门对香港、澳门地区统一战线工作进行调查研究并提出政策建议，联系香港、澳门、台湾有关党派、团体及代表人士。做好统一战线外事管理工作。</w:t>
      </w:r>
      <w:bookmarkEnd w:id="115"/>
    </w:p>
    <w:p w14:paraId="4E860475">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16" w:name="_Toc30829"/>
      <w:r>
        <w:rPr>
          <w:rFonts w:hint="eastAsia" w:ascii="仿宋" w:hAnsi="仿宋" w:eastAsia="方正仿宋_GBK"/>
          <w:bCs/>
          <w:color w:val="000000"/>
          <w:kern w:val="0"/>
          <w:sz w:val="32"/>
          <w:szCs w:val="32"/>
        </w:rPr>
        <w:t>12.统一管理侨务工作，贯彻落实党的侨务工作方针政策，拟订全县侨务工作规划并组织协调、督促检查落实，调查研究侨情和侨务工作情况，管理侨务行政事务，统筹协调有关部门和社会团体涉侨工作，联系海外有关侨团和代表人士，负责海外侨胞代表人士在相关统战团体的安排，指导推动涉侨宣传、文化交流、华文教育工作等，保护华侨和归侨侨眷在县内的合法权利和利益。</w:t>
      </w:r>
      <w:bookmarkEnd w:id="116"/>
    </w:p>
    <w:p w14:paraId="00CEEA7C">
      <w:pPr>
        <w:adjustRightInd w:val="0"/>
        <w:snapToGrid w:val="0"/>
        <w:spacing w:before="93" w:beforeLines="30" w:line="600" w:lineRule="exact"/>
        <w:ind w:firstLine="672" w:firstLineChars="210"/>
        <w:outlineLvl w:val="2"/>
        <w:rPr>
          <w:rFonts w:ascii="仿宋" w:hAnsi="仿宋" w:eastAsia="方正仿宋_GBK"/>
          <w:bCs/>
          <w:color w:val="000000"/>
          <w:kern w:val="0"/>
          <w:sz w:val="32"/>
          <w:szCs w:val="32"/>
        </w:rPr>
      </w:pPr>
      <w:bookmarkStart w:id="117" w:name="_Toc25701"/>
      <w:r>
        <w:rPr>
          <w:rFonts w:hint="eastAsia" w:ascii="仿宋" w:hAnsi="仿宋" w:eastAsia="方正仿宋_GBK"/>
          <w:bCs/>
          <w:color w:val="000000"/>
          <w:kern w:val="0"/>
          <w:sz w:val="32"/>
          <w:szCs w:val="32"/>
        </w:rPr>
        <w:t>13.管理寺庙管理所负责人。受县委委托，领导县工商联党组，指导工商联工作。领导县民族宗教局工作，管理县侨务台湾事务工作。做好统一战线有关单位和团体及事业单位的管理工作。</w:t>
      </w:r>
      <w:bookmarkEnd w:id="117"/>
    </w:p>
    <w:p w14:paraId="6ABB62B8">
      <w:pPr>
        <w:adjustRightInd w:val="0"/>
        <w:snapToGrid w:val="0"/>
        <w:spacing w:before="93" w:beforeLines="30" w:line="600" w:lineRule="exact"/>
        <w:ind w:firstLine="672" w:firstLineChars="210"/>
        <w:outlineLvl w:val="2"/>
        <w:rPr>
          <w:lang w:val="zh-CN"/>
        </w:rPr>
      </w:pPr>
      <w:bookmarkStart w:id="118" w:name="_Toc9080"/>
      <w:r>
        <w:rPr>
          <w:rFonts w:hint="eastAsia" w:ascii="仿宋" w:hAnsi="仿宋" w:eastAsia="方正仿宋_GBK"/>
          <w:bCs/>
          <w:color w:val="000000"/>
          <w:kern w:val="0"/>
          <w:sz w:val="32"/>
          <w:szCs w:val="32"/>
        </w:rPr>
        <w:t>14.完成县委交办的其他任务。</w:t>
      </w:r>
      <w:bookmarkEnd w:id="118"/>
    </w:p>
    <w:p w14:paraId="3535711E">
      <w:pPr>
        <w:widowControl/>
        <w:adjustRightInd w:val="0"/>
        <w:snapToGrid w:val="0"/>
        <w:spacing w:line="580" w:lineRule="exact"/>
        <w:ind w:firstLine="640" w:firstLineChars="200"/>
        <w:contextualSpacing/>
        <w:jc w:val="left"/>
        <w:rPr>
          <w:rFonts w:ascii="仿宋_GB2312" w:hAnsi="宋体" w:eastAsia="方正仿宋_GBK" w:cs="宋体"/>
          <w:color w:val="000000"/>
          <w:kern w:val="0"/>
          <w:sz w:val="32"/>
          <w:szCs w:val="32"/>
          <w:shd w:val="clear" w:color="auto" w:fill="FFFFFF"/>
          <w:lang w:val="zh-CN"/>
        </w:rPr>
      </w:pPr>
      <w:r>
        <w:rPr>
          <w:rFonts w:hint="eastAsia" w:ascii="仿宋_GB2312" w:hAnsi="宋体" w:eastAsia="方正仿宋_GBK" w:cs="宋体"/>
          <w:color w:val="000000"/>
          <w:kern w:val="0"/>
          <w:sz w:val="32"/>
          <w:szCs w:val="32"/>
          <w:shd w:val="clear" w:color="auto" w:fill="FFFFFF"/>
          <w:lang w:val="zh-CN"/>
        </w:rPr>
        <w:t>（三）人员概况。</w:t>
      </w:r>
    </w:p>
    <w:p w14:paraId="31B82D1B">
      <w:pPr>
        <w:spacing w:line="560" w:lineRule="exact"/>
        <w:ind w:firstLine="640" w:firstLineChars="200"/>
        <w:rPr>
          <w:lang w:val="zh-CN"/>
        </w:rPr>
      </w:pPr>
      <w:r>
        <w:rPr>
          <w:rFonts w:eastAsia="方正仿宋_GBK"/>
          <w:sz w:val="32"/>
          <w:szCs w:val="32"/>
        </w:rPr>
        <w:t>县委统战部行政编制14名。其中部长1名（由县领导兼任），常务副部长1名（正科级），副部长2名（不含兼职），县对国外藏胞工作领导小组办公室主任1名（副科级），股级领导职数5名。机关工勤人员事业编制1名。</w:t>
      </w:r>
    </w:p>
    <w:p w14:paraId="1093F9C9">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25919E18">
      <w:pPr>
        <w:widowControl/>
        <w:adjustRightInd w:val="0"/>
        <w:snapToGrid w:val="0"/>
        <w:spacing w:line="580" w:lineRule="exact"/>
        <w:ind w:firstLine="640" w:firstLineChars="200"/>
        <w:contextualSpacing/>
        <w:jc w:val="left"/>
        <w:rPr>
          <w:rFonts w:ascii="仿宋_GB2312" w:hAnsi="宋体" w:eastAsia="方正仿宋_GBK" w:cs="宋体"/>
          <w:color w:val="000000"/>
          <w:kern w:val="0"/>
          <w:sz w:val="32"/>
          <w:szCs w:val="32"/>
          <w:shd w:val="clear" w:color="auto" w:fill="FFFFFF"/>
          <w:lang w:val="zh-CN"/>
        </w:rPr>
      </w:pPr>
      <w:r>
        <w:rPr>
          <w:rFonts w:hint="eastAsia" w:ascii="仿宋_GB2312" w:hAnsi="宋体" w:eastAsia="方正仿宋_GBK" w:cs="宋体"/>
          <w:color w:val="000000"/>
          <w:kern w:val="0"/>
          <w:sz w:val="32"/>
          <w:szCs w:val="32"/>
          <w:shd w:val="clear" w:color="auto" w:fill="FFFFFF"/>
          <w:lang w:val="zh-CN"/>
        </w:rPr>
        <w:t>（一）部门财政资金收入情况。</w:t>
      </w:r>
    </w:p>
    <w:p w14:paraId="4B2C8927">
      <w:pPr>
        <w:spacing w:line="600" w:lineRule="exact"/>
        <w:ind w:firstLine="640" w:firstLineChars="200"/>
        <w:outlineLvl w:val="1"/>
        <w:rPr>
          <w:rFonts w:ascii="仿宋" w:hAnsi="仿宋" w:eastAsia="方正仿宋_GBK"/>
          <w:color w:val="000000"/>
          <w:sz w:val="32"/>
          <w:szCs w:val="32"/>
        </w:rPr>
      </w:pPr>
      <w:bookmarkStart w:id="119" w:name="_Toc23802"/>
      <w:r>
        <w:rPr>
          <w:rFonts w:ascii="仿宋" w:hAnsi="仿宋" w:eastAsia="方正仿宋_GBK"/>
          <w:color w:val="000000"/>
          <w:sz w:val="32"/>
          <w:szCs w:val="32"/>
        </w:rPr>
        <w:t>201</w:t>
      </w:r>
      <w:r>
        <w:rPr>
          <w:rFonts w:hint="eastAsia" w:ascii="仿宋" w:hAnsi="仿宋" w:eastAsia="方正仿宋_GBK"/>
          <w:color w:val="000000"/>
          <w:sz w:val="32"/>
          <w:szCs w:val="32"/>
        </w:rPr>
        <w:t>9年本年收入合计465.23万元，其中：一般公共预算财政拨款收入409.23万元，占87.96</w:t>
      </w:r>
      <w:r>
        <w:rPr>
          <w:rFonts w:ascii="仿宋" w:hAnsi="仿宋" w:eastAsia="方正仿宋_GBK"/>
          <w:color w:val="000000"/>
          <w:sz w:val="32"/>
          <w:szCs w:val="32"/>
        </w:rPr>
        <w:t>%</w:t>
      </w:r>
      <w:r>
        <w:rPr>
          <w:rFonts w:hint="eastAsia" w:ascii="仿宋" w:hAnsi="仿宋" w:eastAsia="方正仿宋_GBK"/>
          <w:color w:val="000000"/>
          <w:sz w:val="32"/>
          <w:szCs w:val="32"/>
        </w:rPr>
        <w:t>；政府性基金预算财政拨款收入0万元，占0</w:t>
      </w:r>
      <w:r>
        <w:rPr>
          <w:rFonts w:ascii="仿宋" w:hAnsi="仿宋" w:eastAsia="方正仿宋_GBK"/>
          <w:color w:val="000000"/>
          <w:sz w:val="32"/>
          <w:szCs w:val="32"/>
        </w:rPr>
        <w:t>%</w:t>
      </w:r>
      <w:r>
        <w:rPr>
          <w:rFonts w:hint="eastAsia" w:ascii="仿宋" w:hAnsi="仿宋" w:eastAsia="方正仿宋_GBK"/>
          <w:color w:val="000000"/>
          <w:sz w:val="32"/>
          <w:szCs w:val="32"/>
        </w:rPr>
        <w:t>；</w:t>
      </w:r>
      <w:r>
        <w:rPr>
          <w:rFonts w:hint="eastAsia" w:ascii="仿宋" w:hAnsi="仿宋" w:eastAsia="方正仿宋_GBK"/>
          <w:color w:val="000000" w:themeColor="text1"/>
          <w:sz w:val="32"/>
          <w:szCs w:val="32"/>
          <w14:textFill>
            <w14:solidFill>
              <w14:schemeClr w14:val="tx1"/>
            </w14:solidFill>
          </w14:textFill>
        </w:rPr>
        <w:t>上级补助收入0</w:t>
      </w:r>
      <w:r>
        <w:rPr>
          <w:rFonts w:hint="eastAsia" w:ascii="仿宋" w:hAnsi="仿宋" w:eastAsia="方正仿宋_GBK"/>
          <w:color w:val="000000"/>
          <w:sz w:val="32"/>
          <w:szCs w:val="32"/>
        </w:rPr>
        <w:t>万元，占0</w:t>
      </w:r>
      <w:r>
        <w:rPr>
          <w:rFonts w:ascii="仿宋" w:hAnsi="仿宋" w:eastAsia="方正仿宋_GBK"/>
          <w:color w:val="000000"/>
          <w:sz w:val="32"/>
          <w:szCs w:val="32"/>
        </w:rPr>
        <w:t>%</w:t>
      </w:r>
      <w:r>
        <w:rPr>
          <w:rFonts w:hint="eastAsia" w:ascii="仿宋" w:hAnsi="仿宋" w:eastAsia="方正仿宋_GBK"/>
          <w:color w:val="000000"/>
          <w:sz w:val="32"/>
          <w:szCs w:val="32"/>
        </w:rPr>
        <w:t>；事业收入0万元，占0</w:t>
      </w:r>
      <w:r>
        <w:rPr>
          <w:rFonts w:ascii="仿宋" w:hAnsi="仿宋" w:eastAsia="方正仿宋_GBK"/>
          <w:color w:val="000000"/>
          <w:sz w:val="32"/>
          <w:szCs w:val="32"/>
        </w:rPr>
        <w:t>%</w:t>
      </w:r>
      <w:r>
        <w:rPr>
          <w:rFonts w:hint="eastAsia" w:ascii="仿宋" w:hAnsi="仿宋" w:eastAsia="方正仿宋_GBK"/>
          <w:color w:val="000000"/>
          <w:sz w:val="32"/>
          <w:szCs w:val="32"/>
        </w:rPr>
        <w:t>；经营收入0万元，占0</w:t>
      </w:r>
      <w:r>
        <w:rPr>
          <w:rFonts w:ascii="仿宋" w:hAnsi="仿宋" w:eastAsia="方正仿宋_GBK"/>
          <w:color w:val="000000"/>
          <w:sz w:val="32"/>
          <w:szCs w:val="32"/>
        </w:rPr>
        <w:t>%</w:t>
      </w:r>
      <w:r>
        <w:rPr>
          <w:rFonts w:hint="eastAsia" w:ascii="仿宋" w:hAnsi="仿宋" w:eastAsia="方正仿宋_GBK"/>
          <w:color w:val="000000"/>
          <w:sz w:val="32"/>
          <w:szCs w:val="32"/>
        </w:rPr>
        <w:t>；附属单位上缴收入0万元，占0</w:t>
      </w:r>
      <w:r>
        <w:rPr>
          <w:rFonts w:ascii="仿宋" w:hAnsi="仿宋" w:eastAsia="方正仿宋_GBK"/>
          <w:color w:val="000000"/>
          <w:sz w:val="32"/>
          <w:szCs w:val="32"/>
        </w:rPr>
        <w:t>%</w:t>
      </w:r>
      <w:r>
        <w:rPr>
          <w:rFonts w:hint="eastAsia" w:ascii="仿宋" w:hAnsi="仿宋" w:eastAsia="方正仿宋_GBK"/>
          <w:color w:val="000000"/>
          <w:sz w:val="32"/>
          <w:szCs w:val="32"/>
        </w:rPr>
        <w:t>；其他收入56万元，占12.04</w:t>
      </w:r>
      <w:r>
        <w:rPr>
          <w:rFonts w:ascii="仿宋" w:hAnsi="仿宋" w:eastAsia="方正仿宋_GBK"/>
          <w:color w:val="000000"/>
          <w:sz w:val="32"/>
          <w:szCs w:val="32"/>
        </w:rPr>
        <w:t>%</w:t>
      </w:r>
      <w:r>
        <w:rPr>
          <w:rFonts w:hint="eastAsia" w:ascii="仿宋" w:hAnsi="仿宋" w:eastAsia="方正仿宋_GBK"/>
          <w:color w:val="000000"/>
          <w:sz w:val="32"/>
          <w:szCs w:val="32"/>
        </w:rPr>
        <w:t>。</w:t>
      </w:r>
      <w:bookmarkEnd w:id="119"/>
    </w:p>
    <w:p w14:paraId="2F24D6AC">
      <w:pPr>
        <w:widowControl/>
        <w:adjustRightInd w:val="0"/>
        <w:snapToGrid w:val="0"/>
        <w:spacing w:line="580" w:lineRule="exact"/>
        <w:ind w:firstLine="640" w:firstLineChars="200"/>
        <w:contextualSpacing/>
        <w:jc w:val="left"/>
        <w:rPr>
          <w:rFonts w:ascii="仿宋_GB2312" w:hAnsi="宋体" w:eastAsia="方正仿宋_GBK" w:cs="宋体"/>
          <w:color w:val="000000"/>
          <w:kern w:val="0"/>
          <w:sz w:val="32"/>
          <w:szCs w:val="32"/>
          <w:shd w:val="clear" w:color="auto" w:fill="FFFFFF"/>
          <w:lang w:val="zh-CN"/>
        </w:rPr>
      </w:pPr>
      <w:r>
        <w:rPr>
          <w:rFonts w:hint="eastAsia" w:ascii="仿宋_GB2312" w:hAnsi="宋体" w:eastAsia="方正仿宋_GBK" w:cs="宋体"/>
          <w:color w:val="000000"/>
          <w:kern w:val="0"/>
          <w:sz w:val="32"/>
          <w:szCs w:val="32"/>
          <w:shd w:val="clear" w:color="auto" w:fill="FFFFFF"/>
          <w:lang w:val="zh-CN"/>
        </w:rPr>
        <w:t>（二）部门财政资金支出情况。</w:t>
      </w:r>
    </w:p>
    <w:p w14:paraId="3316045B">
      <w:pPr>
        <w:spacing w:line="600" w:lineRule="exact"/>
        <w:ind w:firstLine="640" w:firstLineChars="200"/>
        <w:outlineLvl w:val="1"/>
        <w:rPr>
          <w:lang w:val="zh-CN"/>
        </w:rPr>
      </w:pPr>
      <w:bookmarkStart w:id="120" w:name="_Toc3377"/>
      <w:r>
        <w:rPr>
          <w:rFonts w:ascii="仿宋" w:hAnsi="仿宋" w:eastAsia="方正仿宋_GBK"/>
          <w:color w:val="000000"/>
          <w:sz w:val="32"/>
          <w:szCs w:val="32"/>
        </w:rPr>
        <w:t>201</w:t>
      </w:r>
      <w:r>
        <w:rPr>
          <w:rFonts w:hint="eastAsia" w:ascii="仿宋" w:hAnsi="仿宋" w:eastAsia="方正仿宋_GBK"/>
          <w:color w:val="000000"/>
          <w:sz w:val="32"/>
          <w:szCs w:val="32"/>
        </w:rPr>
        <w:t>9年本年支出合计368.25万元，其中：基本支出325.23万元，占88</w:t>
      </w:r>
      <w:r>
        <w:rPr>
          <w:rFonts w:ascii="仿宋" w:hAnsi="仿宋" w:eastAsia="方正仿宋_GBK"/>
          <w:color w:val="000000"/>
          <w:sz w:val="32"/>
          <w:szCs w:val="32"/>
        </w:rPr>
        <w:t>%</w:t>
      </w:r>
      <w:r>
        <w:rPr>
          <w:rFonts w:hint="eastAsia" w:ascii="仿宋" w:hAnsi="仿宋" w:eastAsia="方正仿宋_GBK"/>
          <w:color w:val="000000"/>
          <w:sz w:val="32"/>
          <w:szCs w:val="32"/>
        </w:rPr>
        <w:t>；项目支出43.02万元，占12</w:t>
      </w:r>
      <w:r>
        <w:rPr>
          <w:rFonts w:ascii="仿宋" w:hAnsi="仿宋" w:eastAsia="方正仿宋_GBK"/>
          <w:color w:val="000000"/>
          <w:sz w:val="32"/>
          <w:szCs w:val="32"/>
        </w:rPr>
        <w:t>%</w:t>
      </w:r>
      <w:r>
        <w:rPr>
          <w:rFonts w:hint="eastAsia" w:ascii="仿宋" w:hAnsi="仿宋" w:eastAsia="方正仿宋_GBK"/>
          <w:color w:val="000000"/>
          <w:sz w:val="32"/>
          <w:szCs w:val="32"/>
        </w:rPr>
        <w:t>；上缴上级支出0万元，占0</w:t>
      </w:r>
      <w:r>
        <w:rPr>
          <w:rFonts w:ascii="仿宋" w:hAnsi="仿宋" w:eastAsia="方正仿宋_GBK"/>
          <w:color w:val="000000"/>
          <w:sz w:val="32"/>
          <w:szCs w:val="32"/>
        </w:rPr>
        <w:t>%</w:t>
      </w:r>
      <w:r>
        <w:rPr>
          <w:rFonts w:hint="eastAsia" w:ascii="仿宋" w:hAnsi="仿宋" w:eastAsia="方正仿宋_GBK"/>
          <w:color w:val="000000"/>
          <w:sz w:val="32"/>
          <w:szCs w:val="32"/>
        </w:rPr>
        <w:t>；经营支出0万元，占0</w:t>
      </w:r>
      <w:r>
        <w:rPr>
          <w:rFonts w:ascii="仿宋" w:hAnsi="仿宋" w:eastAsia="方正仿宋_GBK"/>
          <w:color w:val="000000"/>
          <w:sz w:val="32"/>
          <w:szCs w:val="32"/>
        </w:rPr>
        <w:t>%</w:t>
      </w:r>
      <w:r>
        <w:rPr>
          <w:rFonts w:hint="eastAsia" w:ascii="仿宋" w:hAnsi="仿宋" w:eastAsia="方正仿宋_GBK"/>
          <w:color w:val="000000"/>
          <w:sz w:val="32"/>
          <w:szCs w:val="32"/>
        </w:rPr>
        <w:t>；对附属单位补助支出0万元，占0</w:t>
      </w:r>
      <w:r>
        <w:rPr>
          <w:rFonts w:ascii="仿宋" w:hAnsi="仿宋" w:eastAsia="方正仿宋_GBK"/>
          <w:color w:val="000000"/>
          <w:sz w:val="32"/>
          <w:szCs w:val="32"/>
        </w:rPr>
        <w:t>%</w:t>
      </w:r>
      <w:r>
        <w:rPr>
          <w:rFonts w:hint="eastAsia" w:ascii="仿宋" w:hAnsi="仿宋" w:eastAsia="方正仿宋_GBK"/>
          <w:color w:val="000000"/>
          <w:sz w:val="32"/>
          <w:szCs w:val="32"/>
        </w:rPr>
        <w:t>。</w:t>
      </w:r>
      <w:bookmarkEnd w:id="120"/>
    </w:p>
    <w:p w14:paraId="3BCC329A">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7253D125">
      <w:pPr>
        <w:widowControl/>
        <w:adjustRightInd w:val="0"/>
        <w:snapToGrid w:val="0"/>
        <w:spacing w:line="580" w:lineRule="exact"/>
        <w:ind w:firstLine="640" w:firstLineChars="200"/>
        <w:contextualSpacing/>
        <w:jc w:val="left"/>
        <w:rPr>
          <w:rFonts w:ascii="仿宋_GB2312" w:hAnsi="宋体" w:eastAsia="方正仿宋_GBK" w:cs="宋体"/>
          <w:color w:val="000000"/>
          <w:kern w:val="0"/>
          <w:sz w:val="32"/>
          <w:szCs w:val="32"/>
          <w:shd w:val="clear" w:color="auto" w:fill="FFFFFF"/>
          <w:lang w:val="zh-CN"/>
        </w:rPr>
      </w:pPr>
      <w:r>
        <w:rPr>
          <w:rFonts w:hint="eastAsia" w:ascii="仿宋_GB2312" w:hAnsi="宋体" w:eastAsia="方正仿宋_GBK" w:cs="宋体"/>
          <w:color w:val="000000"/>
          <w:kern w:val="0"/>
          <w:sz w:val="32"/>
          <w:szCs w:val="32"/>
          <w:shd w:val="clear" w:color="auto" w:fill="FFFFFF"/>
          <w:lang w:val="zh-CN"/>
        </w:rPr>
        <w:t>（一）部门预算管理。</w:t>
      </w:r>
    </w:p>
    <w:p w14:paraId="54F16AB5">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（一）预算编制情况。</w:t>
      </w:r>
    </w:p>
    <w:p w14:paraId="3FC0BC20">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1.按照综合预算的原则，中共九寨沟县委统战部所有收入和支出均纳入部门预算管理。收入包括：一般公共预算拨款收入203.47万元；支出包括：一般公共服务支出150.81万元；社会保障和就业支出26.48万元；卫生健康支出11.33万元；住房保障支出14.85万元；中共九寨沟县委统战部2019年收支总预算456.94万元。</w:t>
      </w:r>
    </w:p>
    <w:p w14:paraId="6105D9B5">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rPr>
        <w:t>2.</w:t>
      </w:r>
      <w:r>
        <w:rPr>
          <w:rFonts w:hint="eastAsia" w:ascii="仿宋_GB2312" w:hAnsi="宋体" w:eastAsia="方正仿宋_GBK" w:cs="宋体"/>
          <w:color w:val="000000"/>
          <w:kern w:val="0"/>
          <w:sz w:val="32"/>
          <w:szCs w:val="32"/>
          <w:lang w:val="zh-CN"/>
        </w:rPr>
        <w:t>县委统战部2020年财政拨款收支总预算301.40万元。本年一般公共预算拨款收入231.40万元、上年结转一般公共预算拨款收入</w:t>
      </w:r>
      <w:r>
        <w:rPr>
          <w:rFonts w:hint="eastAsia" w:ascii="仿宋_GB2312" w:hAnsi="宋体" w:eastAsia="方正仿宋_GBK" w:cs="宋体"/>
          <w:color w:val="000000"/>
          <w:kern w:val="0"/>
          <w:sz w:val="32"/>
          <w:szCs w:val="32"/>
        </w:rPr>
        <w:t>70</w:t>
      </w:r>
      <w:r>
        <w:rPr>
          <w:rFonts w:hint="eastAsia" w:ascii="仿宋_GB2312" w:hAnsi="宋体" w:eastAsia="方正仿宋_GBK" w:cs="宋体"/>
          <w:color w:val="000000"/>
          <w:kern w:val="0"/>
          <w:sz w:val="32"/>
          <w:szCs w:val="32"/>
          <w:lang w:val="zh-CN"/>
        </w:rPr>
        <w:t>万元；一般公共服务支出166.23万元、教育支出0万元、社会保障和就业支出22.27万元、卫生健康支出17.12万元、住房保障支出25.78万元，。</w:t>
      </w:r>
    </w:p>
    <w:p w14:paraId="63007DD0">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3.三公经费使用情况：</w:t>
      </w:r>
    </w:p>
    <w:p w14:paraId="3FDD171B">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2019年三公经费支出为10.83万元，其中公务用车运行维护费为10.80万元，公务接待费为0.03万元。</w:t>
      </w:r>
    </w:p>
    <w:p w14:paraId="49A55862">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县委统战部2020年三公经费为6.42万元，其中公务用车运行维护费为6万元，公务接待费为0.42万元。</w:t>
      </w:r>
    </w:p>
    <w:p w14:paraId="2E3F603E">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（二）执行管理情况。</w:t>
      </w:r>
      <w:r>
        <w:rPr>
          <w:rFonts w:ascii="楷体" w:hAnsi="楷体" w:eastAsia="楷体" w:cs="宋体"/>
          <w:color w:val="000000"/>
          <w:kern w:val="0"/>
          <w:sz w:val="32"/>
          <w:szCs w:val="32"/>
          <w:lang w:val="zh-CN"/>
        </w:rPr>
        <w:tab/>
      </w:r>
    </w:p>
    <w:p w14:paraId="4BE8F453">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1.中共九寨沟县委统战部2019年收支总预算456.94万元,比2018年收支预算总数增加24.26万元，主要是有新增专项项目。</w:t>
      </w:r>
    </w:p>
    <w:p w14:paraId="360B9435">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收入包括：本年一般公共预算拨款收入203.47万元；支出包括：一般公共服务支出150.81万元；社会保障和就业支出26.48万元；卫生健康支出11.33万元；住房保障支出14.85万元。</w:t>
      </w:r>
    </w:p>
    <w:p w14:paraId="7B44B002">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中共九寨沟县委统战部2019年一般公共预算当年拨款203.47万元，比2018年预算数增加24.26万元，主要是按工作计划增加专项资金。</w:t>
      </w:r>
    </w:p>
    <w:p w14:paraId="760DF6FF">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一般公共预算当年拨款结构情况</w:t>
      </w:r>
    </w:p>
    <w:p w14:paraId="190A9E94">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一般公共服务支出150.81万元，占总支出74.12%；社会保障和就业支出26.48万元，占总支出13.01%；卫生健康支出11.33万元，占总支出5.57%；住房保障支出14.85万元，占总支出7.30%。</w:t>
      </w:r>
    </w:p>
    <w:p w14:paraId="149C40BE">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一般公共预算当年拨款具体使用情况</w:t>
      </w:r>
    </w:p>
    <w:p w14:paraId="2A505E69">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1．一般公共服务（类）统战事务（款）行政运行（项）2019年预算数为150.81万元，主要用于：保障单位正常运转。</w:t>
      </w:r>
    </w:p>
    <w:p w14:paraId="770F505E">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2．社会保障和就业支出（类）行政事业单位离退休（款）  机关事业单位基本养老保险缴费支出（项）2019年预算数为26.48万元，主要用于行政事业单位实施养老保险知道由单位缴纳的基本养老保险费支出。</w:t>
      </w:r>
    </w:p>
    <w:p w14:paraId="711029EC">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3.医疗卫生和计划生育（类）行政事业单位医疗（款）行政单位医疗（项）2019年预算数为8.85万元，主要用于：行政单位医疗开支。</w:t>
      </w:r>
    </w:p>
    <w:p w14:paraId="164B6EFD">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4．医疗卫生和计划生育（类）行政事业单位医疗（款）公务员医疗补助（项）2019年预算数为2.06万元，主要用于：公务员医疗补助。</w:t>
      </w:r>
    </w:p>
    <w:p w14:paraId="346170DB">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5.医疗卫生和计划生育（类）行政事业单位医疗（款）其他优抚对象医疗支出（项）2019年预算数为0.42万元，主要用于：其他医疗卫生与计划生育方面的支出。</w:t>
      </w:r>
    </w:p>
    <w:p w14:paraId="099FF2C6">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6．住房保障（类）住房改革支出（款）住房公积金（项）2019年预算数为14.85万元，主要用于：职工住房公积金。</w:t>
      </w:r>
    </w:p>
    <w:p w14:paraId="1C1E3D96">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一般公共预算基本支出情况说明</w:t>
      </w:r>
    </w:p>
    <w:p w14:paraId="4BFCA9A1">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中共九寨沟县委统战部2019年一般公共预算基本支出203.47万元，其中：</w:t>
      </w:r>
    </w:p>
    <w:p w14:paraId="70CEFCEA">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人员经费181.94万元，主要包括：基本工资、津贴补贴、奖金、机关事业单位基本养老保障缴费、职业年金缴费、职工基本医疗保险缴费、公务员医疗补助缴费、其他社会保障缴费、住房公积金、其他工资福利支出、其他对个人和家庭的补助支出。</w:t>
      </w:r>
    </w:p>
    <w:p w14:paraId="41D51F71">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公用经费20.33万元，主要包括：办公费、印刷费、邮电费、差旅费、维修（护）费、会议费、培训费、工会经费、福利费、其他商品和服务支出。</w:t>
      </w:r>
    </w:p>
    <w:p w14:paraId="5CF32873">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rPr>
        <w:t>2.</w:t>
      </w:r>
      <w:r>
        <w:rPr>
          <w:rFonts w:hint="eastAsia" w:ascii="仿宋_GB2312" w:hAnsi="宋体" w:eastAsia="方正仿宋_GBK" w:cs="宋体"/>
          <w:color w:val="000000"/>
          <w:kern w:val="0"/>
          <w:sz w:val="32"/>
          <w:szCs w:val="32"/>
          <w:lang w:val="zh-CN"/>
        </w:rPr>
        <w:t>县委统战部2020年一般公共预算当年拨款231.40万元，主要是日常各项经费开支。</w:t>
      </w:r>
    </w:p>
    <w:p w14:paraId="7A0C8E58">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一般公共服务支出166.23万元，占71.84%；社会保障和就业支出22.27万元，占9.62%；医疗卫生与计划生育支出17.12万元，占7.40%；住房保障支出25.78万元，占11.14%。</w:t>
      </w:r>
    </w:p>
    <w:p w14:paraId="649F9CFE">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1.一般公共服务（类）统战事务（款）行政运行（项）:2020年预算数为166.23万元，主要用于：机关及正常运转的基本支出，包括基本工资、津贴补贴等人员经费以及办公费、印刷费、水电费等日常公用经费。</w:t>
      </w:r>
    </w:p>
    <w:p w14:paraId="7B1C0FD1">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2.一般公共服务（类）统战事务（款）其他统战事务支出（项）:主要为2019年藏传佛教寺庙维修及爱国主义教育经费</w:t>
      </w:r>
    </w:p>
    <w:p w14:paraId="7BD98080">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rPr>
        <w:t>3</w:t>
      </w:r>
      <w:r>
        <w:rPr>
          <w:rFonts w:hint="eastAsia" w:ascii="仿宋_GB2312" w:hAnsi="宋体" w:eastAsia="方正仿宋_GBK" w:cs="宋体"/>
          <w:color w:val="000000"/>
          <w:kern w:val="0"/>
          <w:sz w:val="32"/>
          <w:szCs w:val="32"/>
          <w:lang w:val="zh-CN"/>
        </w:rPr>
        <w:t>.社会保障和就业（类）抚恤（款）死亡抚恤（项）:2020年预算数为22.27万元，主要用于：机关事业单位基本养老保险缴费支出、死亡抚恤经费支出。</w:t>
      </w:r>
    </w:p>
    <w:p w14:paraId="0B00DC7E">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rPr>
        <w:t>4</w:t>
      </w:r>
      <w:r>
        <w:rPr>
          <w:rFonts w:hint="eastAsia" w:ascii="仿宋_GB2312" w:hAnsi="宋体" w:eastAsia="方正仿宋_GBK" w:cs="宋体"/>
          <w:color w:val="000000"/>
          <w:kern w:val="0"/>
          <w:sz w:val="32"/>
          <w:szCs w:val="32"/>
          <w:lang w:val="zh-CN"/>
        </w:rPr>
        <w:t>.卫生健康支出（类）行政事业单位医疗（款）行政单位医疗（项）:2020年预算数为17.12万元，主要用于：机关基本医疗保险缴费支出。</w:t>
      </w:r>
    </w:p>
    <w:p w14:paraId="606177A7">
      <w:pPr>
        <w:widowControl/>
        <w:adjustRightInd w:val="0"/>
        <w:snapToGrid w:val="0"/>
        <w:spacing w:line="576" w:lineRule="exact"/>
        <w:ind w:firstLine="720"/>
        <w:jc w:val="left"/>
        <w:rPr>
          <w:rFonts w:ascii="仿宋_GB2312" w:hAnsi="宋体" w:eastAsia="方正仿宋_GBK" w:cs="宋体"/>
          <w:color w:val="000000"/>
          <w:kern w:val="0"/>
          <w:sz w:val="32"/>
          <w:szCs w:val="32"/>
        </w:rPr>
      </w:pPr>
      <w:r>
        <w:rPr>
          <w:rFonts w:hint="eastAsia" w:ascii="仿宋_GB2312" w:hAnsi="宋体" w:eastAsia="方正仿宋_GBK" w:cs="宋体"/>
          <w:color w:val="000000"/>
          <w:kern w:val="0"/>
          <w:sz w:val="32"/>
          <w:szCs w:val="32"/>
        </w:rPr>
        <w:t>5</w:t>
      </w:r>
      <w:r>
        <w:rPr>
          <w:rFonts w:hint="eastAsia" w:ascii="仿宋_GB2312" w:hAnsi="宋体" w:eastAsia="方正仿宋_GBK" w:cs="宋体"/>
          <w:color w:val="000000"/>
          <w:kern w:val="0"/>
          <w:sz w:val="32"/>
          <w:szCs w:val="32"/>
          <w:lang w:val="zh-CN"/>
        </w:rPr>
        <w:t>.住房保障（类）住房改革支出（款）住房公积金（项）:2020年预算数为25.78万元，主要用于：职工缴纳的住房公积金支出。</w:t>
      </w:r>
    </w:p>
    <w:p w14:paraId="242E5799">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（三）综合管理情况。</w:t>
      </w:r>
    </w:p>
    <w:p w14:paraId="49BA9758">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各项目资金都安排责任人，按资金的用途专款专用。在使用资金时，严格执行资金使用制度和财务制度，同时对各资金的使用流程进行监督，定时查看财务表报检查专项资金使用情况。</w:t>
      </w:r>
    </w:p>
    <w:p w14:paraId="3BDC7996">
      <w:pPr>
        <w:widowControl/>
        <w:adjustRightInd w:val="0"/>
        <w:snapToGrid w:val="0"/>
        <w:spacing w:line="576" w:lineRule="exact"/>
        <w:ind w:firstLine="720"/>
        <w:jc w:val="left"/>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（四）整体绩效。</w:t>
      </w:r>
    </w:p>
    <w:p w14:paraId="3F6C5D87">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本单位各项资金其主要用途是确保单位的正常运转，促进各项工作任务顺利完成。在人员经费支出、公共支出严格执行县委县政府的各项制度；在经费的使用上，在保证各项任务顺利完成的同时，严格落实厉行节约的原则。</w:t>
      </w:r>
    </w:p>
    <w:p w14:paraId="455D52CF">
      <w:pPr>
        <w:widowControl/>
        <w:adjustRightInd w:val="0"/>
        <w:snapToGrid w:val="0"/>
        <w:spacing w:line="580" w:lineRule="exact"/>
        <w:ind w:firstLine="640" w:firstLineChars="200"/>
        <w:contextualSpacing/>
        <w:jc w:val="left"/>
        <w:rPr>
          <w:rFonts w:ascii="仿宋_GB2312" w:hAnsi="宋体" w:eastAsia="方正仿宋_GBK" w:cs="宋体"/>
          <w:color w:val="000000"/>
          <w:kern w:val="0"/>
          <w:sz w:val="32"/>
          <w:szCs w:val="32"/>
          <w:shd w:val="clear" w:color="auto" w:fill="FFFFFF"/>
          <w:lang w:val="zh-CN"/>
        </w:rPr>
      </w:pPr>
      <w:r>
        <w:rPr>
          <w:rFonts w:hint="eastAsia" w:ascii="仿宋_GB2312" w:hAnsi="宋体" w:eastAsia="方正仿宋_GBK" w:cs="宋体"/>
          <w:color w:val="000000"/>
          <w:kern w:val="0"/>
          <w:sz w:val="32"/>
          <w:szCs w:val="32"/>
          <w:shd w:val="clear" w:color="auto" w:fill="FFFFFF"/>
          <w:lang w:val="zh-CN"/>
        </w:rPr>
        <w:t>（二）结果应用情况。</w:t>
      </w:r>
    </w:p>
    <w:p w14:paraId="426FCDD7">
      <w:pPr>
        <w:widowControl/>
        <w:adjustRightInd w:val="0"/>
        <w:snapToGrid w:val="0"/>
        <w:spacing w:line="580" w:lineRule="exact"/>
        <w:ind w:firstLine="640" w:firstLineChars="200"/>
        <w:contextualSpacing/>
        <w:jc w:val="left"/>
        <w:rPr>
          <w:rFonts w:ascii="仿宋_GB2312" w:hAnsi="宋体" w:eastAsia="方正仿宋_GBK" w:cs="宋体"/>
          <w:color w:val="000000"/>
          <w:kern w:val="0"/>
          <w:sz w:val="32"/>
          <w:szCs w:val="32"/>
          <w:shd w:val="clear" w:color="auto" w:fill="FFFFFF"/>
          <w:lang w:val="zh-CN"/>
        </w:rPr>
      </w:pPr>
      <w:r>
        <w:rPr>
          <w:rFonts w:hint="eastAsia" w:ascii="仿宋_GB2312" w:hAnsi="宋体" w:eastAsia="方正仿宋_GBK" w:cs="宋体"/>
          <w:color w:val="000000"/>
          <w:kern w:val="0"/>
          <w:sz w:val="32"/>
          <w:szCs w:val="32"/>
          <w:shd w:val="clear" w:color="auto" w:fill="FFFFFF"/>
          <w:lang w:val="zh-CN"/>
        </w:rPr>
        <w:t>包括绩效自评公开、评价结果整改和应用结果反馈等情况。</w:t>
      </w:r>
    </w:p>
    <w:p w14:paraId="5484AB9F">
      <w:pPr>
        <w:pStyle w:val="13"/>
        <w:ind w:left="0" w:leftChars="0" w:firstLine="640" w:firstLineChars="200"/>
        <w:rPr>
          <w:rFonts w:ascii="方正仿宋_GBK" w:hAnsi="方正仿宋_GBK" w:eastAsia="方正仿宋_GBK" w:cs="方正仿宋_GBK"/>
          <w:color w:val="000000"/>
          <w:sz w:val="32"/>
          <w:szCs w:val="32"/>
          <w:shd w:val="clear" w:color="auto" w:fill="FFFFFF"/>
          <w:lang w:val="zh-CN"/>
        </w:rPr>
      </w:pPr>
      <w:r>
        <w:rPr>
          <w:rFonts w:hint="eastAsia" w:ascii="仿宋_GB2312" w:hAnsi="宋体" w:eastAsia="方正仿宋_GBK" w:cs="宋体"/>
          <w:color w:val="000000"/>
          <w:sz w:val="32"/>
          <w:szCs w:val="32"/>
          <w:shd w:val="clear" w:color="auto" w:fill="FFFFFF"/>
        </w:rPr>
        <w:t>1.绩效自评公开。</w:t>
      </w:r>
      <w:r>
        <w:rPr>
          <w:rFonts w:hint="eastAsia" w:ascii="仿宋_GB2312" w:hAnsi="宋体" w:eastAsia="方正仿宋_GBK" w:cs="宋体"/>
          <w:color w:val="000000"/>
          <w:sz w:val="32"/>
          <w:szCs w:val="32"/>
          <w:shd w:val="clear" w:color="auto" w:fill="FFFFFF"/>
          <w:lang w:val="zh-CN"/>
        </w:rPr>
        <w:t>我单位积极履职，强化管理，较好的完成了年度工作目标。通过加强预算收支管理，不断建立健全内部</w:t>
      </w:r>
      <w:r>
        <w:rPr>
          <w:rFonts w:hint="eastAsia" w:ascii="方正仿宋_GBK" w:hAnsi="方正仿宋_GBK" w:eastAsia="方正仿宋_GBK" w:cs="方正仿宋_GBK"/>
          <w:color w:val="000000"/>
          <w:sz w:val="32"/>
          <w:szCs w:val="32"/>
          <w:shd w:val="clear" w:color="auto" w:fill="FFFFFF"/>
          <w:lang w:val="zh-CN"/>
        </w:rPr>
        <w:t>管理制度，梳理内部管理流程，部门整体支出管理水平得到提升。根据部门整体支出绩效评价指标体系，我单位201</w:t>
      </w:r>
      <w:r>
        <w:rPr>
          <w:rFonts w:hint="eastAsia" w:ascii="方正仿宋_GBK" w:hAnsi="方正仿宋_GBK" w:eastAsia="方正仿宋_GBK" w:cs="方正仿宋_GBK"/>
          <w:color w:val="000000"/>
          <w:sz w:val="32"/>
          <w:szCs w:val="32"/>
          <w:shd w:val="clear" w:color="auto" w:fill="FFFFFF"/>
        </w:rPr>
        <w:t>9</w:t>
      </w:r>
      <w:r>
        <w:rPr>
          <w:rFonts w:hint="eastAsia" w:ascii="方正仿宋_GBK" w:hAnsi="方正仿宋_GBK" w:eastAsia="方正仿宋_GBK" w:cs="方正仿宋_GBK"/>
          <w:color w:val="000000"/>
          <w:sz w:val="32"/>
          <w:szCs w:val="32"/>
          <w:shd w:val="clear" w:color="auto" w:fill="FFFFFF"/>
          <w:lang w:val="zh-CN"/>
        </w:rPr>
        <w:t>年度评价得分为</w:t>
      </w:r>
      <w:r>
        <w:rPr>
          <w:rFonts w:hint="eastAsia" w:ascii="方正仿宋_GBK" w:hAnsi="方正仿宋_GBK" w:eastAsia="方正仿宋_GBK" w:cs="方正仿宋_GBK"/>
          <w:color w:val="000000"/>
          <w:sz w:val="32"/>
          <w:szCs w:val="32"/>
          <w:shd w:val="clear" w:color="auto" w:fill="FFFFFF"/>
        </w:rPr>
        <w:t>98</w:t>
      </w:r>
      <w:r>
        <w:rPr>
          <w:rFonts w:hint="eastAsia" w:ascii="方正仿宋_GBK" w:hAnsi="方正仿宋_GBK" w:eastAsia="方正仿宋_GBK" w:cs="方正仿宋_GBK"/>
          <w:color w:val="000000"/>
          <w:sz w:val="32"/>
          <w:szCs w:val="32"/>
          <w:shd w:val="clear" w:color="auto" w:fill="FFFFFF"/>
          <w:lang w:val="zh-CN"/>
        </w:rPr>
        <w:t>分。做到认真对待，及时公开。</w:t>
      </w:r>
    </w:p>
    <w:p w14:paraId="40D766E5">
      <w:pPr>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2.评价结果整改和应用</w:t>
      </w:r>
    </w:p>
    <w:p w14:paraId="43B1925A">
      <w:pPr>
        <w:pStyle w:val="13"/>
        <w:ind w:left="0" w:leftChars="0"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经济性分析：预算执行方面，支出总额及“三公”经费严格控制在预算总额以内；预算管理方面，制度执行总体较为有效。</w:t>
      </w:r>
    </w:p>
    <w:p w14:paraId="7E38A34A">
      <w:pPr>
        <w:pStyle w:val="13"/>
        <w:ind w:left="0" w:leftChars="0"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2、效率性及效益性分析：预算安排的基本支出保障了正常的工作运转，预算安排的项目支出是非常必要的，在执行上严格遵守各项财经纪律，一年来我部狠抓重点工作，较好的完成了各项目标任务。</w:t>
      </w:r>
    </w:p>
    <w:p w14:paraId="75772E11">
      <w:pPr>
        <w:pStyle w:val="13"/>
        <w:ind w:left="0" w:leftChars="0" w:firstLine="636" w:firstLineChars="199"/>
      </w:pPr>
      <w:r>
        <w:rPr>
          <w:rFonts w:hint="eastAsia" w:ascii="方正仿宋_GBK" w:hAnsi="方正仿宋_GBK" w:eastAsia="方正仿宋_GBK" w:cs="方正仿宋_GBK"/>
          <w:sz w:val="32"/>
          <w:szCs w:val="32"/>
        </w:rPr>
        <w:t>3.结果反馈。预算安排的基本支出保障了正常的工作运转，预算安排的项目支出是非常必要的，在执行上是严格遵守各项财经纪律的，在项目资金的使用上也是放的心的，严守法律底线、纪律底线、道德底线。</w:t>
      </w:r>
    </w:p>
    <w:p w14:paraId="33A310A5">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4B8D9A09">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（一）评价结论。</w:t>
      </w:r>
    </w:p>
    <w:p w14:paraId="0CAD2674">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县委统战部认真做好年度财政资金的预算编制工作，按照政府采购目录及采购限额标准编制政府采购预算，做到应编尽编。在资金使用和管理方面，进一步强化资金统筹，优化资金结构，明确开支范围，细化资金用途，确保部门职责任务顺利完成。全年基本支出保证了部门的正常运行和日常工作的正常开展，达到预期绩效目标。总体较为满意。</w:t>
      </w:r>
    </w:p>
    <w:p w14:paraId="06BAEACD">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（二）存在问题。</w:t>
      </w:r>
    </w:p>
    <w:p w14:paraId="2EB478E4">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1.绩效评价工作业务有待加强，评价指标体系有待细化。</w:t>
      </w:r>
    </w:p>
    <w:p w14:paraId="2E460B93">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2.财务人员业务水平有待进一步提高。</w:t>
      </w:r>
    </w:p>
    <w:p w14:paraId="68D97AF1">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（三）改进建议。</w:t>
      </w:r>
    </w:p>
    <w:p w14:paraId="4FF5958E">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1.加强单位预算编制工作，根据人员情况、业务开展需要，逐项做出预算计划，预算合理、不留缺口、不留空项。</w:t>
      </w:r>
    </w:p>
    <w:p w14:paraId="4974BD9F">
      <w:pPr>
        <w:widowControl/>
        <w:adjustRightInd w:val="0"/>
        <w:snapToGrid w:val="0"/>
        <w:spacing w:line="576" w:lineRule="exact"/>
        <w:ind w:firstLine="720"/>
        <w:jc w:val="left"/>
        <w:rPr>
          <w:rFonts w:ascii="仿宋_GB2312" w:hAnsi="宋体" w:eastAsia="方正仿宋_GBK" w:cs="宋体"/>
          <w:color w:val="000000"/>
          <w:kern w:val="0"/>
          <w:sz w:val="32"/>
          <w:szCs w:val="32"/>
          <w:lang w:val="zh-CN"/>
        </w:rPr>
      </w:pPr>
      <w:r>
        <w:rPr>
          <w:rFonts w:hint="eastAsia" w:ascii="仿宋_GB2312" w:hAnsi="宋体" w:eastAsia="方正仿宋_GBK" w:cs="宋体"/>
          <w:color w:val="000000"/>
          <w:kern w:val="0"/>
          <w:sz w:val="32"/>
          <w:szCs w:val="32"/>
          <w:lang w:val="zh-CN"/>
        </w:rPr>
        <w:t>2.加强业务培训，提高评价水平。部门整体绩效评价工作是一项长期性的工作，专业性强，工作量大，建议财政部门进一步加强开展部门领导及经办人员相关的政策、业务工作培训和指导，优化相关指标，切实推进绩效评价工作的开展。</w:t>
      </w:r>
    </w:p>
    <w:p w14:paraId="0BFAB625">
      <w:pPr>
        <w:spacing w:line="580" w:lineRule="exact"/>
        <w:ind w:firstLine="640" w:firstLineChars="200"/>
        <w:rPr>
          <w:rFonts w:ascii="仿宋_GB2312" w:hAnsi="仿宋_GB2312" w:eastAsia="方正仿宋_GBK" w:cs="仿宋_GB2312"/>
          <w:sz w:val="32"/>
          <w:szCs w:val="32"/>
        </w:rPr>
      </w:pPr>
    </w:p>
    <w:p w14:paraId="1CEAD1BB">
      <w:pPr>
        <w:widowControl/>
        <w:jc w:val="left"/>
        <w:rPr>
          <w:rStyle w:val="27"/>
          <w:rFonts w:ascii="黑体" w:hAnsi="黑体" w:eastAsia="黑体"/>
          <w:b w:val="0"/>
        </w:rPr>
      </w:pPr>
      <w:r>
        <w:rPr>
          <w:rStyle w:val="27"/>
          <w:rFonts w:ascii="黑体" w:hAnsi="黑体" w:eastAsia="黑体"/>
          <w:b w:val="0"/>
        </w:rPr>
        <w:br w:type="page"/>
      </w:r>
    </w:p>
    <w:p w14:paraId="4180800B">
      <w:pPr>
        <w:spacing w:line="600" w:lineRule="exact"/>
        <w:jc w:val="center"/>
        <w:outlineLvl w:val="0"/>
        <w:rPr>
          <w:rStyle w:val="27"/>
          <w:rFonts w:ascii="黑体" w:hAnsi="黑体" w:eastAsia="黑体"/>
          <w:b w:val="0"/>
        </w:rPr>
      </w:pPr>
    </w:p>
    <w:p w14:paraId="6C84839A">
      <w:pPr>
        <w:spacing w:line="600" w:lineRule="exact"/>
        <w:jc w:val="center"/>
        <w:outlineLvl w:val="0"/>
        <w:rPr>
          <w:rStyle w:val="27"/>
          <w:rFonts w:ascii="黑体" w:hAnsi="黑体" w:eastAsia="黑体"/>
          <w:b w:val="0"/>
        </w:rPr>
      </w:pPr>
      <w:bookmarkStart w:id="121" w:name="_Toc25475"/>
      <w:bookmarkStart w:id="122" w:name="_Toc15396618"/>
      <w:r>
        <w:rPr>
          <w:rFonts w:hint="eastAsia" w:ascii="黑体" w:hAnsi="黑体" w:eastAsia="黑体"/>
          <w:color w:val="000000"/>
          <w:sz w:val="44"/>
          <w:szCs w:val="44"/>
        </w:rPr>
        <w:t>第</w:t>
      </w:r>
      <w:r>
        <w:rPr>
          <w:rStyle w:val="27"/>
          <w:rFonts w:hint="eastAsia" w:ascii="黑体" w:hAnsi="黑体" w:eastAsia="黑体"/>
          <w:b w:val="0"/>
        </w:rPr>
        <w:t>五部分 附表</w:t>
      </w:r>
      <w:bookmarkEnd w:id="101"/>
      <w:bookmarkEnd w:id="121"/>
      <w:bookmarkEnd w:id="122"/>
    </w:p>
    <w:p w14:paraId="6A166619">
      <w:pPr>
        <w:spacing w:line="600" w:lineRule="exact"/>
        <w:jc w:val="center"/>
        <w:outlineLvl w:val="0"/>
        <w:rPr>
          <w:rFonts w:ascii="仿宋" w:hAnsi="仿宋" w:eastAsia="方正仿宋_GBK"/>
          <w:b/>
          <w:color w:val="000000"/>
          <w:sz w:val="44"/>
          <w:szCs w:val="44"/>
        </w:rPr>
      </w:pPr>
    </w:p>
    <w:p w14:paraId="56E04BA6">
      <w:pPr>
        <w:pStyle w:val="3"/>
        <w:rPr>
          <w:rFonts w:ascii="方正仿宋_GBK" w:hAnsi="方正仿宋_GBK" w:eastAsia="方正仿宋_GBK" w:cs="方正仿宋_GBK"/>
          <w:color w:val="000000"/>
        </w:rPr>
      </w:pPr>
      <w:bookmarkStart w:id="123" w:name="_Toc15396619"/>
      <w:bookmarkStart w:id="124" w:name="_Toc29720"/>
      <w:r>
        <w:rPr>
          <w:rFonts w:hint="eastAsia" w:ascii="方正仿宋_GBK" w:hAnsi="方正仿宋_GBK" w:eastAsia="方正仿宋_GBK" w:cs="方正仿宋_GBK"/>
          <w:b w:val="0"/>
          <w:color w:val="000000"/>
        </w:rPr>
        <w:t>一、收</w:t>
      </w:r>
      <w:r>
        <w:rPr>
          <w:rStyle w:val="28"/>
          <w:rFonts w:hint="eastAsia" w:ascii="方正仿宋_GBK" w:hAnsi="方正仿宋_GBK" w:eastAsia="方正仿宋_GBK" w:cs="方正仿宋_GBK"/>
          <w:b w:val="0"/>
          <w:bCs w:val="0"/>
        </w:rPr>
        <w:t>入支出决算总表</w:t>
      </w:r>
      <w:bookmarkEnd w:id="123"/>
      <w:bookmarkEnd w:id="124"/>
    </w:p>
    <w:p w14:paraId="2B0FB76F">
      <w:pPr>
        <w:pStyle w:val="3"/>
        <w:rPr>
          <w:rFonts w:ascii="方正仿宋_GBK" w:hAnsi="方正仿宋_GBK" w:eastAsia="方正仿宋_GBK" w:cs="方正仿宋_GBK"/>
          <w:color w:val="000000"/>
        </w:rPr>
      </w:pPr>
      <w:bookmarkStart w:id="125" w:name="_Toc15396620"/>
      <w:bookmarkStart w:id="126" w:name="_Toc28267"/>
      <w:r>
        <w:rPr>
          <w:rFonts w:hint="eastAsia" w:ascii="方正仿宋_GBK" w:hAnsi="方正仿宋_GBK" w:eastAsia="方正仿宋_GBK" w:cs="方正仿宋_GBK"/>
          <w:b w:val="0"/>
          <w:color w:val="000000"/>
        </w:rPr>
        <w:t>二、收</w:t>
      </w:r>
      <w:r>
        <w:rPr>
          <w:rStyle w:val="28"/>
          <w:rFonts w:hint="eastAsia" w:ascii="方正仿宋_GBK" w:hAnsi="方正仿宋_GBK" w:eastAsia="方正仿宋_GBK" w:cs="方正仿宋_GBK"/>
          <w:b w:val="0"/>
          <w:bCs w:val="0"/>
        </w:rPr>
        <w:t>入决算表</w:t>
      </w:r>
      <w:bookmarkEnd w:id="125"/>
      <w:bookmarkEnd w:id="126"/>
    </w:p>
    <w:p w14:paraId="79F7E85E">
      <w:pPr>
        <w:pStyle w:val="3"/>
        <w:rPr>
          <w:rFonts w:ascii="方正仿宋_GBK" w:hAnsi="方正仿宋_GBK" w:eastAsia="方正仿宋_GBK" w:cs="方正仿宋_GBK"/>
          <w:color w:val="000000"/>
        </w:rPr>
      </w:pPr>
      <w:bookmarkStart w:id="127" w:name="_Toc15396621"/>
      <w:bookmarkStart w:id="128" w:name="_Toc1835"/>
      <w:r>
        <w:rPr>
          <w:rStyle w:val="28"/>
          <w:rFonts w:hint="eastAsia" w:ascii="方正仿宋_GBK" w:hAnsi="方正仿宋_GBK" w:eastAsia="方正仿宋_GBK" w:cs="方正仿宋_GBK"/>
          <w:b w:val="0"/>
          <w:bCs w:val="0"/>
        </w:rPr>
        <w:t>三、</w:t>
      </w:r>
      <w:r>
        <w:rPr>
          <w:rFonts w:hint="eastAsia" w:ascii="方正仿宋_GBK" w:hAnsi="方正仿宋_GBK" w:eastAsia="方正仿宋_GBK" w:cs="方正仿宋_GBK"/>
          <w:b w:val="0"/>
          <w:color w:val="000000"/>
        </w:rPr>
        <w:t>支</w:t>
      </w:r>
      <w:r>
        <w:rPr>
          <w:rStyle w:val="28"/>
          <w:rFonts w:hint="eastAsia" w:ascii="方正仿宋_GBK" w:hAnsi="方正仿宋_GBK" w:eastAsia="方正仿宋_GBK" w:cs="方正仿宋_GBK"/>
          <w:b w:val="0"/>
          <w:bCs w:val="0"/>
        </w:rPr>
        <w:t>出决算表</w:t>
      </w:r>
      <w:bookmarkEnd w:id="127"/>
      <w:bookmarkEnd w:id="128"/>
    </w:p>
    <w:p w14:paraId="16204903">
      <w:pPr>
        <w:pStyle w:val="3"/>
        <w:rPr>
          <w:rFonts w:ascii="方正仿宋_GBK" w:hAnsi="方正仿宋_GBK" w:eastAsia="方正仿宋_GBK" w:cs="方正仿宋_GBK"/>
          <w:b w:val="0"/>
          <w:color w:val="000000"/>
        </w:rPr>
      </w:pPr>
      <w:bookmarkStart w:id="129" w:name="_Toc15396622"/>
      <w:bookmarkStart w:id="130" w:name="_Toc16880"/>
      <w:r>
        <w:rPr>
          <w:rStyle w:val="28"/>
          <w:rFonts w:hint="eastAsia" w:ascii="方正仿宋_GBK" w:hAnsi="方正仿宋_GBK" w:eastAsia="方正仿宋_GBK" w:cs="方正仿宋_GBK"/>
          <w:b w:val="0"/>
          <w:bCs w:val="0"/>
        </w:rPr>
        <w:t>四、</w:t>
      </w:r>
      <w:r>
        <w:rPr>
          <w:rFonts w:hint="eastAsia" w:ascii="方正仿宋_GBK" w:hAnsi="方正仿宋_GBK" w:eastAsia="方正仿宋_GBK" w:cs="方正仿宋_GBK"/>
          <w:b w:val="0"/>
          <w:color w:val="000000"/>
        </w:rPr>
        <w:t>财</w:t>
      </w:r>
      <w:r>
        <w:rPr>
          <w:rStyle w:val="28"/>
          <w:rFonts w:hint="eastAsia" w:ascii="方正仿宋_GBK" w:hAnsi="方正仿宋_GBK" w:eastAsia="方正仿宋_GBK" w:cs="方正仿宋_GBK"/>
          <w:b w:val="0"/>
          <w:bCs w:val="0"/>
        </w:rPr>
        <w:t>政拨款收入支出决算总表</w:t>
      </w:r>
      <w:bookmarkEnd w:id="129"/>
      <w:bookmarkEnd w:id="130"/>
    </w:p>
    <w:p w14:paraId="1CD79F29">
      <w:pPr>
        <w:pStyle w:val="3"/>
        <w:rPr>
          <w:rStyle w:val="28"/>
          <w:rFonts w:ascii="方正仿宋_GBK" w:hAnsi="方正仿宋_GBK" w:eastAsia="方正仿宋_GBK" w:cs="方正仿宋_GBK"/>
          <w:b w:val="0"/>
          <w:bCs w:val="0"/>
        </w:rPr>
      </w:pPr>
      <w:bookmarkStart w:id="131" w:name="_Toc15396623"/>
      <w:bookmarkStart w:id="132" w:name="_Toc28166"/>
      <w:r>
        <w:rPr>
          <w:rStyle w:val="28"/>
          <w:rFonts w:hint="eastAsia" w:ascii="方正仿宋_GBK" w:hAnsi="方正仿宋_GBK" w:eastAsia="方正仿宋_GBK" w:cs="方正仿宋_GBK"/>
          <w:b w:val="0"/>
          <w:bCs w:val="0"/>
        </w:rPr>
        <w:t>五、</w:t>
      </w:r>
      <w:r>
        <w:rPr>
          <w:rFonts w:hint="eastAsia" w:ascii="方正仿宋_GBK" w:hAnsi="方正仿宋_GBK" w:eastAsia="方正仿宋_GBK" w:cs="方正仿宋_GBK"/>
          <w:b w:val="0"/>
          <w:color w:val="000000"/>
        </w:rPr>
        <w:t>财</w:t>
      </w:r>
      <w:r>
        <w:rPr>
          <w:rStyle w:val="28"/>
          <w:rFonts w:hint="eastAsia" w:ascii="方正仿宋_GBK" w:hAnsi="方正仿宋_GBK" w:eastAsia="方正仿宋_GBK" w:cs="方正仿宋_GBK"/>
          <w:b w:val="0"/>
          <w:bCs w:val="0"/>
        </w:rPr>
        <w:t>政拨款支出决算明细表</w:t>
      </w:r>
      <w:bookmarkEnd w:id="131"/>
      <w:bookmarkEnd w:id="132"/>
      <w:bookmarkStart w:id="133" w:name="_Toc15396624"/>
    </w:p>
    <w:p w14:paraId="03564675">
      <w:pPr>
        <w:pStyle w:val="3"/>
        <w:rPr>
          <w:rFonts w:ascii="方正仿宋_GBK" w:hAnsi="方正仿宋_GBK" w:eastAsia="方正仿宋_GBK" w:cs="方正仿宋_GBK"/>
          <w:color w:val="000000"/>
        </w:rPr>
      </w:pPr>
      <w:bookmarkStart w:id="134" w:name="_Toc21065"/>
      <w:r>
        <w:rPr>
          <w:rStyle w:val="28"/>
          <w:rFonts w:hint="eastAsia" w:ascii="方正仿宋_GBK" w:hAnsi="方正仿宋_GBK" w:eastAsia="方正仿宋_GBK" w:cs="方正仿宋_GBK"/>
          <w:b w:val="0"/>
          <w:bCs w:val="0"/>
        </w:rPr>
        <w:t>六、</w:t>
      </w:r>
      <w:r>
        <w:rPr>
          <w:rFonts w:hint="eastAsia" w:ascii="方正仿宋_GBK" w:hAnsi="方正仿宋_GBK" w:eastAsia="方正仿宋_GBK" w:cs="方正仿宋_GBK"/>
          <w:b w:val="0"/>
          <w:color w:val="000000"/>
        </w:rPr>
        <w:t>一</w:t>
      </w:r>
      <w:r>
        <w:rPr>
          <w:rStyle w:val="28"/>
          <w:rFonts w:hint="eastAsia" w:ascii="方正仿宋_GBK" w:hAnsi="方正仿宋_GBK" w:eastAsia="方正仿宋_GBK" w:cs="方正仿宋_GBK"/>
          <w:b w:val="0"/>
          <w:bCs w:val="0"/>
        </w:rPr>
        <w:t>般公共预算财政拨款支出决算表</w:t>
      </w:r>
      <w:bookmarkEnd w:id="133"/>
      <w:bookmarkEnd w:id="134"/>
    </w:p>
    <w:p w14:paraId="5ED48277">
      <w:pPr>
        <w:pStyle w:val="3"/>
        <w:rPr>
          <w:rFonts w:ascii="方正仿宋_GBK" w:hAnsi="方正仿宋_GBK" w:eastAsia="方正仿宋_GBK" w:cs="方正仿宋_GBK"/>
          <w:color w:val="000000"/>
        </w:rPr>
      </w:pPr>
      <w:bookmarkStart w:id="135" w:name="_Toc15396625"/>
      <w:bookmarkStart w:id="136" w:name="_Toc13025"/>
      <w:r>
        <w:rPr>
          <w:rStyle w:val="28"/>
          <w:rFonts w:hint="eastAsia" w:ascii="方正仿宋_GBK" w:hAnsi="方正仿宋_GBK" w:eastAsia="方正仿宋_GBK" w:cs="方正仿宋_GBK"/>
          <w:b w:val="0"/>
          <w:bCs w:val="0"/>
        </w:rPr>
        <w:t>七、</w:t>
      </w:r>
      <w:r>
        <w:rPr>
          <w:rFonts w:hint="eastAsia" w:ascii="方正仿宋_GBK" w:hAnsi="方正仿宋_GBK" w:eastAsia="方正仿宋_GBK" w:cs="方正仿宋_GBK"/>
          <w:b w:val="0"/>
          <w:color w:val="000000"/>
        </w:rPr>
        <w:t>一</w:t>
      </w:r>
      <w:r>
        <w:rPr>
          <w:rStyle w:val="28"/>
          <w:rFonts w:hint="eastAsia" w:ascii="方正仿宋_GBK" w:hAnsi="方正仿宋_GBK" w:eastAsia="方正仿宋_GBK" w:cs="方正仿宋_GBK"/>
          <w:b w:val="0"/>
          <w:bCs w:val="0"/>
        </w:rPr>
        <w:t>般公共预算财政拨款支出决算明细表</w:t>
      </w:r>
      <w:bookmarkEnd w:id="135"/>
      <w:bookmarkEnd w:id="136"/>
    </w:p>
    <w:p w14:paraId="0A6035F2">
      <w:pPr>
        <w:pStyle w:val="3"/>
        <w:rPr>
          <w:rFonts w:ascii="方正仿宋_GBK" w:hAnsi="方正仿宋_GBK" w:eastAsia="方正仿宋_GBK" w:cs="方正仿宋_GBK"/>
          <w:color w:val="000000"/>
        </w:rPr>
      </w:pPr>
      <w:bookmarkStart w:id="137" w:name="_Toc15396626"/>
      <w:bookmarkStart w:id="138" w:name="_Toc21541"/>
      <w:r>
        <w:rPr>
          <w:rStyle w:val="28"/>
          <w:rFonts w:hint="eastAsia" w:ascii="方正仿宋_GBK" w:hAnsi="方正仿宋_GBK" w:eastAsia="方正仿宋_GBK" w:cs="方正仿宋_GBK"/>
          <w:b w:val="0"/>
          <w:bCs w:val="0"/>
        </w:rPr>
        <w:t>八、</w:t>
      </w:r>
      <w:r>
        <w:rPr>
          <w:rFonts w:hint="eastAsia" w:ascii="方正仿宋_GBK" w:hAnsi="方正仿宋_GBK" w:eastAsia="方正仿宋_GBK" w:cs="方正仿宋_GBK"/>
          <w:b w:val="0"/>
          <w:color w:val="000000"/>
        </w:rPr>
        <w:t>一</w:t>
      </w:r>
      <w:r>
        <w:rPr>
          <w:rStyle w:val="28"/>
          <w:rFonts w:hint="eastAsia" w:ascii="方正仿宋_GBK" w:hAnsi="方正仿宋_GBK" w:eastAsia="方正仿宋_GBK" w:cs="方正仿宋_GBK"/>
          <w:b w:val="0"/>
          <w:bCs w:val="0"/>
        </w:rPr>
        <w:t>般公共预算财政拨款基本支出决算表</w:t>
      </w:r>
      <w:bookmarkEnd w:id="137"/>
      <w:bookmarkEnd w:id="138"/>
    </w:p>
    <w:p w14:paraId="03A0EC16">
      <w:pPr>
        <w:pStyle w:val="3"/>
        <w:rPr>
          <w:rFonts w:ascii="方正仿宋_GBK" w:hAnsi="方正仿宋_GBK" w:eastAsia="方正仿宋_GBK" w:cs="方正仿宋_GBK"/>
          <w:color w:val="000000"/>
        </w:rPr>
      </w:pPr>
      <w:bookmarkStart w:id="139" w:name="_Toc15396627"/>
      <w:bookmarkStart w:id="140" w:name="_Toc9634"/>
      <w:r>
        <w:rPr>
          <w:rStyle w:val="28"/>
          <w:rFonts w:hint="eastAsia" w:ascii="方正仿宋_GBK" w:hAnsi="方正仿宋_GBK" w:eastAsia="方正仿宋_GBK" w:cs="方正仿宋_GBK"/>
          <w:b w:val="0"/>
          <w:bCs w:val="0"/>
        </w:rPr>
        <w:t>九、</w:t>
      </w:r>
      <w:r>
        <w:rPr>
          <w:rFonts w:hint="eastAsia" w:ascii="方正仿宋_GBK" w:hAnsi="方正仿宋_GBK" w:eastAsia="方正仿宋_GBK" w:cs="方正仿宋_GBK"/>
          <w:b w:val="0"/>
          <w:color w:val="000000"/>
        </w:rPr>
        <w:t>一</w:t>
      </w:r>
      <w:r>
        <w:rPr>
          <w:rStyle w:val="28"/>
          <w:rFonts w:hint="eastAsia" w:ascii="方正仿宋_GBK" w:hAnsi="方正仿宋_GBK" w:eastAsia="方正仿宋_GBK" w:cs="方正仿宋_GBK"/>
          <w:b w:val="0"/>
          <w:bCs w:val="0"/>
        </w:rPr>
        <w:t>般公共预算财政拨款项目支出决算表</w:t>
      </w:r>
      <w:bookmarkEnd w:id="139"/>
      <w:bookmarkEnd w:id="140"/>
    </w:p>
    <w:p w14:paraId="0242798D">
      <w:pPr>
        <w:pStyle w:val="3"/>
        <w:rPr>
          <w:rFonts w:ascii="方正仿宋_GBK" w:hAnsi="方正仿宋_GBK" w:eastAsia="方正仿宋_GBK" w:cs="方正仿宋_GBK"/>
          <w:color w:val="000000"/>
        </w:rPr>
      </w:pPr>
      <w:bookmarkStart w:id="141" w:name="_Toc15396628"/>
      <w:bookmarkStart w:id="142" w:name="_Toc22014"/>
      <w:r>
        <w:rPr>
          <w:rStyle w:val="28"/>
          <w:rFonts w:hint="eastAsia" w:ascii="方正仿宋_GBK" w:hAnsi="方正仿宋_GBK" w:eastAsia="方正仿宋_GBK" w:cs="方正仿宋_GBK"/>
          <w:b w:val="0"/>
          <w:bCs w:val="0"/>
        </w:rPr>
        <w:t>十、</w:t>
      </w:r>
      <w:r>
        <w:rPr>
          <w:rFonts w:hint="eastAsia" w:ascii="方正仿宋_GBK" w:hAnsi="方正仿宋_GBK" w:eastAsia="方正仿宋_GBK" w:cs="方正仿宋_GBK"/>
          <w:b w:val="0"/>
          <w:color w:val="000000"/>
        </w:rPr>
        <w:t>一</w:t>
      </w:r>
      <w:r>
        <w:rPr>
          <w:rStyle w:val="28"/>
          <w:rFonts w:hint="eastAsia" w:ascii="方正仿宋_GBK" w:hAnsi="方正仿宋_GBK" w:eastAsia="方正仿宋_GBK" w:cs="方正仿宋_GBK"/>
          <w:b w:val="0"/>
          <w:bCs w:val="0"/>
        </w:rPr>
        <w:t>般公共预算财政拨款“三公”经费支出决算表</w:t>
      </w:r>
      <w:bookmarkEnd w:id="141"/>
      <w:bookmarkEnd w:id="142"/>
    </w:p>
    <w:p w14:paraId="2A7A13D6">
      <w:pPr>
        <w:pStyle w:val="3"/>
        <w:rPr>
          <w:rFonts w:ascii="方正仿宋_GBK" w:hAnsi="方正仿宋_GBK" w:eastAsia="方正仿宋_GBK" w:cs="方正仿宋_GBK"/>
          <w:color w:val="000000"/>
        </w:rPr>
      </w:pPr>
      <w:bookmarkStart w:id="143" w:name="_Toc18527"/>
      <w:bookmarkStart w:id="144" w:name="_Toc15396629"/>
      <w:r>
        <w:rPr>
          <w:rStyle w:val="28"/>
          <w:rFonts w:hint="eastAsia" w:ascii="方正仿宋_GBK" w:hAnsi="方正仿宋_GBK" w:eastAsia="方正仿宋_GBK" w:cs="方正仿宋_GBK"/>
          <w:b w:val="0"/>
          <w:bCs w:val="0"/>
        </w:rPr>
        <w:t>十一、</w:t>
      </w:r>
      <w:r>
        <w:rPr>
          <w:rFonts w:hint="eastAsia" w:ascii="方正仿宋_GBK" w:hAnsi="方正仿宋_GBK" w:eastAsia="方正仿宋_GBK" w:cs="方正仿宋_GBK"/>
          <w:b w:val="0"/>
          <w:color w:val="000000"/>
        </w:rPr>
        <w:t>政</w:t>
      </w:r>
      <w:r>
        <w:rPr>
          <w:rStyle w:val="28"/>
          <w:rFonts w:hint="eastAsia" w:ascii="方正仿宋_GBK" w:hAnsi="方正仿宋_GBK" w:eastAsia="方正仿宋_GBK" w:cs="方正仿宋_GBK"/>
          <w:b w:val="0"/>
          <w:bCs w:val="0"/>
        </w:rPr>
        <w:t>府性基金预算财政拨款收入支出决算表</w:t>
      </w:r>
      <w:bookmarkEnd w:id="143"/>
      <w:bookmarkEnd w:id="144"/>
    </w:p>
    <w:p w14:paraId="38D4766F">
      <w:pPr>
        <w:pStyle w:val="3"/>
        <w:rPr>
          <w:rFonts w:ascii="方正仿宋_GBK" w:hAnsi="方正仿宋_GBK" w:eastAsia="方正仿宋_GBK" w:cs="方正仿宋_GBK"/>
          <w:color w:val="000000"/>
        </w:rPr>
      </w:pPr>
      <w:bookmarkStart w:id="145" w:name="_Toc20749"/>
      <w:bookmarkStart w:id="146" w:name="_Toc15396630"/>
      <w:r>
        <w:rPr>
          <w:rStyle w:val="28"/>
          <w:rFonts w:hint="eastAsia" w:ascii="方正仿宋_GBK" w:hAnsi="方正仿宋_GBK" w:eastAsia="方正仿宋_GBK" w:cs="方正仿宋_GBK"/>
          <w:b w:val="0"/>
          <w:bCs w:val="0"/>
        </w:rPr>
        <w:t>十二、</w:t>
      </w:r>
      <w:r>
        <w:rPr>
          <w:rFonts w:hint="eastAsia" w:ascii="方正仿宋_GBK" w:hAnsi="方正仿宋_GBK" w:eastAsia="方正仿宋_GBK" w:cs="方正仿宋_GBK"/>
          <w:b w:val="0"/>
          <w:color w:val="000000"/>
        </w:rPr>
        <w:t>政</w:t>
      </w:r>
      <w:r>
        <w:rPr>
          <w:rStyle w:val="28"/>
          <w:rFonts w:hint="eastAsia" w:ascii="方正仿宋_GBK" w:hAnsi="方正仿宋_GBK" w:eastAsia="方正仿宋_GBK" w:cs="方正仿宋_GBK"/>
          <w:b w:val="0"/>
          <w:bCs w:val="0"/>
        </w:rPr>
        <w:t>府性基金预算财政拨款“三公”经费支出决算表</w:t>
      </w:r>
      <w:bookmarkEnd w:id="145"/>
      <w:bookmarkEnd w:id="146"/>
    </w:p>
    <w:p w14:paraId="0DEC5C78">
      <w:pPr>
        <w:pStyle w:val="3"/>
        <w:rPr>
          <w:rFonts w:ascii="方正仿宋_GBK" w:hAnsi="方正仿宋_GBK" w:eastAsia="方正仿宋_GBK" w:cs="方正仿宋_GBK"/>
          <w:color w:val="000000" w:themeColor="text1"/>
          <w14:textFill>
            <w14:solidFill>
              <w14:schemeClr w14:val="tx1"/>
            </w14:solidFill>
          </w14:textFill>
        </w:rPr>
      </w:pPr>
      <w:bookmarkStart w:id="147" w:name="_Toc6398"/>
      <w:bookmarkStart w:id="148" w:name="_Toc15396631"/>
      <w:r>
        <w:rPr>
          <w:rStyle w:val="28"/>
          <w:rFonts w:hint="eastAsia" w:ascii="方正仿宋_GBK" w:hAnsi="方正仿宋_GBK" w:eastAsia="方正仿宋_GBK" w:cs="方正仿宋_GBK"/>
          <w:b w:val="0"/>
          <w:bCs w:val="0"/>
        </w:rPr>
        <w:t>十三、</w:t>
      </w:r>
      <w:r>
        <w:rPr>
          <w:rFonts w:hint="eastAsia" w:ascii="方正仿宋_GBK" w:hAnsi="方正仿宋_GBK" w:eastAsia="方正仿宋_GBK" w:cs="方正仿宋_GBK"/>
          <w:b w:val="0"/>
          <w:color w:val="000000"/>
        </w:rPr>
        <w:t>国</w:t>
      </w:r>
      <w:r>
        <w:rPr>
          <w:rStyle w:val="28"/>
          <w:rFonts w:hint="eastAsia" w:ascii="方正仿宋_GBK" w:hAnsi="方正仿宋_GBK" w:eastAsia="方正仿宋_GBK" w:cs="方正仿宋_GBK"/>
          <w:b w:val="0"/>
          <w:bCs w:val="0"/>
        </w:rPr>
        <w:t>有资本经营预算支出决算表</w:t>
      </w:r>
      <w:bookmarkEnd w:id="147"/>
      <w:bookmarkEnd w:id="148"/>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Batang">
    <w:panose1 w:val="02030600000101010101"/>
    <w:charset w:val="81"/>
    <w:family w:val="roman"/>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A30AFE9">
        <w:pPr>
          <w:pStyle w:val="10"/>
          <w:jc w:val="center"/>
        </w:pPr>
        <w:r>
          <w:fldChar w:fldCharType="begin"/>
        </w:r>
        <w:r>
          <w:instrText xml:space="preserve">PAGE   \* MERGEFORMAT</w:instrText>
        </w:r>
        <w:r>
          <w:fldChar w:fldCharType="separate"/>
        </w:r>
        <w:r>
          <w:rPr>
            <w:lang w:val="zh-CN"/>
          </w:rPr>
          <w:t>2</w:t>
        </w:r>
        <w:r>
          <w:fldChar w:fldCharType="end"/>
        </w:r>
      </w:p>
    </w:sdtContent>
  </w:sdt>
  <w:p w14:paraId="75649DE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CCC69">
    <w:pPr>
      <w:pStyle w:val="1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sdt>
                          <w:sdtPr>
                            <w:rPr>
                              <w:rFonts w:hint="eastAsia" w:ascii="Batang" w:hAnsi="Batang" w:eastAsia="Batang" w:cs="Batang"/>
                              <w:sz w:val="28"/>
                              <w:szCs w:val="28"/>
                            </w:rPr>
                            <w:id w:val="1656024126"/>
                          </w:sdtPr>
                          <w:sdtEndPr>
                            <w:rPr>
                              <w:rFonts w:hint="eastAsia" w:ascii="Batang" w:hAnsi="Batang" w:eastAsia="Batang" w:cs="Batang"/>
                              <w:sz w:val="28"/>
                              <w:szCs w:val="28"/>
                            </w:rPr>
                          </w:sdtEndPr>
                          <w:sdtContent>
                            <w:p w14:paraId="3D6D5AA9">
                              <w:pPr>
                                <w:pStyle w:val="10"/>
                                <w:jc w:val="center"/>
                                <w:rPr>
                                  <w:rFonts w:ascii="Batang" w:hAnsi="Batang" w:eastAsia="Batang" w:cs="Batang"/>
                                  <w:sz w:val="28"/>
                                  <w:szCs w:val="28"/>
                                </w:rPr>
                              </w:pPr>
                              <w:r>
                                <w:rPr>
                                  <w:rFonts w:hint="eastAsia" w:ascii="Batang" w:hAnsi="Batang" w:eastAsia="Batang" w:cs="Batang"/>
                                  <w:sz w:val="28"/>
                                  <w:szCs w:val="28"/>
                                </w:rPr>
                                <w:fldChar w:fldCharType="begin"/>
                              </w:r>
                              <w:r>
                                <w:rPr>
                                  <w:rFonts w:hint="eastAsia" w:ascii="Batang" w:hAnsi="Batang" w:eastAsia="Batang" w:cs="Batang"/>
                                  <w:sz w:val="28"/>
                                  <w:szCs w:val="28"/>
                                </w:rPr>
                                <w:instrText xml:space="preserve">PAGE   \* MERGEFORMAT</w:instrText>
                              </w:r>
                              <w:r>
                                <w:rPr>
                                  <w:rFonts w:hint="eastAsia" w:ascii="Batang" w:hAnsi="Batang" w:eastAsia="Batang" w:cs="Batang"/>
                                  <w:sz w:val="28"/>
                                  <w:szCs w:val="28"/>
                                </w:rPr>
                                <w:fldChar w:fldCharType="separate"/>
                              </w:r>
                              <w:r>
                                <w:rPr>
                                  <w:rFonts w:ascii="Batang" w:hAnsi="Batang" w:eastAsia="Batang" w:cs="Batang"/>
                                  <w:sz w:val="28"/>
                                  <w:szCs w:val="28"/>
                                  <w:lang w:val="zh-CN"/>
                                </w:rPr>
                                <w:t>-</w:t>
                              </w:r>
                              <w:r>
                                <w:rPr>
                                  <w:rFonts w:ascii="Batang" w:hAnsi="Batang" w:eastAsia="Batang" w:cs="Batang"/>
                                  <w:sz w:val="28"/>
                                  <w:szCs w:val="28"/>
                                </w:rPr>
                                <w:t xml:space="preserve"> 38 -</w:t>
                              </w:r>
                              <w:r>
                                <w:rPr>
                                  <w:rFonts w:hint="eastAsia" w:ascii="Batang" w:hAnsi="Batang" w:eastAsia="Batang" w:cs="Batang"/>
                                  <w:sz w:val="28"/>
                                  <w:szCs w:val="28"/>
                                </w:rPr>
                                <w:fldChar w:fldCharType="end"/>
                              </w:r>
                            </w:p>
                          </w:sdtContent>
                        </w:sdt>
                        <w:p w14:paraId="48A9EC86">
                          <w:pPr>
                            <w:pStyle w:val="13"/>
                            <w:ind w:left="980" w:hanging="560"/>
                            <w:rPr>
                              <w:rFonts w:ascii="Batang" w:hAnsi="Batang" w:eastAsia="Batang" w:cs="Batang"/>
                              <w:sz w:val="28"/>
                              <w:szCs w:val="28"/>
                            </w:rPr>
                          </w:pP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qNO9Y2AEAAK0DAAAOAAAAAAAAAAEAIAAA&#10;AB4BAABkcnMvZTJvRG9jLnhtbFBLBQYAAAAABgAGAFkBAABoBQAAAAA=&#10;">
              <v:fill on="f" focussize="0,0"/>
              <v:stroke on="f"/>
              <v:imagedata o:title=""/>
              <o:lock v:ext="edit" aspectratio="f"/>
              <v:textbox inset="0mm,0mm,0mm,0mm" style="mso-fit-shape-to-text:t;">
                <w:txbxContent>
                  <w:sdt>
                    <w:sdtPr>
                      <w:rPr>
                        <w:rFonts w:hint="eastAsia" w:ascii="Batang" w:hAnsi="Batang" w:eastAsia="Batang" w:cs="Batang"/>
                        <w:sz w:val="28"/>
                        <w:szCs w:val="28"/>
                      </w:rPr>
                      <w:id w:val="1656024126"/>
                    </w:sdtPr>
                    <w:sdtEndPr>
                      <w:rPr>
                        <w:rFonts w:hint="eastAsia" w:ascii="Batang" w:hAnsi="Batang" w:eastAsia="Batang" w:cs="Batang"/>
                        <w:sz w:val="28"/>
                        <w:szCs w:val="28"/>
                      </w:rPr>
                    </w:sdtEndPr>
                    <w:sdtContent>
                      <w:p w14:paraId="3D6D5AA9">
                        <w:pPr>
                          <w:pStyle w:val="10"/>
                          <w:jc w:val="center"/>
                          <w:rPr>
                            <w:rFonts w:ascii="Batang" w:hAnsi="Batang" w:eastAsia="Batang" w:cs="Batang"/>
                            <w:sz w:val="28"/>
                            <w:szCs w:val="28"/>
                          </w:rPr>
                        </w:pPr>
                        <w:r>
                          <w:rPr>
                            <w:rFonts w:hint="eastAsia" w:ascii="Batang" w:hAnsi="Batang" w:eastAsia="Batang" w:cs="Batang"/>
                            <w:sz w:val="28"/>
                            <w:szCs w:val="28"/>
                          </w:rPr>
                          <w:fldChar w:fldCharType="begin"/>
                        </w:r>
                        <w:r>
                          <w:rPr>
                            <w:rFonts w:hint="eastAsia" w:ascii="Batang" w:hAnsi="Batang" w:eastAsia="Batang" w:cs="Batang"/>
                            <w:sz w:val="28"/>
                            <w:szCs w:val="28"/>
                          </w:rPr>
                          <w:instrText xml:space="preserve">PAGE   \* MERGEFORMAT</w:instrText>
                        </w:r>
                        <w:r>
                          <w:rPr>
                            <w:rFonts w:hint="eastAsia" w:ascii="Batang" w:hAnsi="Batang" w:eastAsia="Batang" w:cs="Batang"/>
                            <w:sz w:val="28"/>
                            <w:szCs w:val="28"/>
                          </w:rPr>
                          <w:fldChar w:fldCharType="separate"/>
                        </w:r>
                        <w:r>
                          <w:rPr>
                            <w:rFonts w:ascii="Batang" w:hAnsi="Batang" w:eastAsia="Batang" w:cs="Batang"/>
                            <w:sz w:val="28"/>
                            <w:szCs w:val="28"/>
                            <w:lang w:val="zh-CN"/>
                          </w:rPr>
                          <w:t>-</w:t>
                        </w:r>
                        <w:r>
                          <w:rPr>
                            <w:rFonts w:ascii="Batang" w:hAnsi="Batang" w:eastAsia="Batang" w:cs="Batang"/>
                            <w:sz w:val="28"/>
                            <w:szCs w:val="28"/>
                          </w:rPr>
                          <w:t xml:space="preserve"> 38 -</w:t>
                        </w:r>
                        <w:r>
                          <w:rPr>
                            <w:rFonts w:hint="eastAsia" w:ascii="Batang" w:hAnsi="Batang" w:eastAsia="Batang" w:cs="Batang"/>
                            <w:sz w:val="28"/>
                            <w:szCs w:val="28"/>
                          </w:rPr>
                          <w:fldChar w:fldCharType="end"/>
                        </w:r>
                      </w:p>
                    </w:sdtContent>
                  </w:sdt>
                  <w:p w14:paraId="48A9EC86">
                    <w:pPr>
                      <w:pStyle w:val="13"/>
                      <w:ind w:left="980" w:hanging="560"/>
                      <w:rPr>
                        <w:rFonts w:ascii="Batang" w:hAnsi="Batang" w:eastAsia="Batang" w:cs="Batang"/>
                        <w:sz w:val="28"/>
                        <w:szCs w:val="28"/>
                      </w:rPr>
                    </w:pPr>
                  </w:p>
                </w:txbxContent>
              </v:textbox>
            </v:shape>
          </w:pict>
        </mc:Fallback>
      </mc:AlternateContent>
    </w:r>
  </w:p>
  <w:p w14:paraId="6BD7E1F7">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50B4">
    <w:pPr>
      <w:pStyle w:val="1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BB12A0A">
                          <w:pPr>
                            <w:pStyle w:val="10"/>
                            <w:rPr>
                              <w:rFonts w:ascii="Batang" w:hAnsi="Batang" w:eastAsia="Batang" w:cs="Batang"/>
                              <w:sz w:val="28"/>
                              <w:szCs w:val="28"/>
                            </w:rPr>
                          </w:pPr>
                          <w:r>
                            <w:rPr>
                              <w:rFonts w:hint="eastAsia" w:ascii="Batang" w:hAnsi="Batang" w:eastAsia="Batang" w:cs="Batang"/>
                              <w:sz w:val="28"/>
                              <w:szCs w:val="28"/>
                            </w:rPr>
                            <w:fldChar w:fldCharType="begin"/>
                          </w:r>
                          <w:r>
                            <w:rPr>
                              <w:rFonts w:hint="eastAsia" w:ascii="Batang" w:hAnsi="Batang" w:eastAsia="Batang" w:cs="Batang"/>
                              <w:sz w:val="28"/>
                              <w:szCs w:val="28"/>
                            </w:rPr>
                            <w:instrText xml:space="preserve"> PAGE  \* MERGEFORMAT </w:instrText>
                          </w:r>
                          <w:r>
                            <w:rPr>
                              <w:rFonts w:hint="eastAsia" w:ascii="Batang" w:hAnsi="Batang" w:eastAsia="Batang" w:cs="Batang"/>
                              <w:sz w:val="28"/>
                              <w:szCs w:val="28"/>
                            </w:rPr>
                            <w:fldChar w:fldCharType="separate"/>
                          </w:r>
                          <w:r>
                            <w:rPr>
                              <w:rFonts w:ascii="Batang" w:hAnsi="Batang" w:eastAsia="Batang" w:cs="Batang"/>
                              <w:sz w:val="28"/>
                              <w:szCs w:val="28"/>
                            </w:rPr>
                            <w:t>- 1 -</w:t>
                          </w:r>
                          <w:r>
                            <w:rPr>
                              <w:rFonts w:hint="eastAsia" w:ascii="Batang" w:hAnsi="Batang" w:eastAsia="Batang" w:cs="Batang"/>
                              <w:sz w:val="28"/>
                              <w:szCs w:val="28"/>
                            </w:rPr>
                            <w:fldChar w:fldCharType="end"/>
                          </w:r>
                        </w:p>
                      </w:txbxContent>
                    </wps:txbx>
                    <wps:bodyPr vert="horz" wrap="none" lIns="0" tIns="0" rIns="0" bIns="0" anchor="t">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qXm5zwAAAAUBAAAPAAAAAAAAAAEAIAAAACIA&#10;AABkcnMvZG93bnJldi54bWxQSwECFAAUAAAACACHTuJAeHx55NkBAACtAwAADgAAAAAAAAABACAA&#10;AAAeAQAAZHJzL2Uyb0RvYy54bWxQSwUGAAAAAAYABgBZAQAAaQUAAAAA&#10;">
              <v:fill on="f" focussize="0,0"/>
              <v:stroke on="f"/>
              <v:imagedata o:title=""/>
              <o:lock v:ext="edit" aspectratio="f"/>
              <v:textbox inset="0mm,0mm,0mm,0mm" style="mso-fit-shape-to-text:t;">
                <w:txbxContent>
                  <w:p w14:paraId="1BB12A0A">
                    <w:pPr>
                      <w:pStyle w:val="10"/>
                      <w:rPr>
                        <w:rFonts w:ascii="Batang" w:hAnsi="Batang" w:eastAsia="Batang" w:cs="Batang"/>
                        <w:sz w:val="28"/>
                        <w:szCs w:val="28"/>
                      </w:rPr>
                    </w:pPr>
                    <w:r>
                      <w:rPr>
                        <w:rFonts w:hint="eastAsia" w:ascii="Batang" w:hAnsi="Batang" w:eastAsia="Batang" w:cs="Batang"/>
                        <w:sz w:val="28"/>
                        <w:szCs w:val="28"/>
                      </w:rPr>
                      <w:fldChar w:fldCharType="begin"/>
                    </w:r>
                    <w:r>
                      <w:rPr>
                        <w:rFonts w:hint="eastAsia" w:ascii="Batang" w:hAnsi="Batang" w:eastAsia="Batang" w:cs="Batang"/>
                        <w:sz w:val="28"/>
                        <w:szCs w:val="28"/>
                      </w:rPr>
                      <w:instrText xml:space="preserve"> PAGE  \* MERGEFORMAT </w:instrText>
                    </w:r>
                    <w:r>
                      <w:rPr>
                        <w:rFonts w:hint="eastAsia" w:ascii="Batang" w:hAnsi="Batang" w:eastAsia="Batang" w:cs="Batang"/>
                        <w:sz w:val="28"/>
                        <w:szCs w:val="28"/>
                      </w:rPr>
                      <w:fldChar w:fldCharType="separate"/>
                    </w:r>
                    <w:r>
                      <w:rPr>
                        <w:rFonts w:ascii="Batang" w:hAnsi="Batang" w:eastAsia="Batang" w:cs="Batang"/>
                        <w:sz w:val="28"/>
                        <w:szCs w:val="28"/>
                      </w:rPr>
                      <w:t>- 1 -</w:t>
                    </w:r>
                    <w:r>
                      <w:rPr>
                        <w:rFonts w:hint="eastAsia" w:ascii="Batang" w:hAnsi="Batang" w:eastAsia="Batang" w:cs="Batang"/>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CDAA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15AC"/>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B5938"/>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955E4"/>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D7B1A84"/>
    <w:rsid w:val="10C055FF"/>
    <w:rsid w:val="15B66837"/>
    <w:rsid w:val="16BB723D"/>
    <w:rsid w:val="17C52D61"/>
    <w:rsid w:val="1B1A19B7"/>
    <w:rsid w:val="1B417DC1"/>
    <w:rsid w:val="240371BF"/>
    <w:rsid w:val="24E025A0"/>
    <w:rsid w:val="28454D51"/>
    <w:rsid w:val="288E23E7"/>
    <w:rsid w:val="29FD04D3"/>
    <w:rsid w:val="319F7F4E"/>
    <w:rsid w:val="4ECE2238"/>
    <w:rsid w:val="4FC922A7"/>
    <w:rsid w:val="53B131BF"/>
    <w:rsid w:val="5C33302E"/>
    <w:rsid w:val="65987027"/>
    <w:rsid w:val="6E7449E7"/>
    <w:rsid w:val="72734D90"/>
    <w:rsid w:val="73D045C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420" w:leftChars="200"/>
    </w:pPr>
  </w:style>
  <w:style w:type="paragraph" w:styleId="7">
    <w:name w:val="Body Text First Indent 2"/>
    <w:basedOn w:val="6"/>
    <w:qFormat/>
    <w:uiPriority w:val="0"/>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2"/>
    <w:qFormat/>
    <w:uiPriority w:val="9"/>
    <w:rPr>
      <w:rFonts w:ascii="Times New Roman" w:hAnsi="Times New Roman"/>
      <w:b/>
      <w:bCs/>
      <w:kern w:val="44"/>
      <w:sz w:val="44"/>
      <w:szCs w:val="44"/>
    </w:rPr>
  </w:style>
  <w:style w:type="character" w:customStyle="1" w:styleId="28">
    <w:name w:val="标题 2 Char"/>
    <w:basedOn w:val="16"/>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6"/>
    <w:link w:val="9"/>
    <w:semiHidden/>
    <w:qFormat/>
    <w:uiPriority w:val="99"/>
    <w:rPr>
      <w:rFonts w:ascii="Times New Roman" w:hAnsi="Times New Roman"/>
      <w:kern w:val="2"/>
      <w:sz w:val="18"/>
      <w:szCs w:val="18"/>
    </w:rPr>
  </w:style>
  <w:style w:type="character" w:customStyle="1" w:styleId="31">
    <w:name w:val="标题 3 Char"/>
    <w:basedOn w:val="16"/>
    <w:link w:val="4"/>
    <w:qFormat/>
    <w:uiPriority w:val="9"/>
    <w:rPr>
      <w:rFonts w:ascii="Times New Roman" w:hAnsi="Times New Roman"/>
      <w:b/>
      <w:bCs/>
      <w:kern w:val="2"/>
      <w:sz w:val="32"/>
      <w:szCs w:val="32"/>
    </w:rPr>
  </w:style>
  <w:style w:type="paragraph" w:customStyle="1" w:styleId="32">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image" Target="../media/image1.png"/><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5" Type="http://schemas.microsoft.com/office/2011/relationships/chartColorStyle" Target="colors5.xml"/><Relationship Id="rId4" Type="http://schemas.microsoft.com/office/2011/relationships/chartStyle" Target="style5.xml"/><Relationship Id="rId3" Type="http://schemas.openxmlformats.org/officeDocument/2006/relationships/image" Target="../media/image1.png"/><Relationship Id="rId2" Type="http://schemas.openxmlformats.org/officeDocument/2006/relationships/themeOverride" Target="../theme/themeOverrid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2.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4.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5.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ltLang="en-US"/>
          </a:p>
        </c:rich>
      </c:tx>
      <c:layout/>
      <c:overlay val="0"/>
      <c:spPr>
        <a:noFill/>
        <a:ln>
          <a:noFill/>
        </a:ln>
        <a:effectLst/>
      </c:spPr>
    </c:title>
    <c:autoTitleDeleted val="0"/>
    <c:plotArea>
      <c:layout/>
      <c:barChart>
        <c:barDir val="col"/>
        <c:grouping val="clustered"/>
        <c:varyColors val="0"/>
        <c:ser>
          <c:idx val="0"/>
          <c:order val="0"/>
          <c:tx>
            <c:strRef>
              <c:f>[工作簿1]Sheet1!$A$2</c:f>
              <c:strCache>
                <c:ptCount val="1"/>
                <c:pt idx="0">
                  <c:v>2018年</c:v>
                </c:pt>
              </c:strCache>
            </c:strRef>
          </c:tx>
          <c:spPr>
            <a:solidFill>
              <a:schemeClr val="accent1"/>
            </a:solidFill>
            <a:ln>
              <a:noFill/>
            </a:ln>
            <a:effectLst/>
          </c:spPr>
          <c:invertIfNegative val="0"/>
          <c:dLbls>
            <c:delete val="1"/>
          </c:dLbls>
          <c:cat>
            <c:strRef>
              <c:f>[工作簿1]Sheet1!$B$1:$C$1</c:f>
              <c:strCache>
                <c:ptCount val="2"/>
                <c:pt idx="0">
                  <c:v>收入</c:v>
                </c:pt>
                <c:pt idx="1">
                  <c:v>支出</c:v>
                </c:pt>
              </c:strCache>
            </c:strRef>
          </c:cat>
          <c:val>
            <c:numRef>
              <c:f>[工作簿1]Sheet1!$B$2:$C$2</c:f>
              <c:numCache>
                <c:formatCode>General</c:formatCode>
                <c:ptCount val="2"/>
                <c:pt idx="0">
                  <c:v>416.02</c:v>
                </c:pt>
                <c:pt idx="1">
                  <c:v>416.02</c:v>
                </c:pt>
              </c:numCache>
            </c:numRef>
          </c:val>
        </c:ser>
        <c:ser>
          <c:idx val="1"/>
          <c:order val="1"/>
          <c:tx>
            <c:strRef>
              <c:f>[工作簿1]Sheet1!$A$3</c:f>
              <c:strCache>
                <c:ptCount val="1"/>
                <c:pt idx="0">
                  <c:v>2019年</c:v>
                </c:pt>
              </c:strCache>
            </c:strRef>
          </c:tx>
          <c:spPr>
            <a:solidFill>
              <a:schemeClr val="accent2"/>
            </a:solidFill>
            <a:ln>
              <a:noFill/>
            </a:ln>
            <a:effectLst/>
          </c:spPr>
          <c:invertIfNegative val="0"/>
          <c:dLbls>
            <c:delete val="1"/>
          </c:dLbls>
          <c:cat>
            <c:strRef>
              <c:f>[工作簿1]Sheet1!$B$1:$C$1</c:f>
              <c:strCache>
                <c:ptCount val="2"/>
                <c:pt idx="0">
                  <c:v>收入</c:v>
                </c:pt>
                <c:pt idx="1">
                  <c:v>支出</c:v>
                </c:pt>
              </c:strCache>
            </c:strRef>
          </c:cat>
          <c:val>
            <c:numRef>
              <c:f>[工作簿1]Sheet1!$B$3:$C$3</c:f>
              <c:numCache>
                <c:formatCode>General</c:formatCode>
                <c:ptCount val="2"/>
                <c:pt idx="0">
                  <c:v>465.22</c:v>
                </c:pt>
                <c:pt idx="1">
                  <c:v>465.22</c:v>
                </c:pt>
              </c:numCache>
            </c:numRef>
          </c:val>
        </c:ser>
        <c:dLbls>
          <c:showLegendKey val="0"/>
          <c:showVal val="0"/>
          <c:showCatName val="0"/>
          <c:showSerName val="0"/>
          <c:showPercent val="0"/>
          <c:showBubbleSize val="0"/>
        </c:dLbls>
        <c:gapWidth val="219"/>
        <c:overlap val="-27"/>
        <c:axId val="408008112"/>
        <c:axId val="408006992"/>
      </c:barChart>
      <c:catAx>
        <c:axId val="40800811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8006992"/>
        <c:crosses val="autoZero"/>
        <c:auto val="1"/>
        <c:lblAlgn val="ctr"/>
        <c:lblOffset val="100"/>
        <c:noMultiLvlLbl val="0"/>
      </c:catAx>
      <c:valAx>
        <c:axId val="40800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80081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749bc6e-341a-4ba7-8612-a9a83fc0d19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6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收入决算结构图</a:t>
            </a:r>
            <a:endParaRPr lang="zh-CN" altLang="en-US"/>
          </a:p>
        </c:rich>
      </c:tx>
      <c:layout>
        <c:manualLayout>
          <c:xMode val="edge"/>
          <c:yMode val="edge"/>
          <c:x val="0.396966457303221"/>
          <c:y val="0.0282752120640905"/>
        </c:manualLayout>
      </c:layout>
      <c:overlay val="0"/>
      <c:spPr>
        <a:noFill/>
        <a:ln>
          <a:noFill/>
        </a:ln>
        <a:effectLst/>
      </c:spPr>
    </c:title>
    <c:autoTitleDeleted val="0"/>
    <c:plotArea>
      <c:layout>
        <c:manualLayout>
          <c:layoutTarget val="inner"/>
          <c:xMode val="edge"/>
          <c:yMode val="edge"/>
          <c:x val="0.298142456234131"/>
          <c:y val="0.200134669686756"/>
          <c:w val="0.401309635173059"/>
          <c:h val="0.66971454058876"/>
        </c:manualLayout>
      </c:layout>
      <c:pieChart>
        <c:varyColors val="1"/>
        <c:ser>
          <c:idx val="0"/>
          <c:order val="0"/>
          <c:spPr>
            <a:solidFill>
              <a:srgbClr val="1E2223"/>
            </a:solidFill>
            <a:ln w="19050" cap="rnd" cmpd="sng">
              <a:solidFill>
                <a:schemeClr val="tx1">
                  <a:lumMod val="65000"/>
                  <a:lumOff val="35000"/>
                </a:schemeClr>
              </a:solidFill>
              <a:prstDash val="solid"/>
              <a:round/>
            </a:ln>
            <a:effectLst/>
          </c:spPr>
          <c:explosion val="0"/>
          <c:dPt>
            <c:idx val="0"/>
            <c:bubble3D val="0"/>
            <c:spPr>
              <a:solidFill>
                <a:srgbClr val="6CB4FA"/>
              </a:solidFill>
              <a:ln w="19050" cap="rnd" cmpd="sng">
                <a:solidFill>
                  <a:schemeClr val="tx1">
                    <a:lumMod val="65000"/>
                    <a:lumOff val="35000"/>
                  </a:schemeClr>
                </a:solidFill>
                <a:prstDash val="solid"/>
                <a:round/>
              </a:ln>
              <a:effectLst/>
            </c:spPr>
          </c:dPt>
          <c:dPt>
            <c:idx val="1"/>
            <c:bubble3D val="0"/>
            <c:spPr>
              <a:solidFill>
                <a:srgbClr val="BBFCEE"/>
              </a:solidFill>
              <a:ln w="19050" cap="rnd" cmpd="sng">
                <a:solidFill>
                  <a:schemeClr val="tx1">
                    <a:lumMod val="65000"/>
                    <a:lumOff val="35000"/>
                  </a:schemeClr>
                </a:solidFill>
                <a:prstDash val="solid"/>
                <a:round/>
              </a:ln>
              <a:effectLst/>
            </c:spPr>
          </c:dPt>
          <c:dLbls>
            <c:dLbl>
              <c:idx val="0"/>
              <c:layout/>
              <c:numFmt formatCode="General" sourceLinked="1"/>
              <c:spPr>
                <a:solidFill>
                  <a:srgbClr val="6CB4FA"/>
                </a:solidFill>
                <a:ln>
                  <a:solidFill>
                    <a:schemeClr val="tx1">
                      <a:lumMod val="65000"/>
                      <a:lumOff val="35000"/>
                    </a:schemeClr>
                  </a:solid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0"/>
              <c:showSerName val="0"/>
              <c:showPercent val="1"/>
              <c:showBubbleSize val="0"/>
              <c:extLst>
                <c:ext xmlns:c15="http://schemas.microsoft.com/office/drawing/2012/chart" uri="{CE6537A1-D6FC-4f65-9D91-7224C49458BB}"/>
              </c:extLst>
            </c:dLbl>
            <c:dLbl>
              <c:idx val="1"/>
              <c:layout/>
              <c:numFmt formatCode="General" sourceLinked="1"/>
              <c:spPr>
                <a:solidFill>
                  <a:srgbClr val="79EFD3"/>
                </a:solidFill>
                <a:ln>
                  <a:solidFill>
                    <a:schemeClr val="tx1">
                      <a:lumMod val="65000"/>
                      <a:lumOff val="35000"/>
                    </a:schemeClr>
                  </a:solid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0"/>
              <c:showSerName val="0"/>
              <c:showPercent val="1"/>
              <c:showBubbleSize val="0"/>
              <c:extLst>
                <c:ext xmlns:c15="http://schemas.microsoft.com/office/drawing/2012/chart" uri="{CE6537A1-D6FC-4f65-9D91-7224C49458BB}"/>
              </c:extLst>
            </c:dLbl>
            <c:spPr>
              <a:solidFill>
                <a:srgbClr val="FFD588"/>
              </a:solidFill>
              <a:ln>
                <a:solidFill>
                  <a:schemeClr val="tx1">
                    <a:lumMod val="65000"/>
                    <a:lumOff val="35000"/>
                  </a:schemeClr>
                </a:solid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[工作簿1]Sheet1!$E$4:$E$5</c:f>
              <c:strCache>
                <c:ptCount val="2"/>
                <c:pt idx="0">
                  <c:v>一般公共预算财政拨款收入</c:v>
                </c:pt>
                <c:pt idx="1">
                  <c:v>其他收入</c:v>
                </c:pt>
              </c:strCache>
            </c:strRef>
          </c:cat>
          <c:val>
            <c:numRef>
              <c:f>[工作簿1]Sheet1!$F$4:$F$5</c:f>
              <c:numCache>
                <c:formatCode>General</c:formatCode>
                <c:ptCount val="2"/>
                <c:pt idx="0">
                  <c:v>409.23</c:v>
                </c:pt>
                <c:pt idx="1">
                  <c:v>56</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844566318826611"/>
          <c:y val="0.296649108020789"/>
          <c:w val="0.0974115606924251"/>
          <c:h val="0.451567635903919"/>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9c08dce7-8259-4d02-b86d-ca265141b3e6}"/>
      </c:ext>
    </c:extLst>
  </c:chart>
  <c:spPr>
    <a:blipFill rotWithShape="1">
      <a:blip xmlns:r="http://schemas.openxmlformats.org/officeDocument/2006/relationships" r:embed="rId3"/>
      <a:stretch>
        <a:fillRect/>
      </a:stretch>
    </a:blipFill>
    <a:ln w="9525" cap="flat" cmpd="sng" algn="ctr">
      <a:no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6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支出决算结构图</a:t>
            </a:r>
            <a:endParaRPr lang="zh-CN" altLang="en-US"/>
          </a:p>
        </c:rich>
      </c:tx>
      <c:layout>
        <c:manualLayout>
          <c:xMode val="edge"/>
          <c:yMode val="edge"/>
          <c:x val="0.396966457303221"/>
          <c:y val="0.0282752120640905"/>
        </c:manualLayout>
      </c:layout>
      <c:overlay val="0"/>
      <c:spPr>
        <a:noFill/>
        <a:ln>
          <a:noFill/>
        </a:ln>
        <a:effectLst/>
      </c:spPr>
    </c:title>
    <c:autoTitleDeleted val="0"/>
    <c:plotArea>
      <c:layout>
        <c:manualLayout>
          <c:layoutTarget val="inner"/>
          <c:xMode val="edge"/>
          <c:yMode val="edge"/>
          <c:x val="0.298142456234131"/>
          <c:y val="0.200134669686756"/>
          <c:w val="0.401309635173059"/>
          <c:h val="0.66971454058876"/>
        </c:manualLayout>
      </c:layout>
      <c:pieChart>
        <c:varyColors val="1"/>
        <c:ser>
          <c:idx val="0"/>
          <c:order val="0"/>
          <c:spPr>
            <a:solidFill>
              <a:srgbClr val="1E2223"/>
            </a:solidFill>
            <a:ln w="19050" cap="rnd" cmpd="sng">
              <a:solidFill>
                <a:schemeClr val="tx1">
                  <a:lumMod val="65000"/>
                  <a:lumOff val="35000"/>
                </a:schemeClr>
              </a:solidFill>
              <a:prstDash val="solid"/>
              <a:round/>
            </a:ln>
            <a:effectLst/>
          </c:spPr>
          <c:explosion val="0"/>
          <c:dPt>
            <c:idx val="0"/>
            <c:bubble3D val="0"/>
            <c:spPr>
              <a:solidFill>
                <a:srgbClr val="6CB4FA"/>
              </a:solidFill>
              <a:ln w="19050" cap="rnd" cmpd="sng">
                <a:solidFill>
                  <a:schemeClr val="tx1">
                    <a:lumMod val="65000"/>
                    <a:lumOff val="35000"/>
                  </a:schemeClr>
                </a:solidFill>
                <a:prstDash val="solid"/>
                <a:round/>
              </a:ln>
              <a:effectLst/>
            </c:spPr>
          </c:dPt>
          <c:dPt>
            <c:idx val="1"/>
            <c:bubble3D val="0"/>
            <c:spPr>
              <a:solidFill>
                <a:srgbClr val="BBFCEE"/>
              </a:solidFill>
              <a:ln w="19050" cap="rnd" cmpd="sng">
                <a:solidFill>
                  <a:schemeClr val="tx1">
                    <a:lumMod val="65000"/>
                    <a:lumOff val="35000"/>
                  </a:schemeClr>
                </a:solidFill>
                <a:prstDash val="solid"/>
                <a:round/>
              </a:ln>
              <a:effectLst/>
            </c:spPr>
          </c:dPt>
          <c:dLbls>
            <c:dLbl>
              <c:idx val="0"/>
              <c:layout/>
              <c:numFmt formatCode="General" sourceLinked="1"/>
              <c:spPr>
                <a:solidFill>
                  <a:srgbClr val="6CB4FA"/>
                </a:solidFill>
                <a:ln>
                  <a:solidFill>
                    <a:schemeClr val="tx1">
                      <a:lumMod val="65000"/>
                      <a:lumOff val="35000"/>
                    </a:schemeClr>
                  </a:solid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0"/>
              <c:showSerName val="0"/>
              <c:showPercent val="1"/>
              <c:showBubbleSize val="0"/>
              <c:extLst>
                <c:ext xmlns:c15="http://schemas.microsoft.com/office/drawing/2012/chart" uri="{CE6537A1-D6FC-4f65-9D91-7224C49458BB}"/>
              </c:extLst>
            </c:dLbl>
            <c:dLbl>
              <c:idx val="1"/>
              <c:layout/>
              <c:numFmt formatCode="General" sourceLinked="1"/>
              <c:spPr>
                <a:solidFill>
                  <a:srgbClr val="79EFD3"/>
                </a:solidFill>
                <a:ln>
                  <a:solidFill>
                    <a:schemeClr val="tx1">
                      <a:lumMod val="65000"/>
                      <a:lumOff val="35000"/>
                    </a:schemeClr>
                  </a:solid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0"/>
              <c:showSerName val="0"/>
              <c:showPercent val="1"/>
              <c:showBubbleSize val="0"/>
              <c:extLst>
                <c:ext xmlns:c15="http://schemas.microsoft.com/office/drawing/2012/chart" uri="{CE6537A1-D6FC-4f65-9D91-7224C49458BB}"/>
              </c:extLst>
            </c:dLbl>
            <c:spPr>
              <a:solidFill>
                <a:srgbClr val="FFD588"/>
              </a:solidFill>
              <a:ln>
                <a:solidFill>
                  <a:schemeClr val="tx1">
                    <a:lumMod val="65000"/>
                    <a:lumOff val="35000"/>
                  </a:schemeClr>
                </a:solid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[工作簿1]Sheet1!$E$4:$E$5</c:f>
              <c:strCache>
                <c:ptCount val="2"/>
                <c:pt idx="0">
                  <c:v>基本支出</c:v>
                </c:pt>
                <c:pt idx="1">
                  <c:v>项目支出</c:v>
                </c:pt>
              </c:strCache>
            </c:strRef>
          </c:cat>
          <c:val>
            <c:numRef>
              <c:f>[工作簿1]Sheet1!$F$4:$F$5</c:f>
              <c:numCache>
                <c:formatCode>General</c:formatCode>
                <c:ptCount val="2"/>
                <c:pt idx="0">
                  <c:v>325.23</c:v>
                </c:pt>
                <c:pt idx="1">
                  <c:v>43.02</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844566318826611"/>
          <c:y val="0.296649108020789"/>
          <c:w val="0.0974115606924251"/>
          <c:h val="0.451567635903919"/>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6b20d33a-a432-4d93-a948-a7499a085973}"/>
      </c:ext>
    </c:extLst>
  </c:chart>
  <c:spPr>
    <a:blipFill rotWithShape="1">
      <a:blip xmlns:r="http://schemas.openxmlformats.org/officeDocument/2006/relationships" r:embed="rId3"/>
      <a:stretch>
        <a:fillRect/>
      </a:stretch>
    </a:blipFill>
    <a:ln w="9525" cap="flat" cmpd="sng" algn="ctr">
      <a:noFill/>
      <a:round/>
    </a:ln>
    <a:effectLst>
      <a:outerShdw blurRad="63500" dist="37357" dir="2700000" sx="0" sy="0" rotWithShape="0">
        <a:scrgbClr r="0" g="0" b="0"/>
      </a:outerShdw>
    </a:effectLst>
  </c:spPr>
  <c:txPr>
    <a:bodyPr/>
    <a:lstStyle/>
    <a:p>
      <a:pPr>
        <a:defRPr lang="zh-CN">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政拨款收、支决算总计变动情况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[工作簿1]Sheet2!$A$2</c:f>
              <c:strCache>
                <c:ptCount val="1"/>
                <c:pt idx="0">
                  <c:v>2018年</c:v>
                </c:pt>
              </c:strCache>
            </c:strRef>
          </c:tx>
          <c:spPr>
            <a:solidFill>
              <a:schemeClr val="accent1"/>
            </a:solidFill>
            <a:ln>
              <a:noFill/>
            </a:ln>
            <a:effectLst/>
          </c:spPr>
          <c:invertIfNegative val="0"/>
          <c:dLbls>
            <c:delete val="1"/>
          </c:dLbls>
          <c:cat>
            <c:strRef>
              <c:f>[工作簿1]Sheet2!$B$1:$C$1</c:f>
              <c:strCache>
                <c:ptCount val="2"/>
                <c:pt idx="0">
                  <c:v>收入</c:v>
                </c:pt>
                <c:pt idx="1">
                  <c:v>支出</c:v>
                </c:pt>
              </c:strCache>
            </c:strRef>
          </c:cat>
          <c:val>
            <c:numRef>
              <c:f>[工作簿1]Sheet2!$B$2:$C$2</c:f>
              <c:numCache>
                <c:formatCode>General</c:formatCode>
                <c:ptCount val="2"/>
                <c:pt idx="0">
                  <c:v>416.02</c:v>
                </c:pt>
                <c:pt idx="1">
                  <c:v>416.02</c:v>
                </c:pt>
              </c:numCache>
            </c:numRef>
          </c:val>
        </c:ser>
        <c:ser>
          <c:idx val="1"/>
          <c:order val="1"/>
          <c:tx>
            <c:strRef>
              <c:f>[工作簿1]Sheet2!$A$3</c:f>
              <c:strCache>
                <c:ptCount val="1"/>
                <c:pt idx="0">
                  <c:v>2019年</c:v>
                </c:pt>
              </c:strCache>
            </c:strRef>
          </c:tx>
          <c:spPr>
            <a:solidFill>
              <a:schemeClr val="accent2"/>
            </a:solidFill>
            <a:ln>
              <a:noFill/>
            </a:ln>
            <a:effectLst/>
          </c:spPr>
          <c:invertIfNegative val="0"/>
          <c:dLbls>
            <c:delete val="1"/>
          </c:dLbls>
          <c:cat>
            <c:strRef>
              <c:f>[工作簿1]Sheet2!$B$1:$C$1</c:f>
              <c:strCache>
                <c:ptCount val="2"/>
                <c:pt idx="0">
                  <c:v>收入</c:v>
                </c:pt>
                <c:pt idx="1">
                  <c:v>支出</c:v>
                </c:pt>
              </c:strCache>
            </c:strRef>
          </c:cat>
          <c:val>
            <c:numRef>
              <c:f>[工作簿1]Sheet2!$B$3:$C$3</c:f>
              <c:numCache>
                <c:formatCode>General</c:formatCode>
                <c:ptCount val="2"/>
                <c:pt idx="0">
                  <c:v>465.23</c:v>
                </c:pt>
                <c:pt idx="1">
                  <c:v>465.23</c:v>
                </c:pt>
              </c:numCache>
            </c:numRef>
          </c:val>
        </c:ser>
        <c:dLbls>
          <c:showLegendKey val="0"/>
          <c:showVal val="0"/>
          <c:showCatName val="0"/>
          <c:showSerName val="0"/>
          <c:showPercent val="0"/>
          <c:showBubbleSize val="0"/>
        </c:dLbls>
        <c:gapWidth val="219"/>
        <c:overlap val="-27"/>
        <c:axId val="412621456"/>
        <c:axId val="412633216"/>
      </c:barChart>
      <c:catAx>
        <c:axId val="41262145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633216"/>
        <c:crosses val="autoZero"/>
        <c:auto val="1"/>
        <c:lblAlgn val="ctr"/>
        <c:lblOffset val="100"/>
        <c:noMultiLvlLbl val="0"/>
      </c:catAx>
      <c:valAx>
        <c:axId val="41263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621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fa2fc19-b3e1-4789-b9fa-b8eaed219f1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一般公共预算财政拨款支出决算变动情况</a:t>
            </a:r>
            <a:endParaRPr lang="zh-CN" altLang="en-US"/>
          </a:p>
        </c:rich>
      </c:tx>
      <c:layout/>
      <c:overlay val="0"/>
      <c:spPr>
        <a:noFill/>
        <a:ln>
          <a:noFill/>
        </a:ln>
        <a:effectLst/>
      </c:spPr>
    </c:title>
    <c:autoTitleDeleted val="0"/>
    <c:plotArea>
      <c:layout>
        <c:manualLayout>
          <c:layoutTarget val="inner"/>
          <c:xMode val="edge"/>
          <c:yMode val="edge"/>
          <c:x val="0.0971666666666667"/>
          <c:y val="0.181828703703704"/>
          <c:w val="0.843805555555555"/>
          <c:h val="0.595115740740741"/>
        </c:manualLayout>
      </c:layout>
      <c:barChart>
        <c:barDir val="col"/>
        <c:grouping val="clustered"/>
        <c:varyColors val="0"/>
        <c:ser>
          <c:idx val="0"/>
          <c:order val="0"/>
          <c:spPr>
            <a:solidFill>
              <a:srgbClr val="566D7B"/>
            </a:solidFill>
            <a:ln>
              <a:noFill/>
            </a:ln>
            <a:effectLst/>
          </c:spPr>
          <c:invertIfNegative val="0"/>
          <c:dLbls>
            <c:delete val="1"/>
          </c:dLbls>
          <c:cat>
            <c:strRef>
              <c:f>[工作簿1]Sheet2!$A$2:$A$3</c:f>
              <c:strCache>
                <c:ptCount val="2"/>
                <c:pt idx="0">
                  <c:v>2018年</c:v>
                </c:pt>
                <c:pt idx="1">
                  <c:v>2019年</c:v>
                </c:pt>
              </c:strCache>
            </c:strRef>
          </c:cat>
          <c:val>
            <c:numRef>
              <c:f>[工作簿1]Sheet2!$B$2:$B$3</c:f>
              <c:numCache>
                <c:formatCode>General</c:formatCode>
                <c:ptCount val="2"/>
                <c:pt idx="0">
                  <c:v>305.98</c:v>
                </c:pt>
                <c:pt idx="1">
                  <c:v>409.23</c:v>
                </c:pt>
              </c:numCache>
            </c:numRef>
          </c:val>
        </c:ser>
        <c:dLbls>
          <c:showLegendKey val="0"/>
          <c:showVal val="0"/>
          <c:showCatName val="0"/>
          <c:showSerName val="0"/>
          <c:showPercent val="0"/>
          <c:showBubbleSize val="0"/>
        </c:dLbls>
        <c:gapWidth val="464"/>
        <c:overlap val="-27"/>
        <c:axId val="411059296"/>
        <c:axId val="411058736"/>
      </c:barChart>
      <c:catAx>
        <c:axId val="41105929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11058736"/>
        <c:crosses val="autoZero"/>
        <c:auto val="1"/>
        <c:lblAlgn val="ctr"/>
        <c:lblOffset val="100"/>
        <c:noMultiLvlLbl val="0"/>
      </c:catAx>
      <c:valAx>
        <c:axId val="4110587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11059296"/>
        <c:crosses val="autoZero"/>
        <c:crossBetween val="between"/>
      </c:valAx>
      <c:spPr>
        <a:solidFill>
          <a:srgbClr val="EDEEF2"/>
        </a:solid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4e332c0f-02dc-44ad-aa94-071f5fad825b}"/>
      </c:ext>
    </c:extLst>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一般公共预算财政拨款支出决算结构情况</a:t>
            </a:r>
            <a:endParaRPr lang="zh-CN" altLang="en-US"/>
          </a:p>
        </c:rich>
      </c:tx>
      <c:layout/>
      <c:overlay val="0"/>
      <c:spPr>
        <a:noFill/>
        <a:ln>
          <a:noFill/>
        </a:ln>
        <a:effectLst/>
      </c:spPr>
    </c:title>
    <c:autoTitleDeleted val="0"/>
    <c:plotArea>
      <c:layout/>
      <c:pieChart>
        <c:varyColors val="1"/>
        <c:ser>
          <c:idx val="0"/>
          <c:order val="0"/>
          <c:spPr>
            <a:ln w="19050">
              <a:noFill/>
            </a:ln>
          </c:spPr>
          <c:explosion val="0"/>
          <c:dPt>
            <c:idx val="0"/>
            <c:bubble3D val="0"/>
            <c:spPr>
              <a:gradFill>
                <a:gsLst>
                  <a:gs pos="38000">
                    <a:srgbClr val="5FABC2"/>
                  </a:gs>
                  <a:gs pos="74000">
                    <a:srgbClr val="4B6CAE"/>
                  </a:gs>
                  <a:gs pos="83000">
                    <a:srgbClr val="475AA7"/>
                  </a:gs>
                  <a:gs pos="100000">
                    <a:srgbClr val="573A89"/>
                  </a:gs>
                </a:gsLst>
                <a:path path="circle">
                  <a:fillToRect l="50000" t="50000" r="50000" b="50000"/>
                </a:path>
                <a:tileRect/>
              </a:gradFill>
              <a:ln w="19050">
                <a:noFill/>
              </a:ln>
              <a:effectLst>
                <a:outerShdw blurRad="50800" dist="38100" algn="l" rotWithShape="0">
                  <a:prstClr val="black">
                    <a:alpha val="40000"/>
                  </a:prstClr>
                </a:outerShdw>
              </a:effectLst>
            </c:spPr>
          </c:dPt>
          <c:dPt>
            <c:idx val="1"/>
            <c:bubble3D val="0"/>
            <c:explosion val="16"/>
            <c:spPr>
              <a:gradFill>
                <a:gsLst>
                  <a:gs pos="0">
                    <a:srgbClr val="FDC89E"/>
                  </a:gs>
                  <a:gs pos="74000">
                    <a:srgbClr val="F57E88"/>
                  </a:gs>
                  <a:gs pos="83000">
                    <a:srgbClr val="F1636F"/>
                  </a:gs>
                  <a:gs pos="100000">
                    <a:srgbClr val="F04B52"/>
                  </a:gs>
                </a:gsLst>
                <a:path path="circle">
                  <a:fillToRect l="50000" t="50000" r="50000" b="50000"/>
                </a:path>
                <a:tileRect/>
              </a:gradFill>
              <a:ln w="19050">
                <a:noFill/>
              </a:ln>
              <a:effectLst>
                <a:outerShdw blurRad="50800" dist="38100" dir="10800000" algn="r" rotWithShape="0">
                  <a:prstClr val="black">
                    <a:alpha val="40000"/>
                  </a:prstClr>
                </a:outerShdw>
              </a:effectLst>
            </c:spPr>
          </c:dPt>
          <c:dPt>
            <c:idx val="2"/>
            <c:bubble3D val="0"/>
            <c:explosion val="29"/>
            <c:spPr>
              <a:gradFill>
                <a:gsLst>
                  <a:gs pos="0">
                    <a:srgbClr val="FEBB15"/>
                  </a:gs>
                  <a:gs pos="74000">
                    <a:srgbClr val="F99D20"/>
                  </a:gs>
                  <a:gs pos="83000">
                    <a:srgbClr val="F8931D"/>
                  </a:gs>
                  <a:gs pos="100000">
                    <a:srgbClr val="F47920"/>
                  </a:gs>
                </a:gsLst>
                <a:path path="circle">
                  <a:fillToRect l="50000" t="50000" r="50000" b="50000"/>
                </a:path>
                <a:tileRect/>
              </a:gradFill>
              <a:ln w="19050">
                <a:noFill/>
              </a:ln>
              <a:effectLst>
                <a:outerShdw blurRad="50800" dist="38100" dir="13500000" algn="br" rotWithShape="0">
                  <a:prstClr val="black">
                    <a:alpha val="40000"/>
                  </a:prstClr>
                </a:outerShdw>
              </a:effectLst>
            </c:spPr>
          </c:dPt>
          <c:dPt>
            <c:idx val="3"/>
            <c:bubble3D val="0"/>
            <c:explosion val="8"/>
            <c:spPr>
              <a:gradFill>
                <a:gsLst>
                  <a:gs pos="5000">
                    <a:srgbClr val="BDCA98"/>
                  </a:gs>
                  <a:gs pos="74000">
                    <a:srgbClr val="91C3A9"/>
                  </a:gs>
                  <a:gs pos="83000">
                    <a:srgbClr val="BCCA99"/>
                  </a:gs>
                  <a:gs pos="100000">
                    <a:srgbClr val="DCD095"/>
                  </a:gs>
                </a:gsLst>
                <a:path path="circle">
                  <a:fillToRect l="50000" t="50000" r="50000" b="50000"/>
                </a:path>
                <a:tileRect/>
              </a:gradFill>
              <a:ln w="19050">
                <a:noFill/>
              </a:ln>
              <a:effectLst>
                <a:outerShdw blurRad="50800" dist="38100" dir="13500000" algn="br" rotWithShape="0">
                  <a:prstClr val="black">
                    <a:alpha val="40000"/>
                  </a:prstClr>
                </a:outerShdw>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[工作簿1]Sheet2!$A$1:$A$4</c:f>
              <c:strCache>
                <c:ptCount val="4"/>
                <c:pt idx="0">
                  <c:v>一般公共服务支出</c:v>
                </c:pt>
                <c:pt idx="1">
                  <c:v>社会保障和就业支出</c:v>
                </c:pt>
                <c:pt idx="2">
                  <c:v>卫生健康支出</c:v>
                </c:pt>
                <c:pt idx="3">
                  <c:v>住房保障支出</c:v>
                </c:pt>
              </c:strCache>
            </c:strRef>
          </c:cat>
          <c:val>
            <c:numRef>
              <c:f>[工作簿1]Sheet2!$B$1:$B$4</c:f>
              <c:numCache>
                <c:formatCode>General</c:formatCode>
                <c:ptCount val="4"/>
                <c:pt idx="0">
                  <c:v>303.79</c:v>
                </c:pt>
                <c:pt idx="1">
                  <c:v>23.81</c:v>
                </c:pt>
                <c:pt idx="2">
                  <c:v>17.74</c:v>
                </c:pt>
                <c:pt idx="3">
                  <c:v>22.9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542b3a10-9c06-4cc7-8c80-2b54ad0ec082}"/>
      </c:ext>
    </c:extLst>
  </c:chart>
  <c:spPr>
    <a:solidFill>
      <a:srgbClr val="EEEFF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“三公”经费财政拨款支出结构</a:t>
            </a:r>
            <a:endParaRPr lang="zh-CN" altLang="en-US"/>
          </a:p>
        </c:rich>
      </c:tx>
      <c:layout/>
      <c:overlay val="0"/>
      <c:spPr>
        <a:noFill/>
        <a:ln>
          <a:noFill/>
        </a:ln>
        <a:effectLst/>
      </c:spPr>
    </c:title>
    <c:autoTitleDeleted val="0"/>
    <c:plotArea>
      <c:layout/>
      <c:pieChart>
        <c:varyColors val="1"/>
        <c:ser>
          <c:idx val="0"/>
          <c:order val="0"/>
          <c:spPr>
            <a:ln w="19050">
              <a:noFill/>
            </a:ln>
          </c:spPr>
          <c:explosion val="0"/>
          <c:dPt>
            <c:idx val="0"/>
            <c:bubble3D val="0"/>
            <c:spPr>
              <a:gradFill>
                <a:gsLst>
                  <a:gs pos="38000">
                    <a:srgbClr val="5FABC2"/>
                  </a:gs>
                  <a:gs pos="74000">
                    <a:srgbClr val="4B6CAE"/>
                  </a:gs>
                  <a:gs pos="83000">
                    <a:srgbClr val="475AA7"/>
                  </a:gs>
                  <a:gs pos="100000">
                    <a:srgbClr val="573A89"/>
                  </a:gs>
                </a:gsLst>
                <a:path path="circle">
                  <a:fillToRect l="50000" t="50000" r="50000" b="50000"/>
                </a:path>
                <a:tileRect/>
              </a:gradFill>
              <a:ln w="19050">
                <a:noFill/>
              </a:ln>
              <a:effectLst>
                <a:outerShdw blurRad="50800" dist="38100" algn="l" rotWithShape="0">
                  <a:prstClr val="black">
                    <a:alpha val="40000"/>
                  </a:prstClr>
                </a:outerShdw>
              </a:effectLst>
            </c:spPr>
          </c:dPt>
          <c:dPt>
            <c:idx val="1"/>
            <c:bubble3D val="0"/>
            <c:explosion val="16"/>
            <c:spPr>
              <a:gradFill>
                <a:gsLst>
                  <a:gs pos="0">
                    <a:srgbClr val="FDC89E"/>
                  </a:gs>
                  <a:gs pos="74000">
                    <a:srgbClr val="F57E88"/>
                  </a:gs>
                  <a:gs pos="83000">
                    <a:srgbClr val="F1636F"/>
                  </a:gs>
                  <a:gs pos="100000">
                    <a:srgbClr val="F04B52"/>
                  </a:gs>
                </a:gsLst>
                <a:path path="circle">
                  <a:fillToRect l="50000" t="50000" r="50000" b="50000"/>
                </a:path>
                <a:tileRect/>
              </a:gradFill>
              <a:ln w="19050">
                <a:noFill/>
              </a:ln>
              <a:effectLst>
                <a:outerShdw blurRad="50800" dist="38100" dir="10800000" algn="r" rotWithShape="0">
                  <a:prstClr val="black">
                    <a:alpha val="40000"/>
                  </a:prstClr>
                </a:outerShdw>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[工作簿1]Sheet2!$A$1:$A$2</c:f>
              <c:strCache>
                <c:ptCount val="2"/>
                <c:pt idx="0">
                  <c:v>公务用车购置及运行维护费支出决算</c:v>
                </c:pt>
                <c:pt idx="1">
                  <c:v>公务接待费支出决算</c:v>
                </c:pt>
              </c:strCache>
            </c:strRef>
          </c:cat>
          <c:val>
            <c:numRef>
              <c:f>[工作簿1]Sheet2!$B$1:$B$2</c:f>
              <c:numCache>
                <c:formatCode>General</c:formatCode>
                <c:ptCount val="2"/>
                <c:pt idx="0">
                  <c:v>10.8</c:v>
                </c:pt>
                <c:pt idx="1">
                  <c:v>0.03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b6ed0bdc-edbc-42fe-94b1-1e104fdaaf0d}"/>
      </c:ext>
    </c:extLst>
  </c:chart>
  <c:spPr>
    <a:solidFill>
      <a:srgbClr val="EEEFF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00D8C6-0D52-4E68-BDCA-4A56A20585D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35</Pages>
  <Words>12057</Words>
  <Characters>12633</Characters>
  <Lines>133</Lines>
  <Paragraphs>37</Paragraphs>
  <TotalTime>190</TotalTime>
  <ScaleCrop>false</ScaleCrop>
  <LinksUpToDate>false</LinksUpToDate>
  <CharactersWithSpaces>12712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寓言</cp:lastModifiedBy>
  <cp:lastPrinted>2020-07-23T02:58:00Z</cp:lastPrinted>
  <dcterms:modified xsi:type="dcterms:W3CDTF">2026-04-17T06:41:20Z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eyJoZGlkIjoiZTZjNmZmYTI3NWQ4MTljZTk1MGVmODM2Y2Y5Mjg1NGMiLCJ1c2VySWQiOiIzMjE2Nzg5MjAifQ==</vt:lpwstr>
  </property>
  <property fmtid="{D5CDD505-2E9C-101B-9397-08002B2CF9AE}" pid="4" name="ICV">
    <vt:lpwstr>90B65E813F674480BAE63C04563D9F0D_12</vt:lpwstr>
  </property>
</Properties>
</file>