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F3C10">
      <w:pPr>
        <w:spacing w:line="600" w:lineRule="exact"/>
        <w:jc w:val="both"/>
        <w:outlineLvl w:val="0"/>
        <w:rPr>
          <w:rFonts w:ascii="方正小标宋简体" w:hAnsi="宋体" w:eastAsia="方正小标宋简体"/>
          <w:color w:val="000000"/>
          <w:sz w:val="72"/>
          <w:szCs w:val="72"/>
        </w:rPr>
      </w:pPr>
      <w:bookmarkStart w:id="0" w:name="_Toc15306267"/>
    </w:p>
    <w:p w14:paraId="27774C35">
      <w:pPr>
        <w:spacing w:line="600" w:lineRule="exact"/>
        <w:jc w:val="center"/>
        <w:outlineLvl w:val="0"/>
        <w:rPr>
          <w:rFonts w:ascii="方正小标宋简体" w:hAnsi="宋体" w:eastAsia="方正小标宋简体"/>
          <w:color w:val="000000"/>
          <w:sz w:val="72"/>
          <w:szCs w:val="72"/>
        </w:rPr>
      </w:pPr>
    </w:p>
    <w:p w14:paraId="59F7D8B0">
      <w:pPr>
        <w:spacing w:line="600" w:lineRule="exact"/>
        <w:jc w:val="center"/>
        <w:outlineLvl w:val="0"/>
        <w:rPr>
          <w:rFonts w:ascii="方正小标宋简体" w:hAnsi="宋体" w:eastAsia="方正小标宋简体"/>
          <w:color w:val="000000"/>
          <w:sz w:val="72"/>
          <w:szCs w:val="72"/>
        </w:rPr>
      </w:pPr>
    </w:p>
    <w:p w14:paraId="0AD04FD5">
      <w:pPr>
        <w:jc w:val="center"/>
        <w:rPr>
          <w:rFonts w:ascii="黑体" w:hAnsi="黑体" w:eastAsia="黑体"/>
          <w:sz w:val="72"/>
          <w:szCs w:val="72"/>
        </w:rPr>
      </w:pPr>
      <w:bookmarkStart w:id="1" w:name="_Toc15396597"/>
      <w:bookmarkStart w:id="2" w:name="_Toc15377425"/>
      <w:bookmarkStart w:id="3" w:name="_Toc15396475"/>
      <w:bookmarkStart w:id="4" w:name="_Toc15377193"/>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0C82DCD2">
      <w:pPr>
        <w:jc w:val="center"/>
        <w:rPr>
          <w:rFonts w:ascii="方正小标宋简体" w:eastAsia="方正小标宋简体"/>
          <w:sz w:val="72"/>
          <w:szCs w:val="72"/>
        </w:rPr>
      </w:pPr>
      <w:bookmarkStart w:id="6" w:name="_Toc15378442"/>
      <w:bookmarkStart w:id="7" w:name="_Toc15377426"/>
      <w:bookmarkStart w:id="8" w:name="_Toc15396476"/>
      <w:bookmarkStart w:id="9" w:name="_Toc15396598"/>
      <w:bookmarkStart w:id="10" w:name="_Toc15377194"/>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九寨沟县委统战部</w:t>
      </w:r>
      <w:r>
        <w:rPr>
          <w:rFonts w:hint="eastAsia" w:ascii="方正小标宋简体" w:eastAsia="方正小标宋简体"/>
          <w:sz w:val="72"/>
          <w:szCs w:val="72"/>
        </w:rPr>
        <w:t>部门决算</w:t>
      </w:r>
      <w:bookmarkEnd w:id="6"/>
      <w:bookmarkEnd w:id="7"/>
      <w:bookmarkEnd w:id="8"/>
      <w:bookmarkEnd w:id="9"/>
      <w:bookmarkEnd w:id="10"/>
      <w:bookmarkEnd w:id="11"/>
    </w:p>
    <w:p w14:paraId="7B0BA865">
      <w:pPr>
        <w:widowControl/>
        <w:jc w:val="center"/>
        <w:rPr>
          <w:rFonts w:ascii="方正小标宋简体" w:hAnsi="宋体" w:eastAsia="方正小标宋简体"/>
          <w:color w:val="000000"/>
          <w:sz w:val="36"/>
          <w:szCs w:val="36"/>
        </w:rPr>
      </w:pPr>
    </w:p>
    <w:p w14:paraId="0E600A21">
      <w:pPr>
        <w:rPr>
          <w:rFonts w:ascii="方正小标宋简体" w:hAnsi="宋体" w:eastAsia="方正小标宋简体"/>
          <w:sz w:val="36"/>
          <w:szCs w:val="36"/>
        </w:rPr>
      </w:pPr>
    </w:p>
    <w:p w14:paraId="4AA89E95">
      <w:pPr>
        <w:rPr>
          <w:rFonts w:ascii="方正小标宋简体" w:hAnsi="宋体" w:eastAsia="方正小标宋简体"/>
          <w:sz w:val="36"/>
          <w:szCs w:val="36"/>
        </w:rPr>
      </w:pPr>
    </w:p>
    <w:p w14:paraId="2846756F">
      <w:pPr>
        <w:rPr>
          <w:rFonts w:ascii="方正小标宋简体" w:hAnsi="宋体" w:eastAsia="方正小标宋简体"/>
          <w:sz w:val="36"/>
          <w:szCs w:val="36"/>
        </w:rPr>
      </w:pPr>
    </w:p>
    <w:p w14:paraId="494FC5EA">
      <w:pPr>
        <w:rPr>
          <w:rFonts w:ascii="方正小标宋简体" w:hAnsi="宋体" w:eastAsia="方正小标宋简体"/>
          <w:sz w:val="36"/>
          <w:szCs w:val="36"/>
        </w:rPr>
      </w:pPr>
    </w:p>
    <w:p w14:paraId="01AA9A05">
      <w:pPr>
        <w:rPr>
          <w:rFonts w:ascii="方正小标宋简体" w:hAnsi="宋体" w:eastAsia="方正小标宋简体"/>
          <w:sz w:val="36"/>
          <w:szCs w:val="36"/>
        </w:rPr>
      </w:pPr>
    </w:p>
    <w:p w14:paraId="49FFCC39">
      <w:pPr>
        <w:rPr>
          <w:rFonts w:ascii="方正小标宋简体" w:hAnsi="宋体" w:eastAsia="方正小标宋简体"/>
          <w:sz w:val="36"/>
          <w:szCs w:val="36"/>
        </w:rPr>
      </w:pPr>
    </w:p>
    <w:p w14:paraId="778333FE">
      <w:pPr>
        <w:rPr>
          <w:rFonts w:ascii="方正小标宋简体" w:hAnsi="宋体" w:eastAsia="方正小标宋简体"/>
          <w:sz w:val="36"/>
          <w:szCs w:val="36"/>
        </w:rPr>
      </w:pPr>
    </w:p>
    <w:p w14:paraId="51B41839">
      <w:pPr>
        <w:rPr>
          <w:rFonts w:ascii="方正小标宋简体" w:hAnsi="宋体" w:eastAsia="方正小标宋简体"/>
          <w:sz w:val="36"/>
          <w:szCs w:val="36"/>
        </w:rPr>
      </w:pPr>
    </w:p>
    <w:p w14:paraId="6318B6A7">
      <w:pPr>
        <w:rPr>
          <w:rFonts w:ascii="方正小标宋简体" w:hAnsi="宋体" w:eastAsia="方正小标宋简体"/>
          <w:sz w:val="36"/>
          <w:szCs w:val="36"/>
        </w:rPr>
      </w:pPr>
    </w:p>
    <w:p w14:paraId="1C6FC377">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6E021A1A">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648F122A">
      <w:pPr>
        <w:widowControl/>
        <w:jc w:val="center"/>
        <w:rPr>
          <w:rFonts w:ascii="方正小标宋简体" w:hAnsi="宋体" w:eastAsia="方正小标宋简体"/>
          <w:color w:val="000000"/>
          <w:sz w:val="36"/>
          <w:szCs w:val="36"/>
        </w:rPr>
      </w:pPr>
    </w:p>
    <w:p w14:paraId="19C43AF6">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20E4A05">
      <w:pPr>
        <w:pStyle w:val="16"/>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9</w:t>
      </w:r>
      <w:r>
        <w:rPr>
          <w:rFonts w:hint="eastAsia" w:hAnsiTheme="minorHAnsi"/>
          <w:b w:val="0"/>
          <w:bCs w:val="0"/>
          <w:sz w:val="24"/>
          <w:szCs w:val="24"/>
        </w:rPr>
        <w:t>日</w:t>
      </w:r>
    </w:p>
    <w:p w14:paraId="168F5018">
      <w:pPr>
        <w:pStyle w:val="16"/>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14:paraId="5F8A0779">
      <w:pPr>
        <w:pStyle w:val="19"/>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14:paraId="15749118">
      <w:pPr>
        <w:pStyle w:val="11"/>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5</w:t>
      </w:r>
    </w:p>
    <w:p w14:paraId="39C50F61">
      <w:pPr>
        <w:pStyle w:val="11"/>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（二）2020年重点工作完成情况。</w:t>
      </w:r>
      <w:r>
        <w:tab/>
      </w:r>
      <w:r>
        <w:rPr>
          <w:rFonts w:hint="eastAsia"/>
          <w:lang w:val="en-US" w:eastAsia="zh-CN"/>
        </w:rPr>
        <w:t>8</w:t>
      </w:r>
    </w:p>
    <w:p w14:paraId="153F398B">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17</w:t>
      </w:r>
    </w:p>
    <w:p w14:paraId="57CF44B7">
      <w:pPr>
        <w:pStyle w:val="16"/>
        <w:tabs>
          <w:tab w:val="right" w:leader="dot" w:pos="8296"/>
        </w:tabs>
        <w:ind w:firstLine="200" w:firstLineChars="100"/>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18</w:t>
      </w:r>
    </w:p>
    <w:p w14:paraId="3489F27C">
      <w:pPr>
        <w:pStyle w:val="19"/>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18</w:t>
      </w:r>
      <w:r>
        <w:fldChar w:fldCharType="end"/>
      </w:r>
    </w:p>
    <w:p w14:paraId="5906F436">
      <w:pPr>
        <w:pStyle w:val="19"/>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18</w:t>
      </w:r>
      <w:r>
        <w:fldChar w:fldCharType="end"/>
      </w:r>
    </w:p>
    <w:p w14:paraId="75298C41">
      <w:pPr>
        <w:pStyle w:val="19"/>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18</w:t>
      </w:r>
      <w:r>
        <w:fldChar w:fldCharType="end"/>
      </w:r>
    </w:p>
    <w:p w14:paraId="7F48696F">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18</w:t>
      </w:r>
      <w:r>
        <w:fldChar w:fldCharType="end"/>
      </w:r>
    </w:p>
    <w:p w14:paraId="5BDB1170">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19</w:t>
      </w:r>
      <w:r>
        <w:fldChar w:fldCharType="end"/>
      </w:r>
    </w:p>
    <w:p w14:paraId="4F50A48D">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19</w:t>
      </w:r>
      <w:r>
        <w:fldChar w:fldCharType="end"/>
      </w:r>
    </w:p>
    <w:p w14:paraId="6401E243">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19</w:t>
      </w:r>
      <w:r>
        <w:fldChar w:fldCharType="end"/>
      </w:r>
    </w:p>
    <w:p w14:paraId="15E60F10">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19</w:t>
      </w:r>
      <w:r>
        <w:fldChar w:fldCharType="end"/>
      </w:r>
    </w:p>
    <w:p w14:paraId="091EC787">
      <w:pPr>
        <w:pStyle w:val="19"/>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20</w:t>
      </w:r>
      <w:r>
        <w:fldChar w:fldCharType="end"/>
      </w:r>
    </w:p>
    <w:p w14:paraId="773B6392">
      <w:pPr>
        <w:pStyle w:val="19"/>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21</w:t>
      </w:r>
      <w:r>
        <w:fldChar w:fldCharType="end"/>
      </w:r>
    </w:p>
    <w:p w14:paraId="376C162E">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21</w:t>
      </w:r>
      <w:r>
        <w:fldChar w:fldCharType="end"/>
      </w:r>
    </w:p>
    <w:p w14:paraId="0908E1C8">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21</w:t>
      </w:r>
      <w:r>
        <w:fldChar w:fldCharType="end"/>
      </w:r>
    </w:p>
    <w:p w14:paraId="09D4B7B8">
      <w:pPr>
        <w:pStyle w:val="19"/>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22</w:t>
      </w:r>
      <w:r>
        <w:fldChar w:fldCharType="end"/>
      </w:r>
    </w:p>
    <w:p w14:paraId="531F2362">
      <w:pPr>
        <w:pStyle w:val="19"/>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22</w:t>
      </w:r>
      <w:r>
        <w:fldChar w:fldCharType="end"/>
      </w:r>
    </w:p>
    <w:p w14:paraId="5EEB8B13">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22</w:t>
      </w:r>
      <w:r>
        <w:fldChar w:fldCharType="end"/>
      </w:r>
    </w:p>
    <w:p w14:paraId="2CE73307">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22</w:t>
      </w:r>
      <w:r>
        <w:fldChar w:fldCharType="end"/>
      </w:r>
    </w:p>
    <w:p w14:paraId="220B7638">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22</w:t>
      </w:r>
      <w:r>
        <w:fldChar w:fldCharType="end"/>
      </w:r>
    </w:p>
    <w:p w14:paraId="2A237CCE">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22</w:t>
      </w:r>
      <w:r>
        <w:fldChar w:fldCharType="end"/>
      </w:r>
    </w:p>
    <w:p w14:paraId="360B064F">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23</w:t>
      </w:r>
      <w:r>
        <w:fldChar w:fldCharType="end"/>
      </w:r>
    </w:p>
    <w:p w14:paraId="13A0B62A">
      <w:pPr>
        <w:pStyle w:val="16"/>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24</w:t>
      </w:r>
      <w:r>
        <w:fldChar w:fldCharType="end"/>
      </w:r>
    </w:p>
    <w:p w14:paraId="66E5D913">
      <w:pPr>
        <w:pStyle w:val="16"/>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29</w:t>
      </w:r>
      <w:r>
        <w:fldChar w:fldCharType="end"/>
      </w:r>
    </w:p>
    <w:p w14:paraId="4572265A">
      <w:pPr>
        <w:pStyle w:val="16"/>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29</w:t>
      </w:r>
      <w:r>
        <w:fldChar w:fldCharType="end"/>
      </w:r>
    </w:p>
    <w:p w14:paraId="52040812">
      <w:pPr>
        <w:pStyle w:val="16"/>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eastAsia="zh-CN"/>
        </w:rPr>
        <w:t>统战</w:t>
      </w:r>
      <w:r>
        <w:rPr>
          <w:rFonts w:ascii="方正小标宋简体" w:hAnsi="黑体" w:eastAsia="方正小标宋简体" w:cs="黑体"/>
        </w:rPr>
        <w:t>部2020年部门整体支出绩效评价报告</w:t>
      </w:r>
      <w:r>
        <w:tab/>
      </w:r>
      <w:r>
        <w:fldChar w:fldCharType="begin"/>
      </w:r>
      <w:r>
        <w:instrText xml:space="preserve"> PAGEREF _Toc79163882 \h </w:instrText>
      </w:r>
      <w:r>
        <w:fldChar w:fldCharType="separate"/>
      </w:r>
      <w:r>
        <w:t>29</w:t>
      </w:r>
      <w:r>
        <w:fldChar w:fldCharType="end"/>
      </w:r>
    </w:p>
    <w:p w14:paraId="28D5C674">
      <w:pPr>
        <w:pStyle w:val="16"/>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4</w:t>
      </w:r>
      <w:r>
        <w:rPr>
          <w:rFonts w:hint="eastAsia"/>
          <w:lang w:val="en-US" w:eastAsia="zh-CN"/>
        </w:rPr>
        <w:t>1</w:t>
      </w:r>
      <w:r>
        <w:fldChar w:fldCharType="end"/>
      </w:r>
    </w:p>
    <w:p w14:paraId="2CE383BB">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41</w:t>
      </w:r>
      <w:r>
        <w:fldChar w:fldCharType="end"/>
      </w:r>
    </w:p>
    <w:p w14:paraId="6A840F0F">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41</w:t>
      </w:r>
      <w:r>
        <w:fldChar w:fldCharType="end"/>
      </w:r>
    </w:p>
    <w:p w14:paraId="19DDADA4">
      <w:pPr>
        <w:pStyle w:val="19"/>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41</w:t>
      </w:r>
      <w:r>
        <w:fldChar w:fldCharType="end"/>
      </w:r>
    </w:p>
    <w:p w14:paraId="369B71F8">
      <w:pPr>
        <w:pStyle w:val="19"/>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41</w:t>
      </w:r>
      <w:r>
        <w:fldChar w:fldCharType="end"/>
      </w:r>
    </w:p>
    <w:p w14:paraId="07170EF3">
      <w:pPr>
        <w:pStyle w:val="19"/>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41</w:t>
      </w:r>
      <w:r>
        <w:fldChar w:fldCharType="end"/>
      </w:r>
    </w:p>
    <w:p w14:paraId="12508051">
      <w:pPr>
        <w:pStyle w:val="19"/>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41</w:t>
      </w:r>
      <w:r>
        <w:fldChar w:fldCharType="end"/>
      </w:r>
    </w:p>
    <w:p w14:paraId="11F1C87C">
      <w:pPr>
        <w:pStyle w:val="19"/>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41</w:t>
      </w:r>
      <w:r>
        <w:fldChar w:fldCharType="end"/>
      </w:r>
    </w:p>
    <w:p w14:paraId="1B2070DA">
      <w:pPr>
        <w:pStyle w:val="19"/>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41</w:t>
      </w:r>
      <w:r>
        <w:fldChar w:fldCharType="end"/>
      </w:r>
    </w:p>
    <w:p w14:paraId="073304C5">
      <w:pPr>
        <w:pStyle w:val="19"/>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41</w:t>
      </w:r>
      <w:r>
        <w:fldChar w:fldCharType="end"/>
      </w:r>
    </w:p>
    <w:p w14:paraId="264B04DB">
      <w:pPr>
        <w:pStyle w:val="19"/>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41</w:t>
      </w:r>
      <w:r>
        <w:fldChar w:fldCharType="end"/>
      </w:r>
    </w:p>
    <w:p w14:paraId="3AF0D974">
      <w:pPr>
        <w:pStyle w:val="19"/>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41</w:t>
      </w:r>
      <w:r>
        <w:fldChar w:fldCharType="end"/>
      </w:r>
    </w:p>
    <w:p w14:paraId="4C4FE613">
      <w:pPr>
        <w:pStyle w:val="19"/>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41</w:t>
      </w:r>
      <w:r>
        <w:fldChar w:fldCharType="end"/>
      </w:r>
    </w:p>
    <w:p w14:paraId="4D1410C5">
      <w:pPr>
        <w:pStyle w:val="19"/>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41</w:t>
      </w:r>
      <w:r>
        <w:fldChar w:fldCharType="end"/>
      </w:r>
    </w:p>
    <w:p w14:paraId="17569C91">
      <w:pPr>
        <w:pStyle w:val="19"/>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41</w:t>
      </w:r>
      <w:r>
        <w:fldChar w:fldCharType="end"/>
      </w:r>
    </w:p>
    <w:p w14:paraId="45850B71">
      <w:r>
        <w:rPr>
          <w:rFonts w:asciiTheme="minorHAnsi" w:eastAsiaTheme="minorHAnsi"/>
          <w:b/>
          <w:bCs/>
          <w:caps/>
          <w:sz w:val="20"/>
          <w:szCs w:val="20"/>
        </w:rPr>
        <w:fldChar w:fldCharType="end"/>
      </w:r>
    </w:p>
    <w:p w14:paraId="65DC0830">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156D5B42">
      <w:pPr>
        <w:pStyle w:val="3"/>
        <w:jc w:val="center"/>
        <w:rPr>
          <w:rStyle w:val="25"/>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14:paraId="3159ED04">
      <w:pPr>
        <w:widowControl/>
        <w:jc w:val="left"/>
        <w:rPr>
          <w:rFonts w:ascii="黑体" w:eastAsia="黑体"/>
          <w:color w:val="000000"/>
          <w:sz w:val="32"/>
          <w:szCs w:val="32"/>
        </w:rPr>
      </w:pPr>
    </w:p>
    <w:p w14:paraId="182C3132">
      <w:pPr>
        <w:pStyle w:val="4"/>
        <w:rPr>
          <w:rStyle w:val="26"/>
          <w:rFonts w:ascii="仿宋" w:hAnsi="仿宋" w:eastAsia="仿宋"/>
          <w:b w:val="0"/>
          <w:bCs w:val="0"/>
        </w:rPr>
      </w:pPr>
      <w:bookmarkStart w:id="16" w:name="_Toc79163602"/>
      <w:bookmarkStart w:id="17" w:name="_Toc15377197"/>
      <w:bookmarkStart w:id="18" w:name="_Toc15396600"/>
      <w:bookmarkStart w:id="19" w:name="_Toc7916385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14:paraId="2DAA1B47">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00D09B41">
      <w:pPr>
        <w:ind w:firstLine="800" w:firstLineChars="250"/>
        <w:rPr>
          <w:rFonts w:hint="eastAsia" w:ascii="仿宋" w:hAnsi="仿宋" w:eastAsia="仿宋"/>
          <w:sz w:val="32"/>
          <w:szCs w:val="32"/>
        </w:rPr>
      </w:pPr>
      <w:bookmarkStart w:id="24" w:name="_Toc2342"/>
      <w:r>
        <w:rPr>
          <w:rFonts w:hint="eastAsia" w:ascii="仿宋" w:hAnsi="仿宋" w:eastAsia="仿宋"/>
          <w:sz w:val="32"/>
          <w:szCs w:val="32"/>
          <w:lang w:val="en-US" w:eastAsia="zh-CN"/>
        </w:rPr>
        <w:t>1.</w:t>
      </w:r>
      <w:r>
        <w:rPr>
          <w:rFonts w:hint="eastAsia" w:ascii="仿宋" w:hAnsi="仿宋" w:eastAsia="仿宋"/>
          <w:sz w:val="32"/>
          <w:szCs w:val="32"/>
        </w:rPr>
        <w:t>贯彻落实加强党对统一战线工作集中统一领导的要求，发挥县委在统战工作方面的参谋机构、组织协调机构、具体执行机构、督促检查机构作用，了解情况、掌握政策、协调关系、安排人事、增进共识、加强团结，协调统一战线各方面关系，组织落实党中央、省委、州委和县委关于统一战线工作重大决策部署，巩固壮大最广泛的统一战线。</w:t>
      </w:r>
      <w:bookmarkEnd w:id="24"/>
    </w:p>
    <w:p w14:paraId="174F19CB">
      <w:pPr>
        <w:ind w:firstLine="800" w:firstLineChars="250"/>
        <w:rPr>
          <w:rFonts w:hint="eastAsia" w:ascii="仿宋" w:hAnsi="仿宋" w:eastAsia="仿宋"/>
          <w:sz w:val="32"/>
          <w:szCs w:val="32"/>
        </w:rPr>
      </w:pPr>
      <w:bookmarkStart w:id="25" w:name="_Toc12366"/>
      <w:r>
        <w:rPr>
          <w:rFonts w:hint="eastAsia" w:ascii="仿宋" w:hAnsi="仿宋" w:eastAsia="仿宋"/>
          <w:sz w:val="32"/>
          <w:szCs w:val="32"/>
          <w:lang w:val="en-US" w:eastAsia="zh-CN"/>
        </w:rPr>
        <w:t>2.</w:t>
      </w:r>
      <w:r>
        <w:rPr>
          <w:rFonts w:hint="eastAsia" w:ascii="仿宋" w:hAnsi="仿宋" w:eastAsia="仿宋"/>
          <w:sz w:val="32"/>
          <w:szCs w:val="32"/>
        </w:rPr>
        <w:t>研究拟订统一战线工作的政策，并推动落实，深入调查研究，及时向县委报告统一战线工作情况并提出建议，统筹协调和指导各乡（镇）、各部门（单位）统一战线工作。</w:t>
      </w:r>
      <w:bookmarkEnd w:id="25"/>
    </w:p>
    <w:p w14:paraId="05FB77A3">
      <w:pPr>
        <w:ind w:firstLine="800" w:firstLineChars="250"/>
        <w:rPr>
          <w:rFonts w:hint="eastAsia" w:ascii="仿宋" w:hAnsi="仿宋" w:eastAsia="仿宋"/>
          <w:sz w:val="32"/>
          <w:szCs w:val="32"/>
        </w:rPr>
      </w:pPr>
      <w:bookmarkStart w:id="26" w:name="_Toc24938"/>
      <w:r>
        <w:rPr>
          <w:rFonts w:hint="eastAsia" w:ascii="仿宋" w:hAnsi="仿宋" w:eastAsia="仿宋"/>
          <w:sz w:val="32"/>
          <w:szCs w:val="32"/>
          <w:lang w:val="en-US" w:eastAsia="zh-CN"/>
        </w:rPr>
        <w:t>3.</w:t>
      </w:r>
      <w:r>
        <w:rPr>
          <w:rFonts w:hint="eastAsia" w:ascii="仿宋" w:hAnsi="仿宋" w:eastAsia="仿宋"/>
          <w:sz w:val="32"/>
          <w:szCs w:val="32"/>
        </w:rPr>
        <w:t>负责发现、培养党外代表人士，制定党外干部培养规划，负责党外人士的政治安排，会同有关部门做好安排党外人士担任政府和司法机关等领导职务的工作，推动高等学校、人民团体、科研院所、国有企业党外干部安排工作。协助县工商联做好干部管理工作。反映和协调解决党外代表人士工作生活中的实际困难。</w:t>
      </w:r>
      <w:bookmarkEnd w:id="26"/>
    </w:p>
    <w:p w14:paraId="193AECF0">
      <w:pPr>
        <w:ind w:firstLine="800" w:firstLineChars="250"/>
        <w:rPr>
          <w:rFonts w:hint="eastAsia" w:ascii="仿宋" w:hAnsi="仿宋" w:eastAsia="仿宋"/>
          <w:sz w:val="32"/>
          <w:szCs w:val="32"/>
        </w:rPr>
      </w:pPr>
      <w:bookmarkStart w:id="27" w:name="_Toc10828"/>
      <w:r>
        <w:rPr>
          <w:rFonts w:hint="eastAsia" w:ascii="仿宋" w:hAnsi="仿宋" w:eastAsia="仿宋"/>
          <w:sz w:val="32"/>
          <w:szCs w:val="32"/>
          <w:lang w:val="en-US" w:eastAsia="zh-CN"/>
        </w:rPr>
        <w:t>4.</w:t>
      </w:r>
      <w:r>
        <w:rPr>
          <w:rFonts w:hint="eastAsia" w:ascii="仿宋" w:hAnsi="仿宋" w:eastAsia="仿宋"/>
          <w:sz w:val="32"/>
          <w:szCs w:val="32"/>
        </w:rPr>
        <w:t>贯彻落实党的宣传工作方针，统筹推进全县统一战线宣传和意识形态工作，组织贯彻落实党中央、省委、州委和县委统一战线宣传工作政策和规划，统筹推进网络统战工作，打造网络统战工作平台，研判涉及统一战线的舆情并协调有关部门应对处置。</w:t>
      </w:r>
      <w:bookmarkEnd w:id="27"/>
    </w:p>
    <w:p w14:paraId="78DE1232">
      <w:pPr>
        <w:ind w:firstLine="800" w:firstLineChars="250"/>
        <w:rPr>
          <w:rFonts w:hint="eastAsia" w:ascii="仿宋" w:hAnsi="仿宋" w:eastAsia="仿宋"/>
          <w:sz w:val="32"/>
          <w:szCs w:val="32"/>
        </w:rPr>
      </w:pPr>
      <w:bookmarkStart w:id="28" w:name="_Toc2867"/>
      <w:r>
        <w:rPr>
          <w:rFonts w:hint="eastAsia" w:ascii="仿宋" w:hAnsi="仿宋" w:eastAsia="仿宋"/>
          <w:sz w:val="32"/>
          <w:szCs w:val="32"/>
          <w:lang w:val="en-US" w:eastAsia="zh-CN"/>
        </w:rPr>
        <w:t>5.</w:t>
      </w:r>
      <w:r>
        <w:rPr>
          <w:rFonts w:hint="eastAsia" w:ascii="仿宋" w:hAnsi="仿宋" w:eastAsia="仿宋"/>
          <w:sz w:val="32"/>
          <w:szCs w:val="32"/>
        </w:rPr>
        <w:t>贯彻落实党的民族工作方针，研究拟订民族工作的政策和措施，协调处理民族工作中的重大问题，根据分工，统筹协调做好少数民族干部工作，领导县民族宗教局依法管理民族事务，全面促进民族事业发展。</w:t>
      </w:r>
      <w:bookmarkEnd w:id="28"/>
    </w:p>
    <w:p w14:paraId="5FF92B65">
      <w:pPr>
        <w:ind w:firstLine="800" w:firstLineChars="250"/>
        <w:rPr>
          <w:rFonts w:hint="eastAsia" w:ascii="仿宋" w:hAnsi="仿宋" w:eastAsia="仿宋"/>
          <w:sz w:val="32"/>
          <w:szCs w:val="32"/>
        </w:rPr>
      </w:pPr>
      <w:bookmarkStart w:id="29" w:name="_Toc1350"/>
      <w:r>
        <w:rPr>
          <w:rFonts w:hint="eastAsia" w:ascii="仿宋" w:hAnsi="仿宋" w:eastAsia="仿宋"/>
          <w:sz w:val="32"/>
          <w:szCs w:val="32"/>
          <w:lang w:val="en-US" w:eastAsia="zh-CN"/>
        </w:rPr>
        <w:t>6.</w:t>
      </w:r>
      <w:r>
        <w:rPr>
          <w:rFonts w:hint="eastAsia" w:ascii="仿宋" w:hAnsi="仿宋" w:eastAsia="仿宋"/>
          <w:sz w:val="32"/>
          <w:szCs w:val="32"/>
        </w:rPr>
        <w:t>贯彻落实党的宗教工作基本方针和政策，研究拟订宗教工作的政策措施并督促落实，领导县民族宗教局依法管理宗教行政事务，保护公民宗教信仰自由和正常的宗教活动，维护宗教界合法权益，抵御境外利用宗教进行渗透，引导各宗教坚持中国化方向，巩固和发展同宗教界的爱国统一战线。</w:t>
      </w:r>
      <w:bookmarkEnd w:id="29"/>
    </w:p>
    <w:p w14:paraId="242B99E5">
      <w:pPr>
        <w:ind w:firstLine="800" w:firstLineChars="250"/>
        <w:rPr>
          <w:rFonts w:hint="eastAsia" w:ascii="仿宋" w:hAnsi="仿宋" w:eastAsia="仿宋"/>
          <w:sz w:val="32"/>
          <w:szCs w:val="32"/>
        </w:rPr>
      </w:pPr>
      <w:bookmarkStart w:id="30" w:name="_Toc4708"/>
      <w:r>
        <w:rPr>
          <w:rFonts w:hint="eastAsia" w:ascii="仿宋" w:hAnsi="仿宋" w:eastAsia="仿宋"/>
          <w:sz w:val="32"/>
          <w:szCs w:val="32"/>
          <w:lang w:val="en-US" w:eastAsia="zh-CN"/>
        </w:rPr>
        <w:t>7.</w:t>
      </w:r>
      <w:r>
        <w:rPr>
          <w:rFonts w:hint="eastAsia" w:ascii="仿宋" w:hAnsi="仿宋" w:eastAsia="仿宋"/>
          <w:sz w:val="32"/>
          <w:szCs w:val="32"/>
        </w:rPr>
        <w:t>负责联系、培养无党派代表人士，支持、帮助无党派人士加强自身建设、发挥作用。调查研究全县党外知识分子情况并提出政策建议，联系、培养党外知识分子代表人士，开展思想政治工作。指导高等学校、科研院所、国有企业等有关单位开展统战工作。</w:t>
      </w:r>
      <w:bookmarkEnd w:id="30"/>
    </w:p>
    <w:p w14:paraId="2217A1E0">
      <w:pPr>
        <w:ind w:firstLine="800" w:firstLineChars="250"/>
        <w:rPr>
          <w:rFonts w:hint="eastAsia" w:ascii="仿宋" w:hAnsi="仿宋" w:eastAsia="仿宋"/>
          <w:sz w:val="32"/>
          <w:szCs w:val="32"/>
        </w:rPr>
      </w:pPr>
      <w:bookmarkStart w:id="31" w:name="_Toc17399"/>
      <w:r>
        <w:rPr>
          <w:rFonts w:hint="eastAsia" w:ascii="仿宋" w:hAnsi="仿宋" w:eastAsia="仿宋"/>
          <w:sz w:val="32"/>
          <w:szCs w:val="32"/>
          <w:lang w:val="en-US" w:eastAsia="zh-CN"/>
        </w:rPr>
        <w:t>8.</w:t>
      </w:r>
      <w:r>
        <w:rPr>
          <w:rFonts w:hint="eastAsia" w:ascii="仿宋" w:hAnsi="仿宋" w:eastAsia="仿宋"/>
          <w:sz w:val="32"/>
          <w:szCs w:val="32"/>
        </w:rPr>
        <w:t>负责联系、培养新的社会阶层代表人士，支持、帮助新的社会阶层人士加强自身建设、发挥作用。调查研究全县新的社会阶层人士情况并提出政策建议，开展思想政治工作，指导社会组织开展新的社会阶层人士统战工作。</w:t>
      </w:r>
      <w:bookmarkEnd w:id="31"/>
    </w:p>
    <w:p w14:paraId="2142F13D">
      <w:pPr>
        <w:ind w:firstLine="800" w:firstLineChars="250"/>
        <w:rPr>
          <w:rFonts w:hint="eastAsia" w:ascii="仿宋" w:hAnsi="仿宋" w:eastAsia="仿宋"/>
          <w:sz w:val="32"/>
          <w:szCs w:val="32"/>
        </w:rPr>
      </w:pPr>
      <w:bookmarkStart w:id="32" w:name="_Toc933"/>
      <w:r>
        <w:rPr>
          <w:rFonts w:hint="eastAsia" w:ascii="仿宋" w:hAnsi="仿宋" w:eastAsia="仿宋"/>
          <w:sz w:val="32"/>
          <w:szCs w:val="32"/>
          <w:lang w:val="en-US" w:eastAsia="zh-CN"/>
        </w:rPr>
        <w:t>9.</w:t>
      </w:r>
      <w:r>
        <w:rPr>
          <w:rFonts w:hint="eastAsia" w:ascii="仿宋" w:hAnsi="仿宋" w:eastAsia="仿宋"/>
          <w:sz w:val="32"/>
          <w:szCs w:val="32"/>
        </w:rPr>
        <w:t>承担全县非公有制经济协调工作，负责全县非公有制经济代表人士工作，参与制定、推动落实鼓励支持引导非公有制经济发展的政策，调查研究全县非有制经济人士情况并提出政策建议，了解和反映非公有制经济人士的意见，团结、服务、引导、教育非公有制经济人士，促进非公有制经济健康发展和非公有制经济人士健康成长。</w:t>
      </w:r>
      <w:bookmarkEnd w:id="32"/>
    </w:p>
    <w:p w14:paraId="7957A39A">
      <w:pPr>
        <w:ind w:firstLine="800" w:firstLineChars="250"/>
        <w:rPr>
          <w:rFonts w:hint="eastAsia" w:ascii="仿宋" w:hAnsi="仿宋" w:eastAsia="仿宋"/>
          <w:sz w:val="32"/>
          <w:szCs w:val="32"/>
        </w:rPr>
      </w:pPr>
      <w:bookmarkStart w:id="33" w:name="_Toc27099"/>
      <w:r>
        <w:rPr>
          <w:rFonts w:hint="eastAsia" w:ascii="仿宋" w:hAnsi="仿宋" w:eastAsia="仿宋"/>
          <w:sz w:val="32"/>
          <w:szCs w:val="32"/>
          <w:lang w:val="en-US" w:eastAsia="zh-CN"/>
        </w:rPr>
        <w:t>10.</w:t>
      </w:r>
      <w:r>
        <w:rPr>
          <w:rFonts w:hint="eastAsia" w:ascii="仿宋" w:hAnsi="仿宋" w:eastAsia="仿宋"/>
          <w:sz w:val="32"/>
          <w:szCs w:val="32"/>
        </w:rPr>
        <w:t>贯彻落实中央、省委、州委和县委关于对境外藏胞工作的方针、政策。结合我县实际提出实施意见并组织实施。调查了解国外藏胞的动态信息，负责接待和管理来县探访的国外藏胞，负责安置回国定居藏胞并配合有关部门加强对他们的教育和管理工作，负责对国外藏胞重点人物的联络争取工作,负责对国外藏胞和及其家属的宣传教育工作，组织动员国外藏胞为我县经济、教育、文化和卫生事业发展服务。会同有关部门处理我县涉及国外藏胞的重大事件。承担县对国外藏胞工作领导小组办公室日常工作。</w:t>
      </w:r>
      <w:bookmarkEnd w:id="33"/>
    </w:p>
    <w:p w14:paraId="288D017A">
      <w:pPr>
        <w:ind w:firstLine="800" w:firstLineChars="250"/>
        <w:rPr>
          <w:rFonts w:hint="eastAsia" w:ascii="仿宋" w:hAnsi="仿宋" w:eastAsia="仿宋"/>
          <w:sz w:val="32"/>
          <w:szCs w:val="32"/>
        </w:rPr>
      </w:pPr>
      <w:bookmarkStart w:id="34" w:name="_Toc8238"/>
      <w:r>
        <w:rPr>
          <w:rFonts w:hint="eastAsia" w:ascii="仿宋" w:hAnsi="仿宋" w:eastAsia="仿宋"/>
          <w:sz w:val="32"/>
          <w:szCs w:val="32"/>
          <w:lang w:val="en-US" w:eastAsia="zh-CN"/>
        </w:rPr>
        <w:t>11.</w:t>
      </w:r>
      <w:r>
        <w:rPr>
          <w:rFonts w:hint="eastAsia" w:ascii="仿宋" w:hAnsi="仿宋" w:eastAsia="仿宋"/>
          <w:sz w:val="32"/>
          <w:szCs w:val="32"/>
        </w:rPr>
        <w:t>统一领导对港澳台统战工作，牵头开展港澳统战工作，开展对台统战工作。贯彻落实中央海外统战工作政策和规划并组织协调、督促检查落实，会同有关部门对香港、澳门地区统一战线工作进行调查研究并提出政策建议，联系香港、澳门、台湾有关党派、团体及代表人士。做好统一战线外事管理工作。</w:t>
      </w:r>
      <w:bookmarkEnd w:id="34"/>
    </w:p>
    <w:p w14:paraId="61A39838">
      <w:pPr>
        <w:ind w:firstLine="800" w:firstLineChars="250"/>
        <w:rPr>
          <w:rFonts w:hint="eastAsia" w:ascii="仿宋" w:hAnsi="仿宋" w:eastAsia="仿宋"/>
          <w:sz w:val="32"/>
          <w:szCs w:val="32"/>
        </w:rPr>
      </w:pPr>
      <w:bookmarkStart w:id="35" w:name="_Toc30790"/>
      <w:r>
        <w:rPr>
          <w:rFonts w:hint="eastAsia" w:ascii="仿宋" w:hAnsi="仿宋" w:eastAsia="仿宋"/>
          <w:sz w:val="32"/>
          <w:szCs w:val="32"/>
          <w:lang w:val="en-US" w:eastAsia="zh-CN"/>
        </w:rPr>
        <w:t>12.</w:t>
      </w:r>
      <w:r>
        <w:rPr>
          <w:rFonts w:hint="eastAsia" w:ascii="仿宋" w:hAnsi="仿宋" w:eastAsia="仿宋"/>
          <w:sz w:val="32"/>
          <w:szCs w:val="32"/>
        </w:rPr>
        <w:t>统一管理侨务工作，贯彻落实党的侨务工作方针政策，拟订全县侨务工作规划并组织协调、督促检查落实，调查研究侨情和侨务工作情况，管理侨务行政事务，统筹协调有关部门和社会团体涉侨工作，联系海外有关侨团和代表人士，负责海外侨胞代表人士在相关统战团体的安排，指导推动涉侨宣传、文化交流、华文教育工作等，保护华侨和归侨侨眷在县内的合法权利和利益。</w:t>
      </w:r>
      <w:bookmarkEnd w:id="35"/>
    </w:p>
    <w:p w14:paraId="4F3611E3">
      <w:pPr>
        <w:ind w:firstLine="800" w:firstLineChars="250"/>
        <w:rPr>
          <w:rFonts w:hint="eastAsia" w:ascii="仿宋" w:hAnsi="仿宋" w:eastAsia="仿宋"/>
          <w:sz w:val="32"/>
          <w:szCs w:val="32"/>
        </w:rPr>
      </w:pPr>
      <w:bookmarkStart w:id="36" w:name="_Toc7416"/>
      <w:r>
        <w:rPr>
          <w:rFonts w:hint="eastAsia" w:ascii="仿宋" w:hAnsi="仿宋" w:eastAsia="仿宋"/>
          <w:sz w:val="32"/>
          <w:szCs w:val="32"/>
          <w:lang w:val="en-US" w:eastAsia="zh-CN"/>
        </w:rPr>
        <w:t>13.</w:t>
      </w:r>
      <w:r>
        <w:rPr>
          <w:rFonts w:hint="eastAsia" w:ascii="仿宋" w:hAnsi="仿宋" w:eastAsia="仿宋"/>
          <w:sz w:val="32"/>
          <w:szCs w:val="32"/>
        </w:rPr>
        <w:t>管理寺庙管理所负责人。受县委委托，领导县工商联党组，指导工商联工作。领导县民族宗教局工作，管理县侨务台湾事务工作。做好统一战线有关单位和团体及事业单位的管理工作。</w:t>
      </w:r>
      <w:bookmarkEnd w:id="36"/>
    </w:p>
    <w:p w14:paraId="1D6DF0E5">
      <w:pPr>
        <w:ind w:firstLine="800" w:firstLineChars="250"/>
        <w:rPr>
          <w:rFonts w:ascii="仿宋" w:hAnsi="仿宋" w:eastAsia="仿宋"/>
          <w:sz w:val="32"/>
          <w:szCs w:val="32"/>
        </w:rPr>
      </w:pPr>
      <w:bookmarkStart w:id="37" w:name="_Toc3427"/>
      <w:r>
        <w:rPr>
          <w:rFonts w:hint="eastAsia" w:ascii="仿宋" w:hAnsi="仿宋" w:eastAsia="仿宋"/>
          <w:sz w:val="32"/>
          <w:szCs w:val="32"/>
          <w:lang w:val="en-US" w:eastAsia="zh-CN"/>
        </w:rPr>
        <w:t>14.</w:t>
      </w:r>
      <w:r>
        <w:rPr>
          <w:rFonts w:hint="eastAsia" w:ascii="仿宋" w:hAnsi="仿宋" w:eastAsia="仿宋"/>
          <w:sz w:val="32"/>
          <w:szCs w:val="32"/>
        </w:rPr>
        <w:t>完成县委交办的其他任务。</w:t>
      </w:r>
      <w:bookmarkEnd w:id="37"/>
    </w:p>
    <w:p w14:paraId="1649669C">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8" w:name="_Toc79163854"/>
      <w:bookmarkStart w:id="39" w:name="_Toc15378446"/>
      <w:bookmarkStart w:id="40" w:name="_Toc79163604"/>
      <w:bookmarkStart w:id="41" w:name="_Toc15377199"/>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38"/>
      <w:bookmarkEnd w:id="39"/>
      <w:bookmarkEnd w:id="40"/>
      <w:bookmarkEnd w:id="41"/>
    </w:p>
    <w:p w14:paraId="63AC88C0">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2020年</w:t>
      </w:r>
      <w:r>
        <w:rPr>
          <w:rFonts w:hint="eastAsia" w:ascii="仿宋" w:hAnsi="仿宋" w:eastAsia="仿宋"/>
          <w:bCs/>
          <w:color w:val="000000"/>
          <w:sz w:val="32"/>
          <w:szCs w:val="32"/>
        </w:rPr>
        <w:t>以来，九寨沟县统战工作始终坚持“不忘初心、维护核心、服务中心、凝聚人心”工作定位，牢牢把握“基层统战工作提升年”相关要求，纵深推进“五坚持五提升”工作举措，为推动我县实现“两地一典范、美丽新九寨”广泛汇聚统战力量。</w:t>
      </w:r>
    </w:p>
    <w:p w14:paraId="16D213E4">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（一）以思想引领为魂，夯实团结奋斗的基础</w:t>
      </w:r>
    </w:p>
    <w:p w14:paraId="10D1A7D9">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树牢旗帜鲜明讲政治明确导向。始终坚持党对统战工作的绝对领导，将习近平新时代中国特色社会主义思想、习近平总书记关于加强和改进统一战线工作的重要思想，省委、州委重大会议精神纳入日常学习。召开统一战线工作领导小组暨宗教工作领导小组会议专题研究部署统战重点工作，将统战工作纳入全县目标考核体系和基层党委“一把手”工程，切实做到了高站位谋划、高起点推进和高质量统筹，确保党在政治原则、政治方向、重大方针政策等方面的绝对领导。二是牢牢把握宗教领域意识形态工作主动权。持续深化“联寺联僧”群众工作，坚持全覆盖开展“两实践两创建一评选”“社会主义核心价值观进寺庙”“重大政治理论和方针政策进寺庙”、“领袖像进寺庙、进扎康、进教职人员家、进藏胞家属家”、“中华文化进寺庙”、反面揭批、警示教育等主题活动，依托“九个一”民族团结进步宣传教育基地，持续开展民族团结教育“七进”和“创建+”等活动，引导广大教职人员和信教群众感党恩、听党话、跟党走。三是坚持“同心”思想引领。坚持把加强对党外人士的思想政治引领作为常抓不懈的首要任务，在党外知识分子、新的社会阶层人士中广泛开展十九届五中全会、中央第七次西藏工作座谈会、省委十届八次全会和省涉藏工作会等会议精神宣讲。</w:t>
      </w:r>
    </w:p>
    <w:p w14:paraId="23F17E0D">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（二）以和谐发展为基，依法依规做好宗教工作</w:t>
      </w:r>
    </w:p>
    <w:p w14:paraId="6A78259A">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聚集风险隐患，加强防范化解和教育管控。全面强化社会化网格化管理，落实主要时段、关键区域，涉寺涉僧风险点的摸排，甄别管控，健全情报信息共享共研和预警处置工作机制，健全九寨沟景区重大涉稳风险防控、应急处置和联动协作工作机制，坚决防范境外反华、敌对势力利用九寨沟景区知名度实施举旗、举像和自焚活动风险，与若尔盖、松潘、绵阳平武及甘肃省迭部、文县开展区域协作联动，实现宗教领域协同管理、信息共享、问题共治，牢牢守住不发生区域性、系统性风险底线。组织召开寺管所负责人年度集中述职会议，建立长效管理机制，加强寺管所工作指导。二是聚焦人员管理，切实摸清家底。落实“一标三实”工作举措和“一僧一册”建档立卡制度，在全县范围开展寺庙基础数据采集维护工作，建立教职人员人头档案和活动台账，实现未成年人入寺“0发生”。加强僧尼护照集中管理，严格落实宗教界人士出国（境）备案审批、“双承诺”离县备案、请销假等有关程序，实现内地传教化缘“0发生”。强化后备僧才和代表人士培养培训。三是聚焦财务管理，强化财税监管。全面排查九寨沟县12座寺庙经营性行为，坚决遏制寺庙以自身资产、教职人员以宗教名义对外开展活动和发展经济实体。制定《创新开展寺庙财税管理试点工作方案》，落实1名专职会计负责寺庙财务核算、监督等工作，全覆盖开展寺庙清产核资工作，健全完善《寺庙财产登记台账》《寺庙财务收支台账》，定期公开各项收支情况，坚决执行“一支笔”和“联章审批”开支原则，实行分档逐级审核、限额授权机制。严格审批社会人士对寺庙的捐赠活动，确保入寺资金合法合规，实现寺庙培训资金“0接受”。四是聚焦场所管理，严守建设红线。严格四至界限管理，坚持寺外一律不批不建，寺内一律先批后建，坚决遏制宗教活动场所无序扩张，加快推进宗教活动场所法人登记，实现宗教活动场所“0扩展乱建”。持续推进寺庙“五个一”工程（公寓、消防、卫生间、开水房、浴室）建设。结合有关安全规定和实际情况，加强寺庙微型消防站器材装备配备管理，加快推进消防池等设施建设。全力推进“文明和谐寺庙”创建工作，成功创建6座省级、6座州级文明和谐寺庙。五是聚焦佛事活动管理，严格审批和过程监管。落实宗教活动审批备案制和维稳风险评估制，坚持“常规一年一审批，临时一事一申报”。严格控制宗教活动参与人数，严防宗教活动和信教群众数量大幅增加。健全完善《宗教活动登记台账》，制定宗教活动突发事件应急预案，落实全过程跟踪监管，每月召开会议分析研判全县宗教活动情况。防止临时性佛事活动向常规性佛事活动延伸，重要节庆及敏感期严禁寺庙举办临时性佛事活动。六是聚焦教务管理，依法依规加强规范。坚决把教职人员培养权、任免权牢牢抓在手中，培养本地僧才，弱化输入影响，减小对外依存为目标，建立健全僧才培养机制，鼓励教职人员到国家认定的宗教院校学习深造，并纳入民管会后备人才培养，增强佛协在宗教事务管理中的桥梁纽带作用，全覆盖推进综合服务进寺庙，法律服务进寺庙，切实从“法”和“戒”的对接协调中双重规范僧尼信仰的社会表达行为。实现宗教涉稳事件“0产生”，涉法涉诉“0出现”，干政扰民“0发生”，跨区域佛事活动“0举办”。</w:t>
      </w:r>
    </w:p>
    <w:p w14:paraId="696657A8">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（三）以争先创优为力，巩固民族团结创建成果</w:t>
      </w:r>
    </w:p>
    <w:p w14:paraId="548092CC">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持续开展民族团结进步“七进”和“创建+”示范活动，引导各族群众</w:t>
      </w:r>
      <w:r>
        <w:rPr>
          <w:rFonts w:hint="eastAsia" w:ascii="仿宋" w:hAnsi="仿宋" w:eastAsia="仿宋"/>
          <w:bCs/>
          <w:color w:val="000000"/>
          <w:sz w:val="32"/>
          <w:szCs w:val="32"/>
          <w:lang w:eastAsia="zh-CN"/>
        </w:rPr>
        <w:t>铸牢中华民族共同体意识</w:t>
      </w:r>
      <w:r>
        <w:rPr>
          <w:rFonts w:hint="eastAsia" w:ascii="仿宋" w:hAnsi="仿宋" w:eastAsia="仿宋"/>
          <w:bCs/>
          <w:color w:val="000000"/>
          <w:sz w:val="32"/>
          <w:szCs w:val="32"/>
        </w:rPr>
        <w:t>、“五个认同”意识和“三个离不开”思想。充分发挥统一战线凝心聚力优势作用，组织各界别开展“激情飞扬颂祖国，感恩奋进谱新篇”“牢记使命、不负重托”等理想信念教育实践活动和“建功立业新九寨”五大行动，把统一战线广大成员紧紧团结在党的周围。2020年，九寨沟县委宣传部等4个单位、陈志敏等10名同志荣获阿坝州创建全国民族团结进步示范州先进集体和先进个人的称号，县纪委监委等8个单位、扎黑泽里等56名</w:t>
      </w:r>
      <w:r>
        <w:rPr>
          <w:rFonts w:hint="eastAsia" w:ascii="仿宋" w:hAnsi="仿宋" w:eastAsia="仿宋"/>
          <w:bCs/>
          <w:color w:val="000000"/>
          <w:sz w:val="32"/>
          <w:szCs w:val="32"/>
          <w:lang w:val="en-US" w:eastAsia="zh-CN"/>
        </w:rPr>
        <w:t>同志</w:t>
      </w:r>
      <w:r>
        <w:rPr>
          <w:rFonts w:hint="eastAsia" w:ascii="仿宋" w:hAnsi="仿宋" w:eastAsia="仿宋"/>
          <w:bCs/>
          <w:color w:val="000000"/>
          <w:sz w:val="32"/>
          <w:szCs w:val="32"/>
        </w:rPr>
        <w:t>荣获阿坝州创建全国民族团结进步示范州优秀集体和优秀个人的称号。</w:t>
      </w:r>
    </w:p>
    <w:p w14:paraId="24A49344">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（四）以经济发展为本，着力促进“两个健康”</w:t>
      </w:r>
    </w:p>
    <w:p w14:paraId="071E5F4F">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认真贯彻落实《九寨沟县促进民营经济健康发展若干政策措施》等。制定《九寨沟县县级领导联系服务重点民营企业工作机制》，每位县级领导联系服务1—2家民营企业。搭建起行业交流、政企沟通、企业互助的桥梁，定期举办以学习培训、政策解读、答疑交流、调解沟通等为内容的“九寨政企汇”活动，助力企业在疫情期间稳妥有序复工复产。二是构建亲清型政商关系。加大“非公经济综合评价”结果运用力度，助推非公有制经济健康发展和调动非公有制经济人士服务党和国家事业发展的积极性，引导企业投身光彩事业、承担社会责任。召开民营经济统战工作推进会、金融支持稳企业保就业政策宣讲暨助推民营经济健康发展专题研讨会，宣讲减负政策，落实帮扶举措，通过科学施策、综合施策，做好服务保障，激励企业提振发展信心，在加快美丽新九寨建设中，实现民营经济健康发</w:t>
      </w:r>
      <w:r>
        <w:rPr>
          <w:rFonts w:hint="eastAsia" w:ascii="仿宋" w:hAnsi="仿宋" w:eastAsia="仿宋"/>
          <w:bCs/>
          <w:color w:val="000000"/>
          <w:sz w:val="32"/>
          <w:szCs w:val="32"/>
          <w:lang w:eastAsia="zh-CN"/>
        </w:rPr>
        <w:t>展和</w:t>
      </w:r>
      <w:r>
        <w:rPr>
          <w:rFonts w:hint="eastAsia" w:ascii="仿宋" w:hAnsi="仿宋" w:eastAsia="仿宋"/>
          <w:bCs/>
          <w:color w:val="000000"/>
          <w:sz w:val="32"/>
          <w:szCs w:val="32"/>
        </w:rPr>
        <w:t>民营企业家健康成长。三是鼓励民营企业和民营企业家助力脱贫攻坚、疫情防控和灾后重建等重点工作。</w:t>
      </w:r>
    </w:p>
    <w:p w14:paraId="5D1D8440">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（五）加强和改进新时代党外知识分子和新</w:t>
      </w:r>
      <w:r>
        <w:rPr>
          <w:rFonts w:hint="eastAsia" w:ascii="仿宋" w:hAnsi="仿宋" w:eastAsia="仿宋"/>
          <w:bCs/>
          <w:color w:val="000000"/>
          <w:sz w:val="32"/>
          <w:szCs w:val="32"/>
          <w:lang w:eastAsia="zh-CN"/>
        </w:rPr>
        <w:t>的</w:t>
      </w:r>
      <w:r>
        <w:rPr>
          <w:rFonts w:hint="eastAsia" w:ascii="仿宋" w:hAnsi="仿宋" w:eastAsia="仿宋"/>
          <w:bCs/>
          <w:color w:val="000000"/>
          <w:sz w:val="32"/>
          <w:szCs w:val="32"/>
        </w:rPr>
        <w:t>社会阶层人士工作</w:t>
      </w:r>
    </w:p>
    <w:p w14:paraId="642399CE">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以“六个共同”为抓手，健全完善党外干部和党外代表人士发现、培养、使用、管理机制。组织开展党外干部专题培训活动，全面提高党外干部的政治素养和履职能力。在教育、卫生、农科等领域设立党外代表人士工作联系点，积极做好代表人士政治安排的推荐工作。推荐县知新会1名理事为四川省欧美同学会理事。二是打造完善“网络统战”新阵地。打造“同心九寨”微信公众平台，一年来30余篇原创稿件被学习强国、川报观察、同心四川、同心阿坝等官方媒体采用，1名统战干部被省委统战部评为“十佳优秀通讯员”。</w:t>
      </w:r>
    </w:p>
    <w:p w14:paraId="5D952574">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（六）积极开展港澳台境外藏胞争取人心工作</w:t>
      </w:r>
    </w:p>
    <w:p w14:paraId="6F171A8F">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完善省级藏传佛教寺庙大数据平台网络数据库。结合“一标三实”工作举措和“一僧一册”建档立卡制度，在全县范围开展寺庙基础数据采集维护工作，更新完善建立教职人员人头档案和活动台账。二是成立了九寨沟县外藏胞家属联谊会。建立“联谊交友、建言献策、服务协调”工作机制，充分发挥桥梁纽带、内联外引作用。三是向省侨联争取海外华人华侨捐款80余</w:t>
      </w:r>
      <w:r>
        <w:rPr>
          <w:rFonts w:hint="eastAsia" w:ascii="仿宋" w:hAnsi="仿宋" w:eastAsia="仿宋"/>
          <w:bCs/>
          <w:color w:val="000000"/>
          <w:sz w:val="32"/>
          <w:szCs w:val="32"/>
          <w:lang w:eastAsia="zh-CN"/>
        </w:rPr>
        <w:t>万元</w:t>
      </w:r>
      <w:r>
        <w:rPr>
          <w:rFonts w:hint="eastAsia" w:ascii="仿宋" w:hAnsi="仿宋" w:eastAsia="仿宋"/>
          <w:bCs/>
          <w:color w:val="000000"/>
          <w:sz w:val="32"/>
          <w:szCs w:val="32"/>
        </w:rPr>
        <w:t>，成立“侨爱呵护灾区”教师成长基金。聚焦教师培训培养、困难教师帮扶等方面，推动全县教育事业高质量发展。</w:t>
      </w:r>
    </w:p>
    <w:p w14:paraId="02C62F5F">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（七）健全海外统战工作机制</w:t>
      </w:r>
    </w:p>
    <w:p w14:paraId="7E670EDA">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深入贯彻落实《关于支持爱国爱港力量的意见》和《四川省境外藏胞审批管理办法》等文件精神，以广交朋友、争取人心、联络感情、宣传政策为原则，做好对外宣传工作，进一步梳理完善“港澳台及海外人士及境外藏胞信息数据库”，并积极筹备“港澳台侨海外人士联谊会”。</w:t>
      </w:r>
    </w:p>
    <w:p w14:paraId="3C4DEEC6">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（八）加强党外代表人士队伍建设和新的社会阶层人士教育引领</w:t>
      </w:r>
    </w:p>
    <w:p w14:paraId="1A31EA82">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为凝聚推动加快发展的广泛力量，面对新形势、新任务，我们始终抓好党外人士资源储备和培养工</w:t>
      </w:r>
      <w:r>
        <w:rPr>
          <w:rFonts w:hint="eastAsia" w:ascii="仿宋" w:hAnsi="仿宋" w:eastAsia="仿宋"/>
          <w:bCs/>
          <w:color w:val="000000"/>
          <w:sz w:val="32"/>
          <w:szCs w:val="32"/>
          <w:lang w:eastAsia="zh-CN"/>
        </w:rPr>
        <w:t>作队</w:t>
      </w:r>
      <w:r>
        <w:rPr>
          <w:rFonts w:hint="eastAsia" w:ascii="仿宋" w:hAnsi="仿宋" w:eastAsia="仿宋"/>
          <w:bCs/>
          <w:color w:val="000000"/>
          <w:sz w:val="32"/>
          <w:szCs w:val="32"/>
        </w:rPr>
        <w:t>伍建设。一是抓好思想理论建设基础活动。结合开展同心教育活动等契机，采取专题辅导、集中学习、集体讨论等多种形式，组织党外代表人士学习系列党的重要文件、统战理论和政策，提高党外代表人士的政治鉴别能力，提高他们自觉执行党的路线、方针和政策的自觉性。二是抓好职能发挥的社会奉献活动。围绕参政、议政、民主监督、社会服务等职能，开展党外知</w:t>
      </w:r>
      <w:bookmarkStart w:id="189" w:name="_GoBack"/>
      <w:bookmarkEnd w:id="189"/>
      <w:r>
        <w:rPr>
          <w:rFonts w:hint="eastAsia" w:ascii="仿宋" w:hAnsi="仿宋" w:eastAsia="仿宋"/>
          <w:bCs/>
          <w:color w:val="000000"/>
          <w:sz w:val="32"/>
          <w:szCs w:val="32"/>
        </w:rPr>
        <w:t>识分子和新的社会阶层人士座谈会等，助力“8</w:t>
      </w:r>
      <w:r>
        <w:rPr>
          <w:rFonts w:hint="eastAsia" w:ascii="仿宋" w:hAnsi="仿宋" w:eastAsia="仿宋"/>
          <w:bCs/>
          <w:color w:val="000000"/>
          <w:sz w:val="32"/>
          <w:szCs w:val="32"/>
        </w:rPr>
        <w:sym w:font="Wingdings" w:char="009E"/>
      </w:r>
      <w:r>
        <w:rPr>
          <w:rFonts w:hint="eastAsia" w:ascii="仿宋" w:hAnsi="仿宋" w:eastAsia="仿宋"/>
          <w:bCs/>
          <w:color w:val="000000"/>
          <w:sz w:val="32"/>
          <w:szCs w:val="32"/>
        </w:rPr>
        <w:t>16”、“8</w:t>
      </w:r>
      <w:r>
        <w:rPr>
          <w:rFonts w:hint="eastAsia" w:ascii="仿宋" w:hAnsi="仿宋" w:eastAsia="仿宋"/>
          <w:bCs/>
          <w:color w:val="000000"/>
          <w:sz w:val="32"/>
          <w:szCs w:val="32"/>
        </w:rPr>
        <w:sym w:font="Wingdings" w:char="009E"/>
      </w:r>
      <w:r>
        <w:rPr>
          <w:rFonts w:hint="eastAsia" w:ascii="仿宋" w:hAnsi="仿宋" w:eastAsia="仿宋"/>
          <w:bCs/>
          <w:color w:val="000000"/>
          <w:sz w:val="32"/>
          <w:szCs w:val="32"/>
        </w:rPr>
        <w:t>27”灾后恢复重建并积极献爱心，开展教育教学学习研讨等活动，新的社会阶层人士充分发挥自身优势，联系争取著歌唱家毛阿敏走进九寨沟县第三小学开展健康教育讲座和爱心捐赠“快乐冲锋衣”、“快乐脸盆计划”。</w:t>
      </w:r>
    </w:p>
    <w:p w14:paraId="4001AE9C">
      <w:pPr>
        <w:pStyle w:val="7"/>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（九）推进完善大统战格局</w:t>
      </w:r>
    </w:p>
    <w:p w14:paraId="2E13BACC">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以习近平关于加强和改进统一战线工作的重要思想为指导，认真贯彻落实中央、省、州统战工作决策部署，统一思想，形成合力，坚持构建大统战工作格局。一是搭建组织架构。坚持党委统一领导、统战部牵头协调、有关方面各负其责的大统战工作格局，进一步形成“全党重视、共同来做”统战工作的强大合力。二是凝聚智慧力量。助推构建亲清型政商关系，充分调动非公有制经济健康发展和非公有制经济人士服务党和国家事业发展的积极性。团结引导广大宗教界人士、海外侨胞和归侨侨眷发挥服务发展、服务稳定的积极作用。促进党外知识分子、新的社会阶层人士建言献策，为九寨经济社会各项事业发展贡献智慧和力量。</w:t>
      </w:r>
    </w:p>
    <w:p w14:paraId="6631A4C0">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三是积极汇报对接。积极争取全省统一战线来九开展更多的智力支持、项目帮扶、医疗救助、法律援助等社会服务活动。</w:t>
      </w:r>
    </w:p>
    <w:p w14:paraId="33A91890">
      <w:pPr>
        <w:pStyle w:val="7"/>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（十）以民生改善为要，积极服务发展大局</w:t>
      </w:r>
    </w:p>
    <w:p w14:paraId="50A9460C">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积极投身灾后重建、乡村振兴、文明城市创建等各项工作。积极对接省委统战部，争取四川省海外联谊会、四川省光彩事业促进会项目资金531.16万元补齐短板，截止2020年已投资282万推进上四寨原乡藏寨特色民宿和甘海子婚纱摄影小镇精品旅游民宿项目建设，投资26.98万元完成了玉瓦寺、芝麻寺庙7座寺庙爱国主义及和美寺庙建设，用中华优秀文化浸润各宗教场所，用社会主义核心价值观来引领和教育宗教界人士和信教群众。二是扎实做好驻村帮扶工作。紧紧围绕“两不愁三保障”标准，各帮扶责任人因户、因人制定帮扶措施，积极引导玉瓦乡群众树立“自力更生、勤劳致富”理念，顺利完成脱贫攻坚各项工作。三是充分发挥宗教界服务民生的积极作用。充分发挥藏汉双语宣讲团、“马背宣讲团”作用，组织统战、民宗、佛协等部门深入村寨、寺庙开展脱贫政策宣讲，引导寺庙通过开展佛事活动、提供宗教服务强化“以寺养寺”能力。结合我县“农禅并举”、“商禅并举”现状，动员160余名僧人融入社会生产，降低寺庙对政府补助的依赖性，有效解决了僧人自养问题。引导郎介珠、彭措等多名拥有个人产业的宗教界代表人士为贫困户提供就业岗位3个。积极发挥僧尼“政策宣传员”作用，开展佛事活动时，组织高僧大德集中宣讲、教职人员入户宣讲扶贫政策，引导广大信教群众广泛参与、积极配合脱贫攻坚中心工作，确保了我县脱贫摘帽工作圆满完成。疫情期间，引导宗教界组织“中国加油·武汉加油”募捐活动，共为武汉疫区筹得善款35856.90元并全部汇入州佛教协会。</w:t>
      </w:r>
    </w:p>
    <w:p w14:paraId="5C15AAC2">
      <w:pPr>
        <w:pStyle w:val="7"/>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（十一）以人才培养为根，强化队伍素质提升。</w:t>
      </w:r>
    </w:p>
    <w:p w14:paraId="507BD955">
      <w:pPr>
        <w:pStyle w:val="7"/>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rPr>
        <w:t>一是继续强化干部管理。严格对标“五精”理念十六条措施，以建设“学习型”“效能型”“廉洁型”机关为抓手，持续开展统战系统政治理论、党章党规、统战业务等学习培训活动，健全完善宗教工作目标责任体系和宗教工作年度述职制度，强化结果运用。夯实基层统战工作基础，配齐配强基层专职统战干部、寺管所人员编制，确保专编专用。对标《条例》规定和相关统战方针政策，常态化开展党外干部的发现、培养、选拔、考察工作，建立党外干部、党外代表人士人才库。二是加强宗教界代表人士教育培养工作。建立完善僧才培养激励机制，加大宗教界代表人士表彰奖励力度，选送一名萨迦派僧尼到四川省佛学院学习深造。全面完成12座寺庙民管会换届工作，选拔一批政治意识强、文化素养高、持戒守法、爱国爱教的年轻僧人担任寺庙民管会职务，并落实民管会成员教育培训全覆盖。</w:t>
      </w:r>
    </w:p>
    <w:p w14:paraId="2ECB1B4B">
      <w:pPr>
        <w:pStyle w:val="4"/>
        <w:pageBreakBefore w:val="0"/>
        <w:widowControl w:val="0"/>
        <w:kinsoku/>
        <w:wordWrap/>
        <w:overflowPunct/>
        <w:topLinePunct w:val="0"/>
        <w:autoSpaceDE/>
        <w:autoSpaceDN/>
        <w:bidi w:val="0"/>
        <w:spacing w:line="560" w:lineRule="exact"/>
        <w:ind w:firstLine="960" w:firstLineChars="300"/>
        <w:textAlignment w:val="auto"/>
        <w:rPr>
          <w:rStyle w:val="26"/>
          <w:b w:val="0"/>
          <w:bCs w:val="0"/>
        </w:rPr>
      </w:pPr>
      <w:bookmarkStart w:id="42" w:name="_Toc15377200"/>
      <w:bookmarkStart w:id="43" w:name="_Toc15396601"/>
      <w:bookmarkStart w:id="44" w:name="_Toc79163605"/>
      <w:bookmarkStart w:id="45" w:name="_Toc7916385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42"/>
      <w:bookmarkEnd w:id="43"/>
      <w:bookmarkEnd w:id="44"/>
      <w:bookmarkEnd w:id="45"/>
    </w:p>
    <w:p w14:paraId="73D459B1">
      <w:pPr>
        <w:pageBreakBefore w:val="0"/>
        <w:widowControl w:val="0"/>
        <w:kinsoku/>
        <w:wordWrap/>
        <w:overflowPunct/>
        <w:topLinePunct w:val="0"/>
        <w:autoSpaceDE/>
        <w:autoSpaceDN/>
        <w:bidi w:val="0"/>
        <w:spacing w:line="560" w:lineRule="exact"/>
        <w:ind w:firstLine="800" w:firstLineChars="250"/>
        <w:textAlignment w:val="auto"/>
        <w:rPr>
          <w:rFonts w:ascii="仿宋" w:hAnsi="仿宋" w:eastAsia="仿宋"/>
          <w:sz w:val="32"/>
          <w:szCs w:val="32"/>
        </w:rPr>
      </w:pPr>
      <w:r>
        <w:rPr>
          <w:rFonts w:hint="eastAsia" w:ascii="仿宋" w:hAnsi="仿宋" w:eastAsia="仿宋"/>
          <w:sz w:val="32"/>
          <w:szCs w:val="32"/>
          <w:lang w:eastAsia="zh-CN"/>
        </w:rPr>
        <w:t>县委统战部</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14:paraId="7BFD22D2">
      <w:pPr>
        <w:pStyle w:val="7"/>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统战部</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p>
    <w:p w14:paraId="67B4087A">
      <w:pPr>
        <w:widowControl/>
        <w:ind w:firstLine="960" w:firstLineChars="300"/>
        <w:jc w:val="left"/>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无</w:t>
      </w:r>
    </w:p>
    <w:p w14:paraId="727DB82B">
      <w:pPr>
        <w:widowControl/>
        <w:ind w:firstLine="960" w:firstLineChars="300"/>
        <w:jc w:val="left"/>
        <w:rPr>
          <w:rFonts w:hint="eastAsia" w:ascii="仿宋" w:hAnsi="仿宋" w:eastAsia="仿宋"/>
          <w:color w:val="000000"/>
          <w:sz w:val="32"/>
          <w:szCs w:val="32"/>
          <w:lang w:eastAsia="zh-CN"/>
        </w:rPr>
      </w:pPr>
    </w:p>
    <w:p w14:paraId="3C41B832">
      <w:pPr>
        <w:widowControl/>
        <w:ind w:firstLine="960" w:firstLineChars="300"/>
        <w:jc w:val="left"/>
        <w:rPr>
          <w:rFonts w:ascii="仿宋" w:hAnsi="仿宋" w:eastAsia="仿宋"/>
          <w:color w:val="000000"/>
          <w:kern w:val="0"/>
          <w:sz w:val="32"/>
          <w:szCs w:val="32"/>
        </w:rPr>
      </w:pPr>
      <w:r>
        <w:rPr>
          <w:rFonts w:ascii="仿宋" w:hAnsi="仿宋" w:eastAsia="仿宋"/>
          <w:color w:val="000000"/>
          <w:sz w:val="32"/>
          <w:szCs w:val="32"/>
        </w:rPr>
        <w:br w:type="page"/>
      </w:r>
    </w:p>
    <w:p w14:paraId="5FA389DF">
      <w:pPr>
        <w:pStyle w:val="3"/>
        <w:ind w:right="440"/>
        <w:jc w:val="right"/>
        <w:rPr>
          <w:rStyle w:val="25"/>
          <w:rFonts w:ascii="黑体" w:hAnsi="黑体" w:eastAsia="黑体"/>
          <w:b w:val="0"/>
          <w:bCs w:val="0"/>
        </w:rPr>
      </w:pPr>
      <w:bookmarkStart w:id="46" w:name="_Toc79163859"/>
      <w:bookmarkStart w:id="47" w:name="_Toc79163609"/>
      <w:bookmarkStart w:id="48" w:name="_Toc15396602"/>
      <w:bookmarkStart w:id="49" w:name="_Toc15377204"/>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46"/>
      <w:bookmarkEnd w:id="47"/>
      <w:bookmarkEnd w:id="48"/>
      <w:bookmarkEnd w:id="49"/>
    </w:p>
    <w:p w14:paraId="0B076CB9"/>
    <w:p w14:paraId="591D0B20">
      <w:pPr>
        <w:pStyle w:val="36"/>
        <w:numPr>
          <w:ilvl w:val="0"/>
          <w:numId w:val="1"/>
        </w:numPr>
        <w:spacing w:line="600" w:lineRule="exact"/>
        <w:ind w:firstLineChars="0"/>
        <w:outlineLvl w:val="1"/>
        <w:rPr>
          <w:rStyle w:val="26"/>
          <w:rFonts w:ascii="黑体" w:hAnsi="黑体" w:eastAsia="黑体"/>
          <w:b w:val="0"/>
        </w:rPr>
      </w:pPr>
      <w:bookmarkStart w:id="50" w:name="_Toc79163860"/>
      <w:bookmarkStart w:id="51" w:name="_Toc79163610"/>
      <w:bookmarkStart w:id="52" w:name="_Toc15396603"/>
      <w:bookmarkStart w:id="53"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50"/>
      <w:bookmarkEnd w:id="51"/>
      <w:bookmarkEnd w:id="52"/>
      <w:bookmarkEnd w:id="53"/>
    </w:p>
    <w:p w14:paraId="78A5AE4F">
      <w:pPr>
        <w:spacing w:line="600" w:lineRule="exact"/>
        <w:ind w:firstLine="640" w:firstLineChars="200"/>
        <w:rPr>
          <w:rFonts w:hint="eastAsia" w:ascii="仿宋_GB2312"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369.04万元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368.02</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40.19</w:t>
      </w:r>
      <w:r>
        <w:rPr>
          <w:rFonts w:hint="eastAsia" w:ascii="仿宋" w:hAnsi="仿宋" w:eastAsia="仿宋"/>
          <w:color w:val="000000"/>
          <w:sz w:val="32"/>
          <w:szCs w:val="32"/>
          <w:lang w:eastAsia="zh-CN"/>
        </w:rPr>
        <w:t>万元，下降</w:t>
      </w:r>
      <w:r>
        <w:rPr>
          <w:rFonts w:hint="eastAsia" w:ascii="仿宋" w:hAnsi="仿宋" w:eastAsia="仿宋"/>
          <w:color w:val="000000"/>
          <w:sz w:val="32"/>
          <w:szCs w:val="32"/>
          <w:lang w:val="en-US" w:eastAsia="zh-CN"/>
        </w:rPr>
        <w:t>10.89</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0.23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p>
    <w:p w14:paraId="5149F2FE">
      <w:pPr>
        <w:pStyle w:val="36"/>
        <w:numPr>
          <w:ilvl w:val="0"/>
          <w:numId w:val="1"/>
        </w:numPr>
        <w:spacing w:line="600" w:lineRule="exact"/>
        <w:ind w:firstLineChars="0"/>
        <w:outlineLvl w:val="1"/>
        <w:rPr>
          <w:rStyle w:val="26"/>
          <w:rFonts w:ascii="黑体" w:hAnsi="黑体" w:eastAsia="黑体"/>
          <w:b w:val="0"/>
        </w:rPr>
      </w:pPr>
      <w:bookmarkStart w:id="54" w:name="_Toc79163861"/>
      <w:bookmarkStart w:id="55" w:name="_Toc15377206"/>
      <w:bookmarkStart w:id="56" w:name="_Toc79163611"/>
      <w:bookmarkStart w:id="5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54"/>
      <w:bookmarkEnd w:id="55"/>
      <w:bookmarkEnd w:id="56"/>
      <w:bookmarkEnd w:id="57"/>
    </w:p>
    <w:p w14:paraId="2CE93AF1">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369.04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369.04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32267BEB">
      <w:pPr>
        <w:pStyle w:val="36"/>
        <w:numPr>
          <w:ilvl w:val="0"/>
          <w:numId w:val="1"/>
        </w:numPr>
        <w:spacing w:line="600" w:lineRule="exact"/>
        <w:ind w:firstLineChars="0"/>
        <w:outlineLvl w:val="1"/>
        <w:rPr>
          <w:rStyle w:val="26"/>
          <w:rFonts w:ascii="黑体" w:hAnsi="黑体" w:eastAsia="黑体"/>
          <w:b w:val="0"/>
        </w:rPr>
      </w:pPr>
      <w:bookmarkStart w:id="58" w:name="_Toc79163612"/>
      <w:bookmarkStart w:id="59" w:name="_Toc79163862"/>
      <w:bookmarkStart w:id="60" w:name="_Toc15377207"/>
      <w:bookmarkStart w:id="61"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58"/>
      <w:bookmarkEnd w:id="59"/>
      <w:bookmarkEnd w:id="60"/>
      <w:bookmarkEnd w:id="61"/>
    </w:p>
    <w:p w14:paraId="550B6C7B">
      <w:pPr>
        <w:spacing w:line="600" w:lineRule="exact"/>
        <w:ind w:firstLine="640" w:firstLineChars="200"/>
        <w:rPr>
          <w:rFonts w:ascii="仿宋" w:hAnsi="仿宋" w:eastAsia="仿宋"/>
          <w:color w:val="000000"/>
          <w:sz w:val="32"/>
          <w:szCs w:val="32"/>
          <w:shd w:val="pct10" w:color="auto" w:fill="FFFFFF"/>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368.02</w:t>
      </w:r>
      <w:r>
        <w:rPr>
          <w:rFonts w:hint="eastAsia" w:ascii="仿宋_GB2312" w:eastAsia="仿宋_GB2312"/>
          <w:sz w:val="32"/>
          <w:szCs w:val="32"/>
        </w:rPr>
        <w:t>万元，其中：基本支出</w:t>
      </w:r>
      <w:r>
        <w:rPr>
          <w:rFonts w:hint="eastAsia" w:ascii="仿宋_GB2312" w:eastAsia="仿宋_GB2312"/>
          <w:sz w:val="32"/>
          <w:szCs w:val="32"/>
          <w:lang w:val="en-US" w:eastAsia="zh-CN"/>
        </w:rPr>
        <w:t>329.93</w:t>
      </w:r>
      <w:r>
        <w:rPr>
          <w:rFonts w:hint="eastAsia" w:ascii="仿宋_GB2312" w:eastAsia="仿宋_GB2312"/>
          <w:sz w:val="32"/>
          <w:szCs w:val="32"/>
        </w:rPr>
        <w:t>万元，占</w:t>
      </w:r>
      <w:r>
        <w:rPr>
          <w:rFonts w:hint="eastAsia" w:ascii="仿宋_GB2312" w:eastAsia="仿宋_GB2312"/>
          <w:sz w:val="32"/>
          <w:szCs w:val="32"/>
          <w:lang w:val="en-US" w:eastAsia="zh-CN"/>
        </w:rPr>
        <w:t>89.6</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38.09</w:t>
      </w:r>
      <w:r>
        <w:rPr>
          <w:rFonts w:hint="eastAsia" w:ascii="仿宋_GB2312" w:eastAsia="仿宋_GB2312"/>
          <w:sz w:val="32"/>
          <w:szCs w:val="32"/>
        </w:rPr>
        <w:t>万元，占</w:t>
      </w:r>
      <w:r>
        <w:rPr>
          <w:rFonts w:hint="eastAsia" w:ascii="仿宋_GB2312" w:eastAsia="仿宋_GB2312"/>
          <w:sz w:val="32"/>
          <w:szCs w:val="32"/>
          <w:lang w:val="en-US" w:eastAsia="zh-CN"/>
        </w:rPr>
        <w:t>10.3</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61C85B35">
      <w:pPr>
        <w:spacing w:line="600" w:lineRule="exact"/>
        <w:ind w:firstLine="640" w:firstLineChars="200"/>
        <w:outlineLvl w:val="1"/>
        <w:rPr>
          <w:rStyle w:val="26"/>
          <w:rFonts w:ascii="黑体" w:hAnsi="黑体" w:eastAsia="黑体"/>
          <w:b w:val="0"/>
        </w:rPr>
      </w:pPr>
      <w:bookmarkStart w:id="62" w:name="_Toc79163613"/>
      <w:bookmarkStart w:id="63" w:name="_Toc15396606"/>
      <w:bookmarkStart w:id="64" w:name="_Toc15377208"/>
      <w:bookmarkStart w:id="65" w:name="_Toc7916386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62"/>
      <w:bookmarkEnd w:id="63"/>
      <w:bookmarkEnd w:id="64"/>
      <w:bookmarkEnd w:id="65"/>
    </w:p>
    <w:p w14:paraId="182F75C0">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369.04</w:t>
      </w:r>
      <w:r>
        <w:rPr>
          <w:rFonts w:hint="eastAsia" w:ascii="仿宋" w:hAnsi="仿宋" w:eastAsia="仿宋"/>
          <w:color w:val="000000"/>
          <w:sz w:val="32"/>
          <w:szCs w:val="32"/>
        </w:rPr>
        <w:t>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368.02</w:t>
      </w:r>
      <w:r>
        <w:rPr>
          <w:rFonts w:hint="eastAsia" w:ascii="仿宋" w:hAnsi="仿宋" w:eastAsia="仿宋"/>
          <w:color w:val="000000"/>
          <w:sz w:val="32"/>
          <w:szCs w:val="32"/>
        </w:rPr>
        <w:t>万元。与2019年相比，收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40.19</w:t>
      </w:r>
      <w:r>
        <w:rPr>
          <w:rFonts w:hint="eastAsia" w:ascii="仿宋" w:hAnsi="仿宋" w:eastAsia="仿宋"/>
          <w:color w:val="000000"/>
          <w:sz w:val="32"/>
          <w:szCs w:val="32"/>
          <w:lang w:eastAsia="zh-CN"/>
        </w:rPr>
        <w:t>万元，下降</w:t>
      </w:r>
      <w:r>
        <w:rPr>
          <w:rFonts w:hint="eastAsia" w:ascii="仿宋" w:hAnsi="仿宋" w:eastAsia="仿宋"/>
          <w:color w:val="000000"/>
          <w:sz w:val="32"/>
          <w:szCs w:val="32"/>
          <w:lang w:val="en-US" w:eastAsia="zh-CN"/>
        </w:rPr>
        <w:t>10.89</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0.23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p>
    <w:p w14:paraId="5752402B">
      <w:pPr>
        <w:spacing w:line="600" w:lineRule="exact"/>
        <w:ind w:firstLine="640" w:firstLineChars="200"/>
        <w:outlineLvl w:val="1"/>
        <w:rPr>
          <w:rStyle w:val="26"/>
          <w:rFonts w:ascii="黑体" w:hAnsi="黑体" w:eastAsia="黑体"/>
          <w:b w:val="0"/>
        </w:rPr>
      </w:pPr>
      <w:bookmarkStart w:id="66" w:name="_Toc79163614"/>
      <w:bookmarkStart w:id="67" w:name="_Toc79163864"/>
      <w:bookmarkStart w:id="68" w:name="_Toc15396607"/>
      <w:bookmarkStart w:id="69"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66"/>
      <w:bookmarkEnd w:id="67"/>
      <w:bookmarkEnd w:id="68"/>
      <w:bookmarkEnd w:id="69"/>
    </w:p>
    <w:p w14:paraId="0F83D4AB">
      <w:pPr>
        <w:spacing w:line="600" w:lineRule="exact"/>
        <w:ind w:firstLine="643" w:firstLineChars="200"/>
        <w:outlineLvl w:val="2"/>
        <w:rPr>
          <w:rFonts w:ascii="仿宋" w:hAnsi="仿宋" w:eastAsia="仿宋"/>
          <w:b/>
          <w:color w:val="000000"/>
          <w:sz w:val="32"/>
          <w:szCs w:val="32"/>
        </w:rPr>
      </w:pPr>
      <w:bookmarkStart w:id="70" w:name="_Toc15377210"/>
      <w:bookmarkStart w:id="71" w:name="_Toc79163615"/>
      <w:bookmarkStart w:id="72" w:name="_Toc79163865"/>
      <w:r>
        <w:rPr>
          <w:rFonts w:hint="eastAsia" w:ascii="仿宋" w:hAnsi="仿宋" w:eastAsia="仿宋"/>
          <w:b/>
          <w:color w:val="000000"/>
          <w:sz w:val="32"/>
          <w:szCs w:val="32"/>
        </w:rPr>
        <w:t>（一）一般公共预算财政拨款支出决算总体情况</w:t>
      </w:r>
      <w:bookmarkEnd w:id="70"/>
      <w:bookmarkEnd w:id="71"/>
      <w:bookmarkEnd w:id="72"/>
    </w:p>
    <w:p w14:paraId="5D5D11DF">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368.02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0.23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p>
    <w:p w14:paraId="2B790F34">
      <w:pPr>
        <w:spacing w:line="600" w:lineRule="exact"/>
        <w:ind w:firstLine="643" w:firstLineChars="200"/>
        <w:outlineLvl w:val="2"/>
        <w:rPr>
          <w:rFonts w:ascii="仿宋" w:hAnsi="仿宋" w:eastAsia="仿宋"/>
          <w:b/>
          <w:color w:val="000000"/>
          <w:sz w:val="32"/>
          <w:szCs w:val="32"/>
        </w:rPr>
      </w:pPr>
      <w:bookmarkStart w:id="73" w:name="_Toc79163866"/>
      <w:bookmarkStart w:id="74" w:name="_Toc79163616"/>
      <w:bookmarkStart w:id="75" w:name="_Toc15377211"/>
      <w:r>
        <w:rPr>
          <w:rFonts w:hint="eastAsia" w:ascii="仿宋" w:hAnsi="仿宋" w:eastAsia="仿宋"/>
          <w:b/>
          <w:color w:val="000000"/>
          <w:sz w:val="32"/>
          <w:szCs w:val="32"/>
        </w:rPr>
        <w:t>（二）一般公共预算财政拨款支出决算结构情况</w:t>
      </w:r>
      <w:bookmarkEnd w:id="73"/>
      <w:bookmarkEnd w:id="74"/>
      <w:bookmarkEnd w:id="75"/>
    </w:p>
    <w:p w14:paraId="245A0F72">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368.02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297.22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80.76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30.29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17.97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4.8</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color w:val="000000"/>
          <w:sz w:val="32"/>
          <w:szCs w:val="32"/>
          <w:lang w:val="en-US" w:eastAsia="zh-CN"/>
        </w:rPr>
        <w:t>221</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22.54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6.1</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4E13B2B9">
      <w:pPr>
        <w:spacing w:line="600" w:lineRule="exact"/>
        <w:ind w:firstLine="643" w:firstLineChars="200"/>
        <w:outlineLvl w:val="2"/>
        <w:rPr>
          <w:rFonts w:ascii="仿宋" w:hAnsi="仿宋" w:eastAsia="仿宋"/>
          <w:b/>
          <w:color w:val="000000"/>
          <w:sz w:val="32"/>
          <w:szCs w:val="32"/>
        </w:rPr>
      </w:pPr>
      <w:bookmarkStart w:id="76" w:name="_Toc15377212"/>
      <w:bookmarkStart w:id="77" w:name="_Toc79163617"/>
      <w:bookmarkStart w:id="78" w:name="_Toc79163867"/>
      <w:r>
        <w:rPr>
          <w:rFonts w:hint="eastAsia" w:ascii="仿宋" w:hAnsi="仿宋" w:eastAsia="仿宋"/>
          <w:b/>
          <w:color w:val="000000"/>
          <w:sz w:val="32"/>
          <w:szCs w:val="32"/>
        </w:rPr>
        <w:t>（三）一般公共预算财政拨款支出决算具体情况</w:t>
      </w:r>
      <w:bookmarkEnd w:id="76"/>
      <w:bookmarkEnd w:id="77"/>
      <w:bookmarkEnd w:id="78"/>
    </w:p>
    <w:p w14:paraId="1A21BCD6">
      <w:pPr>
        <w:spacing w:line="600" w:lineRule="exact"/>
        <w:ind w:firstLine="643" w:firstLineChars="200"/>
        <w:rPr>
          <w:rFonts w:ascii="仿宋_GB2312" w:eastAsia="仿宋_GB2312"/>
          <w:b/>
          <w:bCs/>
          <w:sz w:val="32"/>
          <w:szCs w:val="32"/>
        </w:rPr>
      </w:pPr>
      <w:bookmarkStart w:id="79" w:name="_Toc15377213"/>
      <w:bookmarkStart w:id="80" w:name="_Toc15378460"/>
      <w:bookmarkStart w:id="81"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368.02</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79"/>
      <w:bookmarkEnd w:id="80"/>
      <w:bookmarkEnd w:id="81"/>
    </w:p>
    <w:p w14:paraId="45068F01">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统战事务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34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行政运行</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259.2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14:paraId="4657C6A6">
      <w:pPr>
        <w:spacing w:line="600" w:lineRule="exact"/>
        <w:ind w:firstLine="643" w:firstLineChars="200"/>
        <w:rPr>
          <w:rStyle w:val="23"/>
          <w:rFonts w:ascii="仿宋" w:hAnsi="仿宋" w:eastAsia="仿宋"/>
          <w:bCs/>
          <w:color w:val="000000"/>
          <w:sz w:val="32"/>
          <w:szCs w:val="32"/>
        </w:rPr>
      </w:pP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统战事务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34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一般行政管理事务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支出决算为</w:t>
      </w:r>
      <w:r>
        <w:rPr>
          <w:rStyle w:val="23"/>
          <w:rFonts w:hint="eastAsia" w:ascii="仿宋" w:hAnsi="仿宋" w:eastAsia="仿宋"/>
          <w:bCs/>
          <w:color w:val="000000"/>
          <w:sz w:val="32"/>
          <w:szCs w:val="32"/>
          <w:lang w:val="en-US" w:eastAsia="zh-CN"/>
        </w:rPr>
        <w:t>8</w:t>
      </w:r>
      <w:r>
        <w:rPr>
          <w:rStyle w:val="23"/>
          <w:rFonts w:hint="eastAsia" w:ascii="仿宋" w:hAnsi="仿宋" w:eastAsia="仿宋"/>
          <w:bCs/>
          <w:color w:val="000000"/>
          <w:sz w:val="32"/>
          <w:szCs w:val="32"/>
        </w:rPr>
        <w:t>万元，完成预算</w:t>
      </w:r>
      <w:r>
        <w:rPr>
          <w:rStyle w:val="23"/>
          <w:rFonts w:hint="eastAsia" w:ascii="仿宋" w:hAnsi="仿宋" w:eastAsia="仿宋"/>
          <w:bCs/>
          <w:color w:val="000000"/>
          <w:sz w:val="32"/>
          <w:szCs w:val="32"/>
          <w:lang w:val="en-US" w:eastAsia="zh-CN"/>
        </w:rPr>
        <w:t>100</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w:t>
      </w:r>
    </w:p>
    <w:p w14:paraId="32FDFA77">
      <w:pPr>
        <w:spacing w:line="600" w:lineRule="exact"/>
        <w:ind w:firstLine="643" w:firstLineChars="200"/>
        <w:rPr>
          <w:rStyle w:val="23"/>
          <w:rFonts w:ascii="仿宋" w:hAnsi="仿宋" w:eastAsia="仿宋"/>
          <w:bCs/>
          <w:color w:val="000000"/>
          <w:sz w:val="32"/>
          <w:szCs w:val="32"/>
        </w:rPr>
      </w:pPr>
      <w:r>
        <w:rPr>
          <w:rStyle w:val="23"/>
          <w:rFonts w:hint="eastAsia" w:ascii="仿宋" w:hAnsi="仿宋" w:eastAsia="仿宋"/>
          <w:bCs/>
          <w:color w:val="000000"/>
          <w:sz w:val="32"/>
          <w:szCs w:val="32"/>
          <w:lang w:val="en-US" w:eastAsia="zh-CN"/>
        </w:rPr>
        <w:t>3</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统战事务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34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宗教事务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04</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 xml:space="preserve">: </w:t>
      </w:r>
      <w:r>
        <w:rPr>
          <w:rStyle w:val="23"/>
          <w:rFonts w:hint="eastAsia" w:ascii="仿宋" w:hAnsi="仿宋" w:eastAsia="仿宋"/>
          <w:bCs/>
          <w:color w:val="000000"/>
          <w:sz w:val="32"/>
          <w:szCs w:val="32"/>
        </w:rPr>
        <w:t>支出决算为</w:t>
      </w:r>
      <w:r>
        <w:rPr>
          <w:rStyle w:val="23"/>
          <w:rFonts w:hint="eastAsia" w:ascii="仿宋" w:hAnsi="仿宋" w:eastAsia="仿宋"/>
          <w:bCs/>
          <w:color w:val="000000"/>
          <w:sz w:val="32"/>
          <w:szCs w:val="32"/>
          <w:lang w:val="en-US" w:eastAsia="zh-CN"/>
        </w:rPr>
        <w:t>1.6</w:t>
      </w:r>
      <w:r>
        <w:rPr>
          <w:rStyle w:val="23"/>
          <w:rFonts w:hint="eastAsia" w:ascii="仿宋" w:hAnsi="仿宋" w:eastAsia="仿宋"/>
          <w:bCs/>
          <w:color w:val="000000"/>
          <w:sz w:val="32"/>
          <w:szCs w:val="32"/>
        </w:rPr>
        <w:t>万元，完成预算</w:t>
      </w:r>
      <w:r>
        <w:rPr>
          <w:rStyle w:val="23"/>
          <w:rFonts w:hint="eastAsia" w:ascii="仿宋" w:hAnsi="仿宋" w:eastAsia="仿宋"/>
          <w:bCs/>
          <w:color w:val="000000"/>
          <w:sz w:val="32"/>
          <w:szCs w:val="32"/>
          <w:lang w:val="en-US" w:eastAsia="zh-CN"/>
        </w:rPr>
        <w:t>100</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w:t>
      </w:r>
    </w:p>
    <w:p w14:paraId="2ADC376E">
      <w:pPr>
        <w:spacing w:line="600" w:lineRule="exact"/>
        <w:ind w:firstLine="643" w:firstLineChars="200"/>
        <w:rPr>
          <w:rStyle w:val="23"/>
          <w:rFonts w:ascii="仿宋" w:hAnsi="仿宋" w:eastAsia="仿宋"/>
          <w:bCs/>
          <w:color w:val="000000"/>
          <w:sz w:val="32"/>
          <w:szCs w:val="32"/>
        </w:rPr>
      </w:pPr>
      <w:r>
        <w:rPr>
          <w:rStyle w:val="23"/>
          <w:rFonts w:hint="eastAsia" w:ascii="仿宋" w:hAnsi="仿宋" w:eastAsia="仿宋"/>
          <w:bCs/>
          <w:color w:val="000000"/>
          <w:sz w:val="32"/>
          <w:szCs w:val="32"/>
          <w:lang w:val="en-US" w:eastAsia="zh-CN"/>
        </w:rPr>
        <w:t>4</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统战事务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34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其他统战事务支出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99</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 xml:space="preserve">: </w:t>
      </w:r>
      <w:r>
        <w:rPr>
          <w:rStyle w:val="23"/>
          <w:rFonts w:hint="eastAsia" w:ascii="仿宋" w:hAnsi="仿宋" w:eastAsia="仿宋"/>
          <w:bCs/>
          <w:color w:val="000000"/>
          <w:sz w:val="32"/>
          <w:szCs w:val="32"/>
        </w:rPr>
        <w:t>支出决算为</w:t>
      </w:r>
      <w:r>
        <w:rPr>
          <w:rStyle w:val="23"/>
          <w:rFonts w:hint="eastAsia" w:ascii="仿宋" w:hAnsi="仿宋" w:eastAsia="仿宋"/>
          <w:bCs/>
          <w:color w:val="000000"/>
          <w:sz w:val="32"/>
          <w:szCs w:val="32"/>
          <w:lang w:val="en-US" w:eastAsia="zh-CN"/>
        </w:rPr>
        <w:t>29.44</w:t>
      </w:r>
      <w:r>
        <w:rPr>
          <w:rStyle w:val="23"/>
          <w:rFonts w:hint="eastAsia" w:ascii="仿宋" w:hAnsi="仿宋" w:eastAsia="仿宋"/>
          <w:bCs/>
          <w:color w:val="000000"/>
          <w:sz w:val="32"/>
          <w:szCs w:val="32"/>
        </w:rPr>
        <w:t>万元，完成预算</w:t>
      </w:r>
      <w:r>
        <w:rPr>
          <w:rStyle w:val="23"/>
          <w:rFonts w:hint="eastAsia" w:ascii="仿宋" w:hAnsi="仿宋" w:eastAsia="仿宋"/>
          <w:bCs/>
          <w:color w:val="000000"/>
          <w:sz w:val="32"/>
          <w:szCs w:val="32"/>
          <w:lang w:val="en-US" w:eastAsia="zh-CN"/>
        </w:rPr>
        <w:t>100</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w:t>
      </w:r>
    </w:p>
    <w:p w14:paraId="1988D342">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行政事业单位养老支出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机关事业单位基本养老保险缴费支出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20.88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14:paraId="25586025">
      <w:pPr>
        <w:spacing w:line="600" w:lineRule="exact"/>
        <w:ind w:firstLine="643" w:firstLineChars="200"/>
        <w:rPr>
          <w:rStyle w:val="23"/>
          <w:rFonts w:ascii="仿宋" w:hAnsi="仿宋" w:eastAsia="仿宋"/>
          <w:bCs/>
          <w:color w:val="000000"/>
          <w:sz w:val="32"/>
          <w:szCs w:val="32"/>
        </w:rPr>
      </w:pPr>
      <w:r>
        <w:rPr>
          <w:rStyle w:val="23"/>
          <w:rFonts w:hint="eastAsia" w:ascii="仿宋" w:hAnsi="仿宋" w:eastAsia="仿宋"/>
          <w:bCs/>
          <w:color w:val="000000"/>
          <w:sz w:val="32"/>
          <w:szCs w:val="32"/>
          <w:lang w:val="en-US" w:eastAsia="zh-CN"/>
        </w:rPr>
        <w:t>6</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行政事业单位养老支出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机关事业单位职业年金缴费支出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06</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 xml:space="preserve">: </w:t>
      </w:r>
      <w:r>
        <w:rPr>
          <w:rStyle w:val="23"/>
          <w:rFonts w:hint="eastAsia" w:ascii="仿宋" w:hAnsi="仿宋" w:eastAsia="仿宋"/>
          <w:bCs/>
          <w:color w:val="000000"/>
          <w:sz w:val="32"/>
          <w:szCs w:val="32"/>
        </w:rPr>
        <w:t>支出决算为</w:t>
      </w:r>
      <w:r>
        <w:rPr>
          <w:rStyle w:val="23"/>
          <w:rFonts w:hint="eastAsia" w:ascii="仿宋" w:hAnsi="仿宋" w:eastAsia="仿宋"/>
          <w:bCs/>
          <w:color w:val="000000"/>
          <w:sz w:val="32"/>
          <w:szCs w:val="32"/>
          <w:lang w:val="en-US" w:eastAsia="zh-CN"/>
        </w:rPr>
        <w:t>9.41</w:t>
      </w:r>
      <w:r>
        <w:rPr>
          <w:rStyle w:val="23"/>
          <w:rFonts w:hint="eastAsia" w:ascii="仿宋" w:hAnsi="仿宋" w:eastAsia="仿宋"/>
          <w:bCs/>
          <w:color w:val="000000"/>
          <w:sz w:val="32"/>
          <w:szCs w:val="32"/>
        </w:rPr>
        <w:t>万元，完成预算</w:t>
      </w:r>
      <w:r>
        <w:rPr>
          <w:rStyle w:val="23"/>
          <w:rFonts w:hint="eastAsia" w:ascii="仿宋" w:hAnsi="仿宋" w:eastAsia="仿宋"/>
          <w:bCs/>
          <w:color w:val="000000"/>
          <w:sz w:val="32"/>
          <w:szCs w:val="32"/>
          <w:lang w:val="en-US" w:eastAsia="zh-CN"/>
        </w:rPr>
        <w:t>100</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w:t>
      </w:r>
    </w:p>
    <w:p w14:paraId="70423F7F">
      <w:p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公共卫生</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重大公共卫生服务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09</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0.07</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14:paraId="204C3303">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8.卫生健康（210）行政事业单位医疗（11）行政单位医疗（01）:</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12.71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hint="eastAsia" w:ascii="仿宋" w:hAnsi="仿宋" w:eastAsia="仿宋"/>
          <w:b w:val="0"/>
          <w:bCs/>
          <w:color w:val="000000"/>
          <w:sz w:val="32"/>
          <w:szCs w:val="32"/>
        </w:rPr>
        <w:t>%。</w:t>
      </w:r>
    </w:p>
    <w:p w14:paraId="600C6BBC">
      <w:pPr>
        <w:spacing w:line="600" w:lineRule="exact"/>
        <w:ind w:firstLine="643" w:firstLineChars="200"/>
        <w:rPr>
          <w:rFonts w:hint="eastAsia" w:ascii="仿宋" w:hAnsi="仿宋" w:eastAsia="仿宋"/>
          <w:color w:val="000000"/>
          <w:sz w:val="32"/>
          <w:szCs w:val="32"/>
        </w:rPr>
      </w:pPr>
      <w:r>
        <w:rPr>
          <w:rStyle w:val="23"/>
          <w:rFonts w:hint="eastAsia" w:ascii="仿宋" w:hAnsi="仿宋" w:eastAsia="仿宋"/>
          <w:bCs/>
          <w:color w:val="000000"/>
          <w:sz w:val="32"/>
          <w:szCs w:val="32"/>
          <w:lang w:val="en-US" w:eastAsia="zh-CN"/>
        </w:rPr>
        <w:t>9.卫生健康（210）行政事业单位医疗（11）公务员医疗补助（03）:</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3.07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14:paraId="7622AA15">
      <w:pPr>
        <w:spacing w:line="600" w:lineRule="exact"/>
        <w:ind w:firstLine="643" w:firstLineChars="200"/>
        <w:rPr>
          <w:rFonts w:hint="eastAsia" w:ascii="仿宋" w:hAnsi="仿宋" w:eastAsia="仿宋"/>
          <w:color w:val="000000"/>
          <w:sz w:val="32"/>
          <w:szCs w:val="32"/>
        </w:rPr>
      </w:pPr>
      <w:r>
        <w:rPr>
          <w:rStyle w:val="23"/>
          <w:rFonts w:hint="eastAsia" w:ascii="仿宋" w:hAnsi="仿宋" w:eastAsia="仿宋"/>
          <w:bCs/>
          <w:color w:val="000000"/>
          <w:sz w:val="32"/>
          <w:szCs w:val="32"/>
          <w:lang w:val="en-US" w:eastAsia="zh-CN"/>
        </w:rPr>
        <w:t>10.卫生健康（210）行政事业单位医疗（11）其他行政事业单位医疗支出（99）:</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2.12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14:paraId="11BD347B">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11.住房保障支出（221）住房改革支出（02）住房公积金（01）:</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22.54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14:paraId="00D4FED0">
      <w:pPr>
        <w:tabs>
          <w:tab w:val="right" w:pos="8306"/>
        </w:tabs>
        <w:spacing w:line="600" w:lineRule="exact"/>
        <w:ind w:firstLine="640"/>
        <w:outlineLvl w:val="1"/>
        <w:rPr>
          <w:rStyle w:val="26"/>
        </w:rPr>
      </w:pPr>
      <w:bookmarkStart w:id="82" w:name="_Toc15377214"/>
      <w:bookmarkStart w:id="83" w:name="_Toc79163868"/>
      <w:bookmarkStart w:id="84" w:name="_Toc79163618"/>
      <w:bookmarkStart w:id="8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82"/>
      <w:bookmarkEnd w:id="83"/>
      <w:bookmarkEnd w:id="84"/>
      <w:bookmarkEnd w:id="85"/>
      <w:r>
        <w:rPr>
          <w:rStyle w:val="26"/>
          <w:rFonts w:ascii="黑体" w:hAnsi="黑体" w:eastAsia="黑体"/>
          <w:b w:val="0"/>
        </w:rPr>
        <w:tab/>
      </w:r>
    </w:p>
    <w:p w14:paraId="798F7C0E">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329.93</w:t>
      </w:r>
      <w:r>
        <w:rPr>
          <w:rFonts w:hint="eastAsia" w:ascii="仿宋" w:hAnsi="仿宋" w:eastAsia="仿宋"/>
          <w:color w:val="000000"/>
          <w:sz w:val="32"/>
          <w:szCs w:val="32"/>
        </w:rPr>
        <w:t>万元，其中：</w:t>
      </w:r>
    </w:p>
    <w:p w14:paraId="1E98AC18">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261.11</w:t>
      </w:r>
      <w:r>
        <w:rPr>
          <w:rFonts w:hint="eastAsia" w:ascii="仿宋" w:hAnsi="仿宋" w:eastAsia="仿宋"/>
          <w:color w:val="000000"/>
          <w:sz w:val="32"/>
          <w:szCs w:val="32"/>
        </w:rPr>
        <w:t>万元，主要包括：基本工资、津贴补贴、奖金、机关事业单位基本养老保险缴费、职业年金缴费、其他社会保障缴费、</w:t>
      </w:r>
      <w:r>
        <w:rPr>
          <w:rFonts w:hint="eastAsia" w:ascii="仿宋" w:hAnsi="仿宋" w:eastAsia="仿宋"/>
          <w:color w:val="000000"/>
          <w:sz w:val="32"/>
          <w:szCs w:val="32"/>
          <w:lang w:eastAsia="zh-CN"/>
        </w:rPr>
        <w:t>职工基本医疗保险、公务员医疗补助、医疗费、</w:t>
      </w:r>
      <w:r>
        <w:rPr>
          <w:rFonts w:hint="eastAsia" w:ascii="仿宋" w:hAnsi="仿宋" w:eastAsia="仿宋"/>
          <w:color w:val="000000"/>
          <w:sz w:val="32"/>
          <w:szCs w:val="32"/>
        </w:rPr>
        <w:t>生活补助、奖励金、住房公积金、其他对个人和家庭的补助支出等。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68.81</w:t>
      </w:r>
      <w:r>
        <w:rPr>
          <w:rFonts w:hint="eastAsia" w:ascii="仿宋" w:hAnsi="仿宋" w:eastAsia="仿宋"/>
          <w:color w:val="000000"/>
          <w:sz w:val="32"/>
          <w:szCs w:val="32"/>
        </w:rPr>
        <w:t>万元，主要包括：办公费、邮电费、差旅费、会议费、培训费、公务接待费、劳务费、工会经费、福利费、公务用车运行维护费、其他商品和服务支出、办公设备购置。</w:t>
      </w:r>
    </w:p>
    <w:p w14:paraId="432FCC7A">
      <w:pPr>
        <w:spacing w:line="600" w:lineRule="exact"/>
        <w:ind w:firstLine="640"/>
        <w:outlineLvl w:val="1"/>
        <w:rPr>
          <w:rStyle w:val="26"/>
          <w:rFonts w:ascii="黑体" w:hAnsi="黑体" w:eastAsia="黑体"/>
          <w:b w:val="0"/>
        </w:rPr>
      </w:pPr>
      <w:bookmarkStart w:id="86" w:name="_Toc15377215"/>
      <w:bookmarkStart w:id="87" w:name="_Toc15396609"/>
      <w:bookmarkStart w:id="88" w:name="_Toc79163869"/>
      <w:bookmarkStart w:id="89"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86"/>
      <w:bookmarkEnd w:id="87"/>
      <w:bookmarkEnd w:id="88"/>
      <w:bookmarkEnd w:id="89"/>
    </w:p>
    <w:p w14:paraId="2112187F">
      <w:pPr>
        <w:spacing w:line="600" w:lineRule="exact"/>
        <w:ind w:firstLine="640"/>
        <w:outlineLvl w:val="2"/>
        <w:rPr>
          <w:rFonts w:ascii="仿宋" w:hAnsi="仿宋" w:eastAsia="仿宋"/>
          <w:b/>
          <w:color w:val="000000"/>
          <w:sz w:val="32"/>
          <w:szCs w:val="32"/>
        </w:rPr>
      </w:pPr>
      <w:bookmarkStart w:id="90" w:name="_Toc79163620"/>
      <w:bookmarkStart w:id="91" w:name="_Toc79163870"/>
      <w:bookmarkStart w:id="92" w:name="_Toc15377216"/>
      <w:r>
        <w:rPr>
          <w:rFonts w:hint="eastAsia" w:ascii="仿宋" w:hAnsi="仿宋" w:eastAsia="仿宋"/>
          <w:b/>
          <w:color w:val="000000"/>
          <w:sz w:val="32"/>
          <w:szCs w:val="32"/>
        </w:rPr>
        <w:t>（一）“三公”经费财政拨款支出决算总体情况说明</w:t>
      </w:r>
      <w:bookmarkEnd w:id="90"/>
      <w:bookmarkEnd w:id="91"/>
      <w:bookmarkEnd w:id="92"/>
    </w:p>
    <w:p w14:paraId="4EB92187">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22.48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14:paraId="21E0B935">
      <w:pPr>
        <w:spacing w:line="600" w:lineRule="exact"/>
        <w:ind w:firstLine="640"/>
        <w:outlineLvl w:val="2"/>
        <w:rPr>
          <w:rFonts w:ascii="仿宋" w:hAnsi="仿宋" w:eastAsia="仿宋"/>
          <w:b/>
          <w:color w:val="000000"/>
          <w:sz w:val="32"/>
          <w:szCs w:val="32"/>
        </w:rPr>
      </w:pPr>
      <w:bookmarkStart w:id="93" w:name="_Toc79163621"/>
      <w:bookmarkStart w:id="94" w:name="_Toc15377217"/>
      <w:bookmarkStart w:id="95" w:name="_Toc79163871"/>
      <w:r>
        <w:rPr>
          <w:rFonts w:hint="eastAsia" w:ascii="仿宋" w:hAnsi="仿宋" w:eastAsia="仿宋"/>
          <w:b/>
          <w:color w:val="000000"/>
          <w:sz w:val="32"/>
          <w:szCs w:val="32"/>
        </w:rPr>
        <w:t>（二）“三公”经费财政拨款支出决算具体情况说明</w:t>
      </w:r>
      <w:bookmarkEnd w:id="93"/>
      <w:bookmarkEnd w:id="94"/>
      <w:bookmarkEnd w:id="95"/>
    </w:p>
    <w:p w14:paraId="69B76FC1">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年“三公”经费财政拨款支出决算中，公务用车购置及运行维护费支出决算</w:t>
      </w:r>
      <w:r>
        <w:rPr>
          <w:rFonts w:hint="eastAsia" w:ascii="仿宋" w:hAnsi="仿宋" w:eastAsia="仿宋"/>
          <w:color w:val="000000"/>
          <w:sz w:val="32"/>
          <w:szCs w:val="32"/>
          <w:lang w:val="en-US" w:eastAsia="zh-CN"/>
        </w:rPr>
        <w:t>22.27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99.06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0.94</w:t>
      </w:r>
      <w:r>
        <w:rPr>
          <w:rFonts w:ascii="仿宋" w:hAnsi="仿宋" w:eastAsia="仿宋"/>
          <w:color w:val="000000"/>
          <w:sz w:val="32"/>
          <w:szCs w:val="32"/>
        </w:rPr>
        <w:t>%</w:t>
      </w:r>
      <w:r>
        <w:rPr>
          <w:rFonts w:hint="eastAsia" w:ascii="仿宋" w:hAnsi="仿宋" w:eastAsia="仿宋"/>
          <w:color w:val="000000"/>
          <w:sz w:val="32"/>
          <w:szCs w:val="32"/>
        </w:rPr>
        <w:t>。具体情况如下：</w:t>
      </w:r>
    </w:p>
    <w:p w14:paraId="37223CE2">
      <w:pPr>
        <w:numPr>
          <w:ilvl w:val="0"/>
          <w:numId w:val="2"/>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p>
    <w:p w14:paraId="211A32EB">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22.27</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11.47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开展灾后重建、精准扶贫、疫情防控及维护稳定等统战工作车辆使用次数增加</w:t>
      </w:r>
      <w:r>
        <w:rPr>
          <w:rFonts w:hint="eastAsia" w:ascii="仿宋_GB2312" w:eastAsia="仿宋_GB2312"/>
          <w:color w:val="000000"/>
          <w:sz w:val="32"/>
          <w:szCs w:val="32"/>
        </w:rPr>
        <w:t>。</w:t>
      </w:r>
    </w:p>
    <w:p w14:paraId="603F3D6A">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7AAEF742">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22.27</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开展灾后重建、精准扶贫、疫情防控及维护稳定等统战工作</w:t>
      </w:r>
      <w:r>
        <w:rPr>
          <w:rFonts w:hint="eastAsia" w:ascii="仿宋_GB2312" w:eastAsia="仿宋_GB2312"/>
          <w:color w:val="000000"/>
          <w:sz w:val="32"/>
          <w:szCs w:val="32"/>
        </w:rPr>
        <w:t>所需的公务用车燃料费、维修费、过路过桥费、保险费等支出。</w:t>
      </w:r>
    </w:p>
    <w:p w14:paraId="138EA6BA">
      <w:pPr>
        <w:numPr>
          <w:ilvl w:val="0"/>
          <w:numId w:val="2"/>
        </w:numPr>
        <w:spacing w:line="600" w:lineRule="exact"/>
        <w:ind w:left="0" w:leftChars="0" w:firstLine="640" w:firstLineChars="0"/>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0.18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600</w:t>
      </w:r>
      <w:r>
        <w:rPr>
          <w:rFonts w:ascii="仿宋_GB2312" w:eastAsia="仿宋_GB2312"/>
          <w:color w:val="000000"/>
          <w:sz w:val="32"/>
          <w:szCs w:val="32"/>
        </w:rPr>
        <w:t>%</w:t>
      </w:r>
      <w:r>
        <w:rPr>
          <w:rFonts w:hint="eastAsia" w:ascii="仿宋_GB2312" w:eastAsia="仿宋_GB2312"/>
          <w:color w:val="000000"/>
          <w:sz w:val="32"/>
          <w:szCs w:val="32"/>
        </w:rPr>
        <w:t>。</w:t>
      </w:r>
    </w:p>
    <w:p w14:paraId="7D717873">
      <w:pPr>
        <w:numPr>
          <w:ilvl w:val="0"/>
          <w:numId w:val="2"/>
        </w:numPr>
        <w:spacing w:line="600" w:lineRule="exact"/>
        <w:ind w:left="0" w:leftChars="0" w:firstLine="640" w:firstLine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0.21万元，主要用于开展统战业务工作用餐费等。国内公务接待4批次，42人次（不包括陪同人员），共计支出0.21万元，具体内容包括：用于开展统战业务工作用餐费等0.21万元。</w:t>
      </w:r>
    </w:p>
    <w:p w14:paraId="3016260C">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p>
    <w:p w14:paraId="34FD1F01">
      <w:pPr>
        <w:spacing w:line="600" w:lineRule="exact"/>
        <w:ind w:firstLine="640"/>
        <w:outlineLvl w:val="1"/>
        <w:rPr>
          <w:rStyle w:val="26"/>
          <w:rFonts w:ascii="黑体" w:hAnsi="黑体" w:eastAsia="黑体"/>
        </w:rPr>
      </w:pPr>
      <w:bookmarkStart w:id="96" w:name="_Toc15377218"/>
      <w:bookmarkStart w:id="97" w:name="_Toc15396610"/>
      <w:bookmarkStart w:id="98" w:name="_Toc79163872"/>
      <w:bookmarkStart w:id="99" w:name="_Toc7916362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96"/>
      <w:bookmarkEnd w:id="97"/>
      <w:bookmarkEnd w:id="98"/>
      <w:bookmarkEnd w:id="99"/>
    </w:p>
    <w:p w14:paraId="7018BF8A">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BE712F2">
      <w:pPr>
        <w:numPr>
          <w:ilvl w:val="0"/>
          <w:numId w:val="3"/>
        </w:numPr>
        <w:spacing w:line="600" w:lineRule="exact"/>
        <w:ind w:firstLine="640"/>
        <w:outlineLvl w:val="1"/>
        <w:rPr>
          <w:rStyle w:val="26"/>
          <w:rFonts w:ascii="黑体" w:hAnsi="黑体" w:eastAsia="黑体"/>
          <w:b w:val="0"/>
        </w:rPr>
      </w:pPr>
      <w:bookmarkStart w:id="100" w:name="_Toc79163873"/>
      <w:bookmarkStart w:id="101" w:name="_Toc15377219"/>
      <w:bookmarkStart w:id="102" w:name="_Toc79163623"/>
      <w:bookmarkStart w:id="103" w:name="_Toc15396611"/>
      <w:r>
        <w:rPr>
          <w:rStyle w:val="26"/>
          <w:rFonts w:hint="eastAsia" w:ascii="黑体" w:hAnsi="黑体" w:eastAsia="黑体"/>
          <w:b w:val="0"/>
        </w:rPr>
        <w:t>国有资本经营预算支出决算情况说明</w:t>
      </w:r>
      <w:bookmarkEnd w:id="100"/>
      <w:bookmarkEnd w:id="101"/>
      <w:bookmarkEnd w:id="102"/>
      <w:bookmarkEnd w:id="103"/>
    </w:p>
    <w:p w14:paraId="2F7F0115">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BD3885A">
      <w:pPr>
        <w:spacing w:line="600" w:lineRule="exact"/>
        <w:ind w:firstLine="800" w:firstLineChars="250"/>
        <w:outlineLvl w:val="1"/>
        <w:rPr>
          <w:rStyle w:val="26"/>
          <w:rFonts w:ascii="黑体" w:hAnsi="黑体" w:eastAsia="黑体"/>
        </w:rPr>
      </w:pPr>
      <w:bookmarkStart w:id="104" w:name="_Toc15396612"/>
      <w:bookmarkStart w:id="105" w:name="_Toc79163874"/>
      <w:bookmarkStart w:id="106" w:name="_Toc15377221"/>
      <w:bookmarkStart w:id="107" w:name="_Toc79163624"/>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104"/>
      <w:bookmarkEnd w:id="105"/>
      <w:bookmarkEnd w:id="106"/>
      <w:bookmarkEnd w:id="107"/>
    </w:p>
    <w:p w14:paraId="64E87D2A">
      <w:pPr>
        <w:spacing w:line="600" w:lineRule="exact"/>
        <w:ind w:firstLine="643" w:firstLineChars="200"/>
        <w:outlineLvl w:val="2"/>
        <w:rPr>
          <w:rFonts w:ascii="仿宋" w:hAnsi="仿宋" w:eastAsia="仿宋"/>
          <w:color w:val="000000"/>
          <w:sz w:val="32"/>
          <w:szCs w:val="32"/>
        </w:rPr>
      </w:pPr>
      <w:bookmarkStart w:id="108" w:name="_Toc79163625"/>
      <w:bookmarkStart w:id="109" w:name="_Toc79163875"/>
      <w:bookmarkStart w:id="110" w:name="_Toc15377222"/>
      <w:r>
        <w:rPr>
          <w:rFonts w:hint="eastAsia" w:ascii="仿宋" w:hAnsi="仿宋" w:eastAsia="仿宋"/>
          <w:b/>
          <w:color w:val="000000"/>
          <w:sz w:val="32"/>
          <w:szCs w:val="32"/>
        </w:rPr>
        <w:t>（一）机关运行经费支出情况</w:t>
      </w:r>
      <w:bookmarkEnd w:id="108"/>
      <w:bookmarkEnd w:id="109"/>
      <w:bookmarkEnd w:id="110"/>
    </w:p>
    <w:p w14:paraId="7DE5DC97">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统战部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68.81</w:t>
      </w:r>
      <w:r>
        <w:rPr>
          <w:rFonts w:hint="eastAsia" w:ascii="仿宋_GB2312" w:eastAsia="仿宋_GB2312"/>
          <w:color w:val="000000"/>
          <w:sz w:val="32"/>
          <w:szCs w:val="32"/>
        </w:rPr>
        <w:t>万元，比201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10.33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13.05</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严格落实厉行节约的原则</w:t>
      </w:r>
    </w:p>
    <w:p w14:paraId="472FD88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1" w:name="_Toc15377223"/>
      <w:bookmarkStart w:id="112" w:name="_Toc79163876"/>
      <w:bookmarkStart w:id="113" w:name="_Toc79163626"/>
      <w:r>
        <w:rPr>
          <w:rFonts w:hint="eastAsia" w:ascii="仿宋" w:hAnsi="仿宋" w:eastAsia="仿宋"/>
          <w:b/>
          <w:color w:val="000000"/>
          <w:sz w:val="32"/>
          <w:szCs w:val="32"/>
        </w:rPr>
        <w:t>（二）政府采购支出情况</w:t>
      </w:r>
      <w:bookmarkEnd w:id="111"/>
      <w:bookmarkEnd w:id="112"/>
      <w:bookmarkEnd w:id="113"/>
    </w:p>
    <w:p w14:paraId="586DC2BA">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统战部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7BCB19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4" w:name="_Toc79163627"/>
      <w:bookmarkStart w:id="115" w:name="_Toc79163877"/>
      <w:bookmarkStart w:id="116" w:name="_Toc15377224"/>
      <w:r>
        <w:rPr>
          <w:rFonts w:hint="eastAsia" w:ascii="仿宋" w:hAnsi="仿宋" w:eastAsia="仿宋"/>
          <w:b/>
          <w:color w:val="000000"/>
          <w:sz w:val="32"/>
          <w:szCs w:val="32"/>
        </w:rPr>
        <w:t>（三）国有资产占有使用情况</w:t>
      </w:r>
      <w:bookmarkEnd w:id="114"/>
      <w:bookmarkEnd w:id="115"/>
      <w:bookmarkEnd w:id="116"/>
    </w:p>
    <w:p w14:paraId="34CE3B59">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统战部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统战部日常工作开展，</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4AA37B5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7" w:name="_Toc79163628"/>
      <w:bookmarkStart w:id="118" w:name="_Toc79163878"/>
      <w:r>
        <w:rPr>
          <w:rFonts w:hint="eastAsia" w:ascii="仿宋" w:hAnsi="仿宋" w:eastAsia="仿宋"/>
          <w:b/>
          <w:color w:val="000000"/>
          <w:sz w:val="32"/>
          <w:szCs w:val="32"/>
        </w:rPr>
        <w:t>（四）预算绩效管理情况。</w:t>
      </w:r>
      <w:bookmarkEnd w:id="117"/>
      <w:bookmarkEnd w:id="118"/>
    </w:p>
    <w:p w14:paraId="7D7259B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根据预算绩效管理要求，本部门在年初预算编制阶段，本部门无专项预算项目，因此未组织开展项目支出绩效评价本部门按要求对20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w:t>
      </w:r>
      <w:r>
        <w:rPr>
          <w:rFonts w:hint="eastAsia" w:ascii="仿宋_GB2312" w:hAnsi="仿宋_GB2312" w:eastAsia="仿宋_GB2312" w:cs="仿宋_GB2312"/>
          <w:sz w:val="32"/>
          <w:szCs w:val="32"/>
          <w:lang w:eastAsia="zh-CN"/>
        </w:rPr>
        <w:t>，本单位各项项目资金其主要用途是确保单位的正常运转，促进各项工作任务顺利完成。在人员经费支出、公共支出严格执行县委县政府的各项制度；在项目经费的使用上，在保证各项任务顺利完成的同时，严格落实厉行节约的原则。</w:t>
      </w:r>
    </w:p>
    <w:p w14:paraId="5E4818F4">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7A69770">
      <w:pPr>
        <w:numPr>
          <w:ilvl w:val="0"/>
          <w:numId w:val="4"/>
        </w:numPr>
        <w:spacing w:line="600" w:lineRule="exact"/>
        <w:ind w:firstLine="660" w:firstLineChars="150"/>
        <w:jc w:val="center"/>
        <w:outlineLvl w:val="0"/>
        <w:rPr>
          <w:rStyle w:val="25"/>
          <w:rFonts w:ascii="黑体" w:hAnsi="黑体" w:eastAsia="黑体"/>
          <w:b w:val="0"/>
        </w:rPr>
      </w:pPr>
      <w:bookmarkStart w:id="119" w:name="_Toc79163629"/>
      <w:bookmarkStart w:id="120" w:name="_Toc15396613"/>
      <w:bookmarkStart w:id="121" w:name="_Toc15377225"/>
      <w:bookmarkStart w:id="122" w:name="_Toc79163879"/>
      <w:r>
        <w:rPr>
          <w:rFonts w:hint="eastAsia" w:ascii="黑体" w:hAnsi="黑体" w:eastAsia="黑体"/>
          <w:color w:val="000000"/>
          <w:sz w:val="44"/>
          <w:szCs w:val="44"/>
        </w:rPr>
        <w:t>名</w:t>
      </w:r>
      <w:r>
        <w:rPr>
          <w:rStyle w:val="25"/>
          <w:rFonts w:hint="eastAsia" w:ascii="黑体" w:hAnsi="黑体" w:eastAsia="黑体"/>
          <w:b w:val="0"/>
        </w:rPr>
        <w:t>词解释</w:t>
      </w:r>
      <w:bookmarkEnd w:id="119"/>
      <w:bookmarkEnd w:id="120"/>
      <w:bookmarkEnd w:id="121"/>
      <w:bookmarkEnd w:id="122"/>
    </w:p>
    <w:p w14:paraId="46126CB0">
      <w:pPr>
        <w:spacing w:line="600" w:lineRule="exact"/>
        <w:jc w:val="left"/>
        <w:rPr>
          <w:rFonts w:ascii="宋体"/>
          <w:b/>
          <w:color w:val="000000"/>
          <w:sz w:val="44"/>
          <w:szCs w:val="44"/>
        </w:rPr>
      </w:pPr>
    </w:p>
    <w:p w14:paraId="0FF0B4D9">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C339F6C">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9F1FB13">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0450C80D">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3A03ADAA">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345E773">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73985BBA">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04FF6B9">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9.</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lang w:eastAsia="zh-CN"/>
        </w:rPr>
        <w:t>）宗教事务</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24</w:t>
      </w:r>
      <w:r>
        <w:rPr>
          <w:rFonts w:hint="eastAsia" w:ascii="仿宋_GB2312" w:eastAsia="仿宋_GB2312"/>
          <w:color w:val="000000"/>
          <w:sz w:val="32"/>
          <w:szCs w:val="32"/>
          <w:lang w:val="en-US" w:eastAsia="zh-CN"/>
        </w:rPr>
        <w:t>)其他宗教事务支出(99)</w:t>
      </w:r>
      <w:r>
        <w:rPr>
          <w:rFonts w:hint="eastAsia" w:ascii="仿宋_GB2312" w:eastAsia="仿宋_GB2312"/>
          <w:color w:val="000000"/>
          <w:sz w:val="32"/>
          <w:szCs w:val="32"/>
          <w:lang w:eastAsia="zh-CN"/>
        </w:rPr>
        <w:t>；是指反映除机关服务、宗教工作专项、事业运行外用于宗教事务方面的支出。</w:t>
      </w:r>
    </w:p>
    <w:p w14:paraId="674F1CB0">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10.一般公共服务支出（201）</w:t>
      </w:r>
      <w:r>
        <w:rPr>
          <w:rFonts w:hint="eastAsia" w:ascii="仿宋_GB2312" w:eastAsia="仿宋_GB2312"/>
          <w:color w:val="000000"/>
          <w:sz w:val="32"/>
          <w:szCs w:val="32"/>
          <w:lang w:eastAsia="zh-CN"/>
        </w:rPr>
        <w:t>统战事务</w:t>
      </w:r>
      <w:r>
        <w:rPr>
          <w:rFonts w:hint="eastAsia" w:ascii="仿宋_GB2312" w:eastAsia="仿宋_GB2312"/>
          <w:color w:val="000000"/>
          <w:sz w:val="32"/>
          <w:szCs w:val="32"/>
          <w:lang w:val="en-US" w:eastAsia="zh-CN"/>
        </w:rPr>
        <w:t>(34）行政运行（01）是指反映行政单位（包括实行公务员管理的事业单位）的基本支出；</w:t>
      </w:r>
    </w:p>
    <w:p w14:paraId="53C93CD0">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lang w:eastAsia="zh-CN"/>
        </w:rPr>
        <w:t>）统战事务</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lang w:eastAsia="zh-CN"/>
        </w:rPr>
        <w:t>）是指反映行政单位</w:t>
      </w:r>
      <w:r>
        <w:rPr>
          <w:rFonts w:hint="eastAsia" w:ascii="仿宋_GB2312" w:eastAsia="仿宋_GB2312"/>
          <w:color w:val="000000"/>
          <w:sz w:val="32"/>
          <w:szCs w:val="32"/>
          <w:lang w:val="en-US" w:eastAsia="zh-CN"/>
        </w:rPr>
        <w:t>（包括实行公务员管理的事业单位）未单独设置项级科目的其他项目支出</w:t>
      </w:r>
      <w:r>
        <w:rPr>
          <w:rFonts w:hint="eastAsia" w:ascii="仿宋_GB2312" w:eastAsia="仿宋_GB2312"/>
          <w:color w:val="000000"/>
          <w:sz w:val="32"/>
          <w:szCs w:val="32"/>
          <w:lang w:eastAsia="zh-CN"/>
        </w:rPr>
        <w:t>；</w:t>
      </w:r>
    </w:p>
    <w:p w14:paraId="7485322F">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lang w:eastAsia="zh-CN"/>
        </w:rPr>
        <w:t>）统战事务</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lang w:eastAsia="zh-CN"/>
        </w:rPr>
        <w:t>其他统战事务支出（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）反映除上述项目以外其他用于中国共产党统战部门的事务支出；</w:t>
      </w:r>
    </w:p>
    <w:p w14:paraId="7A7DF1E4">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lang w:eastAsia="zh-CN"/>
        </w:rPr>
        <w:t>）其他一般公共服务支出（99）其他一般公共服务支出（99）反映上述项目未包括的其他一般公共服务支出。</w:t>
      </w:r>
    </w:p>
    <w:p w14:paraId="4C88A95F">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lang w:eastAsia="zh-CN"/>
        </w:rPr>
        <w:t>）公安（02）一般行政管理事务（02）是指</w:t>
      </w:r>
      <w:r>
        <w:rPr>
          <w:rFonts w:hint="eastAsia" w:ascii="仿宋_GB2312" w:eastAsia="仿宋_GB2312"/>
          <w:color w:val="000000"/>
          <w:sz w:val="32"/>
          <w:szCs w:val="32"/>
          <w:lang w:val="en-US" w:eastAsia="zh-CN"/>
        </w:rPr>
        <w:t>反映行政单位（包括实行公务员管理的事业单位）未单独设置项级科目的其他项目支出。</w:t>
      </w:r>
    </w:p>
    <w:p w14:paraId="2C089FAD">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lang w:eastAsia="zh-CN"/>
        </w:rPr>
        <w:t>）行政事业单位离退休（05）机关事业单位基本养老保险缴费支出（05）是指反映机关事业单位实施养老保险制度由单位缴纳的基本养老保险费支出。</w:t>
      </w:r>
    </w:p>
    <w:p w14:paraId="5E6E00B9">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lang w:eastAsia="zh-CN"/>
        </w:rPr>
        <w:t>医疗卫生与计划生育支出（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lang w:eastAsia="zh-CN"/>
        </w:rPr>
        <w:t>）行政单位医疗（01），</w:t>
      </w:r>
    </w:p>
    <w:p w14:paraId="7F1A4E4C">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lang w:eastAsia="zh-CN"/>
        </w:rPr>
        <w:t>医疗卫生与计划生育支出（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lang w:eastAsia="zh-CN"/>
        </w:rPr>
        <w:t>）是指反映财政部门集中安排的公务员医疗补助经费；</w:t>
      </w:r>
    </w:p>
    <w:p w14:paraId="4A41521A">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lang w:eastAsia="zh-CN"/>
        </w:rPr>
        <w:t>医疗卫生与计划生育支出（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lang w:eastAsia="zh-CN"/>
        </w:rPr>
        <w:t>）其他行政事业单位医疗支出（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）是指反映上述项目以外的其他用于行政事业单位医疗方面的支出。</w:t>
      </w:r>
    </w:p>
    <w:p w14:paraId="5BB75055">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lang w:eastAsia="zh-CN"/>
        </w:rPr>
        <w:t>）住房公积金（01）是指反映行政事业单位按人力资源和社会保障部、财政规定的基本工资和津贴补贴以及规定比例为职工缴纳的住房公积金。</w:t>
      </w:r>
    </w:p>
    <w:p w14:paraId="46436187">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.基本支出：指为保障机构正常运转、完成日常工作任务而发生的人员支出和公用支出。</w:t>
      </w:r>
    </w:p>
    <w:p w14:paraId="6B8EADBA">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 xml:space="preserve">.项目支出：指在基本支出之外为完成特定行政任务和事业发展目标所发生的支出。 </w:t>
      </w:r>
    </w:p>
    <w:p w14:paraId="69986E74">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.经营支出：指事业单位在专业业务活动及其辅助活动之外开展非独立核算经营活动发生的支出。</w:t>
      </w:r>
    </w:p>
    <w:p w14:paraId="458790F3">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A718198">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7EDA17F">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（解释本部门决算报表中全部功能分类科目至项级，请参照《2018年政府收支分类科目》增减内容。）</w:t>
      </w:r>
    </w:p>
    <w:p w14:paraId="7BD057CB">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.基本支出：指为保障机构正常运转、完成日常工作任务而发生的人员支出和公用支出。</w:t>
      </w:r>
    </w:p>
    <w:p w14:paraId="025AF246">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 xml:space="preserve">.项目支出：指在基本支出之外为完成特定行政任务和事业发展目标所发生的支出。 </w:t>
      </w:r>
    </w:p>
    <w:p w14:paraId="6F378400">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.经营支出：指事业单位在专业业务活动及其辅助活动之外开展非独立核算经营活动发生的支出。</w:t>
      </w:r>
    </w:p>
    <w:p w14:paraId="19E5E266">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CCCF933">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2721401">
      <w:pPr>
        <w:spacing w:line="600" w:lineRule="exact"/>
        <w:jc w:val="center"/>
        <w:outlineLvl w:val="0"/>
        <w:rPr>
          <w:rStyle w:val="25"/>
          <w:rFonts w:ascii="黑体" w:hAnsi="黑体" w:eastAsia="黑体"/>
          <w:b w:val="0"/>
        </w:rPr>
      </w:pPr>
      <w:bookmarkStart w:id="123" w:name="_Toc15377226"/>
      <w:r>
        <w:rPr>
          <w:rFonts w:ascii="宋体"/>
          <w:b/>
          <w:color w:val="000000"/>
          <w:sz w:val="44"/>
          <w:szCs w:val="44"/>
        </w:rPr>
        <w:br w:type="page"/>
      </w:r>
      <w:bookmarkStart w:id="124" w:name="_Toc79163630"/>
      <w:bookmarkStart w:id="125" w:name="_Toc15396614"/>
      <w:bookmarkStart w:id="126" w:name="_Toc79163880"/>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24"/>
      <w:bookmarkEnd w:id="125"/>
      <w:bookmarkEnd w:id="126"/>
    </w:p>
    <w:p w14:paraId="2E7437FF">
      <w:pPr>
        <w:spacing w:line="600" w:lineRule="exact"/>
        <w:jc w:val="left"/>
        <w:outlineLvl w:val="0"/>
        <w:rPr>
          <w:rFonts w:ascii="方正小标宋简体" w:hAnsi="方正小标宋简体" w:eastAsia="方正小标宋简体" w:cs="方正小标宋简体"/>
          <w:sz w:val="32"/>
          <w:szCs w:val="32"/>
        </w:rPr>
      </w:pPr>
      <w:bookmarkStart w:id="127" w:name="_Toc79163631"/>
      <w:bookmarkStart w:id="128" w:name="_Toc79163881"/>
      <w:r>
        <w:rPr>
          <w:rFonts w:hint="eastAsia" w:ascii="黑体" w:hAnsi="黑体" w:eastAsia="黑体" w:cs="黑体"/>
          <w:sz w:val="32"/>
          <w:szCs w:val="32"/>
        </w:rPr>
        <w:t>附件</w:t>
      </w:r>
      <w:r>
        <w:rPr>
          <w:rFonts w:ascii="黑体" w:hAnsi="黑体" w:eastAsia="黑体" w:cs="黑体"/>
          <w:sz w:val="32"/>
          <w:szCs w:val="32"/>
        </w:rPr>
        <w:t>1</w:t>
      </w:r>
      <w:bookmarkEnd w:id="127"/>
      <w:bookmarkEnd w:id="128"/>
    </w:p>
    <w:p w14:paraId="29773234">
      <w:pPr>
        <w:spacing w:line="580" w:lineRule="exact"/>
        <w:jc w:val="center"/>
        <w:rPr>
          <w:rFonts w:ascii="方正小标宋简体" w:hAnsi="方正小标宋简体" w:eastAsia="方正小标宋简体" w:cs="方正小标宋简体"/>
          <w:sz w:val="44"/>
          <w:szCs w:val="44"/>
        </w:rPr>
      </w:pPr>
    </w:p>
    <w:p w14:paraId="242881E4">
      <w:pPr>
        <w:spacing w:line="600" w:lineRule="exact"/>
        <w:jc w:val="center"/>
        <w:outlineLvl w:val="0"/>
        <w:rPr>
          <w:rFonts w:ascii="方正小标宋简体" w:hAnsi="黑体" w:eastAsia="方正小标宋简体" w:cs="黑体"/>
          <w:sz w:val="44"/>
          <w:szCs w:val="44"/>
        </w:rPr>
      </w:pPr>
      <w:bookmarkStart w:id="129" w:name="_Toc79163882"/>
      <w:bookmarkStart w:id="130" w:name="_Toc79163632"/>
      <w:r>
        <w:rPr>
          <w:rFonts w:hint="eastAsia" w:ascii="方正小标宋简体" w:hAnsi="黑体" w:eastAsia="方正小标宋简体" w:cs="黑体"/>
          <w:sz w:val="44"/>
          <w:szCs w:val="44"/>
          <w:lang w:eastAsia="zh-CN"/>
        </w:rPr>
        <w:t>统战部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29"/>
      <w:bookmarkEnd w:id="130"/>
    </w:p>
    <w:p w14:paraId="44999EC3">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2DE5584B">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52F49F07">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262FA87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1.</w:t>
      </w:r>
      <w:r>
        <w:rPr>
          <w:rFonts w:hint="eastAsia" w:ascii="仿宋_GB2312" w:hAnsi="宋体" w:eastAsia="仿宋_GB2312" w:cs="宋体"/>
          <w:color w:val="000000"/>
          <w:kern w:val="0"/>
          <w:sz w:val="32"/>
          <w:szCs w:val="32"/>
          <w:shd w:val="clear" w:color="auto" w:fill="FFFFFF"/>
          <w:lang w:val="zh-CN"/>
        </w:rPr>
        <w:t>办公室。承担县委统一战线工作领导小组办公室日常工作。负责内外联系及日常协调工作，承担督查、公文处理、有关文稿起草。负责会务、信访、档案、财务、接待、后勤保障、固定资产管理、审计、保密、保卫、社会服务工作。做好本单位的安全生产和节能减排工作。负责部机关目标管理和组织对有关单位的工作考评。组织开展统战系统信息化建设。负责部机关法律顾问遴选和管理。协调开展统一战线理论政策和相关法规研究,组织起草统战工作重要文稿。统筹规划统一战线规范性文件的拟订工作,组织拟订统一战线工作综合性文件,参与有关法规草案拟订和审核工作。负责拟订统一战线重点课题调研计划,协调部机关和有关研究机构开展研究，组织开展综合性课题调研。负责统一战线史志编纂和信息工作。负责统一战线意识形态、新闻宣传和文化工作，协调做好涉侨、涉港澳统战宣传工作。统筹推进网络统战工作，打造网络统战工作平台，协调开展统一战线舆情分析并会同有关部门进行舆情引导和应急处置。协调指导统战系统宣传工作。开展创建民族团结进步示范县相关工作。负责部机关党群工作，负责机关精神文明建设工作。负责部机关及统战系统干部人事、机构编制、职工工资、社会保险、年度考核等工作，负责部机关退休人员管理和服务工作。负责部机关财务核算工作。</w:t>
      </w:r>
    </w:p>
    <w:p w14:paraId="3B1671C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2.民宗藏胞股。</w:t>
      </w:r>
      <w:r>
        <w:rPr>
          <w:rFonts w:hint="eastAsia" w:ascii="仿宋_GB2312" w:hAnsi="宋体" w:eastAsia="仿宋_GB2312" w:cs="宋体"/>
          <w:color w:val="000000"/>
          <w:kern w:val="0"/>
          <w:sz w:val="32"/>
          <w:szCs w:val="32"/>
          <w:shd w:val="clear" w:color="auto" w:fill="FFFFFF"/>
          <w:lang w:val="zh-CN"/>
        </w:rPr>
        <w:t>承担县委宗教工作领导小组办公室日常工作。开展民族、宗教工作重大问题的调查研究、指导和综合协调工作。研究拟订民族、宗教工作的政策和重大措施。指导党的民族、宗教政策的贯彻落实，协调处理民族、宗教工作中的重大问题。牵头开展统一多民族国情和民族团结进步教育。联系少数民族、宗教界代表人士，做好教育引导工作。根据分工，统筹协调做好少数民族干部工作。统筹开展宗教活动场所依法管理。协调处理宗教领域重要问题。联系宗教界代表人士，做好教育引导工作。联系全县性宗教团体。协调指导宗教团体及院校工作，协助做好寺庙管理委员主要负责人管理工作。承担县对国外藏胞工作领导小组办公室日常工作。负责对境外藏胞工作专题调研、对外宣传和联络、争取、分化工作。负责我</w:t>
      </w:r>
      <w:r>
        <w:rPr>
          <w:rFonts w:hint="eastAsia" w:ascii="仿宋_GB2312" w:hAnsi="宋体" w:eastAsia="仿宋_GB2312" w:cs="宋体"/>
          <w:color w:val="000000"/>
          <w:kern w:val="0"/>
          <w:sz w:val="32"/>
          <w:szCs w:val="32"/>
          <w:shd w:val="clear" w:color="auto" w:fill="FFFFFF"/>
          <w:lang w:val="zh-CN" w:eastAsia="zh-CN"/>
        </w:rPr>
        <w:t>县</w:t>
      </w:r>
      <w:r>
        <w:rPr>
          <w:rFonts w:hint="eastAsia" w:ascii="仿宋_GB2312" w:hAnsi="宋体" w:eastAsia="仿宋_GB2312" w:cs="宋体"/>
          <w:color w:val="000000"/>
          <w:kern w:val="0"/>
          <w:sz w:val="32"/>
          <w:szCs w:val="32"/>
          <w:shd w:val="clear" w:color="auto" w:fill="FFFFFF"/>
          <w:lang w:val="zh-CN"/>
        </w:rPr>
        <w:t>境外藏胞探访、旅游、定居等申请事项的审核工作，负责回国探亲藏胞的接待管理和服务工作。负责境外藏胞、定居藏胞、探亲藏胞和滞留藏胞的建档立卡以及国外藏胞亲属的统计造册工作。负责妥善安置归国定居藏胞工作和定居藏胞的宣传教育工作，协助指导其发展生产。</w:t>
      </w:r>
    </w:p>
    <w:p w14:paraId="10AF67E0">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3.党外工作股。</w:t>
      </w:r>
      <w:r>
        <w:rPr>
          <w:rFonts w:hint="eastAsia" w:ascii="仿宋_GB2312" w:hAnsi="宋体" w:eastAsia="仿宋_GB2312" w:cs="宋体"/>
          <w:color w:val="000000"/>
          <w:kern w:val="0"/>
          <w:sz w:val="32"/>
          <w:szCs w:val="32"/>
          <w:shd w:val="clear" w:color="auto" w:fill="FFFFFF"/>
          <w:lang w:val="zh-CN"/>
        </w:rPr>
        <w:t>负责党外代表人士的政治安排和党外干部的培养、选拔、考察、推荐等工作。负责做好党外代表人士和优秀年轻干部队伍建设工作。负责县领导与党外干部联谊交友工作。负责统一战线教育培训的综合协调、规划和指导。负责拟订党外干部培养计划，建立协商机制。负责党外代表人士档案资料收集、管理及遗孀、遗属联系工作。负责联系、培养无党派人士和党外知识分子代表人士。调查研究无党派代表人士工作并提出政策建议，支持其发挥作用、加强自身建设。贯彻落实党外知识分子政策，调查了解党外知识分子的情况，反映动态。指导和推动高等学校、科研院所、国有企业的党外知识分子统战工作。</w:t>
      </w:r>
    </w:p>
    <w:p w14:paraId="1BEF3AB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4.非公经济股</w:t>
      </w:r>
      <w:r>
        <w:rPr>
          <w:rFonts w:hint="eastAsia" w:ascii="仿宋_GB2312" w:hAnsi="宋体" w:eastAsia="仿宋_GB2312" w:cs="宋体"/>
          <w:color w:val="000000"/>
          <w:kern w:val="0"/>
          <w:sz w:val="32"/>
          <w:szCs w:val="32"/>
          <w:shd w:val="clear" w:color="auto" w:fill="FFFFFF"/>
          <w:lang w:val="zh-CN"/>
        </w:rPr>
        <w:t>。参与拟订、推动落实鼓励支持引导非公制经济发展的政策，了解贯彻落实情况并提出工作建议。开展非公有制经济领域统战工作调查研究，提出政策建议。联系、培养非公有制经济代表人士，开展思想政治工作，了解、反映意见建议，推动构建亲清新型政商关系。联系港澳工商社团及相关人士。组织推动工商联和非公有制经济人士投身公益慈善事业，引导非公有制经济人士开展光彩事业。负责县级领导联系非公有制经济人士和行业商协会工作。协助县工商联做好干部管理工作。联系县工商联。</w:t>
      </w:r>
    </w:p>
    <w:p w14:paraId="778AD269">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5.</w:t>
      </w:r>
      <w:r>
        <w:rPr>
          <w:rFonts w:hint="eastAsia" w:ascii="仿宋_GB2312" w:hAnsi="宋体" w:eastAsia="仿宋_GB2312" w:cs="宋体"/>
          <w:color w:val="000000"/>
          <w:kern w:val="0"/>
          <w:sz w:val="32"/>
          <w:szCs w:val="32"/>
          <w:shd w:val="clear" w:color="auto" w:fill="FFFFFF"/>
          <w:lang w:val="zh-CN"/>
        </w:rPr>
        <w:t>港澳台侨</w:t>
      </w:r>
      <w:r>
        <w:rPr>
          <w:rFonts w:hint="eastAsia" w:ascii="仿宋_GB2312" w:hAnsi="宋体" w:eastAsia="仿宋_GB2312" w:cs="宋体"/>
          <w:color w:val="000000"/>
          <w:kern w:val="0"/>
          <w:sz w:val="32"/>
          <w:szCs w:val="32"/>
          <w:shd w:val="clear" w:color="auto" w:fill="FFFFFF"/>
          <w:lang w:val="zh-CN" w:eastAsia="zh-CN"/>
        </w:rPr>
        <w:t>与新阶人士股</w:t>
      </w:r>
      <w:r>
        <w:rPr>
          <w:rFonts w:hint="eastAsia" w:ascii="仿宋_GB2312" w:hAnsi="宋体" w:eastAsia="仿宋_GB2312" w:cs="宋体"/>
          <w:color w:val="000000"/>
          <w:kern w:val="0"/>
          <w:sz w:val="32"/>
          <w:szCs w:val="32"/>
          <w:shd w:val="clear" w:color="auto" w:fill="FFFFFF"/>
          <w:lang w:val="zh-CN"/>
        </w:rPr>
        <w:t>。调查研究香港、澳门地区统一战线工作并提出政策建议，联系香港、澳门有关团体及代表人士。联系台湾有关党政、团体及人士。指导海外反“独”促统工作。联系、指导、协调统战系统、有关团体的对台统战工作。负责侨情和侨务工作调查研究，拟订全</w:t>
      </w:r>
      <w:r>
        <w:rPr>
          <w:rFonts w:hint="eastAsia" w:ascii="仿宋_GB2312" w:hAnsi="宋体" w:eastAsia="仿宋_GB2312" w:cs="宋体"/>
          <w:color w:val="000000"/>
          <w:kern w:val="0"/>
          <w:sz w:val="32"/>
          <w:szCs w:val="32"/>
          <w:shd w:val="clear" w:color="auto" w:fill="FFFFFF"/>
          <w:lang w:val="zh-CN" w:eastAsia="zh-CN"/>
        </w:rPr>
        <w:t>县</w:t>
      </w:r>
      <w:r>
        <w:rPr>
          <w:rFonts w:hint="eastAsia" w:ascii="仿宋_GB2312" w:hAnsi="宋体" w:eastAsia="仿宋_GB2312" w:cs="宋体"/>
          <w:color w:val="000000"/>
          <w:kern w:val="0"/>
          <w:sz w:val="32"/>
          <w:szCs w:val="32"/>
          <w:shd w:val="clear" w:color="auto" w:fill="FFFFFF"/>
          <w:lang w:val="zh-CN"/>
        </w:rPr>
        <w:t>侨务工作规划并推动贯彻落实。指导协调有关部门和社会团体涉侨工作，统筹协调统战系统、有关团体的涉侨工作。联系海外有关侨团及代表人士，联系、培养新生代代表人士，负责海外侨胞代表人士在相关团战团体的安排，指导代表人士的授容工作。联系归侨侨眷代表人士</w:t>
      </w:r>
      <w:r>
        <w:rPr>
          <w:rFonts w:hint="eastAsia" w:ascii="仿宋_GB2312" w:hAnsi="宋体" w:eastAsia="仿宋_GB2312" w:cs="宋体"/>
          <w:color w:val="000000"/>
          <w:kern w:val="0"/>
          <w:sz w:val="32"/>
          <w:szCs w:val="32"/>
          <w:shd w:val="clear" w:color="auto" w:fill="FFFFFF"/>
          <w:lang w:val="zh-CN" w:eastAsia="zh-CN"/>
        </w:rPr>
        <w:t>，</w:t>
      </w:r>
      <w:r>
        <w:rPr>
          <w:rFonts w:hint="eastAsia" w:ascii="仿宋_GB2312" w:hAnsi="宋体" w:eastAsia="仿宋_GB2312" w:cs="宋体"/>
          <w:color w:val="000000"/>
          <w:kern w:val="0"/>
          <w:sz w:val="32"/>
          <w:szCs w:val="32"/>
          <w:shd w:val="clear" w:color="auto" w:fill="FFFFFF"/>
          <w:lang w:val="zh-CN"/>
        </w:rPr>
        <w:t>做好归侨侨眷代表人士在相关团体的安排工作。统筹协调保护华侨和归侨侨眷在县内的合法权利和利益。承担管理侨务行政事务，承办需请县领导会见重要海外代表人士的审核报批工作，承担相关行政许可证审批事项，指导引进侨资侨智工作并推动相关政策法规贯彻落实，引导海外侨胞在“一带一路”建设中发挥独特作用。拟定涉侨文化交流和华文教育工作规划，指导推动相关工作，协助指导有关团体工作。联系海外华文媒体，开展交流合作。负责部机关及统战系统外事管理工作。开展调查研究新的社会阶层人士工作并提出政策建议。联系、培养新的社会阶层代表人士，了解思想状况，反映意见建议。指导党外知识分子和新的社会阶层人士联谊会建设。协调、指导有关单位和人民团体、统战团体、社会组织等开展新的社会阶层人士统战工作。</w:t>
      </w:r>
    </w:p>
    <w:p w14:paraId="4376BC80">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14:paraId="4E07D02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1" w:name="_Toc5387"/>
      <w:r>
        <w:rPr>
          <w:rFonts w:hint="eastAsia" w:ascii="仿宋_GB2312" w:hAnsi="宋体" w:eastAsia="仿宋_GB2312" w:cs="宋体"/>
          <w:color w:val="000000"/>
          <w:kern w:val="0"/>
          <w:sz w:val="32"/>
          <w:szCs w:val="32"/>
          <w:shd w:val="clear" w:color="auto" w:fill="FFFFFF"/>
          <w:lang w:val="zh-CN" w:eastAsia="zh-CN"/>
        </w:rPr>
        <w:t>1.贯彻落实加强党对统一战线工作集中统一领导的要求，发挥县委在统战工作方面的参谋机构、组织协调机构、具体执行机构、督促检查机构作用，了解情况、掌握政策、协调关系、安排人事、增进共识、加强团结，协调统一战线各方面关系，组织落实党中央、省委、州委和县委关于统一战线工作重大决策部署，巩固壮大最广泛的统一战线。</w:t>
      </w:r>
      <w:bookmarkEnd w:id="131"/>
    </w:p>
    <w:p w14:paraId="6DDFF68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2" w:name="_Toc4044"/>
      <w:r>
        <w:rPr>
          <w:rFonts w:hint="eastAsia" w:ascii="仿宋_GB2312" w:hAnsi="宋体" w:eastAsia="仿宋_GB2312" w:cs="宋体"/>
          <w:color w:val="000000"/>
          <w:kern w:val="0"/>
          <w:sz w:val="32"/>
          <w:szCs w:val="32"/>
          <w:shd w:val="clear" w:color="auto" w:fill="FFFFFF"/>
          <w:lang w:val="zh-CN" w:eastAsia="zh-CN"/>
        </w:rPr>
        <w:t>2.研究拟订统一战线工作的政策，并推动落实，深入调查研究，及时向县委报告统一战线工作情况并提出建议，统筹协调和指导各乡（镇）、各部门（单位）统一战线工作。</w:t>
      </w:r>
      <w:bookmarkEnd w:id="132"/>
    </w:p>
    <w:p w14:paraId="61001927">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3" w:name="_Toc11624"/>
      <w:r>
        <w:rPr>
          <w:rFonts w:hint="eastAsia" w:ascii="仿宋_GB2312" w:hAnsi="宋体" w:eastAsia="仿宋_GB2312" w:cs="宋体"/>
          <w:color w:val="000000"/>
          <w:kern w:val="0"/>
          <w:sz w:val="32"/>
          <w:szCs w:val="32"/>
          <w:shd w:val="clear" w:color="auto" w:fill="FFFFFF"/>
          <w:lang w:val="zh-CN" w:eastAsia="zh-CN"/>
        </w:rPr>
        <w:t>3.负责发现、培养党外代表人士，制定党外干部培养规划，负责党外人士的政治安排，会同有关部门做好安排党外人士担任政府和司法机关等领导职务的工作，推动高等学校、人民团体、科研院所、国有企业党外干部安排工作。协助县工商联做好干部管理工作。反映和协调解决党外代表人士工作生活中的实际困难。</w:t>
      </w:r>
      <w:bookmarkEnd w:id="133"/>
    </w:p>
    <w:p w14:paraId="7708220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4" w:name="_Toc10983"/>
      <w:r>
        <w:rPr>
          <w:rFonts w:hint="eastAsia" w:ascii="仿宋_GB2312" w:hAnsi="宋体" w:eastAsia="仿宋_GB2312" w:cs="宋体"/>
          <w:color w:val="000000"/>
          <w:kern w:val="0"/>
          <w:sz w:val="32"/>
          <w:szCs w:val="32"/>
          <w:shd w:val="clear" w:color="auto" w:fill="FFFFFF"/>
          <w:lang w:val="zh-CN" w:eastAsia="zh-CN"/>
        </w:rPr>
        <w:t>4.贯彻落实党的宣传工作方针，统筹推进全县统一战线宣传和意识形态工作，组织贯彻落实党中央、省委、州委和县委统一战线宣传工作政策和规划，统筹推进网络统战工作，打造网络统战工作平台，研判涉及统一战线的舆情并协调有关部门应对处置。</w:t>
      </w:r>
      <w:bookmarkEnd w:id="134"/>
    </w:p>
    <w:p w14:paraId="67C792EA">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5" w:name="_Toc28581"/>
      <w:r>
        <w:rPr>
          <w:rFonts w:hint="eastAsia" w:ascii="仿宋_GB2312" w:hAnsi="宋体" w:eastAsia="仿宋_GB2312" w:cs="宋体"/>
          <w:color w:val="000000"/>
          <w:kern w:val="0"/>
          <w:sz w:val="32"/>
          <w:szCs w:val="32"/>
          <w:shd w:val="clear" w:color="auto" w:fill="FFFFFF"/>
          <w:lang w:val="zh-CN" w:eastAsia="zh-CN"/>
        </w:rPr>
        <w:t>5.贯彻落实党的民族工作方针，研究拟订民族工作的政策和措施，协调处理民族工作中的重大问题，根据分工，统筹协调做好少数民族干部工作，领导县民族宗教局依法管理民族事务，全面促进民族事业发展。</w:t>
      </w:r>
      <w:bookmarkEnd w:id="135"/>
    </w:p>
    <w:p w14:paraId="00B3628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6" w:name="_Toc26927"/>
      <w:r>
        <w:rPr>
          <w:rFonts w:hint="eastAsia" w:ascii="仿宋_GB2312" w:hAnsi="宋体" w:eastAsia="仿宋_GB2312" w:cs="宋体"/>
          <w:color w:val="000000"/>
          <w:kern w:val="0"/>
          <w:sz w:val="32"/>
          <w:szCs w:val="32"/>
          <w:shd w:val="clear" w:color="auto" w:fill="FFFFFF"/>
          <w:lang w:val="zh-CN" w:eastAsia="zh-CN"/>
        </w:rPr>
        <w:t>6.贯彻落实党的宗教工作基本方针和政策，研究拟订宗教工作的政策措施并督促落实，领导县民族宗教局依法管理宗教行政事务，保护公民宗教信仰自由和正常的宗教活动，维护宗教界合法权益，抵御境外利用宗教进行渗透，引导各宗教坚持中国化方向，巩固和发展同宗教界的爱国统一战线。</w:t>
      </w:r>
      <w:bookmarkEnd w:id="136"/>
    </w:p>
    <w:p w14:paraId="488A031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7" w:name="_Toc26353"/>
      <w:r>
        <w:rPr>
          <w:rFonts w:hint="eastAsia" w:ascii="仿宋_GB2312" w:hAnsi="宋体" w:eastAsia="仿宋_GB2312" w:cs="宋体"/>
          <w:color w:val="000000"/>
          <w:kern w:val="0"/>
          <w:sz w:val="32"/>
          <w:szCs w:val="32"/>
          <w:shd w:val="clear" w:color="auto" w:fill="FFFFFF"/>
          <w:lang w:val="zh-CN" w:eastAsia="zh-CN"/>
        </w:rPr>
        <w:t>7.负责联系、培养无党派代表人士，支持、帮助无党派人士加强自身建设、发挥作用。调查研究全县党外知识分子情况并提出政策建议，联系、培养党外知识分子代表人士，开展思想政治工作。指导高等学校、科研院所、国有企业等有关单位开展统战工作。</w:t>
      </w:r>
      <w:bookmarkEnd w:id="137"/>
    </w:p>
    <w:p w14:paraId="6C17DF0A">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8" w:name="_Toc10615"/>
      <w:r>
        <w:rPr>
          <w:rFonts w:hint="eastAsia" w:ascii="仿宋_GB2312" w:hAnsi="宋体" w:eastAsia="仿宋_GB2312" w:cs="宋体"/>
          <w:color w:val="000000"/>
          <w:kern w:val="0"/>
          <w:sz w:val="32"/>
          <w:szCs w:val="32"/>
          <w:shd w:val="clear" w:color="auto" w:fill="FFFFFF"/>
          <w:lang w:val="zh-CN" w:eastAsia="zh-CN"/>
        </w:rPr>
        <w:t>8.负责联系、培养新的社会阶层代表人士，支持、帮助新的社会阶层人士加强自身建设、发挥作用。调查研究全县新的社会阶层人士情况并提出政策建议，开展思想政治工作，指导社会组织开展新的社会阶层人士统战工作。</w:t>
      </w:r>
      <w:bookmarkEnd w:id="138"/>
    </w:p>
    <w:p w14:paraId="735C955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39" w:name="_Toc32183"/>
      <w:r>
        <w:rPr>
          <w:rFonts w:hint="eastAsia" w:ascii="仿宋_GB2312" w:hAnsi="宋体" w:eastAsia="仿宋_GB2312" w:cs="宋体"/>
          <w:color w:val="000000"/>
          <w:kern w:val="0"/>
          <w:sz w:val="32"/>
          <w:szCs w:val="32"/>
          <w:shd w:val="clear" w:color="auto" w:fill="FFFFFF"/>
          <w:lang w:val="zh-CN" w:eastAsia="zh-CN"/>
        </w:rPr>
        <w:t>9.承担全县非公有制经济协调工作，负责全县非公有制经济代表人士工作，参与制定、推动落实鼓励支持引导非公有制经济发展的政策，调查研究全县非有制经济人士情况并提出政策建议，了解和反映非公有制经济人士的意见，团结、服务、引导、教育非公有制经济人士，促进非公有制经济健康发展和非公有制经济人士健康成长。</w:t>
      </w:r>
      <w:bookmarkEnd w:id="139"/>
    </w:p>
    <w:p w14:paraId="77C5AA6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40" w:name="_Toc32752"/>
      <w:r>
        <w:rPr>
          <w:rFonts w:hint="eastAsia" w:ascii="仿宋_GB2312" w:hAnsi="宋体" w:eastAsia="仿宋_GB2312" w:cs="宋体"/>
          <w:color w:val="000000"/>
          <w:kern w:val="0"/>
          <w:sz w:val="32"/>
          <w:szCs w:val="32"/>
          <w:shd w:val="clear" w:color="auto" w:fill="FFFFFF"/>
          <w:lang w:val="zh-CN" w:eastAsia="zh-CN"/>
        </w:rPr>
        <w:t>10.贯彻落实中央、省委、州委和县委关于对境外藏胞工作的方针、政策。结合我县实际提出实施意见并组织实施。调查了解国外藏胞的动态信息，负责接待和管理来县探访的国外藏胞，负责安置回国定居藏胞并配合有关部门加强对他们的教育和管理工作，负责对国外藏胞重点人物的联络争取工作,负责对国外藏胞和及其家属的宣传教育工作，组织动员国外藏胞为我县经济、教育、文化和卫生事业发展服务。会同有关部门处理我县涉及国外藏胞的重大事件。承担县对国外藏胞工作领导小组办公室日常工作。</w:t>
      </w:r>
      <w:bookmarkEnd w:id="140"/>
    </w:p>
    <w:p w14:paraId="3DB809C0">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41" w:name="_Toc17672"/>
      <w:r>
        <w:rPr>
          <w:rFonts w:hint="eastAsia" w:ascii="仿宋_GB2312" w:hAnsi="宋体" w:eastAsia="仿宋_GB2312" w:cs="宋体"/>
          <w:color w:val="000000"/>
          <w:kern w:val="0"/>
          <w:sz w:val="32"/>
          <w:szCs w:val="32"/>
          <w:shd w:val="clear" w:color="auto" w:fill="FFFFFF"/>
          <w:lang w:val="zh-CN" w:eastAsia="zh-CN"/>
        </w:rPr>
        <w:t>11.统一领导对港澳台统战工作，牵头开展港澳统战工作，开展对台统战工作。贯彻落实中央海外统战工作政策和规划并组织协调、督促检查落实，会同有关部门对香港、澳门地区统一战线工作进行调查研究并提出政策建议，联系香港、澳门、台湾有关党派、团体及代表人士。做好统一战线外事管理工作。</w:t>
      </w:r>
      <w:bookmarkEnd w:id="141"/>
    </w:p>
    <w:p w14:paraId="079938F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42" w:name="_Toc30829"/>
      <w:r>
        <w:rPr>
          <w:rFonts w:hint="eastAsia" w:ascii="仿宋_GB2312" w:hAnsi="宋体" w:eastAsia="仿宋_GB2312" w:cs="宋体"/>
          <w:color w:val="000000"/>
          <w:kern w:val="0"/>
          <w:sz w:val="32"/>
          <w:szCs w:val="32"/>
          <w:shd w:val="clear" w:color="auto" w:fill="FFFFFF"/>
          <w:lang w:val="zh-CN" w:eastAsia="zh-CN"/>
        </w:rPr>
        <w:t>12.统一管理侨务工作，贯彻落实党的侨务工作方针政策，拟订全县侨务工作规划并组织协调、督促检查落实，调查研究侨情和侨务工作情况，管理侨务行政事务，统筹协调有关部门和社会团体涉侨工作，联系海外有关侨团和代表人士，负责海外侨胞代表人士在相关统战团体的安排，指导推动涉侨宣传、文化交流、华文教育工作等，保护华侨和归侨侨眷在县内的合法权利和利益。</w:t>
      </w:r>
      <w:bookmarkEnd w:id="142"/>
    </w:p>
    <w:p w14:paraId="56C2312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bookmarkStart w:id="143" w:name="_Toc25701"/>
      <w:r>
        <w:rPr>
          <w:rFonts w:hint="eastAsia" w:ascii="仿宋_GB2312" w:hAnsi="宋体" w:eastAsia="仿宋_GB2312" w:cs="宋体"/>
          <w:color w:val="000000"/>
          <w:kern w:val="0"/>
          <w:sz w:val="32"/>
          <w:szCs w:val="32"/>
          <w:shd w:val="clear" w:color="auto" w:fill="FFFFFF"/>
          <w:lang w:val="zh-CN" w:eastAsia="zh-CN"/>
        </w:rPr>
        <w:t>13.管理寺庙管理所负责人。受县委委托，领导县工商联党组，指导工商联工作。领导县民族宗教局工作，管理县侨务台湾事务工作。做好统一战线有关单位和团体及事业单位的管理工作。</w:t>
      </w:r>
      <w:bookmarkEnd w:id="143"/>
    </w:p>
    <w:p w14:paraId="58F8BFFA">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bookmarkStart w:id="144" w:name="_Toc9080"/>
      <w:r>
        <w:rPr>
          <w:rFonts w:hint="eastAsia" w:ascii="仿宋_GB2312" w:hAnsi="宋体" w:eastAsia="仿宋_GB2312" w:cs="宋体"/>
          <w:color w:val="000000"/>
          <w:kern w:val="0"/>
          <w:sz w:val="32"/>
          <w:szCs w:val="32"/>
          <w:shd w:val="clear" w:color="auto" w:fill="FFFFFF"/>
          <w:lang w:val="zh-CN" w:eastAsia="zh-CN"/>
        </w:rPr>
        <w:t>14.完成县委交办的其他任务。</w:t>
      </w:r>
      <w:bookmarkEnd w:id="144"/>
    </w:p>
    <w:p w14:paraId="30217CE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716F62A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县委统战部行政编制14名。其中部长1名</w:t>
      </w:r>
      <w:r>
        <w:rPr>
          <w:rFonts w:hint="eastAsia" w:ascii="仿宋_GB2312" w:hAnsi="宋体" w:eastAsia="仿宋_GB2312" w:cs="宋体"/>
          <w:color w:val="000000"/>
          <w:kern w:val="0"/>
          <w:sz w:val="32"/>
          <w:szCs w:val="32"/>
          <w:shd w:val="clear" w:color="auto" w:fill="FFFFFF"/>
          <w:lang w:val="zh-CN" w:eastAsia="zh-CN"/>
        </w:rPr>
        <w:t>（由县领导兼任）</w:t>
      </w:r>
      <w:r>
        <w:rPr>
          <w:rFonts w:hint="eastAsia" w:ascii="仿宋_GB2312" w:hAnsi="宋体" w:eastAsia="仿宋_GB2312" w:cs="宋体"/>
          <w:color w:val="000000"/>
          <w:kern w:val="0"/>
          <w:sz w:val="32"/>
          <w:szCs w:val="32"/>
          <w:shd w:val="clear" w:color="auto" w:fill="FFFFFF"/>
          <w:lang w:val="zh-CN"/>
        </w:rPr>
        <w:t>，常务副部长1名（正科级），副部长2名（不含兼职），县对国外藏胞工作领导小组办公室主任1名（副科级），股级领导职数5名。机关工勤</w:t>
      </w:r>
      <w:r>
        <w:rPr>
          <w:rFonts w:hint="eastAsia" w:ascii="仿宋_GB2312" w:hAnsi="宋体" w:eastAsia="仿宋_GB2312" w:cs="宋体"/>
          <w:color w:val="000000"/>
          <w:kern w:val="0"/>
          <w:sz w:val="32"/>
          <w:szCs w:val="32"/>
          <w:shd w:val="clear" w:color="auto" w:fill="FFFFFF"/>
          <w:lang w:val="zh-CN" w:eastAsia="zh-CN"/>
        </w:rPr>
        <w:t>人员事业</w:t>
      </w:r>
      <w:r>
        <w:rPr>
          <w:rFonts w:hint="eastAsia" w:ascii="仿宋_GB2312" w:hAnsi="宋体" w:eastAsia="仿宋_GB2312" w:cs="宋体"/>
          <w:color w:val="000000"/>
          <w:kern w:val="0"/>
          <w:sz w:val="32"/>
          <w:szCs w:val="32"/>
          <w:shd w:val="clear" w:color="auto" w:fill="FFFFFF"/>
          <w:lang w:val="zh-CN"/>
        </w:rPr>
        <w:t>编制1名。</w:t>
      </w:r>
    </w:p>
    <w:p w14:paraId="3767471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2B816DF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（一）部门财政资金收入情况。</w:t>
      </w:r>
    </w:p>
    <w:p w14:paraId="765AE7D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2020年本年收入合计369.04万元，其中：一般公共预算财政拨款收入369.04万元，占100%；政府性基金预算财政拨款收入0万元，占0%；上级补助收入0万元，占0%；事业收入0万元，占0%；经营收入0万元，占0%；附属单位上缴收入0万元，占0%；其他收入0万元，占0%。</w:t>
      </w:r>
    </w:p>
    <w:p w14:paraId="150848C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部门财政资金支出情况。</w:t>
      </w:r>
    </w:p>
    <w:p w14:paraId="78BA05C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2020年本年支出合计368.02万元，其中：基本支出329.93万元，占89.6%；项目支出38.09万元，占10.3%；上缴上级支出0万元，占0%；经营支出0万元，占0%；对附属单位补助支出0万元，占0%。</w:t>
      </w:r>
    </w:p>
    <w:p w14:paraId="5C2DFCCB">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554D6CD2">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6773D5A7">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宋体"/>
          <w:color w:val="000000"/>
          <w:kern w:val="0"/>
          <w:sz w:val="32"/>
          <w:szCs w:val="32"/>
          <w:lang w:val="zh-CN"/>
        </w:rPr>
        <w:t>（一）预算编制情况。</w:t>
      </w:r>
    </w:p>
    <w:p w14:paraId="5F7CA8B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1.按照综合预算的原则，中共九寨沟县委统战部所有收入和支出均纳入部门预算管理。收入包括：一般公共预算拨款收入369.04万元；支出包括：一般公共服务支出</w:t>
      </w:r>
      <w:r>
        <w:rPr>
          <w:rFonts w:hint="eastAsia" w:ascii="仿宋_GB2312" w:hAnsi="宋体" w:eastAsia="仿宋_GB2312" w:cs="宋体"/>
          <w:color w:val="000000"/>
          <w:kern w:val="0"/>
          <w:sz w:val="32"/>
          <w:szCs w:val="32"/>
          <w:shd w:val="clear" w:color="auto" w:fill="FFFFFF"/>
          <w:lang w:val="en-US" w:eastAsia="zh-CN"/>
        </w:rPr>
        <w:t>297.22</w:t>
      </w:r>
      <w:r>
        <w:rPr>
          <w:rFonts w:hint="eastAsia" w:ascii="仿宋_GB2312" w:hAnsi="宋体" w:eastAsia="仿宋_GB2312" w:cs="宋体"/>
          <w:color w:val="000000"/>
          <w:kern w:val="0"/>
          <w:sz w:val="32"/>
          <w:szCs w:val="32"/>
          <w:shd w:val="clear" w:color="auto" w:fill="FFFFFF"/>
          <w:lang w:val="zh-CN" w:eastAsia="zh-CN"/>
        </w:rPr>
        <w:t>万元；社会保障和就业支出</w:t>
      </w:r>
      <w:r>
        <w:rPr>
          <w:rFonts w:hint="eastAsia" w:ascii="仿宋_GB2312" w:hAnsi="宋体" w:eastAsia="仿宋_GB2312" w:cs="宋体"/>
          <w:color w:val="000000"/>
          <w:kern w:val="0"/>
          <w:sz w:val="32"/>
          <w:szCs w:val="32"/>
          <w:shd w:val="clear" w:color="auto" w:fill="FFFFFF"/>
          <w:lang w:val="en-US" w:eastAsia="zh-CN"/>
        </w:rPr>
        <w:t>30.29</w:t>
      </w:r>
      <w:r>
        <w:rPr>
          <w:rFonts w:hint="eastAsia" w:ascii="仿宋_GB2312" w:hAnsi="宋体" w:eastAsia="仿宋_GB2312" w:cs="宋体"/>
          <w:color w:val="000000"/>
          <w:kern w:val="0"/>
          <w:sz w:val="32"/>
          <w:szCs w:val="32"/>
          <w:shd w:val="clear" w:color="auto" w:fill="FFFFFF"/>
          <w:lang w:val="zh-CN" w:eastAsia="zh-CN"/>
        </w:rPr>
        <w:t>万元；卫生健康支出</w:t>
      </w:r>
      <w:r>
        <w:rPr>
          <w:rFonts w:hint="eastAsia" w:ascii="仿宋_GB2312" w:hAnsi="宋体" w:eastAsia="仿宋_GB2312" w:cs="宋体"/>
          <w:color w:val="000000"/>
          <w:kern w:val="0"/>
          <w:sz w:val="32"/>
          <w:szCs w:val="32"/>
          <w:shd w:val="clear" w:color="auto" w:fill="FFFFFF"/>
          <w:lang w:val="en-US" w:eastAsia="zh-CN"/>
        </w:rPr>
        <w:t>17.97</w:t>
      </w:r>
      <w:r>
        <w:rPr>
          <w:rFonts w:hint="eastAsia" w:ascii="仿宋_GB2312" w:hAnsi="宋体" w:eastAsia="仿宋_GB2312" w:cs="宋体"/>
          <w:color w:val="000000"/>
          <w:kern w:val="0"/>
          <w:sz w:val="32"/>
          <w:szCs w:val="32"/>
          <w:shd w:val="clear" w:color="auto" w:fill="FFFFFF"/>
          <w:lang w:val="zh-CN" w:eastAsia="zh-CN"/>
        </w:rPr>
        <w:t>万元；住房保障支出</w:t>
      </w:r>
      <w:r>
        <w:rPr>
          <w:rFonts w:hint="eastAsia" w:ascii="仿宋_GB2312" w:hAnsi="宋体" w:eastAsia="仿宋_GB2312" w:cs="宋体"/>
          <w:color w:val="000000"/>
          <w:kern w:val="0"/>
          <w:sz w:val="32"/>
          <w:szCs w:val="32"/>
          <w:shd w:val="clear" w:color="auto" w:fill="FFFFFF"/>
          <w:lang w:val="en-US" w:eastAsia="zh-CN"/>
        </w:rPr>
        <w:t>22.54</w:t>
      </w:r>
      <w:r>
        <w:rPr>
          <w:rFonts w:hint="eastAsia" w:ascii="仿宋_GB2312" w:hAnsi="宋体" w:eastAsia="仿宋_GB2312" w:cs="宋体"/>
          <w:color w:val="000000"/>
          <w:kern w:val="0"/>
          <w:sz w:val="32"/>
          <w:szCs w:val="32"/>
          <w:shd w:val="clear" w:color="auto" w:fill="FFFFFF"/>
          <w:lang w:val="zh-CN" w:eastAsia="zh-CN"/>
        </w:rPr>
        <w:t>万元。</w:t>
      </w:r>
    </w:p>
    <w:p w14:paraId="7C03056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2.三公经费使用情况：</w:t>
      </w:r>
    </w:p>
    <w:p w14:paraId="049BAC7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20</w:t>
      </w:r>
      <w:r>
        <w:rPr>
          <w:rFonts w:hint="eastAsia" w:ascii="仿宋_GB2312" w:hAnsi="宋体" w:eastAsia="仿宋_GB2312" w:cs="宋体"/>
          <w:color w:val="000000"/>
          <w:kern w:val="0"/>
          <w:sz w:val="32"/>
          <w:szCs w:val="32"/>
          <w:shd w:val="clear" w:color="auto" w:fill="FFFFFF"/>
          <w:lang w:val="en-US" w:eastAsia="zh-CN"/>
        </w:rPr>
        <w:t>20</w:t>
      </w:r>
      <w:r>
        <w:rPr>
          <w:rFonts w:hint="eastAsia" w:ascii="仿宋_GB2312" w:hAnsi="宋体" w:eastAsia="仿宋_GB2312" w:cs="宋体"/>
          <w:color w:val="000000"/>
          <w:kern w:val="0"/>
          <w:sz w:val="32"/>
          <w:szCs w:val="32"/>
          <w:shd w:val="clear" w:color="auto" w:fill="FFFFFF"/>
          <w:lang w:val="zh-CN" w:eastAsia="zh-CN"/>
        </w:rPr>
        <w:t>年三公经费支出为22.48万元，其中公务用车运行维护费为</w:t>
      </w:r>
      <w:r>
        <w:rPr>
          <w:rFonts w:hint="eastAsia" w:ascii="仿宋_GB2312" w:hAnsi="宋体" w:eastAsia="仿宋_GB2312" w:cs="宋体"/>
          <w:color w:val="000000"/>
          <w:kern w:val="0"/>
          <w:sz w:val="32"/>
          <w:szCs w:val="32"/>
          <w:shd w:val="clear" w:color="auto" w:fill="FFFFFF"/>
          <w:lang w:val="en-US" w:eastAsia="zh-CN"/>
        </w:rPr>
        <w:t>22.27</w:t>
      </w:r>
      <w:r>
        <w:rPr>
          <w:rFonts w:hint="eastAsia" w:ascii="仿宋_GB2312" w:hAnsi="宋体" w:eastAsia="仿宋_GB2312" w:cs="宋体"/>
          <w:color w:val="000000"/>
          <w:kern w:val="0"/>
          <w:sz w:val="32"/>
          <w:szCs w:val="32"/>
          <w:shd w:val="clear" w:color="auto" w:fill="FFFFFF"/>
          <w:lang w:val="zh-CN" w:eastAsia="zh-CN"/>
        </w:rPr>
        <w:t>万元，公务接待费为0.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lang w:val="zh-CN" w:eastAsia="zh-CN"/>
        </w:rPr>
        <w:t>万元。</w:t>
      </w:r>
    </w:p>
    <w:p w14:paraId="45CC9C1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楷体" w:hAnsi="楷体" w:eastAsia="楷体" w:cs="宋体"/>
          <w:color w:val="000000"/>
          <w:kern w:val="0"/>
          <w:sz w:val="32"/>
          <w:szCs w:val="32"/>
          <w:lang w:val="zh-CN" w:eastAsia="zh-CN"/>
        </w:rPr>
        <w:t>（二）执行管理情况。</w:t>
      </w:r>
      <w:r>
        <w:rPr>
          <w:rFonts w:hint="eastAsia" w:ascii="仿宋_GB2312" w:hAnsi="宋体" w:eastAsia="仿宋_GB2312" w:cs="宋体"/>
          <w:color w:val="000000"/>
          <w:kern w:val="0"/>
          <w:sz w:val="32"/>
          <w:szCs w:val="32"/>
          <w:shd w:val="clear" w:color="auto" w:fill="FFFFFF"/>
          <w:lang w:val="zh-CN" w:eastAsia="zh-CN"/>
        </w:rPr>
        <w:tab/>
      </w:r>
    </w:p>
    <w:p w14:paraId="5C2FB05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1.中共九寨沟县委统战部2020年度收入总计369.04万元、支出总计368.02万元。与2019年相比，收入减少40.19万元，下降10.89%，支出减少0.23万元，下降0.06%。主要变动原因是项目减少。</w:t>
      </w:r>
    </w:p>
    <w:p w14:paraId="1EB2AB0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收入包括：本年一般公共预算拨款收入</w:t>
      </w:r>
      <w:r>
        <w:rPr>
          <w:rFonts w:hint="eastAsia" w:ascii="仿宋_GB2312" w:hAnsi="宋体" w:eastAsia="仿宋_GB2312" w:cs="宋体"/>
          <w:color w:val="000000"/>
          <w:kern w:val="0"/>
          <w:sz w:val="32"/>
          <w:szCs w:val="32"/>
          <w:shd w:val="clear" w:color="auto" w:fill="FFFFFF"/>
          <w:lang w:val="en-US" w:eastAsia="zh-CN"/>
        </w:rPr>
        <w:t>369.04</w:t>
      </w:r>
      <w:r>
        <w:rPr>
          <w:rFonts w:hint="eastAsia" w:ascii="仿宋_GB2312" w:hAnsi="宋体" w:eastAsia="仿宋_GB2312" w:cs="宋体"/>
          <w:color w:val="000000"/>
          <w:kern w:val="0"/>
          <w:sz w:val="32"/>
          <w:szCs w:val="32"/>
          <w:shd w:val="clear" w:color="auto" w:fill="FFFFFF"/>
          <w:lang w:val="zh-CN" w:eastAsia="zh-CN"/>
        </w:rPr>
        <w:t>万元；支出包括：一般公共服务支出</w:t>
      </w:r>
      <w:r>
        <w:rPr>
          <w:rFonts w:hint="eastAsia" w:ascii="仿宋_GB2312" w:hAnsi="宋体" w:eastAsia="仿宋_GB2312" w:cs="宋体"/>
          <w:color w:val="000000"/>
          <w:kern w:val="0"/>
          <w:sz w:val="32"/>
          <w:szCs w:val="32"/>
          <w:shd w:val="clear" w:color="auto" w:fill="FFFFFF"/>
          <w:lang w:val="en-US" w:eastAsia="zh-CN"/>
        </w:rPr>
        <w:t>297.22</w:t>
      </w:r>
      <w:r>
        <w:rPr>
          <w:rFonts w:hint="eastAsia" w:ascii="仿宋_GB2312" w:hAnsi="宋体" w:eastAsia="仿宋_GB2312" w:cs="宋体"/>
          <w:color w:val="000000"/>
          <w:kern w:val="0"/>
          <w:sz w:val="32"/>
          <w:szCs w:val="32"/>
          <w:shd w:val="clear" w:color="auto" w:fill="FFFFFF"/>
          <w:lang w:val="zh-CN" w:eastAsia="zh-CN"/>
        </w:rPr>
        <w:t>万元；社会保障和就业支出</w:t>
      </w:r>
      <w:r>
        <w:rPr>
          <w:rFonts w:hint="eastAsia" w:ascii="仿宋_GB2312" w:hAnsi="宋体" w:eastAsia="仿宋_GB2312" w:cs="宋体"/>
          <w:color w:val="000000"/>
          <w:kern w:val="0"/>
          <w:sz w:val="32"/>
          <w:szCs w:val="32"/>
          <w:shd w:val="clear" w:color="auto" w:fill="FFFFFF"/>
          <w:lang w:val="en-US" w:eastAsia="zh-CN"/>
        </w:rPr>
        <w:t>30.29</w:t>
      </w:r>
      <w:r>
        <w:rPr>
          <w:rFonts w:hint="eastAsia" w:ascii="仿宋_GB2312" w:hAnsi="宋体" w:eastAsia="仿宋_GB2312" w:cs="宋体"/>
          <w:color w:val="000000"/>
          <w:kern w:val="0"/>
          <w:sz w:val="32"/>
          <w:szCs w:val="32"/>
          <w:shd w:val="clear" w:color="auto" w:fill="FFFFFF"/>
          <w:lang w:val="zh-CN" w:eastAsia="zh-CN"/>
        </w:rPr>
        <w:t>万元；卫生健康支出</w:t>
      </w:r>
      <w:r>
        <w:rPr>
          <w:rFonts w:hint="eastAsia" w:ascii="仿宋_GB2312" w:hAnsi="宋体" w:eastAsia="仿宋_GB2312" w:cs="宋体"/>
          <w:color w:val="000000"/>
          <w:kern w:val="0"/>
          <w:sz w:val="32"/>
          <w:szCs w:val="32"/>
          <w:shd w:val="clear" w:color="auto" w:fill="FFFFFF"/>
          <w:lang w:val="en-US" w:eastAsia="zh-CN"/>
        </w:rPr>
        <w:t>17.97</w:t>
      </w:r>
      <w:r>
        <w:rPr>
          <w:rFonts w:hint="eastAsia" w:ascii="仿宋_GB2312" w:hAnsi="宋体" w:eastAsia="仿宋_GB2312" w:cs="宋体"/>
          <w:color w:val="000000"/>
          <w:kern w:val="0"/>
          <w:sz w:val="32"/>
          <w:szCs w:val="32"/>
          <w:shd w:val="clear" w:color="auto" w:fill="FFFFFF"/>
          <w:lang w:val="zh-CN" w:eastAsia="zh-CN"/>
        </w:rPr>
        <w:t>万元；住房保障支出</w:t>
      </w:r>
      <w:r>
        <w:rPr>
          <w:rFonts w:hint="eastAsia" w:ascii="仿宋_GB2312" w:hAnsi="宋体" w:eastAsia="仿宋_GB2312" w:cs="宋体"/>
          <w:color w:val="000000"/>
          <w:kern w:val="0"/>
          <w:sz w:val="32"/>
          <w:szCs w:val="32"/>
          <w:shd w:val="clear" w:color="auto" w:fill="FFFFFF"/>
          <w:lang w:val="en-US" w:eastAsia="zh-CN"/>
        </w:rPr>
        <w:t>22.54</w:t>
      </w:r>
      <w:r>
        <w:rPr>
          <w:rFonts w:hint="eastAsia" w:ascii="仿宋_GB2312" w:hAnsi="宋体" w:eastAsia="仿宋_GB2312" w:cs="宋体"/>
          <w:color w:val="000000"/>
          <w:kern w:val="0"/>
          <w:sz w:val="32"/>
          <w:szCs w:val="32"/>
          <w:shd w:val="clear" w:color="auto" w:fill="FFFFFF"/>
          <w:lang w:val="zh-CN" w:eastAsia="zh-CN"/>
        </w:rPr>
        <w:t>万元。</w:t>
      </w:r>
    </w:p>
    <w:p w14:paraId="325EF59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一般公共预算当年拨款结构情况</w:t>
      </w:r>
    </w:p>
    <w:p w14:paraId="06811FF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一般公共服务（201）支出297.22万元，占80.76%；社会保障和就业（208）支出30.29万元，占8.2%；卫生健康（210）支出17.97万元，占4.8%；住房保障（221）支出22.54万元，占6.1%。</w:t>
      </w:r>
    </w:p>
    <w:p w14:paraId="52EDEEEE">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一般公共预算当年拨款具体使用情况</w:t>
      </w:r>
    </w:p>
    <w:p w14:paraId="39788A8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1.一般公共服务（201）统战事务（34）行政运行（01）: 支出决算为259.2万元，主要用于：保障单位正常运转。</w:t>
      </w:r>
    </w:p>
    <w:p w14:paraId="429021F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2.一般公共服务（201）统战事务（34）一般行政管理事务（02）:支出决算为8万元。</w:t>
      </w:r>
    </w:p>
    <w:p w14:paraId="0E4AD3F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3.一般公共服务（201）统战事务（34）宗教事务（04）: 支出决算为1.6万元。</w:t>
      </w:r>
    </w:p>
    <w:p w14:paraId="7C46DD4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4.一般公共服务（201）统战事务（34）其他统战事务支出（99）: 支出决算为29.44万元。</w:t>
      </w:r>
    </w:p>
    <w:p w14:paraId="51DD6F4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5.社会保障和就业（208）行政事业单位养老支出（05）机关事业单位基本养老保险缴费支出（05）: 支出决算为20.88万元。</w:t>
      </w:r>
    </w:p>
    <w:p w14:paraId="22DC207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6.社会保障和就业（208）行政事业单位养老支出（05）机关事业单位职业年金缴费支出（06）: 支出决算为9.41万元。</w:t>
      </w:r>
    </w:p>
    <w:p w14:paraId="64A57B5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7.卫生健康（210）公共卫生（04）重大公共卫生服务（09）:支出决算为0.07万元。</w:t>
      </w:r>
    </w:p>
    <w:p w14:paraId="3A5F8CE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8.卫生健康（210）行政事业单位医疗（11）行政单位医疗（01）:支出决算为12.71万元。</w:t>
      </w:r>
    </w:p>
    <w:p w14:paraId="5EA0C74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9.卫生健康（210）行政事业单位医疗（11）公务员医疗补助（03）:支出决算为3.07万元。</w:t>
      </w:r>
    </w:p>
    <w:p w14:paraId="02AE5E6E">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10.卫生健康（210）行政事业单位医疗（11）其他行政事业单位医疗支出（99）:支出决算为2.12万元。</w:t>
      </w:r>
    </w:p>
    <w:p w14:paraId="74D3B34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11.住房保障支出（221）住房改革支出（02）住房公积金（01）:支出决算为22.54万元。</w:t>
      </w:r>
    </w:p>
    <w:p w14:paraId="68A5AB7E">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楷体" w:hAnsi="楷体" w:eastAsia="楷体" w:cs="宋体"/>
          <w:color w:val="000000"/>
          <w:kern w:val="0"/>
          <w:sz w:val="32"/>
          <w:szCs w:val="32"/>
          <w:lang w:val="zh-CN" w:eastAsia="zh-CN"/>
        </w:rPr>
        <w:t>（三）综合管理情况。</w:t>
      </w:r>
    </w:p>
    <w:p w14:paraId="342285B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各项目资金都安排责任人，按资金的用途专款专用。在使用资金时，严格执行资金使用制度和财务制度，同时对各资金的使用流程进行监督，定时查看财务表报检查专项资金使用情况。</w:t>
      </w:r>
    </w:p>
    <w:p w14:paraId="6C9D800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（四）整体绩效。</w:t>
      </w:r>
    </w:p>
    <w:p w14:paraId="73251E6C">
      <w:pPr>
        <w:widowControl/>
        <w:adjustRightInd w:val="0"/>
        <w:snapToGrid w:val="0"/>
        <w:spacing w:line="580" w:lineRule="exact"/>
        <w:ind w:firstLine="640" w:firstLineChars="200"/>
        <w:contextualSpacing/>
        <w:jc w:val="left"/>
        <w:rPr>
          <w:rFonts w:hint="eastAsia"/>
          <w:lang w:val="zh-CN" w:eastAsia="zh-CN"/>
        </w:rPr>
      </w:pPr>
      <w:r>
        <w:rPr>
          <w:rFonts w:hint="eastAsia" w:ascii="仿宋_GB2312" w:hAnsi="宋体" w:eastAsia="仿宋_GB2312" w:cs="宋体"/>
          <w:color w:val="000000"/>
          <w:kern w:val="0"/>
          <w:sz w:val="32"/>
          <w:szCs w:val="32"/>
          <w:shd w:val="clear" w:color="auto" w:fill="FFFFFF"/>
          <w:lang w:val="zh-CN" w:eastAsia="zh-CN"/>
        </w:rPr>
        <w:t>本单位各项资金其主要用途是确保单位的正常运转，促进各项工作任务顺利完成。在人员经费支出、公共支出严格执行县委县政府的各项制度；在经费的使用上，在保证各项任务顺利完成的同时，严格落实厉行节约的原则。</w:t>
      </w:r>
    </w:p>
    <w:p w14:paraId="35024AAE">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09ED890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14:paraId="444F729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1.绩效自评公开。我单位积极履职，强化管理，较好的完成了年度工作目标。通过加强预算收支管理，不断建立健全内部管理制度，梳理内部管理流程，部门整体支出管理水平得到提升。根据部门整体支出绩效评价指标体系，我单位20</w:t>
      </w:r>
      <w:r>
        <w:rPr>
          <w:rFonts w:hint="eastAsia" w:ascii="仿宋_GB2312" w:hAnsi="宋体" w:eastAsia="仿宋_GB2312" w:cs="宋体"/>
          <w:color w:val="000000"/>
          <w:kern w:val="0"/>
          <w:sz w:val="32"/>
          <w:szCs w:val="32"/>
          <w:shd w:val="clear" w:color="auto" w:fill="FFFFFF"/>
          <w:lang w:val="en-US" w:eastAsia="zh-CN"/>
        </w:rPr>
        <w:t>20</w:t>
      </w:r>
      <w:r>
        <w:rPr>
          <w:rFonts w:hint="eastAsia" w:ascii="仿宋_GB2312" w:hAnsi="宋体" w:eastAsia="仿宋_GB2312" w:cs="宋体"/>
          <w:color w:val="000000"/>
          <w:kern w:val="0"/>
          <w:sz w:val="32"/>
          <w:szCs w:val="32"/>
          <w:shd w:val="clear" w:color="auto" w:fill="FFFFFF"/>
          <w:lang w:val="zh-CN" w:eastAsia="zh-CN"/>
        </w:rPr>
        <w:t>年度评价得分为98分。做到认真对待，及时公开。</w:t>
      </w:r>
    </w:p>
    <w:p w14:paraId="5616F73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2.评价结果整改和应用</w:t>
      </w:r>
    </w:p>
    <w:p w14:paraId="4B5CB9A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经济性分析：预算执行方面，支出总额及“三公”经费严格控制在预算总额以内；预算管理方面，制度执行总体较为有效。</w:t>
      </w:r>
    </w:p>
    <w:p w14:paraId="0B39A24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2、效率性及效益性分析：预算安排的基本支出保障了正常的工作运转，预算安排的项目支出是非常必要的，在执行上严格遵守各项财经纪律，一年来我部狠抓重点工作，较好的完成了各项目标任务。</w:t>
      </w:r>
    </w:p>
    <w:p w14:paraId="17C103E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3.结果反馈。预算安排的基本支出保障了正常的工作运转，预算安排的项目支出是非常必要的，在执行上是严格遵守各项财经纪律的，在项目资金的使用上也是放的心的，严守法律底线、纪律底线、道德底线。</w:t>
      </w:r>
    </w:p>
    <w:p w14:paraId="0CF48EC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3F1F0B1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2021D257">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委统战部认真做好年度财政资金的预算编制工作，按照政府采购目录及采购限额标准编制政府采购预算，做到应编尽编。在资金使用和管理方面，进一步强化资金统筹，优化资金结构，明确开支范围，细化资金用途，确保部门职责任务顺利完成。全年基本支出保证了部门的正常运行和日常工作的正常开展，达到预期绩效目标。总体较为满意。</w:t>
      </w:r>
    </w:p>
    <w:p w14:paraId="3CB2B21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14:paraId="3B7733B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1.绩效评价工作业务有待加强，评价指标体系有待细化。</w:t>
      </w:r>
    </w:p>
    <w:p w14:paraId="3BAF89B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2.财务人员业务水平有待进一步提高。</w:t>
      </w:r>
    </w:p>
    <w:p w14:paraId="695C4F9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5414D6E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1.加强单位预算编制工作，根据人员情况、业务开展需要，逐项做出预算计划，预算合理、不留缺口、不留空项。</w:t>
      </w:r>
    </w:p>
    <w:p w14:paraId="7A12B80D">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2.加强业务培训，提高评价水平。部门整体绩效评价工作是一项长期性的工作，专业性强，工作量大，建议财政部门进一步加强开展部门领导及经办人员相关的政策、业务工作培训和指导，优化相关指标，切实推进绩效评价工作的开展。</w:t>
      </w:r>
    </w:p>
    <w:p w14:paraId="58AFDD29">
      <w:pPr>
        <w:spacing w:line="580" w:lineRule="exact"/>
        <w:ind w:firstLine="640" w:firstLineChars="200"/>
        <w:rPr>
          <w:rFonts w:ascii="仿宋_GB2312" w:hAnsi="仿宋_GB2312" w:eastAsia="仿宋_GB2312" w:cs="仿宋_GB2312"/>
          <w:sz w:val="32"/>
          <w:szCs w:val="32"/>
        </w:rPr>
      </w:pPr>
    </w:p>
    <w:p w14:paraId="40F4BEC6">
      <w:pPr>
        <w:spacing w:line="600" w:lineRule="exact"/>
        <w:jc w:val="center"/>
        <w:outlineLvl w:val="0"/>
        <w:rPr>
          <w:rFonts w:hint="eastAsia" w:ascii="黑体" w:hAnsi="黑体" w:eastAsia="黑体"/>
          <w:color w:val="000000"/>
          <w:sz w:val="44"/>
          <w:szCs w:val="44"/>
        </w:rPr>
      </w:pPr>
      <w:bookmarkStart w:id="145" w:name="_Toc15396618"/>
      <w:bookmarkStart w:id="146" w:name="_Toc79163635"/>
      <w:bookmarkStart w:id="147" w:name="_Toc79163885"/>
    </w:p>
    <w:p w14:paraId="604E3062">
      <w:pPr>
        <w:spacing w:line="600" w:lineRule="exact"/>
        <w:jc w:val="center"/>
        <w:outlineLvl w:val="0"/>
        <w:rPr>
          <w:rFonts w:hint="eastAsia" w:ascii="黑体" w:hAnsi="黑体" w:eastAsia="黑体"/>
          <w:color w:val="000000"/>
          <w:sz w:val="44"/>
          <w:szCs w:val="44"/>
        </w:rPr>
      </w:pPr>
    </w:p>
    <w:p w14:paraId="341B758B">
      <w:pPr>
        <w:spacing w:line="600" w:lineRule="exact"/>
        <w:jc w:val="center"/>
        <w:outlineLvl w:val="0"/>
        <w:rPr>
          <w:rFonts w:hint="eastAsia" w:ascii="黑体" w:hAnsi="黑体" w:eastAsia="黑体"/>
          <w:color w:val="000000"/>
          <w:sz w:val="44"/>
          <w:szCs w:val="44"/>
        </w:rPr>
      </w:pPr>
    </w:p>
    <w:p w14:paraId="229E9ECA">
      <w:pPr>
        <w:spacing w:line="600" w:lineRule="exact"/>
        <w:jc w:val="center"/>
        <w:outlineLvl w:val="0"/>
        <w:rPr>
          <w:rFonts w:hint="eastAsia" w:ascii="黑体" w:hAnsi="黑体" w:eastAsia="黑体"/>
          <w:color w:val="000000"/>
          <w:sz w:val="44"/>
          <w:szCs w:val="44"/>
        </w:rPr>
      </w:pPr>
    </w:p>
    <w:p w14:paraId="09020990">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23"/>
      <w:bookmarkEnd w:id="145"/>
      <w:bookmarkEnd w:id="146"/>
      <w:bookmarkEnd w:id="147"/>
    </w:p>
    <w:p w14:paraId="66DB3441">
      <w:pPr>
        <w:pStyle w:val="4"/>
        <w:rPr>
          <w:rFonts w:ascii="仿宋" w:hAnsi="仿宋" w:eastAsia="仿宋"/>
          <w:color w:val="000000"/>
        </w:rPr>
      </w:pPr>
      <w:bookmarkStart w:id="148" w:name="_Toc15396619"/>
      <w:bookmarkStart w:id="149" w:name="_Toc79163886"/>
      <w:bookmarkStart w:id="150" w:name="_Toc79163636"/>
      <w:r>
        <w:rPr>
          <w:rFonts w:hint="eastAsia" w:ascii="仿宋" w:hAnsi="仿宋" w:eastAsia="仿宋"/>
          <w:b w:val="0"/>
          <w:color w:val="000000"/>
        </w:rPr>
        <w:t>一、收</w:t>
      </w:r>
      <w:r>
        <w:rPr>
          <w:rStyle w:val="26"/>
          <w:rFonts w:hint="eastAsia" w:ascii="仿宋" w:hAnsi="仿宋" w:eastAsia="仿宋"/>
          <w:b w:val="0"/>
          <w:bCs w:val="0"/>
        </w:rPr>
        <w:t>入支出决算总表</w:t>
      </w:r>
      <w:bookmarkEnd w:id="148"/>
      <w:bookmarkEnd w:id="149"/>
      <w:bookmarkEnd w:id="150"/>
    </w:p>
    <w:p w14:paraId="0DB0E3ED">
      <w:pPr>
        <w:pStyle w:val="4"/>
        <w:rPr>
          <w:rFonts w:ascii="仿宋" w:hAnsi="仿宋" w:eastAsia="仿宋"/>
          <w:color w:val="000000"/>
        </w:rPr>
      </w:pPr>
      <w:bookmarkStart w:id="151" w:name="_Toc15396620"/>
      <w:bookmarkStart w:id="152" w:name="_Toc79163637"/>
      <w:bookmarkStart w:id="153" w:name="_Toc79163887"/>
      <w:r>
        <w:rPr>
          <w:rFonts w:hint="eastAsia" w:ascii="仿宋" w:hAnsi="仿宋" w:eastAsia="仿宋"/>
          <w:b w:val="0"/>
          <w:color w:val="000000"/>
        </w:rPr>
        <w:t>二、收</w:t>
      </w:r>
      <w:r>
        <w:rPr>
          <w:rStyle w:val="26"/>
          <w:rFonts w:hint="eastAsia" w:ascii="仿宋" w:hAnsi="仿宋" w:eastAsia="仿宋"/>
          <w:b w:val="0"/>
          <w:bCs w:val="0"/>
        </w:rPr>
        <w:t>入决算表</w:t>
      </w:r>
      <w:bookmarkEnd w:id="151"/>
      <w:bookmarkEnd w:id="152"/>
      <w:bookmarkEnd w:id="153"/>
    </w:p>
    <w:p w14:paraId="1410ECC7">
      <w:pPr>
        <w:pStyle w:val="4"/>
        <w:rPr>
          <w:rFonts w:ascii="仿宋" w:hAnsi="仿宋" w:eastAsia="仿宋"/>
          <w:color w:val="000000"/>
        </w:rPr>
      </w:pPr>
      <w:bookmarkStart w:id="154" w:name="_Toc79163888"/>
      <w:bookmarkStart w:id="155" w:name="_Toc15396621"/>
      <w:bookmarkStart w:id="156" w:name="_Toc7916363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54"/>
      <w:bookmarkEnd w:id="155"/>
      <w:bookmarkEnd w:id="156"/>
    </w:p>
    <w:p w14:paraId="63C83AD7">
      <w:pPr>
        <w:pStyle w:val="4"/>
        <w:rPr>
          <w:rFonts w:ascii="仿宋" w:hAnsi="仿宋" w:eastAsia="仿宋"/>
          <w:b w:val="0"/>
          <w:color w:val="000000"/>
        </w:rPr>
      </w:pPr>
      <w:bookmarkStart w:id="157" w:name="_Toc15396622"/>
      <w:bookmarkStart w:id="158" w:name="_Toc79163889"/>
      <w:bookmarkStart w:id="159"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57"/>
      <w:bookmarkEnd w:id="158"/>
      <w:bookmarkEnd w:id="159"/>
    </w:p>
    <w:p w14:paraId="4F3E8ADF">
      <w:pPr>
        <w:pStyle w:val="4"/>
        <w:rPr>
          <w:rStyle w:val="26"/>
          <w:rFonts w:ascii="仿宋" w:hAnsi="仿宋" w:eastAsia="仿宋"/>
          <w:b w:val="0"/>
          <w:bCs w:val="0"/>
        </w:rPr>
      </w:pPr>
      <w:bookmarkStart w:id="160" w:name="_Toc79163890"/>
      <w:bookmarkStart w:id="161" w:name="_Toc79163640"/>
      <w:bookmarkStart w:id="162"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60"/>
      <w:bookmarkEnd w:id="161"/>
      <w:bookmarkEnd w:id="162"/>
      <w:bookmarkStart w:id="163" w:name="_Toc15396624"/>
    </w:p>
    <w:p w14:paraId="0BFDA5CE">
      <w:pPr>
        <w:pStyle w:val="4"/>
        <w:rPr>
          <w:rFonts w:ascii="仿宋" w:hAnsi="仿宋" w:eastAsia="仿宋"/>
          <w:color w:val="000000"/>
        </w:rPr>
      </w:pPr>
      <w:bookmarkStart w:id="164" w:name="_Toc79163891"/>
      <w:bookmarkStart w:id="165"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63"/>
      <w:bookmarkEnd w:id="164"/>
      <w:bookmarkEnd w:id="165"/>
    </w:p>
    <w:p w14:paraId="5533036A">
      <w:pPr>
        <w:pStyle w:val="4"/>
        <w:rPr>
          <w:rFonts w:ascii="仿宋" w:hAnsi="仿宋" w:eastAsia="仿宋"/>
          <w:color w:val="000000"/>
        </w:rPr>
      </w:pPr>
      <w:bookmarkStart w:id="166" w:name="_Toc79163892"/>
      <w:bookmarkStart w:id="167" w:name="_Toc15396625"/>
      <w:bookmarkStart w:id="168" w:name="_Toc7916364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66"/>
      <w:bookmarkEnd w:id="167"/>
      <w:bookmarkEnd w:id="168"/>
    </w:p>
    <w:p w14:paraId="5C49A2E5">
      <w:pPr>
        <w:pStyle w:val="4"/>
        <w:rPr>
          <w:rFonts w:ascii="仿宋" w:hAnsi="仿宋" w:eastAsia="仿宋"/>
          <w:color w:val="000000"/>
        </w:rPr>
      </w:pPr>
      <w:bookmarkStart w:id="169" w:name="_Toc79163643"/>
      <w:bookmarkStart w:id="170" w:name="_Toc15396626"/>
      <w:bookmarkStart w:id="171" w:name="_Toc7916389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69"/>
      <w:bookmarkEnd w:id="170"/>
      <w:bookmarkEnd w:id="171"/>
    </w:p>
    <w:p w14:paraId="0C8A30F8">
      <w:pPr>
        <w:pStyle w:val="4"/>
        <w:rPr>
          <w:rFonts w:ascii="仿宋" w:hAnsi="仿宋" w:eastAsia="仿宋"/>
          <w:color w:val="000000"/>
        </w:rPr>
      </w:pPr>
      <w:bookmarkStart w:id="172" w:name="_Toc79163894"/>
      <w:bookmarkStart w:id="173" w:name="_Toc15396627"/>
      <w:bookmarkStart w:id="174" w:name="_Toc7916364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72"/>
      <w:bookmarkEnd w:id="173"/>
      <w:bookmarkEnd w:id="174"/>
    </w:p>
    <w:p w14:paraId="45C0078E">
      <w:pPr>
        <w:pStyle w:val="4"/>
        <w:rPr>
          <w:rFonts w:ascii="仿宋" w:hAnsi="仿宋" w:eastAsia="仿宋"/>
          <w:color w:val="000000"/>
        </w:rPr>
      </w:pPr>
      <w:bookmarkStart w:id="175" w:name="_Toc79163645"/>
      <w:bookmarkStart w:id="176" w:name="_Toc79163895"/>
      <w:bookmarkStart w:id="177"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75"/>
      <w:bookmarkEnd w:id="176"/>
      <w:bookmarkEnd w:id="177"/>
    </w:p>
    <w:p w14:paraId="4E16E4E0">
      <w:pPr>
        <w:pStyle w:val="4"/>
        <w:rPr>
          <w:rFonts w:ascii="仿宋" w:hAnsi="仿宋" w:eastAsia="仿宋"/>
          <w:color w:val="000000"/>
        </w:rPr>
      </w:pPr>
      <w:bookmarkStart w:id="178" w:name="_Toc79163896"/>
      <w:bookmarkStart w:id="179" w:name="_Toc15396629"/>
      <w:bookmarkStart w:id="180" w:name="_Toc7916364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78"/>
      <w:bookmarkEnd w:id="179"/>
      <w:bookmarkEnd w:id="180"/>
    </w:p>
    <w:p w14:paraId="6628B42F">
      <w:pPr>
        <w:pStyle w:val="4"/>
        <w:rPr>
          <w:rFonts w:ascii="仿宋" w:hAnsi="仿宋" w:eastAsia="仿宋"/>
          <w:color w:val="000000"/>
        </w:rPr>
      </w:pPr>
      <w:bookmarkStart w:id="181" w:name="_Toc79163647"/>
      <w:bookmarkStart w:id="182" w:name="_Toc79163897"/>
      <w:bookmarkStart w:id="183"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81"/>
      <w:bookmarkEnd w:id="182"/>
      <w:bookmarkEnd w:id="183"/>
    </w:p>
    <w:p w14:paraId="597D1402">
      <w:pPr>
        <w:pStyle w:val="4"/>
        <w:rPr>
          <w:rStyle w:val="26"/>
          <w:rFonts w:ascii="仿宋" w:hAnsi="仿宋" w:eastAsia="仿宋"/>
          <w:b w:val="0"/>
          <w:bCs w:val="0"/>
        </w:rPr>
      </w:pPr>
      <w:bookmarkStart w:id="184" w:name="_Toc79163648"/>
      <w:bookmarkStart w:id="185" w:name="_Toc79163898"/>
      <w:bookmarkStart w:id="186"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84"/>
      <w:bookmarkEnd w:id="185"/>
      <w:bookmarkEnd w:id="186"/>
    </w:p>
    <w:p w14:paraId="1E97C275">
      <w:pPr>
        <w:pStyle w:val="4"/>
        <w:rPr>
          <w:rStyle w:val="26"/>
          <w:rFonts w:ascii="仿宋" w:hAnsi="仿宋" w:eastAsia="仿宋"/>
          <w:b w:val="0"/>
          <w:bCs w:val="0"/>
        </w:rPr>
      </w:pPr>
      <w:bookmarkStart w:id="187" w:name="_Toc79163649"/>
      <w:bookmarkStart w:id="188" w:name="_Toc79163899"/>
      <w:r>
        <w:rPr>
          <w:rStyle w:val="26"/>
          <w:rFonts w:hint="eastAsia" w:ascii="仿宋" w:hAnsi="仿宋" w:eastAsia="仿宋"/>
          <w:b w:val="0"/>
          <w:bCs w:val="0"/>
        </w:rPr>
        <w:t>十四、国有资本经营预算财政拨款支出决算表</w:t>
      </w:r>
      <w:bookmarkEnd w:id="187"/>
      <w:bookmarkEnd w:id="18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DC5BB">
    <w:pPr>
      <w:pStyle w:val="14"/>
      <w:jc w:val="center"/>
    </w:pPr>
    <w:r>
      <w:fldChar w:fldCharType="begin"/>
    </w:r>
    <w:r>
      <w:instrText xml:space="preserve">PAGE   \* MERGEFORMAT</w:instrText>
    </w:r>
    <w:r>
      <w:fldChar w:fldCharType="separate"/>
    </w:r>
    <w:r>
      <w:rPr>
        <w:lang w:val="zh-CN"/>
      </w:rPr>
      <w:t>3</w:t>
    </w:r>
    <w:r>
      <w:fldChar w:fldCharType="end"/>
    </w:r>
  </w:p>
  <w:p w14:paraId="36B2AE75">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5F96A">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06AC269"/>
    <w:multiLevelType w:val="singleLevel"/>
    <w:tmpl w:val="E06AC269"/>
    <w:lvl w:ilvl="0" w:tentative="0">
      <w:start w:val="1"/>
      <w:numFmt w:val="decimal"/>
      <w:lvlText w:val="%1."/>
      <w:lvlJc w:val="left"/>
      <w:pPr>
        <w:tabs>
          <w:tab w:val="left" w:pos="312"/>
        </w:tabs>
      </w:p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C56903"/>
    <w:rsid w:val="06CB1B1E"/>
    <w:rsid w:val="0A2032A3"/>
    <w:rsid w:val="10C055FF"/>
    <w:rsid w:val="118107EC"/>
    <w:rsid w:val="16BB723D"/>
    <w:rsid w:val="1D057D11"/>
    <w:rsid w:val="1D155CEE"/>
    <w:rsid w:val="201B20D5"/>
    <w:rsid w:val="23C12E53"/>
    <w:rsid w:val="240371BF"/>
    <w:rsid w:val="2941590A"/>
    <w:rsid w:val="29FD04D3"/>
    <w:rsid w:val="319F7F4E"/>
    <w:rsid w:val="4D395041"/>
    <w:rsid w:val="4ECE2238"/>
    <w:rsid w:val="4F87334E"/>
    <w:rsid w:val="5FFBB7E7"/>
    <w:rsid w:val="68536401"/>
    <w:rsid w:val="6C4A05C8"/>
    <w:rsid w:val="72734D90"/>
    <w:rsid w:val="75EE1EAC"/>
    <w:rsid w:val="7EB23561"/>
    <w:rsid w:val="7FAF7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4"/>
    <w:qFormat/>
    <w:uiPriority w:val="99"/>
    <w:pPr>
      <w:spacing w:beforeLines="30"/>
    </w:pPr>
    <w:rPr>
      <w:rFonts w:ascii="仿宋_GB2312" w:eastAsia="仿宋_GB2312"/>
      <w:kern w:val="0"/>
      <w:sz w:val="24"/>
      <w:szCs w:val="20"/>
      <w:lang w:val="zh-CN" w:eastAsia="zh-CN"/>
    </w:rPr>
  </w:style>
  <w:style w:type="paragraph" w:styleId="8">
    <w:name w:val="Body Text Indent"/>
    <w:basedOn w:val="1"/>
    <w:next w:val="9"/>
    <w:qFormat/>
    <w:uiPriority w:val="0"/>
    <w:pPr>
      <w:spacing w:after="120" w:afterLines="0" w:afterAutospacing="0" w:line="576" w:lineRule="exact"/>
      <w:ind w:left="420" w:leftChars="200"/>
    </w:pPr>
    <w:rPr>
      <w:rFonts w:ascii="方正仿宋_GBK" w:hAnsi="方正仿宋_GBK" w:eastAsia="方正仿宋_GBK" w:cs="方正仿宋_GBK"/>
      <w:sz w:val="32"/>
      <w:lang w:val="zh-CN" w:bidi="zh-CN"/>
    </w:rPr>
  </w:style>
  <w:style w:type="paragraph" w:styleId="9">
    <w:name w:val="Body Text First Indent 2"/>
    <w:basedOn w:val="8"/>
    <w:qFormat/>
    <w:uiPriority w:val="0"/>
    <w:pPr>
      <w:ind w:left="0" w:leftChars="0" w:firstLine="0" w:firstLineChars="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29"/>
    <w:semiHidden/>
    <w:unhideWhenUsed/>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3"/>
    <w:qFormat/>
    <w:locked/>
    <w:uiPriority w:val="9"/>
    <w:rPr>
      <w:rFonts w:ascii="Times New Roman" w:hAnsi="Times New Roman" w:cs="Times New Roman"/>
      <w:b/>
      <w:bCs/>
      <w:kern w:val="44"/>
      <w:sz w:val="44"/>
      <w:szCs w:val="44"/>
    </w:rPr>
  </w:style>
  <w:style w:type="character" w:customStyle="1" w:styleId="26">
    <w:name w:val="标题 2 字符"/>
    <w:basedOn w:val="22"/>
    <w:link w:val="4"/>
    <w:qFormat/>
    <w:locked/>
    <w:uiPriority w:val="9"/>
    <w:rPr>
      <w:rFonts w:ascii="Cambria" w:hAnsi="Cambria" w:eastAsia="宋体" w:cs="Times New Roman"/>
      <w:b/>
      <w:bCs/>
      <w:kern w:val="2"/>
      <w:sz w:val="32"/>
      <w:szCs w:val="32"/>
    </w:rPr>
  </w:style>
  <w:style w:type="character" w:customStyle="1" w:styleId="27">
    <w:name w:val="标题 3 字符"/>
    <w:basedOn w:val="22"/>
    <w:link w:val="5"/>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3"/>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5"/>
    <w:semiHidden/>
    <w:qFormat/>
    <w:locked/>
    <w:uiPriority w:val="99"/>
    <w:rPr>
      <w:sz w:val="18"/>
    </w:rPr>
  </w:style>
  <w:style w:type="character" w:customStyle="1" w:styleId="33">
    <w:name w:val="页脚 字符"/>
    <w:link w:val="14"/>
    <w:qFormat/>
    <w:locked/>
    <w:uiPriority w:val="99"/>
    <w:rPr>
      <w:sz w:val="18"/>
    </w:rPr>
  </w:style>
  <w:style w:type="character" w:customStyle="1" w:styleId="34">
    <w:name w:val="正文文本 字符"/>
    <w:link w:val="7"/>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文档正文"/>
    <w:qFormat/>
    <w:uiPriority w:val="0"/>
    <w:pPr>
      <w:widowControl w:val="0"/>
      <w:adjustRightInd w:val="0"/>
      <w:spacing w:line="480" w:lineRule="atLeast"/>
      <w:jc w:val="both"/>
      <w:textAlignment w:val="baseline"/>
    </w:pPr>
    <w:rPr>
      <w:rFonts w:ascii="Arial" w:hAnsi="Arial" w:eastAsiaTheme="minorEastAsia" w:cstheme="minorBidi"/>
      <w:kern w:val="0"/>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41</Pages>
  <Words>71</Words>
  <Characters>77</Characters>
  <Lines>74</Lines>
  <Paragraphs>21</Paragraphs>
  <TotalTime>24</TotalTime>
  <ScaleCrop>false</ScaleCrop>
  <LinksUpToDate>false</LinksUpToDate>
  <CharactersWithSpaces>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寓言</cp:lastModifiedBy>
  <cp:lastPrinted>2021-07-29T11:56:00Z</cp:lastPrinted>
  <dcterms:modified xsi:type="dcterms:W3CDTF">2026-08-19T09:40:17Z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E79301F6A6AF4D70A1E920B816E29C07</vt:lpwstr>
  </property>
  <property fmtid="{D5CDD505-2E9C-101B-9397-08002B2CF9AE}" pid="4" name="KSOTemplateDocerSaveRecord">
    <vt:lpwstr>eyJoZGlkIjoiYmNhODVkY2UzOTFlNzcyNTAwODdlOGI2ODk4OWM3YjMiLCJ1c2VySWQiOiIzMjE2Nzg5MjAifQ==</vt:lpwstr>
  </property>
</Properties>
</file>