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710" w:rsidRDefault="003E7710">
      <w:pPr>
        <w:spacing w:line="600" w:lineRule="exact"/>
        <w:jc w:val="center"/>
        <w:outlineLvl w:val="0"/>
        <w:rPr>
          <w:rFonts w:ascii="方正小标宋简体" w:eastAsia="方正小标宋简体" w:hAnsi="宋体" w:hint="eastAsia"/>
          <w:color w:val="000000"/>
          <w:sz w:val="72"/>
          <w:szCs w:val="72"/>
        </w:rPr>
      </w:pPr>
      <w:bookmarkStart w:id="0" w:name="_Toc15306267"/>
    </w:p>
    <w:p w:rsidR="003E7710" w:rsidRDefault="003E7710">
      <w:pPr>
        <w:spacing w:line="600" w:lineRule="exact"/>
        <w:jc w:val="center"/>
        <w:outlineLvl w:val="0"/>
        <w:rPr>
          <w:rFonts w:ascii="方正小标宋简体" w:eastAsia="方正小标宋简体" w:hAnsi="宋体"/>
          <w:color w:val="000000"/>
          <w:sz w:val="72"/>
          <w:szCs w:val="72"/>
        </w:rPr>
      </w:pPr>
    </w:p>
    <w:p w:rsidR="003E7710" w:rsidRDefault="003E7710">
      <w:pPr>
        <w:spacing w:line="600" w:lineRule="exact"/>
        <w:jc w:val="center"/>
        <w:outlineLvl w:val="0"/>
        <w:rPr>
          <w:rFonts w:ascii="方正小标宋简体" w:eastAsia="方正小标宋简体" w:hAnsi="宋体"/>
          <w:color w:val="000000"/>
          <w:sz w:val="72"/>
          <w:szCs w:val="72"/>
        </w:rPr>
      </w:pPr>
    </w:p>
    <w:p w:rsidR="003E7710" w:rsidRPr="00925074" w:rsidRDefault="00925074">
      <w:pPr>
        <w:spacing w:line="600" w:lineRule="exact"/>
        <w:jc w:val="center"/>
        <w:outlineLvl w:val="0"/>
        <w:rPr>
          <w:rFonts w:ascii="方正小标宋简体" w:eastAsia="方正小标宋简体" w:hAnsi="宋体"/>
          <w:color w:val="000000"/>
          <w:sz w:val="52"/>
          <w:szCs w:val="52"/>
        </w:rPr>
      </w:pPr>
      <w:r w:rsidRPr="00925074">
        <w:rPr>
          <w:rFonts w:ascii="方正小标宋简体" w:eastAsia="方正小标宋简体" w:hAnsi="宋体" w:hint="eastAsia"/>
          <w:color w:val="000000"/>
          <w:sz w:val="52"/>
          <w:szCs w:val="52"/>
        </w:rPr>
        <w:t>2018年</w:t>
      </w:r>
    </w:p>
    <w:bookmarkEnd w:id="0"/>
    <w:p w:rsidR="003E7710" w:rsidRPr="00925074" w:rsidRDefault="00C216A2">
      <w:pPr>
        <w:widowControl/>
        <w:spacing w:line="576" w:lineRule="exact"/>
        <w:jc w:val="center"/>
        <w:rPr>
          <w:rFonts w:ascii="方正小标宋简体" w:eastAsia="方正小标宋简体" w:hAnsi="宋体"/>
          <w:color w:val="000000"/>
          <w:sz w:val="52"/>
          <w:szCs w:val="52"/>
        </w:rPr>
      </w:pPr>
      <w:r>
        <w:rPr>
          <w:rFonts w:ascii="方正小标宋简体" w:eastAsia="方正小标宋简体" w:hAnsi="宋体" w:hint="eastAsia"/>
          <w:color w:val="000000"/>
          <w:sz w:val="52"/>
          <w:szCs w:val="52"/>
        </w:rPr>
        <w:t>四川</w:t>
      </w:r>
      <w:r>
        <w:rPr>
          <w:rFonts w:ascii="方正小标宋简体" w:eastAsia="方正小标宋简体" w:hAnsi="宋体"/>
          <w:color w:val="000000"/>
          <w:sz w:val="52"/>
          <w:szCs w:val="52"/>
        </w:rPr>
        <w:t>省</w:t>
      </w:r>
      <w:bookmarkStart w:id="1" w:name="_GoBack"/>
      <w:bookmarkEnd w:id="1"/>
      <w:r w:rsidR="00AB2343" w:rsidRPr="00925074">
        <w:rPr>
          <w:rFonts w:ascii="方正小标宋简体" w:eastAsia="方正小标宋简体" w:hAnsi="宋体" w:hint="eastAsia"/>
          <w:color w:val="000000"/>
          <w:sz w:val="52"/>
          <w:szCs w:val="52"/>
        </w:rPr>
        <w:t>中共九寨沟县委政法委员会</w:t>
      </w:r>
    </w:p>
    <w:p w:rsidR="003E7710" w:rsidRPr="00925074" w:rsidRDefault="00AB2343">
      <w:pPr>
        <w:widowControl/>
        <w:spacing w:line="576" w:lineRule="exact"/>
        <w:jc w:val="center"/>
        <w:rPr>
          <w:rFonts w:ascii="方正小标宋简体" w:eastAsia="方正小标宋简体" w:hAnsi="宋体"/>
          <w:color w:val="000000"/>
          <w:sz w:val="52"/>
          <w:szCs w:val="52"/>
        </w:rPr>
      </w:pPr>
      <w:r w:rsidRPr="00925074">
        <w:rPr>
          <w:rFonts w:ascii="方正小标宋简体" w:eastAsia="方正小标宋简体" w:hAnsi="宋体" w:hint="eastAsia"/>
          <w:color w:val="000000"/>
          <w:sz w:val="52"/>
          <w:szCs w:val="52"/>
        </w:rPr>
        <w:t>部门决算</w:t>
      </w:r>
    </w:p>
    <w:p w:rsidR="003E7710" w:rsidRDefault="003E7710">
      <w:pPr>
        <w:widowControl/>
        <w:jc w:val="center"/>
        <w:rPr>
          <w:rFonts w:ascii="方正小标宋简体" w:eastAsia="方正小标宋简体" w:hAnsi="宋体"/>
          <w:color w:val="000000"/>
          <w:sz w:val="44"/>
          <w:szCs w:val="44"/>
        </w:rPr>
      </w:pPr>
    </w:p>
    <w:p w:rsidR="003E7710" w:rsidRDefault="003E7710">
      <w:pPr>
        <w:widowControl/>
        <w:jc w:val="center"/>
        <w:rPr>
          <w:rFonts w:ascii="方正小标宋简体" w:eastAsia="方正小标宋简体" w:hAnsi="宋体"/>
          <w:color w:val="000000"/>
          <w:sz w:val="44"/>
          <w:szCs w:val="44"/>
        </w:rPr>
      </w:pPr>
    </w:p>
    <w:p w:rsidR="003E7710" w:rsidRDefault="003E7710">
      <w:pPr>
        <w:widowControl/>
        <w:jc w:val="center"/>
        <w:rPr>
          <w:rFonts w:ascii="方正小标宋简体" w:eastAsia="方正小标宋简体" w:hAnsi="宋体"/>
          <w:color w:val="000000"/>
          <w:sz w:val="44"/>
          <w:szCs w:val="44"/>
        </w:rPr>
      </w:pPr>
    </w:p>
    <w:p w:rsidR="003E7710" w:rsidRDefault="003E7710">
      <w:pPr>
        <w:widowControl/>
        <w:jc w:val="center"/>
        <w:rPr>
          <w:rFonts w:ascii="方正小标宋简体" w:eastAsia="方正小标宋简体" w:hAnsi="宋体"/>
          <w:color w:val="000000"/>
          <w:sz w:val="44"/>
          <w:szCs w:val="44"/>
        </w:rPr>
      </w:pPr>
    </w:p>
    <w:p w:rsidR="003E7710" w:rsidRDefault="003E7710">
      <w:pPr>
        <w:widowControl/>
        <w:jc w:val="center"/>
        <w:rPr>
          <w:rFonts w:ascii="方正小标宋简体" w:eastAsia="方正小标宋简体" w:hAnsi="宋体"/>
          <w:color w:val="000000"/>
          <w:sz w:val="44"/>
          <w:szCs w:val="44"/>
        </w:rPr>
      </w:pPr>
    </w:p>
    <w:p w:rsidR="003E7710" w:rsidRDefault="003E7710">
      <w:pPr>
        <w:widowControl/>
        <w:jc w:val="center"/>
        <w:rPr>
          <w:rFonts w:ascii="方正小标宋简体" w:eastAsia="方正小标宋简体" w:hAnsi="宋体"/>
          <w:color w:val="000000"/>
          <w:sz w:val="44"/>
          <w:szCs w:val="44"/>
        </w:rPr>
      </w:pPr>
    </w:p>
    <w:p w:rsidR="003E7710" w:rsidRDefault="003E7710">
      <w:pPr>
        <w:widowControl/>
        <w:jc w:val="center"/>
        <w:rPr>
          <w:rFonts w:ascii="方正小标宋简体" w:eastAsia="方正小标宋简体" w:hAnsi="宋体"/>
          <w:color w:val="000000"/>
          <w:sz w:val="44"/>
          <w:szCs w:val="44"/>
        </w:rPr>
      </w:pPr>
    </w:p>
    <w:p w:rsidR="003E7710" w:rsidRDefault="00AB2343">
      <w:pPr>
        <w:widowControl/>
        <w:ind w:firstLineChars="800" w:firstLine="3809"/>
        <w:rPr>
          <w:rFonts w:ascii="黑体" w:eastAsia="黑体" w:hAnsi="黑体"/>
          <w:color w:val="000000"/>
          <w:sz w:val="48"/>
          <w:szCs w:val="48"/>
        </w:rPr>
      </w:pPr>
      <w:r>
        <w:rPr>
          <w:rFonts w:ascii="黑体" w:eastAsia="黑体" w:hAnsi="黑体" w:hint="eastAsia"/>
          <w:color w:val="000000"/>
          <w:sz w:val="48"/>
          <w:szCs w:val="48"/>
        </w:rPr>
        <w:lastRenderedPageBreak/>
        <w:t>目录</w:t>
      </w:r>
    </w:p>
    <w:p w:rsidR="003E7710" w:rsidRDefault="00AB2343">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3E7710" w:rsidRDefault="00BD2ED6">
      <w:pPr>
        <w:pStyle w:val="10"/>
        <w:rPr>
          <w:rFonts w:cstheme="minorBidi"/>
        </w:rPr>
      </w:pPr>
      <w:hyperlink w:anchor="_Toc15396599" w:history="1">
        <w:r w:rsidR="00AB2343">
          <w:rPr>
            <w:rStyle w:val="ab"/>
            <w:rFonts w:hint="eastAsia"/>
          </w:rPr>
          <w:t>第一部分</w:t>
        </w:r>
        <w:r w:rsidR="00AB2343">
          <w:rPr>
            <w:rStyle w:val="ab"/>
          </w:rPr>
          <w:t xml:space="preserve"> </w:t>
        </w:r>
        <w:r w:rsidR="00AB2343">
          <w:rPr>
            <w:rStyle w:val="ab"/>
            <w:rFonts w:hint="eastAsia"/>
          </w:rPr>
          <w:t>部门概况</w:t>
        </w:r>
        <w:r w:rsidR="00AB2343">
          <w:tab/>
        </w:r>
        <w:r w:rsidR="00AB2343">
          <w:rPr>
            <w:rFonts w:hint="eastAsia"/>
          </w:rPr>
          <w:t>4</w:t>
        </w:r>
      </w:hyperlink>
    </w:p>
    <w:p w:rsidR="003E7710" w:rsidRDefault="00D1740A">
      <w:pPr>
        <w:pStyle w:val="21"/>
        <w:ind w:left="412"/>
        <w:rPr>
          <w:rFonts w:ascii="仿宋" w:eastAsia="仿宋" w:hAnsi="仿宋" w:cstheme="minorBidi"/>
          <w:sz w:val="28"/>
          <w:szCs w:val="28"/>
        </w:rPr>
      </w:pPr>
      <w:hyperlink w:anchor="_Toc15396600" w:history="1">
        <w:r w:rsidR="00AB2343">
          <w:rPr>
            <w:rStyle w:val="ab"/>
            <w:rFonts w:ascii="仿宋" w:eastAsia="仿宋" w:hAnsi="仿宋" w:hint="eastAsia"/>
            <w:sz w:val="28"/>
            <w:szCs w:val="28"/>
          </w:rPr>
          <w:t>一、基本职能及主要工作</w:t>
        </w:r>
        <w:r w:rsidR="00AB2343">
          <w:rPr>
            <w:rFonts w:ascii="仿宋" w:eastAsia="仿宋" w:hAnsi="仿宋"/>
            <w:sz w:val="28"/>
            <w:szCs w:val="28"/>
          </w:rPr>
          <w:tab/>
        </w:r>
        <w:r w:rsidR="00AB2343">
          <w:rPr>
            <w:rFonts w:ascii="仿宋" w:eastAsia="仿宋" w:hAnsi="仿宋" w:hint="eastAsia"/>
            <w:sz w:val="28"/>
            <w:szCs w:val="28"/>
          </w:rPr>
          <w:t>4</w:t>
        </w:r>
      </w:hyperlink>
    </w:p>
    <w:p w:rsidR="003E7710" w:rsidRDefault="00D1740A">
      <w:pPr>
        <w:pStyle w:val="21"/>
        <w:ind w:left="412"/>
        <w:rPr>
          <w:rFonts w:ascii="仿宋" w:eastAsia="仿宋" w:hAnsi="仿宋" w:cstheme="minorBidi"/>
          <w:sz w:val="28"/>
          <w:szCs w:val="28"/>
        </w:rPr>
      </w:pPr>
      <w:hyperlink w:anchor="_Toc15396601" w:history="1">
        <w:r w:rsidR="00AB2343">
          <w:rPr>
            <w:rStyle w:val="ab"/>
            <w:rFonts w:ascii="仿宋" w:eastAsia="仿宋" w:hAnsi="仿宋" w:hint="eastAsia"/>
            <w:sz w:val="28"/>
            <w:szCs w:val="28"/>
          </w:rPr>
          <w:t>二、机构设置</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_Toc15396601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4</w:t>
        </w:r>
        <w:r w:rsidR="00AB2343">
          <w:rPr>
            <w:rFonts w:ascii="仿宋" w:eastAsia="仿宋" w:hAnsi="仿宋"/>
            <w:sz w:val="28"/>
            <w:szCs w:val="28"/>
          </w:rPr>
          <w:fldChar w:fldCharType="end"/>
        </w:r>
      </w:hyperlink>
    </w:p>
    <w:p w:rsidR="003E7710" w:rsidRDefault="00D1740A">
      <w:pPr>
        <w:pStyle w:val="10"/>
      </w:pPr>
      <w:hyperlink w:anchor="_Toc15396602" w:history="1">
        <w:r w:rsidR="00AB2343">
          <w:rPr>
            <w:rStyle w:val="ab"/>
            <w:rFonts w:hint="eastAsia"/>
          </w:rPr>
          <w:t>第二部分</w:t>
        </w:r>
        <w:r w:rsidR="00AB2343">
          <w:rPr>
            <w:rStyle w:val="ab"/>
          </w:rPr>
          <w:t xml:space="preserve"> 2018</w:t>
        </w:r>
        <w:r w:rsidR="00AB2343">
          <w:rPr>
            <w:rStyle w:val="ab"/>
            <w:rFonts w:hint="eastAsia"/>
          </w:rPr>
          <w:t>年度部门决算情况说明</w:t>
        </w:r>
        <w:r w:rsidR="00AB2343">
          <w:tab/>
        </w:r>
        <w:r w:rsidR="00AB2343">
          <w:fldChar w:fldCharType="begin"/>
        </w:r>
        <w:r w:rsidR="00AB2343">
          <w:instrText xml:space="preserve"> PAGEREF _Toc15396602 \h </w:instrText>
        </w:r>
        <w:r w:rsidR="00AB2343">
          <w:fldChar w:fldCharType="separate"/>
        </w:r>
        <w:r w:rsidR="00AB2343">
          <w:t>5</w:t>
        </w:r>
        <w:r w:rsidR="00AB2343">
          <w:fldChar w:fldCharType="end"/>
        </w:r>
      </w:hyperlink>
    </w:p>
    <w:p w:rsidR="003E7710" w:rsidRDefault="00D1740A">
      <w:pPr>
        <w:pStyle w:val="21"/>
        <w:ind w:left="412"/>
        <w:rPr>
          <w:rFonts w:ascii="仿宋" w:eastAsia="仿宋" w:hAnsi="仿宋" w:cstheme="minorBidi"/>
          <w:sz w:val="28"/>
          <w:szCs w:val="28"/>
        </w:rPr>
      </w:pPr>
      <w:hyperlink w:anchor="_Toc15396603" w:history="1">
        <w:r w:rsidR="00AB2343">
          <w:rPr>
            <w:rStyle w:val="ab"/>
            <w:rFonts w:ascii="仿宋" w:eastAsia="仿宋" w:hAnsi="仿宋" w:cstheme="majorBidi" w:hint="eastAsia"/>
            <w:bCs/>
            <w:sz w:val="28"/>
            <w:szCs w:val="28"/>
          </w:rPr>
          <w:t>一、</w:t>
        </w:r>
        <w:r w:rsidR="00AB2343">
          <w:rPr>
            <w:rStyle w:val="ab"/>
            <w:rFonts w:ascii="仿宋" w:eastAsia="仿宋" w:hAnsi="仿宋" w:hint="eastAsia"/>
            <w:sz w:val="28"/>
            <w:szCs w:val="28"/>
          </w:rPr>
          <w:t>收</w:t>
        </w:r>
        <w:r w:rsidR="00AB2343">
          <w:rPr>
            <w:rStyle w:val="ab"/>
            <w:rFonts w:ascii="仿宋" w:eastAsia="仿宋" w:hAnsi="仿宋" w:cstheme="majorBidi" w:hint="eastAsia"/>
            <w:bCs/>
            <w:sz w:val="28"/>
            <w:szCs w:val="28"/>
          </w:rPr>
          <w:t>入支出决算总体情况说明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_Toc15396603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5</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04" w:history="1">
        <w:r w:rsidR="00AB2343">
          <w:rPr>
            <w:rStyle w:val="ab"/>
            <w:rFonts w:ascii="仿宋" w:eastAsia="仿宋" w:hAnsi="仿宋" w:cstheme="majorBidi" w:hint="eastAsia"/>
            <w:bCs/>
            <w:sz w:val="28"/>
            <w:szCs w:val="28"/>
          </w:rPr>
          <w:t>二、</w:t>
        </w:r>
        <w:r w:rsidR="00AB2343">
          <w:rPr>
            <w:rStyle w:val="ab"/>
            <w:rFonts w:ascii="仿宋" w:eastAsia="仿宋" w:hAnsi="仿宋" w:hint="eastAsia"/>
            <w:sz w:val="28"/>
            <w:szCs w:val="28"/>
          </w:rPr>
          <w:t>收</w:t>
        </w:r>
        <w:r w:rsidR="00AB2343">
          <w:rPr>
            <w:rStyle w:val="ab"/>
            <w:rFonts w:ascii="仿宋" w:eastAsia="仿宋" w:hAnsi="仿宋" w:cstheme="majorBidi" w:hint="eastAsia"/>
            <w:bCs/>
            <w:sz w:val="28"/>
            <w:szCs w:val="28"/>
          </w:rPr>
          <w:t>入决算情况说明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_Toc15396604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5</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05" w:history="1">
        <w:r w:rsidR="00AB2343">
          <w:rPr>
            <w:rStyle w:val="ab"/>
            <w:rFonts w:ascii="仿宋" w:eastAsia="仿宋" w:hAnsi="仿宋" w:cstheme="majorBidi" w:hint="eastAsia"/>
            <w:bCs/>
            <w:sz w:val="28"/>
            <w:szCs w:val="28"/>
          </w:rPr>
          <w:t>三、</w:t>
        </w:r>
        <w:r w:rsidR="00AB2343">
          <w:rPr>
            <w:rStyle w:val="ab"/>
            <w:rFonts w:ascii="仿宋" w:eastAsia="仿宋" w:hAnsi="仿宋" w:hint="eastAsia"/>
            <w:sz w:val="28"/>
            <w:szCs w:val="28"/>
          </w:rPr>
          <w:t>支</w:t>
        </w:r>
        <w:r w:rsidR="00AB2343">
          <w:rPr>
            <w:rStyle w:val="ab"/>
            <w:rFonts w:ascii="仿宋" w:eastAsia="仿宋" w:hAnsi="仿宋" w:cstheme="majorBidi" w:hint="eastAsia"/>
            <w:bCs/>
            <w:sz w:val="28"/>
            <w:szCs w:val="28"/>
          </w:rPr>
          <w:t>出决算情况说明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_Toc15396605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5</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06" w:history="1">
        <w:r w:rsidR="00AB2343">
          <w:rPr>
            <w:rStyle w:val="ab"/>
            <w:rFonts w:ascii="仿宋" w:eastAsia="仿宋" w:hAnsi="仿宋" w:hint="eastAsia"/>
            <w:sz w:val="28"/>
            <w:szCs w:val="28"/>
          </w:rPr>
          <w:t>四、财</w:t>
        </w:r>
        <w:r w:rsidR="00AB2343">
          <w:rPr>
            <w:rStyle w:val="ab"/>
            <w:rFonts w:ascii="仿宋" w:eastAsia="仿宋" w:hAnsi="仿宋" w:cstheme="majorBidi" w:hint="eastAsia"/>
            <w:bCs/>
            <w:sz w:val="28"/>
            <w:szCs w:val="28"/>
          </w:rPr>
          <w:t>政拨款收入支出决算总体情况说明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_Toc15396606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6</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07" w:history="1">
        <w:r w:rsidR="00AB2343">
          <w:rPr>
            <w:rStyle w:val="ab"/>
            <w:rFonts w:ascii="仿宋" w:eastAsia="仿宋" w:hAnsi="仿宋" w:hint="eastAsia"/>
            <w:sz w:val="28"/>
            <w:szCs w:val="28"/>
          </w:rPr>
          <w:t>五、一</w:t>
        </w:r>
        <w:r w:rsidR="00AB2343">
          <w:rPr>
            <w:rStyle w:val="ab"/>
            <w:rFonts w:ascii="仿宋" w:eastAsia="仿宋" w:hAnsi="仿宋" w:cstheme="majorBidi" w:hint="eastAsia"/>
            <w:bCs/>
            <w:sz w:val="28"/>
            <w:szCs w:val="28"/>
          </w:rPr>
          <w:t>般公共预算财政拨款支出决算情况说明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_Toc15396607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6</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08" w:history="1">
        <w:r w:rsidR="00AB2343">
          <w:rPr>
            <w:rStyle w:val="ab"/>
            <w:rFonts w:ascii="仿宋" w:eastAsia="仿宋" w:hAnsi="仿宋" w:hint="eastAsia"/>
            <w:sz w:val="28"/>
            <w:szCs w:val="28"/>
          </w:rPr>
          <w:t>六、一</w:t>
        </w:r>
        <w:r w:rsidR="00AB2343">
          <w:rPr>
            <w:rStyle w:val="ab"/>
            <w:rFonts w:ascii="仿宋" w:eastAsia="仿宋" w:hAnsi="仿宋" w:cstheme="majorBidi" w:hint="eastAsia"/>
            <w:bCs/>
            <w:sz w:val="28"/>
            <w:szCs w:val="28"/>
          </w:rPr>
          <w:t>般公共预算财政拨款基本支出决算情况说明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_Toc15396608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8</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09" w:history="1">
        <w:r w:rsidR="00AB2343">
          <w:rPr>
            <w:rStyle w:val="ab"/>
            <w:rFonts w:ascii="仿宋" w:eastAsia="仿宋" w:hAnsi="仿宋" w:hint="eastAsia"/>
            <w:sz w:val="28"/>
            <w:szCs w:val="28"/>
          </w:rPr>
          <w:t>七、</w:t>
        </w:r>
        <w:r w:rsidR="00AB2343">
          <w:rPr>
            <w:rStyle w:val="ab"/>
            <w:rFonts w:ascii="仿宋" w:eastAsia="仿宋" w:hAnsi="仿宋"/>
            <w:sz w:val="28"/>
            <w:szCs w:val="28"/>
          </w:rPr>
          <w:t>“</w:t>
        </w:r>
        <w:r w:rsidR="00AB2343">
          <w:rPr>
            <w:rStyle w:val="ab"/>
            <w:rFonts w:ascii="仿宋" w:eastAsia="仿宋" w:hAnsi="仿宋" w:cstheme="majorBidi" w:hint="eastAsia"/>
            <w:bCs/>
            <w:sz w:val="28"/>
            <w:szCs w:val="28"/>
          </w:rPr>
          <w:t>三公”经费财政拨款支出决算情况说明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_Toc15396609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8</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10" w:history="1">
        <w:r w:rsidR="00AB2343">
          <w:rPr>
            <w:rStyle w:val="ab"/>
            <w:rFonts w:ascii="仿宋" w:eastAsia="仿宋" w:hAnsi="仿宋" w:hint="eastAsia"/>
            <w:sz w:val="28"/>
            <w:szCs w:val="28"/>
          </w:rPr>
          <w:t>八、</w:t>
        </w:r>
        <w:r w:rsidR="00AB2343">
          <w:rPr>
            <w:rStyle w:val="ab"/>
            <w:rFonts w:ascii="仿宋" w:eastAsia="仿宋" w:hAnsi="仿宋" w:cstheme="majorBidi" w:hint="eastAsia"/>
            <w:bCs/>
            <w:sz w:val="28"/>
            <w:szCs w:val="28"/>
          </w:rPr>
          <w:t>政府性基金预算支出决算情况说明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_Toc15396610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10</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11" w:history="1">
        <w:r w:rsidR="00AB2343">
          <w:rPr>
            <w:rStyle w:val="ab"/>
            <w:rFonts w:ascii="仿宋" w:eastAsia="仿宋" w:hAnsi="仿宋" w:cstheme="majorBidi" w:hint="eastAsia"/>
            <w:bCs/>
            <w:sz w:val="28"/>
            <w:szCs w:val="28"/>
          </w:rPr>
          <w:t>九、</w:t>
        </w:r>
        <w:r w:rsidR="00AB2343">
          <w:rPr>
            <w:rStyle w:val="ab"/>
            <w:rFonts w:ascii="仿宋" w:eastAsia="仿宋" w:hAnsi="仿宋" w:hint="eastAsia"/>
            <w:sz w:val="28"/>
            <w:szCs w:val="28"/>
          </w:rPr>
          <w:t xml:space="preserve"> 国</w:t>
        </w:r>
        <w:r w:rsidR="00AB2343">
          <w:rPr>
            <w:rStyle w:val="ab"/>
            <w:rFonts w:ascii="仿宋" w:eastAsia="仿宋" w:hAnsi="仿宋" w:cstheme="majorBidi" w:hint="eastAsia"/>
            <w:bCs/>
            <w:sz w:val="28"/>
            <w:szCs w:val="28"/>
          </w:rPr>
          <w:t>有资本经营预算支出决算情况说明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_Toc15396611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10</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12" w:history="1">
        <w:r w:rsidR="00AB2343">
          <w:rPr>
            <w:rStyle w:val="ab"/>
            <w:rFonts w:ascii="仿宋" w:eastAsia="仿宋" w:hAnsi="仿宋" w:hint="eastAsia"/>
            <w:sz w:val="28"/>
            <w:szCs w:val="28"/>
          </w:rPr>
          <w:t>十</w:t>
        </w:r>
        <w:r w:rsidR="00AB2343">
          <w:rPr>
            <w:rStyle w:val="ab"/>
            <w:rFonts w:ascii="仿宋" w:eastAsia="仿宋" w:hAnsi="仿宋" w:cstheme="majorBidi" w:hint="eastAsia"/>
            <w:bCs/>
            <w:sz w:val="28"/>
            <w:szCs w:val="28"/>
          </w:rPr>
          <w:t>一、其他重要事项的情况说明</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_Toc15396612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14</w:t>
        </w:r>
        <w:r w:rsidR="00AB2343">
          <w:rPr>
            <w:rFonts w:ascii="仿宋" w:eastAsia="仿宋" w:hAnsi="仿宋"/>
            <w:sz w:val="28"/>
            <w:szCs w:val="28"/>
          </w:rPr>
          <w:fldChar w:fldCharType="end"/>
        </w:r>
      </w:hyperlink>
    </w:p>
    <w:p w:rsidR="003E7710" w:rsidRDefault="00D1740A">
      <w:pPr>
        <w:pStyle w:val="10"/>
        <w:rPr>
          <w:rFonts w:cstheme="minorBidi"/>
        </w:rPr>
      </w:pPr>
      <w:hyperlink w:anchor="_Toc15396613" w:history="1">
        <w:r w:rsidR="00AB2343">
          <w:rPr>
            <w:rStyle w:val="ab"/>
            <w:rFonts w:hint="eastAsia"/>
            <w:bCs/>
            <w:kern w:val="44"/>
          </w:rPr>
          <w:t>第三部分</w:t>
        </w:r>
        <w:r w:rsidR="00AB2343">
          <w:rPr>
            <w:rStyle w:val="ab"/>
            <w:rFonts w:hint="eastAsia"/>
          </w:rPr>
          <w:t xml:space="preserve"> 名</w:t>
        </w:r>
        <w:r w:rsidR="00AB2343">
          <w:rPr>
            <w:rStyle w:val="ab"/>
            <w:rFonts w:hint="eastAsia"/>
            <w:bCs/>
            <w:kern w:val="44"/>
          </w:rPr>
          <w:t>词解释</w:t>
        </w:r>
        <w:r w:rsidR="00AB2343">
          <w:tab/>
        </w:r>
        <w:r w:rsidR="00AB2343">
          <w:fldChar w:fldCharType="begin"/>
        </w:r>
        <w:r w:rsidR="00AB2343">
          <w:instrText xml:space="preserve"> PAGEREF _Toc15396613 \h </w:instrText>
        </w:r>
        <w:r w:rsidR="00AB2343">
          <w:fldChar w:fldCharType="separate"/>
        </w:r>
        <w:r w:rsidR="00AB2343">
          <w:t>16</w:t>
        </w:r>
        <w:r w:rsidR="00AB2343">
          <w:fldChar w:fldCharType="end"/>
        </w:r>
      </w:hyperlink>
    </w:p>
    <w:p w:rsidR="003E7710" w:rsidRDefault="00D1740A">
      <w:pPr>
        <w:pStyle w:val="10"/>
        <w:rPr>
          <w:rFonts w:cstheme="minorBidi"/>
        </w:rPr>
      </w:pPr>
      <w:hyperlink w:anchor="_Toc15396614" w:history="1">
        <w:r w:rsidR="00AB2343">
          <w:rPr>
            <w:rStyle w:val="ab"/>
            <w:rFonts w:hint="eastAsia"/>
          </w:rPr>
          <w:t>第</w:t>
        </w:r>
        <w:r w:rsidR="00AB2343">
          <w:rPr>
            <w:rStyle w:val="ab"/>
            <w:rFonts w:hint="eastAsia"/>
            <w:bCs/>
            <w:kern w:val="44"/>
          </w:rPr>
          <w:t>四部分</w:t>
        </w:r>
        <w:r w:rsidR="00AB2343">
          <w:rPr>
            <w:rStyle w:val="ab"/>
            <w:bCs/>
            <w:kern w:val="44"/>
          </w:rPr>
          <w:t xml:space="preserve"> </w:t>
        </w:r>
        <w:r w:rsidR="00AB2343">
          <w:rPr>
            <w:rStyle w:val="ab"/>
            <w:rFonts w:hint="eastAsia"/>
            <w:bCs/>
            <w:kern w:val="44"/>
          </w:rPr>
          <w:t>附件</w:t>
        </w:r>
        <w:r w:rsidR="00AB2343">
          <w:tab/>
        </w:r>
        <w:r w:rsidR="00AB2343">
          <w:fldChar w:fldCharType="begin"/>
        </w:r>
        <w:r w:rsidR="00AB2343">
          <w:instrText xml:space="preserve"> PAGEREF _Toc15396614 \h </w:instrText>
        </w:r>
        <w:r w:rsidR="00AB2343">
          <w:fldChar w:fldCharType="separate"/>
        </w:r>
        <w:r w:rsidR="00AB2343">
          <w:t>19</w:t>
        </w:r>
        <w:r w:rsidR="00AB2343">
          <w:fldChar w:fldCharType="end"/>
        </w:r>
      </w:hyperlink>
    </w:p>
    <w:p w:rsidR="003E7710" w:rsidRDefault="00D1740A">
      <w:pPr>
        <w:pStyle w:val="21"/>
        <w:ind w:left="412"/>
        <w:rPr>
          <w:rFonts w:ascii="仿宋" w:eastAsia="仿宋" w:hAnsi="仿宋" w:cstheme="minorBidi"/>
          <w:sz w:val="28"/>
          <w:szCs w:val="28"/>
        </w:rPr>
      </w:pPr>
      <w:hyperlink w:anchor="_Toc15396615" w:history="1">
        <w:r w:rsidR="00AB2343">
          <w:rPr>
            <w:rStyle w:val="ab"/>
            <w:rFonts w:ascii="仿宋" w:eastAsia="仿宋" w:hAnsi="仿宋" w:hint="eastAsia"/>
            <w:kern w:val="44"/>
            <w:sz w:val="28"/>
            <w:szCs w:val="28"/>
          </w:rPr>
          <w:t>附件</w:t>
        </w:r>
        <w:r w:rsidR="00AB2343">
          <w:rPr>
            <w:rStyle w:val="ab"/>
            <w:rFonts w:ascii="仿宋" w:eastAsia="仿宋" w:hAnsi="仿宋"/>
            <w:kern w:val="44"/>
            <w:sz w:val="28"/>
            <w:szCs w:val="28"/>
          </w:rPr>
          <w:t>1</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_Toc15396615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19</w:t>
        </w:r>
        <w:r w:rsidR="00AB2343">
          <w:rPr>
            <w:rFonts w:ascii="仿宋" w:eastAsia="仿宋" w:hAnsi="仿宋"/>
            <w:sz w:val="28"/>
            <w:szCs w:val="28"/>
          </w:rPr>
          <w:fldChar w:fldCharType="end"/>
        </w:r>
      </w:hyperlink>
    </w:p>
    <w:p w:rsidR="003E7710" w:rsidRDefault="00D1740A">
      <w:pPr>
        <w:pStyle w:val="21"/>
        <w:ind w:left="412"/>
        <w:rPr>
          <w:rFonts w:ascii="仿宋" w:eastAsia="仿宋" w:hAnsi="仿宋" w:cstheme="minorBidi"/>
          <w:sz w:val="28"/>
          <w:szCs w:val="28"/>
        </w:rPr>
      </w:pPr>
      <w:hyperlink w:anchor="_Toc15396617" w:history="1">
        <w:r w:rsidR="00AB2343">
          <w:rPr>
            <w:rStyle w:val="ab"/>
            <w:rFonts w:ascii="仿宋" w:eastAsia="仿宋" w:hAnsi="仿宋" w:hint="eastAsia"/>
            <w:kern w:val="44"/>
            <w:sz w:val="28"/>
            <w:szCs w:val="28"/>
          </w:rPr>
          <w:t>附件</w:t>
        </w:r>
        <w:r w:rsidR="00AB2343">
          <w:rPr>
            <w:rStyle w:val="ab"/>
            <w:rFonts w:ascii="仿宋" w:eastAsia="仿宋" w:hAnsi="仿宋"/>
            <w:kern w:val="44"/>
            <w:sz w:val="28"/>
            <w:szCs w:val="28"/>
          </w:rPr>
          <w:t>2</w:t>
        </w:r>
        <w:r w:rsidR="00AB2343">
          <w:rPr>
            <w:rFonts w:ascii="仿宋" w:eastAsia="仿宋" w:hAnsi="仿宋"/>
            <w:sz w:val="28"/>
            <w:szCs w:val="28"/>
          </w:rPr>
          <w:tab/>
        </w:r>
        <w:r w:rsidR="00AB2343">
          <w:rPr>
            <w:rFonts w:ascii="仿宋" w:eastAsia="仿宋" w:hAnsi="仿宋"/>
            <w:sz w:val="28"/>
            <w:szCs w:val="28"/>
          </w:rPr>
          <w:fldChar w:fldCharType="begin"/>
        </w:r>
        <w:r w:rsidR="00AB2343">
          <w:rPr>
            <w:rFonts w:ascii="仿宋" w:eastAsia="仿宋" w:hAnsi="仿宋"/>
            <w:sz w:val="28"/>
            <w:szCs w:val="28"/>
          </w:rPr>
          <w:instrText xml:space="preserve"> PAGEREF _Toc15396617 \h </w:instrText>
        </w:r>
        <w:r w:rsidR="00AB2343">
          <w:rPr>
            <w:rFonts w:ascii="仿宋" w:eastAsia="仿宋" w:hAnsi="仿宋"/>
            <w:sz w:val="28"/>
            <w:szCs w:val="28"/>
          </w:rPr>
        </w:r>
        <w:r w:rsidR="00AB2343">
          <w:rPr>
            <w:rFonts w:ascii="仿宋" w:eastAsia="仿宋" w:hAnsi="仿宋"/>
            <w:sz w:val="28"/>
            <w:szCs w:val="28"/>
          </w:rPr>
          <w:fldChar w:fldCharType="separate"/>
        </w:r>
        <w:r w:rsidR="00AB2343">
          <w:rPr>
            <w:rFonts w:ascii="仿宋" w:eastAsia="仿宋" w:hAnsi="仿宋"/>
            <w:sz w:val="28"/>
            <w:szCs w:val="28"/>
          </w:rPr>
          <w:t>21</w:t>
        </w:r>
        <w:r w:rsidR="00AB2343">
          <w:rPr>
            <w:rFonts w:ascii="仿宋" w:eastAsia="仿宋" w:hAnsi="仿宋"/>
            <w:sz w:val="28"/>
            <w:szCs w:val="28"/>
          </w:rPr>
          <w:fldChar w:fldCharType="end"/>
        </w:r>
      </w:hyperlink>
    </w:p>
    <w:p w:rsidR="003E7710" w:rsidRDefault="00D1740A">
      <w:pPr>
        <w:pStyle w:val="10"/>
        <w:rPr>
          <w:rFonts w:cstheme="minorBidi"/>
        </w:rPr>
      </w:pPr>
      <w:hyperlink w:anchor="_Toc15396618" w:history="1">
        <w:r w:rsidR="00AB2343">
          <w:rPr>
            <w:rStyle w:val="ab"/>
            <w:rFonts w:hint="eastAsia"/>
          </w:rPr>
          <w:t>第</w:t>
        </w:r>
        <w:r w:rsidR="00AB2343">
          <w:rPr>
            <w:rStyle w:val="ab"/>
            <w:rFonts w:hint="eastAsia"/>
            <w:bCs/>
            <w:kern w:val="44"/>
          </w:rPr>
          <w:t>五部分</w:t>
        </w:r>
        <w:r w:rsidR="00AB2343">
          <w:rPr>
            <w:rStyle w:val="ab"/>
            <w:bCs/>
            <w:kern w:val="44"/>
          </w:rPr>
          <w:t xml:space="preserve"> </w:t>
        </w:r>
        <w:r w:rsidR="00AB2343">
          <w:rPr>
            <w:rStyle w:val="ab"/>
            <w:rFonts w:hint="eastAsia"/>
            <w:bCs/>
            <w:kern w:val="44"/>
          </w:rPr>
          <w:t>附表</w:t>
        </w:r>
        <w:r w:rsidR="00AB2343">
          <w:tab/>
        </w:r>
        <w:r w:rsidR="00AB2343">
          <w:fldChar w:fldCharType="begin"/>
        </w:r>
        <w:r w:rsidR="00AB2343">
          <w:instrText xml:space="preserve"> PAGEREF _Toc15396618 \h </w:instrText>
        </w:r>
        <w:r w:rsidR="00AB2343">
          <w:fldChar w:fldCharType="separate"/>
        </w:r>
        <w:r w:rsidR="00AB2343">
          <w:t>22</w:t>
        </w:r>
        <w:r w:rsidR="00AB2343">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pStyle w:val="21"/>
        <w:ind w:left="412"/>
        <w:rPr>
          <w:rFonts w:ascii="仿宋" w:eastAsia="仿宋" w:hAnsi="仿宋" w:cstheme="minorBidi"/>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22</w:t>
        </w:r>
        <w:r>
          <w:rPr>
            <w:rFonts w:ascii="仿宋" w:eastAsia="仿宋" w:hAnsi="仿宋"/>
            <w:sz w:val="28"/>
            <w:szCs w:val="28"/>
          </w:rPr>
          <w:fldChar w:fldCharType="end"/>
        </w:r>
      </w:hyperlink>
    </w:p>
    <w:p w:rsidR="003E7710" w:rsidRDefault="00AB2343">
      <w:pPr>
        <w:widowControl/>
        <w:jc w:val="left"/>
        <w:rPr>
          <w:rFonts w:ascii="仿宋" w:eastAsia="仿宋" w:hAnsi="仿宋"/>
          <w:color w:val="000000"/>
          <w:sz w:val="24"/>
        </w:rPr>
      </w:pPr>
      <w:r>
        <w:rPr>
          <w:rFonts w:ascii="仿宋" w:eastAsia="仿宋" w:hAnsi="仿宋"/>
          <w:color w:val="000000"/>
          <w:sz w:val="24"/>
        </w:rPr>
        <w:fldChar w:fldCharType="end"/>
      </w:r>
    </w:p>
    <w:p w:rsidR="003E7710" w:rsidRDefault="00AB2343">
      <w:pPr>
        <w:widowControl/>
        <w:jc w:val="left"/>
        <w:rPr>
          <w:rFonts w:ascii="黑体" w:eastAsia="黑体" w:hAnsi="黑体"/>
          <w:bCs/>
          <w:kern w:val="44"/>
          <w:sz w:val="44"/>
          <w:szCs w:val="44"/>
        </w:rPr>
      </w:pPr>
      <w:bookmarkStart w:id="2" w:name="_Toc15396599"/>
      <w:bookmarkStart w:id="3" w:name="_Toc15377196"/>
      <w:r>
        <w:rPr>
          <w:rFonts w:ascii="黑体" w:eastAsia="黑体" w:hAnsi="黑体"/>
          <w:b/>
        </w:rPr>
        <w:br w:type="page"/>
      </w:r>
    </w:p>
    <w:p w:rsidR="003E7710" w:rsidRDefault="00AB2343">
      <w:pPr>
        <w:pStyle w:val="1"/>
        <w:jc w:val="center"/>
        <w:rPr>
          <w:rStyle w:val="1Char"/>
          <w:rFonts w:ascii="黑体" w:eastAsia="黑体" w:hAnsi="黑体"/>
          <w:b/>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2"/>
      <w:bookmarkEnd w:id="3"/>
    </w:p>
    <w:p w:rsidR="003E7710" w:rsidRDefault="003E7710">
      <w:pPr>
        <w:widowControl/>
        <w:jc w:val="left"/>
        <w:rPr>
          <w:rFonts w:ascii="黑体" w:eastAsia="黑体"/>
          <w:color w:val="000000"/>
          <w:sz w:val="32"/>
          <w:szCs w:val="32"/>
        </w:rPr>
      </w:pPr>
    </w:p>
    <w:p w:rsidR="003E7710" w:rsidRDefault="00AB2343">
      <w:pPr>
        <w:spacing w:line="576" w:lineRule="exact"/>
        <w:ind w:firstLine="645"/>
        <w:rPr>
          <w:rFonts w:ascii="黑体" w:eastAsia="黑体" w:hAnsi="黑体" w:cs="黑体"/>
          <w:sz w:val="32"/>
          <w:szCs w:val="32"/>
        </w:rPr>
      </w:pPr>
      <w:bookmarkStart w:id="4" w:name="_Toc15377197"/>
      <w:bookmarkStart w:id="5" w:name="_Toc15396600"/>
      <w:r>
        <w:rPr>
          <w:rFonts w:ascii="黑体" w:eastAsia="黑体" w:hAnsi="黑体" w:cs="黑体" w:hint="eastAsia"/>
          <w:sz w:val="32"/>
          <w:szCs w:val="32"/>
        </w:rPr>
        <w:t>一、基本职能及主要工作</w:t>
      </w:r>
      <w:bookmarkEnd w:id="4"/>
      <w:bookmarkEnd w:id="5"/>
    </w:p>
    <w:p w:rsidR="003E7710" w:rsidRDefault="00AB2343">
      <w:pPr>
        <w:spacing w:line="576" w:lineRule="exact"/>
        <w:ind w:firstLine="645"/>
        <w:rPr>
          <w:rFonts w:ascii="楷体_GB2312" w:eastAsia="楷体_GB2312" w:hAnsi="楷体_GB2312" w:cs="楷体_GB2312"/>
          <w:b/>
          <w:bCs/>
          <w:sz w:val="32"/>
          <w:szCs w:val="32"/>
        </w:rPr>
      </w:pPr>
      <w:bookmarkStart w:id="6" w:name="_Toc15377200"/>
      <w:bookmarkStart w:id="7" w:name="_Toc15396601"/>
      <w:r>
        <w:rPr>
          <w:rFonts w:ascii="楷体_GB2312" w:eastAsia="楷体_GB2312" w:hAnsi="楷体_GB2312" w:cs="楷体_GB2312" w:hint="eastAsia"/>
          <w:b/>
          <w:bCs/>
          <w:sz w:val="32"/>
          <w:szCs w:val="32"/>
        </w:rPr>
        <w:t>（一）强化素质提升，建设过硬队伍</w:t>
      </w:r>
    </w:p>
    <w:p w:rsidR="003E7710" w:rsidRDefault="00AB2343">
      <w:pPr>
        <w:spacing w:line="576" w:lineRule="exact"/>
        <w:ind w:firstLine="645"/>
        <w:rPr>
          <w:rFonts w:ascii="仿宋_GB2312" w:eastAsia="仿宋_GB2312"/>
          <w:sz w:val="32"/>
          <w:szCs w:val="32"/>
        </w:rPr>
      </w:pPr>
      <w:r>
        <w:rPr>
          <w:rFonts w:ascii="仿宋_GB2312" w:eastAsia="仿宋_GB2312" w:hint="eastAsia"/>
          <w:sz w:val="32"/>
          <w:szCs w:val="32"/>
        </w:rPr>
        <w:t>按照习近平总书记提出的“五好干部”标准和政法干警政治、业务、责任、纪律、作风“五过硬”要求，坚持不懈地加强政法干警素质建设，努力打造一支信念坚定、执法为民、敢于担当、清正廉洁的政法队伍。</w:t>
      </w:r>
    </w:p>
    <w:p w:rsidR="003E7710" w:rsidRDefault="00AB2343">
      <w:pPr>
        <w:spacing w:line="576" w:lineRule="exact"/>
        <w:ind w:firstLine="645"/>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（二）创新综合治理，强力推进网格化服务管理工作</w:t>
      </w:r>
    </w:p>
    <w:p w:rsidR="003E7710" w:rsidRDefault="00AB2343">
      <w:pPr>
        <w:spacing w:line="576" w:lineRule="exact"/>
        <w:ind w:firstLine="645"/>
        <w:rPr>
          <w:rFonts w:ascii="仿宋_GB2312" w:eastAsia="仿宋_GB2312"/>
          <w:sz w:val="32"/>
          <w:szCs w:val="32"/>
        </w:rPr>
      </w:pPr>
      <w:r>
        <w:rPr>
          <w:rFonts w:ascii="仿宋_GB2312" w:eastAsia="仿宋_GB2312" w:hint="eastAsia"/>
          <w:sz w:val="32"/>
          <w:szCs w:val="32"/>
        </w:rPr>
        <w:t>着力加强源头性、基础性工作，排解矛盾纠纷，着力解决人民群众反映强烈、影响社会安全稳定的突出问题，不断创新社会管理，统筹推动平安建设，强力推进全县网格化服务管理工作。</w:t>
      </w:r>
    </w:p>
    <w:p w:rsidR="003E7710" w:rsidRDefault="00AB2343">
      <w:pPr>
        <w:spacing w:line="576" w:lineRule="exact"/>
        <w:ind w:firstLine="645"/>
        <w:rPr>
          <w:rFonts w:ascii="仿宋_GB2312" w:eastAsia="仿宋_GB2312"/>
          <w:sz w:val="32"/>
          <w:szCs w:val="32"/>
        </w:rPr>
      </w:pPr>
      <w:r>
        <w:rPr>
          <w:rFonts w:ascii="仿宋_GB2312" w:eastAsia="仿宋_GB2312" w:hint="eastAsia"/>
          <w:b/>
          <w:bCs/>
          <w:sz w:val="32"/>
          <w:szCs w:val="32"/>
        </w:rPr>
        <w:t>1、依法推进网格化服务管理工作。</w:t>
      </w:r>
      <w:r>
        <w:rPr>
          <w:rFonts w:ascii="仿宋_GB2312" w:eastAsia="仿宋_GB2312" w:hint="eastAsia"/>
          <w:sz w:val="32"/>
          <w:szCs w:val="32"/>
        </w:rPr>
        <w:t>按照省、州3年实现网格化全覆盖的工作目标，2018年全面实现我县17个乡镇网格化服务管理工作全覆盖，充分发挥网格化服务管理作用。扎实推进网格化服务管理工作。以网格为基本单元，以网络信息技术为依托，将人、地、物、事、组织等社会治理的基本要素纳入网格，由各职能部门依照法定职责，将维护稳定、社会治安管理和公共服务三大职能下沉落实到网格。</w:t>
      </w:r>
    </w:p>
    <w:p w:rsidR="003E7710" w:rsidRDefault="00AB2343">
      <w:pPr>
        <w:spacing w:line="576" w:lineRule="exact"/>
        <w:ind w:firstLine="645"/>
        <w:rPr>
          <w:rFonts w:ascii="仿宋_GB2312" w:eastAsia="仿宋_GB2312"/>
          <w:sz w:val="32"/>
          <w:szCs w:val="32"/>
        </w:rPr>
      </w:pPr>
      <w:r>
        <w:rPr>
          <w:rFonts w:ascii="仿宋_GB2312" w:eastAsia="仿宋_GB2312" w:hint="eastAsia"/>
          <w:b/>
          <w:bCs/>
          <w:sz w:val="32"/>
          <w:szCs w:val="32"/>
        </w:rPr>
        <w:lastRenderedPageBreak/>
        <w:t>2、扎实开展危爆物品、寄递物流清理整顿整顿专项行动。</w:t>
      </w:r>
      <w:r>
        <w:rPr>
          <w:rFonts w:ascii="仿宋_GB2312" w:eastAsia="仿宋_GB2312" w:hint="eastAsia"/>
          <w:sz w:val="32"/>
          <w:szCs w:val="32"/>
        </w:rPr>
        <w:t>认真贯彻落实“三个100%制度”的工作要求，督促相关部门切实抓好易燃易爆物品管理整顿及物流寄递安全管理工作，不断提高维护公共安全的能力和水平。一是加强对易燃易爆物品的管理，对炸药、危化品、枪支弹药、管制刀具等危爆物品强化源头控制、定点销售、流向管控、实名登记等全过程管理措施，严防危爆品非法流散社会。二是加强邮件、快递行业运输安全管理工作，完善禁递物品名录，建立健全安全管理制度，有效防范利用寄递、物流渠道实施违法犯罪。</w:t>
      </w:r>
    </w:p>
    <w:p w:rsidR="003E7710" w:rsidRDefault="00AB2343">
      <w:pPr>
        <w:spacing w:line="576" w:lineRule="exact"/>
        <w:ind w:firstLine="645"/>
        <w:rPr>
          <w:rFonts w:ascii="仿宋_GB2312" w:eastAsia="仿宋_GB2312"/>
          <w:sz w:val="32"/>
          <w:szCs w:val="32"/>
        </w:rPr>
      </w:pPr>
      <w:r>
        <w:rPr>
          <w:rFonts w:ascii="仿宋_GB2312" w:eastAsia="仿宋_GB2312" w:hint="eastAsia"/>
          <w:b/>
          <w:bCs/>
          <w:sz w:val="32"/>
          <w:szCs w:val="32"/>
        </w:rPr>
        <w:t>3、深入开展以“法律进寺庙”为重点的“法律七进”活动。</w:t>
      </w:r>
      <w:r>
        <w:rPr>
          <w:rFonts w:ascii="仿宋_GB2312" w:eastAsia="仿宋_GB2312" w:hint="eastAsia"/>
          <w:sz w:val="32"/>
          <w:szCs w:val="32"/>
        </w:rPr>
        <w:t>通过编发“法律进寺庙”双语普法读物，组织编写“以案说法”普法读物、拍摄法治宣传专题片等直观形象、通俗易懂的方式引导全县寺庙僧尼遵法学法守法用法。切实加强寺庙法制宣传栏、法律图书角建设，不断增强僧俗群众的法治意识和法治观念。</w:t>
      </w:r>
    </w:p>
    <w:p w:rsidR="003E7710" w:rsidRDefault="00AB2343">
      <w:pPr>
        <w:widowControl/>
        <w:spacing w:line="576" w:lineRule="exact"/>
        <w:ind w:firstLineChars="200" w:firstLine="635"/>
        <w:jc w:val="left"/>
        <w:rPr>
          <w:rFonts w:ascii="仿宋_GB2312" w:eastAsia="仿宋_GB2312" w:hAnsi="宋体" w:cs="宋体"/>
          <w:color w:val="000000"/>
          <w:kern w:val="0"/>
          <w:sz w:val="32"/>
          <w:szCs w:val="32"/>
        </w:rPr>
      </w:pPr>
      <w:r>
        <w:rPr>
          <w:rFonts w:ascii="仿宋_GB2312" w:eastAsia="仿宋_GB2312" w:hAnsi="仿宋_GB2312" w:cs="仿宋_GB2312" w:hint="eastAsia"/>
          <w:b/>
          <w:color w:val="000000"/>
          <w:kern w:val="0"/>
          <w:sz w:val="32"/>
          <w:szCs w:val="32"/>
        </w:rPr>
        <w:t>4、强化重点覆盖、联防联控，强力推进社会治安防控体系建设。</w:t>
      </w:r>
      <w:r>
        <w:rPr>
          <w:rFonts w:ascii="仿宋_GB2312" w:eastAsia="仿宋_GB2312" w:hAnsi="宋体" w:cs="宋体" w:hint="eastAsia"/>
          <w:color w:val="000000"/>
          <w:kern w:val="0"/>
          <w:sz w:val="32"/>
          <w:szCs w:val="32"/>
        </w:rPr>
        <w:t>以信息化建设和应用为支撑、防控机制建设为抓手、</w:t>
      </w:r>
      <w:r>
        <w:rPr>
          <w:rFonts w:ascii="宋体" w:hAnsi="宋体" w:cs="宋体"/>
          <w:color w:val="000000"/>
          <w:kern w:val="0"/>
          <w:sz w:val="32"/>
          <w:szCs w:val="32"/>
        </w:rPr>
        <w:t>“</w:t>
      </w:r>
      <w:r>
        <w:rPr>
          <w:rFonts w:ascii="仿宋_GB2312" w:eastAsia="仿宋_GB2312" w:hAnsi="宋体" w:cs="宋体" w:hint="eastAsia"/>
          <w:color w:val="000000"/>
          <w:kern w:val="0"/>
          <w:sz w:val="32"/>
          <w:szCs w:val="32"/>
        </w:rPr>
        <w:t>六张防控网</w:t>
      </w:r>
      <w:r>
        <w:rPr>
          <w:rFonts w:ascii="宋体" w:hAnsi="宋体" w:cs="宋体"/>
          <w:color w:val="000000"/>
          <w:kern w:val="0"/>
          <w:sz w:val="32"/>
          <w:szCs w:val="32"/>
        </w:rPr>
        <w:t>”</w:t>
      </w:r>
      <w:r>
        <w:rPr>
          <w:rFonts w:ascii="仿宋_GB2312" w:eastAsia="仿宋_GB2312" w:hAnsi="宋体" w:cs="宋体" w:hint="eastAsia"/>
          <w:color w:val="000000"/>
          <w:kern w:val="0"/>
          <w:sz w:val="32"/>
          <w:szCs w:val="32"/>
        </w:rPr>
        <w:t>建设为骨架，努力构建动态化、信息化、全覆盖的社会治安立体防控体系；加强城镇社区、景区、乡村警务建设，强化对重点人员和涉稳因素的动态管控。</w:t>
      </w:r>
    </w:p>
    <w:p w:rsidR="003E7710" w:rsidRDefault="00AB2343">
      <w:pPr>
        <w:spacing w:line="576" w:lineRule="exact"/>
        <w:ind w:firstLineChars="200" w:firstLine="635"/>
        <w:rPr>
          <w:rFonts w:ascii="楷体_GB2312" w:eastAsia="楷体_GB2312" w:hAnsi="楷体_GB2312" w:cs="楷体_GB2312"/>
          <w:b/>
          <w:bCs/>
          <w:color w:val="000000"/>
          <w:sz w:val="32"/>
          <w:szCs w:val="32"/>
        </w:rPr>
      </w:pPr>
      <w:r>
        <w:rPr>
          <w:rFonts w:ascii="楷体_GB2312" w:eastAsia="楷体_GB2312" w:hAnsi="楷体_GB2312" w:cs="楷体_GB2312" w:hint="eastAsia"/>
          <w:b/>
          <w:bCs/>
          <w:color w:val="000000"/>
          <w:sz w:val="32"/>
          <w:szCs w:val="32"/>
        </w:rPr>
        <w:t>（三)严密执法监督，促进司法公正</w:t>
      </w:r>
    </w:p>
    <w:p w:rsidR="003E7710" w:rsidRDefault="00AB2343">
      <w:pPr>
        <w:spacing w:line="576" w:lineRule="exact"/>
        <w:ind w:firstLine="645"/>
        <w:rPr>
          <w:rFonts w:ascii="仿宋_GB2312" w:eastAsia="仿宋_GB2312"/>
          <w:sz w:val="32"/>
          <w:szCs w:val="32"/>
        </w:rPr>
      </w:pPr>
      <w:r>
        <w:rPr>
          <w:rFonts w:ascii="仿宋_GB2312" w:eastAsia="仿宋_GB2312" w:hAnsi="仿宋_GB2312" w:cs="仿宋_GB2312" w:hint="eastAsia"/>
          <w:b/>
          <w:sz w:val="32"/>
          <w:szCs w:val="32"/>
        </w:rPr>
        <w:t>1、加强执法规范化建设。</w:t>
      </w:r>
      <w:r>
        <w:rPr>
          <w:rFonts w:ascii="仿宋_GB2312" w:eastAsia="仿宋_GB2312" w:hint="eastAsia"/>
          <w:sz w:val="32"/>
          <w:szCs w:val="32"/>
        </w:rPr>
        <w:t>进一步完善执法办案程序规则、</w:t>
      </w:r>
      <w:r>
        <w:rPr>
          <w:rFonts w:ascii="仿宋_GB2312" w:eastAsia="仿宋_GB2312" w:hint="eastAsia"/>
          <w:sz w:val="32"/>
          <w:szCs w:val="32"/>
        </w:rPr>
        <w:lastRenderedPageBreak/>
        <w:t>质量标准、监督制约办法，提升执法办案质量、效率和效果。健全错案防止、完善办案责任制和案件评查机制，促进和保障法律适用的统一。</w:t>
      </w:r>
    </w:p>
    <w:p w:rsidR="003E7710" w:rsidRDefault="00AB2343">
      <w:pPr>
        <w:spacing w:line="576" w:lineRule="exact"/>
        <w:ind w:firstLine="645"/>
        <w:rPr>
          <w:rFonts w:ascii="仿宋_GB2312" w:eastAsia="仿宋_GB2312"/>
          <w:sz w:val="32"/>
          <w:szCs w:val="32"/>
        </w:rPr>
      </w:pPr>
      <w:r>
        <w:rPr>
          <w:rFonts w:ascii="仿宋_GB2312" w:eastAsia="仿宋_GB2312" w:hAnsi="仿宋_GB2312" w:cs="仿宋_GB2312" w:hint="eastAsia"/>
          <w:b/>
          <w:sz w:val="32"/>
          <w:szCs w:val="32"/>
        </w:rPr>
        <w:t>2、提高执法司法公信力。</w:t>
      </w:r>
      <w:r>
        <w:rPr>
          <w:rFonts w:ascii="仿宋_GB2312" w:eastAsia="仿宋_GB2312" w:hint="eastAsia"/>
          <w:sz w:val="32"/>
          <w:szCs w:val="32"/>
        </w:rPr>
        <w:t>着力推进“阳光司法”，加强执法司法公开信息化建设，依法推进立案、庭审、执行、听证以及裁判文书等方面的司法公开。严密执法监督，着力推动“执法司法突出问题的解决、信息化水平的提高、便民利民措施的落实”，把促进严格执法、公正司法摆到更加紧迫、更加突出的位置来抓，进一步提高执法司法公信力，努力让人民群众在每一个执法司法案件中都感受到公平公正。</w:t>
      </w:r>
    </w:p>
    <w:p w:rsidR="003E7710" w:rsidRDefault="00AB2343">
      <w:pPr>
        <w:spacing w:line="576" w:lineRule="exact"/>
        <w:ind w:firstLine="645"/>
        <w:rPr>
          <w:rFonts w:ascii="黑体" w:eastAsia="黑体" w:hAnsi="黑体" w:cs="黑体"/>
          <w:bCs/>
          <w:sz w:val="32"/>
          <w:szCs w:val="32"/>
        </w:rPr>
      </w:pPr>
      <w:r>
        <w:rPr>
          <w:rFonts w:ascii="黑体" w:eastAsia="黑体" w:hAnsi="黑体" w:cs="黑体" w:hint="eastAsia"/>
          <w:bCs/>
          <w:sz w:val="32"/>
          <w:szCs w:val="32"/>
        </w:rPr>
        <w:t>二、机构设置</w:t>
      </w:r>
      <w:bookmarkEnd w:id="6"/>
      <w:bookmarkEnd w:id="7"/>
    </w:p>
    <w:p w:rsidR="003E7710" w:rsidRDefault="00AB2343">
      <w:pPr>
        <w:spacing w:line="576" w:lineRule="exact"/>
        <w:ind w:firstLineChars="200" w:firstLine="632"/>
        <w:rPr>
          <w:rFonts w:eastAsia="仿宋_GB2312"/>
          <w:sz w:val="32"/>
          <w:szCs w:val="32"/>
        </w:rPr>
      </w:pPr>
      <w:bookmarkStart w:id="8" w:name="OLE_LINK1"/>
      <w:r>
        <w:rPr>
          <w:rFonts w:ascii="仿宋_GB2312" w:eastAsia="仿宋_GB2312" w:hint="eastAsia"/>
          <w:sz w:val="32"/>
          <w:szCs w:val="32"/>
        </w:rPr>
        <w:t>2018年</w:t>
      </w:r>
      <w:bookmarkEnd w:id="8"/>
      <w:r>
        <w:rPr>
          <w:rFonts w:ascii="仿宋_GB2312" w:eastAsia="仿宋_GB2312" w:hint="eastAsia"/>
          <w:sz w:val="32"/>
          <w:szCs w:val="32"/>
        </w:rPr>
        <w:t>单位机构数为1个（行政 )：为政法委机关内设机构为维稳办、综治办、防邪办、政治部、办公室。财政供养人员编制为9个，其中全额供给人员和公用经费 9 个，</w:t>
      </w:r>
      <w:r>
        <w:rPr>
          <w:rFonts w:ascii="仿宋_GB2312" w:eastAsia="仿宋_GB2312" w:cs="仿宋_GB2312"/>
          <w:bCs/>
          <w:kern w:val="0"/>
          <w:sz w:val="32"/>
          <w:szCs w:val="32"/>
          <w:lang w:val="zh-CN"/>
        </w:rPr>
        <w:t>2</w:t>
      </w:r>
      <w:r>
        <w:rPr>
          <w:rFonts w:ascii="仿宋_GB2312" w:eastAsia="仿宋_GB2312" w:cs="仿宋_GB2312" w:hint="eastAsia"/>
          <w:bCs/>
          <w:kern w:val="0"/>
          <w:sz w:val="32"/>
          <w:szCs w:val="32"/>
        </w:rPr>
        <w:t>018</w:t>
      </w:r>
      <w:r>
        <w:rPr>
          <w:rFonts w:ascii="仿宋_GB2312" w:eastAsia="仿宋_GB2312" w:cs="仿宋_GB2312" w:hint="eastAsia"/>
          <w:bCs/>
          <w:kern w:val="0"/>
          <w:sz w:val="32"/>
          <w:szCs w:val="32"/>
          <w:lang w:val="zh-CN"/>
        </w:rPr>
        <w:t>年财政供养人员</w:t>
      </w:r>
      <w:r>
        <w:rPr>
          <w:rFonts w:ascii="仿宋_GB2312" w:eastAsia="仿宋_GB2312" w:cs="仿宋_GB2312" w:hint="eastAsia"/>
          <w:bCs/>
          <w:kern w:val="0"/>
          <w:sz w:val="32"/>
          <w:szCs w:val="32"/>
        </w:rPr>
        <w:t>10</w:t>
      </w:r>
      <w:r>
        <w:rPr>
          <w:rFonts w:ascii="仿宋_GB2312" w:eastAsia="仿宋_GB2312" w:cs="仿宋_GB2312" w:hint="eastAsia"/>
          <w:bCs/>
          <w:kern w:val="0"/>
          <w:sz w:val="32"/>
          <w:szCs w:val="32"/>
          <w:lang w:val="zh-CN"/>
        </w:rPr>
        <w:t xml:space="preserve">人，较上年无增加，其中：在职 </w:t>
      </w:r>
      <w:r>
        <w:rPr>
          <w:rFonts w:ascii="仿宋_GB2312" w:eastAsia="仿宋_GB2312" w:cs="仿宋_GB2312" w:hint="eastAsia"/>
          <w:bCs/>
          <w:kern w:val="0"/>
          <w:sz w:val="32"/>
          <w:szCs w:val="32"/>
        </w:rPr>
        <w:t>9</w:t>
      </w:r>
      <w:r>
        <w:rPr>
          <w:rFonts w:ascii="仿宋_GB2312" w:eastAsia="仿宋_GB2312" w:cs="仿宋_GB2312" w:hint="eastAsia"/>
          <w:bCs/>
          <w:kern w:val="0"/>
          <w:sz w:val="32"/>
          <w:szCs w:val="32"/>
          <w:lang w:val="zh-CN"/>
        </w:rPr>
        <w:t>人，临聘人员</w:t>
      </w:r>
      <w:r>
        <w:rPr>
          <w:rFonts w:ascii="仿宋_GB2312" w:eastAsia="仿宋_GB2312" w:cs="仿宋_GB2312" w:hint="eastAsia"/>
          <w:bCs/>
          <w:kern w:val="0"/>
          <w:sz w:val="32"/>
          <w:szCs w:val="32"/>
        </w:rPr>
        <w:t>1人。</w:t>
      </w:r>
    </w:p>
    <w:p w:rsidR="003E7710" w:rsidRDefault="003E7710">
      <w:pPr>
        <w:spacing w:line="576" w:lineRule="exact"/>
        <w:ind w:firstLine="645"/>
        <w:rPr>
          <w:rFonts w:ascii="仿宋_GB2312" w:eastAsia="仿宋_GB2312" w:hAnsi="仿宋_GB2312" w:cs="仿宋_GB2312"/>
          <w:b/>
          <w:sz w:val="32"/>
          <w:szCs w:val="32"/>
        </w:rPr>
      </w:pPr>
    </w:p>
    <w:p w:rsidR="003E7710" w:rsidRDefault="003E7710">
      <w:pPr>
        <w:pStyle w:val="a4"/>
        <w:adjustRightInd w:val="0"/>
        <w:snapToGrid w:val="0"/>
        <w:spacing w:before="180" w:line="576" w:lineRule="exact"/>
        <w:ind w:firstLineChars="210" w:firstLine="664"/>
        <w:rPr>
          <w:rFonts w:ascii="仿宋" w:eastAsia="仿宋" w:hAnsi="仿宋"/>
          <w:color w:val="000000"/>
          <w:sz w:val="32"/>
          <w:szCs w:val="32"/>
        </w:rPr>
      </w:pPr>
    </w:p>
    <w:p w:rsidR="003E7710" w:rsidRDefault="003E7710">
      <w:pPr>
        <w:pStyle w:val="a4"/>
        <w:adjustRightInd w:val="0"/>
        <w:snapToGrid w:val="0"/>
        <w:spacing w:before="180" w:line="576" w:lineRule="exact"/>
        <w:ind w:firstLineChars="210" w:firstLine="664"/>
        <w:rPr>
          <w:rFonts w:ascii="仿宋" w:eastAsia="仿宋" w:hAnsi="仿宋"/>
          <w:color w:val="000000"/>
          <w:sz w:val="32"/>
          <w:szCs w:val="32"/>
        </w:rPr>
      </w:pPr>
    </w:p>
    <w:p w:rsidR="003E7710" w:rsidRDefault="003E7710">
      <w:pPr>
        <w:pStyle w:val="a4"/>
        <w:adjustRightInd w:val="0"/>
        <w:snapToGrid w:val="0"/>
        <w:spacing w:before="180" w:line="576" w:lineRule="exact"/>
        <w:ind w:firstLineChars="210" w:firstLine="664"/>
        <w:rPr>
          <w:rFonts w:ascii="仿宋" w:eastAsia="仿宋" w:hAnsi="仿宋"/>
          <w:color w:val="000000"/>
          <w:sz w:val="32"/>
          <w:szCs w:val="32"/>
        </w:rPr>
      </w:pPr>
    </w:p>
    <w:p w:rsidR="003E7710" w:rsidRDefault="003E7710">
      <w:pPr>
        <w:pStyle w:val="a4"/>
        <w:adjustRightInd w:val="0"/>
        <w:snapToGrid w:val="0"/>
        <w:spacing w:before="180" w:line="576" w:lineRule="exact"/>
        <w:ind w:firstLineChars="210" w:firstLine="664"/>
        <w:rPr>
          <w:rFonts w:ascii="仿宋" w:eastAsia="仿宋" w:hAnsi="仿宋"/>
          <w:color w:val="000000"/>
          <w:sz w:val="32"/>
          <w:szCs w:val="32"/>
        </w:rPr>
      </w:pPr>
    </w:p>
    <w:p w:rsidR="003E7710" w:rsidRDefault="003E7710">
      <w:pPr>
        <w:pStyle w:val="1"/>
        <w:numPr>
          <w:ilvl w:val="0"/>
          <w:numId w:val="1"/>
        </w:numPr>
        <w:spacing w:line="576" w:lineRule="exact"/>
        <w:ind w:right="440"/>
        <w:jc w:val="center"/>
        <w:rPr>
          <w:rStyle w:val="1Char"/>
          <w:rFonts w:ascii="黑体" w:eastAsia="黑体" w:hAnsi="黑体" w:cs="黑体"/>
        </w:rPr>
      </w:pPr>
      <w:bookmarkStart w:id="9" w:name="_Toc15396602"/>
      <w:bookmarkStart w:id="10" w:name="_Toc15377204"/>
    </w:p>
    <w:p w:rsidR="003E7710" w:rsidRDefault="00AB2343">
      <w:pPr>
        <w:pStyle w:val="1"/>
        <w:spacing w:line="576" w:lineRule="exact"/>
        <w:ind w:right="440" w:firstLineChars="300" w:firstLine="1309"/>
        <w:rPr>
          <w:rStyle w:val="1Char"/>
          <w:rFonts w:ascii="黑体" w:eastAsia="黑体" w:hAnsi="黑体" w:cs="黑体"/>
        </w:rPr>
      </w:pPr>
      <w:r>
        <w:rPr>
          <w:rStyle w:val="1Char"/>
          <w:rFonts w:ascii="黑体" w:eastAsia="黑体" w:hAnsi="黑体" w:cs="黑体" w:hint="eastAsia"/>
        </w:rPr>
        <w:t>2018年度部门决算情况说明</w:t>
      </w:r>
      <w:bookmarkEnd w:id="9"/>
      <w:bookmarkEnd w:id="10"/>
    </w:p>
    <w:p w:rsidR="003E7710" w:rsidRDefault="003E7710">
      <w:pPr>
        <w:spacing w:line="576" w:lineRule="exact"/>
        <w:rPr>
          <w:sz w:val="32"/>
          <w:szCs w:val="32"/>
        </w:rPr>
      </w:pPr>
    </w:p>
    <w:p w:rsidR="003E7710" w:rsidRDefault="00AB2343">
      <w:pPr>
        <w:pStyle w:val="ac"/>
        <w:numPr>
          <w:ilvl w:val="0"/>
          <w:numId w:val="2"/>
        </w:numPr>
        <w:spacing w:line="576" w:lineRule="exact"/>
        <w:ind w:firstLineChars="0"/>
        <w:outlineLvl w:val="1"/>
        <w:rPr>
          <w:rStyle w:val="2Char"/>
          <w:rFonts w:ascii="黑体" w:eastAsia="黑体" w:hAnsi="黑体"/>
          <w:b w:val="0"/>
        </w:rPr>
      </w:pPr>
      <w:bookmarkStart w:id="11" w:name="_Toc15396603"/>
      <w:bookmarkStart w:id="12"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11"/>
      <w:bookmarkEnd w:id="12"/>
    </w:p>
    <w:p w:rsidR="003E7710" w:rsidRDefault="00AB2343">
      <w:pPr>
        <w:spacing w:line="576"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2018年度收、支总计912.23万元。与2017年相比，收、支总计增加300.27万元，增长56.03</w:t>
      </w:r>
      <w:r>
        <w:rPr>
          <w:rFonts w:ascii="仿宋" w:eastAsia="仿宋" w:hAnsi="仿宋"/>
          <w:color w:val="000000"/>
          <w:sz w:val="32"/>
          <w:szCs w:val="32"/>
        </w:rPr>
        <w:t>%</w:t>
      </w:r>
      <w:r>
        <w:rPr>
          <w:rFonts w:ascii="仿宋" w:eastAsia="仿宋" w:hAnsi="仿宋" w:hint="eastAsia"/>
          <w:color w:val="000000"/>
          <w:sz w:val="32"/>
          <w:szCs w:val="32"/>
        </w:rPr>
        <w:t>。</w:t>
      </w:r>
      <w:bookmarkStart w:id="13" w:name="_Toc15396604"/>
      <w:bookmarkStart w:id="14" w:name="_Toc15377206"/>
    </w:p>
    <w:p w:rsidR="003E7710" w:rsidRDefault="004A2E1C">
      <w:pPr>
        <w:spacing w:line="576" w:lineRule="exact"/>
        <w:ind w:firstLineChars="200" w:firstLine="632"/>
        <w:rPr>
          <w:rStyle w:val="2Char"/>
          <w:rFonts w:ascii="黑体" w:eastAsia="黑体" w:hAnsi="黑体"/>
          <w:b w:val="0"/>
        </w:rPr>
      </w:pPr>
      <w:r>
        <w:rPr>
          <w:rFonts w:ascii="黑体" w:eastAsia="黑体" w:hAnsi="黑体" w:hint="eastAsia"/>
          <w:color w:val="000000"/>
          <w:sz w:val="32"/>
          <w:szCs w:val="32"/>
        </w:rPr>
        <w:t>二、</w:t>
      </w:r>
      <w:r w:rsidR="00AB2343">
        <w:rPr>
          <w:rFonts w:ascii="黑体" w:eastAsia="黑体" w:hAnsi="黑体" w:hint="eastAsia"/>
          <w:color w:val="000000"/>
          <w:sz w:val="32"/>
          <w:szCs w:val="32"/>
        </w:rPr>
        <w:t>收</w:t>
      </w:r>
      <w:r w:rsidR="00AB2343">
        <w:rPr>
          <w:rStyle w:val="2Char"/>
          <w:rFonts w:ascii="黑体" w:eastAsia="黑体" w:hAnsi="黑体" w:hint="eastAsia"/>
          <w:b w:val="0"/>
        </w:rPr>
        <w:t>入决算情况说明</w:t>
      </w:r>
      <w:bookmarkEnd w:id="13"/>
      <w:bookmarkEnd w:id="14"/>
    </w:p>
    <w:p w:rsidR="003E7710" w:rsidRDefault="00AB2343">
      <w:pPr>
        <w:spacing w:line="576" w:lineRule="exact"/>
        <w:ind w:firstLineChars="200" w:firstLine="632"/>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8年本年收入合计450.59万元，其中：一般公共预算财政拨款收入450.59万元，占100</w:t>
      </w:r>
      <w:r>
        <w:rPr>
          <w:rFonts w:ascii="仿宋" w:eastAsia="仿宋" w:hAnsi="仿宋"/>
          <w:color w:val="000000"/>
          <w:sz w:val="32"/>
          <w:szCs w:val="32"/>
        </w:rPr>
        <w:t>%</w:t>
      </w:r>
      <w:r>
        <w:rPr>
          <w:rFonts w:ascii="仿宋" w:eastAsia="仿宋" w:hAnsi="仿宋" w:hint="eastAsia"/>
          <w:color w:val="000000"/>
          <w:sz w:val="32"/>
          <w:szCs w:val="32"/>
        </w:rPr>
        <w:t>；</w:t>
      </w:r>
    </w:p>
    <w:p w:rsidR="003E7710" w:rsidRPr="004A2E1C" w:rsidRDefault="004A2E1C" w:rsidP="004A2E1C">
      <w:pPr>
        <w:spacing w:line="576" w:lineRule="exact"/>
        <w:ind w:left="640"/>
        <w:outlineLvl w:val="1"/>
        <w:rPr>
          <w:rStyle w:val="2Char"/>
          <w:rFonts w:ascii="黑体" w:eastAsia="黑体" w:hAnsi="黑体"/>
          <w:b w:val="0"/>
        </w:rPr>
      </w:pPr>
      <w:bookmarkStart w:id="15" w:name="_Toc15396605"/>
      <w:bookmarkStart w:id="16" w:name="_Toc15377207"/>
      <w:r w:rsidRPr="004A2E1C">
        <w:rPr>
          <w:rStyle w:val="2Char"/>
          <w:rFonts w:ascii="黑体" w:eastAsia="黑体" w:hAnsi="黑体"/>
          <w:b w:val="0"/>
          <w:highlight w:val="lightGray"/>
        </w:rPr>
        <w:t>三</w:t>
      </w:r>
      <w:r>
        <w:rPr>
          <w:rStyle w:val="2Char"/>
          <w:rFonts w:ascii="黑体" w:eastAsia="黑体" w:hAnsi="黑体" w:hint="eastAsia"/>
          <w:b w:val="0"/>
          <w:highlight w:val="lightGray"/>
        </w:rPr>
        <w:t>、</w:t>
      </w:r>
      <w:r w:rsidRPr="004A2E1C">
        <w:rPr>
          <w:rFonts w:ascii="黑体" w:eastAsia="黑体" w:hAnsi="黑体" w:hint="eastAsia"/>
          <w:color w:val="000000"/>
          <w:sz w:val="32"/>
          <w:szCs w:val="32"/>
        </w:rPr>
        <w:t>支</w:t>
      </w:r>
      <w:r w:rsidRPr="004A2E1C">
        <w:rPr>
          <w:rStyle w:val="2Char"/>
          <w:rFonts w:ascii="黑体" w:eastAsia="黑体" w:hAnsi="黑体" w:hint="eastAsia"/>
          <w:b w:val="0"/>
        </w:rPr>
        <w:t>出决算情况说明</w:t>
      </w:r>
      <w:bookmarkEnd w:id="15"/>
      <w:bookmarkEnd w:id="16"/>
    </w:p>
    <w:p w:rsidR="003E7710" w:rsidRDefault="00AB2343">
      <w:pPr>
        <w:spacing w:line="576"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8年本年支出合计461.64万元，其中：基本支出240.67万元，占52.13</w:t>
      </w:r>
      <w:r>
        <w:rPr>
          <w:rFonts w:ascii="仿宋" w:eastAsia="仿宋" w:hAnsi="仿宋"/>
          <w:color w:val="000000"/>
          <w:sz w:val="32"/>
          <w:szCs w:val="32"/>
        </w:rPr>
        <w:t>%</w:t>
      </w:r>
      <w:r>
        <w:rPr>
          <w:rFonts w:ascii="仿宋" w:eastAsia="仿宋" w:hAnsi="仿宋" w:hint="eastAsia"/>
          <w:color w:val="000000"/>
          <w:sz w:val="32"/>
          <w:szCs w:val="32"/>
        </w:rPr>
        <w:t>；项目支出220.96万元，占47.87</w:t>
      </w:r>
      <w:r>
        <w:rPr>
          <w:rFonts w:ascii="仿宋" w:eastAsia="仿宋" w:hAnsi="仿宋"/>
          <w:color w:val="000000"/>
          <w:sz w:val="32"/>
          <w:szCs w:val="32"/>
        </w:rPr>
        <w:t>%</w:t>
      </w:r>
      <w:r>
        <w:rPr>
          <w:rFonts w:ascii="仿宋" w:eastAsia="仿宋" w:hAnsi="仿宋" w:hint="eastAsia"/>
          <w:color w:val="000000"/>
          <w:sz w:val="32"/>
          <w:szCs w:val="32"/>
        </w:rPr>
        <w:t>。</w:t>
      </w:r>
    </w:p>
    <w:p w:rsidR="003E7710" w:rsidRDefault="00AB2343">
      <w:pPr>
        <w:spacing w:line="576" w:lineRule="exact"/>
        <w:ind w:firstLineChars="200" w:firstLine="632"/>
        <w:outlineLvl w:val="1"/>
        <w:rPr>
          <w:rStyle w:val="2Char"/>
          <w:rFonts w:ascii="黑体" w:eastAsia="黑体" w:hAnsi="黑体"/>
          <w:b w:val="0"/>
        </w:rPr>
      </w:pPr>
      <w:bookmarkStart w:id="17" w:name="_Toc15377208"/>
      <w:bookmarkStart w:id="18"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17"/>
      <w:bookmarkEnd w:id="18"/>
    </w:p>
    <w:p w:rsidR="003E7710" w:rsidRDefault="00AB2343">
      <w:pPr>
        <w:spacing w:line="576"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8年财政拨款收、支总计912.23万元。与</w:t>
      </w:r>
      <w:r>
        <w:rPr>
          <w:rFonts w:ascii="仿宋" w:eastAsia="仿宋" w:hAnsi="仿宋"/>
          <w:color w:val="000000"/>
          <w:sz w:val="32"/>
          <w:szCs w:val="32"/>
        </w:rPr>
        <w:t>201</w:t>
      </w:r>
      <w:r>
        <w:rPr>
          <w:rFonts w:ascii="仿宋" w:eastAsia="仿宋" w:hAnsi="仿宋" w:hint="eastAsia"/>
          <w:color w:val="000000"/>
          <w:sz w:val="32"/>
          <w:szCs w:val="32"/>
        </w:rPr>
        <w:t>7年相比，财政拨款收、支总计增加300.27万元，增长56.03</w:t>
      </w:r>
      <w:r>
        <w:rPr>
          <w:rFonts w:ascii="仿宋" w:eastAsia="仿宋" w:hAnsi="仿宋"/>
          <w:color w:val="000000"/>
          <w:sz w:val="32"/>
          <w:szCs w:val="32"/>
        </w:rPr>
        <w:t>%</w:t>
      </w:r>
      <w:r>
        <w:rPr>
          <w:rFonts w:ascii="仿宋" w:eastAsia="仿宋" w:hAnsi="仿宋" w:hint="eastAsia"/>
          <w:color w:val="000000"/>
          <w:sz w:val="32"/>
          <w:szCs w:val="32"/>
        </w:rPr>
        <w:t>。</w:t>
      </w:r>
    </w:p>
    <w:p w:rsidR="003E7710" w:rsidRDefault="00AB2343">
      <w:pPr>
        <w:spacing w:line="576" w:lineRule="exact"/>
        <w:ind w:firstLine="640"/>
        <w:rPr>
          <w:rFonts w:ascii="仿宋" w:eastAsia="仿宋" w:hAnsi="仿宋"/>
          <w:b/>
          <w:color w:val="00B050"/>
          <w:sz w:val="32"/>
          <w:szCs w:val="32"/>
        </w:rPr>
      </w:pPr>
      <w:r>
        <w:rPr>
          <w:rFonts w:ascii="仿宋" w:eastAsia="仿宋" w:hAnsi="仿宋" w:hint="eastAsia"/>
          <w:b/>
          <w:color w:val="000000" w:themeColor="text1"/>
          <w:sz w:val="32"/>
          <w:szCs w:val="32"/>
        </w:rPr>
        <w:t>（除国有资本经营预算外，数据来源于财决</w:t>
      </w:r>
      <w:r>
        <w:rPr>
          <w:rFonts w:ascii="仿宋" w:eastAsia="仿宋" w:hAnsi="仿宋"/>
          <w:b/>
          <w:color w:val="000000" w:themeColor="text1"/>
          <w:sz w:val="32"/>
          <w:szCs w:val="32"/>
        </w:rPr>
        <w:t>Z01-1</w:t>
      </w:r>
      <w:r>
        <w:rPr>
          <w:rFonts w:ascii="仿宋" w:eastAsia="仿宋" w:hAnsi="仿宋" w:hint="eastAsia"/>
          <w:b/>
          <w:color w:val="000000" w:themeColor="text1"/>
          <w:sz w:val="32"/>
          <w:szCs w:val="32"/>
        </w:rPr>
        <w:t>表，口径为“总计”数+国有资本经营预算。）</w:t>
      </w:r>
    </w:p>
    <w:p w:rsidR="003E7710" w:rsidRDefault="00AB2343">
      <w:pPr>
        <w:spacing w:line="576" w:lineRule="exact"/>
        <w:ind w:firstLineChars="200" w:firstLine="632"/>
        <w:outlineLvl w:val="1"/>
        <w:rPr>
          <w:rStyle w:val="2Char"/>
          <w:rFonts w:ascii="黑体" w:eastAsia="黑体" w:hAnsi="黑体"/>
          <w:b w:val="0"/>
        </w:rPr>
      </w:pPr>
      <w:bookmarkStart w:id="19" w:name="_Toc15377209"/>
      <w:bookmarkStart w:id="20"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19"/>
      <w:bookmarkEnd w:id="20"/>
    </w:p>
    <w:p w:rsidR="003E7710" w:rsidRDefault="00AB2343">
      <w:pPr>
        <w:spacing w:line="576" w:lineRule="exact"/>
        <w:ind w:firstLineChars="200" w:firstLine="635"/>
        <w:outlineLvl w:val="2"/>
        <w:rPr>
          <w:rFonts w:ascii="仿宋" w:eastAsia="仿宋" w:hAnsi="仿宋"/>
          <w:b/>
          <w:color w:val="000000"/>
          <w:sz w:val="32"/>
          <w:szCs w:val="32"/>
        </w:rPr>
      </w:pPr>
      <w:bookmarkStart w:id="21" w:name="_Toc15377210"/>
      <w:r>
        <w:rPr>
          <w:rFonts w:ascii="仿宋" w:eastAsia="仿宋" w:hAnsi="仿宋" w:hint="eastAsia"/>
          <w:b/>
          <w:color w:val="000000"/>
          <w:sz w:val="32"/>
          <w:szCs w:val="32"/>
        </w:rPr>
        <w:t>（一）一般公共预算财政拨款支出决算总体情况</w:t>
      </w:r>
      <w:bookmarkEnd w:id="21"/>
    </w:p>
    <w:p w:rsidR="003E7710" w:rsidRDefault="00AB2343">
      <w:pPr>
        <w:spacing w:line="576" w:lineRule="exact"/>
        <w:ind w:firstLineChars="200" w:firstLine="632"/>
        <w:rPr>
          <w:rFonts w:ascii="仿宋" w:eastAsia="仿宋" w:hAnsi="仿宋"/>
          <w:color w:val="000000" w:themeColor="text1"/>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8年一般公共预算财政拨款支出450.59万元，占本年支出合计的100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7年相比，一般公共预算财政拨款增加198.13万元，增长43.97</w:t>
      </w:r>
      <w:r>
        <w:rPr>
          <w:rFonts w:ascii="仿宋" w:eastAsia="仿宋" w:hAnsi="仿宋"/>
          <w:color w:val="000000"/>
          <w:sz w:val="32"/>
          <w:szCs w:val="32"/>
        </w:rPr>
        <w:t>%</w:t>
      </w:r>
      <w:r>
        <w:rPr>
          <w:rFonts w:ascii="仿宋" w:eastAsia="仿宋" w:hAnsi="仿宋" w:hint="eastAsia"/>
          <w:color w:val="000000"/>
          <w:sz w:val="32"/>
          <w:szCs w:val="32"/>
        </w:rPr>
        <w:t>。</w:t>
      </w:r>
    </w:p>
    <w:p w:rsidR="003E7710" w:rsidRDefault="00AB2343">
      <w:pPr>
        <w:spacing w:line="576" w:lineRule="exact"/>
        <w:ind w:firstLineChars="200" w:firstLine="635"/>
        <w:outlineLvl w:val="2"/>
        <w:rPr>
          <w:rFonts w:ascii="仿宋" w:eastAsia="仿宋" w:hAnsi="仿宋"/>
          <w:b/>
          <w:color w:val="000000"/>
          <w:sz w:val="32"/>
          <w:szCs w:val="32"/>
        </w:rPr>
      </w:pPr>
      <w:bookmarkStart w:id="22" w:name="_Toc15377211"/>
      <w:r>
        <w:rPr>
          <w:rFonts w:ascii="仿宋" w:eastAsia="仿宋" w:hAnsi="仿宋" w:hint="eastAsia"/>
          <w:b/>
          <w:color w:val="000000"/>
          <w:sz w:val="32"/>
          <w:szCs w:val="32"/>
        </w:rPr>
        <w:t>（二）一般公共预算财政拨款支出决算结构情况</w:t>
      </w:r>
      <w:bookmarkEnd w:id="22"/>
    </w:p>
    <w:p w:rsidR="003E7710" w:rsidRDefault="00AB2343">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461.64</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社会保障和就业208（类）</w:t>
      </w:r>
      <w:r>
        <w:rPr>
          <w:rFonts w:ascii="仿宋" w:eastAsia="仿宋" w:hAnsi="仿宋" w:hint="eastAsia"/>
          <w:color w:val="000000" w:themeColor="text1"/>
          <w:sz w:val="32"/>
          <w:szCs w:val="32"/>
        </w:rPr>
        <w:t>支出13.45万元，占2.91</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；医疗卫生210</w:t>
      </w:r>
      <w:r>
        <w:rPr>
          <w:rFonts w:ascii="仿宋" w:eastAsia="仿宋" w:hAnsi="仿宋" w:hint="eastAsia"/>
          <w:b/>
          <w:color w:val="000000" w:themeColor="text1"/>
          <w:sz w:val="32"/>
          <w:szCs w:val="32"/>
        </w:rPr>
        <w:t>（类）</w:t>
      </w:r>
      <w:r>
        <w:rPr>
          <w:rFonts w:ascii="仿宋" w:eastAsia="仿宋" w:hAnsi="仿宋" w:hint="eastAsia"/>
          <w:color w:val="000000" w:themeColor="text1"/>
          <w:sz w:val="32"/>
          <w:szCs w:val="32"/>
        </w:rPr>
        <w:t>支出11.73万元，占2.54</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；住房保障支出221</w:t>
      </w:r>
      <w:r>
        <w:rPr>
          <w:rFonts w:ascii="仿宋" w:eastAsia="仿宋" w:hAnsi="仿宋" w:hint="eastAsia"/>
          <w:b/>
          <w:color w:val="000000" w:themeColor="text1"/>
          <w:sz w:val="32"/>
          <w:szCs w:val="32"/>
        </w:rPr>
        <w:t>（类）</w:t>
      </w:r>
      <w:r>
        <w:rPr>
          <w:rFonts w:ascii="仿宋" w:eastAsia="仿宋" w:hAnsi="仿宋" w:hint="eastAsia"/>
          <w:bCs/>
          <w:color w:val="000000" w:themeColor="text1"/>
          <w:sz w:val="32"/>
          <w:szCs w:val="32"/>
        </w:rPr>
        <w:t>支出</w:t>
      </w:r>
      <w:r>
        <w:rPr>
          <w:rFonts w:ascii="仿宋" w:eastAsia="仿宋" w:hAnsi="仿宋" w:hint="eastAsia"/>
          <w:color w:val="000000" w:themeColor="text1"/>
          <w:sz w:val="32"/>
          <w:szCs w:val="32"/>
        </w:rPr>
        <w:t>10.85万元，占2.35</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3E7710" w:rsidRDefault="00AB2343">
      <w:pPr>
        <w:spacing w:line="576" w:lineRule="exact"/>
        <w:ind w:firstLineChars="200" w:firstLine="635"/>
        <w:outlineLvl w:val="2"/>
        <w:rPr>
          <w:rFonts w:ascii="仿宋" w:eastAsia="仿宋" w:hAnsi="仿宋"/>
          <w:b/>
          <w:color w:val="000000"/>
          <w:sz w:val="32"/>
          <w:szCs w:val="32"/>
        </w:rPr>
      </w:pPr>
      <w:bookmarkStart w:id="23" w:name="_Toc15377212"/>
      <w:r>
        <w:rPr>
          <w:rFonts w:ascii="仿宋" w:eastAsia="仿宋" w:hAnsi="仿宋" w:hint="eastAsia"/>
          <w:b/>
          <w:color w:val="000000"/>
          <w:sz w:val="32"/>
          <w:szCs w:val="32"/>
        </w:rPr>
        <w:t>（三）一般公共预算财政拨款支出决算具体情况</w:t>
      </w:r>
      <w:bookmarkEnd w:id="23"/>
    </w:p>
    <w:p w:rsidR="003E7710" w:rsidRDefault="00AB2343">
      <w:pPr>
        <w:spacing w:line="576" w:lineRule="exact"/>
        <w:ind w:firstLineChars="200" w:firstLine="635"/>
        <w:outlineLvl w:val="2"/>
        <w:rPr>
          <w:rFonts w:ascii="仿宋" w:eastAsia="仿宋" w:hAnsi="仿宋"/>
          <w:color w:val="FF0000"/>
          <w:sz w:val="32"/>
          <w:szCs w:val="32"/>
        </w:rPr>
      </w:pPr>
      <w:bookmarkStart w:id="24" w:name="_Toc15378460"/>
      <w:bookmarkStart w:id="25" w:name="_Toc15377444"/>
      <w:bookmarkStart w:id="26" w:name="_Toc15377213"/>
      <w:r>
        <w:rPr>
          <w:rFonts w:ascii="仿宋" w:eastAsia="仿宋" w:hAnsi="仿宋" w:hint="eastAsia"/>
          <w:b/>
          <w:color w:val="000000" w:themeColor="text1"/>
          <w:sz w:val="32"/>
          <w:szCs w:val="32"/>
        </w:rPr>
        <w:t>2018年一般公共预算支出决算数为</w:t>
      </w:r>
      <w:r>
        <w:rPr>
          <w:rFonts w:ascii="仿宋" w:eastAsia="仿宋" w:hAnsi="仿宋" w:hint="eastAsia"/>
          <w:color w:val="000000"/>
          <w:sz w:val="32"/>
          <w:szCs w:val="32"/>
        </w:rPr>
        <w:t>461.64</w:t>
      </w:r>
      <w:r>
        <w:rPr>
          <w:rFonts w:ascii="仿宋" w:eastAsia="仿宋" w:hAnsi="仿宋" w:hint="eastAsia"/>
          <w:color w:val="000000" w:themeColor="text1"/>
          <w:sz w:val="32"/>
          <w:szCs w:val="32"/>
        </w:rPr>
        <w:t>，</w:t>
      </w:r>
      <w:r>
        <w:rPr>
          <w:rStyle w:val="a9"/>
          <w:rFonts w:ascii="仿宋" w:eastAsia="仿宋" w:hAnsi="仿宋" w:hint="eastAsia"/>
          <w:bCs/>
          <w:color w:val="000000" w:themeColor="text1"/>
          <w:sz w:val="32"/>
          <w:szCs w:val="32"/>
        </w:rPr>
        <w:t>完成</w:t>
      </w:r>
      <w:r>
        <w:rPr>
          <w:rStyle w:val="a9"/>
          <w:rFonts w:ascii="仿宋" w:eastAsia="仿宋" w:hAnsi="仿宋" w:hint="eastAsia"/>
          <w:bCs/>
          <w:color w:val="000000"/>
          <w:sz w:val="32"/>
          <w:szCs w:val="32"/>
        </w:rPr>
        <w:t>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24"/>
      <w:bookmarkEnd w:id="25"/>
      <w:bookmarkEnd w:id="26"/>
    </w:p>
    <w:p w:rsidR="003E7710" w:rsidRDefault="00AB2343">
      <w:pPr>
        <w:spacing w:line="576"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1.社会保障和就业208（类）行政事业单位离退休05（款）  机关事业单位基本养老保险缴费支出05（项）</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支出决算为13.45万元，完成预算100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E7710" w:rsidRDefault="00AB2343">
      <w:pPr>
        <w:spacing w:line="576" w:lineRule="exact"/>
        <w:ind w:firstLineChars="200" w:firstLine="635"/>
        <w:rPr>
          <w:rFonts w:ascii="仿宋" w:eastAsia="仿宋" w:hAnsi="仿宋"/>
          <w:color w:val="000000"/>
          <w:sz w:val="32"/>
          <w:szCs w:val="32"/>
        </w:rPr>
      </w:pPr>
      <w:r>
        <w:rPr>
          <w:rStyle w:val="a9"/>
          <w:rFonts w:ascii="仿宋" w:eastAsia="仿宋" w:hAnsi="仿宋" w:hint="eastAsia"/>
          <w:bCs/>
          <w:color w:val="000000"/>
          <w:sz w:val="32"/>
          <w:szCs w:val="32"/>
        </w:rPr>
        <w:t>2</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医疗卫生与计划生育210（类）行政事业单位医疗21011（款）行政单位医疗01（项）</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支出决算为7.97万元，完成预算100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，公务员医疗补助03</w:t>
      </w:r>
      <w:r>
        <w:rPr>
          <w:rStyle w:val="a9"/>
          <w:rFonts w:ascii="仿宋" w:eastAsia="仿宋" w:hAnsi="仿宋" w:hint="eastAsia"/>
          <w:bCs/>
          <w:color w:val="000000"/>
          <w:sz w:val="32"/>
          <w:szCs w:val="32"/>
        </w:rPr>
        <w:t>（项）</w:t>
      </w:r>
      <w:r>
        <w:rPr>
          <w:rStyle w:val="a9"/>
          <w:rFonts w:ascii="仿宋" w:eastAsia="仿宋" w:hAnsi="仿宋" w:hint="eastAsia"/>
          <w:b w:val="0"/>
          <w:bCs/>
          <w:color w:val="000000"/>
          <w:sz w:val="32"/>
          <w:szCs w:val="32"/>
        </w:rPr>
        <w:t>支出决算为2.79万元，完成预算100</w:t>
      </w:r>
      <w:r>
        <w:rPr>
          <w:rStyle w:val="a9"/>
          <w:rFonts w:ascii="仿宋" w:eastAsia="仿宋" w:hAnsi="仿宋"/>
          <w:b w:val="0"/>
          <w:bCs/>
          <w:color w:val="000000"/>
          <w:sz w:val="32"/>
          <w:szCs w:val="32"/>
        </w:rPr>
        <w:t>%</w:t>
      </w:r>
      <w:r>
        <w:rPr>
          <w:rFonts w:ascii="仿宋" w:eastAsia="仿宋" w:hAnsi="仿宋"/>
          <w:color w:val="000000"/>
          <w:sz w:val="32"/>
          <w:szCs w:val="32"/>
        </w:rPr>
        <w:t xml:space="preserve"> </w:t>
      </w:r>
      <w:r>
        <w:rPr>
          <w:rFonts w:ascii="仿宋" w:eastAsia="仿宋" w:hAnsi="仿宋" w:hint="eastAsia"/>
          <w:color w:val="000000"/>
          <w:sz w:val="32"/>
          <w:szCs w:val="32"/>
        </w:rPr>
        <w:t>，其他行政事业单位医疗支出99</w:t>
      </w:r>
      <w:r>
        <w:rPr>
          <w:rFonts w:ascii="仿宋_GB2312" w:eastAsia="仿宋_GB2312" w:hAnsi="仿宋_GB2312" w:cs="仿宋_GB2312" w:hint="eastAsia"/>
          <w:b/>
          <w:bCs/>
          <w:color w:val="000000"/>
          <w:sz w:val="32"/>
          <w:szCs w:val="32"/>
        </w:rPr>
        <w:t>（项）</w:t>
      </w:r>
      <w:r>
        <w:rPr>
          <w:rStyle w:val="a9"/>
          <w:rFonts w:ascii="仿宋" w:eastAsia="仿宋" w:hAnsi="仿宋" w:hint="eastAsia"/>
          <w:b w:val="0"/>
          <w:bCs/>
          <w:color w:val="000000"/>
          <w:sz w:val="32"/>
          <w:szCs w:val="32"/>
        </w:rPr>
        <w:t>支出决算为0.96万元，完成预算100%。</w:t>
      </w:r>
    </w:p>
    <w:p w:rsidR="003E7710" w:rsidRDefault="00AB2343">
      <w:pPr>
        <w:spacing w:line="576"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3.</w:t>
      </w:r>
      <w:r>
        <w:rPr>
          <w:rStyle w:val="a9"/>
          <w:rFonts w:ascii="仿宋" w:eastAsia="仿宋" w:hAnsi="仿宋" w:hint="eastAsia"/>
          <w:bCs/>
          <w:color w:val="000000"/>
          <w:sz w:val="32"/>
          <w:szCs w:val="32"/>
        </w:rPr>
        <w:t xml:space="preserve"> 住房保障支出221（类）住房改革支出02（款）住房公积金01（项）</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支出决算为10.85万元，完成预算100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3E7710" w:rsidRDefault="00AB2343">
      <w:pPr>
        <w:tabs>
          <w:tab w:val="right" w:pos="8306"/>
        </w:tabs>
        <w:spacing w:line="576" w:lineRule="exact"/>
        <w:ind w:firstLine="640"/>
        <w:outlineLvl w:val="1"/>
        <w:rPr>
          <w:rStyle w:val="2Char"/>
        </w:rPr>
      </w:pPr>
      <w:bookmarkStart w:id="27" w:name="_Toc15377214"/>
      <w:bookmarkStart w:id="28" w:name="_Toc15396608"/>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27"/>
      <w:bookmarkEnd w:id="28"/>
      <w:r>
        <w:rPr>
          <w:rStyle w:val="2Char"/>
          <w:rFonts w:ascii="黑体" w:eastAsia="黑体" w:hAnsi="黑体"/>
          <w:b w:val="0"/>
        </w:rPr>
        <w:tab/>
      </w:r>
    </w:p>
    <w:p w:rsidR="003E7710" w:rsidRDefault="00AB2343">
      <w:pPr>
        <w:spacing w:line="576" w:lineRule="exact"/>
        <w:ind w:firstLine="645"/>
        <w:rPr>
          <w:rFonts w:ascii="仿宋" w:eastAsia="仿宋" w:hAnsi="仿宋"/>
          <w:color w:val="000000"/>
          <w:sz w:val="32"/>
          <w:szCs w:val="32"/>
        </w:rPr>
      </w:pPr>
      <w:r>
        <w:rPr>
          <w:rFonts w:ascii="仿宋" w:eastAsia="仿宋" w:hAnsi="仿宋"/>
          <w:color w:val="000000"/>
          <w:sz w:val="32"/>
          <w:szCs w:val="32"/>
        </w:rPr>
        <w:lastRenderedPageBreak/>
        <w:t>201</w:t>
      </w:r>
      <w:r>
        <w:rPr>
          <w:rFonts w:ascii="仿宋" w:eastAsia="仿宋" w:hAnsi="仿宋" w:hint="eastAsia"/>
          <w:color w:val="000000"/>
          <w:sz w:val="32"/>
          <w:szCs w:val="32"/>
        </w:rPr>
        <w:t>8年一般公共预算财政拨款基本支出240.67万元，其中：</w:t>
      </w:r>
    </w:p>
    <w:p w:rsidR="003E7710" w:rsidRDefault="00AB2343">
      <w:pPr>
        <w:spacing w:line="576" w:lineRule="exact"/>
        <w:ind w:firstLine="645"/>
        <w:rPr>
          <w:rFonts w:ascii="仿宋" w:eastAsia="仿宋" w:hAnsi="仿宋"/>
          <w:color w:val="000000"/>
          <w:sz w:val="32"/>
          <w:szCs w:val="32"/>
        </w:rPr>
      </w:pPr>
      <w:r>
        <w:rPr>
          <w:rFonts w:ascii="仿宋" w:eastAsia="仿宋" w:hAnsi="仿宋" w:hint="eastAsia"/>
          <w:color w:val="000000"/>
          <w:sz w:val="32"/>
          <w:szCs w:val="32"/>
        </w:rPr>
        <w:t>人员经费172.39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68.28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3E7710" w:rsidRDefault="00AB2343">
      <w:pPr>
        <w:spacing w:line="576" w:lineRule="exact"/>
        <w:ind w:firstLine="640"/>
        <w:rPr>
          <w:rFonts w:ascii="仿宋" w:eastAsia="仿宋" w:hAnsi="仿宋"/>
          <w:b/>
          <w:color w:val="FF0000"/>
          <w:sz w:val="32"/>
          <w:szCs w:val="32"/>
        </w:rPr>
      </w:pPr>
      <w:r>
        <w:rPr>
          <w:rFonts w:ascii="仿宋" w:eastAsia="仿宋" w:hAnsi="仿宋" w:hint="eastAsia"/>
          <w:b/>
          <w:color w:val="000000" w:themeColor="text1"/>
          <w:sz w:val="32"/>
          <w:szCs w:val="32"/>
        </w:rPr>
        <w:t>（数据来源财决</w:t>
      </w:r>
      <w:r>
        <w:rPr>
          <w:rFonts w:ascii="仿宋" w:eastAsia="仿宋" w:hAnsi="仿宋"/>
          <w:b/>
          <w:color w:val="000000" w:themeColor="text1"/>
          <w:sz w:val="32"/>
          <w:szCs w:val="32"/>
        </w:rPr>
        <w:t>0</w:t>
      </w:r>
      <w:r>
        <w:rPr>
          <w:rFonts w:ascii="仿宋" w:eastAsia="仿宋" w:hAnsi="仿宋" w:hint="eastAsia"/>
          <w:b/>
          <w:color w:val="000000" w:themeColor="text1"/>
          <w:sz w:val="32"/>
          <w:szCs w:val="32"/>
        </w:rPr>
        <w:t>8表，根据本部门实际支出情况罗列全部经济分类科目。）</w:t>
      </w:r>
    </w:p>
    <w:p w:rsidR="003E7710" w:rsidRDefault="00AB2343">
      <w:pPr>
        <w:spacing w:line="576" w:lineRule="exact"/>
        <w:ind w:firstLine="640"/>
        <w:outlineLvl w:val="1"/>
        <w:rPr>
          <w:rStyle w:val="2Char"/>
          <w:rFonts w:ascii="黑体" w:eastAsia="黑体" w:hAnsi="黑体"/>
          <w:b w:val="0"/>
        </w:rPr>
      </w:pPr>
      <w:bookmarkStart w:id="29" w:name="_Toc15396609"/>
      <w:bookmarkStart w:id="30"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29"/>
      <w:bookmarkEnd w:id="30"/>
    </w:p>
    <w:p w:rsidR="003E7710" w:rsidRDefault="00AB2343">
      <w:pPr>
        <w:spacing w:line="576" w:lineRule="exact"/>
        <w:ind w:firstLine="640"/>
        <w:outlineLvl w:val="2"/>
        <w:rPr>
          <w:rFonts w:ascii="仿宋" w:eastAsia="仿宋" w:hAnsi="仿宋"/>
          <w:b/>
          <w:color w:val="000000"/>
          <w:sz w:val="32"/>
          <w:szCs w:val="32"/>
        </w:rPr>
      </w:pPr>
      <w:bookmarkStart w:id="31" w:name="_Toc15377216"/>
      <w:r>
        <w:rPr>
          <w:rFonts w:ascii="仿宋" w:eastAsia="仿宋" w:hAnsi="仿宋" w:hint="eastAsia"/>
          <w:b/>
          <w:color w:val="000000"/>
          <w:sz w:val="32"/>
          <w:szCs w:val="32"/>
        </w:rPr>
        <w:t>（一）“三公”经费财政拨款支出决算总体情况说明</w:t>
      </w:r>
      <w:bookmarkEnd w:id="31"/>
    </w:p>
    <w:p w:rsidR="003E7710" w:rsidRDefault="00AB2343">
      <w:pPr>
        <w:spacing w:line="576" w:lineRule="exact"/>
        <w:ind w:firstLine="640"/>
        <w:rPr>
          <w:rFonts w:ascii="仿宋" w:eastAsia="仿宋" w:hAnsi="仿宋"/>
          <w:b/>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8年“三公”经费财政拨款支出决算为30.1万元，完成预算252.26</w:t>
      </w:r>
      <w:r>
        <w:rPr>
          <w:rFonts w:ascii="仿宋" w:eastAsia="仿宋" w:hAnsi="仿宋"/>
          <w:color w:val="000000"/>
          <w:sz w:val="32"/>
          <w:szCs w:val="32"/>
        </w:rPr>
        <w:t>%</w:t>
      </w:r>
      <w:r>
        <w:rPr>
          <w:rFonts w:ascii="仿宋" w:eastAsia="仿宋" w:hAnsi="仿宋" w:hint="eastAsia"/>
          <w:color w:val="000000"/>
          <w:sz w:val="32"/>
          <w:szCs w:val="32"/>
        </w:rPr>
        <w:t>，决算数大于预算数的主要原因是新增平安建设办、扫黑除恶办合署办公，故增加了三公经费开支，尤其是公务用车费用。</w:t>
      </w:r>
    </w:p>
    <w:p w:rsidR="003E7710" w:rsidRDefault="00AB2343">
      <w:pPr>
        <w:spacing w:line="576" w:lineRule="exact"/>
        <w:ind w:firstLine="640"/>
        <w:outlineLvl w:val="2"/>
        <w:rPr>
          <w:rFonts w:ascii="仿宋" w:eastAsia="仿宋" w:hAnsi="仿宋"/>
          <w:b/>
          <w:color w:val="000000"/>
          <w:sz w:val="32"/>
          <w:szCs w:val="32"/>
        </w:rPr>
      </w:pPr>
      <w:bookmarkStart w:id="32" w:name="_Toc15377217"/>
      <w:r>
        <w:rPr>
          <w:rFonts w:ascii="仿宋" w:eastAsia="仿宋" w:hAnsi="仿宋" w:hint="eastAsia"/>
          <w:b/>
          <w:color w:val="000000"/>
          <w:sz w:val="32"/>
          <w:szCs w:val="32"/>
        </w:rPr>
        <w:lastRenderedPageBreak/>
        <w:t>（二）“三公”经费财政拨款支出决算具体情况说明</w:t>
      </w:r>
      <w:bookmarkEnd w:id="32"/>
    </w:p>
    <w:p w:rsidR="003E7710" w:rsidRDefault="00AB2343">
      <w:pPr>
        <w:spacing w:line="576"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8年“三公”经费财政拨款支出决算中，因公出国（境）费支出决算0万元；公务用车购置及运行维护费支出决算29.88万元，占99.27</w:t>
      </w:r>
      <w:r>
        <w:rPr>
          <w:rFonts w:ascii="仿宋" w:eastAsia="仿宋" w:hAnsi="仿宋"/>
          <w:color w:val="000000"/>
          <w:sz w:val="32"/>
          <w:szCs w:val="32"/>
        </w:rPr>
        <w:t>%</w:t>
      </w:r>
      <w:r>
        <w:rPr>
          <w:rFonts w:ascii="仿宋" w:eastAsia="仿宋" w:hAnsi="仿宋" w:hint="eastAsia"/>
          <w:color w:val="000000"/>
          <w:sz w:val="32"/>
          <w:szCs w:val="32"/>
        </w:rPr>
        <w:t>；公务接待费支出决算0.22万元，占,0.73</w:t>
      </w:r>
      <w:r>
        <w:rPr>
          <w:rFonts w:ascii="仿宋" w:eastAsia="仿宋" w:hAnsi="仿宋"/>
          <w:color w:val="000000"/>
          <w:sz w:val="32"/>
          <w:szCs w:val="32"/>
        </w:rPr>
        <w:t>%</w:t>
      </w:r>
      <w:r>
        <w:rPr>
          <w:rFonts w:ascii="仿宋" w:eastAsia="仿宋" w:hAnsi="仿宋" w:hint="eastAsia"/>
          <w:color w:val="000000"/>
          <w:sz w:val="32"/>
          <w:szCs w:val="32"/>
        </w:rPr>
        <w:t>。具体情况如下：</w:t>
      </w:r>
    </w:p>
    <w:p w:rsidR="003E7710" w:rsidRDefault="00AB2343">
      <w:pPr>
        <w:spacing w:line="576"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7年增加0万元。</w:t>
      </w:r>
    </w:p>
    <w:p w:rsidR="003E7710" w:rsidRDefault="00AB2343">
      <w:pPr>
        <w:spacing w:line="576" w:lineRule="exact"/>
        <w:ind w:firstLine="640"/>
        <w:rPr>
          <w:rFonts w:ascii="仿宋" w:eastAsia="仿宋" w:hAnsi="仿宋"/>
          <w:b/>
          <w:color w:val="000000" w:themeColor="text1"/>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rPr>
        <w:t>29.88万元,</w:t>
      </w:r>
      <w:r>
        <w:rPr>
          <w:rStyle w:val="a9"/>
          <w:rFonts w:ascii="仿宋" w:eastAsia="仿宋" w:hAnsi="仿宋" w:hint="eastAsia"/>
          <w:b w:val="0"/>
          <w:bCs/>
          <w:color w:val="000000"/>
          <w:sz w:val="32"/>
          <w:szCs w:val="32"/>
        </w:rPr>
        <w:t>完成预算267.73</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7年增加21.91万元，增加73.32</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Ansi="仿宋" w:hint="eastAsia"/>
          <w:color w:val="000000"/>
          <w:sz w:val="32"/>
          <w:szCs w:val="32"/>
        </w:rPr>
        <w:t>新增平安建设办、扫黑除恶办合署办公，故增加了三公经费开支，尤其是公务用车费用。</w:t>
      </w:r>
    </w:p>
    <w:p w:rsidR="003E7710" w:rsidRDefault="00AB2343">
      <w:pPr>
        <w:spacing w:line="576" w:lineRule="exact"/>
        <w:ind w:firstLineChars="200" w:firstLine="632"/>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w:t>
      </w:r>
      <w:r>
        <w:rPr>
          <w:rFonts w:ascii="仿宋_GB2312" w:eastAsia="仿宋_GB2312" w:hAnsi="仿宋_GB2312" w:cs="仿宋_GB2312" w:hint="eastAsia"/>
          <w:color w:val="000000"/>
          <w:sz w:val="32"/>
          <w:szCs w:val="32"/>
        </w:rPr>
        <w:t>全年按规定更新购置公务用车0辆。截至2018年12月底，单位共有公务用车2辆，其中：越野车2辆。</w:t>
      </w:r>
    </w:p>
    <w:p w:rsidR="003E7710" w:rsidRDefault="00AB2343">
      <w:pPr>
        <w:spacing w:line="576" w:lineRule="exact"/>
        <w:ind w:firstLine="640"/>
        <w:rPr>
          <w:rFonts w:ascii="仿宋_GB2312" w:eastAsia="仿宋_GB2312" w:hAnsi="仿宋_GB2312" w:cs="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rPr>
        <w:t>29.88万元。</w:t>
      </w:r>
      <w:r>
        <w:rPr>
          <w:rFonts w:ascii="仿宋_GB2312" w:eastAsia="仿宋_GB2312" w:hAnsi="仿宋_GB2312" w:cs="仿宋_GB2312" w:hint="eastAsia"/>
          <w:color w:val="000000"/>
          <w:sz w:val="32"/>
          <w:szCs w:val="32"/>
        </w:rPr>
        <w:t>主要用于主要保障脱贫攻坚、下乡走访慰问，开展综治、维稳、防邪、扫黑除恶、平安建设等所需的公务用车燃料费、维修费、过路过桥费、保险费等支出。</w:t>
      </w:r>
    </w:p>
    <w:p w:rsidR="003E7710" w:rsidRDefault="00AB2343">
      <w:pPr>
        <w:spacing w:line="576" w:lineRule="exact"/>
        <w:ind w:firstLine="640"/>
        <w:rPr>
          <w:rFonts w:ascii="仿宋_GB2312"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0.22万元</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7年减少0.07万元，下降25.92</w:t>
      </w:r>
      <w:r>
        <w:rPr>
          <w:rFonts w:ascii="仿宋_GB2312" w:eastAsia="仿宋_GB2312"/>
          <w:color w:val="000000"/>
          <w:sz w:val="32"/>
          <w:szCs w:val="32"/>
        </w:rPr>
        <w:t>%</w:t>
      </w:r>
      <w:r>
        <w:rPr>
          <w:rFonts w:ascii="仿宋_GB2312" w:eastAsia="仿宋_GB2312" w:hint="eastAsia"/>
          <w:color w:val="000000"/>
          <w:sz w:val="32"/>
          <w:szCs w:val="32"/>
        </w:rPr>
        <w:t>。主要原因是严格控制接待费。</w:t>
      </w:r>
    </w:p>
    <w:p w:rsidR="003E7710" w:rsidRDefault="00AB2343">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lastRenderedPageBreak/>
        <w:t>主要用于执行公务、开展业务活动开支的交通费、住宿费、用餐费等。国内公务接待8批次，19人次（不包括陪同人员），共计支出0.22万元，具体内容包括：接待省、州、县各项考察、督导工作其中：</w:t>
      </w:r>
    </w:p>
    <w:p w:rsidR="003E7710" w:rsidRDefault="00AB2343">
      <w:pPr>
        <w:spacing w:line="576" w:lineRule="exact"/>
        <w:ind w:firstLineChars="200" w:firstLine="635"/>
        <w:rPr>
          <w:rFonts w:ascii="仿宋_GB2312" w:eastAsia="仿宋_GB2312"/>
          <w:color w:val="000000" w:themeColor="text1"/>
          <w:sz w:val="32"/>
          <w:szCs w:val="32"/>
        </w:rPr>
      </w:pPr>
      <w:r>
        <w:rPr>
          <w:rFonts w:ascii="仿宋" w:eastAsia="仿宋" w:hAnsi="仿宋" w:hint="eastAsia"/>
          <w:b/>
          <w:color w:val="000000"/>
          <w:sz w:val="32"/>
          <w:szCs w:val="32"/>
        </w:rPr>
        <w:t>外事接待支出</w:t>
      </w:r>
      <w:r>
        <w:rPr>
          <w:rFonts w:ascii="仿宋" w:eastAsia="仿宋" w:hAnsi="仿宋" w:hint="eastAsia"/>
          <w:color w:val="000000"/>
          <w:sz w:val="32"/>
          <w:szCs w:val="32"/>
        </w:rPr>
        <w:t>0</w:t>
      </w:r>
      <w:r>
        <w:rPr>
          <w:rFonts w:ascii="仿宋_GB2312" w:eastAsia="仿宋_GB2312" w:hint="eastAsia"/>
          <w:color w:val="000000"/>
          <w:sz w:val="32"/>
          <w:szCs w:val="32"/>
        </w:rPr>
        <w:t>万元</w:t>
      </w:r>
      <w:r>
        <w:rPr>
          <w:rFonts w:ascii="仿宋_GB2312" w:eastAsia="仿宋_GB2312" w:hint="eastAsia"/>
          <w:color w:val="000000" w:themeColor="text1"/>
          <w:sz w:val="32"/>
          <w:szCs w:val="32"/>
        </w:rPr>
        <w:t>，外事接待0批次，0人，共计支出0万元，主要用于接待</w:t>
      </w:r>
      <w:r>
        <w:rPr>
          <w:rFonts w:ascii="仿宋_GB2312" w:eastAsia="仿宋_GB2312"/>
          <w:color w:val="000000" w:themeColor="text1"/>
          <w:sz w:val="32"/>
          <w:szCs w:val="32"/>
        </w:rPr>
        <w:t>…</w:t>
      </w:r>
      <w:r>
        <w:rPr>
          <w:rFonts w:ascii="仿宋_GB2312" w:eastAsia="仿宋_GB2312" w:hint="eastAsia"/>
          <w:color w:val="000000" w:themeColor="text1"/>
          <w:sz w:val="32"/>
          <w:szCs w:val="32"/>
        </w:rPr>
        <w:t>（具体项目）。</w:t>
      </w:r>
    </w:p>
    <w:p w:rsidR="003E7710" w:rsidRDefault="00AB2343">
      <w:pPr>
        <w:spacing w:line="576" w:lineRule="exact"/>
        <w:ind w:firstLine="640"/>
        <w:rPr>
          <w:rFonts w:ascii="黑体" w:eastAsia="黑体"/>
          <w:color w:val="000000"/>
          <w:sz w:val="32"/>
          <w:szCs w:val="32"/>
        </w:rPr>
      </w:pPr>
      <w:r>
        <w:rPr>
          <w:rFonts w:ascii="仿宋" w:eastAsia="仿宋" w:hAnsi="仿宋" w:hint="eastAsia"/>
          <w:b/>
          <w:color w:val="000000"/>
          <w:sz w:val="32"/>
          <w:szCs w:val="32"/>
        </w:rPr>
        <w:t>其他国内公务接待支出</w:t>
      </w:r>
      <w:r>
        <w:rPr>
          <w:rFonts w:ascii="仿宋" w:eastAsia="仿宋" w:hAnsi="仿宋" w:hint="eastAsia"/>
          <w:color w:val="000000"/>
          <w:sz w:val="32"/>
          <w:szCs w:val="32"/>
        </w:rPr>
        <w:t>0.22</w:t>
      </w:r>
      <w:r>
        <w:rPr>
          <w:rFonts w:ascii="仿宋_GB2312" w:eastAsia="仿宋_GB2312" w:hint="eastAsia"/>
          <w:color w:val="000000"/>
          <w:sz w:val="32"/>
          <w:szCs w:val="32"/>
        </w:rPr>
        <w:t>万元。</w:t>
      </w:r>
      <w:bookmarkStart w:id="33" w:name="_Toc15396610"/>
      <w:bookmarkStart w:id="34" w:name="_Toc15377218"/>
    </w:p>
    <w:p w:rsidR="003E7710" w:rsidRDefault="00AB2343">
      <w:pPr>
        <w:spacing w:line="576"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33"/>
      <w:bookmarkEnd w:id="34"/>
    </w:p>
    <w:p w:rsidR="003E7710" w:rsidRDefault="00AB2343">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w:t>
      </w:r>
    </w:p>
    <w:p w:rsidR="003E7710" w:rsidRDefault="00AB2343">
      <w:pPr>
        <w:numPr>
          <w:ilvl w:val="0"/>
          <w:numId w:val="3"/>
        </w:numPr>
        <w:spacing w:line="576" w:lineRule="exact"/>
        <w:ind w:firstLine="640"/>
        <w:outlineLvl w:val="1"/>
        <w:rPr>
          <w:rStyle w:val="2Char"/>
          <w:rFonts w:ascii="黑体" w:eastAsia="黑体" w:hAnsi="黑体"/>
          <w:b w:val="0"/>
        </w:rPr>
      </w:pPr>
      <w:bookmarkStart w:id="35" w:name="_Toc15377219"/>
      <w:bookmarkStart w:id="36" w:name="_Toc15396611"/>
      <w:r>
        <w:rPr>
          <w:rStyle w:val="2Char"/>
          <w:rFonts w:ascii="黑体" w:eastAsia="黑体" w:hAnsi="黑体" w:hint="eastAsia"/>
          <w:b w:val="0"/>
        </w:rPr>
        <w:t>国有资本经营预算支出决算情况说明</w:t>
      </w:r>
      <w:bookmarkEnd w:id="35"/>
      <w:bookmarkEnd w:id="36"/>
    </w:p>
    <w:p w:rsidR="003E7710" w:rsidRDefault="00AB2343">
      <w:pPr>
        <w:spacing w:line="576"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w:t>
      </w:r>
    </w:p>
    <w:p w:rsidR="003E7710" w:rsidRDefault="00AB2343">
      <w:pPr>
        <w:pStyle w:val="ac"/>
        <w:numPr>
          <w:ilvl w:val="0"/>
          <w:numId w:val="4"/>
        </w:numPr>
        <w:spacing w:line="576" w:lineRule="exact"/>
        <w:ind w:firstLineChars="0"/>
        <w:rPr>
          <w:rFonts w:ascii="楷体" w:eastAsia="楷体" w:hAnsi="楷体" w:cs="楷体"/>
          <w:b/>
          <w:bCs/>
          <w:color w:val="000000"/>
          <w:sz w:val="32"/>
          <w:szCs w:val="32"/>
        </w:rPr>
      </w:pPr>
      <w:r>
        <w:rPr>
          <w:rStyle w:val="2Char"/>
          <w:rFonts w:ascii="黑体" w:eastAsia="黑体" w:hAnsi="黑体" w:hint="eastAsia"/>
          <w:b w:val="0"/>
        </w:rPr>
        <w:t>预算绩效情况说明</w:t>
      </w:r>
      <w:bookmarkStart w:id="37" w:name="_Toc15377221"/>
      <w:bookmarkStart w:id="38" w:name="_Toc15396612"/>
    </w:p>
    <w:p w:rsidR="004A2E1C" w:rsidRPr="009511AC" w:rsidRDefault="004A2E1C" w:rsidP="004A2E1C">
      <w:pPr>
        <w:numPr>
          <w:ilvl w:val="0"/>
          <w:numId w:val="6"/>
        </w:numPr>
        <w:spacing w:line="580" w:lineRule="exact"/>
        <w:ind w:firstLineChars="200" w:firstLine="635"/>
        <w:rPr>
          <w:rFonts w:ascii="仿宋" w:eastAsia="仿宋" w:hAnsi="仿宋" w:cs="楷体_GB2312"/>
          <w:b/>
          <w:bCs/>
          <w:sz w:val="32"/>
          <w:szCs w:val="32"/>
        </w:rPr>
      </w:pPr>
      <w:r w:rsidRPr="009511AC">
        <w:rPr>
          <w:rFonts w:ascii="仿宋" w:eastAsia="仿宋" w:hAnsi="仿宋" w:cs="楷体_GB2312" w:hint="eastAsia"/>
          <w:b/>
          <w:bCs/>
          <w:sz w:val="32"/>
          <w:szCs w:val="32"/>
        </w:rPr>
        <w:t>预算绩效管理工作开展情况。</w:t>
      </w:r>
    </w:p>
    <w:p w:rsidR="004A2E1C" w:rsidRDefault="00AB2343">
      <w:pPr>
        <w:spacing w:line="576" w:lineRule="exact"/>
        <w:ind w:firstLineChars="250" w:firstLine="790"/>
        <w:outlineLvl w:val="1"/>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2018年来，九寨沟县以习近平新时代中国特色社会主义思想为指导，增强“四个意识”，践行“两个维护”，深入学习贯彻习近平总书记对四川工作系列重要指示精神，全面落实中央、省委、州委全会决策部署，牢固树立“发展是硬道理、稳定也是硬道理，抓发展、抓稳定两手都要硬”理念，纵深推进扫黑除恶专项斗争，紧紧围绕“全域法治、和谐九寨”战略规划，扎实开展“平安建设年”、“秋风行动”等专项工作，努力探索“一体两翼三基四联”维护社会稳定工作模式，为加快建设“两地一典范、美丽新九寨”营造稳定的社会环境、公正的法治环</w:t>
      </w:r>
      <w:r>
        <w:rPr>
          <w:rFonts w:ascii="仿宋_GB2312" w:eastAsia="仿宋_GB2312" w:hAnsi="仿宋_GB2312" w:cs="仿宋_GB2312" w:hint="eastAsia"/>
          <w:color w:val="000000"/>
          <w:sz w:val="32"/>
          <w:szCs w:val="32"/>
        </w:rPr>
        <w:lastRenderedPageBreak/>
        <w:t>境、优质的服务环境。全年没有发生重大群体性事件、极端信访案件、负面舆情事件、恶性刑事案件。人民群众的获得感、幸福感、安全感得到不断增强。</w:t>
      </w:r>
    </w:p>
    <w:p w:rsidR="004A2E1C" w:rsidRDefault="004A2E1C" w:rsidP="004A2E1C">
      <w:pPr>
        <w:spacing w:line="576" w:lineRule="exact"/>
        <w:ind w:leftChars="250" w:left="515"/>
        <w:outlineLvl w:val="1"/>
        <w:rPr>
          <w:rFonts w:ascii="仿宋" w:eastAsia="仿宋" w:hAnsi="仿宋" w:cs="楷体_GB2312"/>
          <w:b/>
          <w:bCs/>
          <w:sz w:val="32"/>
          <w:szCs w:val="32"/>
        </w:rPr>
      </w:pPr>
      <w:r>
        <w:rPr>
          <w:rFonts w:ascii="仿宋" w:eastAsia="仿宋" w:hAnsi="仿宋" w:cs="楷体_GB2312" w:hint="eastAsia"/>
          <w:b/>
          <w:bCs/>
          <w:sz w:val="32"/>
          <w:szCs w:val="32"/>
        </w:rPr>
        <w:t>（二）</w:t>
      </w:r>
      <w:r w:rsidRPr="009511AC">
        <w:rPr>
          <w:rFonts w:ascii="仿宋" w:eastAsia="仿宋" w:hAnsi="仿宋" w:cs="楷体_GB2312" w:hint="eastAsia"/>
          <w:b/>
          <w:bCs/>
          <w:sz w:val="32"/>
          <w:szCs w:val="32"/>
        </w:rPr>
        <w:t>项目绩效目标完成情况。</w:t>
      </w:r>
    </w:p>
    <w:p w:rsidR="00877736" w:rsidRPr="00877736" w:rsidRDefault="00877736" w:rsidP="00877736">
      <w:pPr>
        <w:pStyle w:val="2"/>
        <w:ind w:firstLine="632"/>
        <w:rPr>
          <w:rFonts w:ascii="仿宋_GB2312" w:eastAsia="仿宋_GB2312"/>
          <w:sz w:val="32"/>
          <w:szCs w:val="32"/>
        </w:rPr>
      </w:pPr>
      <w:r w:rsidRPr="00877736">
        <w:rPr>
          <w:rFonts w:ascii="仿宋_GB2312" w:eastAsia="仿宋_GB2312" w:hint="eastAsia"/>
          <w:sz w:val="32"/>
          <w:szCs w:val="32"/>
        </w:rPr>
        <w:t>无。</w:t>
      </w:r>
    </w:p>
    <w:p w:rsidR="003E7710" w:rsidRDefault="00AB2343">
      <w:pPr>
        <w:spacing w:line="576" w:lineRule="exact"/>
        <w:ind w:firstLineChars="250" w:firstLine="790"/>
        <w:outlineLvl w:val="1"/>
        <w:rPr>
          <w:rStyle w:val="2Char"/>
          <w:rFonts w:ascii="黑体" w:eastAsia="黑体" w:hAnsi="黑体"/>
        </w:rPr>
      </w:pPr>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37"/>
      <w:bookmarkEnd w:id="38"/>
    </w:p>
    <w:p w:rsidR="004A2E1C" w:rsidRPr="00DA5172" w:rsidRDefault="004A2E1C" w:rsidP="00DA5172">
      <w:pPr>
        <w:pStyle w:val="ac"/>
        <w:numPr>
          <w:ilvl w:val="0"/>
          <w:numId w:val="7"/>
        </w:numPr>
        <w:spacing w:line="600" w:lineRule="exact"/>
        <w:ind w:firstLineChars="0"/>
        <w:outlineLvl w:val="2"/>
        <w:rPr>
          <w:rFonts w:ascii="仿宋" w:eastAsia="仿宋" w:hAnsi="仿宋"/>
          <w:b/>
          <w:color w:val="000000"/>
          <w:sz w:val="32"/>
          <w:szCs w:val="32"/>
        </w:rPr>
      </w:pPr>
      <w:bookmarkStart w:id="39" w:name="_Toc15377222"/>
      <w:bookmarkStart w:id="40" w:name="_Toc15377224"/>
      <w:r w:rsidRPr="00DA5172">
        <w:rPr>
          <w:rFonts w:ascii="仿宋" w:eastAsia="仿宋" w:hAnsi="仿宋" w:hint="eastAsia"/>
          <w:b/>
          <w:color w:val="000000"/>
          <w:sz w:val="32"/>
          <w:szCs w:val="32"/>
        </w:rPr>
        <w:t>机关运行经费支出情况</w:t>
      </w:r>
      <w:bookmarkEnd w:id="39"/>
    </w:p>
    <w:p w:rsidR="00DA5172" w:rsidRPr="00A97412" w:rsidRDefault="00A97412" w:rsidP="00A97412">
      <w:pPr>
        <w:spacing w:line="576" w:lineRule="exact"/>
        <w:ind w:left="635"/>
        <w:rPr>
          <w:rFonts w:ascii="仿宋_GB2312" w:eastAsia="仿宋_GB2312"/>
          <w:color w:val="000000"/>
          <w:sz w:val="32"/>
          <w:szCs w:val="32"/>
        </w:rPr>
      </w:pPr>
      <w:r w:rsidRPr="00A97412">
        <w:rPr>
          <w:rFonts w:ascii="仿宋_GB2312" w:eastAsia="仿宋_GB2312" w:hint="eastAsia"/>
          <w:color w:val="000000"/>
          <w:sz w:val="32"/>
          <w:szCs w:val="32"/>
        </w:rPr>
        <w:t>201</w:t>
      </w:r>
      <w:r>
        <w:rPr>
          <w:rFonts w:ascii="仿宋_GB2312" w:eastAsia="仿宋_GB2312"/>
          <w:color w:val="000000"/>
          <w:sz w:val="32"/>
          <w:szCs w:val="32"/>
        </w:rPr>
        <w:t>8</w:t>
      </w:r>
      <w:r w:rsidRPr="00A97412">
        <w:rPr>
          <w:rFonts w:ascii="仿宋_GB2312" w:eastAsia="仿宋_GB2312" w:hint="eastAsia"/>
          <w:color w:val="000000"/>
          <w:sz w:val="32"/>
          <w:szCs w:val="32"/>
        </w:rPr>
        <w:t>年度，政法委机关运行经费支出</w:t>
      </w:r>
      <w:r w:rsidR="005D32E5">
        <w:rPr>
          <w:rFonts w:ascii="仿宋_GB2312" w:eastAsia="仿宋_GB2312"/>
          <w:color w:val="000000"/>
          <w:sz w:val="32"/>
          <w:szCs w:val="32"/>
        </w:rPr>
        <w:t>68.28</w:t>
      </w:r>
      <w:r w:rsidRPr="00A97412">
        <w:rPr>
          <w:rFonts w:ascii="仿宋_GB2312" w:eastAsia="仿宋_GB2312" w:hint="eastAsia"/>
          <w:color w:val="000000"/>
          <w:sz w:val="32"/>
          <w:szCs w:val="32"/>
        </w:rPr>
        <w:t>万元。</w:t>
      </w:r>
    </w:p>
    <w:p w:rsidR="004A2E1C" w:rsidRDefault="004A2E1C" w:rsidP="004A2E1C">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41" w:name="_Toc15377223"/>
      <w:r w:rsidRPr="004A2E1C">
        <w:rPr>
          <w:rFonts w:ascii="仿宋" w:eastAsia="仿宋" w:hAnsi="仿宋" w:hint="eastAsia"/>
          <w:b/>
          <w:color w:val="000000"/>
          <w:sz w:val="32"/>
          <w:szCs w:val="32"/>
        </w:rPr>
        <w:t>（二）政府采购支出情况</w:t>
      </w:r>
      <w:bookmarkEnd w:id="41"/>
    </w:p>
    <w:p w:rsidR="00A97412" w:rsidRDefault="00A97412" w:rsidP="00A97412">
      <w:pPr>
        <w:spacing w:line="600"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201</w:t>
      </w:r>
      <w:r>
        <w:rPr>
          <w:rFonts w:ascii="仿宋_GB2312" w:eastAsia="仿宋_GB2312"/>
          <w:color w:val="000000"/>
          <w:sz w:val="32"/>
          <w:szCs w:val="32"/>
        </w:rPr>
        <w:t>8</w:t>
      </w:r>
      <w:r>
        <w:rPr>
          <w:rFonts w:ascii="仿宋_GB2312" w:eastAsia="仿宋_GB2312" w:hint="eastAsia"/>
          <w:color w:val="000000"/>
          <w:sz w:val="32"/>
          <w:szCs w:val="32"/>
        </w:rPr>
        <w:t>年度，政法委未安排政府采购。</w:t>
      </w:r>
    </w:p>
    <w:p w:rsidR="003E7710" w:rsidRDefault="004A2E1C">
      <w:pPr>
        <w:autoSpaceDE w:val="0"/>
        <w:autoSpaceDN w:val="0"/>
        <w:adjustRightInd w:val="0"/>
        <w:spacing w:line="576"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（三）</w:t>
      </w:r>
      <w:r w:rsidR="00AB2343">
        <w:rPr>
          <w:rFonts w:ascii="仿宋" w:eastAsia="仿宋" w:hAnsi="仿宋" w:hint="eastAsia"/>
          <w:b/>
          <w:color w:val="000000"/>
          <w:sz w:val="32"/>
          <w:szCs w:val="32"/>
        </w:rPr>
        <w:t>国有资产占有使用情况</w:t>
      </w:r>
      <w:bookmarkEnd w:id="40"/>
    </w:p>
    <w:p w:rsidR="003E7710" w:rsidRDefault="00AB2343">
      <w:pPr>
        <w:autoSpaceDE w:val="0"/>
        <w:autoSpaceDN w:val="0"/>
        <w:adjustRightInd w:val="0"/>
        <w:spacing w:line="576" w:lineRule="exact"/>
        <w:ind w:firstLineChars="200" w:firstLine="632"/>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日，共有车辆2辆，其中：一般公务用车2辆。</w:t>
      </w:r>
    </w:p>
    <w:p w:rsidR="003E7710" w:rsidRDefault="00AB2343">
      <w:pPr>
        <w:autoSpaceDE w:val="0"/>
        <w:autoSpaceDN w:val="0"/>
        <w:adjustRightInd w:val="0"/>
        <w:spacing w:line="576"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3E7710" w:rsidRDefault="003E7710">
      <w:pPr>
        <w:spacing w:line="576" w:lineRule="exact"/>
        <w:ind w:firstLineChars="200" w:firstLine="635"/>
        <w:rPr>
          <w:rFonts w:ascii="仿宋_GB2312" w:eastAsia="仿宋_GB2312"/>
          <w:b/>
          <w:color w:val="000000"/>
          <w:sz w:val="32"/>
          <w:szCs w:val="32"/>
        </w:rPr>
      </w:pPr>
    </w:p>
    <w:p w:rsidR="003E7710" w:rsidRDefault="00AB2343">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rsidR="003E7710" w:rsidRDefault="00AB2343">
      <w:pPr>
        <w:numPr>
          <w:ilvl w:val="0"/>
          <w:numId w:val="5"/>
        </w:numPr>
        <w:spacing w:line="576" w:lineRule="exact"/>
        <w:ind w:firstLineChars="150" w:firstLine="476"/>
        <w:jc w:val="center"/>
        <w:outlineLvl w:val="0"/>
        <w:rPr>
          <w:rStyle w:val="1Char"/>
          <w:rFonts w:ascii="黑体" w:eastAsia="黑体" w:hAnsi="黑体"/>
          <w:b w:val="0"/>
          <w:sz w:val="32"/>
          <w:szCs w:val="32"/>
        </w:rPr>
      </w:pPr>
      <w:bookmarkStart w:id="42" w:name="_Toc15377225"/>
      <w:bookmarkStart w:id="43" w:name="_Toc15396613"/>
      <w:r>
        <w:rPr>
          <w:rFonts w:ascii="黑体" w:eastAsia="黑体" w:hAnsi="黑体" w:hint="eastAsia"/>
          <w:b/>
          <w:color w:val="000000"/>
          <w:sz w:val="32"/>
          <w:szCs w:val="32"/>
        </w:rPr>
        <w:lastRenderedPageBreak/>
        <w:t>名</w:t>
      </w:r>
      <w:r>
        <w:rPr>
          <w:rStyle w:val="1Char"/>
          <w:rFonts w:ascii="黑体" w:eastAsia="黑体" w:hAnsi="黑体" w:hint="eastAsia"/>
          <w:b w:val="0"/>
          <w:sz w:val="32"/>
          <w:szCs w:val="32"/>
        </w:rPr>
        <w:t>词解释</w:t>
      </w:r>
      <w:bookmarkEnd w:id="42"/>
      <w:bookmarkEnd w:id="43"/>
    </w:p>
    <w:p w:rsidR="003E7710" w:rsidRDefault="003E7710">
      <w:pPr>
        <w:spacing w:line="576" w:lineRule="exact"/>
        <w:jc w:val="left"/>
        <w:rPr>
          <w:rFonts w:ascii="宋体"/>
          <w:b/>
          <w:color w:val="000000"/>
          <w:sz w:val="32"/>
          <w:szCs w:val="32"/>
        </w:rPr>
      </w:pPr>
    </w:p>
    <w:p w:rsidR="003E7710" w:rsidRDefault="00AB2343">
      <w:pPr>
        <w:pStyle w:val="Default"/>
        <w:spacing w:line="576" w:lineRule="exact"/>
        <w:ind w:firstLineChars="200" w:firstLine="632"/>
        <w:rPr>
          <w:rFonts w:ascii="仿宋_GB2312" w:eastAsia="仿宋_GB2312"/>
          <w:sz w:val="32"/>
          <w:szCs w:val="32"/>
        </w:rPr>
      </w:pPr>
      <w:bookmarkStart w:id="44" w:name="_Toc15377226"/>
      <w:r>
        <w:rPr>
          <w:rFonts w:ascii="仿宋_GB2312" w:eastAsia="仿宋_GB2312" w:hint="eastAsia"/>
          <w:sz w:val="32"/>
          <w:szCs w:val="32"/>
        </w:rPr>
        <w:t xml:space="preserve">1.财政拨款收入：指州级财政当年拨付的资金。 </w:t>
      </w:r>
    </w:p>
    <w:p w:rsidR="003E7710" w:rsidRDefault="00AB2343">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2.事业收入：指事业单位开展专业业务活动及辅助活动所取得的收入。如…（二级预算单位事业收入情况）等。</w:t>
      </w:r>
    </w:p>
    <w:p w:rsidR="003E7710" w:rsidRDefault="00AB2343">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3.经营收入：指事业单位在专业业务活动及其辅助活动之外开展非独立核算经营活动取得的收入。如…（二级预算单位经营收入情况）等。</w:t>
      </w:r>
    </w:p>
    <w:p w:rsidR="003E7710" w:rsidRDefault="00AB2343">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 xml:space="preserve">4.其他收入：指除上述“财政拨款收入”、“事业收入”、“经营收入”等以外的收入。主要是…（收入类型）等。 </w:t>
      </w:r>
    </w:p>
    <w:p w:rsidR="003E7710" w:rsidRDefault="00AB2343">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rsidR="003E7710" w:rsidRDefault="00AB2343">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6.年初结转和结余：指以前年度尚未完成、结转到本年按有关规定继续使用的资金。</w:t>
      </w:r>
    </w:p>
    <w:p w:rsidR="003E7710" w:rsidRDefault="00AB2343">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7.一般公共服务（204）政法事务（02）行政运行（01）：指政法委用于保障机构正常运行、开展日常工作的基本支出。</w:t>
      </w:r>
    </w:p>
    <w:p w:rsidR="003E7710" w:rsidRDefault="00AB2343">
      <w:pPr>
        <w:ind w:firstLineChars="200" w:firstLine="632"/>
        <w:rPr>
          <w:rFonts w:ascii="仿宋_GB2312" w:eastAsia="仿宋_GB2312"/>
          <w:sz w:val="32"/>
          <w:szCs w:val="32"/>
          <w:shd w:val="clear" w:color="auto" w:fill="FFFFFF"/>
        </w:rPr>
      </w:pPr>
      <w:r>
        <w:rPr>
          <w:rFonts w:ascii="仿宋_GB2312" w:eastAsia="仿宋_GB2312" w:hint="eastAsia"/>
          <w:sz w:val="32"/>
          <w:szCs w:val="32"/>
          <w:shd w:val="clear" w:color="auto" w:fill="FFFFFF"/>
        </w:rPr>
        <w:t>8.社会保障和就业（208）抚恤（05）死亡抚恤（05）：</w:t>
      </w:r>
      <w:r>
        <w:rPr>
          <w:rFonts w:ascii="仿宋_GB2312" w:eastAsia="仿宋_GB2312" w:hint="eastAsia"/>
          <w:color w:val="000000"/>
          <w:sz w:val="32"/>
          <w:szCs w:val="32"/>
        </w:rPr>
        <w:t>指反映按规定用于烈士和牺牲、病故人员家属的一次性和定期抚恤金以及丧葬补助费。</w:t>
      </w:r>
    </w:p>
    <w:p w:rsidR="003E7710" w:rsidRDefault="00AB2343">
      <w:pPr>
        <w:ind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9.医疗卫生与计划生育（210）行政事业单位医疗（02）行政单位医疗（01）:</w:t>
      </w:r>
      <w:r>
        <w:rPr>
          <w:rFonts w:ascii="仿宋_GB2312" w:eastAsia="仿宋_GB2312" w:hint="eastAsia"/>
          <w:color w:val="000000"/>
          <w:sz w:val="32"/>
          <w:szCs w:val="32"/>
        </w:rPr>
        <w:t>指反映财政部门集中安排的行政单位基本医疗保险缴费</w:t>
      </w:r>
      <w:r>
        <w:rPr>
          <w:rFonts w:ascii="仿宋_GB2312" w:eastAsia="仿宋_GB2312" w:hint="eastAsia"/>
          <w:sz w:val="32"/>
          <w:szCs w:val="32"/>
          <w:shd w:val="clear" w:color="auto" w:fill="FFFFFF"/>
        </w:rPr>
        <w:t>支出</w:t>
      </w:r>
      <w:r>
        <w:rPr>
          <w:rFonts w:ascii="仿宋_GB2312" w:eastAsia="仿宋_GB2312" w:hint="eastAsia"/>
          <w:color w:val="000000"/>
          <w:sz w:val="32"/>
          <w:szCs w:val="32"/>
        </w:rPr>
        <w:t>。</w:t>
      </w:r>
      <w:r>
        <w:rPr>
          <w:rFonts w:ascii="仿宋_GB2312" w:eastAsia="仿宋_GB2312" w:hint="eastAsia"/>
          <w:sz w:val="32"/>
          <w:szCs w:val="32"/>
          <w:shd w:val="clear" w:color="auto" w:fill="FFFFFF"/>
        </w:rPr>
        <w:t xml:space="preserve">　　</w:t>
      </w:r>
    </w:p>
    <w:p w:rsidR="003E7710" w:rsidRDefault="00AB2343">
      <w:pPr>
        <w:ind w:firstLineChars="200" w:firstLine="632"/>
        <w:rPr>
          <w:rFonts w:ascii="仿宋_GB2312" w:eastAsia="仿宋_GB2312"/>
          <w:sz w:val="32"/>
          <w:szCs w:val="32"/>
        </w:rPr>
      </w:pPr>
      <w:r>
        <w:rPr>
          <w:rFonts w:ascii="仿宋_GB2312" w:eastAsia="仿宋_GB2312" w:hint="eastAsia"/>
          <w:sz w:val="32"/>
          <w:szCs w:val="32"/>
          <w:shd w:val="clear" w:color="auto" w:fill="FFFFFF"/>
        </w:rPr>
        <w:t>10.住房保障（221）住房改革支出（02）住房公积金（01）:</w:t>
      </w:r>
      <w:r>
        <w:rPr>
          <w:rFonts w:ascii="仿宋_GB2312" w:eastAsia="仿宋_GB2312" w:hint="eastAsia"/>
          <w:color w:val="000000"/>
          <w:sz w:val="32"/>
          <w:szCs w:val="32"/>
        </w:rPr>
        <w:t>指反映行政事业单位按人力资源和社会保障部、财政部规定的基本工资和津贴补贴以及规定比例为职工缴纳的住房公积金</w:t>
      </w:r>
      <w:r>
        <w:rPr>
          <w:rFonts w:ascii="仿宋_GB2312" w:eastAsia="仿宋_GB2312" w:hint="eastAsia"/>
          <w:sz w:val="32"/>
          <w:szCs w:val="32"/>
          <w:shd w:val="clear" w:color="auto" w:fill="FFFFFF"/>
        </w:rPr>
        <w:t>支出</w:t>
      </w:r>
      <w:r>
        <w:rPr>
          <w:rFonts w:ascii="仿宋_GB2312" w:eastAsia="仿宋_GB2312" w:hint="eastAsia"/>
          <w:color w:val="000000"/>
          <w:sz w:val="32"/>
          <w:szCs w:val="32"/>
        </w:rPr>
        <w:t>。</w:t>
      </w:r>
      <w:r>
        <w:rPr>
          <w:rFonts w:ascii="仿宋_GB2312" w:eastAsia="仿宋_GB2312" w:hint="eastAsia"/>
          <w:sz w:val="32"/>
          <w:szCs w:val="32"/>
        </w:rPr>
        <w:t xml:space="preserve"> </w:t>
      </w:r>
    </w:p>
    <w:p w:rsidR="003E7710" w:rsidRDefault="00AB2343">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11.结余分配：指事业单位按规定提取的职工福利基金、事业基金和缴纳的所得税，以及建设单位按规定应交回的基本建设竣工项目结余资金。</w:t>
      </w:r>
    </w:p>
    <w:p w:rsidR="003E7710" w:rsidRDefault="00AB2343">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12.年末结转和结余：指本年度或以前年度预算安排、因客观条件发生变化无法按原计划实施，需延迟到以后年度按有关规定继续使用的资金。</w:t>
      </w:r>
    </w:p>
    <w:p w:rsidR="003E7710" w:rsidRDefault="00AB2343">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13.基本支出：指为保障机构正常运转、完成日常工作任务而发生的人员支出和公用支出。</w:t>
      </w:r>
    </w:p>
    <w:p w:rsidR="003E7710" w:rsidRDefault="00AB2343">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 xml:space="preserve">14.项目支出：指在基本支出之外为完成特定行政任务和事业发展目标所发生的支出。 </w:t>
      </w:r>
    </w:p>
    <w:p w:rsidR="003E7710" w:rsidRDefault="00AB2343">
      <w:pPr>
        <w:spacing w:line="576" w:lineRule="exact"/>
        <w:ind w:firstLineChars="200" w:firstLine="632"/>
        <w:rPr>
          <w:rFonts w:ascii="仿宋_GB2312" w:eastAsia="仿宋_GB2312"/>
          <w:color w:val="000000"/>
          <w:sz w:val="32"/>
          <w:szCs w:val="32"/>
        </w:rPr>
      </w:pPr>
      <w:r>
        <w:rPr>
          <w:rFonts w:ascii="仿宋_GB2312" w:eastAsia="仿宋_GB2312" w:hint="eastAsia"/>
          <w:color w:val="000000"/>
          <w:sz w:val="32"/>
          <w:szCs w:val="32"/>
        </w:rPr>
        <w:t>15.经营支出：指事业单位在专业业务活动及其辅助活动之外开展非独立核算经营活动发生的支出。</w:t>
      </w:r>
    </w:p>
    <w:p w:rsidR="003E7710" w:rsidRDefault="00AB2343">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16.“三公”经费：纳入州级财政预决算管理的“三公”经费，是指部门用财政拨款安排的因公出国（境）费、公务用车购</w:t>
      </w:r>
      <w:r>
        <w:rPr>
          <w:rFonts w:ascii="仿宋_GB2312" w:eastAsia="仿宋_GB2312" w:hint="eastAsia"/>
          <w:sz w:val="32"/>
          <w:szCs w:val="32"/>
        </w:rPr>
        <w:lastRenderedPageBreak/>
        <w:t>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3E7710" w:rsidRDefault="00AB2343">
      <w:pPr>
        <w:pStyle w:val="Default"/>
        <w:spacing w:line="576" w:lineRule="exact"/>
        <w:ind w:firstLineChars="200" w:firstLine="632"/>
        <w:rPr>
          <w:rFonts w:ascii="仿宋_GB2312" w:eastAsia="仿宋_GB2312"/>
          <w:sz w:val="32"/>
          <w:szCs w:val="32"/>
        </w:rPr>
      </w:pPr>
      <w:r>
        <w:rPr>
          <w:rFonts w:ascii="仿宋_GB2312" w:eastAsia="仿宋_GB2312" w:hint="eastAsia"/>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3E7710" w:rsidRDefault="00AB2343">
      <w:pPr>
        <w:spacing w:line="800" w:lineRule="exact"/>
        <w:jc w:val="center"/>
        <w:rPr>
          <w:rFonts w:ascii="宋体"/>
          <w:b/>
          <w:color w:val="000000"/>
          <w:sz w:val="32"/>
          <w:szCs w:val="32"/>
        </w:rPr>
      </w:pPr>
      <w:r>
        <w:rPr>
          <w:rFonts w:ascii="宋体"/>
          <w:b/>
          <w:color w:val="000000"/>
          <w:sz w:val="32"/>
          <w:szCs w:val="32"/>
        </w:rPr>
        <w:br w:type="page"/>
      </w:r>
      <w:bookmarkStart w:id="45" w:name="_Toc15396614"/>
      <w:bookmarkStart w:id="46" w:name="_Toc15396617"/>
      <w:r>
        <w:rPr>
          <w:rFonts w:ascii="宋体" w:hint="eastAsia"/>
          <w:b/>
          <w:color w:val="000000"/>
          <w:sz w:val="32"/>
          <w:szCs w:val="32"/>
        </w:rPr>
        <w:lastRenderedPageBreak/>
        <w:t>第四部分 附件</w:t>
      </w:r>
      <w:bookmarkEnd w:id="45"/>
    </w:p>
    <w:p w:rsidR="003E7710" w:rsidRDefault="00AB2343">
      <w:pPr>
        <w:spacing w:line="800" w:lineRule="exact"/>
        <w:jc w:val="center"/>
        <w:rPr>
          <w:rFonts w:eastAsia="方正小标宋简体"/>
          <w:bCs/>
          <w:sz w:val="46"/>
          <w:szCs w:val="46"/>
        </w:rPr>
      </w:pPr>
      <w:r>
        <w:rPr>
          <w:rFonts w:eastAsia="方正小标宋简体" w:hint="eastAsia"/>
          <w:bCs/>
          <w:sz w:val="46"/>
          <w:szCs w:val="46"/>
        </w:rPr>
        <w:t>九寨沟县</w:t>
      </w:r>
      <w:r>
        <w:rPr>
          <w:rFonts w:eastAsia="方正小标宋简体" w:hint="eastAsia"/>
          <w:bCs/>
          <w:sz w:val="46"/>
          <w:szCs w:val="46"/>
          <w:u w:val="single"/>
        </w:rPr>
        <w:t>2018</w:t>
      </w:r>
      <w:r>
        <w:rPr>
          <w:rFonts w:eastAsia="方正小标宋简体" w:hint="eastAsia"/>
          <w:bCs/>
          <w:sz w:val="46"/>
          <w:szCs w:val="46"/>
        </w:rPr>
        <w:t>年度部门整体支出</w:t>
      </w:r>
    </w:p>
    <w:p w:rsidR="003E7710" w:rsidRDefault="00AB2343">
      <w:pPr>
        <w:spacing w:line="800" w:lineRule="exact"/>
        <w:jc w:val="center"/>
        <w:rPr>
          <w:rFonts w:eastAsia="方正小标宋简体"/>
          <w:bCs/>
          <w:sz w:val="46"/>
          <w:szCs w:val="46"/>
        </w:rPr>
      </w:pPr>
      <w:r>
        <w:rPr>
          <w:rFonts w:eastAsia="方正小标宋简体" w:hint="eastAsia"/>
          <w:bCs/>
          <w:sz w:val="46"/>
          <w:szCs w:val="46"/>
        </w:rPr>
        <w:t>绩效评价自评报告</w:t>
      </w:r>
    </w:p>
    <w:p w:rsidR="003E7710" w:rsidRDefault="003E7710">
      <w:pPr>
        <w:rPr>
          <w:rFonts w:eastAsia="仿宋_GB2312"/>
          <w:b/>
          <w:sz w:val="32"/>
        </w:rPr>
      </w:pPr>
    </w:p>
    <w:p w:rsidR="003E7710" w:rsidRDefault="003E7710">
      <w:pPr>
        <w:rPr>
          <w:rFonts w:eastAsia="仿宋_GB2312"/>
          <w:b/>
          <w:sz w:val="32"/>
        </w:rPr>
      </w:pPr>
    </w:p>
    <w:p w:rsidR="003E7710" w:rsidRDefault="003E7710">
      <w:pPr>
        <w:rPr>
          <w:rFonts w:eastAsia="仿宋_GB2312"/>
          <w:b/>
          <w:sz w:val="32"/>
        </w:rPr>
      </w:pPr>
    </w:p>
    <w:p w:rsidR="003E7710" w:rsidRDefault="00AB2343">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中共九寨沟县委政法委员会</w:t>
      </w:r>
      <w:r>
        <w:rPr>
          <w:rFonts w:eastAsia="仿宋_GB2312" w:hint="eastAsia"/>
          <w:sz w:val="32"/>
          <w:szCs w:val="32"/>
          <w:u w:val="single"/>
        </w:rPr>
        <w:t xml:space="preserve">                </w:t>
      </w:r>
    </w:p>
    <w:p w:rsidR="003E7710" w:rsidRDefault="00AB2343">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200101         </w:t>
      </w:r>
    </w:p>
    <w:p w:rsidR="003E7710" w:rsidRDefault="00AB2343">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3E7710" w:rsidRDefault="00AB2343">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3E7710" w:rsidRDefault="003E7710">
      <w:pPr>
        <w:spacing w:line="720" w:lineRule="exact"/>
        <w:ind w:firstLineChars="690" w:firstLine="2182"/>
        <w:rPr>
          <w:rFonts w:eastAsia="仿宋_GB2312"/>
          <w:sz w:val="32"/>
        </w:rPr>
      </w:pPr>
    </w:p>
    <w:p w:rsidR="003E7710" w:rsidRDefault="003E7710">
      <w:pPr>
        <w:spacing w:line="720" w:lineRule="exact"/>
        <w:ind w:firstLineChars="690" w:firstLine="2182"/>
        <w:rPr>
          <w:rFonts w:eastAsia="仿宋_GB2312"/>
          <w:sz w:val="32"/>
        </w:rPr>
      </w:pPr>
    </w:p>
    <w:p w:rsidR="003E7710" w:rsidRDefault="003E7710">
      <w:pPr>
        <w:spacing w:line="720" w:lineRule="exact"/>
        <w:ind w:firstLineChars="690" w:firstLine="2182"/>
        <w:rPr>
          <w:rFonts w:eastAsia="仿宋_GB2312"/>
          <w:sz w:val="32"/>
        </w:rPr>
      </w:pPr>
    </w:p>
    <w:p w:rsidR="003E7710" w:rsidRDefault="00AB2343">
      <w:pPr>
        <w:spacing w:line="348" w:lineRule="auto"/>
        <w:jc w:val="center"/>
        <w:rPr>
          <w:rFonts w:eastAsia="仿宋_GB2312"/>
          <w:sz w:val="32"/>
        </w:rPr>
      </w:pPr>
      <w:r>
        <w:rPr>
          <w:rFonts w:eastAsia="仿宋_GB2312" w:hint="eastAsia"/>
          <w:sz w:val="32"/>
        </w:rPr>
        <w:t>报告日期：</w:t>
      </w:r>
      <w:r>
        <w:rPr>
          <w:rFonts w:eastAsia="仿宋_GB2312" w:hint="eastAsia"/>
          <w:sz w:val="32"/>
        </w:rPr>
        <w:t xml:space="preserve">2019 </w:t>
      </w:r>
      <w:r>
        <w:rPr>
          <w:rFonts w:eastAsia="仿宋_GB2312" w:hint="eastAsia"/>
          <w:sz w:val="32"/>
        </w:rPr>
        <w:t>年</w:t>
      </w:r>
      <w:r>
        <w:rPr>
          <w:rFonts w:eastAsia="仿宋_GB2312" w:hint="eastAsia"/>
          <w:sz w:val="32"/>
        </w:rPr>
        <w:t>6</w:t>
      </w:r>
      <w:r>
        <w:rPr>
          <w:rFonts w:eastAsia="仿宋_GB2312" w:hint="eastAsia"/>
          <w:sz w:val="32"/>
        </w:rPr>
        <w:t>月</w:t>
      </w:r>
      <w:r>
        <w:rPr>
          <w:rFonts w:eastAsia="仿宋_GB2312" w:hint="eastAsia"/>
          <w:sz w:val="32"/>
        </w:rPr>
        <w:t xml:space="preserve"> 30</w:t>
      </w:r>
      <w:r>
        <w:rPr>
          <w:rFonts w:eastAsia="仿宋_GB2312" w:hint="eastAsia"/>
          <w:sz w:val="32"/>
        </w:rPr>
        <w:t>日</w:t>
      </w:r>
    </w:p>
    <w:p w:rsidR="003E7710" w:rsidRDefault="00AB2343">
      <w:pPr>
        <w:autoSpaceDN w:val="0"/>
        <w:jc w:val="center"/>
        <w:textAlignment w:val="center"/>
        <w:rPr>
          <w:rFonts w:eastAsia="仿宋_GB2312"/>
          <w:sz w:val="32"/>
          <w:szCs w:val="32"/>
        </w:rPr>
        <w:sectPr w:rsidR="003E7710">
          <w:footerReference w:type="even" r:id="rId9"/>
          <w:footerReference w:type="default" r:id="rId10"/>
          <w:pgSz w:w="11906" w:h="16838"/>
          <w:pgMar w:top="2098" w:right="1474" w:bottom="1984" w:left="1587"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3E7710">
        <w:trPr>
          <w:trHeight w:val="567"/>
          <w:jc w:val="center"/>
        </w:trPr>
        <w:tc>
          <w:tcPr>
            <w:tcW w:w="9800" w:type="dxa"/>
            <w:gridSpan w:val="17"/>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lastRenderedPageBreak/>
              <w:t>一、部门（单位）基本概况</w:t>
            </w:r>
          </w:p>
        </w:tc>
      </w:tr>
      <w:tr w:rsidR="003E7710">
        <w:trPr>
          <w:trHeight w:val="567"/>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联系人</w:t>
            </w:r>
          </w:p>
        </w:tc>
        <w:tc>
          <w:tcPr>
            <w:tcW w:w="3561"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张琴</w:t>
            </w:r>
          </w:p>
        </w:tc>
        <w:tc>
          <w:tcPr>
            <w:tcW w:w="1479"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联络电话</w:t>
            </w:r>
          </w:p>
        </w:tc>
        <w:tc>
          <w:tcPr>
            <w:tcW w:w="3106" w:type="dxa"/>
            <w:gridSpan w:val="8"/>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0837-7732355</w:t>
            </w:r>
          </w:p>
        </w:tc>
      </w:tr>
      <w:tr w:rsidR="003E7710">
        <w:trPr>
          <w:trHeight w:val="567"/>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人员编制</w:t>
            </w:r>
          </w:p>
        </w:tc>
        <w:tc>
          <w:tcPr>
            <w:tcW w:w="3561"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15</w:t>
            </w:r>
          </w:p>
        </w:tc>
        <w:tc>
          <w:tcPr>
            <w:tcW w:w="1479"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实有人数</w:t>
            </w:r>
          </w:p>
        </w:tc>
        <w:tc>
          <w:tcPr>
            <w:tcW w:w="3106" w:type="dxa"/>
            <w:gridSpan w:val="8"/>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14</w:t>
            </w:r>
          </w:p>
        </w:tc>
      </w:tr>
      <w:tr w:rsidR="003E7710">
        <w:trPr>
          <w:trHeight w:val="1500"/>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职能职责概述</w:t>
            </w:r>
          </w:p>
        </w:tc>
        <w:tc>
          <w:tcPr>
            <w:tcW w:w="8146" w:type="dxa"/>
            <w:gridSpan w:val="15"/>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单位根据县委、县政府关于2018年全县工作的总体部署全县政法工作将在州委、州政府、州委政法委和县委、县政府的坚强领导下，按照省州政法工作要求，进一步解放思想、更新观念、开拓创新，凝心聚力抓实政法“五项重点工作”，全力以赴推动政法维稳创新发展，为实现“三个领先目标”提供坚强的政法保障。</w:t>
            </w:r>
          </w:p>
        </w:tc>
      </w:tr>
      <w:tr w:rsidR="003E7710">
        <w:trPr>
          <w:trHeight w:val="2464"/>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年度主要</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工作内容</w:t>
            </w:r>
          </w:p>
        </w:tc>
        <w:tc>
          <w:tcPr>
            <w:tcW w:w="8146" w:type="dxa"/>
            <w:gridSpan w:val="15"/>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（一）强化素质提升，建设过硬队伍</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按照习近平总书记提出的“五好干部”标准和政法干警政治、业务、责任、纪律、作风“五过硬”要求，坚持不懈地加强政法干警素质建设，努力打造一支信念坚定、执法为民、敢于担当、清正廉洁的政法队伍。</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（二）创新综合治理，强力推进网格化服务管理工作</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着力加强源头性、基础性工作，排解矛盾纠纷，着力解决人民群众反映强烈、影响社会安全稳定的突出问题，不断创新社会管理，统筹推动平安建设，强力推进全县网格化服务管理工作。</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依法推进网格化服务管理工作。按照省、州3年实现网格化全覆盖的工作目标，2018年全面实现我县17个乡镇网格化服务管理工作全覆盖，充分发挥网格化服务管理作用。扎实推进网格化服务管理工作。以网格为基本单元，以网络信息技术为依托，将人、地、物、事、组织等社会治理的基本要素纳入网格，由各职能部门依照法定职责，将维护稳定、社会治安管理和公共服务三大职能下沉落实到网格。</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扎实开展危爆物品、寄递物流清理整顿整顿专项行动。认真贯彻落实“三个100%制度”的工作要求，督促相关部门切实抓好易燃易爆物品管理整顿及物流寄递安全管理工作，不断提高维护公共安全的能力和水平。一是加强对易燃易爆物品的管理，对炸药、危化品、枪支弹药、管制刀具等危爆物品强化源头控制、定点销售、流向管控、实名登记等全过程管理措施，严防危爆品非法流散社会。二是加强邮件、快递行业运输安全管理工作，完善禁递物品名录，建立健全安全管理制度，有效防范利用寄递、物流渠道实施违法犯罪。</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深入开展以“法律进寺庙”为重点的“法律七进”活动。通过编发“法律进寺庙”双语普法读物，组织编写“以案说法”普法读物、拍摄法治宣传专题片等直观形象、通俗易懂的方式引导全县寺庙僧尼遵法学法守法用法。切实加强寺庙法制宣传栏、法律图书角建设，不断增强僧俗群众的法治意识和法治观念。</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强化重点覆盖、联防联控，强力推进社会治安防控体系建设。以信息化建设和应用为支撑、防控机制建设为抓手、“六张防控网”建设为骨架，努力构建动态化、信息化、全覆盖的社会治安立体防控体系；加强城镇社区、景区、乡村警务建设，强化对重点人员和涉稳因素的动态管控。</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（三)严密执法监督，促进司法公正</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1、加强执法规范化建设。进一步完善执法办案程序规则、质量标准、监督制约办法，提升执法办案质量、效率和效果。健全错案防止、完善办案责任制和</w:t>
            </w:r>
            <w:r>
              <w:rPr>
                <w:rFonts w:ascii="仿宋_GB2312" w:eastAsia="仿宋_GB2312" w:hAnsi="仿宋_GB2312" w:cs="仿宋_GB2312" w:hint="eastAsia"/>
                <w:color w:val="000000"/>
                <w:sz w:val="24"/>
              </w:rPr>
              <w:lastRenderedPageBreak/>
              <w:t>案件评查机制，促进和保障法律适用的统一。</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提高执法司法公信力。着力推进“阳光司法”，加强执法司法公开信息化建设，依法推进立案、庭审、执行、听证以及裁判文书等方面的司法公开。严密执法监督，着力推动“执法司法突出问题的解决、信息化水平的提高、便民利民措施的落实”，把促进严格执法、公正司法摆到更加紧迫、更加突出的位置来抓，进一步提高执法司法公信力，努力让人民群众在每一个执法司法案件中都感受到公平公正。</w:t>
            </w:r>
          </w:p>
        </w:tc>
      </w:tr>
      <w:tr w:rsidR="003E7710">
        <w:trPr>
          <w:trHeight w:val="2260"/>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pacing w:val="-6"/>
                <w:sz w:val="24"/>
              </w:rPr>
            </w:pPr>
            <w:r>
              <w:rPr>
                <w:rFonts w:ascii="仿宋_GB2312" w:eastAsia="仿宋_GB2312" w:hAnsi="仿宋_GB2312" w:cs="仿宋_GB2312" w:hint="eastAsia"/>
                <w:color w:val="000000"/>
                <w:spacing w:val="-6"/>
                <w:sz w:val="24"/>
              </w:rPr>
              <w:lastRenderedPageBreak/>
              <w:t>年度部门（单位）总体运行情况及取得的成绩</w:t>
            </w:r>
          </w:p>
        </w:tc>
        <w:tc>
          <w:tcPr>
            <w:tcW w:w="8146" w:type="dxa"/>
            <w:gridSpan w:val="15"/>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2018年来，九寨沟县以习近平新时代中国特色社会主义思想为指导，增强“四个意识”，践行“两个维护”，深入学习贯彻习近平总书记对四川工作系列重要指示精神，全面落实中央、省委、州委全会决策部署，牢固树立“发展是硬道理、稳定也是硬道理，抓发展、抓稳定两手都要硬”理念，纵深推进扫黑除恶专项斗争，紧紧围绕“全域法治、和谐九寨”战略规划，扎实开展“平安建设年”、“秋风行动”等专项工作，努力探索“一体两翼三基四联”维护社会稳定工作模式，为加快建设“两地一典范、美丽新九寨”营造稳定的社会环境、公正的法治环境、优质的服务环境。全年没有发生重大群体性事件、极端信访案件、负面舆情事件、恶性刑事案件。人民群众的获得感、幸福感、安全感得到不断增强。</w:t>
            </w:r>
          </w:p>
          <w:p w:rsidR="003E7710" w:rsidRDefault="003E7710">
            <w:pPr>
              <w:autoSpaceDN w:val="0"/>
              <w:spacing w:line="320" w:lineRule="exact"/>
              <w:jc w:val="left"/>
              <w:textAlignment w:val="center"/>
              <w:rPr>
                <w:rFonts w:ascii="仿宋_GB2312" w:eastAsia="仿宋_GB2312" w:hAnsi="仿宋_GB2312" w:cs="仿宋_GB2312"/>
                <w:color w:val="000000"/>
                <w:sz w:val="24"/>
              </w:rPr>
            </w:pPr>
          </w:p>
        </w:tc>
      </w:tr>
      <w:tr w:rsidR="003E7710">
        <w:trPr>
          <w:trHeight w:val="567"/>
          <w:jc w:val="center"/>
        </w:trPr>
        <w:tc>
          <w:tcPr>
            <w:tcW w:w="9800" w:type="dxa"/>
            <w:gridSpan w:val="17"/>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二、部门（单位）收支情况</w:t>
            </w:r>
          </w:p>
        </w:tc>
      </w:tr>
      <w:tr w:rsidR="003E7710">
        <w:trPr>
          <w:trHeight w:val="567"/>
          <w:jc w:val="center"/>
        </w:trPr>
        <w:tc>
          <w:tcPr>
            <w:tcW w:w="9800" w:type="dxa"/>
            <w:gridSpan w:val="17"/>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年度收入情况（万元）</w:t>
            </w:r>
          </w:p>
        </w:tc>
      </w:tr>
      <w:tr w:rsidR="003E7710">
        <w:trPr>
          <w:trHeight w:val="567"/>
          <w:jc w:val="center"/>
        </w:trPr>
        <w:tc>
          <w:tcPr>
            <w:tcW w:w="1700" w:type="dxa"/>
            <w:gridSpan w:val="3"/>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机构名称</w:t>
            </w:r>
          </w:p>
        </w:tc>
        <w:tc>
          <w:tcPr>
            <w:tcW w:w="1080" w:type="dxa"/>
            <w:vMerge w:val="restart"/>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收入合计</w:t>
            </w:r>
          </w:p>
        </w:tc>
        <w:tc>
          <w:tcPr>
            <w:tcW w:w="7020" w:type="dxa"/>
            <w:gridSpan w:val="13"/>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E7710">
        <w:trPr>
          <w:trHeight w:val="1014"/>
          <w:jc w:val="center"/>
        </w:trPr>
        <w:tc>
          <w:tcPr>
            <w:tcW w:w="1700" w:type="dxa"/>
            <w:gridSpan w:val="3"/>
            <w:vMerge/>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vMerge/>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上年结转</w:t>
            </w:r>
          </w:p>
        </w:tc>
        <w:tc>
          <w:tcPr>
            <w:tcW w:w="1080"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公共财</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政拨款</w:t>
            </w:r>
          </w:p>
        </w:tc>
        <w:tc>
          <w:tcPr>
            <w:tcW w:w="1705"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政府基金拨款</w:t>
            </w:r>
          </w:p>
        </w:tc>
        <w:tc>
          <w:tcPr>
            <w:tcW w:w="1800" w:type="dxa"/>
            <w:gridSpan w:val="4"/>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纳入专户管理的非税收入拨款</w:t>
            </w:r>
          </w:p>
        </w:tc>
        <w:tc>
          <w:tcPr>
            <w:tcW w:w="1080" w:type="dxa"/>
            <w:gridSpan w:val="3"/>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收入</w:t>
            </w:r>
          </w:p>
        </w:tc>
      </w:tr>
      <w:tr w:rsidR="003E7710">
        <w:trPr>
          <w:trHeight w:val="772"/>
          <w:jc w:val="center"/>
        </w:trPr>
        <w:tc>
          <w:tcPr>
            <w:tcW w:w="1700" w:type="dxa"/>
            <w:gridSpan w:val="3"/>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498.85</w:t>
            </w:r>
          </w:p>
        </w:tc>
        <w:tc>
          <w:tcPr>
            <w:tcW w:w="1355" w:type="dxa"/>
            <w:gridSpan w:val="2"/>
            <w:tcBorders>
              <w:left w:val="single" w:sz="4" w:space="0" w:color="auto"/>
            </w:tcBorders>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47.74</w:t>
            </w:r>
          </w:p>
        </w:tc>
        <w:tc>
          <w:tcPr>
            <w:tcW w:w="1080" w:type="dxa"/>
            <w:gridSpan w:val="2"/>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451.11</w:t>
            </w:r>
          </w:p>
        </w:tc>
        <w:tc>
          <w:tcPr>
            <w:tcW w:w="1705" w:type="dxa"/>
            <w:gridSpan w:val="2"/>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r>
      <w:tr w:rsidR="003E7710">
        <w:trPr>
          <w:trHeight w:val="567"/>
          <w:jc w:val="center"/>
        </w:trPr>
        <w:tc>
          <w:tcPr>
            <w:tcW w:w="1700" w:type="dxa"/>
            <w:gridSpan w:val="3"/>
            <w:vAlign w:val="center"/>
          </w:tcPr>
          <w:p w:rsidR="003E7710" w:rsidRDefault="00AB234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498.85</w:t>
            </w:r>
          </w:p>
        </w:tc>
        <w:tc>
          <w:tcPr>
            <w:tcW w:w="1355" w:type="dxa"/>
            <w:gridSpan w:val="2"/>
            <w:tcBorders>
              <w:left w:val="single" w:sz="4" w:space="0" w:color="auto"/>
            </w:tcBorders>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47.74</w:t>
            </w:r>
          </w:p>
        </w:tc>
        <w:tc>
          <w:tcPr>
            <w:tcW w:w="1080" w:type="dxa"/>
            <w:gridSpan w:val="2"/>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451.11</w:t>
            </w:r>
          </w:p>
        </w:tc>
        <w:tc>
          <w:tcPr>
            <w:tcW w:w="1705" w:type="dxa"/>
            <w:gridSpan w:val="2"/>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r>
      <w:tr w:rsidR="003E7710">
        <w:trPr>
          <w:trHeight w:val="567"/>
          <w:jc w:val="center"/>
        </w:trPr>
        <w:tc>
          <w:tcPr>
            <w:tcW w:w="1700" w:type="dxa"/>
            <w:gridSpan w:val="3"/>
            <w:vAlign w:val="center"/>
          </w:tcPr>
          <w:p w:rsidR="003E7710" w:rsidRDefault="00AB234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r>
      <w:tr w:rsidR="003E7710">
        <w:trPr>
          <w:trHeight w:val="567"/>
          <w:jc w:val="center"/>
        </w:trPr>
        <w:tc>
          <w:tcPr>
            <w:tcW w:w="1700" w:type="dxa"/>
            <w:gridSpan w:val="3"/>
            <w:vAlign w:val="center"/>
          </w:tcPr>
          <w:p w:rsidR="003E7710" w:rsidRDefault="00AB234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080" w:type="dxa"/>
            <w:gridSpan w:val="2"/>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705" w:type="dxa"/>
            <w:gridSpan w:val="2"/>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180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3"/>
            <w:vAlign w:val="center"/>
          </w:tcPr>
          <w:p w:rsidR="003E7710" w:rsidRDefault="003E7710">
            <w:pPr>
              <w:autoSpaceDN w:val="0"/>
              <w:spacing w:line="320" w:lineRule="exact"/>
              <w:jc w:val="left"/>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b/>
                <w:bCs/>
                <w:color w:val="000000"/>
                <w:sz w:val="24"/>
              </w:rPr>
              <w:t>部门（单位）年度支出和结余情况（万元）</w:t>
            </w:r>
          </w:p>
        </w:tc>
        <w:tc>
          <w:tcPr>
            <w:tcW w:w="8100" w:type="dxa"/>
            <w:gridSpan w:val="14"/>
            <w:vAlign w:val="center"/>
          </w:tcPr>
          <w:p w:rsidR="003E7710" w:rsidRDefault="00AB2343">
            <w:pPr>
              <w:autoSpaceDN w:val="0"/>
              <w:spacing w:line="320" w:lineRule="exact"/>
              <w:jc w:val="center"/>
              <w:textAlignment w:val="center"/>
            </w:pPr>
            <w:r>
              <w:rPr>
                <w:rFonts w:ascii="仿宋_GB2312" w:eastAsia="仿宋_GB2312" w:hAnsi="仿宋_GB2312" w:cs="仿宋_GB2312" w:hint="eastAsia"/>
                <w:b/>
                <w:bCs/>
                <w:color w:val="000000"/>
                <w:sz w:val="24"/>
              </w:rPr>
              <w:t>部门（单位）年度支出和结余情况（万元）</w:t>
            </w:r>
          </w:p>
        </w:tc>
      </w:tr>
      <w:tr w:rsidR="003E7710">
        <w:trPr>
          <w:trHeight w:val="624"/>
          <w:jc w:val="center"/>
        </w:trPr>
        <w:tc>
          <w:tcPr>
            <w:tcW w:w="1700" w:type="dxa"/>
            <w:gridSpan w:val="3"/>
            <w:vMerge w:val="restart"/>
            <w:vAlign w:val="center"/>
          </w:tcPr>
          <w:p w:rsidR="003E7710" w:rsidRDefault="00AB2343">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支出合计</w:t>
            </w:r>
          </w:p>
        </w:tc>
        <w:tc>
          <w:tcPr>
            <w:tcW w:w="5675" w:type="dxa"/>
            <w:gridSpan w:val="9"/>
            <w:tcBorders>
              <w:left w:val="single" w:sz="4" w:space="0" w:color="auto"/>
              <w:bottom w:val="single" w:sz="4" w:space="0" w:color="auto"/>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345" w:type="dxa"/>
            <w:gridSpan w:val="4"/>
            <w:tcBorders>
              <w:left w:val="single" w:sz="4" w:space="0" w:color="auto"/>
              <w:bottom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结余</w:t>
            </w:r>
          </w:p>
        </w:tc>
      </w:tr>
      <w:tr w:rsidR="003E7710">
        <w:trPr>
          <w:trHeight w:val="624"/>
          <w:jc w:val="center"/>
        </w:trPr>
        <w:tc>
          <w:tcPr>
            <w:tcW w:w="1700" w:type="dxa"/>
            <w:gridSpan w:val="3"/>
            <w:vMerge/>
            <w:vAlign w:val="center"/>
          </w:tcPr>
          <w:p w:rsidR="003E7710" w:rsidRDefault="003E7710">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val="restart"/>
            <w:tcBorders>
              <w:top w:val="single" w:sz="4" w:space="0" w:color="auto"/>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基本支出</w:t>
            </w:r>
          </w:p>
        </w:tc>
        <w:tc>
          <w:tcPr>
            <w:tcW w:w="3240" w:type="dxa"/>
            <w:gridSpan w:val="6"/>
            <w:tcBorders>
              <w:top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1080" w:type="dxa"/>
            <w:vMerge w:val="restart"/>
            <w:tcBorders>
              <w:top w:val="single" w:sz="4" w:space="0" w:color="auto"/>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当年</w:t>
            </w:r>
            <w:r>
              <w:rPr>
                <w:rFonts w:ascii="仿宋_GB2312" w:eastAsia="仿宋_GB2312" w:hAnsi="仿宋_GB2312" w:cs="仿宋_GB2312" w:hint="eastAsia"/>
                <w:color w:val="000000"/>
                <w:sz w:val="24"/>
              </w:rPr>
              <w:lastRenderedPageBreak/>
              <w:t>结余</w:t>
            </w:r>
          </w:p>
        </w:tc>
        <w:tc>
          <w:tcPr>
            <w:tcW w:w="625" w:type="dxa"/>
            <w:vMerge w:val="restart"/>
            <w:tcBorders>
              <w:top w:val="single" w:sz="4" w:space="0" w:color="auto"/>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累计</w:t>
            </w:r>
            <w:r>
              <w:rPr>
                <w:rFonts w:ascii="仿宋_GB2312" w:eastAsia="仿宋_GB2312" w:hAnsi="仿宋_GB2312" w:cs="仿宋_GB2312" w:hint="eastAsia"/>
                <w:color w:val="000000"/>
                <w:sz w:val="24"/>
              </w:rPr>
              <w:lastRenderedPageBreak/>
              <w:t>结余</w:t>
            </w:r>
          </w:p>
        </w:tc>
      </w:tr>
      <w:tr w:rsidR="003E7710">
        <w:trPr>
          <w:trHeight w:val="624"/>
          <w:jc w:val="center"/>
        </w:trPr>
        <w:tc>
          <w:tcPr>
            <w:tcW w:w="1700" w:type="dxa"/>
            <w:gridSpan w:val="3"/>
            <w:vMerge/>
            <w:vAlign w:val="center"/>
          </w:tcPr>
          <w:p w:rsidR="003E7710" w:rsidRDefault="003E7710">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vMerge/>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人员支出</w:t>
            </w:r>
          </w:p>
        </w:tc>
        <w:tc>
          <w:tcPr>
            <w:tcW w:w="2160" w:type="dxa"/>
            <w:gridSpan w:val="4"/>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公用支出</w:t>
            </w:r>
          </w:p>
        </w:tc>
        <w:tc>
          <w:tcPr>
            <w:tcW w:w="1080" w:type="dxa"/>
            <w:vMerge/>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vMerge/>
            <w:tcBorders>
              <w:left w:val="single" w:sz="4" w:space="0" w:color="auto"/>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625" w:type="dxa"/>
            <w:vMerge/>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877"/>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lastRenderedPageBreak/>
              <w:t>局机关及二级机构汇总</w:t>
            </w:r>
          </w:p>
        </w:tc>
        <w:tc>
          <w:tcPr>
            <w:tcW w:w="1080" w:type="dxa"/>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509.89</w:t>
            </w:r>
          </w:p>
        </w:tc>
        <w:tc>
          <w:tcPr>
            <w:tcW w:w="1355" w:type="dxa"/>
            <w:gridSpan w:val="2"/>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288.84</w:t>
            </w:r>
          </w:p>
        </w:tc>
        <w:tc>
          <w:tcPr>
            <w:tcW w:w="1080"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205.73</w:t>
            </w:r>
          </w:p>
        </w:tc>
        <w:tc>
          <w:tcPr>
            <w:tcW w:w="2160" w:type="dxa"/>
            <w:gridSpan w:val="4"/>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83.11</w:t>
            </w:r>
          </w:p>
        </w:tc>
        <w:tc>
          <w:tcPr>
            <w:tcW w:w="1080"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221.05</w:t>
            </w:r>
          </w:p>
        </w:tc>
        <w:tc>
          <w:tcPr>
            <w:tcW w:w="720" w:type="dxa"/>
            <w:gridSpan w:val="3"/>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49.82</w:t>
            </w:r>
          </w:p>
        </w:tc>
        <w:tc>
          <w:tcPr>
            <w:tcW w:w="625" w:type="dxa"/>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509.89</w:t>
            </w:r>
          </w:p>
        </w:tc>
        <w:tc>
          <w:tcPr>
            <w:tcW w:w="1355" w:type="dxa"/>
            <w:gridSpan w:val="2"/>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288.84</w:t>
            </w:r>
          </w:p>
        </w:tc>
        <w:tc>
          <w:tcPr>
            <w:tcW w:w="1080"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205.73</w:t>
            </w:r>
          </w:p>
        </w:tc>
        <w:tc>
          <w:tcPr>
            <w:tcW w:w="2160" w:type="dxa"/>
            <w:gridSpan w:val="4"/>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83.11</w:t>
            </w:r>
          </w:p>
        </w:tc>
        <w:tc>
          <w:tcPr>
            <w:tcW w:w="1080"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221.05</w:t>
            </w:r>
          </w:p>
        </w:tc>
        <w:tc>
          <w:tcPr>
            <w:tcW w:w="720" w:type="dxa"/>
            <w:gridSpan w:val="3"/>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49.82</w:t>
            </w:r>
          </w:p>
        </w:tc>
        <w:tc>
          <w:tcPr>
            <w:tcW w:w="625" w:type="dxa"/>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color w:val="000000"/>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720" w:type="dxa"/>
            <w:gridSpan w:val="3"/>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625" w:type="dxa"/>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Merge w:val="restart"/>
            <w:vAlign w:val="center"/>
          </w:tcPr>
          <w:p w:rsidR="003E7710" w:rsidRDefault="00AB2343">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三公经费</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7020" w:type="dxa"/>
            <w:gridSpan w:val="13"/>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r>
      <w:tr w:rsidR="003E7710">
        <w:trPr>
          <w:trHeight w:val="624"/>
          <w:jc w:val="center"/>
        </w:trPr>
        <w:tc>
          <w:tcPr>
            <w:tcW w:w="1700" w:type="dxa"/>
            <w:gridSpan w:val="3"/>
            <w:vMerge/>
            <w:vAlign w:val="center"/>
          </w:tcPr>
          <w:p w:rsidR="003E7710" w:rsidRDefault="003E7710">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公务接待费</w:t>
            </w:r>
          </w:p>
        </w:tc>
        <w:tc>
          <w:tcPr>
            <w:tcW w:w="1080"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公务用车运维费</w:t>
            </w:r>
          </w:p>
        </w:tc>
        <w:tc>
          <w:tcPr>
            <w:tcW w:w="2160" w:type="dxa"/>
            <w:gridSpan w:val="4"/>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公务用车购置费</w:t>
            </w:r>
          </w:p>
        </w:tc>
        <w:tc>
          <w:tcPr>
            <w:tcW w:w="2425" w:type="dxa"/>
            <w:gridSpan w:val="5"/>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因公出国费</w:t>
            </w:r>
          </w:p>
        </w:tc>
      </w:tr>
      <w:tr w:rsidR="003E7710">
        <w:trPr>
          <w:trHeight w:val="858"/>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30.1</w:t>
            </w:r>
          </w:p>
        </w:tc>
        <w:tc>
          <w:tcPr>
            <w:tcW w:w="1355" w:type="dxa"/>
            <w:gridSpan w:val="2"/>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0.22</w:t>
            </w:r>
          </w:p>
        </w:tc>
        <w:tc>
          <w:tcPr>
            <w:tcW w:w="1080"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29.88</w:t>
            </w:r>
          </w:p>
        </w:tc>
        <w:tc>
          <w:tcPr>
            <w:tcW w:w="216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30.1</w:t>
            </w:r>
          </w:p>
        </w:tc>
        <w:tc>
          <w:tcPr>
            <w:tcW w:w="1355" w:type="dxa"/>
            <w:gridSpan w:val="2"/>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0.22</w:t>
            </w:r>
          </w:p>
        </w:tc>
        <w:tc>
          <w:tcPr>
            <w:tcW w:w="1080"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29.88</w:t>
            </w:r>
          </w:p>
        </w:tc>
        <w:tc>
          <w:tcPr>
            <w:tcW w:w="216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355" w:type="dxa"/>
            <w:gridSpan w:val="2"/>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1080"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160" w:type="dxa"/>
            <w:gridSpan w:val="4"/>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425" w:type="dxa"/>
            <w:gridSpan w:val="5"/>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Merge w:val="restart"/>
            <w:vAlign w:val="center"/>
          </w:tcPr>
          <w:p w:rsidR="003E7710" w:rsidRDefault="00AB2343">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0" w:type="dxa"/>
            <w:vMerge w:val="restart"/>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固定资产</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合计</w:t>
            </w:r>
          </w:p>
        </w:tc>
        <w:tc>
          <w:tcPr>
            <w:tcW w:w="6079" w:type="dxa"/>
            <w:gridSpan w:val="11"/>
            <w:tcBorders>
              <w:left w:val="single" w:sz="4" w:space="0" w:color="auto"/>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其中：</w:t>
            </w:r>
          </w:p>
        </w:tc>
        <w:tc>
          <w:tcPr>
            <w:tcW w:w="941" w:type="dxa"/>
            <w:gridSpan w:val="2"/>
            <w:vMerge w:val="restart"/>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其他</w:t>
            </w:r>
          </w:p>
        </w:tc>
      </w:tr>
      <w:tr w:rsidR="003E7710">
        <w:trPr>
          <w:trHeight w:val="624"/>
          <w:jc w:val="center"/>
        </w:trPr>
        <w:tc>
          <w:tcPr>
            <w:tcW w:w="1700" w:type="dxa"/>
            <w:gridSpan w:val="3"/>
            <w:vMerge/>
            <w:vAlign w:val="center"/>
          </w:tcPr>
          <w:p w:rsidR="003E7710" w:rsidRDefault="003E7710">
            <w:pPr>
              <w:spacing w:line="320" w:lineRule="exact"/>
              <w:jc w:val="center"/>
              <w:rPr>
                <w:rFonts w:ascii="仿宋_GB2312" w:eastAsia="仿宋_GB2312" w:hAnsi="仿宋_GB2312" w:cs="仿宋_GB2312"/>
                <w:sz w:val="24"/>
              </w:rPr>
            </w:pPr>
          </w:p>
        </w:tc>
        <w:tc>
          <w:tcPr>
            <w:tcW w:w="1080" w:type="dxa"/>
            <w:vMerge/>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在用固定资产</w:t>
            </w:r>
          </w:p>
        </w:tc>
        <w:tc>
          <w:tcPr>
            <w:tcW w:w="3644" w:type="dxa"/>
            <w:gridSpan w:val="7"/>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出租固定资产</w:t>
            </w:r>
          </w:p>
        </w:tc>
        <w:tc>
          <w:tcPr>
            <w:tcW w:w="941" w:type="dxa"/>
            <w:gridSpan w:val="2"/>
            <w:vMerge/>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855"/>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color w:val="000000"/>
                <w:sz w:val="24"/>
              </w:rPr>
              <w:t>局机关及二级机构汇总</w:t>
            </w:r>
          </w:p>
        </w:tc>
        <w:tc>
          <w:tcPr>
            <w:tcW w:w="1080" w:type="dxa"/>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2435" w:type="dxa"/>
            <w:gridSpan w:val="4"/>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3644" w:type="dxa"/>
            <w:gridSpan w:val="7"/>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0" w:type="dxa"/>
            <w:tcBorders>
              <w:righ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2435" w:type="dxa"/>
            <w:gridSpan w:val="4"/>
            <w:tcBorders>
              <w:left w:val="single" w:sz="4" w:space="0" w:color="auto"/>
            </w:tcBorders>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125.04</w:t>
            </w:r>
          </w:p>
        </w:tc>
        <w:tc>
          <w:tcPr>
            <w:tcW w:w="3644" w:type="dxa"/>
            <w:gridSpan w:val="7"/>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0" w:type="dxa"/>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24"/>
          <w:jc w:val="center"/>
        </w:trPr>
        <w:tc>
          <w:tcPr>
            <w:tcW w:w="1700" w:type="dxa"/>
            <w:gridSpan w:val="3"/>
            <w:vAlign w:val="center"/>
          </w:tcPr>
          <w:p w:rsidR="003E7710" w:rsidRDefault="00AB234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0" w:type="dxa"/>
            <w:tcBorders>
              <w:righ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435" w:type="dxa"/>
            <w:gridSpan w:val="4"/>
            <w:tcBorders>
              <w:left w:val="single" w:sz="4" w:space="0" w:color="auto"/>
            </w:tcBorders>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3644" w:type="dxa"/>
            <w:gridSpan w:val="7"/>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941" w:type="dxa"/>
            <w:gridSpan w:val="2"/>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567"/>
          <w:jc w:val="center"/>
        </w:trPr>
        <w:tc>
          <w:tcPr>
            <w:tcW w:w="9800" w:type="dxa"/>
            <w:gridSpan w:val="17"/>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三、部门（单位）整体支出绩效自评情况</w:t>
            </w:r>
          </w:p>
        </w:tc>
      </w:tr>
      <w:tr w:rsidR="003E7710">
        <w:trPr>
          <w:trHeight w:val="567"/>
          <w:jc w:val="center"/>
        </w:trPr>
        <w:tc>
          <w:tcPr>
            <w:tcW w:w="1441" w:type="dxa"/>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整体支出绩效定性目标及实施计划完成情况</w:t>
            </w:r>
          </w:p>
        </w:tc>
        <w:tc>
          <w:tcPr>
            <w:tcW w:w="3774" w:type="dxa"/>
            <w:gridSpan w:val="7"/>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预期目标</w:t>
            </w:r>
          </w:p>
        </w:tc>
        <w:tc>
          <w:tcPr>
            <w:tcW w:w="4585" w:type="dxa"/>
            <w:gridSpan w:val="9"/>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实际完成</w:t>
            </w:r>
          </w:p>
        </w:tc>
      </w:tr>
      <w:tr w:rsidR="003E7710">
        <w:trPr>
          <w:trHeight w:val="1172"/>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3774" w:type="dxa"/>
            <w:gridSpan w:val="7"/>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目标1：深入学习贯彻习近平新时代中国特色社会主义政法思想，确保政法工作在正确的道路上行稳致远；</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目标2：围绕中心服务大局，全力维护社会持续稳定；</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目标3：营造共建共治共享，建设更高水平的平安九寨；</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目标4：深化司法体制改革，推进法治九寨再上新台阶；</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目标5：全面筑牢“四个意识”，建设新时代政法队伍。</w:t>
            </w:r>
          </w:p>
        </w:tc>
        <w:tc>
          <w:tcPr>
            <w:tcW w:w="4585" w:type="dxa"/>
            <w:gridSpan w:val="9"/>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全面完成</w:t>
            </w:r>
          </w:p>
        </w:tc>
      </w:tr>
      <w:tr w:rsidR="003E7710">
        <w:trPr>
          <w:trHeight w:val="567"/>
          <w:jc w:val="center"/>
        </w:trPr>
        <w:tc>
          <w:tcPr>
            <w:tcW w:w="1441" w:type="dxa"/>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整体支出</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绩效定量目标及实施计划完成情况</w:t>
            </w:r>
          </w:p>
        </w:tc>
        <w:tc>
          <w:tcPr>
            <w:tcW w:w="2966"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评价内容</w:t>
            </w:r>
          </w:p>
        </w:tc>
        <w:tc>
          <w:tcPr>
            <w:tcW w:w="2709" w:type="dxa"/>
            <w:gridSpan w:val="4"/>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绩效目标</w:t>
            </w:r>
          </w:p>
        </w:tc>
        <w:tc>
          <w:tcPr>
            <w:tcW w:w="2684"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完成情况</w:t>
            </w: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产出目标</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（部门工作实绩，包含上级部门和市委市政府布置的重点工作、实事任务等，根据部门实际进行调整细化）</w:t>
            </w:r>
          </w:p>
        </w:tc>
        <w:tc>
          <w:tcPr>
            <w:tcW w:w="1417" w:type="dxa"/>
            <w:gridSpan w:val="2"/>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质量指标</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指标1：强化“雪亮工程”实战运用。</w:t>
            </w:r>
          </w:p>
        </w:tc>
        <w:tc>
          <w:tcPr>
            <w:tcW w:w="2684" w:type="dxa"/>
            <w:gridSpan w:val="6"/>
            <w:vAlign w:val="center"/>
          </w:tcPr>
          <w:p w:rsidR="003E7710" w:rsidRDefault="00AB2343">
            <w:pPr>
              <w:autoSpaceDN w:val="0"/>
              <w:spacing w:line="320" w:lineRule="exact"/>
              <w:jc w:val="left"/>
              <w:textAlignment w:val="center"/>
              <w:rPr>
                <w:rFonts w:ascii="仿宋_GB2312" w:eastAsia="仿宋_GB2312" w:hAnsi="仿宋_GB2312" w:cs="仿宋_GB2312"/>
                <w:bCs/>
                <w:color w:val="000000"/>
                <w:sz w:val="24"/>
              </w:rPr>
            </w:pPr>
            <w:r>
              <w:rPr>
                <w:rFonts w:hint="eastAsia"/>
              </w:rPr>
              <w:t>除个别涉及搬迁的村外，县级平台、</w:t>
            </w:r>
            <w:r>
              <w:rPr>
                <w:rFonts w:hint="eastAsia"/>
              </w:rPr>
              <w:t>17</w:t>
            </w:r>
            <w:r>
              <w:rPr>
                <w:rFonts w:hint="eastAsia"/>
              </w:rPr>
              <w:t>个乡（镇）、</w:t>
            </w:r>
            <w:r>
              <w:rPr>
                <w:rFonts w:hint="eastAsia"/>
              </w:rPr>
              <w:t>110</w:t>
            </w:r>
            <w:r>
              <w:rPr>
                <w:rFonts w:hint="eastAsia"/>
              </w:rPr>
              <w:t>个村监控中心全面建设完成，安装监控探头</w:t>
            </w:r>
            <w:r>
              <w:rPr>
                <w:rFonts w:hint="eastAsia"/>
              </w:rPr>
              <w:t>585</w:t>
            </w:r>
            <w:r>
              <w:rPr>
                <w:rFonts w:hint="eastAsia"/>
              </w:rPr>
              <w:t>个，</w:t>
            </w:r>
            <w:r>
              <w:rPr>
                <w:rFonts w:hint="eastAsia"/>
              </w:rPr>
              <w:t>555</w:t>
            </w:r>
            <w:r>
              <w:rPr>
                <w:rFonts w:hint="eastAsia"/>
              </w:rPr>
              <w:t>个接入县级中心实现常态运行，</w:t>
            </w:r>
            <w:r>
              <w:rPr>
                <w:rFonts w:hAnsi="仿宋_GB2312" w:cs="仿宋_GB2312" w:hint="eastAsia"/>
              </w:rPr>
              <w:t>全县各乡（镇）、村</w:t>
            </w:r>
            <w:r>
              <w:rPr>
                <w:rFonts w:hAnsi="仿宋_GB2312" w:cs="仿宋_GB2312" w:hint="eastAsia"/>
              </w:rPr>
              <w:t>(</w:t>
            </w:r>
            <w:r>
              <w:rPr>
                <w:rFonts w:hAnsi="仿宋_GB2312" w:cs="仿宋_GB2312" w:hint="eastAsia"/>
              </w:rPr>
              <w:t>社区）主要交通要道、人员密集场所、灾害隐患防治点等重点公共区域监控预警实现全覆盖。</w:t>
            </w: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spacing w:line="320" w:lineRule="exact"/>
              <w:rPr>
                <w:rFonts w:ascii="仿宋_GB2312" w:eastAsia="仿宋_GB2312" w:hAnsi="仿宋_GB2312" w:cs="仿宋_GB2312"/>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指标2：健全规范县乡村“三级”综治中心。</w:t>
            </w:r>
          </w:p>
        </w:tc>
        <w:tc>
          <w:tcPr>
            <w:tcW w:w="2684" w:type="dxa"/>
            <w:gridSpan w:val="6"/>
            <w:vAlign w:val="center"/>
          </w:tcPr>
          <w:p w:rsidR="003E7710" w:rsidRDefault="00AB2343">
            <w:pPr>
              <w:autoSpaceDN w:val="0"/>
              <w:spacing w:line="320" w:lineRule="exact"/>
              <w:jc w:val="left"/>
              <w:textAlignment w:val="center"/>
              <w:rPr>
                <w:rFonts w:ascii="仿宋_GB2312" w:eastAsia="仿宋_GB2312" w:hAnsi="仿宋_GB2312" w:cs="仿宋_GB2312"/>
                <w:bCs/>
                <w:color w:val="000000"/>
                <w:sz w:val="24"/>
              </w:rPr>
            </w:pPr>
            <w:r>
              <w:rPr>
                <w:rFonts w:hAnsi="仿宋_GB2312" w:cs="仿宋_GB2312" w:hint="eastAsia"/>
              </w:rPr>
              <w:t>整合“雪亮工程”、网格化等监控信息资源，全面建设完成县级综治中心，给</w:t>
            </w:r>
            <w:r>
              <w:rPr>
                <w:rFonts w:hAnsi="仿宋_GB2312" w:cs="仿宋_GB2312" w:hint="eastAsia"/>
              </w:rPr>
              <w:t>17</w:t>
            </w:r>
            <w:r>
              <w:rPr>
                <w:rFonts w:hAnsi="仿宋_GB2312" w:cs="仿宋_GB2312" w:hint="eastAsia"/>
              </w:rPr>
              <w:t>个乡镇调剂解决资金</w:t>
            </w:r>
            <w:r>
              <w:rPr>
                <w:rFonts w:hAnsi="仿宋_GB2312" w:cs="仿宋_GB2312" w:hint="eastAsia"/>
              </w:rPr>
              <w:t>55</w:t>
            </w:r>
            <w:r>
              <w:rPr>
                <w:rFonts w:hAnsi="仿宋_GB2312" w:cs="仿宋_GB2312" w:hint="eastAsia"/>
              </w:rPr>
              <w:t>万元，强化工作支持保障力度</w:t>
            </w:r>
            <w:r>
              <w:rPr>
                <w:rFonts w:ascii="仿宋_GB2312" w:eastAsia="仿宋_GB2312" w:hAnsi="仿宋_GB2312" w:cs="仿宋_GB2312" w:hint="eastAsia"/>
                <w:bCs/>
                <w:color w:val="000000"/>
                <w:sz w:val="24"/>
              </w:rPr>
              <w:t>。</w:t>
            </w: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spacing w:line="320" w:lineRule="exact"/>
              <w:rPr>
                <w:rFonts w:ascii="仿宋_GB2312" w:eastAsia="仿宋_GB2312" w:hAnsi="仿宋_GB2312" w:cs="仿宋_GB2312"/>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Cs/>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数量指标</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61"/>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61"/>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59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Merge/>
            <w:vAlign w:val="center"/>
          </w:tcPr>
          <w:p w:rsidR="003E7710" w:rsidRDefault="003E7710">
            <w:pPr>
              <w:autoSpaceDN w:val="0"/>
              <w:spacing w:line="320" w:lineRule="exact"/>
              <w:jc w:val="center"/>
              <w:textAlignment w:val="center"/>
              <w:rPr>
                <w:rFonts w:ascii="仿宋_GB2312" w:eastAsia="仿宋_GB2312" w:hAnsi="仿宋_GB2312" w:cs="仿宋_GB2312"/>
                <w:sz w:val="24"/>
              </w:rPr>
            </w:pP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restart"/>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效益目标</w:t>
            </w:r>
          </w:p>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（预期实现的效益）</w:t>
            </w:r>
          </w:p>
        </w:tc>
        <w:tc>
          <w:tcPr>
            <w:tcW w:w="1417"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社会效益</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指标1：“雪亮工程”实战运用。</w:t>
            </w:r>
          </w:p>
        </w:tc>
        <w:tc>
          <w:tcPr>
            <w:tcW w:w="2684" w:type="dxa"/>
            <w:gridSpan w:val="6"/>
            <w:vAlign w:val="center"/>
          </w:tcPr>
          <w:p w:rsidR="003E7710" w:rsidRDefault="00AB2343">
            <w:pPr>
              <w:autoSpaceDN w:val="0"/>
              <w:spacing w:line="320" w:lineRule="exact"/>
              <w:jc w:val="left"/>
              <w:textAlignment w:val="center"/>
              <w:rPr>
                <w:rFonts w:ascii="仿宋_GB2312" w:hAnsi="仿宋_GB2312" w:cs="仿宋_GB2312"/>
                <w:bCs/>
                <w:color w:val="000000"/>
                <w:sz w:val="24"/>
              </w:rPr>
            </w:pPr>
            <w:r>
              <w:rPr>
                <w:rFonts w:hAnsi="仿宋_GB2312" w:cs="仿宋_GB2312" w:hint="eastAsia"/>
              </w:rPr>
              <w:t>通过“雪亮工程”监控视频取证，已成功破获、处置打架斗殴、盗窃、安全事故等案（事）件</w:t>
            </w:r>
            <w:r>
              <w:rPr>
                <w:rFonts w:hAnsi="仿宋_GB2312" w:cs="仿宋_GB2312" w:hint="eastAsia"/>
              </w:rPr>
              <w:t>10</w:t>
            </w:r>
            <w:r>
              <w:rPr>
                <w:rFonts w:hAnsi="仿宋_GB2312" w:cs="仿宋_GB2312" w:hint="eastAsia"/>
              </w:rPr>
              <w:t>余起，震慑违法犯罪、提</w:t>
            </w:r>
            <w:r>
              <w:rPr>
                <w:rFonts w:hAnsi="仿宋_GB2312" w:cs="仿宋_GB2312" w:hint="eastAsia"/>
              </w:rPr>
              <w:lastRenderedPageBreak/>
              <w:t>升社会治理作用发挥明显。依托“雪亮工程”建成县乡村双向视频语音会议系统，常态投入运用，实际运用效果良好。县级综治中心整合防灾减灾应急指挥调度功能，常态化召开全县防灾减灾远程指挥调度周例会。</w:t>
            </w: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指标2：</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w:t>
            </w:r>
          </w:p>
        </w:tc>
        <w:tc>
          <w:tcPr>
            <w:tcW w:w="2684" w:type="dxa"/>
            <w:gridSpan w:val="6"/>
            <w:vAlign w:val="center"/>
          </w:tcPr>
          <w:p w:rsidR="003E7710" w:rsidRDefault="003E7710">
            <w:pPr>
              <w:autoSpaceDN w:val="0"/>
              <w:spacing w:line="320" w:lineRule="exact"/>
              <w:jc w:val="center"/>
              <w:textAlignment w:val="center"/>
              <w:rPr>
                <w:rFonts w:ascii="仿宋_GB2312" w:eastAsia="仿宋_GB2312" w:hAnsi="仿宋_GB2312" w:cs="仿宋_GB2312"/>
                <w:b/>
                <w:color w:val="000000"/>
                <w:sz w:val="24"/>
              </w:rPr>
            </w:pPr>
          </w:p>
        </w:tc>
      </w:tr>
      <w:tr w:rsidR="003E7710">
        <w:trPr>
          <w:trHeight w:val="454"/>
          <w:jc w:val="center"/>
        </w:trPr>
        <w:tc>
          <w:tcPr>
            <w:tcW w:w="1441" w:type="dxa"/>
            <w:vMerge/>
            <w:vAlign w:val="center"/>
          </w:tcPr>
          <w:p w:rsidR="003E7710" w:rsidRDefault="003E7710">
            <w:pPr>
              <w:spacing w:line="320" w:lineRule="exact"/>
              <w:rPr>
                <w:rFonts w:ascii="仿宋_GB2312" w:eastAsia="仿宋_GB2312" w:hAnsi="仿宋_GB2312" w:cs="仿宋_GB2312"/>
                <w:sz w:val="24"/>
              </w:rPr>
            </w:pPr>
          </w:p>
        </w:tc>
        <w:tc>
          <w:tcPr>
            <w:tcW w:w="1549" w:type="dxa"/>
            <w:gridSpan w:val="4"/>
            <w:vMerge/>
            <w:vAlign w:val="center"/>
          </w:tcPr>
          <w:p w:rsidR="003E7710" w:rsidRDefault="003E7710">
            <w:pPr>
              <w:autoSpaceDN w:val="0"/>
              <w:spacing w:line="320" w:lineRule="exact"/>
              <w:rPr>
                <w:rFonts w:ascii="仿宋_GB2312" w:eastAsia="仿宋_GB2312" w:hAnsi="仿宋_GB2312" w:cs="仿宋_GB2312"/>
                <w:sz w:val="24"/>
              </w:rPr>
            </w:pPr>
          </w:p>
        </w:tc>
        <w:tc>
          <w:tcPr>
            <w:tcW w:w="1417"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2709" w:type="dxa"/>
            <w:gridSpan w:val="4"/>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指标1：平安建设满意度测评</w:t>
            </w:r>
          </w:p>
          <w:p w:rsidR="003E7710" w:rsidRDefault="003E7710">
            <w:pPr>
              <w:autoSpaceDN w:val="0"/>
              <w:spacing w:line="320" w:lineRule="exact"/>
              <w:jc w:val="left"/>
              <w:textAlignment w:val="center"/>
              <w:rPr>
                <w:rFonts w:ascii="仿宋_GB2312" w:eastAsia="仿宋_GB2312" w:hAnsi="仿宋_GB2312" w:cs="仿宋_GB2312"/>
                <w:color w:val="000000"/>
                <w:sz w:val="24"/>
              </w:rPr>
            </w:pPr>
          </w:p>
        </w:tc>
        <w:tc>
          <w:tcPr>
            <w:tcW w:w="2684" w:type="dxa"/>
            <w:gridSpan w:val="6"/>
            <w:vAlign w:val="center"/>
          </w:tcPr>
          <w:p w:rsidR="003E7710" w:rsidRDefault="00AB2343">
            <w:pPr>
              <w:autoSpaceDN w:val="0"/>
              <w:spacing w:line="320" w:lineRule="exact"/>
              <w:jc w:val="left"/>
              <w:textAlignment w:val="center"/>
              <w:rPr>
                <w:rFonts w:ascii="仿宋_GB2312" w:eastAsia="仿宋_GB2312" w:hAnsi="仿宋_GB2312" w:cs="仿宋_GB2312"/>
                <w:b/>
                <w:color w:val="000000"/>
                <w:sz w:val="24"/>
              </w:rPr>
            </w:pPr>
            <w:r>
              <w:rPr>
                <w:rFonts w:hAnsi="仿宋_GB2312" w:cs="仿宋_GB2312" w:hint="eastAsia"/>
              </w:rPr>
              <w:t>拟定《九寨沟县</w:t>
            </w:r>
            <w:r>
              <w:rPr>
                <w:rFonts w:hAnsi="仿宋_GB2312" w:cs="仿宋_GB2312" w:hint="eastAsia"/>
              </w:rPr>
              <w:t>2018</w:t>
            </w:r>
            <w:r>
              <w:rPr>
                <w:rFonts w:hAnsi="仿宋_GB2312" w:cs="仿宋_GB2312" w:hint="eastAsia"/>
              </w:rPr>
              <w:t>年上半年平安建设群众满意度测评工作方案》，通过“两微一端”和制作政法工作宣传手册，开展</w:t>
            </w:r>
            <w:r>
              <w:rPr>
                <w:rFonts w:hAnsi="仿宋_GB2312" w:cs="仿宋_GB2312" w:hint="eastAsia"/>
              </w:rPr>
              <w:t>028-12340</w:t>
            </w:r>
            <w:r>
              <w:rPr>
                <w:rFonts w:hAnsi="仿宋_GB2312" w:cs="仿宋_GB2312" w:hint="eastAsia"/>
              </w:rPr>
              <w:t>平安建设群众满意度测评宣传，提升平安建设公众知晓率和满意度。</w:t>
            </w:r>
          </w:p>
        </w:tc>
      </w:tr>
      <w:tr w:rsidR="003E7710">
        <w:trPr>
          <w:trHeight w:val="567"/>
          <w:jc w:val="center"/>
        </w:trPr>
        <w:tc>
          <w:tcPr>
            <w:tcW w:w="2990" w:type="dxa"/>
            <w:gridSpan w:val="5"/>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810" w:type="dxa"/>
            <w:gridSpan w:val="1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98</w:t>
            </w:r>
          </w:p>
        </w:tc>
      </w:tr>
      <w:tr w:rsidR="003E7710">
        <w:trPr>
          <w:trHeight w:val="567"/>
          <w:jc w:val="center"/>
        </w:trPr>
        <w:tc>
          <w:tcPr>
            <w:tcW w:w="2990" w:type="dxa"/>
            <w:gridSpan w:val="5"/>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810" w:type="dxa"/>
            <w:gridSpan w:val="1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3E7710">
        <w:trPr>
          <w:trHeight w:val="680"/>
          <w:jc w:val="center"/>
        </w:trPr>
        <w:tc>
          <w:tcPr>
            <w:tcW w:w="9800" w:type="dxa"/>
            <w:gridSpan w:val="17"/>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黑体" w:eastAsia="黑体" w:hAnsi="黑体" w:cs="黑体" w:hint="eastAsia"/>
                <w:color w:val="000000"/>
                <w:sz w:val="28"/>
                <w:szCs w:val="28"/>
              </w:rPr>
              <w:t>四、评价人员</w:t>
            </w:r>
          </w:p>
        </w:tc>
      </w:tr>
      <w:tr w:rsidR="003E7710">
        <w:trPr>
          <w:trHeight w:val="567"/>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3561"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1479"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3106" w:type="dxa"/>
            <w:gridSpan w:val="8"/>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3E7710">
        <w:trPr>
          <w:trHeight w:val="680"/>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薛彦峰</w:t>
            </w:r>
          </w:p>
        </w:tc>
        <w:tc>
          <w:tcPr>
            <w:tcW w:w="3561"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常务副书记</w:t>
            </w:r>
          </w:p>
        </w:tc>
        <w:tc>
          <w:tcPr>
            <w:tcW w:w="1479"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80"/>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高强</w:t>
            </w:r>
          </w:p>
        </w:tc>
        <w:tc>
          <w:tcPr>
            <w:tcW w:w="3561"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办公室主任</w:t>
            </w:r>
          </w:p>
        </w:tc>
        <w:tc>
          <w:tcPr>
            <w:tcW w:w="1479"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80"/>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张琴</w:t>
            </w:r>
          </w:p>
        </w:tc>
        <w:tc>
          <w:tcPr>
            <w:tcW w:w="3561"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综合业务指导股工作人员</w:t>
            </w:r>
          </w:p>
        </w:tc>
        <w:tc>
          <w:tcPr>
            <w:tcW w:w="1479"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680"/>
          <w:jc w:val="center"/>
        </w:trPr>
        <w:tc>
          <w:tcPr>
            <w:tcW w:w="1654" w:type="dxa"/>
            <w:gridSpan w:val="2"/>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李桐瑶</w:t>
            </w:r>
          </w:p>
        </w:tc>
        <w:tc>
          <w:tcPr>
            <w:tcW w:w="3561" w:type="dxa"/>
            <w:gridSpan w:val="6"/>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办公室工作人员</w:t>
            </w:r>
          </w:p>
        </w:tc>
        <w:tc>
          <w:tcPr>
            <w:tcW w:w="1479" w:type="dxa"/>
            <w:vAlign w:val="center"/>
          </w:tcPr>
          <w:p w:rsidR="003E7710" w:rsidRDefault="00AB234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县委政法委</w:t>
            </w:r>
          </w:p>
        </w:tc>
        <w:tc>
          <w:tcPr>
            <w:tcW w:w="3106" w:type="dxa"/>
            <w:gridSpan w:val="8"/>
            <w:vAlign w:val="center"/>
          </w:tcPr>
          <w:p w:rsidR="003E7710" w:rsidRDefault="003E7710">
            <w:pPr>
              <w:autoSpaceDN w:val="0"/>
              <w:spacing w:line="320" w:lineRule="exact"/>
              <w:jc w:val="center"/>
              <w:textAlignment w:val="center"/>
              <w:rPr>
                <w:rFonts w:ascii="仿宋_GB2312" w:eastAsia="仿宋_GB2312" w:hAnsi="仿宋_GB2312" w:cs="仿宋_GB2312"/>
                <w:color w:val="000000"/>
                <w:sz w:val="24"/>
              </w:rPr>
            </w:pPr>
          </w:p>
        </w:tc>
      </w:tr>
      <w:tr w:rsidR="003E7710">
        <w:trPr>
          <w:trHeight w:val="2722"/>
          <w:jc w:val="center"/>
        </w:trPr>
        <w:tc>
          <w:tcPr>
            <w:tcW w:w="9800" w:type="dxa"/>
            <w:gridSpan w:val="17"/>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lastRenderedPageBreak/>
              <w:t>评价组组长（签字）：</w:t>
            </w: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3E7710">
        <w:trPr>
          <w:trHeight w:val="2722"/>
          <w:jc w:val="center"/>
        </w:trPr>
        <w:tc>
          <w:tcPr>
            <w:tcW w:w="9800" w:type="dxa"/>
            <w:gridSpan w:val="17"/>
            <w:vAlign w:val="center"/>
          </w:tcPr>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3E7710">
            <w:pPr>
              <w:autoSpaceDN w:val="0"/>
              <w:spacing w:line="320" w:lineRule="exact"/>
              <w:jc w:val="left"/>
              <w:textAlignment w:val="center"/>
              <w:rPr>
                <w:rFonts w:ascii="仿宋_GB2312" w:eastAsia="仿宋_GB2312" w:hAnsi="仿宋_GB2312" w:cs="仿宋_GB2312"/>
                <w:color w:val="000000"/>
                <w:sz w:val="24"/>
              </w:rPr>
            </w:pP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3E7710">
        <w:trPr>
          <w:trHeight w:val="2794"/>
          <w:jc w:val="center"/>
        </w:trPr>
        <w:tc>
          <w:tcPr>
            <w:tcW w:w="9800" w:type="dxa"/>
            <w:gridSpan w:val="17"/>
            <w:vAlign w:val="center"/>
          </w:tcPr>
          <w:p w:rsidR="003E7710" w:rsidRDefault="00AB2343">
            <w:pPr>
              <w:spacing w:line="320" w:lineRule="exact"/>
              <w:rPr>
                <w:rFonts w:eastAsia="仿宋_GB2312"/>
                <w:sz w:val="24"/>
              </w:rPr>
            </w:pPr>
            <w:r>
              <w:rPr>
                <w:rFonts w:eastAsia="仿宋_GB2312" w:hint="eastAsia"/>
                <w:sz w:val="24"/>
              </w:rPr>
              <w:t>财政部门归口业务股室意见：</w:t>
            </w:r>
          </w:p>
          <w:p w:rsidR="003E7710" w:rsidRDefault="003E7710">
            <w:pPr>
              <w:spacing w:line="320" w:lineRule="exact"/>
              <w:rPr>
                <w:rFonts w:eastAsia="仿宋_GB2312"/>
                <w:sz w:val="24"/>
              </w:rPr>
            </w:pPr>
          </w:p>
          <w:p w:rsidR="003E7710" w:rsidRDefault="003E7710">
            <w:pPr>
              <w:spacing w:line="320" w:lineRule="exact"/>
              <w:rPr>
                <w:rFonts w:eastAsia="仿宋_GB2312"/>
                <w:sz w:val="24"/>
              </w:rPr>
            </w:pPr>
          </w:p>
          <w:p w:rsidR="003E7710" w:rsidRDefault="003E7710">
            <w:pPr>
              <w:spacing w:line="320" w:lineRule="exact"/>
              <w:rPr>
                <w:rFonts w:eastAsia="仿宋_GB2312"/>
                <w:sz w:val="24"/>
              </w:rPr>
            </w:pPr>
          </w:p>
          <w:p w:rsidR="003E7710" w:rsidRDefault="003E7710">
            <w:pPr>
              <w:spacing w:line="320" w:lineRule="exact"/>
              <w:rPr>
                <w:rFonts w:eastAsia="仿宋_GB2312"/>
                <w:sz w:val="24"/>
              </w:rPr>
            </w:pPr>
          </w:p>
          <w:p w:rsidR="003E7710" w:rsidRDefault="00AB2343">
            <w:pPr>
              <w:spacing w:line="320" w:lineRule="exact"/>
              <w:rPr>
                <w:rFonts w:eastAsia="仿宋_GB2312"/>
                <w:sz w:val="24"/>
              </w:rPr>
            </w:pPr>
            <w:r>
              <w:rPr>
                <w:rFonts w:eastAsia="仿宋_GB2312" w:hint="eastAsia"/>
                <w:sz w:val="24"/>
              </w:rPr>
              <w:t xml:space="preserve">                                  </w:t>
            </w:r>
            <w:r>
              <w:rPr>
                <w:rFonts w:eastAsia="仿宋_GB2312" w:hint="eastAsia"/>
                <w:sz w:val="24"/>
              </w:rPr>
              <w:t>财政部门归口业务股室负责人（签章）：</w:t>
            </w:r>
          </w:p>
          <w:p w:rsidR="003E7710" w:rsidRDefault="00AB2343">
            <w:pPr>
              <w:autoSpaceDN w:val="0"/>
              <w:spacing w:line="320" w:lineRule="exact"/>
              <w:jc w:val="left"/>
              <w:textAlignment w:val="center"/>
              <w:rPr>
                <w:rFonts w:ascii="仿宋_GB2312" w:eastAsia="仿宋_GB2312" w:hAnsi="仿宋_GB2312" w:cs="仿宋_GB2312"/>
                <w:color w:val="000000"/>
                <w:sz w:val="24"/>
              </w:rPr>
            </w:pPr>
            <w:r>
              <w:rPr>
                <w:rFonts w:eastAsia="仿宋_GB2312" w:hint="eastAsia"/>
                <w:sz w:val="24"/>
              </w:rPr>
              <w:t xml:space="preserve">                                                                 </w:t>
            </w:r>
            <w:r>
              <w:rPr>
                <w:rFonts w:eastAsia="仿宋_GB2312" w:hint="eastAsia"/>
                <w:sz w:val="24"/>
              </w:rPr>
              <w:t>年</w:t>
            </w:r>
            <w:r>
              <w:rPr>
                <w:rFonts w:eastAsia="仿宋_GB2312" w:hint="eastAsia"/>
                <w:sz w:val="24"/>
              </w:rPr>
              <w:t xml:space="preserve">    </w:t>
            </w:r>
            <w:r>
              <w:rPr>
                <w:rFonts w:eastAsia="仿宋_GB2312" w:hint="eastAsia"/>
                <w:sz w:val="24"/>
              </w:rPr>
              <w:t>月</w:t>
            </w:r>
            <w:r>
              <w:rPr>
                <w:rFonts w:eastAsia="仿宋_GB2312" w:hint="eastAsia"/>
                <w:sz w:val="24"/>
              </w:rPr>
              <w:t xml:space="preserve">   </w:t>
            </w:r>
            <w:r>
              <w:rPr>
                <w:rFonts w:eastAsia="仿宋_GB2312" w:hint="eastAsia"/>
                <w:sz w:val="24"/>
              </w:rPr>
              <w:t>日</w:t>
            </w:r>
          </w:p>
        </w:tc>
      </w:tr>
    </w:tbl>
    <w:p w:rsidR="003E7710" w:rsidRDefault="00AB2343">
      <w:pPr>
        <w:rPr>
          <w:rFonts w:eastAsia="仿宋_GB2312" w:cs="仿宋_GB2312"/>
          <w:bCs/>
          <w:sz w:val="28"/>
          <w:szCs w:val="28"/>
        </w:rPr>
      </w:pPr>
      <w:r>
        <w:rPr>
          <w:rFonts w:eastAsia="仿宋_GB2312" w:cs="仿宋_GB2312" w:hint="eastAsia"/>
          <w:bCs/>
          <w:sz w:val="28"/>
          <w:szCs w:val="28"/>
        </w:rPr>
        <w:t>填报人（签名）：</w:t>
      </w:r>
      <w:r>
        <w:rPr>
          <w:rFonts w:eastAsia="仿宋_GB2312" w:cs="仿宋_GB2312" w:hint="eastAsia"/>
          <w:bCs/>
          <w:sz w:val="28"/>
          <w:szCs w:val="28"/>
        </w:rPr>
        <w:t xml:space="preserve">                          </w:t>
      </w:r>
      <w:r>
        <w:rPr>
          <w:rFonts w:eastAsia="仿宋_GB2312" w:cs="仿宋_GB2312" w:hint="eastAsia"/>
          <w:bCs/>
          <w:sz w:val="28"/>
          <w:szCs w:val="28"/>
        </w:rPr>
        <w:t>联系电话：</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3E7710">
        <w:trPr>
          <w:trHeight w:val="11498"/>
          <w:jc w:val="center"/>
        </w:trPr>
        <w:tc>
          <w:tcPr>
            <w:tcW w:w="9558" w:type="dxa"/>
          </w:tcPr>
          <w:p w:rsidR="003E7710" w:rsidRDefault="00AB2343">
            <w:pPr>
              <w:spacing w:line="400" w:lineRule="exact"/>
              <w:jc w:val="center"/>
              <w:rPr>
                <w:rFonts w:ascii="黑体" w:eastAsia="黑体" w:hAnsi="黑体" w:cs="黑体"/>
                <w:bCs/>
                <w:sz w:val="28"/>
                <w:szCs w:val="28"/>
              </w:rPr>
            </w:pPr>
            <w:r>
              <w:rPr>
                <w:rFonts w:ascii="黑体" w:eastAsia="黑体" w:hAnsi="黑体" w:cs="黑体" w:hint="eastAsia"/>
                <w:bCs/>
                <w:sz w:val="28"/>
                <w:szCs w:val="28"/>
              </w:rPr>
              <w:lastRenderedPageBreak/>
              <w:t>五、评价报告综述（文字部分）</w:t>
            </w:r>
          </w:p>
          <w:p w:rsidR="003E7710" w:rsidRDefault="003E7710">
            <w:pPr>
              <w:spacing w:line="400" w:lineRule="exact"/>
              <w:ind w:firstLineChars="200" w:firstLine="640"/>
              <w:rPr>
                <w:rFonts w:eastAsia="仿宋_GB2312"/>
                <w:sz w:val="32"/>
                <w:szCs w:val="32"/>
              </w:rPr>
            </w:pPr>
          </w:p>
          <w:p w:rsidR="003E7710" w:rsidRDefault="00AB2343">
            <w:pPr>
              <w:spacing w:line="400" w:lineRule="exact"/>
              <w:rPr>
                <w:rFonts w:ascii="黑体" w:eastAsia="黑体" w:hAnsi="黑体" w:cs="黑体"/>
                <w:bCs/>
                <w:sz w:val="28"/>
                <w:szCs w:val="28"/>
              </w:rPr>
            </w:pPr>
            <w:r>
              <w:rPr>
                <w:rFonts w:ascii="黑体" w:eastAsia="黑体" w:hAnsi="黑体" w:cs="黑体" w:hint="eastAsia"/>
                <w:bCs/>
                <w:sz w:val="28"/>
                <w:szCs w:val="28"/>
              </w:rPr>
              <w:t>一、部门（单位）概况</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（一）部门（单位）基本情况</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2018年单位机构数为2 个（行政 1 个，事业 1 个）：分别为政法委机关和县矛盾纠纷多元化解协调中心。内设机构为维稳办、综治办、防邪办、政治部、办公室。财政供养人员编制为15个，其中全额供给人员和公用经费 9 个，全额供给基本工资5个，定额定向补助经费 5 个。</w:t>
            </w:r>
            <w:r>
              <w:rPr>
                <w:rFonts w:ascii="仿宋_GB2312" w:eastAsia="仿宋_GB2312" w:hAnsi="仿宋_GB2312" w:cs="仿宋_GB2312" w:hint="eastAsia"/>
                <w:bCs/>
                <w:sz w:val="28"/>
                <w:szCs w:val="28"/>
                <w:lang w:val="zh-CN"/>
              </w:rPr>
              <w:t>2</w:t>
            </w:r>
            <w:r>
              <w:rPr>
                <w:rFonts w:ascii="仿宋_GB2312" w:eastAsia="仿宋_GB2312" w:hAnsi="仿宋_GB2312" w:cs="仿宋_GB2312" w:hint="eastAsia"/>
                <w:bCs/>
                <w:sz w:val="28"/>
                <w:szCs w:val="28"/>
              </w:rPr>
              <w:t>018</w:t>
            </w:r>
            <w:r>
              <w:rPr>
                <w:rFonts w:ascii="仿宋_GB2312" w:eastAsia="仿宋_GB2312" w:hAnsi="仿宋_GB2312" w:cs="仿宋_GB2312" w:hint="eastAsia"/>
                <w:bCs/>
                <w:sz w:val="28"/>
                <w:szCs w:val="28"/>
                <w:lang w:val="zh-CN"/>
              </w:rPr>
              <w:t>年财政供养人员</w:t>
            </w:r>
            <w:r>
              <w:rPr>
                <w:rFonts w:ascii="仿宋_GB2312" w:eastAsia="仿宋_GB2312" w:hAnsi="仿宋_GB2312" w:cs="仿宋_GB2312" w:hint="eastAsia"/>
                <w:bCs/>
                <w:sz w:val="28"/>
                <w:szCs w:val="28"/>
              </w:rPr>
              <w:t>15</w:t>
            </w:r>
            <w:r>
              <w:rPr>
                <w:rFonts w:ascii="仿宋_GB2312" w:eastAsia="仿宋_GB2312" w:hAnsi="仿宋_GB2312" w:cs="仿宋_GB2312" w:hint="eastAsia"/>
                <w:bCs/>
                <w:sz w:val="28"/>
                <w:szCs w:val="28"/>
                <w:lang w:val="zh-CN"/>
              </w:rPr>
              <w:t>人，较上年增加</w:t>
            </w:r>
            <w:r>
              <w:rPr>
                <w:rFonts w:ascii="仿宋_GB2312" w:eastAsia="仿宋_GB2312" w:hAnsi="仿宋_GB2312" w:cs="仿宋_GB2312" w:hint="eastAsia"/>
                <w:bCs/>
                <w:sz w:val="28"/>
                <w:szCs w:val="28"/>
              </w:rPr>
              <w:t>1</w:t>
            </w:r>
            <w:r>
              <w:rPr>
                <w:rFonts w:ascii="仿宋_GB2312" w:eastAsia="仿宋_GB2312" w:hAnsi="仿宋_GB2312" w:cs="仿宋_GB2312" w:hint="eastAsia"/>
                <w:bCs/>
                <w:sz w:val="28"/>
                <w:szCs w:val="28"/>
                <w:lang w:val="zh-CN"/>
              </w:rPr>
              <w:t xml:space="preserve"> 人，其中：在职 1</w:t>
            </w:r>
            <w:r>
              <w:rPr>
                <w:rFonts w:ascii="仿宋_GB2312" w:eastAsia="仿宋_GB2312" w:hAnsi="仿宋_GB2312" w:cs="仿宋_GB2312" w:hint="eastAsia"/>
                <w:bCs/>
                <w:sz w:val="28"/>
                <w:szCs w:val="28"/>
              </w:rPr>
              <w:t>4</w:t>
            </w:r>
            <w:r>
              <w:rPr>
                <w:rFonts w:ascii="仿宋_GB2312" w:eastAsia="仿宋_GB2312" w:hAnsi="仿宋_GB2312" w:cs="仿宋_GB2312" w:hint="eastAsia"/>
                <w:bCs/>
                <w:sz w:val="28"/>
                <w:szCs w:val="28"/>
                <w:lang w:val="zh-CN"/>
              </w:rPr>
              <w:t>人，临聘人员</w:t>
            </w:r>
            <w:r>
              <w:rPr>
                <w:rFonts w:ascii="仿宋_GB2312" w:eastAsia="仿宋_GB2312" w:hAnsi="仿宋_GB2312" w:cs="仿宋_GB2312" w:hint="eastAsia"/>
                <w:bCs/>
                <w:sz w:val="28"/>
                <w:szCs w:val="28"/>
              </w:rPr>
              <w:t>1人。</w:t>
            </w:r>
          </w:p>
          <w:p w:rsidR="003E7710" w:rsidRDefault="00AB2343">
            <w:pPr>
              <w:spacing w:line="400" w:lineRule="exact"/>
              <w:rPr>
                <w:rFonts w:ascii="黑体" w:eastAsia="黑体" w:hAnsi="黑体" w:cs="黑体"/>
                <w:bCs/>
                <w:sz w:val="28"/>
                <w:szCs w:val="28"/>
              </w:rPr>
            </w:pPr>
            <w:r>
              <w:rPr>
                <w:rFonts w:ascii="黑体" w:eastAsia="黑体" w:hAnsi="黑体" w:cs="黑体" w:hint="eastAsia"/>
                <w:bCs/>
                <w:sz w:val="28"/>
                <w:szCs w:val="28"/>
              </w:rPr>
              <w:t>（二）部门（单位）整体支出规模、使用方向和主要内容、涉及范围等</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主要用于人员工资、社保障激纳以及全县政法工作开展保障。</w:t>
            </w:r>
          </w:p>
          <w:p w:rsidR="003E7710" w:rsidRDefault="00AB2343">
            <w:pPr>
              <w:spacing w:line="400" w:lineRule="exact"/>
              <w:rPr>
                <w:rFonts w:ascii="黑体" w:eastAsia="黑体" w:hAnsi="黑体" w:cs="黑体"/>
                <w:bCs/>
                <w:sz w:val="28"/>
                <w:szCs w:val="28"/>
              </w:rPr>
            </w:pPr>
            <w:r>
              <w:rPr>
                <w:rFonts w:ascii="黑体" w:eastAsia="黑体" w:hAnsi="黑体" w:cs="黑体" w:hint="eastAsia"/>
                <w:bCs/>
                <w:sz w:val="28"/>
                <w:szCs w:val="28"/>
              </w:rPr>
              <w:t>二、部门（单位）整体支出管理及使用情况</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（一）基本支出</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基本支出268.51万元，其中人员经费 231.54万元，主要用于人员工资及社保障激纳等。一般商品服务支出36.97万元，主要用于日常办公开支。</w:t>
            </w:r>
          </w:p>
          <w:p w:rsidR="003E7710" w:rsidRDefault="00AB2343">
            <w:pPr>
              <w:spacing w:line="400" w:lineRule="exact"/>
              <w:rPr>
                <w:rFonts w:ascii="黑体" w:eastAsia="黑体" w:hAnsi="黑体" w:cs="黑体"/>
                <w:bCs/>
                <w:sz w:val="28"/>
                <w:szCs w:val="28"/>
              </w:rPr>
            </w:pPr>
            <w:r>
              <w:rPr>
                <w:rFonts w:ascii="黑体" w:eastAsia="黑体" w:hAnsi="黑体" w:cs="黑体" w:hint="eastAsia"/>
                <w:bCs/>
                <w:sz w:val="28"/>
                <w:szCs w:val="28"/>
              </w:rPr>
              <w:t>（二）专项支出</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1、专项资金安排落实、总投入等情况分析</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2018年共安排项目资金</w:t>
            </w:r>
            <w:r>
              <w:rPr>
                <w:rFonts w:ascii="仿宋_GB2312" w:eastAsia="仿宋_GB2312" w:hAnsi="仿宋_GB2312" w:cs="仿宋_GB2312" w:hint="eastAsia"/>
                <w:color w:val="000000"/>
                <w:sz w:val="24"/>
              </w:rPr>
              <w:t>221.05</w:t>
            </w:r>
            <w:r>
              <w:rPr>
                <w:rFonts w:ascii="仿宋_GB2312" w:eastAsia="仿宋_GB2312" w:hAnsi="仿宋_GB2312" w:cs="仿宋_GB2312" w:hint="eastAsia"/>
                <w:bCs/>
                <w:sz w:val="28"/>
                <w:szCs w:val="28"/>
              </w:rPr>
              <w:t>万元。</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2、专项资金实际使用情况分析</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2018年项目资金使用</w:t>
            </w:r>
            <w:r>
              <w:rPr>
                <w:rFonts w:ascii="仿宋_GB2312" w:eastAsia="仿宋_GB2312" w:hAnsi="仿宋_GB2312" w:cs="仿宋_GB2312" w:hint="eastAsia"/>
                <w:color w:val="000000"/>
                <w:sz w:val="24"/>
              </w:rPr>
              <w:t>221.05</w:t>
            </w:r>
            <w:r>
              <w:rPr>
                <w:rFonts w:ascii="仿宋_GB2312" w:eastAsia="仿宋_GB2312" w:hAnsi="仿宋_GB2312" w:cs="仿宋_GB2312" w:hint="eastAsia"/>
                <w:bCs/>
                <w:sz w:val="28"/>
                <w:szCs w:val="28"/>
              </w:rPr>
              <w:t>万元，主要用于综治、维稳、扫黑除恶、平安建设等保障支出。</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3、专项资金管理情况分析</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各项目资金本着专款专用的原则，严格执行项目资金批准的使用计划和项目批复内容，不擅自调项、扩项、缩项，不拆借、挪用、挤占。资金拨付动向按不同专项资金的要求执行。同时对每笔专项资金的支付，严格执行财务制度，落实专项资金审核程序。</w:t>
            </w:r>
          </w:p>
          <w:p w:rsidR="003E7710" w:rsidRDefault="00AB2343">
            <w:pPr>
              <w:spacing w:line="400" w:lineRule="exact"/>
              <w:rPr>
                <w:rFonts w:ascii="黑体" w:eastAsia="黑体" w:hAnsi="黑体" w:cs="黑体"/>
                <w:bCs/>
                <w:sz w:val="28"/>
                <w:szCs w:val="28"/>
              </w:rPr>
            </w:pPr>
            <w:r>
              <w:rPr>
                <w:rFonts w:ascii="黑体" w:eastAsia="黑体" w:hAnsi="黑体" w:cs="黑体" w:hint="eastAsia"/>
                <w:bCs/>
                <w:sz w:val="28"/>
                <w:szCs w:val="28"/>
              </w:rPr>
              <w:t>三、部门（单位）专项组织实施情况</w:t>
            </w:r>
          </w:p>
          <w:p w:rsidR="003E7710" w:rsidRDefault="00AB2343">
            <w:pPr>
              <w:spacing w:line="400" w:lineRule="exact"/>
              <w:rPr>
                <w:rFonts w:ascii="仿宋_GB2312" w:eastAsia="仿宋_GB2312" w:hAnsi="仿宋_GB2312" w:cs="仿宋_GB2312"/>
                <w:bCs/>
                <w:sz w:val="28"/>
                <w:szCs w:val="28"/>
              </w:rPr>
            </w:pPr>
            <w:r>
              <w:rPr>
                <w:rFonts w:ascii="黑体" w:eastAsia="黑体" w:hAnsi="黑体" w:cs="黑体" w:hint="eastAsia"/>
                <w:bCs/>
                <w:sz w:val="28"/>
                <w:szCs w:val="28"/>
              </w:rPr>
              <w:t>（</w:t>
            </w:r>
            <w:r>
              <w:rPr>
                <w:rFonts w:ascii="仿宋_GB2312" w:eastAsia="仿宋_GB2312" w:hAnsi="仿宋_GB2312" w:cs="仿宋_GB2312" w:hint="eastAsia"/>
                <w:bCs/>
                <w:sz w:val="28"/>
                <w:szCs w:val="28"/>
              </w:rPr>
              <w:t>一）专项组织情况分析</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各项目资金都安排责任人，按专项资金的用途专款专用。</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（二）专项管理情况分析</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在使用项目资金时，严格执行项目资金使用制度和财务制度，同时局对各项目资金的使用流程进行监督，定时查看财务表报检查专项资金使用情况。</w:t>
            </w:r>
          </w:p>
          <w:p w:rsidR="003E7710" w:rsidRDefault="00AB2343">
            <w:pPr>
              <w:spacing w:line="400" w:lineRule="exact"/>
              <w:rPr>
                <w:rFonts w:ascii="黑体" w:eastAsia="黑体" w:hAnsi="黑体" w:cs="黑体"/>
                <w:bCs/>
                <w:sz w:val="28"/>
                <w:szCs w:val="28"/>
              </w:rPr>
            </w:pPr>
            <w:r>
              <w:rPr>
                <w:rFonts w:ascii="黑体" w:eastAsia="黑体" w:hAnsi="黑体" w:cs="黑体" w:hint="eastAsia"/>
                <w:bCs/>
                <w:sz w:val="28"/>
                <w:szCs w:val="28"/>
              </w:rPr>
              <w:t>四、部门（单位）整体支出绩效情况</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本单位各项项目资金其主要用途是确保单位的正常运转，促进各项工作任务</w:t>
            </w:r>
            <w:r>
              <w:rPr>
                <w:rFonts w:ascii="仿宋_GB2312" w:eastAsia="仿宋_GB2312" w:hAnsi="仿宋_GB2312" w:cs="仿宋_GB2312" w:hint="eastAsia"/>
                <w:bCs/>
                <w:sz w:val="28"/>
                <w:szCs w:val="28"/>
              </w:rPr>
              <w:lastRenderedPageBreak/>
              <w:t>顺利完成。在人员经费支出、公共支出严格执行区委区政府的各项制度；在项目经费的使用上，在保证各项任务顺利完成的同时，严格落实厉行节约的原则。</w:t>
            </w:r>
          </w:p>
          <w:p w:rsidR="003E7710" w:rsidRDefault="00AB2343">
            <w:pPr>
              <w:spacing w:line="400" w:lineRule="exact"/>
              <w:rPr>
                <w:rFonts w:ascii="黑体" w:eastAsia="黑体" w:hAnsi="黑体" w:cs="黑体"/>
                <w:bCs/>
                <w:sz w:val="28"/>
                <w:szCs w:val="28"/>
              </w:rPr>
            </w:pPr>
            <w:r>
              <w:rPr>
                <w:rFonts w:ascii="黑体" w:eastAsia="黑体" w:hAnsi="黑体" w:cs="黑体" w:hint="eastAsia"/>
                <w:bCs/>
                <w:sz w:val="28"/>
                <w:szCs w:val="28"/>
              </w:rPr>
              <w:t>五、存在的主要问题</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一是机关管理有待加强。部门预算管理有待进一步加强，厉行节约有待进一步落实。二是在使用公务卡方面需要进一步加强。</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六、改进措施和有关建议</w:t>
            </w:r>
          </w:p>
          <w:p w:rsidR="003E7710" w:rsidRDefault="00AB2343">
            <w:pPr>
              <w:spacing w:line="400" w:lineRule="exact"/>
              <w:rPr>
                <w:rFonts w:ascii="仿宋_GB2312" w:eastAsia="仿宋_GB2312" w:hAnsi="仿宋_GB2312" w:cs="仿宋_GB2312"/>
                <w:bCs/>
                <w:sz w:val="28"/>
                <w:szCs w:val="28"/>
              </w:rPr>
            </w:pPr>
            <w:r>
              <w:rPr>
                <w:rFonts w:ascii="仿宋_GB2312" w:eastAsia="仿宋_GB2312" w:hAnsi="仿宋_GB2312" w:cs="仿宋_GB2312" w:hint="eastAsia"/>
                <w:bCs/>
                <w:sz w:val="28"/>
                <w:szCs w:val="28"/>
              </w:rPr>
              <w:t>一是进一步控制项目经费支出，在确保各项任务完成的同时，力争把成本降低。二是加大对公务卡的使用力度。</w:t>
            </w:r>
          </w:p>
          <w:p w:rsidR="003E7710" w:rsidRDefault="003E7710">
            <w:pPr>
              <w:spacing w:line="400" w:lineRule="exact"/>
              <w:rPr>
                <w:rFonts w:ascii="黑体" w:eastAsia="黑体" w:hAnsi="黑体" w:cs="黑体"/>
                <w:bCs/>
                <w:sz w:val="28"/>
                <w:szCs w:val="28"/>
              </w:rPr>
            </w:pPr>
          </w:p>
          <w:p w:rsidR="003E7710" w:rsidRDefault="003E7710">
            <w:pPr>
              <w:rPr>
                <w:rFonts w:eastAsia="楷体_GB2312"/>
                <w:bCs/>
                <w:sz w:val="28"/>
                <w:szCs w:val="28"/>
              </w:rPr>
            </w:pPr>
          </w:p>
        </w:tc>
      </w:tr>
    </w:tbl>
    <w:p w:rsidR="003E7710" w:rsidRDefault="003E7710">
      <w:pPr>
        <w:spacing w:line="348" w:lineRule="auto"/>
        <w:rPr>
          <w:rFonts w:ascii="黑体" w:eastAsia="黑体" w:hAnsi="黑体"/>
          <w:sz w:val="32"/>
          <w:szCs w:val="32"/>
        </w:rPr>
      </w:pPr>
    </w:p>
    <w:p w:rsidR="003E7710" w:rsidRDefault="00AB2343">
      <w:pPr>
        <w:pStyle w:val="20"/>
        <w:rPr>
          <w:rStyle w:val="1Char"/>
          <w:rFonts w:ascii="仿宋" w:eastAsia="仿宋" w:hAnsi="仿宋"/>
          <w:sz w:val="32"/>
          <w:szCs w:val="32"/>
        </w:rPr>
      </w:pPr>
      <w:r>
        <w:rPr>
          <w:rFonts w:eastAsia="仿宋_GB2312" w:cs="仿宋_GB2312" w:hint="eastAsia"/>
          <w:bCs w:val="0"/>
        </w:rPr>
        <w:t>填报人（签名）：</w:t>
      </w:r>
      <w:r>
        <w:rPr>
          <w:rFonts w:eastAsia="仿宋_GB2312" w:cs="仿宋_GB2312" w:hint="eastAsia"/>
          <w:bCs w:val="0"/>
        </w:rPr>
        <w:t xml:space="preserve">                          </w:t>
      </w:r>
      <w:r>
        <w:rPr>
          <w:rFonts w:eastAsia="仿宋_GB2312" w:cs="仿宋_GB2312" w:hint="eastAsia"/>
          <w:bCs w:val="0"/>
        </w:rPr>
        <w:t>联系</w:t>
      </w:r>
      <w:r>
        <w:rPr>
          <w:rStyle w:val="1Char"/>
          <w:rFonts w:ascii="仿宋" w:eastAsia="仿宋" w:hAnsi="仿宋" w:hint="eastAsia"/>
          <w:sz w:val="32"/>
          <w:szCs w:val="32"/>
        </w:rPr>
        <w:t>附件2</w:t>
      </w:r>
      <w:bookmarkEnd w:id="46"/>
    </w:p>
    <w:p w:rsidR="003E7710" w:rsidRDefault="003E7710">
      <w:pPr>
        <w:spacing w:line="600" w:lineRule="exact"/>
        <w:jc w:val="center"/>
        <w:outlineLvl w:val="0"/>
        <w:rPr>
          <w:rFonts w:ascii="黑体" w:eastAsia="黑体" w:hAnsi="黑体"/>
          <w:color w:val="000000"/>
          <w:sz w:val="32"/>
          <w:szCs w:val="32"/>
        </w:rPr>
      </w:pPr>
      <w:bookmarkStart w:id="47" w:name="_Toc15396618"/>
    </w:p>
    <w:p w:rsidR="003E7710" w:rsidRDefault="00AB2343">
      <w:pPr>
        <w:spacing w:line="600" w:lineRule="exact"/>
        <w:jc w:val="center"/>
        <w:outlineLvl w:val="0"/>
        <w:rPr>
          <w:rStyle w:val="1Char"/>
          <w:rFonts w:ascii="黑体" w:eastAsia="黑体" w:hAnsi="黑体"/>
          <w:b w:val="0"/>
          <w:sz w:val="32"/>
          <w:szCs w:val="32"/>
        </w:rPr>
      </w:pPr>
      <w:r>
        <w:rPr>
          <w:rFonts w:ascii="黑体" w:eastAsia="黑体" w:hAnsi="黑体" w:hint="eastAsia"/>
          <w:color w:val="000000"/>
          <w:sz w:val="32"/>
          <w:szCs w:val="32"/>
        </w:rPr>
        <w:lastRenderedPageBreak/>
        <w:t>第</w:t>
      </w:r>
      <w:r>
        <w:rPr>
          <w:rStyle w:val="1Char"/>
          <w:rFonts w:ascii="黑体" w:eastAsia="黑体" w:hAnsi="黑体" w:hint="eastAsia"/>
          <w:b w:val="0"/>
          <w:sz w:val="32"/>
          <w:szCs w:val="32"/>
        </w:rPr>
        <w:t>五部分 附表</w:t>
      </w:r>
      <w:bookmarkEnd w:id="44"/>
      <w:bookmarkEnd w:id="47"/>
    </w:p>
    <w:p w:rsidR="003E7710" w:rsidRDefault="003E7710">
      <w:pPr>
        <w:spacing w:line="600" w:lineRule="exact"/>
        <w:jc w:val="center"/>
        <w:outlineLvl w:val="0"/>
        <w:rPr>
          <w:rFonts w:ascii="仿宋" w:eastAsia="仿宋" w:hAnsi="仿宋"/>
          <w:b/>
          <w:color w:val="000000"/>
          <w:sz w:val="32"/>
          <w:szCs w:val="32"/>
        </w:rPr>
      </w:pPr>
    </w:p>
    <w:p w:rsidR="003E7710" w:rsidRDefault="00AB2343">
      <w:pPr>
        <w:pStyle w:val="20"/>
        <w:rPr>
          <w:rFonts w:ascii="仿宋" w:eastAsia="仿宋" w:hAnsi="仿宋"/>
          <w:color w:val="000000"/>
        </w:rPr>
      </w:pPr>
      <w:bookmarkStart w:id="48" w:name="_Toc15396619"/>
      <w:r>
        <w:rPr>
          <w:rFonts w:ascii="仿宋" w:eastAsia="仿宋" w:hAnsi="仿宋" w:hint="eastAsia"/>
          <w:b w:val="0"/>
          <w:color w:val="000000"/>
        </w:rPr>
        <w:t>一、收</w:t>
      </w:r>
      <w:r>
        <w:rPr>
          <w:rStyle w:val="2Char"/>
          <w:rFonts w:ascii="仿宋" w:eastAsia="仿宋" w:hAnsi="仿宋" w:hint="eastAsia"/>
        </w:rPr>
        <w:t>入支出决算总表</w:t>
      </w:r>
      <w:bookmarkEnd w:id="48"/>
    </w:p>
    <w:p w:rsidR="003E7710" w:rsidRDefault="00AB2343">
      <w:pPr>
        <w:pStyle w:val="20"/>
        <w:rPr>
          <w:rFonts w:ascii="仿宋" w:eastAsia="仿宋" w:hAnsi="仿宋"/>
          <w:color w:val="000000"/>
        </w:rPr>
      </w:pPr>
      <w:bookmarkStart w:id="49" w:name="_Toc15396620"/>
      <w:r>
        <w:rPr>
          <w:rFonts w:ascii="仿宋" w:eastAsia="仿宋" w:hAnsi="仿宋" w:hint="eastAsia"/>
          <w:b w:val="0"/>
          <w:color w:val="000000"/>
        </w:rPr>
        <w:t>二、收</w:t>
      </w:r>
      <w:r>
        <w:rPr>
          <w:rStyle w:val="2Char"/>
          <w:rFonts w:ascii="仿宋" w:eastAsia="仿宋" w:hAnsi="仿宋" w:hint="eastAsia"/>
        </w:rPr>
        <w:t>入总表</w:t>
      </w:r>
      <w:bookmarkEnd w:id="49"/>
    </w:p>
    <w:p w:rsidR="003E7710" w:rsidRDefault="00AB2343">
      <w:pPr>
        <w:pStyle w:val="20"/>
        <w:rPr>
          <w:rFonts w:ascii="仿宋" w:eastAsia="仿宋" w:hAnsi="仿宋"/>
          <w:color w:val="000000"/>
        </w:rPr>
      </w:pPr>
      <w:bookmarkStart w:id="50"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50"/>
    </w:p>
    <w:p w:rsidR="003E7710" w:rsidRDefault="00AB2343">
      <w:pPr>
        <w:pStyle w:val="20"/>
        <w:rPr>
          <w:rFonts w:ascii="仿宋" w:eastAsia="仿宋" w:hAnsi="仿宋"/>
          <w:b w:val="0"/>
          <w:color w:val="000000"/>
        </w:rPr>
      </w:pPr>
      <w:bookmarkStart w:id="51"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51"/>
    </w:p>
    <w:p w:rsidR="003E7710" w:rsidRDefault="00AB2343">
      <w:pPr>
        <w:pStyle w:val="20"/>
        <w:rPr>
          <w:rFonts w:ascii="仿宋" w:eastAsia="仿宋" w:hAnsi="仿宋"/>
          <w:color w:val="000000"/>
        </w:rPr>
      </w:pPr>
      <w:bookmarkStart w:id="52"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52"/>
    </w:p>
    <w:p w:rsidR="003E7710" w:rsidRDefault="00AB2343">
      <w:pPr>
        <w:pStyle w:val="20"/>
        <w:rPr>
          <w:rFonts w:ascii="仿宋" w:eastAsia="仿宋" w:hAnsi="仿宋"/>
          <w:color w:val="000000"/>
        </w:rPr>
      </w:pPr>
      <w:bookmarkStart w:id="53"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53"/>
    </w:p>
    <w:p w:rsidR="003E7710" w:rsidRDefault="00AB2343">
      <w:pPr>
        <w:pStyle w:val="20"/>
        <w:rPr>
          <w:rFonts w:ascii="仿宋" w:eastAsia="仿宋" w:hAnsi="仿宋"/>
          <w:color w:val="000000"/>
        </w:rPr>
      </w:pPr>
      <w:bookmarkStart w:id="54"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54"/>
    </w:p>
    <w:p w:rsidR="003E7710" w:rsidRDefault="00AB2343">
      <w:pPr>
        <w:pStyle w:val="20"/>
        <w:rPr>
          <w:rFonts w:ascii="仿宋" w:eastAsia="仿宋" w:hAnsi="仿宋"/>
          <w:color w:val="000000"/>
        </w:rPr>
      </w:pPr>
      <w:bookmarkStart w:id="55"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55"/>
    </w:p>
    <w:p w:rsidR="003E7710" w:rsidRDefault="00AB2343">
      <w:pPr>
        <w:pStyle w:val="20"/>
        <w:rPr>
          <w:rFonts w:ascii="仿宋" w:eastAsia="仿宋" w:hAnsi="仿宋"/>
          <w:color w:val="000000"/>
        </w:rPr>
      </w:pPr>
      <w:bookmarkStart w:id="56"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56"/>
    </w:p>
    <w:p w:rsidR="003E7710" w:rsidRDefault="00AB2343">
      <w:pPr>
        <w:pStyle w:val="20"/>
        <w:rPr>
          <w:rFonts w:ascii="仿宋" w:eastAsia="仿宋" w:hAnsi="仿宋"/>
          <w:color w:val="000000"/>
        </w:rPr>
      </w:pPr>
      <w:bookmarkStart w:id="57"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57"/>
    </w:p>
    <w:p w:rsidR="003E7710" w:rsidRDefault="00AB2343">
      <w:pPr>
        <w:pStyle w:val="20"/>
        <w:rPr>
          <w:rFonts w:ascii="仿宋" w:eastAsia="仿宋" w:hAnsi="仿宋"/>
          <w:color w:val="000000"/>
        </w:rPr>
      </w:pPr>
      <w:bookmarkStart w:id="58"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58"/>
    </w:p>
    <w:p w:rsidR="003E7710" w:rsidRDefault="00AB2343">
      <w:pPr>
        <w:pStyle w:val="20"/>
        <w:rPr>
          <w:rFonts w:ascii="仿宋" w:eastAsia="仿宋" w:hAnsi="仿宋"/>
          <w:color w:val="000000"/>
        </w:rPr>
      </w:pPr>
      <w:bookmarkStart w:id="59"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59"/>
    </w:p>
    <w:p w:rsidR="003E7710" w:rsidRDefault="00AB2343">
      <w:pPr>
        <w:pStyle w:val="20"/>
        <w:rPr>
          <w:rFonts w:ascii="仿宋" w:eastAsia="仿宋" w:hAnsi="仿宋"/>
          <w:color w:val="000000" w:themeColor="text1"/>
        </w:rPr>
      </w:pPr>
      <w:bookmarkStart w:id="60"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0"/>
    </w:p>
    <w:sectPr w:rsidR="003E7710">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40A" w:rsidRDefault="00D1740A">
      <w:r>
        <w:separator/>
      </w:r>
    </w:p>
  </w:endnote>
  <w:endnote w:type="continuationSeparator" w:id="0">
    <w:p w:rsidR="00D1740A" w:rsidRDefault="00D17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0" w:rsidRDefault="00AB2343">
    <w:pPr>
      <w:framePr w:wrap="around" w:vAnchor="text" w:hAnchor="margin" w:xAlign="outside" w:y="1"/>
    </w:pPr>
    <w:r>
      <w:fldChar w:fldCharType="begin"/>
    </w:r>
    <w:r>
      <w:instrText xml:space="preserve">PAGE  </w:instrText>
    </w:r>
    <w:r>
      <w:fldChar w:fldCharType="separate"/>
    </w:r>
    <w:r>
      <w:t>- 15 -</w:t>
    </w:r>
    <w:r>
      <w:fldChar w:fldCharType="end"/>
    </w:r>
  </w:p>
  <w:p w:rsidR="003E7710" w:rsidRDefault="003E7710">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0" w:rsidRDefault="00AB2343">
    <w:pPr>
      <w:pStyle w:val="a6"/>
      <w:framePr w:wrap="around" w:vAnchor="text" w:hAnchor="margin" w:xAlign="outside" w:y="1"/>
      <w:rPr>
        <w:rStyle w:val="aa"/>
        <w:sz w:val="24"/>
        <w:szCs w:val="24"/>
      </w:rPr>
    </w:pPr>
    <w:r>
      <w:rPr>
        <w:rStyle w:val="aa"/>
        <w:rFonts w:hint="eastAsia"/>
        <w:sz w:val="24"/>
        <w:szCs w:val="24"/>
      </w:rPr>
      <w:t>—</w:t>
    </w:r>
    <w:r>
      <w:rPr>
        <w:rStyle w:val="aa"/>
        <w:rFonts w:hint="eastAsia"/>
        <w:sz w:val="24"/>
        <w:szCs w:val="24"/>
      </w:rPr>
      <w:t xml:space="preserve"> </w:t>
    </w:r>
    <w:r>
      <w:rPr>
        <w:sz w:val="24"/>
        <w:szCs w:val="24"/>
      </w:rPr>
      <w:fldChar w:fldCharType="begin"/>
    </w:r>
    <w:r>
      <w:rPr>
        <w:rStyle w:val="aa"/>
        <w:sz w:val="24"/>
        <w:szCs w:val="24"/>
      </w:rPr>
      <w:instrText xml:space="preserve">PAGE  </w:instrText>
    </w:r>
    <w:r>
      <w:rPr>
        <w:sz w:val="24"/>
        <w:szCs w:val="24"/>
      </w:rPr>
      <w:fldChar w:fldCharType="separate"/>
    </w:r>
    <w:r w:rsidR="00C216A2">
      <w:rPr>
        <w:rStyle w:val="aa"/>
        <w:noProof/>
        <w:sz w:val="24"/>
        <w:szCs w:val="24"/>
      </w:rPr>
      <w:t>1</w:t>
    </w:r>
    <w:r>
      <w:rPr>
        <w:sz w:val="24"/>
        <w:szCs w:val="24"/>
      </w:rPr>
      <w:fldChar w:fldCharType="end"/>
    </w:r>
    <w:r>
      <w:rPr>
        <w:rStyle w:val="aa"/>
        <w:rFonts w:hint="eastAsia"/>
        <w:sz w:val="24"/>
        <w:szCs w:val="24"/>
      </w:rPr>
      <w:t xml:space="preserve"> </w:t>
    </w:r>
    <w:r>
      <w:rPr>
        <w:rStyle w:val="aa"/>
        <w:rFonts w:hint="eastAsia"/>
        <w:sz w:val="24"/>
        <w:szCs w:val="24"/>
      </w:rPr>
      <w:t>—</w:t>
    </w:r>
  </w:p>
  <w:p w:rsidR="003E7710" w:rsidRDefault="003E7710">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sdtPr>
    <w:sdtEndPr/>
    <w:sdtContent>
      <w:p w:rsidR="003E7710" w:rsidRDefault="00AB2343">
        <w:pPr>
          <w:pStyle w:val="a6"/>
          <w:jc w:val="center"/>
        </w:pPr>
        <w:r>
          <w:fldChar w:fldCharType="begin"/>
        </w:r>
        <w:r>
          <w:instrText>PAGE   \* MERGEFORMAT</w:instrText>
        </w:r>
        <w:r>
          <w:fldChar w:fldCharType="separate"/>
        </w:r>
        <w:r w:rsidR="00C216A2" w:rsidRPr="00C216A2">
          <w:rPr>
            <w:noProof/>
            <w:lang w:val="zh-CN"/>
          </w:rPr>
          <w:t>5</w:t>
        </w:r>
        <w:r>
          <w:rPr>
            <w:lang w:val="zh-CN"/>
          </w:rPr>
          <w:fldChar w:fldCharType="end"/>
        </w:r>
      </w:p>
    </w:sdtContent>
  </w:sdt>
  <w:p w:rsidR="003E7710" w:rsidRDefault="003E771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40A" w:rsidRDefault="00D1740A">
      <w:r>
        <w:separator/>
      </w:r>
    </w:p>
  </w:footnote>
  <w:footnote w:type="continuationSeparator" w:id="0">
    <w:p w:rsidR="00D1740A" w:rsidRDefault="00D174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710" w:rsidRDefault="003E7710">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B7A1171"/>
    <w:multiLevelType w:val="singleLevel"/>
    <w:tmpl w:val="9B7A1171"/>
    <w:lvl w:ilvl="0">
      <w:start w:val="2"/>
      <w:numFmt w:val="chineseCounting"/>
      <w:suff w:val="space"/>
      <w:lvlText w:val="第%1部分"/>
      <w:lvlJc w:val="left"/>
      <w:rPr>
        <w:rFonts w:hint="eastAsia"/>
      </w:rPr>
    </w:lvl>
  </w:abstractNum>
  <w:abstractNum w:abstractNumId="1">
    <w:nsid w:val="CF652CEC"/>
    <w:multiLevelType w:val="singleLevel"/>
    <w:tmpl w:val="CF652CEC"/>
    <w:lvl w:ilvl="0">
      <w:start w:val="9"/>
      <w:numFmt w:val="chineseCounting"/>
      <w:suff w:val="nothing"/>
      <w:lvlText w:val="%1、"/>
      <w:lvlJc w:val="left"/>
      <w:rPr>
        <w:rFonts w:hint="eastAsia"/>
        <w:lang w:val="en-US"/>
      </w:rPr>
    </w:lvl>
  </w:abstractNum>
  <w:abstractNum w:abstractNumId="2">
    <w:nsid w:val="E2FA047D"/>
    <w:multiLevelType w:val="singleLevel"/>
    <w:tmpl w:val="E2FA047D"/>
    <w:lvl w:ilvl="0">
      <w:start w:val="3"/>
      <w:numFmt w:val="chineseCounting"/>
      <w:suff w:val="space"/>
      <w:lvlText w:val="第%1部分"/>
      <w:lvlJc w:val="left"/>
      <w:rPr>
        <w:rFonts w:hint="eastAsia"/>
      </w:rPr>
    </w:lvl>
  </w:abstractNum>
  <w:abstractNum w:abstractNumId="3">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4">
    <w:nsid w:val="1272550B"/>
    <w:multiLevelType w:val="multilevel"/>
    <w:tmpl w:val="1272550B"/>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5">
    <w:nsid w:val="17F426B7"/>
    <w:multiLevelType w:val="multilevel"/>
    <w:tmpl w:val="17F426B7"/>
    <w:lvl w:ilvl="0">
      <w:start w:val="10"/>
      <w:numFmt w:val="japaneseCounting"/>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6">
    <w:nsid w:val="44C73B35"/>
    <w:multiLevelType w:val="hybridMultilevel"/>
    <w:tmpl w:val="7D1046EC"/>
    <w:lvl w:ilvl="0" w:tplc="2A987672">
      <w:start w:val="1"/>
      <w:numFmt w:val="japaneseCounting"/>
      <w:lvlText w:val="（%1）"/>
      <w:lvlJc w:val="left"/>
      <w:pPr>
        <w:ind w:left="1625" w:hanging="990"/>
      </w:pPr>
      <w:rPr>
        <w:rFonts w:hint="default"/>
      </w:rPr>
    </w:lvl>
    <w:lvl w:ilvl="1" w:tplc="04090019" w:tentative="1">
      <w:start w:val="1"/>
      <w:numFmt w:val="lowerLetter"/>
      <w:lvlText w:val="%2)"/>
      <w:lvlJc w:val="left"/>
      <w:pPr>
        <w:ind w:left="1475" w:hanging="420"/>
      </w:pPr>
    </w:lvl>
    <w:lvl w:ilvl="2" w:tplc="0409001B" w:tentative="1">
      <w:start w:val="1"/>
      <w:numFmt w:val="lowerRoman"/>
      <w:lvlText w:val="%3."/>
      <w:lvlJc w:val="right"/>
      <w:pPr>
        <w:ind w:left="1895" w:hanging="420"/>
      </w:pPr>
    </w:lvl>
    <w:lvl w:ilvl="3" w:tplc="0409000F" w:tentative="1">
      <w:start w:val="1"/>
      <w:numFmt w:val="decimal"/>
      <w:lvlText w:val="%4."/>
      <w:lvlJc w:val="left"/>
      <w:pPr>
        <w:ind w:left="2315" w:hanging="420"/>
      </w:pPr>
    </w:lvl>
    <w:lvl w:ilvl="4" w:tplc="04090019" w:tentative="1">
      <w:start w:val="1"/>
      <w:numFmt w:val="lowerLetter"/>
      <w:lvlText w:val="%5)"/>
      <w:lvlJc w:val="left"/>
      <w:pPr>
        <w:ind w:left="2735" w:hanging="420"/>
      </w:pPr>
    </w:lvl>
    <w:lvl w:ilvl="5" w:tplc="0409001B" w:tentative="1">
      <w:start w:val="1"/>
      <w:numFmt w:val="lowerRoman"/>
      <w:lvlText w:val="%6."/>
      <w:lvlJc w:val="right"/>
      <w:pPr>
        <w:ind w:left="3155" w:hanging="420"/>
      </w:pPr>
    </w:lvl>
    <w:lvl w:ilvl="6" w:tplc="0409000F" w:tentative="1">
      <w:start w:val="1"/>
      <w:numFmt w:val="decimal"/>
      <w:lvlText w:val="%7."/>
      <w:lvlJc w:val="left"/>
      <w:pPr>
        <w:ind w:left="3575" w:hanging="420"/>
      </w:pPr>
    </w:lvl>
    <w:lvl w:ilvl="7" w:tplc="04090019" w:tentative="1">
      <w:start w:val="1"/>
      <w:numFmt w:val="lowerLetter"/>
      <w:lvlText w:val="%8)"/>
      <w:lvlJc w:val="left"/>
      <w:pPr>
        <w:ind w:left="3995" w:hanging="420"/>
      </w:pPr>
    </w:lvl>
    <w:lvl w:ilvl="8" w:tplc="0409001B" w:tentative="1">
      <w:start w:val="1"/>
      <w:numFmt w:val="lowerRoman"/>
      <w:lvlText w:val="%9."/>
      <w:lvlJc w:val="right"/>
      <w:pPr>
        <w:ind w:left="4415" w:hanging="420"/>
      </w:pPr>
    </w:lvl>
  </w:abstractNum>
  <w:num w:numId="1">
    <w:abstractNumId w:val="0"/>
  </w:num>
  <w:num w:numId="2">
    <w:abstractNumId w:val="4"/>
  </w:num>
  <w:num w:numId="3">
    <w:abstractNumId w:val="1"/>
  </w:num>
  <w:num w:numId="4">
    <w:abstractNumId w:val="5"/>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0541F"/>
    <w:rsid w:val="000102F8"/>
    <w:rsid w:val="000222C6"/>
    <w:rsid w:val="0002549F"/>
    <w:rsid w:val="00027D55"/>
    <w:rsid w:val="000419F8"/>
    <w:rsid w:val="0006487A"/>
    <w:rsid w:val="00065F8F"/>
    <w:rsid w:val="00075FEE"/>
    <w:rsid w:val="000768F2"/>
    <w:rsid w:val="0009184B"/>
    <w:rsid w:val="0009593C"/>
    <w:rsid w:val="000B047F"/>
    <w:rsid w:val="000B5923"/>
    <w:rsid w:val="000B5A48"/>
    <w:rsid w:val="000B6FF3"/>
    <w:rsid w:val="000C3467"/>
    <w:rsid w:val="000C3CA6"/>
    <w:rsid w:val="000D1267"/>
    <w:rsid w:val="000D1D50"/>
    <w:rsid w:val="000D5782"/>
    <w:rsid w:val="000E285E"/>
    <w:rsid w:val="000E5E61"/>
    <w:rsid w:val="000E6613"/>
    <w:rsid w:val="000E7119"/>
    <w:rsid w:val="00114E9B"/>
    <w:rsid w:val="0014729F"/>
    <w:rsid w:val="00157BAB"/>
    <w:rsid w:val="001654D1"/>
    <w:rsid w:val="0018106D"/>
    <w:rsid w:val="001877A7"/>
    <w:rsid w:val="00191536"/>
    <w:rsid w:val="00196687"/>
    <w:rsid w:val="001A05D3"/>
    <w:rsid w:val="001B09ED"/>
    <w:rsid w:val="001C0962"/>
    <w:rsid w:val="001D7531"/>
    <w:rsid w:val="001E46B3"/>
    <w:rsid w:val="001E737D"/>
    <w:rsid w:val="001F0592"/>
    <w:rsid w:val="001F2E8C"/>
    <w:rsid w:val="001F7506"/>
    <w:rsid w:val="002006CD"/>
    <w:rsid w:val="00202B36"/>
    <w:rsid w:val="00204B7A"/>
    <w:rsid w:val="00210F21"/>
    <w:rsid w:val="0021101A"/>
    <w:rsid w:val="00220536"/>
    <w:rsid w:val="00235629"/>
    <w:rsid w:val="00260C38"/>
    <w:rsid w:val="002616C0"/>
    <w:rsid w:val="002662AA"/>
    <w:rsid w:val="00280496"/>
    <w:rsid w:val="002938AD"/>
    <w:rsid w:val="00295495"/>
    <w:rsid w:val="002B022B"/>
    <w:rsid w:val="002B2613"/>
    <w:rsid w:val="002C2FE8"/>
    <w:rsid w:val="002C334D"/>
    <w:rsid w:val="002F1818"/>
    <w:rsid w:val="002F567B"/>
    <w:rsid w:val="00311206"/>
    <w:rsid w:val="003216A9"/>
    <w:rsid w:val="0032661B"/>
    <w:rsid w:val="0032711E"/>
    <w:rsid w:val="00333DDC"/>
    <w:rsid w:val="003463C9"/>
    <w:rsid w:val="003646C8"/>
    <w:rsid w:val="0037013F"/>
    <w:rsid w:val="00380C92"/>
    <w:rsid w:val="003A484F"/>
    <w:rsid w:val="003B0BE0"/>
    <w:rsid w:val="003B0C1B"/>
    <w:rsid w:val="003B688C"/>
    <w:rsid w:val="003C0291"/>
    <w:rsid w:val="003C04C6"/>
    <w:rsid w:val="003C39AE"/>
    <w:rsid w:val="003C7B60"/>
    <w:rsid w:val="003D1FB2"/>
    <w:rsid w:val="003D66DA"/>
    <w:rsid w:val="003E1310"/>
    <w:rsid w:val="003E6F55"/>
    <w:rsid w:val="003E7710"/>
    <w:rsid w:val="00406254"/>
    <w:rsid w:val="004223DE"/>
    <w:rsid w:val="00422C51"/>
    <w:rsid w:val="00434489"/>
    <w:rsid w:val="00437085"/>
    <w:rsid w:val="00442B40"/>
    <w:rsid w:val="00443880"/>
    <w:rsid w:val="004464F4"/>
    <w:rsid w:val="004568F9"/>
    <w:rsid w:val="00457EA7"/>
    <w:rsid w:val="00471401"/>
    <w:rsid w:val="00473F31"/>
    <w:rsid w:val="0048263A"/>
    <w:rsid w:val="00482E8B"/>
    <w:rsid w:val="00487E5D"/>
    <w:rsid w:val="004A2E1C"/>
    <w:rsid w:val="004A711F"/>
    <w:rsid w:val="004B199D"/>
    <w:rsid w:val="004B4690"/>
    <w:rsid w:val="004D26A6"/>
    <w:rsid w:val="004E0A2D"/>
    <w:rsid w:val="004E206B"/>
    <w:rsid w:val="004E5D7A"/>
    <w:rsid w:val="004E6DF7"/>
    <w:rsid w:val="004F0FBD"/>
    <w:rsid w:val="00505A47"/>
    <w:rsid w:val="00512FDA"/>
    <w:rsid w:val="00520DA0"/>
    <w:rsid w:val="00541027"/>
    <w:rsid w:val="00542954"/>
    <w:rsid w:val="005664BB"/>
    <w:rsid w:val="0057481D"/>
    <w:rsid w:val="0058486E"/>
    <w:rsid w:val="005922F9"/>
    <w:rsid w:val="005D1C8B"/>
    <w:rsid w:val="005D32E5"/>
    <w:rsid w:val="005D5CED"/>
    <w:rsid w:val="005F1A4C"/>
    <w:rsid w:val="005F72F1"/>
    <w:rsid w:val="00605688"/>
    <w:rsid w:val="006070AF"/>
    <w:rsid w:val="00607E6C"/>
    <w:rsid w:val="006101B1"/>
    <w:rsid w:val="00610B65"/>
    <w:rsid w:val="00614E44"/>
    <w:rsid w:val="00622830"/>
    <w:rsid w:val="00630135"/>
    <w:rsid w:val="00630AEF"/>
    <w:rsid w:val="006325F8"/>
    <w:rsid w:val="00634C9A"/>
    <w:rsid w:val="006440E4"/>
    <w:rsid w:val="0066343B"/>
    <w:rsid w:val="00664777"/>
    <w:rsid w:val="006748A4"/>
    <w:rsid w:val="00683E73"/>
    <w:rsid w:val="006A3141"/>
    <w:rsid w:val="006A5E34"/>
    <w:rsid w:val="006B2422"/>
    <w:rsid w:val="006B2B9A"/>
    <w:rsid w:val="006C1937"/>
    <w:rsid w:val="006C6687"/>
    <w:rsid w:val="006F020C"/>
    <w:rsid w:val="007127B7"/>
    <w:rsid w:val="007416B6"/>
    <w:rsid w:val="00746F48"/>
    <w:rsid w:val="0075404D"/>
    <w:rsid w:val="0075657B"/>
    <w:rsid w:val="0076182A"/>
    <w:rsid w:val="00767B7E"/>
    <w:rsid w:val="0077391C"/>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77736"/>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25074"/>
    <w:rsid w:val="009315F9"/>
    <w:rsid w:val="009328AE"/>
    <w:rsid w:val="00941B8D"/>
    <w:rsid w:val="00943F32"/>
    <w:rsid w:val="00946945"/>
    <w:rsid w:val="00951248"/>
    <w:rsid w:val="0095152F"/>
    <w:rsid w:val="00954C49"/>
    <w:rsid w:val="0097099F"/>
    <w:rsid w:val="00971997"/>
    <w:rsid w:val="00971FFC"/>
    <w:rsid w:val="009855B1"/>
    <w:rsid w:val="0098660A"/>
    <w:rsid w:val="009931C3"/>
    <w:rsid w:val="009B239D"/>
    <w:rsid w:val="009B2C43"/>
    <w:rsid w:val="009B4EAE"/>
    <w:rsid w:val="009B7573"/>
    <w:rsid w:val="009C22F4"/>
    <w:rsid w:val="009C2E98"/>
    <w:rsid w:val="009D3447"/>
    <w:rsid w:val="009D4711"/>
    <w:rsid w:val="009E151B"/>
    <w:rsid w:val="009F1185"/>
    <w:rsid w:val="009F18CD"/>
    <w:rsid w:val="009F2A13"/>
    <w:rsid w:val="009F44F1"/>
    <w:rsid w:val="00A04EB0"/>
    <w:rsid w:val="00A13CC1"/>
    <w:rsid w:val="00A16847"/>
    <w:rsid w:val="00A237D8"/>
    <w:rsid w:val="00A268C4"/>
    <w:rsid w:val="00A307CD"/>
    <w:rsid w:val="00A40A00"/>
    <w:rsid w:val="00A4142F"/>
    <w:rsid w:val="00A51B19"/>
    <w:rsid w:val="00A56DF2"/>
    <w:rsid w:val="00A67AB5"/>
    <w:rsid w:val="00A81151"/>
    <w:rsid w:val="00A91760"/>
    <w:rsid w:val="00A93B00"/>
    <w:rsid w:val="00A93C21"/>
    <w:rsid w:val="00A95084"/>
    <w:rsid w:val="00A97412"/>
    <w:rsid w:val="00AB2343"/>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75B55"/>
    <w:rsid w:val="00B77EA6"/>
    <w:rsid w:val="00B81598"/>
    <w:rsid w:val="00B841F1"/>
    <w:rsid w:val="00B86849"/>
    <w:rsid w:val="00B944D6"/>
    <w:rsid w:val="00B97B02"/>
    <w:rsid w:val="00BB4DF0"/>
    <w:rsid w:val="00BC289F"/>
    <w:rsid w:val="00BC5361"/>
    <w:rsid w:val="00BC5460"/>
    <w:rsid w:val="00BC6B50"/>
    <w:rsid w:val="00BD0E25"/>
    <w:rsid w:val="00BD2ED6"/>
    <w:rsid w:val="00BF5BD6"/>
    <w:rsid w:val="00C03E31"/>
    <w:rsid w:val="00C216A2"/>
    <w:rsid w:val="00C33E72"/>
    <w:rsid w:val="00C354B2"/>
    <w:rsid w:val="00C35554"/>
    <w:rsid w:val="00C42709"/>
    <w:rsid w:val="00C533CC"/>
    <w:rsid w:val="00C5751C"/>
    <w:rsid w:val="00C61BFC"/>
    <w:rsid w:val="00C62B85"/>
    <w:rsid w:val="00C65438"/>
    <w:rsid w:val="00C70456"/>
    <w:rsid w:val="00C74AD1"/>
    <w:rsid w:val="00C91CBB"/>
    <w:rsid w:val="00CC09B6"/>
    <w:rsid w:val="00CC666F"/>
    <w:rsid w:val="00CD1E3F"/>
    <w:rsid w:val="00CE44F6"/>
    <w:rsid w:val="00CE49DA"/>
    <w:rsid w:val="00CE7B61"/>
    <w:rsid w:val="00D00095"/>
    <w:rsid w:val="00D01E73"/>
    <w:rsid w:val="00D05AE6"/>
    <w:rsid w:val="00D1740A"/>
    <w:rsid w:val="00D20620"/>
    <w:rsid w:val="00D24AA8"/>
    <w:rsid w:val="00D26091"/>
    <w:rsid w:val="00D33E2E"/>
    <w:rsid w:val="00D34E7C"/>
    <w:rsid w:val="00D35489"/>
    <w:rsid w:val="00D51276"/>
    <w:rsid w:val="00D7035F"/>
    <w:rsid w:val="00D92D2D"/>
    <w:rsid w:val="00DA5172"/>
    <w:rsid w:val="00DA65AC"/>
    <w:rsid w:val="00DB1913"/>
    <w:rsid w:val="00DC410D"/>
    <w:rsid w:val="00DC68CA"/>
    <w:rsid w:val="00DC7CBA"/>
    <w:rsid w:val="00DD73B7"/>
    <w:rsid w:val="00DE5AB7"/>
    <w:rsid w:val="00DF28BC"/>
    <w:rsid w:val="00DF34B9"/>
    <w:rsid w:val="00DF61B5"/>
    <w:rsid w:val="00E01053"/>
    <w:rsid w:val="00E07ACF"/>
    <w:rsid w:val="00E16691"/>
    <w:rsid w:val="00E331A1"/>
    <w:rsid w:val="00E33202"/>
    <w:rsid w:val="00E336A9"/>
    <w:rsid w:val="00E4106E"/>
    <w:rsid w:val="00E50624"/>
    <w:rsid w:val="00E568DF"/>
    <w:rsid w:val="00E64269"/>
    <w:rsid w:val="00E82267"/>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36D8F"/>
    <w:rsid w:val="00F417B1"/>
    <w:rsid w:val="00F602DF"/>
    <w:rsid w:val="00F62F6C"/>
    <w:rsid w:val="00F81FD9"/>
    <w:rsid w:val="00F841AA"/>
    <w:rsid w:val="00F9343B"/>
    <w:rsid w:val="00F953C9"/>
    <w:rsid w:val="00F97B85"/>
    <w:rsid w:val="00FA23E8"/>
    <w:rsid w:val="00FD3CC1"/>
    <w:rsid w:val="00FF1E02"/>
    <w:rsid w:val="00FF30B4"/>
    <w:rsid w:val="00FF3B52"/>
    <w:rsid w:val="0B070D77"/>
    <w:rsid w:val="0BAD17B5"/>
    <w:rsid w:val="0D9C49C3"/>
    <w:rsid w:val="0FBE4122"/>
    <w:rsid w:val="10C055FF"/>
    <w:rsid w:val="13EC025E"/>
    <w:rsid w:val="14506C59"/>
    <w:rsid w:val="16BB723D"/>
    <w:rsid w:val="174218E5"/>
    <w:rsid w:val="19752CBE"/>
    <w:rsid w:val="1A6B21D5"/>
    <w:rsid w:val="1B8D4C33"/>
    <w:rsid w:val="1C534AFA"/>
    <w:rsid w:val="1F0D49A4"/>
    <w:rsid w:val="1F184189"/>
    <w:rsid w:val="20DC1C57"/>
    <w:rsid w:val="240371BF"/>
    <w:rsid w:val="265D163C"/>
    <w:rsid w:val="28BC2F1B"/>
    <w:rsid w:val="29FD04D3"/>
    <w:rsid w:val="2B4B26CC"/>
    <w:rsid w:val="319F7F4E"/>
    <w:rsid w:val="38272E25"/>
    <w:rsid w:val="38C555A2"/>
    <w:rsid w:val="41CD4B18"/>
    <w:rsid w:val="424F4FC4"/>
    <w:rsid w:val="44AC756B"/>
    <w:rsid w:val="47030B75"/>
    <w:rsid w:val="48894514"/>
    <w:rsid w:val="4A642D28"/>
    <w:rsid w:val="507C305D"/>
    <w:rsid w:val="53870670"/>
    <w:rsid w:val="54ED498A"/>
    <w:rsid w:val="56357709"/>
    <w:rsid w:val="57DF5F01"/>
    <w:rsid w:val="58085904"/>
    <w:rsid w:val="5ABD0FF0"/>
    <w:rsid w:val="5E40325A"/>
    <w:rsid w:val="600C492A"/>
    <w:rsid w:val="602B58A4"/>
    <w:rsid w:val="6695638B"/>
    <w:rsid w:val="67845448"/>
    <w:rsid w:val="6B666291"/>
    <w:rsid w:val="6BBC280C"/>
    <w:rsid w:val="6C9C7398"/>
    <w:rsid w:val="6D5155B4"/>
    <w:rsid w:val="708D0F59"/>
    <w:rsid w:val="715239E5"/>
    <w:rsid w:val="77AF1854"/>
    <w:rsid w:val="785B33CD"/>
    <w:rsid w:val="7E903568"/>
    <w:rsid w:val="7EE919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B2705532-9EF0-4A3A-ABB2-B562A2D78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link w:val="Char"/>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semiHidden/>
    <w:unhideWhenUsed/>
    <w:qFormat/>
    <w:rPr>
      <w:sz w:val="18"/>
      <w:szCs w:val="18"/>
    </w:rPr>
  </w:style>
  <w:style w:type="paragraph" w:styleId="a6">
    <w:name w:val="footer"/>
    <w:basedOn w:val="a"/>
    <w:link w:val="Char1"/>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8">
    <w:name w:val="Normal (Web)"/>
    <w:basedOn w:val="a"/>
    <w:qFormat/>
    <w:pPr>
      <w:spacing w:before="100" w:beforeAutospacing="1" w:after="100" w:afterAutospacing="1"/>
      <w:jc w:val="left"/>
    </w:pPr>
    <w:rPr>
      <w:rFonts w:ascii="Calibri" w:hAnsi="Calibri"/>
      <w:kern w:val="0"/>
      <w:sz w:val="24"/>
    </w:rPr>
  </w:style>
  <w:style w:type="character" w:styleId="a9">
    <w:name w:val="Strong"/>
    <w:basedOn w:val="a0"/>
    <w:uiPriority w:val="99"/>
    <w:qFormat/>
    <w:rPr>
      <w:b/>
    </w:rPr>
  </w:style>
  <w:style w:type="character" w:styleId="aa">
    <w:name w:val="page number"/>
    <w:qFormat/>
  </w:style>
  <w:style w:type="character" w:styleId="ab">
    <w:name w:val="Hyperlink"/>
    <w:basedOn w:val="a0"/>
    <w:uiPriority w:val="99"/>
    <w:unhideWhenUsed/>
    <w:qFormat/>
    <w:rPr>
      <w:color w:val="0000FF" w:themeColor="hyperlink"/>
      <w:u w:val="single"/>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styleId="ac">
    <w:name w:val="List Paragraph"/>
    <w:basedOn w:val="a"/>
    <w:uiPriority w:val="34"/>
    <w:qFormat/>
    <w:pPr>
      <w:ind w:firstLineChars="200" w:firstLine="420"/>
    </w:p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 w:type="character" w:customStyle="1" w:styleId="Char10">
    <w:name w:val="正文文本 Char1"/>
    <w:basedOn w:val="a0"/>
    <w:qFormat/>
    <w:rPr>
      <w:rFonts w:ascii="仿宋_GB2312" w:eastAsia="仿宋_GB2312"/>
      <w:sz w:val="3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C46B917-F0AD-4B49-92D2-940CE4BFE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1993</Words>
  <Characters>11363</Characters>
  <Application>Microsoft Office Word</Application>
  <DocSecurity>0</DocSecurity>
  <Lines>94</Lines>
  <Paragraphs>26</Paragraphs>
  <ScaleCrop>false</ScaleCrop>
  <Company>四川省财政厅</Company>
  <LinksUpToDate>false</LinksUpToDate>
  <CharactersWithSpaces>13330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95</cp:revision>
  <cp:lastPrinted>2019-08-01T00:48:00Z</cp:lastPrinted>
  <dcterms:created xsi:type="dcterms:W3CDTF">2019-09-24T01:24:00Z</dcterms:created>
  <dcterms:modified xsi:type="dcterms:W3CDTF">2019-09-29T01:37:00Z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