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96475"/>
      <w:bookmarkStart w:id="3" w:name="_Toc15377425"/>
      <w:bookmarkStart w:id="4" w:name="_Toc15396597"/>
      <w:bookmarkStart w:id="5" w:name="_Toc15378441"/>
      <w:r>
        <w:rPr>
          <w:rFonts w:ascii="黑体" w:eastAsia="黑体"/>
          <w:color w:val="000000"/>
          <w:sz w:val="72"/>
          <w:szCs w:val="72"/>
        </w:rPr>
        <w:t>201</w:t>
      </w:r>
      <w:r>
        <w:rPr>
          <w:rFonts w:hint="eastAsia" w:ascii="黑体" w:eastAsia="黑体"/>
          <w:color w:val="000000"/>
          <w:sz w:val="72"/>
          <w:szCs w:val="72"/>
        </w:rPr>
        <w:t>9</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eastAsia="方正小标宋简体"/>
          <w:color w:val="000000"/>
          <w:sz w:val="72"/>
          <w:szCs w:val="72"/>
        </w:rPr>
      </w:pPr>
      <w:bookmarkStart w:id="6" w:name="_Toc15378442"/>
      <w:bookmarkStart w:id="7" w:name="_Toc15377194"/>
      <w:bookmarkStart w:id="8" w:name="_Toc15396476"/>
      <w:bookmarkStart w:id="9" w:name="_Toc15396598"/>
      <w:bookmarkStart w:id="10" w:name="_Toc15377426"/>
      <w:r>
        <w:rPr>
          <w:rFonts w:hint="eastAsia" w:ascii="方正小标宋简体" w:eastAsia="方正小标宋简体"/>
          <w:color w:val="000000"/>
          <w:sz w:val="72"/>
          <w:szCs w:val="72"/>
        </w:rPr>
        <w:t>四川省阿坝州</w:t>
      </w:r>
      <w:bookmarkEnd w:id="0"/>
      <w:bookmarkStart w:id="11" w:name="_Toc15306268"/>
      <w:r>
        <w:rPr>
          <w:rFonts w:hint="eastAsia" w:ascii="方正小标宋简体" w:eastAsia="方正小标宋简体"/>
          <w:color w:val="000000"/>
          <w:sz w:val="72"/>
          <w:szCs w:val="72"/>
        </w:rPr>
        <w:t>九寨沟县矛盾纠纷多元化解协调中心</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部门决算</w:t>
      </w:r>
      <w:bookmarkEnd w:id="6"/>
      <w:bookmarkEnd w:id="7"/>
      <w:bookmarkEnd w:id="8"/>
      <w:bookmarkEnd w:id="9"/>
      <w:bookmarkEnd w:id="10"/>
      <w:bookmarkEnd w:id="11"/>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保密审查情况：已审查，内容审定</w:t>
      </w:r>
    </w:p>
    <w:p>
      <w:pPr>
        <w:autoSpaceDE w:val="0"/>
        <w:autoSpaceDN w:val="0"/>
        <w:adjustRightInd w:val="0"/>
        <w:ind w:firstLine="1276"/>
        <w:jc w:val="left"/>
        <w:rPr>
          <w:rFonts w:ascii="方正小标宋简体" w:eastAsia="方正小标宋简体"/>
          <w:sz w:val="36"/>
          <w:szCs w:val="36"/>
        </w:rPr>
      </w:pPr>
      <w:r>
        <w:rPr>
          <w:rFonts w:hint="eastAsia" w:ascii="仿宋_GB2312" w:eastAsia="仿宋_GB2312" w:cs="仿宋_GB2312"/>
          <w:sz w:val="32"/>
          <w:szCs w:val="32"/>
        </w:rPr>
        <w:t>部门主要负责人审签情况：已审签，同意对外公开</w:t>
      </w:r>
    </w:p>
    <w:p>
      <w:pPr>
        <w:widowControl/>
        <w:jc w:val="center"/>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p>
    <w:p>
      <w:pPr>
        <w:pStyle w:val="12"/>
      </w:pPr>
      <w:r>
        <w:rPr>
          <w:rFonts w:hint="eastAsia"/>
        </w:rPr>
        <w:t>公开时间：2020年</w:t>
      </w:r>
      <w:r>
        <w:t>8</w:t>
      </w:r>
      <w:r>
        <w:rPr>
          <w:rFonts w:hint="eastAsia"/>
        </w:rPr>
        <w:t>月</w:t>
      </w:r>
      <w:r>
        <w:t>25</w:t>
      </w:r>
      <w:r>
        <w:rPr>
          <w:rFonts w:hint="eastAsia"/>
        </w:rPr>
        <w:t>日</w:t>
      </w:r>
    </w:p>
    <w:p/>
    <w:p>
      <w:pPr>
        <w:pStyle w:val="12"/>
        <w:adjustRightInd w:val="0"/>
        <w:snapToGrid w:val="0"/>
        <w:spacing w:before="0" w:line="440" w:lineRule="exact"/>
        <w:jc w:val="left"/>
        <w:rPr>
          <w:rFonts w:cs="Arial"/>
          <w:sz w:val="24"/>
          <w:szCs w:val="24"/>
        </w:rPr>
      </w:pPr>
      <w:r>
        <w:rPr>
          <w:rFonts w:hint="eastAsia"/>
          <w:sz w:val="24"/>
        </w:rPr>
        <w:t>第一部分</w:t>
      </w:r>
      <w:r>
        <w:rPr>
          <w:sz w:val="24"/>
        </w:rPr>
        <w:t xml:space="preserve"> </w:t>
      </w:r>
      <w:r>
        <w:rPr>
          <w:rFonts w:hint="eastAsia"/>
          <w:sz w:val="24"/>
        </w:rPr>
        <w:t>部门概况</w:t>
      </w:r>
      <w:r>
        <w:rPr>
          <w:sz w:val="24"/>
        </w:rPr>
        <w:t>.</w:t>
      </w:r>
    </w:p>
    <w:p>
      <w:pPr>
        <w:pStyle w:val="13"/>
        <w:adjustRightInd w:val="0"/>
        <w:snapToGrid w:val="0"/>
        <w:spacing w:line="440" w:lineRule="exact"/>
        <w:jc w:val="left"/>
        <w:rPr>
          <w:rFonts w:ascii="仿宋" w:eastAsia="仿宋"/>
          <w:sz w:val="24"/>
        </w:rPr>
      </w:pPr>
      <w:r>
        <w:rPr>
          <w:rFonts w:hint="eastAsia"/>
          <w:sz w:val="24"/>
        </w:rPr>
        <w:t>一、基本职能及主要工作</w:t>
      </w:r>
      <w:r>
        <w:rPr>
          <w:sz w:val="24"/>
        </w:rPr>
        <w:t xml:space="preserve"> .。。。。。。。。。。。。。。。。。。。。。。。。。。。。。。。。。。。。。。。4</w:t>
      </w:r>
    </w:p>
    <w:p>
      <w:pPr>
        <w:pStyle w:val="13"/>
        <w:adjustRightInd w:val="0"/>
        <w:snapToGrid w:val="0"/>
        <w:spacing w:line="440" w:lineRule="exact"/>
        <w:jc w:val="left"/>
        <w:rPr>
          <w:rFonts w:ascii="仿宋" w:eastAsia="仿宋" w:cs="Arial"/>
          <w:sz w:val="24"/>
        </w:rPr>
      </w:pPr>
      <w:r>
        <w:rPr>
          <w:rFonts w:hint="eastAsia"/>
          <w:sz w:val="24"/>
        </w:rPr>
        <w:t>二、机构设置</w:t>
      </w:r>
      <w:r>
        <w:rPr>
          <w:sz w:val="24"/>
        </w:rPr>
        <w:t>.。。。。。。。。。。。。。。。。。。。。。。。。。。。。。。。。。。。。。。。。。。。。。。。。。。11</w:t>
      </w:r>
    </w:p>
    <w:p>
      <w:pPr>
        <w:pStyle w:val="12"/>
        <w:adjustRightInd w:val="0"/>
        <w:snapToGrid w:val="0"/>
        <w:spacing w:before="0" w:line="440" w:lineRule="exact"/>
        <w:jc w:val="left"/>
        <w:rPr>
          <w:sz w:val="24"/>
          <w:szCs w:val="24"/>
        </w:rPr>
      </w:pPr>
      <w:r>
        <w:rPr>
          <w:rFonts w:hint="eastAsia"/>
          <w:sz w:val="24"/>
        </w:rPr>
        <w:t>第二部分度部门决算情况说明</w:t>
      </w:r>
    </w:p>
    <w:p>
      <w:pPr>
        <w:pStyle w:val="13"/>
        <w:adjustRightInd w:val="0"/>
        <w:snapToGrid w:val="0"/>
        <w:spacing w:line="440" w:lineRule="exact"/>
        <w:jc w:val="left"/>
        <w:rPr>
          <w:rFonts w:ascii="仿宋" w:eastAsia="仿宋" w:cs="Arial"/>
          <w:sz w:val="24"/>
        </w:rPr>
      </w:pPr>
      <w:r>
        <w:rPr>
          <w:rFonts w:hint="eastAsia"/>
          <w:sz w:val="24"/>
        </w:rPr>
        <w:t>一、收入支出决算总体情况说明</w:t>
      </w:r>
      <w:r>
        <w:rPr>
          <w:sz w:val="24"/>
        </w:rPr>
        <w:t>.。。。。。。。。。。。。。。。。。。。。。。。。。。。。。。。。。。12</w:t>
      </w:r>
    </w:p>
    <w:p>
      <w:pPr>
        <w:pStyle w:val="13"/>
        <w:adjustRightInd w:val="0"/>
        <w:snapToGrid w:val="0"/>
        <w:spacing w:line="440" w:lineRule="exact"/>
        <w:jc w:val="left"/>
        <w:rPr>
          <w:rFonts w:ascii="仿宋" w:eastAsia="仿宋" w:cs="Arial"/>
          <w:sz w:val="24"/>
        </w:rPr>
      </w:pPr>
      <w:r>
        <w:rPr>
          <w:rFonts w:hint="eastAsia"/>
          <w:sz w:val="24"/>
        </w:rPr>
        <w:t>二、收入决算情况说明</w:t>
      </w:r>
      <w:r>
        <w:rPr>
          <w:sz w:val="24"/>
        </w:rPr>
        <w:t xml:space="preserve"> 。。。。。。。。。。。。。。。。。。。。。。。。。。。。。。。。。。。。。。。。。。12</w:t>
      </w:r>
    </w:p>
    <w:p>
      <w:pPr>
        <w:pStyle w:val="13"/>
        <w:adjustRightInd w:val="0"/>
        <w:snapToGrid w:val="0"/>
        <w:spacing w:line="440" w:lineRule="exact"/>
        <w:jc w:val="left"/>
        <w:rPr>
          <w:sz w:val="24"/>
        </w:rPr>
      </w:pPr>
      <w:r>
        <w:rPr>
          <w:rFonts w:hint="eastAsia"/>
          <w:sz w:val="24"/>
        </w:rPr>
        <w:t>三、支出决算情况说明</w:t>
      </w:r>
      <w:r>
        <w:rPr>
          <w:sz w:val="24"/>
        </w:rPr>
        <w:t>。。。。。。。。。。。。。。。。。。。。。。。。。。。。。。。。。。。。。。。。。。。12</w:t>
      </w:r>
    </w:p>
    <w:p>
      <w:pPr>
        <w:pStyle w:val="13"/>
        <w:adjustRightInd w:val="0"/>
        <w:snapToGrid w:val="0"/>
        <w:spacing w:line="440" w:lineRule="exact"/>
        <w:jc w:val="left"/>
        <w:rPr>
          <w:rFonts w:ascii="仿宋" w:eastAsia="仿宋" w:cs="Arial"/>
          <w:sz w:val="24"/>
        </w:rPr>
      </w:pPr>
      <w:r>
        <w:rPr>
          <w:rFonts w:hint="eastAsia"/>
          <w:sz w:val="24"/>
        </w:rPr>
        <w:t>四、财政拨款收入支出决算总体情况说明</w:t>
      </w:r>
      <w:r>
        <w:rPr>
          <w:sz w:val="24"/>
        </w:rPr>
        <w:t>.。。。。。。。。。。。。。。。。。。。。。。。。。。12</w:t>
      </w:r>
    </w:p>
    <w:p>
      <w:pPr>
        <w:pStyle w:val="13"/>
        <w:adjustRightInd w:val="0"/>
        <w:snapToGrid w:val="0"/>
        <w:spacing w:line="440" w:lineRule="exact"/>
        <w:jc w:val="left"/>
        <w:rPr>
          <w:rFonts w:ascii="仿宋" w:eastAsia="仿宋" w:cs="Arial"/>
          <w:sz w:val="24"/>
        </w:rPr>
      </w:pPr>
      <w:r>
        <w:rPr>
          <w:rFonts w:hint="eastAsia"/>
          <w:sz w:val="24"/>
        </w:rPr>
        <w:t>五、一般公共预算财政拨款支出决算情况说明</w:t>
      </w:r>
      <w:r>
        <w:rPr>
          <w:sz w:val="24"/>
        </w:rPr>
        <w:t>.。。。。。。。。。。。。。。。。。。。。。。。13</w:t>
      </w:r>
    </w:p>
    <w:p>
      <w:pPr>
        <w:pStyle w:val="13"/>
        <w:adjustRightInd w:val="0"/>
        <w:snapToGrid w:val="0"/>
        <w:spacing w:line="440" w:lineRule="exact"/>
        <w:jc w:val="left"/>
        <w:rPr>
          <w:rFonts w:ascii="仿宋" w:eastAsia="仿宋" w:cs="Arial"/>
          <w:sz w:val="24"/>
        </w:rPr>
      </w:pPr>
      <w:r>
        <w:rPr>
          <w:rFonts w:hint="eastAsia"/>
          <w:sz w:val="24"/>
        </w:rPr>
        <w:t>六、一般公共预算财政拨款基本支出决算情况说明</w:t>
      </w:r>
      <w:r>
        <w:rPr>
          <w:sz w:val="24"/>
        </w:rPr>
        <w:t>.。。。。。。。。。。。。。。。。。。。14</w:t>
      </w:r>
    </w:p>
    <w:p>
      <w:pPr>
        <w:pStyle w:val="13"/>
        <w:adjustRightInd w:val="0"/>
        <w:snapToGrid w:val="0"/>
        <w:spacing w:line="440" w:lineRule="exact"/>
        <w:jc w:val="left"/>
        <w:rPr>
          <w:rFonts w:ascii="仿宋" w:eastAsia="仿宋" w:cs="Arial"/>
          <w:sz w:val="24"/>
        </w:rPr>
      </w:pPr>
      <w:r>
        <w:rPr>
          <w:rFonts w:hint="eastAsia"/>
          <w:sz w:val="24"/>
        </w:rPr>
        <w:t>七、</w:t>
      </w:r>
      <w:r>
        <w:rPr>
          <w:sz w:val="24"/>
        </w:rPr>
        <w:t>“</w:t>
      </w:r>
      <w:r>
        <w:rPr>
          <w:rFonts w:hint="eastAsia"/>
          <w:sz w:val="24"/>
        </w:rPr>
        <w:t>三公”经费财政拨款支出决算情况说明</w:t>
      </w:r>
      <w:r>
        <w:rPr>
          <w:sz w:val="24"/>
        </w:rPr>
        <w:t>.。。。。。。。。。。。。。。。。。。。。。。。。。14</w:t>
      </w:r>
    </w:p>
    <w:p>
      <w:pPr>
        <w:pStyle w:val="13"/>
        <w:adjustRightInd w:val="0"/>
        <w:snapToGrid w:val="0"/>
        <w:spacing w:line="440" w:lineRule="exact"/>
        <w:jc w:val="left"/>
        <w:rPr>
          <w:rFonts w:ascii="仿宋" w:eastAsia="仿宋" w:cs="Arial"/>
          <w:sz w:val="24"/>
        </w:rPr>
      </w:pPr>
      <w:r>
        <w:rPr>
          <w:rFonts w:hint="eastAsia"/>
          <w:sz w:val="24"/>
        </w:rPr>
        <w:t>八、政府性基金预算支出决算情况说明</w:t>
      </w:r>
      <w:r>
        <w:rPr>
          <w:sz w:val="24"/>
        </w:rPr>
        <w:t>.。。。。。。。。。。。。。。。。。。。。。。。。。。。。。。16</w:t>
      </w:r>
    </w:p>
    <w:p>
      <w:pPr>
        <w:pStyle w:val="13"/>
        <w:adjustRightInd w:val="0"/>
        <w:snapToGrid w:val="0"/>
        <w:spacing w:line="440" w:lineRule="exact"/>
        <w:ind w:left="0" w:leftChars="0" w:firstLine="480" w:firstLineChars="200"/>
        <w:jc w:val="left"/>
        <w:rPr>
          <w:rFonts w:ascii="仿宋" w:eastAsia="仿宋"/>
          <w:sz w:val="24"/>
        </w:rPr>
      </w:pPr>
      <w:r>
        <w:rPr>
          <w:rFonts w:hint="eastAsia" w:ascii="仿宋" w:eastAsia="仿宋"/>
          <w:sz w:val="24"/>
        </w:rPr>
        <w:t>九、</w:t>
      </w:r>
      <w:r>
        <w:rPr>
          <w:sz w:val="24"/>
        </w:rPr>
        <w:t xml:space="preserve"> 国</w:t>
      </w:r>
      <w:r>
        <w:rPr>
          <w:rFonts w:hint="eastAsia"/>
          <w:sz w:val="24"/>
        </w:rPr>
        <w:t>有资本经营预算支出决算情况说明</w:t>
      </w:r>
      <w:r>
        <w:rPr>
          <w:sz w:val="24"/>
        </w:rPr>
        <w:t>。。。。。。。。。。。。。。。。。。。。。。。。。。16</w:t>
      </w:r>
    </w:p>
    <w:p>
      <w:pPr>
        <w:adjustRightInd w:val="0"/>
        <w:snapToGrid w:val="0"/>
        <w:spacing w:line="440" w:lineRule="exact"/>
        <w:ind w:firstLine="480" w:firstLineChars="200"/>
        <w:jc w:val="left"/>
        <w:rPr>
          <w:rFonts w:ascii="仿宋" w:eastAsia="仿宋" w:cs="Arial"/>
          <w:sz w:val="24"/>
        </w:rPr>
      </w:pPr>
      <w:r>
        <w:rPr>
          <w:rStyle w:val="17"/>
          <w:rFonts w:hint="eastAsia" w:ascii="仿宋" w:eastAsia="仿宋"/>
          <w:color w:val="000000"/>
          <w:sz w:val="24"/>
          <w:u w:val="none"/>
        </w:rPr>
        <w:t>十、</w:t>
      </w:r>
      <w:r>
        <w:rPr>
          <w:rFonts w:hint="eastAsia"/>
          <w:sz w:val="24"/>
        </w:rPr>
        <w:t>其他重要事项的情况说明</w:t>
      </w:r>
      <w:r>
        <w:rPr>
          <w:rFonts w:ascii="仿宋" w:eastAsia="仿宋"/>
          <w:sz w:val="24"/>
        </w:rPr>
        <w:tab/>
      </w:r>
      <w:r>
        <w:rPr>
          <w:rFonts w:ascii="仿宋" w:eastAsia="仿宋"/>
          <w:sz w:val="24"/>
        </w:rPr>
        <w:t>.。。。。。。。。。。。。。。。。。。。。。。。。。。。。。。。。。。。。16</w:t>
      </w:r>
    </w:p>
    <w:p>
      <w:pPr>
        <w:pStyle w:val="12"/>
        <w:adjustRightInd w:val="0"/>
        <w:snapToGrid w:val="0"/>
        <w:spacing w:before="0" w:line="440" w:lineRule="exact"/>
        <w:jc w:val="left"/>
        <w:rPr>
          <w:rFonts w:cs="Arial"/>
          <w:sz w:val="24"/>
          <w:szCs w:val="24"/>
        </w:rPr>
      </w:pPr>
      <w:r>
        <w:rPr>
          <w:rFonts w:hint="eastAsia"/>
          <w:sz w:val="24"/>
        </w:rPr>
        <w:t>第三部分</w:t>
      </w:r>
      <w:r>
        <w:rPr>
          <w:sz w:val="24"/>
        </w:rPr>
        <w:t xml:space="preserve"> </w:t>
      </w:r>
      <w:r>
        <w:rPr>
          <w:rFonts w:hint="eastAsia"/>
          <w:sz w:val="24"/>
        </w:rPr>
        <w:t>名词解释</w:t>
      </w:r>
      <w:r>
        <w:rPr>
          <w:sz w:val="24"/>
        </w:rPr>
        <w:t>.。。。。。。。。。。。。。。。。。。。。。。。。。。。。。。。。。。。。。。。。。。。。。。。。。。18</w:t>
      </w:r>
    </w:p>
    <w:p>
      <w:pPr>
        <w:pStyle w:val="12"/>
        <w:adjustRightInd w:val="0"/>
        <w:snapToGrid w:val="0"/>
        <w:spacing w:before="0" w:line="440" w:lineRule="exact"/>
        <w:jc w:val="left"/>
        <w:rPr>
          <w:rFonts w:cs="Arial"/>
          <w:sz w:val="24"/>
          <w:szCs w:val="24"/>
        </w:rPr>
      </w:pPr>
      <w:r>
        <w:rPr>
          <w:rFonts w:hint="eastAsia"/>
          <w:sz w:val="24"/>
        </w:rPr>
        <w:t>第四部分</w:t>
      </w:r>
      <w:r>
        <w:rPr>
          <w:sz w:val="24"/>
        </w:rPr>
        <w:t xml:space="preserve"> </w:t>
      </w:r>
      <w:r>
        <w:rPr>
          <w:rFonts w:hint="eastAsia"/>
          <w:sz w:val="24"/>
        </w:rPr>
        <w:t>附件</w:t>
      </w:r>
      <w:r>
        <w:rPr>
          <w:sz w:val="24"/>
        </w:rPr>
        <w:t>.。。。。。。。。。。。。。。。。。。。。。。。。。。。。。。。。。。。。。。。。。。。。。。。。。。。。。。。20</w:t>
      </w:r>
    </w:p>
    <w:p>
      <w:pPr>
        <w:pStyle w:val="13"/>
        <w:adjustRightInd w:val="0"/>
        <w:snapToGrid w:val="0"/>
        <w:spacing w:line="440" w:lineRule="exact"/>
        <w:jc w:val="left"/>
        <w:rPr>
          <w:rFonts w:ascii="仿宋" w:eastAsia="仿宋" w:cs="Arial"/>
          <w:sz w:val="24"/>
        </w:rPr>
      </w:pPr>
      <w:r>
        <w:rPr>
          <w:rFonts w:hint="eastAsia"/>
          <w:sz w:val="24"/>
        </w:rPr>
        <w:t>附件</w:t>
      </w:r>
      <w:r>
        <w:rPr>
          <w:sz w:val="24"/>
        </w:rPr>
        <w:t>1</w:t>
      </w:r>
    </w:p>
    <w:p>
      <w:pPr>
        <w:pStyle w:val="13"/>
        <w:adjustRightInd w:val="0"/>
        <w:snapToGrid w:val="0"/>
        <w:spacing w:line="440" w:lineRule="exact"/>
        <w:jc w:val="left"/>
        <w:rPr>
          <w:rFonts w:ascii="仿宋" w:eastAsia="仿宋" w:cs="Arial"/>
          <w:sz w:val="24"/>
        </w:rPr>
      </w:pPr>
      <w:r>
        <w:rPr>
          <w:rFonts w:hint="eastAsia"/>
          <w:sz w:val="24"/>
        </w:rPr>
        <w:t>附件</w:t>
      </w:r>
      <w:r>
        <w:rPr>
          <w:sz w:val="24"/>
        </w:rPr>
        <w:t>2</w:t>
      </w:r>
    </w:p>
    <w:p>
      <w:pPr>
        <w:pStyle w:val="12"/>
        <w:adjustRightInd w:val="0"/>
        <w:snapToGrid w:val="0"/>
        <w:spacing w:before="0" w:line="440" w:lineRule="exact"/>
        <w:jc w:val="left"/>
        <w:rPr>
          <w:rFonts w:cs="Arial"/>
          <w:sz w:val="24"/>
          <w:szCs w:val="24"/>
        </w:rPr>
      </w:pPr>
      <w:r>
        <w:rPr>
          <w:rFonts w:hint="eastAsia"/>
          <w:sz w:val="24"/>
        </w:rPr>
        <w:t>第五部分</w:t>
      </w:r>
      <w:r>
        <w:rPr>
          <w:sz w:val="24"/>
        </w:rPr>
        <w:t xml:space="preserve"> </w:t>
      </w:r>
      <w:r>
        <w:rPr>
          <w:rFonts w:hint="eastAsia"/>
          <w:sz w:val="24"/>
        </w:rPr>
        <w:t>附表</w:t>
      </w:r>
      <w:r>
        <w:rPr>
          <w:sz w:val="24"/>
        </w:rPr>
        <w:t>.。。。。。。。。。。。。。。。。。。。。。。。。。。。。。。。。。。。。。。。。。。。。。。。。。。。。。。27</w:t>
      </w:r>
    </w:p>
    <w:p>
      <w:pPr>
        <w:pStyle w:val="13"/>
        <w:adjustRightInd w:val="0"/>
        <w:snapToGrid w:val="0"/>
        <w:spacing w:line="440" w:lineRule="exact"/>
        <w:jc w:val="left"/>
        <w:rPr>
          <w:rFonts w:ascii="仿宋" w:eastAsia="仿宋" w:cs="Arial"/>
          <w:sz w:val="24"/>
        </w:rPr>
      </w:pPr>
      <w:r>
        <w:rPr>
          <w:rFonts w:hint="eastAsia" w:ascii="仿宋" w:eastAsia="仿宋"/>
          <w:sz w:val="24"/>
        </w:rPr>
        <w:t>一、</w:t>
      </w:r>
      <w:r>
        <w:rPr>
          <w:rFonts w:hint="eastAsia"/>
          <w:sz w:val="24"/>
        </w:rPr>
        <w:t>收入支出决算总表</w:t>
      </w:r>
    </w:p>
    <w:p>
      <w:pPr>
        <w:pStyle w:val="13"/>
        <w:adjustRightInd w:val="0"/>
        <w:snapToGrid w:val="0"/>
        <w:spacing w:line="440" w:lineRule="exact"/>
        <w:jc w:val="left"/>
        <w:rPr>
          <w:rFonts w:ascii="仿宋" w:eastAsia="仿宋" w:cs="Arial"/>
          <w:sz w:val="24"/>
        </w:rPr>
      </w:pPr>
      <w:r>
        <w:rPr>
          <w:rFonts w:hint="eastAsia" w:ascii="仿宋" w:eastAsia="仿宋"/>
          <w:sz w:val="24"/>
        </w:rPr>
        <w:t>二、</w:t>
      </w:r>
      <w:r>
        <w:rPr>
          <w:rFonts w:hint="eastAsia"/>
          <w:sz w:val="24"/>
        </w:rPr>
        <w:t>收入</w:t>
      </w:r>
      <w:r>
        <w:rPr>
          <w:rFonts w:hint="eastAsia" w:ascii="仿宋" w:eastAsia="仿宋"/>
          <w:sz w:val="24"/>
        </w:rPr>
        <w:t>决算</w:t>
      </w:r>
      <w:r>
        <w:rPr>
          <w:rFonts w:hint="eastAsia"/>
          <w:sz w:val="24"/>
        </w:rPr>
        <w:t>表</w:t>
      </w:r>
    </w:p>
    <w:p>
      <w:pPr>
        <w:pStyle w:val="13"/>
        <w:adjustRightInd w:val="0"/>
        <w:snapToGrid w:val="0"/>
        <w:spacing w:line="440" w:lineRule="exact"/>
        <w:jc w:val="left"/>
        <w:rPr>
          <w:rFonts w:ascii="仿宋" w:eastAsia="仿宋" w:cs="Arial"/>
          <w:sz w:val="24"/>
        </w:rPr>
      </w:pPr>
      <w:r>
        <w:rPr>
          <w:rFonts w:hint="eastAsia" w:ascii="仿宋" w:eastAsia="仿宋"/>
          <w:sz w:val="24"/>
        </w:rPr>
        <w:t>三、</w:t>
      </w:r>
      <w:r>
        <w:rPr>
          <w:rFonts w:hint="eastAsia"/>
          <w:sz w:val="24"/>
        </w:rPr>
        <w:t>支出</w:t>
      </w:r>
      <w:r>
        <w:rPr>
          <w:rFonts w:hint="eastAsia" w:ascii="仿宋" w:eastAsia="仿宋"/>
          <w:sz w:val="24"/>
        </w:rPr>
        <w:t>决算</w:t>
      </w:r>
      <w:r>
        <w:rPr>
          <w:rFonts w:hint="eastAsia"/>
          <w:sz w:val="24"/>
        </w:rPr>
        <w:t>表</w:t>
      </w:r>
    </w:p>
    <w:p>
      <w:pPr>
        <w:pStyle w:val="13"/>
        <w:adjustRightInd w:val="0"/>
        <w:snapToGrid w:val="0"/>
        <w:spacing w:line="440" w:lineRule="exact"/>
        <w:jc w:val="left"/>
        <w:rPr>
          <w:rFonts w:ascii="仿宋" w:eastAsia="仿宋" w:cs="Arial"/>
          <w:sz w:val="24"/>
        </w:rPr>
      </w:pPr>
      <w:r>
        <w:rPr>
          <w:rFonts w:hint="eastAsia" w:ascii="仿宋" w:eastAsia="仿宋"/>
          <w:sz w:val="24"/>
        </w:rPr>
        <w:t>四、</w:t>
      </w:r>
      <w:r>
        <w:rPr>
          <w:rFonts w:hint="eastAsia"/>
          <w:sz w:val="24"/>
        </w:rPr>
        <w:t>财政拨款收入支出决算总表</w:t>
      </w:r>
    </w:p>
    <w:p>
      <w:pPr>
        <w:pStyle w:val="13"/>
        <w:adjustRightInd w:val="0"/>
        <w:snapToGrid w:val="0"/>
        <w:spacing w:line="440" w:lineRule="exact"/>
        <w:jc w:val="left"/>
        <w:rPr>
          <w:rFonts w:ascii="仿宋" w:eastAsia="仿宋"/>
          <w:sz w:val="24"/>
        </w:rPr>
      </w:pPr>
      <w:r>
        <w:rPr>
          <w:rFonts w:hint="eastAsia" w:ascii="仿宋" w:eastAsia="仿宋"/>
          <w:sz w:val="24"/>
        </w:rPr>
        <w:t>五、财政拨款支出决算明细表</w:t>
      </w:r>
    </w:p>
    <w:p>
      <w:pPr>
        <w:pStyle w:val="13"/>
        <w:adjustRightInd w:val="0"/>
        <w:snapToGrid w:val="0"/>
        <w:spacing w:line="440" w:lineRule="exact"/>
        <w:jc w:val="left"/>
        <w:rPr>
          <w:rFonts w:ascii="仿宋" w:eastAsia="仿宋" w:cs="Arial"/>
          <w:sz w:val="24"/>
        </w:rPr>
      </w:pPr>
      <w:r>
        <w:rPr>
          <w:rFonts w:hint="eastAsia" w:ascii="仿宋" w:eastAsia="仿宋"/>
          <w:sz w:val="24"/>
        </w:rPr>
        <w:t>六、</w:t>
      </w:r>
      <w:r>
        <w:rPr>
          <w:rFonts w:hint="eastAsia"/>
          <w:sz w:val="24"/>
        </w:rPr>
        <w:t>一般公共预算财政拨款支出决算表</w:t>
      </w:r>
    </w:p>
    <w:p>
      <w:pPr>
        <w:pStyle w:val="13"/>
        <w:adjustRightInd w:val="0"/>
        <w:snapToGrid w:val="0"/>
        <w:spacing w:line="440" w:lineRule="exact"/>
        <w:jc w:val="left"/>
        <w:rPr>
          <w:rFonts w:ascii="仿宋" w:eastAsia="仿宋" w:cs="Arial"/>
          <w:sz w:val="24"/>
        </w:rPr>
      </w:pPr>
      <w:r>
        <w:rPr>
          <w:rFonts w:hint="eastAsia" w:ascii="仿宋" w:eastAsia="仿宋"/>
          <w:sz w:val="24"/>
        </w:rPr>
        <w:t>七、</w:t>
      </w:r>
      <w:r>
        <w:rPr>
          <w:rFonts w:hint="eastAsia"/>
          <w:sz w:val="24"/>
        </w:rPr>
        <w:t>一般公共预算财政拨款支出决算明细表</w:t>
      </w:r>
    </w:p>
    <w:p>
      <w:pPr>
        <w:pStyle w:val="13"/>
        <w:adjustRightInd w:val="0"/>
        <w:snapToGrid w:val="0"/>
        <w:spacing w:line="440" w:lineRule="exact"/>
        <w:jc w:val="left"/>
        <w:rPr>
          <w:rFonts w:ascii="仿宋" w:eastAsia="仿宋" w:cs="Arial"/>
          <w:sz w:val="24"/>
        </w:rPr>
      </w:pPr>
      <w:r>
        <w:rPr>
          <w:rFonts w:hint="eastAsia" w:ascii="仿宋" w:eastAsia="仿宋"/>
          <w:sz w:val="24"/>
        </w:rPr>
        <w:t>八、</w:t>
      </w:r>
      <w:r>
        <w:rPr>
          <w:rFonts w:hint="eastAsia"/>
          <w:sz w:val="24"/>
        </w:rPr>
        <w:t>一般公共预算财政拨款基本支出决算表</w:t>
      </w:r>
    </w:p>
    <w:p>
      <w:pPr>
        <w:pStyle w:val="13"/>
        <w:adjustRightInd w:val="0"/>
        <w:snapToGrid w:val="0"/>
        <w:spacing w:line="440" w:lineRule="exact"/>
        <w:jc w:val="left"/>
        <w:rPr>
          <w:rFonts w:ascii="仿宋" w:eastAsia="仿宋" w:cs="Arial"/>
          <w:sz w:val="24"/>
        </w:rPr>
      </w:pPr>
      <w:r>
        <w:rPr>
          <w:rFonts w:hint="eastAsia" w:ascii="仿宋" w:eastAsia="仿宋"/>
          <w:sz w:val="24"/>
        </w:rPr>
        <w:t>九、</w:t>
      </w:r>
      <w:r>
        <w:rPr>
          <w:rFonts w:hint="eastAsia"/>
          <w:sz w:val="24"/>
        </w:rPr>
        <w:t>一般公共预算财政拨款项目支出决算表</w:t>
      </w:r>
    </w:p>
    <w:p>
      <w:pPr>
        <w:pStyle w:val="13"/>
        <w:adjustRightInd w:val="0"/>
        <w:snapToGrid w:val="0"/>
        <w:spacing w:line="440" w:lineRule="exact"/>
        <w:jc w:val="left"/>
        <w:rPr>
          <w:rFonts w:ascii="仿宋" w:eastAsia="仿宋" w:cs="Arial"/>
          <w:sz w:val="24"/>
        </w:rPr>
      </w:pPr>
      <w:r>
        <w:rPr>
          <w:rFonts w:hint="eastAsia" w:ascii="仿宋" w:eastAsia="仿宋"/>
          <w:sz w:val="24"/>
        </w:rPr>
        <w:t>十、</w:t>
      </w:r>
      <w:r>
        <w:rPr>
          <w:rFonts w:hint="eastAsia"/>
          <w:sz w:val="24"/>
        </w:rPr>
        <w:t>一般公共预算财政拨款“三公”经费支出决算表</w:t>
      </w:r>
    </w:p>
    <w:p>
      <w:pPr>
        <w:pStyle w:val="13"/>
        <w:adjustRightInd w:val="0"/>
        <w:snapToGrid w:val="0"/>
        <w:spacing w:line="440" w:lineRule="exact"/>
        <w:jc w:val="left"/>
        <w:rPr>
          <w:rFonts w:ascii="仿宋" w:eastAsia="仿宋" w:cs="Arial"/>
          <w:sz w:val="24"/>
        </w:rPr>
      </w:pPr>
      <w:r>
        <w:rPr>
          <w:rFonts w:hint="eastAsia" w:ascii="仿宋" w:eastAsia="仿宋"/>
          <w:sz w:val="24"/>
        </w:rPr>
        <w:t>十一、</w:t>
      </w:r>
      <w:r>
        <w:rPr>
          <w:rFonts w:hint="eastAsia"/>
          <w:sz w:val="24"/>
        </w:rPr>
        <w:t>政府性基金预算财政拨款收入支出决算表</w:t>
      </w:r>
    </w:p>
    <w:p>
      <w:pPr>
        <w:pStyle w:val="13"/>
        <w:adjustRightInd w:val="0"/>
        <w:snapToGrid w:val="0"/>
        <w:spacing w:line="440" w:lineRule="exact"/>
        <w:jc w:val="left"/>
        <w:rPr>
          <w:rFonts w:ascii="仿宋" w:eastAsia="仿宋" w:cs="Arial"/>
          <w:sz w:val="24"/>
        </w:rPr>
      </w:pPr>
      <w:r>
        <w:rPr>
          <w:rFonts w:hint="eastAsia" w:ascii="仿宋" w:eastAsia="仿宋"/>
          <w:sz w:val="24"/>
        </w:rPr>
        <w:t>十二、</w:t>
      </w:r>
      <w:r>
        <w:rPr>
          <w:rFonts w:hint="eastAsia"/>
          <w:sz w:val="24"/>
        </w:rPr>
        <w:t>政府性基金预算财政拨款“三公”经费支出决算表</w:t>
      </w:r>
    </w:p>
    <w:p>
      <w:pPr>
        <w:pStyle w:val="13"/>
        <w:adjustRightInd w:val="0"/>
        <w:snapToGrid w:val="0"/>
        <w:spacing w:line="440" w:lineRule="exact"/>
        <w:jc w:val="left"/>
        <w:rPr>
          <w:rFonts w:ascii="仿宋" w:eastAsia="仿宋" w:cs="Arial"/>
          <w:sz w:val="24"/>
        </w:rPr>
      </w:pPr>
      <w:r>
        <w:rPr>
          <w:rFonts w:hint="eastAsia" w:ascii="仿宋" w:eastAsia="仿宋"/>
          <w:sz w:val="24"/>
        </w:rPr>
        <w:t>十三、</w:t>
      </w:r>
      <w:r>
        <w:rPr>
          <w:rFonts w:hint="eastAsia"/>
          <w:sz w:val="24"/>
        </w:rPr>
        <w:t>国有资本经营预算支出决算表</w:t>
      </w:r>
    </w:p>
    <w:p>
      <w:pPr>
        <w:widowControl/>
        <w:adjustRightInd w:val="0"/>
        <w:snapToGrid w:val="0"/>
        <w:spacing w:line="440" w:lineRule="exact"/>
        <w:ind w:firstLine="1320" w:firstLineChars="550"/>
        <w:jc w:val="left"/>
        <w:rPr>
          <w:rFonts w:ascii="仿宋" w:eastAsia="仿宋"/>
          <w:color w:val="FF0000"/>
          <w:sz w:val="24"/>
        </w:rPr>
      </w:pPr>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4"/>
        <w:jc w:val="center"/>
        <w:rPr>
          <w:rStyle w:val="18"/>
          <w:rFonts w:ascii="黑体" w:eastAsia="黑体"/>
          <w:b/>
          <w:bCs w:val="0"/>
        </w:rPr>
      </w:pPr>
      <w:r>
        <w:rPr>
          <w:rFonts w:hint="eastAsia" w:ascii="黑体" w:eastAsia="黑体"/>
          <w:b w:val="0"/>
        </w:rPr>
        <w:t xml:space="preserve">第一部分 </w:t>
      </w:r>
      <w:r>
        <w:rPr>
          <w:rStyle w:val="18"/>
          <w:rFonts w:hint="eastAsia" w:ascii="黑体" w:eastAsia="黑体"/>
          <w:b w:val="0"/>
          <w:bCs w:val="0"/>
        </w:rPr>
        <w:t>部门概况</w:t>
      </w:r>
      <w:bookmarkEnd w:id="12"/>
      <w:bookmarkEnd w:id="13"/>
    </w:p>
    <w:p>
      <w:pPr>
        <w:widowControl/>
        <w:jc w:val="left"/>
        <w:rPr>
          <w:rFonts w:ascii="黑体" w:eastAsia="黑体"/>
          <w:color w:val="000000"/>
          <w:sz w:val="32"/>
          <w:szCs w:val="32"/>
        </w:rPr>
      </w:pPr>
    </w:p>
    <w:p>
      <w:pPr>
        <w:pStyle w:val="5"/>
        <w:spacing w:line="576" w:lineRule="exact"/>
        <w:rPr>
          <w:rStyle w:val="29"/>
          <w:rFonts w:ascii="仿宋" w:hAnsi="仿宋" w:eastAsia="仿宋"/>
          <w:b w:val="0"/>
          <w:bCs w:val="0"/>
        </w:rPr>
      </w:pPr>
      <w:bookmarkStart w:id="14" w:name="_Toc15396600"/>
      <w:bookmarkStart w:id="15" w:name="_Toc15377197"/>
      <w:bookmarkStart w:id="16" w:name="_Toc15377204"/>
      <w:bookmarkStart w:id="17" w:name="_Toc15396602"/>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4"/>
      <w:bookmarkEnd w:id="15"/>
    </w:p>
    <w:p>
      <w:pPr>
        <w:pStyle w:val="7"/>
        <w:adjustRightInd w:val="0"/>
        <w:snapToGrid w:val="0"/>
        <w:spacing w:before="180" w:line="576" w:lineRule="exact"/>
        <w:ind w:firstLine="675" w:firstLineChars="210"/>
        <w:rPr>
          <w:rFonts w:hAnsi="仿宋_GB2312" w:cs="仿宋_GB2312"/>
          <w:sz w:val="32"/>
          <w:szCs w:val="32"/>
        </w:rPr>
      </w:pPr>
      <w:bookmarkStart w:id="18" w:name="_Toc15377199"/>
      <w:bookmarkStart w:id="19" w:name="_Toc15378446"/>
      <w:r>
        <w:rPr>
          <w:rFonts w:hint="eastAsia"/>
          <w:b/>
          <w:bCs/>
          <w:color w:val="000000"/>
          <w:sz w:val="32"/>
          <w:szCs w:val="32"/>
        </w:rPr>
        <w:t>（一）主要职能</w:t>
      </w:r>
      <w:bookmarkEnd w:id="18"/>
      <w:bookmarkEnd w:id="19"/>
      <w:bookmarkStart w:id="20" w:name="_Toc15377200"/>
      <w:bookmarkStart w:id="21" w:name="_Toc15396601"/>
      <w:r>
        <w:rPr>
          <w:rFonts w:hint="eastAsia"/>
          <w:b/>
          <w:bCs/>
          <w:color w:val="000000"/>
          <w:sz w:val="32"/>
          <w:szCs w:val="32"/>
        </w:rPr>
        <w:t>。</w:t>
      </w:r>
      <w:r>
        <w:rPr>
          <w:rFonts w:hint="eastAsia" w:hAnsi="仿宋_GB2312" w:cs="仿宋_GB2312"/>
          <w:sz w:val="32"/>
          <w:szCs w:val="32"/>
        </w:rPr>
        <w:t>切实强化矛盾纠纷排查化解。</w:t>
      </w:r>
      <w:r>
        <w:rPr>
          <w:rFonts w:hint="eastAsia" w:hAnsi="仿宋_GB2312"/>
          <w:sz w:val="32"/>
          <w:szCs w:val="36"/>
        </w:rPr>
        <w:t>针对我县灾后重建新旧矛盾纠纷交织叠加，共性个性问题日益凸显，我们进一步深化人民调解、行政调解、司法调解“三调联动”矛盾纠纷多元化解体系，组建乡镇、部门微信工作群，形成矛盾纠纷分析研判、日报周报常态化工作机制，加强信息共享，深化工作联动交办，做到矛盾纠纷早排查、早预防、早化解。</w:t>
      </w:r>
      <w:r>
        <w:rPr>
          <w:rFonts w:hint="eastAsia" w:hAnsi="仿宋_GB2312" w:cs="仿宋_GB2312"/>
          <w:color w:val="000000"/>
          <w:sz w:val="32"/>
          <w:szCs w:val="32"/>
        </w:rPr>
        <w:t>坚持常态化开展影响社会稳定矛盾问题摸排化解稳控，加大多元化解处置力度，促进社会和谐稳定。坚持全面覆盖，切实找准影响社会稳定的各类突出矛盾问题，逐一有针对性地研究提出并严格落实务实管用的化解稳控措施，确保了全县社会大局稳定。截止目前</w:t>
      </w:r>
      <w:r>
        <w:rPr>
          <w:rFonts w:hint="eastAsia" w:hAnsi="仿宋_GB2312" w:cs="仿宋_GB2312"/>
          <w:sz w:val="32"/>
          <w:szCs w:val="32"/>
        </w:rPr>
        <w:t>，全县各级调解组织攻击排查化解各类矛盾纠纷286件，现通过三制管理，已排查登记各类马欧诺纠纷56件，其中重大矛盾纠纷4件，一般纠纷52件。交办督办相关部门、乡镇限时化解稳控15件。</w:t>
      </w:r>
      <w:r>
        <w:rPr>
          <w:rFonts w:hint="eastAsia" w:hAnsi="仿宋_GB2312" w:cs="仿宋_GB2312"/>
          <w:color w:val="000000"/>
          <w:sz w:val="32"/>
          <w:szCs w:val="32"/>
        </w:rPr>
        <w:t>对梳理出来的矛盾纠纷和历史遗留问题</w:t>
      </w:r>
      <w:r>
        <w:rPr>
          <w:rFonts w:hint="eastAsia" w:hAnsi="仿宋_GB2312" w:cs="仿宋_GB2312"/>
          <w:sz w:val="32"/>
          <w:szCs w:val="32"/>
        </w:rPr>
        <w:t>印发《影响社会稳定矛盾问题工作交办单》3期，以发点球方式交办工作40件，落实“三个一”即“一名包案领导、一个责任部门、一个工作专班”，制定化解方案，限期办结，强化稳控。</w:t>
      </w:r>
      <w:r>
        <w:rPr>
          <w:rFonts w:hint="eastAsia" w:hAnsi="仿宋_GB2312"/>
          <w:sz w:val="32"/>
          <w:szCs w:val="36"/>
        </w:rPr>
        <w:t>通过集中开展</w:t>
      </w:r>
      <w:r>
        <w:rPr>
          <w:rFonts w:hint="eastAsia" w:hAnsi="仿宋_GB2312" w:cs="仿宋_GB2312"/>
          <w:sz w:val="32"/>
          <w:szCs w:val="32"/>
        </w:rPr>
        <w:t>影响社会稳定矛盾问题摸排调研化解工作，全县各级各部门共计摸排邻里纠纷、历史遗留问题、债务纠纷、征地拆迁、分户建房、环境保护、资源开发、三山一界、就业保障等9类37件涉灾涉稳矛盾纠纷隐患（其中邻里纠纷2件；老放映员、民办教师等历史遗留问题4件；债务纠纷13件；征地拆迁6件；分户建房3件；权益纠纷3件；就业保障2件；环境保护2件；资源开发1件；三山一界1件）。</w:t>
      </w:r>
    </w:p>
    <w:p>
      <w:pPr>
        <w:pStyle w:val="5"/>
        <w:spacing w:line="576" w:lineRule="exact"/>
        <w:ind w:firstLine="640" w:firstLineChars="200"/>
        <w:rPr>
          <w:rStyle w:val="29"/>
          <w:b w:val="0"/>
          <w:bCs w:val="0"/>
        </w:rPr>
      </w:pPr>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0"/>
      <w:bookmarkEnd w:id="21"/>
    </w:p>
    <w:p>
      <w:pPr>
        <w:pStyle w:val="7"/>
        <w:adjustRightInd w:val="0"/>
        <w:snapToGrid w:val="0"/>
        <w:spacing w:before="180" w:line="576" w:lineRule="exact"/>
        <w:ind w:firstLine="672" w:firstLineChars="210"/>
        <w:rPr>
          <w:color w:val="000000"/>
          <w:sz w:val="32"/>
          <w:szCs w:val="32"/>
        </w:rPr>
      </w:pPr>
      <w:r>
        <w:rPr>
          <w:rFonts w:hint="eastAsia"/>
          <w:color w:val="000000"/>
          <w:sz w:val="32"/>
          <w:szCs w:val="32"/>
        </w:rPr>
        <w:t>九寨沟县矛盾纠纷多元化解协调中心是政法委下属事业单位，内设办公室。人员编制6个，实际在编</w:t>
      </w:r>
      <w:r>
        <w:rPr>
          <w:rFonts w:hint="eastAsia"/>
          <w:color w:val="000000"/>
          <w:sz w:val="32"/>
          <w:szCs w:val="32"/>
          <w:lang w:val="en-US" w:eastAsia="zh-CN"/>
        </w:rPr>
        <w:t>6</w:t>
      </w:r>
      <w:r>
        <w:rPr>
          <w:rFonts w:hint="eastAsia"/>
          <w:color w:val="000000"/>
          <w:sz w:val="32"/>
          <w:szCs w:val="32"/>
        </w:rPr>
        <w:t>个。</w:t>
      </w:r>
    </w:p>
    <w:p>
      <w:pPr>
        <w:pStyle w:val="7"/>
        <w:adjustRightInd w:val="0"/>
        <w:snapToGrid w:val="0"/>
        <w:spacing w:before="180" w:line="576" w:lineRule="exact"/>
        <w:ind w:firstLine="672" w:firstLineChars="210"/>
        <w:rPr>
          <w:color w:val="000000"/>
          <w:sz w:val="32"/>
          <w:szCs w:val="32"/>
        </w:rPr>
      </w:pPr>
    </w:p>
    <w:p>
      <w:pPr>
        <w:pStyle w:val="7"/>
        <w:adjustRightInd w:val="0"/>
        <w:snapToGrid w:val="0"/>
        <w:spacing w:before="180" w:line="576" w:lineRule="exact"/>
        <w:ind w:firstLine="672" w:firstLineChars="210"/>
        <w:rPr>
          <w:rFonts w:ascii="仿宋" w:hAnsi="仿宋" w:eastAsia="仿宋"/>
          <w:color w:val="000000"/>
          <w:sz w:val="32"/>
          <w:szCs w:val="32"/>
        </w:rPr>
      </w:pPr>
    </w:p>
    <w:p>
      <w:pPr>
        <w:pStyle w:val="7"/>
        <w:adjustRightInd w:val="0"/>
        <w:snapToGrid w:val="0"/>
        <w:spacing w:before="180" w:line="576" w:lineRule="exact"/>
        <w:ind w:firstLine="672" w:firstLineChars="210"/>
        <w:rPr>
          <w:rFonts w:ascii="仿宋" w:hAnsi="仿宋" w:eastAsia="仿宋"/>
          <w:color w:val="000000"/>
          <w:sz w:val="32"/>
          <w:szCs w:val="32"/>
        </w:rPr>
      </w:pPr>
    </w:p>
    <w:p>
      <w:pPr>
        <w:pStyle w:val="7"/>
        <w:adjustRightInd w:val="0"/>
        <w:snapToGrid w:val="0"/>
        <w:spacing w:before="180" w:line="576" w:lineRule="exact"/>
        <w:ind w:firstLine="672" w:firstLineChars="210"/>
        <w:rPr>
          <w:rFonts w:ascii="仿宋" w:hAnsi="仿宋" w:eastAsia="仿宋"/>
          <w:color w:val="000000"/>
          <w:sz w:val="32"/>
          <w:szCs w:val="32"/>
        </w:rPr>
      </w:pPr>
    </w:p>
    <w:p>
      <w:pPr>
        <w:pStyle w:val="7"/>
        <w:adjustRightInd w:val="0"/>
        <w:snapToGrid w:val="0"/>
        <w:spacing w:before="180" w:line="576" w:lineRule="exact"/>
        <w:ind w:firstLine="672" w:firstLineChars="210"/>
        <w:rPr>
          <w:rFonts w:ascii="仿宋" w:hAnsi="仿宋" w:eastAsia="仿宋"/>
          <w:color w:val="000000"/>
          <w:sz w:val="32"/>
          <w:szCs w:val="32"/>
        </w:rPr>
      </w:pPr>
    </w:p>
    <w:p>
      <w:pPr>
        <w:pStyle w:val="7"/>
        <w:adjustRightInd w:val="0"/>
        <w:snapToGrid w:val="0"/>
        <w:spacing w:before="180" w:line="576" w:lineRule="exact"/>
        <w:ind w:firstLine="672" w:firstLineChars="210"/>
        <w:rPr>
          <w:rFonts w:ascii="仿宋" w:hAnsi="仿宋" w:eastAsia="仿宋"/>
          <w:color w:val="000000"/>
          <w:sz w:val="32"/>
          <w:szCs w:val="32"/>
        </w:rPr>
      </w:pPr>
    </w:p>
    <w:p>
      <w:pPr>
        <w:pStyle w:val="7"/>
        <w:adjustRightInd w:val="0"/>
        <w:snapToGrid w:val="0"/>
        <w:spacing w:before="180" w:line="576" w:lineRule="exact"/>
        <w:ind w:firstLine="672" w:firstLineChars="210"/>
        <w:rPr>
          <w:rFonts w:ascii="仿宋" w:hAnsi="仿宋" w:eastAsia="仿宋"/>
          <w:color w:val="000000"/>
          <w:sz w:val="32"/>
          <w:szCs w:val="32"/>
        </w:rPr>
      </w:pPr>
    </w:p>
    <w:p>
      <w:pPr>
        <w:pStyle w:val="7"/>
        <w:adjustRightInd w:val="0"/>
        <w:snapToGrid w:val="0"/>
        <w:spacing w:before="180" w:line="576" w:lineRule="exact"/>
        <w:ind w:firstLine="672" w:firstLineChars="210"/>
        <w:rPr>
          <w:rFonts w:ascii="仿宋" w:hAnsi="仿宋" w:eastAsia="仿宋"/>
          <w:color w:val="000000"/>
          <w:sz w:val="32"/>
          <w:szCs w:val="32"/>
        </w:rPr>
      </w:pPr>
    </w:p>
    <w:p>
      <w:pPr>
        <w:pStyle w:val="7"/>
        <w:adjustRightInd w:val="0"/>
        <w:snapToGrid w:val="0"/>
        <w:spacing w:before="180" w:line="576" w:lineRule="exact"/>
        <w:ind w:firstLine="672" w:firstLineChars="210"/>
        <w:rPr>
          <w:rFonts w:ascii="仿宋" w:hAnsi="仿宋" w:eastAsia="仿宋"/>
          <w:color w:val="000000"/>
          <w:sz w:val="32"/>
          <w:szCs w:val="32"/>
        </w:rPr>
      </w:pPr>
    </w:p>
    <w:p>
      <w:pPr>
        <w:pStyle w:val="7"/>
        <w:adjustRightInd w:val="0"/>
        <w:snapToGrid w:val="0"/>
        <w:spacing w:before="180" w:line="576" w:lineRule="exact"/>
        <w:ind w:firstLine="672" w:firstLineChars="210"/>
        <w:rPr>
          <w:rFonts w:ascii="仿宋" w:hAnsi="仿宋" w:eastAsia="仿宋"/>
          <w:color w:val="000000"/>
          <w:sz w:val="32"/>
          <w:szCs w:val="32"/>
        </w:rPr>
      </w:pPr>
    </w:p>
    <w:p>
      <w:pPr>
        <w:pStyle w:val="7"/>
        <w:adjustRightInd w:val="0"/>
        <w:snapToGrid w:val="0"/>
        <w:spacing w:before="180" w:line="576" w:lineRule="exact"/>
        <w:ind w:firstLine="672" w:firstLineChars="210"/>
        <w:rPr>
          <w:rFonts w:ascii="仿宋" w:hAnsi="仿宋" w:eastAsia="仿宋"/>
          <w:color w:val="000000"/>
          <w:sz w:val="32"/>
          <w:szCs w:val="32"/>
        </w:rPr>
      </w:pPr>
    </w:p>
    <w:p>
      <w:pPr>
        <w:pStyle w:val="7"/>
        <w:adjustRightInd w:val="0"/>
        <w:snapToGrid w:val="0"/>
        <w:spacing w:before="180" w:line="576" w:lineRule="exact"/>
        <w:ind w:firstLine="672" w:firstLineChars="210"/>
        <w:rPr>
          <w:rFonts w:ascii="仿宋" w:hAnsi="仿宋" w:eastAsia="仿宋"/>
          <w:color w:val="000000"/>
          <w:sz w:val="32"/>
          <w:szCs w:val="32"/>
        </w:rPr>
      </w:pPr>
    </w:p>
    <w:p>
      <w:pPr>
        <w:pStyle w:val="4"/>
        <w:ind w:right="440"/>
        <w:jc w:val="right"/>
        <w:rPr>
          <w:rStyle w:val="18"/>
          <w:rFonts w:ascii="黑体" w:eastAsia="黑体"/>
          <w:b w:val="0"/>
          <w:bCs w:val="0"/>
        </w:rPr>
      </w:pPr>
      <w:r>
        <w:rPr>
          <w:rFonts w:hint="eastAsia" w:ascii="黑体" w:eastAsia="黑体"/>
          <w:b w:val="0"/>
          <w:color w:val="000000"/>
        </w:rPr>
        <w:t>第二部分</w:t>
      </w:r>
      <w:r>
        <w:rPr>
          <w:rFonts w:hint="eastAsia" w:ascii="黑体" w:eastAsia="黑体"/>
          <w:color w:val="000000"/>
        </w:rPr>
        <w:t xml:space="preserve"> </w:t>
      </w:r>
      <w:r>
        <w:rPr>
          <w:rStyle w:val="18"/>
          <w:rFonts w:hint="eastAsia" w:ascii="黑体" w:eastAsia="黑体"/>
          <w:b w:val="0"/>
          <w:bCs w:val="0"/>
        </w:rPr>
        <w:t>2019年度部门决算情况说明</w:t>
      </w:r>
      <w:bookmarkEnd w:id="16"/>
      <w:bookmarkEnd w:id="17"/>
    </w:p>
    <w:p/>
    <w:p>
      <w:pPr>
        <w:pStyle w:val="24"/>
        <w:numPr>
          <w:ilvl w:val="0"/>
          <w:numId w:val="1"/>
        </w:numPr>
        <w:spacing w:line="600" w:lineRule="exact"/>
        <w:ind w:firstLineChars="0"/>
        <w:outlineLvl w:val="1"/>
        <w:rPr>
          <w:rStyle w:val="19"/>
          <w:rFonts w:ascii="黑体" w:eastAsia="黑体"/>
          <w:b w:val="0"/>
        </w:rPr>
      </w:pPr>
      <w:bookmarkStart w:id="22" w:name="_Toc15377205"/>
      <w:bookmarkStart w:id="23" w:name="_Toc15396603"/>
      <w:r>
        <w:rPr>
          <w:rFonts w:hint="eastAsia" w:ascii="黑体" w:eastAsia="黑体"/>
          <w:color w:val="000000"/>
          <w:sz w:val="32"/>
          <w:szCs w:val="32"/>
        </w:rPr>
        <w:t>收</w:t>
      </w:r>
      <w:r>
        <w:rPr>
          <w:rStyle w:val="19"/>
          <w:rFonts w:hint="eastAsia" w:ascii="黑体" w:eastAsia="黑体"/>
          <w:b w:val="0"/>
        </w:rPr>
        <w:t>入支出决算总体情况说明</w:t>
      </w:r>
      <w:bookmarkEnd w:id="22"/>
      <w:bookmarkEnd w:id="23"/>
    </w:p>
    <w:p>
      <w:pPr>
        <w:keepNext w:val="0"/>
        <w:keepLines w:val="0"/>
        <w:pageBreakBefore w:val="0"/>
        <w:tabs>
          <w:tab w:val="left" w:pos="685"/>
        </w:tabs>
        <w:kinsoku/>
        <w:wordWrap/>
        <w:overflowPunct/>
        <w:topLinePunct w:val="0"/>
        <w:autoSpaceDE/>
        <w:autoSpaceDN/>
        <w:bidi w:val="0"/>
        <w:spacing w:line="530" w:lineRule="exact"/>
        <w:ind w:firstLineChars="200"/>
        <w:textAlignment w:val="auto"/>
        <w:rPr>
          <w:rFonts w:hint="eastAsia" w:ascii="仿宋_GB2312" w:hAnsi="仿宋_GB2312" w:eastAsia="仿宋_GB2312" w:cs="仿宋_GB2312"/>
          <w:lang w:val="zh-CN"/>
        </w:rPr>
      </w:pPr>
      <w:bookmarkStart w:id="24" w:name="_Toc15396604"/>
      <w:bookmarkStart w:id="25" w:name="_Toc15377206"/>
      <w:r>
        <w:rPr>
          <w:rFonts w:hint="eastAsia" w:ascii="仿宋_GB2312" w:hAnsi="仿宋_GB2312" w:eastAsia="仿宋_GB2312" w:cs="仿宋_GB2312"/>
          <w:sz w:val="32"/>
          <w:szCs w:val="32"/>
        </w:rPr>
        <w:t>2019年本年收</w:t>
      </w:r>
      <w:r>
        <w:rPr>
          <w:rFonts w:hint="eastAsia" w:ascii="仿宋_GB2312" w:hAnsi="仿宋_GB2312" w:eastAsia="仿宋_GB2312" w:cs="仿宋_GB2312"/>
          <w:sz w:val="32"/>
          <w:szCs w:val="32"/>
          <w:lang w:eastAsia="zh-CN"/>
        </w:rPr>
        <w:t>支</w:t>
      </w:r>
      <w:r>
        <w:rPr>
          <w:rFonts w:hint="eastAsia" w:ascii="仿宋_GB2312" w:hAnsi="仿宋_GB2312" w:eastAsia="仿宋_GB2312" w:cs="仿宋_GB2312"/>
          <w:sz w:val="32"/>
          <w:szCs w:val="32"/>
        </w:rPr>
        <w:t>合计</w:t>
      </w:r>
      <w:r>
        <w:rPr>
          <w:rFonts w:hint="eastAsia" w:ascii="仿宋_GB2312" w:hAnsi="仿宋_GB2312" w:eastAsia="仿宋_GB2312" w:cs="仿宋_GB2312"/>
          <w:sz w:val="32"/>
          <w:szCs w:val="32"/>
          <w:lang w:val="en-US" w:eastAsia="zh-CN"/>
        </w:rPr>
        <w:t>72.32万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000000"/>
          <w:sz w:val="32"/>
          <w:szCs w:val="32"/>
        </w:rPr>
        <w:t>与2018年相比，财政拨款收、支总计减少</w:t>
      </w:r>
      <w:r>
        <w:rPr>
          <w:rFonts w:hint="eastAsia" w:ascii="仿宋_GB2312" w:hAnsi="仿宋_GB2312" w:eastAsia="仿宋_GB2312" w:cs="仿宋_GB2312"/>
          <w:color w:val="000000"/>
          <w:sz w:val="32"/>
          <w:szCs w:val="32"/>
          <w:lang w:val="en-US" w:eastAsia="zh-CN"/>
        </w:rPr>
        <w:t>24.18</w:t>
      </w:r>
      <w:r>
        <w:rPr>
          <w:rFonts w:hint="eastAsia" w:ascii="仿宋_GB2312" w:hAnsi="仿宋_GB2312" w:eastAsia="仿宋_GB2312" w:cs="仿宋_GB2312"/>
          <w:color w:val="000000"/>
          <w:sz w:val="32"/>
          <w:szCs w:val="32"/>
        </w:rPr>
        <w:t>万元，下降</w:t>
      </w:r>
      <w:r>
        <w:rPr>
          <w:rFonts w:hint="eastAsia" w:ascii="仿宋_GB2312" w:hAnsi="仿宋_GB2312" w:eastAsia="仿宋_GB2312" w:cs="仿宋_GB2312"/>
          <w:color w:val="000000"/>
          <w:sz w:val="32"/>
          <w:szCs w:val="32"/>
          <w:lang w:val="en-US" w:eastAsia="zh-CN"/>
        </w:rPr>
        <w:t>33.43</w:t>
      </w:r>
      <w:r>
        <w:rPr>
          <w:rFonts w:hint="eastAsia" w:ascii="仿宋_GB2312" w:hAnsi="仿宋_GB2312" w:eastAsia="仿宋_GB2312" w:cs="仿宋_GB2312"/>
          <w:color w:val="000000"/>
          <w:sz w:val="32"/>
          <w:szCs w:val="32"/>
        </w:rPr>
        <w:t>%。</w:t>
      </w:r>
    </w:p>
    <w:p>
      <w:pPr>
        <w:pStyle w:val="24"/>
        <w:numPr>
          <w:ilvl w:val="0"/>
          <w:numId w:val="1"/>
        </w:numPr>
        <w:spacing w:line="600" w:lineRule="exact"/>
        <w:ind w:firstLineChars="0"/>
        <w:outlineLvl w:val="1"/>
        <w:rPr>
          <w:rStyle w:val="19"/>
          <w:rFonts w:ascii="黑体" w:eastAsia="黑体"/>
          <w:b w:val="0"/>
        </w:rPr>
      </w:pPr>
      <w:r>
        <w:rPr>
          <w:rFonts w:hint="eastAsia" w:ascii="黑体" w:eastAsia="黑体"/>
          <w:color w:val="000000"/>
          <w:sz w:val="32"/>
          <w:szCs w:val="32"/>
        </w:rPr>
        <w:t>收</w:t>
      </w:r>
      <w:r>
        <w:rPr>
          <w:rStyle w:val="19"/>
          <w:rFonts w:hint="eastAsia" w:ascii="黑体" w:eastAsia="黑体"/>
          <w:b w:val="0"/>
        </w:rPr>
        <w:t>入决算情况说明</w:t>
      </w:r>
      <w:bookmarkEnd w:id="24"/>
      <w:bookmarkEnd w:id="25"/>
    </w:p>
    <w:p>
      <w:pPr>
        <w:keepNext w:val="0"/>
        <w:keepLines w:val="0"/>
        <w:pageBreakBefore w:val="0"/>
        <w:widowControl/>
        <w:kinsoku/>
        <w:wordWrap/>
        <w:overflowPunct/>
        <w:topLinePunct w:val="0"/>
        <w:autoSpaceDE/>
        <w:autoSpaceDN/>
        <w:bidi w:val="0"/>
        <w:adjustRightInd w:val="0"/>
        <w:snapToGrid w:val="0"/>
        <w:spacing w:line="530" w:lineRule="exact"/>
        <w:ind w:firstLine="720"/>
        <w:jc w:val="left"/>
        <w:textAlignment w:val="auto"/>
        <w:rPr>
          <w:rFonts w:hint="eastAsia" w:ascii="仿宋_GB2312" w:hAnsi="仿宋_GB2312" w:eastAsia="仿宋_GB2312" w:cs="仿宋_GB2312"/>
          <w:sz w:val="32"/>
          <w:szCs w:val="32"/>
          <w:lang w:val="en-US" w:eastAsia="zh-CN"/>
        </w:rPr>
      </w:pPr>
      <w:bookmarkStart w:id="26" w:name="_Toc15396605"/>
      <w:bookmarkStart w:id="27" w:name="_Toc15377207"/>
      <w:r>
        <w:rPr>
          <w:rFonts w:hint="eastAsia" w:ascii="仿宋_GB2312" w:hAnsi="仿宋_GB2312" w:eastAsia="仿宋_GB2312" w:cs="仿宋_GB2312"/>
          <w:sz w:val="32"/>
          <w:szCs w:val="32"/>
        </w:rPr>
        <w:t>2019年政法委本年收入合计</w:t>
      </w:r>
      <w:r>
        <w:rPr>
          <w:rFonts w:hint="eastAsia" w:ascii="仿宋_GB2312" w:hAnsi="仿宋_GB2312" w:cs="仿宋_GB2312"/>
          <w:sz w:val="32"/>
          <w:szCs w:val="32"/>
          <w:lang w:val="en-US" w:eastAsia="zh-CN"/>
        </w:rPr>
        <w:t>36.16万</w:t>
      </w:r>
      <w:r>
        <w:rPr>
          <w:rFonts w:hint="eastAsia" w:ascii="仿宋_GB2312" w:hAnsi="仿宋_GB2312" w:eastAsia="仿宋_GB2312" w:cs="仿宋_GB2312"/>
          <w:sz w:val="32"/>
          <w:szCs w:val="32"/>
        </w:rPr>
        <w:t>元，其中：财政拨款收入</w:t>
      </w:r>
      <w:r>
        <w:rPr>
          <w:rFonts w:hint="eastAsia" w:ascii="仿宋_GB2312" w:hAnsi="仿宋_GB2312" w:cs="仿宋_GB2312"/>
          <w:sz w:val="32"/>
          <w:szCs w:val="32"/>
          <w:lang w:val="en-US" w:eastAsia="zh-CN"/>
        </w:rPr>
        <w:t>36.16万</w:t>
      </w:r>
      <w:r>
        <w:rPr>
          <w:rFonts w:hint="eastAsia" w:ascii="仿宋_GB2312" w:hAnsi="仿宋_GB2312" w:eastAsia="仿宋_GB2312" w:cs="仿宋_GB2312"/>
          <w:sz w:val="32"/>
          <w:szCs w:val="32"/>
        </w:rPr>
        <w:t>元，占100%。</w:t>
      </w:r>
    </w:p>
    <w:p>
      <w:pPr>
        <w:pStyle w:val="24"/>
        <w:numPr>
          <w:ilvl w:val="0"/>
          <w:numId w:val="1"/>
        </w:numPr>
        <w:spacing w:line="600" w:lineRule="exact"/>
        <w:ind w:firstLineChars="0"/>
        <w:outlineLvl w:val="1"/>
        <w:rPr>
          <w:rStyle w:val="19"/>
          <w:rFonts w:ascii="黑体" w:eastAsia="黑体"/>
          <w:b w:val="0"/>
        </w:rPr>
      </w:pPr>
      <w:r>
        <w:rPr>
          <w:rFonts w:hint="eastAsia" w:ascii="黑体" w:eastAsia="黑体"/>
          <w:color w:val="000000"/>
          <w:sz w:val="32"/>
          <w:szCs w:val="32"/>
        </w:rPr>
        <w:t>支</w:t>
      </w:r>
      <w:r>
        <w:rPr>
          <w:rStyle w:val="19"/>
          <w:rFonts w:hint="eastAsia" w:ascii="黑体" w:eastAsia="黑体"/>
          <w:b w:val="0"/>
        </w:rPr>
        <w:t>出决算情况说明</w:t>
      </w:r>
      <w:bookmarkEnd w:id="26"/>
      <w:bookmarkEnd w:id="27"/>
    </w:p>
    <w:p>
      <w:pPr>
        <w:keepNext w:val="0"/>
        <w:keepLines w:val="0"/>
        <w:pageBreakBefore w:val="0"/>
        <w:widowControl/>
        <w:kinsoku/>
        <w:wordWrap/>
        <w:overflowPunct/>
        <w:topLinePunct w:val="0"/>
        <w:autoSpaceDE/>
        <w:autoSpaceDN/>
        <w:bidi w:val="0"/>
        <w:adjustRightInd w:val="0"/>
        <w:snapToGrid w:val="0"/>
        <w:spacing w:line="530" w:lineRule="exact"/>
        <w:ind w:firstLine="720"/>
        <w:jc w:val="left"/>
        <w:textAlignment w:val="auto"/>
        <w:rPr>
          <w:rFonts w:hint="eastAsia" w:ascii="仿宋_GB2312" w:hAnsi="仿宋_GB2312" w:eastAsia="仿宋_GB2312" w:cs="仿宋_GB2312"/>
          <w:sz w:val="32"/>
          <w:szCs w:val="32"/>
          <w:lang w:val="en-US" w:eastAsia="zh-CN"/>
        </w:rPr>
      </w:pPr>
      <w:bookmarkStart w:id="28" w:name="_Toc15396606"/>
      <w:bookmarkStart w:id="29" w:name="_Toc15377208"/>
      <w:r>
        <w:rPr>
          <w:rFonts w:hint="eastAsia" w:ascii="仿宋_GB2312" w:hAnsi="仿宋_GB2312" w:eastAsia="仿宋_GB2312" w:cs="仿宋_GB2312"/>
          <w:sz w:val="32"/>
          <w:szCs w:val="32"/>
        </w:rPr>
        <w:t>2019年政法委本年支出合计</w:t>
      </w:r>
      <w:r>
        <w:rPr>
          <w:rFonts w:hint="eastAsia" w:ascii="仿宋_GB2312" w:hAnsi="仿宋_GB2312" w:cs="仿宋_GB2312"/>
          <w:sz w:val="32"/>
          <w:szCs w:val="32"/>
          <w:lang w:val="en-US" w:eastAsia="zh-CN"/>
        </w:rPr>
        <w:t>36.16万</w:t>
      </w:r>
      <w:r>
        <w:rPr>
          <w:rFonts w:hint="eastAsia" w:ascii="仿宋_GB2312" w:hAnsi="仿宋_GB2312" w:eastAsia="仿宋_GB2312" w:cs="仿宋_GB2312"/>
          <w:sz w:val="32"/>
          <w:szCs w:val="32"/>
        </w:rPr>
        <w:t>元，其中：基本支出</w:t>
      </w:r>
      <w:r>
        <w:rPr>
          <w:rFonts w:hint="eastAsia" w:ascii="仿宋_GB2312" w:hAnsi="仿宋_GB2312" w:cs="仿宋_GB2312"/>
          <w:sz w:val="32"/>
          <w:szCs w:val="32"/>
          <w:lang w:val="en-US" w:eastAsia="zh-CN"/>
        </w:rPr>
        <w:t>36.16万</w:t>
      </w:r>
      <w:r>
        <w:rPr>
          <w:rFonts w:hint="eastAsia" w:ascii="仿宋_GB2312" w:hAnsi="仿宋_GB2312" w:eastAsia="仿宋_GB2312" w:cs="仿宋_GB2312"/>
          <w:sz w:val="32"/>
          <w:szCs w:val="32"/>
        </w:rPr>
        <w:t>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cs="仿宋_GB2312"/>
          <w:sz w:val="32"/>
          <w:szCs w:val="32"/>
          <w:lang w:eastAsia="zh-CN"/>
        </w:rPr>
        <w:t>。</w:t>
      </w:r>
    </w:p>
    <w:p>
      <w:pPr>
        <w:spacing w:line="600" w:lineRule="exact"/>
        <w:ind w:firstLine="640" w:firstLineChars="200"/>
        <w:outlineLvl w:val="1"/>
        <w:rPr>
          <w:rStyle w:val="19"/>
          <w:rFonts w:ascii="黑体" w:eastAsia="黑体"/>
          <w:b w:val="0"/>
        </w:rPr>
      </w:pPr>
      <w:r>
        <w:rPr>
          <w:rFonts w:hint="eastAsia" w:ascii="黑体" w:eastAsia="黑体"/>
          <w:color w:val="000000"/>
          <w:sz w:val="32"/>
          <w:szCs w:val="32"/>
        </w:rPr>
        <w:t>四、财</w:t>
      </w:r>
      <w:r>
        <w:rPr>
          <w:rStyle w:val="19"/>
          <w:rFonts w:hint="eastAsia" w:ascii="黑体" w:eastAsia="黑体"/>
          <w:b w:val="0"/>
        </w:rPr>
        <w:t>政拨款收入支出决算总体情况说明</w:t>
      </w:r>
      <w:bookmarkEnd w:id="28"/>
      <w:bookmarkEnd w:id="29"/>
    </w:p>
    <w:p>
      <w:pPr>
        <w:spacing w:line="600"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9年财政拨款收、支总计</w:t>
      </w:r>
      <w:r>
        <w:rPr>
          <w:rFonts w:hint="eastAsia" w:ascii="仿宋" w:eastAsia="仿宋"/>
          <w:color w:val="000000"/>
          <w:sz w:val="32"/>
          <w:szCs w:val="32"/>
          <w:lang w:val="en-US" w:eastAsia="zh-CN"/>
        </w:rPr>
        <w:t>72.32</w:t>
      </w:r>
      <w:r>
        <w:rPr>
          <w:rFonts w:hint="eastAsia" w:ascii="仿宋" w:eastAsia="仿宋"/>
          <w:color w:val="000000"/>
          <w:sz w:val="32"/>
          <w:szCs w:val="32"/>
        </w:rPr>
        <w:t>万元。与</w:t>
      </w:r>
      <w:r>
        <w:rPr>
          <w:rFonts w:ascii="仿宋" w:eastAsia="仿宋"/>
          <w:color w:val="000000"/>
          <w:sz w:val="32"/>
          <w:szCs w:val="32"/>
        </w:rPr>
        <w:t>201</w:t>
      </w:r>
      <w:r>
        <w:rPr>
          <w:rFonts w:hint="eastAsia" w:ascii="仿宋" w:eastAsia="仿宋"/>
          <w:color w:val="000000"/>
          <w:sz w:val="32"/>
          <w:szCs w:val="32"/>
        </w:rPr>
        <w:t>8年相比，财政拨款收、支总计减少</w:t>
      </w:r>
      <w:r>
        <w:rPr>
          <w:rFonts w:hint="eastAsia" w:ascii="仿宋" w:eastAsia="仿宋"/>
          <w:color w:val="000000"/>
          <w:sz w:val="32"/>
          <w:szCs w:val="32"/>
          <w:lang w:val="en-US" w:eastAsia="zh-CN"/>
        </w:rPr>
        <w:t>24.18</w:t>
      </w:r>
      <w:r>
        <w:rPr>
          <w:rFonts w:hint="eastAsia" w:ascii="仿宋" w:eastAsia="仿宋"/>
          <w:color w:val="000000"/>
          <w:sz w:val="32"/>
          <w:szCs w:val="32"/>
        </w:rPr>
        <w:t>万元，下降</w:t>
      </w:r>
      <w:r>
        <w:rPr>
          <w:rFonts w:hint="eastAsia" w:ascii="仿宋" w:eastAsia="仿宋"/>
          <w:color w:val="000000"/>
          <w:sz w:val="32"/>
          <w:szCs w:val="32"/>
          <w:lang w:val="en-US" w:eastAsia="zh-CN"/>
        </w:rPr>
        <w:t>33.43</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1"/>
        <w:rPr>
          <w:rStyle w:val="19"/>
          <w:rFonts w:ascii="黑体" w:eastAsia="黑体"/>
          <w:b w:val="0"/>
        </w:rPr>
      </w:pPr>
      <w:bookmarkStart w:id="30" w:name="_Toc15396607"/>
      <w:bookmarkStart w:id="31" w:name="_Toc15377209"/>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30"/>
      <w:bookmarkEnd w:id="31"/>
    </w:p>
    <w:p>
      <w:pPr>
        <w:spacing w:line="600" w:lineRule="exact"/>
        <w:ind w:firstLine="643" w:firstLineChars="200"/>
        <w:outlineLvl w:val="2"/>
        <w:rPr>
          <w:rFonts w:ascii="仿宋" w:eastAsia="仿宋"/>
          <w:b/>
          <w:color w:val="000000"/>
          <w:sz w:val="32"/>
          <w:szCs w:val="32"/>
        </w:rPr>
      </w:pPr>
      <w:bookmarkStart w:id="32" w:name="_Toc15377210"/>
      <w:r>
        <w:rPr>
          <w:rFonts w:hint="eastAsia" w:ascii="仿宋" w:eastAsia="仿宋"/>
          <w:b/>
          <w:color w:val="000000"/>
          <w:sz w:val="32"/>
          <w:szCs w:val="32"/>
        </w:rPr>
        <w:t>（一）一般公共预算财政拨款支出决算总体情况</w:t>
      </w:r>
      <w:bookmarkEnd w:id="32"/>
    </w:p>
    <w:p>
      <w:pPr>
        <w:spacing w:line="600" w:lineRule="exact"/>
        <w:ind w:firstLine="640" w:firstLineChars="20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9年一般公共预算财政拨款支出</w:t>
      </w:r>
      <w:r>
        <w:rPr>
          <w:rFonts w:hint="eastAsia" w:ascii="仿宋" w:eastAsia="仿宋"/>
          <w:color w:val="000000"/>
          <w:sz w:val="32"/>
          <w:szCs w:val="32"/>
          <w:lang w:val="en-US" w:eastAsia="zh-CN"/>
        </w:rPr>
        <w:t>36.16</w:t>
      </w:r>
      <w:r>
        <w:rPr>
          <w:rFonts w:hint="eastAsia" w:ascii="仿宋" w:eastAsia="仿宋"/>
          <w:color w:val="000000"/>
          <w:sz w:val="32"/>
          <w:szCs w:val="32"/>
        </w:rPr>
        <w:t>万元，占本年支出合计的</w:t>
      </w:r>
      <w:r>
        <w:rPr>
          <w:rFonts w:ascii="仿宋" w:eastAsia="仿宋"/>
          <w:color w:val="000000"/>
          <w:sz w:val="32"/>
          <w:szCs w:val="32"/>
        </w:rPr>
        <w:t>100%</w:t>
      </w:r>
      <w:r>
        <w:rPr>
          <w:rFonts w:hint="eastAsia" w:ascii="仿宋" w:eastAsia="仿宋"/>
          <w:color w:val="000000"/>
          <w:sz w:val="32"/>
          <w:szCs w:val="32"/>
        </w:rPr>
        <w:t>。与</w:t>
      </w:r>
      <w:r>
        <w:rPr>
          <w:rFonts w:ascii="仿宋" w:eastAsia="仿宋"/>
          <w:color w:val="000000"/>
          <w:sz w:val="32"/>
          <w:szCs w:val="32"/>
        </w:rPr>
        <w:t>201</w:t>
      </w:r>
      <w:r>
        <w:rPr>
          <w:rFonts w:hint="eastAsia" w:ascii="仿宋" w:eastAsia="仿宋"/>
          <w:color w:val="000000"/>
          <w:sz w:val="32"/>
          <w:szCs w:val="32"/>
        </w:rPr>
        <w:t>8年相比，一般公共预算财政拨款减少</w:t>
      </w:r>
      <w:r>
        <w:rPr>
          <w:rFonts w:hint="eastAsia" w:ascii="仿宋" w:eastAsia="仿宋"/>
          <w:color w:val="000000"/>
          <w:sz w:val="32"/>
          <w:szCs w:val="32"/>
          <w:lang w:val="en-US" w:eastAsia="zh-CN"/>
        </w:rPr>
        <w:t>15.19</w:t>
      </w:r>
      <w:r>
        <w:rPr>
          <w:rFonts w:hint="eastAsia" w:ascii="仿宋" w:eastAsia="仿宋"/>
          <w:color w:val="000000"/>
          <w:sz w:val="32"/>
          <w:szCs w:val="32"/>
        </w:rPr>
        <w:t>万元，下降</w:t>
      </w:r>
      <w:r>
        <w:rPr>
          <w:rFonts w:hint="eastAsia" w:ascii="仿宋" w:eastAsia="仿宋"/>
          <w:color w:val="000000"/>
          <w:sz w:val="32"/>
          <w:szCs w:val="32"/>
          <w:lang w:val="en-US" w:eastAsia="zh-CN"/>
        </w:rPr>
        <w:t>41.73</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3" w:firstLineChars="200"/>
        <w:outlineLvl w:val="2"/>
        <w:rPr>
          <w:rFonts w:ascii="仿宋" w:eastAsia="仿宋"/>
          <w:b/>
          <w:color w:val="000000"/>
          <w:sz w:val="32"/>
          <w:szCs w:val="32"/>
        </w:rPr>
      </w:pPr>
      <w:bookmarkStart w:id="33" w:name="_Toc15377211"/>
      <w:r>
        <w:rPr>
          <w:rFonts w:hint="eastAsia" w:ascii="仿宋" w:eastAsia="仿宋"/>
          <w:b/>
          <w:color w:val="000000"/>
          <w:sz w:val="32"/>
          <w:szCs w:val="32"/>
        </w:rPr>
        <w:t>（二）一般公共预算财政拨款支出决算结构情况</w:t>
      </w:r>
      <w:bookmarkEnd w:id="33"/>
    </w:p>
    <w:p>
      <w:pPr>
        <w:spacing w:line="600"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9年一般公共预算财政拨款支出</w:t>
      </w:r>
      <w:r>
        <w:rPr>
          <w:rFonts w:hint="eastAsia" w:ascii="仿宋" w:eastAsia="仿宋"/>
          <w:color w:val="000000"/>
          <w:sz w:val="32"/>
          <w:szCs w:val="32"/>
          <w:lang w:val="en-US" w:eastAsia="zh-CN"/>
        </w:rPr>
        <w:t>36.16</w:t>
      </w:r>
      <w:r>
        <w:rPr>
          <w:rFonts w:hint="eastAsia" w:ascii="仿宋" w:eastAsia="仿宋"/>
          <w:color w:val="000000"/>
          <w:sz w:val="32"/>
          <w:szCs w:val="32"/>
        </w:rPr>
        <w:t>万元，主要用于以下方面</w:t>
      </w:r>
      <w:r>
        <w:rPr>
          <w:rFonts w:ascii="仿宋" w:eastAsia="仿宋"/>
          <w:color w:val="000000"/>
          <w:sz w:val="32"/>
          <w:szCs w:val="32"/>
        </w:rPr>
        <w:t>:</w:t>
      </w:r>
      <w:r>
        <w:rPr>
          <w:rFonts w:ascii="仿宋" w:eastAsia="仿宋"/>
          <w:b/>
          <w:color w:val="000000"/>
          <w:sz w:val="32"/>
          <w:szCs w:val="32"/>
        </w:rPr>
        <w:t>公共安全</w:t>
      </w:r>
      <w:r>
        <w:rPr>
          <w:rFonts w:hint="eastAsia" w:ascii="仿宋" w:eastAsia="仿宋"/>
          <w:b/>
          <w:color w:val="000000"/>
          <w:sz w:val="32"/>
          <w:szCs w:val="32"/>
        </w:rPr>
        <w:t>（</w:t>
      </w:r>
      <w:r>
        <w:rPr>
          <w:rFonts w:ascii="仿宋" w:eastAsia="仿宋"/>
          <w:b/>
          <w:color w:val="000000"/>
          <w:sz w:val="32"/>
          <w:szCs w:val="32"/>
        </w:rPr>
        <w:t>204</w:t>
      </w:r>
      <w:r>
        <w:rPr>
          <w:rFonts w:hint="eastAsia" w:ascii="仿宋" w:eastAsia="仿宋"/>
          <w:b/>
          <w:color w:val="000000"/>
          <w:sz w:val="32"/>
          <w:szCs w:val="32"/>
        </w:rPr>
        <w:t>）</w:t>
      </w:r>
      <w:r>
        <w:rPr>
          <w:rFonts w:hint="eastAsia" w:ascii="仿宋" w:eastAsia="仿宋"/>
          <w:color w:val="000000"/>
          <w:sz w:val="32"/>
          <w:szCs w:val="32"/>
        </w:rPr>
        <w:t>支出</w:t>
      </w:r>
      <w:r>
        <w:rPr>
          <w:rFonts w:hint="eastAsia" w:ascii="仿宋" w:eastAsia="仿宋"/>
          <w:color w:val="000000"/>
          <w:sz w:val="32"/>
          <w:szCs w:val="32"/>
          <w:lang w:val="en-US" w:eastAsia="zh-CN"/>
        </w:rPr>
        <w:t>36.16</w:t>
      </w:r>
      <w:bookmarkStart w:id="70" w:name="_GoBack"/>
      <w:bookmarkEnd w:id="70"/>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3" w:firstLineChars="200"/>
        <w:outlineLvl w:val="2"/>
        <w:rPr>
          <w:rFonts w:ascii="仿宋" w:eastAsia="仿宋"/>
          <w:b/>
          <w:color w:val="000000"/>
          <w:sz w:val="32"/>
          <w:szCs w:val="32"/>
        </w:rPr>
      </w:pPr>
      <w:bookmarkStart w:id="34" w:name="_Toc15377212"/>
      <w:r>
        <w:rPr>
          <w:rFonts w:hint="eastAsia" w:ascii="仿宋" w:eastAsia="仿宋"/>
          <w:b/>
          <w:color w:val="000000"/>
          <w:sz w:val="32"/>
          <w:szCs w:val="32"/>
        </w:rPr>
        <w:t>（三）一般公共预算财政拨款支出决算具体情况</w:t>
      </w:r>
      <w:bookmarkEnd w:id="34"/>
    </w:p>
    <w:p>
      <w:pPr>
        <w:spacing w:line="600" w:lineRule="exact"/>
        <w:ind w:firstLine="643" w:firstLineChars="200"/>
        <w:outlineLvl w:val="2"/>
        <w:rPr>
          <w:rFonts w:ascii="仿宋" w:eastAsia="仿宋"/>
          <w:color w:val="FF0000"/>
          <w:sz w:val="32"/>
          <w:szCs w:val="32"/>
        </w:rPr>
      </w:pPr>
      <w:bookmarkStart w:id="35" w:name="_Toc15377213"/>
      <w:bookmarkStart w:id="36" w:name="_Toc15378460"/>
      <w:bookmarkStart w:id="37" w:name="_Toc15377444"/>
      <w:r>
        <w:rPr>
          <w:rFonts w:hint="eastAsia" w:ascii="仿宋" w:eastAsia="仿宋"/>
          <w:b/>
          <w:color w:val="000000"/>
          <w:sz w:val="32"/>
          <w:szCs w:val="32"/>
        </w:rPr>
        <w:t>2019年般公共预算支出决算数</w:t>
      </w:r>
      <w:r>
        <w:rPr>
          <w:rFonts w:hint="eastAsia" w:ascii="仿宋" w:eastAsia="仿宋"/>
          <w:b/>
          <w:color w:val="000000"/>
          <w:sz w:val="32"/>
          <w:szCs w:val="32"/>
          <w:lang w:val="en-US" w:eastAsia="zh-CN"/>
        </w:rPr>
        <w:t>36.16</w:t>
      </w:r>
      <w:r>
        <w:rPr>
          <w:rFonts w:ascii="仿宋" w:eastAsia="仿宋"/>
          <w:b/>
          <w:color w:val="000000"/>
          <w:sz w:val="32"/>
          <w:szCs w:val="32"/>
        </w:rPr>
        <w:t>万元</w:t>
      </w:r>
      <w:r>
        <w:rPr>
          <w:rFonts w:hint="eastAsia" w:ascii="仿宋" w:eastAsia="仿宋"/>
          <w:color w:val="000000"/>
          <w:sz w:val="32"/>
          <w:szCs w:val="32"/>
        </w:rPr>
        <w:t>，</w:t>
      </w:r>
      <w:r>
        <w:rPr>
          <w:rStyle w:val="16"/>
          <w:rFonts w:hint="eastAsia" w:ascii="仿宋" w:eastAsia="仿宋"/>
          <w:bCs/>
          <w:color w:val="000000"/>
          <w:sz w:val="32"/>
          <w:szCs w:val="32"/>
        </w:rPr>
        <w:t>完成预算</w:t>
      </w:r>
      <w:r>
        <w:rPr>
          <w:rStyle w:val="16"/>
          <w:rFonts w:hint="eastAsia" w:ascii="仿宋" w:eastAsia="仿宋"/>
          <w:bCs/>
          <w:color w:val="000000"/>
          <w:sz w:val="32"/>
          <w:szCs w:val="32"/>
          <w:lang w:val="en-US" w:eastAsia="zh-CN"/>
        </w:rPr>
        <w:t>100</w:t>
      </w:r>
      <w:r>
        <w:rPr>
          <w:rStyle w:val="16"/>
          <w:rFonts w:ascii="仿宋" w:eastAsia="仿宋"/>
          <w:bCs/>
          <w:color w:val="000000"/>
          <w:sz w:val="32"/>
          <w:szCs w:val="32"/>
        </w:rPr>
        <w:t>%</w:t>
      </w:r>
      <w:r>
        <w:rPr>
          <w:rStyle w:val="16"/>
          <w:rFonts w:hint="eastAsia" w:ascii="仿宋" w:eastAsia="仿宋"/>
          <w:bCs/>
          <w:color w:val="000000"/>
          <w:sz w:val="32"/>
          <w:szCs w:val="32"/>
        </w:rPr>
        <w:t>。其中：</w:t>
      </w:r>
      <w:bookmarkEnd w:id="35"/>
      <w:bookmarkEnd w:id="36"/>
      <w:bookmarkEnd w:id="37"/>
    </w:p>
    <w:p>
      <w:pPr>
        <w:spacing w:line="600" w:lineRule="exact"/>
        <w:ind w:firstLine="643" w:firstLineChars="200"/>
        <w:rPr>
          <w:rFonts w:ascii="仿宋" w:eastAsia="仿宋"/>
          <w:b/>
          <w:color w:val="000000"/>
          <w:sz w:val="32"/>
          <w:szCs w:val="32"/>
        </w:rPr>
      </w:pPr>
      <w:r>
        <w:rPr>
          <w:rStyle w:val="16"/>
          <w:rFonts w:ascii="仿宋" w:eastAsia="仿宋"/>
          <w:bCs/>
          <w:color w:val="000000"/>
          <w:sz w:val="32"/>
          <w:szCs w:val="32"/>
        </w:rPr>
        <w:t>1.公共安全</w:t>
      </w:r>
      <w:r>
        <w:rPr>
          <w:rStyle w:val="16"/>
          <w:rFonts w:hint="eastAsia" w:ascii="仿宋" w:eastAsia="仿宋"/>
          <w:bCs/>
          <w:color w:val="000000"/>
          <w:sz w:val="32"/>
          <w:szCs w:val="32"/>
        </w:rPr>
        <w:t>（</w:t>
      </w:r>
      <w:r>
        <w:rPr>
          <w:rStyle w:val="16"/>
          <w:rFonts w:ascii="仿宋" w:eastAsia="仿宋"/>
          <w:bCs/>
          <w:color w:val="000000"/>
          <w:sz w:val="32"/>
          <w:szCs w:val="32"/>
        </w:rPr>
        <w:t>204</w:t>
      </w:r>
      <w:r>
        <w:rPr>
          <w:rStyle w:val="16"/>
          <w:rFonts w:hint="eastAsia" w:ascii="仿宋" w:eastAsia="仿宋"/>
          <w:bCs/>
          <w:color w:val="000000"/>
          <w:sz w:val="32"/>
          <w:szCs w:val="32"/>
        </w:rPr>
        <w:t>）</w:t>
      </w:r>
      <w:r>
        <w:rPr>
          <w:rStyle w:val="16"/>
          <w:rFonts w:hint="eastAsia" w:ascii="仿宋" w:eastAsia="仿宋"/>
          <w:bCs/>
          <w:color w:val="000000"/>
          <w:sz w:val="32"/>
          <w:szCs w:val="32"/>
          <w:lang w:val="en-US" w:eastAsia="zh-CN"/>
        </w:rPr>
        <w:t>公安（</w:t>
      </w:r>
      <w:r>
        <w:rPr>
          <w:rStyle w:val="16"/>
          <w:rFonts w:hint="eastAsia" w:ascii="仿宋" w:eastAsia="仿宋"/>
          <w:bCs/>
          <w:color w:val="000000"/>
          <w:sz w:val="32"/>
          <w:szCs w:val="32"/>
        </w:rPr>
        <w:t>0</w:t>
      </w:r>
      <w:r>
        <w:rPr>
          <w:rStyle w:val="16"/>
          <w:rFonts w:hint="eastAsia" w:ascii="仿宋" w:eastAsia="仿宋"/>
          <w:bCs/>
          <w:color w:val="000000"/>
          <w:sz w:val="32"/>
          <w:szCs w:val="32"/>
          <w:lang w:val="en-US" w:eastAsia="zh-CN"/>
        </w:rPr>
        <w:t>2）事业运行（50</w:t>
      </w:r>
      <w:r>
        <w:rPr>
          <w:rStyle w:val="16"/>
          <w:rFonts w:hint="eastAsia" w:ascii="仿宋" w:eastAsia="仿宋"/>
          <w:bCs/>
          <w:color w:val="000000"/>
          <w:sz w:val="32"/>
          <w:szCs w:val="32"/>
          <w:lang w:eastAsia="zh-CN"/>
        </w:rPr>
        <w:t>）</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36.16</w:t>
      </w:r>
      <w:r>
        <w:rPr>
          <w:rStyle w:val="16"/>
          <w:rFonts w:ascii="仿宋" w:eastAsia="仿宋"/>
          <w:b w:val="0"/>
          <w:bCs/>
          <w:color w:val="000000"/>
          <w:sz w:val="32"/>
          <w:szCs w:val="32"/>
        </w:rPr>
        <w:t>万</w:t>
      </w:r>
      <w:r>
        <w:rPr>
          <w:rStyle w:val="16"/>
          <w:rFonts w:hint="eastAsia" w:ascii="仿宋" w:eastAsia="仿宋"/>
          <w:b w:val="0"/>
          <w:bCs/>
          <w:color w:val="000000"/>
          <w:sz w:val="32"/>
          <w:szCs w:val="32"/>
        </w:rPr>
        <w:t>元，完成预算</w:t>
      </w:r>
      <w:r>
        <w:rPr>
          <w:rStyle w:val="16"/>
          <w:rFonts w:ascii="仿宋" w:eastAsia="仿宋"/>
          <w:b w:val="0"/>
          <w:bCs/>
          <w:color w:val="000000"/>
          <w:sz w:val="32"/>
          <w:szCs w:val="32"/>
        </w:rPr>
        <w:t>100%</w:t>
      </w:r>
      <w:r>
        <w:rPr>
          <w:rStyle w:val="16"/>
          <w:rFonts w:hint="eastAsia" w:ascii="仿宋" w:eastAsia="仿宋"/>
          <w:b w:val="0"/>
          <w:bCs/>
          <w:color w:val="000000"/>
          <w:sz w:val="32"/>
          <w:szCs w:val="32"/>
          <w:lang w:eastAsia="zh-CN"/>
        </w:rPr>
        <w:t>。</w:t>
      </w:r>
    </w:p>
    <w:p>
      <w:pPr>
        <w:tabs>
          <w:tab w:val="right" w:pos="8306"/>
        </w:tabs>
        <w:spacing w:line="600" w:lineRule="exact"/>
        <w:ind w:firstLine="640"/>
        <w:outlineLvl w:val="1"/>
        <w:rPr>
          <w:rStyle w:val="19"/>
        </w:rPr>
      </w:pPr>
      <w:bookmarkStart w:id="38" w:name="_Toc15396608"/>
      <w:bookmarkStart w:id="39" w:name="_Toc15377214"/>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38"/>
      <w:bookmarkEnd w:id="39"/>
      <w:r>
        <w:rPr>
          <w:rStyle w:val="19"/>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9年一般公共预算财政拨款基本支出</w:t>
      </w:r>
      <w:r>
        <w:rPr>
          <w:rFonts w:hint="eastAsia" w:ascii="仿宋" w:eastAsia="仿宋"/>
          <w:color w:val="000000"/>
          <w:sz w:val="32"/>
          <w:szCs w:val="32"/>
          <w:lang w:val="en-US" w:eastAsia="zh-CN"/>
        </w:rPr>
        <w:t>36.16</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34.16</w:t>
      </w:r>
      <w:r>
        <w:rPr>
          <w:rFonts w:hint="eastAsia" w:ascii="仿宋" w:eastAsia="仿宋"/>
          <w:color w:val="000000"/>
          <w:sz w:val="32"/>
          <w:szCs w:val="32"/>
        </w:rPr>
        <w:t>万元，主要包括：基本工资、津贴补贴、奖金、伙食补助费、绩效工资。</w:t>
      </w:r>
      <w:r>
        <w:rPr>
          <w:rFonts w:ascii="仿宋" w:eastAsia="仿宋"/>
          <w:color w:val="000000"/>
          <w:sz w:val="32"/>
          <w:szCs w:val="32"/>
        </w:rPr>
        <w:br w:type="textWrapping"/>
      </w:r>
      <w:r>
        <w:rPr>
          <w:rFonts w:hint="eastAsia" w:ascii="仿宋" w:eastAsia="仿宋"/>
          <w:color w:val="000000"/>
          <w:sz w:val="32"/>
          <w:szCs w:val="32"/>
        </w:rPr>
        <w:t>　　日常公用经费</w:t>
      </w:r>
      <w:r>
        <w:rPr>
          <w:rFonts w:hint="eastAsia" w:ascii="仿宋" w:eastAsia="仿宋"/>
          <w:color w:val="000000"/>
          <w:sz w:val="32"/>
          <w:szCs w:val="32"/>
          <w:lang w:val="en-US" w:eastAsia="zh-CN"/>
        </w:rPr>
        <w:t>2</w:t>
      </w:r>
      <w:r>
        <w:rPr>
          <w:rFonts w:hint="eastAsia" w:ascii="仿宋" w:eastAsia="仿宋"/>
          <w:color w:val="000000"/>
          <w:sz w:val="32"/>
          <w:szCs w:val="32"/>
        </w:rPr>
        <w:t>元，主要包括：办公费</w:t>
      </w:r>
      <w:r>
        <w:rPr>
          <w:rFonts w:hint="eastAsia" w:ascii="仿宋" w:eastAsia="仿宋"/>
          <w:color w:val="000000"/>
          <w:sz w:val="32"/>
          <w:szCs w:val="32"/>
          <w:lang w:eastAsia="zh-CN"/>
        </w:rPr>
        <w:t>、</w:t>
      </w:r>
      <w:r>
        <w:rPr>
          <w:rFonts w:hint="eastAsia" w:ascii="仿宋" w:eastAsia="仿宋"/>
          <w:color w:val="000000"/>
          <w:sz w:val="32"/>
          <w:szCs w:val="32"/>
        </w:rPr>
        <w:t>差旅费</w:t>
      </w:r>
      <w:r>
        <w:rPr>
          <w:rFonts w:hint="eastAsia" w:ascii="仿宋" w:eastAsia="仿宋"/>
          <w:color w:val="000000"/>
          <w:sz w:val="32"/>
          <w:szCs w:val="32"/>
          <w:lang w:eastAsia="zh-CN"/>
        </w:rPr>
        <w:t>。</w:t>
      </w:r>
    </w:p>
    <w:p>
      <w:pPr>
        <w:spacing w:line="600" w:lineRule="exact"/>
        <w:ind w:firstLine="640"/>
        <w:outlineLvl w:val="1"/>
        <w:rPr>
          <w:rStyle w:val="19"/>
          <w:rFonts w:ascii="黑体" w:eastAsia="黑体"/>
          <w:b w:val="0"/>
        </w:rPr>
      </w:pPr>
      <w:bookmarkStart w:id="40" w:name="_Toc15377215"/>
      <w:bookmarkStart w:id="41" w:name="_Toc15396609"/>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40"/>
      <w:bookmarkEnd w:id="41"/>
    </w:p>
    <w:p>
      <w:pPr>
        <w:spacing w:line="600" w:lineRule="exact"/>
        <w:ind w:firstLine="640"/>
        <w:outlineLvl w:val="2"/>
        <w:rPr>
          <w:rFonts w:ascii="仿宋" w:eastAsia="仿宋"/>
          <w:b/>
          <w:color w:val="000000"/>
          <w:sz w:val="32"/>
          <w:szCs w:val="32"/>
        </w:rPr>
      </w:pPr>
      <w:bookmarkStart w:id="42" w:name="_Toc15377216"/>
      <w:r>
        <w:rPr>
          <w:rFonts w:hint="eastAsia" w:ascii="仿宋" w:eastAsia="仿宋"/>
          <w:b/>
          <w:color w:val="000000"/>
          <w:sz w:val="32"/>
          <w:szCs w:val="32"/>
        </w:rPr>
        <w:t>（一）“三公”经费财政拨款支出决算总体情况说明</w:t>
      </w:r>
      <w:bookmarkEnd w:id="42"/>
    </w:p>
    <w:p>
      <w:pPr>
        <w:spacing w:line="600"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9年“三公”经费财政拨款支出决算为</w:t>
      </w:r>
      <w:r>
        <w:rPr>
          <w:rFonts w:hint="eastAsia" w:ascii="仿宋" w:eastAsia="仿宋"/>
          <w:color w:val="000000"/>
          <w:sz w:val="32"/>
          <w:szCs w:val="32"/>
          <w:lang w:val="en-US" w:eastAsia="zh-CN"/>
        </w:rPr>
        <w:t>0</w:t>
      </w:r>
      <w:r>
        <w:rPr>
          <w:rFonts w:hint="eastAsia" w:ascii="仿宋" w:eastAsia="仿宋"/>
          <w:color w:val="000000"/>
          <w:sz w:val="32"/>
          <w:szCs w:val="32"/>
        </w:rPr>
        <w:t>万元。</w:t>
      </w:r>
    </w:p>
    <w:p>
      <w:pPr>
        <w:spacing w:line="600" w:lineRule="exact"/>
        <w:ind w:firstLine="640"/>
        <w:outlineLvl w:val="2"/>
        <w:rPr>
          <w:rFonts w:ascii="仿宋" w:eastAsia="仿宋"/>
          <w:b/>
          <w:color w:val="000000"/>
          <w:sz w:val="32"/>
          <w:szCs w:val="32"/>
        </w:rPr>
      </w:pPr>
      <w:bookmarkStart w:id="43" w:name="_Toc15377217"/>
      <w:r>
        <w:rPr>
          <w:rFonts w:hint="eastAsia" w:ascii="仿宋" w:eastAsia="仿宋"/>
          <w:b/>
          <w:color w:val="000000"/>
          <w:sz w:val="32"/>
          <w:szCs w:val="32"/>
        </w:rPr>
        <w:t>（二）“三公”经费财政拨款支出决算具体情况说明</w:t>
      </w:r>
      <w:bookmarkEnd w:id="43"/>
    </w:p>
    <w:p>
      <w:pPr>
        <w:spacing w:line="600" w:lineRule="exact"/>
        <w:ind w:firstLine="640"/>
        <w:rPr>
          <w:rFonts w:ascii="仿宋" w:eastAsia="仿宋"/>
          <w:color w:val="000000"/>
          <w:sz w:val="32"/>
          <w:szCs w:val="32"/>
        </w:rPr>
      </w:pPr>
      <w:r>
        <w:rPr>
          <w:rFonts w:ascii="仿宋" w:eastAsia="仿宋"/>
          <w:color w:val="000000"/>
          <w:sz w:val="32"/>
          <w:szCs w:val="32"/>
        </w:rPr>
        <w:t>201</w:t>
      </w:r>
      <w:r>
        <w:rPr>
          <w:rFonts w:hint="eastAsia" w:ascii="仿宋" w:eastAsia="仿宋"/>
          <w:color w:val="000000"/>
          <w:sz w:val="32"/>
          <w:szCs w:val="32"/>
        </w:rPr>
        <w:t>9年“三公”经费财政拨款支出决算中，因公出国（境）费支出决算</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；公务用车购置及运行维护费支出决算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w:t>
      </w:r>
      <w:r>
        <w:rPr>
          <w:rStyle w:val="16"/>
          <w:rFonts w:ascii="仿宋" w:eastAsia="仿宋"/>
          <w:b w:val="0"/>
          <w:bCs/>
          <w:color w:val="000000"/>
          <w:sz w:val="32"/>
          <w:szCs w:val="32"/>
        </w:rPr>
        <w:t>0%</w:t>
      </w:r>
      <w:r>
        <w:rPr>
          <w:rStyle w:val="16"/>
          <w:rFonts w:hint="eastAsia" w:asci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ascii="仿宋_GB2312" w:eastAsia="仿宋_GB2312"/>
          <w:color w:val="000000"/>
          <w:sz w:val="32"/>
          <w:szCs w:val="32"/>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ascii="仿宋_GB2312" w:eastAsia="仿宋_GB2312"/>
          <w:color w:val="000000"/>
          <w:sz w:val="32"/>
          <w:szCs w:val="32"/>
        </w:rPr>
        <w:t>0%</w:t>
      </w:r>
      <w:r>
        <w:rPr>
          <w:rFonts w:hint="eastAsia" w:ascii="仿宋_GB2312" w:eastAsia="仿宋_GB2312"/>
          <w:color w:val="000000"/>
          <w:sz w:val="32"/>
          <w:szCs w:val="32"/>
        </w:rPr>
        <w:t>。</w:t>
      </w:r>
    </w:p>
    <w:p>
      <w:pPr>
        <w:spacing w:line="600" w:lineRule="exact"/>
        <w:ind w:firstLine="640"/>
        <w:rPr>
          <w:rFonts w:hint="eastAsia" w:ascii="仿宋_GB2312" w:eastAsia="仿宋_GB2312"/>
          <w:b/>
          <w:color w:val="000000"/>
          <w:sz w:val="32"/>
          <w:szCs w:val="32"/>
          <w:lang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ascii="仿宋_GB2312" w:eastAsia="仿宋_GB2312"/>
          <w:color w:val="000000"/>
          <w:sz w:val="32"/>
          <w:szCs w:val="32"/>
        </w:rPr>
        <w:t>，</w:t>
      </w:r>
      <w:r>
        <w:rPr>
          <w:rFonts w:hint="eastAsia" w:ascii="仿宋_GB2312" w:eastAsia="仿宋_GB2312"/>
          <w:color w:val="000000"/>
          <w:sz w:val="32"/>
          <w:szCs w:val="32"/>
          <w:lang w:eastAsia="zh-CN"/>
        </w:rPr>
        <w:t>一般公务</w:t>
      </w:r>
      <w:r>
        <w:rPr>
          <w:rFonts w:ascii="仿宋_GB2312" w:eastAsia="仿宋_GB2312"/>
          <w:color w:val="000000"/>
          <w:sz w:val="32"/>
          <w:szCs w:val="32"/>
        </w:rPr>
        <w:t>用车</w:t>
      </w:r>
      <w:r>
        <w:rPr>
          <w:rFonts w:hint="eastAsia" w:ascii="仿宋_GB2312" w:eastAsia="仿宋_GB2312"/>
          <w:color w:val="000000"/>
          <w:sz w:val="32"/>
          <w:szCs w:val="32"/>
          <w:lang w:val="en-US" w:eastAsia="zh-CN"/>
        </w:rPr>
        <w:t>0</w:t>
      </w:r>
      <w:r>
        <w:rPr>
          <w:rFonts w:ascii="仿宋_GB2312" w:eastAsia="仿宋_GB2312"/>
          <w:color w:val="000000"/>
          <w:sz w:val="32"/>
          <w:szCs w:val="32"/>
        </w:rPr>
        <w:t>辆。</w:t>
      </w:r>
    </w:p>
    <w:p>
      <w:pPr>
        <w:spacing w:line="60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numId w:val="0"/>
        </w:numPr>
        <w:spacing w:line="600" w:lineRule="exact"/>
        <w:ind w:firstLine="643" w:firstLineChars="200"/>
        <w:rPr>
          <w:rStyle w:val="16"/>
          <w:rFonts w:hint="eastAsia" w:ascii="仿宋" w:eastAsia="仿宋"/>
          <w:b w:val="0"/>
          <w:bCs/>
          <w:color w:val="000000"/>
          <w:sz w:val="32"/>
          <w:szCs w:val="32"/>
        </w:rPr>
      </w:pPr>
      <w:r>
        <w:rPr>
          <w:rFonts w:hint="eastAsia" w:ascii="仿宋_GB2312" w:eastAsia="仿宋_GB2312"/>
          <w:b/>
          <w:color w:val="000000"/>
          <w:sz w:val="32"/>
          <w:szCs w:val="32"/>
          <w:lang w:val="en-US" w:eastAsia="zh-CN"/>
        </w:rPr>
        <w:t>4.</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eastAsia="仿宋"/>
          <w:b w:val="0"/>
          <w:bCs/>
          <w:color w:val="000000"/>
          <w:sz w:val="32"/>
          <w:szCs w:val="32"/>
        </w:rPr>
        <w:t>。</w:t>
      </w:r>
    </w:p>
    <w:p>
      <w:pPr>
        <w:spacing w:line="600" w:lineRule="exact"/>
        <w:ind w:firstLine="643" w:firstLineChars="200"/>
        <w:rPr>
          <w:rFonts w:hint="eastAsia"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ascii="黑体" w:eastAsia="黑体"/>
          <w:color w:val="000000"/>
          <w:sz w:val="32"/>
          <w:szCs w:val="32"/>
        </w:rPr>
      </w:pPr>
      <w:r>
        <w:rPr>
          <w:rFonts w:hint="eastAsia" w:ascii="仿宋" w:eastAsia="仿宋"/>
          <w:b/>
          <w:color w:val="000000"/>
          <w:sz w:val="32"/>
          <w:szCs w:val="32"/>
        </w:rPr>
        <w:t>外事接待支出</w:t>
      </w:r>
      <w:r>
        <w:rPr>
          <w:rFonts w:asci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bookmarkStart w:id="44" w:name="_Toc15377218"/>
      <w:bookmarkStart w:id="45" w:name="_Toc15396610"/>
    </w:p>
    <w:p>
      <w:pPr>
        <w:spacing w:line="600" w:lineRule="exact"/>
        <w:ind w:firstLine="640"/>
        <w:outlineLvl w:val="1"/>
        <w:rPr>
          <w:rStyle w:val="19"/>
          <w:rFonts w:ascii="黑体" w:eastAsia="黑体"/>
        </w:rPr>
      </w:pPr>
      <w:r>
        <w:rPr>
          <w:rFonts w:hint="eastAsia" w:ascii="黑体" w:eastAsia="黑体"/>
          <w:color w:val="000000"/>
          <w:sz w:val="32"/>
          <w:szCs w:val="32"/>
        </w:rPr>
        <w:t>八、</w:t>
      </w:r>
      <w:r>
        <w:rPr>
          <w:rStyle w:val="19"/>
          <w:rFonts w:hint="eastAsia" w:ascii="黑体" w:eastAsia="黑体"/>
          <w:b w:val="0"/>
        </w:rPr>
        <w:t>政府性基金预算支出决算情况说明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2"/>
        </w:numPr>
        <w:spacing w:line="600" w:lineRule="exact"/>
        <w:ind w:left="0" w:firstLine="640"/>
        <w:outlineLvl w:val="1"/>
        <w:rPr>
          <w:rStyle w:val="19"/>
          <w:rFonts w:ascii="黑体" w:eastAsia="黑体"/>
          <w:b w:val="0"/>
        </w:rPr>
      </w:pPr>
      <w:bookmarkStart w:id="46" w:name="_Toc15377219"/>
      <w:bookmarkStart w:id="47" w:name="_Toc15396611"/>
      <w:r>
        <w:rPr>
          <w:rStyle w:val="19"/>
          <w:rFonts w:hint="eastAsia" w:ascii="黑体" w:eastAsia="黑体"/>
          <w:b w:val="0"/>
        </w:rPr>
        <w:t>国有资本经营预算支出决算情况说明</w:t>
      </w:r>
      <w:bookmarkEnd w:id="46"/>
      <w:bookmarkEnd w:id="47"/>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19"/>
          <w:rFonts w:ascii="黑体" w:eastAsia="黑体"/>
        </w:rPr>
      </w:pPr>
      <w:bookmarkStart w:id="48" w:name="_Toc15396612"/>
      <w:bookmarkStart w:id="49" w:name="_Toc15377221"/>
      <w:r>
        <w:rPr>
          <w:rFonts w:hint="eastAsia" w:ascii="黑体" w:eastAsia="黑体"/>
          <w:color w:val="000000"/>
          <w:sz w:val="32"/>
          <w:szCs w:val="32"/>
        </w:rPr>
        <w:t>十</w:t>
      </w:r>
      <w:r>
        <w:rPr>
          <w:rStyle w:val="19"/>
          <w:rFonts w:hint="eastAsia" w:ascii="黑体" w:eastAsia="黑体"/>
        </w:rPr>
        <w:t>、</w:t>
      </w:r>
      <w:r>
        <w:rPr>
          <w:rStyle w:val="19"/>
          <w:rFonts w:hint="eastAsia" w:ascii="黑体" w:eastAsia="黑体"/>
          <w:b w:val="0"/>
        </w:rPr>
        <w:t>其他重要事项的情况说明</w:t>
      </w:r>
      <w:bookmarkEnd w:id="48"/>
      <w:bookmarkEnd w:id="49"/>
    </w:p>
    <w:p>
      <w:pPr>
        <w:spacing w:line="576" w:lineRule="exact"/>
        <w:ind w:firstLine="800" w:firstLineChars="250"/>
        <w:outlineLvl w:val="1"/>
        <w:rPr>
          <w:rStyle w:val="29"/>
          <w:rFonts w:ascii="黑体" w:hAnsi="黑体" w:eastAsia="黑体"/>
        </w:rPr>
      </w:pPr>
      <w:r>
        <w:rPr>
          <w:rFonts w:hint="eastAsia" w:ascii="黑体" w:hAnsi="黑体" w:eastAsia="黑体"/>
          <w:color w:val="000000"/>
          <w:sz w:val="32"/>
          <w:szCs w:val="32"/>
        </w:rPr>
        <w:t>十</w:t>
      </w:r>
      <w:r>
        <w:rPr>
          <w:rStyle w:val="29"/>
          <w:rFonts w:hint="eastAsia" w:ascii="黑体" w:hAnsi="黑体" w:eastAsia="黑体"/>
        </w:rPr>
        <w:t>一、</w:t>
      </w:r>
      <w:r>
        <w:rPr>
          <w:rStyle w:val="29"/>
          <w:rFonts w:hint="eastAsia" w:ascii="黑体" w:hAnsi="黑体" w:eastAsia="黑体"/>
          <w:b w:val="0"/>
        </w:rPr>
        <w:t>其他重要事项的情况说明</w:t>
      </w:r>
    </w:p>
    <w:p>
      <w:pPr>
        <w:pStyle w:val="24"/>
        <w:numPr>
          <w:ilvl w:val="0"/>
          <w:numId w:val="3"/>
        </w:numPr>
        <w:spacing w:line="600" w:lineRule="exact"/>
        <w:ind w:firstLineChars="0"/>
        <w:outlineLvl w:val="2"/>
        <w:rPr>
          <w:rFonts w:ascii="仿宋" w:hAnsi="仿宋" w:eastAsia="仿宋"/>
          <w:b/>
          <w:color w:val="000000"/>
          <w:sz w:val="32"/>
          <w:szCs w:val="32"/>
        </w:rPr>
      </w:pPr>
      <w:bookmarkStart w:id="50" w:name="_Toc15377222"/>
      <w:bookmarkStart w:id="51" w:name="_Toc15377224"/>
      <w:r>
        <w:rPr>
          <w:rFonts w:hint="eastAsia" w:ascii="仿宋" w:hAnsi="仿宋" w:eastAsia="仿宋"/>
          <w:b/>
          <w:color w:val="000000"/>
          <w:sz w:val="32"/>
          <w:szCs w:val="32"/>
        </w:rPr>
        <w:t>机关运行经费支出情况</w:t>
      </w:r>
      <w:bookmarkEnd w:id="50"/>
    </w:p>
    <w:p>
      <w:pPr>
        <w:spacing w:line="576" w:lineRule="exact"/>
        <w:ind w:left="635"/>
        <w:rPr>
          <w:rFonts w:ascii="仿宋_GB2312" w:eastAsia="仿宋_GB2312"/>
          <w:color w:val="000000"/>
          <w:sz w:val="32"/>
          <w:szCs w:val="32"/>
        </w:rPr>
      </w:pPr>
      <w:r>
        <w:rPr>
          <w:rFonts w:hint="eastAsia" w:ascii="仿宋_GB2312" w:eastAsia="仿宋_GB2312"/>
          <w:color w:val="000000"/>
          <w:sz w:val="32"/>
          <w:szCs w:val="32"/>
        </w:rPr>
        <w:t>201</w:t>
      </w:r>
      <w:r>
        <w:rPr>
          <w:rFonts w:ascii="仿宋_GB2312" w:eastAsia="仿宋_GB2312"/>
          <w:color w:val="000000"/>
          <w:sz w:val="32"/>
          <w:szCs w:val="32"/>
        </w:rPr>
        <w:t>8</w:t>
      </w:r>
      <w:r>
        <w:rPr>
          <w:rFonts w:hint="eastAsia" w:ascii="仿宋_GB2312" w:eastAsia="仿宋_GB2312"/>
          <w:color w:val="000000"/>
          <w:sz w:val="32"/>
          <w:szCs w:val="32"/>
        </w:rPr>
        <w:t>年度，机关运行经费支出</w:t>
      </w:r>
      <w:r>
        <w:rPr>
          <w:rFonts w:ascii="仿宋_GB2312" w:eastAsia="仿宋_GB2312"/>
          <w:color w:val="000000"/>
          <w:sz w:val="32"/>
          <w:szCs w:val="32"/>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2" w:name="_Toc15377223"/>
      <w:r>
        <w:rPr>
          <w:rFonts w:hint="eastAsia" w:ascii="仿宋" w:hAnsi="仿宋" w:eastAsia="仿宋"/>
          <w:b/>
          <w:color w:val="000000"/>
          <w:sz w:val="32"/>
          <w:szCs w:val="32"/>
        </w:rPr>
        <w:t>（二）政府采购支出情况</w:t>
      </w:r>
      <w:bookmarkEnd w:id="52"/>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201</w:t>
      </w:r>
      <w:r>
        <w:rPr>
          <w:rFonts w:ascii="仿宋_GB2312" w:eastAsia="仿宋_GB2312"/>
          <w:color w:val="000000"/>
          <w:sz w:val="32"/>
          <w:szCs w:val="32"/>
        </w:rPr>
        <w:t>8</w:t>
      </w:r>
      <w:r>
        <w:rPr>
          <w:rFonts w:hint="eastAsia" w:ascii="仿宋_GB2312" w:eastAsia="仿宋_GB2312"/>
          <w:color w:val="000000"/>
          <w:sz w:val="32"/>
          <w:szCs w:val="32"/>
        </w:rPr>
        <w:t>年度，未安排政府采购。</w:t>
      </w:r>
    </w:p>
    <w:p>
      <w:pPr>
        <w:autoSpaceDE w:val="0"/>
        <w:autoSpaceDN w:val="0"/>
        <w:adjustRightInd w:val="0"/>
        <w:spacing w:line="576"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（三）国有资产占有使用情况</w:t>
      </w:r>
      <w:bookmarkEnd w:id="51"/>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0</w:t>
      </w:r>
      <w:r>
        <w:rPr>
          <w:rFonts w:hint="eastAsia" w:ascii="仿宋_GB2312" w:eastAsia="仿宋_GB2312"/>
          <w:color w:val="000000"/>
          <w:sz w:val="32"/>
          <w:szCs w:val="32"/>
        </w:rPr>
        <w:t>辆，其中：一般公务用车</w:t>
      </w:r>
      <w:r>
        <w:rPr>
          <w:rFonts w:ascii="仿宋_GB2312" w:eastAsia="仿宋_GB2312"/>
          <w:color w:val="000000"/>
          <w:sz w:val="32"/>
          <w:szCs w:val="32"/>
        </w:rPr>
        <w:t>0</w:t>
      </w:r>
      <w:r>
        <w:rPr>
          <w:rFonts w:hint="eastAsia" w:ascii="仿宋_GB2312" w:eastAsia="仿宋_GB2312"/>
          <w:color w:val="000000"/>
          <w:sz w:val="32"/>
          <w:szCs w:val="32"/>
        </w:rPr>
        <w:t>辆。</w:t>
      </w:r>
    </w:p>
    <w:p>
      <w:pPr>
        <w:autoSpaceDE w:val="0"/>
        <w:autoSpaceDN w:val="0"/>
        <w:adjustRightInd w:val="0"/>
        <w:spacing w:line="600" w:lineRule="exact"/>
        <w:ind w:firstLine="643" w:firstLineChars="200"/>
        <w:jc w:val="left"/>
        <w:outlineLvl w:val="2"/>
        <w:rPr>
          <w:rFonts w:ascii="仿宋" w:eastAsia="仿宋"/>
          <w:b/>
          <w:color w:val="000000"/>
          <w:sz w:val="32"/>
          <w:szCs w:val="32"/>
        </w:rPr>
      </w:pPr>
      <w:r>
        <w:rPr>
          <w:rFonts w:hint="eastAsia" w:ascii="仿宋" w:eastAsia="仿宋"/>
          <w:b/>
          <w:color w:val="000000"/>
          <w:sz w:val="32"/>
          <w:szCs w:val="32"/>
        </w:rPr>
        <w:t>（四）预算绩效管理情况。</w:t>
      </w:r>
    </w:p>
    <w:p>
      <w:pPr>
        <w:pStyle w:val="2"/>
        <w:ind w:firstLine="632"/>
      </w:pPr>
      <w:r>
        <w:rPr>
          <w:rFonts w:hint="eastAsia" w:ascii="仿宋_GB2312" w:hAnsi="仿宋_GB2312" w:eastAsia="仿宋_GB2312" w:cs="仿宋_GB2312"/>
          <w:color w:val="000000"/>
          <w:sz w:val="32"/>
          <w:szCs w:val="32"/>
        </w:rPr>
        <w:t>坚持常态化开展影响社会稳定矛盾问题摸排化解稳控，加大多元化解处置力度，促进社会和谐稳定。坚持全面覆盖，切实找准影响社会稳定的各类突出矛盾问题，逐一有针对性地研究提出并严格落实务实管用的化解稳控措施，确保了全县社会大局稳定。</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left="0" w:firstLine="660" w:firstLineChars="150"/>
        <w:jc w:val="center"/>
        <w:outlineLvl w:val="0"/>
        <w:rPr>
          <w:rStyle w:val="18"/>
          <w:rFonts w:ascii="黑体" w:eastAsia="黑体"/>
          <w:b w:val="0"/>
        </w:rPr>
      </w:pPr>
      <w:bookmarkStart w:id="53" w:name="_Toc15377225"/>
      <w:bookmarkStart w:id="54" w:name="_Toc15396613"/>
      <w:r>
        <w:rPr>
          <w:rFonts w:hint="eastAsia" w:ascii="黑体" w:eastAsia="黑体"/>
          <w:color w:val="000000"/>
          <w:sz w:val="44"/>
          <w:szCs w:val="44"/>
        </w:rPr>
        <w:t>名</w:t>
      </w:r>
      <w:r>
        <w:rPr>
          <w:rStyle w:val="18"/>
          <w:rFonts w:hint="eastAsia" w:ascii="黑体" w:eastAsia="黑体"/>
          <w:b w:val="0"/>
        </w:rPr>
        <w:t>词解释</w:t>
      </w:r>
      <w:bookmarkEnd w:id="53"/>
      <w:bookmarkEnd w:id="54"/>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lang w:eastAsia="zh-CN"/>
        </w:rPr>
        <w:t>公共安全支出</w:t>
      </w:r>
      <w:r>
        <w:rPr>
          <w:rFonts w:hint="eastAsia" w:ascii="仿宋_GB2312" w:eastAsia="仿宋_GB2312"/>
          <w:color w:val="000000"/>
          <w:sz w:val="32"/>
          <w:szCs w:val="32"/>
          <w:lang w:val="en-US" w:eastAsia="zh-CN"/>
        </w:rPr>
        <w:t>(</w:t>
      </w: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4)公安（</w:t>
      </w:r>
      <w:r>
        <w:rPr>
          <w:rFonts w:hint="eastAsia" w:ascii="仿宋_GB2312" w:eastAsia="仿宋_GB2312"/>
          <w:color w:val="000000"/>
          <w:sz w:val="32"/>
          <w:szCs w:val="32"/>
        </w:rPr>
        <w:t>0</w:t>
      </w:r>
      <w:r>
        <w:rPr>
          <w:rFonts w:hint="eastAsia" w:ascii="仿宋_GB2312" w:eastAsia="仿宋_GB2312"/>
          <w:color w:val="000000"/>
          <w:sz w:val="32"/>
          <w:szCs w:val="32"/>
          <w:lang w:val="en-US" w:eastAsia="zh-CN"/>
        </w:rPr>
        <w:t>2）事业运行（50）</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保障</w:t>
      </w:r>
      <w:r>
        <w:rPr>
          <w:rStyle w:val="16"/>
          <w:rFonts w:hint="eastAsia" w:ascii="仿宋_GB2312" w:eastAsia="仿宋_GB2312"/>
          <w:b w:val="0"/>
          <w:color w:val="000000"/>
          <w:sz w:val="32"/>
          <w:szCs w:val="32"/>
        </w:rPr>
        <w:t>行政运行</w:t>
      </w:r>
      <w:r>
        <w:rPr>
          <w:rStyle w:val="16"/>
          <w:rFonts w:hint="eastAsia" w:ascii="仿宋_GB2312" w:eastAsia="仿宋_GB2312"/>
          <w:b w:val="0"/>
          <w:color w:val="000000"/>
          <w:sz w:val="32"/>
          <w:szCs w:val="32"/>
          <w:lang w:eastAsia="zh-CN"/>
        </w:rPr>
        <w:t>的经费</w:t>
      </w:r>
      <w:r>
        <w:rPr>
          <w:rFonts w:hint="eastAsia" w:ascii="仿宋_GB2312" w:eastAsia="仿宋_GB2312"/>
          <w:color w:val="000000"/>
          <w:sz w:val="32"/>
          <w:szCs w:val="32"/>
        </w:rPr>
        <w:t>。</w:t>
      </w:r>
    </w:p>
    <w:p>
      <w:pPr>
        <w:ind w:firstLine="640" w:firstLineChars="200"/>
        <w:rPr>
          <w:rFonts w:hint="eastAsia" w:ascii="仿宋_GB2312" w:eastAsia="仿宋_GB2312"/>
          <w:sz w:val="32"/>
          <w:szCs w:val="32"/>
          <w:shd w:val="clear" w:color="auto" w:fill="FFFFFF"/>
        </w:rPr>
      </w:pPr>
      <w:r>
        <w:rPr>
          <w:rFonts w:ascii="仿宋_GB2312" w:eastAsia="仿宋_GB2312"/>
          <w:bCs/>
          <w:color w:val="000000"/>
          <w:sz w:val="32"/>
          <w:szCs w:val="32"/>
        </w:rPr>
        <w:t>10.</w:t>
      </w:r>
      <w:r>
        <w:rPr>
          <w:rFonts w:hint="eastAsia" w:ascii="仿宋_GB2312" w:eastAsia="仿宋_GB2312"/>
          <w:sz w:val="32"/>
          <w:szCs w:val="32"/>
          <w:shd w:val="clear" w:color="auto" w:fill="FFFFFF"/>
        </w:rPr>
        <w:t>一般公共服务（204）政法事务（02）行政运行（01）：指政法委用于保障机构正常运行、开展日常工作的基本支出</w:t>
      </w:r>
    </w:p>
    <w:p>
      <w:pPr>
        <w:ind w:firstLine="640" w:firstLineChars="200"/>
        <w:rPr>
          <w:rFonts w:hint="eastAsia" w:ascii="仿宋_GB2312" w:eastAsia="仿宋_GB2312"/>
          <w:color w:val="000000"/>
          <w:sz w:val="32"/>
          <w:szCs w:val="32"/>
        </w:rPr>
      </w:pPr>
      <w:r>
        <w:rPr>
          <w:rFonts w:ascii="仿宋_GB2312" w:eastAsia="仿宋_GB2312"/>
          <w:bCs/>
          <w:color w:val="000000"/>
          <w:sz w:val="32"/>
          <w:szCs w:val="32"/>
        </w:rPr>
        <w:t>11.</w:t>
      </w:r>
      <w:r>
        <w:rPr>
          <w:rFonts w:hint="eastAsia" w:ascii="仿宋_GB2312" w:eastAsia="仿宋_GB2312"/>
          <w:bCs/>
          <w:color w:val="000000"/>
          <w:sz w:val="32"/>
          <w:szCs w:val="32"/>
        </w:rPr>
        <w:t>公共安全（204）</w:t>
      </w:r>
      <w:r>
        <w:rPr>
          <w:rFonts w:hint="eastAsia" w:ascii="仿宋_GB2312" w:eastAsia="仿宋_GB2312"/>
          <w:bCs/>
          <w:color w:val="000000"/>
          <w:sz w:val="32"/>
          <w:szCs w:val="32"/>
          <w:lang w:val="en-US"/>
        </w:rPr>
        <w:t>公安（</w:t>
      </w:r>
      <w:r>
        <w:rPr>
          <w:rFonts w:hint="eastAsia" w:ascii="仿宋_GB2312" w:eastAsia="仿宋_GB2312"/>
          <w:bCs/>
          <w:color w:val="000000"/>
          <w:sz w:val="32"/>
          <w:szCs w:val="32"/>
        </w:rPr>
        <w:t>0</w:t>
      </w:r>
      <w:r>
        <w:rPr>
          <w:rFonts w:hint="eastAsia" w:ascii="仿宋_GB2312" w:eastAsia="仿宋_GB2312"/>
          <w:bCs/>
          <w:color w:val="000000"/>
          <w:sz w:val="32"/>
          <w:szCs w:val="32"/>
          <w:lang w:val="en-US"/>
        </w:rPr>
        <w:t>2）一般行政事务支出（</w:t>
      </w:r>
      <w:r>
        <w:rPr>
          <w:rFonts w:hint="eastAsia" w:ascii="仿宋_GB2312" w:eastAsia="仿宋_GB2312"/>
          <w:bCs/>
          <w:color w:val="000000"/>
          <w:sz w:val="32"/>
          <w:szCs w:val="32"/>
        </w:rPr>
        <w:t>02）：</w:t>
      </w:r>
      <w:r>
        <w:rPr>
          <w:rFonts w:ascii="仿宋_GB2312" w:eastAsia="仿宋_GB2312"/>
          <w:bCs/>
          <w:color w:val="000000"/>
          <w:sz w:val="32"/>
          <w:szCs w:val="32"/>
        </w:rPr>
        <w:t>指</w:t>
      </w:r>
      <w:r>
        <w:rPr>
          <w:rFonts w:hint="eastAsia" w:ascii="仿宋_GB2312" w:eastAsia="仿宋_GB2312"/>
          <w:bCs/>
          <w:color w:val="000000"/>
          <w:sz w:val="32"/>
          <w:szCs w:val="32"/>
          <w:lang w:val="en-US"/>
        </w:rPr>
        <w:t>一般行政事务支出</w:t>
      </w:r>
    </w:p>
    <w:p>
      <w:pPr>
        <w:ind w:firstLine="640" w:firstLineChars="200"/>
      </w:pPr>
      <w:r>
        <w:rPr>
          <w:rFonts w:ascii="仿宋_GB2312" w:eastAsia="仿宋_GB2312"/>
          <w:color w:val="000000"/>
          <w:sz w:val="32"/>
          <w:szCs w:val="32"/>
        </w:rPr>
        <w:t>1</w:t>
      </w:r>
      <w:r>
        <w:rPr>
          <w:rFonts w:ascii="仿宋_GB2312"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sz w:val="32"/>
          <w:szCs w:val="32"/>
        </w:rPr>
        <w:t>社会保障和就业（208）行政事业单位离退休（05）机关事业单位基本养老保险缴费支出（05）：</w:t>
      </w:r>
      <w:r>
        <w:rPr>
          <w:rStyle w:val="16"/>
          <w:rFonts w:hint="eastAsia" w:ascii="仿宋_GB2312" w:eastAsia="仿宋_GB2312"/>
          <w:b w:val="0"/>
          <w:sz w:val="32"/>
          <w:szCs w:val="32"/>
        </w:rPr>
        <w:t>机关事业单位基本养老保险缴费支出</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rPr>
      </w:pPr>
      <w:r>
        <w:rPr>
          <w:rFonts w:ascii="仿宋_GB2312" w:eastAsia="仿宋_GB2312"/>
          <w:color w:val="000000"/>
          <w:sz w:val="32"/>
          <w:szCs w:val="32"/>
        </w:rPr>
        <w:t>1</w:t>
      </w:r>
      <w:r>
        <w:rPr>
          <w:rFonts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医疗卫生与计划生育（210）行政事业单位医疗（11）行政单位医疗（01）</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行政单位医疗保险</w:t>
      </w:r>
      <w:r>
        <w:rPr>
          <w:rFonts w:hint="eastAsia" w:ascii="仿宋_GB2312" w:eastAsia="仿宋_GB2312"/>
          <w:color w:val="000000"/>
          <w:sz w:val="32"/>
          <w:szCs w:val="32"/>
        </w:rPr>
        <w:t>。</w:t>
      </w:r>
    </w:p>
    <w:p>
      <w:pPr>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1</w:t>
      </w:r>
      <w:r>
        <w:rPr>
          <w:rFonts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医疗卫生与计划生育（210）行政事业单位医疗（11）公务员医疗补助（03）</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公务员医疗补助。</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color w:val="000000"/>
          <w:sz w:val="32"/>
          <w:szCs w:val="32"/>
          <w:lang w:val="en-US" w:eastAsia="zh-CN"/>
        </w:rPr>
        <w:t>1</w:t>
      </w:r>
      <w:r>
        <w:rPr>
          <w:rFonts w:ascii="仿宋_GB2312" w:eastAsia="仿宋_GB2312"/>
          <w:color w:val="000000"/>
          <w:sz w:val="32"/>
          <w:szCs w:val="32"/>
          <w:lang w:val="en-US" w:eastAsia="zh-CN"/>
        </w:rPr>
        <w:t>5</w:t>
      </w:r>
      <w:r>
        <w:rPr>
          <w:rFonts w:ascii="仿宋_GB2312" w:eastAsia="仿宋_GB2312"/>
          <w:color w:val="000000"/>
          <w:sz w:val="32"/>
          <w:szCs w:val="32"/>
        </w:rPr>
        <w:t>.</w:t>
      </w:r>
      <w:r>
        <w:rPr>
          <w:rFonts w:hint="eastAsia" w:ascii="仿宋_GB2312" w:eastAsia="仿宋_GB2312"/>
          <w:color w:val="000000"/>
          <w:sz w:val="32"/>
          <w:szCs w:val="32"/>
        </w:rPr>
        <w:t>住房保障支出（221）住房改革支出（02）住房公积金（01）：指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pPr>
        <w:spacing w:line="600" w:lineRule="exact"/>
        <w:ind w:firstLine="640"/>
        <w:rPr>
          <w:rFonts w:ascii="仿宋" w:eastAsia="仿宋"/>
          <w:b/>
          <w:color w:val="000000"/>
          <w:sz w:val="32"/>
          <w:szCs w:val="32"/>
        </w:rPr>
      </w:pPr>
      <w:r>
        <w:rPr>
          <w:rFonts w:hint="eastAsia" w:ascii="仿宋" w:eastAsia="仿宋"/>
          <w:b/>
          <w:color w:val="000000"/>
          <w:sz w:val="32"/>
          <w:szCs w:val="32"/>
        </w:rPr>
        <w:t>（解释本部门决算报表中全部功能分类科目至项级，请参照《</w:t>
      </w:r>
      <w:r>
        <w:rPr>
          <w:rFonts w:hint="eastAsia" w:ascii="仿宋" w:eastAsia="仿宋"/>
          <w:b/>
          <w:color w:val="000000"/>
          <w:sz w:val="32"/>
          <w:szCs w:val="32"/>
          <w:lang w:eastAsia="zh-CN"/>
        </w:rPr>
        <w:t>2019</w:t>
      </w:r>
      <w:r>
        <w:rPr>
          <w:rFonts w:hint="eastAsia" w:ascii="仿宋" w:eastAsia="仿宋"/>
          <w:b/>
          <w:color w:val="000000"/>
          <w:sz w:val="32"/>
          <w:szCs w:val="32"/>
        </w:rPr>
        <w:t>年政府收支分类科目》增减内容。）</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cs="黑体"/>
          <w:sz w:val="32"/>
          <w:szCs w:val="32"/>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50" w:lineRule="exact"/>
        <w:ind w:firstLine="6626" w:firstLineChars="1500"/>
        <w:textAlignment w:val="auto"/>
        <w:rPr>
          <w:rFonts w:hint="default" w:ascii="仿宋_GB2312" w:hAnsi="仿宋_GB2312" w:cs="仿宋_GB2312"/>
          <w:b w:val="0"/>
          <w:bCs/>
          <w:lang w:val="en-US" w:eastAsia="zh-CN"/>
        </w:rPr>
      </w:pPr>
      <w:bookmarkStart w:id="55" w:name="_Toc15377226"/>
      <w:r>
        <w:rPr>
          <w:rFonts w:ascii="宋体"/>
          <w:b/>
          <w:color w:val="000000"/>
          <w:sz w:val="44"/>
          <w:szCs w:val="44"/>
        </w:rPr>
        <w:br w:type="page"/>
      </w:r>
    </w:p>
    <w:p>
      <w:pPr>
        <w:spacing w:line="600" w:lineRule="exact"/>
        <w:jc w:val="center"/>
        <w:rPr>
          <w:rFonts w:ascii="方正小标宋简体" w:eastAsia="方正小标宋简体"/>
          <w:color w:val="000000"/>
          <w:kern w:val="0"/>
          <w:sz w:val="40"/>
          <w:szCs w:val="44"/>
        </w:rPr>
      </w:pPr>
    </w:p>
    <w:p>
      <w:pPr>
        <w:adjustRightInd w:val="0"/>
        <w:snapToGrid w:val="0"/>
        <w:spacing w:line="600" w:lineRule="exact"/>
        <w:ind w:firstLine="640" w:firstLineChars="200"/>
        <w:rPr>
          <w:rFonts w:ascii="仿宋_GB2312" w:eastAsia="仿宋_GB2312"/>
          <w:sz w:val="32"/>
          <w:szCs w:val="32"/>
          <w:lang w:val="zh-CN"/>
        </w:rPr>
      </w:pPr>
    </w:p>
    <w:p>
      <w:pPr>
        <w:spacing w:line="600" w:lineRule="exact"/>
        <w:jc w:val="center"/>
        <w:outlineLvl w:val="0"/>
        <w:rPr>
          <w:rFonts w:ascii="黑体" w:eastAsia="黑体"/>
          <w:color w:val="000000"/>
          <w:sz w:val="44"/>
          <w:szCs w:val="44"/>
        </w:rPr>
      </w:pPr>
      <w:bookmarkStart w:id="56" w:name="_Toc15396618"/>
    </w:p>
    <w:p>
      <w:pPr>
        <w:spacing w:line="600" w:lineRule="exact"/>
        <w:jc w:val="center"/>
        <w:outlineLvl w:val="0"/>
        <w:rPr>
          <w:rFonts w:ascii="黑体" w:eastAsia="黑体"/>
          <w:color w:val="000000"/>
          <w:sz w:val="44"/>
          <w:szCs w:val="44"/>
        </w:rPr>
      </w:pPr>
    </w:p>
    <w:p>
      <w:pPr>
        <w:spacing w:line="600" w:lineRule="exact"/>
        <w:jc w:val="both"/>
        <w:outlineLvl w:val="0"/>
        <w:rPr>
          <w:rFonts w:ascii="黑体" w:eastAsia="黑体"/>
          <w:color w:val="000000"/>
          <w:sz w:val="44"/>
          <w:szCs w:val="44"/>
        </w:rPr>
      </w:pPr>
    </w:p>
    <w:p>
      <w:pPr>
        <w:spacing w:line="600" w:lineRule="exact"/>
        <w:ind w:firstLine="3080" w:firstLineChars="700"/>
        <w:jc w:val="both"/>
        <w:outlineLvl w:val="0"/>
        <w:rPr>
          <w:rStyle w:val="18"/>
          <w:rFonts w:ascii="黑体" w:eastAsia="黑体"/>
          <w:b w:val="0"/>
        </w:rPr>
      </w:pPr>
      <w:r>
        <w:rPr>
          <w:rFonts w:hint="eastAsia" w:ascii="黑体" w:eastAsia="黑体"/>
          <w:color w:val="000000"/>
          <w:sz w:val="44"/>
          <w:szCs w:val="44"/>
        </w:rPr>
        <w:t>第</w:t>
      </w:r>
      <w:r>
        <w:rPr>
          <w:rStyle w:val="18"/>
          <w:rFonts w:hint="eastAsia" w:ascii="黑体" w:eastAsia="黑体"/>
          <w:b w:val="0"/>
        </w:rPr>
        <w:t>五部分 附表</w:t>
      </w:r>
      <w:bookmarkEnd w:id="55"/>
      <w:bookmarkEnd w:id="56"/>
    </w:p>
    <w:p>
      <w:pPr>
        <w:spacing w:line="600" w:lineRule="exact"/>
        <w:jc w:val="center"/>
        <w:outlineLvl w:val="0"/>
        <w:rPr>
          <w:rFonts w:ascii="仿宋" w:eastAsia="仿宋"/>
          <w:b/>
          <w:color w:val="000000"/>
          <w:sz w:val="44"/>
          <w:szCs w:val="44"/>
        </w:rPr>
      </w:pPr>
    </w:p>
    <w:p>
      <w:pPr>
        <w:pStyle w:val="5"/>
        <w:rPr>
          <w:rFonts w:ascii="仿宋" w:eastAsia="仿宋"/>
          <w:color w:val="000000"/>
        </w:rPr>
      </w:pPr>
      <w:bookmarkStart w:id="57" w:name="_Toc15396619"/>
      <w:r>
        <w:rPr>
          <w:rFonts w:hint="eastAsia" w:ascii="仿宋" w:eastAsia="仿宋"/>
          <w:b w:val="0"/>
          <w:color w:val="000000"/>
        </w:rPr>
        <w:t>一、收</w:t>
      </w:r>
      <w:r>
        <w:rPr>
          <w:rStyle w:val="19"/>
          <w:rFonts w:hint="eastAsia" w:ascii="仿宋" w:eastAsia="仿宋"/>
          <w:b w:val="0"/>
          <w:bCs w:val="0"/>
        </w:rPr>
        <w:t>入支出决算总表</w:t>
      </w:r>
      <w:bookmarkEnd w:id="57"/>
    </w:p>
    <w:p>
      <w:pPr>
        <w:pStyle w:val="5"/>
        <w:rPr>
          <w:rFonts w:ascii="仿宋" w:eastAsia="仿宋"/>
          <w:color w:val="000000"/>
        </w:rPr>
      </w:pPr>
      <w:bookmarkStart w:id="58" w:name="_Toc15396620"/>
      <w:r>
        <w:rPr>
          <w:rFonts w:hint="eastAsia" w:ascii="仿宋" w:eastAsia="仿宋"/>
          <w:b w:val="0"/>
          <w:color w:val="000000"/>
        </w:rPr>
        <w:t>二、收</w:t>
      </w:r>
      <w:r>
        <w:rPr>
          <w:rStyle w:val="19"/>
          <w:rFonts w:hint="eastAsia" w:ascii="仿宋" w:eastAsia="仿宋"/>
          <w:b w:val="0"/>
          <w:bCs w:val="0"/>
        </w:rPr>
        <w:t>入决算表</w:t>
      </w:r>
      <w:bookmarkEnd w:id="58"/>
    </w:p>
    <w:p>
      <w:pPr>
        <w:pStyle w:val="5"/>
        <w:rPr>
          <w:rFonts w:ascii="仿宋" w:eastAsia="仿宋"/>
          <w:color w:val="000000"/>
        </w:rPr>
      </w:pPr>
      <w:bookmarkStart w:id="59" w:name="_Toc15396621"/>
      <w:r>
        <w:rPr>
          <w:rStyle w:val="19"/>
          <w:rFonts w:hint="eastAsia" w:ascii="仿宋" w:eastAsia="仿宋"/>
          <w:b w:val="0"/>
          <w:bCs w:val="0"/>
        </w:rPr>
        <w:t>三、</w:t>
      </w:r>
      <w:r>
        <w:rPr>
          <w:rFonts w:hint="eastAsia" w:ascii="仿宋" w:eastAsia="仿宋"/>
          <w:b w:val="0"/>
          <w:color w:val="000000"/>
        </w:rPr>
        <w:t>支</w:t>
      </w:r>
      <w:r>
        <w:rPr>
          <w:rStyle w:val="19"/>
          <w:rFonts w:hint="eastAsia" w:ascii="仿宋" w:eastAsia="仿宋"/>
          <w:b w:val="0"/>
          <w:bCs w:val="0"/>
        </w:rPr>
        <w:t>出决算表</w:t>
      </w:r>
      <w:bookmarkEnd w:id="59"/>
    </w:p>
    <w:p>
      <w:pPr>
        <w:pStyle w:val="5"/>
        <w:rPr>
          <w:rFonts w:ascii="仿宋" w:eastAsia="仿宋"/>
          <w:b w:val="0"/>
          <w:color w:val="000000"/>
        </w:rPr>
      </w:pPr>
      <w:bookmarkStart w:id="60" w:name="_Toc15396622"/>
      <w:r>
        <w:rPr>
          <w:rStyle w:val="19"/>
          <w:rFonts w:hint="eastAsia" w:ascii="仿宋" w:eastAsia="仿宋"/>
          <w:b w:val="0"/>
          <w:bCs w:val="0"/>
        </w:rPr>
        <w:t>四、</w:t>
      </w:r>
      <w:r>
        <w:rPr>
          <w:rFonts w:hint="eastAsia" w:ascii="仿宋" w:eastAsia="仿宋"/>
          <w:b w:val="0"/>
          <w:color w:val="000000"/>
        </w:rPr>
        <w:t>财</w:t>
      </w:r>
      <w:r>
        <w:rPr>
          <w:rStyle w:val="19"/>
          <w:rFonts w:hint="eastAsia" w:ascii="仿宋" w:eastAsia="仿宋"/>
          <w:b w:val="0"/>
          <w:bCs w:val="0"/>
        </w:rPr>
        <w:t>政拨款收入支出决算总表</w:t>
      </w:r>
      <w:bookmarkEnd w:id="60"/>
    </w:p>
    <w:p>
      <w:pPr>
        <w:pStyle w:val="5"/>
        <w:rPr>
          <w:rStyle w:val="19"/>
          <w:rFonts w:ascii="仿宋" w:eastAsia="仿宋"/>
          <w:b w:val="0"/>
          <w:bCs w:val="0"/>
        </w:rPr>
      </w:pPr>
      <w:bookmarkStart w:id="61" w:name="_Toc15396623"/>
      <w:r>
        <w:rPr>
          <w:rStyle w:val="19"/>
          <w:rFonts w:hint="eastAsia" w:ascii="仿宋" w:eastAsia="仿宋"/>
          <w:b w:val="0"/>
          <w:bCs w:val="0"/>
        </w:rPr>
        <w:t>五、</w:t>
      </w:r>
      <w:r>
        <w:rPr>
          <w:rFonts w:hint="eastAsia" w:ascii="仿宋" w:eastAsia="仿宋"/>
          <w:b w:val="0"/>
          <w:color w:val="000000"/>
        </w:rPr>
        <w:t>财</w:t>
      </w:r>
      <w:r>
        <w:rPr>
          <w:rStyle w:val="19"/>
          <w:rFonts w:hint="eastAsia" w:ascii="仿宋" w:eastAsia="仿宋"/>
          <w:b w:val="0"/>
          <w:bCs w:val="0"/>
        </w:rPr>
        <w:t>政拨款支出决算明细表</w:t>
      </w:r>
      <w:bookmarkEnd w:id="61"/>
      <w:bookmarkStart w:id="62" w:name="_Toc15396624"/>
    </w:p>
    <w:p>
      <w:pPr>
        <w:pStyle w:val="5"/>
        <w:rPr>
          <w:rFonts w:ascii="仿宋" w:eastAsia="仿宋"/>
          <w:color w:val="000000"/>
        </w:rPr>
      </w:pPr>
      <w:r>
        <w:rPr>
          <w:rStyle w:val="19"/>
          <w:rFonts w:hint="eastAsia" w:ascii="仿宋" w:eastAsia="仿宋"/>
          <w:b w:val="0"/>
          <w:bCs w:val="0"/>
        </w:rPr>
        <w:t>六、</w:t>
      </w:r>
      <w:r>
        <w:rPr>
          <w:rFonts w:hint="eastAsia" w:ascii="仿宋" w:eastAsia="仿宋"/>
          <w:b w:val="0"/>
          <w:color w:val="000000"/>
        </w:rPr>
        <w:t>一</w:t>
      </w:r>
      <w:r>
        <w:rPr>
          <w:rStyle w:val="19"/>
          <w:rFonts w:hint="eastAsia" w:ascii="仿宋" w:eastAsia="仿宋"/>
          <w:b w:val="0"/>
          <w:bCs w:val="0"/>
        </w:rPr>
        <w:t>般公共预算财政拨款支出决算表</w:t>
      </w:r>
      <w:bookmarkEnd w:id="62"/>
    </w:p>
    <w:p>
      <w:pPr>
        <w:pStyle w:val="5"/>
        <w:rPr>
          <w:rFonts w:ascii="仿宋" w:eastAsia="仿宋"/>
          <w:color w:val="000000"/>
        </w:rPr>
      </w:pPr>
      <w:bookmarkStart w:id="63" w:name="_Toc15396625"/>
      <w:r>
        <w:rPr>
          <w:rStyle w:val="19"/>
          <w:rFonts w:hint="eastAsia" w:ascii="仿宋" w:eastAsia="仿宋"/>
          <w:b w:val="0"/>
          <w:bCs w:val="0"/>
        </w:rPr>
        <w:t>七、</w:t>
      </w:r>
      <w:r>
        <w:rPr>
          <w:rFonts w:hint="eastAsia" w:ascii="仿宋" w:eastAsia="仿宋"/>
          <w:b w:val="0"/>
          <w:color w:val="000000"/>
        </w:rPr>
        <w:t>一</w:t>
      </w:r>
      <w:r>
        <w:rPr>
          <w:rStyle w:val="19"/>
          <w:rFonts w:hint="eastAsia" w:ascii="仿宋" w:eastAsia="仿宋"/>
          <w:b w:val="0"/>
          <w:bCs w:val="0"/>
        </w:rPr>
        <w:t>般公共预算财政拨款支出决算明细表</w:t>
      </w:r>
      <w:bookmarkEnd w:id="63"/>
    </w:p>
    <w:p>
      <w:pPr>
        <w:pStyle w:val="5"/>
        <w:rPr>
          <w:rFonts w:ascii="仿宋" w:eastAsia="仿宋"/>
          <w:color w:val="000000"/>
        </w:rPr>
      </w:pPr>
      <w:bookmarkStart w:id="64" w:name="_Toc15396626"/>
      <w:r>
        <w:rPr>
          <w:rStyle w:val="19"/>
          <w:rFonts w:hint="eastAsia" w:ascii="仿宋" w:eastAsia="仿宋"/>
          <w:b w:val="0"/>
          <w:bCs w:val="0"/>
        </w:rPr>
        <w:t>八、</w:t>
      </w:r>
      <w:r>
        <w:rPr>
          <w:rFonts w:hint="eastAsia" w:ascii="仿宋" w:eastAsia="仿宋"/>
          <w:b w:val="0"/>
          <w:color w:val="000000"/>
        </w:rPr>
        <w:t>一</w:t>
      </w:r>
      <w:r>
        <w:rPr>
          <w:rStyle w:val="19"/>
          <w:rFonts w:hint="eastAsia" w:ascii="仿宋" w:eastAsia="仿宋"/>
          <w:b w:val="0"/>
          <w:bCs w:val="0"/>
        </w:rPr>
        <w:t>般公共预算财政拨款基本支出决算表</w:t>
      </w:r>
      <w:bookmarkEnd w:id="64"/>
    </w:p>
    <w:p>
      <w:pPr>
        <w:pStyle w:val="5"/>
        <w:rPr>
          <w:rFonts w:ascii="仿宋" w:eastAsia="仿宋"/>
          <w:color w:val="000000"/>
        </w:rPr>
      </w:pPr>
      <w:bookmarkStart w:id="65" w:name="_Toc15396627"/>
      <w:r>
        <w:rPr>
          <w:rStyle w:val="19"/>
          <w:rFonts w:hint="eastAsia" w:ascii="仿宋" w:eastAsia="仿宋"/>
          <w:b w:val="0"/>
          <w:bCs w:val="0"/>
        </w:rPr>
        <w:t>九、</w:t>
      </w:r>
      <w:r>
        <w:rPr>
          <w:rFonts w:hint="eastAsia" w:ascii="仿宋" w:eastAsia="仿宋"/>
          <w:b w:val="0"/>
          <w:color w:val="000000"/>
        </w:rPr>
        <w:t>一</w:t>
      </w:r>
      <w:r>
        <w:rPr>
          <w:rStyle w:val="19"/>
          <w:rFonts w:hint="eastAsia" w:ascii="仿宋" w:eastAsia="仿宋"/>
          <w:b w:val="0"/>
          <w:bCs w:val="0"/>
        </w:rPr>
        <w:t>般公共预算财政拨款项目支出决算表</w:t>
      </w:r>
      <w:bookmarkEnd w:id="65"/>
    </w:p>
    <w:p>
      <w:pPr>
        <w:pStyle w:val="5"/>
        <w:rPr>
          <w:rFonts w:ascii="仿宋" w:eastAsia="仿宋"/>
          <w:color w:val="000000"/>
        </w:rPr>
      </w:pPr>
      <w:bookmarkStart w:id="66" w:name="_Toc15396628"/>
      <w:r>
        <w:rPr>
          <w:rStyle w:val="19"/>
          <w:rFonts w:hint="eastAsia" w:ascii="仿宋" w:eastAsia="仿宋"/>
          <w:b w:val="0"/>
          <w:bCs w:val="0"/>
        </w:rPr>
        <w:t>十、</w:t>
      </w:r>
      <w:r>
        <w:rPr>
          <w:rFonts w:hint="eastAsia" w:ascii="仿宋" w:eastAsia="仿宋"/>
          <w:b w:val="0"/>
          <w:color w:val="000000"/>
        </w:rPr>
        <w:t>一</w:t>
      </w:r>
      <w:r>
        <w:rPr>
          <w:rStyle w:val="19"/>
          <w:rFonts w:hint="eastAsia" w:ascii="仿宋" w:eastAsia="仿宋"/>
          <w:b w:val="0"/>
          <w:bCs w:val="0"/>
        </w:rPr>
        <w:t>般公共预算财政拨款“三公”经费支出决算表</w:t>
      </w:r>
      <w:bookmarkEnd w:id="66"/>
    </w:p>
    <w:p>
      <w:pPr>
        <w:pStyle w:val="5"/>
        <w:rPr>
          <w:rFonts w:ascii="仿宋" w:eastAsia="仿宋"/>
          <w:color w:val="000000"/>
        </w:rPr>
      </w:pPr>
      <w:bookmarkStart w:id="67" w:name="_Toc15396629"/>
      <w:r>
        <w:rPr>
          <w:rStyle w:val="19"/>
          <w:rFonts w:hint="eastAsia" w:ascii="仿宋" w:eastAsia="仿宋"/>
          <w:b w:val="0"/>
          <w:bCs w:val="0"/>
        </w:rPr>
        <w:t>十一、</w:t>
      </w:r>
      <w:r>
        <w:rPr>
          <w:rFonts w:hint="eastAsia" w:ascii="仿宋" w:eastAsia="仿宋"/>
          <w:b w:val="0"/>
          <w:color w:val="000000"/>
        </w:rPr>
        <w:t>政</w:t>
      </w:r>
      <w:r>
        <w:rPr>
          <w:rStyle w:val="19"/>
          <w:rFonts w:hint="eastAsia" w:ascii="仿宋" w:eastAsia="仿宋"/>
          <w:b w:val="0"/>
          <w:bCs w:val="0"/>
        </w:rPr>
        <w:t>府性基金预算财政拨款收入支出决算表</w:t>
      </w:r>
      <w:bookmarkEnd w:id="67"/>
    </w:p>
    <w:p>
      <w:pPr>
        <w:pStyle w:val="5"/>
        <w:rPr>
          <w:rFonts w:ascii="仿宋" w:eastAsia="仿宋"/>
          <w:color w:val="000000"/>
        </w:rPr>
      </w:pPr>
      <w:bookmarkStart w:id="68" w:name="_Toc15396630"/>
      <w:r>
        <w:rPr>
          <w:rStyle w:val="19"/>
          <w:rFonts w:hint="eastAsia" w:ascii="仿宋" w:eastAsia="仿宋"/>
          <w:b w:val="0"/>
          <w:bCs w:val="0"/>
        </w:rPr>
        <w:t>十二、</w:t>
      </w:r>
      <w:r>
        <w:rPr>
          <w:rFonts w:hint="eastAsia" w:ascii="仿宋" w:eastAsia="仿宋"/>
          <w:b w:val="0"/>
          <w:color w:val="000000"/>
        </w:rPr>
        <w:t>政</w:t>
      </w:r>
      <w:r>
        <w:rPr>
          <w:rStyle w:val="19"/>
          <w:rFonts w:hint="eastAsia" w:ascii="仿宋" w:eastAsia="仿宋"/>
          <w:b w:val="0"/>
          <w:bCs w:val="0"/>
        </w:rPr>
        <w:t>府性基金预算财政拨款“三公”经费支出决算表</w:t>
      </w:r>
      <w:bookmarkEnd w:id="68"/>
    </w:p>
    <w:p>
      <w:pPr>
        <w:pStyle w:val="5"/>
        <w:rPr>
          <w:rFonts w:ascii="仿宋" w:eastAsia="仿宋"/>
          <w:color w:val="000000"/>
        </w:rPr>
      </w:pPr>
      <w:bookmarkStart w:id="69" w:name="_Toc15396631"/>
      <w:r>
        <w:rPr>
          <w:rStyle w:val="19"/>
          <w:rFonts w:hint="eastAsia" w:ascii="仿宋" w:eastAsia="仿宋"/>
          <w:b w:val="0"/>
          <w:bCs w:val="0"/>
        </w:rPr>
        <w:t>十三、</w:t>
      </w:r>
      <w:r>
        <w:rPr>
          <w:rFonts w:hint="eastAsia" w:ascii="仿宋" w:eastAsia="仿宋"/>
          <w:b w:val="0"/>
          <w:color w:val="000000"/>
        </w:rPr>
        <w:t>国</w:t>
      </w:r>
      <w:r>
        <w:rPr>
          <w:rStyle w:val="19"/>
          <w:rFonts w:hint="eastAsia" w:ascii="仿宋" w:eastAsia="仿宋"/>
          <w:b w:val="0"/>
          <w:bCs w:val="0"/>
        </w:rPr>
        <w:t>有资本经营预算支出决算表</w:t>
      </w:r>
      <w:bookmarkEnd w:id="69"/>
    </w:p>
    <w:sectPr>
      <w:headerReference r:id="rId3" w:type="default"/>
      <w:footerReference r:id="rId4" w:type="default"/>
      <w:pgSz w:w="11907" w:h="16840"/>
      <w:pgMar w:top="1440" w:right="1077" w:bottom="1440" w:left="1797" w:header="851" w:footer="992" w:gutter="0"/>
      <w:pgNumType w:start="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2</w:t>
    </w:r>
    <w: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44C73B35"/>
    <w:multiLevelType w:val="multilevel"/>
    <w:tmpl w:val="44C73B35"/>
    <w:lvl w:ilvl="0" w:tentative="0">
      <w:start w:val="1"/>
      <w:numFmt w:val="japaneseCounting"/>
      <w:lvlText w:val="（%1）"/>
      <w:lvlJc w:val="left"/>
      <w:pPr>
        <w:ind w:left="1625" w:hanging="990"/>
      </w:pPr>
      <w:rPr>
        <w:rFonts w:hint="default"/>
      </w:rPr>
    </w:lvl>
    <w:lvl w:ilvl="1" w:tentative="0">
      <w:start w:val="1"/>
      <w:numFmt w:val="lowerLetter"/>
      <w:lvlText w:val="%2)"/>
      <w:lvlJc w:val="left"/>
      <w:pPr>
        <w:ind w:left="1475" w:hanging="420"/>
      </w:pPr>
    </w:lvl>
    <w:lvl w:ilvl="2" w:tentative="0">
      <w:start w:val="1"/>
      <w:numFmt w:val="lowerRoman"/>
      <w:lvlText w:val="%3."/>
      <w:lvlJc w:val="right"/>
      <w:pPr>
        <w:ind w:left="1895" w:hanging="420"/>
      </w:pPr>
    </w:lvl>
    <w:lvl w:ilvl="3" w:tentative="0">
      <w:start w:val="1"/>
      <w:numFmt w:val="decimal"/>
      <w:lvlText w:val="%4."/>
      <w:lvlJc w:val="left"/>
      <w:pPr>
        <w:ind w:left="2315" w:hanging="420"/>
      </w:pPr>
    </w:lvl>
    <w:lvl w:ilvl="4" w:tentative="0">
      <w:start w:val="1"/>
      <w:numFmt w:val="lowerLetter"/>
      <w:lvlText w:val="%5)"/>
      <w:lvlJc w:val="left"/>
      <w:pPr>
        <w:ind w:left="2735" w:hanging="420"/>
      </w:pPr>
    </w:lvl>
    <w:lvl w:ilvl="5" w:tentative="0">
      <w:start w:val="1"/>
      <w:numFmt w:val="lowerRoman"/>
      <w:lvlText w:val="%6."/>
      <w:lvlJc w:val="right"/>
      <w:pPr>
        <w:ind w:left="3155" w:hanging="420"/>
      </w:pPr>
    </w:lvl>
    <w:lvl w:ilvl="6" w:tentative="0">
      <w:start w:val="1"/>
      <w:numFmt w:val="decimal"/>
      <w:lvlText w:val="%7."/>
      <w:lvlJc w:val="left"/>
      <w:pPr>
        <w:ind w:left="3575" w:hanging="420"/>
      </w:pPr>
    </w:lvl>
    <w:lvl w:ilvl="7" w:tentative="0">
      <w:start w:val="1"/>
      <w:numFmt w:val="lowerLetter"/>
      <w:lvlText w:val="%8)"/>
      <w:lvlJc w:val="left"/>
      <w:pPr>
        <w:ind w:left="3995" w:hanging="420"/>
      </w:pPr>
    </w:lvl>
    <w:lvl w:ilvl="8" w:tentative="0">
      <w:start w:val="1"/>
      <w:numFmt w:val="lowerRoman"/>
      <w:lvlText w:val="%9."/>
      <w:lvlJc w:val="right"/>
      <w:pPr>
        <w:ind w:left="4415"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4BE5776"/>
    <w:rsid w:val="3FBE5CB8"/>
    <w:rsid w:val="4F5E27CD"/>
    <w:rsid w:val="585438E9"/>
    <w:rsid w:val="5D864545"/>
    <w:rsid w:val="7AF747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8"/>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9"/>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6">
    <w:name w:val="heading 3"/>
    <w:next w:val="1"/>
    <w:qFormat/>
    <w:uiPriority w:val="0"/>
    <w:pPr>
      <w:keepNext/>
      <w:keepLines/>
      <w:widowControl w:val="0"/>
      <w:spacing w:before="260" w:after="260"/>
      <w:ind w:firstLine="200" w:firstLineChars="200"/>
      <w:jc w:val="center"/>
      <w:outlineLvl w:val="2"/>
    </w:pPr>
    <w:rPr>
      <w:rFonts w:ascii="Calibri" w:hAnsi="Calibri" w:eastAsia="黑体" w:cs="Times New Roman"/>
      <w:bCs/>
      <w:kern w:val="2"/>
      <w:sz w:val="30"/>
      <w:szCs w:val="32"/>
      <w:lang w:val="en-US" w:eastAsia="zh-CN" w:bidi="ar-SA"/>
    </w:rPr>
  </w:style>
  <w:style w:type="character" w:default="1" w:styleId="15">
    <w:name w:val="Default Paragraph Font"/>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99"/>
    <w:pPr>
      <w:widowControl/>
      <w:spacing w:after="0"/>
      <w:ind w:left="0" w:leftChars="0" w:firstLine="420" w:firstLineChars="200"/>
    </w:pPr>
    <w:rPr>
      <w:kern w:val="0"/>
      <w:szCs w:val="22"/>
    </w:rPr>
  </w:style>
  <w:style w:type="paragraph" w:styleId="3">
    <w:name w:val="Body Text Indent"/>
    <w:basedOn w:val="1"/>
    <w:qFormat/>
    <w:uiPriority w:val="99"/>
    <w:pPr>
      <w:spacing w:after="120"/>
      <w:ind w:left="420" w:leftChars="200"/>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qFormat/>
    <w:uiPriority w:val="0"/>
    <w:pPr>
      <w:tabs>
        <w:tab w:val="right" w:leader="dot" w:pos="8296"/>
      </w:tabs>
      <w:ind w:left="200" w:leftChars="200"/>
    </w:p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heading 1 Char"/>
    <w:basedOn w:val="15"/>
    <w:link w:val="4"/>
    <w:qFormat/>
    <w:uiPriority w:val="0"/>
    <w:rPr>
      <w:rFonts w:ascii="Times New Roman" w:hAnsi="Times New Roman" w:eastAsia="宋体" w:cs="Times New Roman"/>
      <w:b/>
      <w:bCs/>
      <w:kern w:val="44"/>
      <w:sz w:val="44"/>
      <w:szCs w:val="44"/>
      <w:lang w:val="en-US" w:eastAsia="zh-CN" w:bidi="ar-SA"/>
    </w:rPr>
  </w:style>
  <w:style w:type="character" w:customStyle="1" w:styleId="19">
    <w:name w:val="heading 2 Char"/>
    <w:basedOn w:val="15"/>
    <w:link w:val="5"/>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4">
    <w:name w:val="List Paragraph"/>
    <w:basedOn w:val="1"/>
    <w:qFormat/>
    <w:uiPriority w:val="0"/>
    <w:pPr>
      <w:ind w:firstLine="200" w:firstLineChars="200"/>
    </w:pPr>
  </w:style>
  <w:style w:type="paragraph" w:customStyle="1" w:styleId="25">
    <w:name w:val="TOC 标题1"/>
    <w:basedOn w:val="4"/>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6">
    <w:name w:val="TOC Heading"/>
    <w:basedOn w:val="4"/>
    <w:next w:val="1"/>
    <w:qFormat/>
    <w:uiPriority w:val="0"/>
    <w:pPr>
      <w:keepNext/>
      <w:keepLines/>
      <w:widowControl/>
      <w:spacing w:before="480" w:after="0" w:line="276" w:lineRule="auto"/>
      <w:jc w:val="left"/>
      <w:outlineLvl w:val="9"/>
    </w:pPr>
    <w:rPr>
      <w:rFonts w:ascii="Cambria" w:hAnsi="Cambria" w:eastAsia="宋体" w:cs="Times New Roman"/>
      <w:color w:val="365F91"/>
      <w:kern w:val="0"/>
      <w:sz w:val="28"/>
      <w:szCs w:val="28"/>
    </w:rPr>
  </w:style>
  <w:style w:type="paragraph" w:customStyle="1" w:styleId="27">
    <w:name w:val="四号正文"/>
    <w:basedOn w:val="1"/>
    <w:qFormat/>
    <w:uiPriority w:val="0"/>
    <w:pPr>
      <w:spacing w:line="360" w:lineRule="auto"/>
    </w:pPr>
    <w:rPr>
      <w:rFonts w:ascii="??" w:hAnsi="??" w:eastAsia="宋体"/>
      <w:color w:val="000000"/>
      <w:kern w:val="0"/>
      <w:sz w:val="28"/>
      <w:szCs w:val="21"/>
      <w:lang w:val="zh-CN"/>
    </w:rPr>
  </w:style>
  <w:style w:type="paragraph" w:customStyle="1" w:styleId="28">
    <w:name w:val="正文z"/>
    <w:basedOn w:val="1"/>
    <w:qFormat/>
    <w:uiPriority w:val="0"/>
    <w:pPr>
      <w:adjustRightInd w:val="0"/>
      <w:snapToGrid w:val="0"/>
      <w:spacing w:line="600" w:lineRule="exact"/>
      <w:ind w:left="284" w:firstLine="640" w:firstLineChars="200"/>
    </w:pPr>
    <w:rPr>
      <w:rFonts w:ascii="仿宋" w:hAnsi="仿宋" w:eastAsia="仿宋" w:cstheme="minorBidi"/>
      <w:sz w:val="32"/>
      <w:szCs w:val="32"/>
      <w:lang w:val="zh-CN"/>
    </w:rPr>
  </w:style>
  <w:style w:type="character" w:customStyle="1" w:styleId="29">
    <w:name w:val="标题 2 Char"/>
    <w:basedOn w:val="15"/>
    <w:link w:val="5"/>
    <w:qFormat/>
    <w:uiPriority w:val="9"/>
    <w:rPr>
      <w:rFonts w:asciiTheme="majorHAnsi" w:hAnsiTheme="majorHAnsi" w:eastAsiaTheme="majorEastAsia" w:cstheme="majorBid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27</Pages>
  <Words>12411</Words>
  <Characters>13185</Characters>
  <Lines>891</Lines>
  <Paragraphs>406</Paragraphs>
  <TotalTime>1</TotalTime>
  <ScaleCrop>false</ScaleCrop>
  <LinksUpToDate>false</LinksUpToDate>
  <CharactersWithSpaces>13244</CharactersWithSpaces>
  <Application>WPS Office_11.1.0.8696_F1E327BC-269C-435d-A152-05C5408002CA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2020-07-23T02:58:00Z</cp:lastPrinted>
  <dcterms:modified xsi:type="dcterms:W3CDTF">2020-09-22T06:18:46Z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