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597"/>
      <w:bookmarkStart w:id="2" w:name="_Toc15396475"/>
      <w:bookmarkStart w:id="3" w:name="_Toc15378441"/>
      <w:bookmarkStart w:id="4" w:name="_Toc15377425"/>
      <w:bookmarkStart w:id="5" w:name="_Toc15377193"/>
      <w:r>
        <w:rPr>
          <w:rFonts w:hint="eastAsia" w:ascii="黑体" w:eastAsia="黑体"/>
          <w:color w:val="000000"/>
          <w:sz w:val="72"/>
          <w:szCs w:val="72"/>
        </w:rPr>
        <w:t>2020</w:t>
      </w:r>
      <w:r>
        <w:rPr>
          <w:rFonts w:hint="eastAsia" w:ascii="方正小标宋简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olor w:val="000000"/>
          <w:sz w:val="72"/>
          <w:szCs w:val="72"/>
        </w:rPr>
      </w:pPr>
      <w:bookmarkStart w:id="6" w:name="_Toc15396476"/>
      <w:bookmarkStart w:id="7" w:name="_Toc15378442"/>
      <w:bookmarkStart w:id="8" w:name="_Toc15396598"/>
      <w:bookmarkStart w:id="9" w:name="_Toc15377426"/>
      <w:bookmarkStart w:id="10" w:name="_Toc15377194"/>
      <w:r>
        <w:rPr>
          <w:rFonts w:hint="eastAsia" w:ascii="方正小标宋简体" w:eastAsia="方正小标宋简体"/>
          <w:color w:val="000000"/>
          <w:sz w:val="72"/>
          <w:szCs w:val="72"/>
        </w:rPr>
        <w:t>四川省阿坝州</w:t>
      </w:r>
      <w:bookmarkEnd w:id="0"/>
      <w:bookmarkStart w:id="11" w:name="_Toc15306268"/>
      <w:r>
        <w:rPr>
          <w:rFonts w:ascii="方正小标宋简体" w:eastAsia="方正小标宋简体"/>
          <w:color w:val="000000"/>
          <w:sz w:val="72"/>
          <w:szCs w:val="72"/>
        </w:rPr>
        <w:t>九寨沟</w:t>
      </w:r>
    </w:p>
    <w:p>
      <w:pPr>
        <w:adjustRightInd w:val="0"/>
        <w:snapToGrid w:val="0"/>
        <w:spacing w:line="360" w:lineRule="auto"/>
        <w:jc w:val="center"/>
        <w:outlineLvl w:val="0"/>
        <w:rPr>
          <w:rFonts w:ascii="方正小标宋简体" w:eastAsia="方正小标宋简体"/>
          <w:color w:val="000000"/>
          <w:sz w:val="72"/>
          <w:szCs w:val="72"/>
        </w:rPr>
      </w:pPr>
      <w:r>
        <w:rPr>
          <w:rFonts w:hint="eastAsia" w:ascii="方正小标宋简体" w:eastAsia="方正小标宋简体"/>
          <w:color w:val="000000"/>
          <w:sz w:val="72"/>
          <w:szCs w:val="72"/>
        </w:rPr>
        <w:t>县委政法委部门决算</w:t>
      </w:r>
      <w:bookmarkEnd w:id="6"/>
      <w:bookmarkEnd w:id="7"/>
      <w:bookmarkEnd w:id="8"/>
      <w:bookmarkEnd w:id="9"/>
      <w:bookmarkEnd w:id="10"/>
      <w:bookmarkEnd w:id="11"/>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rPr>
          <w:rFonts w:ascii="方正小标宋简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部门主要负责人审签情况：已审签，同意对外公开</w:t>
      </w:r>
    </w:p>
    <w:p>
      <w:pPr>
        <w:widowControl/>
        <w:ind w:firstLine="3960" w:firstLineChars="1100"/>
        <w:rPr>
          <w:rFonts w:ascii="黑体" w:eastAsia="黑体"/>
          <w:color w:val="000000"/>
          <w:sz w:val="48"/>
          <w:szCs w:val="48"/>
        </w:rPr>
      </w:pPr>
      <w:r>
        <w:rPr>
          <w:rFonts w:ascii="方正小标宋简体" w:eastAsia="方正小标宋简体"/>
          <w:sz w:val="36"/>
          <w:szCs w:val="36"/>
        </w:rPr>
        <w:br w:type="page"/>
      </w:r>
      <w:r>
        <w:rPr>
          <w:rFonts w:hint="eastAsia" w:ascii="黑体" w:eastAsia="黑体"/>
          <w:color w:val="000000"/>
          <w:sz w:val="48"/>
          <w:szCs w:val="48"/>
        </w:rPr>
        <w:t>目录</w:t>
      </w:r>
    </w:p>
    <w:p>
      <w:pPr>
        <w:widowControl/>
        <w:jc w:val="center"/>
        <w:rPr>
          <w:rFonts w:ascii="黑体" w:eastAsia="黑体" w:cs="Arial"/>
          <w:sz w:val="28"/>
          <w:szCs w:val="28"/>
        </w:rPr>
      </w:pPr>
    </w:p>
    <w:p>
      <w:pPr>
        <w:pStyle w:val="12"/>
      </w:pPr>
      <w:r>
        <w:rPr>
          <w:rFonts w:hint="eastAsia"/>
        </w:rPr>
        <w:t>公开时间：2021年9月1</w:t>
      </w:r>
      <w:r>
        <w:t>5</w:t>
      </w:r>
      <w:r>
        <w:rPr>
          <w:rFonts w:hint="eastAsia"/>
        </w:rPr>
        <w:t>日</w:t>
      </w:r>
    </w:p>
    <w:p/>
    <w:p>
      <w:pPr>
        <w:pStyle w:val="12"/>
        <w:adjustRightInd w:val="0"/>
        <w:snapToGrid w:val="0"/>
        <w:spacing w:before="0" w:line="440" w:lineRule="exact"/>
        <w:jc w:val="left"/>
        <w:rPr>
          <w:rFonts w:cs="Arial"/>
          <w:sz w:val="24"/>
          <w:szCs w:val="24"/>
        </w:rPr>
      </w:pPr>
      <w:r>
        <w:rPr>
          <w:rFonts w:hint="eastAsia"/>
          <w:sz w:val="24"/>
        </w:rPr>
        <w:t>第一部分</w:t>
      </w:r>
      <w:r>
        <w:rPr>
          <w:sz w:val="24"/>
        </w:rPr>
        <w:t xml:space="preserve"> </w:t>
      </w:r>
      <w:r>
        <w:rPr>
          <w:rFonts w:hint="eastAsia"/>
          <w:sz w:val="24"/>
        </w:rPr>
        <w:t>部门概况</w:t>
      </w:r>
      <w:r>
        <w:rPr>
          <w:sz w:val="24"/>
        </w:rPr>
        <w:t>.</w:t>
      </w:r>
    </w:p>
    <w:p>
      <w:pPr>
        <w:pStyle w:val="13"/>
        <w:adjustRightInd w:val="0"/>
        <w:snapToGrid w:val="0"/>
        <w:spacing w:line="440" w:lineRule="exact"/>
        <w:ind w:left="420"/>
        <w:jc w:val="left"/>
        <w:rPr>
          <w:rFonts w:ascii="仿宋" w:eastAsia="仿宋"/>
          <w:sz w:val="24"/>
        </w:rPr>
      </w:pPr>
      <w:r>
        <w:rPr>
          <w:rFonts w:hint="eastAsia"/>
          <w:sz w:val="24"/>
        </w:rPr>
        <w:t>一、基本职能及主要工作</w:t>
      </w:r>
      <w:r>
        <w:rPr>
          <w:sz w:val="24"/>
        </w:rPr>
        <w:t xml:space="preserve"> .。。。。。。。。。。。。。。。。。。。。。。。。。。。。。。。。。。。。。。。4</w:t>
      </w:r>
    </w:p>
    <w:p>
      <w:pPr>
        <w:pStyle w:val="13"/>
        <w:adjustRightInd w:val="0"/>
        <w:snapToGrid w:val="0"/>
        <w:spacing w:line="440" w:lineRule="exact"/>
        <w:ind w:left="420"/>
        <w:jc w:val="left"/>
        <w:rPr>
          <w:rFonts w:ascii="仿宋" w:eastAsia="仿宋" w:cs="Arial"/>
          <w:sz w:val="24"/>
        </w:rPr>
      </w:pPr>
      <w:r>
        <w:rPr>
          <w:rFonts w:hint="eastAsia"/>
          <w:sz w:val="24"/>
        </w:rPr>
        <w:t>二、机构设置</w:t>
      </w:r>
      <w:r>
        <w:rPr>
          <w:sz w:val="24"/>
        </w:rPr>
        <w:t>.。。。。。。。。。。。。。。。。。。。。。。。。。。。。。。。。。。。。。。。。。。。。。。。。。。11</w:t>
      </w:r>
    </w:p>
    <w:p>
      <w:pPr>
        <w:pStyle w:val="12"/>
        <w:adjustRightInd w:val="0"/>
        <w:snapToGrid w:val="0"/>
        <w:spacing w:before="0" w:line="440" w:lineRule="exact"/>
        <w:jc w:val="left"/>
        <w:rPr>
          <w:sz w:val="24"/>
          <w:szCs w:val="24"/>
        </w:rPr>
      </w:pPr>
      <w:r>
        <w:rPr>
          <w:rFonts w:hint="eastAsia"/>
          <w:sz w:val="24"/>
        </w:rPr>
        <w:t>第二部分度部门决算情况说明</w:t>
      </w:r>
    </w:p>
    <w:p>
      <w:pPr>
        <w:pStyle w:val="13"/>
        <w:adjustRightInd w:val="0"/>
        <w:snapToGrid w:val="0"/>
        <w:spacing w:line="440" w:lineRule="exact"/>
        <w:ind w:left="420"/>
        <w:jc w:val="left"/>
        <w:rPr>
          <w:rFonts w:ascii="仿宋" w:eastAsia="仿宋" w:cs="Arial"/>
          <w:sz w:val="24"/>
        </w:rPr>
      </w:pPr>
      <w:r>
        <w:rPr>
          <w:rFonts w:hint="eastAsia"/>
          <w:sz w:val="24"/>
        </w:rPr>
        <w:t>一、收入支出决算总体情况说明</w:t>
      </w:r>
      <w:r>
        <w:rPr>
          <w:sz w:val="24"/>
        </w:rPr>
        <w:t>.。。。。。。。。。。。。。。。。。。。。。。。。。。。。。。。。。。12</w:t>
      </w:r>
    </w:p>
    <w:p>
      <w:pPr>
        <w:pStyle w:val="13"/>
        <w:adjustRightInd w:val="0"/>
        <w:snapToGrid w:val="0"/>
        <w:spacing w:line="440" w:lineRule="exact"/>
        <w:ind w:left="420"/>
        <w:jc w:val="left"/>
        <w:rPr>
          <w:rFonts w:ascii="仿宋" w:eastAsia="仿宋" w:cs="Arial"/>
          <w:sz w:val="24"/>
        </w:rPr>
      </w:pPr>
      <w:r>
        <w:rPr>
          <w:rFonts w:hint="eastAsia"/>
          <w:sz w:val="24"/>
        </w:rPr>
        <w:t>二、收入决算情况说明</w:t>
      </w:r>
      <w:r>
        <w:rPr>
          <w:sz w:val="24"/>
        </w:rPr>
        <w:t xml:space="preserve"> 。。。。。。。。。。。。。。。。。。。。。。。。。。。。。。。。。。。。。。。。。。12</w:t>
      </w:r>
    </w:p>
    <w:p>
      <w:pPr>
        <w:pStyle w:val="13"/>
        <w:adjustRightInd w:val="0"/>
        <w:snapToGrid w:val="0"/>
        <w:spacing w:line="440" w:lineRule="exact"/>
        <w:ind w:left="420"/>
        <w:jc w:val="left"/>
        <w:rPr>
          <w:sz w:val="24"/>
        </w:rPr>
      </w:pPr>
      <w:r>
        <w:rPr>
          <w:rFonts w:hint="eastAsia"/>
          <w:sz w:val="24"/>
        </w:rPr>
        <w:t>三、支出决算情况说明</w:t>
      </w:r>
      <w:r>
        <w:rPr>
          <w:sz w:val="24"/>
        </w:rPr>
        <w:t>。。。。。。。。。。。。。。。。。。。。。。。。。。。。。。。。。。。。。。。。。。。12</w:t>
      </w:r>
    </w:p>
    <w:p>
      <w:pPr>
        <w:pStyle w:val="13"/>
        <w:adjustRightInd w:val="0"/>
        <w:snapToGrid w:val="0"/>
        <w:spacing w:line="440" w:lineRule="exact"/>
        <w:ind w:left="420"/>
        <w:jc w:val="left"/>
        <w:rPr>
          <w:rFonts w:ascii="仿宋" w:eastAsia="仿宋" w:cs="Arial"/>
          <w:sz w:val="24"/>
        </w:rPr>
      </w:pPr>
      <w:r>
        <w:rPr>
          <w:rFonts w:hint="eastAsia"/>
          <w:sz w:val="24"/>
        </w:rPr>
        <w:t>四、财政拨款收入支出决算总体情况说明</w:t>
      </w:r>
      <w:r>
        <w:rPr>
          <w:sz w:val="24"/>
        </w:rPr>
        <w:t>.。。。。。。。。。。。。。。。。。。。。。。。。。。12</w:t>
      </w:r>
    </w:p>
    <w:p>
      <w:pPr>
        <w:pStyle w:val="13"/>
        <w:adjustRightInd w:val="0"/>
        <w:snapToGrid w:val="0"/>
        <w:spacing w:line="440" w:lineRule="exact"/>
        <w:ind w:left="420"/>
        <w:jc w:val="left"/>
        <w:rPr>
          <w:rFonts w:ascii="仿宋" w:eastAsia="仿宋" w:cs="Arial"/>
          <w:sz w:val="24"/>
        </w:rPr>
      </w:pPr>
      <w:r>
        <w:rPr>
          <w:rFonts w:hint="eastAsia"/>
          <w:sz w:val="24"/>
        </w:rPr>
        <w:t>五、一般公共预算财政拨款支出决算情况说明</w:t>
      </w:r>
      <w:r>
        <w:rPr>
          <w:sz w:val="24"/>
        </w:rPr>
        <w:t>.。。。。。。。。。。。。。。。。。。。。。。。13</w:t>
      </w:r>
    </w:p>
    <w:p>
      <w:pPr>
        <w:pStyle w:val="13"/>
        <w:adjustRightInd w:val="0"/>
        <w:snapToGrid w:val="0"/>
        <w:spacing w:line="440" w:lineRule="exact"/>
        <w:ind w:left="420"/>
        <w:jc w:val="left"/>
        <w:rPr>
          <w:rFonts w:ascii="仿宋" w:eastAsia="仿宋" w:cs="Arial"/>
          <w:sz w:val="24"/>
        </w:rPr>
      </w:pPr>
      <w:r>
        <w:rPr>
          <w:rFonts w:hint="eastAsia"/>
          <w:sz w:val="24"/>
        </w:rPr>
        <w:t>六、一般公共预算财政拨款基本支出决算情况说明</w:t>
      </w:r>
      <w:r>
        <w:rPr>
          <w:sz w:val="24"/>
        </w:rPr>
        <w:t>.。。。。。。。。。。。。。。。。。。。14</w:t>
      </w:r>
    </w:p>
    <w:p>
      <w:pPr>
        <w:pStyle w:val="13"/>
        <w:adjustRightInd w:val="0"/>
        <w:snapToGrid w:val="0"/>
        <w:spacing w:line="440" w:lineRule="exact"/>
        <w:ind w:left="420"/>
        <w:jc w:val="left"/>
        <w:rPr>
          <w:rFonts w:ascii="仿宋" w:eastAsia="仿宋" w:cs="Arial"/>
          <w:sz w:val="24"/>
        </w:rPr>
      </w:pPr>
      <w:r>
        <w:rPr>
          <w:rFonts w:hint="eastAsia"/>
          <w:sz w:val="24"/>
        </w:rPr>
        <w:t>七、</w:t>
      </w:r>
      <w:r>
        <w:rPr>
          <w:sz w:val="24"/>
        </w:rPr>
        <w:t>“</w:t>
      </w:r>
      <w:r>
        <w:rPr>
          <w:rFonts w:hint="eastAsia"/>
          <w:sz w:val="24"/>
        </w:rPr>
        <w:t>三公”经费财政拨款支出决算情况说明</w:t>
      </w:r>
      <w:r>
        <w:rPr>
          <w:sz w:val="24"/>
        </w:rPr>
        <w:t>.。。。。。。。。。。。。。。。。。。。。。。。。。14</w:t>
      </w:r>
    </w:p>
    <w:p>
      <w:pPr>
        <w:pStyle w:val="13"/>
        <w:adjustRightInd w:val="0"/>
        <w:snapToGrid w:val="0"/>
        <w:spacing w:line="440" w:lineRule="exact"/>
        <w:ind w:left="420"/>
        <w:jc w:val="left"/>
        <w:rPr>
          <w:rFonts w:ascii="仿宋" w:eastAsia="仿宋" w:cs="Arial"/>
          <w:sz w:val="24"/>
        </w:rPr>
      </w:pPr>
      <w:r>
        <w:rPr>
          <w:rFonts w:hint="eastAsia"/>
          <w:sz w:val="24"/>
        </w:rPr>
        <w:t>八、政府性基金预算支出决算情况说明</w:t>
      </w:r>
      <w:r>
        <w:rPr>
          <w:sz w:val="24"/>
        </w:rPr>
        <w:t>.。。。。。。。。。。。。。。。。。。。。。。。。。。。。。。16</w:t>
      </w:r>
    </w:p>
    <w:p>
      <w:pPr>
        <w:pStyle w:val="13"/>
        <w:adjustRightInd w:val="0"/>
        <w:snapToGrid w:val="0"/>
        <w:spacing w:line="440" w:lineRule="exact"/>
        <w:ind w:left="0" w:leftChars="0" w:firstLine="480" w:firstLineChars="200"/>
        <w:jc w:val="left"/>
        <w:rPr>
          <w:rFonts w:ascii="仿宋" w:eastAsia="仿宋"/>
          <w:sz w:val="24"/>
        </w:rPr>
      </w:pPr>
      <w:r>
        <w:rPr>
          <w:rFonts w:hint="eastAsia" w:ascii="仿宋" w:eastAsia="仿宋"/>
          <w:sz w:val="24"/>
        </w:rPr>
        <w:t>九、</w:t>
      </w:r>
      <w:r>
        <w:rPr>
          <w:sz w:val="24"/>
        </w:rPr>
        <w:t xml:space="preserve"> 国</w:t>
      </w:r>
      <w:r>
        <w:rPr>
          <w:rFonts w:hint="eastAsia"/>
          <w:sz w:val="24"/>
        </w:rPr>
        <w:t>有资本经营预算支出决算情况说明</w:t>
      </w:r>
      <w:r>
        <w:rPr>
          <w:sz w:val="24"/>
        </w:rPr>
        <w:t>。。。。。。。。。。。。。。。。。。。。。。。。。。16</w:t>
      </w:r>
    </w:p>
    <w:p>
      <w:pPr>
        <w:adjustRightInd w:val="0"/>
        <w:snapToGrid w:val="0"/>
        <w:spacing w:line="440" w:lineRule="exact"/>
        <w:ind w:firstLine="480" w:firstLineChars="200"/>
        <w:jc w:val="left"/>
        <w:rPr>
          <w:rFonts w:ascii="仿宋" w:eastAsia="仿宋" w:cs="Arial"/>
          <w:sz w:val="24"/>
        </w:rPr>
      </w:pPr>
      <w:r>
        <w:rPr>
          <w:rStyle w:val="17"/>
          <w:rFonts w:hint="eastAsia" w:ascii="仿宋" w:eastAsia="仿宋"/>
          <w:color w:val="000000"/>
          <w:sz w:val="24"/>
          <w:u w:val="none"/>
        </w:rPr>
        <w:t>十、</w:t>
      </w:r>
      <w:r>
        <w:rPr>
          <w:rFonts w:hint="eastAsia"/>
          <w:sz w:val="24"/>
        </w:rPr>
        <w:t>其他重要事项的情况说明</w:t>
      </w:r>
      <w:r>
        <w:rPr>
          <w:rFonts w:ascii="仿宋" w:eastAsia="仿宋"/>
          <w:sz w:val="24"/>
        </w:rPr>
        <w:tab/>
      </w:r>
      <w:r>
        <w:rPr>
          <w:rFonts w:ascii="仿宋" w:eastAsia="仿宋"/>
          <w:sz w:val="24"/>
        </w:rPr>
        <w:t>.。。。。。。。。。。。。。。。。。。。。。。。。。。。。。。。。。。。。16</w:t>
      </w:r>
    </w:p>
    <w:p>
      <w:pPr>
        <w:pStyle w:val="12"/>
        <w:adjustRightInd w:val="0"/>
        <w:snapToGrid w:val="0"/>
        <w:spacing w:before="0" w:line="440" w:lineRule="exact"/>
        <w:jc w:val="left"/>
        <w:rPr>
          <w:rFonts w:cs="Arial"/>
          <w:sz w:val="24"/>
          <w:szCs w:val="24"/>
        </w:rPr>
      </w:pPr>
      <w:r>
        <w:rPr>
          <w:rFonts w:hint="eastAsia"/>
          <w:sz w:val="24"/>
        </w:rPr>
        <w:t>第三部分</w:t>
      </w:r>
      <w:r>
        <w:rPr>
          <w:sz w:val="24"/>
        </w:rPr>
        <w:t xml:space="preserve"> </w:t>
      </w:r>
      <w:r>
        <w:rPr>
          <w:rFonts w:hint="eastAsia"/>
          <w:sz w:val="24"/>
        </w:rPr>
        <w:t>名词解释</w:t>
      </w:r>
      <w:r>
        <w:rPr>
          <w:sz w:val="24"/>
        </w:rPr>
        <w:t>.。。。。。。。。。。。。。。。。。。。。。。。。。。。。。。。。。。。。。。。。。。。。。。。。。。18</w:t>
      </w:r>
    </w:p>
    <w:p>
      <w:pPr>
        <w:pStyle w:val="12"/>
        <w:adjustRightInd w:val="0"/>
        <w:snapToGrid w:val="0"/>
        <w:spacing w:before="0" w:line="440" w:lineRule="exact"/>
        <w:jc w:val="left"/>
        <w:rPr>
          <w:rFonts w:cs="Arial"/>
          <w:sz w:val="24"/>
          <w:szCs w:val="24"/>
        </w:rPr>
      </w:pPr>
      <w:r>
        <w:rPr>
          <w:rFonts w:hint="eastAsia"/>
          <w:sz w:val="24"/>
        </w:rPr>
        <w:t>第四部分</w:t>
      </w:r>
      <w:r>
        <w:rPr>
          <w:sz w:val="24"/>
        </w:rPr>
        <w:t xml:space="preserve"> </w:t>
      </w:r>
      <w:r>
        <w:rPr>
          <w:rFonts w:hint="eastAsia"/>
          <w:sz w:val="24"/>
        </w:rPr>
        <w:t>附件</w:t>
      </w:r>
      <w:r>
        <w:rPr>
          <w:sz w:val="24"/>
        </w:rPr>
        <w:t>.。。。。。。。。。。。。。。。。。。。。。。。。。。。。。。。。。。。。。。。。。。。。。。。。。。。。。。。20</w:t>
      </w:r>
    </w:p>
    <w:p>
      <w:pPr>
        <w:pStyle w:val="13"/>
        <w:adjustRightInd w:val="0"/>
        <w:snapToGrid w:val="0"/>
        <w:spacing w:line="440" w:lineRule="exact"/>
        <w:ind w:left="420"/>
        <w:jc w:val="left"/>
        <w:rPr>
          <w:rFonts w:ascii="仿宋" w:eastAsia="仿宋" w:cs="Arial"/>
          <w:sz w:val="24"/>
        </w:rPr>
      </w:pPr>
      <w:r>
        <w:rPr>
          <w:rFonts w:hint="eastAsia"/>
          <w:sz w:val="24"/>
        </w:rPr>
        <w:t>附件</w:t>
      </w:r>
      <w:r>
        <w:rPr>
          <w:sz w:val="24"/>
        </w:rPr>
        <w:t>1</w:t>
      </w:r>
    </w:p>
    <w:p>
      <w:pPr>
        <w:pStyle w:val="13"/>
        <w:adjustRightInd w:val="0"/>
        <w:snapToGrid w:val="0"/>
        <w:spacing w:line="440" w:lineRule="exact"/>
        <w:ind w:left="420"/>
        <w:jc w:val="left"/>
        <w:rPr>
          <w:rFonts w:ascii="仿宋" w:eastAsia="仿宋" w:cs="Arial"/>
          <w:sz w:val="24"/>
        </w:rPr>
      </w:pPr>
      <w:r>
        <w:rPr>
          <w:rFonts w:hint="eastAsia"/>
          <w:sz w:val="24"/>
        </w:rPr>
        <w:t>附件</w:t>
      </w:r>
      <w:r>
        <w:rPr>
          <w:sz w:val="24"/>
        </w:rPr>
        <w:t>2</w:t>
      </w:r>
    </w:p>
    <w:p>
      <w:pPr>
        <w:pStyle w:val="12"/>
        <w:adjustRightInd w:val="0"/>
        <w:snapToGrid w:val="0"/>
        <w:spacing w:before="0" w:line="440" w:lineRule="exact"/>
        <w:jc w:val="left"/>
        <w:rPr>
          <w:rFonts w:cs="Arial"/>
          <w:sz w:val="24"/>
          <w:szCs w:val="24"/>
        </w:rPr>
      </w:pPr>
      <w:r>
        <w:rPr>
          <w:rFonts w:hint="eastAsia"/>
          <w:sz w:val="24"/>
        </w:rPr>
        <w:t>第五部分</w:t>
      </w:r>
      <w:r>
        <w:rPr>
          <w:sz w:val="24"/>
        </w:rPr>
        <w:t xml:space="preserve"> </w:t>
      </w:r>
      <w:r>
        <w:rPr>
          <w:rFonts w:hint="eastAsia"/>
          <w:sz w:val="24"/>
        </w:rPr>
        <w:t>附表</w:t>
      </w:r>
      <w:r>
        <w:rPr>
          <w:sz w:val="24"/>
        </w:rPr>
        <w:t>.。。。。。。。。。。。。。。。。。。。。。。。。。。。。。。。。。。。。。。。。。。。。。。。。。。。。。。27</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一、</w:t>
      </w:r>
      <w:r>
        <w:rPr>
          <w:rFonts w:hint="eastAsia"/>
          <w:sz w:val="24"/>
        </w:rPr>
        <w:t>收入支出决算总表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二、</w:t>
      </w:r>
      <w:r>
        <w:rPr>
          <w:rFonts w:hint="eastAsia"/>
          <w:sz w:val="24"/>
        </w:rPr>
        <w:t>收入</w:t>
      </w:r>
      <w:r>
        <w:rPr>
          <w:rFonts w:hint="eastAsia" w:ascii="仿宋" w:eastAsia="仿宋"/>
          <w:sz w:val="24"/>
        </w:rPr>
        <w:t>决算</w:t>
      </w:r>
      <w:r>
        <w:rPr>
          <w:rFonts w:hint="eastAsia"/>
          <w:sz w:val="24"/>
        </w:rPr>
        <w:t>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三、</w:t>
      </w:r>
      <w:r>
        <w:rPr>
          <w:rFonts w:hint="eastAsia"/>
          <w:sz w:val="24"/>
        </w:rPr>
        <w:t>支出</w:t>
      </w:r>
      <w:r>
        <w:rPr>
          <w:rFonts w:hint="eastAsia" w:ascii="仿宋" w:eastAsia="仿宋"/>
          <w:sz w:val="24"/>
        </w:rPr>
        <w:t>决算</w:t>
      </w:r>
      <w:r>
        <w:rPr>
          <w:rFonts w:hint="eastAsia"/>
          <w:sz w:val="24"/>
        </w:rPr>
        <w:t>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四、</w:t>
      </w:r>
      <w:r>
        <w:rPr>
          <w:rFonts w:hint="eastAsia"/>
          <w:sz w:val="24"/>
        </w:rPr>
        <w:t>财政拨款收入支出决算总表</w:t>
      </w:r>
    </w:p>
    <w:p>
      <w:pPr>
        <w:pStyle w:val="13"/>
        <w:adjustRightInd w:val="0"/>
        <w:snapToGrid w:val="0"/>
        <w:spacing w:line="440" w:lineRule="exact"/>
        <w:ind w:left="420"/>
        <w:jc w:val="left"/>
        <w:rPr>
          <w:rFonts w:ascii="仿宋" w:eastAsia="仿宋"/>
          <w:sz w:val="24"/>
        </w:rPr>
      </w:pPr>
      <w:r>
        <w:rPr>
          <w:rFonts w:hint="eastAsia" w:ascii="仿宋" w:eastAsia="仿宋"/>
          <w:sz w:val="24"/>
        </w:rPr>
        <w:t>五、财政拨款支出决算明细表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六、</w:t>
      </w:r>
      <w:r>
        <w:rPr>
          <w:rFonts w:hint="eastAsia"/>
          <w:sz w:val="24"/>
        </w:rPr>
        <w:t>一般公共预算财政拨款支出决算表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七、</w:t>
      </w:r>
      <w:r>
        <w:rPr>
          <w:rFonts w:hint="eastAsia"/>
          <w:sz w:val="24"/>
        </w:rPr>
        <w:t>一般公共预算财政拨款支出决算明细表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八、</w:t>
      </w:r>
      <w:r>
        <w:rPr>
          <w:rFonts w:hint="eastAsia"/>
          <w:sz w:val="24"/>
        </w:rPr>
        <w:t>一般公共预算财政拨款基本支出决算表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九、</w:t>
      </w:r>
      <w:r>
        <w:rPr>
          <w:rFonts w:hint="eastAsia"/>
          <w:sz w:val="24"/>
        </w:rPr>
        <w:t>一般公共预算财政拨款项目支出决算表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十、</w:t>
      </w:r>
      <w:r>
        <w:rPr>
          <w:rFonts w:hint="eastAsia"/>
          <w:sz w:val="24"/>
        </w:rPr>
        <w:t>一般公共预算财政拨款“三公”经费支出决算表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十一、</w:t>
      </w:r>
      <w:r>
        <w:rPr>
          <w:rFonts w:hint="eastAsia"/>
          <w:sz w:val="24"/>
        </w:rPr>
        <w:t>政府性基金预算财政拨款收入支出决算表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十二、</w:t>
      </w:r>
      <w:r>
        <w:rPr>
          <w:rFonts w:hint="eastAsia"/>
          <w:sz w:val="24"/>
        </w:rPr>
        <w:t>政府性基金预算财政拨款“三公”经费支出决算表</w:t>
      </w:r>
    </w:p>
    <w:p>
      <w:pPr>
        <w:pStyle w:val="13"/>
        <w:adjustRightInd w:val="0"/>
        <w:snapToGrid w:val="0"/>
        <w:spacing w:line="440" w:lineRule="exact"/>
        <w:ind w:left="420"/>
        <w:jc w:val="left"/>
        <w:rPr>
          <w:rFonts w:ascii="仿宋" w:eastAsia="仿宋" w:cs="Arial"/>
          <w:sz w:val="24"/>
        </w:rPr>
      </w:pPr>
      <w:r>
        <w:rPr>
          <w:rFonts w:hint="eastAsia" w:ascii="仿宋" w:eastAsia="仿宋"/>
          <w:sz w:val="24"/>
        </w:rPr>
        <w:t>十三、</w:t>
      </w:r>
      <w:r>
        <w:rPr>
          <w:rFonts w:hint="eastAsia"/>
          <w:sz w:val="24"/>
        </w:rPr>
        <w:t>国有资本经营预算支出决算表</w:t>
      </w:r>
    </w:p>
    <w:p>
      <w:pPr>
        <w:widowControl/>
        <w:adjustRightInd w:val="0"/>
        <w:snapToGrid w:val="0"/>
        <w:spacing w:line="440" w:lineRule="exact"/>
        <w:ind w:firstLine="1320" w:firstLineChars="550"/>
        <w:jc w:val="left"/>
        <w:rPr>
          <w:rFonts w:ascii="仿宋" w:eastAsia="仿宋"/>
          <w:color w:val="FF0000"/>
          <w:sz w:val="24"/>
        </w:rPr>
      </w:pPr>
    </w:p>
    <w:p>
      <w:pPr>
        <w:widowControl/>
        <w:spacing w:line="440" w:lineRule="exact"/>
        <w:jc w:val="left"/>
        <w:rPr>
          <w:rFonts w:ascii="仿宋" w:eastAsia="仿宋"/>
          <w:bCs/>
          <w:kern w:val="44"/>
          <w:sz w:val="24"/>
        </w:rPr>
      </w:pPr>
      <w:bookmarkStart w:id="12" w:name="_Toc15396599"/>
      <w:bookmarkStart w:id="13" w:name="_Toc15377196"/>
      <w:r>
        <w:rPr>
          <w:rFonts w:ascii="仿宋" w:eastAsia="仿宋"/>
          <w:b/>
          <w:sz w:val="24"/>
        </w:rPr>
        <w:br w:type="page"/>
      </w:r>
    </w:p>
    <w:p>
      <w:pPr>
        <w:pStyle w:val="4"/>
        <w:jc w:val="center"/>
        <w:rPr>
          <w:rStyle w:val="18"/>
          <w:rFonts w:ascii="黑体" w:eastAsia="黑体"/>
          <w:b/>
          <w:bCs w:val="0"/>
        </w:rPr>
      </w:pPr>
      <w:r>
        <w:rPr>
          <w:rFonts w:hint="eastAsia" w:ascii="黑体" w:eastAsia="黑体"/>
          <w:b w:val="0"/>
        </w:rPr>
        <w:t xml:space="preserve">第一部分 </w:t>
      </w:r>
      <w:r>
        <w:rPr>
          <w:rStyle w:val="18"/>
          <w:rFonts w:hint="eastAsia" w:ascii="黑体" w:eastAsia="黑体"/>
          <w:b w:val="0"/>
          <w:bCs w:val="0"/>
        </w:rPr>
        <w:t>部门概况</w:t>
      </w:r>
      <w:bookmarkEnd w:id="12"/>
      <w:bookmarkEnd w:id="13"/>
    </w:p>
    <w:p>
      <w:pPr>
        <w:widowControl/>
        <w:jc w:val="left"/>
        <w:rPr>
          <w:rFonts w:ascii="黑体" w:eastAsia="黑体"/>
          <w:color w:val="000000"/>
          <w:sz w:val="32"/>
          <w:szCs w:val="32"/>
        </w:rPr>
      </w:pPr>
    </w:p>
    <w:p>
      <w:pPr>
        <w:spacing w:line="576" w:lineRule="exact"/>
        <w:ind w:firstLine="645"/>
        <w:rPr>
          <w:rFonts w:ascii="黑体" w:hAnsi="黑体" w:eastAsia="黑体" w:cs="黑体"/>
          <w:sz w:val="32"/>
          <w:szCs w:val="32"/>
        </w:rPr>
      </w:pPr>
      <w:bookmarkStart w:id="14" w:name="_Toc15377200"/>
      <w:bookmarkStart w:id="15" w:name="_Toc15396601"/>
      <w:r>
        <w:rPr>
          <w:rFonts w:hint="eastAsia" w:ascii="黑体" w:hAnsi="黑体" w:eastAsia="黑体" w:cs="黑体"/>
          <w:sz w:val="32"/>
          <w:szCs w:val="32"/>
        </w:rPr>
        <w:t>一、基本职能及主要工作</w:t>
      </w:r>
    </w:p>
    <w:p>
      <w:pPr>
        <w:autoSpaceDN w:val="0"/>
        <w:spacing w:line="576" w:lineRule="exact"/>
        <w:ind w:firstLine="481" w:firstLineChars="150"/>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（一）加强平安建设推进力度。</w:t>
      </w:r>
      <w:r>
        <w:rPr>
          <w:rFonts w:hint="eastAsia" w:ascii="仿宋_GB2312" w:hAnsi="仿宋_GB2312" w:eastAsia="仿宋_GB2312" w:cs="仿宋_GB2312"/>
          <w:color w:val="000000"/>
          <w:sz w:val="32"/>
          <w:szCs w:val="32"/>
        </w:rPr>
        <w:t>大力弘扬见义勇为精神，传播社会正能量，为见义勇为人员家庭发放慰问金共计10000元。制发《关于开展社会治安综合治理及平安建设集中宣传活动的通知》，广泛宣传、积极动员，努力营造浓厚的平安九寨建设舆论氛围。</w:t>
      </w:r>
    </w:p>
    <w:p>
      <w:pPr>
        <w:autoSpaceDN w:val="0"/>
        <w:spacing w:line="576"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b/>
          <w:bCs/>
          <w:color w:val="000000"/>
          <w:sz w:val="32"/>
          <w:szCs w:val="32"/>
        </w:rPr>
        <w:t>（二）加强治安防控体系建设。</w:t>
      </w:r>
      <w:r>
        <w:rPr>
          <w:rFonts w:hint="eastAsia" w:ascii="仿宋_GB2312" w:hAnsi="仿宋_GB2312" w:eastAsia="仿宋_GB2312" w:cs="仿宋_GB2312"/>
          <w:color w:val="000000"/>
          <w:sz w:val="32"/>
          <w:szCs w:val="32"/>
        </w:rPr>
        <w:t>充分发挥综治中心科技效能优势，召开安保维稳、网格培训、政法队伍教育整顿等视频调度会共计14次，利用“雪亮工程”对重点区域、进行视频跟踪巡查500余次，协助公安侦查破案4起。为全县12个乡镇配备19名社会治安协管员，进一步加强了乡镇治安管理力量。</w:t>
      </w:r>
    </w:p>
    <w:p>
      <w:pPr>
        <w:autoSpaceDN w:val="0"/>
        <w:spacing w:line="576"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b/>
          <w:bCs/>
          <w:color w:val="000000"/>
          <w:sz w:val="32"/>
          <w:szCs w:val="32"/>
        </w:rPr>
        <w:t>（三）加强网格服务管理布局。</w:t>
      </w:r>
      <w:r>
        <w:rPr>
          <w:rFonts w:hint="eastAsia" w:ascii="仿宋_GB2312" w:hAnsi="仿宋_GB2312" w:eastAsia="仿宋_GB2312" w:cs="仿宋_GB2312"/>
          <w:color w:val="000000"/>
          <w:sz w:val="32"/>
          <w:szCs w:val="32"/>
        </w:rPr>
        <w:t>进一步加强对人、地、事、物、组织等网格化服务管理基本要素动态管理，全县共计更换兼职网格员120名，并通过“集中+个别”方式对网格员进行业务培训。今年以来全县网格管理员处理上报治安隐患、公共服务、矛盾纠纷、不稳定因素、突发事件、特殊人群等信息共计13895件。</w:t>
      </w:r>
    </w:p>
    <w:p>
      <w:pPr>
        <w:autoSpaceDN w:val="0"/>
        <w:spacing w:line="576" w:lineRule="exact"/>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b/>
          <w:bCs/>
          <w:color w:val="000000"/>
          <w:sz w:val="32"/>
          <w:szCs w:val="32"/>
        </w:rPr>
        <w:t>（四）加强联动调解机制创新。</w:t>
      </w:r>
      <w:r>
        <w:rPr>
          <w:rFonts w:hint="eastAsia" w:ascii="仿宋_GB2312" w:hAnsi="仿宋_GB2312" w:eastAsia="仿宋_GB2312" w:cs="仿宋_GB2312"/>
          <w:color w:val="000000"/>
          <w:sz w:val="32"/>
          <w:szCs w:val="32"/>
        </w:rPr>
        <w:t>进一步加强乡镇矛盾纠纷调解阵地建设，全县12个乡镇矛盾纠纷多元化解协调中心均已挂牌运营，创建乡（镇）调委会12个、村（社区）调解组织110个，派驻城关、漳扎、大录、双河“公调对接”工作室4个，打造个人品牌调解室5个，兼职调解员达926人。今年以来，全县共排查化解矛盾纠纷428件，成功率达98%。</w:t>
      </w:r>
    </w:p>
    <w:p>
      <w:pPr>
        <w:autoSpaceDN w:val="0"/>
        <w:spacing w:line="576" w:lineRule="exact"/>
        <w:ind w:firstLine="481" w:firstLineChars="150"/>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（五）加强两项改革效能提升。</w:t>
      </w:r>
      <w:r>
        <w:rPr>
          <w:rFonts w:hint="eastAsia" w:ascii="仿宋_GB2312" w:hAnsi="仿宋_GB2312" w:eastAsia="仿宋_GB2312" w:cs="仿宋_GB2312"/>
          <w:color w:val="000000"/>
          <w:sz w:val="32"/>
          <w:szCs w:val="32"/>
        </w:rPr>
        <w:t xml:space="preserve">按照省、州关于做好两项改革“后半篇”文章相关要求，立即成立工作专班，建立信息反馈机制，制定《九寨沟县完善农村司法体系工作方案》《九寨沟县基层社会治理工作方案》，确保两项改革“后半篇”文章工作有序开展。  </w:t>
      </w:r>
    </w:p>
    <w:p>
      <w:pPr>
        <w:autoSpaceDN w:val="0"/>
        <w:spacing w:line="576" w:lineRule="exact"/>
        <w:ind w:firstLine="321" w:firstLineChars="100"/>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（六）加强国家安全展现巩固。</w:t>
      </w:r>
      <w:r>
        <w:rPr>
          <w:rFonts w:hint="eastAsia" w:ascii="仿宋_GB2312" w:hAnsi="仿宋_GB2312" w:eastAsia="仿宋_GB2312" w:cs="仿宋_GB2312"/>
          <w:color w:val="000000"/>
          <w:sz w:val="32"/>
          <w:szCs w:val="32"/>
        </w:rPr>
        <w:t>按照相关要求，联合相关部门开展</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4·15</w:t>
      </w:r>
      <w:r>
        <w:rPr>
          <w:rFonts w:hint="eastAsia" w:ascii="仿宋_GB2312" w:hAnsi="仿宋_GB2312" w:eastAsia="仿宋_GB2312" w:cs="仿宋_GB2312"/>
          <w:color w:val="000000"/>
          <w:sz w:val="32"/>
          <w:szCs w:val="32"/>
          <w:lang w:eastAsia="zh-CN"/>
        </w:rPr>
        <w:t>“</w:t>
      </w:r>
      <w:bookmarkStart w:id="67" w:name="_GoBack"/>
      <w:bookmarkEnd w:id="67"/>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全民国家安全教育日宣传活动，发放国家安全、社会治理、反邪教等各类宣传单1200份，发放社会治理宣传纸杯、手提袋、等宣传用品580余件。利用微信等平台发布国家安全知识和宣传短视频，强化干部职工国家安全意识。</w:t>
      </w:r>
    </w:p>
    <w:p>
      <w:pPr>
        <w:autoSpaceDN w:val="0"/>
        <w:spacing w:line="576" w:lineRule="exact"/>
        <w:ind w:firstLine="321" w:firstLineChars="100"/>
        <w:jc w:val="left"/>
        <w:textAlignment w:val="center"/>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（七）加强司法救助实施力度。</w:t>
      </w:r>
      <w:r>
        <w:rPr>
          <w:rFonts w:hint="eastAsia" w:ascii="仿宋_GB2312" w:hAnsi="仿宋_GB2312" w:eastAsia="仿宋_GB2312" w:cs="仿宋_GB2312"/>
          <w:color w:val="000000"/>
          <w:sz w:val="32"/>
          <w:szCs w:val="32"/>
        </w:rPr>
        <w:t>我进一步促进社会公平正义，实现社会长治久安，按照相关规定，今年以来我县进一步加强司法救助实施力度，截至目前共计司法救助案件5起，救助资金11万元。</w:t>
      </w:r>
    </w:p>
    <w:p>
      <w:pPr>
        <w:pStyle w:val="5"/>
        <w:keepNext w:val="0"/>
        <w:keepLines w:val="0"/>
        <w:spacing w:before="0" w:after="0" w:line="576" w:lineRule="exact"/>
        <w:ind w:firstLine="640" w:firstLineChars="200"/>
        <w:rPr>
          <w:rFonts w:ascii="楷体_GB2312" w:hAnsi="楷体_GB2312" w:eastAsia="楷体_GB2312" w:cs="楷体_GB2312"/>
        </w:rPr>
      </w:pPr>
      <w:r>
        <w:rPr>
          <w:rFonts w:hint="eastAsia" w:ascii="黑体" w:eastAsia="黑体"/>
          <w:b w:val="0"/>
          <w:color w:val="000000"/>
        </w:rPr>
        <w:t>二、机</w:t>
      </w:r>
      <w:r>
        <w:rPr>
          <w:rStyle w:val="19"/>
          <w:rFonts w:hint="eastAsia" w:ascii="黑体" w:eastAsia="黑体"/>
          <w:b w:val="0"/>
          <w:bCs w:val="0"/>
        </w:rPr>
        <w:t>构设置</w:t>
      </w:r>
      <w:bookmarkEnd w:id="14"/>
      <w:bookmarkEnd w:id="15"/>
    </w:p>
    <w:p>
      <w:pPr>
        <w:pStyle w:val="7"/>
        <w:adjustRightInd w:val="0"/>
        <w:snapToGrid w:val="0"/>
        <w:spacing w:before="93" w:beforeLines="0" w:line="576" w:lineRule="exact"/>
        <w:ind w:firstLine="640" w:firstLineChars="200"/>
        <w:rPr>
          <w:rFonts w:ascii="仿宋" w:eastAsia="仿宋"/>
          <w:color w:val="000000"/>
          <w:sz w:val="32"/>
          <w:szCs w:val="32"/>
        </w:rPr>
      </w:pPr>
      <w:r>
        <w:rPr>
          <w:rFonts w:hint="eastAsia" w:hAnsi="仿宋_GB2312" w:cs="仿宋_GB2312"/>
          <w:bCs/>
          <w:sz w:val="32"/>
          <w:szCs w:val="32"/>
        </w:rPr>
        <w:t>2020年全年单位机构数为2 个（行政 1 个，事业 1 个）：分别为政法委机关和县矛盾纠纷多元化解协调中心。内设机构为政治部、办公室。</w:t>
      </w:r>
    </w:p>
    <w:p>
      <w:bookmarkStart w:id="16" w:name="_Toc15396602"/>
      <w:bookmarkStart w:id="17" w:name="_Toc15377204"/>
    </w:p>
    <w:p>
      <w:pPr>
        <w:ind w:firstLine="1100" w:firstLineChars="250"/>
        <w:rPr>
          <w:rFonts w:ascii="方正小标宋简体" w:eastAsia="方正小标宋简体"/>
          <w:sz w:val="44"/>
          <w:szCs w:val="44"/>
        </w:rPr>
      </w:pPr>
      <w:r>
        <w:rPr>
          <w:rFonts w:hint="eastAsia" w:ascii="方正小标宋简体" w:eastAsia="方正小标宋简体"/>
          <w:sz w:val="44"/>
          <w:szCs w:val="44"/>
        </w:rPr>
        <w:t>第二部分 2020年度部门决算情况说明</w:t>
      </w:r>
      <w:bookmarkEnd w:id="16"/>
      <w:bookmarkEnd w:id="17"/>
    </w:p>
    <w:p>
      <w:pPr>
        <w:pStyle w:val="24"/>
        <w:numPr>
          <w:ilvl w:val="0"/>
          <w:numId w:val="1"/>
        </w:numPr>
        <w:spacing w:line="600" w:lineRule="exact"/>
        <w:ind w:firstLineChars="0"/>
        <w:outlineLvl w:val="1"/>
        <w:rPr>
          <w:rStyle w:val="19"/>
          <w:rFonts w:ascii="黑体" w:eastAsia="黑体"/>
          <w:b w:val="0"/>
        </w:rPr>
      </w:pPr>
      <w:bookmarkStart w:id="18" w:name="_Toc15377205"/>
      <w:bookmarkStart w:id="19" w:name="_Toc15396603"/>
      <w:r>
        <w:rPr>
          <w:rFonts w:hint="eastAsia" w:ascii="黑体" w:eastAsia="黑体"/>
          <w:color w:val="000000"/>
          <w:sz w:val="32"/>
          <w:szCs w:val="32"/>
        </w:rPr>
        <w:t>收</w:t>
      </w:r>
      <w:r>
        <w:rPr>
          <w:rStyle w:val="19"/>
          <w:rFonts w:hint="eastAsia" w:ascii="黑体" w:eastAsia="黑体"/>
          <w:b w:val="0"/>
        </w:rPr>
        <w:t>入支出决算总体情况说明</w:t>
      </w:r>
      <w:bookmarkEnd w:id="18"/>
      <w:bookmarkEnd w:id="19"/>
    </w:p>
    <w:p>
      <w:pPr>
        <w:tabs>
          <w:tab w:val="left" w:pos="685"/>
        </w:tabs>
        <w:spacing w:line="530" w:lineRule="exact"/>
        <w:ind w:firstLine="640" w:firstLineChars="200"/>
        <w:rPr>
          <w:rFonts w:ascii="仿宋_GB2312" w:hAnsi="仿宋_GB2312" w:eastAsia="仿宋_GB2312" w:cs="仿宋_GB2312"/>
          <w:lang w:val="zh-CN"/>
        </w:rPr>
      </w:pPr>
      <w:bookmarkStart w:id="20" w:name="_Toc15396604"/>
      <w:bookmarkStart w:id="21" w:name="_Toc15377206"/>
      <w:r>
        <w:rPr>
          <w:rFonts w:hint="eastAsia" w:ascii="仿宋_GB2312" w:hAnsi="仿宋_GB2312" w:eastAsia="仿宋_GB2312" w:cs="仿宋_GB2312"/>
          <w:sz w:val="32"/>
          <w:szCs w:val="32"/>
        </w:rPr>
        <w:t>2020年政法委本年收支合计981.44万元，</w:t>
      </w:r>
      <w:r>
        <w:rPr>
          <w:rFonts w:hint="eastAsia" w:ascii="仿宋_GB2312" w:hAnsi="仿宋_GB2312" w:eastAsia="仿宋_GB2312" w:cs="仿宋_GB2312"/>
          <w:color w:val="000000"/>
          <w:sz w:val="32"/>
          <w:szCs w:val="32"/>
        </w:rPr>
        <w:t>与2019年相比，财政拨款收、支总计增加316.59万元，上升47%。</w:t>
      </w:r>
    </w:p>
    <w:p>
      <w:pPr>
        <w:pStyle w:val="24"/>
        <w:numPr>
          <w:ilvl w:val="0"/>
          <w:numId w:val="1"/>
        </w:numPr>
        <w:spacing w:line="600" w:lineRule="exact"/>
        <w:ind w:firstLineChars="0"/>
        <w:outlineLvl w:val="1"/>
        <w:rPr>
          <w:rStyle w:val="19"/>
          <w:rFonts w:ascii="黑体" w:eastAsia="黑体"/>
          <w:b w:val="0"/>
        </w:rPr>
      </w:pPr>
      <w:r>
        <w:rPr>
          <w:rFonts w:hint="eastAsia" w:ascii="黑体" w:eastAsia="黑体"/>
          <w:color w:val="000000"/>
          <w:sz w:val="32"/>
          <w:szCs w:val="32"/>
        </w:rPr>
        <w:t>收</w:t>
      </w:r>
      <w:r>
        <w:rPr>
          <w:rStyle w:val="19"/>
          <w:rFonts w:hint="eastAsia" w:ascii="黑体" w:eastAsia="黑体"/>
          <w:b w:val="0"/>
        </w:rPr>
        <w:t>入决算情况说明</w:t>
      </w:r>
      <w:bookmarkEnd w:id="20"/>
      <w:bookmarkEnd w:id="21"/>
    </w:p>
    <w:p>
      <w:pPr>
        <w:widowControl/>
        <w:adjustRightInd w:val="0"/>
        <w:snapToGrid w:val="0"/>
        <w:spacing w:line="530" w:lineRule="exact"/>
        <w:ind w:firstLine="720"/>
        <w:jc w:val="left"/>
        <w:rPr>
          <w:rFonts w:ascii="仿宋_GB2312" w:hAnsi="仿宋_GB2312" w:eastAsia="仿宋_GB2312" w:cs="仿宋_GB2312"/>
          <w:sz w:val="32"/>
          <w:szCs w:val="32"/>
        </w:rPr>
      </w:pPr>
      <w:bookmarkStart w:id="22" w:name="_Toc15377207"/>
      <w:bookmarkStart w:id="23" w:name="_Toc15396605"/>
      <w:r>
        <w:rPr>
          <w:rFonts w:hint="eastAsia" w:ascii="仿宋_GB2312" w:hAnsi="仿宋_GB2312" w:eastAsia="仿宋_GB2312" w:cs="仿宋_GB2312"/>
          <w:sz w:val="32"/>
          <w:szCs w:val="32"/>
        </w:rPr>
        <w:t>2020年政法委本年收入合计452.43万元，其中：财政拨款收入452.43万元，占100%。</w:t>
      </w:r>
    </w:p>
    <w:p>
      <w:pPr>
        <w:pStyle w:val="24"/>
        <w:numPr>
          <w:ilvl w:val="0"/>
          <w:numId w:val="1"/>
        </w:numPr>
        <w:spacing w:line="600" w:lineRule="exact"/>
        <w:ind w:firstLineChars="0"/>
        <w:outlineLvl w:val="1"/>
        <w:rPr>
          <w:rStyle w:val="19"/>
          <w:rFonts w:ascii="黑体" w:eastAsia="黑体"/>
          <w:b w:val="0"/>
        </w:rPr>
      </w:pPr>
      <w:r>
        <w:rPr>
          <w:rFonts w:hint="eastAsia" w:ascii="黑体" w:eastAsia="黑体"/>
          <w:color w:val="000000"/>
          <w:sz w:val="32"/>
          <w:szCs w:val="32"/>
        </w:rPr>
        <w:t>支</w:t>
      </w:r>
      <w:r>
        <w:rPr>
          <w:rStyle w:val="19"/>
          <w:rFonts w:hint="eastAsia" w:ascii="黑体" w:eastAsia="黑体"/>
          <w:b w:val="0"/>
        </w:rPr>
        <w:t>出决算情况说明</w:t>
      </w:r>
      <w:bookmarkEnd w:id="22"/>
      <w:bookmarkEnd w:id="23"/>
    </w:p>
    <w:p>
      <w:pPr>
        <w:widowControl/>
        <w:adjustRightInd w:val="0"/>
        <w:snapToGrid w:val="0"/>
        <w:spacing w:line="530" w:lineRule="exact"/>
        <w:ind w:firstLine="720"/>
        <w:jc w:val="left"/>
        <w:rPr>
          <w:rFonts w:ascii="仿宋_GB2312" w:hAnsi="仿宋_GB2312" w:eastAsia="仿宋_GB2312" w:cs="仿宋_GB2312"/>
          <w:sz w:val="32"/>
          <w:szCs w:val="32"/>
        </w:rPr>
      </w:pPr>
      <w:bookmarkStart w:id="24" w:name="_Toc15377208"/>
      <w:bookmarkStart w:id="25" w:name="_Toc15396606"/>
      <w:r>
        <w:rPr>
          <w:rFonts w:hint="eastAsia" w:ascii="仿宋_GB2312" w:hAnsi="仿宋_GB2312" w:eastAsia="仿宋_GB2312" w:cs="仿宋_GB2312"/>
          <w:sz w:val="32"/>
          <w:szCs w:val="32"/>
        </w:rPr>
        <w:t>2020年政法委本年支出合计529.01万元，其中：基本支出431.21万元，占82%；项目支出97.81万万元，占18%。</w:t>
      </w:r>
    </w:p>
    <w:p>
      <w:pPr>
        <w:spacing w:line="600" w:lineRule="exact"/>
        <w:ind w:firstLine="640" w:firstLineChars="200"/>
        <w:outlineLvl w:val="1"/>
        <w:rPr>
          <w:rStyle w:val="19"/>
          <w:rFonts w:ascii="黑体" w:eastAsia="黑体"/>
          <w:b w:val="0"/>
        </w:rPr>
      </w:pPr>
      <w:r>
        <w:rPr>
          <w:rFonts w:hint="eastAsia" w:ascii="黑体" w:eastAsia="黑体"/>
          <w:color w:val="000000"/>
          <w:sz w:val="32"/>
          <w:szCs w:val="32"/>
        </w:rPr>
        <w:t>四、财</w:t>
      </w:r>
      <w:r>
        <w:rPr>
          <w:rStyle w:val="19"/>
          <w:rFonts w:hint="eastAsia" w:ascii="黑体" w:eastAsia="黑体"/>
          <w:b w:val="0"/>
        </w:rPr>
        <w:t>政拨款收入支出决算总体情况说明</w:t>
      </w:r>
      <w:bookmarkEnd w:id="24"/>
      <w:bookmarkEnd w:id="25"/>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2019年财政拨款收、支总计987.44万元。与2019年相比，财政拨款收、支总计增加316.59万元，上升47%。</w:t>
      </w:r>
    </w:p>
    <w:p>
      <w:pPr>
        <w:spacing w:line="600" w:lineRule="exact"/>
        <w:ind w:firstLine="640" w:firstLineChars="200"/>
        <w:outlineLvl w:val="1"/>
        <w:rPr>
          <w:rStyle w:val="19"/>
          <w:rFonts w:ascii="黑体" w:eastAsia="黑体"/>
          <w:b w:val="0"/>
        </w:rPr>
      </w:pPr>
      <w:bookmarkStart w:id="26" w:name="_Toc15377209"/>
      <w:bookmarkStart w:id="27" w:name="_Toc15396607"/>
      <w:r>
        <w:rPr>
          <w:rFonts w:hint="eastAsia" w:ascii="黑体" w:eastAsia="黑体"/>
          <w:color w:val="000000"/>
          <w:sz w:val="32"/>
          <w:szCs w:val="32"/>
        </w:rPr>
        <w:t>五、</w:t>
      </w:r>
      <w:r>
        <w:rPr>
          <w:rFonts w:hint="eastAsia" w:ascii="黑体" w:eastAsia="黑体"/>
          <w:b/>
          <w:color w:val="000000"/>
          <w:sz w:val="32"/>
          <w:szCs w:val="32"/>
        </w:rPr>
        <w:t>一</w:t>
      </w:r>
      <w:r>
        <w:rPr>
          <w:rStyle w:val="19"/>
          <w:rFonts w:hint="eastAsia" w:ascii="黑体" w:eastAsia="黑体"/>
          <w:b w:val="0"/>
        </w:rPr>
        <w:t>般公共预算财政拨款支出决算情况说明</w:t>
      </w:r>
      <w:bookmarkEnd w:id="26"/>
      <w:bookmarkEnd w:id="27"/>
    </w:p>
    <w:p>
      <w:pPr>
        <w:spacing w:line="600" w:lineRule="exact"/>
        <w:ind w:firstLine="642" w:firstLineChars="200"/>
        <w:outlineLvl w:val="2"/>
        <w:rPr>
          <w:rFonts w:ascii="仿宋" w:eastAsia="仿宋"/>
          <w:b/>
          <w:color w:val="000000"/>
          <w:sz w:val="32"/>
          <w:szCs w:val="32"/>
        </w:rPr>
      </w:pPr>
      <w:bookmarkStart w:id="28" w:name="_Toc15377210"/>
      <w:r>
        <w:rPr>
          <w:rFonts w:hint="eastAsia" w:ascii="仿宋" w:eastAsia="仿宋"/>
          <w:b/>
          <w:color w:val="000000"/>
          <w:sz w:val="32"/>
          <w:szCs w:val="32"/>
        </w:rPr>
        <w:t>（一）一般公共预算财政拨款支出决算总体情况</w:t>
      </w:r>
      <w:bookmarkEnd w:id="28"/>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2020年一般公共预算财政拨款支出529.01万元，占本年支出合计的100%。与2019年相比，一般公共预算财政拨款增加104.25万元，上升24%。</w:t>
      </w:r>
    </w:p>
    <w:p>
      <w:pPr>
        <w:spacing w:line="600" w:lineRule="exact"/>
        <w:ind w:firstLine="642" w:firstLineChars="200"/>
        <w:outlineLvl w:val="2"/>
        <w:rPr>
          <w:rFonts w:ascii="仿宋" w:eastAsia="仿宋"/>
          <w:b/>
          <w:color w:val="000000"/>
          <w:sz w:val="32"/>
          <w:szCs w:val="32"/>
        </w:rPr>
      </w:pPr>
      <w:bookmarkStart w:id="29" w:name="_Toc15377211"/>
      <w:r>
        <w:rPr>
          <w:rFonts w:hint="eastAsia" w:ascii="仿宋" w:eastAsia="仿宋"/>
          <w:b/>
          <w:color w:val="000000"/>
          <w:sz w:val="32"/>
          <w:szCs w:val="32"/>
        </w:rPr>
        <w:t>（二）一般公共预算财政拨款支出决算结构情况</w:t>
      </w:r>
      <w:bookmarkEnd w:id="29"/>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2020年一般公共预算财政拨款支出529.01万元，主要用于以下方面:</w:t>
      </w:r>
      <w:r>
        <w:rPr>
          <w:rFonts w:hint="eastAsia" w:ascii="仿宋_GB2312" w:eastAsia="仿宋_GB2312"/>
          <w:b/>
          <w:color w:val="000000"/>
          <w:sz w:val="32"/>
          <w:szCs w:val="32"/>
        </w:rPr>
        <w:t>公共安全（204）</w:t>
      </w:r>
      <w:r>
        <w:rPr>
          <w:rFonts w:hint="eastAsia" w:ascii="仿宋_GB2312" w:eastAsia="仿宋_GB2312"/>
          <w:color w:val="000000"/>
          <w:sz w:val="32"/>
          <w:szCs w:val="32"/>
        </w:rPr>
        <w:t>支出480.89万元，占90.88%；</w:t>
      </w:r>
      <w:r>
        <w:rPr>
          <w:rFonts w:hint="eastAsia" w:ascii="仿宋_GB2312" w:eastAsia="仿宋_GB2312"/>
          <w:b/>
          <w:color w:val="000000"/>
          <w:sz w:val="32"/>
          <w:szCs w:val="32"/>
        </w:rPr>
        <w:t>社会保障和就业（208）</w:t>
      </w:r>
      <w:r>
        <w:rPr>
          <w:rFonts w:hint="eastAsia" w:ascii="仿宋_GB2312" w:eastAsia="仿宋_GB2312"/>
          <w:color w:val="000000"/>
          <w:sz w:val="32"/>
          <w:szCs w:val="32"/>
        </w:rPr>
        <w:t>支出13.02万元，占2.46%；</w:t>
      </w:r>
      <w:r>
        <w:rPr>
          <w:rFonts w:hint="eastAsia" w:ascii="仿宋_GB2312" w:eastAsia="仿宋_GB2312"/>
          <w:b/>
          <w:bCs/>
          <w:color w:val="000000"/>
          <w:sz w:val="32"/>
          <w:szCs w:val="32"/>
        </w:rPr>
        <w:t>卫生健康支出(210)支出</w:t>
      </w:r>
      <w:r>
        <w:rPr>
          <w:rFonts w:hint="eastAsia" w:ascii="仿宋_GB2312" w:eastAsia="仿宋_GB2312"/>
          <w:color w:val="000000"/>
          <w:sz w:val="32"/>
          <w:szCs w:val="32"/>
        </w:rPr>
        <w:t>19.43万元，占3.67%；住房保障支出15.67万元，占2.96%。</w:t>
      </w:r>
    </w:p>
    <w:p>
      <w:pPr>
        <w:spacing w:line="600" w:lineRule="exact"/>
        <w:ind w:firstLine="642" w:firstLineChars="200"/>
        <w:outlineLvl w:val="2"/>
        <w:rPr>
          <w:rFonts w:ascii="楷体_GB2312" w:eastAsia="楷体_GB2312"/>
          <w:b/>
          <w:color w:val="000000"/>
          <w:sz w:val="32"/>
          <w:szCs w:val="32"/>
        </w:rPr>
      </w:pPr>
      <w:bookmarkStart w:id="30" w:name="_Toc15377212"/>
      <w:r>
        <w:rPr>
          <w:rFonts w:hint="eastAsia" w:ascii="楷体_GB2312" w:eastAsia="楷体_GB2312"/>
          <w:b/>
          <w:color w:val="000000"/>
          <w:sz w:val="32"/>
          <w:szCs w:val="32"/>
        </w:rPr>
        <w:t>（三）一般公共预算财政拨款支出决算具体情况</w:t>
      </w:r>
      <w:bookmarkEnd w:id="30"/>
    </w:p>
    <w:p>
      <w:pPr>
        <w:spacing w:line="600" w:lineRule="exact"/>
        <w:ind w:firstLine="642" w:firstLineChars="200"/>
        <w:outlineLvl w:val="2"/>
        <w:rPr>
          <w:rFonts w:ascii="仿宋_GB2312" w:eastAsia="仿宋_GB2312"/>
          <w:color w:val="FF0000"/>
          <w:sz w:val="32"/>
          <w:szCs w:val="32"/>
        </w:rPr>
      </w:pPr>
      <w:bookmarkStart w:id="31" w:name="_Toc15377213"/>
      <w:bookmarkStart w:id="32" w:name="_Toc15377444"/>
      <w:bookmarkStart w:id="33" w:name="_Toc15378460"/>
      <w:r>
        <w:rPr>
          <w:rFonts w:hint="eastAsia" w:ascii="仿宋_GB2312" w:eastAsia="仿宋_GB2312"/>
          <w:b/>
          <w:color w:val="000000"/>
          <w:sz w:val="32"/>
          <w:szCs w:val="32"/>
        </w:rPr>
        <w:t>2020年一般公共预算支出决算数529.01万元</w:t>
      </w:r>
      <w:r>
        <w:rPr>
          <w:rFonts w:hint="eastAsia" w:ascii="仿宋_GB2312" w:eastAsia="仿宋_GB2312"/>
          <w:color w:val="000000"/>
          <w:sz w:val="32"/>
          <w:szCs w:val="32"/>
        </w:rPr>
        <w:t>，</w:t>
      </w:r>
      <w:r>
        <w:rPr>
          <w:rStyle w:val="16"/>
          <w:rFonts w:hint="eastAsia" w:ascii="仿宋_GB2312" w:eastAsia="仿宋_GB2312"/>
          <w:bCs/>
          <w:color w:val="000000"/>
          <w:sz w:val="32"/>
          <w:szCs w:val="32"/>
        </w:rPr>
        <w:t>完成预算100%。其中：</w:t>
      </w:r>
      <w:bookmarkEnd w:id="31"/>
      <w:bookmarkEnd w:id="32"/>
      <w:bookmarkEnd w:id="33"/>
    </w:p>
    <w:p>
      <w:pPr>
        <w:spacing w:line="600" w:lineRule="exact"/>
        <w:ind w:firstLine="642" w:firstLineChars="200"/>
        <w:rPr>
          <w:rFonts w:ascii="仿宋_GB2312" w:eastAsia="仿宋_GB2312"/>
          <w:b/>
          <w:color w:val="000000"/>
          <w:sz w:val="32"/>
          <w:szCs w:val="32"/>
        </w:rPr>
      </w:pPr>
      <w:r>
        <w:rPr>
          <w:rStyle w:val="16"/>
          <w:rFonts w:hint="eastAsia" w:ascii="仿宋_GB2312" w:eastAsia="仿宋_GB2312"/>
          <w:bCs/>
          <w:color w:val="000000"/>
          <w:sz w:val="32"/>
          <w:szCs w:val="32"/>
        </w:rPr>
        <w:t>1.公共安全（204）公安（02）行政运行（01）:</w:t>
      </w:r>
      <w:r>
        <w:rPr>
          <w:rStyle w:val="16"/>
          <w:rFonts w:hint="eastAsia" w:ascii="仿宋_GB2312" w:eastAsia="仿宋_GB2312"/>
          <w:b w:val="0"/>
          <w:bCs/>
          <w:color w:val="000000"/>
          <w:sz w:val="32"/>
          <w:szCs w:val="32"/>
        </w:rPr>
        <w:t xml:space="preserve"> 支出决算为383.08万元，完成预算100%；</w:t>
      </w:r>
      <w:r>
        <w:rPr>
          <w:rStyle w:val="16"/>
          <w:rFonts w:hint="eastAsia" w:ascii="仿宋_GB2312" w:eastAsia="仿宋_GB2312"/>
          <w:bCs/>
          <w:color w:val="000000"/>
          <w:sz w:val="32"/>
          <w:szCs w:val="32"/>
        </w:rPr>
        <w:t>公共安全（204）公安（02）一般行政管理事务支出（02）：</w:t>
      </w:r>
      <w:r>
        <w:rPr>
          <w:rStyle w:val="16"/>
          <w:rFonts w:hint="eastAsia" w:ascii="仿宋_GB2312" w:eastAsia="仿宋_GB2312"/>
          <w:b w:val="0"/>
          <w:bCs/>
          <w:color w:val="000000"/>
          <w:sz w:val="32"/>
          <w:szCs w:val="32"/>
        </w:rPr>
        <w:t xml:space="preserve"> 支出决算为56.28万元，完成预算100%，</w:t>
      </w:r>
      <w:r>
        <w:rPr>
          <w:rStyle w:val="16"/>
          <w:rFonts w:hint="eastAsia" w:ascii="仿宋_GB2312" w:eastAsia="仿宋_GB2312"/>
          <w:bCs/>
          <w:color w:val="000000"/>
          <w:sz w:val="32"/>
          <w:szCs w:val="32"/>
        </w:rPr>
        <w:t>公共安全（204）公安（02）其他公安支出（99）:</w:t>
      </w:r>
      <w:r>
        <w:rPr>
          <w:rStyle w:val="16"/>
          <w:rFonts w:hint="eastAsia" w:ascii="仿宋_GB2312" w:eastAsia="仿宋_GB2312"/>
          <w:b w:val="0"/>
          <w:bCs/>
          <w:color w:val="000000"/>
          <w:sz w:val="32"/>
          <w:szCs w:val="32"/>
        </w:rPr>
        <w:t xml:space="preserve"> 支出决算为41.53万元，完成预算100%。</w:t>
      </w:r>
    </w:p>
    <w:p>
      <w:pPr>
        <w:spacing w:line="600" w:lineRule="exact"/>
        <w:ind w:firstLine="642" w:firstLineChars="200"/>
        <w:rPr>
          <w:rFonts w:ascii="仿宋_GB2312" w:eastAsia="仿宋_GB2312"/>
          <w:b/>
          <w:color w:val="000000"/>
          <w:sz w:val="32"/>
          <w:szCs w:val="32"/>
        </w:rPr>
      </w:pPr>
      <w:r>
        <w:rPr>
          <w:rStyle w:val="16"/>
          <w:rFonts w:hint="eastAsia" w:ascii="仿宋_GB2312" w:eastAsia="仿宋_GB2312"/>
          <w:bCs/>
          <w:color w:val="000000"/>
          <w:sz w:val="32"/>
          <w:szCs w:val="32"/>
        </w:rPr>
        <w:t>2社会保障和就业（208）:</w:t>
      </w:r>
      <w:r>
        <w:rPr>
          <w:rStyle w:val="16"/>
          <w:rFonts w:hint="eastAsia" w:ascii="仿宋_GB2312" w:eastAsia="仿宋_GB2312"/>
          <w:b w:val="0"/>
          <w:bCs/>
          <w:color w:val="000000"/>
          <w:sz w:val="32"/>
          <w:szCs w:val="32"/>
        </w:rPr>
        <w:t xml:space="preserve"> 支出决算为13.02万元，完成预算100%。</w:t>
      </w:r>
    </w:p>
    <w:p>
      <w:pPr>
        <w:spacing w:line="600" w:lineRule="exact"/>
        <w:ind w:firstLine="642" w:firstLineChars="200"/>
        <w:rPr>
          <w:rStyle w:val="16"/>
          <w:rFonts w:ascii="仿宋_GB2312" w:eastAsia="仿宋_GB2312"/>
          <w:b w:val="0"/>
          <w:bCs/>
          <w:color w:val="000000"/>
          <w:sz w:val="32"/>
          <w:szCs w:val="32"/>
        </w:rPr>
      </w:pPr>
      <w:r>
        <w:rPr>
          <w:rStyle w:val="16"/>
          <w:rFonts w:hint="eastAsia" w:ascii="仿宋_GB2312" w:eastAsia="仿宋_GB2312"/>
          <w:bCs/>
          <w:color w:val="000000"/>
          <w:sz w:val="32"/>
          <w:szCs w:val="32"/>
        </w:rPr>
        <w:t>3.</w:t>
      </w:r>
      <w:r>
        <w:rPr>
          <w:rFonts w:hint="eastAsia" w:ascii="仿宋_GB2312" w:eastAsia="仿宋_GB2312"/>
          <w:b/>
          <w:bCs/>
          <w:color w:val="000000"/>
          <w:sz w:val="32"/>
          <w:szCs w:val="32"/>
        </w:rPr>
        <w:t>卫生健康</w:t>
      </w:r>
      <w:r>
        <w:rPr>
          <w:rStyle w:val="16"/>
          <w:rFonts w:hint="eastAsia" w:ascii="仿宋_GB2312" w:eastAsia="仿宋_GB2312"/>
          <w:bCs/>
          <w:color w:val="000000"/>
          <w:sz w:val="32"/>
          <w:szCs w:val="32"/>
        </w:rPr>
        <w:t>（210）:</w:t>
      </w:r>
      <w:r>
        <w:rPr>
          <w:rStyle w:val="16"/>
          <w:rFonts w:hint="eastAsia" w:ascii="仿宋_GB2312" w:eastAsia="仿宋_GB2312"/>
          <w:b w:val="0"/>
          <w:bCs/>
          <w:color w:val="000000"/>
          <w:sz w:val="32"/>
          <w:szCs w:val="32"/>
        </w:rPr>
        <w:t>支出决算为19.43万元，完成预算100%。</w:t>
      </w:r>
    </w:p>
    <w:p>
      <w:pPr>
        <w:spacing w:line="600" w:lineRule="exact"/>
        <w:ind w:firstLine="640" w:firstLineChars="200"/>
        <w:rPr>
          <w:rFonts w:ascii="仿宋_GB2312" w:eastAsia="仿宋_GB2312"/>
          <w:b/>
          <w:color w:val="000000"/>
          <w:sz w:val="32"/>
          <w:szCs w:val="32"/>
        </w:rPr>
      </w:pPr>
      <w:r>
        <w:rPr>
          <w:rStyle w:val="16"/>
          <w:rFonts w:hint="eastAsia" w:ascii="仿宋_GB2312" w:eastAsia="仿宋_GB2312"/>
          <w:b w:val="0"/>
          <w:bCs/>
          <w:color w:val="000000"/>
          <w:sz w:val="32"/>
          <w:szCs w:val="32"/>
        </w:rPr>
        <w:t>4.</w:t>
      </w:r>
      <w:r>
        <w:rPr>
          <w:rStyle w:val="16"/>
          <w:rFonts w:hint="eastAsia" w:ascii="仿宋_GB2312" w:eastAsia="仿宋_GB2312"/>
          <w:bCs/>
          <w:color w:val="000000"/>
          <w:sz w:val="32"/>
          <w:szCs w:val="32"/>
        </w:rPr>
        <w:t>住房保障支出（221）住房改革支出（02）住房公积金（01）：</w:t>
      </w:r>
      <w:r>
        <w:rPr>
          <w:rStyle w:val="16"/>
          <w:rFonts w:hint="eastAsia" w:ascii="仿宋_GB2312" w:eastAsia="仿宋_GB2312"/>
          <w:b w:val="0"/>
          <w:color w:val="000000"/>
          <w:sz w:val="32"/>
          <w:szCs w:val="32"/>
        </w:rPr>
        <w:t>支出决算为15.67万元，完成预算100%。</w:t>
      </w:r>
    </w:p>
    <w:p>
      <w:pPr>
        <w:tabs>
          <w:tab w:val="right" w:pos="8306"/>
        </w:tabs>
        <w:spacing w:line="600" w:lineRule="exact"/>
        <w:ind w:firstLine="640"/>
        <w:outlineLvl w:val="1"/>
        <w:rPr>
          <w:rStyle w:val="19"/>
        </w:rPr>
      </w:pPr>
      <w:bookmarkStart w:id="34" w:name="_Toc15396608"/>
      <w:bookmarkStart w:id="35" w:name="_Toc15377214"/>
      <w:r>
        <w:rPr>
          <w:rFonts w:hint="eastAsia" w:ascii="黑体" w:eastAsia="黑体"/>
          <w:color w:val="000000"/>
          <w:sz w:val="32"/>
          <w:szCs w:val="32"/>
        </w:rPr>
        <w:t>六</w:t>
      </w:r>
      <w:r>
        <w:rPr>
          <w:rFonts w:hint="eastAsia" w:ascii="黑体" w:eastAsia="黑体"/>
          <w:b/>
          <w:color w:val="000000"/>
          <w:sz w:val="32"/>
          <w:szCs w:val="32"/>
        </w:rPr>
        <w:t>、一</w:t>
      </w:r>
      <w:r>
        <w:rPr>
          <w:rStyle w:val="19"/>
          <w:rFonts w:hint="eastAsia" w:ascii="黑体" w:eastAsia="黑体"/>
          <w:b w:val="0"/>
        </w:rPr>
        <w:t>般公共预算财政拨款基本支出决算情况说明</w:t>
      </w:r>
      <w:bookmarkEnd w:id="34"/>
      <w:bookmarkEnd w:id="35"/>
      <w:r>
        <w:rPr>
          <w:rStyle w:val="19"/>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rPr>
        <w:t>2020年一般公共预算财政拨款基本支出431.21万元，其中：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233.04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eastAsia="仿宋"/>
          <w:color w:val="000000"/>
          <w:sz w:val="32"/>
          <w:szCs w:val="32"/>
        </w:rPr>
        <w:br w:type="textWrapping"/>
      </w:r>
      <w:r>
        <w:rPr>
          <w:rFonts w:hint="eastAsia" w:ascii="仿宋" w:eastAsia="仿宋"/>
          <w:color w:val="000000"/>
          <w:sz w:val="32"/>
          <w:szCs w:val="32"/>
        </w:rPr>
        <w:t>　　日常公用经费198.17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19"/>
          <w:rFonts w:ascii="黑体" w:eastAsia="黑体"/>
          <w:b w:val="0"/>
        </w:rPr>
      </w:pPr>
      <w:bookmarkStart w:id="36" w:name="_Toc15396609"/>
      <w:bookmarkStart w:id="37" w:name="_Toc15377215"/>
      <w:r>
        <w:rPr>
          <w:rFonts w:hint="eastAsia" w:ascii="黑体" w:eastAsia="黑体"/>
          <w:color w:val="000000"/>
          <w:sz w:val="32"/>
          <w:szCs w:val="32"/>
        </w:rPr>
        <w:t>七、</w:t>
      </w:r>
      <w:r>
        <w:rPr>
          <w:rStyle w:val="19"/>
          <w:rFonts w:hint="eastAsia" w:ascii="黑体" w:eastAsia="黑体"/>
        </w:rPr>
        <w:t>“</w:t>
      </w:r>
      <w:r>
        <w:rPr>
          <w:rStyle w:val="19"/>
          <w:rFonts w:hint="eastAsia" w:ascii="黑体" w:eastAsia="黑体"/>
          <w:b w:val="0"/>
        </w:rPr>
        <w:t>三公”经费财政拨款支出决算情况说明</w:t>
      </w:r>
      <w:bookmarkEnd w:id="36"/>
      <w:bookmarkEnd w:id="37"/>
    </w:p>
    <w:p>
      <w:pPr>
        <w:spacing w:line="600" w:lineRule="exact"/>
        <w:ind w:firstLine="640"/>
        <w:outlineLvl w:val="2"/>
        <w:rPr>
          <w:rFonts w:ascii="仿宋" w:eastAsia="仿宋"/>
          <w:b/>
          <w:color w:val="000000"/>
          <w:sz w:val="32"/>
          <w:szCs w:val="32"/>
        </w:rPr>
      </w:pPr>
      <w:bookmarkStart w:id="38" w:name="_Toc15377216"/>
      <w:r>
        <w:rPr>
          <w:rFonts w:hint="eastAsia" w:ascii="仿宋" w:eastAsia="仿宋"/>
          <w:b/>
          <w:color w:val="000000"/>
          <w:sz w:val="32"/>
          <w:szCs w:val="32"/>
        </w:rPr>
        <w:t>（一）“三公”经费财政拨款支出决算总体情况说明</w:t>
      </w:r>
      <w:bookmarkEnd w:id="38"/>
    </w:p>
    <w:p>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2020年“三公”经费财政拨款支出决算为58.86万元，完成预算</w:t>
      </w:r>
      <w:r>
        <w:rPr>
          <w:rFonts w:ascii="仿宋" w:eastAsia="仿宋"/>
          <w:color w:val="000000"/>
          <w:sz w:val="32"/>
          <w:szCs w:val="32"/>
        </w:rPr>
        <w:t>100%</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39" w:name="_Toc15377217"/>
      <w:r>
        <w:rPr>
          <w:rFonts w:hint="eastAsia" w:ascii="仿宋" w:eastAsia="仿宋"/>
          <w:b/>
          <w:color w:val="000000"/>
          <w:sz w:val="32"/>
          <w:szCs w:val="32"/>
        </w:rPr>
        <w:t>（二）“三公”经费财政拨款支出决算具体情况说明</w:t>
      </w:r>
      <w:bookmarkEnd w:id="39"/>
    </w:p>
    <w:p>
      <w:pPr>
        <w:spacing w:line="600" w:lineRule="exact"/>
        <w:ind w:firstLine="640"/>
        <w:rPr>
          <w:rFonts w:ascii="仿宋" w:eastAsia="仿宋"/>
          <w:color w:val="000000"/>
          <w:sz w:val="32"/>
          <w:szCs w:val="32"/>
        </w:rPr>
      </w:pPr>
      <w:r>
        <w:rPr>
          <w:rFonts w:hint="eastAsia" w:ascii="仿宋" w:eastAsia="仿宋"/>
          <w:color w:val="000000"/>
          <w:sz w:val="32"/>
          <w:szCs w:val="32"/>
        </w:rPr>
        <w:t>2020年“三公”经费财政拨款支出决算中，因公出国（境）费支出决算</w:t>
      </w:r>
      <w:r>
        <w:rPr>
          <w:rFonts w:ascii="仿宋" w:eastAsia="仿宋"/>
          <w:color w:val="000000"/>
          <w:sz w:val="32"/>
          <w:szCs w:val="32"/>
        </w:rPr>
        <w:t>0</w:t>
      </w:r>
      <w:r>
        <w:rPr>
          <w:rFonts w:hint="eastAsia" w:ascii="仿宋" w:eastAsia="仿宋"/>
          <w:color w:val="000000"/>
          <w:sz w:val="32"/>
          <w:szCs w:val="32"/>
        </w:rPr>
        <w:t>万元，占</w:t>
      </w:r>
      <w:r>
        <w:rPr>
          <w:rFonts w:ascii="仿宋" w:eastAsia="仿宋"/>
          <w:color w:val="000000"/>
          <w:sz w:val="32"/>
          <w:szCs w:val="32"/>
        </w:rPr>
        <w:t>0%</w:t>
      </w:r>
      <w:r>
        <w:rPr>
          <w:rFonts w:hint="eastAsia" w:ascii="仿宋" w:eastAsia="仿宋"/>
          <w:color w:val="000000"/>
          <w:sz w:val="32"/>
          <w:szCs w:val="32"/>
        </w:rPr>
        <w:t>；公务用车购置及运行维护费支出决算58.56万元，占99.49</w:t>
      </w:r>
      <w:r>
        <w:rPr>
          <w:rFonts w:ascii="仿宋" w:eastAsia="仿宋"/>
          <w:color w:val="000000"/>
          <w:sz w:val="32"/>
          <w:szCs w:val="32"/>
        </w:rPr>
        <w:t>%</w:t>
      </w:r>
      <w:r>
        <w:rPr>
          <w:rFonts w:hint="eastAsia" w:ascii="仿宋" w:eastAsia="仿宋"/>
          <w:color w:val="000000"/>
          <w:sz w:val="32"/>
          <w:szCs w:val="32"/>
        </w:rPr>
        <w:t>；公务接待费支出决算0.3万元，占0.51</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ascii="仿宋_GB2312" w:eastAsia="仿宋_GB2312"/>
          <w:color w:val="000000"/>
          <w:sz w:val="32"/>
          <w:szCs w:val="32"/>
        </w:rPr>
        <w:t>0</w:t>
      </w:r>
      <w:r>
        <w:rPr>
          <w:rFonts w:hint="eastAsia" w:ascii="仿宋_GB2312" w:eastAsia="仿宋_GB2312"/>
          <w:color w:val="000000"/>
          <w:sz w:val="32"/>
          <w:szCs w:val="32"/>
        </w:rPr>
        <w:t>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0%</w:t>
      </w:r>
      <w:r>
        <w:rPr>
          <w:rStyle w:val="16"/>
          <w:rFonts w:hint="eastAsia" w:ascii="仿宋" w:eastAsia="仿宋"/>
          <w:b w:val="0"/>
          <w:bCs/>
          <w:color w:val="000000"/>
          <w:sz w:val="32"/>
          <w:szCs w:val="32"/>
        </w:rPr>
        <w:t>。</w:t>
      </w:r>
      <w:r>
        <w:rPr>
          <w:rFonts w:hint="eastAsia" w:ascii="仿宋_GB2312" w:eastAsia="仿宋_GB2312"/>
          <w:color w:val="000000"/>
          <w:sz w:val="32"/>
          <w:szCs w:val="32"/>
        </w:rPr>
        <w:t>全年安排因公出国（境）团组</w:t>
      </w:r>
      <w:r>
        <w:rPr>
          <w:rFonts w:ascii="仿宋_GB2312" w:eastAsia="仿宋_GB2312"/>
          <w:color w:val="000000"/>
          <w:sz w:val="32"/>
          <w:szCs w:val="32"/>
        </w:rPr>
        <w:t>0</w:t>
      </w:r>
      <w:r>
        <w:rPr>
          <w:rFonts w:hint="eastAsia" w:ascii="仿宋_GB2312" w:eastAsia="仿宋_GB2312"/>
          <w:color w:val="000000"/>
          <w:sz w:val="32"/>
          <w:szCs w:val="32"/>
        </w:rPr>
        <w:t>次，出国（境）</w:t>
      </w:r>
      <w:r>
        <w:rPr>
          <w:rFonts w:ascii="仿宋_GB2312" w:eastAsia="仿宋_GB2312"/>
          <w:color w:val="000000"/>
          <w:sz w:val="32"/>
          <w:szCs w:val="32"/>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9年增加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ascii="仿宋_GB2312" w:eastAsia="仿宋_GB2312"/>
          <w:color w:val="000000"/>
          <w:sz w:val="32"/>
          <w:szCs w:val="32"/>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ascii="仿宋_GB2312" w:eastAsia="仿宋_GB2312"/>
          <w:color w:val="000000"/>
          <w:sz w:val="32"/>
          <w:szCs w:val="32"/>
        </w:rPr>
        <w:t>0%</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58.56万元,</w:t>
      </w:r>
      <w:r>
        <w:rPr>
          <w:rStyle w:val="16"/>
          <w:rFonts w:hint="eastAsia" w:ascii="仿宋" w:eastAsia="仿宋"/>
          <w:b w:val="0"/>
          <w:bCs/>
          <w:color w:val="000000"/>
          <w:sz w:val="32"/>
          <w:szCs w:val="32"/>
        </w:rPr>
        <w:t>完成预算</w:t>
      </w:r>
      <w:r>
        <w:rPr>
          <w:rStyle w:val="16"/>
          <w:rFonts w:ascii="仿宋" w:eastAsia="仿宋"/>
          <w:b w:val="0"/>
          <w:bCs/>
          <w:color w:val="000000"/>
          <w:sz w:val="32"/>
          <w:szCs w:val="32"/>
        </w:rPr>
        <w:t>100%</w:t>
      </w:r>
      <w:r>
        <w:rPr>
          <w:rStyle w:val="16"/>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公务用车购置及运行维护费支出决算比2019年增加47.87万元，主要原因是2020年县委政法委新购置一辆公务用车</w:t>
      </w:r>
      <w:r>
        <w:rPr>
          <w:rFonts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39.85万元。全年按规定更新购置公务用车1辆，金额39.85</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 执法执勤用车0辆</w:t>
      </w:r>
      <w:r>
        <w:rPr>
          <w:rFonts w:ascii="仿宋_GB2312" w:eastAsia="仿宋_GB2312"/>
          <w:color w:val="000000"/>
          <w:sz w:val="32"/>
          <w:szCs w:val="32"/>
        </w:rPr>
        <w:t>，</w:t>
      </w:r>
      <w:r>
        <w:rPr>
          <w:rFonts w:hint="eastAsia" w:ascii="仿宋_GB2312" w:eastAsia="仿宋_GB2312"/>
          <w:color w:val="000000"/>
          <w:sz w:val="32"/>
          <w:szCs w:val="32"/>
        </w:rPr>
        <w:t>一般公务</w:t>
      </w:r>
      <w:r>
        <w:rPr>
          <w:rFonts w:ascii="仿宋_GB2312" w:eastAsia="仿宋_GB2312"/>
          <w:color w:val="000000"/>
          <w:sz w:val="32"/>
          <w:szCs w:val="32"/>
        </w:rPr>
        <w:t>用车</w:t>
      </w:r>
      <w:r>
        <w:rPr>
          <w:rFonts w:hint="eastAsia" w:ascii="仿宋_GB2312" w:eastAsia="仿宋_GB2312"/>
          <w:color w:val="000000"/>
          <w:sz w:val="32"/>
          <w:szCs w:val="32"/>
        </w:rPr>
        <w:t>2</w:t>
      </w:r>
      <w:r>
        <w:rPr>
          <w:rFonts w:ascii="仿宋_GB2312" w:eastAsia="仿宋_GB2312"/>
          <w:color w:val="000000"/>
          <w:sz w:val="32"/>
          <w:szCs w:val="32"/>
        </w:rPr>
        <w:t>辆。</w:t>
      </w:r>
    </w:p>
    <w:p>
      <w:pPr>
        <w:spacing w:line="600" w:lineRule="exact"/>
        <w:ind w:firstLine="642" w:firstLineChars="20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18.71万元。主要用于综治、维稳、政法、扫黑除恶、应急处突</w:t>
      </w:r>
      <w:r>
        <w:rPr>
          <w:rFonts w:ascii="仿宋_GB2312" w:eastAsia="仿宋_GB2312"/>
          <w:color w:val="000000"/>
          <w:sz w:val="32"/>
          <w:szCs w:val="32"/>
        </w:rPr>
        <w:t>、</w:t>
      </w:r>
      <w:r>
        <w:rPr>
          <w:rFonts w:hint="eastAsia" w:ascii="仿宋_GB2312" w:eastAsia="仿宋_GB2312"/>
          <w:color w:val="000000"/>
          <w:sz w:val="32"/>
          <w:szCs w:val="32"/>
        </w:rPr>
        <w:t>两联一进等</w:t>
      </w:r>
      <w:r>
        <w:rPr>
          <w:rFonts w:ascii="仿宋_GB2312" w:eastAsia="仿宋_GB2312"/>
          <w:color w:val="000000"/>
          <w:sz w:val="32"/>
          <w:szCs w:val="32"/>
        </w:rPr>
        <w:t>工作等</w:t>
      </w:r>
      <w:r>
        <w:rPr>
          <w:rFonts w:hint="eastAsia" w:ascii="仿宋_GB2312" w:eastAsia="仿宋_GB2312"/>
          <w:color w:val="000000"/>
          <w:sz w:val="32"/>
          <w:szCs w:val="32"/>
        </w:rPr>
        <w:t>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0.3万元，</w:t>
      </w:r>
      <w:r>
        <w:rPr>
          <w:rStyle w:val="16"/>
          <w:rFonts w:hint="eastAsia" w:ascii="仿宋" w:eastAsia="仿宋"/>
          <w:b w:val="0"/>
          <w:bCs/>
          <w:color w:val="000000"/>
          <w:sz w:val="32"/>
          <w:szCs w:val="32"/>
        </w:rPr>
        <w:t>完成预算100</w:t>
      </w:r>
      <w:r>
        <w:rPr>
          <w:rStyle w:val="16"/>
          <w:rFonts w:ascii="仿宋" w:eastAsia="仿宋"/>
          <w:b w:val="0"/>
          <w:bCs/>
          <w:color w:val="000000"/>
          <w:sz w:val="32"/>
          <w:szCs w:val="32"/>
        </w:rPr>
        <w:t>%</w:t>
      </w:r>
      <w:r>
        <w:rPr>
          <w:rStyle w:val="16"/>
          <w:rFonts w:hint="eastAsia" w:asci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9年减少0.31万元，下降49</w:t>
      </w:r>
      <w:r>
        <w:rPr>
          <w:rFonts w:ascii="仿宋_GB2312" w:eastAsia="仿宋_GB2312"/>
          <w:color w:val="000000"/>
          <w:sz w:val="32"/>
          <w:szCs w:val="32"/>
        </w:rPr>
        <w:t>%</w:t>
      </w:r>
      <w:r>
        <w:rPr>
          <w:rFonts w:hint="eastAsia" w:ascii="仿宋_GB2312" w:eastAsia="仿宋_GB2312"/>
          <w:color w:val="000000"/>
          <w:sz w:val="32"/>
          <w:szCs w:val="32"/>
        </w:rPr>
        <w:t>。主要压缩经费</w:t>
      </w:r>
      <w:r>
        <w:rPr>
          <w:rFonts w:ascii="仿宋_GB2312" w:eastAsia="仿宋_GB2312"/>
          <w:color w:val="000000"/>
          <w:sz w:val="32"/>
          <w:szCs w:val="32"/>
        </w:rPr>
        <w:t>。</w:t>
      </w:r>
      <w:r>
        <w:rPr>
          <w:rFonts w:hint="eastAsia" w:ascii="仿宋_GB2312" w:eastAsia="仿宋_GB2312"/>
          <w:color w:val="000000"/>
          <w:sz w:val="32"/>
          <w:szCs w:val="32"/>
        </w:rPr>
        <w:t>其中：</w:t>
      </w:r>
    </w:p>
    <w:p>
      <w:pPr>
        <w:spacing w:line="600" w:lineRule="exact"/>
        <w:ind w:firstLine="640"/>
        <w:rPr>
          <w:rFonts w:ascii="仿宋_GB2312" w:eastAsia="仿宋_GB2312"/>
          <w:color w:val="000000"/>
          <w:sz w:val="32"/>
          <w:szCs w:val="32"/>
        </w:rPr>
      </w:pPr>
      <w:r>
        <w:rPr>
          <w:rFonts w:hint="eastAsia" w:ascii="仿宋" w:eastAsia="仿宋"/>
          <w:b/>
          <w:color w:val="000000"/>
          <w:sz w:val="32"/>
          <w:szCs w:val="32"/>
        </w:rPr>
        <w:t>国内公务接待支出</w:t>
      </w:r>
      <w:r>
        <w:rPr>
          <w:rFonts w:hint="eastAsia" w:ascii="仿宋" w:eastAsia="仿宋"/>
          <w:color w:val="000000"/>
          <w:sz w:val="32"/>
          <w:szCs w:val="32"/>
        </w:rPr>
        <w:t>0.3</w:t>
      </w:r>
      <w:r>
        <w:rPr>
          <w:rFonts w:hint="eastAsia" w:ascii="仿宋_GB2312" w:eastAsia="仿宋_GB2312"/>
          <w:color w:val="000000"/>
          <w:sz w:val="32"/>
          <w:szCs w:val="32"/>
        </w:rPr>
        <w:t>万元，主要用于接待上级单位到我县检查督导政法、综治、维稳、防邪、扫黑除恶等工作。国内公务接待9批次，12人次，共计支出0.3万元，具体内容包括：</w:t>
      </w:r>
      <w:r>
        <w:rPr>
          <w:rFonts w:ascii="仿宋_GB2312" w:eastAsia="仿宋_GB2312"/>
          <w:color w:val="000000"/>
          <w:sz w:val="32"/>
          <w:szCs w:val="32"/>
        </w:rPr>
        <w:t>餐费</w:t>
      </w:r>
      <w:r>
        <w:rPr>
          <w:rFonts w:hint="eastAsia" w:ascii="仿宋_GB2312" w:eastAsia="仿宋_GB2312"/>
          <w:color w:val="000000"/>
          <w:sz w:val="32"/>
          <w:szCs w:val="32"/>
        </w:rPr>
        <w:t>、住宿费用。</w:t>
      </w:r>
    </w:p>
    <w:p>
      <w:pPr>
        <w:spacing w:line="600" w:lineRule="exact"/>
        <w:ind w:firstLine="642" w:firstLineChars="200"/>
        <w:rPr>
          <w:rFonts w:ascii="黑体" w:eastAsia="黑体"/>
          <w:color w:val="000000"/>
          <w:sz w:val="32"/>
          <w:szCs w:val="32"/>
        </w:rPr>
      </w:pPr>
      <w:r>
        <w:rPr>
          <w:rFonts w:hint="eastAsia" w:ascii="仿宋" w:eastAsia="仿宋"/>
          <w:b/>
          <w:color w:val="000000"/>
          <w:sz w:val="32"/>
          <w:szCs w:val="32"/>
        </w:rPr>
        <w:t>外事接待支出</w:t>
      </w:r>
      <w:r>
        <w:rPr>
          <w:rFonts w:ascii="仿宋" w:eastAsia="仿宋"/>
          <w:color w:val="000000"/>
          <w:sz w:val="32"/>
          <w:szCs w:val="32"/>
        </w:rPr>
        <w:t>0</w:t>
      </w:r>
      <w:r>
        <w:rPr>
          <w:rFonts w:hint="eastAsia" w:ascii="仿宋_GB2312" w:eastAsia="仿宋_GB2312"/>
          <w:color w:val="000000"/>
          <w:sz w:val="32"/>
          <w:szCs w:val="32"/>
        </w:rPr>
        <w:t>万元，外事接待</w:t>
      </w:r>
      <w:r>
        <w:rPr>
          <w:rFonts w:ascii="仿宋_GB2312" w:eastAsia="仿宋_GB2312"/>
          <w:color w:val="000000"/>
          <w:sz w:val="32"/>
          <w:szCs w:val="32"/>
        </w:rPr>
        <w:t>0</w:t>
      </w:r>
      <w:r>
        <w:rPr>
          <w:rFonts w:hint="eastAsia" w:ascii="仿宋_GB2312" w:eastAsia="仿宋_GB2312"/>
          <w:color w:val="000000"/>
          <w:sz w:val="32"/>
          <w:szCs w:val="32"/>
        </w:rPr>
        <w:t>批次，</w:t>
      </w:r>
      <w:r>
        <w:rPr>
          <w:rFonts w:ascii="仿宋_GB2312" w:eastAsia="仿宋_GB2312"/>
          <w:color w:val="000000"/>
          <w:sz w:val="32"/>
          <w:szCs w:val="32"/>
        </w:rPr>
        <w:t>0</w:t>
      </w:r>
      <w:r>
        <w:rPr>
          <w:rFonts w:hint="eastAsia" w:ascii="仿宋_GB2312" w:eastAsia="仿宋_GB2312"/>
          <w:color w:val="000000"/>
          <w:sz w:val="32"/>
          <w:szCs w:val="32"/>
        </w:rPr>
        <w:t>人，共计支出</w:t>
      </w:r>
      <w:r>
        <w:rPr>
          <w:rFonts w:ascii="仿宋_GB2312" w:eastAsia="仿宋_GB2312"/>
          <w:color w:val="000000"/>
          <w:sz w:val="32"/>
          <w:szCs w:val="32"/>
        </w:rPr>
        <w:t>0</w:t>
      </w:r>
      <w:r>
        <w:rPr>
          <w:rFonts w:hint="eastAsia" w:ascii="仿宋_GB2312" w:eastAsia="仿宋_GB2312"/>
          <w:color w:val="000000"/>
          <w:sz w:val="32"/>
          <w:szCs w:val="32"/>
        </w:rPr>
        <w:t>万元</w:t>
      </w:r>
      <w:bookmarkStart w:id="40" w:name="_Toc15377218"/>
      <w:bookmarkStart w:id="41" w:name="_Toc15396610"/>
    </w:p>
    <w:p>
      <w:pPr>
        <w:spacing w:line="600" w:lineRule="exact"/>
        <w:ind w:firstLine="640"/>
        <w:outlineLvl w:val="1"/>
        <w:rPr>
          <w:rStyle w:val="19"/>
          <w:rFonts w:ascii="黑体" w:eastAsia="黑体"/>
        </w:rPr>
      </w:pPr>
      <w:r>
        <w:rPr>
          <w:rFonts w:hint="eastAsia" w:ascii="黑体" w:eastAsia="黑体"/>
          <w:color w:val="000000"/>
          <w:sz w:val="32"/>
          <w:szCs w:val="32"/>
        </w:rPr>
        <w:t>八、</w:t>
      </w:r>
      <w:r>
        <w:rPr>
          <w:rStyle w:val="19"/>
          <w:rFonts w:hint="eastAsia" w:ascii="黑体" w:eastAsia="黑体"/>
          <w:b w:val="0"/>
        </w:rPr>
        <w:t>政府性基金预算支出决算情况说明</w:t>
      </w:r>
      <w:bookmarkEnd w:id="40"/>
      <w:bookmarkEnd w:id="4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numPr>
          <w:ilvl w:val="0"/>
          <w:numId w:val="2"/>
        </w:numPr>
        <w:spacing w:line="600" w:lineRule="exact"/>
        <w:ind w:firstLine="640"/>
        <w:outlineLvl w:val="1"/>
        <w:rPr>
          <w:rStyle w:val="19"/>
          <w:rFonts w:ascii="黑体" w:eastAsia="黑体"/>
          <w:b w:val="0"/>
        </w:rPr>
      </w:pPr>
      <w:bookmarkStart w:id="42" w:name="_Toc15396611"/>
      <w:bookmarkStart w:id="43" w:name="_Toc15377219"/>
      <w:r>
        <w:rPr>
          <w:rStyle w:val="19"/>
          <w:rFonts w:hint="eastAsia" w:ascii="黑体" w:eastAsia="黑体"/>
          <w:b w:val="0"/>
        </w:rPr>
        <w:t>国有资本经营预算支出决算情况说明</w:t>
      </w:r>
      <w:bookmarkEnd w:id="42"/>
      <w:bookmarkEnd w:id="43"/>
    </w:p>
    <w:p>
      <w:pPr>
        <w:spacing w:line="600" w:lineRule="exact"/>
        <w:ind w:firstLine="640"/>
        <w:rPr>
          <w:rFonts w:ascii="方正小标宋简体" w:eastAsia="方正小标宋简体" w:cs="方正小标宋简体"/>
          <w:sz w:val="44"/>
          <w:szCs w:val="44"/>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600" w:lineRule="exact"/>
        <w:ind w:firstLine="800" w:firstLineChars="250"/>
        <w:outlineLvl w:val="1"/>
        <w:rPr>
          <w:rStyle w:val="19"/>
          <w:rFonts w:ascii="黑体" w:eastAsia="黑体"/>
        </w:rPr>
      </w:pPr>
      <w:bookmarkStart w:id="44" w:name="_Toc15396612"/>
      <w:bookmarkStart w:id="45" w:name="_Toc15377221"/>
      <w:r>
        <w:rPr>
          <w:rFonts w:hint="eastAsia" w:ascii="黑体" w:eastAsia="黑体"/>
          <w:color w:val="000000"/>
          <w:sz w:val="32"/>
          <w:szCs w:val="32"/>
        </w:rPr>
        <w:t>十</w:t>
      </w:r>
      <w:r>
        <w:rPr>
          <w:rStyle w:val="19"/>
          <w:rFonts w:hint="eastAsia" w:ascii="黑体" w:eastAsia="黑体"/>
        </w:rPr>
        <w:t>、</w:t>
      </w:r>
      <w:r>
        <w:rPr>
          <w:rStyle w:val="19"/>
          <w:rFonts w:hint="eastAsia" w:ascii="黑体" w:eastAsia="黑体"/>
          <w:b w:val="0"/>
        </w:rPr>
        <w:t>其他重要事项的情况说明</w:t>
      </w:r>
      <w:bookmarkEnd w:id="44"/>
      <w:bookmarkEnd w:id="45"/>
    </w:p>
    <w:p>
      <w:pPr>
        <w:spacing w:line="600" w:lineRule="exact"/>
        <w:ind w:firstLine="642" w:firstLineChars="200"/>
        <w:outlineLvl w:val="2"/>
        <w:rPr>
          <w:rFonts w:ascii="仿宋" w:eastAsia="仿宋"/>
          <w:color w:val="000000"/>
          <w:sz w:val="32"/>
          <w:szCs w:val="32"/>
        </w:rPr>
      </w:pPr>
      <w:bookmarkStart w:id="46" w:name="_Toc15377222"/>
      <w:r>
        <w:rPr>
          <w:rFonts w:hint="eastAsia" w:ascii="仿宋" w:eastAsia="仿宋"/>
          <w:b/>
          <w:color w:val="000000"/>
          <w:sz w:val="32"/>
          <w:szCs w:val="32"/>
        </w:rPr>
        <w:t>（一）机关运行经费支出情况</w:t>
      </w:r>
      <w:bookmarkEnd w:id="46"/>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九寨沟县</w:t>
      </w:r>
      <w:r>
        <w:rPr>
          <w:rFonts w:hint="eastAsia" w:ascii="仿宋_GB2312" w:eastAsia="仿宋_GB2312"/>
          <w:color w:val="000000"/>
          <w:sz w:val="32"/>
          <w:szCs w:val="32"/>
        </w:rPr>
        <w:t>政法委机关运行经费支出383.08万元，比</w:t>
      </w:r>
      <w:r>
        <w:rPr>
          <w:rFonts w:ascii="仿宋_GB2312" w:eastAsia="仿宋_GB2312"/>
          <w:color w:val="000000"/>
          <w:sz w:val="32"/>
          <w:szCs w:val="32"/>
        </w:rPr>
        <w:t>201</w:t>
      </w:r>
      <w:r>
        <w:rPr>
          <w:rFonts w:hint="eastAsia" w:ascii="仿宋_GB2312" w:eastAsia="仿宋_GB2312"/>
          <w:color w:val="000000"/>
          <w:sz w:val="32"/>
          <w:szCs w:val="32"/>
        </w:rPr>
        <w:t>9年增加238.31万元，主要原因是</w:t>
      </w:r>
      <w:r>
        <w:rPr>
          <w:rFonts w:ascii="仿宋_GB2312" w:eastAsia="仿宋_GB2312"/>
          <w:color w:val="000000"/>
          <w:sz w:val="32"/>
          <w:szCs w:val="32"/>
        </w:rPr>
        <w:t>人员的增加、业务量的增长，行政运行经费也随之增加。</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47" w:name="_Toc15377223"/>
      <w:r>
        <w:rPr>
          <w:rFonts w:hint="eastAsia" w:ascii="仿宋" w:eastAsia="仿宋"/>
          <w:b/>
          <w:color w:val="000000"/>
          <w:sz w:val="32"/>
          <w:szCs w:val="32"/>
        </w:rPr>
        <w:t>（二）政府采购支出情况</w:t>
      </w:r>
      <w:bookmarkEnd w:id="47"/>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万元。授予中小企业合同金额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，其中：授予小微企业合同金额</w:t>
      </w:r>
      <w:r>
        <w:rPr>
          <w:rFonts w:ascii="仿宋_GB2312" w:eastAsia="仿宋_GB2312"/>
          <w:color w:val="000000"/>
          <w:sz w:val="32"/>
          <w:szCs w:val="32"/>
        </w:rPr>
        <w:t>0</w:t>
      </w:r>
      <w:r>
        <w:rPr>
          <w:rFonts w:hint="eastAsia" w:ascii="仿宋_GB2312" w:eastAsia="仿宋_GB2312"/>
          <w:color w:val="000000"/>
          <w:sz w:val="32"/>
          <w:szCs w:val="32"/>
        </w:rPr>
        <w:t>万元，占政府采购支出总额的</w:t>
      </w:r>
      <w:r>
        <w:rPr>
          <w:rFonts w:ascii="仿宋_GB2312" w:eastAsia="仿宋_GB2312"/>
          <w:color w:val="000000"/>
          <w:sz w:val="32"/>
          <w:szCs w:val="32"/>
        </w:rPr>
        <w:t>0%</w:t>
      </w:r>
      <w:r>
        <w:rPr>
          <w:rFonts w:hint="eastAsia" w:ascii="仿宋_GB2312" w:eastAsia="仿宋_GB2312"/>
          <w:color w:val="000000"/>
          <w:sz w:val="32"/>
          <w:szCs w:val="32"/>
        </w:rPr>
        <w:t>。</w:t>
      </w:r>
    </w:p>
    <w:p>
      <w:pPr>
        <w:autoSpaceDE w:val="0"/>
        <w:autoSpaceDN w:val="0"/>
        <w:adjustRightInd w:val="0"/>
        <w:spacing w:line="600" w:lineRule="exact"/>
        <w:ind w:firstLine="642" w:firstLineChars="200"/>
        <w:jc w:val="left"/>
        <w:outlineLvl w:val="2"/>
        <w:rPr>
          <w:rFonts w:ascii="仿宋" w:eastAsia="仿宋"/>
          <w:b/>
          <w:color w:val="000000"/>
          <w:sz w:val="32"/>
          <w:szCs w:val="32"/>
        </w:rPr>
      </w:pPr>
      <w:bookmarkStart w:id="48" w:name="_Toc15377224"/>
      <w:r>
        <w:rPr>
          <w:rFonts w:hint="eastAsia" w:ascii="仿宋" w:eastAsia="仿宋"/>
          <w:b/>
          <w:color w:val="000000"/>
          <w:sz w:val="32"/>
          <w:szCs w:val="32"/>
        </w:rPr>
        <w:t>（三）国有资产占有使用情况</w:t>
      </w:r>
      <w:bookmarkEnd w:id="48"/>
    </w:p>
    <w:p>
      <w:pPr>
        <w:autoSpaceDE w:val="0"/>
        <w:autoSpaceDN w:val="0"/>
        <w:adjustRightInd w:val="0"/>
        <w:spacing w:line="600" w:lineRule="exact"/>
        <w:ind w:firstLine="640" w:firstLineChars="200"/>
        <w:jc w:val="left"/>
        <w:rPr>
          <w:rFonts w:asci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ascii="仿宋_GB2312" w:eastAsia="仿宋_GB2312"/>
          <w:color w:val="000000"/>
          <w:sz w:val="32"/>
          <w:szCs w:val="32"/>
        </w:rPr>
        <w:t>九寨沟县</w:t>
      </w:r>
      <w:r>
        <w:rPr>
          <w:rFonts w:hint="eastAsia" w:ascii="仿宋_GB2312" w:eastAsia="仿宋_GB2312"/>
          <w:color w:val="000000"/>
          <w:sz w:val="32"/>
          <w:szCs w:val="32"/>
        </w:rPr>
        <w:t>委政法委共有车辆2辆，其中：主要领导干部用车</w:t>
      </w:r>
      <w:r>
        <w:rPr>
          <w:rFonts w:ascii="仿宋_GB2312" w:eastAsia="仿宋_GB2312"/>
          <w:color w:val="000000"/>
          <w:sz w:val="32"/>
          <w:szCs w:val="32"/>
        </w:rPr>
        <w:t>0</w:t>
      </w:r>
      <w:r>
        <w:rPr>
          <w:rFonts w:hint="eastAsia" w:ascii="仿宋_GB2312" w:eastAsia="仿宋_GB2312"/>
          <w:color w:val="000000"/>
          <w:sz w:val="32"/>
          <w:szCs w:val="32"/>
        </w:rPr>
        <w:t>辆、机要通信用车</w:t>
      </w:r>
      <w:r>
        <w:rPr>
          <w:rFonts w:ascii="仿宋_GB2312" w:eastAsia="仿宋_GB2312"/>
          <w:color w:val="000000"/>
          <w:sz w:val="32"/>
          <w:szCs w:val="32"/>
        </w:rPr>
        <w:t>0</w:t>
      </w:r>
      <w:r>
        <w:rPr>
          <w:rFonts w:hint="eastAsia" w:ascii="仿宋_GB2312" w:eastAsia="仿宋_GB2312"/>
          <w:color w:val="000000"/>
          <w:sz w:val="32"/>
          <w:szCs w:val="32"/>
        </w:rPr>
        <w:t>辆、应急保障用车</w:t>
      </w:r>
      <w:r>
        <w:rPr>
          <w:rFonts w:ascii="仿宋_GB2312" w:eastAsia="仿宋_GB2312"/>
          <w:color w:val="000000"/>
          <w:sz w:val="32"/>
          <w:szCs w:val="32"/>
        </w:rPr>
        <w:t>0</w:t>
      </w:r>
      <w:r>
        <w:rPr>
          <w:rFonts w:hint="eastAsia" w:ascii="仿宋_GB2312" w:eastAsia="仿宋_GB2312"/>
          <w:color w:val="000000"/>
          <w:sz w:val="32"/>
          <w:szCs w:val="32"/>
        </w:rPr>
        <w:t>辆、</w:t>
      </w:r>
      <w:r>
        <w:rPr>
          <w:rFonts w:ascii="仿宋_GB2312" w:eastAsia="仿宋_GB2312"/>
          <w:color w:val="000000"/>
          <w:sz w:val="32"/>
          <w:szCs w:val="32"/>
        </w:rPr>
        <w:t>执法执勤用车</w:t>
      </w:r>
      <w:r>
        <w:rPr>
          <w:rFonts w:hint="eastAsia" w:ascii="仿宋_GB2312" w:eastAsia="仿宋_GB2312"/>
          <w:color w:val="000000"/>
          <w:sz w:val="32"/>
          <w:szCs w:val="32"/>
        </w:rPr>
        <w:t>0辆</w:t>
      </w:r>
      <w:r>
        <w:rPr>
          <w:rFonts w:ascii="仿宋_GB2312" w:eastAsia="仿宋_GB2312"/>
          <w:color w:val="000000"/>
          <w:sz w:val="32"/>
          <w:szCs w:val="32"/>
        </w:rPr>
        <w:t>、特种技术用车</w:t>
      </w:r>
      <w:r>
        <w:rPr>
          <w:rFonts w:hint="eastAsia" w:ascii="仿宋_GB2312" w:eastAsia="仿宋_GB2312"/>
          <w:color w:val="000000"/>
          <w:sz w:val="32"/>
          <w:szCs w:val="32"/>
        </w:rPr>
        <w:t>0</w:t>
      </w:r>
      <w:r>
        <w:rPr>
          <w:rFonts w:ascii="仿宋_GB2312" w:eastAsia="仿宋_GB2312"/>
          <w:color w:val="000000"/>
          <w:sz w:val="32"/>
          <w:szCs w:val="32"/>
        </w:rPr>
        <w:t>辆</w:t>
      </w:r>
      <w:r>
        <w:rPr>
          <w:rFonts w:hint="eastAsia" w:ascii="仿宋_GB2312" w:eastAsia="仿宋_GB2312"/>
          <w:color w:val="000000"/>
          <w:sz w:val="32"/>
          <w:szCs w:val="32"/>
        </w:rPr>
        <w:t>、一般公务用车2辆。单价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ascii="仿宋_GB2312" w:eastAsia="仿宋_GB2312"/>
          <w:color w:val="000000"/>
          <w:sz w:val="32"/>
          <w:szCs w:val="32"/>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ascii="仿宋_GB2312" w:eastAsia="仿宋_GB2312"/>
          <w:color w:val="000000"/>
          <w:sz w:val="32"/>
          <w:szCs w:val="32"/>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（四）预算绩效管理情况。</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来，我县政法工作坚定以习近平新时代中国特色社会主义思想为指导，深入学习贯彻中央、省委、州委、县委系列全会精神和中央、省委、州委政法工作会议、县委综合工作会议精神，聚焦中心任务，扎实开展党史学习教育、政法队伍教育整顿、基层社会治理、矛盾纠纷排查化解和平安九寨建设等重点工作。认真履行维护国家政治安全、确保社会大局稳定、促进社会公平正义、保障人民安居乐业的职责任务，不断增强人民群众的获得感、幸福感、安全感，为加快建成“三地一典范”创造安全稳定的政治社会环境，以优异成绩庆祝中国共产党成立100周年。</w:t>
      </w:r>
    </w:p>
    <w:p>
      <w:pPr>
        <w:spacing w:line="576" w:lineRule="exact"/>
        <w:ind w:firstLine="640" w:firstLineChars="200"/>
        <w:rPr>
          <w:rFonts w:ascii="仿宋_GB2312" w:eastAsia="仿宋_GB2312" w:cs="仿宋_GB2312"/>
          <w:sz w:val="32"/>
          <w:szCs w:val="32"/>
        </w:rPr>
      </w:pPr>
      <w:r>
        <w:rPr>
          <w:rFonts w:hint="eastAsia" w:ascii="楷体_GB2312" w:eastAsia="楷体_GB2312" w:cs="楷体_GB2312"/>
          <w:sz w:val="32"/>
          <w:szCs w:val="32"/>
        </w:rPr>
        <w:t>2.部门绩效评价结果。</w:t>
      </w:r>
    </w:p>
    <w:p>
      <w:pPr>
        <w:spacing w:line="576"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我委按要求对2020年部门整体绩效评价开展了相关工作，作出了绩效评价。（见附件1）</w:t>
      </w:r>
    </w:p>
    <w:p>
      <w:pPr>
        <w:widowControl/>
        <w:spacing w:line="576" w:lineRule="exact"/>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18"/>
          <w:rFonts w:ascii="黑体" w:eastAsia="黑体"/>
          <w:b w:val="0"/>
        </w:rPr>
      </w:pPr>
      <w:bookmarkStart w:id="49" w:name="_Toc15396613"/>
      <w:bookmarkStart w:id="50" w:name="_Toc15377225"/>
      <w:r>
        <w:rPr>
          <w:rFonts w:hint="eastAsia" w:ascii="黑体" w:eastAsia="黑体"/>
          <w:color w:val="000000"/>
          <w:sz w:val="44"/>
          <w:szCs w:val="44"/>
        </w:rPr>
        <w:t>名</w:t>
      </w:r>
      <w:r>
        <w:rPr>
          <w:rStyle w:val="18"/>
          <w:rFonts w:hint="eastAsia" w:ascii="黑体" w:eastAsia="黑体"/>
          <w:b w:val="0"/>
        </w:rPr>
        <w:t>词解释</w:t>
      </w:r>
      <w:bookmarkEnd w:id="49"/>
      <w:bookmarkEnd w:id="50"/>
    </w:p>
    <w:p>
      <w:pPr>
        <w:spacing w:line="600" w:lineRule="exact"/>
        <w:jc w:val="left"/>
        <w:rPr>
          <w:rFonts w:ascii="宋体"/>
          <w:b/>
          <w:color w:val="000000"/>
          <w:sz w:val="44"/>
          <w:szCs w:val="44"/>
        </w:rPr>
      </w:pPr>
    </w:p>
    <w:p>
      <w:pPr>
        <w:pStyle w:val="23"/>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公共安全支出(204)公安（02）行政运行（01）：指保障</w:t>
      </w:r>
      <w:r>
        <w:rPr>
          <w:rStyle w:val="16"/>
          <w:rFonts w:hint="eastAsia" w:ascii="仿宋_GB2312" w:eastAsia="仿宋_GB2312"/>
          <w:b w:val="0"/>
          <w:color w:val="000000"/>
          <w:sz w:val="32"/>
          <w:szCs w:val="32"/>
        </w:rPr>
        <w:t>行政运行的经费</w:t>
      </w:r>
      <w:r>
        <w:rPr>
          <w:rFonts w:hint="eastAsia" w:ascii="仿宋_GB2312" w:eastAsia="仿宋_GB2312"/>
          <w:color w:val="000000"/>
          <w:sz w:val="32"/>
          <w:szCs w:val="32"/>
        </w:rPr>
        <w:t>。</w:t>
      </w:r>
    </w:p>
    <w:p>
      <w:pPr>
        <w:ind w:firstLine="640" w:firstLineChars="200"/>
        <w:rPr>
          <w:rFonts w:ascii="仿宋_GB2312" w:eastAsia="仿宋_GB2312"/>
          <w:sz w:val="32"/>
          <w:szCs w:val="32"/>
          <w:shd w:val="clear" w:color="auto" w:fill="FFFFFF"/>
        </w:rPr>
      </w:pPr>
      <w:r>
        <w:rPr>
          <w:rFonts w:ascii="仿宋_GB2312" w:eastAsia="仿宋_GB2312"/>
          <w:bCs/>
          <w:color w:val="000000"/>
          <w:sz w:val="32"/>
          <w:szCs w:val="32"/>
        </w:rPr>
        <w:t>10.</w:t>
      </w:r>
      <w:r>
        <w:rPr>
          <w:rFonts w:hint="eastAsia" w:ascii="仿宋_GB2312" w:eastAsia="仿宋_GB2312"/>
          <w:sz w:val="32"/>
          <w:szCs w:val="32"/>
          <w:shd w:val="clear" w:color="auto" w:fill="FFFFFF"/>
        </w:rPr>
        <w:t>一般公共服务（204）政法事务（02）行政运行（01）：指政法委用于保障机构正常运行、开展日常工作的基本支出</w:t>
      </w:r>
    </w:p>
    <w:p>
      <w:pPr>
        <w:ind w:firstLine="640" w:firstLineChars="200"/>
        <w:rPr>
          <w:rFonts w:ascii="仿宋_GB2312" w:eastAsia="仿宋_GB2312"/>
          <w:color w:val="000000"/>
          <w:sz w:val="32"/>
          <w:szCs w:val="32"/>
        </w:rPr>
      </w:pPr>
      <w:r>
        <w:rPr>
          <w:rFonts w:ascii="仿宋_GB2312" w:eastAsia="仿宋_GB2312"/>
          <w:bCs/>
          <w:color w:val="000000"/>
          <w:sz w:val="32"/>
          <w:szCs w:val="32"/>
        </w:rPr>
        <w:t>11.</w:t>
      </w:r>
      <w:r>
        <w:rPr>
          <w:rFonts w:hint="eastAsia" w:ascii="仿宋_GB2312" w:eastAsia="仿宋_GB2312"/>
          <w:bCs/>
          <w:color w:val="000000"/>
          <w:sz w:val="32"/>
          <w:szCs w:val="32"/>
        </w:rPr>
        <w:t>公共安全（204）公安（02）一般行政事务支出（02）：</w:t>
      </w:r>
      <w:r>
        <w:rPr>
          <w:rFonts w:ascii="仿宋_GB2312" w:eastAsia="仿宋_GB2312"/>
          <w:bCs/>
          <w:color w:val="000000"/>
          <w:sz w:val="32"/>
          <w:szCs w:val="32"/>
        </w:rPr>
        <w:t>指</w:t>
      </w:r>
      <w:r>
        <w:rPr>
          <w:rFonts w:hint="eastAsia" w:ascii="仿宋_GB2312" w:eastAsia="仿宋_GB2312"/>
          <w:bCs/>
          <w:color w:val="000000"/>
          <w:sz w:val="32"/>
          <w:szCs w:val="32"/>
        </w:rPr>
        <w:t>一般行政事务支出</w:t>
      </w:r>
    </w:p>
    <w:p>
      <w:pPr>
        <w:ind w:firstLine="640" w:firstLineChars="200"/>
      </w:pPr>
      <w:r>
        <w:rPr>
          <w:rFonts w:ascii="仿宋_GB2312" w:eastAsia="仿宋_GB2312"/>
          <w:color w:val="000000"/>
          <w:sz w:val="32"/>
          <w:szCs w:val="32"/>
        </w:rPr>
        <w:t>12.</w:t>
      </w:r>
      <w:r>
        <w:rPr>
          <w:rFonts w:hint="eastAsia" w:ascii="仿宋_GB2312" w:eastAsia="仿宋_GB2312"/>
          <w:sz w:val="32"/>
          <w:szCs w:val="32"/>
        </w:rPr>
        <w:t>社会保障和就业（208）行政事业单位离退休（05）机关事业单位基本养老保险缴费支出（05）：</w:t>
      </w:r>
      <w:r>
        <w:rPr>
          <w:rStyle w:val="16"/>
          <w:rFonts w:hint="eastAsia" w:ascii="仿宋_GB2312" w:eastAsia="仿宋_GB2312"/>
          <w:b w:val="0"/>
          <w:sz w:val="32"/>
          <w:szCs w:val="32"/>
        </w:rPr>
        <w:t>机关事业单位基本养老保险缴费支出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医疗卫生与计划生育（210）行政事业单位医疗（11）行政单位医疗（01）：指行政单位医疗保险。</w:t>
      </w:r>
    </w:p>
    <w:p>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医疗卫生与计划生育（210）行政事业单位医疗（11）公务员医疗补助（03）：指公务员医疗补助。</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5.</w:t>
      </w:r>
      <w:r>
        <w:rPr>
          <w:rFonts w:hint="eastAsia" w:ascii="仿宋_GB2312" w:eastAsia="仿宋_GB2312"/>
          <w:sz w:val="32"/>
          <w:szCs w:val="32"/>
        </w:rPr>
        <w:t>住房保障支出（221）住房改革支出（02）住房公积金（01）：指住房公积金。</w:t>
      </w:r>
    </w:p>
    <w:p>
      <w:pPr>
        <w:spacing w:line="600" w:lineRule="exact"/>
        <w:ind w:firstLine="640"/>
        <w:rPr>
          <w:rFonts w:ascii="仿宋" w:eastAsia="仿宋"/>
          <w:b/>
          <w:color w:val="000000"/>
          <w:sz w:val="32"/>
          <w:szCs w:val="32"/>
        </w:rPr>
      </w:pPr>
      <w:r>
        <w:rPr>
          <w:rFonts w:hint="eastAsia" w:ascii="仿宋" w:eastAsia="仿宋"/>
          <w:b/>
          <w:color w:val="000000"/>
          <w:sz w:val="32"/>
          <w:szCs w:val="32"/>
        </w:rPr>
        <w:t>（解释本部门决算报表中全部功能分类科目至项级，请参照《2019年政府收支分类科目》增减内容。）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3"/>
        <w:spacing w:line="560" w:lineRule="exact"/>
        <w:ind w:firstLine="640" w:firstLineChars="200"/>
        <w:rPr>
          <w:rFonts w:ascii="仿宋_GB2312" w:eastAsia="仿宋_GB2312" w:cs="黑体"/>
          <w:sz w:val="32"/>
          <w:szCs w:val="32"/>
        </w:rPr>
      </w:pPr>
    </w:p>
    <w:p>
      <w:pPr>
        <w:spacing w:line="600" w:lineRule="exact"/>
        <w:jc w:val="center"/>
        <w:outlineLvl w:val="0"/>
        <w:rPr>
          <w:rStyle w:val="18"/>
          <w:rFonts w:ascii="黑体" w:eastAsia="黑体"/>
          <w:b w:val="0"/>
        </w:rPr>
      </w:pPr>
      <w:bookmarkStart w:id="51" w:name="_Toc15377226"/>
      <w:r>
        <w:rPr>
          <w:rFonts w:ascii="宋体"/>
          <w:b/>
          <w:color w:val="000000"/>
          <w:sz w:val="44"/>
          <w:szCs w:val="44"/>
        </w:rPr>
        <w:br w:type="page"/>
      </w:r>
      <w:bookmarkStart w:id="52" w:name="_Toc15396614"/>
      <w:r>
        <w:rPr>
          <w:rFonts w:hint="eastAsia" w:ascii="黑体" w:eastAsia="黑体"/>
          <w:color w:val="000000"/>
          <w:sz w:val="44"/>
          <w:szCs w:val="44"/>
        </w:rPr>
        <w:t>第</w:t>
      </w:r>
      <w:r>
        <w:rPr>
          <w:rStyle w:val="18"/>
          <w:rFonts w:hint="eastAsia" w:ascii="黑体" w:eastAsia="黑体"/>
          <w:b w:val="0"/>
        </w:rPr>
        <w:t>四部分 附件</w:t>
      </w:r>
      <w:bookmarkEnd w:id="52"/>
    </w:p>
    <w:p>
      <w:pPr>
        <w:spacing w:line="600" w:lineRule="exact"/>
        <w:jc w:val="left"/>
        <w:outlineLvl w:val="0"/>
        <w:rPr>
          <w:rFonts w:ascii="方正小标宋简体" w:eastAsia="方正小标宋简体" w:cs="方正小标宋简体"/>
          <w:sz w:val="32"/>
          <w:szCs w:val="32"/>
        </w:rPr>
      </w:pPr>
      <w:r>
        <w:rPr>
          <w:rFonts w:hint="eastAsia" w:ascii="黑体" w:eastAsia="黑体" w:cs="黑体"/>
          <w:sz w:val="32"/>
          <w:szCs w:val="32"/>
        </w:rPr>
        <w:t>附件1</w:t>
      </w:r>
    </w:p>
    <w:p>
      <w:pPr>
        <w:spacing w:line="580" w:lineRule="exact"/>
        <w:jc w:val="center"/>
        <w:rPr>
          <w:rFonts w:ascii="方正小标宋简体" w:eastAsia="方正小标宋简体" w:cs="方正小标宋简体"/>
          <w:sz w:val="44"/>
          <w:szCs w:val="44"/>
        </w:rPr>
      </w:pPr>
    </w:p>
    <w:p>
      <w:pPr>
        <w:spacing w:line="576" w:lineRule="exact"/>
        <w:ind w:firstLine="880" w:firstLineChars="20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中共九寨沟县委政法委员会</w:t>
      </w:r>
    </w:p>
    <w:p>
      <w:pPr>
        <w:spacing w:line="576" w:lineRule="exact"/>
        <w:ind w:firstLine="880" w:firstLineChars="200"/>
        <w:jc w:val="center"/>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部门整体绩效评价</w:t>
      </w:r>
    </w:p>
    <w:p>
      <w:pPr>
        <w:pStyle w:val="27"/>
        <w:spacing w:line="600" w:lineRule="exact"/>
        <w:ind w:firstLine="640"/>
        <w:jc w:val="center"/>
        <w:rPr>
          <w:rFonts w:ascii="宋体" w:hAnsi="宋体"/>
          <w:color w:val="auto"/>
          <w:kern w:val="2"/>
          <w:sz w:val="32"/>
          <w:szCs w:val="32"/>
        </w:rPr>
      </w:pPr>
    </w:p>
    <w:p>
      <w:pPr>
        <w:widowControl/>
        <w:adjustRightInd w:val="0"/>
        <w:snapToGrid w:val="0"/>
        <w:spacing w:line="576" w:lineRule="exact"/>
        <w:ind w:firstLine="720"/>
        <w:jc w:val="left"/>
        <w:rPr>
          <w:rFonts w:ascii="黑体" w:hAnsi="宋体" w:eastAsia="黑体" w:cs="宋体"/>
          <w:color w:val="000000"/>
          <w:kern w:val="0"/>
          <w:sz w:val="32"/>
          <w:szCs w:val="32"/>
          <w:lang w:val="zh-CN"/>
        </w:rPr>
      </w:pP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pPr>
        <w:spacing w:line="576" w:lineRule="exac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color w:val="000000"/>
          <w:kern w:val="0"/>
          <w:sz w:val="32"/>
          <w:szCs w:val="32"/>
          <w:lang w:val="zh-CN"/>
        </w:rPr>
        <w:t>（一）机构组成。</w:t>
      </w:r>
    </w:p>
    <w:p>
      <w:pPr>
        <w:spacing w:line="576" w:lineRule="exact"/>
        <w:ind w:firstLine="640" w:firstLineChars="20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bCs/>
          <w:sz w:val="32"/>
          <w:szCs w:val="32"/>
        </w:rPr>
        <w:t>2021上半年单位机构数为2 个（行政 1 个，事业 1 个）：分别为政法委机关和县矛盾纠纷多元化解协调中心。内设机构为政治部、办公室。</w:t>
      </w:r>
    </w:p>
    <w:p>
      <w:pPr>
        <w:widowControl/>
        <w:adjustRightInd w:val="0"/>
        <w:snapToGrid w:val="0"/>
        <w:spacing w:line="576" w:lineRule="exact"/>
        <w:ind w:firstLine="642" w:firstLineChars="200"/>
        <w:jc w:val="left"/>
        <w:rPr>
          <w:rFonts w:ascii="仿宋_GB2312" w:hAnsi="宋体" w:eastAsia="仿宋_GB2312" w:cs="宋体"/>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（二）机构职能。</w:t>
      </w:r>
    </w:p>
    <w:p>
      <w:pPr>
        <w:widowControl/>
        <w:spacing w:line="576" w:lineRule="exact"/>
        <w:ind w:firstLine="640" w:firstLineChars="20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县委政法委根据县委、县政府关于2021上半年全县工作的总体部署全县政法工作，将在州委、州政府、州委政法委和县委、县政府的坚强领导下，按照省州政法工作要求，进一步解放思想、更新观念、开拓创新，凝心聚力抓实政法工作，全力以赴推动政法维稳创新发展。</w:t>
      </w:r>
    </w:p>
    <w:p>
      <w:pPr>
        <w:widowControl/>
        <w:spacing w:line="576" w:lineRule="exact"/>
        <w:ind w:firstLine="642" w:firstLineChars="200"/>
        <w:jc w:val="left"/>
        <w:rPr>
          <w:rFonts w:ascii="楷体_GB2312" w:hAnsi="楷体_GB2312" w:eastAsia="楷体_GB2312" w:cs="楷体_GB2312"/>
          <w:b/>
          <w:bCs/>
          <w:color w:val="000000"/>
          <w:kern w:val="0"/>
          <w:sz w:val="32"/>
          <w:szCs w:val="22"/>
          <w:lang w:val="zh-CN"/>
        </w:rPr>
      </w:pPr>
      <w:r>
        <w:rPr>
          <w:rFonts w:hint="eastAsia" w:ascii="楷体_GB2312" w:hAnsi="仿宋_GB2312" w:eastAsia="楷体_GB2312" w:cs="仿宋_GB2312"/>
          <w:b/>
          <w:color w:val="000000"/>
          <w:kern w:val="0"/>
          <w:sz w:val="32"/>
          <w:szCs w:val="32"/>
        </w:rPr>
        <w:t>（三）</w:t>
      </w:r>
      <w:r>
        <w:rPr>
          <w:rFonts w:hint="eastAsia" w:ascii="楷体_GB2312" w:hAnsi="楷体_GB2312" w:eastAsia="楷体_GB2312" w:cs="楷体_GB2312"/>
          <w:b/>
          <w:bCs/>
          <w:color w:val="000000"/>
          <w:kern w:val="0"/>
          <w:sz w:val="32"/>
          <w:szCs w:val="22"/>
          <w:lang w:val="zh-CN"/>
        </w:rPr>
        <w:t>人员概况。</w:t>
      </w:r>
    </w:p>
    <w:p>
      <w:pPr>
        <w:spacing w:line="576" w:lineRule="exact"/>
        <w:ind w:firstLine="640" w:firstLineChars="200"/>
        <w:rPr>
          <w:rFonts w:eastAsia="仿宋_GB2312"/>
          <w:sz w:val="32"/>
          <w:szCs w:val="32"/>
          <w:lang w:val="zh-CN"/>
        </w:rPr>
      </w:pPr>
      <w:r>
        <w:rPr>
          <w:rFonts w:hint="eastAsia" w:ascii="仿宋_GB2312" w:hAnsi="仿宋_GB2312" w:eastAsia="仿宋_GB2312" w:cs="仿宋_GB2312"/>
          <w:bCs/>
          <w:sz w:val="32"/>
          <w:szCs w:val="32"/>
        </w:rPr>
        <w:t>2021上半年财政供养人员编制为16个，其中全额供给人员和公用经费 9个，全额供给基本工资6个，定额定向补助经费6个，临聘人员1个</w:t>
      </w:r>
      <w:r>
        <w:rPr>
          <w:rFonts w:hint="eastAsia" w:ascii="仿宋_GB2312" w:hAnsi="仿宋_GB2312" w:eastAsia="仿宋_GB2312" w:cs="仿宋_GB2312"/>
          <w:bCs/>
          <w:sz w:val="32"/>
          <w:szCs w:val="32"/>
          <w:lang w:val="zh-CN"/>
        </w:rPr>
        <w:t xml:space="preserve">，较上年没有增加，其中：在职 </w:t>
      </w:r>
      <w:r>
        <w:rPr>
          <w:rFonts w:hint="eastAsia" w:ascii="仿宋_GB2312" w:hAnsi="仿宋_GB2312" w:eastAsia="仿宋_GB2312" w:cs="仿宋_GB2312"/>
          <w:bCs/>
          <w:sz w:val="32"/>
          <w:szCs w:val="32"/>
        </w:rPr>
        <w:t>15</w:t>
      </w:r>
      <w:r>
        <w:rPr>
          <w:rFonts w:hint="eastAsia" w:ascii="仿宋_GB2312" w:hAnsi="仿宋_GB2312" w:eastAsia="仿宋_GB2312" w:cs="仿宋_GB2312"/>
          <w:bCs/>
          <w:sz w:val="32"/>
          <w:szCs w:val="32"/>
          <w:lang w:val="zh-CN"/>
        </w:rPr>
        <w:t>人，临聘人员</w:t>
      </w:r>
      <w:r>
        <w:rPr>
          <w:rFonts w:hint="eastAsia" w:ascii="仿宋_GB2312" w:hAnsi="仿宋_GB2312" w:eastAsia="仿宋_GB2312" w:cs="仿宋_GB2312"/>
          <w:bCs/>
          <w:sz w:val="32"/>
          <w:szCs w:val="32"/>
        </w:rPr>
        <w:t>1人。</w:t>
      </w:r>
    </w:p>
    <w:p>
      <w:pPr>
        <w:widowControl/>
        <w:adjustRightInd w:val="0"/>
        <w:snapToGrid w:val="0"/>
        <w:spacing w:line="576"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二、部门财政资金收支情况</w:t>
      </w:r>
    </w:p>
    <w:p>
      <w:pPr>
        <w:widowControl/>
        <w:adjustRightInd w:val="0"/>
        <w:snapToGrid w:val="0"/>
        <w:spacing w:line="576" w:lineRule="exact"/>
        <w:ind w:firstLine="720"/>
        <w:jc w:val="left"/>
        <w:rPr>
          <w:rFonts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（一）部门财政资金收入情况。</w:t>
      </w:r>
    </w:p>
    <w:p>
      <w:pPr>
        <w:tabs>
          <w:tab w:val="left" w:pos="685"/>
        </w:tabs>
        <w:spacing w:line="576" w:lineRule="exact"/>
        <w:ind w:firstLine="640" w:firstLineChars="200"/>
        <w:rPr>
          <w:rFonts w:eastAsia="仿宋_GB2312"/>
          <w:sz w:val="32"/>
          <w:szCs w:val="32"/>
          <w:lang w:val="zh-CN"/>
        </w:rPr>
      </w:pPr>
      <w:r>
        <w:rPr>
          <w:rFonts w:hint="eastAsia" w:ascii="仿宋_GB2312" w:hAnsi="仿宋_GB2312" w:eastAsia="仿宋_GB2312" w:cs="仿宋_GB2312"/>
          <w:sz w:val="32"/>
          <w:szCs w:val="32"/>
        </w:rPr>
        <w:t>2021上半年政法委本年收入合计 4610544.56元，其中：财政拨款收入4610544.56元，占100%。</w:t>
      </w:r>
    </w:p>
    <w:p>
      <w:pPr>
        <w:widowControl/>
        <w:numPr>
          <w:ilvl w:val="0"/>
          <w:numId w:val="4"/>
        </w:numPr>
        <w:adjustRightInd w:val="0"/>
        <w:snapToGrid w:val="0"/>
        <w:spacing w:line="576" w:lineRule="exact"/>
        <w:jc w:val="left"/>
        <w:rPr>
          <w:rFonts w:ascii="楷体_GB2312" w:hAnsi="楷体_GB2312" w:eastAsia="楷体_GB2312" w:cs="楷体_GB2312"/>
          <w:b/>
          <w:bCs/>
          <w:color w:val="000000"/>
          <w:kern w:val="0"/>
          <w:sz w:val="32"/>
          <w:szCs w:val="32"/>
          <w:lang w:val="zh-CN"/>
        </w:rPr>
      </w:pPr>
      <w:r>
        <w:rPr>
          <w:rFonts w:hint="eastAsia" w:ascii="楷体_GB2312" w:hAnsi="楷体_GB2312" w:eastAsia="楷体_GB2312" w:cs="楷体_GB2312"/>
          <w:b/>
          <w:bCs/>
          <w:color w:val="000000"/>
          <w:kern w:val="0"/>
          <w:sz w:val="32"/>
          <w:szCs w:val="32"/>
          <w:lang w:val="zh-CN"/>
        </w:rPr>
        <w:t>部门财政资金支出情况。</w:t>
      </w:r>
    </w:p>
    <w:p>
      <w:pPr>
        <w:tabs>
          <w:tab w:val="left" w:pos="685"/>
        </w:tabs>
        <w:spacing w:line="576" w:lineRule="exact"/>
        <w:ind w:firstLine="640" w:firstLineChars="200"/>
        <w:rPr>
          <w:rFonts w:eastAsia="仿宋_GB2312"/>
          <w:sz w:val="32"/>
          <w:szCs w:val="32"/>
          <w:lang w:val="zh-CN"/>
        </w:rPr>
      </w:pPr>
      <w:r>
        <w:rPr>
          <w:rFonts w:hint="eastAsia" w:ascii="仿宋_GB2312" w:hAnsi="仿宋_GB2312" w:eastAsia="仿宋_GB2312" w:cs="仿宋_GB2312"/>
          <w:sz w:val="32"/>
          <w:szCs w:val="32"/>
        </w:rPr>
        <w:t>2021上半年政法委本年收入合计 4610544.56元，其中：基本收入占3839063.19元，占83.27%；项目收入771481.37元，占16.73 %。</w:t>
      </w:r>
    </w:p>
    <w:p>
      <w:pPr>
        <w:widowControl/>
        <w:adjustRightInd w:val="0"/>
        <w:snapToGrid w:val="0"/>
        <w:spacing w:line="576" w:lineRule="exact"/>
        <w:ind w:firstLine="720"/>
        <w:jc w:val="left"/>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widowControl/>
        <w:adjustRightInd w:val="0"/>
        <w:snapToGrid w:val="0"/>
        <w:spacing w:line="576" w:lineRule="exact"/>
        <w:ind w:firstLine="720"/>
        <w:jc w:val="left"/>
        <w:rPr>
          <w:rFonts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（一）预算编制情况。</w:t>
      </w:r>
    </w:p>
    <w:p>
      <w:pPr>
        <w:spacing w:line="576" w:lineRule="exact"/>
        <w:ind w:firstLine="640" w:firstLineChars="200"/>
        <w:rPr>
          <w:rFonts w:ascii="仿宋_GB2312" w:eastAsia="仿宋_GB2312"/>
          <w:sz w:val="32"/>
          <w:szCs w:val="32"/>
          <w:shd w:val="clear" w:color="auto" w:fill="FFFFFF"/>
        </w:rPr>
      </w:pPr>
      <w:r>
        <w:rPr>
          <w:rFonts w:hint="eastAsia" w:eastAsia="仿宋_GB2312"/>
          <w:sz w:val="32"/>
          <w:szCs w:val="32"/>
        </w:rPr>
        <w:t>按照综合预算的原则，政法委所有收入和支出均纳入部门预算管理。收入包括：一般公共预算拨款收入；支出包括：一般公共服务支出、社会保障和就业支出、医疗卫生与计划生育支出、住房保障支</w:t>
      </w:r>
      <w:r>
        <w:rPr>
          <w:rFonts w:hint="eastAsia" w:ascii="仿宋_GB2312" w:eastAsia="仿宋_GB2312"/>
          <w:sz w:val="32"/>
          <w:szCs w:val="32"/>
          <w:shd w:val="clear" w:color="auto" w:fill="FFFFFF"/>
        </w:rPr>
        <w:t>出,</w:t>
      </w:r>
      <w:r>
        <w:rPr>
          <w:rFonts w:hint="eastAsia" w:ascii="仿宋_GB2312" w:hAnsi="仿宋_GB2312" w:eastAsia="仿宋_GB2312" w:cs="仿宋_GB2312"/>
          <w:sz w:val="32"/>
          <w:szCs w:val="32"/>
          <w:shd w:val="clear" w:color="auto" w:fill="FFFFFF"/>
        </w:rPr>
        <w:t>2021上半年财政拨款收支总预算</w:t>
      </w:r>
      <w:r>
        <w:rPr>
          <w:rFonts w:hint="eastAsia" w:ascii="仿宋_GB2312" w:hAnsi="仿宋_GB2312" w:eastAsia="仿宋_GB2312" w:cs="仿宋_GB2312"/>
          <w:color w:val="333333"/>
          <w:sz w:val="32"/>
          <w:szCs w:val="32"/>
        </w:rPr>
        <w:t xml:space="preserve"> 4610544.56</w:t>
      </w:r>
      <w:r>
        <w:rPr>
          <w:rFonts w:hint="eastAsia" w:ascii="仿宋_GB2312" w:hAnsi="仿宋_GB2312" w:eastAsia="仿宋_GB2312" w:cs="仿宋_GB2312"/>
          <w:sz w:val="32"/>
          <w:szCs w:val="32"/>
          <w:shd w:val="clear" w:color="auto" w:fill="FFFFFF"/>
        </w:rPr>
        <w:t>元。收入包括：本年一般公共预算拨款收入 4610544.56元；支出包括：一般公共服务支出 1727777.24元、社会保障和就业支出204750.15元、卫生健康支出84755.09元、住房保障支出108873  元。</w:t>
      </w:r>
    </w:p>
    <w:p>
      <w:pPr>
        <w:spacing w:line="576" w:lineRule="exact"/>
        <w:rPr>
          <w:rFonts w:ascii="楷体_GB2312" w:hAnsi="楷体_GB2312" w:eastAsia="楷体_GB2312" w:cs="楷体_GB2312"/>
          <w:b/>
          <w:bCs/>
          <w:sz w:val="32"/>
          <w:szCs w:val="32"/>
          <w:shd w:val="clear" w:color="auto" w:fill="FFFFFF"/>
        </w:rPr>
      </w:pPr>
      <w:r>
        <w:rPr>
          <w:rFonts w:ascii="楷体_GB2312" w:hAnsi="楷体_GB2312" w:eastAsia="楷体_GB2312" w:cs="楷体_GB2312"/>
          <w:b/>
          <w:bCs/>
          <w:sz w:val="32"/>
          <w:szCs w:val="32"/>
          <w:shd w:val="clear" w:color="auto" w:fill="FFFFFF"/>
        </w:rPr>
        <w:t xml:space="preserve">    </w:t>
      </w:r>
      <w:r>
        <w:rPr>
          <w:rFonts w:hint="eastAsia" w:ascii="楷体_GB2312" w:hAnsi="楷体_GB2312" w:eastAsia="楷体_GB2312" w:cs="楷体_GB2312"/>
          <w:b/>
          <w:bCs/>
          <w:sz w:val="32"/>
          <w:szCs w:val="32"/>
          <w:shd w:val="clear" w:color="auto" w:fill="FFFFFF"/>
        </w:rPr>
        <w:t>（二）支出预算情况</w:t>
      </w:r>
    </w:p>
    <w:p>
      <w:pPr>
        <w:tabs>
          <w:tab w:val="left" w:pos="685"/>
        </w:tabs>
        <w:spacing w:line="576"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2021上半年上半年</w:t>
      </w:r>
      <w:r>
        <w:rPr>
          <w:rFonts w:hint="eastAsia" w:ascii="仿宋_GB2312" w:hAnsi="仿宋_GB2312" w:eastAsia="仿宋_GB2312" w:cs="仿宋_GB2312"/>
          <w:sz w:val="32"/>
          <w:szCs w:val="32"/>
          <w:shd w:val="clear" w:color="auto" w:fill="FFFFFF"/>
        </w:rPr>
        <w:t>一般公共服务支出1727777.24元，占68.53 %；社会保障和就业支出204750.15元，占8.12 %；卫生健康支出84755.09元，占3.36 %；住房保障支出108873元，占4.32 %，项目支出395168.8元，占15.67%。</w:t>
      </w:r>
    </w:p>
    <w:p>
      <w:pPr>
        <w:widowControl/>
        <w:adjustRightInd w:val="0"/>
        <w:snapToGrid w:val="0"/>
        <w:spacing w:line="576" w:lineRule="exact"/>
        <w:ind w:firstLine="720"/>
        <w:jc w:val="left"/>
        <w:rPr>
          <w:rFonts w:ascii="楷体" w:hAnsi="楷体" w:eastAsia="楷体" w:cs="宋体"/>
          <w:b/>
          <w:bCs/>
          <w:color w:val="000000"/>
          <w:kern w:val="0"/>
          <w:sz w:val="32"/>
          <w:szCs w:val="32"/>
          <w:lang w:val="zh-CN"/>
        </w:rPr>
      </w:pPr>
      <w:r>
        <w:rPr>
          <w:rFonts w:hint="eastAsia" w:ascii="楷体" w:hAnsi="楷体" w:eastAsia="楷体" w:cs="宋体"/>
          <w:b/>
          <w:bCs/>
          <w:color w:val="000000"/>
          <w:kern w:val="0"/>
          <w:sz w:val="32"/>
          <w:szCs w:val="32"/>
          <w:lang w:val="zh-CN"/>
        </w:rPr>
        <w:t>（二）执行管理情况。</w:t>
      </w:r>
      <w:r>
        <w:rPr>
          <w:rFonts w:ascii="楷体" w:hAnsi="楷体" w:eastAsia="楷体" w:cs="宋体"/>
          <w:b/>
          <w:bCs/>
          <w:color w:val="000000"/>
          <w:kern w:val="0"/>
          <w:sz w:val="32"/>
          <w:szCs w:val="32"/>
          <w:lang w:val="zh-CN"/>
        </w:rPr>
        <w:tab/>
      </w:r>
    </w:p>
    <w:p>
      <w:pPr>
        <w:spacing w:line="576"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2021上半年，政法委没有安排政府采购预算。</w:t>
      </w:r>
      <w:r>
        <w:rPr>
          <w:rFonts w:hint="eastAsia" w:ascii="仿宋_GB2312" w:hAnsi="仿宋_GB2312" w:eastAsia="仿宋_GB2312" w:cs="仿宋_GB2312"/>
          <w:sz w:val="32"/>
          <w:szCs w:val="32"/>
          <w:shd w:val="clear" w:color="auto" w:fill="FFFFFF"/>
        </w:rPr>
        <w:t>支出其中：因公出国（境）经费0元，公务接待费 4100元，公务用车购置及运行维护费133393.44元。</w:t>
      </w:r>
    </w:p>
    <w:p>
      <w:pPr>
        <w:widowControl/>
        <w:adjustRightInd w:val="0"/>
        <w:snapToGrid w:val="0"/>
        <w:spacing w:line="576" w:lineRule="exact"/>
        <w:ind w:firstLine="720"/>
        <w:jc w:val="left"/>
        <w:rPr>
          <w:rFonts w:ascii="楷体" w:hAnsi="楷体" w:eastAsia="楷体" w:cs="宋体"/>
          <w:b/>
          <w:bCs/>
          <w:kern w:val="0"/>
          <w:sz w:val="32"/>
          <w:szCs w:val="32"/>
          <w:lang w:val="zh-CN"/>
        </w:rPr>
      </w:pPr>
      <w:r>
        <w:rPr>
          <w:rFonts w:hint="eastAsia" w:ascii="楷体" w:hAnsi="楷体" w:eastAsia="楷体" w:cs="宋体"/>
          <w:b/>
          <w:bCs/>
          <w:kern w:val="0"/>
          <w:sz w:val="32"/>
          <w:szCs w:val="32"/>
          <w:lang w:val="zh-CN"/>
        </w:rPr>
        <w:t>（三）综合管理情况。</w:t>
      </w:r>
    </w:p>
    <w:p>
      <w:pPr>
        <w:tabs>
          <w:tab w:val="left" w:pos="685"/>
        </w:tabs>
        <w:spacing w:line="576" w:lineRule="exact"/>
        <w:ind w:firstLine="640" w:firstLineChars="200"/>
        <w:rPr>
          <w:rFonts w:ascii="仿宋" w:hAnsi="仿宋" w:eastAsia="仿宋" w:cs="仿宋"/>
          <w:sz w:val="32"/>
          <w:szCs w:val="32"/>
        </w:rPr>
      </w:pPr>
      <w:r>
        <w:rPr>
          <w:rFonts w:hint="eastAsia" w:ascii="仿宋" w:hAnsi="仿宋" w:eastAsia="仿宋" w:cs="仿宋"/>
          <w:sz w:val="32"/>
          <w:szCs w:val="32"/>
        </w:rPr>
        <w:t>根据单位工作实际，在建立并实施内部监督和控制制度的过程中，以内控软件为基础，在工作过程中严格遵守各项制度，有效实施内部监督和控制，保证会计工作的真实性、完整性以及单位财产的安全，加强了对本单位财产物资的监督和管理，杜绝各种漏洞发生，达到了以下三点要求：一是明确单位会计和出纳的职责权限，使其相互分离。相互制约，以明确责任，防止舞弊，使各项业务事项得以有序开展。二是明确了财务收支审批程序和审批人的权限责任，规范了各项资金的使用，提高了资金使用效益。三是明确经费支出的范围和开支标准，采用有效措施控制经费开支，杜绝浪费现象的发生。为了加强固定资产管理和使用，在固定资产购置时，严格按照政府采购要求进行采购，根据有关规定建立了账簿、款项和实物核查制度，以固定资产系统为载体，做到账物相符，账账相符。</w:t>
      </w:r>
    </w:p>
    <w:p>
      <w:pPr>
        <w:widowControl/>
        <w:adjustRightInd w:val="0"/>
        <w:snapToGrid w:val="0"/>
        <w:spacing w:line="576" w:lineRule="exact"/>
        <w:ind w:firstLine="720"/>
        <w:jc w:val="left"/>
        <w:rPr>
          <w:rFonts w:ascii="楷体" w:hAnsi="楷体" w:eastAsia="楷体" w:cs="宋体"/>
          <w:kern w:val="0"/>
          <w:sz w:val="32"/>
          <w:szCs w:val="32"/>
          <w:lang w:val="zh-CN"/>
        </w:rPr>
      </w:pPr>
      <w:r>
        <w:rPr>
          <w:rFonts w:hint="eastAsia" w:ascii="楷体" w:hAnsi="楷体" w:eastAsia="楷体" w:cs="宋体"/>
          <w:b/>
          <w:bCs/>
          <w:kern w:val="0"/>
          <w:sz w:val="32"/>
          <w:szCs w:val="32"/>
          <w:lang w:val="zh-CN"/>
        </w:rPr>
        <w:t>（四）整体绩效。</w:t>
      </w:r>
    </w:p>
    <w:p>
      <w:pPr>
        <w:widowControl/>
        <w:spacing w:line="576" w:lineRule="exact"/>
        <w:ind w:firstLine="640" w:firstLineChars="200"/>
        <w:jc w:val="left"/>
        <w:rPr>
          <w:rFonts w:ascii="仿宋_GB2312" w:hAnsi="仿宋_GB2312" w:eastAsia="仿宋_GB2312" w:cs="仿宋_GB2312"/>
          <w:sz w:val="32"/>
          <w:szCs w:val="32"/>
        </w:rPr>
      </w:pPr>
      <w:r>
        <w:rPr>
          <w:rFonts w:hint="eastAsia" w:ascii="仿宋_GB2312" w:eastAsia="仿宋_GB2312"/>
          <w:sz w:val="32"/>
          <w:szCs w:val="32"/>
          <w:shd w:val="clear" w:color="auto" w:fill="FFFFFF"/>
        </w:rPr>
        <w:t>政法委委机关通用项目和专用项目均按要求实行绩效目标管理，绩效目标是预算编制的前提和基础，按照“费随事定”的原则。</w:t>
      </w:r>
      <w:r>
        <w:rPr>
          <w:rFonts w:hint="eastAsia" w:ascii="仿宋_GB2312" w:hAnsi="仿宋_GB2312" w:eastAsia="仿宋_GB2312" w:cs="仿宋_GB2312"/>
          <w:sz w:val="32"/>
          <w:szCs w:val="32"/>
        </w:rPr>
        <w:t>2021上半年全县政法工作的总体要求是：以习近平新时代中国特色社会主义思想为指导，深入学习习近平法治思想，习近平总书记对四川工作系列重要指示精神，全面学习领会省委、州委、县委系列全会精神，“毫不放松抓好反分维稳工作，促进藏区持续长期全面稳定”，敢于亮剑、勇于担当、乐于奉献，为建设“三地一典范”营造安全稳定的社会环境。</w:t>
      </w:r>
    </w:p>
    <w:p>
      <w:pPr>
        <w:widowControl/>
        <w:spacing w:line="576" w:lineRule="exact"/>
        <w:ind w:firstLine="640" w:firstLineChars="200"/>
        <w:jc w:val="left"/>
        <w:rPr>
          <w:rFonts w:ascii="仿宋_GB2312" w:eastAsia="仿宋_GB2312"/>
          <w:sz w:val="32"/>
          <w:szCs w:val="32"/>
        </w:rPr>
      </w:pPr>
      <w:r>
        <w:rPr>
          <w:rFonts w:hint="eastAsia" w:ascii="仿宋_GB2312" w:eastAsia="仿宋_GB2312"/>
          <w:sz w:val="32"/>
          <w:szCs w:val="32"/>
        </w:rPr>
        <w:t>年度绩效指标方面：</w:t>
      </w:r>
      <w:r>
        <w:rPr>
          <w:rFonts w:hint="eastAsia" w:ascii="仿宋_GB2312" w:eastAsia="仿宋_GB2312"/>
          <w:b/>
          <w:bCs/>
          <w:sz w:val="32"/>
          <w:szCs w:val="32"/>
        </w:rPr>
        <w:t>一是</w:t>
      </w:r>
      <w:r>
        <w:rPr>
          <w:rFonts w:hint="eastAsia" w:ascii="仿宋_GB2312" w:eastAsia="仿宋_GB2312"/>
          <w:sz w:val="32"/>
          <w:szCs w:val="32"/>
        </w:rPr>
        <w:t>提高政治站位。进一步增强“四个意识”，坚定“四个自信”，做到“四个维护”，牢固树立抓稳定就是抓发展理念。落实专人抓、具体人员负责的工作机制，确保全县形成县、乡镇、村（社区）三级抓的政法综治维稳工作网络。</w:t>
      </w:r>
      <w:r>
        <w:rPr>
          <w:rFonts w:hint="eastAsia" w:ascii="仿宋_GB2312" w:eastAsia="仿宋_GB2312"/>
          <w:b/>
          <w:bCs/>
          <w:sz w:val="32"/>
          <w:szCs w:val="32"/>
        </w:rPr>
        <w:t>二是</w:t>
      </w:r>
      <w:r>
        <w:rPr>
          <w:rFonts w:hint="eastAsia" w:ascii="仿宋_GB2312" w:eastAsia="仿宋_GB2312"/>
          <w:sz w:val="32"/>
          <w:szCs w:val="32"/>
        </w:rPr>
        <w:t>注重分析研判。坚持矛盾纠纷日报告、周调度、月分析工作机制，严格实行零报告制度。完善情报信息网络，拓宽情报信息搜集渠道，及时搜集上报有价值情报信息，排查不稳定隐患，掌握涉稳动态。</w:t>
      </w:r>
      <w:r>
        <w:rPr>
          <w:rFonts w:hint="eastAsia" w:ascii="仿宋_GB2312" w:eastAsia="仿宋_GB2312"/>
          <w:b/>
          <w:bCs/>
          <w:sz w:val="32"/>
          <w:szCs w:val="32"/>
        </w:rPr>
        <w:t>三是</w:t>
      </w:r>
      <w:r>
        <w:rPr>
          <w:rFonts w:hint="eastAsia" w:ascii="仿宋_GB2312" w:eastAsia="仿宋_GB2312"/>
          <w:sz w:val="32"/>
          <w:szCs w:val="32"/>
        </w:rPr>
        <w:t>强化多元化解。对各类矛盾纠纷逐一进行排查，分析缘由、找准症结，建立准确、完整的排查数据，深化“台账制+清单制+责任制”，妥善化解各类矛盾纠纷，确保事件不激化、不升级。</w:t>
      </w:r>
      <w:r>
        <w:rPr>
          <w:rFonts w:hint="eastAsia" w:ascii="仿宋_GB2312" w:eastAsia="仿宋_GB2312"/>
          <w:b/>
          <w:bCs/>
          <w:sz w:val="32"/>
          <w:szCs w:val="32"/>
        </w:rPr>
        <w:t>四是</w:t>
      </w:r>
      <w:r>
        <w:rPr>
          <w:rFonts w:hint="eastAsia" w:ascii="仿宋_GB2312" w:eastAsia="仿宋_GB2312"/>
          <w:sz w:val="32"/>
          <w:szCs w:val="32"/>
        </w:rPr>
        <w:t>做好稳定风评。对涉及全局和群众切身利益的重大政策、重大改革、重大项目、重大活动等事项严格进行社会稳定风险评估，有序扩大群众参与，做到应评尽评。将社会稳定风险评估纳入重大事项决策前置条件，做到不评估不决策、不评估不审批。</w:t>
      </w:r>
      <w:r>
        <w:rPr>
          <w:rFonts w:hint="eastAsia" w:ascii="仿宋_GB2312" w:eastAsia="仿宋_GB2312"/>
          <w:b/>
          <w:bCs/>
          <w:sz w:val="32"/>
          <w:szCs w:val="32"/>
        </w:rPr>
        <w:t>五是</w:t>
      </w:r>
      <w:r>
        <w:rPr>
          <w:rFonts w:hint="eastAsia" w:ascii="仿宋_GB2312" w:eastAsia="仿宋_GB2312"/>
          <w:sz w:val="32"/>
          <w:szCs w:val="32"/>
        </w:rPr>
        <w:t>加强舆情应对。对可能引发负面舆情的事件进行追踪，防止负面信息在网上网下传播，加强对互联网和手机短信、微信的巡查监控，及时发现、封堵、删除有害信息，迅速落地查人，消除影响和危害，做好舆情的正面引导工作，对有发展成为群体事件苗头的，及时做好应急处置工作。</w:t>
      </w:r>
      <w:r>
        <w:rPr>
          <w:rFonts w:hint="eastAsia" w:ascii="仿宋_GB2312" w:eastAsia="仿宋_GB2312"/>
          <w:b/>
          <w:bCs/>
          <w:sz w:val="32"/>
          <w:szCs w:val="32"/>
        </w:rPr>
        <w:t>六是</w:t>
      </w:r>
      <w:r>
        <w:rPr>
          <w:rFonts w:hint="eastAsia" w:ascii="仿宋_GB2312" w:eastAsia="仿宋_GB2312"/>
          <w:sz w:val="32"/>
          <w:szCs w:val="32"/>
        </w:rPr>
        <w:t>加强重点管控。准确掌握重点人员活动轨迹，落实专人负责信息的收集和稳控工作，明确任务，责任到人，确保把重点人员稳控在当地。对短期内难以化解的重大疑难矛盾、缠诉缠访问题和重大纠纷隐患，落实三级稳控机制,强化信息搜集研判，加强应急处置。</w:t>
      </w:r>
      <w:r>
        <w:rPr>
          <w:rFonts w:hint="eastAsia" w:ascii="仿宋_GB2312" w:eastAsia="仿宋_GB2312"/>
          <w:b/>
          <w:bCs/>
          <w:sz w:val="32"/>
          <w:szCs w:val="32"/>
        </w:rPr>
        <w:t>七是</w:t>
      </w:r>
      <w:r>
        <w:rPr>
          <w:rFonts w:hint="eastAsia" w:ascii="仿宋_GB2312" w:eastAsia="仿宋_GB2312"/>
          <w:sz w:val="32"/>
          <w:szCs w:val="32"/>
        </w:rPr>
        <w:t>完善应急处突。坚持以变应变、以新对新、以专制专，重点预警预防脱贫攻坚、灾后重建、重点工程建设、交通事故、医患纠纷、安全生产等领域引发群访群闹群体性事件。进一步制定完善各类应急处突预案，加强推演、演练，从力量、装备、保障等各个方面做好应急处突准备，确保一旦有事能够及时妥善处置。</w:t>
      </w:r>
      <w:r>
        <w:rPr>
          <w:rFonts w:hint="eastAsia" w:ascii="仿宋_GB2312" w:eastAsia="仿宋_GB2312"/>
          <w:b/>
          <w:bCs/>
          <w:sz w:val="32"/>
          <w:szCs w:val="32"/>
        </w:rPr>
        <w:t>八是</w:t>
      </w:r>
      <w:r>
        <w:rPr>
          <w:rFonts w:hint="eastAsia" w:ascii="仿宋_GB2312" w:eastAsia="仿宋_GB2312"/>
          <w:sz w:val="32"/>
          <w:szCs w:val="32"/>
        </w:rPr>
        <w:t>加强服务管理。深化特殊人群服务管理。利用县、乡（镇）、村（社区）三级综治中心资源做好社会心理服务、疏导和危机干预工作，进一步提高特殊人群服务管理水平。</w:t>
      </w:r>
      <w:r>
        <w:rPr>
          <w:rFonts w:hint="eastAsia" w:ascii="仿宋_GB2312" w:eastAsia="仿宋_GB2312"/>
          <w:b/>
          <w:bCs/>
          <w:sz w:val="32"/>
          <w:szCs w:val="32"/>
        </w:rPr>
        <w:t>九是</w:t>
      </w:r>
      <w:r>
        <w:rPr>
          <w:rFonts w:hint="eastAsia" w:ascii="仿宋_GB2312" w:eastAsia="仿宋_GB2312"/>
          <w:sz w:val="32"/>
          <w:szCs w:val="32"/>
        </w:rPr>
        <w:t>加强网格管理。加强网格管理员和网格信息员队伍建设，进一步优化网格划分，推进城镇、景区、寺庙、边远牧区牧场、边界边际地区网格服务管理的全面覆盖和精准管理，确保基层治理能力和水平得到有效提升。</w:t>
      </w:r>
      <w:r>
        <w:rPr>
          <w:rFonts w:hint="eastAsia" w:ascii="仿宋_GB2312" w:eastAsia="仿宋_GB2312"/>
          <w:b/>
          <w:bCs/>
          <w:sz w:val="32"/>
          <w:szCs w:val="32"/>
        </w:rPr>
        <w:t>十是</w:t>
      </w:r>
      <w:r>
        <w:rPr>
          <w:rFonts w:hint="eastAsia" w:ascii="仿宋_GB2312" w:eastAsia="仿宋_GB2312"/>
          <w:sz w:val="32"/>
          <w:szCs w:val="32"/>
        </w:rPr>
        <w:t>强化队伍建议。坚持党对政法队伍的绝对领导，不断提升新时代政法工作能力水平，努力建设一支政治过硬、业务过硬、责任过硬、纪律过硬、作风过硬的政法队伍。</w:t>
      </w:r>
    </w:p>
    <w:p>
      <w:pPr>
        <w:widowControl/>
        <w:adjustRightInd w:val="0"/>
        <w:snapToGrid w:val="0"/>
        <w:spacing w:line="576" w:lineRule="exact"/>
        <w:ind w:firstLine="720"/>
        <w:jc w:val="left"/>
        <w:rPr>
          <w:rFonts w:ascii="黑体" w:hAnsi="宋体" w:eastAsia="黑体" w:cs="宋体"/>
          <w:kern w:val="0"/>
          <w:sz w:val="32"/>
          <w:szCs w:val="32"/>
        </w:rPr>
      </w:pPr>
      <w:r>
        <w:rPr>
          <w:rFonts w:hint="eastAsia" w:ascii="黑体" w:hAnsi="宋体" w:eastAsia="黑体" w:cs="宋体"/>
          <w:kern w:val="0"/>
          <w:sz w:val="32"/>
          <w:szCs w:val="32"/>
        </w:rPr>
        <w:t>四、评价结论及建议</w:t>
      </w:r>
    </w:p>
    <w:p>
      <w:pPr>
        <w:widowControl/>
        <w:adjustRightInd w:val="0"/>
        <w:snapToGrid w:val="0"/>
        <w:spacing w:line="576" w:lineRule="exact"/>
        <w:ind w:firstLine="642" w:firstLineChars="200"/>
        <w:jc w:val="left"/>
        <w:rPr>
          <w:rFonts w:ascii="仿宋_GB2312" w:hAnsi="仿宋_GB2312" w:eastAsia="仿宋_GB2312" w:cs="仿宋_GB2312"/>
          <w:kern w:val="0"/>
          <w:sz w:val="32"/>
          <w:szCs w:val="32"/>
        </w:rPr>
      </w:pPr>
      <w:r>
        <w:rPr>
          <w:rFonts w:hint="eastAsia" w:ascii="楷体_GB2312" w:hAnsi="楷体_GB2312" w:eastAsia="楷体_GB2312" w:cs="楷体_GB2312"/>
          <w:b/>
          <w:bCs/>
          <w:kern w:val="0"/>
          <w:sz w:val="32"/>
          <w:szCs w:val="32"/>
          <w:lang w:val="zh-CN"/>
        </w:rPr>
        <w:t>（一）评价结论。</w:t>
      </w:r>
      <w:r>
        <w:rPr>
          <w:rFonts w:hint="eastAsia" w:ascii="仿宋_GB2312" w:hAnsi="仿宋_GB2312" w:eastAsia="仿宋_GB2312" w:cs="仿宋_GB2312"/>
          <w:kern w:val="0"/>
          <w:sz w:val="32"/>
          <w:szCs w:val="32"/>
          <w:lang w:val="zh-CN"/>
        </w:rPr>
        <w:t>县委政法委</w:t>
      </w:r>
      <w:r>
        <w:rPr>
          <w:rFonts w:hint="eastAsia" w:ascii="仿宋_GB2312" w:hAnsi="仿宋_GB2312" w:eastAsia="仿宋_GB2312" w:cs="仿宋_GB2312"/>
          <w:kern w:val="0"/>
          <w:sz w:val="32"/>
          <w:szCs w:val="32"/>
        </w:rPr>
        <w:t>2021上半年度整体绩效评价优良。</w:t>
      </w:r>
    </w:p>
    <w:p>
      <w:pPr>
        <w:spacing w:line="576" w:lineRule="exact"/>
        <w:ind w:firstLine="642" w:firstLineChars="200"/>
        <w:rPr>
          <w:rFonts w:ascii="仿宋_GB2312" w:hAnsi="宋体" w:eastAsia="仿宋_GB2312" w:cs="宋体"/>
          <w:kern w:val="0"/>
          <w:sz w:val="32"/>
          <w:szCs w:val="32"/>
          <w:lang w:val="zh-CN"/>
        </w:rPr>
      </w:pPr>
      <w:r>
        <w:rPr>
          <w:rFonts w:hint="eastAsia" w:ascii="楷体_GB2312" w:hAnsi="楷体_GB2312" w:eastAsia="楷体_GB2312" w:cs="楷体_GB2312"/>
          <w:b/>
          <w:bCs/>
          <w:kern w:val="0"/>
          <w:sz w:val="32"/>
          <w:szCs w:val="32"/>
          <w:lang w:val="zh-CN"/>
        </w:rPr>
        <w:t>（二）存在问题。</w:t>
      </w:r>
      <w:r>
        <w:rPr>
          <w:rFonts w:hint="eastAsia" w:ascii="仿宋_GB2312" w:hAnsi="仿宋_GB2312" w:eastAsia="仿宋_GB2312" w:cs="仿宋_GB2312"/>
          <w:bCs/>
          <w:sz w:val="32"/>
          <w:szCs w:val="32"/>
        </w:rPr>
        <w:t>一是机关管理有待加强。部门预算管理有待进一步加强，厉行节约有待进一步落实。二是在使用公务卡方面需要进一步加强。</w:t>
      </w:r>
    </w:p>
    <w:p>
      <w:pPr>
        <w:spacing w:line="576" w:lineRule="exact"/>
        <w:ind w:firstLine="642" w:firstLineChars="200"/>
        <w:rPr>
          <w:rFonts w:ascii="仿宋_GB2312" w:hAnsi="仿宋_GB2312" w:eastAsia="仿宋_GB2312" w:cs="仿宋_GB2312"/>
          <w:bCs/>
          <w:sz w:val="32"/>
          <w:szCs w:val="32"/>
        </w:rPr>
      </w:pPr>
      <w:r>
        <w:rPr>
          <w:rFonts w:hint="eastAsia" w:ascii="楷体_GB2312" w:hAnsi="楷体_GB2312" w:eastAsia="楷体_GB2312" w:cs="楷体_GB2312"/>
          <w:b/>
          <w:bCs/>
          <w:kern w:val="0"/>
          <w:sz w:val="32"/>
          <w:szCs w:val="32"/>
          <w:lang w:val="zh-CN"/>
        </w:rPr>
        <w:t>（三）改进建议。</w:t>
      </w:r>
      <w:r>
        <w:rPr>
          <w:rFonts w:hint="eastAsia" w:ascii="仿宋_GB2312" w:hAnsi="仿宋_GB2312" w:eastAsia="仿宋_GB2312" w:cs="仿宋_GB2312"/>
          <w:bCs/>
          <w:sz w:val="32"/>
          <w:szCs w:val="32"/>
        </w:rPr>
        <w:t>一是进一步控制项目经费支出，在确保各项任务完成的同时，力争把成本降低。二是加大对公务卡的使用力度。</w:t>
      </w:r>
    </w:p>
    <w:p>
      <w:pPr>
        <w:widowControl/>
        <w:spacing w:line="576" w:lineRule="exact"/>
        <w:ind w:firstLine="640" w:firstLineChars="200"/>
        <w:rPr>
          <w:rFonts w:ascii="仿宋_GB2312" w:hAnsi="仿宋_GB2312" w:eastAsia="仿宋_GB2312" w:cs="仿宋_GB2312"/>
          <w:bCs/>
          <w:kern w:val="0"/>
          <w:sz w:val="32"/>
          <w:szCs w:val="32"/>
        </w:rPr>
      </w:pPr>
    </w:p>
    <w:p>
      <w:pPr>
        <w:adjustRightInd w:val="0"/>
        <w:snapToGrid w:val="0"/>
        <w:spacing w:line="550" w:lineRule="exact"/>
        <w:ind w:firstLine="3150" w:firstLineChars="1500"/>
        <w:rPr>
          <w:rFonts w:ascii="仿宋_GB2312" w:hAnsi="仿宋_GB2312" w:cs="仿宋_GB2312"/>
          <w:bCs/>
        </w:rPr>
      </w:pPr>
      <w:r>
        <w:rPr>
          <w:rFonts w:hint="eastAsia" w:ascii="仿宋_GB2312" w:hAnsi="仿宋_GB2312" w:cs="仿宋_GB2312"/>
          <w:bCs/>
        </w:rPr>
        <w:t xml:space="preserve">                   </w:t>
      </w:r>
    </w:p>
    <w:p>
      <w:pPr>
        <w:spacing w:line="600" w:lineRule="exact"/>
        <w:jc w:val="center"/>
        <w:rPr>
          <w:rFonts w:ascii="方正小标宋简体" w:eastAsia="方正小标宋简体"/>
          <w:color w:val="000000"/>
          <w:kern w:val="0"/>
          <w:sz w:val="40"/>
          <w:szCs w:val="44"/>
        </w:rPr>
      </w:pPr>
    </w:p>
    <w:p>
      <w:pPr>
        <w:adjustRightInd w:val="0"/>
        <w:snapToGrid w:val="0"/>
        <w:spacing w:line="600" w:lineRule="exact"/>
        <w:ind w:firstLine="640" w:firstLineChars="200"/>
        <w:rPr>
          <w:rFonts w:ascii="仿宋_GB2312" w:eastAsia="仿宋_GB2312"/>
          <w:sz w:val="32"/>
          <w:szCs w:val="32"/>
          <w:lang w:val="zh-CN"/>
        </w:rPr>
      </w:pPr>
    </w:p>
    <w:p>
      <w:pPr>
        <w:spacing w:line="600" w:lineRule="exact"/>
        <w:jc w:val="center"/>
        <w:outlineLvl w:val="0"/>
        <w:rPr>
          <w:rFonts w:ascii="黑体" w:eastAsia="黑体"/>
          <w:color w:val="000000"/>
          <w:sz w:val="44"/>
          <w:szCs w:val="44"/>
        </w:rPr>
      </w:pPr>
      <w:bookmarkStart w:id="53" w:name="_Toc15396618"/>
    </w:p>
    <w:p>
      <w:pPr>
        <w:spacing w:line="600" w:lineRule="exact"/>
        <w:jc w:val="center"/>
        <w:outlineLvl w:val="0"/>
        <w:rPr>
          <w:rFonts w:ascii="黑体" w:eastAsia="黑体"/>
          <w:color w:val="000000"/>
          <w:sz w:val="44"/>
          <w:szCs w:val="44"/>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600" w:lineRule="exact"/>
        <w:outlineLvl w:val="0"/>
        <w:rPr>
          <w:rFonts w:ascii="黑体" w:eastAsia="黑体"/>
          <w:color w:val="000000"/>
          <w:sz w:val="44"/>
          <w:szCs w:val="44"/>
        </w:rPr>
      </w:pPr>
    </w:p>
    <w:p>
      <w:pPr>
        <w:spacing w:line="600" w:lineRule="exact"/>
        <w:ind w:firstLine="3080" w:firstLineChars="700"/>
        <w:outlineLvl w:val="0"/>
        <w:rPr>
          <w:rStyle w:val="18"/>
          <w:rFonts w:ascii="黑体" w:eastAsia="黑体"/>
          <w:b w:val="0"/>
        </w:rPr>
      </w:pPr>
      <w:r>
        <w:rPr>
          <w:rFonts w:hint="eastAsia" w:ascii="黑体" w:eastAsia="黑体"/>
          <w:color w:val="000000"/>
          <w:sz w:val="44"/>
          <w:szCs w:val="44"/>
        </w:rPr>
        <w:t>第</w:t>
      </w:r>
      <w:r>
        <w:rPr>
          <w:rStyle w:val="18"/>
          <w:rFonts w:hint="eastAsia" w:ascii="黑体" w:eastAsia="黑体"/>
          <w:b w:val="0"/>
        </w:rPr>
        <w:t>五部分 附表</w:t>
      </w:r>
      <w:bookmarkEnd w:id="51"/>
      <w:bookmarkEnd w:id="53"/>
    </w:p>
    <w:p>
      <w:pPr>
        <w:spacing w:line="600" w:lineRule="exact"/>
        <w:jc w:val="center"/>
        <w:outlineLvl w:val="0"/>
        <w:rPr>
          <w:rFonts w:ascii="仿宋" w:eastAsia="仿宋"/>
          <w:b/>
          <w:color w:val="000000"/>
          <w:sz w:val="44"/>
          <w:szCs w:val="44"/>
        </w:rPr>
      </w:pPr>
    </w:p>
    <w:p>
      <w:pPr>
        <w:pStyle w:val="5"/>
        <w:rPr>
          <w:rFonts w:ascii="仿宋" w:eastAsia="仿宋"/>
          <w:color w:val="000000"/>
        </w:rPr>
      </w:pPr>
      <w:bookmarkStart w:id="54" w:name="_Toc15396619"/>
      <w:r>
        <w:rPr>
          <w:rFonts w:hint="eastAsia" w:ascii="仿宋" w:eastAsia="仿宋"/>
          <w:b w:val="0"/>
          <w:color w:val="000000"/>
        </w:rPr>
        <w:t>一、收</w:t>
      </w:r>
      <w:r>
        <w:rPr>
          <w:rStyle w:val="19"/>
          <w:rFonts w:hint="eastAsia" w:ascii="仿宋" w:eastAsia="仿宋"/>
          <w:b w:val="0"/>
          <w:bCs w:val="0"/>
        </w:rPr>
        <w:t>入支出决算总表</w:t>
      </w:r>
      <w:bookmarkEnd w:id="54"/>
    </w:p>
    <w:p>
      <w:pPr>
        <w:pStyle w:val="5"/>
        <w:rPr>
          <w:rFonts w:ascii="仿宋" w:eastAsia="仿宋"/>
          <w:color w:val="000000"/>
        </w:rPr>
      </w:pPr>
      <w:bookmarkStart w:id="55" w:name="_Toc15396620"/>
      <w:r>
        <w:rPr>
          <w:rFonts w:hint="eastAsia" w:ascii="仿宋" w:eastAsia="仿宋"/>
          <w:b w:val="0"/>
          <w:color w:val="000000"/>
        </w:rPr>
        <w:t>二、收</w:t>
      </w:r>
      <w:r>
        <w:rPr>
          <w:rStyle w:val="19"/>
          <w:rFonts w:hint="eastAsia" w:ascii="仿宋" w:eastAsia="仿宋"/>
          <w:b w:val="0"/>
          <w:bCs w:val="0"/>
        </w:rPr>
        <w:t>入决算表</w:t>
      </w:r>
      <w:bookmarkEnd w:id="55"/>
    </w:p>
    <w:p>
      <w:pPr>
        <w:pStyle w:val="5"/>
        <w:rPr>
          <w:rFonts w:ascii="仿宋" w:eastAsia="仿宋"/>
          <w:color w:val="000000"/>
        </w:rPr>
      </w:pPr>
      <w:bookmarkStart w:id="56" w:name="_Toc15396621"/>
      <w:r>
        <w:rPr>
          <w:rStyle w:val="19"/>
          <w:rFonts w:hint="eastAsia" w:ascii="仿宋" w:eastAsia="仿宋"/>
          <w:b w:val="0"/>
          <w:bCs w:val="0"/>
        </w:rPr>
        <w:t>三、</w:t>
      </w:r>
      <w:r>
        <w:rPr>
          <w:rFonts w:hint="eastAsia" w:ascii="仿宋" w:eastAsia="仿宋"/>
          <w:b w:val="0"/>
          <w:color w:val="000000"/>
        </w:rPr>
        <w:t>支</w:t>
      </w:r>
      <w:r>
        <w:rPr>
          <w:rStyle w:val="19"/>
          <w:rFonts w:hint="eastAsia" w:ascii="仿宋" w:eastAsia="仿宋"/>
          <w:b w:val="0"/>
          <w:bCs w:val="0"/>
        </w:rPr>
        <w:t>出决算表</w:t>
      </w:r>
      <w:bookmarkEnd w:id="56"/>
    </w:p>
    <w:p>
      <w:pPr>
        <w:pStyle w:val="5"/>
        <w:rPr>
          <w:rFonts w:ascii="仿宋" w:eastAsia="仿宋"/>
          <w:b w:val="0"/>
          <w:color w:val="000000"/>
        </w:rPr>
      </w:pPr>
      <w:bookmarkStart w:id="57" w:name="_Toc15396622"/>
      <w:r>
        <w:rPr>
          <w:rStyle w:val="19"/>
          <w:rFonts w:hint="eastAsia" w:ascii="仿宋" w:eastAsia="仿宋"/>
          <w:b w:val="0"/>
          <w:bCs w:val="0"/>
        </w:rPr>
        <w:t>四、</w:t>
      </w:r>
      <w:r>
        <w:rPr>
          <w:rFonts w:hint="eastAsia" w:ascii="仿宋" w:eastAsia="仿宋"/>
          <w:b w:val="0"/>
          <w:color w:val="000000"/>
        </w:rPr>
        <w:t>财</w:t>
      </w:r>
      <w:r>
        <w:rPr>
          <w:rStyle w:val="19"/>
          <w:rFonts w:hint="eastAsia" w:ascii="仿宋" w:eastAsia="仿宋"/>
          <w:b w:val="0"/>
          <w:bCs w:val="0"/>
        </w:rPr>
        <w:t>政拨款收入支出决算总表</w:t>
      </w:r>
      <w:bookmarkEnd w:id="57"/>
    </w:p>
    <w:p>
      <w:pPr>
        <w:pStyle w:val="5"/>
        <w:rPr>
          <w:rStyle w:val="19"/>
          <w:rFonts w:ascii="仿宋" w:eastAsia="仿宋"/>
          <w:b w:val="0"/>
          <w:bCs w:val="0"/>
        </w:rPr>
      </w:pPr>
      <w:bookmarkStart w:id="58" w:name="_Toc15396623"/>
      <w:r>
        <w:rPr>
          <w:rStyle w:val="19"/>
          <w:rFonts w:hint="eastAsia" w:ascii="仿宋" w:eastAsia="仿宋"/>
          <w:b w:val="0"/>
          <w:bCs w:val="0"/>
        </w:rPr>
        <w:t>五、</w:t>
      </w:r>
      <w:r>
        <w:rPr>
          <w:rFonts w:hint="eastAsia" w:ascii="仿宋" w:eastAsia="仿宋"/>
          <w:b w:val="0"/>
          <w:color w:val="000000"/>
        </w:rPr>
        <w:t>财</w:t>
      </w:r>
      <w:r>
        <w:rPr>
          <w:rStyle w:val="19"/>
          <w:rFonts w:hint="eastAsia" w:ascii="仿宋" w:eastAsia="仿宋"/>
          <w:b w:val="0"/>
          <w:bCs w:val="0"/>
        </w:rPr>
        <w:t>政拨款支出决算明细表</w:t>
      </w:r>
      <w:bookmarkEnd w:id="58"/>
      <w:bookmarkStart w:id="59" w:name="_Toc15396624"/>
    </w:p>
    <w:p>
      <w:pPr>
        <w:pStyle w:val="5"/>
        <w:rPr>
          <w:rFonts w:ascii="仿宋" w:eastAsia="仿宋"/>
          <w:color w:val="000000"/>
        </w:rPr>
      </w:pPr>
      <w:r>
        <w:rPr>
          <w:rStyle w:val="19"/>
          <w:rFonts w:hint="eastAsia" w:ascii="仿宋" w:eastAsia="仿宋"/>
          <w:b w:val="0"/>
          <w:bCs w:val="0"/>
        </w:rPr>
        <w:t>六、</w:t>
      </w:r>
      <w:r>
        <w:rPr>
          <w:rFonts w:hint="eastAsia" w:ascii="仿宋" w:eastAsia="仿宋"/>
          <w:b w:val="0"/>
          <w:color w:val="000000"/>
        </w:rPr>
        <w:t>一</w:t>
      </w:r>
      <w:r>
        <w:rPr>
          <w:rStyle w:val="19"/>
          <w:rFonts w:hint="eastAsia" w:ascii="仿宋" w:eastAsia="仿宋"/>
          <w:b w:val="0"/>
          <w:bCs w:val="0"/>
        </w:rPr>
        <w:t>般公共预算财政拨款支出决算表</w:t>
      </w:r>
      <w:bookmarkEnd w:id="59"/>
    </w:p>
    <w:p>
      <w:pPr>
        <w:pStyle w:val="5"/>
        <w:rPr>
          <w:rFonts w:ascii="仿宋" w:eastAsia="仿宋"/>
          <w:color w:val="000000"/>
        </w:rPr>
      </w:pPr>
      <w:bookmarkStart w:id="60" w:name="_Toc15396625"/>
      <w:r>
        <w:rPr>
          <w:rStyle w:val="19"/>
          <w:rFonts w:hint="eastAsia" w:ascii="仿宋" w:eastAsia="仿宋"/>
          <w:b w:val="0"/>
          <w:bCs w:val="0"/>
        </w:rPr>
        <w:t>七、</w:t>
      </w:r>
      <w:r>
        <w:rPr>
          <w:rFonts w:hint="eastAsia" w:ascii="仿宋" w:eastAsia="仿宋"/>
          <w:b w:val="0"/>
          <w:color w:val="000000"/>
        </w:rPr>
        <w:t>一</w:t>
      </w:r>
      <w:r>
        <w:rPr>
          <w:rStyle w:val="19"/>
          <w:rFonts w:hint="eastAsia" w:ascii="仿宋" w:eastAsia="仿宋"/>
          <w:b w:val="0"/>
          <w:bCs w:val="0"/>
        </w:rPr>
        <w:t>般公共预算财政拨款支出决算明细表</w:t>
      </w:r>
      <w:bookmarkEnd w:id="60"/>
    </w:p>
    <w:p>
      <w:pPr>
        <w:pStyle w:val="5"/>
        <w:rPr>
          <w:rFonts w:ascii="仿宋" w:eastAsia="仿宋"/>
          <w:color w:val="000000"/>
        </w:rPr>
      </w:pPr>
      <w:bookmarkStart w:id="61" w:name="_Toc15396626"/>
      <w:r>
        <w:rPr>
          <w:rStyle w:val="19"/>
          <w:rFonts w:hint="eastAsia" w:ascii="仿宋" w:eastAsia="仿宋"/>
          <w:b w:val="0"/>
          <w:bCs w:val="0"/>
        </w:rPr>
        <w:t>八、</w:t>
      </w:r>
      <w:r>
        <w:rPr>
          <w:rFonts w:hint="eastAsia" w:ascii="仿宋" w:eastAsia="仿宋"/>
          <w:b w:val="0"/>
          <w:color w:val="000000"/>
        </w:rPr>
        <w:t>一</w:t>
      </w:r>
      <w:r>
        <w:rPr>
          <w:rStyle w:val="19"/>
          <w:rFonts w:hint="eastAsia" w:ascii="仿宋" w:eastAsia="仿宋"/>
          <w:b w:val="0"/>
          <w:bCs w:val="0"/>
        </w:rPr>
        <w:t>般公共预算财政拨款基本支出决算表</w:t>
      </w:r>
      <w:bookmarkEnd w:id="61"/>
    </w:p>
    <w:p>
      <w:pPr>
        <w:pStyle w:val="5"/>
        <w:rPr>
          <w:rFonts w:ascii="仿宋" w:eastAsia="仿宋"/>
          <w:color w:val="000000"/>
        </w:rPr>
      </w:pPr>
      <w:bookmarkStart w:id="62" w:name="_Toc15396627"/>
      <w:r>
        <w:rPr>
          <w:rStyle w:val="19"/>
          <w:rFonts w:hint="eastAsia" w:ascii="仿宋" w:eastAsia="仿宋"/>
          <w:b w:val="0"/>
          <w:bCs w:val="0"/>
        </w:rPr>
        <w:t>九、</w:t>
      </w:r>
      <w:r>
        <w:rPr>
          <w:rFonts w:hint="eastAsia" w:ascii="仿宋" w:eastAsia="仿宋"/>
          <w:b w:val="0"/>
          <w:color w:val="000000"/>
        </w:rPr>
        <w:t>一</w:t>
      </w:r>
      <w:r>
        <w:rPr>
          <w:rStyle w:val="19"/>
          <w:rFonts w:hint="eastAsia" w:ascii="仿宋" w:eastAsia="仿宋"/>
          <w:b w:val="0"/>
          <w:bCs w:val="0"/>
        </w:rPr>
        <w:t>般公共预算财政拨款项目支出决算表</w:t>
      </w:r>
      <w:bookmarkEnd w:id="62"/>
    </w:p>
    <w:p>
      <w:pPr>
        <w:pStyle w:val="5"/>
        <w:rPr>
          <w:rFonts w:ascii="仿宋" w:eastAsia="仿宋"/>
          <w:color w:val="000000"/>
        </w:rPr>
      </w:pPr>
      <w:bookmarkStart w:id="63" w:name="_Toc15396628"/>
      <w:r>
        <w:rPr>
          <w:rStyle w:val="19"/>
          <w:rFonts w:hint="eastAsia" w:ascii="仿宋" w:eastAsia="仿宋"/>
          <w:b w:val="0"/>
          <w:bCs w:val="0"/>
        </w:rPr>
        <w:t>十、</w:t>
      </w:r>
      <w:r>
        <w:rPr>
          <w:rFonts w:hint="eastAsia" w:ascii="仿宋" w:eastAsia="仿宋"/>
          <w:b w:val="0"/>
          <w:color w:val="000000"/>
        </w:rPr>
        <w:t>一</w:t>
      </w:r>
      <w:r>
        <w:rPr>
          <w:rStyle w:val="19"/>
          <w:rFonts w:hint="eastAsia" w:ascii="仿宋" w:eastAsia="仿宋"/>
          <w:b w:val="0"/>
          <w:bCs w:val="0"/>
        </w:rPr>
        <w:t>般公共预算财政拨款“三公”经费支出决算表</w:t>
      </w:r>
      <w:bookmarkEnd w:id="63"/>
    </w:p>
    <w:p>
      <w:pPr>
        <w:pStyle w:val="5"/>
        <w:rPr>
          <w:rFonts w:ascii="仿宋" w:eastAsia="仿宋"/>
          <w:color w:val="000000"/>
        </w:rPr>
      </w:pPr>
      <w:bookmarkStart w:id="64" w:name="_Toc15396629"/>
      <w:r>
        <w:rPr>
          <w:rStyle w:val="19"/>
          <w:rFonts w:hint="eastAsia" w:ascii="仿宋" w:eastAsia="仿宋"/>
          <w:b w:val="0"/>
          <w:bCs w:val="0"/>
        </w:rPr>
        <w:t>十一、</w:t>
      </w:r>
      <w:r>
        <w:rPr>
          <w:rFonts w:hint="eastAsia" w:ascii="仿宋" w:eastAsia="仿宋"/>
          <w:b w:val="0"/>
          <w:color w:val="000000"/>
        </w:rPr>
        <w:t>政</w:t>
      </w:r>
      <w:r>
        <w:rPr>
          <w:rStyle w:val="19"/>
          <w:rFonts w:hint="eastAsia" w:ascii="仿宋" w:eastAsia="仿宋"/>
          <w:b w:val="0"/>
          <w:bCs w:val="0"/>
        </w:rPr>
        <w:t>府性基金预算财政拨款收入支出决算表</w:t>
      </w:r>
      <w:bookmarkEnd w:id="64"/>
    </w:p>
    <w:p>
      <w:pPr>
        <w:pStyle w:val="5"/>
        <w:rPr>
          <w:rFonts w:ascii="仿宋" w:eastAsia="仿宋"/>
          <w:color w:val="000000"/>
        </w:rPr>
      </w:pPr>
      <w:bookmarkStart w:id="65" w:name="_Toc15396630"/>
      <w:r>
        <w:rPr>
          <w:rStyle w:val="19"/>
          <w:rFonts w:hint="eastAsia" w:ascii="仿宋" w:eastAsia="仿宋"/>
          <w:b w:val="0"/>
          <w:bCs w:val="0"/>
        </w:rPr>
        <w:t>十二、</w:t>
      </w:r>
      <w:r>
        <w:rPr>
          <w:rFonts w:hint="eastAsia" w:ascii="仿宋" w:eastAsia="仿宋"/>
          <w:b w:val="0"/>
          <w:color w:val="000000"/>
        </w:rPr>
        <w:t>政</w:t>
      </w:r>
      <w:r>
        <w:rPr>
          <w:rStyle w:val="19"/>
          <w:rFonts w:hint="eastAsia" w:ascii="仿宋" w:eastAsia="仿宋"/>
          <w:b w:val="0"/>
          <w:bCs w:val="0"/>
        </w:rPr>
        <w:t>府性基金预算财政拨款“三公”经费支出决算表</w:t>
      </w:r>
      <w:bookmarkEnd w:id="65"/>
    </w:p>
    <w:p>
      <w:pPr>
        <w:pStyle w:val="5"/>
        <w:rPr>
          <w:rFonts w:ascii="仿宋" w:eastAsia="仿宋"/>
          <w:color w:val="000000"/>
        </w:rPr>
      </w:pPr>
      <w:bookmarkStart w:id="66" w:name="_Toc15396631"/>
      <w:r>
        <w:rPr>
          <w:rStyle w:val="19"/>
          <w:rFonts w:hint="eastAsia" w:ascii="仿宋" w:eastAsia="仿宋"/>
          <w:b w:val="0"/>
          <w:bCs w:val="0"/>
        </w:rPr>
        <w:t>十三、</w:t>
      </w:r>
      <w:r>
        <w:rPr>
          <w:rFonts w:hint="eastAsia" w:ascii="仿宋" w:eastAsia="仿宋"/>
          <w:b w:val="0"/>
          <w:color w:val="000000"/>
        </w:rPr>
        <w:t>国</w:t>
      </w:r>
      <w:r>
        <w:rPr>
          <w:rStyle w:val="19"/>
          <w:rFonts w:hint="eastAsia" w:ascii="仿宋" w:eastAsia="仿宋"/>
          <w:b w:val="0"/>
          <w:bCs w:val="0"/>
        </w:rPr>
        <w:t>有资本经营预算支出决算表</w:t>
      </w:r>
      <w:bookmarkEnd w:id="66"/>
    </w:p>
    <w:sectPr>
      <w:headerReference r:id="rId3" w:type="default"/>
      <w:footerReference r:id="rId4" w:type="default"/>
      <w:pgSz w:w="11907" w:h="16840"/>
      <w:pgMar w:top="2098" w:right="1474" w:bottom="1985" w:left="1588"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altName w:val="方正小标宋_GBK"/>
    <w:panose1 w:val="02010601030101010101"/>
    <w:charset w:val="86"/>
    <w:family w:val="auto"/>
    <w:pitch w:val="default"/>
    <w:sig w:usb0="00000000" w:usb1="00000000" w:usb2="00000010" w:usb3="00000000" w:csb0="00040000" w:csb1="00000000"/>
  </w:font>
  <w:font w:name="方正小标宋_GBK">
    <w:panose1 w:val="02000000000000000000"/>
    <w:charset w:val="86"/>
    <w:family w:val="auto"/>
    <w:pitch w:val="default"/>
    <w:sig w:usb0="A00002BF" w:usb1="38CF7CFA" w:usb2="00082016" w:usb3="00000000" w:csb0="00040001" w:csb1="00000000"/>
  </w:font>
  <w:font w:name="Arial">
    <w:altName w:val="Times New Roman"/>
    <w:panose1 w:val="020B0604020202020204"/>
    <w:charset w:val="00"/>
    <w:family w:val="swiss"/>
    <w:pitch w:val="default"/>
    <w:sig w:usb0="00000000" w:usb1="00000000" w:usb2="00000009" w:usb3="00000000" w:csb0="000001FF" w:csb1="00000000"/>
  </w:font>
  <w:font w:name="楷体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PAGE   \* MERGEFORMAT</w:instrText>
    </w:r>
    <w:r>
      <w:fldChar w:fldCharType="separate"/>
    </w:r>
    <w:r>
      <w:rPr>
        <w:lang w:val="zh-CN"/>
      </w:rPr>
      <w:t>7</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3">
    <w:nsid w:val="3A1EE849"/>
    <w:multiLevelType w:val="singleLevel"/>
    <w:tmpl w:val="3A1EE849"/>
    <w:lvl w:ilvl="0" w:tentative="0">
      <w:start w:val="2"/>
      <w:numFmt w:val="chineseCounting"/>
      <w:suff w:val="nothing"/>
      <w:lvlText w:val="（%1）"/>
      <w:lvlJc w:val="left"/>
      <w:rPr>
        <w:rFonts w:hint="eastAsi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5B3531"/>
    <w:rsid w:val="000E52B9"/>
    <w:rsid w:val="0011365B"/>
    <w:rsid w:val="001301D5"/>
    <w:rsid w:val="001A4B26"/>
    <w:rsid w:val="00386D81"/>
    <w:rsid w:val="00507D79"/>
    <w:rsid w:val="005B3531"/>
    <w:rsid w:val="005C1954"/>
    <w:rsid w:val="006C44F4"/>
    <w:rsid w:val="0078200F"/>
    <w:rsid w:val="007F7DD2"/>
    <w:rsid w:val="0088408F"/>
    <w:rsid w:val="00BB69B8"/>
    <w:rsid w:val="00BF3188"/>
    <w:rsid w:val="00CD4B2C"/>
    <w:rsid w:val="00D03918"/>
    <w:rsid w:val="00DD53CF"/>
    <w:rsid w:val="00E93918"/>
    <w:rsid w:val="00E93D7E"/>
    <w:rsid w:val="00F947AD"/>
    <w:rsid w:val="3FBE5CB8"/>
    <w:rsid w:val="4677C80D"/>
    <w:rsid w:val="4F5E27CD"/>
    <w:rsid w:val="585438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18"/>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19"/>
    <w:qFormat/>
    <w:uiPriority w:val="0"/>
    <w:pPr>
      <w:keepNext/>
      <w:keepLines/>
      <w:spacing w:before="260" w:after="260" w:line="415" w:lineRule="auto"/>
      <w:outlineLvl w:val="1"/>
    </w:pPr>
    <w:rPr>
      <w:rFonts w:ascii="Cambria" w:hAnsi="Cambria"/>
      <w:b/>
      <w:bCs/>
      <w:sz w:val="32"/>
      <w:szCs w:val="32"/>
    </w:rPr>
  </w:style>
  <w:style w:type="paragraph" w:styleId="6">
    <w:name w:val="heading 3"/>
    <w:next w:val="1"/>
    <w:qFormat/>
    <w:uiPriority w:val="0"/>
    <w:pPr>
      <w:keepNext/>
      <w:keepLines/>
      <w:widowControl w:val="0"/>
      <w:spacing w:before="260" w:after="260"/>
      <w:ind w:firstLine="200" w:firstLineChars="200"/>
      <w:jc w:val="center"/>
      <w:outlineLvl w:val="2"/>
    </w:pPr>
    <w:rPr>
      <w:rFonts w:ascii="Calibri" w:hAnsi="Calibri" w:eastAsia="黑体" w:cs="Times New Roman"/>
      <w:bCs/>
      <w:kern w:val="2"/>
      <w:sz w:val="30"/>
      <w:szCs w:val="3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99"/>
    <w:pPr>
      <w:widowControl/>
      <w:spacing w:after="0"/>
      <w:ind w:left="0" w:leftChars="0" w:firstLine="420" w:firstLineChars="200"/>
    </w:pPr>
    <w:rPr>
      <w:kern w:val="0"/>
      <w:szCs w:val="22"/>
    </w:rPr>
  </w:style>
  <w:style w:type="paragraph" w:styleId="3">
    <w:name w:val="Body Text Indent"/>
    <w:basedOn w:val="1"/>
    <w:qFormat/>
    <w:uiPriority w:val="99"/>
    <w:pPr>
      <w:spacing w:after="120"/>
      <w:ind w:left="420" w:leftChars="200"/>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toc 3"/>
    <w:basedOn w:val="1"/>
    <w:next w:val="1"/>
    <w:qFormat/>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toc 2"/>
    <w:basedOn w:val="1"/>
    <w:next w:val="1"/>
    <w:qFormat/>
    <w:uiPriority w:val="0"/>
    <w:pPr>
      <w:tabs>
        <w:tab w:val="right" w:leader="dot" w:pos="8296"/>
      </w:tabs>
      <w:ind w:left="200" w:leftChars="200"/>
    </w:p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1 Char"/>
    <w:basedOn w:val="15"/>
    <w:link w:val="4"/>
    <w:qFormat/>
    <w:uiPriority w:val="0"/>
    <w:rPr>
      <w:rFonts w:ascii="Times New Roman" w:hAnsi="Times New Roman" w:eastAsia="宋体" w:cs="Times New Roman"/>
      <w:b/>
      <w:bCs/>
      <w:kern w:val="44"/>
      <w:sz w:val="44"/>
      <w:szCs w:val="44"/>
      <w:lang w:val="en-US" w:eastAsia="zh-CN" w:bidi="ar-SA"/>
    </w:rPr>
  </w:style>
  <w:style w:type="character" w:customStyle="1" w:styleId="19">
    <w:name w:val="标题 2 Char"/>
    <w:basedOn w:val="15"/>
    <w:link w:val="5"/>
    <w:qFormat/>
    <w:uiPriority w:val="0"/>
    <w:rPr>
      <w:rFonts w:ascii="Cambria" w:hAnsi="Cambria" w:eastAsia="宋体" w:cs="Times New Roman"/>
      <w:b/>
      <w:bCs/>
      <w:kern w:val="2"/>
      <w:sz w:val="32"/>
      <w:szCs w:val="32"/>
      <w:lang w:val="en-US" w:eastAsia="zh-CN" w:bidi="ar-SA"/>
    </w:rPr>
  </w:style>
  <w:style w:type="character" w:customStyle="1" w:styleId="20">
    <w:name w:val="Header Char"/>
    <w:basedOn w:val="15"/>
    <w:qFormat/>
    <w:uiPriority w:val="0"/>
    <w:rPr>
      <w:rFonts w:ascii="Times New Roman" w:hAnsi="Times New Roman"/>
      <w:sz w:val="18"/>
      <w:szCs w:val="18"/>
    </w:rPr>
  </w:style>
  <w:style w:type="character" w:customStyle="1" w:styleId="21">
    <w:name w:val="Footer Char"/>
    <w:basedOn w:val="15"/>
    <w:qFormat/>
    <w:uiPriority w:val="0"/>
    <w:rPr>
      <w:rFonts w:ascii="Times New Roman" w:hAnsi="Times New Roman"/>
      <w:sz w:val="18"/>
      <w:szCs w:val="18"/>
    </w:rPr>
  </w:style>
  <w:style w:type="character" w:customStyle="1" w:styleId="22">
    <w:name w:val="Body Text Char"/>
    <w:basedOn w:val="15"/>
    <w:qFormat/>
    <w:uiPriority w:val="0"/>
    <w:rPr>
      <w:rFonts w:ascii="Times New Roman" w:hAnsi="Times New Roman"/>
      <w:szCs w:val="24"/>
    </w:rPr>
  </w:style>
  <w:style w:type="paragraph" w:customStyle="1" w:styleId="23">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24">
    <w:name w:val="列出段落1"/>
    <w:basedOn w:val="1"/>
    <w:qFormat/>
    <w:uiPriority w:val="0"/>
    <w:pPr>
      <w:ind w:firstLine="200" w:firstLineChars="200"/>
    </w:pPr>
  </w:style>
  <w:style w:type="paragraph" w:customStyle="1" w:styleId="25">
    <w:name w:val="TOC 标题1"/>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6">
    <w:name w:val="TOC 标题2"/>
    <w:basedOn w:val="4"/>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7">
    <w:name w:val="四号正文"/>
    <w:basedOn w:val="1"/>
    <w:qFormat/>
    <w:uiPriority w:val="0"/>
    <w:pPr>
      <w:spacing w:line="360" w:lineRule="auto"/>
    </w:pPr>
    <w:rPr>
      <w:rFonts w:ascii="??" w:hAnsi="??"/>
      <w:color w:val="000000"/>
      <w:kern w:val="0"/>
      <w:sz w:val="28"/>
      <w:szCs w:val="21"/>
      <w:lang w:val="zh-CN"/>
    </w:rPr>
  </w:style>
  <w:style w:type="paragraph" w:customStyle="1" w:styleId="28">
    <w:name w:val="正文z"/>
    <w:basedOn w:val="1"/>
    <w:qFormat/>
    <w:uiPriority w:val="0"/>
    <w:pPr>
      <w:adjustRightInd w:val="0"/>
      <w:snapToGrid w:val="0"/>
      <w:spacing w:line="600" w:lineRule="exact"/>
      <w:ind w:left="284" w:firstLine="640" w:firstLineChars="200"/>
    </w:pPr>
    <w:rPr>
      <w:rFonts w:ascii="仿宋" w:hAnsi="仿宋" w:eastAsia="仿宋" w:cstheme="minorBidi"/>
      <w:sz w:val="32"/>
      <w:szCs w:val="32"/>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21</Pages>
  <Words>1394</Words>
  <Characters>7947</Characters>
  <Lines>66</Lines>
  <Paragraphs>18</Paragraphs>
  <TotalTime>43</TotalTime>
  <ScaleCrop>false</ScaleCrop>
  <LinksUpToDate>false</LinksUpToDate>
  <CharactersWithSpaces>9323</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长江水</cp:lastModifiedBy>
  <cp:lastPrinted>2020-07-23T10:58:00Z</cp:lastPrinted>
  <dcterms:modified xsi:type="dcterms:W3CDTF">2026-08-27T16:21:36Z</dcterms:modified>
  <dc:title>四川省***</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ies>
</file>