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24F01">
      <w:pPr>
        <w:spacing w:line="600" w:lineRule="exact"/>
        <w:jc w:val="center"/>
        <w:outlineLvl w:val="0"/>
        <w:rPr>
          <w:rFonts w:ascii="方正小标宋简体" w:hAnsi="宋体" w:eastAsia="方正小标宋简体"/>
          <w:color w:val="000000"/>
          <w:sz w:val="72"/>
          <w:szCs w:val="72"/>
        </w:rPr>
      </w:pPr>
      <w:bookmarkStart w:id="0" w:name="_Toc15306267"/>
    </w:p>
    <w:p w14:paraId="01DF69F5">
      <w:pPr>
        <w:spacing w:line="600" w:lineRule="exact"/>
        <w:jc w:val="center"/>
        <w:outlineLvl w:val="0"/>
        <w:rPr>
          <w:rFonts w:ascii="方正小标宋简体" w:hAnsi="宋体" w:eastAsia="方正小标宋简体"/>
          <w:color w:val="000000"/>
          <w:sz w:val="72"/>
          <w:szCs w:val="72"/>
        </w:rPr>
      </w:pPr>
    </w:p>
    <w:p w14:paraId="42C8638D">
      <w:pPr>
        <w:spacing w:line="600" w:lineRule="exact"/>
        <w:jc w:val="center"/>
        <w:outlineLvl w:val="0"/>
        <w:rPr>
          <w:rFonts w:ascii="方正小标宋简体" w:hAnsi="宋体" w:eastAsia="方正小标宋简体"/>
          <w:color w:val="000000"/>
          <w:sz w:val="72"/>
          <w:szCs w:val="72"/>
        </w:rPr>
      </w:pPr>
    </w:p>
    <w:p w14:paraId="0DE8DF52">
      <w:pPr>
        <w:spacing w:line="600" w:lineRule="exact"/>
        <w:jc w:val="center"/>
        <w:outlineLvl w:val="0"/>
        <w:rPr>
          <w:rFonts w:ascii="方正小标宋简体" w:hAnsi="宋体" w:eastAsia="方正小标宋简体"/>
          <w:color w:val="000000"/>
          <w:sz w:val="72"/>
          <w:szCs w:val="72"/>
        </w:rPr>
      </w:pPr>
    </w:p>
    <w:bookmarkEnd w:id="0"/>
    <w:p w14:paraId="07989856">
      <w:pPr>
        <w:pStyle w:val="14"/>
        <w:keepNext w:val="0"/>
        <w:keepLines w:val="0"/>
        <w:widowControl/>
        <w:suppressLineNumbers w:val="0"/>
        <w:spacing w:before="0" w:beforeAutospacing="0"/>
        <w:ind w:left="0"/>
        <w:jc w:val="center"/>
      </w:pPr>
      <w:r>
        <w:rPr>
          <w:sz w:val="42"/>
          <w:szCs w:val="42"/>
          <w:shd w:val="clear" w:fill="FFFFFF"/>
        </w:rPr>
        <w:t>202</w:t>
      </w:r>
      <w:r>
        <w:rPr>
          <w:rFonts w:hint="eastAsia"/>
          <w:sz w:val="42"/>
          <w:szCs w:val="42"/>
          <w:shd w:val="clear" w:fill="FFFFFF"/>
          <w:lang w:val="en-US" w:eastAsia="zh-CN"/>
        </w:rPr>
        <w:t>3</w:t>
      </w:r>
      <w:r>
        <w:rPr>
          <w:sz w:val="42"/>
          <w:szCs w:val="42"/>
          <w:shd w:val="clear" w:fill="FFFFFF"/>
        </w:rPr>
        <w:t>年度</w:t>
      </w:r>
    </w:p>
    <w:p w14:paraId="1CBB63E0">
      <w:pPr>
        <w:pStyle w:val="14"/>
        <w:keepNext w:val="0"/>
        <w:keepLines w:val="0"/>
        <w:widowControl/>
        <w:suppressLineNumbers w:val="0"/>
        <w:spacing w:before="0" w:beforeAutospacing="0"/>
        <w:ind w:left="0"/>
        <w:jc w:val="center"/>
      </w:pPr>
      <w:r>
        <w:rPr>
          <w:sz w:val="42"/>
          <w:szCs w:val="42"/>
          <w:shd w:val="clear" w:fill="FFFFFF"/>
        </w:rPr>
        <w:t>四川省阿坝州九寨沟县乡村振兴局（本级）单位决算</w:t>
      </w:r>
    </w:p>
    <w:p w14:paraId="048AD116">
      <w:pPr>
        <w:pStyle w:val="14"/>
        <w:keepNext w:val="0"/>
        <w:keepLines w:val="0"/>
        <w:widowControl/>
        <w:suppressLineNumbers w:val="0"/>
        <w:spacing w:before="0" w:beforeAutospacing="0"/>
        <w:ind w:left="0"/>
        <w:jc w:val="center"/>
      </w:pPr>
      <w:r>
        <w:rPr>
          <w:sz w:val="42"/>
          <w:szCs w:val="42"/>
          <w:shd w:val="clear" w:fill="FFFFFF"/>
        </w:rPr>
        <w:t>(单位公开范本)</w:t>
      </w:r>
    </w:p>
    <w:p w14:paraId="7C4AFDEE">
      <w:pPr>
        <w:widowControl/>
        <w:jc w:val="center"/>
        <w:rPr>
          <w:rFonts w:ascii="方正小标宋简体" w:hAnsi="宋体" w:eastAsia="方正小标宋简体"/>
          <w:color w:val="000000"/>
          <w:sz w:val="36"/>
          <w:szCs w:val="36"/>
        </w:rPr>
      </w:pPr>
    </w:p>
    <w:p w14:paraId="66F4078C">
      <w:pPr>
        <w:rPr>
          <w:rFonts w:ascii="方正小标宋简体" w:hAnsi="宋体" w:eastAsia="方正小标宋简体"/>
          <w:sz w:val="36"/>
          <w:szCs w:val="36"/>
        </w:rPr>
      </w:pPr>
    </w:p>
    <w:p w14:paraId="4C452BB2">
      <w:pPr>
        <w:rPr>
          <w:rFonts w:ascii="方正小标宋简体" w:hAnsi="宋体" w:eastAsia="方正小标宋简体"/>
          <w:sz w:val="36"/>
          <w:szCs w:val="36"/>
        </w:rPr>
      </w:pPr>
    </w:p>
    <w:p w14:paraId="4BD04346">
      <w:pPr>
        <w:rPr>
          <w:rFonts w:ascii="方正小标宋简体" w:hAnsi="宋体" w:eastAsia="方正小标宋简体"/>
          <w:sz w:val="36"/>
          <w:szCs w:val="36"/>
        </w:rPr>
      </w:pPr>
    </w:p>
    <w:p w14:paraId="1A54D18D">
      <w:pPr>
        <w:rPr>
          <w:rFonts w:ascii="方正小标宋简体" w:hAnsi="宋体" w:eastAsia="方正小标宋简体"/>
          <w:sz w:val="36"/>
          <w:szCs w:val="36"/>
        </w:rPr>
      </w:pPr>
    </w:p>
    <w:p w14:paraId="41DD9A50">
      <w:pPr>
        <w:rPr>
          <w:rFonts w:ascii="方正小标宋简体" w:hAnsi="宋体" w:eastAsia="方正小标宋简体"/>
          <w:sz w:val="36"/>
          <w:szCs w:val="36"/>
        </w:rPr>
      </w:pPr>
    </w:p>
    <w:p w14:paraId="59D1CC7C">
      <w:pPr>
        <w:rPr>
          <w:rFonts w:ascii="方正小标宋简体" w:hAnsi="宋体" w:eastAsia="方正小标宋简体"/>
          <w:sz w:val="36"/>
          <w:szCs w:val="36"/>
        </w:rPr>
      </w:pPr>
    </w:p>
    <w:p w14:paraId="6E31D85B">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4B3BE1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FED1AB9">
      <w:pPr>
        <w:widowControl/>
        <w:jc w:val="center"/>
        <w:rPr>
          <w:rFonts w:ascii="方正小标宋简体" w:hAnsi="宋体" w:eastAsia="方正小标宋简体"/>
          <w:sz w:val="36"/>
          <w:szCs w:val="36"/>
        </w:rPr>
      </w:pPr>
    </w:p>
    <w:p w14:paraId="7B661724">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FB184EB">
      <w:pPr>
        <w:widowControl/>
        <w:jc w:val="center"/>
        <w:rPr>
          <w:rFonts w:ascii="黑体" w:hAnsi="黑体" w:eastAsia="黑体" w:cstheme="minorBidi"/>
          <w:sz w:val="28"/>
          <w:szCs w:val="28"/>
        </w:rPr>
      </w:pPr>
    </w:p>
    <w:p w14:paraId="55AA6458">
      <w:pPr>
        <w:pStyle w:val="11"/>
      </w:pPr>
      <w:r>
        <w:rPr>
          <w:rFonts w:hint="eastAsia"/>
        </w:rPr>
        <w:t>公开时间：202</w:t>
      </w:r>
      <w:r>
        <w:rPr>
          <w:rFonts w:hint="eastAsia"/>
          <w:lang w:val="en-US" w:eastAsia="zh-CN"/>
        </w:rPr>
        <w:t>3</w:t>
      </w:r>
      <w:r>
        <w:rPr>
          <w:rFonts w:hint="eastAsia"/>
        </w:rPr>
        <w:t>年</w:t>
      </w:r>
      <w:r>
        <w:rPr>
          <w:rFonts w:hint="eastAsia"/>
          <w:lang w:val="en-US" w:eastAsia="zh-CN"/>
        </w:rPr>
        <w:t>10</w:t>
      </w:r>
      <w:r>
        <w:rPr>
          <w:rFonts w:hint="eastAsia"/>
        </w:rPr>
        <w:t>月</w:t>
      </w:r>
      <w:r>
        <w:rPr>
          <w:rFonts w:hint="eastAsia"/>
          <w:lang w:val="en-US" w:eastAsia="zh-CN"/>
        </w:rPr>
        <w:t>16</w:t>
      </w:r>
      <w:r>
        <w:rPr>
          <w:rFonts w:hint="eastAsia"/>
        </w:rPr>
        <w:t>日</w:t>
      </w:r>
    </w:p>
    <w:p w14:paraId="5A68674E">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TOC \o "1-2" \h \z \u </w:instrText>
      </w:r>
      <w:r>
        <w:rPr>
          <w:rStyle w:val="19"/>
          <w:rFonts w:hint="eastAsia" w:ascii="仿宋" w:hAnsi="仿宋" w:eastAsia="仿宋" w:cstheme="majorBidi"/>
          <w:bCs/>
          <w:sz w:val="28"/>
          <w:szCs w:val="28"/>
        </w:rPr>
        <w:fldChar w:fldCharType="separate"/>
      </w:r>
    </w:p>
    <w:p w14:paraId="75848DA7">
      <w:pPr>
        <w:pStyle w:val="13"/>
        <w:rPr>
          <w:rStyle w:val="19"/>
          <w:rFonts w:hint="eastAsia" w:ascii="仿宋" w:hAnsi="仿宋" w:eastAsia="仿宋" w:cstheme="majorBidi"/>
          <w:bCs/>
          <w:sz w:val="28"/>
          <w:szCs w:val="28"/>
        </w:rPr>
      </w:pPr>
    </w:p>
    <w:p w14:paraId="3B119C00">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"_Toc15396599"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第一部分 部门概况</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5</w:t>
      </w:r>
      <w:r>
        <w:rPr>
          <w:rStyle w:val="19"/>
          <w:rFonts w:hint="eastAsia" w:ascii="仿宋" w:hAnsi="仿宋" w:eastAsia="仿宋" w:cstheme="majorBidi"/>
          <w:bCs/>
          <w:sz w:val="28"/>
          <w:szCs w:val="28"/>
        </w:rPr>
        <w:fldChar w:fldCharType="end"/>
      </w:r>
    </w:p>
    <w:p w14:paraId="19141458">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"_Toc15396600"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一、基本职能及主要工作</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5</w:t>
      </w:r>
      <w:r>
        <w:rPr>
          <w:rStyle w:val="19"/>
          <w:rFonts w:hint="eastAsia" w:ascii="仿宋" w:hAnsi="仿宋" w:eastAsia="仿宋" w:cstheme="majorBidi"/>
          <w:bCs/>
          <w:sz w:val="28"/>
          <w:szCs w:val="28"/>
        </w:rPr>
        <w:fldChar w:fldCharType="end"/>
      </w:r>
    </w:p>
    <w:p w14:paraId="2362C148">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"_Toc15396601"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二、机构设置</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6</w:t>
      </w:r>
      <w:r>
        <w:rPr>
          <w:rStyle w:val="19"/>
          <w:rFonts w:hint="eastAsia" w:ascii="仿宋" w:hAnsi="仿宋" w:eastAsia="仿宋" w:cstheme="majorBidi"/>
          <w:bCs/>
          <w:sz w:val="28"/>
          <w:szCs w:val="28"/>
        </w:rPr>
        <w:fldChar w:fldCharType="end"/>
      </w:r>
    </w:p>
    <w:p w14:paraId="76CBC7A8">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"_Toc15396602"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第二部分 20</w:t>
      </w:r>
      <w:r>
        <w:rPr>
          <w:rStyle w:val="19"/>
          <w:rFonts w:hint="eastAsia" w:ascii="仿宋" w:hAnsi="仿宋" w:eastAsia="仿宋" w:cstheme="majorBidi"/>
          <w:bCs/>
          <w:sz w:val="28"/>
          <w:szCs w:val="28"/>
          <w:lang w:val="en-US" w:eastAsia="zh-CN"/>
        </w:rPr>
        <w:t>23</w:t>
      </w:r>
      <w:r>
        <w:rPr>
          <w:rStyle w:val="19"/>
          <w:rFonts w:hint="eastAsia" w:ascii="仿宋" w:hAnsi="仿宋" w:eastAsia="仿宋" w:cstheme="majorBidi"/>
          <w:bCs/>
          <w:sz w:val="28"/>
          <w:szCs w:val="28"/>
        </w:rPr>
        <w:t>年度部门决算情况说明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8</w:t>
      </w:r>
      <w:r>
        <w:rPr>
          <w:rStyle w:val="19"/>
          <w:rFonts w:hint="eastAsia" w:ascii="仿宋" w:hAnsi="仿宋" w:eastAsia="仿宋" w:cstheme="majorBidi"/>
          <w:bCs/>
          <w:sz w:val="28"/>
          <w:szCs w:val="28"/>
        </w:rPr>
        <w:fldChar w:fldCharType="end"/>
      </w:r>
    </w:p>
    <w:p w14:paraId="1781525E">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"_Toc15396603"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一、收入支出决算总体情况说明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8</w:t>
      </w:r>
      <w:r>
        <w:rPr>
          <w:rStyle w:val="19"/>
          <w:rFonts w:hint="eastAsia" w:ascii="仿宋" w:hAnsi="仿宋" w:eastAsia="仿宋" w:cstheme="majorBidi"/>
          <w:bCs/>
          <w:sz w:val="28"/>
          <w:szCs w:val="28"/>
        </w:rPr>
        <w:fldChar w:fldCharType="end"/>
      </w:r>
    </w:p>
    <w:p w14:paraId="2614C422">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"_Toc15396604"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二、收入决算情况说明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8</w:t>
      </w:r>
      <w:r>
        <w:rPr>
          <w:rStyle w:val="19"/>
          <w:rFonts w:hint="eastAsia" w:ascii="仿宋" w:hAnsi="仿宋" w:eastAsia="仿宋" w:cstheme="majorBidi"/>
          <w:bCs/>
          <w:sz w:val="28"/>
          <w:szCs w:val="28"/>
        </w:rPr>
        <w:fldChar w:fldCharType="end"/>
      </w:r>
    </w:p>
    <w:p w14:paraId="0246513A">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"_Toc15396605"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三、支出决算情况说明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9</w:t>
      </w:r>
      <w:r>
        <w:rPr>
          <w:rStyle w:val="19"/>
          <w:rFonts w:hint="eastAsia" w:ascii="仿宋" w:hAnsi="仿宋" w:eastAsia="仿宋" w:cstheme="majorBidi"/>
          <w:bCs/>
          <w:sz w:val="28"/>
          <w:szCs w:val="28"/>
        </w:rPr>
        <w:fldChar w:fldCharType="end"/>
      </w:r>
    </w:p>
    <w:p w14:paraId="6389DA89">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"_Toc15396606"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四、财政拨款收入支出决算总体情况说明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0</w:t>
      </w:r>
    </w:p>
    <w:p w14:paraId="148E91CC">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"_Toc15396607"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五、一般公共预算财政拨款支出决算情况说明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1</w:t>
      </w:r>
    </w:p>
    <w:p w14:paraId="7C888B8F">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（一）一般公共预算财政拨款支出决算总体情况</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11</w:t>
      </w:r>
    </w:p>
    <w:p w14:paraId="668CF74D">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（二）一般公共预算财政拨款支出决算结构情况</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11</w:t>
      </w:r>
    </w:p>
    <w:p w14:paraId="37ED442C">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（三）一般公共预算财政拨款支出决算具体情况</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12</w:t>
      </w:r>
    </w:p>
    <w:p w14:paraId="2E9F95B4">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"_Toc15396608"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六、一般公共预算财政拨款基本支出决算情况说明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3</w:t>
      </w:r>
    </w:p>
    <w:p w14:paraId="452A796A">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"_Toc15396609"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七、“三公”经费财政拨款支出决算情况说明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4</w:t>
      </w:r>
    </w:p>
    <w:p w14:paraId="2449BF0B">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（一）“三公”经费财政拨款支出决算总体情况说明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14</w:t>
      </w:r>
    </w:p>
    <w:p w14:paraId="4DE16F23">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t>（二）“三公”经费财政拨款支出决算具体情况说明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14</w:t>
      </w:r>
    </w:p>
    <w:p w14:paraId="450725EB">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"_Toc15396610"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八、政府性基金预算支出决算情况说明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5</w:t>
      </w:r>
    </w:p>
    <w:p w14:paraId="05A5484B">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"_Toc15396611"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九、 国有资本经营预算支出决算情况说明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5</w:t>
      </w:r>
    </w:p>
    <w:p w14:paraId="01E119A0">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"_Toc15396612"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十、其他重要事项的情况说明</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1</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6</w:t>
      </w:r>
    </w:p>
    <w:p w14:paraId="5AF06897">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（一）机关运行经费支出情况</w:t>
      </w:r>
      <w:r>
        <w:rPr>
          <w:rStyle w:val="19"/>
          <w:rFonts w:hint="eastAsia" w:ascii="仿宋" w:hAnsi="仿宋" w:eastAsia="仿宋" w:cstheme="majorBidi"/>
          <w:bCs/>
          <w:sz w:val="28"/>
          <w:szCs w:val="28"/>
          <w:lang w:val="en-US" w:eastAsia="zh-CN"/>
        </w:rPr>
        <w:t>.............................16</w:t>
      </w:r>
    </w:p>
    <w:p w14:paraId="446D901F">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（二）政府采购支出情况</w:t>
      </w:r>
      <w:r>
        <w:rPr>
          <w:rStyle w:val="19"/>
          <w:rFonts w:hint="eastAsia" w:ascii="仿宋" w:hAnsi="仿宋" w:eastAsia="仿宋" w:cstheme="majorBidi"/>
          <w:bCs/>
          <w:sz w:val="28"/>
          <w:szCs w:val="28"/>
          <w:lang w:val="en-US" w:eastAsia="zh-CN"/>
        </w:rPr>
        <w:t>.................................16</w:t>
      </w:r>
    </w:p>
    <w:p w14:paraId="67E0F95B">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（三）国有资产占有使用情况</w:t>
      </w:r>
      <w:r>
        <w:rPr>
          <w:rStyle w:val="19"/>
          <w:rFonts w:hint="eastAsia" w:ascii="仿宋" w:hAnsi="仿宋" w:eastAsia="仿宋" w:cstheme="majorBidi"/>
          <w:bCs/>
          <w:sz w:val="28"/>
          <w:szCs w:val="28"/>
          <w:lang w:val="en-US" w:eastAsia="zh-CN"/>
        </w:rPr>
        <w:t>.............................16</w:t>
      </w:r>
      <w:r>
        <w:rPr>
          <w:rStyle w:val="19"/>
          <w:rFonts w:hint="eastAsia" w:ascii="仿宋" w:hAnsi="仿宋" w:eastAsia="仿宋" w:cstheme="majorBidi"/>
          <w:bCs/>
          <w:sz w:val="28"/>
          <w:szCs w:val="28"/>
        </w:rPr>
        <w:t>（四）预算绩效管理情况</w:t>
      </w:r>
      <w:r>
        <w:rPr>
          <w:rStyle w:val="19"/>
          <w:rFonts w:hint="eastAsia" w:ascii="仿宋" w:hAnsi="仿宋" w:eastAsia="仿宋" w:cstheme="majorBidi"/>
          <w:bCs/>
          <w:sz w:val="28"/>
          <w:szCs w:val="28"/>
          <w:lang w:val="en-US" w:eastAsia="zh-CN"/>
        </w:rPr>
        <w:t>.................................16</w:t>
      </w:r>
    </w:p>
    <w:p w14:paraId="7F53F90E">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"_Toc15396613"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第三部分 名词解释</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2</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1</w:t>
      </w:r>
    </w:p>
    <w:p w14:paraId="7C3F85F6">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"_Toc15396614"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第四部分 附件</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25</w:t>
      </w:r>
    </w:p>
    <w:p w14:paraId="0D4AF33C">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"_Toc15396615"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附件1</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2</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5</w:t>
      </w:r>
    </w:p>
    <w:p w14:paraId="04EC4ECA">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部门</w:t>
      </w:r>
      <w:r>
        <w:rPr>
          <w:rStyle w:val="19"/>
          <w:rFonts w:hint="eastAsia" w:ascii="仿宋" w:hAnsi="仿宋" w:eastAsia="仿宋" w:cstheme="majorBidi"/>
          <w:bCs/>
          <w:sz w:val="28"/>
          <w:szCs w:val="28"/>
          <w:lang w:eastAsia="zh-CN"/>
        </w:rPr>
        <w:t>202</w:t>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t>年部门整体支出绩效评价报告</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25</w:t>
      </w:r>
    </w:p>
    <w:p w14:paraId="46625FC2">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"_Toc15396617"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附件2</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34</w:t>
      </w:r>
    </w:p>
    <w:p w14:paraId="5F3070A7">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lang w:eastAsia="zh-CN"/>
        </w:rPr>
        <w:t>雨露计划</w:t>
      </w:r>
      <w:r>
        <w:rPr>
          <w:rStyle w:val="19"/>
          <w:rFonts w:hint="eastAsia" w:ascii="仿宋" w:hAnsi="仿宋" w:eastAsia="仿宋" w:cstheme="majorBidi"/>
          <w:bCs/>
          <w:sz w:val="28"/>
          <w:szCs w:val="28"/>
        </w:rPr>
        <w:t>项目</w:t>
      </w:r>
      <w:r>
        <w:rPr>
          <w:rStyle w:val="19"/>
          <w:rFonts w:hint="eastAsia" w:ascii="仿宋" w:hAnsi="仿宋" w:eastAsia="仿宋" w:cstheme="majorBidi"/>
          <w:bCs/>
          <w:sz w:val="28"/>
          <w:szCs w:val="28"/>
          <w:lang w:eastAsia="zh-CN"/>
        </w:rPr>
        <w:t>202</w:t>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t>年绩效评价报告</w:t>
      </w:r>
      <w:r>
        <w:rPr>
          <w:rStyle w:val="19"/>
          <w:rFonts w:hint="eastAsia" w:ascii="仿宋" w:hAnsi="仿宋" w:eastAsia="仿宋" w:cstheme="majorBidi"/>
          <w:bCs/>
          <w:sz w:val="28"/>
          <w:szCs w:val="28"/>
          <w:lang w:val="en-US" w:eastAsia="zh-CN"/>
        </w:rPr>
        <w:t>.......................34</w:t>
      </w:r>
    </w:p>
    <w:p w14:paraId="61D36706">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"_Toc15396617"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附件</w:t>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6</w:t>
      </w:r>
    </w:p>
    <w:p w14:paraId="224BB85E">
      <w:pPr>
        <w:pStyle w:val="13"/>
        <w:rPr>
          <w:rFonts w:hint="default"/>
          <w:lang w:val="en-US" w:eastAsia="zh-CN"/>
        </w:rPr>
      </w:pPr>
      <w:r>
        <w:rPr>
          <w:rStyle w:val="19"/>
          <w:rFonts w:hint="eastAsia" w:ascii="仿宋" w:hAnsi="仿宋" w:eastAsia="仿宋" w:cstheme="majorBidi"/>
          <w:bCs/>
          <w:sz w:val="28"/>
          <w:szCs w:val="28"/>
          <w:lang w:eastAsia="zh-CN"/>
        </w:rPr>
        <w:t>脱贫小额信贷</w:t>
      </w:r>
      <w:r>
        <w:rPr>
          <w:rStyle w:val="19"/>
          <w:rFonts w:hint="eastAsia" w:ascii="仿宋" w:hAnsi="仿宋" w:eastAsia="仿宋" w:cstheme="majorBidi"/>
          <w:bCs/>
          <w:sz w:val="28"/>
          <w:szCs w:val="28"/>
        </w:rPr>
        <w:t>项目</w:t>
      </w:r>
      <w:r>
        <w:rPr>
          <w:rStyle w:val="19"/>
          <w:rFonts w:hint="eastAsia" w:ascii="仿宋" w:hAnsi="仿宋" w:eastAsia="仿宋" w:cstheme="majorBidi"/>
          <w:bCs/>
          <w:sz w:val="28"/>
          <w:szCs w:val="28"/>
          <w:lang w:eastAsia="zh-CN"/>
        </w:rPr>
        <w:t>202</w:t>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t>年绩效评价报告</w:t>
      </w:r>
      <w:r>
        <w:rPr>
          <w:rStyle w:val="19"/>
          <w:rFonts w:hint="eastAsia" w:ascii="仿宋" w:hAnsi="仿宋" w:eastAsia="仿宋" w:cstheme="majorBidi"/>
          <w:bCs/>
          <w:sz w:val="28"/>
          <w:szCs w:val="28"/>
          <w:lang w:val="en-US" w:eastAsia="zh-CN"/>
        </w:rPr>
        <w:t>................ ..36</w:t>
      </w:r>
    </w:p>
    <w:p w14:paraId="4EDC1D0D">
      <w:pPr>
        <w:pStyle w:val="13"/>
        <w:rPr>
          <w:rStyle w:val="19"/>
          <w:rFonts w:hint="eastAsia" w:ascii="仿宋" w:hAnsi="仿宋" w:eastAsia="仿宋" w:cstheme="majorBidi"/>
          <w:bCs/>
          <w:sz w:val="28"/>
          <w:szCs w:val="28"/>
          <w:lang w:val="en-US" w:eastAsia="zh-CN"/>
        </w:rPr>
      </w:pP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HYPERLINK \l "_Toc15396618"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第五部分 附表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3</w:t>
      </w:r>
      <w:r>
        <w:rPr>
          <w:rStyle w:val="19"/>
          <w:rFonts w:hint="eastAsia" w:ascii="仿宋" w:hAnsi="仿宋" w:eastAsia="仿宋" w:cstheme="majorBidi"/>
          <w:bCs/>
          <w:sz w:val="28"/>
          <w:szCs w:val="28"/>
        </w:rPr>
        <w:fldChar w:fldCharType="end"/>
      </w:r>
      <w:r>
        <w:rPr>
          <w:rStyle w:val="19"/>
          <w:rFonts w:hint="eastAsia" w:ascii="仿宋" w:hAnsi="仿宋" w:eastAsia="仿宋" w:cstheme="majorBidi"/>
          <w:bCs/>
          <w:sz w:val="28"/>
          <w:szCs w:val="28"/>
          <w:lang w:val="en-US" w:eastAsia="zh-CN"/>
        </w:rPr>
        <w:t>8</w:t>
      </w:r>
    </w:p>
    <w:p w14:paraId="71278826">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一、收入支出决算总表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38</w:t>
      </w:r>
    </w:p>
    <w:p w14:paraId="1EC65EC6">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二、收入决算表</w:t>
      </w:r>
      <w:r>
        <w:rPr>
          <w:rStyle w:val="19"/>
          <w:rFonts w:hint="eastAsia" w:ascii="仿宋" w:hAnsi="仿宋" w:eastAsia="仿宋" w:cstheme="majorBidi"/>
          <w:bCs/>
          <w:sz w:val="28"/>
          <w:szCs w:val="28"/>
          <w:lang w:val="en-US" w:eastAsia="zh-CN"/>
        </w:rPr>
        <w:t>........................................39</w:t>
      </w:r>
    </w:p>
    <w:p w14:paraId="3978E67B">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t>三、支出决算表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rPr>
        <w:fldChar w:fldCharType="begin"/>
      </w:r>
      <w:r>
        <w:rPr>
          <w:rStyle w:val="19"/>
          <w:rFonts w:hint="eastAsia" w:ascii="仿宋" w:hAnsi="仿宋" w:eastAsia="仿宋" w:cstheme="majorBidi"/>
          <w:bCs/>
          <w:sz w:val="28"/>
          <w:szCs w:val="28"/>
        </w:rPr>
        <w:instrText xml:space="preserve"> PAGEREF _Toc79163888 \h </w:instrText>
      </w:r>
      <w:r>
        <w:rPr>
          <w:rStyle w:val="19"/>
          <w:rFonts w:hint="eastAsia" w:ascii="仿宋" w:hAnsi="仿宋" w:eastAsia="仿宋" w:cstheme="majorBidi"/>
          <w:bCs/>
          <w:sz w:val="28"/>
          <w:szCs w:val="28"/>
        </w:rPr>
        <w:fldChar w:fldCharType="separate"/>
      </w:r>
      <w:r>
        <w:rPr>
          <w:rStyle w:val="19"/>
          <w:rFonts w:hint="eastAsia" w:ascii="仿宋" w:hAnsi="仿宋" w:eastAsia="仿宋" w:cstheme="majorBidi"/>
          <w:bCs/>
          <w:sz w:val="28"/>
          <w:szCs w:val="28"/>
        </w:rPr>
        <w:t>3</w:t>
      </w:r>
      <w:r>
        <w:rPr>
          <w:rStyle w:val="19"/>
          <w:rFonts w:hint="eastAsia" w:ascii="仿宋" w:hAnsi="仿宋" w:eastAsia="仿宋" w:cstheme="majorBidi"/>
          <w:bCs/>
          <w:sz w:val="28"/>
          <w:szCs w:val="28"/>
          <w:lang w:val="en-US" w:eastAsia="zh-CN"/>
        </w:rPr>
        <w:t>9</w:t>
      </w:r>
      <w:r>
        <w:rPr>
          <w:rStyle w:val="19"/>
          <w:rFonts w:hint="eastAsia" w:ascii="仿宋" w:hAnsi="仿宋" w:eastAsia="仿宋" w:cstheme="majorBidi"/>
          <w:bCs/>
          <w:sz w:val="28"/>
          <w:szCs w:val="28"/>
        </w:rPr>
        <w:fldChar w:fldCharType="end"/>
      </w:r>
    </w:p>
    <w:p w14:paraId="76D45BFE">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四、财政拨款收入支出决算总表</w:t>
      </w:r>
      <w:r>
        <w:rPr>
          <w:rStyle w:val="19"/>
          <w:rFonts w:hint="eastAsia" w:ascii="仿宋" w:hAnsi="仿宋" w:eastAsia="仿宋" w:cstheme="majorBidi"/>
          <w:bCs/>
          <w:sz w:val="28"/>
          <w:szCs w:val="28"/>
          <w:lang w:val="en-US" w:eastAsia="zh-CN"/>
        </w:rPr>
        <w:t>...........................40</w:t>
      </w:r>
    </w:p>
    <w:p w14:paraId="2A3E814E">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五、财政拨款支出决算明细表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41</w:t>
      </w:r>
    </w:p>
    <w:p w14:paraId="0265212F">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六、一般公共预算财政拨款支出决算表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42</w:t>
      </w:r>
    </w:p>
    <w:p w14:paraId="6E55465B">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七、一般公共预算财政拨款支出决算明细表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42</w:t>
      </w:r>
    </w:p>
    <w:p w14:paraId="1595CAE9">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八、一般公共预算财政拨款基本支出决算表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45</w:t>
      </w:r>
    </w:p>
    <w:p w14:paraId="21B6A8AE">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九、一般公共预算财政拨款项目支出决算表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46</w:t>
      </w:r>
    </w:p>
    <w:p w14:paraId="7E77F3DB">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十、一般公共预算财政拨款“三公”经费支出决算表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46</w:t>
      </w:r>
    </w:p>
    <w:p w14:paraId="5FA140A6">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十一、政府性基金预算财政拨款收入支出决算表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47</w:t>
      </w:r>
    </w:p>
    <w:p w14:paraId="0087DFF8">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十</w:t>
      </w:r>
      <w:r>
        <w:rPr>
          <w:rStyle w:val="19"/>
          <w:rFonts w:hint="eastAsia" w:ascii="仿宋" w:hAnsi="仿宋" w:eastAsia="仿宋" w:cstheme="majorBidi"/>
          <w:bCs/>
          <w:sz w:val="28"/>
          <w:szCs w:val="28"/>
          <w:lang w:val="en-US" w:eastAsia="zh-CN"/>
        </w:rPr>
        <w:t>二、</w:t>
      </w:r>
      <w:r>
        <w:rPr>
          <w:rStyle w:val="19"/>
          <w:rFonts w:hint="eastAsia" w:ascii="仿宋" w:hAnsi="仿宋" w:eastAsia="仿宋" w:cstheme="majorBidi"/>
          <w:bCs/>
          <w:sz w:val="28"/>
          <w:szCs w:val="28"/>
        </w:rPr>
        <w:t>国有资本经营预算财政拨款支出决算表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47</w:t>
      </w:r>
    </w:p>
    <w:p w14:paraId="2657A4DD">
      <w:pPr>
        <w:pStyle w:val="13"/>
        <w:rPr>
          <w:rStyle w:val="19"/>
          <w:rFonts w:hint="default" w:ascii="仿宋" w:hAnsi="仿宋" w:eastAsia="仿宋" w:cstheme="majorBidi"/>
          <w:bCs/>
          <w:sz w:val="28"/>
          <w:szCs w:val="28"/>
          <w:lang w:val="en-US" w:eastAsia="zh-CN"/>
        </w:rPr>
      </w:pPr>
      <w:r>
        <w:rPr>
          <w:rStyle w:val="19"/>
          <w:rFonts w:hint="eastAsia" w:ascii="仿宋" w:hAnsi="仿宋" w:eastAsia="仿宋" w:cstheme="majorBidi"/>
          <w:bCs/>
          <w:sz w:val="28"/>
          <w:szCs w:val="28"/>
        </w:rPr>
        <w:t>十</w:t>
      </w:r>
      <w:r>
        <w:rPr>
          <w:rStyle w:val="19"/>
          <w:rFonts w:hint="eastAsia" w:ascii="仿宋" w:hAnsi="仿宋" w:eastAsia="仿宋" w:cstheme="majorBidi"/>
          <w:bCs/>
          <w:sz w:val="28"/>
          <w:szCs w:val="28"/>
          <w:lang w:eastAsia="zh-CN"/>
        </w:rPr>
        <w:t>三</w:t>
      </w:r>
      <w:r>
        <w:rPr>
          <w:rStyle w:val="19"/>
          <w:rFonts w:hint="eastAsia" w:ascii="仿宋" w:hAnsi="仿宋" w:eastAsia="仿宋" w:cstheme="majorBidi"/>
          <w:bCs/>
          <w:sz w:val="28"/>
          <w:szCs w:val="28"/>
        </w:rPr>
        <w:t>、国有资本经营预算财政拨款支出决算表</w:t>
      </w:r>
      <w:r>
        <w:rPr>
          <w:rStyle w:val="19"/>
          <w:rFonts w:hint="eastAsia" w:ascii="仿宋" w:hAnsi="仿宋" w:eastAsia="仿宋" w:cstheme="majorBidi"/>
          <w:bCs/>
          <w:sz w:val="28"/>
          <w:szCs w:val="28"/>
        </w:rPr>
        <w:tab/>
      </w:r>
      <w:r>
        <w:rPr>
          <w:rStyle w:val="19"/>
          <w:rFonts w:hint="eastAsia" w:ascii="仿宋" w:hAnsi="仿宋" w:eastAsia="仿宋" w:cstheme="majorBidi"/>
          <w:bCs/>
          <w:sz w:val="28"/>
          <w:szCs w:val="28"/>
          <w:lang w:val="en-US" w:eastAsia="zh-CN"/>
        </w:rPr>
        <w:t>48</w:t>
      </w:r>
    </w:p>
    <w:p w14:paraId="508D743B">
      <w:pPr>
        <w:pStyle w:val="13"/>
        <w:rPr>
          <w:rStyle w:val="19"/>
          <w:rFonts w:hint="eastAsia" w:ascii="仿宋" w:hAnsi="仿宋" w:eastAsia="仿宋" w:cstheme="majorBidi"/>
          <w:bCs/>
          <w:sz w:val="28"/>
          <w:szCs w:val="28"/>
        </w:rPr>
      </w:pPr>
      <w:r>
        <w:rPr>
          <w:rStyle w:val="19"/>
          <w:rFonts w:hint="eastAsia" w:ascii="仿宋" w:hAnsi="仿宋" w:eastAsia="仿宋" w:cstheme="majorBidi"/>
          <w:bCs/>
          <w:sz w:val="28"/>
          <w:szCs w:val="28"/>
        </w:rPr>
        <w:fldChar w:fldCharType="end"/>
      </w:r>
    </w:p>
    <w:p w14:paraId="6F782C4C">
      <w:pPr>
        <w:widowControl/>
        <w:jc w:val="left"/>
        <w:rPr>
          <w:rFonts w:ascii="黑体" w:hAnsi="黑体" w:eastAsia="黑体"/>
          <w:bCs/>
          <w:kern w:val="44"/>
          <w:sz w:val="44"/>
          <w:szCs w:val="44"/>
        </w:rPr>
      </w:pPr>
      <w:r>
        <w:rPr>
          <w:rFonts w:ascii="黑体" w:hAnsi="黑体" w:eastAsia="黑体"/>
          <w:b/>
        </w:rPr>
        <w:br w:type="page"/>
      </w:r>
    </w:p>
    <w:p w14:paraId="62717F7C">
      <w:pPr>
        <w:pStyle w:val="2"/>
        <w:jc w:val="center"/>
        <w:rPr>
          <w:rStyle w:val="28"/>
          <w:rFonts w:ascii="黑体" w:hAnsi="黑体" w:eastAsia="黑体"/>
          <w:b/>
          <w:bCs w:val="0"/>
        </w:rPr>
      </w:pPr>
      <w:bookmarkStart w:id="1" w:name="_Toc15377196"/>
      <w:bookmarkStart w:id="2" w:name="_Toc15396599"/>
      <w:r>
        <w:rPr>
          <w:rFonts w:hint="eastAsia" w:ascii="黑体" w:hAnsi="黑体" w:eastAsia="黑体"/>
          <w:b w:val="0"/>
        </w:rPr>
        <w:t xml:space="preserve">第一部分 </w:t>
      </w:r>
      <w:r>
        <w:rPr>
          <w:rStyle w:val="28"/>
          <w:rFonts w:hint="eastAsia" w:ascii="黑体" w:hAnsi="黑体" w:eastAsia="黑体"/>
          <w:b w:val="0"/>
          <w:bCs w:val="0"/>
        </w:rPr>
        <w:t>部门概况</w:t>
      </w:r>
      <w:bookmarkEnd w:id="1"/>
      <w:bookmarkEnd w:id="2"/>
    </w:p>
    <w:p w14:paraId="7045BFA5">
      <w:pPr>
        <w:widowControl/>
        <w:jc w:val="left"/>
        <w:rPr>
          <w:rFonts w:ascii="黑体" w:eastAsia="黑体"/>
          <w:color w:val="000000"/>
          <w:sz w:val="32"/>
          <w:szCs w:val="32"/>
        </w:rPr>
      </w:pPr>
    </w:p>
    <w:p w14:paraId="1DFD764E">
      <w:pPr>
        <w:pStyle w:val="3"/>
        <w:rPr>
          <w:rStyle w:val="29"/>
          <w:rFonts w:ascii="仿宋" w:hAnsi="仿宋" w:eastAsia="仿宋"/>
          <w:b w:val="0"/>
          <w:bCs w:val="0"/>
        </w:rPr>
      </w:pPr>
      <w:bookmarkStart w:id="3" w:name="_Toc15396600"/>
      <w:bookmarkStart w:id="4"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3"/>
      <w:bookmarkEnd w:id="4"/>
    </w:p>
    <w:p w14:paraId="7CE28F8E">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5" w:name="_Toc15377198"/>
      <w:bookmarkStart w:id="6" w:name="_Toc15378445"/>
      <w:r>
        <w:rPr>
          <w:rFonts w:hint="eastAsia" w:ascii="仿宋" w:hAnsi="仿宋" w:eastAsia="仿宋"/>
          <w:bCs/>
          <w:color w:val="000000"/>
          <w:sz w:val="32"/>
          <w:szCs w:val="32"/>
        </w:rPr>
        <w:t>（一）主要职能。</w:t>
      </w:r>
    </w:p>
    <w:p w14:paraId="34DA89BB">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贯彻执行国家</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和</w:t>
      </w:r>
      <w:r>
        <w:rPr>
          <w:rFonts w:hint="eastAsia" w:ascii="仿宋" w:hAnsi="仿宋" w:eastAsia="仿宋"/>
          <w:bCs/>
          <w:color w:val="000000"/>
          <w:sz w:val="32"/>
          <w:szCs w:val="32"/>
          <w:lang w:eastAsia="zh-CN"/>
        </w:rPr>
        <w:t>大骨节病综合防治</w:t>
      </w:r>
      <w:r>
        <w:rPr>
          <w:rFonts w:hint="eastAsia" w:ascii="仿宋" w:hAnsi="仿宋" w:eastAsia="仿宋"/>
          <w:bCs/>
          <w:color w:val="000000"/>
          <w:sz w:val="32"/>
          <w:szCs w:val="32"/>
          <w:lang w:val="en-US" w:eastAsia="zh-CN"/>
        </w:rPr>
        <w:t>,</w:t>
      </w:r>
      <w:r>
        <w:rPr>
          <w:rFonts w:hint="eastAsia" w:ascii="仿宋" w:hAnsi="仿宋" w:eastAsia="仿宋"/>
          <w:bCs/>
          <w:color w:val="000000"/>
          <w:sz w:val="32"/>
          <w:szCs w:val="32"/>
        </w:rPr>
        <w:t>拟订有关具体政策措施并组织实施。</w:t>
      </w:r>
    </w:p>
    <w:p w14:paraId="7798C72A">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拟订全县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中长期规划和年度计划，组织、协调和指导全县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政策制度有效衔接</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工作，组织和指导全县社会扶贫工作，负责联络县外机构或组织在县定点帮扶与扶贫协作工作，组织全县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对外交流与合作，组织全县外资外援扶贫项目的引进与实施。</w:t>
      </w:r>
    </w:p>
    <w:p w14:paraId="4AFCC807">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负责全县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w:t>
      </w:r>
      <w:r>
        <w:rPr>
          <w:rFonts w:hint="eastAsia" w:ascii="仿宋" w:hAnsi="仿宋" w:eastAsia="仿宋"/>
          <w:bCs/>
          <w:color w:val="000000"/>
          <w:sz w:val="32"/>
          <w:szCs w:val="32"/>
          <w:lang w:eastAsia="zh-CN"/>
        </w:rPr>
        <w:t>大骨节病</w:t>
      </w:r>
      <w:r>
        <w:rPr>
          <w:rFonts w:hint="eastAsia" w:ascii="仿宋" w:hAnsi="仿宋" w:eastAsia="仿宋"/>
          <w:bCs/>
          <w:color w:val="000000"/>
          <w:sz w:val="32"/>
          <w:szCs w:val="32"/>
        </w:rPr>
        <w:t>工作政策研究及信息工作，组织全县贫困群众生产技能和劳动力转移培训</w:t>
      </w:r>
      <w:r>
        <w:rPr>
          <w:rFonts w:hint="eastAsia" w:ascii="仿宋" w:hAnsi="仿宋" w:eastAsia="仿宋"/>
          <w:bCs/>
          <w:color w:val="000000"/>
          <w:sz w:val="32"/>
          <w:szCs w:val="32"/>
          <w:lang w:eastAsia="zh-CN"/>
        </w:rPr>
        <w:t>。</w:t>
      </w:r>
    </w:p>
    <w:p w14:paraId="44742995">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和信访接待、处理、管理工作，协调、指导有关的社会稳定工作，负责全县</w:t>
      </w:r>
      <w:r>
        <w:rPr>
          <w:rFonts w:hint="eastAsia" w:ascii="仿宋" w:hAnsi="仿宋" w:eastAsia="仿宋"/>
          <w:bCs/>
          <w:color w:val="000000"/>
          <w:sz w:val="32"/>
          <w:szCs w:val="32"/>
          <w:lang w:eastAsia="zh-CN"/>
        </w:rPr>
        <w:t>乡村振兴</w:t>
      </w:r>
      <w:r>
        <w:rPr>
          <w:rFonts w:hint="eastAsia" w:ascii="仿宋" w:hAnsi="仿宋" w:eastAsia="仿宋"/>
          <w:bCs/>
          <w:color w:val="000000"/>
          <w:sz w:val="32"/>
          <w:szCs w:val="32"/>
        </w:rPr>
        <w:t>工作。</w:t>
      </w:r>
    </w:p>
    <w:p w14:paraId="7468F01E">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承担县政府公布的有关行政审批事项。</w:t>
      </w:r>
    </w:p>
    <w:p w14:paraId="08132B8E">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承办县委、县政府交办的其他事项。</w:t>
      </w:r>
    </w:p>
    <w:bookmarkEnd w:id="5"/>
    <w:bookmarkEnd w:id="6"/>
    <w:p w14:paraId="77174F10">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7" w:name="_Toc15378446"/>
      <w:bookmarkStart w:id="8" w:name="_Toc15377199"/>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w:t>
      </w: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年重点工作完成情况。</w:t>
      </w:r>
      <w:bookmarkEnd w:id="7"/>
      <w:bookmarkEnd w:id="8"/>
    </w:p>
    <w:p w14:paraId="2B823E57">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持续巩固脱贫成果。突出精准排查、精准监测、精准帮扶，抓实“巡村包户”，构建常态化监测帮扶体系。建立县、乡、村网格监测体系，实现监测帮扶“网格化”“常态化”。盯紧“七类群体”，扎实开展防止返贫监测帮扶集中排查。</w:t>
      </w:r>
    </w:p>
    <w:p w14:paraId="30AA14C4">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2.抓实资金项目管理。2023年投入涉农整合资金1.58亿元实施项目59个。</w:t>
      </w:r>
    </w:p>
    <w:p w14:paraId="39E7BB9C">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3.扎实推进三家园建设。坚持“抓点示范、串点成线、连线成片”原则，对照“五美乡村”建设标准，结合美丽乡村建设，累计整合投入资金6870万元。</w:t>
      </w:r>
    </w:p>
    <w:p w14:paraId="4B189670">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4.促进脱贫群众增收。发放小额信贷、“富民贷”支持脱贫户、监测户、低收入户发展产业，2537名脱贫劳动力（含监测对象）通过劳务输出、公益性岗位安置等“五个一批”实现就业。</w:t>
      </w:r>
    </w:p>
    <w:p w14:paraId="03997C67">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5.持续推动重点帮扶。持续强化易地搬迁安置点后续帮扶。坚持并完善东西部协作、省内对口帮扶、定点帮扶机制，深化全域结对帮扶，落实协作帮扶资金5648万元实施项目24个。</w:t>
      </w:r>
    </w:p>
    <w:p w14:paraId="40160FE6">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6.聚焦提质增效，扎实抓好其他各项工作。一是抓好小额信贷工作；二是抓好反馈问题整改；四是抓好乡村治理推进；五是推进雨露计划工作。</w:t>
      </w:r>
    </w:p>
    <w:p w14:paraId="3D8C6093">
      <w:pPr>
        <w:pStyle w:val="3"/>
        <w:pageBreakBefore w:val="0"/>
        <w:widowControl w:val="0"/>
        <w:kinsoku/>
        <w:wordWrap/>
        <w:overflowPunct/>
        <w:topLinePunct w:val="0"/>
        <w:autoSpaceDE/>
        <w:autoSpaceDN/>
        <w:bidi w:val="0"/>
        <w:spacing w:before="95" w:beforeLines="30" w:line="600" w:lineRule="atLeast"/>
        <w:textAlignment w:val="auto"/>
        <w:rPr>
          <w:rStyle w:val="29"/>
          <w:b w:val="0"/>
          <w:bCs w:val="0"/>
        </w:rPr>
      </w:pPr>
      <w:bookmarkStart w:id="9" w:name="_Toc15396601"/>
      <w:bookmarkStart w:id="10"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9"/>
      <w:bookmarkEnd w:id="10"/>
    </w:p>
    <w:p w14:paraId="2EC7CC09">
      <w:pPr>
        <w:pStyle w:val="5"/>
        <w:pageBreakBefore w:val="0"/>
        <w:widowControl w:val="0"/>
        <w:kinsoku/>
        <w:wordWrap/>
        <w:overflowPunct/>
        <w:topLinePunct w:val="0"/>
        <w:autoSpaceDE/>
        <w:autoSpaceDN/>
        <w:bidi w:val="0"/>
        <w:adjustRightInd w:val="0"/>
        <w:snapToGrid w:val="0"/>
        <w:spacing w:before="95" w:beforeLines="30" w:line="600" w:lineRule="atLeast"/>
        <w:ind w:firstLine="672" w:firstLineChars="210"/>
        <w:textAlignment w:val="auto"/>
        <w:rPr>
          <w:rFonts w:hint="eastAsia" w:ascii="仿宋" w:hAnsi="仿宋" w:eastAsia="仿宋"/>
          <w:sz w:val="32"/>
          <w:szCs w:val="32"/>
          <w:lang w:eastAsia="zh-CN"/>
        </w:rPr>
      </w:pPr>
      <w:bookmarkStart w:id="11" w:name="_Toc15396602"/>
      <w:bookmarkStart w:id="12" w:name="_Toc15377204"/>
      <w:r>
        <w:rPr>
          <w:rFonts w:hint="eastAsia" w:ascii="仿宋" w:hAnsi="仿宋" w:eastAsia="仿宋"/>
          <w:sz w:val="32"/>
          <w:szCs w:val="32"/>
          <w:lang w:eastAsia="zh-CN"/>
        </w:rPr>
        <w:t>202</w:t>
      </w:r>
      <w:r>
        <w:rPr>
          <w:rFonts w:hint="eastAsia" w:ascii="仿宋" w:hAnsi="仿宋" w:eastAsia="仿宋"/>
          <w:sz w:val="32"/>
          <w:szCs w:val="32"/>
          <w:lang w:val="en-US" w:eastAsia="zh-CN"/>
        </w:rPr>
        <w:t>3</w:t>
      </w:r>
      <w:r>
        <w:rPr>
          <w:rFonts w:hint="eastAsia" w:ascii="仿宋" w:hAnsi="仿宋" w:eastAsia="仿宋"/>
          <w:sz w:val="32"/>
          <w:szCs w:val="32"/>
        </w:rPr>
        <w:t>年单位机构数为 1 个（行政1个</w:t>
      </w:r>
      <w:r>
        <w:rPr>
          <w:rFonts w:hint="eastAsia" w:ascii="仿宋" w:hAnsi="仿宋" w:eastAsia="仿宋"/>
          <w:sz w:val="32"/>
          <w:szCs w:val="32"/>
          <w:lang w:eastAsia="zh-CN"/>
        </w:rPr>
        <w:t>）</w:t>
      </w:r>
      <w:r>
        <w:rPr>
          <w:rFonts w:hint="eastAsia" w:ascii="仿宋" w:hAnsi="仿宋" w:eastAsia="仿宋"/>
          <w:sz w:val="32"/>
          <w:szCs w:val="32"/>
        </w:rPr>
        <w:t>，</w:t>
      </w:r>
      <w:r>
        <w:rPr>
          <w:rFonts w:hint="eastAsia" w:ascii="仿宋" w:hAnsi="仿宋" w:eastAsia="仿宋"/>
          <w:sz w:val="32"/>
          <w:szCs w:val="32"/>
          <w:lang w:eastAsia="zh-CN"/>
        </w:rPr>
        <w:t>下属设事业股室</w:t>
      </w:r>
      <w:r>
        <w:rPr>
          <w:rFonts w:hint="eastAsia" w:ascii="仿宋" w:hAnsi="仿宋" w:eastAsia="仿宋"/>
          <w:sz w:val="32"/>
          <w:szCs w:val="32"/>
          <w:lang w:val="en-US" w:eastAsia="zh-CN"/>
        </w:rPr>
        <w:t>2个</w:t>
      </w:r>
      <w:r>
        <w:rPr>
          <w:rFonts w:hint="eastAsia" w:ascii="仿宋" w:hAnsi="仿宋" w:eastAsia="仿宋"/>
          <w:sz w:val="32"/>
          <w:szCs w:val="32"/>
        </w:rPr>
        <w:t>。</w:t>
      </w:r>
      <w:r>
        <w:rPr>
          <w:rFonts w:hint="eastAsia" w:ascii="仿宋" w:hAnsi="仿宋" w:eastAsia="仿宋"/>
          <w:sz w:val="32"/>
          <w:szCs w:val="32"/>
          <w:lang w:eastAsia="zh-CN"/>
        </w:rPr>
        <w:t>因机构改革，</w:t>
      </w:r>
      <w:r>
        <w:rPr>
          <w:rFonts w:hint="eastAsia" w:ascii="仿宋" w:hAnsi="仿宋" w:eastAsia="仿宋"/>
          <w:sz w:val="32"/>
          <w:szCs w:val="32"/>
        </w:rPr>
        <w:t xml:space="preserve">财政供养人员编制为 </w:t>
      </w:r>
      <w:r>
        <w:rPr>
          <w:rFonts w:hint="eastAsia" w:ascii="仿宋" w:hAnsi="仿宋" w:eastAsia="仿宋"/>
          <w:sz w:val="32"/>
          <w:szCs w:val="32"/>
          <w:lang w:val="en-US" w:eastAsia="zh-CN"/>
        </w:rPr>
        <w:t>8</w:t>
      </w:r>
      <w:r>
        <w:rPr>
          <w:rFonts w:hint="eastAsia" w:ascii="仿宋" w:hAnsi="仿宋" w:eastAsia="仿宋"/>
          <w:sz w:val="32"/>
          <w:szCs w:val="32"/>
        </w:rPr>
        <w:t>个，</w:t>
      </w:r>
      <w:r>
        <w:rPr>
          <w:rFonts w:hint="eastAsia" w:ascii="仿宋" w:hAnsi="仿宋" w:eastAsia="仿宋"/>
          <w:sz w:val="32"/>
          <w:szCs w:val="32"/>
          <w:lang w:eastAsia="zh-CN"/>
        </w:rPr>
        <w:t>较上一年减少</w:t>
      </w:r>
      <w:r>
        <w:rPr>
          <w:rFonts w:hint="eastAsia" w:ascii="仿宋" w:hAnsi="仿宋" w:eastAsia="仿宋"/>
          <w:sz w:val="32"/>
          <w:szCs w:val="32"/>
          <w:lang w:val="en-US" w:eastAsia="zh-CN"/>
        </w:rPr>
        <w:t>0个编制，</w:t>
      </w:r>
      <w:r>
        <w:rPr>
          <w:rFonts w:hint="eastAsia" w:ascii="仿宋" w:hAnsi="仿宋" w:eastAsia="仿宋"/>
          <w:sz w:val="32"/>
          <w:szCs w:val="32"/>
        </w:rPr>
        <w:t>其中</w:t>
      </w:r>
      <w:r>
        <w:rPr>
          <w:rFonts w:hint="eastAsia" w:ascii="仿宋" w:hAnsi="仿宋" w:eastAsia="仿宋"/>
          <w:sz w:val="32"/>
          <w:szCs w:val="32"/>
          <w:lang w:eastAsia="zh-CN"/>
        </w:rPr>
        <w:t>在职</w:t>
      </w:r>
      <w:r>
        <w:rPr>
          <w:rFonts w:hint="eastAsia" w:ascii="仿宋" w:hAnsi="仿宋" w:eastAsia="仿宋"/>
          <w:sz w:val="32"/>
          <w:szCs w:val="32"/>
        </w:rPr>
        <w:t xml:space="preserve">全额供给人员和公用经费 </w:t>
      </w:r>
      <w:r>
        <w:rPr>
          <w:rFonts w:hint="eastAsia" w:ascii="仿宋" w:hAnsi="仿宋" w:eastAsia="仿宋"/>
          <w:sz w:val="32"/>
          <w:szCs w:val="32"/>
          <w:lang w:val="en-US" w:eastAsia="zh-CN"/>
        </w:rPr>
        <w:t>6</w:t>
      </w:r>
      <w:r>
        <w:rPr>
          <w:rFonts w:hint="eastAsia" w:ascii="仿宋" w:hAnsi="仿宋" w:eastAsia="仿宋"/>
          <w:sz w:val="32"/>
          <w:szCs w:val="32"/>
        </w:rPr>
        <w:t>个，全额供给基本工资</w:t>
      </w:r>
      <w:r>
        <w:rPr>
          <w:rFonts w:hint="eastAsia" w:ascii="仿宋" w:hAnsi="仿宋" w:eastAsia="仿宋"/>
          <w:sz w:val="32"/>
          <w:szCs w:val="32"/>
          <w:lang w:val="en-US" w:eastAsia="zh-CN"/>
        </w:rPr>
        <w:t>6</w:t>
      </w:r>
      <w:r>
        <w:rPr>
          <w:rFonts w:hint="eastAsia" w:ascii="仿宋" w:hAnsi="仿宋" w:eastAsia="仿宋"/>
          <w:sz w:val="32"/>
          <w:szCs w:val="32"/>
        </w:rPr>
        <w:t>个</w:t>
      </w:r>
      <w:r>
        <w:rPr>
          <w:rFonts w:hint="eastAsia" w:ascii="仿宋" w:hAnsi="仿宋" w:eastAsia="仿宋"/>
          <w:sz w:val="32"/>
          <w:szCs w:val="32"/>
          <w:lang w:eastAsia="zh-CN"/>
        </w:rPr>
        <w:t>。</w:t>
      </w:r>
    </w:p>
    <w:p w14:paraId="5C14D6F9">
      <w:pPr>
        <w:pStyle w:val="5"/>
        <w:adjustRightInd w:val="0"/>
        <w:snapToGrid w:val="0"/>
        <w:spacing w:before="93" w:line="600" w:lineRule="exact"/>
        <w:ind w:firstLine="672" w:firstLineChars="210"/>
        <w:rPr>
          <w:rFonts w:hint="eastAsia" w:ascii="仿宋" w:hAnsi="仿宋" w:eastAsia="仿宋"/>
          <w:sz w:val="32"/>
          <w:szCs w:val="32"/>
        </w:rPr>
      </w:pPr>
      <w:r>
        <w:rPr>
          <w:rFonts w:hint="eastAsia" w:ascii="仿宋" w:hAnsi="仿宋" w:eastAsia="仿宋"/>
          <w:sz w:val="32"/>
          <w:szCs w:val="32"/>
          <w:lang w:eastAsia="zh-CN"/>
        </w:rPr>
        <w:t>202</w:t>
      </w:r>
      <w:r>
        <w:rPr>
          <w:rFonts w:hint="eastAsia" w:ascii="仿宋" w:hAnsi="仿宋" w:eastAsia="仿宋"/>
          <w:sz w:val="32"/>
          <w:szCs w:val="32"/>
          <w:lang w:val="en-US" w:eastAsia="zh-CN"/>
        </w:rPr>
        <w:t>3</w:t>
      </w:r>
      <w:r>
        <w:rPr>
          <w:rFonts w:hint="eastAsia" w:ascii="仿宋" w:hAnsi="仿宋" w:eastAsia="仿宋"/>
          <w:sz w:val="32"/>
          <w:szCs w:val="32"/>
        </w:rPr>
        <w:t>年财政供养人员</w:t>
      </w:r>
      <w:r>
        <w:rPr>
          <w:rFonts w:hint="eastAsia" w:ascii="仿宋" w:hAnsi="仿宋" w:eastAsia="仿宋"/>
          <w:sz w:val="32"/>
          <w:szCs w:val="32"/>
          <w:lang w:val="en-US" w:eastAsia="zh-CN"/>
        </w:rPr>
        <w:t>6</w:t>
      </w:r>
      <w:r>
        <w:rPr>
          <w:rFonts w:hint="eastAsia" w:ascii="仿宋" w:hAnsi="仿宋" w:eastAsia="仿宋"/>
          <w:sz w:val="32"/>
          <w:szCs w:val="32"/>
        </w:rPr>
        <w:t>人，较上年</w:t>
      </w:r>
      <w:r>
        <w:rPr>
          <w:rFonts w:hint="eastAsia" w:ascii="仿宋" w:hAnsi="仿宋" w:eastAsia="仿宋"/>
          <w:sz w:val="32"/>
          <w:szCs w:val="32"/>
          <w:lang w:eastAsia="zh-CN"/>
        </w:rPr>
        <w:t>增加</w:t>
      </w:r>
      <w:r>
        <w:rPr>
          <w:rFonts w:hint="eastAsia" w:ascii="仿宋" w:hAnsi="仿宋" w:eastAsia="仿宋"/>
          <w:sz w:val="32"/>
          <w:szCs w:val="32"/>
          <w:lang w:val="en-US" w:eastAsia="zh-CN"/>
        </w:rPr>
        <w:t>0</w:t>
      </w:r>
      <w:r>
        <w:rPr>
          <w:rFonts w:hint="eastAsia" w:ascii="仿宋" w:hAnsi="仿宋" w:eastAsia="仿宋"/>
          <w:sz w:val="32"/>
          <w:szCs w:val="32"/>
        </w:rPr>
        <w:t>人其中：在职</w:t>
      </w:r>
      <w:r>
        <w:rPr>
          <w:rFonts w:hint="eastAsia" w:ascii="仿宋" w:hAnsi="仿宋" w:eastAsia="仿宋"/>
          <w:sz w:val="32"/>
          <w:szCs w:val="32"/>
          <w:lang w:val="en-US" w:eastAsia="zh-CN"/>
        </w:rPr>
        <w:t>6</w:t>
      </w:r>
      <w:r>
        <w:rPr>
          <w:rFonts w:hint="eastAsia" w:ascii="仿宋" w:hAnsi="仿宋" w:eastAsia="仿宋"/>
          <w:sz w:val="32"/>
          <w:szCs w:val="32"/>
        </w:rPr>
        <w:t>人。</w:t>
      </w:r>
    </w:p>
    <w:p w14:paraId="276C7429">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乡村振兴局202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年度部门决算编制范围的二级预算单位包括：</w:t>
      </w:r>
      <w:bookmarkStart w:id="13" w:name="_Toc15377202"/>
      <w:bookmarkStart w:id="14" w:name="_Toc15378449"/>
      <w:bookmarkStart w:id="15" w:name="_Toc15377433"/>
      <w:bookmarkStart w:id="16" w:name="_Toc15306276"/>
      <w:r>
        <w:rPr>
          <w:rFonts w:hint="eastAsia" w:ascii="仿宋" w:hAnsi="仿宋" w:eastAsia="仿宋"/>
          <w:color w:val="000000"/>
          <w:sz w:val="32"/>
          <w:szCs w:val="32"/>
          <w:lang w:eastAsia="zh-CN"/>
        </w:rPr>
        <w:t>九寨沟县乡村振兴局</w:t>
      </w:r>
    </w:p>
    <w:bookmarkEnd w:id="13"/>
    <w:bookmarkEnd w:id="14"/>
    <w:bookmarkEnd w:id="15"/>
    <w:bookmarkEnd w:id="16"/>
    <w:p w14:paraId="6E932F4C">
      <w:pPr>
        <w:pStyle w:val="5"/>
        <w:numPr>
          <w:ilvl w:val="0"/>
          <w:numId w:val="0"/>
        </w:numPr>
        <w:adjustRightInd w:val="0"/>
        <w:snapToGrid w:val="0"/>
        <w:spacing w:before="93" w:line="600" w:lineRule="exact"/>
        <w:ind w:left="672" w:leftChars="0" w:firstLine="1280" w:firstLineChars="400"/>
        <w:outlineLvl w:val="2"/>
        <w:rPr>
          <w:rFonts w:ascii="仿宋" w:hAnsi="仿宋" w:eastAsia="仿宋"/>
          <w:color w:val="000000"/>
          <w:sz w:val="32"/>
          <w:szCs w:val="32"/>
        </w:rPr>
      </w:pPr>
    </w:p>
    <w:p w14:paraId="3ED9ABE5">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06C459C">
      <w:pPr>
        <w:pStyle w:val="2"/>
        <w:ind w:right="440"/>
        <w:jc w:val="right"/>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lang w:eastAsia="zh-CN"/>
        </w:rPr>
        <w:t>202</w:t>
      </w:r>
      <w:r>
        <w:rPr>
          <w:rStyle w:val="28"/>
          <w:rFonts w:hint="eastAsia" w:ascii="黑体" w:hAnsi="黑体" w:eastAsia="黑体"/>
          <w:b w:val="0"/>
          <w:bCs w:val="0"/>
          <w:lang w:val="en-US" w:eastAsia="zh-CN"/>
        </w:rPr>
        <w:t>3</w:t>
      </w:r>
      <w:r>
        <w:rPr>
          <w:rStyle w:val="28"/>
          <w:rFonts w:hint="eastAsia" w:ascii="黑体" w:hAnsi="黑体" w:eastAsia="黑体"/>
          <w:b w:val="0"/>
          <w:bCs w:val="0"/>
        </w:rPr>
        <w:t>年度部门决算情况说明</w:t>
      </w:r>
      <w:bookmarkEnd w:id="11"/>
      <w:bookmarkEnd w:id="12"/>
    </w:p>
    <w:p w14:paraId="21CE3465"/>
    <w:p w14:paraId="1B1DEC06">
      <w:pPr>
        <w:pStyle w:val="27"/>
        <w:numPr>
          <w:ilvl w:val="0"/>
          <w:numId w:val="1"/>
        </w:numPr>
        <w:spacing w:line="600" w:lineRule="exact"/>
        <w:ind w:firstLineChars="0"/>
        <w:outlineLvl w:val="1"/>
        <w:rPr>
          <w:rStyle w:val="29"/>
          <w:rFonts w:ascii="黑体" w:hAnsi="黑体" w:eastAsia="黑体"/>
          <w:b w:val="0"/>
        </w:rPr>
      </w:pPr>
      <w:bookmarkStart w:id="17" w:name="_Toc15377205"/>
      <w:bookmarkStart w:id="18"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17"/>
      <w:bookmarkEnd w:id="18"/>
    </w:p>
    <w:p w14:paraId="48175264">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261.74</w:t>
      </w:r>
      <w:r>
        <w:rPr>
          <w:rFonts w:hint="eastAsia" w:ascii="仿宋" w:hAnsi="仿宋" w:eastAsia="仿宋"/>
          <w:color w:val="000000"/>
          <w:sz w:val="32"/>
          <w:szCs w:val="32"/>
        </w:rPr>
        <w:t>万元。与202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年相比，收、支总计各</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59.63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18.55</w:t>
      </w:r>
      <w:r>
        <w:rPr>
          <w:rFonts w:hint="eastAsia" w:ascii="仿宋" w:hAnsi="仿宋" w:eastAsia="仿宋"/>
          <w:color w:val="000000"/>
          <w:sz w:val="32"/>
          <w:szCs w:val="32"/>
        </w:rPr>
        <w:t>%。</w:t>
      </w:r>
      <w:r>
        <w:rPr>
          <w:rFonts w:hint="eastAsia" w:ascii="仿宋" w:hAnsi="仿宋" w:eastAsia="仿宋"/>
          <w:color w:val="auto"/>
          <w:sz w:val="32"/>
          <w:szCs w:val="32"/>
          <w:lang w:val="en-US" w:eastAsia="zh-CN"/>
        </w:rPr>
        <w:t>主要原因是2023年基本支出、项目支出都有所减少。</w:t>
      </w:r>
    </w:p>
    <w:p w14:paraId="78D067E5">
      <w:pPr>
        <w:pStyle w:val="14"/>
        <w:keepNext w:val="0"/>
        <w:keepLines w:val="0"/>
        <w:widowControl/>
        <w:suppressLineNumbers w:val="0"/>
        <w:spacing w:before="0" w:beforeAutospacing="0"/>
        <w:ind w:left="0"/>
        <w:jc w:val="left"/>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（图1：收、支决算总计变动情况图）（柱状图）</w:t>
      </w:r>
    </w:p>
    <w:p w14:paraId="5DD404FA">
      <w:pPr>
        <w:pStyle w:val="12"/>
        <w:rPr>
          <w:rFonts w:hint="eastAsia"/>
          <w:lang w:val="en-US" w:eastAsia="zh-CN"/>
        </w:rPr>
      </w:pPr>
      <w:r>
        <w:drawing>
          <wp:inline distT="0" distB="0" distL="114300" distR="114300">
            <wp:extent cx="4572000" cy="2743200"/>
            <wp:effectExtent l="4445" t="4445" r="14605" b="1460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19394A5">
      <w:pPr>
        <w:pStyle w:val="27"/>
        <w:numPr>
          <w:ilvl w:val="0"/>
          <w:numId w:val="1"/>
        </w:numPr>
        <w:spacing w:line="600" w:lineRule="exact"/>
        <w:ind w:firstLineChars="0"/>
        <w:outlineLvl w:val="1"/>
        <w:rPr>
          <w:rStyle w:val="29"/>
          <w:rFonts w:ascii="黑体" w:hAnsi="黑体" w:eastAsia="黑体"/>
          <w:b w:val="0"/>
        </w:rPr>
      </w:pPr>
      <w:bookmarkStart w:id="19" w:name="_Toc15377206"/>
      <w:bookmarkStart w:id="20"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19"/>
      <w:bookmarkEnd w:id="20"/>
    </w:p>
    <w:p w14:paraId="538B8E62">
      <w:pPr>
        <w:pStyle w:val="14"/>
        <w:keepNext w:val="0"/>
        <w:keepLines w:val="0"/>
        <w:widowControl/>
        <w:suppressLineNumbers w:val="0"/>
        <w:spacing w:before="0" w:beforeAutospacing="0"/>
        <w:ind w:left="0" w:firstLine="640" w:firstLineChars="200"/>
        <w:jc w:val="left"/>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249.76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249.76</w:t>
      </w:r>
      <w:r>
        <w:rPr>
          <w:rFonts w:hint="eastAsia" w:ascii="仿宋" w:hAnsi="仿宋" w:eastAsia="仿宋"/>
          <w:color w:val="000000"/>
          <w:sz w:val="32"/>
          <w:szCs w:val="32"/>
        </w:rPr>
        <w:t>万元，占100%；政府性基金预算财政拨款收入0.00万元，占0.00%；国有资本经营预算财政拨款收入0.00万元，占0.00%；上级补助收入0.00万元，占0.00%；事业收入0.00万元，占0.00%；经营收入0.00万元，占0.00%；附属单位上缴收入0.00万元，占0.00%；其他收入0.00万元，占0.00%。</w:t>
      </w:r>
      <w:r>
        <w:rPr>
          <w:shd w:val="clear" w:fill="FFFFFF"/>
        </w:rPr>
        <w:t> </w:t>
      </w:r>
      <w:r>
        <w:rPr>
          <w:rFonts w:hint="eastAsia" w:ascii="仿宋" w:hAnsi="仿宋" w:eastAsia="仿宋"/>
          <w:color w:val="000000"/>
          <w:sz w:val="32"/>
          <w:szCs w:val="32"/>
        </w:rPr>
        <w:t>（注：数据来源于财决01表，仅罗列本部门涉及的收入。）</w:t>
      </w:r>
    </w:p>
    <w:p w14:paraId="6417E4CC">
      <w:pPr>
        <w:pStyle w:val="14"/>
        <w:keepNext w:val="0"/>
        <w:keepLines w:val="0"/>
        <w:widowControl/>
        <w:suppressLineNumbers w:val="0"/>
        <w:spacing w:before="0" w:beforeAutospacing="0"/>
        <w:ind w:left="0"/>
        <w:jc w:val="left"/>
        <w:rPr>
          <w:shd w:val="clear" w:fill="FFFFFF"/>
        </w:rPr>
      </w:pPr>
      <w:r>
        <w:rPr>
          <w:shd w:val="clear" w:fill="FFFFFF"/>
        </w:rPr>
        <w:t>（图2：收入决算结构图）（饼状图）</w:t>
      </w:r>
    </w:p>
    <w:p w14:paraId="49B0F312">
      <w:pPr>
        <w:pStyle w:val="14"/>
        <w:keepNext w:val="0"/>
        <w:keepLines w:val="0"/>
        <w:widowControl/>
        <w:suppressLineNumbers w:val="0"/>
        <w:spacing w:before="0" w:beforeAutospacing="0"/>
        <w:ind w:left="0"/>
        <w:jc w:val="left"/>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049B87B">
      <w:pPr>
        <w:pStyle w:val="27"/>
        <w:numPr>
          <w:ilvl w:val="0"/>
          <w:numId w:val="1"/>
        </w:numPr>
        <w:spacing w:line="600" w:lineRule="exact"/>
        <w:ind w:firstLineChars="0"/>
        <w:outlineLvl w:val="1"/>
        <w:rPr>
          <w:rStyle w:val="29"/>
          <w:rFonts w:ascii="黑体" w:hAnsi="黑体" w:eastAsia="黑体"/>
          <w:b w:val="0"/>
        </w:rPr>
      </w:pPr>
      <w:bookmarkStart w:id="21" w:name="_Toc15396605"/>
      <w:bookmarkStart w:id="22"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1"/>
      <w:bookmarkEnd w:id="22"/>
    </w:p>
    <w:p w14:paraId="2B97844D">
      <w:pPr>
        <w:pStyle w:val="14"/>
        <w:keepNext w:val="0"/>
        <w:keepLines w:val="0"/>
        <w:widowControl/>
        <w:suppressLineNumbers w:val="0"/>
        <w:spacing w:before="0" w:beforeAutospacing="0"/>
        <w:ind w:left="0" w:firstLine="640" w:firstLineChars="200"/>
        <w:jc w:val="left"/>
        <w:rPr>
          <w:rStyle w:val="18"/>
          <w:rFonts w:ascii="仿宋_GB2312" w:eastAsia="仿宋_GB2312" w:hAnsiTheme="minorHAnsi" w:cstheme="minorBidi"/>
          <w:shd w:val="clear" w:fill="FFFFFF"/>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261.74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131.70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50.32</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130.04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49.68</w:t>
      </w:r>
      <w:r>
        <w:rPr>
          <w:rFonts w:hint="eastAsia" w:ascii="仿宋" w:hAnsi="仿宋" w:eastAsia="仿宋"/>
          <w:color w:val="000000"/>
          <w:sz w:val="32"/>
          <w:szCs w:val="32"/>
        </w:rPr>
        <w:t>%；上缴上级支出0.00万元，占0.00%；经营支出0.00万元，占经营支出0.00万元，占 0.00%；对附属单位补助支出0.00万元，占0.00%。</w:t>
      </w:r>
      <w:r>
        <w:rPr>
          <w:rStyle w:val="18"/>
          <w:rFonts w:hint="eastAsia" w:ascii="仿宋_GB2312" w:eastAsia="仿宋_GB2312" w:hAnsiTheme="minorHAnsi" w:cstheme="minorBidi"/>
          <w:shd w:val="clear" w:fill="FFFFFF"/>
        </w:rPr>
        <w:t>（注：数据来源于财决04表，仅罗列本部门涉及的支出。）</w:t>
      </w:r>
    </w:p>
    <w:p w14:paraId="68122A61">
      <w:pPr>
        <w:pStyle w:val="14"/>
        <w:keepNext w:val="0"/>
        <w:keepLines w:val="0"/>
        <w:widowControl/>
        <w:suppressLineNumbers w:val="0"/>
        <w:spacing w:before="0" w:beforeAutospacing="0"/>
        <w:ind w:left="0" w:firstLine="480" w:firstLineChars="200"/>
        <w:jc w:val="left"/>
        <w:rPr>
          <w:rFonts w:ascii="仿宋" w:hAnsi="仿宋" w:eastAsia="仿宋"/>
          <w:color w:val="000000"/>
          <w:sz w:val="32"/>
          <w:szCs w:val="32"/>
        </w:rPr>
      </w:pPr>
      <w:r>
        <w:rPr>
          <w:rFonts w:hint="eastAsia"/>
          <w:shd w:val="clear" w:fill="FFFFFF"/>
        </w:rPr>
        <w:t>（图3：支出决算结构图）（饼状图）</w:t>
      </w:r>
    </w:p>
    <w:p w14:paraId="3EE33060">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F78A8E">
      <w:pPr>
        <w:spacing w:line="600" w:lineRule="exact"/>
        <w:ind w:firstLine="640" w:firstLineChars="200"/>
        <w:outlineLvl w:val="1"/>
        <w:rPr>
          <w:rFonts w:hint="eastAsia" w:ascii="黑体" w:hAnsi="黑体" w:eastAsia="黑体"/>
          <w:color w:val="000000"/>
          <w:sz w:val="32"/>
          <w:szCs w:val="32"/>
        </w:rPr>
      </w:pPr>
      <w:bookmarkStart w:id="23" w:name="_Toc15377208"/>
      <w:bookmarkStart w:id="24" w:name="_Toc15396606"/>
    </w:p>
    <w:p w14:paraId="3DBD6E1D">
      <w:pPr>
        <w:spacing w:line="600" w:lineRule="exact"/>
        <w:ind w:firstLine="640" w:firstLineChars="200"/>
        <w:outlineLvl w:val="1"/>
        <w:rPr>
          <w:rStyle w:val="29"/>
          <w:rFonts w:ascii="黑体" w:hAnsi="黑体" w:eastAsia="黑体"/>
          <w:b w:val="0"/>
        </w:rPr>
      </w:pPr>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23"/>
      <w:bookmarkEnd w:id="24"/>
    </w:p>
    <w:p w14:paraId="0C5398F3">
      <w:pPr>
        <w:pStyle w:val="14"/>
        <w:keepNext w:val="0"/>
        <w:keepLines w:val="0"/>
        <w:widowControl/>
        <w:suppressLineNumbers w:val="0"/>
        <w:spacing w:before="0" w:beforeAutospacing="0"/>
        <w:ind w:left="0" w:firstLine="640" w:firstLineChars="200"/>
        <w:jc w:val="left"/>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261.74</w:t>
      </w:r>
      <w:r>
        <w:rPr>
          <w:rFonts w:hint="eastAsia" w:ascii="仿宋" w:hAnsi="仿宋" w:eastAsia="仿宋"/>
          <w:color w:val="000000"/>
          <w:sz w:val="32"/>
          <w:szCs w:val="32"/>
        </w:rPr>
        <w:t>万元。与202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59.63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18.55</w:t>
      </w:r>
      <w:r>
        <w:rPr>
          <w:rFonts w:hint="eastAsia" w:ascii="仿宋" w:hAnsi="仿宋" w:eastAsia="仿宋"/>
          <w:color w:val="000000"/>
          <w:sz w:val="32"/>
          <w:szCs w:val="32"/>
        </w:rPr>
        <w:t>%。主要变动原因是</w:t>
      </w:r>
      <w:r>
        <w:rPr>
          <w:rFonts w:hint="eastAsia" w:ascii="仿宋" w:hAnsi="仿宋" w:eastAsia="仿宋"/>
          <w:color w:val="auto"/>
          <w:sz w:val="32"/>
          <w:szCs w:val="32"/>
          <w:lang w:eastAsia="zh-CN"/>
        </w:rPr>
        <w:t>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w:t>
      </w:r>
      <w:r>
        <w:rPr>
          <w:rFonts w:hint="eastAsia" w:ascii="仿宋" w:hAnsi="仿宋" w:eastAsia="仿宋"/>
          <w:color w:val="auto"/>
          <w:sz w:val="32"/>
          <w:szCs w:val="32"/>
          <w:lang w:eastAsia="zh-CN"/>
        </w:rPr>
        <w:t>基本支出、项目支出都有所减少</w:t>
      </w:r>
      <w:r>
        <w:rPr>
          <w:rFonts w:hint="eastAsia" w:ascii="仿宋" w:hAnsi="仿宋" w:eastAsia="仿宋"/>
          <w:color w:val="000000"/>
          <w:sz w:val="32"/>
          <w:szCs w:val="32"/>
          <w:lang w:eastAsia="zh-CN"/>
        </w:rPr>
        <w:t>。</w:t>
      </w:r>
      <w:r>
        <w:rPr>
          <w:rStyle w:val="18"/>
          <w:shd w:val="clear" w:fill="FFFFFF"/>
        </w:rPr>
        <w:t>（注：数据来源于财决01-1表）</w:t>
      </w:r>
    </w:p>
    <w:p w14:paraId="3B1546B9">
      <w:pPr>
        <w:pStyle w:val="14"/>
        <w:keepNext w:val="0"/>
        <w:keepLines w:val="0"/>
        <w:widowControl/>
        <w:suppressLineNumbers w:val="0"/>
        <w:spacing w:before="0" w:beforeAutospacing="0"/>
        <w:ind w:left="0"/>
        <w:jc w:val="left"/>
        <w:rPr>
          <w:shd w:val="clear" w:fill="FFFFFF"/>
        </w:rPr>
      </w:pPr>
      <w:r>
        <w:rPr>
          <w:shd w:val="clear" w:fill="FFFFFF"/>
        </w:rPr>
        <w:t>（图4：财政拨款收、支决算总计变动情况）（柱状图）</w:t>
      </w:r>
    </w:p>
    <w:p w14:paraId="0291EF42">
      <w:pPr>
        <w:pStyle w:val="14"/>
        <w:keepNext w:val="0"/>
        <w:keepLines w:val="0"/>
        <w:widowControl/>
        <w:suppressLineNumbers w:val="0"/>
        <w:spacing w:before="0" w:beforeAutospacing="0"/>
        <w:ind w:left="0"/>
        <w:jc w:val="left"/>
        <w:rPr>
          <w:shd w:val="clear" w:fill="FFFFFF"/>
        </w:rPr>
      </w:pPr>
      <w:r>
        <w:drawing>
          <wp:inline distT="0" distB="0" distL="114300" distR="114300">
            <wp:extent cx="4572000" cy="2743200"/>
            <wp:effectExtent l="4445" t="4445" r="14605" b="14605"/>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BEBF98">
      <w:pPr>
        <w:pStyle w:val="14"/>
        <w:keepNext w:val="0"/>
        <w:keepLines w:val="0"/>
        <w:widowControl/>
        <w:suppressLineNumbers w:val="0"/>
        <w:spacing w:before="0" w:beforeAutospacing="0"/>
        <w:ind w:left="0"/>
        <w:jc w:val="left"/>
        <w:rPr>
          <w:rFonts w:hint="eastAsia"/>
          <w:shd w:val="clear" w:fill="FFFFFF"/>
        </w:rPr>
      </w:pPr>
    </w:p>
    <w:p w14:paraId="36A06219">
      <w:pPr>
        <w:spacing w:line="600" w:lineRule="exact"/>
        <w:ind w:firstLine="640" w:firstLineChars="200"/>
        <w:outlineLvl w:val="1"/>
        <w:rPr>
          <w:rStyle w:val="29"/>
          <w:rFonts w:ascii="黑体" w:hAnsi="黑体" w:eastAsia="黑体"/>
          <w:b w:val="0"/>
        </w:rPr>
      </w:pPr>
      <w:bookmarkStart w:id="25" w:name="_Toc15377209"/>
      <w:bookmarkStart w:id="2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25"/>
      <w:bookmarkEnd w:id="26"/>
    </w:p>
    <w:p w14:paraId="36FD0CE8">
      <w:pPr>
        <w:spacing w:line="600" w:lineRule="exact"/>
        <w:ind w:firstLine="643" w:firstLineChars="200"/>
        <w:outlineLvl w:val="2"/>
        <w:rPr>
          <w:rFonts w:ascii="仿宋" w:hAnsi="仿宋" w:eastAsia="仿宋"/>
          <w:b/>
          <w:color w:val="000000"/>
          <w:sz w:val="32"/>
          <w:szCs w:val="32"/>
        </w:rPr>
      </w:pPr>
      <w:bookmarkStart w:id="27" w:name="_Toc15377210"/>
      <w:r>
        <w:rPr>
          <w:rFonts w:hint="eastAsia" w:ascii="仿宋" w:hAnsi="仿宋" w:eastAsia="仿宋"/>
          <w:b/>
          <w:color w:val="000000"/>
          <w:sz w:val="32"/>
          <w:szCs w:val="32"/>
        </w:rPr>
        <w:t>（一）一般公共预算财政拨款支出决算总体情况</w:t>
      </w:r>
      <w:bookmarkEnd w:id="27"/>
    </w:p>
    <w:p w14:paraId="51D23057">
      <w:pPr>
        <w:pStyle w:val="14"/>
        <w:keepNext w:val="0"/>
        <w:keepLines w:val="0"/>
        <w:widowControl/>
        <w:suppressLineNumbers w:val="0"/>
        <w:spacing w:before="0" w:beforeAutospacing="0"/>
        <w:ind w:left="0" w:firstLine="640" w:firstLineChars="200"/>
        <w:jc w:val="left"/>
        <w:rPr>
          <w:rFonts w:hint="eastAsia" w:ascii="仿宋" w:hAnsi="仿宋" w:eastAsia="仿宋"/>
          <w:color w:val="000000"/>
          <w:sz w:val="32"/>
          <w:szCs w:val="32"/>
          <w:lang w:eastAsia="zh-CN"/>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261.74</w:t>
      </w:r>
      <w:r>
        <w:rPr>
          <w:rFonts w:hint="eastAsia" w:ascii="仿宋" w:hAnsi="仿宋" w:eastAsia="仿宋"/>
          <w:color w:val="000000"/>
          <w:sz w:val="32"/>
          <w:szCs w:val="32"/>
        </w:rPr>
        <w:t>万元，占本年支出合计的100%。与202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年相比，一般公共预算财政拨款支出</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59.63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18.55</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2023年基本支出、项目支出都有所减少。</w:t>
      </w:r>
    </w:p>
    <w:p w14:paraId="537137FE">
      <w:pPr>
        <w:pStyle w:val="14"/>
        <w:keepNext w:val="0"/>
        <w:keepLines w:val="0"/>
        <w:widowControl/>
        <w:suppressLineNumbers w:val="0"/>
        <w:spacing w:before="0" w:beforeAutospacing="0"/>
        <w:ind w:left="0"/>
        <w:jc w:val="left"/>
      </w:pPr>
      <w:r>
        <w:rPr>
          <w:shd w:val="clear" w:fill="FFFFFF"/>
        </w:rPr>
        <w:t>（图5：一般公共预算财政拨款支出决算变动情况）（柱状图）</w:t>
      </w:r>
    </w:p>
    <w:p w14:paraId="32F58758">
      <w:pPr>
        <w:pStyle w:val="14"/>
        <w:keepNext w:val="0"/>
        <w:keepLines w:val="0"/>
        <w:widowControl/>
        <w:suppressLineNumbers w:val="0"/>
        <w:spacing w:before="0" w:beforeAutospacing="0"/>
        <w:ind w:left="0" w:firstLine="480" w:firstLineChars="200"/>
        <w:jc w:val="left"/>
        <w:rPr>
          <w:rFonts w:hint="eastAsia" w:ascii="仿宋" w:hAnsi="仿宋" w:eastAsia="仿宋"/>
          <w:color w:val="000000"/>
          <w:sz w:val="32"/>
          <w:szCs w:val="32"/>
          <w:lang w:eastAsia="zh-CN"/>
        </w:rPr>
      </w:pPr>
      <w:r>
        <w:drawing>
          <wp:inline distT="0" distB="0" distL="114300" distR="114300">
            <wp:extent cx="4572000" cy="2743200"/>
            <wp:effectExtent l="4445" t="4445" r="14605" b="1460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672BB9">
      <w:pPr>
        <w:spacing w:line="600" w:lineRule="exact"/>
        <w:ind w:firstLine="643" w:firstLineChars="200"/>
        <w:outlineLvl w:val="2"/>
        <w:rPr>
          <w:rFonts w:ascii="仿宋" w:hAnsi="仿宋" w:eastAsia="仿宋"/>
          <w:b/>
          <w:color w:val="auto"/>
          <w:sz w:val="32"/>
          <w:szCs w:val="32"/>
        </w:rPr>
      </w:pPr>
      <w:bookmarkStart w:id="28" w:name="_Toc15377211"/>
      <w:r>
        <w:rPr>
          <w:rFonts w:hint="eastAsia" w:ascii="仿宋" w:hAnsi="仿宋" w:eastAsia="仿宋"/>
          <w:b/>
          <w:color w:val="auto"/>
          <w:sz w:val="32"/>
          <w:szCs w:val="32"/>
        </w:rPr>
        <w:t>（二）一般公共预算财政拨款支出决算结构情况</w:t>
      </w:r>
      <w:bookmarkEnd w:id="28"/>
    </w:p>
    <w:p w14:paraId="4B7D95BA">
      <w:pPr>
        <w:pStyle w:val="14"/>
        <w:keepNext w:val="0"/>
        <w:keepLines w:val="0"/>
        <w:widowControl/>
        <w:suppressLineNumbers w:val="0"/>
        <w:spacing w:before="0" w:beforeAutospacing="0"/>
        <w:ind w:left="0" w:firstLine="640" w:firstLineChars="200"/>
        <w:jc w:val="left"/>
        <w:rPr>
          <w:rStyle w:val="18"/>
          <w:shd w:val="clear" w:fill="FFFFFF"/>
        </w:rPr>
      </w:pPr>
      <w:r>
        <w:rPr>
          <w:rFonts w:hint="eastAsia" w:ascii="仿宋" w:hAnsi="仿宋" w:eastAsia="仿宋"/>
          <w:color w:val="auto"/>
          <w:sz w:val="32"/>
          <w:szCs w:val="32"/>
        </w:rPr>
        <w:t>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年一般公共</w:t>
      </w:r>
      <w:r>
        <w:rPr>
          <w:rFonts w:hint="eastAsia" w:ascii="仿宋" w:hAnsi="仿宋" w:eastAsia="仿宋"/>
          <w:color w:val="auto"/>
          <w:sz w:val="32"/>
          <w:szCs w:val="32"/>
          <w:lang w:eastAsia="zh-CN"/>
        </w:rPr>
        <w:t>预算</w:t>
      </w:r>
      <w:r>
        <w:rPr>
          <w:rFonts w:hint="eastAsia" w:ascii="仿宋" w:hAnsi="仿宋" w:eastAsia="仿宋"/>
          <w:color w:val="auto"/>
          <w:sz w:val="32"/>
          <w:szCs w:val="32"/>
        </w:rPr>
        <w:t>财政拨款支出</w:t>
      </w:r>
      <w:r>
        <w:rPr>
          <w:rFonts w:hint="eastAsia" w:ascii="仿宋" w:hAnsi="仿宋" w:eastAsia="仿宋"/>
          <w:color w:val="auto"/>
          <w:sz w:val="32"/>
          <w:szCs w:val="32"/>
          <w:lang w:val="en-US" w:eastAsia="zh-CN"/>
        </w:rPr>
        <w:t>261.74</w:t>
      </w:r>
      <w:r>
        <w:rPr>
          <w:rFonts w:hint="eastAsia" w:ascii="仿宋" w:hAnsi="仿宋" w:eastAsia="仿宋"/>
          <w:color w:val="auto"/>
          <w:sz w:val="32"/>
          <w:szCs w:val="32"/>
        </w:rPr>
        <w:t>万元，主要用于以下方面:一般公共服务（类）支出0.00万元，占0.00%；教育支出（类）0.00万元，占0.00%；科学技术（类）支出0.00万元，占0.00%；文化旅游体育与传媒（类）支出0.00万元，占0.00%；社会保障和就业（类）支出</w:t>
      </w:r>
      <w:r>
        <w:rPr>
          <w:rFonts w:hint="eastAsia" w:ascii="仿宋" w:hAnsi="仿宋" w:eastAsia="仿宋"/>
          <w:color w:val="auto"/>
          <w:sz w:val="32"/>
          <w:szCs w:val="32"/>
          <w:lang w:val="en-US" w:eastAsia="zh-CN"/>
        </w:rPr>
        <w:t>16.84</w:t>
      </w:r>
      <w:r>
        <w:rPr>
          <w:rFonts w:hint="eastAsia" w:ascii="仿宋" w:hAnsi="仿宋" w:eastAsia="仿宋"/>
          <w:color w:val="auto"/>
          <w:sz w:val="32"/>
          <w:szCs w:val="32"/>
        </w:rPr>
        <w:t>万元，占7.12%；卫生健康支出</w:t>
      </w:r>
      <w:r>
        <w:rPr>
          <w:rFonts w:hint="eastAsia" w:ascii="仿宋" w:hAnsi="仿宋" w:eastAsia="仿宋"/>
          <w:color w:val="auto"/>
          <w:sz w:val="32"/>
          <w:szCs w:val="32"/>
          <w:lang w:val="en-US" w:eastAsia="zh-CN"/>
        </w:rPr>
        <w:t>8.24</w:t>
      </w:r>
      <w:r>
        <w:rPr>
          <w:rFonts w:hint="eastAsia" w:ascii="仿宋" w:hAnsi="仿宋" w:eastAsia="仿宋"/>
          <w:color w:val="auto"/>
          <w:sz w:val="32"/>
          <w:szCs w:val="32"/>
        </w:rPr>
        <w:t>万元，占1.90%；住房保障支出</w:t>
      </w:r>
      <w:r>
        <w:rPr>
          <w:rFonts w:hint="eastAsia" w:ascii="仿宋" w:hAnsi="仿宋" w:eastAsia="仿宋"/>
          <w:color w:val="auto"/>
          <w:sz w:val="32"/>
          <w:szCs w:val="32"/>
          <w:lang w:val="en-US" w:eastAsia="zh-CN"/>
        </w:rPr>
        <w:t>8.56</w:t>
      </w:r>
      <w:r>
        <w:rPr>
          <w:rFonts w:hint="eastAsia" w:ascii="仿宋" w:hAnsi="仿宋" w:eastAsia="仿宋"/>
          <w:color w:val="auto"/>
          <w:sz w:val="32"/>
          <w:szCs w:val="32"/>
        </w:rPr>
        <w:t>万元，占2.32%</w:t>
      </w:r>
      <w:r>
        <w:rPr>
          <w:rFonts w:hint="eastAsia" w:ascii="仿宋" w:hAnsi="仿宋" w:eastAsia="仿宋"/>
          <w:color w:val="auto"/>
          <w:sz w:val="32"/>
          <w:szCs w:val="32"/>
          <w:lang w:eastAsia="zh-CN"/>
        </w:rPr>
        <w:t>；农林水（</w:t>
      </w:r>
      <w:r>
        <w:rPr>
          <w:rFonts w:hint="eastAsia" w:ascii="仿宋" w:hAnsi="仿宋" w:eastAsia="仿宋"/>
          <w:color w:val="auto"/>
          <w:sz w:val="32"/>
          <w:szCs w:val="32"/>
          <w:lang w:val="en-US" w:eastAsia="zh-CN"/>
        </w:rPr>
        <w:t>213</w:t>
      </w:r>
      <w:r>
        <w:rPr>
          <w:rFonts w:hint="eastAsia" w:ascii="仿宋" w:hAnsi="仿宋" w:eastAsia="仿宋"/>
          <w:color w:val="auto"/>
          <w:sz w:val="32"/>
          <w:szCs w:val="32"/>
          <w:lang w:eastAsia="zh-CN"/>
        </w:rPr>
        <w:t>）支出</w:t>
      </w:r>
      <w:r>
        <w:rPr>
          <w:rFonts w:hint="eastAsia" w:ascii="仿宋" w:hAnsi="仿宋" w:eastAsia="仿宋"/>
          <w:color w:val="auto"/>
          <w:sz w:val="32"/>
          <w:szCs w:val="32"/>
          <w:lang w:val="en-US" w:eastAsia="zh-CN"/>
        </w:rPr>
        <w:t>228.10万元，占88.66%。</w:t>
      </w:r>
      <w:r>
        <w:rPr>
          <w:rStyle w:val="18"/>
          <w:shd w:val="clear" w:fill="FFFFFF"/>
        </w:rPr>
        <w:t>（注：数据来源于财决01-1表，仅罗列本部门涉及的全部功能分类科目，至类级。）</w:t>
      </w:r>
    </w:p>
    <w:p w14:paraId="3B89A1E0">
      <w:pPr>
        <w:pStyle w:val="14"/>
        <w:keepNext w:val="0"/>
        <w:keepLines w:val="0"/>
        <w:widowControl/>
        <w:suppressLineNumbers w:val="0"/>
        <w:spacing w:before="0" w:beforeAutospacing="0"/>
        <w:ind w:left="0"/>
        <w:jc w:val="left"/>
        <w:rPr>
          <w:rStyle w:val="18"/>
          <w:shd w:val="clear" w:fill="FFFFFF"/>
        </w:rPr>
      </w:pPr>
      <w:r>
        <w:rPr>
          <w:shd w:val="clear" w:fill="FFFFFF"/>
        </w:rPr>
        <w:t>（图6：一般公共预算财政拨款支出决算结构）（饼状图）</w:t>
      </w:r>
    </w:p>
    <w:p w14:paraId="4332660B">
      <w:pPr>
        <w:pStyle w:val="14"/>
        <w:keepNext w:val="0"/>
        <w:keepLines w:val="0"/>
        <w:widowControl/>
        <w:suppressLineNumbers w:val="0"/>
        <w:spacing w:before="0" w:beforeAutospacing="0"/>
        <w:ind w:left="0" w:firstLine="480" w:firstLineChars="200"/>
        <w:jc w:val="left"/>
        <w:rPr>
          <w:rStyle w:val="18"/>
          <w:shd w:val="clear" w:fill="FFFFFF"/>
        </w:rPr>
      </w:pPr>
      <w:r>
        <w:drawing>
          <wp:inline distT="0" distB="0" distL="114300" distR="114300">
            <wp:extent cx="4572000" cy="2924175"/>
            <wp:effectExtent l="4445" t="4445" r="14605" b="508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2FF31A">
      <w:pPr>
        <w:spacing w:line="600" w:lineRule="exact"/>
        <w:ind w:firstLine="643" w:firstLineChars="200"/>
        <w:outlineLvl w:val="2"/>
        <w:rPr>
          <w:rFonts w:ascii="仿宋" w:hAnsi="仿宋" w:eastAsia="仿宋"/>
          <w:b/>
          <w:color w:val="000000"/>
          <w:sz w:val="32"/>
          <w:szCs w:val="32"/>
        </w:rPr>
      </w:pPr>
      <w:bookmarkStart w:id="29" w:name="_Toc15377212"/>
      <w:r>
        <w:rPr>
          <w:rFonts w:hint="eastAsia" w:ascii="仿宋" w:hAnsi="仿宋" w:eastAsia="仿宋"/>
          <w:b/>
          <w:color w:val="000000"/>
          <w:sz w:val="32"/>
          <w:szCs w:val="32"/>
        </w:rPr>
        <w:t>（三）一般公共预算财政拨款支出决算具体情况</w:t>
      </w:r>
      <w:bookmarkEnd w:id="29"/>
    </w:p>
    <w:p w14:paraId="30F32B34">
      <w:pPr>
        <w:spacing w:line="600" w:lineRule="exact"/>
        <w:ind w:firstLine="643" w:firstLineChars="200"/>
        <w:outlineLvl w:val="2"/>
        <w:rPr>
          <w:rFonts w:hint="default" w:eastAsia="仿宋"/>
          <w:lang w:val="en-US" w:eastAsia="zh-CN"/>
        </w:rPr>
      </w:pPr>
      <w:bookmarkStart w:id="30" w:name="_Toc15378460"/>
      <w:bookmarkStart w:id="31" w:name="_Toc15377213"/>
      <w:bookmarkStart w:id="32" w:name="_Toc15377444"/>
      <w:r>
        <w:rPr>
          <w:rFonts w:hint="eastAsia" w:ascii="仿宋" w:hAnsi="仿宋" w:eastAsia="仿宋"/>
          <w:b/>
          <w:color w:val="000000" w:themeColor="text1"/>
          <w:sz w:val="32"/>
          <w:szCs w:val="32"/>
          <w:lang w:eastAsia="zh-CN"/>
          <w14:textFill>
            <w14:solidFill>
              <w14:schemeClr w14:val="tx1"/>
            </w14:solidFill>
          </w14:textFill>
        </w:rPr>
        <w:t>202</w:t>
      </w: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261.74万元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0"/>
      <w:bookmarkEnd w:id="31"/>
      <w:bookmarkEnd w:id="32"/>
    </w:p>
    <w:p w14:paraId="49376CB2">
      <w:pPr>
        <w:spacing w:line="600" w:lineRule="exact"/>
        <w:ind w:firstLine="643" w:firstLineChars="200"/>
        <w:rPr>
          <w:rStyle w:val="18"/>
          <w:rFonts w:hint="eastAsia" w:ascii="仿宋" w:hAnsi="仿宋" w:eastAsia="仿宋" w:cstheme="minorBidi"/>
          <w:b w:val="0"/>
          <w:bCs/>
          <w:color w:val="000000"/>
          <w:sz w:val="32"/>
          <w:szCs w:val="32"/>
          <w:lang w:val="en-US" w:eastAsia="zh-CN"/>
        </w:rPr>
      </w:pPr>
      <w:r>
        <w:rPr>
          <w:rStyle w:val="18"/>
          <w:rFonts w:hint="eastAsia" w:ascii="仿宋" w:hAnsi="仿宋" w:eastAsia="仿宋" w:cstheme="minorBidi"/>
          <w:bCs/>
          <w:color w:val="000000"/>
          <w:sz w:val="32"/>
          <w:szCs w:val="32"/>
          <w:lang w:val="en-US" w:eastAsia="zh-CN"/>
        </w:rPr>
        <w:t>1.社会保障和就业（208）行政事业单位（05）机关养老保险（05）:</w:t>
      </w:r>
      <w:r>
        <w:rPr>
          <w:rStyle w:val="18"/>
          <w:rFonts w:hint="eastAsia" w:ascii="仿宋" w:hAnsi="仿宋" w:eastAsia="仿宋" w:cstheme="minorBidi"/>
          <w:b w:val="0"/>
          <w:bCs/>
          <w:color w:val="000000"/>
          <w:sz w:val="32"/>
          <w:szCs w:val="32"/>
          <w:lang w:val="en-US" w:eastAsia="zh-CN"/>
        </w:rPr>
        <w:t>支出决算为11.23万元，完成预算100%。</w:t>
      </w:r>
    </w:p>
    <w:p w14:paraId="2C14DA8A">
      <w:pPr>
        <w:spacing w:line="600" w:lineRule="exact"/>
        <w:ind w:firstLine="643" w:firstLineChars="200"/>
        <w:rPr>
          <w:rStyle w:val="18"/>
          <w:rFonts w:hint="default" w:ascii="仿宋" w:hAnsi="仿宋" w:eastAsia="仿宋" w:cstheme="minorBidi"/>
          <w:bCs/>
          <w:color w:val="000000"/>
          <w:sz w:val="32"/>
          <w:szCs w:val="32"/>
          <w:lang w:val="en-US" w:eastAsia="zh-CN"/>
        </w:rPr>
      </w:pPr>
      <w:r>
        <w:rPr>
          <w:rStyle w:val="18"/>
          <w:rFonts w:hint="eastAsia" w:ascii="仿宋" w:hAnsi="仿宋" w:eastAsia="仿宋" w:cstheme="minorBidi"/>
          <w:bCs/>
          <w:color w:val="000000"/>
          <w:sz w:val="32"/>
          <w:szCs w:val="32"/>
          <w:lang w:val="en-US" w:eastAsia="zh-CN"/>
        </w:rPr>
        <w:t>2.社会保障和就业（208）行政事业单位（05）职业年金（06）:</w:t>
      </w:r>
      <w:r>
        <w:rPr>
          <w:rStyle w:val="18"/>
          <w:rFonts w:hint="eastAsia" w:ascii="仿宋" w:hAnsi="仿宋" w:eastAsia="仿宋" w:cstheme="minorBidi"/>
          <w:b w:val="0"/>
          <w:bCs/>
          <w:color w:val="000000"/>
          <w:sz w:val="32"/>
          <w:szCs w:val="32"/>
          <w:lang w:val="en-US" w:eastAsia="zh-CN"/>
        </w:rPr>
        <w:t>支出决算为5.61万元，完成预算100%。</w:t>
      </w:r>
    </w:p>
    <w:p w14:paraId="3A4E1C9C">
      <w:pPr>
        <w:spacing w:line="600" w:lineRule="exact"/>
        <w:ind w:firstLine="643" w:firstLineChars="200"/>
        <w:rPr>
          <w:rStyle w:val="18"/>
          <w:rFonts w:hint="eastAsia" w:ascii="仿宋" w:hAnsi="仿宋" w:eastAsia="仿宋" w:cstheme="minorBidi"/>
          <w:b w:val="0"/>
          <w:bCs/>
          <w:color w:val="000000"/>
          <w:sz w:val="32"/>
          <w:szCs w:val="32"/>
          <w:lang w:val="en-US" w:eastAsia="zh-CN"/>
        </w:rPr>
      </w:pPr>
      <w:r>
        <w:rPr>
          <w:rStyle w:val="18"/>
          <w:rFonts w:hint="eastAsia" w:ascii="仿宋" w:hAnsi="仿宋" w:eastAsia="仿宋" w:cstheme="minorBidi"/>
          <w:bCs/>
          <w:color w:val="000000"/>
          <w:sz w:val="32"/>
          <w:szCs w:val="32"/>
          <w:lang w:val="en-US" w:eastAsia="zh-CN"/>
        </w:rPr>
        <w:t>3.卫生健康（210）行政事业单位医疗（11）行政支出（01）:</w:t>
      </w:r>
      <w:r>
        <w:rPr>
          <w:rStyle w:val="18"/>
          <w:rFonts w:hint="eastAsia" w:ascii="仿宋" w:hAnsi="仿宋" w:eastAsia="仿宋" w:cstheme="minorBidi"/>
          <w:b w:val="0"/>
          <w:bCs/>
          <w:color w:val="000000"/>
          <w:sz w:val="32"/>
          <w:szCs w:val="32"/>
          <w:lang w:val="en-US" w:eastAsia="zh-CN"/>
        </w:rPr>
        <w:t>支出决算为6.08万元，完成预算100%。</w:t>
      </w:r>
    </w:p>
    <w:p w14:paraId="74158921">
      <w:pPr>
        <w:spacing w:line="600" w:lineRule="exact"/>
        <w:ind w:firstLine="643" w:firstLineChars="200"/>
        <w:rPr>
          <w:rStyle w:val="18"/>
          <w:rFonts w:hint="default" w:ascii="仿宋" w:hAnsi="仿宋" w:eastAsia="仿宋" w:cstheme="minorBidi"/>
          <w:bCs/>
          <w:color w:val="000000"/>
          <w:sz w:val="32"/>
          <w:szCs w:val="32"/>
          <w:lang w:val="en-US" w:eastAsia="zh-CN"/>
        </w:rPr>
      </w:pPr>
      <w:r>
        <w:rPr>
          <w:rStyle w:val="18"/>
          <w:rFonts w:hint="eastAsia" w:ascii="仿宋" w:hAnsi="仿宋" w:eastAsia="仿宋" w:cstheme="minorBidi"/>
          <w:bCs/>
          <w:color w:val="000000"/>
          <w:sz w:val="32"/>
          <w:szCs w:val="32"/>
          <w:lang w:val="en-US" w:eastAsia="zh-CN"/>
        </w:rPr>
        <w:t>4.卫生健康（210）行政事业单位医疗（11）公务员医疗补助（03）:</w:t>
      </w:r>
      <w:r>
        <w:rPr>
          <w:rStyle w:val="18"/>
          <w:rFonts w:hint="eastAsia" w:ascii="仿宋" w:hAnsi="仿宋" w:eastAsia="仿宋" w:cstheme="minorBidi"/>
          <w:b w:val="0"/>
          <w:bCs/>
          <w:color w:val="000000"/>
          <w:sz w:val="32"/>
          <w:szCs w:val="32"/>
          <w:lang w:val="en-US" w:eastAsia="zh-CN"/>
        </w:rPr>
        <w:t>支出决算为2.16万元，完成预算100%。</w:t>
      </w:r>
    </w:p>
    <w:p w14:paraId="37E58809">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lang w:val="en-US" w:eastAsia="zh-CN"/>
        </w:rPr>
        <w:t>5</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住房保障支出（</w:t>
      </w:r>
      <w:r>
        <w:rPr>
          <w:rStyle w:val="18"/>
          <w:rFonts w:hint="eastAsia" w:ascii="仿宋" w:hAnsi="仿宋" w:eastAsia="仿宋"/>
          <w:bCs/>
          <w:color w:val="000000"/>
          <w:sz w:val="32"/>
          <w:szCs w:val="32"/>
          <w:lang w:val="en-US" w:eastAsia="zh-CN"/>
        </w:rPr>
        <w:t>221</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住房改革支出</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02</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住房公积金</w:t>
      </w:r>
      <w:r>
        <w:rPr>
          <w:rStyle w:val="18"/>
          <w:rFonts w:hint="eastAsia" w:ascii="仿宋" w:hAnsi="仿宋" w:eastAsia="仿宋"/>
          <w:bCs/>
          <w:color w:val="000000"/>
          <w:sz w:val="32"/>
          <w:szCs w:val="32"/>
        </w:rPr>
        <w:t>（</w:t>
      </w:r>
      <w:r>
        <w:rPr>
          <w:rStyle w:val="18"/>
          <w:rFonts w:hint="eastAsia" w:ascii="仿宋" w:hAnsi="仿宋" w:eastAsia="仿宋"/>
          <w:bCs/>
          <w:color w:val="000000"/>
          <w:sz w:val="32"/>
          <w:szCs w:val="32"/>
          <w:lang w:val="en-US" w:eastAsia="zh-CN"/>
        </w:rPr>
        <w:t>01</w:t>
      </w:r>
      <w:r>
        <w:rPr>
          <w:rStyle w:val="18"/>
          <w:rFonts w:hint="eastAsia"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8.56</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14:paraId="3279A4E7">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Style w:val="18"/>
          <w:rFonts w:hint="eastAsia" w:ascii="仿宋" w:hAnsi="仿宋" w:eastAsia="仿宋" w:cstheme="minorBidi"/>
          <w:bCs/>
          <w:color w:val="000000"/>
          <w:sz w:val="32"/>
          <w:szCs w:val="32"/>
          <w:lang w:val="en-US" w:eastAsia="zh-CN"/>
        </w:rPr>
        <w:t>农林水支出（213）巩固脱贫衔接乡村振兴（05）行政运行（01）</w:t>
      </w:r>
      <w:r>
        <w:rPr>
          <w:rFonts w:hint="eastAsia" w:ascii="仿宋_GB2312" w:eastAsia="仿宋_GB2312"/>
          <w:color w:val="000000"/>
          <w:sz w:val="32"/>
          <w:szCs w:val="32"/>
        </w:rPr>
        <w:t>决算</w:t>
      </w:r>
      <w:r>
        <w:rPr>
          <w:rFonts w:hint="eastAsia" w:ascii="仿宋_GB2312" w:eastAsia="仿宋_GB2312"/>
          <w:color w:val="000000"/>
          <w:sz w:val="32"/>
          <w:szCs w:val="32"/>
          <w:lang w:eastAsia="zh-CN"/>
        </w:rPr>
        <w:t>数</w:t>
      </w:r>
      <w:r>
        <w:rPr>
          <w:rFonts w:hint="eastAsia" w:ascii="仿宋_GB2312" w:eastAsia="仿宋_GB2312"/>
          <w:color w:val="000000"/>
          <w:sz w:val="32"/>
          <w:szCs w:val="32"/>
        </w:rPr>
        <w:t>为</w:t>
      </w:r>
      <w:r>
        <w:rPr>
          <w:rFonts w:hint="eastAsia" w:ascii="仿宋_GB2312" w:eastAsia="仿宋_GB2312"/>
          <w:color w:val="000000"/>
          <w:sz w:val="32"/>
          <w:szCs w:val="32"/>
          <w:lang w:val="en-US" w:eastAsia="zh-CN"/>
        </w:rPr>
        <w:t>98.06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14:paraId="0CC299BA">
      <w:pPr>
        <w:spacing w:line="600" w:lineRule="exact"/>
        <w:ind w:firstLine="643" w:firstLineChars="200"/>
        <w:rPr>
          <w:rFonts w:hint="eastAsia" w:ascii="仿宋_GB2312" w:eastAsia="仿宋_GB2312"/>
          <w:color w:val="FF0000"/>
          <w:sz w:val="32"/>
          <w:szCs w:val="32"/>
          <w:lang w:val="en-US" w:eastAsia="zh-CN"/>
        </w:rPr>
      </w:pPr>
      <w:r>
        <w:rPr>
          <w:rStyle w:val="18"/>
          <w:rFonts w:hint="eastAsia" w:ascii="仿宋" w:hAnsi="仿宋" w:eastAsia="仿宋" w:cstheme="minorBidi"/>
          <w:bCs/>
          <w:color w:val="000000"/>
          <w:sz w:val="32"/>
          <w:szCs w:val="32"/>
          <w:lang w:val="en-US" w:eastAsia="zh-CN"/>
        </w:rPr>
        <w:t>7.农林水支出（213）巩固脱贫衔接乡村振兴（05）其他巩固脱贫衔接乡村振兴支出</w:t>
      </w:r>
      <w:r>
        <w:rPr>
          <w:rStyle w:val="18"/>
          <w:rFonts w:hint="eastAsia" w:ascii="仿宋" w:hAnsi="仿宋" w:eastAsia="仿宋" w:cstheme="minorBidi"/>
          <w:bCs/>
          <w:color w:val="000000"/>
          <w:sz w:val="32"/>
          <w:szCs w:val="32"/>
          <w:lang w:eastAsia="zh-CN"/>
        </w:rPr>
        <w:t>（</w:t>
      </w:r>
      <w:r>
        <w:rPr>
          <w:rStyle w:val="18"/>
          <w:rFonts w:hint="eastAsia" w:ascii="仿宋" w:hAnsi="仿宋" w:eastAsia="仿宋" w:cstheme="minorBidi"/>
          <w:bCs/>
          <w:color w:val="000000"/>
          <w:sz w:val="32"/>
          <w:szCs w:val="32"/>
          <w:lang w:val="en-US" w:eastAsia="zh-CN"/>
        </w:rPr>
        <w:t>99</w:t>
      </w:r>
      <w:r>
        <w:rPr>
          <w:rStyle w:val="18"/>
          <w:rFonts w:hint="eastAsia" w:ascii="仿宋" w:hAnsi="仿宋" w:eastAsia="仿宋" w:cstheme="minorBidi"/>
          <w:bCs/>
          <w:color w:val="000000"/>
          <w:sz w:val="32"/>
          <w:szCs w:val="32"/>
          <w:lang w:eastAsia="zh-CN"/>
        </w:rPr>
        <w:t>）</w:t>
      </w:r>
      <w:r>
        <w:rPr>
          <w:rFonts w:hint="eastAsia" w:ascii="仿宋_GB2312" w:eastAsia="仿宋_GB2312"/>
          <w:color w:val="000000"/>
          <w:sz w:val="32"/>
          <w:szCs w:val="32"/>
        </w:rPr>
        <w:t>决算</w:t>
      </w:r>
      <w:r>
        <w:rPr>
          <w:rFonts w:hint="eastAsia" w:ascii="仿宋_GB2312" w:eastAsia="仿宋_GB2312"/>
          <w:color w:val="000000"/>
          <w:sz w:val="32"/>
          <w:szCs w:val="32"/>
          <w:lang w:eastAsia="zh-CN"/>
        </w:rPr>
        <w:t>数</w:t>
      </w:r>
      <w:r>
        <w:rPr>
          <w:rFonts w:hint="eastAsia" w:ascii="仿宋_GB2312" w:eastAsia="仿宋_GB2312"/>
          <w:color w:val="000000"/>
          <w:sz w:val="32"/>
          <w:szCs w:val="32"/>
        </w:rPr>
        <w:t>为</w:t>
      </w:r>
      <w:r>
        <w:rPr>
          <w:rFonts w:hint="eastAsia" w:ascii="仿宋_GB2312" w:eastAsia="仿宋_GB2312"/>
          <w:color w:val="000000"/>
          <w:sz w:val="32"/>
          <w:szCs w:val="32"/>
          <w:lang w:val="en-US" w:eastAsia="zh-CN"/>
        </w:rPr>
        <w:t>130.04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14:paraId="5DDB8F21">
      <w:pPr>
        <w:tabs>
          <w:tab w:val="right" w:pos="8306"/>
        </w:tabs>
        <w:spacing w:line="600" w:lineRule="exact"/>
        <w:ind w:firstLine="640"/>
        <w:outlineLvl w:val="1"/>
        <w:rPr>
          <w:rStyle w:val="29"/>
        </w:rPr>
      </w:pPr>
      <w:bookmarkStart w:id="33" w:name="_Toc15396608"/>
      <w:bookmarkStart w:id="34"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33"/>
      <w:bookmarkEnd w:id="34"/>
      <w:r>
        <w:rPr>
          <w:rStyle w:val="29"/>
          <w:rFonts w:ascii="黑体" w:hAnsi="黑体" w:eastAsia="黑体"/>
          <w:b w:val="0"/>
        </w:rPr>
        <w:tab/>
      </w:r>
    </w:p>
    <w:p w14:paraId="39C255B4">
      <w:pPr>
        <w:pStyle w:val="14"/>
        <w:keepNext w:val="0"/>
        <w:keepLines w:val="0"/>
        <w:pageBreakBefore w:val="0"/>
        <w:widowControl/>
        <w:suppressLineNumbers w:val="0"/>
        <w:kinsoku/>
        <w:wordWrap/>
        <w:overflowPunct/>
        <w:topLinePunct w:val="0"/>
        <w:autoSpaceDE/>
        <w:autoSpaceDN/>
        <w:bidi w:val="0"/>
        <w:adjustRightInd/>
        <w:snapToGrid/>
        <w:spacing w:before="32" w:beforeLines="10" w:beforeAutospacing="0" w:line="500" w:lineRule="exact"/>
        <w:ind w:left="0" w:firstLine="640" w:firstLineChars="200"/>
        <w:jc w:val="left"/>
        <w:textAlignment w:val="auto"/>
        <w:rPr>
          <w:rFonts w:hint="eastAsia" w:ascii="仿宋" w:hAnsi="仿宋" w:eastAsia="仿宋" w:cs="Times New Roman"/>
          <w:color w:val="000000"/>
          <w:kern w:val="2"/>
          <w:sz w:val="32"/>
          <w:szCs w:val="32"/>
          <w:lang w:val="en-US" w:eastAsia="zh-CN" w:bidi="ar-SA"/>
        </w:rPr>
      </w:pPr>
      <w:bookmarkStart w:id="35" w:name="_Toc15377215"/>
      <w:bookmarkStart w:id="36" w:name="_Toc15396609"/>
      <w:r>
        <w:rPr>
          <w:rFonts w:hint="eastAsia" w:ascii="仿宋" w:hAnsi="仿宋" w:eastAsia="仿宋" w:cs="Times New Roman"/>
          <w:color w:val="000000"/>
          <w:kern w:val="2"/>
          <w:sz w:val="32"/>
          <w:szCs w:val="32"/>
          <w:lang w:val="en-US" w:eastAsia="zh-CN" w:bidi="ar-SA"/>
        </w:rPr>
        <w:t>2023年一般公共预算财政拨款基本支出131.70万元，其中：</w:t>
      </w:r>
    </w:p>
    <w:p w14:paraId="1006A3CD">
      <w:pPr>
        <w:pStyle w:val="14"/>
        <w:keepNext w:val="0"/>
        <w:keepLines w:val="0"/>
        <w:pageBreakBefore w:val="0"/>
        <w:widowControl/>
        <w:suppressLineNumbers w:val="0"/>
        <w:kinsoku/>
        <w:wordWrap/>
        <w:overflowPunct/>
        <w:topLinePunct w:val="0"/>
        <w:autoSpaceDE/>
        <w:autoSpaceDN/>
        <w:bidi w:val="0"/>
        <w:adjustRightInd/>
        <w:snapToGrid/>
        <w:spacing w:before="32" w:beforeLines="10" w:beforeAutospacing="0" w:line="500" w:lineRule="exact"/>
        <w:ind w:left="0"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人员经费121.91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4A2ECA0">
      <w:pPr>
        <w:pStyle w:val="14"/>
        <w:keepNext w:val="0"/>
        <w:keepLines w:val="0"/>
        <w:pageBreakBefore w:val="0"/>
        <w:widowControl/>
        <w:suppressLineNumbers w:val="0"/>
        <w:kinsoku/>
        <w:wordWrap/>
        <w:overflowPunct/>
        <w:topLinePunct w:val="0"/>
        <w:autoSpaceDE/>
        <w:autoSpaceDN/>
        <w:bidi w:val="0"/>
        <w:adjustRightInd/>
        <w:snapToGrid/>
        <w:spacing w:before="32" w:beforeLines="10" w:beforeAutospacing="0" w:line="500" w:lineRule="exact"/>
        <w:ind w:left="0"/>
        <w:jc w:val="left"/>
        <w:textAlignment w:val="auto"/>
      </w:pPr>
      <w:r>
        <w:rPr>
          <w:rFonts w:hint="eastAsia" w:ascii="仿宋" w:hAnsi="仿宋" w:eastAsia="仿宋" w:cs="Times New Roman"/>
          <w:color w:val="000000"/>
          <w:kern w:val="2"/>
          <w:sz w:val="32"/>
          <w:szCs w:val="32"/>
          <w:lang w:val="en-US" w:eastAsia="zh-CN" w:bidi="ar-SA"/>
        </w:rPr>
        <w:t>　　公用经费9.79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Style w:val="18"/>
          <w:shd w:val="clear" w:fill="FFFFFF"/>
        </w:rPr>
        <w:t>（注：数据来源于财决07表和财决08-1表，仅罗列本部门实际支出涉及的经济分类科目。）</w:t>
      </w:r>
    </w:p>
    <w:p w14:paraId="0231A111">
      <w:pPr>
        <w:spacing w:line="600" w:lineRule="exact"/>
        <w:ind w:firstLine="640"/>
        <w:outlineLvl w:val="1"/>
        <w:rPr>
          <w:rStyle w:val="29"/>
          <w:rFonts w:ascii="黑体" w:hAnsi="黑体" w:eastAsia="黑体"/>
          <w:b w:val="0"/>
        </w:rPr>
      </w:pPr>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35"/>
      <w:bookmarkEnd w:id="36"/>
    </w:p>
    <w:p w14:paraId="4A267610">
      <w:pPr>
        <w:spacing w:line="600" w:lineRule="exact"/>
        <w:ind w:firstLine="640"/>
        <w:outlineLvl w:val="2"/>
        <w:rPr>
          <w:rFonts w:ascii="仿宋" w:hAnsi="仿宋" w:eastAsia="仿宋"/>
          <w:color w:val="000000"/>
          <w:sz w:val="32"/>
          <w:szCs w:val="32"/>
        </w:rPr>
      </w:pPr>
      <w:bookmarkStart w:id="37" w:name="_Toc15377216"/>
      <w:r>
        <w:rPr>
          <w:rFonts w:hint="eastAsia" w:ascii="仿宋" w:hAnsi="仿宋" w:eastAsia="仿宋"/>
          <w:b/>
          <w:color w:val="000000"/>
          <w:sz w:val="32"/>
          <w:szCs w:val="32"/>
        </w:rPr>
        <w:t>（</w:t>
      </w:r>
      <w:r>
        <w:rPr>
          <w:rFonts w:hint="eastAsia" w:ascii="仿宋" w:hAnsi="仿宋" w:eastAsia="仿宋"/>
          <w:b/>
          <w:color w:val="000000"/>
          <w:sz w:val="32"/>
          <w:szCs w:val="32"/>
          <w:lang w:eastAsia="zh-CN"/>
        </w:rPr>
        <w:t>一</w:t>
      </w:r>
      <w:r>
        <w:rPr>
          <w:rFonts w:hint="eastAsia" w:ascii="仿宋" w:hAnsi="仿宋" w:eastAsia="仿宋"/>
          <w:b/>
          <w:color w:val="000000"/>
          <w:sz w:val="32"/>
          <w:szCs w:val="32"/>
        </w:rPr>
        <w:t>）“三公”经费财政拨款支出决算</w:t>
      </w:r>
      <w:r>
        <w:rPr>
          <w:rFonts w:hint="eastAsia" w:ascii="仿宋" w:hAnsi="仿宋" w:eastAsia="仿宋"/>
          <w:b/>
          <w:color w:val="000000"/>
          <w:sz w:val="32"/>
          <w:szCs w:val="32"/>
          <w:lang w:eastAsia="zh-CN"/>
        </w:rPr>
        <w:t>总体</w:t>
      </w:r>
      <w:r>
        <w:rPr>
          <w:rFonts w:hint="eastAsia" w:ascii="仿宋" w:hAnsi="仿宋" w:eastAsia="仿宋"/>
          <w:b/>
          <w:color w:val="000000"/>
          <w:sz w:val="32"/>
          <w:szCs w:val="32"/>
        </w:rPr>
        <w:t>情况说明</w:t>
      </w:r>
    </w:p>
    <w:p w14:paraId="62A11AFA">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14:paraId="4AFD07B8">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14:paraId="4ED9DAAD">
      <w:pPr>
        <w:pStyle w:val="14"/>
        <w:keepNext w:val="0"/>
        <w:keepLines w:val="0"/>
        <w:widowControl/>
        <w:suppressLineNumbers w:val="0"/>
        <w:spacing w:before="0" w:beforeAutospacing="0"/>
        <w:ind w:left="0"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年“三公”经费财政拨款支出决算中，因公出国（境）费支出决算0.00万元，占0.00%；公务用车购置及运行维护费支出决算</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93.75</w:t>
      </w:r>
      <w:r>
        <w:rPr>
          <w:rFonts w:hint="eastAsia" w:ascii="仿宋" w:hAnsi="仿宋" w:eastAsia="仿宋"/>
          <w:color w:val="000000"/>
          <w:sz w:val="32"/>
          <w:szCs w:val="32"/>
        </w:rPr>
        <w:t>%；公务接待费支出决算0.</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6.25</w:t>
      </w:r>
      <w:r>
        <w:rPr>
          <w:rFonts w:hint="eastAsia" w:ascii="仿宋" w:hAnsi="仿宋" w:eastAsia="仿宋"/>
          <w:color w:val="000000"/>
          <w:sz w:val="32"/>
          <w:szCs w:val="32"/>
        </w:rPr>
        <w:t>%。具体情况如下：</w:t>
      </w:r>
    </w:p>
    <w:p w14:paraId="373BE0E5">
      <w:pPr>
        <w:pStyle w:val="14"/>
        <w:keepNext w:val="0"/>
        <w:keepLines w:val="0"/>
        <w:widowControl/>
        <w:suppressLineNumbers w:val="0"/>
        <w:spacing w:before="0" w:beforeAutospacing="0"/>
        <w:ind w:left="0"/>
        <w:jc w:val="left"/>
        <w:rPr>
          <w:rFonts w:ascii="仿宋" w:hAnsi="仿宋" w:eastAsia="仿宋"/>
          <w:color w:val="000000"/>
          <w:sz w:val="32"/>
          <w:szCs w:val="32"/>
        </w:rPr>
      </w:pPr>
      <w:r>
        <w:rPr>
          <w:shd w:val="clear" w:fill="FFFFFF"/>
        </w:rPr>
        <w:t>（图7：“三公”经费财政拨款支出结构）（饼状图）</w:t>
      </w:r>
    </w:p>
    <w:p w14:paraId="10264393">
      <w:pPr>
        <w:pStyle w:val="12"/>
      </w:pPr>
      <w:r>
        <w:drawing>
          <wp:inline distT="0" distB="0" distL="114300" distR="114300">
            <wp:extent cx="4533900" cy="2885440"/>
            <wp:effectExtent l="4445" t="4445" r="1460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B65852">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472B39E1">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hAnsi="Times New Roman"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rPr>
        <w:t>万元,完成预算100%。</w:t>
      </w:r>
      <w:r>
        <w:rPr>
          <w:rFonts w:hint="eastAsia" w:ascii="仿宋_GB2312" w:hAnsi="Times New Roman" w:eastAsia="仿宋_GB2312" w:cs="Times New Roman"/>
          <w:color w:val="000000"/>
          <w:sz w:val="32"/>
          <w:szCs w:val="32"/>
          <w:lang w:eastAsia="zh-CN"/>
        </w:rPr>
        <w:t>公务</w:t>
      </w:r>
      <w:r>
        <w:rPr>
          <w:rFonts w:hint="eastAsia" w:ascii="仿宋_GB2312" w:hAnsi="Times New Roman" w:eastAsia="仿宋_GB2312" w:cs="Times New Roman"/>
          <w:color w:val="000000"/>
          <w:sz w:val="32"/>
          <w:szCs w:val="32"/>
        </w:rPr>
        <w:t>用车购置及运</w:t>
      </w:r>
      <w:r>
        <w:rPr>
          <w:rFonts w:hint="eastAsia" w:ascii="仿宋_GB2312" w:eastAsia="仿宋_GB2312"/>
          <w:color w:val="000000"/>
          <w:sz w:val="32"/>
          <w:szCs w:val="32"/>
        </w:rPr>
        <w:t>行维护费支出决算比202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1.35</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运行维护费有所增加。</w:t>
      </w:r>
    </w:p>
    <w:p w14:paraId="784EAA68">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w:t>
      </w:r>
    </w:p>
    <w:p w14:paraId="4EC004C5">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巩固脱贫成果同乡村振兴有效衔接</w:t>
      </w:r>
      <w:r>
        <w:rPr>
          <w:rFonts w:hint="eastAsia" w:ascii="仿宋_GB2312" w:eastAsia="仿宋_GB2312"/>
          <w:color w:val="000000"/>
          <w:sz w:val="32"/>
          <w:szCs w:val="32"/>
        </w:rPr>
        <w:t>等所需的公务用车燃料费、维修费、过路过桥费、保险费等支出。</w:t>
      </w:r>
    </w:p>
    <w:p w14:paraId="0401C7F2">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相比增加</w:t>
      </w:r>
      <w:r>
        <w:rPr>
          <w:rFonts w:hint="eastAsia" w:ascii="仿宋_GB2312" w:eastAsia="仿宋_GB2312"/>
          <w:color w:val="000000"/>
          <w:sz w:val="32"/>
          <w:szCs w:val="32"/>
          <w:lang w:val="en-US" w:eastAsia="zh-CN"/>
        </w:rPr>
        <w:t>0.06万元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42.86</w:t>
      </w:r>
      <w:r>
        <w:rPr>
          <w:rFonts w:hint="eastAsia" w:ascii="仿宋_GB2312" w:eastAsia="仿宋_GB2312"/>
          <w:color w:val="000000"/>
          <w:sz w:val="32"/>
          <w:szCs w:val="32"/>
          <w:lang w:eastAsia="zh-CN"/>
        </w:rPr>
        <w:t>%。主要原因是公务接待费增加。</w:t>
      </w:r>
    </w:p>
    <w:p w14:paraId="052F9DE0">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主要用于住宿</w:t>
      </w:r>
      <w:r>
        <w:rPr>
          <w:rFonts w:hint="eastAsia" w:ascii="仿宋_GB2312" w:eastAsia="仿宋_GB2312"/>
          <w:color w:val="000000"/>
          <w:sz w:val="32"/>
          <w:szCs w:val="32"/>
          <w:lang w:eastAsia="zh-CN"/>
        </w:rPr>
        <w:t>、用餐等</w:t>
      </w:r>
      <w:r>
        <w:rPr>
          <w:rFonts w:hint="eastAsia" w:ascii="仿宋_GB2312" w:eastAsia="仿宋_GB2312"/>
          <w:color w:val="000000"/>
          <w:sz w:val="32"/>
          <w:szCs w:val="32"/>
        </w:rPr>
        <w:t>费</w:t>
      </w:r>
      <w:r>
        <w:rPr>
          <w:rFonts w:hint="eastAsia" w:ascii="仿宋_GB2312" w:eastAsia="仿宋_GB2312"/>
          <w:color w:val="000000"/>
          <w:sz w:val="32"/>
          <w:szCs w:val="32"/>
          <w:lang w:eastAsia="zh-CN"/>
        </w:rPr>
        <w:t>用</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人次（不包括陪同人员）。其中：</w:t>
      </w:r>
    </w:p>
    <w:p w14:paraId="0FC5503D">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14:paraId="369BD3B7">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bookmarkEnd w:id="37"/>
    <w:p w14:paraId="178638C7">
      <w:pPr>
        <w:spacing w:line="600" w:lineRule="exact"/>
        <w:ind w:firstLine="640"/>
        <w:outlineLvl w:val="1"/>
        <w:rPr>
          <w:rStyle w:val="29"/>
          <w:rFonts w:ascii="黑体" w:hAnsi="黑体" w:eastAsia="黑体"/>
        </w:rPr>
      </w:pPr>
      <w:bookmarkStart w:id="38" w:name="_Toc15396610"/>
      <w:bookmarkStart w:id="39"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38"/>
      <w:bookmarkEnd w:id="39"/>
    </w:p>
    <w:p w14:paraId="2E3E80D7">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CCECAB6">
      <w:pPr>
        <w:numPr>
          <w:ilvl w:val="0"/>
          <w:numId w:val="3"/>
        </w:numPr>
        <w:spacing w:line="600" w:lineRule="exact"/>
        <w:ind w:firstLine="640"/>
        <w:outlineLvl w:val="1"/>
        <w:rPr>
          <w:rStyle w:val="29"/>
          <w:rFonts w:ascii="黑体" w:hAnsi="黑体" w:eastAsia="黑体"/>
          <w:b w:val="0"/>
        </w:rPr>
      </w:pPr>
      <w:bookmarkStart w:id="40" w:name="_Toc15377219"/>
      <w:bookmarkStart w:id="41" w:name="_Toc15396611"/>
      <w:r>
        <w:rPr>
          <w:rStyle w:val="29"/>
          <w:rFonts w:hint="eastAsia" w:ascii="黑体" w:hAnsi="黑体" w:eastAsia="黑体"/>
          <w:b w:val="0"/>
        </w:rPr>
        <w:t>国有资本经营预算支出决算情况说明</w:t>
      </w:r>
      <w:bookmarkEnd w:id="40"/>
      <w:bookmarkEnd w:id="41"/>
    </w:p>
    <w:p w14:paraId="14B71C5B">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E4E06CE">
      <w:pPr>
        <w:spacing w:line="600" w:lineRule="exact"/>
        <w:ind w:firstLine="800" w:firstLineChars="250"/>
        <w:outlineLvl w:val="1"/>
        <w:rPr>
          <w:rStyle w:val="29"/>
          <w:rFonts w:ascii="黑体" w:hAnsi="黑体" w:eastAsia="黑体"/>
        </w:rPr>
      </w:pPr>
      <w:bookmarkStart w:id="42" w:name="_Toc15396612"/>
      <w:bookmarkStart w:id="43"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42"/>
      <w:bookmarkEnd w:id="43"/>
    </w:p>
    <w:p w14:paraId="562F11B3">
      <w:pPr>
        <w:spacing w:line="600" w:lineRule="exact"/>
        <w:ind w:firstLine="643" w:firstLineChars="200"/>
        <w:outlineLvl w:val="2"/>
        <w:rPr>
          <w:rFonts w:ascii="仿宋" w:hAnsi="仿宋" w:eastAsia="仿宋"/>
          <w:color w:val="000000"/>
          <w:sz w:val="32"/>
          <w:szCs w:val="32"/>
        </w:rPr>
      </w:pPr>
      <w:bookmarkStart w:id="44" w:name="_Toc15377222"/>
      <w:r>
        <w:rPr>
          <w:rFonts w:hint="eastAsia" w:ascii="仿宋" w:hAnsi="仿宋" w:eastAsia="仿宋"/>
          <w:b/>
          <w:color w:val="000000"/>
          <w:sz w:val="32"/>
          <w:szCs w:val="32"/>
        </w:rPr>
        <w:t>（一）机关运行经费支出情况</w:t>
      </w:r>
      <w:bookmarkEnd w:id="44"/>
    </w:p>
    <w:p w14:paraId="1611F0B5">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年，四川省阿坝州九寨沟县乡村振兴局（本级）机关运行经费支出</w:t>
      </w:r>
      <w:r>
        <w:rPr>
          <w:rFonts w:hint="eastAsia" w:ascii="仿宋_GB2312" w:eastAsia="仿宋_GB2312"/>
          <w:color w:val="000000"/>
          <w:sz w:val="32"/>
          <w:szCs w:val="32"/>
          <w:lang w:val="en-US" w:eastAsia="zh-CN"/>
        </w:rPr>
        <w:t>9.79</w:t>
      </w:r>
      <w:r>
        <w:rPr>
          <w:rFonts w:hint="eastAsia" w:ascii="仿宋_GB2312" w:eastAsia="仿宋_GB2312"/>
          <w:color w:val="000000"/>
          <w:sz w:val="32"/>
          <w:szCs w:val="32"/>
          <w:lang w:eastAsia="zh-CN"/>
        </w:rPr>
        <w:t>万元，比202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年减少</w:t>
      </w:r>
      <w:r>
        <w:rPr>
          <w:rFonts w:hint="eastAsia" w:ascii="仿宋_GB2312" w:eastAsia="仿宋_GB2312"/>
          <w:color w:val="000000"/>
          <w:sz w:val="32"/>
          <w:szCs w:val="32"/>
          <w:lang w:val="en-US" w:eastAsia="zh-CN"/>
        </w:rPr>
        <w:t>0.39</w:t>
      </w:r>
      <w:r>
        <w:rPr>
          <w:rFonts w:hint="eastAsia" w:ascii="仿宋_GB2312" w:eastAsia="仿宋_GB2312"/>
          <w:color w:val="000000"/>
          <w:sz w:val="32"/>
          <w:szCs w:val="32"/>
          <w:lang w:eastAsia="zh-CN"/>
        </w:rPr>
        <w:t>万元，下降</w:t>
      </w:r>
      <w:r>
        <w:rPr>
          <w:rFonts w:hint="eastAsia" w:ascii="仿宋_GB2312" w:eastAsia="仿宋_GB2312"/>
          <w:color w:val="000000"/>
          <w:sz w:val="32"/>
          <w:szCs w:val="32"/>
          <w:lang w:val="en-US" w:eastAsia="zh-CN"/>
        </w:rPr>
        <w:t>3.83</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2023年机关运行经费支出减少</w:t>
      </w:r>
      <w:r>
        <w:rPr>
          <w:rFonts w:hint="eastAsia" w:ascii="仿宋_GB2312" w:eastAsia="仿宋_GB2312"/>
          <w:color w:val="000000"/>
          <w:sz w:val="32"/>
          <w:szCs w:val="32"/>
          <w:lang w:eastAsia="zh-CN"/>
        </w:rPr>
        <w:t>。</w:t>
      </w:r>
    </w:p>
    <w:p w14:paraId="78395A4C">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（注：数据来源于财决附03表）</w:t>
      </w:r>
    </w:p>
    <w:p w14:paraId="4A6128D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5" w:name="_Toc15377223"/>
      <w:r>
        <w:rPr>
          <w:rFonts w:hint="eastAsia" w:ascii="仿宋" w:hAnsi="仿宋" w:eastAsia="仿宋"/>
          <w:b/>
          <w:color w:val="000000"/>
          <w:sz w:val="32"/>
          <w:szCs w:val="32"/>
        </w:rPr>
        <w:t>（二）政府采购支出情况</w:t>
      </w:r>
      <w:bookmarkEnd w:id="45"/>
    </w:p>
    <w:p w14:paraId="1EAC9775">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79DE6AB1">
      <w:pPr>
        <w:spacing w:line="600" w:lineRule="exac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（注：数据来源于财决附03表）</w:t>
      </w:r>
    </w:p>
    <w:p w14:paraId="79A16AC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6" w:name="_Toc15377224"/>
      <w:r>
        <w:rPr>
          <w:rFonts w:hint="eastAsia" w:ascii="仿宋" w:hAnsi="仿宋" w:eastAsia="仿宋"/>
          <w:b/>
          <w:color w:val="000000"/>
          <w:sz w:val="32"/>
          <w:szCs w:val="32"/>
        </w:rPr>
        <w:t>（三）国有资产占有使用情况</w:t>
      </w:r>
      <w:bookmarkEnd w:id="46"/>
    </w:p>
    <w:p w14:paraId="341A815D">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巩固脱贫成果同乡村振兴有效衔接。</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658C3927">
      <w:pPr>
        <w:autoSpaceDE w:val="0"/>
        <w:autoSpaceDN w:val="0"/>
        <w:adjustRightInd w:val="0"/>
        <w:spacing w:line="600" w:lineRule="exact"/>
        <w:ind w:firstLine="640" w:firstLineChars="200"/>
        <w:jc w:val="left"/>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（注：数据来源财决附03表，按部门决算报表填报数据罗列车辆情况。）</w:t>
      </w:r>
    </w:p>
    <w:p w14:paraId="42BF717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0C66667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14:paraId="3D0364C0">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年部门整体支出开展绩效自评，从评价情况来看整体绩效情况执行较好</w:t>
      </w:r>
      <w:r>
        <w:rPr>
          <w:rFonts w:hint="eastAsia" w:ascii="仿宋_GB2312" w:hAnsi="仿宋_GB2312" w:eastAsia="仿宋_GB2312" w:cs="仿宋_GB2312"/>
          <w:sz w:val="32"/>
          <w:szCs w:val="32"/>
          <w:lang w:eastAsia="zh-CN"/>
        </w:rPr>
        <w:t>。</w:t>
      </w:r>
    </w:p>
    <w:p w14:paraId="7C31FCEE">
      <w:pPr>
        <w:numPr>
          <w:ilvl w:val="0"/>
          <w:numId w:val="0"/>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雨露计划项目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脱贫人口小额信贷贴息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14:paraId="6B17202B">
      <w:pPr>
        <w:numPr>
          <w:ilvl w:val="0"/>
          <w:numId w:val="0"/>
        </w:num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eastAsia="仿宋_GB2312" w:cs="Times New Roman"/>
          <w:sz w:val="32"/>
          <w:szCs w:val="32"/>
          <w:lang w:val="en-US" w:eastAsia="zh-CN"/>
        </w:rPr>
        <w:t>“雨露计划”是一项重要的民生实事，必须不折不扣抓实抓好。各乡（镇）、部门要加强领导、落实责任，严肃纪律要求，确保政策落地落实。对于脱贫家庭有着实际帮助，有利于减轻家庭负担，对于巩固拓展脱贫攻坚成果同乡村振兴有效衔接</w:t>
      </w:r>
      <w:bookmarkStart w:id="90" w:name="_GoBack"/>
      <w:bookmarkEnd w:id="90"/>
      <w:r>
        <w:rPr>
          <w:rFonts w:hint="eastAsia" w:eastAsia="仿宋_GB2312" w:cs="Times New Roman"/>
          <w:sz w:val="32"/>
          <w:szCs w:val="32"/>
          <w:lang w:val="en-US" w:eastAsia="zh-CN"/>
        </w:rPr>
        <w:t>有着重要意义。2023年兑现591人次的补助，</w:t>
      </w:r>
      <w:r>
        <w:rPr>
          <w:rFonts w:hint="eastAsia" w:eastAsia="仿宋_GB2312" w:cs="Times New Roman"/>
          <w:color w:val="000000" w:themeColor="text1"/>
          <w:sz w:val="32"/>
          <w:szCs w:val="32"/>
          <w:lang w:val="en-US" w:eastAsia="zh-CN"/>
          <w14:textFill>
            <w14:solidFill>
              <w14:schemeClr w14:val="tx1"/>
            </w14:solidFill>
          </w14:textFill>
        </w:rPr>
        <w:t>88.65万元</w:t>
      </w:r>
      <w:r>
        <w:rPr>
          <w:rFonts w:hint="eastAsia" w:eastAsia="仿宋_GB2312" w:cs="Times New Roman"/>
          <w:sz w:val="32"/>
          <w:szCs w:val="32"/>
          <w:lang w:val="en-US" w:eastAsia="zh-CN"/>
        </w:rPr>
        <w:t>。</w:t>
      </w:r>
    </w:p>
    <w:p w14:paraId="511B9493">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按照“村、乡、县”三级公示，在保证群众的知情权、监督权、参与权的情况下，根据建档立卡脱贫户、边缘易致贫户小额信贷贷款和缴费利息，根据《九寨沟县脱贫人口小额信贷贴息资金管理办法》给予12个乡镇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年度脱贫人口小额信贷贴息</w:t>
      </w:r>
      <w:r>
        <w:rPr>
          <w:rFonts w:hint="eastAsia" w:ascii="仿宋_GB2312" w:hAnsi="仿宋_GB2312" w:eastAsia="仿宋_GB2312" w:cs="仿宋_GB2312"/>
          <w:sz w:val="32"/>
          <w:szCs w:val="32"/>
          <w:lang w:val="en-US" w:eastAsia="zh-CN"/>
        </w:rPr>
        <w:t>18.54</w:t>
      </w:r>
      <w:r>
        <w:rPr>
          <w:rFonts w:hint="eastAsia" w:ascii="仿宋_GB2312" w:hAnsi="仿宋_GB2312" w:eastAsia="仿宋_GB2312" w:cs="仿宋_GB2312"/>
          <w:sz w:val="32"/>
          <w:szCs w:val="32"/>
          <w:lang w:eastAsia="zh-CN"/>
        </w:rPr>
        <w:t>万元。</w:t>
      </w:r>
    </w:p>
    <w:p w14:paraId="73D1E665">
      <w:pPr>
        <w:numPr>
          <w:ilvl w:val="0"/>
          <w:numId w:val="0"/>
        </w:numPr>
        <w:spacing w:line="560" w:lineRule="exact"/>
        <w:ind w:firstLine="600"/>
        <w:rPr>
          <w:rFonts w:hint="eastAsia" w:ascii="仿宋_GB2312" w:hAnsi="仿宋_GB2312" w:eastAsia="仿宋_GB2312" w:cs="仿宋_GB2312"/>
          <w:sz w:val="32"/>
          <w:szCs w:val="32"/>
          <w:lang w:val="en-US" w:eastAsia="zh-CN"/>
        </w:rPr>
      </w:pPr>
    </w:p>
    <w:p w14:paraId="478C868D">
      <w:pPr>
        <w:numPr>
          <w:ilvl w:val="0"/>
          <w:numId w:val="0"/>
        </w:numPr>
        <w:spacing w:line="560" w:lineRule="exact"/>
        <w:ind w:firstLine="600"/>
        <w:jc w:val="center"/>
        <w:rPr>
          <w:rFonts w:hint="eastAsia" w:ascii="仿宋_GB2312" w:hAnsi="仿宋_GB2312" w:eastAsia="仿宋_GB2312" w:cs="仿宋_GB2312"/>
          <w:sz w:val="32"/>
          <w:szCs w:val="32"/>
          <w:lang w:val="en-US" w:eastAsia="zh-CN"/>
        </w:rPr>
      </w:pPr>
    </w:p>
    <w:p w14:paraId="076DDF62">
      <w:pPr>
        <w:numPr>
          <w:ilvl w:val="0"/>
          <w:numId w:val="0"/>
        </w:numPr>
        <w:spacing w:line="560" w:lineRule="exact"/>
        <w:ind w:firstLine="600"/>
        <w:jc w:val="center"/>
        <w:rPr>
          <w:rFonts w:hint="eastAsia" w:ascii="仿宋_GB2312" w:hAnsi="仿宋_GB2312" w:eastAsia="仿宋_GB2312" w:cs="仿宋_GB2312"/>
          <w:sz w:val="32"/>
          <w:szCs w:val="32"/>
          <w:lang w:val="en-US" w:eastAsia="zh-CN"/>
        </w:rPr>
      </w:pPr>
    </w:p>
    <w:p w14:paraId="0824CE04">
      <w:pPr>
        <w:numPr>
          <w:ilvl w:val="0"/>
          <w:numId w:val="0"/>
        </w:numPr>
        <w:spacing w:line="560" w:lineRule="exact"/>
        <w:ind w:firstLine="600"/>
        <w:jc w:val="center"/>
        <w:rPr>
          <w:rFonts w:hint="eastAsia"/>
          <w:lang w:val="en-US" w:eastAsia="zh-CN"/>
        </w:rPr>
      </w:pPr>
      <w:r>
        <w:rPr>
          <w:rFonts w:hint="eastAsia" w:ascii="仿宋_GB2312" w:hAnsi="仿宋_GB2312" w:eastAsia="仿宋_GB2312" w:cs="仿宋_GB2312"/>
          <w:sz w:val="32"/>
          <w:szCs w:val="32"/>
          <w:lang w:val="en-US" w:eastAsia="zh-CN"/>
        </w:rPr>
        <w:t>项目绩效目标完成情况表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(2023年度)</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42F39F1C">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AFD16B">
            <w:pPr>
              <w:widowControl/>
              <w:ind w:firstLine="480" w:firstLineChars="200"/>
              <w:jc w:val="both"/>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9201A1">
            <w:pPr>
              <w:widowControl/>
              <w:jc w:val="center"/>
              <w:textAlignment w:val="center"/>
              <w:rPr>
                <w:rFonts w:ascii="仿宋_GB2312" w:hAnsi="宋体" w:eastAsia="仿宋_GB2312" w:cs="宋体"/>
                <w:color w:val="000000"/>
                <w:sz w:val="24"/>
              </w:rPr>
            </w:pPr>
            <w:r>
              <w:rPr>
                <w:rFonts w:hint="eastAsia" w:ascii="仿宋_GB2312" w:hAnsi="仿宋_GB2312" w:eastAsia="仿宋_GB2312" w:cs="仿宋_GB2312"/>
                <w:sz w:val="32"/>
                <w:szCs w:val="32"/>
                <w:lang w:eastAsia="zh-CN"/>
              </w:rPr>
              <w:t>雨露计划</w:t>
            </w:r>
          </w:p>
        </w:tc>
      </w:tr>
      <w:tr w14:paraId="6078AC2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D6DF">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C515BA">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rPr>
              <w:t>九寨沟县</w:t>
            </w:r>
            <w:r>
              <w:rPr>
                <w:rFonts w:hint="eastAsia" w:ascii="仿宋_GB2312" w:hAnsi="宋体" w:eastAsia="仿宋_GB2312" w:cs="宋体"/>
                <w:color w:val="000000"/>
                <w:sz w:val="24"/>
                <w:lang w:val="en-US" w:eastAsia="zh-CN"/>
              </w:rPr>
              <w:t>乡村振兴局</w:t>
            </w:r>
          </w:p>
        </w:tc>
      </w:tr>
      <w:tr w14:paraId="0AB5E0A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41C1D">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DDC7BC">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710C7F">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88.65</w:t>
            </w:r>
            <w:r>
              <w:rPr>
                <w:rFonts w:hint="eastAsia" w:ascii="仿宋_GB2312" w:hAnsi="宋体" w:eastAsia="仿宋_GB2312"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28304B">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33A60E">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88.65</w:t>
            </w:r>
            <w:r>
              <w:rPr>
                <w:rFonts w:hint="eastAsia" w:ascii="仿宋_GB2312" w:hAnsi="宋体" w:eastAsia="仿宋_GB2312" w:cs="宋体"/>
                <w:color w:val="000000"/>
                <w:sz w:val="24"/>
              </w:rPr>
              <w:t>万元</w:t>
            </w:r>
          </w:p>
        </w:tc>
      </w:tr>
      <w:tr w14:paraId="3B378511">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5DC7A24">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1CA61D">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B454DC">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88.65</w:t>
            </w:r>
            <w:r>
              <w:rPr>
                <w:rFonts w:hint="eastAsia" w:ascii="仿宋_GB2312" w:hAnsi="宋体" w:eastAsia="仿宋_GB2312"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62EA3">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51D0BF">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88.65</w:t>
            </w:r>
            <w:r>
              <w:rPr>
                <w:rFonts w:hint="eastAsia" w:ascii="仿宋_GB2312" w:hAnsi="宋体" w:eastAsia="仿宋_GB2312" w:cs="宋体"/>
                <w:color w:val="000000"/>
                <w:sz w:val="24"/>
              </w:rPr>
              <w:t>万元</w:t>
            </w:r>
          </w:p>
        </w:tc>
      </w:tr>
      <w:tr w14:paraId="39019062">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ECA03B">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416039">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DA622A">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6B1B7">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3CBEA3">
            <w:pPr>
              <w:jc w:val="center"/>
              <w:rPr>
                <w:rFonts w:ascii="仿宋_GB2312" w:hAnsi="宋体" w:eastAsia="仿宋_GB2312" w:cs="宋体"/>
                <w:color w:val="000000"/>
                <w:sz w:val="24"/>
              </w:rPr>
            </w:pPr>
          </w:p>
        </w:tc>
      </w:tr>
      <w:tr w14:paraId="5553AAC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C71E37">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32BF35">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C35B1D">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实际完成目标</w:t>
            </w:r>
          </w:p>
        </w:tc>
      </w:tr>
      <w:tr w14:paraId="34797168">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1C071F3">
            <w:pPr>
              <w:widowControl/>
              <w:jc w:val="left"/>
              <w:rPr>
                <w:rFonts w:ascii="仿宋_GB2312" w:hAnsi="宋体" w:eastAsia="仿宋_GB2312"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B38C1D">
            <w:pPr>
              <w:widowControl/>
              <w:jc w:val="center"/>
              <w:textAlignment w:val="center"/>
              <w:rPr>
                <w:rFonts w:hint="eastAsia" w:ascii="仿宋_GB2312" w:hAnsi="宋体" w:eastAsia="仿宋_GB2312" w:cs="宋体"/>
                <w:color w:val="000000"/>
                <w:kern w:val="0"/>
                <w:sz w:val="24"/>
                <w:lang w:val="en-US" w:eastAsia="zh-CN" w:bidi="ar"/>
              </w:rPr>
            </w:pPr>
            <w:r>
              <w:rPr>
                <w:rFonts w:hint="eastAsia" w:ascii="仿宋_GB2312" w:hAnsi="宋体" w:eastAsia="仿宋_GB2312" w:cs="宋体"/>
                <w:color w:val="000000"/>
                <w:kern w:val="0"/>
                <w:sz w:val="24"/>
                <w:lang w:val="en-US" w:eastAsia="zh-CN" w:bidi="ar"/>
              </w:rPr>
              <w:t>符合条件的脱贫家庭（含监测帮扶对象家庭）安排“雨露计划”补助，助力巩固拓展脱贫攻坚成果，全面推进乡村振兴</w:t>
            </w:r>
          </w:p>
          <w:p w14:paraId="173CC4DA">
            <w:pPr>
              <w:widowControl/>
              <w:jc w:val="center"/>
              <w:textAlignment w:val="center"/>
              <w:rPr>
                <w:rFonts w:hint="eastAsia" w:ascii="仿宋_GB2312" w:hAnsi="宋体" w:eastAsia="仿宋_GB2312" w:cs="宋体"/>
                <w:color w:val="000000"/>
                <w:kern w:val="0"/>
                <w:sz w:val="24"/>
                <w:lang w:val="en-US" w:eastAsia="zh-CN" w:bidi="ar"/>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916B8B">
            <w:pPr>
              <w:widowControl/>
              <w:jc w:val="center"/>
              <w:textAlignment w:val="center"/>
              <w:rPr>
                <w:rFonts w:hint="eastAsia" w:ascii="仿宋_GB2312" w:hAnsi="宋体" w:eastAsia="仿宋_GB2312" w:cs="宋体"/>
                <w:color w:val="000000"/>
                <w:kern w:val="0"/>
                <w:sz w:val="24"/>
                <w:lang w:val="en-US" w:eastAsia="zh-CN" w:bidi="ar"/>
              </w:rPr>
            </w:pPr>
            <w:r>
              <w:rPr>
                <w:rFonts w:hint="eastAsia" w:ascii="仿宋_GB2312" w:hAnsi="宋体" w:eastAsia="仿宋_GB2312" w:cs="宋体"/>
                <w:color w:val="000000"/>
                <w:kern w:val="0"/>
                <w:sz w:val="24"/>
                <w:lang w:val="en-US" w:eastAsia="zh-CN" w:bidi="ar"/>
              </w:rPr>
              <w:t>按照工作流程，对符合条件的学生全部完成了补助</w:t>
            </w:r>
          </w:p>
        </w:tc>
      </w:tr>
      <w:tr w14:paraId="1A15FA7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84D6B9">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E7E5A7">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E580C">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6C2F45">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3CAD72">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14859">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实际完成指标值(包含数字及文字描述)</w:t>
            </w:r>
          </w:p>
        </w:tc>
      </w:tr>
      <w:tr w14:paraId="26BDF7FA">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7ED07B5">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6612DD">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CF015B">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C24E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补助金额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C6555">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3000元/每人、每年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3374B6">
            <w:pPr>
              <w:widowControl/>
              <w:jc w:val="center"/>
              <w:textAlignment w:val="center"/>
              <w:rPr>
                <w:rFonts w:hint="default" w:ascii="仿宋_GB2312" w:hAnsi="宋体" w:eastAsia="仿宋_GB2312" w:cs="宋体"/>
                <w:color w:val="000000"/>
                <w:sz w:val="24"/>
                <w:lang w:val="en-US" w:eastAsia="zh-CN"/>
              </w:rPr>
            </w:pPr>
            <w:r>
              <w:rPr>
                <w:rFonts w:hint="eastAsia" w:eastAsia="仿宋_GB2312" w:cs="Times New Roman"/>
                <w:sz w:val="24"/>
                <w:lang w:val="en-US" w:eastAsia="zh-CN"/>
              </w:rPr>
              <w:t>88.65</w:t>
            </w:r>
            <w:r>
              <w:rPr>
                <w:rFonts w:hint="eastAsia" w:ascii="Times New Roman" w:hAnsi="Times New Roman" w:eastAsia="仿宋_GB2312" w:cs="Times New Roman"/>
                <w:sz w:val="24"/>
                <w:lang w:val="en-US" w:eastAsia="zh-CN"/>
              </w:rPr>
              <w:t>万元</w:t>
            </w:r>
          </w:p>
        </w:tc>
      </w:tr>
      <w:tr w14:paraId="1575FFBE">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53F65E">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C409F">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9C5E56">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A74779">
            <w:pPr>
              <w:widowControl/>
              <w:jc w:val="center"/>
              <w:textAlignment w:val="center"/>
              <w:rPr>
                <w:rFonts w:hint="eastAsia" w:eastAsia="仿宋_GB2312" w:asciiTheme="minorEastAsia" w:hAnsiTheme="minorEastAsia" w:cstheme="minorEastAsia"/>
                <w:color w:val="000000"/>
                <w:sz w:val="24"/>
                <w:lang w:eastAsia="zh-CN"/>
              </w:rPr>
            </w:pPr>
            <w:r>
              <w:rPr>
                <w:rFonts w:hint="eastAsia" w:eastAsia="仿宋_GB2312" w:asciiTheme="minorEastAsia" w:hAnsiTheme="minorEastAsia" w:cstheme="minorEastAsia"/>
                <w:color w:val="000000"/>
                <w:sz w:val="24"/>
                <w:lang w:eastAsia="zh-CN"/>
              </w:rPr>
              <w:t>资金按时到人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190A039C">
            <w:pPr>
              <w:jc w:val="left"/>
              <w:rPr>
                <w:rFonts w:hint="eastAsia" w:eastAsia="仿宋_GB2312" w:asciiTheme="minorEastAsia" w:hAnsiTheme="minorEastAsia" w:cstheme="minorEastAsia"/>
                <w:color w:val="000000"/>
                <w:sz w:val="24"/>
                <w:lang w:eastAsia="zh-CN"/>
              </w:rPr>
            </w:pPr>
          </w:p>
          <w:p w14:paraId="5FA35B47">
            <w:pPr>
              <w:jc w:val="left"/>
              <w:rPr>
                <w:rFonts w:hint="eastAsia" w:eastAsia="仿宋_GB2312" w:asciiTheme="minorEastAsia" w:hAnsiTheme="minorEastAsia" w:cstheme="minorEastAsia"/>
                <w:color w:val="000000"/>
                <w:sz w:val="24"/>
                <w:lang w:eastAsia="zh-CN"/>
              </w:rPr>
            </w:pPr>
          </w:p>
          <w:p w14:paraId="5B48A72C">
            <w:pPr>
              <w:jc w:val="left"/>
              <w:rPr>
                <w:rFonts w:hint="eastAsia" w:eastAsia="仿宋_GB2312"/>
                <w:lang w:eastAsia="zh-CN"/>
              </w:rPr>
            </w:pPr>
            <w:r>
              <w:rPr>
                <w:rFonts w:hint="eastAsia" w:eastAsia="仿宋_GB2312" w:asciiTheme="minorEastAsia" w:hAnsiTheme="minorEastAsia" w:cstheme="minorEastAsia"/>
                <w:color w:val="000000"/>
                <w:sz w:val="24"/>
                <w:lang w:eastAsia="zh-CN"/>
              </w:rPr>
              <w:t>资金按时到人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31CD1008">
            <w:pPr>
              <w:jc w:val="center"/>
              <w:rPr>
                <w:rFonts w:hint="eastAsia" w:eastAsia="仿宋_GB2312" w:asciiTheme="minorEastAsia" w:hAnsiTheme="minorEastAsia" w:cstheme="minorEastAsia"/>
                <w:color w:val="000000"/>
                <w:sz w:val="24"/>
                <w:lang w:eastAsia="zh-CN"/>
              </w:rPr>
            </w:pPr>
          </w:p>
          <w:p w14:paraId="57BA5E4D">
            <w:pPr>
              <w:jc w:val="center"/>
              <w:rPr>
                <w:rFonts w:hint="eastAsia" w:eastAsia="仿宋_GB2312" w:asciiTheme="minorEastAsia" w:hAnsiTheme="minorEastAsia" w:cstheme="minorEastAsia"/>
                <w:color w:val="000000"/>
                <w:sz w:val="24"/>
                <w:lang w:eastAsia="zh-CN"/>
              </w:rPr>
            </w:pPr>
          </w:p>
          <w:p w14:paraId="369E6249">
            <w:pPr>
              <w:jc w:val="center"/>
              <w:rPr>
                <w:rFonts w:hint="eastAsia" w:eastAsia="仿宋_GB2312"/>
                <w:lang w:eastAsia="zh-CN"/>
              </w:rPr>
            </w:pPr>
            <w:r>
              <w:rPr>
                <w:rFonts w:hint="eastAsia" w:eastAsia="仿宋_GB2312" w:asciiTheme="minorEastAsia" w:hAnsiTheme="minorEastAsia" w:cstheme="minorEastAsia"/>
                <w:color w:val="000000"/>
                <w:sz w:val="24"/>
                <w:lang w:eastAsia="zh-CN"/>
              </w:rPr>
              <w:t>资金按时补助到人</w:t>
            </w:r>
          </w:p>
        </w:tc>
      </w:tr>
      <w:tr w14:paraId="1F19263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54B2F38">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495A11">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81E60C">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102BDD">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A02115">
            <w:pPr>
              <w:widowControl/>
              <w:jc w:val="left"/>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一年两个学期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DBE309">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春季、秋季</w:t>
            </w:r>
          </w:p>
        </w:tc>
      </w:tr>
      <w:tr w14:paraId="17189EF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3DD08F9">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DD4A52">
            <w:pPr>
              <w:widowControl/>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2B3A3C">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DC7059">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lang w:eastAsia="zh-CN"/>
              </w:rPr>
              <w:t>项目总成本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07BE46">
            <w:pPr>
              <w:widowControl/>
              <w:jc w:val="center"/>
              <w:textAlignment w:val="center"/>
              <w:rPr>
                <w:rFonts w:ascii="仿宋_GB2312" w:hAnsi="宋体" w:eastAsia="仿宋_GB2312" w:cs="宋体"/>
                <w:color w:val="000000"/>
                <w:sz w:val="24"/>
              </w:rPr>
            </w:pPr>
            <w:r>
              <w:rPr>
                <w:rFonts w:hint="default" w:ascii="Arial" w:hAnsi="Arial" w:eastAsia="仿宋_GB2312" w:cs="Arial"/>
                <w:color w:val="000000"/>
                <w:sz w:val="24"/>
              </w:rPr>
              <w:t>≤</w:t>
            </w:r>
            <w:r>
              <w:rPr>
                <w:rFonts w:hint="eastAsia" w:eastAsia="仿宋_GB2312" w:cs="Times New Roman"/>
                <w:sz w:val="24"/>
                <w:lang w:val="en-US" w:eastAsia="zh-CN"/>
              </w:rPr>
              <w:t>88.65</w:t>
            </w:r>
            <w:r>
              <w:rPr>
                <w:rFonts w:hint="eastAsia" w:ascii="Times New Roman" w:hAnsi="Times New Roman" w:eastAsia="仿宋_GB2312" w:cs="Times New Roman"/>
                <w:sz w:val="24"/>
                <w:lang w:val="en-US" w:eastAsia="zh-CN"/>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19300F">
            <w:pPr>
              <w:widowControl/>
              <w:jc w:val="center"/>
              <w:textAlignment w:val="center"/>
              <w:rPr>
                <w:rFonts w:ascii="仿宋_GB2312" w:hAnsi="宋体" w:eastAsia="仿宋_GB2312" w:cs="宋体"/>
                <w:color w:val="000000"/>
                <w:sz w:val="24"/>
              </w:rPr>
            </w:pPr>
            <w:r>
              <w:rPr>
                <w:rFonts w:hint="eastAsia" w:eastAsia="仿宋_GB2312" w:cs="Times New Roman"/>
                <w:sz w:val="24"/>
                <w:lang w:val="en-US" w:eastAsia="zh-CN"/>
              </w:rPr>
              <w:t>88.65</w:t>
            </w:r>
            <w:r>
              <w:rPr>
                <w:rFonts w:hint="eastAsia" w:ascii="Times New Roman" w:hAnsi="Times New Roman" w:eastAsia="仿宋_GB2312" w:cs="Times New Roman"/>
                <w:sz w:val="24"/>
                <w:lang w:val="en-US" w:eastAsia="zh-CN"/>
              </w:rPr>
              <w:t>万元</w:t>
            </w:r>
          </w:p>
        </w:tc>
      </w:tr>
      <w:tr w14:paraId="788472A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EE33279">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049403">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3B0D4C">
            <w:pPr>
              <w:widowControl/>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2D5A1A">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受益人次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1B1E2D">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591人次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58E61C">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591人次</w:t>
            </w:r>
          </w:p>
        </w:tc>
      </w:tr>
      <w:tr w14:paraId="55951551">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E13CD64">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D62332">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183E7B">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88A4CF">
            <w:pPr>
              <w:widowControl/>
              <w:jc w:val="center"/>
              <w:textAlignment w:val="center"/>
              <w:rPr>
                <w:rFonts w:hint="eastAsia" w:eastAsia="仿宋_GB2312" w:asciiTheme="minorEastAsia" w:hAnsiTheme="minorEastAsia" w:cstheme="minorEastAsia"/>
                <w:color w:val="000000"/>
                <w:sz w:val="24"/>
                <w:lang w:eastAsia="zh-CN"/>
              </w:rPr>
            </w:pPr>
            <w:r>
              <w:rPr>
                <w:rFonts w:hint="eastAsia" w:eastAsia="仿宋_GB2312"/>
                <w:sz w:val="24"/>
                <w:lang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ADC185">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0BD85B">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满意</w:t>
            </w:r>
          </w:p>
        </w:tc>
      </w:tr>
      <w:tr w14:paraId="27951C13">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DCFE16A">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49B32">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E51A9A">
            <w:pPr>
              <w:spacing w:line="360" w:lineRule="exact"/>
              <w:jc w:val="center"/>
              <w:rPr>
                <w:rFonts w:hint="eastAsia" w:eastAsia="仿宋_GB2312"/>
                <w:sz w:val="24"/>
              </w:rPr>
            </w:pPr>
            <w:r>
              <w:rPr>
                <w:rFonts w:hint="eastAsia" w:eastAsia="仿宋_GB2312"/>
                <w:sz w:val="24"/>
              </w:rPr>
              <w:t>经济效益</w:t>
            </w:r>
          </w:p>
          <w:p w14:paraId="48AC4F82">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55479E">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imes New Roman" w:hAnsi="Times New Roman" w:eastAsia="仿宋_GB2312" w:cs="Times New Roman"/>
                <w:sz w:val="24"/>
                <w:lang w:eastAsia="zh-CN"/>
              </w:rPr>
              <w:t>提高收入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CEE3AC">
            <w:pPr>
              <w:widowControl/>
              <w:jc w:val="center"/>
              <w:textAlignment w:val="center"/>
              <w:rPr>
                <w:rFonts w:ascii="仿宋_GB2312" w:hAnsi="宋体" w:eastAsia="仿宋_GB2312" w:cs="宋体"/>
                <w:color w:val="000000"/>
                <w:sz w:val="24"/>
              </w:rPr>
            </w:pPr>
            <w:r>
              <w:rPr>
                <w:rFonts w:hint="eastAsia" w:ascii="Times New Roman" w:hAnsi="Times New Roman" w:eastAsia="仿宋_GB2312" w:cs="Times New Roman"/>
                <w:sz w:val="24"/>
                <w:lang w:val="en-US" w:eastAsia="zh-CN"/>
              </w:rPr>
              <w:t>3000元/每人、每年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AA6BF5">
            <w:pPr>
              <w:widowControl/>
              <w:jc w:val="center"/>
              <w:textAlignment w:val="center"/>
              <w:rPr>
                <w:rFonts w:ascii="仿宋_GB2312" w:hAnsi="宋体" w:eastAsia="仿宋_GB2312" w:cs="宋体"/>
                <w:color w:val="000000"/>
                <w:sz w:val="24"/>
              </w:rPr>
            </w:pPr>
            <w:r>
              <w:rPr>
                <w:rFonts w:hint="eastAsia" w:eastAsia="仿宋_GB2312"/>
                <w:sz w:val="24"/>
                <w:lang w:val="en-US" w:eastAsia="zh-CN"/>
              </w:rPr>
              <w:t>3</w:t>
            </w:r>
            <w:r>
              <w:rPr>
                <w:rFonts w:hint="eastAsia" w:ascii="Times New Roman" w:hAnsi="Times New Roman" w:eastAsia="仿宋_GB2312" w:cs="Times New Roman"/>
                <w:sz w:val="24"/>
                <w:lang w:val="en-US" w:eastAsia="zh-CN"/>
              </w:rPr>
              <w:t>000元/每人、每年</w:t>
            </w:r>
          </w:p>
        </w:tc>
      </w:tr>
      <w:tr w14:paraId="3A6D54AE">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AE13C9D">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CCB584">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6A67B4">
            <w:pPr>
              <w:widowControl/>
              <w:jc w:val="center"/>
              <w:textAlignment w:val="center"/>
              <w:rPr>
                <w:rFonts w:ascii="仿宋_GB2312" w:hAnsi="宋体" w:eastAsia="仿宋_GB2312"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E0FD65">
            <w:pPr>
              <w:widowControl/>
              <w:jc w:val="center"/>
              <w:textAlignment w:val="center"/>
              <w:rPr>
                <w:rFonts w:ascii="仿宋_GB2312" w:hAnsi="宋体" w:eastAsia="仿宋_GB2312" w:cs="宋体"/>
                <w:color w:val="000000"/>
                <w:sz w:val="24"/>
              </w:rPr>
            </w:pPr>
            <w:r>
              <w:rPr>
                <w:rFonts w:hint="eastAsia" w:eastAsia="仿宋_GB2312"/>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F3210B">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69B513">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100%</w:t>
            </w:r>
          </w:p>
        </w:tc>
      </w:tr>
    </w:tbl>
    <w:p w14:paraId="27F0A9B3">
      <w:pPr>
        <w:spacing w:line="580" w:lineRule="exact"/>
        <w:ind w:firstLine="640" w:firstLineChars="20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DC11FB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3A133E9">
            <w:pPr>
              <w:widowControl/>
              <w:jc w:val="center"/>
              <w:textAlignment w:val="center"/>
              <w:rPr>
                <w:rFonts w:hint="eastAsia"/>
                <w:sz w:val="32"/>
                <w:szCs w:val="32"/>
              </w:rPr>
            </w:pPr>
            <w:r>
              <w:rPr>
                <w:rFonts w:hint="eastAsia"/>
                <w:sz w:val="32"/>
                <w:szCs w:val="32"/>
              </w:rPr>
              <w:t>项目绩效目标完成情况表</w:t>
            </w:r>
            <w:r>
              <w:rPr>
                <w:rFonts w:hint="eastAsia"/>
                <w:sz w:val="32"/>
                <w:szCs w:val="32"/>
              </w:rPr>
              <w:br w:type="textWrapping"/>
            </w:r>
            <w:r>
              <w:rPr>
                <w:rFonts w:hint="eastAsia"/>
                <w:sz w:val="32"/>
                <w:szCs w:val="32"/>
              </w:rPr>
              <w:t>(</w:t>
            </w:r>
            <w:r>
              <w:rPr>
                <w:rFonts w:hint="eastAsia"/>
                <w:sz w:val="32"/>
                <w:szCs w:val="32"/>
                <w:lang w:eastAsia="zh-CN"/>
              </w:rPr>
              <w:t>202</w:t>
            </w:r>
            <w:r>
              <w:rPr>
                <w:rFonts w:hint="eastAsia"/>
                <w:sz w:val="32"/>
                <w:szCs w:val="32"/>
                <w:lang w:val="en-US" w:eastAsia="zh-CN"/>
              </w:rPr>
              <w:t>3</w:t>
            </w:r>
            <w:r>
              <w:rPr>
                <w:rFonts w:hint="eastAsia"/>
                <w:sz w:val="32"/>
                <w:szCs w:val="32"/>
              </w:rPr>
              <w:t>年度)</w:t>
            </w:r>
          </w:p>
          <w:p w14:paraId="2B8DF4C4">
            <w:pPr>
              <w:pStyle w:val="15"/>
            </w:pPr>
          </w:p>
        </w:tc>
      </w:tr>
      <w:tr w14:paraId="2DC83C6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6831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851521">
            <w:pPr>
              <w:widowControl/>
              <w:jc w:val="center"/>
              <w:textAlignment w:val="center"/>
              <w:rPr>
                <w:rFonts w:ascii="宋体" w:hAnsi="宋体" w:cs="宋体"/>
                <w:color w:val="000000"/>
                <w:sz w:val="24"/>
              </w:rPr>
            </w:pPr>
            <w:r>
              <w:rPr>
                <w:rFonts w:hint="eastAsia" w:eastAsia="仿宋_GB2312"/>
                <w:sz w:val="32"/>
                <w:u w:val="none"/>
                <w:lang w:eastAsia="zh-CN"/>
              </w:rPr>
              <w:t>脱贫人口小额信贷贴息</w:t>
            </w:r>
          </w:p>
        </w:tc>
      </w:tr>
      <w:tr w14:paraId="05BC4D9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D506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C7F8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九寨沟县乡村振兴局</w:t>
            </w:r>
          </w:p>
        </w:tc>
      </w:tr>
      <w:tr w14:paraId="4E59D86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C353A">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07312">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47B9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D7376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DDAA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18.54</w:t>
            </w:r>
          </w:p>
        </w:tc>
      </w:tr>
      <w:tr w14:paraId="65294611">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CB186">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C056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0FA6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8BBD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38AB7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18.54</w:t>
            </w:r>
          </w:p>
        </w:tc>
      </w:tr>
      <w:tr w14:paraId="33D19949">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90938">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D5B2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8908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C46A3">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B0118">
            <w:pPr>
              <w:jc w:val="center"/>
              <w:rPr>
                <w:rFonts w:ascii="宋体" w:hAnsi="宋体" w:cs="宋体"/>
                <w:color w:val="000000"/>
                <w:sz w:val="24"/>
              </w:rPr>
            </w:pPr>
          </w:p>
        </w:tc>
      </w:tr>
      <w:tr w14:paraId="6698B30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16D216">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80AF4">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26AB5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1FF7E08">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06758">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126E7">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现实脱贫人口“贷得到、用的好、还得上、逐步富”的目标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38C74">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按照“先收后贴”原则，减轻了脱贫人口负担</w:t>
            </w:r>
          </w:p>
        </w:tc>
      </w:tr>
      <w:tr w14:paraId="1FA479E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7FD6FC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7CDC4">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95ABBA">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A4D65C">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E2933">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5D86D">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2A227D48">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B8DE0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1467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9AE6E4">
            <w:pPr>
              <w:widowControl/>
              <w:jc w:val="center"/>
              <w:textAlignment w:val="center"/>
              <w:rPr>
                <w:rFonts w:ascii="宋体" w:hAns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6AFE41">
            <w:pPr>
              <w:widowControl/>
              <w:jc w:val="center"/>
              <w:textAlignment w:val="center"/>
              <w:rPr>
                <w:rFonts w:hint="eastAsia" w:ascii="宋体" w:hAnsi="宋体" w:eastAsia="宋体" w:cs="宋体"/>
                <w:color w:val="000000"/>
                <w:sz w:val="24"/>
                <w:lang w:eastAsia="zh-CN"/>
              </w:rPr>
            </w:pPr>
            <w:r>
              <w:rPr>
                <w:rFonts w:hint="eastAsia" w:eastAsia="仿宋_GB2312" w:cs="Times New Roman"/>
                <w:sz w:val="24"/>
                <w:lang w:val="en-US" w:eastAsia="zh-CN"/>
              </w:rPr>
              <w:t>脱贫人口贷款</w:t>
            </w:r>
            <w:r>
              <w:rPr>
                <w:rFonts w:hint="eastAsia" w:ascii="Times New Roman" w:hAnsi="Times New Roman" w:eastAsia="仿宋_GB2312" w:cs="Times New Roman"/>
                <w:sz w:val="24"/>
                <w:lang w:val="en-US" w:eastAsia="zh-CN"/>
              </w:rPr>
              <w:t>户数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0CA49">
            <w:pPr>
              <w:widowControl/>
              <w:jc w:val="center"/>
              <w:textAlignment w:val="center"/>
              <w:rPr>
                <w:rFonts w:hint="default" w:ascii="宋体" w:hAnsi="宋体" w:cs="宋体"/>
                <w:color w:val="000000"/>
                <w:sz w:val="24"/>
                <w:lang w:val="en-US"/>
              </w:rPr>
            </w:pPr>
            <w:r>
              <w:rPr>
                <w:rFonts w:hint="eastAsia" w:eastAsia="仿宋_GB2312"/>
                <w:sz w:val="24"/>
                <w:lang w:val="en-US" w:eastAsia="zh-CN"/>
              </w:rPr>
              <w:t>小额信贷贷款全覆盖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80302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贷款脱贫人口</w:t>
            </w:r>
          </w:p>
        </w:tc>
      </w:tr>
      <w:tr w14:paraId="0466589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7DADE5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353C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36924">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B6CA0">
            <w:pPr>
              <w:widowControl/>
              <w:jc w:val="center"/>
              <w:textAlignment w:val="center"/>
              <w:rPr>
                <w:rFonts w:ascii="宋体" w:hAnsi="宋体" w:cs="宋体"/>
                <w:color w:val="000000"/>
                <w:sz w:val="24"/>
              </w:rPr>
            </w:pPr>
            <w:r>
              <w:rPr>
                <w:rFonts w:hint="eastAsia" w:ascii="Times New Roman" w:hAnsi="Times New Roman" w:eastAsia="仿宋_GB2312" w:cs="Times New Roman"/>
                <w:sz w:val="24"/>
                <w:lang w:val="en-US" w:eastAsia="zh-CN"/>
              </w:rPr>
              <w:t>及时贴息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68535D">
            <w:pPr>
              <w:widowControl/>
              <w:jc w:val="center"/>
              <w:textAlignment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申请贴息</w:t>
            </w:r>
            <w:r>
              <w:rPr>
                <w:rFonts w:hint="eastAsia" w:eastAsia="仿宋_GB2312" w:cs="Times New Roman"/>
                <w:sz w:val="24"/>
                <w:lang w:val="en-US" w:eastAsia="zh-CN"/>
              </w:rPr>
              <w:t>全覆盖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F972D">
            <w:pPr>
              <w:widowControl/>
              <w:jc w:val="center"/>
              <w:textAlignment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实现</w:t>
            </w:r>
            <w:r>
              <w:rPr>
                <w:rFonts w:hint="eastAsia" w:eastAsia="仿宋_GB2312" w:cs="Times New Roman"/>
                <w:sz w:val="24"/>
                <w:lang w:val="en-US" w:eastAsia="zh-CN"/>
              </w:rPr>
              <w:t>18.54</w:t>
            </w:r>
            <w:r>
              <w:rPr>
                <w:rFonts w:hint="eastAsia" w:ascii="Times New Roman" w:hAnsi="Times New Roman" w:eastAsia="仿宋_GB2312" w:cs="Times New Roman"/>
                <w:sz w:val="24"/>
                <w:lang w:val="en-US" w:eastAsia="zh-CN"/>
              </w:rPr>
              <w:t>万元</w:t>
            </w:r>
          </w:p>
        </w:tc>
      </w:tr>
      <w:tr w14:paraId="53CF676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5FECBA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D9D1B">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159751">
            <w:pPr>
              <w:widowControl/>
              <w:jc w:val="center"/>
              <w:textAlignment w:val="center"/>
              <w:rPr>
                <w:rFonts w:ascii="宋体" w:hAnsi="宋体" w:cs="宋体"/>
                <w:color w:val="000000"/>
                <w:sz w:val="24"/>
              </w:rPr>
            </w:pPr>
            <w:r>
              <w:rPr>
                <w:rFonts w:hint="eastAsia" w:eastAsia="仿宋_GB2312"/>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6596E">
            <w:pPr>
              <w:widowControl/>
              <w:jc w:val="center"/>
              <w:textAlignment w:val="center"/>
              <w:rPr>
                <w:rFonts w:ascii="宋体" w:hAnsi="宋体" w:cs="宋体"/>
                <w:color w:val="000000"/>
                <w:sz w:val="24"/>
              </w:rPr>
            </w:pPr>
            <w:r>
              <w:rPr>
                <w:rFonts w:hint="eastAsia" w:eastAsia="仿宋_GB2312"/>
                <w:sz w:val="24"/>
                <w:lang w:eastAsia="zh-CN"/>
              </w:rPr>
              <w:t>及时申请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E0EFC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2023年1月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C7A7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2023年12月</w:t>
            </w:r>
          </w:p>
        </w:tc>
      </w:tr>
      <w:tr w14:paraId="6E091BA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0F27D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CC89C">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77978">
            <w:pPr>
              <w:spacing w:line="360" w:lineRule="exact"/>
              <w:jc w:val="center"/>
              <w:rPr>
                <w:rFonts w:hint="eastAsia" w:eastAsia="仿宋_GB2312"/>
                <w:sz w:val="24"/>
              </w:rPr>
            </w:pPr>
            <w:r>
              <w:rPr>
                <w:rFonts w:hint="eastAsia" w:eastAsia="仿宋_GB2312"/>
                <w:sz w:val="24"/>
              </w:rPr>
              <w:t>社会效益</w:t>
            </w:r>
          </w:p>
          <w:p w14:paraId="611006A7">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AC5F8">
            <w:pPr>
              <w:widowControl/>
              <w:jc w:val="center"/>
              <w:textAlignment w:val="center"/>
              <w:rPr>
                <w:rFonts w:ascii="宋体" w:hAnsi="宋体" w:cs="宋体"/>
                <w:color w:val="000000"/>
                <w:sz w:val="24"/>
              </w:rPr>
            </w:pPr>
            <w:r>
              <w:rPr>
                <w:rFonts w:hint="eastAsia" w:eastAsia="仿宋_GB2312"/>
                <w:sz w:val="18"/>
                <w:szCs w:val="18"/>
                <w:lang w:eastAsia="zh-CN"/>
              </w:rPr>
              <w:t>受益自然村个数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181E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100个村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5840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100个村</w:t>
            </w:r>
          </w:p>
        </w:tc>
      </w:tr>
      <w:tr w14:paraId="5B4C8DAE">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6828BE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92C54">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1DDA2">
            <w:pPr>
              <w:spacing w:line="360" w:lineRule="exact"/>
              <w:jc w:val="center"/>
              <w:rPr>
                <w:rFonts w:hint="eastAsia" w:eastAsia="仿宋_GB2312"/>
                <w:sz w:val="24"/>
              </w:rPr>
            </w:pPr>
            <w:r>
              <w:rPr>
                <w:rFonts w:hint="eastAsia" w:eastAsia="仿宋_GB2312"/>
                <w:sz w:val="24"/>
              </w:rPr>
              <w:t>社会效益</w:t>
            </w:r>
          </w:p>
          <w:p w14:paraId="0747B71B">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886D6">
            <w:pPr>
              <w:widowControl/>
              <w:jc w:val="center"/>
              <w:textAlignment w:val="center"/>
              <w:rPr>
                <w:rFonts w:ascii="宋体" w:hAnsi="宋体" w:cs="宋体"/>
                <w:color w:val="000000"/>
                <w:sz w:val="24"/>
              </w:rPr>
            </w:pPr>
            <w:r>
              <w:rPr>
                <w:rFonts w:hint="eastAsia" w:eastAsia="仿宋_GB2312"/>
                <w:sz w:val="24"/>
                <w:lang w:eastAsia="zh-CN"/>
              </w:rPr>
              <w:t>受益脱贫村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EE5F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100个</w:t>
            </w:r>
            <w:r>
              <w:rPr>
                <w:rFonts w:hint="eastAsia" w:eastAsia="仿宋_GB2312"/>
                <w:sz w:val="24"/>
                <w:lang w:eastAsia="zh-CN"/>
              </w:rPr>
              <w:t>脱贫</w:t>
            </w:r>
            <w:r>
              <w:rPr>
                <w:rFonts w:hint="eastAsia" w:ascii="宋体" w:hAnsi="宋体" w:cs="宋体"/>
                <w:color w:val="000000"/>
                <w:sz w:val="24"/>
                <w:lang w:val="en-US" w:eastAsia="zh-CN"/>
              </w:rPr>
              <w:t>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64988">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100个</w:t>
            </w:r>
            <w:r>
              <w:rPr>
                <w:rFonts w:hint="eastAsia" w:eastAsia="仿宋_GB2312"/>
                <w:sz w:val="24"/>
                <w:lang w:eastAsia="zh-CN"/>
              </w:rPr>
              <w:t>脱贫村</w:t>
            </w:r>
          </w:p>
        </w:tc>
      </w:tr>
      <w:tr w14:paraId="5D81BEC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E185D3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9F63F">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BC8485">
            <w:pPr>
              <w:widowControl/>
              <w:jc w:val="center"/>
              <w:textAlignment w:val="center"/>
              <w:rPr>
                <w:rFonts w:ascii="宋体" w:hAnsi="宋体"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EF7D9">
            <w:pPr>
              <w:widowControl/>
              <w:jc w:val="center"/>
              <w:textAlignment w:val="center"/>
              <w:rPr>
                <w:rFonts w:ascii="宋体" w:hAnsi="宋体" w:cs="宋体"/>
                <w:color w:val="000000"/>
                <w:sz w:val="24"/>
              </w:rPr>
            </w:pPr>
            <w:r>
              <w:rPr>
                <w:rFonts w:hint="eastAsia" w:eastAsia="仿宋_GB2312"/>
                <w:sz w:val="18"/>
                <w:szCs w:val="18"/>
                <w:lang w:eastAsia="zh-CN"/>
              </w:rPr>
              <w:t>受益建档立卡脱贫人口满意度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46DE7">
            <w:pPr>
              <w:widowControl/>
              <w:jc w:val="center"/>
              <w:textAlignment w:val="center"/>
              <w:rPr>
                <w:rFonts w:hint="default" w:ascii="宋体" w:hAnsi="宋体" w:eastAsia="宋体" w:cs="宋体"/>
                <w:color w:val="000000"/>
                <w:sz w:val="24"/>
                <w:lang w:val="en-US" w:eastAsia="zh-CN"/>
              </w:rPr>
            </w:pPr>
            <w:r>
              <w:rPr>
                <w:rFonts w:hint="default" w:ascii="Arial" w:hAnsi="Arial" w:cs="Arial"/>
                <w:color w:val="000000"/>
                <w:sz w:val="24"/>
              </w:rPr>
              <w:t>≥</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60555">
            <w:pPr>
              <w:widowControl/>
              <w:jc w:val="center"/>
              <w:textAlignment w:val="center"/>
              <w:rPr>
                <w:rFonts w:ascii="宋体" w:hAnsi="宋体" w:cs="宋体"/>
                <w:color w:val="000000"/>
                <w:sz w:val="24"/>
              </w:rPr>
            </w:pPr>
            <w:r>
              <w:rPr>
                <w:rFonts w:hint="default" w:ascii="Arial" w:hAnsi="Arial" w:cs="Arial"/>
                <w:color w:val="000000"/>
                <w:sz w:val="24"/>
              </w:rPr>
              <w:t>≥</w:t>
            </w:r>
            <w:r>
              <w:rPr>
                <w:rFonts w:hint="eastAsia" w:ascii="宋体" w:hAnsi="宋体" w:cs="宋体"/>
                <w:color w:val="000000"/>
                <w:sz w:val="24"/>
                <w:lang w:val="en-US" w:eastAsia="zh-CN"/>
              </w:rPr>
              <w:t>100%</w:t>
            </w:r>
          </w:p>
        </w:tc>
      </w:tr>
    </w:tbl>
    <w:p w14:paraId="022776B3">
      <w:pPr>
        <w:spacing w:line="580" w:lineRule="exact"/>
        <w:rPr>
          <w:rFonts w:ascii="仿宋_GB2312" w:hAnsi="仿宋_GB2312" w:eastAsia="仿宋_GB2312" w:cs="仿宋_GB2312"/>
          <w:sz w:val="32"/>
          <w:szCs w:val="32"/>
        </w:rPr>
      </w:pPr>
    </w:p>
    <w:p w14:paraId="3FEFC8DF">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151D792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年部门整体支出绩效评价报告》见附件。</w:t>
      </w:r>
    </w:p>
    <w:p w14:paraId="4CB6F3BB">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5D6DEAB">
      <w:pPr>
        <w:numPr>
          <w:ilvl w:val="0"/>
          <w:numId w:val="4"/>
        </w:numPr>
        <w:spacing w:line="600" w:lineRule="exact"/>
        <w:ind w:firstLine="660" w:firstLineChars="150"/>
        <w:jc w:val="center"/>
        <w:outlineLvl w:val="0"/>
        <w:rPr>
          <w:rStyle w:val="28"/>
          <w:rFonts w:ascii="黑体" w:hAnsi="黑体" w:eastAsia="黑体"/>
          <w:b w:val="0"/>
        </w:rPr>
      </w:pPr>
      <w:bookmarkStart w:id="47" w:name="_Toc15396613"/>
      <w:bookmarkStart w:id="48"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47"/>
      <w:bookmarkEnd w:id="48"/>
    </w:p>
    <w:p w14:paraId="4B8C8DD2">
      <w:pPr>
        <w:spacing w:line="600" w:lineRule="exact"/>
        <w:jc w:val="left"/>
        <w:rPr>
          <w:rFonts w:ascii="宋体"/>
          <w:b/>
          <w:color w:val="000000"/>
          <w:sz w:val="44"/>
          <w:szCs w:val="44"/>
        </w:rPr>
      </w:pPr>
    </w:p>
    <w:p w14:paraId="764F8B43">
      <w:pPr>
        <w:spacing w:line="600" w:lineRule="exact"/>
        <w:ind w:firstLine="640"/>
        <w:rPr>
          <w:rFonts w:hint="eastAsia" w:ascii="仿宋_GB2312" w:eastAsia="仿宋_GB2312"/>
          <w:sz w:val="32"/>
          <w:szCs w:val="32"/>
        </w:rPr>
      </w:pPr>
      <w:r>
        <w:rPr>
          <w:rFonts w:hint="eastAsia" w:ascii="仿宋_GB2312" w:eastAsia="仿宋_GB2312"/>
          <w:sz w:val="32"/>
          <w:szCs w:val="32"/>
        </w:rPr>
        <w:t xml:space="preserve">1.财政拨款收入：指州级财政当年拨付的资金。 </w:t>
      </w:r>
    </w:p>
    <w:p w14:paraId="39E6F470">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rPr>
        <w:t>2.年初结转和结余：指以前年度尚未完成、结转到本年按有关规定继续使用的资金。</w:t>
      </w:r>
    </w:p>
    <w:p w14:paraId="17F7B914">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一般公共服务（213）行政机关（05）行政运行（01）：指用于保障行政机构正常运行、开展日常工作的基本支出。</w:t>
      </w:r>
    </w:p>
    <w:p w14:paraId="7D0A5009">
      <w:pPr>
        <w:spacing w:line="600" w:lineRule="exact"/>
        <w:ind w:firstLine="640"/>
        <w:rPr>
          <w:rFonts w:hint="eastAsia" w:ascii="仿宋_GB2312" w:eastAsia="仿宋_GB2312"/>
          <w:sz w:val="32"/>
          <w:szCs w:val="32"/>
        </w:rPr>
      </w:pPr>
      <w:r>
        <w:rPr>
          <w:rFonts w:hint="eastAsia" w:ascii="仿宋_GB2312" w:eastAsia="仿宋_GB2312"/>
          <w:sz w:val="32"/>
          <w:szCs w:val="32"/>
        </w:rPr>
        <w:t>4.社会保障和就业（208）行政事业单位离退休（05）机关事业单位基本养老保险缴费支出（05）：指部门实施养老保险制度由单位缴纳的养老保险费的支出。</w:t>
      </w:r>
    </w:p>
    <w:p w14:paraId="59F8E5F5">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.社会保障和就业（208）行政事业单位离退休（05）机关事业单位职业年金缴费支出（06）：指部门实施职业年金制度由单位缴纳的职业年金的支出。</w:t>
      </w:r>
    </w:p>
    <w:p w14:paraId="74D2E110">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.医疗卫生与计划生育（210）行政事业单位医疗（11）行政单位医疗（01）：指用于缴纳行政单位基本医疗保险支出。</w:t>
      </w:r>
    </w:p>
    <w:p w14:paraId="51AF3AED">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.医疗卫生与计划生育（210）行政事业单位医疗（11）公务员医疗补助（03）：指用于缴纳单位公务员医疗补助支出。</w:t>
      </w:r>
    </w:p>
    <w:p w14:paraId="19778055">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住房保障（221）住房改革支出（02）住房公积金（01）：指按照《住房公积金管理条例》的规定，由单位及其在职职工缴存的长期住房储金。</w:t>
      </w:r>
    </w:p>
    <w:p w14:paraId="5FFF6D54">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农林水支出（213）扶贫（05）其他巩固脱贫攻坚成果衔接乡村振兴支出（99）：反映除上述项目以外其他用于乡村振兴方面的支出。</w:t>
      </w:r>
    </w:p>
    <w:p w14:paraId="488302A0">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.结余分配：指事业单位按规定提取的职工福利基金、事业基金和缴纳的所得税，以及建设单位按规定应交回的基本建设竣工项目结余资金。</w:t>
      </w:r>
    </w:p>
    <w:p w14:paraId="6AE151E1">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.年末结转和结余：指本年度或以前年度预算安排、因客观条件发生变化无法按原计划实施，需延迟到以后年度按有关规定继续使用的资金。</w:t>
      </w:r>
    </w:p>
    <w:p w14:paraId="11121BCC">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.基本支出：指为保障机构正常运转、完成日常工作任务而发生的人员支出和公用支出。</w:t>
      </w:r>
    </w:p>
    <w:p w14:paraId="346A8874">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 xml:space="preserve">.项目支出：指在基本支出之外为完成特定行政任务和事业发展目标所发生的支出。 </w:t>
      </w:r>
    </w:p>
    <w:p w14:paraId="2545B67E">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.经营支出：指事业单位在专业业务活动及其辅助活动之外开展非独立核算经营活动发生的支出。</w:t>
      </w:r>
    </w:p>
    <w:p w14:paraId="02D92738">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0DAABE3">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1732C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14:paraId="62E65C6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9BED08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14:paraId="214CE6EA">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A86682">
      <w:pPr>
        <w:pStyle w:val="26"/>
        <w:spacing w:line="560" w:lineRule="exact"/>
        <w:ind w:firstLine="640" w:firstLineChars="200"/>
        <w:rPr>
          <w:rFonts w:hint="eastAsia"/>
          <w:lang w:val="en-US" w:eastAsia="zh-CN"/>
        </w:rPr>
      </w:pPr>
      <w:r>
        <w:rPr>
          <w:rFonts w:hint="eastAsia" w:ascii="仿宋_GB2312" w:eastAsia="仿宋_GB2312"/>
          <w:sz w:val="32"/>
          <w:szCs w:val="32"/>
          <w:lang w:val="en-US" w:eastAsia="zh-CN"/>
        </w:rPr>
        <w:t>2</w:t>
      </w:r>
      <w:r>
        <w:rPr>
          <w:rFonts w:ascii="仿宋_GB2312" w:eastAsia="仿宋_GB2312"/>
          <w:sz w:val="32"/>
          <w:szCs w:val="32"/>
        </w:rPr>
        <w:t>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49" w:name="_Toc15377226"/>
    </w:p>
    <w:p w14:paraId="6538CD26">
      <w:pPr>
        <w:spacing w:line="580" w:lineRule="exact"/>
        <w:ind w:firstLine="640" w:firstLineChars="200"/>
        <w:rPr>
          <w:rFonts w:hint="eastAsia" w:ascii="仿宋" w:hAnsi="仿宋" w:eastAsia="仿宋" w:cs="仿宋_GB2312"/>
          <w:sz w:val="32"/>
          <w:szCs w:val="32"/>
          <w:lang w:val="en-US" w:eastAsia="zh-CN"/>
        </w:rPr>
      </w:pPr>
    </w:p>
    <w:p w14:paraId="320AB14E">
      <w:pPr>
        <w:pStyle w:val="12"/>
        <w:rPr>
          <w:rFonts w:hint="eastAsia" w:ascii="仿宋" w:hAnsi="仿宋" w:eastAsia="仿宋" w:cs="仿宋_GB2312"/>
          <w:sz w:val="32"/>
          <w:szCs w:val="32"/>
          <w:lang w:val="en-US" w:eastAsia="zh-CN"/>
        </w:rPr>
      </w:pPr>
    </w:p>
    <w:p w14:paraId="0D34E722">
      <w:pPr>
        <w:rPr>
          <w:rFonts w:hint="eastAsia" w:ascii="仿宋" w:hAnsi="仿宋" w:eastAsia="仿宋" w:cs="仿宋_GB2312"/>
          <w:sz w:val="32"/>
          <w:szCs w:val="32"/>
          <w:lang w:val="en-US" w:eastAsia="zh-CN"/>
        </w:rPr>
      </w:pPr>
    </w:p>
    <w:p w14:paraId="277E4F66">
      <w:pPr>
        <w:pStyle w:val="15"/>
        <w:rPr>
          <w:rFonts w:hint="eastAsia" w:ascii="仿宋" w:hAnsi="仿宋" w:eastAsia="仿宋" w:cs="仿宋_GB2312"/>
          <w:sz w:val="32"/>
          <w:szCs w:val="32"/>
          <w:lang w:val="en-US" w:eastAsia="zh-CN"/>
        </w:rPr>
      </w:pPr>
    </w:p>
    <w:p w14:paraId="24A0D259">
      <w:pPr>
        <w:pStyle w:val="15"/>
        <w:rPr>
          <w:rFonts w:hint="eastAsia" w:ascii="仿宋" w:hAnsi="仿宋" w:eastAsia="仿宋" w:cs="仿宋_GB2312"/>
          <w:sz w:val="32"/>
          <w:szCs w:val="32"/>
          <w:lang w:val="en-US" w:eastAsia="zh-CN"/>
        </w:rPr>
      </w:pPr>
    </w:p>
    <w:p w14:paraId="6D25471B">
      <w:pPr>
        <w:pStyle w:val="15"/>
        <w:rPr>
          <w:rFonts w:hint="eastAsia" w:ascii="仿宋" w:hAnsi="仿宋" w:eastAsia="仿宋" w:cs="仿宋_GB2312"/>
          <w:sz w:val="32"/>
          <w:szCs w:val="32"/>
          <w:lang w:val="en-US" w:eastAsia="zh-CN"/>
        </w:rPr>
      </w:pPr>
    </w:p>
    <w:p w14:paraId="0D781B33">
      <w:pPr>
        <w:pStyle w:val="15"/>
        <w:rPr>
          <w:rFonts w:hint="eastAsia" w:ascii="仿宋" w:hAnsi="仿宋" w:eastAsia="仿宋" w:cs="仿宋_GB2312"/>
          <w:sz w:val="32"/>
          <w:szCs w:val="32"/>
          <w:lang w:val="en-US" w:eastAsia="zh-CN"/>
        </w:rPr>
      </w:pPr>
    </w:p>
    <w:p w14:paraId="2C8F3393">
      <w:pPr>
        <w:pStyle w:val="15"/>
        <w:rPr>
          <w:rFonts w:hint="eastAsia" w:ascii="仿宋" w:hAnsi="仿宋" w:eastAsia="仿宋" w:cs="仿宋_GB2312"/>
          <w:sz w:val="32"/>
          <w:szCs w:val="32"/>
          <w:lang w:val="en-US" w:eastAsia="zh-CN"/>
        </w:rPr>
      </w:pPr>
    </w:p>
    <w:p w14:paraId="21587BE1">
      <w:pPr>
        <w:pStyle w:val="15"/>
        <w:rPr>
          <w:rFonts w:hint="eastAsia" w:ascii="仿宋" w:hAnsi="仿宋" w:eastAsia="仿宋" w:cs="仿宋_GB2312"/>
          <w:sz w:val="32"/>
          <w:szCs w:val="32"/>
          <w:lang w:val="en-US" w:eastAsia="zh-CN"/>
        </w:rPr>
      </w:pPr>
    </w:p>
    <w:p w14:paraId="6BAEB46F">
      <w:pPr>
        <w:pStyle w:val="15"/>
        <w:rPr>
          <w:rFonts w:hint="eastAsia" w:ascii="仿宋" w:hAnsi="仿宋" w:eastAsia="仿宋" w:cs="仿宋_GB2312"/>
          <w:sz w:val="32"/>
          <w:szCs w:val="32"/>
          <w:lang w:val="en-US" w:eastAsia="zh-CN"/>
        </w:rPr>
      </w:pPr>
    </w:p>
    <w:p w14:paraId="5341E78B">
      <w:pPr>
        <w:pStyle w:val="15"/>
        <w:rPr>
          <w:rFonts w:hint="eastAsia" w:ascii="仿宋" w:hAnsi="仿宋" w:eastAsia="仿宋" w:cs="仿宋_GB2312"/>
          <w:sz w:val="32"/>
          <w:szCs w:val="32"/>
          <w:lang w:val="en-US" w:eastAsia="zh-CN"/>
        </w:rPr>
      </w:pPr>
    </w:p>
    <w:p w14:paraId="3E37D963">
      <w:pPr>
        <w:pStyle w:val="15"/>
        <w:rPr>
          <w:rFonts w:hint="eastAsia" w:ascii="仿宋" w:hAnsi="仿宋" w:eastAsia="仿宋" w:cs="仿宋_GB2312"/>
          <w:sz w:val="32"/>
          <w:szCs w:val="32"/>
          <w:lang w:val="en-US" w:eastAsia="zh-CN"/>
        </w:rPr>
      </w:pPr>
    </w:p>
    <w:p w14:paraId="14C69A09">
      <w:pPr>
        <w:pStyle w:val="15"/>
        <w:rPr>
          <w:rFonts w:hint="eastAsia" w:ascii="仿宋" w:hAnsi="仿宋" w:eastAsia="仿宋" w:cs="仿宋_GB2312"/>
          <w:sz w:val="32"/>
          <w:szCs w:val="32"/>
          <w:lang w:val="en-US" w:eastAsia="zh-CN"/>
        </w:rPr>
      </w:pPr>
    </w:p>
    <w:p w14:paraId="6972ED44">
      <w:pPr>
        <w:pStyle w:val="15"/>
        <w:rPr>
          <w:rFonts w:hint="eastAsia" w:ascii="仿宋" w:hAnsi="仿宋" w:eastAsia="仿宋" w:cs="仿宋_GB2312"/>
          <w:sz w:val="32"/>
          <w:szCs w:val="32"/>
          <w:lang w:val="en-US" w:eastAsia="zh-CN"/>
        </w:rPr>
      </w:pPr>
    </w:p>
    <w:p w14:paraId="7CC38010">
      <w:pPr>
        <w:pStyle w:val="15"/>
        <w:rPr>
          <w:rFonts w:hint="eastAsia" w:ascii="仿宋" w:hAnsi="仿宋" w:eastAsia="仿宋" w:cs="仿宋_GB2312"/>
          <w:sz w:val="32"/>
          <w:szCs w:val="32"/>
          <w:lang w:val="en-US" w:eastAsia="zh-CN"/>
        </w:rPr>
      </w:pPr>
    </w:p>
    <w:p w14:paraId="7D84DF26">
      <w:pPr>
        <w:pStyle w:val="15"/>
        <w:rPr>
          <w:rFonts w:hint="eastAsia" w:ascii="仿宋" w:hAnsi="仿宋" w:eastAsia="仿宋" w:cs="仿宋_GB2312"/>
          <w:sz w:val="32"/>
          <w:szCs w:val="32"/>
          <w:lang w:val="en-US" w:eastAsia="zh-CN"/>
        </w:rPr>
      </w:pPr>
    </w:p>
    <w:p w14:paraId="69F58930">
      <w:pPr>
        <w:pStyle w:val="15"/>
        <w:rPr>
          <w:rFonts w:hint="eastAsia" w:ascii="仿宋" w:hAnsi="仿宋" w:eastAsia="仿宋" w:cs="仿宋_GB2312"/>
          <w:sz w:val="32"/>
          <w:szCs w:val="32"/>
          <w:lang w:val="en-US" w:eastAsia="zh-CN"/>
        </w:rPr>
      </w:pPr>
    </w:p>
    <w:p w14:paraId="1328AD99">
      <w:pPr>
        <w:pStyle w:val="15"/>
        <w:rPr>
          <w:rFonts w:hint="eastAsia" w:ascii="仿宋" w:hAnsi="仿宋" w:eastAsia="仿宋" w:cs="仿宋_GB2312"/>
          <w:sz w:val="32"/>
          <w:szCs w:val="32"/>
          <w:lang w:val="en-US" w:eastAsia="zh-CN"/>
        </w:rPr>
      </w:pPr>
    </w:p>
    <w:p w14:paraId="2649877A">
      <w:pPr>
        <w:numPr>
          <w:ilvl w:val="0"/>
          <w:numId w:val="4"/>
        </w:numPr>
        <w:ind w:left="0" w:leftChars="0" w:firstLine="660" w:firstLineChars="150"/>
        <w:jc w:val="center"/>
        <w:rPr>
          <w:rStyle w:val="28"/>
          <w:rFonts w:hint="eastAsia" w:ascii="黑体" w:hAnsi="黑体" w:eastAsia="黑体"/>
          <w:b w:val="0"/>
        </w:rPr>
      </w:pPr>
      <w:bookmarkStart w:id="50" w:name="_Toc15396614"/>
      <w:r>
        <w:rPr>
          <w:rStyle w:val="28"/>
          <w:rFonts w:hint="eastAsia" w:ascii="黑体" w:hAnsi="黑体" w:eastAsia="黑体"/>
          <w:b w:val="0"/>
        </w:rPr>
        <w:t>附件</w:t>
      </w:r>
      <w:bookmarkEnd w:id="50"/>
    </w:p>
    <w:p w14:paraId="5D01FE80">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324EE19">
      <w:pPr>
        <w:spacing w:line="580" w:lineRule="exact"/>
        <w:jc w:val="center"/>
        <w:rPr>
          <w:rFonts w:ascii="方正小标宋简体" w:hAnsi="方正小标宋简体" w:eastAsia="方正小标宋简体" w:cs="方正小标宋简体"/>
          <w:sz w:val="44"/>
          <w:szCs w:val="44"/>
        </w:rPr>
      </w:pPr>
    </w:p>
    <w:p w14:paraId="2343E2D4">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部门</w:t>
      </w:r>
      <w:r>
        <w:rPr>
          <w:rFonts w:hint="eastAsia" w:ascii="方正小标宋简体" w:hAnsi="宋体" w:eastAsia="方正小标宋简体"/>
          <w:color w:val="000000"/>
          <w:kern w:val="0"/>
          <w:sz w:val="40"/>
          <w:szCs w:val="44"/>
          <w:lang w:eastAsia="zh-CN"/>
        </w:rPr>
        <w:t>202</w:t>
      </w:r>
      <w:r>
        <w:rPr>
          <w:rFonts w:hint="eastAsia" w:ascii="方正小标宋简体" w:hAnsi="宋体" w:eastAsia="方正小标宋简体"/>
          <w:color w:val="000000"/>
          <w:kern w:val="0"/>
          <w:sz w:val="40"/>
          <w:szCs w:val="44"/>
          <w:lang w:val="en-US" w:eastAsia="zh-CN"/>
        </w:rPr>
        <w:t>3</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14DC32F6">
      <w:pPr>
        <w:spacing w:line="580" w:lineRule="exact"/>
        <w:ind w:firstLine="640" w:firstLineChars="200"/>
        <w:rPr>
          <w:rFonts w:hint="eastAsia" w:ascii="黑体" w:hAnsi="黑体" w:eastAsia="黑体" w:cs="黑体"/>
          <w:sz w:val="32"/>
          <w:szCs w:val="32"/>
        </w:rPr>
      </w:pPr>
    </w:p>
    <w:p w14:paraId="10003AB2">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3E677A79">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r>
        <w:rPr>
          <w:rFonts w:hint="eastAsia" w:eastAsia="仿宋_GB2312"/>
          <w:color w:val="000000"/>
          <w:sz w:val="32"/>
          <w:szCs w:val="32"/>
        </w:rPr>
        <w:t>单位内设4个机构(办公室、扶贫开发计划股、扶贫项目管理股移民规划安置与后期扶持股)。下设机构2个（九寨沟县大骨节病综合防治中心、乡村振兴事务中心）。</w:t>
      </w:r>
    </w:p>
    <w:p w14:paraId="7B8A63EB">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14:paraId="356CC097">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1.负责巩固拓展脱贫攻坚成果同乡村振兴有效衔接</w:t>
      </w:r>
    </w:p>
    <w:p w14:paraId="17A3227C">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2.负责落实上级衔接政策，常态化开展防返贫监测帮扶，防止返贫致贫。</w:t>
      </w:r>
    </w:p>
    <w:p w14:paraId="5A37206D">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3.负责统筹整合涉农资金项目库建设，用于乡村基础补短和产业发展。</w:t>
      </w:r>
    </w:p>
    <w:p w14:paraId="0F303162">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4.负责脱贫人口小额信贷。</w:t>
      </w:r>
    </w:p>
    <w:p w14:paraId="669C8B95">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5.负责东西部协作，深化帮扶机制。</w:t>
      </w:r>
    </w:p>
    <w:p w14:paraId="1D5A939E">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6.负责易地扶贫搬迁后续帮扶。</w:t>
      </w:r>
    </w:p>
    <w:p w14:paraId="4CF9683A">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7.负责定点帮扶，做好消费帮扶。</w:t>
      </w:r>
    </w:p>
    <w:p w14:paraId="74735445">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8.负责大骨节病综合防治。</w:t>
      </w:r>
    </w:p>
    <w:p w14:paraId="418D92CD">
      <w:pPr>
        <w:spacing w:line="580" w:lineRule="exact"/>
        <w:ind w:firstLine="640" w:firstLineChars="200"/>
        <w:rPr>
          <w:rFonts w:hint="eastAsia" w:eastAsia="仿宋_GB2312"/>
          <w:color w:val="000000"/>
          <w:sz w:val="32"/>
          <w:szCs w:val="32"/>
        </w:rPr>
      </w:pPr>
      <w:r>
        <w:rPr>
          <w:rFonts w:hint="eastAsia" w:eastAsia="仿宋_GB2312"/>
          <w:color w:val="000000"/>
          <w:sz w:val="32"/>
          <w:szCs w:val="32"/>
        </w:rPr>
        <w:t>9.负责雨露计划政策落实。</w:t>
      </w:r>
    </w:p>
    <w:p w14:paraId="0F19E1F1">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承担县政府公布的有关行政审批事项。</w:t>
      </w:r>
    </w:p>
    <w:p w14:paraId="73ACC036">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承办县委、县政府交办的其他事项。</w:t>
      </w:r>
    </w:p>
    <w:p w14:paraId="58422228">
      <w:pPr>
        <w:pStyle w:val="5"/>
        <w:adjustRightInd w:val="0"/>
        <w:snapToGrid w:val="0"/>
        <w:spacing w:before="93" w:line="600" w:lineRule="exact"/>
        <w:ind w:firstLine="672" w:firstLineChars="210"/>
        <w:rPr>
          <w:rFonts w:hint="eastAsia" w:ascii="仿宋" w:hAnsi="仿宋" w:eastAsia="仿宋"/>
          <w:sz w:val="32"/>
          <w:szCs w:val="32"/>
        </w:rPr>
      </w:pPr>
      <w:r>
        <w:rPr>
          <w:rFonts w:ascii="仿宋" w:hAnsi="仿宋" w:eastAsia="仿宋" w:cs="仿宋_GB2312"/>
          <w:sz w:val="32"/>
          <w:szCs w:val="32"/>
        </w:rPr>
        <w:t>（三）人员概况</w:t>
      </w:r>
      <w:r>
        <w:rPr>
          <w:rFonts w:hint="eastAsia" w:ascii="仿宋" w:hAnsi="仿宋" w:eastAsia="仿宋"/>
          <w:sz w:val="32"/>
          <w:szCs w:val="32"/>
        </w:rPr>
        <w:t>。</w:t>
      </w:r>
    </w:p>
    <w:p w14:paraId="7DA4F327">
      <w:pPr>
        <w:pStyle w:val="5"/>
        <w:adjustRightInd w:val="0"/>
        <w:snapToGrid w:val="0"/>
        <w:spacing w:before="93" w:line="600" w:lineRule="exact"/>
        <w:ind w:firstLine="672" w:firstLineChars="210"/>
        <w:rPr>
          <w:rFonts w:hint="eastAsia" w:ascii="仿宋" w:hAnsi="仿宋" w:eastAsia="仿宋"/>
          <w:sz w:val="32"/>
          <w:szCs w:val="32"/>
          <w:lang w:eastAsia="zh-CN"/>
        </w:rPr>
      </w:pPr>
      <w:r>
        <w:rPr>
          <w:rFonts w:hint="eastAsia" w:ascii="仿宋" w:hAnsi="仿宋" w:eastAsia="仿宋"/>
          <w:sz w:val="32"/>
          <w:szCs w:val="32"/>
        </w:rPr>
        <w:t>财政供养人员编制为</w:t>
      </w:r>
      <w:r>
        <w:rPr>
          <w:rFonts w:hint="eastAsia" w:ascii="仿宋" w:hAnsi="仿宋" w:eastAsia="仿宋"/>
          <w:sz w:val="32"/>
          <w:szCs w:val="32"/>
          <w:lang w:val="en-US" w:eastAsia="zh-CN"/>
        </w:rPr>
        <w:t>8</w:t>
      </w:r>
      <w:r>
        <w:rPr>
          <w:rFonts w:hint="eastAsia" w:ascii="仿宋" w:hAnsi="仿宋" w:eastAsia="仿宋"/>
          <w:sz w:val="32"/>
          <w:szCs w:val="32"/>
        </w:rPr>
        <w:t>个</w:t>
      </w:r>
      <w:r>
        <w:rPr>
          <w:rFonts w:hint="eastAsia" w:ascii="仿宋" w:hAnsi="仿宋" w:eastAsia="仿宋"/>
          <w:sz w:val="32"/>
          <w:szCs w:val="32"/>
          <w:lang w:val="en-US" w:eastAsia="zh-CN"/>
        </w:rPr>
        <w:t>，</w:t>
      </w:r>
      <w:r>
        <w:rPr>
          <w:rFonts w:hint="eastAsia" w:ascii="仿宋" w:hAnsi="仿宋" w:eastAsia="仿宋"/>
          <w:sz w:val="32"/>
          <w:szCs w:val="32"/>
        </w:rPr>
        <w:t>其中全额供给人员和公用经费</w:t>
      </w:r>
      <w:r>
        <w:rPr>
          <w:rFonts w:hint="eastAsia" w:ascii="仿宋" w:hAnsi="仿宋" w:eastAsia="仿宋"/>
          <w:sz w:val="32"/>
          <w:szCs w:val="32"/>
          <w:lang w:val="en-US" w:eastAsia="zh-CN"/>
        </w:rPr>
        <w:t>6</w:t>
      </w:r>
      <w:r>
        <w:rPr>
          <w:rFonts w:hint="eastAsia" w:ascii="仿宋" w:hAnsi="仿宋" w:eastAsia="仿宋"/>
          <w:sz w:val="32"/>
          <w:szCs w:val="32"/>
        </w:rPr>
        <w:t>个，全额供给基本工资</w:t>
      </w:r>
      <w:r>
        <w:rPr>
          <w:rFonts w:hint="eastAsia" w:ascii="仿宋" w:hAnsi="仿宋" w:eastAsia="仿宋"/>
          <w:sz w:val="32"/>
          <w:szCs w:val="32"/>
          <w:lang w:val="en-US" w:eastAsia="zh-CN"/>
        </w:rPr>
        <w:t>6</w:t>
      </w:r>
      <w:r>
        <w:rPr>
          <w:rFonts w:hint="eastAsia" w:ascii="仿宋" w:hAnsi="仿宋" w:eastAsia="仿宋"/>
          <w:sz w:val="32"/>
          <w:szCs w:val="32"/>
        </w:rPr>
        <w:t>个</w:t>
      </w:r>
      <w:r>
        <w:rPr>
          <w:rFonts w:hint="eastAsia" w:ascii="仿宋" w:hAnsi="仿宋" w:eastAsia="仿宋"/>
          <w:sz w:val="32"/>
          <w:szCs w:val="32"/>
          <w:lang w:eastAsia="zh-CN"/>
        </w:rPr>
        <w:t>。</w:t>
      </w:r>
    </w:p>
    <w:p w14:paraId="62401418">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1ACB1162">
      <w:pPr>
        <w:spacing w:line="560" w:lineRule="exact"/>
        <w:ind w:firstLine="640" w:firstLineChars="200"/>
        <w:rPr>
          <w:rFonts w:hint="eastAsia" w:ascii="仿宋" w:hAnsi="仿宋" w:eastAsia="仿宋" w:cs="仿宋_GB2312"/>
          <w:sz w:val="32"/>
          <w:szCs w:val="32"/>
          <w:lang w:val="zh-CN" w:eastAsia="zh-CN"/>
        </w:rPr>
      </w:pPr>
      <w:r>
        <w:rPr>
          <w:rFonts w:ascii="仿宋" w:hAnsi="仿宋" w:eastAsia="仿宋" w:cs="仿宋_GB2312"/>
          <w:sz w:val="32"/>
          <w:szCs w:val="32"/>
        </w:rPr>
        <w:t>（一）</w:t>
      </w:r>
      <w:r>
        <w:rPr>
          <w:rFonts w:hint="eastAsia" w:ascii="仿宋" w:hAnsi="仿宋" w:eastAsia="仿宋" w:cs="仿宋_GB2312"/>
          <w:sz w:val="32"/>
          <w:szCs w:val="32"/>
          <w:lang w:val="zh-CN"/>
        </w:rPr>
        <w:t>202</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val="zh-CN"/>
        </w:rPr>
        <w:t>年乡村振兴局本年收入合计</w:t>
      </w:r>
      <w:r>
        <w:rPr>
          <w:rFonts w:hint="eastAsia" w:ascii="仿宋" w:hAnsi="仿宋" w:eastAsia="仿宋" w:cs="仿宋_GB2312"/>
          <w:sz w:val="32"/>
          <w:szCs w:val="32"/>
          <w:lang w:val="en-US" w:eastAsia="zh-CN"/>
        </w:rPr>
        <w:t>261.74</w:t>
      </w:r>
      <w:r>
        <w:rPr>
          <w:rFonts w:hint="eastAsia" w:ascii="仿宋" w:hAnsi="仿宋" w:eastAsia="仿宋" w:cs="仿宋_GB2312"/>
          <w:sz w:val="32"/>
          <w:szCs w:val="32"/>
          <w:lang w:val="zh-CN"/>
        </w:rPr>
        <w:t>万元，其中：上年结转</w:t>
      </w:r>
      <w:r>
        <w:rPr>
          <w:rFonts w:hint="eastAsia" w:ascii="仿宋" w:hAnsi="仿宋" w:eastAsia="仿宋" w:cs="仿宋_GB2312"/>
          <w:sz w:val="32"/>
          <w:szCs w:val="32"/>
          <w:lang w:val="en-US" w:eastAsia="zh-CN"/>
        </w:rPr>
        <w:t>11.98万元，占4.58%；公共财政拨款249.76万元，占95.42%。</w:t>
      </w:r>
    </w:p>
    <w:p w14:paraId="20B4A95C">
      <w:pPr>
        <w:spacing w:line="560" w:lineRule="exact"/>
        <w:ind w:firstLine="640" w:firstLineChars="200"/>
        <w:rPr>
          <w:rFonts w:ascii="黑体" w:hAnsi="黑体" w:eastAsia="黑体" w:cs="黑体"/>
          <w:sz w:val="32"/>
          <w:szCs w:val="32"/>
        </w:rPr>
      </w:pPr>
      <w:r>
        <w:rPr>
          <w:rFonts w:ascii="仿宋" w:hAnsi="仿宋" w:eastAsia="仿宋" w:cs="仿宋_GB2312"/>
          <w:color w:val="auto"/>
          <w:sz w:val="32"/>
          <w:szCs w:val="32"/>
        </w:rPr>
        <w:t>（二）部门财</w:t>
      </w:r>
      <w:r>
        <w:rPr>
          <w:rFonts w:ascii="仿宋" w:hAnsi="仿宋" w:eastAsia="仿宋" w:cs="仿宋_GB2312"/>
          <w:sz w:val="32"/>
          <w:szCs w:val="32"/>
        </w:rPr>
        <w:t>政资金支出情况。</w:t>
      </w:r>
      <w:r>
        <w:rPr>
          <w:rFonts w:hint="eastAsia" w:ascii="仿宋_GB2312" w:hAnsi="仿宋_GB2312" w:eastAsia="仿宋_GB2312" w:cs="仿宋_GB2312"/>
          <w:bCs/>
          <w:sz w:val="32"/>
          <w:szCs w:val="32"/>
          <w:lang w:val="en-US" w:eastAsia="zh-CN"/>
        </w:rPr>
        <w:t>2023年乡村振兴局本年支出合计261.74万元，其中：</w:t>
      </w:r>
      <w:r>
        <w:rPr>
          <w:rFonts w:hint="eastAsia" w:ascii="仿宋_GB2312" w:hAnsi="仿宋_GB2312" w:eastAsia="仿宋_GB2312" w:cs="仿宋_GB2312"/>
          <w:bCs/>
          <w:sz w:val="32"/>
          <w:szCs w:val="32"/>
          <w:lang w:val="zh-CN" w:eastAsia="zh-CN"/>
        </w:rPr>
        <w:t>基本支出</w:t>
      </w:r>
      <w:r>
        <w:rPr>
          <w:rFonts w:hint="eastAsia" w:ascii="仿宋_GB2312" w:hAnsi="仿宋_GB2312" w:eastAsia="仿宋_GB2312" w:cs="仿宋_GB2312"/>
          <w:bCs/>
          <w:sz w:val="32"/>
          <w:szCs w:val="32"/>
          <w:lang w:val="en-US" w:eastAsia="zh-CN"/>
        </w:rPr>
        <w:t>131.70</w:t>
      </w:r>
      <w:r>
        <w:rPr>
          <w:rFonts w:hint="eastAsia" w:ascii="仿宋_GB2312" w:hAnsi="仿宋_GB2312" w:eastAsia="仿宋_GB2312" w:cs="仿宋_GB2312"/>
          <w:bCs/>
          <w:sz w:val="32"/>
          <w:szCs w:val="32"/>
          <w:lang w:val="zh-CN" w:eastAsia="zh-CN"/>
        </w:rPr>
        <w:t>万元，占</w:t>
      </w:r>
      <w:r>
        <w:rPr>
          <w:rFonts w:hint="eastAsia" w:ascii="仿宋_GB2312" w:hAnsi="仿宋_GB2312" w:eastAsia="仿宋_GB2312" w:cs="仿宋_GB2312"/>
          <w:bCs/>
          <w:sz w:val="32"/>
          <w:szCs w:val="32"/>
          <w:lang w:val="en-US" w:eastAsia="zh-CN"/>
        </w:rPr>
        <w:t>50.32</w:t>
      </w:r>
      <w:r>
        <w:rPr>
          <w:rFonts w:hint="eastAsia" w:ascii="仿宋_GB2312" w:hAnsi="仿宋_GB2312" w:eastAsia="仿宋_GB2312" w:cs="仿宋_GB2312"/>
          <w:bCs/>
          <w:sz w:val="32"/>
          <w:szCs w:val="32"/>
          <w:lang w:val="zh-CN" w:eastAsia="zh-CN"/>
        </w:rPr>
        <w:t>%；项目支出</w:t>
      </w:r>
      <w:r>
        <w:rPr>
          <w:rFonts w:hint="eastAsia" w:ascii="仿宋_GB2312" w:hAnsi="仿宋_GB2312" w:eastAsia="仿宋_GB2312" w:cs="仿宋_GB2312"/>
          <w:bCs/>
          <w:sz w:val="32"/>
          <w:szCs w:val="32"/>
          <w:lang w:val="en-US" w:eastAsia="zh-CN"/>
        </w:rPr>
        <w:t>130.04</w:t>
      </w:r>
      <w:r>
        <w:rPr>
          <w:rFonts w:hint="eastAsia" w:ascii="仿宋_GB2312" w:hAnsi="仿宋_GB2312" w:eastAsia="仿宋_GB2312" w:cs="仿宋_GB2312"/>
          <w:bCs/>
          <w:sz w:val="32"/>
          <w:szCs w:val="32"/>
          <w:lang w:val="zh-CN" w:eastAsia="zh-CN"/>
        </w:rPr>
        <w:t>万元，占</w:t>
      </w:r>
      <w:r>
        <w:rPr>
          <w:rFonts w:hint="eastAsia" w:ascii="仿宋_GB2312" w:hAnsi="仿宋_GB2312" w:eastAsia="仿宋_GB2312" w:cs="仿宋_GB2312"/>
          <w:bCs/>
          <w:sz w:val="32"/>
          <w:szCs w:val="32"/>
          <w:lang w:val="en-US" w:eastAsia="zh-CN"/>
        </w:rPr>
        <w:t>49.68</w:t>
      </w:r>
      <w:r>
        <w:rPr>
          <w:rFonts w:hint="eastAsia" w:ascii="仿宋_GB2312" w:hAnsi="仿宋_GB2312" w:eastAsia="仿宋_GB2312" w:cs="仿宋_GB2312"/>
          <w:bCs/>
          <w:sz w:val="32"/>
          <w:szCs w:val="32"/>
          <w:lang w:val="zh-CN" w:eastAsia="zh-CN"/>
        </w:rPr>
        <w:t>%。</w:t>
      </w:r>
    </w:p>
    <w:p w14:paraId="60BAD8E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Cs w:val="32"/>
          <w:highlight w:val="none"/>
          <w:shd w:val="clear" w:color="auto" w:fill="FFFFFF"/>
          <w14:textFill>
            <w14:solidFill>
              <w14:schemeClr w14:val="tx1"/>
            </w14:solidFill>
          </w14:textFill>
        </w:rPr>
      </w:pPr>
      <w:r>
        <w:rPr>
          <w:rFonts w:hint="eastAsia" w:ascii="黑体" w:hAnsi="黑体" w:eastAsia="黑体" w:cs="黑体"/>
          <w:sz w:val="32"/>
          <w:szCs w:val="32"/>
          <w:lang w:eastAsia="zh-CN"/>
        </w:rPr>
        <w:t>三、</w:t>
      </w:r>
      <w:r>
        <w:rPr>
          <w:rFonts w:hint="default" w:ascii="黑体" w:hAnsi="黑体" w:eastAsia="黑体" w:cs="黑体"/>
          <w:sz w:val="32"/>
          <w:szCs w:val="32"/>
        </w:rPr>
        <w:t>部门</w:t>
      </w:r>
      <w:r>
        <w:rPr>
          <w:rFonts w:hint="default" w:ascii="黑体" w:hAnsi="黑体" w:eastAsia="黑体" w:cs="黑体"/>
          <w:sz w:val="32"/>
          <w:szCs w:val="32"/>
          <w:lang w:eastAsia="zh-CN"/>
        </w:rPr>
        <w:t>预算</w:t>
      </w:r>
      <w:r>
        <w:rPr>
          <w:rFonts w:hint="default" w:ascii="黑体" w:hAnsi="黑体" w:eastAsia="黑体" w:cs="黑体"/>
          <w:sz w:val="32"/>
          <w:szCs w:val="32"/>
        </w:rPr>
        <w:t>绩效</w:t>
      </w:r>
      <w:r>
        <w:rPr>
          <w:rFonts w:hint="default" w:ascii="黑体" w:hAnsi="黑体" w:eastAsia="黑体" w:cs="黑体"/>
          <w:sz w:val="32"/>
          <w:szCs w:val="32"/>
          <w:lang w:eastAsia="zh-CN"/>
        </w:rPr>
        <w:t>分析</w:t>
      </w:r>
    </w:p>
    <w:p w14:paraId="79CF7215">
      <w:pPr>
        <w:spacing w:line="560" w:lineRule="exact"/>
        <w:ind w:firstLine="640" w:firstLineChars="200"/>
        <w:rPr>
          <w:rFonts w:hint="default" w:ascii="仿宋" w:hAnsi="仿宋" w:eastAsia="仿宋" w:cs="仿宋_GB2312"/>
          <w:sz w:val="32"/>
          <w:szCs w:val="32"/>
          <w:lang w:val="zh-CN"/>
        </w:rPr>
      </w:pPr>
      <w:r>
        <w:rPr>
          <w:rFonts w:hint="default" w:ascii="仿宋" w:hAnsi="仿宋" w:eastAsia="仿宋" w:cs="仿宋_GB2312"/>
          <w:sz w:val="32"/>
          <w:szCs w:val="32"/>
          <w:lang w:val="zh-CN"/>
        </w:rPr>
        <w:t>（一）</w:t>
      </w:r>
      <w:r>
        <w:rPr>
          <w:rFonts w:hint="eastAsia" w:ascii="仿宋" w:hAnsi="仿宋" w:eastAsia="仿宋" w:cs="仿宋_GB2312"/>
          <w:sz w:val="32"/>
          <w:szCs w:val="32"/>
          <w:lang w:val="zh-CN"/>
        </w:rPr>
        <w:t>部门预算</w:t>
      </w:r>
      <w:r>
        <w:rPr>
          <w:rFonts w:hint="default" w:ascii="仿宋" w:hAnsi="仿宋" w:eastAsia="仿宋" w:cs="仿宋_GB2312"/>
          <w:sz w:val="32"/>
          <w:szCs w:val="32"/>
          <w:lang w:val="zh-CN"/>
        </w:rPr>
        <w:t>总体绩效分析。</w:t>
      </w:r>
    </w:p>
    <w:p w14:paraId="6490E2CE">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lang w:val="zh-CN"/>
        </w:rPr>
        <w:t>履职效能。在县委、县政府的坚强领导下，认真贯彻落实中央、省、州关于巩固拓展脱贫攻坚成果同乡村振兴有效衔接工作要求，持续巩固脱贫成果、抓实资金项目管理、扎实推进三家园建设、促进脱贫群众增收、持续推动重点帮扶。全力抓好防返贫监测帮扶、“三家园”示范建设、项目推进、乡村建设、脱贫人口小额信贷、“雨露计划”和开展督导、检查、帮扶等工作，充分做好2023年度后评估、第三方等检查工作。有序推进2023年巩固脱贫攻坚成果与乡村振兴有效衔接各项工作。</w:t>
      </w:r>
    </w:p>
    <w:p w14:paraId="454774EB">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2.</w:t>
      </w:r>
      <w:r>
        <w:rPr>
          <w:rFonts w:hint="default" w:ascii="仿宋" w:hAnsi="仿宋" w:eastAsia="仿宋" w:cs="仿宋_GB2312"/>
          <w:sz w:val="32"/>
          <w:szCs w:val="32"/>
          <w:lang w:val="zh-CN"/>
        </w:rPr>
        <w:t>预算管理</w:t>
      </w:r>
      <w:r>
        <w:rPr>
          <w:rFonts w:hint="eastAsia" w:ascii="仿宋" w:hAnsi="仿宋" w:eastAsia="仿宋" w:cs="仿宋_GB2312"/>
          <w:sz w:val="32"/>
          <w:szCs w:val="32"/>
          <w:lang w:val="zh-CN"/>
        </w:rPr>
        <w:t>。遵循“量入为出、收支平衡、积极稳妥、统筹兼顾、保证重点、效益优先”的原则；预算编制按照“收支两条线”的原则进行统筹规划，全面反映单位年度财务收支总貌，预算编制软件中及时填报项目绩效。认真分析基期预算执行情况的分析工作，充分考虑计划期的各种可变因素，结合单位发展整体规划、事业发展计划，充分考虑计划年度的资金供给状况，做好计划年度经费收支的预计和分析。</w:t>
      </w:r>
    </w:p>
    <w:p w14:paraId="3216B741">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3.</w:t>
      </w:r>
      <w:r>
        <w:rPr>
          <w:rFonts w:hint="default" w:ascii="仿宋" w:hAnsi="仿宋" w:eastAsia="仿宋" w:cs="仿宋_GB2312"/>
          <w:sz w:val="32"/>
          <w:szCs w:val="32"/>
          <w:lang w:val="zh-CN"/>
        </w:rPr>
        <w:t>财务管理</w:t>
      </w:r>
      <w:r>
        <w:rPr>
          <w:rFonts w:hint="eastAsia" w:ascii="仿宋" w:hAnsi="仿宋" w:eastAsia="仿宋" w:cs="仿宋_GB2312"/>
          <w:sz w:val="32"/>
          <w:szCs w:val="32"/>
          <w:lang w:val="zh-CN"/>
        </w:rPr>
        <w:t>。根据县人民政府和县财政局管理规定，设立财务岗位，明确财务人员分工，严肃岗位工作职责及工作纪律，做到依法设置会计帐账簿，会计凭证、会计帐簿、财务会计报告和其他会计资料真实完整，进一步严格按照资金相关规定合理合规安排使用各项资金。</w:t>
      </w:r>
    </w:p>
    <w:p w14:paraId="418A4E59">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4.</w:t>
      </w:r>
      <w:r>
        <w:rPr>
          <w:rFonts w:hint="default" w:ascii="仿宋" w:hAnsi="仿宋" w:eastAsia="仿宋" w:cs="仿宋_GB2312"/>
          <w:sz w:val="32"/>
          <w:szCs w:val="32"/>
          <w:lang w:val="zh-CN"/>
        </w:rPr>
        <w:t>资产管理</w:t>
      </w:r>
      <w:r>
        <w:rPr>
          <w:rFonts w:hint="eastAsia" w:ascii="仿宋" w:hAnsi="仿宋" w:eastAsia="仿宋" w:cs="仿宋_GB2312"/>
          <w:sz w:val="32"/>
          <w:szCs w:val="32"/>
          <w:lang w:val="zh-CN"/>
        </w:rPr>
        <w:t>。按照《会计法》、《政府会计准则》等规定，会计账簿核算与实物、款项的数额相符。落实专人对国有资产进行严格管理，资产管理使用制度完善，资产账实相符。落实了资产审批程序，资产处置收入全部纳入县上预算管理。</w:t>
      </w:r>
    </w:p>
    <w:p w14:paraId="2183E869">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5.</w:t>
      </w:r>
      <w:r>
        <w:rPr>
          <w:rFonts w:hint="default" w:ascii="仿宋" w:hAnsi="仿宋" w:eastAsia="仿宋" w:cs="仿宋_GB2312"/>
          <w:sz w:val="32"/>
          <w:szCs w:val="32"/>
          <w:lang w:val="zh-CN"/>
        </w:rPr>
        <w:t>采购管理</w:t>
      </w:r>
      <w:r>
        <w:rPr>
          <w:rFonts w:hint="eastAsia" w:ascii="仿宋" w:hAnsi="仿宋" w:eastAsia="仿宋" w:cs="仿宋_GB2312"/>
          <w:sz w:val="32"/>
          <w:szCs w:val="32"/>
          <w:lang w:val="zh-CN"/>
        </w:rPr>
        <w:t>。严格按照《政府采购法》、《招投标法》及相关法律法规要求，按照公开适明、公平竞争、公正和诚文信用的原则及法定程序。不断加强机关作风、制度和廉政建设，建立和完善各项管理规章制度，来规范政府采购行为。按照相互监督、相互制约的原则，实行招标文件互审会审等制度，进一步明确人员分工，完善了岗位工作职责及工作纪律，实行项目责任制和回避制度，在政府采购管理系统中运行内部业务流程管理操作环节权责明确，各环节的内部监督制约体系基本形成。</w:t>
      </w:r>
    </w:p>
    <w:p w14:paraId="1BD5452D">
      <w:pPr>
        <w:spacing w:line="560" w:lineRule="exact"/>
        <w:ind w:firstLine="640" w:firstLineChars="200"/>
        <w:rPr>
          <w:rFonts w:hint="default" w:ascii="仿宋" w:hAnsi="仿宋" w:eastAsia="仿宋" w:cs="仿宋_GB2312"/>
          <w:sz w:val="32"/>
          <w:szCs w:val="32"/>
          <w:lang w:val="en-US" w:eastAsia="zh-CN"/>
        </w:rPr>
      </w:pPr>
      <w:r>
        <w:rPr>
          <w:rFonts w:hint="default" w:ascii="仿宋" w:hAnsi="仿宋" w:eastAsia="仿宋" w:cs="仿宋_GB2312"/>
          <w:sz w:val="32"/>
          <w:szCs w:val="32"/>
          <w:lang w:val="zh-CN"/>
        </w:rPr>
        <w:t>（二）部门预算项目绩效分析。</w:t>
      </w:r>
    </w:p>
    <w:p w14:paraId="325D6E77">
      <w:pPr>
        <w:spacing w:line="560" w:lineRule="exact"/>
        <w:ind w:firstLine="640" w:firstLineChars="200"/>
        <w:rPr>
          <w:rFonts w:hint="default" w:ascii="仿宋" w:hAnsi="仿宋" w:eastAsia="仿宋" w:cs="仿宋_GB2312"/>
          <w:sz w:val="32"/>
          <w:szCs w:val="32"/>
          <w:lang w:val="zh-CN" w:eastAsia="zh-CN"/>
        </w:rPr>
      </w:pPr>
      <w:r>
        <w:rPr>
          <w:rFonts w:hint="default" w:ascii="仿宋" w:hAnsi="仿宋" w:eastAsia="仿宋" w:cs="仿宋_GB2312"/>
          <w:sz w:val="32"/>
          <w:szCs w:val="32"/>
          <w:lang w:val="en-US" w:eastAsia="zh-CN"/>
        </w:rPr>
        <w:t>常年项目绩效分析。</w:t>
      </w:r>
      <w:r>
        <w:rPr>
          <w:rFonts w:hint="default" w:ascii="仿宋" w:hAnsi="仿宋" w:eastAsia="仿宋" w:cs="仿宋_GB2312"/>
          <w:sz w:val="32"/>
          <w:szCs w:val="32"/>
          <w:lang w:val="zh-CN" w:eastAsia="zh-CN"/>
        </w:rPr>
        <w:t>该类项目总数</w:t>
      </w:r>
      <w:r>
        <w:rPr>
          <w:rFonts w:hint="eastAsia" w:ascii="仿宋" w:hAnsi="仿宋" w:eastAsia="仿宋" w:cs="仿宋_GB2312"/>
          <w:sz w:val="32"/>
          <w:szCs w:val="32"/>
          <w:lang w:val="en-US" w:eastAsia="zh-CN"/>
        </w:rPr>
        <w:t>0</w:t>
      </w:r>
      <w:r>
        <w:rPr>
          <w:rFonts w:hint="default" w:ascii="仿宋" w:hAnsi="仿宋" w:eastAsia="仿宋" w:cs="仿宋_GB2312"/>
          <w:sz w:val="32"/>
          <w:szCs w:val="32"/>
          <w:lang w:val="zh-CN" w:eastAsia="zh-CN"/>
        </w:rPr>
        <w:t>个，涉及预算总金额</w:t>
      </w:r>
      <w:r>
        <w:rPr>
          <w:rFonts w:hint="eastAsia" w:ascii="仿宋" w:hAnsi="仿宋" w:eastAsia="仿宋" w:cs="仿宋_GB2312"/>
          <w:sz w:val="32"/>
          <w:szCs w:val="32"/>
          <w:lang w:val="en-US" w:eastAsia="zh-CN"/>
        </w:rPr>
        <w:t>0</w:t>
      </w:r>
      <w:r>
        <w:rPr>
          <w:rFonts w:hint="default" w:ascii="仿宋" w:hAnsi="仿宋" w:eastAsia="仿宋" w:cs="仿宋_GB2312"/>
          <w:sz w:val="32"/>
          <w:szCs w:val="32"/>
          <w:lang w:val="zh-CN" w:eastAsia="zh-CN"/>
        </w:rPr>
        <w:t>万元，</w:t>
      </w:r>
      <w:r>
        <w:rPr>
          <w:rFonts w:hint="default" w:ascii="仿宋" w:hAnsi="仿宋" w:eastAsia="仿宋" w:cs="仿宋_GB2312"/>
          <w:sz w:val="32"/>
          <w:szCs w:val="32"/>
          <w:lang w:val="zh-CN"/>
        </w:rPr>
        <w:t>其中：</w:t>
      </w:r>
      <w:r>
        <w:rPr>
          <w:rFonts w:hint="default" w:ascii="仿宋" w:hAnsi="仿宋" w:eastAsia="仿宋" w:cs="仿宋_GB2312"/>
          <w:sz w:val="32"/>
          <w:szCs w:val="32"/>
          <w:lang w:val="zh-CN" w:eastAsia="zh-CN"/>
        </w:rPr>
        <w:t>预算结余率大于</w:t>
      </w:r>
      <w:r>
        <w:rPr>
          <w:rFonts w:hint="default" w:ascii="仿宋" w:hAnsi="仿宋" w:eastAsia="仿宋" w:cs="仿宋_GB2312"/>
          <w:sz w:val="32"/>
          <w:szCs w:val="32"/>
          <w:lang w:val="en-US" w:eastAsia="zh-CN"/>
        </w:rPr>
        <w:t>10%</w:t>
      </w:r>
      <w:r>
        <w:rPr>
          <w:rFonts w:hint="default" w:ascii="仿宋" w:hAnsi="仿宋" w:eastAsia="仿宋" w:cs="仿宋_GB2312"/>
          <w:sz w:val="32"/>
          <w:szCs w:val="32"/>
          <w:lang w:val="zh-CN" w:eastAsia="zh-CN"/>
        </w:rPr>
        <w:t>的项目共计</w:t>
      </w:r>
      <w:r>
        <w:rPr>
          <w:rFonts w:hint="eastAsia" w:ascii="仿宋" w:hAnsi="仿宋" w:eastAsia="仿宋" w:cs="仿宋_GB2312"/>
          <w:sz w:val="32"/>
          <w:szCs w:val="32"/>
          <w:lang w:val="en-US" w:eastAsia="zh-CN"/>
        </w:rPr>
        <w:t>0</w:t>
      </w:r>
      <w:r>
        <w:rPr>
          <w:rFonts w:hint="default" w:ascii="仿宋" w:hAnsi="仿宋" w:eastAsia="仿宋" w:cs="仿宋_GB2312"/>
          <w:sz w:val="32"/>
          <w:szCs w:val="32"/>
          <w:lang w:val="zh-CN" w:eastAsia="zh-CN"/>
        </w:rPr>
        <w:t>个。</w:t>
      </w:r>
    </w:p>
    <w:p w14:paraId="51CDDBD0">
      <w:pPr>
        <w:spacing w:line="560" w:lineRule="exact"/>
        <w:ind w:firstLine="640" w:firstLineChars="200"/>
        <w:rPr>
          <w:rFonts w:hint="default" w:ascii="仿宋" w:hAnsi="仿宋" w:eastAsia="仿宋" w:cs="仿宋_GB2312"/>
          <w:sz w:val="32"/>
          <w:szCs w:val="32"/>
          <w:lang w:val="zh-CN" w:eastAsia="zh-CN"/>
        </w:rPr>
      </w:pPr>
      <w:r>
        <w:rPr>
          <w:rFonts w:hint="default" w:ascii="仿宋" w:hAnsi="仿宋" w:eastAsia="仿宋" w:cs="仿宋_GB2312"/>
          <w:sz w:val="32"/>
          <w:szCs w:val="32"/>
          <w:lang w:val="en-US" w:eastAsia="zh-CN"/>
        </w:rPr>
        <w:t>阶段</w:t>
      </w:r>
      <w:r>
        <w:rPr>
          <w:rFonts w:hint="eastAsia" w:ascii="仿宋" w:hAnsi="仿宋" w:eastAsia="仿宋" w:cs="仿宋_GB2312"/>
          <w:sz w:val="32"/>
          <w:szCs w:val="32"/>
          <w:lang w:val="en-US" w:eastAsia="zh-CN"/>
        </w:rPr>
        <w:t>（</w:t>
      </w:r>
      <w:r>
        <w:rPr>
          <w:rFonts w:hint="default" w:ascii="仿宋" w:hAnsi="仿宋" w:eastAsia="仿宋" w:cs="仿宋_GB2312"/>
          <w:sz w:val="32"/>
          <w:szCs w:val="32"/>
          <w:lang w:val="en-US" w:eastAsia="zh-CN"/>
        </w:rPr>
        <w:t>一次性</w:t>
      </w:r>
      <w:r>
        <w:rPr>
          <w:rFonts w:hint="eastAsia" w:ascii="仿宋" w:hAnsi="仿宋" w:eastAsia="仿宋" w:cs="仿宋_GB2312"/>
          <w:sz w:val="32"/>
          <w:szCs w:val="32"/>
          <w:lang w:val="en-US" w:eastAsia="zh-CN"/>
        </w:rPr>
        <w:t>）</w:t>
      </w:r>
      <w:r>
        <w:rPr>
          <w:rFonts w:hint="default" w:ascii="仿宋" w:hAnsi="仿宋" w:eastAsia="仿宋" w:cs="仿宋_GB2312"/>
          <w:sz w:val="32"/>
          <w:szCs w:val="32"/>
          <w:lang w:val="en-US" w:eastAsia="zh-CN"/>
        </w:rPr>
        <w:t>项目绩效分析。</w:t>
      </w:r>
      <w:r>
        <w:rPr>
          <w:rFonts w:hint="default" w:ascii="仿宋" w:hAnsi="仿宋" w:eastAsia="仿宋" w:cs="仿宋_GB2312"/>
          <w:sz w:val="32"/>
          <w:szCs w:val="32"/>
          <w:lang w:val="zh-CN" w:eastAsia="zh-CN"/>
        </w:rPr>
        <w:t>该类项目总数</w:t>
      </w:r>
      <w:r>
        <w:rPr>
          <w:rFonts w:hint="eastAsia" w:ascii="仿宋" w:hAnsi="仿宋" w:eastAsia="仿宋" w:cs="仿宋_GB2312"/>
          <w:sz w:val="32"/>
          <w:szCs w:val="32"/>
          <w:lang w:val="en-US" w:eastAsia="zh-CN"/>
        </w:rPr>
        <w:t>4</w:t>
      </w:r>
      <w:r>
        <w:rPr>
          <w:rFonts w:hint="default" w:ascii="仿宋" w:hAnsi="仿宋" w:eastAsia="仿宋" w:cs="仿宋_GB2312"/>
          <w:sz w:val="32"/>
          <w:szCs w:val="32"/>
          <w:lang w:val="zh-CN" w:eastAsia="zh-CN"/>
        </w:rPr>
        <w:t>个，涉及预算总金额</w:t>
      </w:r>
      <w:r>
        <w:rPr>
          <w:rFonts w:hint="eastAsia" w:ascii="仿宋" w:hAnsi="仿宋" w:eastAsia="仿宋" w:cs="仿宋_GB2312"/>
          <w:sz w:val="32"/>
          <w:szCs w:val="32"/>
          <w:lang w:val="en-US" w:eastAsia="zh-CN"/>
        </w:rPr>
        <w:t>130.04</w:t>
      </w:r>
      <w:r>
        <w:rPr>
          <w:rFonts w:hint="default" w:ascii="仿宋" w:hAnsi="仿宋" w:eastAsia="仿宋" w:cs="仿宋_GB2312"/>
          <w:sz w:val="32"/>
          <w:szCs w:val="32"/>
          <w:lang w:val="zh-CN" w:eastAsia="zh-CN"/>
        </w:rPr>
        <w:t>万元，其中：巩固拓展脱贫攻坚成果同乡村振兴有效衔接专项经费支出16.88万元；巩固拓展脱贫成果同乡村振兴有效衔接宣传专项经费支出5.98万元；脱贫人口小额信贷贴息项目支出18.54万元；雨露计划项目支出88.65万元</w:t>
      </w:r>
      <w:r>
        <w:rPr>
          <w:rFonts w:hint="eastAsia" w:ascii="仿宋" w:hAnsi="仿宋" w:eastAsia="仿宋" w:cs="仿宋_GB2312"/>
          <w:sz w:val="32"/>
          <w:szCs w:val="32"/>
          <w:lang w:val="zh-CN" w:eastAsia="zh-CN"/>
        </w:rPr>
        <w:t>。</w:t>
      </w:r>
      <w:r>
        <w:rPr>
          <w:rFonts w:hint="default" w:ascii="仿宋" w:hAnsi="仿宋" w:eastAsia="仿宋" w:cs="仿宋_GB2312"/>
          <w:sz w:val="32"/>
          <w:szCs w:val="32"/>
          <w:lang w:val="zh-CN"/>
        </w:rPr>
        <w:t>1</w:t>
      </w:r>
      <w:r>
        <w:rPr>
          <w:rFonts w:hint="eastAsia" w:ascii="仿宋" w:hAnsi="仿宋" w:eastAsia="仿宋" w:cs="仿宋_GB2312"/>
          <w:sz w:val="32"/>
          <w:szCs w:val="32"/>
          <w:lang w:val="en-US" w:eastAsia="zh-CN"/>
        </w:rPr>
        <w:t>-</w:t>
      </w:r>
      <w:r>
        <w:rPr>
          <w:rFonts w:hint="default" w:ascii="仿宋" w:hAnsi="仿宋" w:eastAsia="仿宋" w:cs="仿宋_GB2312"/>
          <w:sz w:val="32"/>
          <w:szCs w:val="32"/>
          <w:lang w:val="zh-CN"/>
        </w:rPr>
        <w:t>1</w:t>
      </w:r>
      <w:r>
        <w:rPr>
          <w:rFonts w:hint="default" w:ascii="仿宋" w:hAnsi="仿宋" w:eastAsia="仿宋" w:cs="仿宋_GB2312"/>
          <w:sz w:val="32"/>
          <w:szCs w:val="32"/>
          <w:lang w:val="en-US" w:eastAsia="zh-CN"/>
        </w:rPr>
        <w:t>2</w:t>
      </w:r>
      <w:r>
        <w:rPr>
          <w:rFonts w:hint="default" w:ascii="仿宋" w:hAnsi="仿宋" w:eastAsia="仿宋" w:cs="仿宋_GB2312"/>
          <w:sz w:val="32"/>
          <w:szCs w:val="32"/>
          <w:lang w:val="zh-CN"/>
        </w:rPr>
        <w:t>月预算执行总体进度为</w:t>
      </w:r>
      <w:r>
        <w:rPr>
          <w:rFonts w:hint="eastAsia" w:ascii="仿宋" w:hAnsi="仿宋" w:eastAsia="仿宋" w:cs="仿宋_GB2312"/>
          <w:sz w:val="32"/>
          <w:szCs w:val="32"/>
          <w:lang w:val="en-US" w:eastAsia="zh-CN"/>
        </w:rPr>
        <w:t>100</w:t>
      </w:r>
      <w:r>
        <w:rPr>
          <w:rFonts w:hint="default" w:ascii="仿宋" w:hAnsi="仿宋" w:eastAsia="仿宋" w:cs="仿宋_GB2312"/>
          <w:sz w:val="32"/>
          <w:szCs w:val="32"/>
          <w:lang w:val="zh-CN"/>
        </w:rPr>
        <w:t>%，其中：</w:t>
      </w:r>
      <w:r>
        <w:rPr>
          <w:rFonts w:hint="default" w:ascii="仿宋" w:hAnsi="仿宋" w:eastAsia="仿宋" w:cs="仿宋_GB2312"/>
          <w:sz w:val="32"/>
          <w:szCs w:val="32"/>
          <w:lang w:val="zh-CN" w:eastAsia="zh-CN"/>
        </w:rPr>
        <w:t>预算结余率大于</w:t>
      </w:r>
      <w:r>
        <w:rPr>
          <w:rFonts w:hint="default" w:ascii="仿宋" w:hAnsi="仿宋" w:eastAsia="仿宋" w:cs="仿宋_GB2312"/>
          <w:sz w:val="32"/>
          <w:szCs w:val="32"/>
          <w:lang w:val="en-US" w:eastAsia="zh-CN"/>
        </w:rPr>
        <w:t>10%</w:t>
      </w:r>
      <w:r>
        <w:rPr>
          <w:rFonts w:hint="default" w:ascii="仿宋" w:hAnsi="仿宋" w:eastAsia="仿宋" w:cs="仿宋_GB2312"/>
          <w:sz w:val="32"/>
          <w:szCs w:val="32"/>
          <w:lang w:val="zh-CN" w:eastAsia="zh-CN"/>
        </w:rPr>
        <w:t>的项目共计</w:t>
      </w:r>
      <w:r>
        <w:rPr>
          <w:rFonts w:hint="eastAsia" w:ascii="仿宋" w:hAnsi="仿宋" w:eastAsia="仿宋" w:cs="仿宋_GB2312"/>
          <w:sz w:val="32"/>
          <w:szCs w:val="32"/>
          <w:lang w:val="en-US" w:eastAsia="zh-CN"/>
        </w:rPr>
        <w:t>0</w:t>
      </w:r>
      <w:r>
        <w:rPr>
          <w:rFonts w:hint="default" w:ascii="仿宋" w:hAnsi="仿宋" w:eastAsia="仿宋" w:cs="仿宋_GB2312"/>
          <w:sz w:val="32"/>
          <w:szCs w:val="32"/>
          <w:lang w:val="zh-CN" w:eastAsia="zh-CN"/>
        </w:rPr>
        <w:t>个。</w:t>
      </w:r>
    </w:p>
    <w:p w14:paraId="2C0A6A58">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lang w:val="zh-CN"/>
        </w:rPr>
        <w:t>项目决策。我局项目资金主要包括雨露计划和脱贫小额信贷贴息项目资金，均严格按照相关管理办法执行分配项目，严格按照相关资金管理办法报账。</w:t>
      </w:r>
    </w:p>
    <w:p w14:paraId="6616F031">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2.项目执行</w:t>
      </w:r>
      <w:r>
        <w:rPr>
          <w:rFonts w:hint="eastAsia" w:ascii="仿宋" w:hAnsi="仿宋" w:eastAsia="仿宋" w:cs="仿宋_GB2312"/>
          <w:sz w:val="32"/>
          <w:szCs w:val="32"/>
          <w:lang w:val="zh-CN"/>
        </w:rPr>
        <w:t>。认真贯彻落实中央、省、州关于巩固拓展脱贫成果同乡村振兴有效衔接工作要求，持续推进巩固拓展脱贫攻坚成果同乡村振兴有效衔接。对脱贫人口将小额信贷用于发展特色种植业、养殖业、加工业、乡村旅游业以及购置小型农具等，按照“先收后贴、分期补贴、应贴尽贴”的原则，按季贴息要求，当贷款利率低于5%时，按贷款执行利率的100%给予财政贴息。</w:t>
      </w:r>
      <w:r>
        <w:rPr>
          <w:rFonts w:hint="eastAsia" w:ascii="仿宋" w:hAnsi="仿宋" w:eastAsia="仿宋" w:cs="仿宋_GB2312"/>
          <w:sz w:val="32"/>
          <w:szCs w:val="32"/>
          <w:lang w:val="zh-CN" w:eastAsia="zh-CN"/>
        </w:rPr>
        <w:t>2023年脱贫人口小额信贷贴息18.54万元。对</w:t>
      </w:r>
      <w:r>
        <w:rPr>
          <w:rFonts w:hint="eastAsia" w:ascii="仿宋" w:hAnsi="仿宋" w:eastAsia="仿宋" w:cs="仿宋_GB2312"/>
          <w:sz w:val="32"/>
          <w:szCs w:val="32"/>
          <w:lang w:eastAsia="zh-CN"/>
        </w:rPr>
        <w:t>全县范围内的原建档立卡脱贫家庭、监测帮扶对象中的边缘易致贫户、突发严重困难户子女在校接受中、高等职业教育的，享受一学年</w:t>
      </w:r>
      <w:r>
        <w:rPr>
          <w:rFonts w:hint="eastAsia" w:ascii="仿宋" w:hAnsi="仿宋" w:eastAsia="仿宋" w:cs="仿宋_GB2312"/>
          <w:sz w:val="32"/>
          <w:szCs w:val="32"/>
          <w:lang w:val="en-US" w:eastAsia="zh-CN"/>
        </w:rPr>
        <w:t>3000元的</w:t>
      </w:r>
      <w:r>
        <w:rPr>
          <w:rFonts w:hint="eastAsia" w:ascii="仿宋" w:hAnsi="仿宋" w:eastAsia="仿宋" w:cs="仿宋_GB2312"/>
          <w:sz w:val="32"/>
          <w:szCs w:val="32"/>
          <w:lang w:eastAsia="zh-CN"/>
        </w:rPr>
        <w:t>“雨露计划”补助政策。</w:t>
      </w:r>
      <w:r>
        <w:rPr>
          <w:rFonts w:hint="eastAsia" w:ascii="仿宋" w:hAnsi="仿宋" w:eastAsia="仿宋" w:cs="仿宋_GB2312"/>
          <w:sz w:val="32"/>
          <w:szCs w:val="32"/>
          <w:lang w:val="zh-CN"/>
        </w:rPr>
        <w:t>2023年“雨露计划”补助兑现591人次88.65万元。全力抓好防返贫监帮扶、“三家园”示范建设、项目推进、乡村建设、脱贫人口小额信贷、“雨露计划”、开展督导、检查、帮扶等工作，充分做好2023年度后评估、第三方检查工作。</w:t>
      </w:r>
    </w:p>
    <w:p w14:paraId="486263F9">
      <w:pPr>
        <w:spacing w:line="56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en-US" w:eastAsia="zh-CN"/>
        </w:rPr>
        <w:t>3.</w:t>
      </w:r>
      <w:r>
        <w:rPr>
          <w:rFonts w:hint="eastAsia" w:ascii="仿宋" w:hAnsi="仿宋" w:eastAsia="仿宋" w:cs="仿宋_GB2312"/>
          <w:sz w:val="32"/>
          <w:szCs w:val="32"/>
          <w:lang w:val="zh-CN"/>
        </w:rPr>
        <w:t>目标实现。</w:t>
      </w:r>
      <w:r>
        <w:rPr>
          <w:rFonts w:hint="eastAsia" w:ascii="仿宋" w:hAnsi="仿宋" w:eastAsia="仿宋" w:cs="仿宋_GB2312"/>
          <w:sz w:val="32"/>
          <w:szCs w:val="32"/>
          <w:lang w:val="zh-CN" w:eastAsia="zh-CN"/>
        </w:rPr>
        <w:t>在县委、县政府的坚强领导下，构建14个部门风险信息月推送机制，建立14类40项监测帮扶措施库，坚决防止“漏测失帮”。</w:t>
      </w:r>
      <w:r>
        <w:rPr>
          <w:rFonts w:hint="eastAsia" w:ascii="仿宋" w:hAnsi="仿宋" w:eastAsia="仿宋" w:cs="仿宋_GB2312"/>
          <w:sz w:val="32"/>
          <w:szCs w:val="32"/>
          <w:lang w:val="en-US" w:eastAsia="zh-CN"/>
        </w:rPr>
        <w:t>2023年</w:t>
      </w:r>
      <w:r>
        <w:rPr>
          <w:rFonts w:hint="eastAsia" w:ascii="仿宋" w:hAnsi="仿宋" w:eastAsia="仿宋" w:cs="仿宋_GB2312"/>
          <w:sz w:val="32"/>
          <w:szCs w:val="32"/>
          <w:lang w:val="zh-CN" w:eastAsia="zh-CN"/>
        </w:rPr>
        <w:t>“雨露计划”补助591人次88.65万元，防返贫基金救助3人次15.55万元。2023年投入涉农整合资金1.58亿元实施项目59个。高质量完成全州三家园现场观摩推进会九寨沟县分会场。发放463万元小额信贷、393万元“富民贷”支持脱贫户、监测户、低收入户发展产业，2537名脱贫劳动力（含监测对象）。2023年小额信贷贴息18.54万元。通过劳务输出、公益性岗位安置等“五个一批”实现就业。持续强化易地搬迁安置点后续帮扶，坚持并完善东西部协作、省内对口帮扶、定点帮扶机制，全力做好乡村振兴重点帮扶县相关政策落实和资金审计问题、国省考核反馈问题整改工作。</w:t>
      </w:r>
    </w:p>
    <w:p w14:paraId="38AC869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黑体" w:hAnsi="黑体" w:eastAsia="黑体" w:cs="黑体"/>
          <w:sz w:val="32"/>
          <w:szCs w:val="32"/>
          <w:lang w:eastAsia="zh-CN"/>
        </w:rPr>
      </w:pPr>
      <w:r>
        <w:rPr>
          <w:rFonts w:hint="default" w:ascii="黑体" w:hAnsi="黑体" w:eastAsia="黑体" w:cs="黑体"/>
          <w:sz w:val="32"/>
          <w:szCs w:val="32"/>
          <w:lang w:eastAsia="zh-CN"/>
        </w:rPr>
        <w:t>四、评价结论及建议</w:t>
      </w:r>
    </w:p>
    <w:p w14:paraId="41A5A40F">
      <w:pPr>
        <w:spacing w:line="560" w:lineRule="exact"/>
        <w:ind w:firstLine="640" w:firstLineChars="200"/>
        <w:rPr>
          <w:rFonts w:hint="default" w:ascii="仿宋" w:hAnsi="仿宋" w:eastAsia="仿宋" w:cs="仿宋_GB2312"/>
          <w:sz w:val="32"/>
          <w:szCs w:val="32"/>
          <w:lang w:val="en-US"/>
        </w:rPr>
      </w:pPr>
      <w:r>
        <w:rPr>
          <w:rFonts w:hint="default" w:ascii="仿宋" w:hAnsi="仿宋" w:eastAsia="仿宋" w:cs="仿宋_GB2312"/>
          <w:sz w:val="32"/>
          <w:szCs w:val="32"/>
          <w:lang w:val="zh-CN"/>
        </w:rPr>
        <w:t>（一）评价结论。</w:t>
      </w:r>
      <w:r>
        <w:rPr>
          <w:rFonts w:hint="eastAsia" w:ascii="仿宋" w:hAnsi="仿宋" w:eastAsia="仿宋" w:cs="仿宋_GB2312"/>
          <w:sz w:val="32"/>
          <w:szCs w:val="32"/>
          <w:lang w:val="en-US" w:eastAsia="zh-CN"/>
        </w:rPr>
        <w:t>聚焦脱贫成果巩固提升，推进脱贫成果巩固提升与乡村振兴有效衔接，因户施策，发展投资小、风险低、见效快的</w:t>
      </w:r>
      <w:r>
        <w:rPr>
          <w:rFonts w:hint="eastAsia" w:ascii="仿宋" w:hAnsi="仿宋" w:eastAsia="仿宋" w:cs="仿宋_GB2312"/>
          <w:sz w:val="32"/>
          <w:szCs w:val="32"/>
          <w:lang w:val="zh-CN" w:eastAsia="zh-CN"/>
        </w:rPr>
        <w:t>产业或能效带动脱贫群</w:t>
      </w:r>
      <w:r>
        <w:rPr>
          <w:rFonts w:hint="eastAsia" w:ascii="仿宋" w:hAnsi="仿宋" w:eastAsia="仿宋" w:cs="仿宋_GB2312"/>
          <w:sz w:val="32"/>
          <w:szCs w:val="32"/>
          <w:lang w:val="zh-CN"/>
        </w:rPr>
        <w:t>众致富脱贫的特色优势产业，强化“造血”功能。拓宽群众增收途径，持续实现助农增收。坚持守住底线，巩固脱贫成果,聚焦脱贫成果巩固提升与乡村振兴有序衔接，高质量推进各项工作。</w:t>
      </w:r>
      <w:r>
        <w:rPr>
          <w:rFonts w:hint="eastAsia" w:ascii="仿宋" w:hAnsi="仿宋" w:eastAsia="仿宋" w:cs="仿宋_GB2312"/>
          <w:sz w:val="32"/>
          <w:szCs w:val="32"/>
          <w:lang w:val="en-US" w:eastAsia="zh-CN"/>
        </w:rPr>
        <w:t>本单位日常公用经费支出，均按照财政相关要求支付。项目及日常公用经费均符合项目绩效要求。绩效自评综合得分99分。</w:t>
      </w:r>
    </w:p>
    <w:p w14:paraId="4A38F9EB">
      <w:pPr>
        <w:spacing w:line="560" w:lineRule="exact"/>
        <w:ind w:firstLine="640" w:firstLineChars="200"/>
        <w:rPr>
          <w:rFonts w:hint="eastAsia" w:ascii="仿宋" w:hAnsi="仿宋" w:eastAsia="仿宋" w:cs="仿宋_GB2312"/>
          <w:sz w:val="32"/>
          <w:szCs w:val="32"/>
          <w:lang w:val="en-US" w:eastAsia="zh-CN"/>
        </w:rPr>
      </w:pPr>
      <w:r>
        <w:rPr>
          <w:rFonts w:hint="default" w:ascii="仿宋" w:hAnsi="仿宋" w:eastAsia="仿宋" w:cs="仿宋_GB2312"/>
          <w:sz w:val="32"/>
          <w:szCs w:val="32"/>
          <w:lang w:val="zh-CN"/>
        </w:rPr>
        <w:t>（二）存在问题。</w:t>
      </w:r>
      <w:r>
        <w:rPr>
          <w:rFonts w:hint="eastAsia" w:ascii="仿宋" w:hAnsi="仿宋" w:eastAsia="仿宋" w:cs="仿宋_GB2312"/>
          <w:sz w:val="32"/>
          <w:szCs w:val="32"/>
          <w:lang w:val="en-US" w:eastAsia="zh-CN"/>
        </w:rPr>
        <w:t>由于脱贫攻坚巩固提升同乡村振兴有效衔接工作任务重，本年度经费紧张。</w:t>
      </w:r>
    </w:p>
    <w:p w14:paraId="70683251">
      <w:pPr>
        <w:spacing w:line="560" w:lineRule="exact"/>
        <w:ind w:firstLine="640" w:firstLineChars="200"/>
        <w:rPr>
          <w:rFonts w:hint="eastAsia" w:ascii="仿宋" w:hAnsi="仿宋" w:eastAsia="仿宋" w:cs="仿宋_GB2312"/>
          <w:sz w:val="32"/>
          <w:szCs w:val="32"/>
          <w:lang w:val="en-US" w:eastAsia="zh-CN"/>
        </w:rPr>
      </w:pPr>
      <w:r>
        <w:rPr>
          <w:rFonts w:hint="default" w:ascii="仿宋" w:hAnsi="仿宋" w:eastAsia="仿宋" w:cs="仿宋_GB2312"/>
          <w:sz w:val="32"/>
          <w:szCs w:val="32"/>
          <w:lang w:val="zh-CN" w:eastAsia="zh-CN"/>
        </w:rPr>
        <w:t>（三）改进建议。</w:t>
      </w:r>
    </w:p>
    <w:p w14:paraId="4A035ACF">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1.细化预算编制工作，认真做好预算的编制。</w:t>
      </w:r>
    </w:p>
    <w:p w14:paraId="3C6A7BA2">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2.加强财务管理，严格财务审核。在费用报账支付时，按照预算规定的费用项目和用途进行资金使用审核、列报支付、财务核算，杜绝超支现象的发生。</w:t>
      </w:r>
    </w:p>
    <w:p w14:paraId="7087D1F9">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持续抓好“三公”经费控制管理。严格控制“三公”经费的规模和比例，把关“三公”经费支出的审核、审批，杜绝挪用和挤占其他预算资金行为；进一步细化“三公”经费的管理，合理压缩“三公”经费支出。</w:t>
      </w:r>
    </w:p>
    <w:p w14:paraId="5E453FDB">
      <w:pPr>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附表：部门预算项目支出绩效自评表（2023年度）</w:t>
      </w:r>
    </w:p>
    <w:tbl>
      <w:tblPr>
        <w:tblStyle w:val="16"/>
        <w:tblW w:w="98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1"/>
        <w:gridCol w:w="859"/>
        <w:gridCol w:w="393"/>
        <w:gridCol w:w="188"/>
        <w:gridCol w:w="720"/>
        <w:gridCol w:w="115"/>
        <w:gridCol w:w="396"/>
        <w:gridCol w:w="687"/>
        <w:gridCol w:w="233"/>
        <w:gridCol w:w="163"/>
        <w:gridCol w:w="358"/>
        <w:gridCol w:w="488"/>
        <w:gridCol w:w="486"/>
        <w:gridCol w:w="486"/>
        <w:gridCol w:w="122"/>
        <w:gridCol w:w="552"/>
        <w:gridCol w:w="846"/>
        <w:gridCol w:w="486"/>
        <w:gridCol w:w="486"/>
        <w:gridCol w:w="1218"/>
      </w:tblGrid>
      <w:tr w14:paraId="5A0F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9879"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5A16F7A">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A80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426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2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A4F7F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51322521T000000047602-雨露计划</w:t>
            </w:r>
          </w:p>
        </w:tc>
      </w:tr>
      <w:tr w14:paraId="4547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1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297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8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10B8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乡村振兴部门</w:t>
            </w:r>
          </w:p>
        </w:tc>
        <w:tc>
          <w:tcPr>
            <w:tcW w:w="846" w:type="dxa"/>
            <w:gridSpan w:val="2"/>
            <w:tcBorders>
              <w:top w:val="nil"/>
              <w:left w:val="nil"/>
              <w:bottom w:val="nil"/>
              <w:right w:val="nil"/>
            </w:tcBorders>
            <w:shd w:val="clear" w:color="auto" w:fill="auto"/>
            <w:vAlign w:val="center"/>
          </w:tcPr>
          <w:p w14:paraId="043D5E5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6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28F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乡村振兴局</w:t>
            </w:r>
          </w:p>
        </w:tc>
      </w:tr>
      <w:tr w14:paraId="7207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1AB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2C9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8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BF1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5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E2D7B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8B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3DF7C">
            <w:pPr>
              <w:rPr>
                <w:rFonts w:hint="eastAsia" w:ascii="宋体" w:hAnsi="宋体" w:eastAsia="宋体" w:cs="宋体"/>
                <w:i w:val="0"/>
                <w:iCs w:val="0"/>
                <w:color w:val="000000"/>
                <w:sz w:val="18"/>
                <w:szCs w:val="18"/>
                <w:u w:val="none"/>
              </w:rPr>
            </w:pPr>
          </w:p>
        </w:tc>
        <w:tc>
          <w:tcPr>
            <w:tcW w:w="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DDD53">
            <w:pPr>
              <w:rPr>
                <w:rFonts w:hint="eastAsia" w:ascii="宋体" w:hAnsi="宋体" w:eastAsia="宋体" w:cs="宋体"/>
                <w:i w:val="0"/>
                <w:iCs w:val="0"/>
                <w:color w:val="000000"/>
                <w:sz w:val="18"/>
                <w:szCs w:val="18"/>
                <w:u w:val="none"/>
              </w:rPr>
            </w:pPr>
          </w:p>
        </w:tc>
        <w:tc>
          <w:tcPr>
            <w:tcW w:w="28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AF9E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扶持对象为精准识别最新一轮全面性认定的建档立卡贫困户，原则上以国务院扶贫办农村贫困人口建档立卡数据为准。</w:t>
            </w:r>
          </w:p>
        </w:tc>
        <w:tc>
          <w:tcPr>
            <w:tcW w:w="55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AE03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按照应纳尽纳、应补尽补的原则，全县范围内的原建档立卡脱贫家庭、监测帮扶对象中的边缘易致贫户、突发严重困难户在读学生家庭在校接受中、高等职业教育一学年享受3000元“雨露计划”补助政策。</w:t>
            </w:r>
          </w:p>
        </w:tc>
      </w:tr>
      <w:tr w14:paraId="124F1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E21E5">
            <w:pP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701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2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B3D95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关于继续做好“雨露计划”支持脱贫家庭新成长劳动力接受职业教育工作的通知》（川乡振发〔2021〕44号文件）向符合条件的脱贫家庭（含监测帮扶对象家庭）安排“雨露计划”补助，助力巩固拓展脱贫攻坚成果，全面推进乡村振兴。由县级乡村振兴部门从国家系统中导出信息，分乡镇、分村编制表格，下发至乡镇、行政村（社区），由村级逐一核实学籍、学生是否在读等情况，村级以表册形式“打捆”出具证明（加盖公章），逐级上报至县级乡村振兴部门审批后，直补到户。</w:t>
            </w:r>
          </w:p>
        </w:tc>
      </w:tr>
      <w:tr w14:paraId="24E57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81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54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72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F8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E8A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3D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C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4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D16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8B7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C4CE3">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73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39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D8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88.65</w:t>
            </w: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E36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88.65</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09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3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F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71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9239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FB78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995B9">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E2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25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5C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88.65</w:t>
            </w: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34A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88.65</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03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8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9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7B42D">
            <w:pPr>
              <w:rPr>
                <w:rFonts w:hint="eastAsia" w:ascii="黑体" w:hAnsi="黑体" w:eastAsia="黑体" w:cs="黑体"/>
                <w:i/>
                <w:iCs/>
                <w:color w:val="000000"/>
                <w:sz w:val="18"/>
                <w:szCs w:val="18"/>
                <w:u w:val="none"/>
              </w:rPr>
            </w:pPr>
          </w:p>
        </w:tc>
      </w:tr>
      <w:tr w14:paraId="74EC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E3A3F">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EC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C6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D2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04D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49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B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1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3259E">
            <w:pPr>
              <w:rPr>
                <w:rFonts w:hint="eastAsia" w:ascii="黑体" w:hAnsi="黑体" w:eastAsia="黑体" w:cs="黑体"/>
                <w:i/>
                <w:iCs/>
                <w:color w:val="000000"/>
                <w:sz w:val="18"/>
                <w:szCs w:val="18"/>
                <w:u w:val="none"/>
              </w:rPr>
            </w:pPr>
          </w:p>
        </w:tc>
      </w:tr>
      <w:tr w14:paraId="1EB17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5D4F4">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98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B6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2A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B96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F0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6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2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DFED0">
            <w:pPr>
              <w:rPr>
                <w:rFonts w:hint="eastAsia" w:ascii="黑体" w:hAnsi="黑体" w:eastAsia="黑体" w:cs="黑体"/>
                <w:i/>
                <w:iCs/>
                <w:color w:val="000000"/>
                <w:sz w:val="18"/>
                <w:szCs w:val="18"/>
                <w:u w:val="none"/>
              </w:rPr>
            </w:pPr>
          </w:p>
        </w:tc>
      </w:tr>
      <w:tr w14:paraId="3233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7BF5">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49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4620D">
            <w:pPr>
              <w:jc w:val="center"/>
              <w:rPr>
                <w:rFonts w:hint="eastAsia" w:ascii="微软雅黑" w:hAnsi="微软雅黑" w:eastAsia="微软雅黑" w:cs="微软雅黑"/>
                <w:i/>
                <w:iCs/>
                <w:color w:val="000000"/>
                <w:sz w:val="16"/>
                <w:szCs w:val="16"/>
                <w:u w:val="none"/>
              </w:rPr>
            </w:pP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D3BEE">
            <w:pPr>
              <w:jc w:val="center"/>
              <w:rPr>
                <w:rFonts w:hint="eastAsia" w:ascii="微软雅黑" w:hAnsi="微软雅黑" w:eastAsia="微软雅黑" w:cs="微软雅黑"/>
                <w:i/>
                <w:iCs/>
                <w:color w:val="000000"/>
                <w:sz w:val="16"/>
                <w:szCs w:val="16"/>
                <w:u w:val="none"/>
              </w:rPr>
            </w:pPr>
          </w:p>
        </w:tc>
        <w:tc>
          <w:tcPr>
            <w:tcW w:w="14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2B59A6">
            <w:pPr>
              <w:jc w:val="center"/>
              <w:rPr>
                <w:rFonts w:hint="eastAsia" w:ascii="微软雅黑" w:hAnsi="微软雅黑" w:eastAsia="微软雅黑" w:cs="微软雅黑"/>
                <w:i/>
                <w:iCs/>
                <w:color w:val="000000"/>
                <w:sz w:val="16"/>
                <w:szCs w:val="16"/>
                <w:u w:val="none"/>
              </w:rPr>
            </w:pP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58B2">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E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7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1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A9E5">
            <w:pPr>
              <w:rPr>
                <w:rFonts w:hint="eastAsia" w:ascii="黑体" w:hAnsi="黑体" w:eastAsia="黑体" w:cs="黑体"/>
                <w:i/>
                <w:iCs/>
                <w:color w:val="000000"/>
                <w:sz w:val="18"/>
                <w:szCs w:val="18"/>
                <w:u w:val="none"/>
              </w:rPr>
            </w:pPr>
          </w:p>
        </w:tc>
      </w:tr>
      <w:tr w14:paraId="11958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E0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D86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74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D6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A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9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B7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9D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3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F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3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06A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4AC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6F14C">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9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48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56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建档立卡贫困人口医疗救助人次数</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4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4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490</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92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E4DB9">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6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9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3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25979D">
            <w:pPr>
              <w:jc w:val="center"/>
              <w:rPr>
                <w:rFonts w:hint="eastAsia" w:ascii="微软雅黑" w:hAnsi="微软雅黑" w:eastAsia="微软雅黑" w:cs="微软雅黑"/>
                <w:i/>
                <w:iCs/>
                <w:color w:val="000000"/>
                <w:sz w:val="16"/>
                <w:szCs w:val="16"/>
                <w:u w:val="none"/>
              </w:rPr>
            </w:pPr>
          </w:p>
        </w:tc>
      </w:tr>
      <w:tr w14:paraId="6080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E229A">
            <w:pPr>
              <w:jc w:val="center"/>
              <w:rPr>
                <w:rFonts w:hint="eastAsia" w:ascii="宋体" w:hAnsi="宋体" w:eastAsia="宋体" w:cs="宋体"/>
                <w:i w:val="0"/>
                <w:iCs w:val="0"/>
                <w:color w:val="000000"/>
                <w:sz w:val="18"/>
                <w:szCs w:val="18"/>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FE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0D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C8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建档立卡脱贫人口增收</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A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7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E9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元/人年</w:t>
            </w:r>
          </w:p>
        </w:tc>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E38D8">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9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F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3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F0E49C">
            <w:pPr>
              <w:jc w:val="center"/>
              <w:rPr>
                <w:rFonts w:hint="eastAsia" w:ascii="微软雅黑" w:hAnsi="微软雅黑" w:eastAsia="微软雅黑" w:cs="微软雅黑"/>
                <w:i/>
                <w:iCs/>
                <w:color w:val="000000"/>
                <w:sz w:val="16"/>
                <w:szCs w:val="16"/>
                <w:u w:val="none"/>
              </w:rPr>
            </w:pPr>
          </w:p>
        </w:tc>
      </w:tr>
      <w:tr w14:paraId="52DD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19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D0CB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9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630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994DF5">
            <w:pPr>
              <w:rPr>
                <w:rFonts w:hint="eastAsia" w:ascii="宋体" w:hAnsi="宋体" w:eastAsia="宋体" w:cs="宋体"/>
                <w:i w:val="0"/>
                <w:iCs w:val="0"/>
                <w:color w:val="000000"/>
                <w:sz w:val="18"/>
                <w:szCs w:val="18"/>
                <w:u w:val="none"/>
              </w:rPr>
            </w:pPr>
          </w:p>
        </w:tc>
      </w:tr>
      <w:tr w14:paraId="343C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7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3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EF663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雨露计划”是一项重要的民生实事，必须不折不扣抓实抓好。各乡（镇）、部门要加强领导、落实责任，严肃纪律要求，确保政策落地落实。对于脱贫户家庭有着实际帮助，有利于减轻家庭负担，对于巩固拓展脱贫攻坚成果有着重要意义。2023年兑现591人次的88.65万元“雨露计划”补助。项目自评总分100分。</w:t>
            </w:r>
          </w:p>
        </w:tc>
      </w:tr>
      <w:tr w14:paraId="617CE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C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3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9D5EF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EB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E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3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1F80D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0A3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26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AECE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项目负责人：方义</w:t>
            </w:r>
          </w:p>
        </w:tc>
        <w:tc>
          <w:tcPr>
            <w:tcW w:w="661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42E60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财务负责人：杜钊辉</w:t>
            </w:r>
          </w:p>
        </w:tc>
      </w:tr>
      <w:tr w14:paraId="29C6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76" w:type="dxa"/>
            <w:tcBorders>
              <w:top w:val="nil"/>
              <w:left w:val="nil"/>
              <w:bottom w:val="nil"/>
              <w:right w:val="nil"/>
            </w:tcBorders>
            <w:shd w:val="clear" w:color="auto" w:fill="auto"/>
            <w:vAlign w:val="center"/>
          </w:tcPr>
          <w:p w14:paraId="7264BF68">
            <w:pPr>
              <w:rPr>
                <w:rFonts w:hint="eastAsia" w:ascii="宋体" w:hAnsi="宋体" w:eastAsia="宋体" w:cs="宋体"/>
                <w:i w:val="0"/>
                <w:iCs w:val="0"/>
                <w:color w:val="000000"/>
                <w:sz w:val="18"/>
                <w:szCs w:val="18"/>
                <w:u w:val="none"/>
              </w:rPr>
            </w:pPr>
          </w:p>
        </w:tc>
        <w:tc>
          <w:tcPr>
            <w:tcW w:w="880" w:type="dxa"/>
            <w:gridSpan w:val="2"/>
            <w:tcBorders>
              <w:top w:val="nil"/>
              <w:left w:val="nil"/>
              <w:bottom w:val="nil"/>
              <w:right w:val="nil"/>
            </w:tcBorders>
            <w:shd w:val="clear" w:color="auto" w:fill="auto"/>
            <w:vAlign w:val="center"/>
          </w:tcPr>
          <w:p w14:paraId="3D33F55D">
            <w:pPr>
              <w:rPr>
                <w:rFonts w:hint="eastAsia" w:ascii="宋体" w:hAnsi="宋体" w:eastAsia="宋体" w:cs="宋体"/>
                <w:i w:val="0"/>
                <w:iCs w:val="0"/>
                <w:color w:val="000000"/>
                <w:sz w:val="18"/>
                <w:szCs w:val="18"/>
                <w:u w:val="none"/>
              </w:rPr>
            </w:pPr>
          </w:p>
        </w:tc>
        <w:tc>
          <w:tcPr>
            <w:tcW w:w="581" w:type="dxa"/>
            <w:gridSpan w:val="2"/>
            <w:tcBorders>
              <w:top w:val="nil"/>
              <w:left w:val="nil"/>
              <w:bottom w:val="nil"/>
              <w:right w:val="nil"/>
            </w:tcBorders>
            <w:shd w:val="clear" w:color="auto" w:fill="auto"/>
            <w:vAlign w:val="center"/>
          </w:tcPr>
          <w:p w14:paraId="613CD31A">
            <w:pPr>
              <w:rPr>
                <w:rFonts w:hint="eastAsia" w:ascii="宋体" w:hAnsi="宋体" w:eastAsia="宋体" w:cs="宋体"/>
                <w:i w:val="0"/>
                <w:iCs w:val="0"/>
                <w:color w:val="000000"/>
                <w:sz w:val="18"/>
                <w:szCs w:val="18"/>
                <w:u w:val="none"/>
              </w:rPr>
            </w:pPr>
          </w:p>
        </w:tc>
        <w:tc>
          <w:tcPr>
            <w:tcW w:w="835" w:type="dxa"/>
            <w:gridSpan w:val="2"/>
            <w:tcBorders>
              <w:top w:val="nil"/>
              <w:left w:val="nil"/>
              <w:bottom w:val="nil"/>
              <w:right w:val="nil"/>
            </w:tcBorders>
            <w:shd w:val="clear" w:color="auto" w:fill="auto"/>
            <w:vAlign w:val="center"/>
          </w:tcPr>
          <w:p w14:paraId="1C408C95">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14:paraId="1496CBAF">
            <w:pPr>
              <w:rPr>
                <w:rFonts w:hint="eastAsia" w:ascii="宋体" w:hAnsi="宋体" w:eastAsia="宋体" w:cs="宋体"/>
                <w:i w:val="0"/>
                <w:iCs w:val="0"/>
                <w:color w:val="000000"/>
                <w:sz w:val="18"/>
                <w:szCs w:val="18"/>
                <w:u w:val="none"/>
              </w:rPr>
            </w:pPr>
          </w:p>
        </w:tc>
        <w:tc>
          <w:tcPr>
            <w:tcW w:w="687" w:type="dxa"/>
            <w:tcBorders>
              <w:top w:val="nil"/>
              <w:left w:val="nil"/>
              <w:bottom w:val="nil"/>
              <w:right w:val="nil"/>
            </w:tcBorders>
            <w:shd w:val="clear" w:color="auto" w:fill="auto"/>
            <w:vAlign w:val="center"/>
          </w:tcPr>
          <w:p w14:paraId="149679CA">
            <w:pPr>
              <w:rPr>
                <w:rFonts w:hint="eastAsia" w:ascii="宋体" w:hAnsi="宋体" w:eastAsia="宋体" w:cs="宋体"/>
                <w:i w:val="0"/>
                <w:iCs w:val="0"/>
                <w:color w:val="000000"/>
                <w:sz w:val="18"/>
                <w:szCs w:val="18"/>
                <w:u w:val="none"/>
              </w:rPr>
            </w:pPr>
          </w:p>
        </w:tc>
        <w:tc>
          <w:tcPr>
            <w:tcW w:w="396" w:type="dxa"/>
            <w:gridSpan w:val="2"/>
            <w:tcBorders>
              <w:top w:val="nil"/>
              <w:left w:val="nil"/>
              <w:bottom w:val="nil"/>
              <w:right w:val="nil"/>
            </w:tcBorders>
            <w:shd w:val="clear" w:color="auto" w:fill="auto"/>
            <w:vAlign w:val="center"/>
          </w:tcPr>
          <w:p w14:paraId="7A4F53A9">
            <w:pPr>
              <w:rPr>
                <w:rFonts w:hint="eastAsia" w:ascii="宋体" w:hAnsi="宋体" w:eastAsia="宋体" w:cs="宋体"/>
                <w:i w:val="0"/>
                <w:iCs w:val="0"/>
                <w:color w:val="000000"/>
                <w:sz w:val="18"/>
                <w:szCs w:val="18"/>
                <w:u w:val="none"/>
              </w:rPr>
            </w:pPr>
          </w:p>
        </w:tc>
        <w:tc>
          <w:tcPr>
            <w:tcW w:w="846" w:type="dxa"/>
            <w:gridSpan w:val="2"/>
            <w:tcBorders>
              <w:top w:val="nil"/>
              <w:left w:val="nil"/>
              <w:bottom w:val="nil"/>
              <w:right w:val="nil"/>
            </w:tcBorders>
            <w:shd w:val="clear" w:color="auto" w:fill="auto"/>
            <w:vAlign w:val="center"/>
          </w:tcPr>
          <w:p w14:paraId="556378D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D20FA91">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EE84D0E">
            <w:pPr>
              <w:rPr>
                <w:rFonts w:hint="eastAsia" w:ascii="宋体" w:hAnsi="宋体" w:eastAsia="宋体" w:cs="宋体"/>
                <w:i w:val="0"/>
                <w:iCs w:val="0"/>
                <w:color w:val="000000"/>
                <w:sz w:val="18"/>
                <w:szCs w:val="18"/>
                <w:u w:val="none"/>
              </w:rPr>
            </w:pPr>
          </w:p>
        </w:tc>
        <w:tc>
          <w:tcPr>
            <w:tcW w:w="3710" w:type="dxa"/>
            <w:gridSpan w:val="6"/>
            <w:tcBorders>
              <w:top w:val="nil"/>
              <w:left w:val="nil"/>
              <w:bottom w:val="nil"/>
              <w:right w:val="nil"/>
            </w:tcBorders>
            <w:shd w:val="clear" w:color="auto" w:fill="auto"/>
            <w:vAlign w:val="center"/>
          </w:tcPr>
          <w:p w14:paraId="32D9B607">
            <w:pPr>
              <w:rPr>
                <w:rFonts w:hint="eastAsia" w:ascii="宋体" w:hAnsi="宋体" w:eastAsia="宋体" w:cs="宋体"/>
                <w:i w:val="0"/>
                <w:iCs w:val="0"/>
                <w:color w:val="000000"/>
                <w:sz w:val="18"/>
                <w:szCs w:val="18"/>
                <w:u w:val="none"/>
              </w:rPr>
            </w:pPr>
          </w:p>
        </w:tc>
      </w:tr>
      <w:tr w14:paraId="315C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879" w:type="dxa"/>
            <w:gridSpan w:val="21"/>
            <w:tcBorders>
              <w:top w:val="nil"/>
              <w:left w:val="nil"/>
              <w:bottom w:val="nil"/>
              <w:right w:val="nil"/>
            </w:tcBorders>
            <w:shd w:val="clear" w:color="auto" w:fill="auto"/>
            <w:vAlign w:val="center"/>
          </w:tcPr>
          <w:p w14:paraId="572B00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2CFB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879" w:type="dxa"/>
            <w:gridSpan w:val="21"/>
            <w:tcBorders>
              <w:top w:val="nil"/>
              <w:left w:val="nil"/>
              <w:bottom w:val="nil"/>
              <w:right w:val="nil"/>
            </w:tcBorders>
            <w:shd w:val="clear" w:color="auto" w:fill="auto"/>
            <w:vAlign w:val="center"/>
          </w:tcPr>
          <w:p w14:paraId="59B2E8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58289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879" w:type="dxa"/>
            <w:gridSpan w:val="21"/>
            <w:tcBorders>
              <w:top w:val="nil"/>
              <w:left w:val="nil"/>
              <w:bottom w:val="nil"/>
              <w:right w:val="nil"/>
            </w:tcBorders>
            <w:shd w:val="clear" w:color="auto" w:fill="auto"/>
            <w:vAlign w:val="center"/>
          </w:tcPr>
          <w:p w14:paraId="2C540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1901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879" w:type="dxa"/>
            <w:gridSpan w:val="21"/>
            <w:tcBorders>
              <w:top w:val="nil"/>
              <w:left w:val="nil"/>
              <w:bottom w:val="nil"/>
              <w:right w:val="nil"/>
            </w:tcBorders>
            <w:shd w:val="clear" w:color="auto" w:fill="auto"/>
            <w:vAlign w:val="center"/>
          </w:tcPr>
          <w:p w14:paraId="64C170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r w14:paraId="419F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trPr>
        <w:tc>
          <w:tcPr>
            <w:tcW w:w="9879"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0F6BE2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1A0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8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7A3E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0"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598F2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51322522T000000290487-脱贫人口小额信贷贴息</w:t>
            </w:r>
          </w:p>
        </w:tc>
      </w:tr>
      <w:tr w14:paraId="6C84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8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1071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99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12F07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乡村振兴部门</w:t>
            </w:r>
          </w:p>
        </w:tc>
        <w:tc>
          <w:tcPr>
            <w:tcW w:w="846" w:type="dxa"/>
            <w:tcBorders>
              <w:top w:val="nil"/>
              <w:left w:val="nil"/>
              <w:bottom w:val="nil"/>
              <w:right w:val="nil"/>
            </w:tcBorders>
            <w:shd w:val="clear" w:color="auto" w:fill="auto"/>
            <w:vAlign w:val="center"/>
          </w:tcPr>
          <w:p w14:paraId="2C5BC9C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11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乡村振兴局</w:t>
            </w:r>
          </w:p>
        </w:tc>
      </w:tr>
      <w:tr w14:paraId="34604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5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2BC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AC6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99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D74B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B6631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7F3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4"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10D46">
            <w:pPr>
              <w:rPr>
                <w:rFonts w:hint="eastAsia" w:ascii="宋体" w:hAnsi="宋体" w:eastAsia="宋体" w:cs="宋体"/>
                <w:i w:val="0"/>
                <w:iCs w:val="0"/>
                <w:color w:val="000000"/>
                <w:sz w:val="18"/>
                <w:szCs w:val="18"/>
                <w:u w:val="none"/>
              </w:rPr>
            </w:pPr>
          </w:p>
        </w:tc>
        <w:tc>
          <w:tcPr>
            <w:tcW w:w="12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1349">
            <w:pPr>
              <w:rPr>
                <w:rFonts w:hint="eastAsia" w:ascii="宋体" w:hAnsi="宋体" w:eastAsia="宋体" w:cs="宋体"/>
                <w:i w:val="0"/>
                <w:iCs w:val="0"/>
                <w:color w:val="000000"/>
                <w:sz w:val="18"/>
                <w:szCs w:val="18"/>
                <w:u w:val="none"/>
              </w:rPr>
            </w:pPr>
          </w:p>
        </w:tc>
        <w:tc>
          <w:tcPr>
            <w:tcW w:w="499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F2753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精准满足建档立卡贫困户发展产业信贷需求，实现产业脱贫，有效引导经融机构向符合条件的建档立卡贫困户发放扶贫小额信贷贷款，支持其发展种植业、养殖业、农副产品加工业、服务业及其他增收项目，实现增收致富。政府部门根据贫困户贷款情况进行贴息。</w:t>
            </w:r>
          </w:p>
        </w:tc>
        <w:tc>
          <w:tcPr>
            <w:tcW w:w="30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4218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脱贫人口将小额信贷用于发展特色种植业、养殖业、加工业、乡村旅游业以及购置小型农具等，按照“先收后贴、分期补贴、应贴尽贴”的原则给予贴息，当贷款利率低于5%时，按贷款执行利率的100%给予财政贴息。按照“先收后贴、分期补贴、应贴尽贴”的原则给予贴息，2023年年度申报贴息18.54万元，实际贴息18.54万元。</w:t>
            </w:r>
          </w:p>
        </w:tc>
      </w:tr>
      <w:tr w14:paraId="12265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3"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F751D">
            <w:pP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845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0"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C9E1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脱贫人口将小额信贷用于发展特色种植业、养殖业、加工业、乡村旅游业以及购置小型农具等，按照按季贴息的要求，当贷款利率低于5%时，按贷款执行利率的100%给予财政贴息。按照“先收后贴、分期补贴、应贴尽贴”的原则给予贴息贴息资金由脱贫人口提出申请，村委、乡（镇）初审汇总，县乡村振兴局和承贷银行审核确认，县财政局根据审核结果复审后，县乡村振兴局、县财政局再将贴息资金按规定拨付给脱贫人口。</w:t>
            </w:r>
          </w:p>
        </w:tc>
      </w:tr>
      <w:tr w14:paraId="5D15D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B3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5E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CA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B3C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320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0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5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7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6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8B1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38D4">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16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30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CA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18.54</w:t>
            </w: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FDA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18.54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3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E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D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B183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3D9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C1CDA">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C4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18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9A5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18.54</w:t>
            </w: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ADA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18.54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C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3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4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E6F50">
            <w:pPr>
              <w:rPr>
                <w:rFonts w:hint="eastAsia" w:ascii="黑体" w:hAnsi="黑体" w:eastAsia="黑体" w:cs="黑体"/>
                <w:i/>
                <w:iCs/>
                <w:color w:val="000000"/>
                <w:sz w:val="18"/>
                <w:szCs w:val="18"/>
                <w:u w:val="none"/>
              </w:rPr>
            </w:pPr>
          </w:p>
        </w:tc>
      </w:tr>
      <w:tr w14:paraId="5E1D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0A147">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30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7A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B1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74C9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4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E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1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16650">
            <w:pPr>
              <w:rPr>
                <w:rFonts w:hint="eastAsia" w:ascii="黑体" w:hAnsi="黑体" w:eastAsia="黑体" w:cs="黑体"/>
                <w:i/>
                <w:iCs/>
                <w:color w:val="000000"/>
                <w:sz w:val="18"/>
                <w:szCs w:val="18"/>
                <w:u w:val="none"/>
              </w:rPr>
            </w:pPr>
          </w:p>
        </w:tc>
      </w:tr>
      <w:tr w14:paraId="13FF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B1ED8">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9F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D7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46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A99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D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4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B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8B6EB">
            <w:pPr>
              <w:rPr>
                <w:rFonts w:hint="eastAsia" w:ascii="黑体" w:hAnsi="黑体" w:eastAsia="黑体" w:cs="黑体"/>
                <w:i/>
                <w:iCs/>
                <w:color w:val="000000"/>
                <w:sz w:val="18"/>
                <w:szCs w:val="18"/>
                <w:u w:val="none"/>
              </w:rPr>
            </w:pPr>
          </w:p>
        </w:tc>
      </w:tr>
      <w:tr w14:paraId="7777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8C828">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25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477AB">
            <w:pPr>
              <w:jc w:val="center"/>
              <w:rPr>
                <w:rFonts w:hint="eastAsia" w:ascii="微软雅黑" w:hAnsi="微软雅黑" w:eastAsia="微软雅黑" w:cs="微软雅黑"/>
                <w:i/>
                <w:iCs/>
                <w:color w:val="000000"/>
                <w:sz w:val="16"/>
                <w:szCs w:val="16"/>
                <w:u w:val="none"/>
              </w:rPr>
            </w:pP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C1B722">
            <w:pPr>
              <w:jc w:val="center"/>
              <w:rPr>
                <w:rFonts w:hint="eastAsia" w:ascii="微软雅黑" w:hAnsi="微软雅黑" w:eastAsia="微软雅黑" w:cs="微软雅黑"/>
                <w:i/>
                <w:iCs/>
                <w:color w:val="000000"/>
                <w:sz w:val="16"/>
                <w:szCs w:val="16"/>
                <w:u w:val="none"/>
              </w:rPr>
            </w:pPr>
          </w:p>
        </w:tc>
        <w:tc>
          <w:tcPr>
            <w:tcW w:w="26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94342B2">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EE18">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D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3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34640">
            <w:pPr>
              <w:rPr>
                <w:rFonts w:hint="eastAsia" w:ascii="黑体" w:hAnsi="黑体" w:eastAsia="黑体" w:cs="黑体"/>
                <w:i/>
                <w:iCs/>
                <w:color w:val="000000"/>
                <w:sz w:val="18"/>
                <w:szCs w:val="18"/>
                <w:u w:val="none"/>
              </w:rPr>
            </w:pPr>
          </w:p>
        </w:tc>
      </w:tr>
      <w:tr w14:paraId="7675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5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72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78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90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2F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4D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5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855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7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3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9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E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4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0D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790A4">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5D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FC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DD3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收入增长</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93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15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2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C4EA">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C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6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6E17">
            <w:pPr>
              <w:jc w:val="center"/>
              <w:rPr>
                <w:rFonts w:hint="eastAsia" w:ascii="微软雅黑" w:hAnsi="微软雅黑" w:eastAsia="微软雅黑" w:cs="微软雅黑"/>
                <w:i/>
                <w:iCs/>
                <w:color w:val="000000"/>
                <w:sz w:val="16"/>
                <w:szCs w:val="16"/>
                <w:u w:val="none"/>
              </w:rPr>
            </w:pPr>
          </w:p>
        </w:tc>
      </w:tr>
      <w:tr w14:paraId="2780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43DA6">
            <w:pPr>
              <w:jc w:val="center"/>
              <w:rPr>
                <w:rFonts w:hint="eastAsia" w:ascii="宋体" w:hAnsi="宋体" w:eastAsia="宋体" w:cs="宋体"/>
                <w:i w:val="0"/>
                <w:iCs w:val="0"/>
                <w:color w:val="000000"/>
                <w:sz w:val="18"/>
                <w:szCs w:val="18"/>
                <w:u w:val="none"/>
              </w:rPr>
            </w:pPr>
          </w:p>
        </w:tc>
        <w:tc>
          <w:tcPr>
            <w:tcW w:w="1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66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48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A9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促农增收</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C4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5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369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增加收入</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A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2B37">
            <w:pPr>
              <w:jc w:val="center"/>
              <w:rPr>
                <w:rFonts w:hint="eastAsia" w:ascii="微软雅黑" w:hAnsi="微软雅黑" w:eastAsia="微软雅黑" w:cs="微软雅黑"/>
                <w:i/>
                <w:iCs/>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8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3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3E7B">
            <w:pPr>
              <w:jc w:val="center"/>
              <w:rPr>
                <w:rFonts w:hint="eastAsia" w:ascii="微软雅黑" w:hAnsi="微软雅黑" w:eastAsia="微软雅黑" w:cs="微软雅黑"/>
                <w:i/>
                <w:iCs/>
                <w:color w:val="000000"/>
                <w:sz w:val="16"/>
                <w:szCs w:val="16"/>
                <w:u w:val="none"/>
              </w:rPr>
            </w:pPr>
          </w:p>
        </w:tc>
      </w:tr>
      <w:tr w14:paraId="4692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7689"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0C9C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3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6D2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2731">
            <w:pPr>
              <w:rPr>
                <w:rFonts w:hint="eastAsia" w:ascii="宋体" w:hAnsi="宋体" w:eastAsia="宋体" w:cs="宋体"/>
                <w:i w:val="0"/>
                <w:iCs w:val="0"/>
                <w:color w:val="000000"/>
                <w:sz w:val="18"/>
                <w:szCs w:val="18"/>
                <w:u w:val="none"/>
              </w:rPr>
            </w:pPr>
          </w:p>
        </w:tc>
      </w:tr>
      <w:tr w14:paraId="3A72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85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28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A3B1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村、乡、县”三级公示，在保证群众的知情权、监督权、参与权的情况下，根据脱贫人口小额信贷贷款和缴费利息，2023年年度实际贴息18.54万元。项目自评总分100分。脱贫人口小额信贷精准用于脱贫人口发展产业或能效带动脱贫群众致富脱贫的特色优势产业，强化“造血”功能，提高脱贫群众对小额信贷的获得感。使脱贫人口融入产业发展并长期收益，提高脱贫人口内生发展动力。</w:t>
            </w:r>
          </w:p>
        </w:tc>
      </w:tr>
      <w:tr w14:paraId="58FF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55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28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1C48D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531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30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282"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A5F41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94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70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B8485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项目负责人：张彩霞</w:t>
            </w:r>
          </w:p>
        </w:tc>
        <w:tc>
          <w:tcPr>
            <w:tcW w:w="51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392E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财务负责人：杜钊辉</w:t>
            </w:r>
          </w:p>
        </w:tc>
      </w:tr>
      <w:tr w14:paraId="23A2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597" w:type="dxa"/>
            <w:gridSpan w:val="2"/>
            <w:tcBorders>
              <w:top w:val="nil"/>
              <w:left w:val="nil"/>
              <w:bottom w:val="nil"/>
              <w:right w:val="nil"/>
            </w:tcBorders>
            <w:shd w:val="clear" w:color="auto" w:fill="auto"/>
            <w:vAlign w:val="center"/>
          </w:tcPr>
          <w:p w14:paraId="09C093EB">
            <w:pPr>
              <w:rPr>
                <w:rFonts w:hint="eastAsia" w:ascii="宋体" w:hAnsi="宋体" w:eastAsia="宋体" w:cs="宋体"/>
                <w:i w:val="0"/>
                <w:iCs w:val="0"/>
                <w:color w:val="000000"/>
                <w:sz w:val="18"/>
                <w:szCs w:val="18"/>
                <w:u w:val="none"/>
              </w:rPr>
            </w:pPr>
          </w:p>
        </w:tc>
        <w:tc>
          <w:tcPr>
            <w:tcW w:w="1252" w:type="dxa"/>
            <w:gridSpan w:val="2"/>
            <w:tcBorders>
              <w:top w:val="nil"/>
              <w:left w:val="nil"/>
              <w:bottom w:val="nil"/>
              <w:right w:val="nil"/>
            </w:tcBorders>
            <w:shd w:val="clear" w:color="auto" w:fill="auto"/>
            <w:vAlign w:val="center"/>
          </w:tcPr>
          <w:p w14:paraId="013E7BE0">
            <w:pPr>
              <w:rPr>
                <w:rFonts w:hint="eastAsia" w:ascii="宋体" w:hAnsi="宋体" w:eastAsia="宋体" w:cs="宋体"/>
                <w:i w:val="0"/>
                <w:iCs w:val="0"/>
                <w:color w:val="000000"/>
                <w:sz w:val="18"/>
                <w:szCs w:val="18"/>
                <w:u w:val="none"/>
              </w:rPr>
            </w:pPr>
          </w:p>
        </w:tc>
        <w:tc>
          <w:tcPr>
            <w:tcW w:w="908" w:type="dxa"/>
            <w:gridSpan w:val="2"/>
            <w:tcBorders>
              <w:top w:val="nil"/>
              <w:left w:val="nil"/>
              <w:bottom w:val="nil"/>
              <w:right w:val="nil"/>
            </w:tcBorders>
            <w:shd w:val="clear" w:color="auto" w:fill="auto"/>
            <w:vAlign w:val="center"/>
          </w:tcPr>
          <w:p w14:paraId="58BC6561">
            <w:pPr>
              <w:rPr>
                <w:rFonts w:hint="eastAsia" w:ascii="宋体" w:hAnsi="宋体" w:eastAsia="宋体" w:cs="宋体"/>
                <w:i w:val="0"/>
                <w:iCs w:val="0"/>
                <w:color w:val="000000"/>
                <w:sz w:val="18"/>
                <w:szCs w:val="18"/>
                <w:u w:val="none"/>
              </w:rPr>
            </w:pPr>
          </w:p>
        </w:tc>
        <w:tc>
          <w:tcPr>
            <w:tcW w:w="1431" w:type="dxa"/>
            <w:gridSpan w:val="4"/>
            <w:tcBorders>
              <w:top w:val="nil"/>
              <w:left w:val="nil"/>
              <w:bottom w:val="nil"/>
              <w:right w:val="nil"/>
            </w:tcBorders>
            <w:shd w:val="clear" w:color="auto" w:fill="auto"/>
            <w:vAlign w:val="center"/>
          </w:tcPr>
          <w:p w14:paraId="2881EC2D">
            <w:pPr>
              <w:rPr>
                <w:rFonts w:hint="eastAsia" w:ascii="宋体" w:hAnsi="宋体" w:eastAsia="宋体" w:cs="宋体"/>
                <w:i w:val="0"/>
                <w:iCs w:val="0"/>
                <w:color w:val="000000"/>
                <w:sz w:val="18"/>
                <w:szCs w:val="18"/>
                <w:u w:val="none"/>
              </w:rPr>
            </w:pPr>
          </w:p>
        </w:tc>
        <w:tc>
          <w:tcPr>
            <w:tcW w:w="521" w:type="dxa"/>
            <w:gridSpan w:val="2"/>
            <w:tcBorders>
              <w:top w:val="nil"/>
              <w:left w:val="nil"/>
              <w:bottom w:val="nil"/>
              <w:right w:val="nil"/>
            </w:tcBorders>
            <w:shd w:val="clear" w:color="auto" w:fill="auto"/>
            <w:vAlign w:val="center"/>
          </w:tcPr>
          <w:p w14:paraId="643F3A81">
            <w:pPr>
              <w:rPr>
                <w:rFonts w:hint="eastAsia" w:ascii="宋体" w:hAnsi="宋体" w:eastAsia="宋体" w:cs="宋体"/>
                <w:i w:val="0"/>
                <w:iCs w:val="0"/>
                <w:color w:val="000000"/>
                <w:sz w:val="18"/>
                <w:szCs w:val="18"/>
                <w:u w:val="none"/>
              </w:rPr>
            </w:pPr>
          </w:p>
        </w:tc>
        <w:tc>
          <w:tcPr>
            <w:tcW w:w="1582" w:type="dxa"/>
            <w:gridSpan w:val="4"/>
            <w:tcBorders>
              <w:top w:val="nil"/>
              <w:left w:val="nil"/>
              <w:bottom w:val="nil"/>
              <w:right w:val="nil"/>
            </w:tcBorders>
            <w:shd w:val="clear" w:color="auto" w:fill="auto"/>
            <w:vAlign w:val="center"/>
          </w:tcPr>
          <w:p w14:paraId="24C82E18">
            <w:pPr>
              <w:rPr>
                <w:rFonts w:hint="eastAsia" w:ascii="宋体" w:hAnsi="宋体" w:eastAsia="宋体" w:cs="宋体"/>
                <w:i w:val="0"/>
                <w:iCs w:val="0"/>
                <w:color w:val="000000"/>
                <w:sz w:val="18"/>
                <w:szCs w:val="18"/>
                <w:u w:val="none"/>
              </w:rPr>
            </w:pPr>
          </w:p>
        </w:tc>
        <w:tc>
          <w:tcPr>
            <w:tcW w:w="552" w:type="dxa"/>
            <w:tcBorders>
              <w:top w:val="nil"/>
              <w:left w:val="nil"/>
              <w:bottom w:val="nil"/>
              <w:right w:val="nil"/>
            </w:tcBorders>
            <w:shd w:val="clear" w:color="auto" w:fill="auto"/>
            <w:vAlign w:val="center"/>
          </w:tcPr>
          <w:p w14:paraId="24B3877D">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580A3E51">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FEFDAF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5A9F348D">
            <w:pPr>
              <w:rPr>
                <w:rFonts w:hint="eastAsia" w:ascii="宋体" w:hAnsi="宋体" w:eastAsia="宋体" w:cs="宋体"/>
                <w:i w:val="0"/>
                <w:iCs w:val="0"/>
                <w:color w:val="000000"/>
                <w:sz w:val="18"/>
                <w:szCs w:val="18"/>
                <w:u w:val="none"/>
              </w:rPr>
            </w:pPr>
          </w:p>
        </w:tc>
        <w:tc>
          <w:tcPr>
            <w:tcW w:w="1218" w:type="dxa"/>
            <w:tcBorders>
              <w:top w:val="nil"/>
              <w:left w:val="nil"/>
              <w:bottom w:val="nil"/>
              <w:right w:val="nil"/>
            </w:tcBorders>
            <w:shd w:val="clear" w:color="auto" w:fill="auto"/>
            <w:vAlign w:val="center"/>
          </w:tcPr>
          <w:p w14:paraId="3A3B02C7">
            <w:pPr>
              <w:rPr>
                <w:rFonts w:hint="eastAsia" w:ascii="宋体" w:hAnsi="宋体" w:eastAsia="宋体" w:cs="宋体"/>
                <w:i w:val="0"/>
                <w:iCs w:val="0"/>
                <w:color w:val="000000"/>
                <w:sz w:val="18"/>
                <w:szCs w:val="18"/>
                <w:u w:val="none"/>
              </w:rPr>
            </w:pPr>
          </w:p>
        </w:tc>
      </w:tr>
      <w:tr w14:paraId="4AC3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9879" w:type="dxa"/>
            <w:gridSpan w:val="21"/>
            <w:tcBorders>
              <w:top w:val="nil"/>
              <w:left w:val="nil"/>
              <w:bottom w:val="nil"/>
              <w:right w:val="nil"/>
            </w:tcBorders>
            <w:shd w:val="clear" w:color="auto" w:fill="auto"/>
            <w:vAlign w:val="center"/>
          </w:tcPr>
          <w:p w14:paraId="512E2E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585C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9879" w:type="dxa"/>
            <w:gridSpan w:val="21"/>
            <w:tcBorders>
              <w:top w:val="nil"/>
              <w:left w:val="nil"/>
              <w:bottom w:val="nil"/>
              <w:right w:val="nil"/>
            </w:tcBorders>
            <w:shd w:val="clear" w:color="auto" w:fill="auto"/>
            <w:vAlign w:val="center"/>
          </w:tcPr>
          <w:p w14:paraId="741F4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528E1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9879" w:type="dxa"/>
            <w:gridSpan w:val="21"/>
            <w:tcBorders>
              <w:top w:val="nil"/>
              <w:left w:val="nil"/>
              <w:bottom w:val="nil"/>
              <w:right w:val="nil"/>
            </w:tcBorders>
            <w:shd w:val="clear" w:color="auto" w:fill="auto"/>
            <w:vAlign w:val="center"/>
          </w:tcPr>
          <w:p w14:paraId="4F492C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12404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9879" w:type="dxa"/>
            <w:gridSpan w:val="21"/>
            <w:tcBorders>
              <w:top w:val="nil"/>
              <w:left w:val="nil"/>
              <w:bottom w:val="nil"/>
              <w:right w:val="nil"/>
            </w:tcBorders>
            <w:shd w:val="clear" w:color="auto" w:fill="auto"/>
            <w:vAlign w:val="center"/>
          </w:tcPr>
          <w:p w14:paraId="756839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6EBF92DA">
      <w:pPr>
        <w:rPr>
          <w:rFonts w:hint="eastAsia" w:ascii="仿宋" w:hAnsi="仿宋" w:eastAsia="仿宋" w:cs="仿宋_GB2312"/>
          <w:sz w:val="32"/>
          <w:szCs w:val="32"/>
          <w:lang w:val="en-US" w:eastAsia="zh-CN"/>
        </w:rPr>
      </w:pPr>
    </w:p>
    <w:p w14:paraId="549F910B">
      <w:pPr>
        <w:pStyle w:val="12"/>
        <w:rPr>
          <w:rFonts w:hint="eastAsia" w:ascii="仿宋" w:hAnsi="仿宋" w:eastAsia="仿宋" w:cs="仿宋_GB2312"/>
          <w:sz w:val="32"/>
          <w:szCs w:val="32"/>
          <w:lang w:val="en-US" w:eastAsia="zh-CN"/>
        </w:rPr>
      </w:pPr>
    </w:p>
    <w:p w14:paraId="265BE97F">
      <w:pPr>
        <w:rPr>
          <w:rFonts w:hint="eastAsia" w:ascii="仿宋" w:hAnsi="仿宋" w:eastAsia="仿宋" w:cs="仿宋_GB2312"/>
          <w:sz w:val="32"/>
          <w:szCs w:val="32"/>
          <w:lang w:val="en-US" w:eastAsia="zh-CN"/>
        </w:rPr>
      </w:pPr>
    </w:p>
    <w:p w14:paraId="68919F92">
      <w:pPr>
        <w:rPr>
          <w:rFonts w:hint="eastAsia" w:ascii="仿宋" w:hAnsi="仿宋" w:eastAsia="仿宋" w:cs="仿宋_GB2312"/>
          <w:sz w:val="32"/>
          <w:szCs w:val="32"/>
          <w:lang w:val="en-US" w:eastAsia="zh-CN"/>
        </w:rPr>
      </w:pPr>
    </w:p>
    <w:p w14:paraId="50BBA2E7">
      <w:pPr>
        <w:pStyle w:val="12"/>
        <w:rPr>
          <w:rFonts w:hint="eastAsia" w:ascii="仿宋" w:hAnsi="仿宋" w:eastAsia="仿宋" w:cs="仿宋_GB2312"/>
          <w:sz w:val="32"/>
          <w:szCs w:val="32"/>
          <w:lang w:val="en-US" w:eastAsia="zh-CN"/>
        </w:rPr>
      </w:pPr>
    </w:p>
    <w:p w14:paraId="07222E4C">
      <w:pPr>
        <w:rPr>
          <w:rFonts w:hint="eastAsia" w:ascii="仿宋" w:hAnsi="仿宋" w:eastAsia="仿宋" w:cs="仿宋_GB2312"/>
          <w:sz w:val="32"/>
          <w:szCs w:val="32"/>
          <w:lang w:val="en-US" w:eastAsia="zh-CN"/>
        </w:rPr>
      </w:pPr>
    </w:p>
    <w:p w14:paraId="38984E6E">
      <w:pPr>
        <w:pStyle w:val="12"/>
        <w:rPr>
          <w:rFonts w:hint="eastAsia" w:ascii="仿宋" w:hAnsi="仿宋" w:eastAsia="仿宋" w:cs="仿宋_GB2312"/>
          <w:sz w:val="32"/>
          <w:szCs w:val="32"/>
          <w:lang w:val="en-US" w:eastAsia="zh-CN"/>
        </w:rPr>
      </w:pPr>
    </w:p>
    <w:p w14:paraId="4E92FBFF">
      <w:pPr>
        <w:rPr>
          <w:rFonts w:hint="eastAsia"/>
        </w:rPr>
      </w:pPr>
    </w:p>
    <w:p w14:paraId="0448AC80">
      <w:pPr>
        <w:spacing w:line="600" w:lineRule="exact"/>
        <w:jc w:val="left"/>
        <w:rPr>
          <w:rFonts w:hint="default" w:ascii="方正小标宋简体" w:hAnsi="宋体" w:eastAsia="方正小标宋简体" w:cs="Times New Roman"/>
          <w:color w:val="000000"/>
          <w:kern w:val="0"/>
          <w:sz w:val="32"/>
          <w:szCs w:val="32"/>
          <w:lang w:val="en-US" w:eastAsia="zh-CN"/>
        </w:rPr>
      </w:pPr>
      <w:r>
        <w:rPr>
          <w:rFonts w:hint="eastAsia" w:ascii="方正小标宋简体" w:hAnsi="宋体" w:eastAsia="方正小标宋简体" w:cs="Times New Roman"/>
          <w:color w:val="000000"/>
          <w:kern w:val="0"/>
          <w:sz w:val="32"/>
          <w:szCs w:val="32"/>
          <w:lang w:val="en-US" w:eastAsia="zh-CN"/>
        </w:rPr>
        <w:t>附件2</w:t>
      </w:r>
    </w:p>
    <w:p w14:paraId="159D9CE0">
      <w:pPr>
        <w:spacing w:line="580" w:lineRule="exact"/>
        <w:ind w:firstLine="640" w:firstLineChars="200"/>
        <w:rPr>
          <w:rFonts w:ascii="仿宋_GB2312" w:hAnsi="仿宋_GB2312" w:eastAsia="仿宋_GB2312" w:cs="仿宋_GB2312"/>
          <w:sz w:val="32"/>
          <w:szCs w:val="32"/>
        </w:rPr>
      </w:pPr>
    </w:p>
    <w:p w14:paraId="66AC77FD">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雨露计划</w:t>
      </w:r>
      <w:r>
        <w:rPr>
          <w:rFonts w:hint="eastAsia" w:ascii="方正小标宋简体" w:hAnsi="宋体" w:eastAsia="方正小标宋简体"/>
          <w:color w:val="000000"/>
          <w:kern w:val="0"/>
          <w:sz w:val="44"/>
          <w:szCs w:val="44"/>
          <w:lang w:val="zh-CN"/>
        </w:rPr>
        <w:t>项目</w:t>
      </w:r>
    </w:p>
    <w:p w14:paraId="51045F2C">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202</w:t>
      </w:r>
      <w:r>
        <w:rPr>
          <w:rFonts w:hint="eastAsia" w:ascii="方正小标宋简体" w:hAnsi="宋体" w:eastAsia="方正小标宋简体"/>
          <w:color w:val="000000"/>
          <w:kern w:val="0"/>
          <w:sz w:val="44"/>
          <w:szCs w:val="44"/>
          <w:lang w:val="en-US" w:eastAsia="zh-CN"/>
        </w:rPr>
        <w:t>3</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14:paraId="27C78AF7">
      <w:pPr>
        <w:spacing w:line="600" w:lineRule="exact"/>
        <w:rPr>
          <w:rFonts w:ascii="宋体" w:hAnsi="宋体"/>
          <w:sz w:val="32"/>
          <w:szCs w:val="32"/>
          <w:lang w:val="zh-CN"/>
        </w:rPr>
      </w:pPr>
    </w:p>
    <w:p w14:paraId="40F3097E">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一、</w:t>
      </w:r>
      <w:r>
        <w:rPr>
          <w:rFonts w:hint="eastAsia" w:ascii="仿宋" w:hAnsi="仿宋" w:eastAsia="仿宋" w:cs="仿宋_GB2312"/>
          <w:sz w:val="32"/>
          <w:szCs w:val="32"/>
        </w:rPr>
        <w:t>项目基本概况</w:t>
      </w:r>
    </w:p>
    <w:p w14:paraId="7724E0DA">
      <w:pPr>
        <w:spacing w:line="580" w:lineRule="exact"/>
        <w:ind w:firstLine="640" w:firstLineChars="200"/>
        <w:rPr>
          <w:rFonts w:hint="eastAsia" w:ascii="仿宋" w:hAnsi="仿宋" w:eastAsia="仿宋" w:cs="仿宋_GB2312"/>
          <w:sz w:val="32"/>
          <w:szCs w:val="32"/>
          <w:lang w:val="en-US"/>
        </w:rPr>
      </w:pPr>
      <w:r>
        <w:rPr>
          <w:rFonts w:hint="default" w:ascii="仿宋" w:hAnsi="仿宋" w:eastAsia="仿宋" w:cs="仿宋_GB2312"/>
          <w:sz w:val="32"/>
          <w:szCs w:val="32"/>
          <w:lang w:eastAsia="zh-CN"/>
        </w:rPr>
        <w:t>根据《</w:t>
      </w:r>
      <w:r>
        <w:rPr>
          <w:rFonts w:hint="eastAsia" w:ascii="仿宋" w:hAnsi="仿宋" w:eastAsia="仿宋" w:cs="仿宋_GB2312"/>
          <w:sz w:val="32"/>
          <w:szCs w:val="32"/>
          <w:lang w:eastAsia="zh-CN"/>
        </w:rPr>
        <w:t>关于继续做好“雨露计划”支持脱贫家庭新成长劳动力接受职业教育工作的通知</w:t>
      </w:r>
      <w:r>
        <w:rPr>
          <w:rFonts w:hint="default" w:ascii="仿宋" w:hAnsi="仿宋" w:eastAsia="仿宋" w:cs="仿宋_GB2312"/>
          <w:sz w:val="32"/>
          <w:szCs w:val="32"/>
          <w:lang w:eastAsia="zh-CN"/>
        </w:rPr>
        <w:t>》（</w:t>
      </w:r>
      <w:r>
        <w:rPr>
          <w:rFonts w:hint="eastAsia" w:ascii="仿宋" w:hAnsi="仿宋" w:eastAsia="仿宋" w:cs="仿宋_GB2312"/>
          <w:sz w:val="32"/>
          <w:szCs w:val="32"/>
          <w:lang w:eastAsia="zh-CN"/>
        </w:rPr>
        <w:t>川乡振发</w:t>
      </w:r>
      <w:r>
        <w:rPr>
          <w:rFonts w:hint="default" w:ascii="仿宋" w:hAnsi="仿宋" w:eastAsia="仿宋" w:cs="仿宋_GB2312"/>
          <w:sz w:val="32"/>
          <w:szCs w:val="32"/>
          <w:lang w:eastAsia="zh-CN"/>
        </w:rPr>
        <w:t>〔20</w:t>
      </w:r>
      <w:r>
        <w:rPr>
          <w:rFonts w:hint="eastAsia" w:ascii="仿宋" w:hAnsi="仿宋" w:eastAsia="仿宋" w:cs="仿宋_GB2312"/>
          <w:sz w:val="32"/>
          <w:szCs w:val="32"/>
          <w:lang w:val="en-US" w:eastAsia="zh-CN"/>
        </w:rPr>
        <w:t>21</w:t>
      </w:r>
      <w:r>
        <w:rPr>
          <w:rFonts w:hint="default" w:ascii="仿宋" w:hAnsi="仿宋" w:eastAsia="仿宋" w:cs="仿宋_GB2312"/>
          <w:sz w:val="32"/>
          <w:szCs w:val="32"/>
          <w:lang w:eastAsia="zh-CN"/>
        </w:rPr>
        <w:t>〕4</w:t>
      </w:r>
      <w:r>
        <w:rPr>
          <w:rFonts w:hint="eastAsia" w:ascii="仿宋" w:hAnsi="仿宋" w:eastAsia="仿宋" w:cs="仿宋_GB2312"/>
          <w:sz w:val="32"/>
          <w:szCs w:val="32"/>
          <w:lang w:val="en-US" w:eastAsia="zh-CN"/>
        </w:rPr>
        <w:t>4</w:t>
      </w:r>
      <w:r>
        <w:rPr>
          <w:rFonts w:hint="default" w:ascii="仿宋" w:hAnsi="仿宋" w:eastAsia="仿宋" w:cs="仿宋_GB2312"/>
          <w:sz w:val="32"/>
          <w:szCs w:val="32"/>
          <w:lang w:eastAsia="zh-CN"/>
        </w:rPr>
        <w:t>号文件）</w:t>
      </w:r>
      <w:r>
        <w:rPr>
          <w:rFonts w:hint="eastAsia" w:ascii="仿宋" w:hAnsi="仿宋" w:eastAsia="仿宋" w:cs="仿宋_GB2312"/>
          <w:sz w:val="32"/>
          <w:szCs w:val="32"/>
          <w:lang w:eastAsia="zh-CN"/>
        </w:rPr>
        <w:t>向符合条件的脱贫家庭（含监测帮扶对象家庭）安排“雨露计划”补助，助力巩固拓展脱贫攻坚成果，全面推进乡村振兴。</w:t>
      </w:r>
    </w:p>
    <w:p w14:paraId="16332A7E">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二、实施范围</w:t>
      </w:r>
    </w:p>
    <w:p w14:paraId="2221E814">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全县范围内的原建档立卡脱贫家庭、监测帮扶对象中的边缘易致贫户、突发严重困难户。</w:t>
      </w:r>
    </w:p>
    <w:p w14:paraId="58523016">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扶持对象</w:t>
      </w:r>
    </w:p>
    <w:p w14:paraId="1C0B6AD9">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扶持对象应同时满足以下两个条件： </w:t>
      </w:r>
    </w:p>
    <w:p w14:paraId="06016198">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1.脱贫家庭（含监测帮扶对象家庭）。原则上以“全国 </w:t>
      </w:r>
    </w:p>
    <w:p w14:paraId="75AE6DED">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防返贫监测信息系统”中的脱贫户、监测户信息数据为准。本人 户籍已迁出本地的（户籍已迁至学校的中、高职在校生），同等 享受“雨露计划”补助政策。 </w:t>
      </w:r>
    </w:p>
    <w:p w14:paraId="0D99EAED">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子女在校接受中、高等职业教育。接受中等职业教育的普通中专、成人中专、职业高中、技工院校全日制在校学生；接受高等职业教育的全日制高职（专科）在校学生。中职学生学籍的确认原则上以教育部、人力资源和社会保障部学籍管理系统信息数据为准，高职（专科）学生学籍的确认原则上以中国高等教育学生信息网数据为准。上一学期享受过“雨露计划”补助政策,且尚未完成职业教育学业的在读学生家庭，继续享受补助政策,直到毕业为止。退学、休学学生家庭不再享受补助政策。</w:t>
      </w:r>
    </w:p>
    <w:p w14:paraId="0E621C75">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三、综合评价情况及评价结论</w:t>
      </w:r>
    </w:p>
    <w:p w14:paraId="64A81787">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原则上以国家系统中标注的信息作为发放补助的依据，做到应纳尽纳、应补尽补。由县级乡村振兴部门从国家系统中导出信息，分乡镇、分村编制表格，下发至乡镇、行政村（社区），由村级逐一核实学籍、学生是否在读等情况，村级以表册形式“打捆”出具证明（加盖公章），逐级上报至县级乡村振兴部门审批后，直补到户。 </w:t>
      </w:r>
    </w:p>
    <w:p w14:paraId="2F1AD865">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四、项目主要绩效情况分析</w:t>
      </w:r>
    </w:p>
    <w:p w14:paraId="64F303B9">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雨露计划”是一项重要的民生实事，必须不折不扣抓实抓好。各乡（镇）、部门要加强领导、落实责任，严肃纪律要求，确保政策落地落实。对于脱贫户家庭有着实际帮助，有利于减轻家庭负担，对于巩固拓展脱贫攻坚成果有着重要意义。2023年兑现591人次88.65万元“雨露计划”补助。</w:t>
      </w:r>
    </w:p>
    <w:p w14:paraId="52118168">
      <w:pPr>
        <w:spacing w:line="580" w:lineRule="exact"/>
        <w:ind w:firstLine="640" w:firstLineChars="200"/>
        <w:rPr>
          <w:rFonts w:hint="eastAsia" w:ascii="仿宋" w:hAnsi="仿宋" w:eastAsia="仿宋" w:cs="仿宋_GB2312"/>
          <w:sz w:val="32"/>
          <w:szCs w:val="32"/>
          <w:lang w:val="en-US" w:eastAsia="zh-CN"/>
        </w:rPr>
      </w:pPr>
    </w:p>
    <w:p w14:paraId="06679706">
      <w:pPr>
        <w:spacing w:line="580" w:lineRule="exact"/>
        <w:ind w:firstLine="640" w:firstLineChars="200"/>
        <w:rPr>
          <w:rFonts w:ascii="仿宋" w:hAnsi="仿宋" w:eastAsia="仿宋" w:cs="仿宋_GB2312"/>
          <w:sz w:val="32"/>
          <w:szCs w:val="32"/>
        </w:rPr>
      </w:pPr>
    </w:p>
    <w:p w14:paraId="01F1C42E">
      <w:pPr>
        <w:spacing w:line="580" w:lineRule="exact"/>
        <w:ind w:firstLine="640" w:firstLineChars="200"/>
        <w:rPr>
          <w:rFonts w:ascii="仿宋" w:hAnsi="仿宋" w:eastAsia="仿宋" w:cs="仿宋_GB2312"/>
          <w:sz w:val="32"/>
          <w:szCs w:val="32"/>
        </w:rPr>
      </w:pPr>
    </w:p>
    <w:p w14:paraId="7948FCB1">
      <w:pPr>
        <w:spacing w:line="580" w:lineRule="exact"/>
        <w:ind w:firstLine="640" w:firstLineChars="200"/>
        <w:rPr>
          <w:rFonts w:ascii="仿宋" w:hAnsi="仿宋" w:eastAsia="仿宋" w:cs="仿宋_GB2312"/>
          <w:sz w:val="32"/>
          <w:szCs w:val="32"/>
        </w:rPr>
      </w:pPr>
    </w:p>
    <w:p w14:paraId="73A1EA12">
      <w:pPr>
        <w:spacing w:line="580" w:lineRule="exact"/>
        <w:rPr>
          <w:rFonts w:hint="eastAsia" w:ascii="仿宋" w:hAnsi="仿宋" w:eastAsia="仿宋" w:cs="仿宋_GB2312"/>
          <w:sz w:val="32"/>
          <w:szCs w:val="32"/>
          <w:lang w:eastAsia="zh-CN"/>
        </w:rPr>
      </w:pPr>
    </w:p>
    <w:p w14:paraId="323A1780">
      <w:pPr>
        <w:spacing w:line="600" w:lineRule="exact"/>
        <w:jc w:val="left"/>
        <w:rPr>
          <w:rFonts w:hint="eastAsia" w:ascii="方正小标宋简体" w:hAnsi="宋体" w:eastAsia="方正小标宋简体"/>
          <w:color w:val="000000"/>
          <w:kern w:val="0"/>
          <w:sz w:val="32"/>
          <w:szCs w:val="32"/>
          <w:lang w:val="en-US" w:eastAsia="zh-CN"/>
        </w:rPr>
      </w:pPr>
      <w:r>
        <w:rPr>
          <w:rFonts w:hint="eastAsia" w:ascii="方正小标宋简体" w:hAnsi="宋体" w:eastAsia="方正小标宋简体"/>
          <w:color w:val="000000"/>
          <w:kern w:val="0"/>
          <w:sz w:val="32"/>
          <w:szCs w:val="32"/>
          <w:lang w:eastAsia="zh-CN"/>
        </w:rPr>
        <w:t>附件</w:t>
      </w:r>
      <w:r>
        <w:rPr>
          <w:rFonts w:hint="eastAsia" w:ascii="方正小标宋简体" w:hAnsi="宋体" w:eastAsia="方正小标宋简体"/>
          <w:color w:val="000000"/>
          <w:kern w:val="0"/>
          <w:sz w:val="32"/>
          <w:szCs w:val="32"/>
          <w:lang w:val="en-US" w:eastAsia="zh-CN"/>
        </w:rPr>
        <w:t>3</w:t>
      </w:r>
    </w:p>
    <w:p w14:paraId="10197679">
      <w:pPr>
        <w:pStyle w:val="15"/>
        <w:rPr>
          <w:rFonts w:hint="default"/>
          <w:lang w:val="en-US" w:eastAsia="zh-CN"/>
        </w:rPr>
      </w:pPr>
    </w:p>
    <w:p w14:paraId="43AA2BAE">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脱贫小额信贷贴息</w:t>
      </w:r>
      <w:r>
        <w:rPr>
          <w:rFonts w:hint="eastAsia" w:ascii="方正小标宋简体" w:hAnsi="宋体" w:eastAsia="方正小标宋简体"/>
          <w:color w:val="000000"/>
          <w:kern w:val="0"/>
          <w:sz w:val="44"/>
          <w:szCs w:val="44"/>
          <w:lang w:val="zh-CN"/>
        </w:rPr>
        <w:t>项目</w:t>
      </w:r>
    </w:p>
    <w:p w14:paraId="60DE5BC4">
      <w:pPr>
        <w:spacing w:line="600" w:lineRule="exact"/>
        <w:jc w:val="center"/>
        <w:rPr>
          <w:rFonts w:hint="eastAsia" w:ascii="黑体" w:hAnsi="宋体" w:eastAsia="黑体"/>
        </w:rPr>
      </w:pPr>
      <w:r>
        <w:rPr>
          <w:rFonts w:hint="eastAsia" w:ascii="方正小标宋简体" w:hAnsi="宋体" w:eastAsia="方正小标宋简体"/>
          <w:color w:val="000000"/>
          <w:kern w:val="0"/>
          <w:sz w:val="44"/>
          <w:szCs w:val="44"/>
          <w:lang w:eastAsia="zh-CN"/>
        </w:rPr>
        <w:t>202</w:t>
      </w:r>
      <w:r>
        <w:rPr>
          <w:rFonts w:hint="eastAsia" w:ascii="方正小标宋简体" w:hAnsi="宋体" w:eastAsia="方正小标宋简体"/>
          <w:color w:val="000000"/>
          <w:kern w:val="0"/>
          <w:sz w:val="44"/>
          <w:szCs w:val="44"/>
          <w:lang w:val="en-US" w:eastAsia="zh-CN"/>
        </w:rPr>
        <w:t>3</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14:paraId="789ECD56">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黑体" w:hAnsi="宋体" w:eastAsia="黑体"/>
          <w:sz w:val="32"/>
          <w:szCs w:val="32"/>
        </w:rPr>
      </w:pPr>
    </w:p>
    <w:p w14:paraId="390BE5E9">
      <w:pPr>
        <w:spacing w:line="580" w:lineRule="exact"/>
        <w:ind w:firstLine="640" w:firstLineChars="200"/>
        <w:rPr>
          <w:rFonts w:hint="eastAsia" w:ascii="仿宋" w:hAnsi="仿宋" w:eastAsia="仿宋" w:cs="仿宋_GB2312"/>
          <w:sz w:val="32"/>
          <w:szCs w:val="32"/>
          <w:lang w:val="zh-CN" w:eastAsia="zh-CN"/>
        </w:rPr>
      </w:pPr>
      <w:r>
        <w:rPr>
          <w:rFonts w:hint="eastAsia" w:ascii="仿宋" w:hAnsi="仿宋" w:eastAsia="仿宋" w:cs="仿宋_GB2312"/>
          <w:sz w:val="32"/>
          <w:szCs w:val="32"/>
          <w:lang w:val="zh-CN" w:eastAsia="zh-CN"/>
        </w:rPr>
        <w:t>一、</w:t>
      </w:r>
      <w:bookmarkEnd w:id="49"/>
      <w:r>
        <w:rPr>
          <w:rFonts w:hint="eastAsia" w:ascii="仿宋" w:hAnsi="仿宋" w:eastAsia="仿宋" w:cs="仿宋_GB2312"/>
          <w:sz w:val="32"/>
          <w:szCs w:val="32"/>
          <w:lang w:val="zh-CN" w:eastAsia="zh-CN"/>
        </w:rPr>
        <w:t>项目基本概况</w:t>
      </w:r>
    </w:p>
    <w:p w14:paraId="05BAD756">
      <w:pPr>
        <w:spacing w:line="580" w:lineRule="exact"/>
        <w:ind w:firstLine="640" w:firstLineChars="200"/>
        <w:rPr>
          <w:rFonts w:hint="eastAsia" w:ascii="仿宋" w:hAnsi="仿宋" w:eastAsia="仿宋" w:cs="仿宋_GB2312"/>
          <w:sz w:val="32"/>
          <w:szCs w:val="32"/>
          <w:lang w:val="en-US" w:eastAsia="zh-CN"/>
        </w:rPr>
      </w:pPr>
      <w:r>
        <w:rPr>
          <w:rFonts w:hint="default" w:ascii="仿宋" w:hAnsi="仿宋" w:eastAsia="仿宋" w:cs="仿宋_GB2312"/>
          <w:sz w:val="32"/>
          <w:szCs w:val="32"/>
          <w:lang w:eastAsia="zh-CN"/>
        </w:rPr>
        <w:t>根据</w:t>
      </w:r>
      <w:r>
        <w:rPr>
          <w:rFonts w:hint="default" w:ascii="仿宋" w:hAnsi="仿宋" w:eastAsia="仿宋" w:cs="仿宋_GB2312"/>
          <w:sz w:val="32"/>
          <w:szCs w:val="32"/>
          <w:lang w:val="zh-CN" w:eastAsia="zh-CN"/>
        </w:rPr>
        <w:t>《中国银保监会阿坝监管分局 阿坝州财政局 中国人民银行阿坝州中心支行 阿坝州扶贫开发局关于转发银保监会等4部&lt;关于深入扎实做好过渡期脱贫人口小额信贷工作的通知&gt;的通知》（阿保监发〔2021〕6号</w:t>
      </w:r>
      <w:r>
        <w:rPr>
          <w:rFonts w:hint="default" w:ascii="仿宋" w:hAnsi="仿宋" w:eastAsia="仿宋" w:cs="仿宋_GB2312"/>
          <w:sz w:val="32"/>
          <w:szCs w:val="32"/>
          <w:lang w:eastAsia="zh-CN"/>
        </w:rPr>
        <w:t>文件）对</w:t>
      </w:r>
      <w:r>
        <w:rPr>
          <w:rFonts w:hint="eastAsia" w:ascii="仿宋" w:hAnsi="仿宋" w:eastAsia="仿宋" w:cs="仿宋_GB2312"/>
          <w:sz w:val="32"/>
          <w:szCs w:val="32"/>
          <w:lang w:eastAsia="zh-CN"/>
        </w:rPr>
        <w:t>脱贫人口</w:t>
      </w:r>
      <w:r>
        <w:rPr>
          <w:rFonts w:hint="default" w:ascii="仿宋" w:hAnsi="仿宋" w:eastAsia="仿宋" w:cs="仿宋_GB2312"/>
          <w:sz w:val="32"/>
          <w:szCs w:val="32"/>
          <w:lang w:eastAsia="zh-CN"/>
        </w:rPr>
        <w:t>将小额信贷用于发展特色种植业、养殖业、加工业、乡村旅游业以及购置小型农具等，按照“先收后贴、分期补贴、应贴尽贴”的原则给予贴息，</w:t>
      </w:r>
      <w:r>
        <w:rPr>
          <w:rFonts w:hint="default" w:ascii="仿宋" w:hAnsi="仿宋" w:eastAsia="仿宋" w:cs="仿宋_GB2312"/>
          <w:sz w:val="32"/>
          <w:szCs w:val="32"/>
          <w:lang w:val="en-US" w:eastAsia="zh-CN"/>
        </w:rPr>
        <w:t>当贷款利率低于5%时，按贷款执行利率的</w:t>
      </w:r>
      <w:r>
        <w:rPr>
          <w:rFonts w:hint="eastAsia" w:ascii="仿宋" w:hAnsi="仿宋" w:eastAsia="仿宋" w:cs="仿宋_GB2312"/>
          <w:sz w:val="32"/>
          <w:szCs w:val="32"/>
          <w:lang w:val="en-US" w:eastAsia="zh-CN"/>
        </w:rPr>
        <w:t>100</w:t>
      </w:r>
      <w:r>
        <w:rPr>
          <w:rFonts w:hint="default" w:ascii="仿宋" w:hAnsi="仿宋" w:eastAsia="仿宋" w:cs="仿宋_GB2312"/>
          <w:sz w:val="32"/>
          <w:szCs w:val="32"/>
          <w:lang w:val="en-US" w:eastAsia="zh-CN"/>
        </w:rPr>
        <w:t>%给予</w:t>
      </w:r>
      <w:r>
        <w:rPr>
          <w:rFonts w:hint="eastAsia" w:ascii="仿宋" w:hAnsi="仿宋" w:eastAsia="仿宋" w:cs="仿宋_GB2312"/>
          <w:sz w:val="32"/>
          <w:szCs w:val="32"/>
          <w:lang w:val="en-US" w:eastAsia="zh-CN"/>
        </w:rPr>
        <w:t>财政</w:t>
      </w:r>
      <w:r>
        <w:rPr>
          <w:rFonts w:hint="default" w:ascii="仿宋" w:hAnsi="仿宋" w:eastAsia="仿宋" w:cs="仿宋_GB2312"/>
          <w:sz w:val="32"/>
          <w:szCs w:val="32"/>
          <w:lang w:val="en-US" w:eastAsia="zh-CN"/>
        </w:rPr>
        <w:t>贴息。</w:t>
      </w:r>
    </w:p>
    <w:p w14:paraId="1498B621">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二、项目资金使用及管理情况</w:t>
      </w:r>
    </w:p>
    <w:p w14:paraId="1C8031C5">
      <w:pPr>
        <w:spacing w:line="580" w:lineRule="exact"/>
        <w:ind w:firstLine="640" w:firstLineChars="200"/>
        <w:rPr>
          <w:rFonts w:hint="eastAsia" w:ascii="仿宋" w:hAnsi="仿宋" w:eastAsia="仿宋" w:cs="仿宋_GB2312"/>
          <w:sz w:val="32"/>
          <w:szCs w:val="32"/>
          <w:lang w:val="en-US" w:eastAsia="zh-CN"/>
        </w:rPr>
      </w:pPr>
      <w:r>
        <w:rPr>
          <w:rFonts w:hint="default" w:ascii="仿宋" w:hAnsi="仿宋" w:eastAsia="仿宋" w:cs="仿宋_GB2312"/>
          <w:sz w:val="32"/>
          <w:szCs w:val="32"/>
          <w:lang w:eastAsia="zh-CN"/>
        </w:rPr>
        <w:t>按照“先收后贴、分期补贴、应贴尽贴”的原则给予贴息，</w:t>
      </w:r>
      <w:r>
        <w:rPr>
          <w:rFonts w:hint="eastAsia" w:ascii="仿宋" w:hAnsi="仿宋" w:eastAsia="仿宋" w:cs="仿宋_GB2312"/>
          <w:sz w:val="32"/>
          <w:szCs w:val="32"/>
          <w:lang w:val="en-US" w:eastAsia="zh-CN"/>
        </w:rPr>
        <w:t>申报2024年年度贴息18.54万元，实际贴息18.54万元。</w:t>
      </w:r>
    </w:p>
    <w:p w14:paraId="1A88F6BB">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三、项目组织实施情况</w:t>
      </w:r>
    </w:p>
    <w:p w14:paraId="10EA4332">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贴息资金由脱贫人口提出申请，村委、乡（镇）初审汇总，县乡村振兴局和承贷银行审核确认，县财政局根据审核结果复审后，县乡村振兴局、县财政局再将贴息资金按规定拨付给脱贫人口。</w:t>
      </w:r>
    </w:p>
    <w:p w14:paraId="168E0A38">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四、综合评价情况及评价结论</w:t>
      </w:r>
    </w:p>
    <w:p w14:paraId="640BA7C0">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按照“村、乡、县”三级公示，在保证群众的知情权、监督权、参与权的情况下，根据脱贫人口小额信贷贷款和缴费利息，2023年实现贴18.54万元。</w:t>
      </w:r>
    </w:p>
    <w:p w14:paraId="07A198B7">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五、项目主要绩效情况分析</w:t>
      </w:r>
    </w:p>
    <w:p w14:paraId="635F9BA9">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脱贫人口小额信贷精准用于脱贫人口发展产业或能效带动脱贫群众致富脱贫的特色优势产业，强化“造血”功能，提高脱贫群众对小额信贷的获得感。使脱贫人口融入产业发展并长期收益，提高脱贫人口内生发展动力。</w:t>
      </w:r>
    </w:p>
    <w:p w14:paraId="217B834C">
      <w:pPr>
        <w:spacing w:line="580" w:lineRule="exact"/>
        <w:ind w:firstLine="640" w:firstLineChars="200"/>
        <w:rPr>
          <w:rFonts w:hint="eastAsia" w:ascii="仿宋" w:hAnsi="仿宋" w:eastAsia="仿宋" w:cs="仿宋_GB2312"/>
          <w:sz w:val="32"/>
          <w:szCs w:val="32"/>
          <w:lang w:eastAsia="zh-CN"/>
        </w:rPr>
      </w:pPr>
    </w:p>
    <w:p w14:paraId="758EDBEC">
      <w:pPr>
        <w:spacing w:line="580" w:lineRule="exact"/>
        <w:ind w:firstLine="640" w:firstLineChars="200"/>
        <w:rPr>
          <w:rFonts w:hint="eastAsia" w:ascii="仿宋" w:hAnsi="仿宋" w:eastAsia="仿宋" w:cs="仿宋_GB2312"/>
          <w:sz w:val="32"/>
          <w:szCs w:val="32"/>
          <w:lang w:eastAsia="zh-CN"/>
        </w:rPr>
      </w:pPr>
    </w:p>
    <w:p w14:paraId="6697314F">
      <w:pPr>
        <w:spacing w:line="580" w:lineRule="exact"/>
        <w:ind w:firstLine="640" w:firstLineChars="200"/>
        <w:rPr>
          <w:rFonts w:hint="eastAsia" w:ascii="仿宋" w:hAnsi="仿宋" w:eastAsia="仿宋" w:cs="仿宋_GB2312"/>
          <w:sz w:val="32"/>
          <w:szCs w:val="32"/>
          <w:lang w:eastAsia="zh-CN"/>
        </w:rPr>
      </w:pPr>
    </w:p>
    <w:p w14:paraId="7695275D">
      <w:pPr>
        <w:spacing w:line="580" w:lineRule="exact"/>
        <w:ind w:firstLine="640" w:firstLineChars="200"/>
        <w:rPr>
          <w:rFonts w:hint="eastAsia" w:ascii="仿宋" w:hAnsi="仿宋" w:eastAsia="仿宋" w:cs="仿宋_GB2312"/>
          <w:sz w:val="32"/>
          <w:szCs w:val="32"/>
          <w:lang w:eastAsia="zh-CN"/>
        </w:rPr>
      </w:pPr>
    </w:p>
    <w:p w14:paraId="5D084E08">
      <w:pPr>
        <w:rPr>
          <w:rFonts w:hint="eastAsia"/>
          <w:lang w:eastAsia="zh-CN"/>
        </w:rPr>
      </w:pPr>
    </w:p>
    <w:p w14:paraId="7F2ECF11">
      <w:pPr>
        <w:pStyle w:val="12"/>
        <w:rPr>
          <w:rFonts w:hint="eastAsia"/>
          <w:lang w:eastAsia="zh-CN"/>
        </w:rPr>
      </w:pPr>
    </w:p>
    <w:p w14:paraId="409AB239">
      <w:pPr>
        <w:rPr>
          <w:rFonts w:hint="eastAsia"/>
          <w:lang w:eastAsia="zh-CN"/>
        </w:rPr>
      </w:pPr>
    </w:p>
    <w:p w14:paraId="6A9F0FF2">
      <w:pPr>
        <w:pStyle w:val="12"/>
        <w:rPr>
          <w:rFonts w:hint="eastAsia"/>
          <w:lang w:eastAsia="zh-CN"/>
        </w:rPr>
      </w:pPr>
    </w:p>
    <w:p w14:paraId="1B4CA180">
      <w:pPr>
        <w:rPr>
          <w:rFonts w:hint="eastAsia"/>
          <w:lang w:eastAsia="zh-CN"/>
        </w:rPr>
      </w:pPr>
    </w:p>
    <w:p w14:paraId="39DB55AA">
      <w:pPr>
        <w:rPr>
          <w:rFonts w:hint="eastAsia"/>
          <w:lang w:eastAsia="zh-CN"/>
        </w:rPr>
      </w:pPr>
    </w:p>
    <w:p w14:paraId="7B7F6579">
      <w:pPr>
        <w:rPr>
          <w:rFonts w:hint="eastAsia"/>
          <w:lang w:eastAsia="zh-CN"/>
        </w:rPr>
      </w:pPr>
    </w:p>
    <w:p w14:paraId="627C5130">
      <w:pPr>
        <w:rPr>
          <w:rFonts w:hint="eastAsia"/>
          <w:lang w:eastAsia="zh-CN"/>
        </w:rPr>
      </w:pPr>
    </w:p>
    <w:p w14:paraId="75C35602">
      <w:pPr>
        <w:rPr>
          <w:rFonts w:hint="eastAsia"/>
          <w:lang w:eastAsia="zh-CN"/>
        </w:rPr>
      </w:pPr>
    </w:p>
    <w:p w14:paraId="324D07DF">
      <w:pPr>
        <w:rPr>
          <w:rFonts w:hint="eastAsia"/>
          <w:lang w:eastAsia="zh-CN"/>
        </w:rPr>
      </w:pPr>
    </w:p>
    <w:p w14:paraId="4F2ACACA">
      <w:pPr>
        <w:rPr>
          <w:rFonts w:hint="eastAsia"/>
          <w:lang w:eastAsia="zh-CN"/>
        </w:rPr>
      </w:pPr>
    </w:p>
    <w:p w14:paraId="3F1CF717">
      <w:pPr>
        <w:rPr>
          <w:rFonts w:hint="eastAsia"/>
          <w:lang w:eastAsia="zh-CN"/>
        </w:rPr>
      </w:pPr>
    </w:p>
    <w:p w14:paraId="12547934">
      <w:pPr>
        <w:rPr>
          <w:rFonts w:hint="eastAsia"/>
          <w:lang w:eastAsia="zh-CN"/>
        </w:rPr>
      </w:pPr>
    </w:p>
    <w:p w14:paraId="544C9C41">
      <w:pPr>
        <w:rPr>
          <w:rFonts w:hint="eastAsia"/>
          <w:lang w:eastAsia="zh-CN"/>
        </w:rPr>
      </w:pPr>
    </w:p>
    <w:p w14:paraId="674C978A">
      <w:pPr>
        <w:rPr>
          <w:rFonts w:hint="eastAsia"/>
          <w:lang w:eastAsia="zh-CN"/>
        </w:rPr>
      </w:pPr>
    </w:p>
    <w:p w14:paraId="74648DFE">
      <w:pPr>
        <w:rPr>
          <w:rFonts w:hint="eastAsia"/>
          <w:lang w:eastAsia="zh-CN"/>
        </w:rPr>
      </w:pPr>
    </w:p>
    <w:p w14:paraId="0B8D4318">
      <w:pPr>
        <w:spacing w:line="600" w:lineRule="exact"/>
        <w:jc w:val="left"/>
        <w:outlineLvl w:val="0"/>
        <w:rPr>
          <w:rFonts w:hint="eastAsia" w:ascii="黑体" w:hAnsi="黑体" w:eastAsia="黑体"/>
          <w:color w:val="000000"/>
          <w:sz w:val="44"/>
          <w:szCs w:val="44"/>
        </w:rPr>
      </w:pPr>
      <w:bookmarkStart w:id="51" w:name="_Toc15396618"/>
      <w:bookmarkStart w:id="52" w:name="_Toc79163886"/>
      <w:bookmarkStart w:id="53" w:name="_Toc79163636"/>
      <w:bookmarkStart w:id="54" w:name="_Toc15396619"/>
    </w:p>
    <w:p w14:paraId="59641938">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 附表</w:t>
      </w:r>
      <w:bookmarkEnd w:id="51"/>
    </w:p>
    <w:p w14:paraId="55420F7B">
      <w:pPr>
        <w:pStyle w:val="3"/>
        <w:rPr>
          <w:rStyle w:val="29"/>
          <w:rFonts w:hint="eastAsia" w:ascii="仿宋" w:hAnsi="仿宋" w:eastAsia="仿宋"/>
          <w:b w:val="0"/>
          <w:bCs w:val="0"/>
        </w:rPr>
      </w:pPr>
      <w:r>
        <w:rPr>
          <w:rFonts w:hint="eastAsia" w:ascii="仿宋" w:hAnsi="仿宋" w:eastAsia="仿宋"/>
          <w:b w:val="0"/>
          <w:color w:val="000000"/>
          <w:lang w:eastAsia="zh-CN"/>
        </w:rPr>
        <w:t>一、</w:t>
      </w:r>
      <w:r>
        <w:rPr>
          <w:rFonts w:hint="eastAsia" w:ascii="仿宋" w:hAnsi="仿宋" w:eastAsia="仿宋"/>
          <w:b w:val="0"/>
          <w:color w:val="000000"/>
        </w:rPr>
        <w:t>收</w:t>
      </w:r>
      <w:r>
        <w:rPr>
          <w:rStyle w:val="29"/>
          <w:rFonts w:hint="eastAsia" w:ascii="仿宋" w:hAnsi="仿宋" w:eastAsia="仿宋"/>
          <w:b w:val="0"/>
          <w:bCs w:val="0"/>
        </w:rPr>
        <w:t>入支出决算总表</w:t>
      </w:r>
      <w:bookmarkEnd w:id="52"/>
      <w:bookmarkEnd w:id="53"/>
      <w:bookmarkEnd w:id="54"/>
    </w:p>
    <w:p w14:paraId="75957FCF">
      <w:r>
        <w:rPr>
          <w:rFonts w:hint="eastAsia" w:ascii="仿宋" w:hAnsi="仿宋" w:eastAsia="仿宋"/>
          <w:color w:val="000000" w:themeColor="text1"/>
          <w:lang w:eastAsia="zh-CN"/>
          <w14:textFill>
            <w14:solidFill>
              <w14:schemeClr w14:val="tx1"/>
            </w14:solidFill>
          </w14:textFill>
        </w:rPr>
        <w:drawing>
          <wp:inline distT="0" distB="0" distL="114300" distR="114300">
            <wp:extent cx="5271135" cy="5494655"/>
            <wp:effectExtent l="0" t="0" r="5715" b="10795"/>
            <wp:docPr id="4" name="图片 4" descr="17290425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29042559398"/>
                    <pic:cNvPicPr>
                      <a:picLocks noChangeAspect="1"/>
                    </pic:cNvPicPr>
                  </pic:nvPicPr>
                  <pic:blipFill>
                    <a:blip r:embed="rId13"/>
                    <a:stretch>
                      <a:fillRect/>
                    </a:stretch>
                  </pic:blipFill>
                  <pic:spPr>
                    <a:xfrm>
                      <a:off x="0" y="0"/>
                      <a:ext cx="5271135" cy="5494655"/>
                    </a:xfrm>
                    <a:prstGeom prst="rect">
                      <a:avLst/>
                    </a:prstGeom>
                  </pic:spPr>
                </pic:pic>
              </a:graphicData>
            </a:graphic>
          </wp:inline>
        </w:drawing>
      </w:r>
    </w:p>
    <w:p w14:paraId="0CE46E42">
      <w:pPr>
        <w:pStyle w:val="3"/>
        <w:numPr>
          <w:ilvl w:val="0"/>
          <w:numId w:val="5"/>
        </w:numPr>
        <w:rPr>
          <w:rStyle w:val="29"/>
          <w:rFonts w:hint="eastAsia" w:ascii="仿宋" w:hAnsi="仿宋" w:eastAsia="仿宋"/>
          <w:b w:val="0"/>
          <w:bCs w:val="0"/>
        </w:rPr>
      </w:pPr>
      <w:bookmarkStart w:id="55" w:name="_Toc79163637"/>
      <w:bookmarkStart w:id="56" w:name="_Toc15396620"/>
      <w:bookmarkStart w:id="57" w:name="_Toc79163887"/>
      <w:r>
        <w:rPr>
          <w:rFonts w:hint="eastAsia" w:ascii="仿宋" w:hAnsi="仿宋" w:eastAsia="仿宋"/>
          <w:b w:val="0"/>
          <w:color w:val="000000"/>
        </w:rPr>
        <w:t>收</w:t>
      </w:r>
      <w:r>
        <w:rPr>
          <w:rStyle w:val="29"/>
          <w:rFonts w:hint="eastAsia" w:ascii="仿宋" w:hAnsi="仿宋" w:eastAsia="仿宋"/>
          <w:b w:val="0"/>
          <w:bCs w:val="0"/>
        </w:rPr>
        <w:t>入决算表</w:t>
      </w:r>
      <w:bookmarkEnd w:id="55"/>
      <w:bookmarkEnd w:id="56"/>
      <w:bookmarkEnd w:id="57"/>
    </w:p>
    <w:p w14:paraId="4BB69C7B">
      <w:pPr>
        <w:numPr>
          <w:ilvl w:val="0"/>
          <w:numId w:val="0"/>
        </w:numPr>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73675" cy="2789555"/>
            <wp:effectExtent l="0" t="0" r="3175" b="10795"/>
            <wp:docPr id="6" name="图片 6" descr="172904259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29042595831"/>
                    <pic:cNvPicPr>
                      <a:picLocks noChangeAspect="1"/>
                    </pic:cNvPicPr>
                  </pic:nvPicPr>
                  <pic:blipFill>
                    <a:blip r:embed="rId14"/>
                    <a:stretch>
                      <a:fillRect/>
                    </a:stretch>
                  </pic:blipFill>
                  <pic:spPr>
                    <a:xfrm>
                      <a:off x="0" y="0"/>
                      <a:ext cx="5273675" cy="2789555"/>
                    </a:xfrm>
                    <a:prstGeom prst="rect">
                      <a:avLst/>
                    </a:prstGeom>
                  </pic:spPr>
                </pic:pic>
              </a:graphicData>
            </a:graphic>
          </wp:inline>
        </w:drawing>
      </w:r>
    </w:p>
    <w:p w14:paraId="687A858B">
      <w:pPr>
        <w:pStyle w:val="3"/>
        <w:numPr>
          <w:ilvl w:val="0"/>
          <w:numId w:val="5"/>
        </w:numPr>
        <w:ind w:left="0" w:leftChars="0" w:firstLine="0" w:firstLineChars="0"/>
        <w:rPr>
          <w:rStyle w:val="29"/>
          <w:rFonts w:hint="eastAsia" w:ascii="仿宋" w:hAnsi="仿宋" w:eastAsia="仿宋"/>
          <w:b w:val="0"/>
          <w:bCs w:val="0"/>
        </w:rPr>
      </w:pPr>
      <w:bookmarkStart w:id="58" w:name="_Toc79163888"/>
      <w:bookmarkStart w:id="59" w:name="_Toc79163638"/>
      <w:bookmarkStart w:id="60" w:name="_Toc15396621"/>
      <w:r>
        <w:rPr>
          <w:rFonts w:hint="eastAsia" w:ascii="仿宋" w:hAnsi="仿宋" w:eastAsia="仿宋"/>
          <w:b w:val="0"/>
          <w:color w:val="000000"/>
        </w:rPr>
        <w:t>支</w:t>
      </w:r>
      <w:r>
        <w:rPr>
          <w:rStyle w:val="29"/>
          <w:rFonts w:hint="eastAsia" w:ascii="仿宋" w:hAnsi="仿宋" w:eastAsia="仿宋"/>
          <w:b w:val="0"/>
          <w:bCs w:val="0"/>
        </w:rPr>
        <w:t>出决算表</w:t>
      </w:r>
      <w:bookmarkEnd w:id="58"/>
      <w:bookmarkEnd w:id="59"/>
      <w:bookmarkEnd w:id="60"/>
    </w:p>
    <w:p w14:paraId="10F804B4">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67325" cy="2766695"/>
            <wp:effectExtent l="0" t="0" r="9525" b="14605"/>
            <wp:docPr id="8" name="图片 8" descr="172904262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29042624078"/>
                    <pic:cNvPicPr>
                      <a:picLocks noChangeAspect="1"/>
                    </pic:cNvPicPr>
                  </pic:nvPicPr>
                  <pic:blipFill>
                    <a:blip r:embed="rId15"/>
                    <a:stretch>
                      <a:fillRect/>
                    </a:stretch>
                  </pic:blipFill>
                  <pic:spPr>
                    <a:xfrm>
                      <a:off x="0" y="0"/>
                      <a:ext cx="5267325" cy="2766695"/>
                    </a:xfrm>
                    <a:prstGeom prst="rect">
                      <a:avLst/>
                    </a:prstGeom>
                  </pic:spPr>
                </pic:pic>
              </a:graphicData>
            </a:graphic>
          </wp:inline>
        </w:drawing>
      </w:r>
    </w:p>
    <w:p w14:paraId="02C6F762">
      <w:pPr>
        <w:pStyle w:val="3"/>
        <w:numPr>
          <w:ilvl w:val="0"/>
          <w:numId w:val="5"/>
        </w:numPr>
        <w:ind w:left="0" w:leftChars="0" w:firstLine="0" w:firstLineChars="0"/>
        <w:rPr>
          <w:rStyle w:val="29"/>
          <w:rFonts w:hint="eastAsia" w:ascii="仿宋" w:hAnsi="仿宋" w:eastAsia="仿宋"/>
          <w:b w:val="0"/>
          <w:bCs w:val="0"/>
        </w:rPr>
      </w:pPr>
      <w:bookmarkStart w:id="61" w:name="_Toc79163639"/>
      <w:bookmarkStart w:id="62" w:name="_Toc15396622"/>
      <w:bookmarkStart w:id="63" w:name="_Toc79163889"/>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1"/>
      <w:bookmarkEnd w:id="62"/>
      <w:bookmarkEnd w:id="63"/>
    </w:p>
    <w:p w14:paraId="5E181B66">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66690" cy="5666740"/>
            <wp:effectExtent l="0" t="0" r="10160" b="10160"/>
            <wp:docPr id="9" name="图片 9" descr="172904264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29042644407"/>
                    <pic:cNvPicPr>
                      <a:picLocks noChangeAspect="1"/>
                    </pic:cNvPicPr>
                  </pic:nvPicPr>
                  <pic:blipFill>
                    <a:blip r:embed="rId16"/>
                    <a:stretch>
                      <a:fillRect/>
                    </a:stretch>
                  </pic:blipFill>
                  <pic:spPr>
                    <a:xfrm>
                      <a:off x="0" y="0"/>
                      <a:ext cx="5266690" cy="5666740"/>
                    </a:xfrm>
                    <a:prstGeom prst="rect">
                      <a:avLst/>
                    </a:prstGeom>
                  </pic:spPr>
                </pic:pic>
              </a:graphicData>
            </a:graphic>
          </wp:inline>
        </w:drawing>
      </w:r>
    </w:p>
    <w:p w14:paraId="4774D989">
      <w:pPr>
        <w:pStyle w:val="3"/>
        <w:numPr>
          <w:ilvl w:val="0"/>
          <w:numId w:val="5"/>
        </w:numPr>
        <w:ind w:left="0" w:leftChars="0" w:firstLine="0" w:firstLineChars="0"/>
        <w:rPr>
          <w:rStyle w:val="29"/>
          <w:rFonts w:hint="eastAsia" w:ascii="仿宋" w:hAnsi="仿宋" w:eastAsia="仿宋"/>
          <w:b w:val="0"/>
          <w:bCs w:val="0"/>
        </w:rPr>
      </w:pPr>
      <w:bookmarkStart w:id="64" w:name="_Toc79163890"/>
      <w:bookmarkStart w:id="65" w:name="_Toc15396623"/>
      <w:bookmarkStart w:id="66" w:name="_Toc79163640"/>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End w:id="65"/>
      <w:bookmarkEnd w:id="66"/>
      <w:bookmarkStart w:id="67" w:name="_Toc15396624"/>
    </w:p>
    <w:p w14:paraId="601F82B7">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3986530" cy="8101965"/>
            <wp:effectExtent l="0" t="0" r="13970" b="13335"/>
            <wp:docPr id="12" name="图片 12" descr="172904267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29042671348"/>
                    <pic:cNvPicPr>
                      <a:picLocks noChangeAspect="1"/>
                    </pic:cNvPicPr>
                  </pic:nvPicPr>
                  <pic:blipFill>
                    <a:blip r:embed="rId17"/>
                    <a:stretch>
                      <a:fillRect/>
                    </a:stretch>
                  </pic:blipFill>
                  <pic:spPr>
                    <a:xfrm>
                      <a:off x="0" y="0"/>
                      <a:ext cx="3986530" cy="8101965"/>
                    </a:xfrm>
                    <a:prstGeom prst="rect">
                      <a:avLst/>
                    </a:prstGeom>
                  </pic:spPr>
                </pic:pic>
              </a:graphicData>
            </a:graphic>
          </wp:inline>
        </w:drawing>
      </w:r>
    </w:p>
    <w:p w14:paraId="72772E88">
      <w:pPr>
        <w:pStyle w:val="3"/>
        <w:numPr>
          <w:ilvl w:val="0"/>
          <w:numId w:val="5"/>
        </w:numPr>
        <w:ind w:left="0" w:leftChars="0" w:firstLine="0" w:firstLineChars="0"/>
        <w:rPr>
          <w:rStyle w:val="29"/>
          <w:rFonts w:hint="eastAsia" w:ascii="仿宋" w:hAnsi="仿宋" w:eastAsia="仿宋"/>
          <w:b w:val="0"/>
          <w:bCs w:val="0"/>
        </w:rPr>
      </w:pPr>
      <w:bookmarkStart w:id="68" w:name="_Toc79163891"/>
      <w:bookmarkStart w:id="69" w:name="_Toc79163641"/>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7"/>
      <w:bookmarkEnd w:id="68"/>
      <w:bookmarkEnd w:id="69"/>
    </w:p>
    <w:p w14:paraId="54A48294">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71135" cy="4652645"/>
            <wp:effectExtent l="0" t="0" r="5715" b="14605"/>
            <wp:docPr id="13" name="图片 13" descr="172904271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29042711822"/>
                    <pic:cNvPicPr>
                      <a:picLocks noChangeAspect="1"/>
                    </pic:cNvPicPr>
                  </pic:nvPicPr>
                  <pic:blipFill>
                    <a:blip r:embed="rId18"/>
                    <a:stretch>
                      <a:fillRect/>
                    </a:stretch>
                  </pic:blipFill>
                  <pic:spPr>
                    <a:xfrm>
                      <a:off x="0" y="0"/>
                      <a:ext cx="5271135" cy="4652645"/>
                    </a:xfrm>
                    <a:prstGeom prst="rect">
                      <a:avLst/>
                    </a:prstGeom>
                  </pic:spPr>
                </pic:pic>
              </a:graphicData>
            </a:graphic>
          </wp:inline>
        </w:drawing>
      </w:r>
    </w:p>
    <w:p w14:paraId="463AAE45">
      <w:pPr>
        <w:pStyle w:val="3"/>
        <w:numPr>
          <w:ilvl w:val="0"/>
          <w:numId w:val="5"/>
        </w:numPr>
        <w:ind w:left="0" w:leftChars="0" w:firstLine="0" w:firstLineChars="0"/>
        <w:rPr>
          <w:rStyle w:val="29"/>
          <w:rFonts w:hint="eastAsia" w:ascii="仿宋" w:hAnsi="仿宋" w:eastAsia="仿宋"/>
          <w:b w:val="0"/>
          <w:bCs w:val="0"/>
        </w:rPr>
      </w:pPr>
      <w:bookmarkStart w:id="70" w:name="_Toc15396625"/>
      <w:bookmarkStart w:id="71" w:name="_Toc79163642"/>
      <w:bookmarkStart w:id="72" w:name="_Toc79163892"/>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0"/>
      <w:bookmarkEnd w:id="71"/>
      <w:bookmarkEnd w:id="72"/>
    </w:p>
    <w:p w14:paraId="35AD9D47">
      <w:pPr>
        <w:rPr>
          <w:rFonts w:hint="eastAsia" w:eastAsia="仿宋"/>
          <w:lang w:eastAsia="zh-CN"/>
        </w:rPr>
      </w:pPr>
      <w:r>
        <w:rPr>
          <w:rFonts w:hint="eastAsia" w:eastAsia="仿宋"/>
          <w:lang w:eastAsia="zh-CN"/>
        </w:rPr>
        <w:drawing>
          <wp:inline distT="0" distB="0" distL="114300" distR="114300">
            <wp:extent cx="5258435" cy="2106295"/>
            <wp:effectExtent l="0" t="0" r="18415" b="8255"/>
            <wp:docPr id="21" name="图片 21" descr="1729060029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29060029374"/>
                    <pic:cNvPicPr>
                      <a:picLocks noChangeAspect="1"/>
                    </pic:cNvPicPr>
                  </pic:nvPicPr>
                  <pic:blipFill>
                    <a:blip r:embed="rId19"/>
                    <a:stretch>
                      <a:fillRect/>
                    </a:stretch>
                  </pic:blipFill>
                  <pic:spPr>
                    <a:xfrm>
                      <a:off x="0" y="0"/>
                      <a:ext cx="5258435" cy="2106295"/>
                    </a:xfrm>
                    <a:prstGeom prst="rect">
                      <a:avLst/>
                    </a:prstGeom>
                  </pic:spPr>
                </pic:pic>
              </a:graphicData>
            </a:graphic>
          </wp:inline>
        </w:drawing>
      </w:r>
      <w:r>
        <w:rPr>
          <w:rFonts w:hint="eastAsia" w:eastAsia="仿宋"/>
          <w:lang w:eastAsia="zh-CN"/>
        </w:rPr>
        <w:drawing>
          <wp:inline distT="0" distB="0" distL="114300" distR="114300">
            <wp:extent cx="5261610" cy="2161540"/>
            <wp:effectExtent l="0" t="0" r="15240" b="10160"/>
            <wp:docPr id="22" name="图片 22" descr="172906016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29060160636"/>
                    <pic:cNvPicPr>
                      <a:picLocks noChangeAspect="1"/>
                    </pic:cNvPicPr>
                  </pic:nvPicPr>
                  <pic:blipFill>
                    <a:blip r:embed="rId20"/>
                    <a:stretch>
                      <a:fillRect/>
                    </a:stretch>
                  </pic:blipFill>
                  <pic:spPr>
                    <a:xfrm>
                      <a:off x="0" y="0"/>
                      <a:ext cx="5261610" cy="2161540"/>
                    </a:xfrm>
                    <a:prstGeom prst="rect">
                      <a:avLst/>
                    </a:prstGeom>
                  </pic:spPr>
                </pic:pic>
              </a:graphicData>
            </a:graphic>
          </wp:inline>
        </w:drawing>
      </w:r>
      <w:r>
        <w:rPr>
          <w:rFonts w:hint="eastAsia" w:eastAsia="仿宋"/>
          <w:lang w:eastAsia="zh-CN"/>
        </w:rPr>
        <w:drawing>
          <wp:inline distT="0" distB="0" distL="114300" distR="114300">
            <wp:extent cx="5267960" cy="2061210"/>
            <wp:effectExtent l="0" t="0" r="8890" b="15240"/>
            <wp:docPr id="23" name="图片 23" descr="172906021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29060219490"/>
                    <pic:cNvPicPr>
                      <a:picLocks noChangeAspect="1"/>
                    </pic:cNvPicPr>
                  </pic:nvPicPr>
                  <pic:blipFill>
                    <a:blip r:embed="rId21"/>
                    <a:stretch>
                      <a:fillRect/>
                    </a:stretch>
                  </pic:blipFill>
                  <pic:spPr>
                    <a:xfrm>
                      <a:off x="0" y="0"/>
                      <a:ext cx="5267960" cy="2061210"/>
                    </a:xfrm>
                    <a:prstGeom prst="rect">
                      <a:avLst/>
                    </a:prstGeom>
                  </pic:spPr>
                </pic:pic>
              </a:graphicData>
            </a:graphic>
          </wp:inline>
        </w:drawing>
      </w:r>
      <w:r>
        <w:rPr>
          <w:rFonts w:hint="eastAsia" w:eastAsia="仿宋"/>
          <w:lang w:eastAsia="zh-CN"/>
        </w:rPr>
        <w:drawing>
          <wp:inline distT="0" distB="0" distL="114300" distR="114300">
            <wp:extent cx="5272405" cy="5145405"/>
            <wp:effectExtent l="0" t="0" r="4445" b="17145"/>
            <wp:docPr id="24" name="图片 24" descr="172906026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29060263284"/>
                    <pic:cNvPicPr>
                      <a:picLocks noChangeAspect="1"/>
                    </pic:cNvPicPr>
                  </pic:nvPicPr>
                  <pic:blipFill>
                    <a:blip r:embed="rId22"/>
                    <a:stretch>
                      <a:fillRect/>
                    </a:stretch>
                  </pic:blipFill>
                  <pic:spPr>
                    <a:xfrm>
                      <a:off x="0" y="0"/>
                      <a:ext cx="5272405" cy="5145405"/>
                    </a:xfrm>
                    <a:prstGeom prst="rect">
                      <a:avLst/>
                    </a:prstGeom>
                  </pic:spPr>
                </pic:pic>
              </a:graphicData>
            </a:graphic>
          </wp:inline>
        </w:drawing>
      </w:r>
    </w:p>
    <w:p w14:paraId="0ED0CB36">
      <w:pPr>
        <w:rPr>
          <w:rFonts w:hint="eastAsia"/>
        </w:rPr>
      </w:pPr>
    </w:p>
    <w:p w14:paraId="52357C9E">
      <w:pPr>
        <w:numPr>
          <w:ilvl w:val="0"/>
          <w:numId w:val="0"/>
        </w:numPr>
        <w:ind w:leftChars="0"/>
      </w:pPr>
    </w:p>
    <w:p w14:paraId="2C8BC45B">
      <w:pPr>
        <w:pStyle w:val="3"/>
        <w:numPr>
          <w:ilvl w:val="0"/>
          <w:numId w:val="5"/>
        </w:numPr>
        <w:ind w:left="0" w:leftChars="0" w:firstLine="0" w:firstLineChars="0"/>
        <w:rPr>
          <w:rStyle w:val="29"/>
          <w:rFonts w:hint="eastAsia" w:ascii="仿宋" w:hAnsi="仿宋" w:eastAsia="仿宋"/>
          <w:b w:val="0"/>
          <w:bCs w:val="0"/>
        </w:rPr>
      </w:pPr>
      <w:bookmarkStart w:id="73" w:name="_Toc79163643"/>
      <w:bookmarkStart w:id="74" w:name="_Toc79163893"/>
      <w:bookmarkStart w:id="75" w:name="_Toc15396626"/>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73"/>
      <w:bookmarkEnd w:id="74"/>
      <w:bookmarkEnd w:id="75"/>
    </w:p>
    <w:p w14:paraId="0C51425F">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73675" cy="4785360"/>
            <wp:effectExtent l="0" t="0" r="3175" b="15240"/>
            <wp:docPr id="16" name="图片 16" descr="172904304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29043047794"/>
                    <pic:cNvPicPr>
                      <a:picLocks noChangeAspect="1"/>
                    </pic:cNvPicPr>
                  </pic:nvPicPr>
                  <pic:blipFill>
                    <a:blip r:embed="rId23"/>
                    <a:stretch>
                      <a:fillRect/>
                    </a:stretch>
                  </pic:blipFill>
                  <pic:spPr>
                    <a:xfrm>
                      <a:off x="0" y="0"/>
                      <a:ext cx="5273675" cy="4785360"/>
                    </a:xfrm>
                    <a:prstGeom prst="rect">
                      <a:avLst/>
                    </a:prstGeom>
                  </pic:spPr>
                </pic:pic>
              </a:graphicData>
            </a:graphic>
          </wp:inline>
        </w:drawing>
      </w:r>
    </w:p>
    <w:p w14:paraId="43206ECA">
      <w:pPr>
        <w:pStyle w:val="3"/>
        <w:numPr>
          <w:ilvl w:val="0"/>
          <w:numId w:val="5"/>
        </w:numPr>
        <w:ind w:left="0" w:leftChars="0" w:firstLine="0" w:firstLineChars="0"/>
        <w:rPr>
          <w:rStyle w:val="29"/>
          <w:rFonts w:hint="eastAsia" w:ascii="仿宋" w:hAnsi="仿宋" w:eastAsia="仿宋"/>
          <w:b w:val="0"/>
          <w:bCs w:val="0"/>
        </w:rPr>
      </w:pPr>
      <w:bookmarkStart w:id="76" w:name="_Toc79163894"/>
      <w:bookmarkStart w:id="77" w:name="_Toc79163644"/>
      <w:bookmarkStart w:id="78" w:name="_Toc15396627"/>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76"/>
      <w:bookmarkEnd w:id="77"/>
      <w:bookmarkEnd w:id="78"/>
    </w:p>
    <w:p w14:paraId="44CF2914">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72405" cy="2622550"/>
            <wp:effectExtent l="0" t="0" r="4445" b="6350"/>
            <wp:docPr id="17" name="图片 17" descr="172904311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29043111829"/>
                    <pic:cNvPicPr>
                      <a:picLocks noChangeAspect="1"/>
                    </pic:cNvPicPr>
                  </pic:nvPicPr>
                  <pic:blipFill>
                    <a:blip r:embed="rId24"/>
                    <a:stretch>
                      <a:fillRect/>
                    </a:stretch>
                  </pic:blipFill>
                  <pic:spPr>
                    <a:xfrm>
                      <a:off x="0" y="0"/>
                      <a:ext cx="5272405" cy="2622550"/>
                    </a:xfrm>
                    <a:prstGeom prst="rect">
                      <a:avLst/>
                    </a:prstGeom>
                  </pic:spPr>
                </pic:pic>
              </a:graphicData>
            </a:graphic>
          </wp:inline>
        </w:drawing>
      </w:r>
    </w:p>
    <w:p w14:paraId="0894C4BC">
      <w:pPr>
        <w:pStyle w:val="3"/>
        <w:numPr>
          <w:ilvl w:val="0"/>
          <w:numId w:val="5"/>
        </w:numPr>
        <w:ind w:left="0" w:leftChars="0" w:firstLine="0" w:firstLineChars="0"/>
        <w:rPr>
          <w:rStyle w:val="29"/>
          <w:rFonts w:hint="eastAsia" w:ascii="仿宋" w:hAnsi="仿宋" w:eastAsia="仿宋"/>
          <w:b w:val="0"/>
          <w:bCs w:val="0"/>
        </w:rPr>
      </w:pPr>
      <w:bookmarkStart w:id="79" w:name="_Toc79163645"/>
      <w:bookmarkStart w:id="80" w:name="_Toc79163895"/>
      <w:bookmarkStart w:id="81" w:name="_Toc15396628"/>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9"/>
      <w:bookmarkEnd w:id="80"/>
      <w:bookmarkEnd w:id="81"/>
    </w:p>
    <w:p w14:paraId="165CC148">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67325" cy="2847340"/>
            <wp:effectExtent l="0" t="0" r="9525" b="10160"/>
            <wp:docPr id="18" name="图片 18" descr="172904315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29043150009"/>
                    <pic:cNvPicPr>
                      <a:picLocks noChangeAspect="1"/>
                    </pic:cNvPicPr>
                  </pic:nvPicPr>
                  <pic:blipFill>
                    <a:blip r:embed="rId25"/>
                    <a:stretch>
                      <a:fillRect/>
                    </a:stretch>
                  </pic:blipFill>
                  <pic:spPr>
                    <a:xfrm>
                      <a:off x="0" y="0"/>
                      <a:ext cx="5267325" cy="2847340"/>
                    </a:xfrm>
                    <a:prstGeom prst="rect">
                      <a:avLst/>
                    </a:prstGeom>
                  </pic:spPr>
                </pic:pic>
              </a:graphicData>
            </a:graphic>
          </wp:inline>
        </w:drawing>
      </w:r>
    </w:p>
    <w:p w14:paraId="67E9E42E">
      <w:pPr>
        <w:pStyle w:val="3"/>
        <w:numPr>
          <w:ilvl w:val="0"/>
          <w:numId w:val="5"/>
        </w:numPr>
        <w:ind w:left="0" w:leftChars="0" w:firstLine="0" w:firstLineChars="0"/>
        <w:rPr>
          <w:rStyle w:val="29"/>
          <w:rFonts w:hint="eastAsia" w:ascii="仿宋" w:hAnsi="仿宋" w:eastAsia="仿宋"/>
          <w:b w:val="0"/>
          <w:bCs w:val="0"/>
        </w:rPr>
      </w:pPr>
      <w:bookmarkStart w:id="82" w:name="_Toc79163896"/>
      <w:bookmarkStart w:id="83" w:name="_Toc15396629"/>
      <w:bookmarkStart w:id="84" w:name="_Toc79163646"/>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82"/>
      <w:bookmarkEnd w:id="83"/>
      <w:bookmarkEnd w:id="84"/>
    </w:p>
    <w:p w14:paraId="6C268BE7">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69865" cy="2393950"/>
            <wp:effectExtent l="0" t="0" r="6985" b="6350"/>
            <wp:docPr id="19" name="图片 19" descr="172904318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29043183008"/>
                    <pic:cNvPicPr>
                      <a:picLocks noChangeAspect="1"/>
                    </pic:cNvPicPr>
                  </pic:nvPicPr>
                  <pic:blipFill>
                    <a:blip r:embed="rId26"/>
                    <a:stretch>
                      <a:fillRect/>
                    </a:stretch>
                  </pic:blipFill>
                  <pic:spPr>
                    <a:xfrm>
                      <a:off x="0" y="0"/>
                      <a:ext cx="5269865" cy="2393950"/>
                    </a:xfrm>
                    <a:prstGeom prst="rect">
                      <a:avLst/>
                    </a:prstGeom>
                  </pic:spPr>
                </pic:pic>
              </a:graphicData>
            </a:graphic>
          </wp:inline>
        </w:drawing>
      </w:r>
    </w:p>
    <w:p w14:paraId="0A1EDDB4">
      <w:pPr>
        <w:pStyle w:val="3"/>
        <w:numPr>
          <w:ilvl w:val="0"/>
          <w:numId w:val="5"/>
        </w:numPr>
        <w:ind w:left="0" w:leftChars="0" w:firstLine="0" w:firstLineChars="0"/>
        <w:rPr>
          <w:rStyle w:val="29"/>
          <w:rFonts w:hint="eastAsia" w:ascii="仿宋" w:hAnsi="仿宋" w:eastAsia="仿宋"/>
          <w:b w:val="0"/>
          <w:bCs w:val="0"/>
        </w:rPr>
      </w:pPr>
      <w:bookmarkStart w:id="85" w:name="_Toc79163898"/>
      <w:bookmarkStart w:id="86" w:name="_Toc79163648"/>
      <w:bookmarkStart w:id="87" w:name="_Toc15396631"/>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85"/>
      <w:bookmarkEnd w:id="86"/>
      <w:bookmarkEnd w:id="87"/>
    </w:p>
    <w:p w14:paraId="3530D9BC">
      <w:pPr>
        <w:numPr>
          <w:ilvl w:val="0"/>
          <w:numId w:val="0"/>
        </w:numPr>
        <w:ind w:leftChars="0"/>
      </w:pPr>
      <w:r>
        <w:rPr>
          <w:rFonts w:hint="eastAsia" w:ascii="仿宋" w:hAnsi="仿宋" w:eastAsia="仿宋"/>
          <w:color w:val="000000" w:themeColor="text1"/>
          <w:lang w:eastAsia="zh-CN"/>
          <w14:textFill>
            <w14:solidFill>
              <w14:schemeClr w14:val="tx1"/>
            </w14:solidFill>
          </w14:textFill>
        </w:rPr>
        <w:drawing>
          <wp:inline distT="0" distB="0" distL="114300" distR="114300">
            <wp:extent cx="5272405" cy="3024505"/>
            <wp:effectExtent l="0" t="0" r="4445" b="4445"/>
            <wp:docPr id="20" name="图片 20" descr="172904323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29043230710"/>
                    <pic:cNvPicPr>
                      <a:picLocks noChangeAspect="1"/>
                    </pic:cNvPicPr>
                  </pic:nvPicPr>
                  <pic:blipFill>
                    <a:blip r:embed="rId27"/>
                    <a:stretch>
                      <a:fillRect/>
                    </a:stretch>
                  </pic:blipFill>
                  <pic:spPr>
                    <a:xfrm>
                      <a:off x="0" y="0"/>
                      <a:ext cx="5272405" cy="3024505"/>
                    </a:xfrm>
                    <a:prstGeom prst="rect">
                      <a:avLst/>
                    </a:prstGeom>
                  </pic:spPr>
                </pic:pic>
              </a:graphicData>
            </a:graphic>
          </wp:inline>
        </w:drawing>
      </w:r>
    </w:p>
    <w:p w14:paraId="58BAA3DF">
      <w:pPr>
        <w:pStyle w:val="3"/>
        <w:rPr>
          <w:rStyle w:val="29"/>
          <w:rFonts w:hint="eastAsia" w:ascii="仿宋" w:hAnsi="仿宋" w:eastAsia="仿宋"/>
          <w:b w:val="0"/>
          <w:bCs w:val="0"/>
        </w:rPr>
      </w:pPr>
      <w:bookmarkStart w:id="88" w:name="_Toc79163899"/>
      <w:bookmarkStart w:id="89" w:name="_Toc79163649"/>
    </w:p>
    <w:p w14:paraId="36ADA31D">
      <w:pPr>
        <w:pStyle w:val="3"/>
        <w:rPr>
          <w:rStyle w:val="29"/>
          <w:rFonts w:hint="eastAsia" w:ascii="仿宋" w:hAnsi="仿宋" w:eastAsia="仿宋"/>
          <w:b w:val="0"/>
          <w:bCs w:val="0"/>
        </w:rPr>
      </w:pPr>
    </w:p>
    <w:p w14:paraId="150333CA">
      <w:pPr>
        <w:pStyle w:val="3"/>
        <w:rPr>
          <w:rFonts w:hint="eastAsia" w:ascii="仿宋" w:hAnsi="仿宋" w:eastAsia="仿宋"/>
          <w:color w:val="000000" w:themeColor="text1"/>
          <w:lang w:eastAsia="zh-CN"/>
          <w14:textFill>
            <w14:solidFill>
              <w14:schemeClr w14:val="tx1"/>
            </w14:solidFill>
          </w14:textFill>
        </w:rPr>
      </w:pPr>
      <w:r>
        <w:rPr>
          <w:rStyle w:val="29"/>
          <w:rFonts w:hint="eastAsia" w:ascii="仿宋" w:hAnsi="仿宋" w:eastAsia="仿宋"/>
          <w:b w:val="0"/>
          <w:bCs w:val="0"/>
        </w:rPr>
        <w:t>十</w:t>
      </w:r>
      <w:r>
        <w:rPr>
          <w:rStyle w:val="29"/>
          <w:rFonts w:hint="eastAsia" w:ascii="仿宋" w:hAnsi="仿宋" w:eastAsia="仿宋"/>
          <w:b w:val="0"/>
          <w:bCs w:val="0"/>
          <w:lang w:eastAsia="zh-CN"/>
        </w:rPr>
        <w:t>三</w:t>
      </w:r>
      <w:r>
        <w:rPr>
          <w:rStyle w:val="29"/>
          <w:rFonts w:hint="eastAsia" w:ascii="仿宋" w:hAnsi="仿宋" w:eastAsia="仿宋"/>
          <w:b w:val="0"/>
          <w:bCs w:val="0"/>
        </w:rPr>
        <w:t>、国有资本经营预算财政拨款支出决算表</w:t>
      </w:r>
      <w:bookmarkEnd w:id="88"/>
      <w:bookmarkEnd w:id="89"/>
    </w:p>
    <w:p w14:paraId="014FCBE4">
      <w:pPr>
        <w:rPr>
          <w:rFonts w:hint="eastAsia" w:ascii="仿宋" w:hAnsi="仿宋" w:eastAsia="仿宋"/>
          <w:color w:val="000000" w:themeColor="text1"/>
          <w:lang w:eastAsia="zh-CN"/>
          <w14:textFill>
            <w14:solidFill>
              <w14:schemeClr w14:val="tx1"/>
            </w14:solidFill>
          </w14:textFill>
        </w:rPr>
      </w:pPr>
      <w:r>
        <w:rPr>
          <w:rFonts w:hint="eastAsia" w:ascii="仿宋" w:hAnsi="仿宋" w:eastAsia="仿宋"/>
          <w:color w:val="000000" w:themeColor="text1"/>
          <w:lang w:val="en-US" w:eastAsia="zh-CN"/>
          <w14:textFill>
            <w14:solidFill>
              <w14:schemeClr w14:val="tx1"/>
            </w14:solidFill>
          </w14:textFill>
        </w:rPr>
        <w:t xml:space="preserve">     </w:t>
      </w:r>
      <w:r>
        <w:rPr>
          <w:rFonts w:hint="eastAsia" w:ascii="仿宋" w:hAnsi="仿宋" w:eastAsia="仿宋"/>
          <w:color w:val="000000" w:themeColor="text1"/>
          <w:lang w:eastAsia="zh-CN"/>
          <w14:textFill>
            <w14:solidFill>
              <w14:schemeClr w14:val="tx1"/>
            </w14:solidFill>
          </w14:textFill>
        </w:rPr>
        <w:drawing>
          <wp:inline distT="0" distB="0" distL="114300" distR="114300">
            <wp:extent cx="5269230" cy="2870835"/>
            <wp:effectExtent l="0" t="0" r="7620" b="5715"/>
            <wp:docPr id="14" name="图片 14" descr="172904485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29044856539"/>
                    <pic:cNvPicPr>
                      <a:picLocks noChangeAspect="1"/>
                    </pic:cNvPicPr>
                  </pic:nvPicPr>
                  <pic:blipFill>
                    <a:blip r:embed="rId28"/>
                    <a:stretch>
                      <a:fillRect/>
                    </a:stretch>
                  </pic:blipFill>
                  <pic:spPr>
                    <a:xfrm>
                      <a:off x="0" y="0"/>
                      <a:ext cx="5269230" cy="2870835"/>
                    </a:xfrm>
                    <a:prstGeom prst="rect">
                      <a:avLst/>
                    </a:prstGeom>
                  </pic:spPr>
                </pic:pic>
              </a:graphicData>
            </a:graphic>
          </wp:inline>
        </w:drawing>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A654CEA">
        <w:pPr>
          <w:pStyle w:val="9"/>
          <w:jc w:val="center"/>
        </w:pPr>
        <w:r>
          <w:fldChar w:fldCharType="begin"/>
        </w:r>
        <w:r>
          <w:instrText xml:space="preserve">PAGE   \* MERGEFORMAT</w:instrText>
        </w:r>
        <w:r>
          <w:fldChar w:fldCharType="separate"/>
        </w:r>
        <w:r>
          <w:rPr>
            <w:lang w:val="zh-CN"/>
          </w:rPr>
          <w:t>2</w:t>
        </w:r>
        <w:r>
          <w:fldChar w:fldCharType="end"/>
        </w:r>
      </w:p>
    </w:sdtContent>
  </w:sdt>
  <w:p w14:paraId="3DF9AD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FC706">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9CB98"/>
    <w:multiLevelType w:val="singleLevel"/>
    <w:tmpl w:val="83C9CB98"/>
    <w:lvl w:ilvl="0" w:tentative="0">
      <w:start w:val="1"/>
      <w:numFmt w:val="decimal"/>
      <w:lvlText w:val="%1."/>
      <w:lvlJc w:val="left"/>
      <w:pPr>
        <w:tabs>
          <w:tab w:val="left" w:pos="312"/>
        </w:tabs>
      </w:pPr>
    </w:lvl>
  </w:abstractNum>
  <w:abstractNum w:abstractNumId="1">
    <w:nsid w:val="AAD76924"/>
    <w:multiLevelType w:val="singleLevel"/>
    <w:tmpl w:val="AAD76924"/>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lMDY0MjQ1YzEwMjgyN2Q5NDhjNmNjNDU2Mjg4OD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54AB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A67BD"/>
    <w:rsid w:val="006B2422"/>
    <w:rsid w:val="006B2B9A"/>
    <w:rsid w:val="006C1937"/>
    <w:rsid w:val="006F020C"/>
    <w:rsid w:val="007127B7"/>
    <w:rsid w:val="0071798E"/>
    <w:rsid w:val="007260D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46918"/>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2FAB"/>
    <w:rsid w:val="00D00095"/>
    <w:rsid w:val="00D114F0"/>
    <w:rsid w:val="00D179F5"/>
    <w:rsid w:val="00D20620"/>
    <w:rsid w:val="00D21E3D"/>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B7E60"/>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80A12"/>
    <w:rsid w:val="010A08C5"/>
    <w:rsid w:val="01142ED8"/>
    <w:rsid w:val="012E7F78"/>
    <w:rsid w:val="01F97681"/>
    <w:rsid w:val="0206668D"/>
    <w:rsid w:val="02084DBF"/>
    <w:rsid w:val="02327287"/>
    <w:rsid w:val="02405F8A"/>
    <w:rsid w:val="02F254D6"/>
    <w:rsid w:val="034F2928"/>
    <w:rsid w:val="039A4593"/>
    <w:rsid w:val="03A04148"/>
    <w:rsid w:val="03BC4BD4"/>
    <w:rsid w:val="03C70AD5"/>
    <w:rsid w:val="03EF2612"/>
    <w:rsid w:val="03FF7022"/>
    <w:rsid w:val="04313B6E"/>
    <w:rsid w:val="04922410"/>
    <w:rsid w:val="05202C1B"/>
    <w:rsid w:val="052D72C8"/>
    <w:rsid w:val="05570BC0"/>
    <w:rsid w:val="05615F60"/>
    <w:rsid w:val="056458DA"/>
    <w:rsid w:val="057F17ED"/>
    <w:rsid w:val="05FF0FF1"/>
    <w:rsid w:val="061F4F3B"/>
    <w:rsid w:val="062C0031"/>
    <w:rsid w:val="062E4A77"/>
    <w:rsid w:val="06534584"/>
    <w:rsid w:val="06A22A2D"/>
    <w:rsid w:val="06A7132C"/>
    <w:rsid w:val="06BF1136"/>
    <w:rsid w:val="06D373CC"/>
    <w:rsid w:val="07287718"/>
    <w:rsid w:val="073C1416"/>
    <w:rsid w:val="077151A4"/>
    <w:rsid w:val="079B701F"/>
    <w:rsid w:val="07E21FBD"/>
    <w:rsid w:val="0917633C"/>
    <w:rsid w:val="095161D6"/>
    <w:rsid w:val="09992B4F"/>
    <w:rsid w:val="09E65669"/>
    <w:rsid w:val="09F01C7C"/>
    <w:rsid w:val="0A452E38"/>
    <w:rsid w:val="0AB6351E"/>
    <w:rsid w:val="0AE971A3"/>
    <w:rsid w:val="0B464611"/>
    <w:rsid w:val="0B6C18AB"/>
    <w:rsid w:val="0B827012"/>
    <w:rsid w:val="0B9D7E1A"/>
    <w:rsid w:val="0BE800E8"/>
    <w:rsid w:val="0CDF2A5F"/>
    <w:rsid w:val="0D217FCD"/>
    <w:rsid w:val="0D330BC5"/>
    <w:rsid w:val="0D65210E"/>
    <w:rsid w:val="0DB15EBF"/>
    <w:rsid w:val="0DBB25A8"/>
    <w:rsid w:val="0E2B4F54"/>
    <w:rsid w:val="0E6D2AA6"/>
    <w:rsid w:val="0EBC6E34"/>
    <w:rsid w:val="0EC341CA"/>
    <w:rsid w:val="0EE35DB9"/>
    <w:rsid w:val="0F1336BB"/>
    <w:rsid w:val="0F28328F"/>
    <w:rsid w:val="0FB75ADD"/>
    <w:rsid w:val="0FBA45D1"/>
    <w:rsid w:val="0FC27073"/>
    <w:rsid w:val="100B5E29"/>
    <w:rsid w:val="10824720"/>
    <w:rsid w:val="10C055FF"/>
    <w:rsid w:val="10F66E51"/>
    <w:rsid w:val="110C310B"/>
    <w:rsid w:val="112C389A"/>
    <w:rsid w:val="11603F53"/>
    <w:rsid w:val="11991213"/>
    <w:rsid w:val="120933F7"/>
    <w:rsid w:val="120A31AF"/>
    <w:rsid w:val="12241424"/>
    <w:rsid w:val="12535676"/>
    <w:rsid w:val="127C6C43"/>
    <w:rsid w:val="12866948"/>
    <w:rsid w:val="128D1410"/>
    <w:rsid w:val="12BF17E3"/>
    <w:rsid w:val="12C02EFB"/>
    <w:rsid w:val="12FC2D17"/>
    <w:rsid w:val="13150B27"/>
    <w:rsid w:val="137D2B9A"/>
    <w:rsid w:val="13D46914"/>
    <w:rsid w:val="1417127F"/>
    <w:rsid w:val="145A1D58"/>
    <w:rsid w:val="14A405FA"/>
    <w:rsid w:val="14B74989"/>
    <w:rsid w:val="14E5543D"/>
    <w:rsid w:val="1510251B"/>
    <w:rsid w:val="151F3D1C"/>
    <w:rsid w:val="15477903"/>
    <w:rsid w:val="154A06A8"/>
    <w:rsid w:val="157224A6"/>
    <w:rsid w:val="1587128C"/>
    <w:rsid w:val="15A0511E"/>
    <w:rsid w:val="15D171CD"/>
    <w:rsid w:val="15ED2807"/>
    <w:rsid w:val="15F163D6"/>
    <w:rsid w:val="15FD3544"/>
    <w:rsid w:val="16BB723D"/>
    <w:rsid w:val="170854A5"/>
    <w:rsid w:val="172A4DE7"/>
    <w:rsid w:val="17810C39"/>
    <w:rsid w:val="17A51B58"/>
    <w:rsid w:val="17A90120"/>
    <w:rsid w:val="17EC44CB"/>
    <w:rsid w:val="1815144C"/>
    <w:rsid w:val="189271C7"/>
    <w:rsid w:val="18982224"/>
    <w:rsid w:val="18E5035B"/>
    <w:rsid w:val="194505FE"/>
    <w:rsid w:val="195132C8"/>
    <w:rsid w:val="19566B71"/>
    <w:rsid w:val="197E6AAE"/>
    <w:rsid w:val="198F1879"/>
    <w:rsid w:val="19A43616"/>
    <w:rsid w:val="19A76702"/>
    <w:rsid w:val="19CE05F3"/>
    <w:rsid w:val="1A132B69"/>
    <w:rsid w:val="1A290200"/>
    <w:rsid w:val="1A6545CC"/>
    <w:rsid w:val="1A7703E5"/>
    <w:rsid w:val="1A814357"/>
    <w:rsid w:val="1A9C1A15"/>
    <w:rsid w:val="1AD10DB0"/>
    <w:rsid w:val="1B486183"/>
    <w:rsid w:val="1B4D379A"/>
    <w:rsid w:val="1B6802A1"/>
    <w:rsid w:val="1B845153"/>
    <w:rsid w:val="1B8E75FE"/>
    <w:rsid w:val="1BF03B14"/>
    <w:rsid w:val="1BFA7380"/>
    <w:rsid w:val="1C054074"/>
    <w:rsid w:val="1C1E716D"/>
    <w:rsid w:val="1C1F5136"/>
    <w:rsid w:val="1CFC2F21"/>
    <w:rsid w:val="1D097B5B"/>
    <w:rsid w:val="1D106EB5"/>
    <w:rsid w:val="1D2F2256"/>
    <w:rsid w:val="1D67129B"/>
    <w:rsid w:val="1D83416D"/>
    <w:rsid w:val="1DD60272"/>
    <w:rsid w:val="1DF2518D"/>
    <w:rsid w:val="1DFB623D"/>
    <w:rsid w:val="1E404CAD"/>
    <w:rsid w:val="1E5C24F2"/>
    <w:rsid w:val="1E720040"/>
    <w:rsid w:val="1E8B335C"/>
    <w:rsid w:val="1EAC2001"/>
    <w:rsid w:val="1EC600C2"/>
    <w:rsid w:val="1EC8014B"/>
    <w:rsid w:val="1EE2283A"/>
    <w:rsid w:val="1EF775F5"/>
    <w:rsid w:val="1F1A1953"/>
    <w:rsid w:val="1F7C215B"/>
    <w:rsid w:val="1FEF0EF4"/>
    <w:rsid w:val="200710BC"/>
    <w:rsid w:val="20390790"/>
    <w:rsid w:val="20453CD5"/>
    <w:rsid w:val="20650893"/>
    <w:rsid w:val="20717240"/>
    <w:rsid w:val="20836F9A"/>
    <w:rsid w:val="20B6417C"/>
    <w:rsid w:val="212045A5"/>
    <w:rsid w:val="215C4736"/>
    <w:rsid w:val="217575A6"/>
    <w:rsid w:val="219A700D"/>
    <w:rsid w:val="21B46707"/>
    <w:rsid w:val="222D7422"/>
    <w:rsid w:val="229D5007"/>
    <w:rsid w:val="22A55C69"/>
    <w:rsid w:val="22C628FC"/>
    <w:rsid w:val="231D5B82"/>
    <w:rsid w:val="236B75E1"/>
    <w:rsid w:val="23C12F77"/>
    <w:rsid w:val="23CD3ED1"/>
    <w:rsid w:val="23DD39CC"/>
    <w:rsid w:val="240371BF"/>
    <w:rsid w:val="24372838"/>
    <w:rsid w:val="243F3E9B"/>
    <w:rsid w:val="24521E21"/>
    <w:rsid w:val="24636AB3"/>
    <w:rsid w:val="24AE34FB"/>
    <w:rsid w:val="25581D49"/>
    <w:rsid w:val="255E57E1"/>
    <w:rsid w:val="25706E21"/>
    <w:rsid w:val="25A34326"/>
    <w:rsid w:val="25DD1EF7"/>
    <w:rsid w:val="26082C86"/>
    <w:rsid w:val="2656164C"/>
    <w:rsid w:val="26AA1AA0"/>
    <w:rsid w:val="26C8698D"/>
    <w:rsid w:val="26EE2542"/>
    <w:rsid w:val="2705317A"/>
    <w:rsid w:val="27120F23"/>
    <w:rsid w:val="27270A10"/>
    <w:rsid w:val="275A3506"/>
    <w:rsid w:val="276A4E9F"/>
    <w:rsid w:val="27AE0637"/>
    <w:rsid w:val="281A7886"/>
    <w:rsid w:val="28526F0D"/>
    <w:rsid w:val="28702875"/>
    <w:rsid w:val="287171E9"/>
    <w:rsid w:val="28944720"/>
    <w:rsid w:val="2895052E"/>
    <w:rsid w:val="28F40D8F"/>
    <w:rsid w:val="29017F69"/>
    <w:rsid w:val="29032A64"/>
    <w:rsid w:val="292715A0"/>
    <w:rsid w:val="296354C9"/>
    <w:rsid w:val="29BA0A13"/>
    <w:rsid w:val="29FD042B"/>
    <w:rsid w:val="29FD04D3"/>
    <w:rsid w:val="2A01434F"/>
    <w:rsid w:val="2A507AAA"/>
    <w:rsid w:val="2AD95BFB"/>
    <w:rsid w:val="2B1F337E"/>
    <w:rsid w:val="2B365539"/>
    <w:rsid w:val="2B9D6128"/>
    <w:rsid w:val="2BB23D9E"/>
    <w:rsid w:val="2C046967"/>
    <w:rsid w:val="2C136A03"/>
    <w:rsid w:val="2C153C69"/>
    <w:rsid w:val="2C330869"/>
    <w:rsid w:val="2C545002"/>
    <w:rsid w:val="2C6751C3"/>
    <w:rsid w:val="2C675E2D"/>
    <w:rsid w:val="2C6F723D"/>
    <w:rsid w:val="2CAB45AB"/>
    <w:rsid w:val="2CCD0296"/>
    <w:rsid w:val="2D5F6558"/>
    <w:rsid w:val="2D962D7E"/>
    <w:rsid w:val="2DA46182"/>
    <w:rsid w:val="2DB26EF6"/>
    <w:rsid w:val="2DDD09AD"/>
    <w:rsid w:val="2E2A302D"/>
    <w:rsid w:val="2E6B21B4"/>
    <w:rsid w:val="2E786928"/>
    <w:rsid w:val="2E89476D"/>
    <w:rsid w:val="2ED962FD"/>
    <w:rsid w:val="2F881996"/>
    <w:rsid w:val="2F972DDE"/>
    <w:rsid w:val="2FA72168"/>
    <w:rsid w:val="3074611A"/>
    <w:rsid w:val="31995ACD"/>
    <w:rsid w:val="319E2CD7"/>
    <w:rsid w:val="319F7F4E"/>
    <w:rsid w:val="31AE0011"/>
    <w:rsid w:val="31C36410"/>
    <w:rsid w:val="323B2146"/>
    <w:rsid w:val="324D35C8"/>
    <w:rsid w:val="32780CA4"/>
    <w:rsid w:val="32B1627D"/>
    <w:rsid w:val="32B83797"/>
    <w:rsid w:val="3325523E"/>
    <w:rsid w:val="333F7A14"/>
    <w:rsid w:val="33510202"/>
    <w:rsid w:val="338540F7"/>
    <w:rsid w:val="33BD0805"/>
    <w:rsid w:val="33E81312"/>
    <w:rsid w:val="33FF492E"/>
    <w:rsid w:val="34081E2C"/>
    <w:rsid w:val="34324847"/>
    <w:rsid w:val="34C927BF"/>
    <w:rsid w:val="35176998"/>
    <w:rsid w:val="353A66E5"/>
    <w:rsid w:val="355703EC"/>
    <w:rsid w:val="357420C2"/>
    <w:rsid w:val="358038B4"/>
    <w:rsid w:val="358E4C71"/>
    <w:rsid w:val="35B93610"/>
    <w:rsid w:val="363F4473"/>
    <w:rsid w:val="373A748C"/>
    <w:rsid w:val="37E82428"/>
    <w:rsid w:val="37ED4107"/>
    <w:rsid w:val="380D5685"/>
    <w:rsid w:val="38183972"/>
    <w:rsid w:val="383C09C6"/>
    <w:rsid w:val="38504871"/>
    <w:rsid w:val="385C6972"/>
    <w:rsid w:val="38733B2C"/>
    <w:rsid w:val="3875122D"/>
    <w:rsid w:val="38962D9B"/>
    <w:rsid w:val="38D356E1"/>
    <w:rsid w:val="39006985"/>
    <w:rsid w:val="39157171"/>
    <w:rsid w:val="392B222A"/>
    <w:rsid w:val="395C4A66"/>
    <w:rsid w:val="399A1116"/>
    <w:rsid w:val="39CE38A0"/>
    <w:rsid w:val="39EC2AE2"/>
    <w:rsid w:val="3A0D3941"/>
    <w:rsid w:val="3AA34D2C"/>
    <w:rsid w:val="3ABE56C2"/>
    <w:rsid w:val="3ACC4283"/>
    <w:rsid w:val="3AD16E8E"/>
    <w:rsid w:val="3B453CE0"/>
    <w:rsid w:val="3B4A3A57"/>
    <w:rsid w:val="3B516ED3"/>
    <w:rsid w:val="3B7C4A18"/>
    <w:rsid w:val="3B950B19"/>
    <w:rsid w:val="3BB10D7F"/>
    <w:rsid w:val="3BBB11DD"/>
    <w:rsid w:val="3BF6614B"/>
    <w:rsid w:val="3C50305A"/>
    <w:rsid w:val="3C9C7C85"/>
    <w:rsid w:val="3CDF42E1"/>
    <w:rsid w:val="3D3B749E"/>
    <w:rsid w:val="3D51281E"/>
    <w:rsid w:val="3DAB2D26"/>
    <w:rsid w:val="3DB078DC"/>
    <w:rsid w:val="3E295232"/>
    <w:rsid w:val="3E392E1F"/>
    <w:rsid w:val="3E704F26"/>
    <w:rsid w:val="3EAA4128"/>
    <w:rsid w:val="3EC63398"/>
    <w:rsid w:val="3EDC7F63"/>
    <w:rsid w:val="3F0D7702"/>
    <w:rsid w:val="3F0E2D14"/>
    <w:rsid w:val="3F121D5C"/>
    <w:rsid w:val="3F28688E"/>
    <w:rsid w:val="3F724D27"/>
    <w:rsid w:val="3F9343EA"/>
    <w:rsid w:val="3FA346BA"/>
    <w:rsid w:val="3FA806EF"/>
    <w:rsid w:val="3FFF22C1"/>
    <w:rsid w:val="40354D62"/>
    <w:rsid w:val="408956BC"/>
    <w:rsid w:val="40A16AF0"/>
    <w:rsid w:val="40A8309D"/>
    <w:rsid w:val="40A869C3"/>
    <w:rsid w:val="40BC26A4"/>
    <w:rsid w:val="40C25C4C"/>
    <w:rsid w:val="40C413E4"/>
    <w:rsid w:val="41027D2D"/>
    <w:rsid w:val="41A05B22"/>
    <w:rsid w:val="41DB2FFE"/>
    <w:rsid w:val="41F92790"/>
    <w:rsid w:val="422F718C"/>
    <w:rsid w:val="425525EC"/>
    <w:rsid w:val="42C379CA"/>
    <w:rsid w:val="42DC6319"/>
    <w:rsid w:val="42E42E35"/>
    <w:rsid w:val="432307B8"/>
    <w:rsid w:val="43884ABF"/>
    <w:rsid w:val="43972A65"/>
    <w:rsid w:val="43A40AF2"/>
    <w:rsid w:val="43A44B49"/>
    <w:rsid w:val="43C43E33"/>
    <w:rsid w:val="441D0285"/>
    <w:rsid w:val="44234F0C"/>
    <w:rsid w:val="44692B43"/>
    <w:rsid w:val="447446DC"/>
    <w:rsid w:val="44B23B94"/>
    <w:rsid w:val="44C96F5B"/>
    <w:rsid w:val="45237DD7"/>
    <w:rsid w:val="452511BC"/>
    <w:rsid w:val="45450671"/>
    <w:rsid w:val="45785947"/>
    <w:rsid w:val="457E4BDC"/>
    <w:rsid w:val="459D1156"/>
    <w:rsid w:val="45AC70F8"/>
    <w:rsid w:val="461E51EB"/>
    <w:rsid w:val="46205A1C"/>
    <w:rsid w:val="462E5CBD"/>
    <w:rsid w:val="46431454"/>
    <w:rsid w:val="46A12D06"/>
    <w:rsid w:val="46D42F41"/>
    <w:rsid w:val="46EA1A6A"/>
    <w:rsid w:val="46F4219F"/>
    <w:rsid w:val="46FB0545"/>
    <w:rsid w:val="47180782"/>
    <w:rsid w:val="472368D5"/>
    <w:rsid w:val="47583C0B"/>
    <w:rsid w:val="477E0BCB"/>
    <w:rsid w:val="4784789F"/>
    <w:rsid w:val="47981D85"/>
    <w:rsid w:val="47D16223"/>
    <w:rsid w:val="480A39EC"/>
    <w:rsid w:val="48605C2F"/>
    <w:rsid w:val="489231E2"/>
    <w:rsid w:val="48A37CB9"/>
    <w:rsid w:val="48A91760"/>
    <w:rsid w:val="48FD2A6B"/>
    <w:rsid w:val="4911536C"/>
    <w:rsid w:val="49170DBF"/>
    <w:rsid w:val="493A6F33"/>
    <w:rsid w:val="494B199C"/>
    <w:rsid w:val="494C6483"/>
    <w:rsid w:val="49873FD4"/>
    <w:rsid w:val="49957F33"/>
    <w:rsid w:val="49AD415F"/>
    <w:rsid w:val="4A5D6CA6"/>
    <w:rsid w:val="4A8F7F6C"/>
    <w:rsid w:val="4AA42A6F"/>
    <w:rsid w:val="4AF261EB"/>
    <w:rsid w:val="4AF55663"/>
    <w:rsid w:val="4B0806A0"/>
    <w:rsid w:val="4B09497B"/>
    <w:rsid w:val="4B1233AB"/>
    <w:rsid w:val="4BE56489"/>
    <w:rsid w:val="4BF921FD"/>
    <w:rsid w:val="4CCC0113"/>
    <w:rsid w:val="4D023B34"/>
    <w:rsid w:val="4D1D3D0E"/>
    <w:rsid w:val="4D3C783F"/>
    <w:rsid w:val="4D467400"/>
    <w:rsid w:val="4D52686A"/>
    <w:rsid w:val="4D537916"/>
    <w:rsid w:val="4D686888"/>
    <w:rsid w:val="4D716E23"/>
    <w:rsid w:val="4D811DB6"/>
    <w:rsid w:val="4DA46784"/>
    <w:rsid w:val="4DAF7614"/>
    <w:rsid w:val="4DC36B23"/>
    <w:rsid w:val="4DD053B8"/>
    <w:rsid w:val="4DD358F5"/>
    <w:rsid w:val="4E53406F"/>
    <w:rsid w:val="4E75775C"/>
    <w:rsid w:val="4E7740AE"/>
    <w:rsid w:val="4E8D2C68"/>
    <w:rsid w:val="4E8E3200"/>
    <w:rsid w:val="4ECE2238"/>
    <w:rsid w:val="4F2E6DA8"/>
    <w:rsid w:val="4F512B57"/>
    <w:rsid w:val="4F870321"/>
    <w:rsid w:val="4F9A15C4"/>
    <w:rsid w:val="4FA23CB6"/>
    <w:rsid w:val="4FC2367C"/>
    <w:rsid w:val="4FC77E75"/>
    <w:rsid w:val="4FE87012"/>
    <w:rsid w:val="50190B4B"/>
    <w:rsid w:val="50270FD7"/>
    <w:rsid w:val="502913D8"/>
    <w:rsid w:val="50680E4F"/>
    <w:rsid w:val="50946536"/>
    <w:rsid w:val="50EB50F9"/>
    <w:rsid w:val="50F86206"/>
    <w:rsid w:val="50FA565C"/>
    <w:rsid w:val="510B4A30"/>
    <w:rsid w:val="5182346E"/>
    <w:rsid w:val="51874940"/>
    <w:rsid w:val="51D75253"/>
    <w:rsid w:val="51E33D82"/>
    <w:rsid w:val="51F30C7F"/>
    <w:rsid w:val="520A30CD"/>
    <w:rsid w:val="528172AA"/>
    <w:rsid w:val="528B1ED6"/>
    <w:rsid w:val="52CB6777"/>
    <w:rsid w:val="53221939"/>
    <w:rsid w:val="53414549"/>
    <w:rsid w:val="535820D6"/>
    <w:rsid w:val="535A6478"/>
    <w:rsid w:val="53B52847"/>
    <w:rsid w:val="53C077F9"/>
    <w:rsid w:val="540F3DD9"/>
    <w:rsid w:val="545A4256"/>
    <w:rsid w:val="547439F3"/>
    <w:rsid w:val="548B2706"/>
    <w:rsid w:val="54D56E3A"/>
    <w:rsid w:val="54EF43AE"/>
    <w:rsid w:val="552B4F59"/>
    <w:rsid w:val="553F7A36"/>
    <w:rsid w:val="55466588"/>
    <w:rsid w:val="558B327F"/>
    <w:rsid w:val="56A9133E"/>
    <w:rsid w:val="56BA15D9"/>
    <w:rsid w:val="56D43325"/>
    <w:rsid w:val="573C520F"/>
    <w:rsid w:val="57723665"/>
    <w:rsid w:val="57AC3483"/>
    <w:rsid w:val="57AF2FA5"/>
    <w:rsid w:val="57E72C95"/>
    <w:rsid w:val="57F557BF"/>
    <w:rsid w:val="58412230"/>
    <w:rsid w:val="58450F24"/>
    <w:rsid w:val="584C35F4"/>
    <w:rsid w:val="58DA6810"/>
    <w:rsid w:val="5925685D"/>
    <w:rsid w:val="596C4BCA"/>
    <w:rsid w:val="599533A0"/>
    <w:rsid w:val="59AB414C"/>
    <w:rsid w:val="59B52E52"/>
    <w:rsid w:val="5A217222"/>
    <w:rsid w:val="5A3B68D8"/>
    <w:rsid w:val="5A431F29"/>
    <w:rsid w:val="5A7D0C9E"/>
    <w:rsid w:val="5A7D17FA"/>
    <w:rsid w:val="5B406E80"/>
    <w:rsid w:val="5B5041DA"/>
    <w:rsid w:val="5B710B61"/>
    <w:rsid w:val="5BCF72D8"/>
    <w:rsid w:val="5C365DE8"/>
    <w:rsid w:val="5C5C0E94"/>
    <w:rsid w:val="5CB53286"/>
    <w:rsid w:val="5CCE1C4B"/>
    <w:rsid w:val="5D6174AE"/>
    <w:rsid w:val="5D641CA2"/>
    <w:rsid w:val="5D650ECF"/>
    <w:rsid w:val="5DCB16D1"/>
    <w:rsid w:val="5DD70741"/>
    <w:rsid w:val="5DE043CB"/>
    <w:rsid w:val="5DEF6039"/>
    <w:rsid w:val="5EBE2EAC"/>
    <w:rsid w:val="5F5147D9"/>
    <w:rsid w:val="5F8C756F"/>
    <w:rsid w:val="5FC01380"/>
    <w:rsid w:val="5FE813E6"/>
    <w:rsid w:val="60275089"/>
    <w:rsid w:val="60395667"/>
    <w:rsid w:val="604274B3"/>
    <w:rsid w:val="604D13E6"/>
    <w:rsid w:val="605167F3"/>
    <w:rsid w:val="60564992"/>
    <w:rsid w:val="60693120"/>
    <w:rsid w:val="60A92A74"/>
    <w:rsid w:val="60B13450"/>
    <w:rsid w:val="61555792"/>
    <w:rsid w:val="61A42FB4"/>
    <w:rsid w:val="61D47012"/>
    <w:rsid w:val="62013395"/>
    <w:rsid w:val="623065F6"/>
    <w:rsid w:val="628A1536"/>
    <w:rsid w:val="62B036B9"/>
    <w:rsid w:val="62F923BA"/>
    <w:rsid w:val="63261838"/>
    <w:rsid w:val="63B53257"/>
    <w:rsid w:val="63B76FCF"/>
    <w:rsid w:val="63B86BA8"/>
    <w:rsid w:val="63FA3360"/>
    <w:rsid w:val="64352859"/>
    <w:rsid w:val="644A59CD"/>
    <w:rsid w:val="646D768E"/>
    <w:rsid w:val="65145F42"/>
    <w:rsid w:val="65660FC7"/>
    <w:rsid w:val="65B75E9B"/>
    <w:rsid w:val="65CE23AE"/>
    <w:rsid w:val="66196DB3"/>
    <w:rsid w:val="66445ECB"/>
    <w:rsid w:val="665A458E"/>
    <w:rsid w:val="667473F9"/>
    <w:rsid w:val="667E6920"/>
    <w:rsid w:val="66AD290B"/>
    <w:rsid w:val="68262975"/>
    <w:rsid w:val="683B02F3"/>
    <w:rsid w:val="68480F25"/>
    <w:rsid w:val="6891670B"/>
    <w:rsid w:val="68D6620B"/>
    <w:rsid w:val="68FE7BE3"/>
    <w:rsid w:val="69061A04"/>
    <w:rsid w:val="691255B7"/>
    <w:rsid w:val="69A741AE"/>
    <w:rsid w:val="69B824A3"/>
    <w:rsid w:val="69D56401"/>
    <w:rsid w:val="6A10776F"/>
    <w:rsid w:val="6A331379"/>
    <w:rsid w:val="6A4A73F1"/>
    <w:rsid w:val="6A4B702A"/>
    <w:rsid w:val="6B0E006D"/>
    <w:rsid w:val="6B20771E"/>
    <w:rsid w:val="6B515E39"/>
    <w:rsid w:val="6B57365C"/>
    <w:rsid w:val="6B713F07"/>
    <w:rsid w:val="6B856289"/>
    <w:rsid w:val="6BB04C80"/>
    <w:rsid w:val="6BC93D43"/>
    <w:rsid w:val="6BE446D9"/>
    <w:rsid w:val="6C3E2962"/>
    <w:rsid w:val="6C433A6D"/>
    <w:rsid w:val="6C5C5F78"/>
    <w:rsid w:val="6CB73265"/>
    <w:rsid w:val="6CCA346B"/>
    <w:rsid w:val="6CED1CB3"/>
    <w:rsid w:val="6D1B05CF"/>
    <w:rsid w:val="6D1D339B"/>
    <w:rsid w:val="6D212C33"/>
    <w:rsid w:val="6D324AEB"/>
    <w:rsid w:val="6D620DC0"/>
    <w:rsid w:val="6DC103D0"/>
    <w:rsid w:val="6DC906C8"/>
    <w:rsid w:val="6DFB0400"/>
    <w:rsid w:val="6E0911EF"/>
    <w:rsid w:val="6E1B1AB5"/>
    <w:rsid w:val="6E1E1852"/>
    <w:rsid w:val="6E4A3CC4"/>
    <w:rsid w:val="6E86028D"/>
    <w:rsid w:val="6EA24FCD"/>
    <w:rsid w:val="6EAC5B57"/>
    <w:rsid w:val="6EB270DE"/>
    <w:rsid w:val="6EC55C96"/>
    <w:rsid w:val="6EC95E08"/>
    <w:rsid w:val="6EE13152"/>
    <w:rsid w:val="6F0B72DE"/>
    <w:rsid w:val="6F4C34C4"/>
    <w:rsid w:val="6F6F4C02"/>
    <w:rsid w:val="707D1F53"/>
    <w:rsid w:val="70B27B07"/>
    <w:rsid w:val="70CD26F2"/>
    <w:rsid w:val="70EC5D65"/>
    <w:rsid w:val="70EF6DAB"/>
    <w:rsid w:val="7120613B"/>
    <w:rsid w:val="715536F4"/>
    <w:rsid w:val="715D5C0A"/>
    <w:rsid w:val="72080CCE"/>
    <w:rsid w:val="72296D6F"/>
    <w:rsid w:val="72635898"/>
    <w:rsid w:val="72734D90"/>
    <w:rsid w:val="7278765C"/>
    <w:rsid w:val="728B750F"/>
    <w:rsid w:val="72985B0B"/>
    <w:rsid w:val="72D91A22"/>
    <w:rsid w:val="730B5700"/>
    <w:rsid w:val="73365490"/>
    <w:rsid w:val="73612AB3"/>
    <w:rsid w:val="73C556D5"/>
    <w:rsid w:val="74A013B9"/>
    <w:rsid w:val="74F0120D"/>
    <w:rsid w:val="750924BF"/>
    <w:rsid w:val="75121B9E"/>
    <w:rsid w:val="75194C26"/>
    <w:rsid w:val="759A5F7F"/>
    <w:rsid w:val="75E53469"/>
    <w:rsid w:val="765B1A3C"/>
    <w:rsid w:val="7684402D"/>
    <w:rsid w:val="769D02A6"/>
    <w:rsid w:val="76C57BCB"/>
    <w:rsid w:val="76DD4F9D"/>
    <w:rsid w:val="76E13E20"/>
    <w:rsid w:val="76E23F0B"/>
    <w:rsid w:val="76FE529F"/>
    <w:rsid w:val="76FF4F45"/>
    <w:rsid w:val="778200FD"/>
    <w:rsid w:val="77BD3311"/>
    <w:rsid w:val="77F371A7"/>
    <w:rsid w:val="782E0EE0"/>
    <w:rsid w:val="788B392A"/>
    <w:rsid w:val="78A821F8"/>
    <w:rsid w:val="79217ACA"/>
    <w:rsid w:val="794136C1"/>
    <w:rsid w:val="795E40AC"/>
    <w:rsid w:val="79D27438"/>
    <w:rsid w:val="79D42883"/>
    <w:rsid w:val="79E26135"/>
    <w:rsid w:val="79E448DB"/>
    <w:rsid w:val="7A163075"/>
    <w:rsid w:val="7A405925"/>
    <w:rsid w:val="7A6842AE"/>
    <w:rsid w:val="7AEF572C"/>
    <w:rsid w:val="7B2D50CB"/>
    <w:rsid w:val="7B354232"/>
    <w:rsid w:val="7BAC1323"/>
    <w:rsid w:val="7BAE449F"/>
    <w:rsid w:val="7BF24BF0"/>
    <w:rsid w:val="7BF80854"/>
    <w:rsid w:val="7C0A2122"/>
    <w:rsid w:val="7C3F4675"/>
    <w:rsid w:val="7CCD7160"/>
    <w:rsid w:val="7CFC77C1"/>
    <w:rsid w:val="7D0A74F5"/>
    <w:rsid w:val="7D3F2509"/>
    <w:rsid w:val="7D4639E6"/>
    <w:rsid w:val="7D4B1775"/>
    <w:rsid w:val="7D792545"/>
    <w:rsid w:val="7D9039C7"/>
    <w:rsid w:val="7DAD38C6"/>
    <w:rsid w:val="7DDB20F8"/>
    <w:rsid w:val="7DEB76A3"/>
    <w:rsid w:val="7DF25BBF"/>
    <w:rsid w:val="7DF63F6F"/>
    <w:rsid w:val="7DFF18CD"/>
    <w:rsid w:val="7E133F99"/>
    <w:rsid w:val="7E225047"/>
    <w:rsid w:val="7E2A5034"/>
    <w:rsid w:val="7E3A1560"/>
    <w:rsid w:val="7E5576B9"/>
    <w:rsid w:val="7E677CA0"/>
    <w:rsid w:val="7EAE3B07"/>
    <w:rsid w:val="7F3E6B5A"/>
    <w:rsid w:val="7F8F74D1"/>
    <w:rsid w:val="7F9D28E2"/>
    <w:rsid w:val="7FDE6CC3"/>
    <w:rsid w:val="7FEE0934"/>
    <w:rsid w:val="7FFC65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Theme="minorHAnsi"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unhideWhenUsed/>
    <w:qFormat/>
    <w:uiPriority w:val="99"/>
    <w:pPr>
      <w:ind w:firstLine="600" w:firstLineChars="0"/>
      <w:jc w:val="both"/>
    </w:pPr>
    <w:rPr>
      <w:kern w:val="2"/>
      <w:sz w:val="30"/>
      <w:szCs w:val="24"/>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6"/>
    <w:qFormat/>
    <w:uiPriority w:val="99"/>
    <w:pPr>
      <w:ind w:firstLine="420" w:firstLineChars="200"/>
      <w:jc w:val="both"/>
    </w:pPr>
    <w:rPr>
      <w:rFonts w:ascii="Calibri" w:hAnsi="Calibri" w:eastAsia="宋体" w:cs="Times New Roman"/>
      <w:sz w:val="21"/>
      <w:szCs w:val="22"/>
      <w:lang w:val="en-US" w:eastAsia="zh-CN" w:bidi="ar-SA"/>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2"/>
    <w:qFormat/>
    <w:uiPriority w:val="9"/>
    <w:rPr>
      <w:rFonts w:ascii="Times New Roman" w:hAnsi="Times New Roman"/>
      <w:b/>
      <w:bCs/>
      <w:kern w:val="44"/>
      <w:sz w:val="44"/>
      <w:szCs w:val="44"/>
    </w:rPr>
  </w:style>
  <w:style w:type="character" w:customStyle="1" w:styleId="29">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8"/>
    <w:semiHidden/>
    <w:qFormat/>
    <w:uiPriority w:val="99"/>
    <w:rPr>
      <w:rFonts w:ascii="Times New Roman" w:hAnsi="Times New Roman"/>
      <w:kern w:val="2"/>
      <w:sz w:val="18"/>
      <w:szCs w:val="18"/>
    </w:rPr>
  </w:style>
  <w:style w:type="character" w:customStyle="1" w:styleId="32">
    <w:name w:val="标题 3 字符"/>
    <w:basedOn w:val="17"/>
    <w:link w:val="4"/>
    <w:qFormat/>
    <w:uiPriority w:val="9"/>
    <w:rPr>
      <w:rFonts w:ascii="Times New Roman" w:hAnsi="Times New Roman"/>
      <w:b/>
      <w:bCs/>
      <w:kern w:val="2"/>
      <w:sz w:val="32"/>
      <w:szCs w:val="32"/>
    </w:rPr>
  </w:style>
  <w:style w:type="paragraph" w:customStyle="1" w:styleId="3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2&#24180;&#20915;&#31639;&#20844;&#24320;\&#20915;&#31639;&#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5105;&#30340;&#25991;&#26723;\WeChat%20Files\wxid_o0yv7h005sc822\FileStorage\File\2023-10\&#20915;&#31639;&#22270;.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Administrator\Desktop\2022&#24180;&#20915;&#31639;&#20844;&#24320;\&#20915;&#31639;&#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2&#24180;&#20915;&#31639;&#20844;&#24320;\&#20915;&#31639;&#22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2&#24180;&#20915;&#31639;&#20844;&#24320;\&#20915;&#31639;&#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5105;&#30340;&#25991;&#26723;\WeChat%20Files\wxid_o0yv7h005sc822\FileStorage\File\2023-10\&#20915;&#31639;&#2227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22&#24180;&#20915;&#31639;&#20844;&#24320;\&#20915;&#31639;&#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财政拨款收、支决算总计变动情况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00459317585302"/>
          <c:y val="0.03125"/>
        </c:manualLayout>
      </c:layout>
      <c:overlay val="0"/>
      <c:spPr>
        <a:noFill/>
        <a:ln>
          <a:noFill/>
        </a:ln>
        <a:effectLst/>
      </c:spPr>
    </c:title>
    <c:autoTitleDeleted val="0"/>
    <c:plotArea>
      <c:layout/>
      <c:barChart>
        <c:barDir val="col"/>
        <c:grouping val="clustered"/>
        <c:varyColors val="0"/>
        <c:ser>
          <c:idx val="0"/>
          <c:order val="0"/>
          <c:tx>
            <c:strRef>
              <c:f>'[决算图.xlsx]Sheet2 (2)'!$B$1:$B$2</c:f>
              <c:strCache>
                <c:ptCount val="1"/>
                <c:pt idx="0">
                  <c:v>财政拨款收、支决算总计变动情况 金额（万元）</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'[决算图.xlsx]Sheet2 (2)'!$A$3:$A$4</c:f>
              <c:strCache>
                <c:ptCount val="2"/>
                <c:pt idx="0">
                  <c:v>2022年</c:v>
                </c:pt>
                <c:pt idx="1">
                  <c:v>2023年</c:v>
                </c:pt>
              </c:strCache>
            </c:strRef>
          </c:cat>
          <c:val>
            <c:numRef>
              <c:f>'[决算图.xlsx]Sheet2 (2)'!$B$3:$B$4</c:f>
              <c:numCache>
                <c:formatCode>General</c:formatCode>
                <c:ptCount val="2"/>
                <c:pt idx="0">
                  <c:v>321.37</c:v>
                </c:pt>
                <c:pt idx="1">
                  <c:v>261.74</c:v>
                </c:pt>
              </c:numCache>
            </c:numRef>
          </c:val>
        </c:ser>
        <c:dLbls>
          <c:showLegendKey val="0"/>
          <c:showVal val="1"/>
          <c:showCatName val="0"/>
          <c:showSerName val="0"/>
          <c:showPercent val="0"/>
          <c:showBubbleSize val="0"/>
        </c:dLbls>
        <c:gapWidth val="219"/>
        <c:overlap val="-27"/>
        <c:axId val="186997084"/>
        <c:axId val="575732710"/>
      </c:barChart>
      <c:catAx>
        <c:axId val="186997084"/>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时间</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517562992125984"/>
              <c:y val="0.774839603382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5732710"/>
        <c:crosses val="autoZero"/>
        <c:auto val="1"/>
        <c:lblAlgn val="ctr"/>
        <c:lblOffset val="100"/>
        <c:noMultiLvlLbl val="0"/>
      </c:catAx>
      <c:valAx>
        <c:axId val="57573271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金额（万元）</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0263888888888889"/>
              <c:y val="0.286575714494022"/>
            </c:manualLayout>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997084"/>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6e2977-0e56-43d2-9f45-a788c48c39a7}"/>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收入决算结构图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[决算图.xlsx]Sheet3!$B$1:$B$2</c:f>
              <c:strCache>
                <c:ptCount val="1"/>
                <c:pt idx="0">
                  <c:v>收入决算结构图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[决算图.xlsx]Sheet3!$A$3:$A$4</c:f>
              <c:strCache>
                <c:ptCount val="2"/>
                <c:pt idx="0">
                  <c:v>一般公共预算财政拨款收入</c:v>
                </c:pt>
                <c:pt idx="1">
                  <c:v>政府性基金预算财政拨款收入</c:v>
                </c:pt>
              </c:strCache>
            </c:strRef>
          </c:cat>
          <c:val>
            <c:numRef>
              <c:f>[决算图.xlsx]Sheet3!$B$3:$B$4</c:f>
              <c:numCache>
                <c:formatCode>0.00%</c:formatCode>
                <c:ptCount val="2"/>
                <c:pt idx="0">
                  <c:v>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b7ed2d-bcb0-4f65-895f-9e8edb1842ca}"/>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支出决算结构图 </a:t>
            </a:r>
          </a:p>
        </c:rich>
      </c:tx>
      <c:layout/>
      <c:overlay val="0"/>
      <c:spPr>
        <a:noFill/>
        <a:ln>
          <a:noFill/>
        </a:ln>
        <a:effectLst/>
      </c:spPr>
    </c:title>
    <c:autoTitleDeleted val="0"/>
    <c:plotArea>
      <c:layout/>
      <c:pieChart>
        <c:varyColors val="1"/>
        <c:ser>
          <c:idx val="0"/>
          <c:order val="0"/>
          <c:tx>
            <c:strRef>
              <c:f>[决算图.xlsx]Sheet4!$B$1:$B$2</c:f>
              <c:strCache>
                <c:ptCount val="1"/>
                <c:pt idx="0">
                  <c:v>支出决算结构图 占比</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50</a:t>
                    </a:r>
                    <a:r>
                      <a:rPr lang="en-US" altLang="zh-CN"/>
                      <a:t>.32</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49.68%</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[决算图.xlsx]Sheet4!$A$3:$A$4</c:f>
              <c:strCache>
                <c:ptCount val="2"/>
                <c:pt idx="0">
                  <c:v>基本支出</c:v>
                </c:pt>
                <c:pt idx="1">
                  <c:v>项目支出</c:v>
                </c:pt>
              </c:strCache>
            </c:strRef>
          </c:cat>
          <c:val>
            <c:numRef>
              <c:f>[决算图.xlsx]Sheet4!$B$3:$B$4</c:f>
              <c:numCache>
                <c:formatCode>0.00%</c:formatCode>
                <c:ptCount val="2"/>
                <c:pt idx="0">
                  <c:v>0.5032</c:v>
                </c:pt>
                <c:pt idx="1">
                  <c:v>0.4968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e5e7f9-82ba-4640-9a95-df5f592b0d73}"/>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财政拨款收、支决算总计变动情况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00459317585302"/>
          <c:y val="0.03125"/>
        </c:manualLayout>
      </c:layout>
      <c:overlay val="0"/>
      <c:spPr>
        <a:noFill/>
        <a:ln>
          <a:noFill/>
        </a:ln>
        <a:effectLst/>
      </c:spPr>
    </c:title>
    <c:autoTitleDeleted val="0"/>
    <c:plotArea>
      <c:layout/>
      <c:barChart>
        <c:barDir val="col"/>
        <c:grouping val="clustered"/>
        <c:varyColors val="0"/>
        <c:ser>
          <c:idx val="0"/>
          <c:order val="0"/>
          <c:tx>
            <c:strRef>
              <c:f>'[决算图.xlsx]Sheet2 (2)'!$B$1:$B$2</c:f>
              <c:strCache>
                <c:ptCount val="1"/>
                <c:pt idx="0">
                  <c:v>财政拨款收、支决算总计变动情况 金额（万元）</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'[决算图.xlsx]Sheet2 (2)'!$A$3:$A$4</c:f>
              <c:strCache>
                <c:ptCount val="2"/>
                <c:pt idx="0">
                  <c:v>2022年</c:v>
                </c:pt>
                <c:pt idx="1">
                  <c:v>2023年</c:v>
                </c:pt>
              </c:strCache>
            </c:strRef>
          </c:cat>
          <c:val>
            <c:numRef>
              <c:f>'[决算图.xlsx]Sheet2 (2)'!$B$3:$B$4</c:f>
              <c:numCache>
                <c:formatCode>General</c:formatCode>
                <c:ptCount val="2"/>
                <c:pt idx="0">
                  <c:v>321.37</c:v>
                </c:pt>
                <c:pt idx="1">
                  <c:v>261.74</c:v>
                </c:pt>
              </c:numCache>
            </c:numRef>
          </c:val>
        </c:ser>
        <c:dLbls>
          <c:showLegendKey val="0"/>
          <c:showVal val="1"/>
          <c:showCatName val="0"/>
          <c:showSerName val="0"/>
          <c:showPercent val="0"/>
          <c:showBubbleSize val="0"/>
        </c:dLbls>
        <c:gapWidth val="219"/>
        <c:overlap val="-27"/>
        <c:axId val="186997084"/>
        <c:axId val="575732710"/>
      </c:barChart>
      <c:catAx>
        <c:axId val="186997084"/>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时间</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517562992125984"/>
              <c:y val="0.774839603382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5732710"/>
        <c:crosses val="autoZero"/>
        <c:auto val="1"/>
        <c:lblAlgn val="ctr"/>
        <c:lblOffset val="100"/>
        <c:noMultiLvlLbl val="0"/>
      </c:catAx>
      <c:valAx>
        <c:axId val="57573271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rPr>
                  <a:t>金额（万元）</a:t>
                </a:r>
                <a:endParaRPr sz="1000" b="1" i="0" u="none" strike="noStrike" kern="1200" cap="none" normalizeH="0" baseline="0">
                  <a:solidFill>
                    <a:schemeClr val="tx1">
                      <a:lumMod val="65000"/>
                      <a:lumOff val="35000"/>
                    </a:schemeClr>
                  </a:solidFill>
                  <a:effectLst/>
                  <a:latin typeface="黑体" panose="02010609060101010101" charset="-122"/>
                  <a:ea typeface="黑体" panose="02010609060101010101" charset="-122"/>
                  <a:cs typeface="+mn-cs"/>
                </a:endParaRPr>
              </a:p>
            </c:rich>
          </c:tx>
          <c:layout>
            <c:manualLayout>
              <c:xMode val="edge"/>
              <c:yMode val="edge"/>
              <c:x val="0.0263888888888889"/>
              <c:y val="0.286575714494022"/>
            </c:manualLayout>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6997084"/>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e82fa6-d285-4df1-bcd9-1c8953edca2e}"/>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一般公共预算财政拨款支出决算变动情况</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'[决算图.xlsx]Sheet2 (3)'!$B$1:$B$2</c:f>
              <c:strCache>
                <c:ptCount val="1"/>
                <c:pt idx="0">
                  <c:v>一般公共预算财政拨款支出决算变动情况 金额（万元）</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'[决算图.xlsx]Sheet2 (3)'!$A$3:$A$4</c:f>
              <c:strCache>
                <c:ptCount val="2"/>
                <c:pt idx="0">
                  <c:v>2022年</c:v>
                </c:pt>
                <c:pt idx="1">
                  <c:v>2023年</c:v>
                </c:pt>
              </c:strCache>
            </c:strRef>
          </c:cat>
          <c:val>
            <c:numRef>
              <c:f>'[决算图.xlsx]Sheet2 (3)'!$B$3:$B$4</c:f>
              <c:numCache>
                <c:formatCode>General</c:formatCode>
                <c:ptCount val="2"/>
                <c:pt idx="0">
                  <c:v>321.37</c:v>
                </c:pt>
                <c:pt idx="1">
                  <c:v>261.74</c:v>
                </c:pt>
              </c:numCache>
            </c:numRef>
          </c:val>
        </c:ser>
        <c:dLbls>
          <c:showLegendKey val="0"/>
          <c:showVal val="1"/>
          <c:showCatName val="0"/>
          <c:showSerName val="0"/>
          <c:showPercent val="0"/>
          <c:showBubbleSize val="0"/>
        </c:dLbls>
        <c:gapWidth val="219"/>
        <c:overlap val="-27"/>
        <c:axId val="670413429"/>
        <c:axId val="622212665"/>
      </c:barChart>
      <c:catAx>
        <c:axId val="670413429"/>
        <c:scaling>
          <c:orientation val="minMax"/>
        </c:scaling>
        <c:delete val="0"/>
        <c:axPos val="b"/>
        <c:title>
          <c:tx>
            <c:rich>
              <a:bodyPr rot="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0" i="0" u="none" strike="noStrike" kern="1200" cap="none" normalizeH="0" baseline="0">
                    <a:solidFill>
                      <a:schemeClr val="tx1">
                        <a:lumMod val="65000"/>
                        <a:lumOff val="35000"/>
                      </a:schemeClr>
                    </a:solidFill>
                    <a:effectLst/>
                    <a:latin typeface="+mn-lt"/>
                    <a:ea typeface="+mn-ea"/>
                    <a:cs typeface="+mn-cs"/>
                  </a:rPr>
                  <a:t>时间</a:t>
                </a:r>
                <a:endParaRPr sz="1000" b="0" i="0" u="none" strike="noStrike" kern="1200" cap="none" normalizeH="0" baseline="0">
                  <a:solidFill>
                    <a:schemeClr val="tx1">
                      <a:lumMod val="65000"/>
                      <a:lumOff val="35000"/>
                    </a:schemeClr>
                  </a:solidFill>
                  <a:effectLst/>
                  <a:latin typeface="+mn-lt"/>
                  <a:ea typeface="+mn-ea"/>
                  <a:cs typeface="+mn-cs"/>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2212665"/>
        <c:crosses val="autoZero"/>
        <c:auto val="1"/>
        <c:lblAlgn val="ctr"/>
        <c:lblOffset val="100"/>
        <c:noMultiLvlLbl val="0"/>
      </c:catAx>
      <c:valAx>
        <c:axId val="622212665"/>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lgn="ctr" defTabSz="914400">
                  <a:defRPr lang="zh-CN" sz="1000" b="1" i="0" u="none" strike="noStrike" kern="1200" baseline="0">
                    <a:solidFill>
                      <a:schemeClr val="tx1">
                        <a:lumMod val="65000"/>
                        <a:lumOff val="35000"/>
                      </a:schemeClr>
                    </a:solidFill>
                    <a:latin typeface="+mn-lt"/>
                    <a:ea typeface="+mn-ea"/>
                    <a:cs typeface="+mn-cs"/>
                  </a:defRPr>
                </a:pPr>
                <a:r>
                  <a:rPr sz="1000" b="0" i="0" u="none" strike="noStrike" kern="1200" cap="none" normalizeH="0" baseline="0">
                    <a:solidFill>
                      <a:schemeClr val="tx1">
                        <a:lumMod val="65000"/>
                        <a:lumOff val="35000"/>
                      </a:schemeClr>
                    </a:solidFill>
                    <a:effectLst/>
                    <a:latin typeface="+mn-lt"/>
                    <a:ea typeface="+mn-ea"/>
                    <a:cs typeface="+mn-cs"/>
                  </a:rPr>
                  <a:t> 金额（万元）</a:t>
                </a:r>
                <a:endParaRPr sz="1000" b="0" i="0" u="none" strike="noStrike" kern="1200" cap="none" normalizeH="0" baseline="0">
                  <a:solidFill>
                    <a:schemeClr val="tx1">
                      <a:lumMod val="65000"/>
                      <a:lumOff val="35000"/>
                    </a:schemeClr>
                  </a:solidFill>
                  <a:effectLst/>
                  <a:latin typeface="+mn-lt"/>
                  <a:ea typeface="+mn-ea"/>
                  <a:cs typeface="+mn-cs"/>
                </a:endParaRPr>
              </a:p>
              <a:p>
                <a:pPr algn="ctr" defTabSz="914400">
                  <a:defRPr lang="zh-CN" sz="1000" b="1" i="0" u="none" strike="noStrike" kern="1200" baseline="0">
                    <a:solidFill>
                      <a:schemeClr val="tx1">
                        <a:lumMod val="65000"/>
                        <a:lumOff val="35000"/>
                      </a:schemeClr>
                    </a:solidFill>
                    <a:latin typeface="+mn-lt"/>
                    <a:ea typeface="+mn-ea"/>
                    <a:cs typeface="+mn-cs"/>
                  </a:defRPr>
                </a:pPr>
                <a:endParaRPr sz="1000" b="0" i="0" u="none" strike="noStrike" kern="1200" cap="none" normalizeH="0" baseline="0">
                  <a:solidFill>
                    <a:schemeClr val="tx1">
                      <a:lumMod val="65000"/>
                      <a:lumOff val="35000"/>
                    </a:schemeClr>
                  </a:solidFill>
                  <a:effectLst/>
                  <a:latin typeface="+mn-lt"/>
                  <a:ea typeface="+mn-ea"/>
                  <a:cs typeface="+mn-cs"/>
                </a:endParaRP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413429"/>
        <c:crosses val="autoZero"/>
        <c:crossBetween val="between"/>
      </c:valAx>
      <c:spPr>
        <a:noFill/>
        <a:ln>
          <a:noFill/>
        </a:ln>
        <a:effectLst/>
      </c:spPr>
    </c:plotArea>
    <c:plotVisOnly val="1"/>
    <c:dispBlanksAs val="gap"/>
    <c:showDLblsOverMax val="0"/>
    <c:extLst>
      <c:ext uri="{0b15fc19-7d7d-44ad-8c2d-2c3a37ce22c3}">
        <chartProps xmlns="https://web.wps.cn/et/2018/main" chartId="{8ab41176-6c9b-4d12-afff-dddf19d4a9a4}"/>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'[决算图.xlsx]Sheet3 (3)'!$B$1:$B$2</c:f>
              <c:strCache>
                <c:ptCount val="1"/>
                <c:pt idx="0">
                  <c:v>一般公共预算财政拨款支出决算结构 占比</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'[决算图.xlsx]Sheet3 (3)'!$A$3:$A$6</c:f>
              <c:strCache>
                <c:ptCount val="4"/>
                <c:pt idx="0">
                  <c:v>社会保障和就业（类）支出</c:v>
                </c:pt>
                <c:pt idx="1">
                  <c:v>卫生健康（类）支出</c:v>
                </c:pt>
                <c:pt idx="2">
                  <c:v>住房保障（类）支出</c:v>
                </c:pt>
                <c:pt idx="3">
                  <c:v>农林水（类）支出</c:v>
                </c:pt>
              </c:strCache>
            </c:strRef>
          </c:cat>
          <c:val>
            <c:numRef>
              <c:f>'[决算图.xlsx]Sheet3 (3)'!$B$3:$B$6</c:f>
              <c:numCache>
                <c:formatCode>0.00%</c:formatCode>
                <c:ptCount val="4"/>
                <c:pt idx="0">
                  <c:v>0.07121</c:v>
                </c:pt>
                <c:pt idx="1">
                  <c:v>0.019</c:v>
                </c:pt>
                <c:pt idx="2">
                  <c:v>0.0232</c:v>
                </c:pt>
                <c:pt idx="3">
                  <c:v>0.8866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25"/>
          <c:y val="0.7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0323e3-1212-4ed2-a138-20964861a0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“三公”经费财政拨款支出结构 </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tx>
            <c:strRef>
              <c:f>'[决算图.xlsx]Sheet3 (4)'!$B$1:$B$2</c:f>
              <c:strCache>
                <c:ptCount val="1"/>
                <c:pt idx="0">
                  <c:v>“三公”经费财政拨款支出结构 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330532212885154"/>
                  <c:y val="0.010783450704225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27335553536275"/>
                  <c:y val="0.013678387262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'[决算图.xlsx]Sheet3 (4)'!$A$3:$A$5</c:f>
              <c:strCache>
                <c:ptCount val="3"/>
                <c:pt idx="0">
                  <c:v>因公出国（境）费支出决算</c:v>
                </c:pt>
                <c:pt idx="1">
                  <c:v>公务用车购置及运行维护费支出决算</c:v>
                </c:pt>
                <c:pt idx="2">
                  <c:v>公务接待费支出决算</c:v>
                </c:pt>
              </c:strCache>
            </c:strRef>
          </c:cat>
          <c:val>
            <c:numRef>
              <c:f>'[决算图.xlsx]Sheet3 (4)'!$B$3:$B$5</c:f>
              <c:numCache>
                <c:formatCode>0.00%</c:formatCode>
                <c:ptCount val="3"/>
                <c:pt idx="0">
                  <c:v>0</c:v>
                </c:pt>
                <c:pt idx="1">
                  <c:v>0.9375</c:v>
                </c:pt>
                <c:pt idx="2">
                  <c:v>0.0635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86e864d-0dbb-41a9-af3e-effcf8d41158}"/>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9">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0.569736842105263</cdr:x>
      <cdr:y>0.565972222222222</cdr:y>
    </cdr:from>
    <cdr:to>
      <cdr:x>0.656578947368421</cdr:x>
      <cdr:y>0.670138888888889</cdr:y>
    </cdr:to>
    <cdr:sp>
      <cdr:nvSpPr>
        <cdr:cNvPr id="2" name="矩形 1"/>
        <cdr:cNvSpPr/>
      </cdr:nvSpPr>
      <cdr:spPr xmlns:a="http://schemas.openxmlformats.org/drawingml/2006/main">
        <a:xfrm xmlns:a="http://schemas.openxmlformats.org/drawingml/2006/main">
          <a:off x="2749550" y="1552575"/>
          <a:ext cx="419100" cy="2857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zh-CN" altLang="en-US"/>
        </a:p>
      </cdr:txBody>
    </cdr:sp>
  </cdr:relSizeAnchor>
  <cdr:relSizeAnchor xmlns:cdr="http://schemas.openxmlformats.org/drawingml/2006/chartDrawing">
    <cdr:from>
      <cdr:x>0.346710526315789</cdr:x>
      <cdr:y>0.572916666666667</cdr:y>
    </cdr:from>
    <cdr:to>
      <cdr:x>0.478947368421053</cdr:x>
      <cdr:y>0.670138888888889</cdr:y>
    </cdr:to>
    <cdr:sp>
      <cdr:nvSpPr>
        <cdr:cNvPr id="3" name="矩形 2"/>
        <cdr:cNvSpPr/>
      </cdr:nvSpPr>
      <cdr:spPr xmlns:a="http://schemas.openxmlformats.org/drawingml/2006/main">
        <a:xfrm xmlns:a="http://schemas.openxmlformats.org/drawingml/2006/main">
          <a:off x="1673225" y="1571625"/>
          <a:ext cx="638175" cy="26670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p>
          <a:endParaRPr lang="en-US" altLang="zh-CN"/>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48</Pages>
  <Words>11722</Words>
  <Characters>13099</Characters>
  <Lines>61</Lines>
  <Paragraphs>17</Paragraphs>
  <TotalTime>3</TotalTime>
  <ScaleCrop>false</ScaleCrop>
  <LinksUpToDate>false</LinksUpToDate>
  <CharactersWithSpaces>13166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*_*</cp:lastModifiedBy>
  <cp:lastPrinted>2024-10-12T06:31:00Z</cp:lastPrinted>
  <dcterms:modified xsi:type="dcterms:W3CDTF">2025-05-12T07:57:06Z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6999DA5CF2D242E1829A61C1F0FE02F5</vt:lpwstr>
  </property>
  <property fmtid="{D5CDD505-2E9C-101B-9397-08002B2CF9AE}" pid="4" name="KSOTemplateDocerSaveRecord">
    <vt:lpwstr>eyJoZGlkIjoiNzVlMDY0MjQ1YzEwMjgyN2Q5NDhjNmNjNDU2Mjg4ODAiLCJ1c2VySWQiOiIzMTYzMTAxMTUifQ==</vt:lpwstr>
  </property>
</Properties>
</file>