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320331">
      <w:pPr>
        <w:spacing w:line="600" w:lineRule="exact"/>
        <w:jc w:val="center"/>
        <w:outlineLvl w:val="0"/>
        <w:rPr>
          <w:rFonts w:ascii="方正小标宋简体" w:hAnsi="宋体" w:eastAsia="方正小标宋简体"/>
          <w:color w:val="000000"/>
          <w:sz w:val="72"/>
          <w:szCs w:val="72"/>
        </w:rPr>
      </w:pPr>
      <w:bookmarkStart w:id="0" w:name="_Toc15306267"/>
    </w:p>
    <w:p w14:paraId="426C518C">
      <w:pPr>
        <w:spacing w:line="600" w:lineRule="exact"/>
        <w:jc w:val="center"/>
        <w:outlineLvl w:val="0"/>
        <w:rPr>
          <w:rFonts w:ascii="方正小标宋简体" w:hAnsi="宋体" w:eastAsia="方正小标宋简体"/>
          <w:color w:val="000000"/>
          <w:sz w:val="72"/>
          <w:szCs w:val="72"/>
        </w:rPr>
      </w:pPr>
    </w:p>
    <w:p w14:paraId="0EBCF842">
      <w:pPr>
        <w:spacing w:line="600" w:lineRule="exact"/>
        <w:jc w:val="center"/>
        <w:outlineLvl w:val="0"/>
        <w:rPr>
          <w:rFonts w:ascii="方正小标宋简体" w:hAnsi="宋体" w:eastAsia="方正小标宋简体"/>
          <w:color w:val="000000"/>
          <w:sz w:val="72"/>
          <w:szCs w:val="72"/>
        </w:rPr>
      </w:pPr>
    </w:p>
    <w:p w14:paraId="357DEB0B">
      <w:pPr>
        <w:jc w:val="center"/>
        <w:rPr>
          <w:rFonts w:ascii="黑体" w:hAnsi="黑体" w:eastAsia="黑体"/>
          <w:sz w:val="72"/>
          <w:szCs w:val="72"/>
        </w:rPr>
      </w:pPr>
      <w:bookmarkStart w:id="1" w:name="_Toc15378441"/>
      <w:bookmarkStart w:id="2" w:name="_Toc15396475"/>
      <w:bookmarkStart w:id="3" w:name="_Toc15396597"/>
      <w:bookmarkStart w:id="4" w:name="_Toc15377193"/>
      <w:bookmarkStart w:id="5" w:name="_Toc15377425"/>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14:paraId="053D5736">
      <w:pPr>
        <w:jc w:val="center"/>
        <w:rPr>
          <w:rFonts w:hint="eastAsia" w:ascii="黑体" w:hAnsi="黑体" w:eastAsia="黑体"/>
          <w:sz w:val="72"/>
          <w:szCs w:val="72"/>
        </w:rPr>
      </w:pPr>
      <w:bookmarkStart w:id="6" w:name="_Toc15378442"/>
      <w:bookmarkStart w:id="7" w:name="_Toc15396598"/>
      <w:bookmarkStart w:id="8" w:name="_Toc15396476"/>
      <w:bookmarkStart w:id="9" w:name="_Toc15377426"/>
      <w:bookmarkStart w:id="10" w:name="_Toc15377194"/>
      <w:r>
        <w:rPr>
          <w:rFonts w:hint="eastAsia" w:ascii="黑体" w:hAnsi="黑体" w:eastAsia="黑体"/>
          <w:sz w:val="72"/>
          <w:szCs w:val="72"/>
        </w:rPr>
        <w:t>四川省阿坝州</w:t>
      </w:r>
      <w:bookmarkEnd w:id="0"/>
      <w:bookmarkStart w:id="11" w:name="_Toc15306268"/>
      <w:r>
        <w:rPr>
          <w:rFonts w:hint="eastAsia" w:ascii="黑体" w:hAnsi="黑体" w:eastAsia="黑体"/>
          <w:sz w:val="72"/>
          <w:szCs w:val="72"/>
          <w:lang w:val="en-US" w:eastAsia="zh-CN"/>
        </w:rPr>
        <w:t>九寨沟县畜牧兽医服务中心</w:t>
      </w:r>
      <w:r>
        <w:rPr>
          <w:rFonts w:hint="eastAsia" w:ascii="黑体" w:hAnsi="黑体" w:eastAsia="黑体"/>
          <w:sz w:val="72"/>
          <w:szCs w:val="72"/>
        </w:rPr>
        <w:t>决算</w:t>
      </w:r>
      <w:bookmarkEnd w:id="6"/>
      <w:bookmarkEnd w:id="7"/>
      <w:bookmarkEnd w:id="8"/>
      <w:bookmarkEnd w:id="9"/>
      <w:bookmarkEnd w:id="10"/>
      <w:bookmarkEnd w:id="11"/>
    </w:p>
    <w:p w14:paraId="69D49623">
      <w:pPr>
        <w:widowControl/>
        <w:jc w:val="center"/>
        <w:rPr>
          <w:rFonts w:ascii="方正小标宋简体" w:hAnsi="宋体" w:eastAsia="方正小标宋简体"/>
          <w:color w:val="000000"/>
          <w:sz w:val="36"/>
          <w:szCs w:val="36"/>
        </w:rPr>
      </w:pPr>
    </w:p>
    <w:p w14:paraId="195FAEE8">
      <w:pPr>
        <w:rPr>
          <w:rFonts w:ascii="方正小标宋简体" w:hAnsi="宋体" w:eastAsia="方正小标宋简体"/>
          <w:sz w:val="36"/>
          <w:szCs w:val="36"/>
        </w:rPr>
      </w:pPr>
    </w:p>
    <w:p w14:paraId="0B22D964">
      <w:pPr>
        <w:rPr>
          <w:rFonts w:ascii="方正小标宋简体" w:hAnsi="宋体" w:eastAsia="方正小标宋简体"/>
          <w:sz w:val="36"/>
          <w:szCs w:val="36"/>
        </w:rPr>
      </w:pPr>
    </w:p>
    <w:p w14:paraId="7D357A6E">
      <w:pPr>
        <w:rPr>
          <w:rFonts w:ascii="方正小标宋简体" w:hAnsi="宋体" w:eastAsia="方正小标宋简体"/>
          <w:sz w:val="36"/>
          <w:szCs w:val="36"/>
        </w:rPr>
      </w:pPr>
    </w:p>
    <w:p w14:paraId="1674A341">
      <w:pPr>
        <w:rPr>
          <w:rFonts w:ascii="方正小标宋简体" w:hAnsi="宋体" w:eastAsia="方正小标宋简体"/>
          <w:sz w:val="36"/>
          <w:szCs w:val="36"/>
        </w:rPr>
      </w:pPr>
    </w:p>
    <w:p w14:paraId="6BE7ABC8">
      <w:pPr>
        <w:rPr>
          <w:rFonts w:ascii="方正小标宋简体" w:hAnsi="宋体" w:eastAsia="方正小标宋简体"/>
          <w:sz w:val="36"/>
          <w:szCs w:val="36"/>
        </w:rPr>
      </w:pPr>
    </w:p>
    <w:p w14:paraId="09207393">
      <w:pPr>
        <w:rPr>
          <w:rFonts w:ascii="方正小标宋简体" w:hAnsi="宋体" w:eastAsia="方正小标宋简体"/>
          <w:sz w:val="36"/>
          <w:szCs w:val="36"/>
        </w:rPr>
      </w:pPr>
    </w:p>
    <w:p w14:paraId="3163DC7F">
      <w:pPr>
        <w:rPr>
          <w:rFonts w:ascii="方正小标宋简体" w:hAnsi="宋体" w:eastAsia="方正小标宋简体"/>
          <w:sz w:val="36"/>
          <w:szCs w:val="36"/>
        </w:rPr>
      </w:pPr>
    </w:p>
    <w:p w14:paraId="33215537">
      <w:pPr>
        <w:rPr>
          <w:rFonts w:ascii="方正小标宋简体" w:hAnsi="宋体" w:eastAsia="方正小标宋简体"/>
          <w:sz w:val="36"/>
          <w:szCs w:val="36"/>
        </w:rPr>
      </w:pPr>
    </w:p>
    <w:p w14:paraId="6AE7B6C6">
      <w:pPr>
        <w:rPr>
          <w:rFonts w:ascii="方正小标宋简体" w:hAnsi="宋体" w:eastAsia="方正小标宋简体"/>
          <w:sz w:val="36"/>
          <w:szCs w:val="36"/>
        </w:rPr>
      </w:pPr>
    </w:p>
    <w:p w14:paraId="6BF2A716">
      <w:pPr>
        <w:pStyle w:val="2"/>
        <w:rPr>
          <w:rFonts w:ascii="方正小标宋简体" w:hAnsi="宋体" w:eastAsia="方正小标宋简体"/>
          <w:sz w:val="36"/>
          <w:szCs w:val="36"/>
        </w:rPr>
      </w:pPr>
    </w:p>
    <w:p w14:paraId="689EC4EC">
      <w:pPr>
        <w:pStyle w:val="2"/>
        <w:rPr>
          <w:rFonts w:ascii="方正小标宋简体" w:hAnsi="宋体" w:eastAsia="方正小标宋简体"/>
          <w:sz w:val="36"/>
          <w:szCs w:val="36"/>
        </w:rPr>
      </w:pPr>
    </w:p>
    <w:p w14:paraId="7EAB44DD">
      <w:pPr>
        <w:pStyle w:val="2"/>
        <w:rPr>
          <w:rFonts w:ascii="方正小标宋简体" w:hAnsi="宋体" w:eastAsia="方正小标宋简体"/>
          <w:sz w:val="36"/>
          <w:szCs w:val="36"/>
        </w:rPr>
      </w:pPr>
    </w:p>
    <w:p w14:paraId="45FEB368">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14:paraId="58423D0E">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14:paraId="72FCBF57">
      <w:pPr>
        <w:widowControl/>
        <w:jc w:val="center"/>
        <w:rPr>
          <w:rFonts w:ascii="方正小标宋简体" w:hAnsi="宋体" w:eastAsia="方正小标宋简体"/>
          <w:color w:val="000000"/>
          <w:sz w:val="36"/>
          <w:szCs w:val="36"/>
        </w:rPr>
      </w:pPr>
    </w:p>
    <w:p w14:paraId="3449EE8B">
      <w:pPr>
        <w:widowControl/>
        <w:jc w:val="center"/>
        <w:rPr>
          <w:rFonts w:ascii="黑体" w:hAnsi="黑体" w:eastAsia="黑体"/>
          <w:color w:val="000000"/>
          <w:sz w:val="48"/>
          <w:szCs w:val="48"/>
        </w:rPr>
      </w:pPr>
      <w:bookmarkStart w:id="152" w:name="_GoBack"/>
      <w:bookmarkEnd w:id="152"/>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560F048B">
      <w:pPr>
        <w:pStyle w:val="15"/>
        <w:jc w:val="center"/>
        <w:rPr>
          <w:rFonts w:hAnsiTheme="minorHAnsi"/>
          <w:b w:val="0"/>
          <w:bCs w:val="0"/>
          <w:sz w:val="24"/>
          <w:szCs w:val="24"/>
        </w:rPr>
      </w:pPr>
      <w:r>
        <w:rPr>
          <w:rFonts w:hint="eastAsia" w:hAnsiTheme="minorHAnsi"/>
          <w:b w:val="0"/>
          <w:bCs w:val="0"/>
          <w:sz w:val="24"/>
          <w:szCs w:val="24"/>
        </w:rPr>
        <w:t>公开时间：2021年</w:t>
      </w:r>
      <w:r>
        <w:rPr>
          <w:rFonts w:hint="eastAsia" w:hAnsiTheme="minorHAnsi"/>
          <w:b w:val="0"/>
          <w:bCs w:val="0"/>
          <w:sz w:val="24"/>
          <w:szCs w:val="24"/>
          <w:lang w:val="en-US" w:eastAsia="zh-CN"/>
        </w:rPr>
        <w:t>9</w:t>
      </w:r>
      <w:r>
        <w:rPr>
          <w:rFonts w:hint="eastAsia" w:hAnsiTheme="minorHAnsi"/>
          <w:b w:val="0"/>
          <w:bCs w:val="0"/>
          <w:sz w:val="24"/>
          <w:szCs w:val="24"/>
        </w:rPr>
        <w:t xml:space="preserve"> 月</w:t>
      </w:r>
      <w:r>
        <w:rPr>
          <w:rFonts w:hint="eastAsia" w:hAnsiTheme="minorHAnsi"/>
          <w:b w:val="0"/>
          <w:bCs w:val="0"/>
          <w:sz w:val="24"/>
          <w:szCs w:val="24"/>
          <w:lang w:val="en-US" w:eastAsia="zh-CN"/>
        </w:rPr>
        <w:t>15</w:t>
      </w:r>
      <w:r>
        <w:rPr>
          <w:rFonts w:hint="eastAsia" w:hAnsiTheme="minorHAnsi"/>
          <w:b w:val="0"/>
          <w:bCs w:val="0"/>
          <w:sz w:val="24"/>
          <w:szCs w:val="24"/>
        </w:rPr>
        <w:t xml:space="preserve"> 日</w:t>
      </w:r>
    </w:p>
    <w:p w14:paraId="422B8373">
      <w:pPr>
        <w:pStyle w:val="15"/>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4</w:t>
      </w:r>
      <w:r>
        <w:fldChar w:fldCharType="end"/>
      </w:r>
    </w:p>
    <w:p w14:paraId="08058DFE">
      <w:pPr>
        <w:pStyle w:val="19"/>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4</w:t>
      </w:r>
      <w:r>
        <w:fldChar w:fldCharType="end"/>
      </w:r>
    </w:p>
    <w:p w14:paraId="04C27C1B">
      <w:pPr>
        <w:pStyle w:val="10"/>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fldChar w:fldCharType="begin"/>
      </w:r>
      <w:r>
        <w:instrText xml:space="preserve"> PAGEREF _Toc79163853 \h </w:instrText>
      </w:r>
      <w:r>
        <w:fldChar w:fldCharType="separate"/>
      </w:r>
      <w:r>
        <w:t>4</w:t>
      </w:r>
      <w:r>
        <w:fldChar w:fldCharType="end"/>
      </w:r>
    </w:p>
    <w:p w14:paraId="6F9A0E6C">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Cs/>
          <w:color w:val="000000"/>
        </w:rPr>
        <w:t>（二）2020年重点工作完成情况。</w:t>
      </w:r>
      <w:r>
        <w:tab/>
      </w:r>
      <w:r>
        <w:rPr>
          <w:rFonts w:hint="eastAsia"/>
          <w:lang w:val="en-US" w:eastAsia="zh-CN"/>
        </w:rPr>
        <w:t>12</w:t>
      </w:r>
    </w:p>
    <w:p w14:paraId="4AC9CAC9">
      <w:pPr>
        <w:pStyle w:val="19"/>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lang w:val="en-US" w:eastAsia="zh-CN"/>
        </w:rPr>
        <w:t>21</w:t>
      </w:r>
    </w:p>
    <w:p w14:paraId="2BC2F125">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2020年度部门决算情况说明</w:t>
      </w:r>
      <w:r>
        <w:tab/>
      </w:r>
      <w:r>
        <w:rPr>
          <w:rFonts w:hint="eastAsia"/>
          <w:lang w:val="en-US" w:eastAsia="zh-CN"/>
        </w:rPr>
        <w:t>22</w:t>
      </w:r>
    </w:p>
    <w:p w14:paraId="7CBC314D">
      <w:pPr>
        <w:pStyle w:val="19"/>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22</w:t>
      </w:r>
    </w:p>
    <w:p w14:paraId="467E5EAB">
      <w:pPr>
        <w:pStyle w:val="19"/>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22</w:t>
      </w:r>
    </w:p>
    <w:p w14:paraId="0F4DEC34">
      <w:pPr>
        <w:pStyle w:val="19"/>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23</w:t>
      </w:r>
    </w:p>
    <w:p w14:paraId="58AF2721">
      <w:pPr>
        <w:pStyle w:val="19"/>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四、财</w:t>
      </w:r>
      <w:r>
        <w:rPr>
          <w:rFonts w:ascii="黑体" w:hAnsi="黑体" w:eastAsia="黑体"/>
          <w:bCs/>
        </w:rPr>
        <w:t>政拨款收入支出决算总体情况说明</w:t>
      </w:r>
      <w:r>
        <w:tab/>
      </w:r>
      <w:r>
        <w:rPr>
          <w:rFonts w:hint="eastAsia"/>
          <w:lang w:val="en-US" w:eastAsia="zh-CN"/>
        </w:rPr>
        <w:t>24</w:t>
      </w:r>
    </w:p>
    <w:p w14:paraId="2FC40E44">
      <w:pPr>
        <w:pStyle w:val="19"/>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lang w:val="en-US" w:eastAsia="zh-CN"/>
        </w:rPr>
        <w:t>24</w:t>
      </w:r>
    </w:p>
    <w:p w14:paraId="2434D5D7">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（一）一般公共预算财政拨款支出决算总体情况</w:t>
      </w:r>
      <w:r>
        <w:tab/>
      </w:r>
      <w:r>
        <w:rPr>
          <w:rFonts w:hint="eastAsia"/>
          <w:lang w:val="en-US" w:eastAsia="zh-CN"/>
        </w:rPr>
        <w:t>24</w:t>
      </w:r>
    </w:p>
    <w:p w14:paraId="65C99A3E">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（二）一般公共预算财政拨款支出决算结构情况</w:t>
      </w:r>
      <w:r>
        <w:tab/>
      </w:r>
      <w:r>
        <w:rPr>
          <w:rFonts w:hint="eastAsia"/>
          <w:lang w:val="en-US" w:eastAsia="zh-CN"/>
        </w:rPr>
        <w:t>25</w:t>
      </w:r>
    </w:p>
    <w:p w14:paraId="087BED2A">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（三）一般公共预算财政拨款支出决算具体情况</w:t>
      </w:r>
      <w:r>
        <w:tab/>
      </w:r>
      <w:r>
        <w:rPr>
          <w:rFonts w:hint="eastAsia"/>
          <w:lang w:val="en-US" w:eastAsia="zh-CN"/>
        </w:rPr>
        <w:t>26</w:t>
      </w:r>
    </w:p>
    <w:p w14:paraId="76B8539E">
      <w:pPr>
        <w:pStyle w:val="19"/>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lang w:val="en-US" w:eastAsia="zh-CN"/>
        </w:rPr>
        <w:t>27</w:t>
      </w:r>
    </w:p>
    <w:p w14:paraId="7D5ED8B3">
      <w:pPr>
        <w:pStyle w:val="19"/>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lang w:val="en-US" w:eastAsia="zh-CN"/>
        </w:rPr>
        <w:t>27</w:t>
      </w:r>
    </w:p>
    <w:p w14:paraId="44265684">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（一）“三公”经费财政拨款支出决算总体情况说明</w:t>
      </w:r>
      <w:r>
        <w:tab/>
      </w:r>
      <w:r>
        <w:rPr>
          <w:rFonts w:hint="eastAsia"/>
          <w:lang w:val="en-US" w:eastAsia="zh-CN"/>
        </w:rPr>
        <w:t>27</w:t>
      </w:r>
    </w:p>
    <w:p w14:paraId="064AD21E">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（二）“三公”经费财政拨款支出决算具体情况说明</w:t>
      </w:r>
      <w:r>
        <w:tab/>
      </w:r>
      <w:r>
        <w:rPr>
          <w:rFonts w:hint="eastAsia"/>
          <w:lang w:val="en-US" w:eastAsia="zh-CN"/>
        </w:rPr>
        <w:t>27</w:t>
      </w:r>
    </w:p>
    <w:p w14:paraId="41BE4B32">
      <w:pPr>
        <w:pStyle w:val="19"/>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八、</w:t>
      </w:r>
      <w:r>
        <w:rPr>
          <w:rFonts w:ascii="黑体" w:hAnsi="黑体" w:eastAsia="黑体"/>
          <w:bCs/>
        </w:rPr>
        <w:t>政府性基金预算支出决算情况说明</w:t>
      </w:r>
      <w:r>
        <w:tab/>
      </w:r>
      <w:r>
        <w:rPr>
          <w:rFonts w:hint="eastAsia"/>
          <w:lang w:val="en-US" w:eastAsia="zh-CN"/>
        </w:rPr>
        <w:t>28</w:t>
      </w:r>
    </w:p>
    <w:p w14:paraId="3B837511">
      <w:pPr>
        <w:pStyle w:val="19"/>
        <w:tabs>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九、 国有资本经营预算支出决算情况说明</w:t>
      </w:r>
      <w:r>
        <w:tab/>
      </w:r>
      <w:r>
        <w:rPr>
          <w:rFonts w:hint="eastAsia"/>
          <w:lang w:val="en-US" w:eastAsia="zh-CN"/>
        </w:rPr>
        <w:t>29</w:t>
      </w:r>
    </w:p>
    <w:p w14:paraId="0D2479E6">
      <w:pPr>
        <w:pStyle w:val="19"/>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rPr>
          <w:rFonts w:hint="eastAsia"/>
          <w:lang w:val="en-US" w:eastAsia="zh-CN"/>
        </w:rPr>
        <w:t>29</w:t>
      </w:r>
    </w:p>
    <w:p w14:paraId="2D2B455E">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（一）机关运行经费支出情况</w:t>
      </w:r>
      <w:r>
        <w:tab/>
      </w:r>
      <w:r>
        <w:rPr>
          <w:rFonts w:hint="eastAsia"/>
          <w:lang w:val="en-US" w:eastAsia="zh-CN"/>
        </w:rPr>
        <w:t>29</w:t>
      </w:r>
    </w:p>
    <w:p w14:paraId="6CB0EBCA">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（二）政府采购支出情况</w:t>
      </w:r>
      <w:r>
        <w:tab/>
      </w:r>
      <w:r>
        <w:rPr>
          <w:rFonts w:hint="eastAsia"/>
          <w:lang w:val="en-US" w:eastAsia="zh-CN"/>
        </w:rPr>
        <w:t>29</w:t>
      </w:r>
    </w:p>
    <w:p w14:paraId="7987A59B">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（三）国有资产占有使用情况</w:t>
      </w:r>
      <w:r>
        <w:tab/>
      </w:r>
      <w:r>
        <w:rPr>
          <w:rFonts w:hint="eastAsia"/>
          <w:lang w:val="en-US" w:eastAsia="zh-CN"/>
        </w:rPr>
        <w:t>29</w:t>
      </w:r>
    </w:p>
    <w:p w14:paraId="6D099A4C">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lang w:val="en-US" w:eastAsia="zh-CN"/>
        </w:rPr>
        <w:t>30</w:t>
      </w:r>
    </w:p>
    <w:p w14:paraId="72BC006B">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hint="eastAsia" w:ascii="黑体" w:hAnsi="黑体" w:eastAsia="黑体"/>
          <w:color w:val="000000"/>
          <w:lang w:val="en-US" w:eastAsia="zh-CN"/>
        </w:rPr>
        <w:t>四</w:t>
      </w:r>
      <w:r>
        <w:rPr>
          <w:rFonts w:ascii="黑体" w:hAnsi="黑体" w:eastAsia="黑体"/>
          <w:kern w:val="44"/>
        </w:rPr>
        <w:t>部分 附表</w:t>
      </w:r>
      <w:r>
        <w:tab/>
      </w:r>
      <w:r>
        <w:rPr>
          <w:rFonts w:hint="eastAsia"/>
          <w:lang w:val="en-US" w:eastAsia="zh-CN"/>
        </w:rPr>
        <w:t>33</w:t>
      </w:r>
    </w:p>
    <w:p w14:paraId="2755C788">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33</w:t>
      </w:r>
    </w:p>
    <w:p w14:paraId="01C3E91C">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33</w:t>
      </w:r>
    </w:p>
    <w:p w14:paraId="73B627F9">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33</w:t>
      </w:r>
    </w:p>
    <w:p w14:paraId="576C5C87">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33</w:t>
      </w:r>
    </w:p>
    <w:p w14:paraId="4AE264BC">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33</w:t>
      </w:r>
    </w:p>
    <w:p w14:paraId="18764768">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33</w:t>
      </w:r>
    </w:p>
    <w:p w14:paraId="10559BC4">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lang w:val="en-US" w:eastAsia="zh-CN"/>
        </w:rPr>
        <w:t>33</w:t>
      </w:r>
    </w:p>
    <w:p w14:paraId="1FDD17B2">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lang w:val="en-US" w:eastAsia="zh-CN"/>
        </w:rPr>
        <w:t>33</w:t>
      </w:r>
    </w:p>
    <w:p w14:paraId="494379EB">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lang w:val="en-US" w:eastAsia="zh-CN"/>
        </w:rPr>
        <w:t>33</w:t>
      </w:r>
    </w:p>
    <w:p w14:paraId="413B6024">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rPr>
          <w:rFonts w:hint="eastAsia"/>
          <w:lang w:val="en-US" w:eastAsia="zh-CN"/>
        </w:rPr>
        <w:t>33</w:t>
      </w:r>
    </w:p>
    <w:p w14:paraId="1C0D241F">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rPr>
          <w:rFonts w:hint="eastAsia"/>
          <w:lang w:val="en-US" w:eastAsia="zh-CN"/>
        </w:rPr>
        <w:t>33</w:t>
      </w:r>
    </w:p>
    <w:p w14:paraId="235E9B72">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rPr>
          <w:rFonts w:hint="eastAsia"/>
          <w:lang w:val="en-US" w:eastAsia="zh-CN"/>
        </w:rPr>
        <w:t>33</w:t>
      </w:r>
    </w:p>
    <w:p w14:paraId="13815229">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rPr>
          <w:rFonts w:hint="eastAsia"/>
          <w:lang w:val="en-US" w:eastAsia="zh-CN"/>
        </w:rPr>
        <w:t>33</w:t>
      </w:r>
    </w:p>
    <w:p w14:paraId="62AD8399">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十四、国有资本经营预算财政拨款支出决算表</w:t>
      </w:r>
      <w:r>
        <w:tab/>
      </w:r>
      <w:r>
        <w:rPr>
          <w:rFonts w:hint="eastAsia"/>
          <w:lang w:val="en-US" w:eastAsia="zh-CN"/>
        </w:rPr>
        <w:t>33</w:t>
      </w:r>
    </w:p>
    <w:p w14:paraId="5D5D2C6C">
      <w:r>
        <w:rPr>
          <w:rFonts w:asciiTheme="minorHAnsi" w:eastAsiaTheme="minorHAnsi"/>
          <w:b/>
          <w:bCs/>
          <w:caps/>
          <w:sz w:val="20"/>
          <w:szCs w:val="20"/>
        </w:rPr>
        <w:fldChar w:fldCharType="end"/>
      </w:r>
    </w:p>
    <w:p w14:paraId="5F0C6709">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14:paraId="0B971EC7">
      <w:pPr>
        <w:pStyle w:val="3"/>
        <w:jc w:val="center"/>
        <w:rPr>
          <w:rStyle w:val="27"/>
          <w:rFonts w:ascii="黑体" w:hAnsi="黑体" w:eastAsia="黑体"/>
          <w:b/>
          <w:bCs w:val="0"/>
        </w:rPr>
      </w:pPr>
      <w:bookmarkStart w:id="14" w:name="_Toc79163851"/>
      <w:bookmarkStart w:id="15" w:name="_Toc79163601"/>
      <w:r>
        <w:rPr>
          <w:rFonts w:hint="eastAsia" w:ascii="黑体" w:hAnsi="黑体" w:eastAsia="黑体"/>
          <w:b w:val="0"/>
        </w:rPr>
        <w:t>第一部分</w:t>
      </w:r>
      <w:r>
        <w:rPr>
          <w:rFonts w:ascii="黑体" w:hAnsi="黑体" w:eastAsia="黑体"/>
          <w:b w:val="0"/>
        </w:rPr>
        <w:t xml:space="preserve"> </w:t>
      </w:r>
      <w:r>
        <w:rPr>
          <w:rStyle w:val="27"/>
          <w:rFonts w:hint="eastAsia" w:ascii="黑体" w:hAnsi="黑体" w:eastAsia="黑体"/>
          <w:b w:val="0"/>
          <w:bCs w:val="0"/>
        </w:rPr>
        <w:t>部门概况</w:t>
      </w:r>
      <w:bookmarkEnd w:id="12"/>
      <w:bookmarkEnd w:id="13"/>
      <w:bookmarkEnd w:id="14"/>
      <w:bookmarkEnd w:id="15"/>
    </w:p>
    <w:p w14:paraId="5EF95028">
      <w:pPr>
        <w:widowControl/>
        <w:jc w:val="left"/>
        <w:rPr>
          <w:rFonts w:ascii="黑体" w:eastAsia="黑体"/>
          <w:color w:val="000000"/>
          <w:sz w:val="32"/>
          <w:szCs w:val="32"/>
        </w:rPr>
      </w:pPr>
    </w:p>
    <w:p w14:paraId="2BB819E8">
      <w:pPr>
        <w:pStyle w:val="4"/>
        <w:rPr>
          <w:rStyle w:val="28"/>
          <w:rFonts w:ascii="仿宋" w:hAnsi="仿宋" w:eastAsia="仿宋"/>
          <w:b w:val="0"/>
          <w:bCs w:val="0"/>
        </w:rPr>
      </w:pPr>
      <w:bookmarkStart w:id="16" w:name="_Toc15396600"/>
      <w:bookmarkStart w:id="17" w:name="_Toc79163852"/>
      <w:bookmarkStart w:id="18" w:name="_Toc15377197"/>
      <w:bookmarkStart w:id="19" w:name="_Toc79163602"/>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6"/>
      <w:bookmarkEnd w:id="17"/>
      <w:bookmarkEnd w:id="18"/>
      <w:bookmarkEnd w:id="19"/>
    </w:p>
    <w:p w14:paraId="650EB887">
      <w:pPr>
        <w:pStyle w:val="7"/>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603"/>
      <w:bookmarkStart w:id="21" w:name="_Toc79163853"/>
      <w:bookmarkStart w:id="22" w:name="_Toc15378445"/>
      <w:bookmarkStart w:id="23" w:name="_Toc15377198"/>
      <w:r>
        <w:rPr>
          <w:rFonts w:hint="eastAsia" w:ascii="仿宋" w:hAnsi="仿宋" w:eastAsia="仿宋"/>
          <w:bCs/>
          <w:color w:val="000000"/>
          <w:sz w:val="32"/>
          <w:szCs w:val="32"/>
        </w:rPr>
        <w:t>（一）主要职能。</w:t>
      </w:r>
      <w:bookmarkEnd w:id="20"/>
      <w:bookmarkEnd w:id="21"/>
    </w:p>
    <w:bookmarkEnd w:id="22"/>
    <w:bookmarkEnd w:id="23"/>
    <w:p w14:paraId="2F4B2CF5">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rPr>
        <w:t>贯彻执行有关创新驱动发展战略以及科技发展、引进国外智力规划和政策，拟订全县有关科技发展的政策措施并组织实施。统筹推进</w:t>
      </w:r>
      <w:r>
        <w:rPr>
          <w:rFonts w:hint="eastAsia" w:ascii="仿宋_GB2312" w:hAnsi="仿宋_GB2312" w:eastAsia="仿宋_GB2312" w:cs="仿宋_GB2312"/>
          <w:bCs/>
          <w:sz w:val="32"/>
          <w:szCs w:val="32"/>
          <w:lang w:eastAsia="zh-CN"/>
        </w:rPr>
        <w:t>全县优化科研体系建设，</w:t>
      </w:r>
      <w:r>
        <w:rPr>
          <w:rFonts w:hint="eastAsia" w:ascii="仿宋_GB2312" w:hAnsi="仿宋_GB2312" w:eastAsia="仿宋_GB2312" w:cs="仿宋_GB2312"/>
          <w:bCs/>
          <w:sz w:val="32"/>
          <w:szCs w:val="32"/>
        </w:rPr>
        <w:t>创新体系建设和科技体制改革，会同有关部门健全技术创新激励机制，推动企业科技创新能力建设，推进科技军民融合发展相关工作，推进</w:t>
      </w:r>
      <w:r>
        <w:rPr>
          <w:rFonts w:hint="eastAsia" w:ascii="仿宋_GB2312" w:hAnsi="仿宋_GB2312" w:eastAsia="仿宋_GB2312" w:cs="仿宋_GB2312"/>
          <w:bCs/>
          <w:sz w:val="32"/>
          <w:szCs w:val="32"/>
          <w:lang w:eastAsia="zh-CN"/>
        </w:rPr>
        <w:t>全县</w:t>
      </w:r>
      <w:r>
        <w:rPr>
          <w:rFonts w:hint="eastAsia" w:ascii="仿宋_GB2312" w:hAnsi="仿宋_GB2312" w:eastAsia="仿宋_GB2312" w:cs="仿宋_GB2312"/>
          <w:bCs/>
          <w:sz w:val="32"/>
          <w:szCs w:val="32"/>
        </w:rPr>
        <w:t>重大科技决策咨询制度建设。</w:t>
      </w:r>
    </w:p>
    <w:p w14:paraId="38D5684D">
      <w:pPr>
        <w:pStyle w:val="21"/>
        <w:shd w:val="clear" w:color="auto" w:fill="FFFFFF"/>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使用</w:t>
      </w:r>
      <w:r>
        <w:rPr>
          <w:rFonts w:hint="eastAsia" w:ascii="仿宋_GB2312" w:hAnsi="仿宋_GB2312" w:eastAsia="仿宋_GB2312" w:cs="仿宋_GB2312"/>
          <w:sz w:val="32"/>
          <w:szCs w:val="32"/>
        </w:rPr>
        <w:t>统一的科技管理平台和</w:t>
      </w:r>
      <w:r>
        <w:rPr>
          <w:rFonts w:hint="eastAsia" w:ascii="仿宋_GB2312" w:hAnsi="仿宋_GB2312" w:eastAsia="仿宋_GB2312" w:cs="仿宋_GB2312"/>
          <w:sz w:val="32"/>
          <w:szCs w:val="32"/>
          <w:lang w:eastAsia="zh-CN"/>
        </w:rPr>
        <w:t>建立</w:t>
      </w:r>
      <w:r>
        <w:rPr>
          <w:rFonts w:hint="eastAsia" w:ascii="仿宋_GB2312" w:hAnsi="仿宋_GB2312" w:eastAsia="仿宋_GB2312" w:cs="仿宋_GB2312"/>
          <w:sz w:val="32"/>
          <w:szCs w:val="32"/>
        </w:rPr>
        <w:t>科研项目资金协调、实施、评估、监管机制。会同有关部门提出优化配置科技资源的政策措施建议，推动多元化科技投入体系建设。拟订县级财政科技计划（专项、基金）并监督和实施。负责本部门预算中的科技经费预决算及经费使用的监督管理。组织实施</w:t>
      </w:r>
      <w:r>
        <w:rPr>
          <w:rFonts w:hint="eastAsia" w:ascii="仿宋_GB2312" w:hAnsi="仿宋_GB2312" w:eastAsia="仿宋_GB2312" w:cs="仿宋_GB2312"/>
          <w:sz w:val="32"/>
          <w:szCs w:val="32"/>
          <w:lang w:eastAsia="zh-CN"/>
        </w:rPr>
        <w:t>上级部门</w:t>
      </w:r>
      <w:r>
        <w:rPr>
          <w:rFonts w:hint="eastAsia" w:ascii="仿宋_GB2312" w:hAnsi="仿宋_GB2312" w:eastAsia="仿宋_GB2312" w:cs="仿宋_GB2312"/>
          <w:sz w:val="32"/>
          <w:szCs w:val="32"/>
        </w:rPr>
        <w:t>基础研究规划、政策和标准，组织协调</w:t>
      </w:r>
      <w:r>
        <w:rPr>
          <w:rFonts w:hint="eastAsia" w:ascii="仿宋_GB2312" w:hAnsi="仿宋_GB2312" w:eastAsia="仿宋_GB2312" w:cs="仿宋_GB2312"/>
          <w:sz w:val="32"/>
          <w:szCs w:val="32"/>
          <w:lang w:eastAsia="zh-CN"/>
        </w:rPr>
        <w:t>全县</w:t>
      </w:r>
      <w:r>
        <w:rPr>
          <w:rFonts w:hint="eastAsia" w:ascii="仿宋_GB2312" w:hAnsi="仿宋_GB2312" w:eastAsia="仿宋_GB2312" w:cs="仿宋_GB2312"/>
          <w:sz w:val="32"/>
          <w:szCs w:val="32"/>
        </w:rPr>
        <w:t>重大基础研究和应用基础研究。组织实施科技创新基地</w:t>
      </w:r>
      <w:r>
        <w:rPr>
          <w:rFonts w:hint="eastAsia" w:ascii="仿宋_GB2312" w:hAnsi="仿宋_GB2312" w:cs="仿宋_GB2312"/>
          <w:sz w:val="32"/>
          <w:szCs w:val="32"/>
        </w:rPr>
        <w:t>、</w:t>
      </w:r>
      <w:r>
        <w:rPr>
          <w:rFonts w:hint="eastAsia" w:ascii="仿宋_GB2312" w:hAnsi="仿宋_GB2312" w:eastAsia="仿宋_GB2312" w:cs="仿宋_GB2312"/>
          <w:sz w:val="32"/>
          <w:szCs w:val="32"/>
        </w:rPr>
        <w:t>科技基础设施建设规划。</w:t>
      </w:r>
      <w:r>
        <w:rPr>
          <w:rFonts w:hint="eastAsia" w:ascii="仿宋_GB2312" w:hAnsi="仿宋_GB2312" w:eastAsia="仿宋_GB2312" w:cs="仿宋_GB2312"/>
          <w:sz w:val="32"/>
          <w:szCs w:val="32"/>
          <w:lang w:eastAsia="zh-CN"/>
        </w:rPr>
        <w:t>参与编制科技基础设施建设规划和监督实施。</w:t>
      </w:r>
      <w:r>
        <w:rPr>
          <w:rFonts w:hint="eastAsia" w:ascii="仿宋_GB2312" w:hAnsi="仿宋_GB2312" w:eastAsia="仿宋_GB2312" w:cs="仿宋_GB2312"/>
          <w:sz w:val="32"/>
          <w:szCs w:val="32"/>
        </w:rPr>
        <w:t>推动科研条件保障建设和科技资源开放共享。</w:t>
      </w:r>
    </w:p>
    <w:p w14:paraId="59B1C338">
      <w:pPr>
        <w:pStyle w:val="21"/>
        <w:shd w:val="clear" w:color="auto" w:fill="FFFFFF"/>
        <w:adjustRightInd w:val="0"/>
        <w:snapToGrid w:val="0"/>
        <w:spacing w:before="0" w:beforeAutospacing="0" w:after="0" w:afterAutospacing="0" w:line="560" w:lineRule="exact"/>
        <w:ind w:firstLine="656"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lang w:val="en-US" w:eastAsia="zh-CN"/>
        </w:rPr>
        <w:t>3.</w:t>
      </w:r>
      <w:r>
        <w:rPr>
          <w:rFonts w:hint="eastAsia" w:ascii="仿宋_GB2312" w:hAnsi="仿宋_GB2312" w:eastAsia="仿宋_GB2312" w:cs="仿宋_GB2312"/>
          <w:spacing w:val="4"/>
          <w:sz w:val="32"/>
          <w:szCs w:val="32"/>
        </w:rPr>
        <w:t>组织实施</w:t>
      </w:r>
      <w:r>
        <w:rPr>
          <w:rFonts w:hint="eastAsia" w:ascii="仿宋_GB2312" w:hAnsi="仿宋_GB2312" w:eastAsia="仿宋_GB2312" w:cs="仿宋_GB2312"/>
          <w:spacing w:val="4"/>
          <w:sz w:val="32"/>
          <w:szCs w:val="32"/>
          <w:lang w:eastAsia="zh-CN"/>
        </w:rPr>
        <w:t>全县</w:t>
      </w:r>
      <w:r>
        <w:rPr>
          <w:rFonts w:hint="eastAsia" w:ascii="仿宋_GB2312" w:hAnsi="仿宋_GB2312" w:eastAsia="仿宋_GB2312" w:cs="仿宋_GB2312"/>
          <w:spacing w:val="4"/>
          <w:sz w:val="32"/>
          <w:szCs w:val="32"/>
        </w:rPr>
        <w:t>重大科技专项，组织参与国家、省、州重大科技专项。统筹关键共性技术、前沿引领技术、现代工程技术、颠覆性技术研发和创新，</w:t>
      </w:r>
      <w:r>
        <w:rPr>
          <w:rFonts w:hint="eastAsia" w:ascii="仿宋_GB2312" w:hAnsi="仿宋_GB2312" w:eastAsia="仿宋_GB2312" w:cs="仿宋_GB2312"/>
          <w:spacing w:val="4"/>
          <w:sz w:val="32"/>
          <w:szCs w:val="32"/>
          <w:lang w:eastAsia="zh-CN"/>
        </w:rPr>
        <w:t>牵头</w:t>
      </w:r>
      <w:r>
        <w:rPr>
          <w:rFonts w:hint="eastAsia" w:ascii="仿宋_GB2312" w:hAnsi="仿宋_GB2312" w:eastAsia="仿宋_GB2312" w:cs="仿宋_GB2312"/>
          <w:spacing w:val="4"/>
          <w:sz w:val="32"/>
          <w:szCs w:val="32"/>
        </w:rPr>
        <w:t>组织重大技术攻关和成果应用示范。</w:t>
      </w:r>
      <w:r>
        <w:rPr>
          <w:rFonts w:hint="eastAsia" w:ascii="仿宋_GB2312" w:hAnsi="仿宋_GB2312" w:eastAsia="仿宋_GB2312" w:cs="仿宋_GB2312"/>
          <w:sz w:val="32"/>
          <w:szCs w:val="32"/>
        </w:rPr>
        <w:t>组织实施高新技术发展及产业化、科技促进农业农村和社会发展的规划、政策和措施。</w:t>
      </w:r>
      <w:r>
        <w:rPr>
          <w:rFonts w:hint="eastAsia" w:ascii="仿宋_GB2312" w:hAnsi="仿宋_GB2312" w:eastAsia="仿宋_GB2312" w:cs="仿宋_GB2312"/>
          <w:color w:val="000000"/>
          <w:sz w:val="32"/>
          <w:szCs w:val="32"/>
        </w:rPr>
        <w:t>组织开展重点领域技术发展需求分析，提出重大任务并组织实施。组</w:t>
      </w:r>
      <w:r>
        <w:rPr>
          <w:rFonts w:hint="eastAsia" w:ascii="仿宋_GB2312" w:hAnsi="仿宋_GB2312" w:eastAsia="仿宋_GB2312" w:cs="仿宋_GB2312"/>
          <w:sz w:val="32"/>
          <w:szCs w:val="32"/>
        </w:rPr>
        <w:t>织实施技术转移体系建设</w:t>
      </w:r>
      <w:r>
        <w:rPr>
          <w:rFonts w:hint="eastAsia" w:ascii="仿宋_GB2312" w:hAnsi="仿宋_GB2312" w:cs="仿宋_GB2312"/>
          <w:sz w:val="32"/>
          <w:szCs w:val="32"/>
        </w:rPr>
        <w:t>、</w:t>
      </w:r>
      <w:r>
        <w:rPr>
          <w:rFonts w:hint="eastAsia" w:ascii="仿宋_GB2312" w:hAnsi="仿宋_GB2312" w:eastAsia="仿宋_GB2312" w:cs="仿宋_GB2312"/>
          <w:sz w:val="32"/>
          <w:szCs w:val="32"/>
        </w:rPr>
        <w:t>科技成果转移转化和促进产学研结合的相关政策措施。指导科技服务业、技术市场和科技中介组织发展。</w:t>
      </w:r>
    </w:p>
    <w:p w14:paraId="476E0350">
      <w:pPr>
        <w:pStyle w:val="21"/>
        <w:shd w:val="clear" w:color="auto" w:fill="FFFFFF"/>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统筹</w:t>
      </w:r>
      <w:r>
        <w:rPr>
          <w:rFonts w:hint="eastAsia" w:ascii="仿宋_GB2312" w:hAnsi="仿宋_GB2312" w:eastAsia="仿宋_GB2312" w:cs="仿宋_GB2312"/>
          <w:sz w:val="32"/>
          <w:szCs w:val="32"/>
          <w:lang w:eastAsia="zh-CN"/>
        </w:rPr>
        <w:t>全县</w:t>
      </w:r>
      <w:r>
        <w:rPr>
          <w:rFonts w:hint="eastAsia" w:ascii="仿宋_GB2312" w:hAnsi="仿宋_GB2312" w:eastAsia="仿宋_GB2312" w:cs="仿宋_GB2312"/>
          <w:sz w:val="32"/>
          <w:szCs w:val="32"/>
        </w:rPr>
        <w:t>科技创新体系建设，指导</w:t>
      </w:r>
      <w:r>
        <w:rPr>
          <w:rFonts w:hint="eastAsia" w:ascii="仿宋_GB2312" w:hAnsi="仿宋_GB2312" w:eastAsia="仿宋_GB2312" w:cs="仿宋_GB2312"/>
          <w:sz w:val="32"/>
          <w:szCs w:val="32"/>
          <w:lang w:eastAsia="zh-CN"/>
        </w:rPr>
        <w:t>全县</w:t>
      </w:r>
      <w:r>
        <w:rPr>
          <w:rFonts w:hint="eastAsia" w:ascii="仿宋_GB2312" w:hAnsi="仿宋_GB2312" w:eastAsia="仿宋_GB2312" w:cs="仿宋_GB2312"/>
          <w:sz w:val="32"/>
          <w:szCs w:val="32"/>
        </w:rPr>
        <w:t>创新发展、科技资源合理布局和协同创新能力建设，推动科技园区、科技小镇、科技平台建设。负责科技监督评价体系建设和相关科技评估管理，</w:t>
      </w:r>
      <w:r>
        <w:rPr>
          <w:rFonts w:hint="eastAsia" w:ascii="仿宋_GB2312" w:hAnsi="仿宋_GB2312" w:eastAsia="仿宋_GB2312" w:cs="仿宋_GB2312"/>
          <w:sz w:val="32"/>
          <w:szCs w:val="32"/>
          <w:lang w:eastAsia="zh-CN"/>
        </w:rPr>
        <w:t>牵头实施</w:t>
      </w:r>
      <w:r>
        <w:rPr>
          <w:rFonts w:hint="eastAsia" w:ascii="仿宋_GB2312" w:hAnsi="仿宋_GB2312" w:eastAsia="仿宋_GB2312" w:cs="仿宋_GB2312"/>
          <w:sz w:val="32"/>
          <w:szCs w:val="32"/>
        </w:rPr>
        <w:t>科技评价机制改革，统筹科研诚信建设。组织实施全县创新调查和科技报告制度，指导全县科技保密相关工作。拟订科技对外交往与创新能力开放合作的规划、政策和措施，组织开展国际科技合作与科技人才交流。指导相关部门对外科技合作与科技人才交流工作。</w:t>
      </w:r>
    </w:p>
    <w:p w14:paraId="1293D61E">
      <w:pPr>
        <w:pStyle w:val="21"/>
        <w:shd w:val="clear" w:color="auto" w:fill="FFFFFF"/>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负责引进国外智力工作，拟订全县重点引进外国专家总体规划、计划并组织实施，建立外国科学家、团队吸引集聚机制和外国专家联系服务机制。组织实施出国（境）培训总体规划、政策和年度计划。会同有关部门制定外国人来县工作政策、办理相关外国人工作许可。组织实施科学普及和科学传播规划、政策。负责科学技术奖</w:t>
      </w:r>
      <w:r>
        <w:rPr>
          <w:rFonts w:hint="eastAsia" w:ascii="仿宋_GB2312" w:hAnsi="仿宋_GB2312" w:eastAsia="仿宋_GB2312" w:cs="仿宋_GB2312"/>
          <w:sz w:val="32"/>
          <w:szCs w:val="32"/>
          <w:lang w:eastAsia="zh-CN"/>
        </w:rPr>
        <w:t>、天府友谊奖</w:t>
      </w:r>
      <w:r>
        <w:rPr>
          <w:rFonts w:hint="eastAsia" w:ascii="仿宋_GB2312" w:hAnsi="仿宋_GB2312" w:eastAsia="仿宋_GB2312" w:cs="仿宋_GB2312"/>
          <w:sz w:val="32"/>
          <w:szCs w:val="32"/>
        </w:rPr>
        <w:t>的申报。</w:t>
      </w:r>
    </w:p>
    <w:p w14:paraId="347B0648">
      <w:pPr>
        <w:spacing w:line="560" w:lineRule="exact"/>
        <w:ind w:firstLine="640" w:firstLineChars="200"/>
        <w:outlineLvl w:val="1"/>
        <w:rPr>
          <w:rFonts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rPr>
        <w:t>统筹研究和组织实施全县“三农”工作的发展战略、中长期规划、重大政策。</w:t>
      </w:r>
      <w:r>
        <w:rPr>
          <w:rFonts w:hint="eastAsia" w:ascii="仿宋_GB2312" w:hAnsi="仿宋_GB2312" w:eastAsia="仿宋_GB2312" w:cs="仿宋_GB2312"/>
          <w:bCs/>
          <w:sz w:val="32"/>
          <w:szCs w:val="32"/>
          <w:lang w:eastAsia="zh-CN"/>
        </w:rPr>
        <w:t>起草“三农”有关的规范性文件草案。</w:t>
      </w:r>
      <w:r>
        <w:rPr>
          <w:rFonts w:hint="eastAsia" w:ascii="仿宋_GB2312" w:hAnsi="仿宋_GB2312" w:eastAsia="仿宋_GB2312" w:cs="仿宋_GB2312"/>
          <w:bCs/>
          <w:sz w:val="32"/>
          <w:szCs w:val="32"/>
        </w:rPr>
        <w:t>贯彻执行国家有关种植业、畜牧业</w:t>
      </w:r>
      <w:r>
        <w:rPr>
          <w:rFonts w:hint="eastAsia" w:ascii="仿宋_GB2312" w:hAnsi="仿宋_GB2312" w:eastAsia="仿宋_GB2312" w:cs="仿宋_GB2312"/>
          <w:bCs/>
          <w:sz w:val="32"/>
          <w:szCs w:val="32"/>
          <w:lang w:eastAsia="zh-CN"/>
        </w:rPr>
        <w:t>（草原牧业）</w:t>
      </w:r>
      <w:r>
        <w:rPr>
          <w:rFonts w:hint="eastAsia" w:ascii="仿宋_GB2312" w:hAnsi="仿宋_GB2312" w:eastAsia="仿宋_GB2312" w:cs="仿宋_GB2312"/>
          <w:bCs/>
          <w:sz w:val="32"/>
          <w:szCs w:val="32"/>
        </w:rPr>
        <w:t>、渔业、农业机械化等农业领域工作的法律法规、政策以及省、州、县关于“三农”方面的决策部署。</w:t>
      </w:r>
      <w:r>
        <w:rPr>
          <w:rFonts w:hint="eastAsia" w:ascii="仿宋_GB2312" w:hAnsi="仿宋_GB2312" w:eastAsia="仿宋_GB2312" w:cs="仿宋_GB2312"/>
          <w:bCs/>
          <w:sz w:val="32"/>
          <w:szCs w:val="32"/>
          <w:lang w:eastAsia="zh-CN"/>
        </w:rPr>
        <w:t>参与涉农的财税、价格、收储、金融保险、进出口等政策制定。</w:t>
      </w:r>
      <w:r>
        <w:rPr>
          <w:rFonts w:hint="eastAsia" w:ascii="仿宋_GB2312" w:hAnsi="仿宋_GB2312" w:eastAsia="仿宋_GB2312" w:cs="仿宋_GB2312"/>
          <w:bCs/>
          <w:sz w:val="32"/>
          <w:szCs w:val="32"/>
        </w:rPr>
        <w:t xml:space="preserve">                            </w:t>
      </w:r>
    </w:p>
    <w:p w14:paraId="1E540345">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7.</w:t>
      </w:r>
      <w:r>
        <w:rPr>
          <w:rFonts w:hint="eastAsia" w:ascii="仿宋_GB2312" w:hAnsi="仿宋_GB2312" w:eastAsia="仿宋_GB2312" w:cs="仿宋_GB2312"/>
          <w:bCs/>
          <w:sz w:val="32"/>
          <w:szCs w:val="32"/>
        </w:rPr>
        <w:t>统筹实施乡村振兴战略，牵头组织改善全县农村人居环境。统筹推动发展农村社会事业、农村公共服务、农村文化、农村基础设施和乡村治理。指导农业遗产的保护传承和开发利用。指导农村精神文明和优秀农耕文化建设。</w:t>
      </w:r>
    </w:p>
    <w:p w14:paraId="355B070B">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拟订深化全县农村经济体制改革和巩固完善农村基本经营制度的政策措施。负责农民承包地、农村宅基地管理和改革有关工作。负责农村集体产权制度改革，指导农村集体经济组织发展、集体资产和财务管理工作。拟订农业产业化经营的发展规划与政策并组织实施，指导农民合作经济组织、农业社会化服务体系、新型农业经营主体建设与发展。指导、监督减轻农民负担工作。</w:t>
      </w:r>
    </w:p>
    <w:p w14:paraId="3FD72B27">
      <w:pPr>
        <w:spacing w:line="560" w:lineRule="exac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sz w:val="32"/>
          <w:szCs w:val="32"/>
        </w:rPr>
        <w:t>指导全县乡村特色产业、农产品加工业（产地初加工）、休闲农业和乡村涉农企业发展工作。开展特色农产品优势区建设和管理工作。组织拟订并实施现代农（牧）业园区的政策与规划，负责现代农业园区建设管理工作。</w:t>
      </w:r>
      <w:r>
        <w:rPr>
          <w:rFonts w:hint="eastAsia" w:ascii="仿宋_GB2312" w:hAnsi="仿宋_GB2312" w:eastAsia="仿宋_GB2312" w:cs="仿宋_GB2312"/>
          <w:bCs/>
          <w:sz w:val="32"/>
          <w:szCs w:val="32"/>
          <w:lang w:eastAsia="zh-CN"/>
        </w:rPr>
        <w:t>提出促进大宗农产品流通政策和主要农产品进口建议，研究制定大宗农产品市场体系建设与发展规划。</w:t>
      </w:r>
      <w:r>
        <w:rPr>
          <w:rFonts w:hint="eastAsia" w:ascii="仿宋_GB2312" w:hAnsi="仿宋_GB2312" w:eastAsia="仿宋_GB2312" w:cs="仿宋_GB2312"/>
          <w:bCs/>
          <w:sz w:val="32"/>
          <w:szCs w:val="32"/>
        </w:rPr>
        <w:t>培育、保护和发展农产品品牌</w:t>
      </w:r>
      <w:r>
        <w:rPr>
          <w:rFonts w:hint="eastAsia" w:ascii="仿宋_GB2312" w:hAnsi="仿宋_GB2312" w:eastAsia="仿宋_GB2312" w:cs="仿宋_GB2312"/>
          <w:bCs/>
          <w:sz w:val="32"/>
          <w:szCs w:val="32"/>
          <w:lang w:eastAsia="zh-CN"/>
        </w:rPr>
        <w:t>，组织协调“菜篮子”工程有关工作。</w:t>
      </w:r>
      <w:r>
        <w:rPr>
          <w:rFonts w:hint="eastAsia" w:ascii="仿宋_GB2312" w:hAnsi="仿宋_GB2312" w:eastAsia="仿宋_GB2312" w:cs="仿宋_GB2312"/>
          <w:bCs/>
          <w:sz w:val="32"/>
          <w:szCs w:val="32"/>
        </w:rPr>
        <w:t>负责农业信息体系建设，推动数字农业发展。发布农业农村经济信息，监测分析农业农村经济运行。承担农业统计工作。</w:t>
      </w:r>
    </w:p>
    <w:p w14:paraId="0598ADF7">
      <w:pPr>
        <w:pStyle w:val="21"/>
        <w:widowControl w:val="0"/>
        <w:shd w:val="clear" w:color="auto" w:fill="FFFFFF"/>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t>10.</w:t>
      </w:r>
      <w:r>
        <w:rPr>
          <w:rFonts w:hint="eastAsia" w:ascii="仿宋_GB2312" w:hAnsi="仿宋_GB2312" w:eastAsia="仿宋_GB2312" w:cs="仿宋_GB2312"/>
          <w:bCs/>
          <w:sz w:val="32"/>
          <w:szCs w:val="32"/>
        </w:rPr>
        <w:t>负责全县种植业、畜牧业</w:t>
      </w:r>
      <w:r>
        <w:rPr>
          <w:rFonts w:hint="eastAsia" w:ascii="仿宋_GB2312" w:hAnsi="仿宋_GB2312" w:eastAsia="仿宋_GB2312" w:cs="仿宋_GB2312"/>
          <w:bCs/>
          <w:sz w:val="32"/>
          <w:szCs w:val="32"/>
          <w:lang w:eastAsia="zh-CN"/>
        </w:rPr>
        <w:t>（草原牧业）</w:t>
      </w:r>
      <w:r>
        <w:rPr>
          <w:rFonts w:hint="eastAsia" w:ascii="仿宋_GB2312" w:hAnsi="仿宋_GB2312" w:eastAsia="仿宋_GB2312" w:cs="仿宋_GB2312"/>
          <w:bCs/>
          <w:sz w:val="32"/>
          <w:szCs w:val="32"/>
        </w:rPr>
        <w:t>、渔业、农垦、农业机械化等农业各产业的监督管理。</w:t>
      </w:r>
      <w:r>
        <w:rPr>
          <w:rFonts w:hint="eastAsia" w:ascii="仿宋_GB2312" w:hAnsi="仿宋_GB2312" w:eastAsia="仿宋_GB2312" w:cs="仿宋_GB2312"/>
          <w:bCs/>
          <w:sz w:val="32"/>
          <w:szCs w:val="32"/>
          <w:lang w:eastAsia="zh-CN"/>
        </w:rPr>
        <w:t>指导粮食等农产品生产。负责粮食生产功能区和重要</w:t>
      </w:r>
      <w:r>
        <w:rPr>
          <w:rFonts w:hint="eastAsia" w:ascii="仿宋_GB2312" w:hAnsi="仿宋_GB2312" w:eastAsia="仿宋_GB2312" w:cs="仿宋_GB2312"/>
          <w:bCs/>
          <w:sz w:val="32"/>
          <w:szCs w:val="32"/>
        </w:rPr>
        <w:t>农产品生产功能区、保护区建设和管理工作。组织构建现代农业产业体系、生产体系、经营体系，指导农业标准化、规模化生产。落实促进粮油、畜禽、水产等初级农产品生产发展的相关政策措施，引导农业产业结构调整和产品品质改善，促进农业绿色发展。</w:t>
      </w:r>
    </w:p>
    <w:p w14:paraId="0C83DA06">
      <w:pPr>
        <w:spacing w:line="560" w:lineRule="exact"/>
        <w:ind w:firstLine="640" w:firstLineChars="200"/>
        <w:outlineLvl w:val="1"/>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11.</w:t>
      </w:r>
      <w:r>
        <w:rPr>
          <w:rFonts w:hint="eastAsia" w:ascii="仿宋_GB2312" w:hAnsi="仿宋_GB2312" w:eastAsia="仿宋_GB2312" w:cs="仿宋_GB2312"/>
          <w:bCs/>
          <w:sz w:val="32"/>
          <w:szCs w:val="32"/>
        </w:rPr>
        <w:t>负责制定全县</w:t>
      </w:r>
      <w:r>
        <w:rPr>
          <w:rFonts w:hint="eastAsia" w:ascii="仿宋_GB2312" w:hAnsi="仿宋_GB2312" w:eastAsia="仿宋_GB2312" w:cs="仿宋_GB2312"/>
          <w:bCs/>
          <w:sz w:val="32"/>
          <w:szCs w:val="32"/>
          <w:lang w:eastAsia="zh-CN"/>
        </w:rPr>
        <w:t>全</w:t>
      </w:r>
      <w:r>
        <w:rPr>
          <w:rFonts w:hint="eastAsia" w:ascii="仿宋_GB2312" w:hAnsi="仿宋_GB2312" w:eastAsia="仿宋_GB2312" w:cs="仿宋_GB2312"/>
          <w:bCs/>
          <w:sz w:val="32"/>
          <w:szCs w:val="32"/>
        </w:rPr>
        <w:t>农业产业机械化、智能化、数字化发展规划并组织实施。组织开展农业机械重大技术攻关和关键技术开发，引进、示范和推广农业机械新技术、新机具，指导全县农业机械基础设施的规划建设和管理工作。指导设施农业、农机库棚、机电提灌、机耕道等基础设施建设。</w:t>
      </w:r>
    </w:p>
    <w:p w14:paraId="2F32D289">
      <w:pPr>
        <w:spacing w:line="560" w:lineRule="exact"/>
        <w:ind w:firstLine="640" w:firstLineChars="200"/>
        <w:outlineLvl w:val="1"/>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12.</w:t>
      </w:r>
      <w:r>
        <w:rPr>
          <w:rFonts w:hint="eastAsia" w:ascii="仿宋_GB2312" w:hAnsi="仿宋_GB2312" w:eastAsia="仿宋_GB2312" w:cs="仿宋_GB2312"/>
          <w:bCs/>
          <w:sz w:val="32"/>
          <w:szCs w:val="32"/>
        </w:rPr>
        <w:t>负责全县农产品质量安全监督管理。组织开展农产品质量安全监测、追溯、风险评估。发布有关农产品质量安全状况信息，提出技术性贸易措施建议。</w:t>
      </w:r>
      <w:r>
        <w:rPr>
          <w:rFonts w:hint="eastAsia" w:ascii="仿宋_GB2312" w:hAnsi="仿宋_GB2312" w:eastAsia="仿宋_GB2312" w:cs="仿宋_GB2312"/>
          <w:bCs/>
          <w:sz w:val="32"/>
          <w:szCs w:val="32"/>
          <w:lang w:eastAsia="zh-CN"/>
        </w:rPr>
        <w:t>参与制定农产品质量安全地方标准并会同有关部门组织实施。</w:t>
      </w:r>
      <w:r>
        <w:rPr>
          <w:rFonts w:hint="eastAsia" w:ascii="仿宋_GB2312" w:hAnsi="仿宋_GB2312" w:eastAsia="仿宋_GB2312" w:cs="仿宋_GB2312"/>
          <w:bCs/>
          <w:sz w:val="32"/>
          <w:szCs w:val="32"/>
        </w:rPr>
        <w:t>指导农业检验检测体系建设。依法组织实施符合安全标准的农产品生产基地认定、产品认证、农产品地理标志登记保护和监督管理。</w:t>
      </w:r>
    </w:p>
    <w:p w14:paraId="4423950F">
      <w:pPr>
        <w:spacing w:line="560" w:lineRule="exact"/>
        <w:ind w:firstLine="640" w:firstLineChars="200"/>
        <w:outlineLvl w:val="1"/>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13.</w:t>
      </w:r>
      <w:r>
        <w:rPr>
          <w:rFonts w:hint="eastAsia" w:ascii="仿宋_GB2312" w:hAnsi="仿宋_GB2312" w:eastAsia="仿宋_GB2312" w:cs="仿宋_GB2312"/>
          <w:bCs/>
          <w:sz w:val="32"/>
          <w:szCs w:val="32"/>
        </w:rPr>
        <w:t>组织开展全县农业资源区划和资源保护工作。指导农用地、渔业水域以及农业生物物种资源的保护与管理，负责水生野生动植物保护、耕地及永久基本农田质量保护工作。</w:t>
      </w:r>
      <w:r>
        <w:rPr>
          <w:rFonts w:hint="eastAsia" w:ascii="仿宋_GB2312" w:hAnsi="仿宋_GB2312" w:eastAsia="仿宋_GB2312" w:cs="仿宋_GB2312"/>
          <w:bCs/>
          <w:color w:val="auto"/>
          <w:sz w:val="32"/>
          <w:szCs w:val="32"/>
        </w:rPr>
        <w:t>负责农村能源建设和资源环境工作。</w:t>
      </w:r>
      <w:r>
        <w:rPr>
          <w:rFonts w:hint="eastAsia" w:ascii="仿宋_GB2312" w:hAnsi="仿宋_GB2312" w:eastAsia="仿宋_GB2312" w:cs="仿宋_GB2312"/>
          <w:bCs/>
          <w:sz w:val="32"/>
          <w:szCs w:val="32"/>
        </w:rPr>
        <w:t>指导农产品产地环境管理和农业清洁生产，提出划定农产品禁止生产区域的政策建议，指导设施农业、生态循环农业、节水农业发展以及农村可再生能源综合开发利用、农业生物质产业发展。</w:t>
      </w:r>
    </w:p>
    <w:p w14:paraId="0EE19B36">
      <w:pPr>
        <w:spacing w:line="560" w:lineRule="exact"/>
        <w:ind w:firstLine="640" w:firstLineChars="200"/>
        <w:outlineLvl w:val="1"/>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14.</w:t>
      </w:r>
      <w:r>
        <w:rPr>
          <w:rFonts w:hint="eastAsia" w:ascii="仿宋_GB2312" w:hAnsi="仿宋_GB2312" w:eastAsia="仿宋_GB2312" w:cs="仿宋_GB2312"/>
          <w:bCs/>
          <w:sz w:val="32"/>
          <w:szCs w:val="32"/>
        </w:rPr>
        <w:t>负责全县农业生产资料和农业投入品的监督管理。组织农业生产资料市场体系建设，承担农作物种子（种苗）、食用菌种、饲草良种、种畜禽、水产苗种、农药、兽药（渔药）、饲料、饲料添加剂等农业生产资料的监督管理职责，牵头负责“瘦肉精”监督管理工作。监督管理兽医医疗器械、肥料。</w:t>
      </w:r>
      <w:r>
        <w:rPr>
          <w:rFonts w:hint="eastAsia" w:ascii="仿宋_GB2312" w:hAnsi="仿宋_GB2312" w:eastAsia="仿宋_GB2312" w:cs="仿宋_GB2312"/>
          <w:bCs/>
          <w:sz w:val="32"/>
          <w:szCs w:val="32"/>
          <w:lang w:eastAsia="zh-CN"/>
        </w:rPr>
        <w:t>参与制定有关农业生产资料地方标准并监督实施，</w:t>
      </w:r>
      <w:r>
        <w:rPr>
          <w:rFonts w:hint="eastAsia" w:ascii="仿宋_GB2312" w:hAnsi="仿宋_GB2312" w:eastAsia="仿宋_GB2312" w:cs="仿宋_GB2312"/>
          <w:bCs/>
          <w:sz w:val="32"/>
          <w:szCs w:val="32"/>
        </w:rPr>
        <w:t>会同有关部门</w:t>
      </w:r>
      <w:r>
        <w:rPr>
          <w:rFonts w:hint="eastAsia" w:ascii="仿宋_GB2312" w:hAnsi="仿宋_GB2312" w:eastAsia="仿宋_GB2312" w:cs="仿宋_GB2312"/>
          <w:bCs/>
          <w:sz w:val="32"/>
          <w:szCs w:val="32"/>
          <w:lang w:eastAsia="zh-CN"/>
        </w:rPr>
        <w:t>监督实施农业生产资料国家标准。参与制定兽药（渔药）</w:t>
      </w:r>
      <w:r>
        <w:rPr>
          <w:rFonts w:hint="eastAsia" w:ascii="仿宋_GB2312" w:hAnsi="仿宋_GB2312" w:eastAsia="仿宋_GB2312" w:cs="仿宋_GB2312"/>
          <w:bCs/>
          <w:sz w:val="32"/>
          <w:szCs w:val="32"/>
        </w:rPr>
        <w:t>残留限量和残留检测</w:t>
      </w:r>
      <w:r>
        <w:rPr>
          <w:rFonts w:hint="eastAsia" w:ascii="仿宋_GB2312" w:hAnsi="仿宋_GB2312" w:eastAsia="仿宋_GB2312" w:cs="仿宋_GB2312"/>
          <w:bCs/>
          <w:sz w:val="32"/>
          <w:szCs w:val="32"/>
          <w:lang w:eastAsia="zh-CN"/>
        </w:rPr>
        <w:t>方法地方标准并按规定发布。</w:t>
      </w:r>
      <w:r>
        <w:rPr>
          <w:rFonts w:hint="eastAsia" w:ascii="仿宋_GB2312" w:hAnsi="仿宋_GB2312" w:eastAsia="仿宋_GB2312" w:cs="仿宋_GB2312"/>
          <w:bCs/>
          <w:sz w:val="32"/>
          <w:szCs w:val="32"/>
        </w:rPr>
        <w:t>组织兽医医政、兽药（渔药）药政药检工作，负责执业兽医和畜禽屠宰行业管理。</w:t>
      </w:r>
    </w:p>
    <w:p w14:paraId="2AC1E6C5">
      <w:pPr>
        <w:spacing w:line="560" w:lineRule="exact"/>
        <w:ind w:firstLine="640" w:firstLineChars="200"/>
        <w:outlineLvl w:val="1"/>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15.</w:t>
      </w:r>
      <w:r>
        <w:rPr>
          <w:rFonts w:hint="eastAsia" w:ascii="仿宋_GB2312" w:hAnsi="仿宋_GB2312" w:eastAsia="仿宋_GB2312" w:cs="仿宋_GB2312"/>
          <w:bCs/>
          <w:sz w:val="32"/>
          <w:szCs w:val="32"/>
        </w:rPr>
        <w:t>负责全县农业防灾减灾、农作物重大病虫害防治工作。</w:t>
      </w:r>
      <w:r>
        <w:rPr>
          <w:rFonts w:hint="eastAsia" w:ascii="仿宋_GB2312" w:hAnsi="仿宋_GB2312" w:eastAsia="仿宋_GB2312" w:cs="仿宋_GB2312"/>
          <w:bCs/>
          <w:sz w:val="32"/>
          <w:szCs w:val="32"/>
          <w:lang w:eastAsia="zh-CN"/>
        </w:rPr>
        <w:t>牵头起草动植物防疫和检疫的政策性法规、规章草案，</w:t>
      </w:r>
      <w:r>
        <w:rPr>
          <w:rFonts w:hint="eastAsia" w:ascii="仿宋_GB2312" w:hAnsi="仿宋_GB2312" w:eastAsia="仿宋_GB2312" w:cs="仿宋_GB2312"/>
          <w:bCs/>
          <w:sz w:val="32"/>
          <w:szCs w:val="32"/>
        </w:rPr>
        <w:t>会同有关部门制定动植物防疫检疫政策并指导实施。</w:t>
      </w:r>
      <w:r>
        <w:rPr>
          <w:rFonts w:hint="eastAsia" w:ascii="仿宋_GB2312" w:hAnsi="仿宋_GB2312" w:eastAsia="仿宋_GB2312" w:cs="仿宋_GB2312"/>
          <w:bCs/>
          <w:sz w:val="32"/>
          <w:szCs w:val="32"/>
          <w:lang w:eastAsia="zh-CN"/>
        </w:rPr>
        <w:t>牵头组织</w:t>
      </w:r>
      <w:r>
        <w:rPr>
          <w:rFonts w:hint="eastAsia" w:ascii="仿宋_GB2312" w:hAnsi="仿宋_GB2312" w:eastAsia="仿宋_GB2312" w:cs="仿宋_GB2312"/>
          <w:bCs/>
          <w:sz w:val="32"/>
          <w:szCs w:val="32"/>
        </w:rPr>
        <w:t>动植物防疫检疫体系建设，组织监督管理县内动植物防疫检疫工作</w:t>
      </w:r>
      <w:r>
        <w:rPr>
          <w:rFonts w:hint="eastAsia" w:ascii="仿宋_GB2312" w:hAnsi="仿宋_GB2312" w:eastAsia="仿宋_GB2312" w:cs="仿宋_GB2312"/>
          <w:bCs/>
          <w:sz w:val="32"/>
          <w:szCs w:val="32"/>
          <w:lang w:eastAsia="zh-CN"/>
        </w:rPr>
        <w:t>，发布疫情并组织扑灭。</w:t>
      </w:r>
      <w:r>
        <w:rPr>
          <w:rFonts w:hint="eastAsia" w:ascii="仿宋_GB2312" w:hAnsi="仿宋_GB2312" w:eastAsia="仿宋_GB2312" w:cs="仿宋_GB2312"/>
          <w:bCs/>
          <w:sz w:val="32"/>
          <w:szCs w:val="32"/>
        </w:rPr>
        <w:t>组织植物检疫性有害生物普查，牵头管理外来农业物种。监测、核查</w:t>
      </w:r>
      <w:r>
        <w:rPr>
          <w:rFonts w:hint="eastAsia" w:ascii="仿宋_GB2312" w:hAnsi="仿宋_GB2312" w:eastAsia="仿宋_GB2312" w:cs="仿宋_GB2312"/>
          <w:bCs/>
          <w:sz w:val="32"/>
          <w:szCs w:val="32"/>
          <w:lang w:eastAsia="zh-CN"/>
        </w:rPr>
        <w:t>、发布</w:t>
      </w:r>
      <w:r>
        <w:rPr>
          <w:rFonts w:hint="eastAsia" w:ascii="仿宋_GB2312" w:hAnsi="仿宋_GB2312" w:eastAsia="仿宋_GB2312" w:cs="仿宋_GB2312"/>
          <w:bCs/>
          <w:sz w:val="32"/>
          <w:szCs w:val="32"/>
        </w:rPr>
        <w:t>农业灾情，组织种子、种苗、化肥、兽药（渔药）等农业生产救灾物资的储备和调拨，提出生产救灾资金安排建议，指导紧急救灾和灾后生产恢复。</w:t>
      </w:r>
    </w:p>
    <w:p w14:paraId="448DFC49">
      <w:pPr>
        <w:spacing w:line="560" w:lineRule="exact"/>
        <w:ind w:firstLine="640" w:firstLineChars="200"/>
        <w:outlineLvl w:val="1"/>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16.</w:t>
      </w:r>
      <w:r>
        <w:rPr>
          <w:rFonts w:hint="eastAsia" w:ascii="仿宋_GB2312" w:hAnsi="仿宋_GB2312" w:eastAsia="仿宋_GB2312" w:cs="仿宋_GB2312"/>
          <w:bCs/>
          <w:sz w:val="32"/>
          <w:szCs w:val="32"/>
        </w:rPr>
        <w:t>负责全县农田建设管理。组织拟订农田建设发展规划</w:t>
      </w:r>
      <w:r>
        <w:rPr>
          <w:rFonts w:hint="eastAsia" w:ascii="仿宋_GB2312" w:hAnsi="仿宋_GB2312" w:eastAsia="仿宋_GB2312" w:cs="仿宋_GB2312"/>
          <w:bCs/>
          <w:sz w:val="32"/>
          <w:szCs w:val="32"/>
          <w:lang w:eastAsia="zh-CN"/>
        </w:rPr>
        <w:t>，提出农田建设项目需求建议</w:t>
      </w:r>
      <w:r>
        <w:rPr>
          <w:rFonts w:hint="eastAsia" w:ascii="仿宋_GB2312" w:hAnsi="仿宋_GB2312" w:eastAsia="仿宋_GB2312" w:cs="仿宋_GB2312"/>
          <w:bCs/>
          <w:sz w:val="32"/>
          <w:szCs w:val="32"/>
        </w:rPr>
        <w:t>。负责全县农田建设管理、高标准农田建设和耕地质量管理。编制农业综合开发涉及农田建设项目、农田整治项目、农田水利建设项目的计划，并组织实施和管理。</w:t>
      </w:r>
    </w:p>
    <w:p w14:paraId="6651DF12">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17.</w:t>
      </w:r>
      <w:r>
        <w:rPr>
          <w:rFonts w:hint="eastAsia" w:ascii="仿宋_GB2312" w:hAnsi="仿宋_GB2312" w:eastAsia="仿宋_GB2312" w:cs="仿宋_GB2312"/>
          <w:bCs/>
          <w:sz w:val="32"/>
          <w:szCs w:val="32"/>
        </w:rPr>
        <w:t>拟订全县农业科研、农技推广的规划、计划和有关政策并组织实施，牵头推动农业科技体制改革和农业科技创新体系建设。指导农业产业技术体系和农技推广体系建设，组织农作物、畜禽、水产养殖等新品种育种攻关和农业先进技术引进、试验、转化、示范、推广。负责农业转基因生物安全监督管理和农业植物新品种保护。</w:t>
      </w:r>
    </w:p>
    <w:p w14:paraId="06269DC5">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18.</w:t>
      </w:r>
      <w:r>
        <w:rPr>
          <w:rFonts w:hint="eastAsia" w:ascii="仿宋_GB2312" w:hAnsi="仿宋_GB2312" w:eastAsia="仿宋_GB2312" w:cs="仿宋_GB2312"/>
          <w:bCs/>
          <w:sz w:val="32"/>
          <w:szCs w:val="32"/>
        </w:rPr>
        <w:t>牵头开展全县农业对外合作工作。承办县政府农业涉外事务，参与拟订农业对外开放政策和外向型农业发展规划，指导外向型农业发展。组织开展</w:t>
      </w:r>
      <w:r>
        <w:rPr>
          <w:rFonts w:hint="eastAsia" w:ascii="仿宋_GB2312" w:hAnsi="仿宋_GB2312" w:eastAsia="仿宋_GB2312" w:cs="仿宋_GB2312"/>
          <w:bCs/>
          <w:sz w:val="32"/>
          <w:szCs w:val="32"/>
          <w:lang w:eastAsia="zh-CN"/>
        </w:rPr>
        <w:t>农业贸易促进、有关国际交流合作和</w:t>
      </w:r>
      <w:r>
        <w:rPr>
          <w:rFonts w:hint="eastAsia" w:ascii="仿宋_GB2312" w:hAnsi="仿宋_GB2312" w:eastAsia="仿宋_GB2312" w:cs="仿宋_GB2312"/>
          <w:bCs/>
          <w:sz w:val="32"/>
          <w:szCs w:val="32"/>
        </w:rPr>
        <w:t>农业投资促进活动，推动农业开放合作。</w:t>
      </w:r>
    </w:p>
    <w:p w14:paraId="16BF0615">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19.</w:t>
      </w:r>
      <w:r>
        <w:rPr>
          <w:rFonts w:hint="eastAsia" w:ascii="仿宋_GB2312" w:hAnsi="仿宋_GB2312" w:eastAsia="仿宋_GB2312" w:cs="仿宋_GB2312"/>
          <w:bCs/>
          <w:sz w:val="32"/>
          <w:szCs w:val="32"/>
        </w:rPr>
        <w:t>制定</w:t>
      </w:r>
      <w:r>
        <w:rPr>
          <w:rFonts w:hint="eastAsia" w:ascii="仿宋_GB2312" w:hAnsi="仿宋_GB2312" w:eastAsia="仿宋_GB2312" w:cs="仿宋_GB2312"/>
          <w:sz w:val="32"/>
          <w:szCs w:val="32"/>
        </w:rPr>
        <w:t>科技人才队伍、</w:t>
      </w:r>
      <w:r>
        <w:rPr>
          <w:rFonts w:hint="eastAsia" w:ascii="仿宋_GB2312" w:hAnsi="仿宋_GB2312" w:eastAsia="仿宋_GB2312" w:cs="仿宋_GB2312"/>
          <w:bCs/>
          <w:sz w:val="32"/>
          <w:szCs w:val="32"/>
        </w:rPr>
        <w:t>农业农村人才队伍建设规划。指导</w:t>
      </w:r>
      <w:r>
        <w:rPr>
          <w:rFonts w:hint="eastAsia" w:ascii="仿宋_GB2312" w:hAnsi="仿宋_GB2312" w:eastAsia="仿宋_GB2312" w:cs="仿宋_GB2312"/>
          <w:sz w:val="32"/>
          <w:szCs w:val="32"/>
        </w:rPr>
        <w:t>科技、</w:t>
      </w:r>
      <w:r>
        <w:rPr>
          <w:rFonts w:hint="eastAsia" w:ascii="仿宋_GB2312" w:hAnsi="仿宋_GB2312" w:eastAsia="仿宋_GB2312" w:cs="仿宋_GB2312"/>
          <w:bCs/>
          <w:sz w:val="32"/>
          <w:szCs w:val="32"/>
        </w:rPr>
        <w:t>农业、农村人才队伍建设。</w:t>
      </w:r>
      <w:r>
        <w:rPr>
          <w:rFonts w:hint="eastAsia" w:ascii="仿宋_GB2312" w:hAnsi="仿宋_GB2312" w:eastAsia="仿宋_GB2312" w:cs="仿宋_GB2312"/>
          <w:sz w:val="32"/>
          <w:szCs w:val="32"/>
        </w:rPr>
        <w:t>建立健全人才评价和激励机制，组织实施人才计划，推动创新人才队伍建设。</w:t>
      </w:r>
      <w:r>
        <w:rPr>
          <w:rFonts w:hint="eastAsia" w:ascii="仿宋_GB2312" w:hAnsi="仿宋_GB2312" w:eastAsia="仿宋_GB2312" w:cs="仿宋_GB2312"/>
          <w:bCs/>
          <w:sz w:val="32"/>
          <w:szCs w:val="32"/>
        </w:rPr>
        <w:t>指导农业教育和农业职业技能开发，指导科技、农业人才培养，新型职业农民培育和农村实用人才培训工作。</w:t>
      </w:r>
    </w:p>
    <w:p w14:paraId="2ADA2BBE">
      <w:pPr>
        <w:spacing w:line="560" w:lineRule="exact"/>
        <w:ind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20.</w:t>
      </w:r>
      <w:r>
        <w:rPr>
          <w:rFonts w:hint="eastAsia" w:ascii="仿宋_GB2312" w:hAnsi="仿宋_GB2312" w:eastAsia="仿宋_GB2312" w:cs="仿宋_GB2312"/>
          <w:bCs/>
          <w:sz w:val="32"/>
          <w:szCs w:val="32"/>
        </w:rPr>
        <w:t>统筹协调和监督指导全县农业综合执法。负责监督指导重大案件查处</w:t>
      </w:r>
      <w:r>
        <w:rPr>
          <w:rFonts w:hint="eastAsia" w:ascii="仿宋_GB2312" w:hAnsi="仿宋_GB2312" w:eastAsia="仿宋_GB2312" w:cs="仿宋_GB2312"/>
          <w:bCs/>
          <w:sz w:val="32"/>
          <w:szCs w:val="32"/>
          <w:lang w:eastAsia="zh-CN"/>
        </w:rPr>
        <w:t>和跨区域执法的组织协调工作</w:t>
      </w:r>
      <w:r>
        <w:rPr>
          <w:rFonts w:hint="eastAsia" w:ascii="仿宋_GB2312" w:hAnsi="仿宋_GB2312" w:eastAsia="仿宋_GB2312" w:cs="仿宋_GB2312"/>
          <w:bCs/>
          <w:sz w:val="32"/>
          <w:szCs w:val="32"/>
        </w:rPr>
        <w:t>、由县本级办理的涉农违法案件。推进农业依法行政。</w:t>
      </w:r>
      <w:r>
        <w:rPr>
          <w:rFonts w:hint="eastAsia" w:ascii="仿宋_GB2312" w:hAnsi="仿宋_GB2312" w:eastAsia="仿宋_GB2312" w:cs="仿宋_GB2312"/>
          <w:bCs/>
          <w:sz w:val="32"/>
          <w:szCs w:val="32"/>
          <w:lang w:val="en-US" w:eastAsia="zh-CN"/>
        </w:rPr>
        <w:t xml:space="preserve"> </w:t>
      </w:r>
    </w:p>
    <w:p w14:paraId="20A2883C">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21.</w:t>
      </w:r>
      <w:r>
        <w:rPr>
          <w:rFonts w:hint="eastAsia" w:ascii="仿宋_GB2312" w:hAnsi="仿宋_GB2312" w:eastAsia="仿宋_GB2312" w:cs="仿宋_GB2312"/>
          <w:bCs/>
          <w:sz w:val="32"/>
          <w:szCs w:val="32"/>
        </w:rPr>
        <w:t>负责全县农业投资项目、农业综合项目管理。提出农业投融资体制机制改革建议。编制中央和省级、州级、县级投资安排的农业投资及综合项目建设规划，提出农业投资规模和方向、扶持农业农村发展财政项目的建议。按国务院、省政府、州政府和县政府规定权限审批农业投资及综合项目，负责农业投资及综合项目资金安排和监督管理。</w:t>
      </w:r>
    </w:p>
    <w:p w14:paraId="025938B5">
      <w:pPr>
        <w:pStyle w:val="21"/>
        <w:widowControl w:val="0"/>
        <w:shd w:val="clear" w:color="auto" w:fill="FFFFFF"/>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t>22.</w:t>
      </w:r>
      <w:r>
        <w:rPr>
          <w:rFonts w:hint="eastAsia" w:ascii="仿宋_GB2312" w:hAnsi="仿宋_GB2312" w:eastAsia="仿宋_GB2312" w:cs="仿宋_GB2312"/>
          <w:bCs/>
          <w:sz w:val="32"/>
          <w:szCs w:val="32"/>
        </w:rPr>
        <w:t>负责职责范围内的安全生产和职业健康、生态环境保护、</w:t>
      </w:r>
      <w:r>
        <w:rPr>
          <w:rFonts w:hint="eastAsia" w:ascii="仿宋_GB2312" w:hAnsi="仿宋_GB2312" w:eastAsia="仿宋_GB2312" w:cs="仿宋_GB2312"/>
          <w:sz w:val="32"/>
          <w:szCs w:val="32"/>
        </w:rPr>
        <w:t>公共机构节能减排、</w:t>
      </w:r>
      <w:r>
        <w:rPr>
          <w:rFonts w:hint="eastAsia" w:ascii="仿宋_GB2312" w:hAnsi="仿宋_GB2312" w:eastAsia="仿宋_GB2312" w:cs="仿宋_GB2312"/>
          <w:bCs/>
          <w:sz w:val="32"/>
          <w:szCs w:val="32"/>
        </w:rPr>
        <w:t>审批服务便民化等工作。</w:t>
      </w:r>
    </w:p>
    <w:p w14:paraId="5B2B5646">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23.</w:t>
      </w:r>
      <w:r>
        <w:rPr>
          <w:rFonts w:hint="eastAsia" w:ascii="仿宋_GB2312" w:hAnsi="仿宋_GB2312" w:eastAsia="仿宋_GB2312" w:cs="仿宋_GB2312"/>
          <w:bCs/>
          <w:sz w:val="32"/>
          <w:szCs w:val="32"/>
        </w:rPr>
        <w:t>完成县委、县政府交办的其他任务。</w:t>
      </w:r>
    </w:p>
    <w:p w14:paraId="41A8E6A6">
      <w:pPr>
        <w:spacing w:line="560" w:lineRule="exact"/>
        <w:ind w:firstLine="640" w:firstLineChars="200"/>
        <w:outlineLvl w:val="1"/>
        <w:rPr>
          <w:rFonts w:hint="eastAsia" w:ascii="仿宋_GB2312" w:hAnsi="仿宋_GB2312" w:eastAsia="仿宋_GB2312" w:cs="仿宋_GB2312"/>
          <w:b/>
          <w:sz w:val="32"/>
          <w:szCs w:val="32"/>
        </w:rPr>
      </w:pPr>
      <w:r>
        <w:rPr>
          <w:rFonts w:hint="eastAsia" w:ascii="仿宋_GB2312" w:hAnsi="仿宋_GB2312" w:eastAsia="仿宋_GB2312" w:cs="仿宋_GB2312"/>
          <w:bCs/>
          <w:sz w:val="32"/>
          <w:szCs w:val="32"/>
          <w:lang w:val="en-US" w:eastAsia="zh-CN"/>
        </w:rPr>
        <w:t>24.</w:t>
      </w:r>
      <w:r>
        <w:rPr>
          <w:rFonts w:hint="eastAsia" w:ascii="仿宋_GB2312" w:hAnsi="仿宋_GB2312" w:eastAsia="仿宋_GB2312" w:cs="仿宋_GB2312"/>
          <w:bCs/>
          <w:sz w:val="32"/>
          <w:szCs w:val="32"/>
        </w:rPr>
        <w:t>职能转变</w:t>
      </w:r>
    </w:p>
    <w:p w14:paraId="789C66D6">
      <w:pPr>
        <w:pStyle w:val="21"/>
        <w:shd w:val="clear" w:color="auto" w:fill="FFFFFF"/>
        <w:adjustRightInd w:val="0"/>
        <w:snapToGrid w:val="0"/>
        <w:spacing w:before="0" w:beforeAutospacing="0" w:after="0" w:afterAutospacing="0" w:line="560" w:lineRule="exact"/>
        <w:ind w:firstLine="800" w:firstLineChars="250"/>
        <w:jc w:val="both"/>
        <w:rPr>
          <w:rFonts w:hint="eastAsia" w:ascii="仿宋_GB2312" w:hAnsi="仿宋_GB2312" w:eastAsia="仿宋_GB2312" w:cs="仿宋_GB2312"/>
          <w:bCs/>
          <w:sz w:val="32"/>
          <w:szCs w:val="32"/>
        </w:rPr>
      </w:pPr>
      <w:r>
        <w:rPr>
          <w:rFonts w:hint="eastAsia" w:ascii="仿宋_GB2312" w:hAnsi="仿宋_GB2312" w:eastAsia="仿宋_GB2312" w:cs="仿宋_GB2312"/>
          <w:sz w:val="32"/>
          <w:lang w:eastAsia="zh-CN"/>
        </w:rPr>
        <w:t>（</w:t>
      </w:r>
      <w:r>
        <w:rPr>
          <w:rFonts w:hint="eastAsia" w:ascii="仿宋_GB2312" w:hAnsi="仿宋_GB2312" w:eastAsia="仿宋_GB2312" w:cs="仿宋_GB2312"/>
          <w:sz w:val="32"/>
          <w:lang w:val="en-US" w:eastAsia="zh-CN"/>
        </w:rPr>
        <w:t>1</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围绕贯彻实施科教兴国战略、人才强国战略、创新驱动发展战略，加强、优化、转变政府科技管理和服务职能，完善科技创新制度和组织体系，加强宏观管理和统筹协调，加强事中事后监管和科研诚信建设。从研发管理向创新服务转变，深入推进科技计划管理改革，建立公开统一的全县科技管理平台</w:t>
      </w:r>
      <w:r>
        <w:rPr>
          <w:rFonts w:hint="eastAsia" w:ascii="仿宋_GB2312" w:hAnsi="仿宋_GB2312" w:eastAsia="仿宋_GB2312" w:cs="仿宋_GB2312"/>
          <w:sz w:val="32"/>
          <w:lang w:eastAsia="zh-CN"/>
        </w:rPr>
        <w:t>，减少科技计划项目重复、分散、封闭、低效和资源配置“碎片化”的现象。重在加强科研机构规划布局和绩效评价。</w:t>
      </w:r>
      <w:r>
        <w:rPr>
          <w:rFonts w:hint="eastAsia" w:ascii="仿宋_GB2312" w:hAnsi="仿宋_GB2312" w:eastAsia="仿宋_GB2312" w:cs="仿宋_GB2312"/>
          <w:sz w:val="32"/>
        </w:rPr>
        <w:t>进一步改进科技人才评价机制，建立健全以创新能力、质量、贡献、绩效为导向的科技人才评价体系和激励政策，统筹全县科技人才队伍建设和引进国外智力工作。</w:t>
      </w:r>
    </w:p>
    <w:p w14:paraId="7234E822">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统筹实施乡村振兴战略，深化农业供给侧结构性改革，以科学技术为引擎，促进农业绿色发展、高质量发展，推动农业全面升级、农村全面进步、农民全面发展，加快实现农业农村现代化。</w:t>
      </w:r>
    </w:p>
    <w:p w14:paraId="1B103409">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加强农产品质量安全和相关农业生产资料、农业投入品的监督管理，坚持最严谨的标准、最严格的监管、最严厉的处罚、最严肃的问责，严防、严管、严控质量安全风险，让人民群众吃得放心、安心。</w:t>
      </w:r>
    </w:p>
    <w:p w14:paraId="25E8E619">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深入推进简政放权，加强对行业内交叉重复以及性质相同、用途相近的投资项目的统筹整合，</w:t>
      </w:r>
      <w:r>
        <w:rPr>
          <w:rFonts w:hint="eastAsia" w:ascii="仿宋_GB2312" w:hAnsi="仿宋_GB2312" w:eastAsia="仿宋_GB2312" w:cs="仿宋_GB2312"/>
          <w:bCs/>
          <w:sz w:val="32"/>
          <w:szCs w:val="32"/>
          <w:lang w:eastAsia="zh-CN"/>
        </w:rPr>
        <w:t>最大限度缩小项目审批范围，进一步下放审批权限，</w:t>
      </w:r>
      <w:r>
        <w:rPr>
          <w:rFonts w:hint="eastAsia" w:ascii="仿宋_GB2312" w:hAnsi="仿宋_GB2312" w:eastAsia="仿宋_GB2312" w:cs="仿宋_GB2312"/>
          <w:bCs/>
          <w:sz w:val="32"/>
          <w:szCs w:val="32"/>
        </w:rPr>
        <w:t>加强事中事后监管，切实提升支农政策效果和资金使用效益。</w:t>
      </w:r>
    </w:p>
    <w:p w14:paraId="144F1044">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（5）统筹推进承担行政职能的事业单位改革。</w:t>
      </w:r>
    </w:p>
    <w:p w14:paraId="45D66958">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25.</w:t>
      </w:r>
      <w:r>
        <w:rPr>
          <w:rFonts w:hint="eastAsia" w:ascii="仿宋_GB2312" w:hAnsi="仿宋_GB2312" w:eastAsia="仿宋_GB2312" w:cs="仿宋_GB2312"/>
          <w:bCs/>
          <w:sz w:val="32"/>
          <w:szCs w:val="32"/>
        </w:rPr>
        <w:t>有关职责分工</w:t>
      </w:r>
    </w:p>
    <w:p w14:paraId="3585F90D">
      <w:pPr>
        <w:widowControl/>
        <w:spacing w:line="560" w:lineRule="exact"/>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与县卫生健康局的有关职责分工。</w:t>
      </w:r>
      <w:r>
        <w:rPr>
          <w:rFonts w:hint="eastAsia" w:ascii="仿宋_GB2312" w:hAnsi="仿宋_GB2312" w:eastAsia="仿宋_GB2312" w:cs="仿宋_GB2312"/>
          <w:kern w:val="0"/>
          <w:sz w:val="32"/>
          <w:szCs w:val="32"/>
          <w:lang w:bidi="bo-CN"/>
        </w:rPr>
        <w:t>县卫生健康局配合县科学农牧局拟订实施中藏医药产业发展规划、产业政策和中藏医药的扶持政策。指导中藏医药科研条件和能力建设，促进中藏医药科技成果的转化、应用和推广，加快中藏医药产业化发展。</w:t>
      </w:r>
    </w:p>
    <w:p w14:paraId="66D5F98C">
      <w:pPr>
        <w:spacing w:line="560" w:lineRule="exact"/>
        <w:ind w:firstLine="640" w:firstLineChars="200"/>
        <w:outlineLvl w:val="1"/>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与县经济商务和信息化局的有关职责分工。县经济和信息化局负责农产品加工业（精深加工）相关工作。县科学农牧局负责农产品加工业（产地初加工）相关工作。县经济和信息化局负责农业装备工业相关工作，县科学农牧局负责农业机械化相关工作。</w:t>
      </w:r>
    </w:p>
    <w:p w14:paraId="7014CC13">
      <w:pPr>
        <w:spacing w:line="560" w:lineRule="exact"/>
        <w:ind w:firstLine="640" w:firstLineChars="200"/>
        <w:outlineLvl w:val="1"/>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与县文化体育和旅游局的有关职责分工。县文化体育和旅游局会同县科学农牧局建立健全协同配合机制，推动乡村旅游工作。县科学农牧局负责休闲农业推动工作。</w:t>
      </w:r>
    </w:p>
    <w:p w14:paraId="12CE52CF">
      <w:pPr>
        <w:spacing w:line="560" w:lineRule="exact"/>
        <w:ind w:firstLine="640" w:firstLineChars="200"/>
        <w:outlineLvl w:val="1"/>
        <w:rPr>
          <w:rFonts w:hint="eastAsia" w:ascii="仿宋" w:hAnsi="仿宋" w:eastAsia="仿宋" w:cs="Times New Roman"/>
          <w:color w:val="000000"/>
          <w:sz w:val="32"/>
          <w:szCs w:val="32"/>
          <w:lang w:val="en-US" w:eastAsia="zh-CN"/>
        </w:rPr>
      </w:pP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与县市场监督管理局有关职责分工。县科学农牧局负责食用农产品从种植养殖环节到进入批发、零售市场或生产加工企业前的质量安全监督管理。食用农产品进入批发、零售市场或生产加工企业后，由县市场监督管理局监督管理。县科学农牧局负责动植物疫病防控、畜禽屠宰环节、生鲜乳收购环节质量安全的监督管理。两部门建立食品安全产地准出、市场准入和追溯机制，加强协调配合和工作衔接，形成监管合力。</w:t>
      </w:r>
    </w:p>
    <w:p w14:paraId="2ED38A25">
      <w:pPr>
        <w:ind w:firstLine="800" w:firstLineChars="250"/>
        <w:rPr>
          <w:rFonts w:hint="eastAsia" w:ascii="仿宋" w:hAnsi="仿宋" w:eastAsia="仿宋"/>
          <w:sz w:val="32"/>
          <w:szCs w:val="32"/>
        </w:rPr>
      </w:pPr>
    </w:p>
    <w:p w14:paraId="4A654D1D">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4" w:name="_Toc79163604"/>
      <w:bookmarkStart w:id="25" w:name="_Toc15378446"/>
      <w:bookmarkStart w:id="26" w:name="_Toc15377199"/>
      <w:bookmarkStart w:id="27" w:name="_Toc79163854"/>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14:paraId="23E1471C">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2020年，我局在县委县政府的坚强领导下，在州农业农村局的关心和指导下，以习近平新时代中国特色社会主义思想特别是总书记“三农”思想为指导，认真践行中央和省、州、县关于“三农”工作的决策部署，以实施乡村振兴战略为抓手，以农业农村改革为主线，围绕“全域发展、绿色崛起”总体战略，</w:t>
      </w:r>
      <w:r>
        <w:rPr>
          <w:rFonts w:hint="eastAsia" w:ascii="仿宋_GB2312" w:hAnsi="仿宋_GB2312" w:eastAsia="仿宋_GB2312" w:cs="仿宋_GB2312"/>
          <w:color w:val="auto"/>
          <w:sz w:val="32"/>
          <w:szCs w:val="32"/>
          <w:lang w:val="en-US" w:eastAsia="zh-CN"/>
        </w:rPr>
        <w:t>按照</w:t>
      </w:r>
      <w:r>
        <w:rPr>
          <w:rFonts w:hint="eastAsia" w:ascii="仿宋_GB2312" w:hAnsi="仿宋_GB2312" w:eastAsia="仿宋_GB2312" w:cs="仿宋_GB2312"/>
          <w:color w:val="auto"/>
          <w:sz w:val="32"/>
          <w:szCs w:val="32"/>
          <w:lang w:eastAsia="zh-CN"/>
        </w:rPr>
        <w:t>“建园区、创品牌、强加工、育主体、提质量、</w:t>
      </w:r>
      <w:r>
        <w:rPr>
          <w:rFonts w:hint="eastAsia" w:ascii="仿宋_GB2312" w:hAnsi="仿宋_GB2312" w:eastAsia="仿宋_GB2312" w:cs="仿宋_GB2312"/>
          <w:color w:val="auto"/>
          <w:sz w:val="32"/>
          <w:szCs w:val="32"/>
          <w:lang w:val="en-US" w:eastAsia="zh-CN"/>
        </w:rPr>
        <w:t>重融合、强监管、优服务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发展要求，稳步推进农业农村高质量发展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2020年</w:t>
      </w:r>
      <w:r>
        <w:rPr>
          <w:rFonts w:hint="eastAsia" w:ascii="仿宋_GB2312" w:hAnsi="仿宋_GB2312" w:eastAsia="仿宋_GB2312" w:cs="仿宋_GB2312"/>
          <w:b w:val="0"/>
          <w:bCs w:val="0"/>
          <w:color w:val="auto"/>
          <w:sz w:val="32"/>
          <w:szCs w:val="32"/>
          <w:lang w:eastAsia="zh-CN"/>
        </w:rPr>
        <w:t>预计实现人均可支配收</w:t>
      </w:r>
      <w:r>
        <w:rPr>
          <w:rFonts w:hint="eastAsia" w:ascii="仿宋_GB2312" w:hAnsi="仿宋_GB2312" w:eastAsia="仿宋_GB2312" w:cs="仿宋_GB2312"/>
          <w:b w:val="0"/>
          <w:bCs w:val="0"/>
          <w:color w:val="auto"/>
          <w:sz w:val="32"/>
          <w:szCs w:val="32"/>
          <w:highlight w:val="none"/>
          <w:lang w:eastAsia="zh-CN"/>
        </w:rPr>
        <w:t>入</w:t>
      </w:r>
      <w:r>
        <w:rPr>
          <w:rFonts w:hint="eastAsia" w:ascii="仿宋_GB2312" w:hAnsi="仿宋_GB2312" w:eastAsia="仿宋_GB2312" w:cs="仿宋_GB2312"/>
          <w:b w:val="0"/>
          <w:bCs w:val="0"/>
          <w:color w:val="auto"/>
          <w:sz w:val="32"/>
          <w:szCs w:val="32"/>
          <w:highlight w:val="none"/>
          <w:lang w:val="en-US" w:eastAsia="zh-CN"/>
        </w:rPr>
        <w:t>15666元，同比增长9.9%。</w:t>
      </w:r>
      <w:r>
        <w:rPr>
          <w:rFonts w:hint="eastAsia" w:ascii="仿宋_GB2312" w:hAnsi="仿宋_GB2312" w:eastAsia="仿宋_GB2312" w:cs="仿宋_GB2312"/>
          <w:color w:val="auto"/>
          <w:sz w:val="32"/>
          <w:szCs w:val="32"/>
          <w:highlight w:val="none"/>
          <w:lang w:val="en-US" w:eastAsia="zh-CN"/>
        </w:rPr>
        <w:t>现将</w:t>
      </w:r>
      <w:r>
        <w:rPr>
          <w:rFonts w:hint="eastAsia" w:ascii="仿宋_GB2312" w:hAnsi="仿宋_GB2312" w:eastAsia="仿宋_GB2312" w:cs="仿宋_GB2312"/>
          <w:color w:val="auto"/>
          <w:sz w:val="32"/>
          <w:szCs w:val="32"/>
          <w:lang w:val="en-US" w:eastAsia="zh-CN"/>
        </w:rPr>
        <w:t>我局2020年度工作总结报告如下。</w:t>
      </w:r>
    </w:p>
    <w:p w14:paraId="1CFA7F4E">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楷体_GB2312" w:hAnsi="楷体_GB2312" w:eastAsia="楷体_GB2312" w:cs="楷体_GB2312"/>
          <w:b/>
          <w:bCs/>
          <w:color w:val="auto"/>
          <w:sz w:val="32"/>
          <w:szCs w:val="32"/>
          <w:lang w:val="en-US" w:eastAsia="zh-CN"/>
        </w:rPr>
        <w:t xml:space="preserve"> 1.</w:t>
      </w:r>
      <w:r>
        <w:rPr>
          <w:rFonts w:hint="eastAsia" w:ascii="楷体_GB2312" w:hAnsi="楷体_GB2312" w:eastAsia="楷体_GB2312" w:cs="楷体_GB2312"/>
          <w:b/>
          <w:bCs/>
          <w:color w:val="auto"/>
          <w:sz w:val="32"/>
          <w:szCs w:val="32"/>
        </w:rPr>
        <w:t>扎实推进</w:t>
      </w:r>
      <w:r>
        <w:rPr>
          <w:rFonts w:hint="eastAsia" w:ascii="楷体_GB2312" w:hAnsi="楷体_GB2312" w:eastAsia="楷体_GB2312" w:cs="楷体_GB2312"/>
          <w:b/>
          <w:bCs/>
          <w:color w:val="auto"/>
          <w:sz w:val="32"/>
          <w:szCs w:val="32"/>
          <w:lang w:val="en-US" w:eastAsia="zh-CN"/>
        </w:rPr>
        <w:t>乡村</w:t>
      </w:r>
      <w:r>
        <w:rPr>
          <w:rFonts w:hint="eastAsia" w:ascii="楷体_GB2312" w:hAnsi="楷体_GB2312" w:eastAsia="楷体_GB2312" w:cs="楷体_GB2312"/>
          <w:b/>
          <w:bCs/>
          <w:color w:val="auto"/>
          <w:sz w:val="32"/>
          <w:szCs w:val="32"/>
        </w:rPr>
        <w:t>振兴战略</w:t>
      </w: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lang w:val="en-US" w:eastAsia="zh-CN"/>
        </w:rPr>
        <w:t>稳步提升发展动能</w:t>
      </w:r>
      <w:r>
        <w:rPr>
          <w:rFonts w:hint="eastAsia" w:ascii="楷体_GB2312" w:hAnsi="楷体_GB2312" w:eastAsia="楷体_GB2312" w:cs="楷体_GB2312"/>
          <w:b/>
          <w:bCs/>
          <w:color w:val="auto"/>
          <w:sz w:val="32"/>
          <w:szCs w:val="32"/>
        </w:rPr>
        <w:t>。</w:t>
      </w: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color w:val="auto"/>
          <w:sz w:val="32"/>
          <w:szCs w:val="32"/>
        </w:rPr>
        <w:t>全面完成《九寨沟县域乡村振兴规划体系“1+6+N”》编制，制定并印发了《九寨沟县2020年乡村振兴实施方案》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切实</w:t>
      </w: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sz w:val="32"/>
          <w:szCs w:val="32"/>
          <w:lang w:val="en-US" w:eastAsia="zh-CN"/>
        </w:rPr>
        <w:t>我县</w:t>
      </w:r>
      <w:r>
        <w:rPr>
          <w:rFonts w:hint="eastAsia" w:ascii="仿宋_GB2312" w:hAnsi="仿宋_GB2312" w:eastAsia="仿宋_GB2312" w:cs="仿宋_GB2312"/>
          <w:color w:val="auto"/>
          <w:sz w:val="32"/>
          <w:szCs w:val="32"/>
        </w:rPr>
        <w:t>实施乡村振兴战略谋</w:t>
      </w:r>
      <w:r>
        <w:rPr>
          <w:rFonts w:hint="eastAsia" w:ascii="仿宋_GB2312" w:hAnsi="仿宋_GB2312" w:eastAsia="仿宋_GB2312" w:cs="仿宋_GB2312"/>
          <w:color w:val="auto"/>
          <w:sz w:val="32"/>
          <w:szCs w:val="32"/>
          <w:lang w:val="en-US" w:eastAsia="zh-CN"/>
        </w:rPr>
        <w:t>好</w:t>
      </w:r>
      <w:r>
        <w:rPr>
          <w:rFonts w:hint="eastAsia" w:ascii="仿宋_GB2312" w:hAnsi="仿宋_GB2312" w:eastAsia="仿宋_GB2312" w:cs="仿宋_GB2312"/>
          <w:color w:val="auto"/>
          <w:sz w:val="32"/>
          <w:szCs w:val="32"/>
        </w:rPr>
        <w:t>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布</w:t>
      </w:r>
      <w:r>
        <w:rPr>
          <w:rFonts w:hint="eastAsia" w:ascii="仿宋_GB2312" w:hAnsi="仿宋_GB2312" w:eastAsia="仿宋_GB2312" w:cs="仿宋_GB2312"/>
          <w:color w:val="auto"/>
          <w:sz w:val="32"/>
          <w:szCs w:val="32"/>
          <w:lang w:val="en-US" w:eastAsia="zh-CN"/>
        </w:rPr>
        <w:t>好</w:t>
      </w:r>
      <w:r>
        <w:rPr>
          <w:rFonts w:hint="eastAsia" w:ascii="仿宋_GB2312" w:hAnsi="仿宋_GB2312" w:eastAsia="仿宋_GB2312" w:cs="仿宋_GB2312"/>
          <w:color w:val="auto"/>
          <w:sz w:val="32"/>
          <w:szCs w:val="32"/>
        </w:rPr>
        <w:t>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b w:val="0"/>
          <w:bCs w:val="0"/>
          <w:color w:val="auto"/>
          <w:sz w:val="32"/>
          <w:szCs w:val="32"/>
          <w:lang w:val="en-US" w:eastAsia="zh-CN"/>
        </w:rPr>
        <w:t>统筹推进</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val="0"/>
          <w:bCs/>
          <w:color w:val="auto"/>
          <w:sz w:val="32"/>
          <w:szCs w:val="32"/>
        </w:rPr>
        <w:t>加大财力助推乡村振兴</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color w:val="auto"/>
          <w:sz w:val="32"/>
          <w:szCs w:val="32"/>
        </w:rPr>
        <w:t>按照“产业兴旺、生态宜居、乡风文明、治理有效、生活富裕”总要求，2020年，我县财政涉农资金统筹整合项目资金17503.5万元，主要用于农村基础设施建设及产业发展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助推乡村振兴</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bCs/>
          <w:color w:val="auto"/>
          <w:sz w:val="32"/>
          <w:szCs w:val="32"/>
          <w:lang w:val="en-US" w:eastAsia="zh-CN"/>
        </w:rPr>
        <w:t>三是突出</w:t>
      </w:r>
      <w:r>
        <w:rPr>
          <w:rFonts w:hint="eastAsia" w:ascii="仿宋_GB2312" w:hAnsi="仿宋_GB2312" w:eastAsia="仿宋_GB2312" w:cs="仿宋_GB2312"/>
          <w:b/>
          <w:bCs/>
          <w:color w:val="auto"/>
          <w:sz w:val="32"/>
          <w:szCs w:val="32"/>
        </w:rPr>
        <w:t>试点示范</w:t>
      </w:r>
      <w:r>
        <w:rPr>
          <w:rFonts w:hint="eastAsia" w:ascii="仿宋_GB2312" w:hAnsi="仿宋_GB2312" w:eastAsia="仿宋_GB2312" w:cs="仿宋_GB2312"/>
          <w:b/>
          <w:bCs/>
          <w:color w:val="auto"/>
          <w:sz w:val="32"/>
          <w:szCs w:val="32"/>
          <w:lang w:val="en-US" w:eastAsia="zh-CN"/>
        </w:rPr>
        <w:t>引领</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培育支持有条件的乡镇和村创建省级和州级乡村振兴先进乡镇和示范村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2020年力争</w:t>
      </w:r>
      <w:r>
        <w:rPr>
          <w:rFonts w:hint="eastAsia" w:ascii="仿宋_GB2312" w:hAnsi="仿宋_GB2312" w:eastAsia="仿宋_GB2312" w:cs="仿宋_GB2312"/>
          <w:color w:val="auto"/>
          <w:sz w:val="32"/>
          <w:szCs w:val="32"/>
        </w:rPr>
        <w:t>创</w:t>
      </w:r>
      <w:r>
        <w:rPr>
          <w:rFonts w:hint="eastAsia" w:ascii="仿宋_GB2312" w:hAnsi="仿宋_GB2312" w:eastAsia="仿宋_GB2312" w:cs="仿宋_GB2312"/>
          <w:color w:val="auto"/>
          <w:sz w:val="32"/>
          <w:szCs w:val="32"/>
          <w:lang w:eastAsia="zh-CN"/>
        </w:rPr>
        <w:t>建为</w:t>
      </w:r>
      <w:r>
        <w:rPr>
          <w:rFonts w:hint="eastAsia" w:ascii="仿宋_GB2312" w:hAnsi="仿宋_GB2312" w:eastAsia="仿宋_GB2312" w:cs="仿宋_GB2312"/>
          <w:color w:val="auto"/>
          <w:sz w:val="32"/>
          <w:szCs w:val="32"/>
        </w:rPr>
        <w:t>州级乡村振兴先进县</w:t>
      </w:r>
      <w:r>
        <w:rPr>
          <w:rFonts w:hint="eastAsia" w:ascii="仿宋_GB2312" w:hAnsi="仿宋_GB2312" w:eastAsia="仿宋_GB2312" w:cs="仿宋_GB2312"/>
          <w:color w:val="auto"/>
          <w:sz w:val="32"/>
          <w:szCs w:val="32"/>
          <w:lang w:eastAsia="zh-CN"/>
        </w:rPr>
        <w:t>；争</w:t>
      </w:r>
      <w:r>
        <w:rPr>
          <w:rFonts w:hint="eastAsia" w:ascii="仿宋_GB2312" w:hAnsi="仿宋_GB2312" w:eastAsia="仿宋_GB2312" w:cs="仿宋_GB2312"/>
          <w:color w:val="auto"/>
          <w:sz w:val="32"/>
          <w:szCs w:val="32"/>
        </w:rPr>
        <w:t>创省级乡村振兴先进乡镇1个、示范村2个</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创州级乡村振兴先进乡镇1个、示范村5个</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创县级乡村振兴先进乡镇1个</w:t>
      </w:r>
      <w:r>
        <w:rPr>
          <w:rFonts w:hint="eastAsia" w:ascii="仿宋_GB2312" w:hAnsi="仿宋_GB2312" w:eastAsia="仿宋_GB2312" w:cs="仿宋_GB2312"/>
          <w:color w:val="auto"/>
          <w:sz w:val="32"/>
          <w:szCs w:val="32"/>
          <w:lang w:eastAsia="zh-CN"/>
        </w:rPr>
        <w:t>。</w:t>
      </w:r>
    </w:p>
    <w:p w14:paraId="760DF00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lang w:val="en-US" w:eastAsia="zh-CN"/>
        </w:rPr>
        <w:t>2.</w:t>
      </w:r>
      <w:r>
        <w:rPr>
          <w:rFonts w:hint="eastAsia" w:ascii="楷体_GB2312" w:hAnsi="楷体_GB2312" w:eastAsia="楷体_GB2312" w:cs="楷体_GB2312"/>
          <w:b/>
          <w:bCs/>
          <w:color w:val="auto"/>
          <w:sz w:val="32"/>
          <w:szCs w:val="32"/>
        </w:rPr>
        <w:t>加快现代农业园区建设</w:t>
      </w: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lang w:val="en-US" w:eastAsia="zh-CN"/>
        </w:rPr>
        <w:t>促进</w:t>
      </w:r>
      <w:r>
        <w:rPr>
          <w:rFonts w:hint="eastAsia" w:ascii="楷体_GB2312" w:hAnsi="楷体_GB2312" w:eastAsia="楷体_GB2312" w:cs="楷体_GB2312"/>
          <w:b/>
          <w:bCs/>
          <w:color w:val="auto"/>
          <w:sz w:val="32"/>
          <w:szCs w:val="32"/>
        </w:rPr>
        <w:t>一二三产业融合发展。</w:t>
      </w:r>
    </w:p>
    <w:p w14:paraId="1026CD6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val="0"/>
          <w:color w:val="000000"/>
          <w:sz w:val="32"/>
          <w:szCs w:val="32"/>
          <w:lang w:eastAsia="zh-CN"/>
        </w:rPr>
      </w:pPr>
      <w:r>
        <w:rPr>
          <w:rFonts w:hint="eastAsia" w:ascii="仿宋" w:hAnsi="仿宋" w:eastAsia="仿宋" w:cs="仿宋"/>
          <w:b w:val="0"/>
          <w:bCs/>
          <w:i w:val="0"/>
          <w:caps w:val="0"/>
          <w:color w:val="000000"/>
          <w:spacing w:val="0"/>
          <w:sz w:val="32"/>
          <w:szCs w:val="32"/>
          <w:shd w:val="clear" w:color="auto" w:fill="FFFFFF"/>
          <w:lang w:eastAsia="zh-CN"/>
        </w:rPr>
        <w:t>成立了由政府主要负责人担任主任，</w:t>
      </w:r>
      <w:r>
        <w:rPr>
          <w:rFonts w:hint="eastAsia" w:ascii="仿宋" w:hAnsi="仿宋" w:eastAsia="仿宋" w:cs="仿宋"/>
          <w:b w:val="0"/>
          <w:bCs/>
          <w:color w:val="000000"/>
          <w:sz w:val="32"/>
          <w:szCs w:val="32"/>
        </w:rPr>
        <w:t>相关部门负责人为成员的</w:t>
      </w:r>
      <w:r>
        <w:rPr>
          <w:rFonts w:hint="eastAsia" w:ascii="仿宋" w:hAnsi="仿宋" w:eastAsia="仿宋" w:cs="仿宋"/>
          <w:b w:val="0"/>
          <w:bCs/>
          <w:i w:val="0"/>
          <w:iCs w:val="0"/>
          <w:color w:val="000000"/>
          <w:sz w:val="32"/>
          <w:szCs w:val="32"/>
          <w:u w:val="none"/>
          <w:lang w:val="en-US" w:eastAsia="zh-CN"/>
        </w:rPr>
        <w:t>现代农业产业园区管理委员会，</w:t>
      </w:r>
      <w:r>
        <w:rPr>
          <w:rFonts w:hint="eastAsia" w:ascii="仿宋" w:hAnsi="仿宋" w:eastAsia="仿宋" w:cs="仿宋"/>
          <w:b w:val="0"/>
          <w:bCs/>
          <w:color w:val="000000"/>
          <w:sz w:val="32"/>
          <w:szCs w:val="32"/>
        </w:rPr>
        <w:t>建立例会制度,围绕建设目标，形成了</w:t>
      </w:r>
      <w:r>
        <w:rPr>
          <w:rFonts w:hint="eastAsia" w:ascii="仿宋" w:hAnsi="仿宋" w:eastAsia="仿宋" w:cs="仿宋"/>
          <w:b w:val="0"/>
          <w:bCs/>
          <w:color w:val="000000"/>
          <w:sz w:val="32"/>
          <w:szCs w:val="32"/>
          <w:lang w:eastAsia="zh-CN"/>
        </w:rPr>
        <w:t>多</w:t>
      </w:r>
      <w:r>
        <w:rPr>
          <w:rFonts w:hint="eastAsia" w:ascii="仿宋" w:hAnsi="仿宋" w:eastAsia="仿宋" w:cs="仿宋"/>
          <w:b w:val="0"/>
          <w:bCs/>
          <w:color w:val="000000"/>
          <w:sz w:val="32"/>
          <w:szCs w:val="32"/>
        </w:rPr>
        <w:t>部门合力推进的工作机制</w:t>
      </w:r>
      <w:r>
        <w:rPr>
          <w:rFonts w:hint="eastAsia" w:ascii="仿宋" w:hAnsi="仿宋" w:eastAsia="仿宋" w:cs="仿宋"/>
          <w:i w:val="0"/>
          <w:caps w:val="0"/>
          <w:color w:val="000000"/>
          <w:spacing w:val="0"/>
          <w:sz w:val="32"/>
          <w:szCs w:val="32"/>
          <w:shd w:val="clear" w:color="auto" w:fill="FFFFFF"/>
        </w:rPr>
        <w:t>。</w:t>
      </w:r>
      <w:r>
        <w:rPr>
          <w:rFonts w:hint="eastAsia" w:ascii="仿宋_GB2312" w:hAnsi="仿宋_GB2312" w:eastAsia="仿宋_GB2312" w:cs="仿宋_GB2312"/>
          <w:color w:val="000000"/>
          <w:sz w:val="32"/>
          <w:szCs w:val="32"/>
          <w:lang w:val="en-US" w:eastAsia="zh-CN"/>
        </w:rPr>
        <w:t>在已建成</w:t>
      </w:r>
      <w:r>
        <w:rPr>
          <w:rFonts w:hint="eastAsia" w:ascii="仿宋_GB2312" w:hAnsi="仿宋_GB2312" w:eastAsia="仿宋_GB2312" w:cs="仿宋_GB2312"/>
          <w:color w:val="000000"/>
          <w:sz w:val="32"/>
          <w:szCs w:val="32"/>
        </w:rPr>
        <w:t>3个省级示范农庄</w:t>
      </w:r>
      <w:r>
        <w:rPr>
          <w:rFonts w:hint="eastAsia" w:ascii="仿宋_GB2312" w:hAnsi="仿宋_GB2312" w:eastAsia="仿宋_GB2312" w:cs="仿宋_GB2312"/>
          <w:color w:val="000000"/>
          <w:sz w:val="32"/>
          <w:szCs w:val="32"/>
          <w:lang w:val="en-US" w:eastAsia="zh-CN"/>
        </w:rPr>
        <w:t>和</w:t>
      </w:r>
      <w:r>
        <w:rPr>
          <w:rFonts w:hint="eastAsia" w:ascii="仿宋_GB2312" w:hAnsi="仿宋_GB2312" w:eastAsia="仿宋_GB2312" w:cs="仿宋_GB2312"/>
          <w:color w:val="000000"/>
          <w:sz w:val="32"/>
          <w:szCs w:val="32"/>
        </w:rPr>
        <w:t>5处</w:t>
      </w:r>
      <w:r>
        <w:rPr>
          <w:rFonts w:hint="eastAsia" w:ascii="仿宋_GB2312" w:hAnsi="仿宋_GB2312" w:eastAsia="仿宋_GB2312" w:cs="仿宋_GB2312"/>
          <w:color w:val="000000"/>
          <w:sz w:val="32"/>
          <w:szCs w:val="32"/>
          <w:lang w:val="en-US" w:eastAsia="zh-CN"/>
        </w:rPr>
        <w:t>州级</w:t>
      </w:r>
      <w:r>
        <w:rPr>
          <w:rFonts w:hint="eastAsia" w:ascii="仿宋_GB2312" w:hAnsi="仿宋_GB2312" w:eastAsia="仿宋_GB2312" w:cs="仿宋_GB2312"/>
          <w:color w:val="000000"/>
          <w:sz w:val="32"/>
          <w:szCs w:val="32"/>
        </w:rPr>
        <w:t>现代农业产业融合示范园区</w:t>
      </w:r>
      <w:r>
        <w:rPr>
          <w:rFonts w:hint="eastAsia" w:ascii="仿宋_GB2312" w:hAnsi="仿宋_GB2312" w:eastAsia="仿宋_GB2312" w:cs="仿宋_GB2312"/>
          <w:color w:val="000000"/>
          <w:sz w:val="32"/>
          <w:szCs w:val="32"/>
          <w:lang w:val="en-US" w:eastAsia="zh-CN"/>
        </w:rPr>
        <w:t>的基础上，</w:t>
      </w:r>
      <w:r>
        <w:rPr>
          <w:rFonts w:hint="eastAsia" w:ascii="仿宋" w:hAnsi="仿宋" w:eastAsia="仿宋" w:cs="仿宋"/>
          <w:i w:val="0"/>
          <w:caps w:val="0"/>
          <w:color w:val="000000"/>
          <w:spacing w:val="0"/>
          <w:sz w:val="32"/>
          <w:szCs w:val="32"/>
          <w:shd w:val="clear" w:color="auto" w:fill="FFFFFF"/>
          <w:lang w:val="en-US" w:eastAsia="zh-CN"/>
        </w:rPr>
        <w:t>建设县级</w:t>
      </w:r>
      <w:r>
        <w:rPr>
          <w:rFonts w:hint="eastAsia" w:ascii="仿宋" w:hAnsi="仿宋" w:eastAsia="仿宋" w:cs="仿宋"/>
          <w:b w:val="0"/>
          <w:bCs/>
          <w:i w:val="0"/>
          <w:iCs w:val="0"/>
          <w:color w:val="000000"/>
          <w:sz w:val="32"/>
          <w:szCs w:val="32"/>
          <w:u w:val="none"/>
          <w:lang w:val="en-US" w:eastAsia="zh-CN"/>
        </w:rPr>
        <w:t>现代农业产业园3个（</w:t>
      </w:r>
      <w:r>
        <w:rPr>
          <w:rFonts w:hint="eastAsia" w:ascii="仿宋" w:hAnsi="仿宋" w:eastAsia="仿宋" w:cs="仿宋"/>
          <w:i w:val="0"/>
          <w:caps w:val="0"/>
          <w:color w:val="000000"/>
          <w:spacing w:val="0"/>
          <w:sz w:val="32"/>
          <w:szCs w:val="32"/>
          <w:shd w:val="clear" w:color="auto" w:fill="FFFFFF"/>
        </w:rPr>
        <w:t>罗依脆红李产业园区</w:t>
      </w:r>
      <w:r>
        <w:rPr>
          <w:rFonts w:hint="eastAsia" w:ascii="仿宋" w:hAnsi="仿宋" w:eastAsia="仿宋" w:cs="仿宋"/>
          <w:i w:val="0"/>
          <w:caps w:val="0"/>
          <w:color w:val="000000"/>
          <w:spacing w:val="0"/>
          <w:sz w:val="32"/>
          <w:szCs w:val="32"/>
          <w:shd w:val="clear" w:color="auto" w:fill="FFFFFF"/>
          <w:lang w:eastAsia="zh-CN"/>
        </w:rPr>
        <w:t>、</w:t>
      </w:r>
      <w:r>
        <w:rPr>
          <w:rFonts w:hint="eastAsia" w:ascii="仿宋" w:hAnsi="仿宋" w:eastAsia="仿宋" w:cs="仿宋"/>
          <w:i w:val="0"/>
          <w:caps w:val="0"/>
          <w:color w:val="000000"/>
          <w:spacing w:val="0"/>
          <w:sz w:val="32"/>
          <w:szCs w:val="32"/>
          <w:shd w:val="clear" w:color="auto" w:fill="FFFFFF"/>
        </w:rPr>
        <w:t>黑河镇甜樱桃产业园</w:t>
      </w:r>
      <w:r>
        <w:rPr>
          <w:rFonts w:hint="eastAsia" w:ascii="仿宋" w:hAnsi="仿宋" w:eastAsia="仿宋" w:cs="仿宋"/>
          <w:i w:val="0"/>
          <w:caps w:val="0"/>
          <w:color w:val="000000"/>
          <w:spacing w:val="0"/>
          <w:sz w:val="32"/>
          <w:szCs w:val="32"/>
          <w:shd w:val="clear" w:color="auto" w:fill="FFFFFF"/>
          <w:lang w:eastAsia="zh-CN"/>
        </w:rPr>
        <w:t>、</w:t>
      </w:r>
      <w:r>
        <w:rPr>
          <w:rFonts w:hint="eastAsia" w:ascii="仿宋" w:hAnsi="仿宋" w:eastAsia="仿宋" w:cs="仿宋"/>
          <w:i w:val="0"/>
          <w:caps w:val="0"/>
          <w:color w:val="000000"/>
          <w:spacing w:val="0"/>
          <w:sz w:val="32"/>
          <w:szCs w:val="32"/>
          <w:shd w:val="clear" w:color="auto" w:fill="FFFFFF"/>
        </w:rPr>
        <w:t>永和乡花椒产业园区</w:t>
      </w:r>
      <w:r>
        <w:rPr>
          <w:rFonts w:hint="eastAsia" w:ascii="仿宋" w:hAnsi="仿宋" w:eastAsia="仿宋" w:cs="仿宋"/>
          <w:i w:val="0"/>
          <w:caps w:val="0"/>
          <w:color w:val="000000"/>
          <w:spacing w:val="0"/>
          <w:sz w:val="32"/>
          <w:szCs w:val="32"/>
          <w:shd w:val="clear" w:color="auto" w:fill="FFFFFF"/>
          <w:lang w:eastAsia="zh-CN"/>
        </w:rPr>
        <w:t>），</w:t>
      </w:r>
      <w:r>
        <w:rPr>
          <w:rFonts w:hint="eastAsia" w:ascii="仿宋" w:hAnsi="仿宋" w:eastAsia="仿宋" w:cs="仿宋"/>
          <w:i w:val="0"/>
          <w:caps w:val="0"/>
          <w:color w:val="000000"/>
          <w:spacing w:val="0"/>
          <w:sz w:val="32"/>
          <w:szCs w:val="32"/>
          <w:shd w:val="clear" w:color="auto" w:fill="FFFFFF"/>
        </w:rPr>
        <w:t>罗依脆红李产业园区</w:t>
      </w:r>
      <w:r>
        <w:rPr>
          <w:rFonts w:hint="eastAsia" w:ascii="仿宋" w:hAnsi="仿宋" w:eastAsia="仿宋" w:cs="仿宋"/>
          <w:i w:val="0"/>
          <w:caps w:val="0"/>
          <w:color w:val="000000"/>
          <w:spacing w:val="0"/>
          <w:sz w:val="32"/>
          <w:szCs w:val="32"/>
          <w:shd w:val="clear" w:color="auto" w:fill="FFFFFF"/>
          <w:lang w:eastAsia="zh-CN"/>
        </w:rPr>
        <w:t>积极争创</w:t>
      </w:r>
      <w:r>
        <w:rPr>
          <w:rFonts w:hint="eastAsia" w:ascii="仿宋_GB2312" w:hAnsi="仿宋_GB2312" w:eastAsia="仿宋_GB2312" w:cs="仿宋_GB2312"/>
          <w:color w:val="000000"/>
          <w:sz w:val="32"/>
          <w:szCs w:val="32"/>
        </w:rPr>
        <w:t>州级现代农业产业园区</w:t>
      </w:r>
      <w:r>
        <w:rPr>
          <w:rFonts w:hint="eastAsia" w:ascii="仿宋_GB2312" w:hAnsi="仿宋_GB2312" w:eastAsia="仿宋_GB2312" w:cs="仿宋_GB2312"/>
          <w:color w:val="000000"/>
          <w:sz w:val="32"/>
          <w:szCs w:val="32"/>
          <w:lang w:eastAsia="zh-CN"/>
        </w:rPr>
        <w:t>。继续提升已创建的州级</w:t>
      </w:r>
      <w:r>
        <w:rPr>
          <w:rFonts w:hint="eastAsia" w:ascii="仿宋_GB2312" w:hAnsi="仿宋_GB2312" w:eastAsia="仿宋_GB2312" w:cs="仿宋_GB2312"/>
          <w:color w:val="000000"/>
          <w:sz w:val="32"/>
          <w:szCs w:val="32"/>
        </w:rPr>
        <w:t>现代农业产业园区</w:t>
      </w:r>
      <w:r>
        <w:rPr>
          <w:rFonts w:hint="eastAsia" w:ascii="仿宋_GB2312" w:hAnsi="仿宋_GB2312" w:eastAsia="仿宋_GB2312" w:cs="仿宋_GB2312"/>
          <w:color w:val="000000"/>
          <w:sz w:val="32"/>
          <w:szCs w:val="32"/>
          <w:lang w:eastAsia="zh-CN"/>
        </w:rPr>
        <w:t>（</w:t>
      </w:r>
      <w:r>
        <w:rPr>
          <w:rFonts w:hint="eastAsia" w:ascii="仿宋" w:hAnsi="仿宋" w:eastAsia="仿宋" w:cs="仿宋"/>
          <w:b w:val="0"/>
          <w:bCs w:val="0"/>
          <w:color w:val="000000"/>
          <w:sz w:val="32"/>
          <w:szCs w:val="32"/>
          <w:lang w:eastAsia="zh-CN"/>
        </w:rPr>
        <w:t>九寨沟县酿酒葡萄现代农业园区</w:t>
      </w:r>
      <w:r>
        <w:rPr>
          <w:rFonts w:hint="eastAsia" w:ascii="仿宋_GB2312" w:hAnsi="仿宋_GB2312" w:eastAsia="仿宋_GB2312" w:cs="仿宋_GB2312"/>
          <w:color w:val="000000"/>
          <w:sz w:val="32"/>
          <w:szCs w:val="32"/>
          <w:lang w:eastAsia="zh-CN"/>
        </w:rPr>
        <w:t>），</w:t>
      </w:r>
      <w:r>
        <w:rPr>
          <w:rFonts w:hint="eastAsia" w:ascii="仿宋" w:hAnsi="仿宋" w:eastAsia="仿宋" w:cs="仿宋"/>
          <w:b w:val="0"/>
          <w:bCs/>
          <w:color w:val="000000"/>
          <w:kern w:val="0"/>
          <w:sz w:val="32"/>
          <w:szCs w:val="32"/>
          <w:lang w:eastAsia="zh-CN"/>
        </w:rPr>
        <w:t>进一步夯实基础设施，</w:t>
      </w:r>
      <w:r>
        <w:rPr>
          <w:rFonts w:hint="eastAsia" w:ascii="仿宋" w:hAnsi="仿宋" w:eastAsia="仿宋" w:cs="仿宋"/>
          <w:b w:val="0"/>
          <w:bCs/>
          <w:i w:val="0"/>
          <w:caps w:val="0"/>
          <w:color w:val="000000"/>
          <w:spacing w:val="0"/>
          <w:sz w:val="32"/>
          <w:szCs w:val="32"/>
          <w:shd w:val="clear" w:color="auto" w:fill="FFFFFF"/>
        </w:rPr>
        <w:t>探索</w:t>
      </w:r>
      <w:r>
        <w:rPr>
          <w:rFonts w:hint="eastAsia" w:ascii="仿宋" w:hAnsi="仿宋" w:eastAsia="仿宋" w:cs="仿宋"/>
          <w:b w:val="0"/>
          <w:bCs/>
          <w:color w:val="000000"/>
          <w:spacing w:val="-6"/>
          <w:sz w:val="32"/>
          <w:szCs w:val="32"/>
        </w:rPr>
        <w:t>闲置土地流转</w:t>
      </w:r>
      <w:r>
        <w:rPr>
          <w:rFonts w:hint="eastAsia" w:ascii="仿宋" w:hAnsi="仿宋" w:eastAsia="仿宋" w:cs="仿宋"/>
          <w:b w:val="0"/>
          <w:bCs/>
          <w:color w:val="000000"/>
          <w:spacing w:val="-6"/>
          <w:sz w:val="32"/>
          <w:szCs w:val="32"/>
          <w:lang w:eastAsia="zh-CN"/>
        </w:rPr>
        <w:t>、</w:t>
      </w:r>
      <w:r>
        <w:rPr>
          <w:rFonts w:hint="eastAsia" w:ascii="仿宋" w:hAnsi="仿宋" w:eastAsia="仿宋" w:cs="仿宋"/>
          <w:b w:val="0"/>
          <w:bCs/>
          <w:color w:val="000000"/>
          <w:spacing w:val="-6"/>
          <w:sz w:val="32"/>
          <w:szCs w:val="32"/>
        </w:rPr>
        <w:t>村集体经济入股</w:t>
      </w:r>
      <w:r>
        <w:rPr>
          <w:rFonts w:hint="eastAsia" w:ascii="仿宋" w:hAnsi="仿宋" w:eastAsia="仿宋" w:cs="仿宋"/>
          <w:b w:val="0"/>
          <w:bCs/>
          <w:i w:val="0"/>
          <w:caps w:val="0"/>
          <w:color w:val="000000"/>
          <w:spacing w:val="0"/>
          <w:sz w:val="32"/>
          <w:szCs w:val="32"/>
          <w:shd w:val="clear" w:color="auto" w:fill="FFFFFF"/>
        </w:rPr>
        <w:t>等利益联结机制，</w:t>
      </w:r>
      <w:r>
        <w:rPr>
          <w:rFonts w:hint="eastAsia" w:ascii="仿宋" w:hAnsi="仿宋" w:eastAsia="仿宋" w:cs="仿宋"/>
          <w:b w:val="0"/>
          <w:bCs/>
          <w:color w:val="000000"/>
          <w:kern w:val="0"/>
          <w:sz w:val="32"/>
          <w:szCs w:val="32"/>
        </w:rPr>
        <w:t>制定用地</w:t>
      </w:r>
      <w:r>
        <w:rPr>
          <w:rFonts w:hint="eastAsia" w:ascii="仿宋" w:hAnsi="仿宋" w:eastAsia="仿宋" w:cs="仿宋"/>
          <w:b w:val="0"/>
          <w:bCs/>
          <w:color w:val="000000"/>
          <w:kern w:val="0"/>
          <w:sz w:val="32"/>
          <w:szCs w:val="32"/>
          <w:lang w:eastAsia="zh-CN"/>
        </w:rPr>
        <w:t>、人才等</w:t>
      </w:r>
      <w:r>
        <w:rPr>
          <w:rFonts w:hint="eastAsia" w:ascii="仿宋" w:hAnsi="仿宋" w:eastAsia="仿宋" w:cs="仿宋"/>
          <w:b w:val="0"/>
          <w:bCs/>
          <w:color w:val="000000"/>
          <w:kern w:val="0"/>
          <w:sz w:val="32"/>
          <w:szCs w:val="32"/>
        </w:rPr>
        <w:t>保障政策</w:t>
      </w:r>
      <w:r>
        <w:rPr>
          <w:rFonts w:hint="eastAsia" w:ascii="仿宋" w:hAnsi="仿宋" w:eastAsia="仿宋" w:cs="仿宋"/>
          <w:b w:val="0"/>
          <w:bCs/>
          <w:color w:val="000000"/>
          <w:kern w:val="0"/>
          <w:sz w:val="32"/>
          <w:szCs w:val="32"/>
          <w:lang w:eastAsia="zh-CN"/>
        </w:rPr>
        <w:t>，</w:t>
      </w:r>
      <w:r>
        <w:rPr>
          <w:rFonts w:hint="eastAsia" w:ascii="仿宋" w:hAnsi="仿宋" w:eastAsia="仿宋" w:cs="仿宋"/>
          <w:b w:val="0"/>
          <w:bCs/>
          <w:i w:val="0"/>
          <w:caps w:val="0"/>
          <w:color w:val="000000"/>
          <w:spacing w:val="0"/>
          <w:sz w:val="32"/>
          <w:szCs w:val="32"/>
          <w:shd w:val="clear" w:color="auto" w:fill="FFFFFF"/>
        </w:rPr>
        <w:t>汇聚各方力量共同推进</w:t>
      </w:r>
      <w:r>
        <w:rPr>
          <w:rFonts w:hint="eastAsia" w:ascii="仿宋" w:hAnsi="仿宋" w:eastAsia="仿宋" w:cs="仿宋"/>
          <w:b w:val="0"/>
          <w:bCs/>
          <w:i w:val="0"/>
          <w:caps w:val="0"/>
          <w:color w:val="000000"/>
          <w:spacing w:val="0"/>
          <w:sz w:val="32"/>
          <w:szCs w:val="32"/>
          <w:shd w:val="clear" w:color="auto" w:fill="FFFFFF"/>
          <w:lang w:eastAsia="zh-CN"/>
        </w:rPr>
        <w:t>园</w:t>
      </w:r>
      <w:r>
        <w:rPr>
          <w:rFonts w:hint="eastAsia" w:ascii="仿宋" w:hAnsi="仿宋" w:eastAsia="仿宋" w:cs="仿宋"/>
          <w:b w:val="0"/>
          <w:bCs/>
          <w:i w:val="0"/>
          <w:caps w:val="0"/>
          <w:color w:val="000000"/>
          <w:spacing w:val="0"/>
          <w:sz w:val="32"/>
          <w:szCs w:val="32"/>
          <w:shd w:val="clear" w:color="auto" w:fill="FFFFFF"/>
        </w:rPr>
        <w:t>区</w:t>
      </w:r>
      <w:r>
        <w:rPr>
          <w:rFonts w:hint="eastAsia" w:ascii="仿宋" w:hAnsi="仿宋" w:eastAsia="仿宋" w:cs="仿宋"/>
          <w:b w:val="0"/>
          <w:bCs/>
          <w:i w:val="0"/>
          <w:caps w:val="0"/>
          <w:color w:val="000000"/>
          <w:spacing w:val="0"/>
          <w:sz w:val="32"/>
          <w:szCs w:val="32"/>
          <w:shd w:val="clear" w:color="auto" w:fill="FFFFFF"/>
          <w:lang w:eastAsia="zh-CN"/>
        </w:rPr>
        <w:t>发展，</w:t>
      </w:r>
      <w:r>
        <w:rPr>
          <w:rFonts w:hint="eastAsia" w:ascii="仿宋" w:hAnsi="仿宋" w:eastAsia="仿宋" w:cs="仿宋"/>
          <w:color w:val="000000"/>
          <w:spacing w:val="-6"/>
          <w:kern w:val="0"/>
          <w:sz w:val="32"/>
          <w:szCs w:val="32"/>
          <w:lang w:val="en-US" w:eastAsia="zh-CN" w:bidi="ar-SA"/>
        </w:rPr>
        <w:t>致力把园区打造为集有机种养、生态旅游、休闲度假为一体的综合性产业，</w:t>
      </w:r>
      <w:r>
        <w:rPr>
          <w:rFonts w:hint="eastAsia" w:ascii="仿宋" w:hAnsi="仿宋" w:eastAsia="仿宋" w:cs="仿宋"/>
          <w:b w:val="0"/>
          <w:bCs w:val="0"/>
          <w:color w:val="000000"/>
          <w:sz w:val="32"/>
          <w:szCs w:val="32"/>
        </w:rPr>
        <w:t>构建融合发展格局</w:t>
      </w:r>
      <w:r>
        <w:rPr>
          <w:rFonts w:hint="eastAsia" w:ascii="仿宋" w:hAnsi="仿宋" w:eastAsia="仿宋" w:cs="仿宋"/>
          <w:b w:val="0"/>
          <w:bCs w:val="0"/>
          <w:color w:val="000000"/>
          <w:sz w:val="32"/>
          <w:szCs w:val="32"/>
          <w:lang w:eastAsia="zh-CN"/>
        </w:rPr>
        <w:t>。</w:t>
      </w:r>
    </w:p>
    <w:p w14:paraId="00824F5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color w:val="auto"/>
          <w:sz w:val="32"/>
          <w:szCs w:val="32"/>
          <w:lang w:val="en-US" w:eastAsia="zh-CN"/>
        </w:rPr>
        <w:t>3.</w:t>
      </w:r>
      <w:r>
        <w:rPr>
          <w:rFonts w:hint="eastAsia" w:ascii="楷体_GB2312" w:hAnsi="楷体_GB2312" w:eastAsia="楷体_GB2312" w:cs="楷体_GB2312"/>
          <w:b/>
          <w:bCs/>
          <w:color w:val="auto"/>
          <w:sz w:val="32"/>
          <w:szCs w:val="32"/>
        </w:rPr>
        <w:t>聚焦全面</w:t>
      </w:r>
      <w:r>
        <w:rPr>
          <w:rFonts w:hint="eastAsia" w:ascii="楷体_GB2312" w:hAnsi="楷体_GB2312" w:eastAsia="楷体_GB2312" w:cs="楷体_GB2312"/>
          <w:b/>
          <w:bCs/>
          <w:color w:val="auto"/>
          <w:sz w:val="32"/>
          <w:szCs w:val="32"/>
          <w:lang w:val="en-US" w:eastAsia="zh-CN"/>
        </w:rPr>
        <w:t>脱贫</w:t>
      </w:r>
      <w:r>
        <w:rPr>
          <w:rFonts w:hint="eastAsia" w:ascii="楷体_GB2312" w:hAnsi="楷体_GB2312" w:eastAsia="楷体_GB2312" w:cs="楷体_GB2312"/>
          <w:b/>
          <w:bCs/>
          <w:color w:val="auto"/>
          <w:sz w:val="32"/>
          <w:szCs w:val="32"/>
        </w:rPr>
        <w:t>决胜任务</w:t>
      </w: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lang w:val="en-US" w:eastAsia="zh-CN"/>
        </w:rPr>
        <w:t>持续开展扶贫帮扶。</w:t>
      </w:r>
      <w:r>
        <w:rPr>
          <w:rFonts w:hint="eastAsia" w:ascii="仿宋_GB2312" w:hAnsi="仿宋_GB2312" w:eastAsia="仿宋_GB2312" w:cs="仿宋_GB2312"/>
          <w:b/>
          <w:bCs/>
          <w:sz w:val="32"/>
          <w:szCs w:val="32"/>
          <w:lang w:val="en-US" w:eastAsia="zh-CN"/>
        </w:rPr>
        <w:t>一是大力发展村集体经济。</w:t>
      </w:r>
      <w:r>
        <w:rPr>
          <w:rFonts w:hint="eastAsia" w:ascii="仿宋_GB2312" w:hAnsi="仿宋_GB2312" w:eastAsia="仿宋_GB2312" w:cs="仿宋_GB2312"/>
          <w:sz w:val="32"/>
          <w:szCs w:val="32"/>
          <w:lang w:val="en-US" w:eastAsia="zh-CN"/>
        </w:rPr>
        <w:t>通过鼓励和引导村集体经济组织，依托产业扶持基金、集体经济试点项目、历年来已建成集体经济三大项目发展村集体经济。全县105个集体经济项目，预计全年实现集体经济总收益620万元。</w:t>
      </w:r>
      <w:r>
        <w:rPr>
          <w:rFonts w:hint="eastAsia" w:ascii="仿宋_GB2312" w:hAnsi="仿宋_GB2312" w:eastAsia="仿宋_GB2312" w:cs="仿宋_GB2312"/>
          <w:b/>
          <w:bCs/>
          <w:sz w:val="32"/>
          <w:szCs w:val="32"/>
          <w:lang w:val="en-US" w:eastAsia="zh-CN"/>
        </w:rPr>
        <w:t>二是加强技术指导服务。</w:t>
      </w:r>
      <w:r>
        <w:rPr>
          <w:rFonts w:hint="eastAsia" w:ascii="仿宋_GB2312" w:hAnsi="仿宋_GB2312" w:eastAsia="仿宋_GB2312" w:cs="仿宋_GB2312"/>
          <w:sz w:val="32"/>
          <w:szCs w:val="32"/>
          <w:lang w:val="en-US" w:eastAsia="zh-CN"/>
        </w:rPr>
        <w:t>深入开展“农技人员进园区”、“农业技术人员联乡驻村”、“科技特派员与贫困村结对服务”等活动，建立专家技术服务团队1个，科技巡回小组1个，开展巡回服务30余次。同时，邀请科技扶贫“万里行”专家就我县中药材、特色小水果技术、中锋养殖技术，现场进行指导，受益贫困户和非贫困户达700人；驻村农技员集中举办培训班50次，培训农民5230人次；农技员走访入户指导1230次，一对一技术指导培训2153人次；QQ、微信、E农通、农技宝等发送技术信息68条；</w:t>
      </w:r>
      <w:r>
        <w:rPr>
          <w:rFonts w:hint="eastAsia" w:ascii="仿宋_GB2312" w:hAnsi="仿宋_GB2312" w:eastAsia="仿宋_GB2312" w:cs="仿宋_GB2312"/>
          <w:sz w:val="32"/>
          <w:szCs w:val="32"/>
        </w:rPr>
        <w:t>科技特派员12人</w:t>
      </w:r>
      <w:r>
        <w:rPr>
          <w:rFonts w:hint="eastAsia" w:ascii="仿宋_GB2312" w:hAnsi="仿宋_GB2312" w:eastAsia="仿宋_GB2312" w:cs="仿宋_GB2312"/>
          <w:bCs/>
          <w:kern w:val="2"/>
          <w:sz w:val="32"/>
          <w:szCs w:val="32"/>
          <w:lang w:eastAsia="zh-CN"/>
        </w:rPr>
        <w:t>开</w:t>
      </w:r>
      <w:r>
        <w:rPr>
          <w:rFonts w:hint="eastAsia" w:ascii="仿宋_GB2312" w:hAnsi="仿宋_GB2312" w:eastAsia="仿宋_GB2312" w:cs="仿宋_GB2312"/>
          <w:sz w:val="32"/>
          <w:szCs w:val="32"/>
          <w:lang w:eastAsia="zh-CN"/>
        </w:rPr>
        <w:t>展</w:t>
      </w:r>
      <w:r>
        <w:rPr>
          <w:rStyle w:val="42"/>
          <w:rFonts w:hint="eastAsia" w:ascii="仿宋_GB2312" w:hAnsi="仿宋_GB2312" w:eastAsia="仿宋_GB2312" w:cs="仿宋_GB2312"/>
          <w:bCs/>
          <w:sz w:val="32"/>
          <w:szCs w:val="32"/>
        </w:rPr>
        <w:t>实地</w:t>
      </w:r>
      <w:r>
        <w:rPr>
          <w:rStyle w:val="42"/>
          <w:rFonts w:hint="eastAsia" w:ascii="仿宋_GB2312" w:hAnsi="仿宋_GB2312" w:eastAsia="仿宋_GB2312" w:cs="仿宋_GB2312"/>
          <w:bCs/>
          <w:sz w:val="32"/>
          <w:szCs w:val="32"/>
          <w:lang w:val="en-US" w:eastAsia="zh-CN"/>
        </w:rPr>
        <w:t>科技指导服务</w:t>
      </w:r>
      <w:r>
        <w:rPr>
          <w:rFonts w:hint="eastAsia" w:ascii="仿宋_GB2312" w:hAnsi="仿宋_GB2312" w:eastAsia="仿宋_GB2312" w:cs="仿宋_GB2312"/>
          <w:sz w:val="32"/>
          <w:szCs w:val="32"/>
          <w:lang w:val="en-US" w:eastAsia="zh-CN"/>
        </w:rPr>
        <w:t>24次</w:t>
      </w:r>
      <w:r>
        <w:rPr>
          <w:rStyle w:val="42"/>
          <w:rFonts w:hint="eastAsia" w:ascii="仿宋_GB2312" w:hAnsi="仿宋_GB2312" w:eastAsia="仿宋_GB2312" w:cs="仿宋_GB2312"/>
          <w:bCs/>
          <w:sz w:val="32"/>
          <w:szCs w:val="32"/>
          <w:lang w:eastAsia="zh-CN"/>
        </w:rPr>
        <w:t>、</w:t>
      </w:r>
      <w:r>
        <w:rPr>
          <w:rStyle w:val="42"/>
          <w:rFonts w:hint="eastAsia" w:ascii="仿宋_GB2312" w:hAnsi="仿宋_GB2312" w:eastAsia="仿宋_GB2312" w:cs="仿宋_GB2312"/>
          <w:bCs/>
          <w:sz w:val="32"/>
          <w:szCs w:val="32"/>
        </w:rPr>
        <w:t>2</w:t>
      </w:r>
      <w:r>
        <w:rPr>
          <w:rStyle w:val="42"/>
          <w:rFonts w:hint="eastAsia" w:ascii="仿宋_GB2312" w:hAnsi="仿宋_GB2312" w:eastAsia="仿宋_GB2312" w:cs="仿宋_GB2312"/>
          <w:bCs/>
          <w:sz w:val="32"/>
          <w:szCs w:val="32"/>
          <w:lang w:val="en-US" w:eastAsia="zh-CN"/>
        </w:rPr>
        <w:t>6</w:t>
      </w:r>
      <w:r>
        <w:rPr>
          <w:rStyle w:val="42"/>
          <w:rFonts w:hint="eastAsia" w:ascii="仿宋_GB2312" w:hAnsi="仿宋_GB2312" w:eastAsia="仿宋_GB2312" w:cs="仿宋_GB2312"/>
          <w:bCs/>
          <w:sz w:val="32"/>
          <w:szCs w:val="32"/>
        </w:rPr>
        <w:t>0人次</w:t>
      </w:r>
      <w:r>
        <w:rPr>
          <w:rStyle w:val="42"/>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kern w:val="2"/>
          <w:sz w:val="32"/>
          <w:szCs w:val="32"/>
        </w:rPr>
        <w:t>“三区人才”</w:t>
      </w:r>
      <w:r>
        <w:rPr>
          <w:rFonts w:hint="eastAsia" w:ascii="仿宋_GB2312" w:hAnsi="仿宋_GB2312" w:eastAsia="仿宋_GB2312" w:cs="仿宋_GB2312"/>
          <w:bCs/>
          <w:kern w:val="2"/>
          <w:sz w:val="32"/>
          <w:szCs w:val="32"/>
          <w:lang w:val="en-US" w:eastAsia="zh-CN"/>
        </w:rPr>
        <w:t>5</w:t>
      </w:r>
      <w:r>
        <w:rPr>
          <w:rFonts w:hint="eastAsia" w:ascii="仿宋_GB2312" w:hAnsi="仿宋_GB2312" w:eastAsia="仿宋_GB2312" w:cs="仿宋_GB2312"/>
          <w:bCs/>
          <w:kern w:val="2"/>
          <w:sz w:val="32"/>
          <w:szCs w:val="32"/>
          <w:lang w:eastAsia="zh-CN"/>
        </w:rPr>
        <w:t>次</w:t>
      </w:r>
      <w:r>
        <w:rPr>
          <w:rFonts w:hint="eastAsia" w:ascii="仿宋_GB2312" w:hAnsi="仿宋_GB2312" w:eastAsia="仿宋_GB2312" w:cs="仿宋_GB2312"/>
          <w:bCs/>
          <w:kern w:val="2"/>
          <w:sz w:val="32"/>
          <w:szCs w:val="32"/>
        </w:rPr>
        <w:t>，</w:t>
      </w:r>
      <w:r>
        <w:rPr>
          <w:rFonts w:hint="eastAsia" w:ascii="仿宋_GB2312" w:hAnsi="仿宋_GB2312" w:eastAsia="仿宋_GB2312" w:cs="仿宋_GB2312"/>
          <w:sz w:val="32"/>
          <w:szCs w:val="32"/>
        </w:rPr>
        <w:t>覆盖全县48个贫困村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sz w:val="32"/>
          <w:szCs w:val="32"/>
        </w:rPr>
        <w:t>积极建设科技扶贫在线平台。</w:t>
      </w:r>
      <w:r>
        <w:rPr>
          <w:rFonts w:hint="eastAsia" w:ascii="仿宋_GB2312" w:hAnsi="仿宋_GB2312" w:eastAsia="仿宋_GB2312" w:cs="仿宋_GB2312"/>
          <w:sz w:val="32"/>
          <w:szCs w:val="32"/>
        </w:rPr>
        <w:t>不断完善“四川科技扶贫在线”专家服务、技术供给、产业信息、供销对接四大服务功能，组建涵盖全县1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0个行政村的村级科技服务平台（村科技扶贫驿站）。</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年全面完成运管中心86名专家、409名信息员、1934名示科技范户和贫困户的录入工作，已完成咨询</w:t>
      </w:r>
      <w:r>
        <w:rPr>
          <w:rFonts w:hint="eastAsia" w:ascii="仿宋_GB2312" w:hAnsi="仿宋_GB2312" w:eastAsia="仿宋_GB2312" w:cs="仿宋_GB2312"/>
          <w:sz w:val="32"/>
          <w:szCs w:val="32"/>
          <w:lang w:val="en-US" w:eastAsia="zh-CN"/>
        </w:rPr>
        <w:t>869</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val="en-US" w:eastAsia="zh-CN"/>
        </w:rPr>
        <w:t>,超额完成省、州下达目标任务</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lang w:val="en-US" w:eastAsia="zh-CN"/>
        </w:rPr>
        <w:t>4.加强东西科技扶贫。</w:t>
      </w:r>
      <w:r>
        <w:rPr>
          <w:rFonts w:hint="eastAsia" w:ascii="仿宋_GB2312" w:hAnsi="仿宋_GB2312" w:eastAsia="仿宋_GB2312" w:cs="仿宋_GB2312"/>
          <w:sz w:val="32"/>
          <w:szCs w:val="32"/>
          <w:lang w:val="en-US" w:eastAsia="zh-CN"/>
        </w:rPr>
        <w:t>加强浙川两省区的战略协作，按照浙川两省区关于全面打赢脱贫攻坚战的新部署和新要求，督促东西协作扶贫项目的实施，带动周边贫困户120余户，300余人致富。</w:t>
      </w:r>
    </w:p>
    <w:p w14:paraId="35369690">
      <w:pPr>
        <w:keepNext w:val="0"/>
        <w:keepLines w:val="0"/>
        <w:pageBreakBefore w:val="0"/>
        <w:widowControl w:val="0"/>
        <w:kinsoku/>
        <w:wordWrap/>
        <w:overflowPunct/>
        <w:topLinePunct w:val="0"/>
        <w:autoSpaceDE/>
        <w:autoSpaceDN/>
        <w:bidi w:val="0"/>
        <w:adjustRightInd/>
        <w:snapToGrid/>
        <w:spacing w:line="560" w:lineRule="exact"/>
        <w:ind w:firstLine="633" w:firstLineChars="197"/>
        <w:textAlignment w:val="auto"/>
        <w:rPr>
          <w:rFonts w:hint="eastAsia" w:ascii="仿宋_GB2312" w:hAnsi="仿宋_GB2312" w:eastAsia="仿宋_GB2312" w:cs="仿宋_GB2312"/>
          <w:bCs/>
          <w:color w:val="000000"/>
          <w:sz w:val="32"/>
          <w:szCs w:val="32"/>
          <w:lang w:eastAsia="zh-CN"/>
        </w:rPr>
      </w:pPr>
      <w:r>
        <w:rPr>
          <w:rFonts w:hint="eastAsia" w:ascii="楷体_GB2312" w:hAnsi="楷体_GB2312" w:eastAsia="楷体_GB2312" w:cs="楷体_GB2312"/>
          <w:b/>
          <w:bCs/>
          <w:color w:val="000000"/>
          <w:sz w:val="32"/>
          <w:szCs w:val="32"/>
          <w:lang w:val="en-US" w:eastAsia="zh-CN"/>
        </w:rPr>
        <w:t>4.大力</w:t>
      </w:r>
      <w:r>
        <w:rPr>
          <w:rFonts w:hint="eastAsia" w:ascii="楷体_GB2312" w:hAnsi="楷体_GB2312" w:eastAsia="楷体_GB2312" w:cs="楷体_GB2312"/>
          <w:b/>
          <w:bCs/>
          <w:color w:val="000000"/>
          <w:sz w:val="32"/>
          <w:szCs w:val="32"/>
        </w:rPr>
        <w:t>改善</w:t>
      </w:r>
      <w:r>
        <w:rPr>
          <w:rFonts w:hint="eastAsia" w:ascii="楷体_GB2312" w:hAnsi="楷体_GB2312" w:eastAsia="楷体_GB2312" w:cs="楷体_GB2312"/>
          <w:b/>
          <w:bCs/>
          <w:color w:val="000000"/>
          <w:sz w:val="32"/>
          <w:szCs w:val="32"/>
          <w:lang w:val="en-US" w:eastAsia="zh-CN"/>
        </w:rPr>
        <w:t>农业</w:t>
      </w:r>
      <w:r>
        <w:rPr>
          <w:rFonts w:hint="eastAsia" w:ascii="楷体_GB2312" w:hAnsi="楷体_GB2312" w:eastAsia="楷体_GB2312" w:cs="楷体_GB2312"/>
          <w:b/>
          <w:bCs/>
          <w:color w:val="000000"/>
          <w:sz w:val="32"/>
          <w:szCs w:val="32"/>
        </w:rPr>
        <w:t>基础短板</w:t>
      </w:r>
      <w:r>
        <w:rPr>
          <w:rFonts w:hint="eastAsia" w:ascii="楷体_GB2312" w:hAnsi="楷体_GB2312" w:eastAsia="楷体_GB2312" w:cs="楷体_GB2312"/>
          <w:b/>
          <w:bCs/>
          <w:color w:val="000000"/>
          <w:sz w:val="32"/>
          <w:szCs w:val="32"/>
          <w:lang w:eastAsia="zh-CN"/>
        </w:rPr>
        <w:t>，</w:t>
      </w:r>
      <w:r>
        <w:rPr>
          <w:rFonts w:hint="eastAsia" w:ascii="楷体_GB2312" w:hAnsi="楷体_GB2312" w:eastAsia="楷体_GB2312" w:cs="楷体_GB2312"/>
          <w:b/>
          <w:bCs/>
          <w:color w:val="000000"/>
          <w:sz w:val="32"/>
          <w:szCs w:val="32"/>
        </w:rPr>
        <w:t> 稳步提升发展能力</w:t>
      </w:r>
      <w:r>
        <w:rPr>
          <w:rFonts w:hint="eastAsia" w:ascii="楷体_GB2312" w:hAnsi="楷体_GB2312" w:eastAsia="楷体_GB2312" w:cs="楷体_GB2312"/>
          <w:b/>
          <w:bCs/>
          <w:color w:val="000000"/>
          <w:sz w:val="32"/>
          <w:szCs w:val="32"/>
          <w:lang w:eastAsia="zh-CN"/>
        </w:rPr>
        <w:t>。</w:t>
      </w:r>
      <w:r>
        <w:rPr>
          <w:rFonts w:hint="eastAsia" w:ascii="仿宋_GB2312" w:hAnsi="仿宋_GB2312" w:eastAsia="仿宋_GB2312" w:cs="仿宋_GB2312"/>
          <w:b/>
          <w:bCs/>
          <w:kern w:val="2"/>
          <w:sz w:val="32"/>
          <w:szCs w:val="32"/>
          <w:lang w:val="en-US" w:eastAsia="zh-CN" w:bidi="ar-SA"/>
        </w:rPr>
        <w:t>一是</w:t>
      </w:r>
      <w:r>
        <w:rPr>
          <w:rFonts w:hint="eastAsia" w:ascii="仿宋_GB2312" w:hAnsi="仿宋_GB2312" w:eastAsia="仿宋_GB2312" w:cs="仿宋_GB2312"/>
          <w:b w:val="0"/>
          <w:bCs w:val="0"/>
          <w:kern w:val="2"/>
          <w:sz w:val="32"/>
          <w:szCs w:val="32"/>
          <w:lang w:val="en-US" w:eastAsia="zh-CN" w:bidi="ar-SA"/>
        </w:rPr>
        <w:t>全面完成“8.8”九寨沟地震农业灾后重建项目。</w:t>
      </w:r>
      <w:r>
        <w:rPr>
          <w:rFonts w:hint="eastAsia" w:ascii="仿宋_GB2312" w:hAnsi="仿宋_GB2312" w:eastAsia="仿宋_GB2312" w:cs="仿宋_GB2312"/>
          <w:sz w:val="32"/>
          <w:szCs w:val="32"/>
          <w:lang w:val="en-US" w:eastAsia="zh-CN"/>
        </w:rPr>
        <w:t>已完成</w:t>
      </w:r>
      <w:r>
        <w:rPr>
          <w:rFonts w:hint="eastAsia" w:ascii="仿宋_GB2312" w:hAnsi="仿宋_GB2312" w:eastAsia="仿宋_GB2312" w:cs="仿宋_GB2312"/>
          <w:sz w:val="32"/>
          <w:szCs w:val="32"/>
        </w:rPr>
        <w:t>修建恢复提灌站2处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农机化生产道路30公里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畜禽圈舍</w:t>
      </w:r>
      <w:r>
        <w:rPr>
          <w:rFonts w:hint="eastAsia" w:ascii="仿宋_GB2312" w:hAnsi="仿宋_GB2312" w:eastAsia="仿宋_GB2312" w:cs="仿宋_GB2312"/>
          <w:sz w:val="32"/>
          <w:szCs w:val="32"/>
          <w:lang w:val="en-US" w:eastAsia="zh-CN"/>
        </w:rPr>
        <w:t>8770</w:t>
      </w:r>
      <w:r>
        <w:rPr>
          <w:rFonts w:hint="eastAsia" w:ascii="仿宋_GB2312" w:hAnsi="仿宋_GB2312" w:eastAsia="仿宋_GB2312" w:cs="仿宋_GB2312"/>
          <w:sz w:val="32"/>
          <w:szCs w:val="32"/>
        </w:rPr>
        <w:t>平方米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i w:val="0"/>
          <w:caps w:val="0"/>
          <w:color w:val="auto"/>
          <w:spacing w:val="0"/>
          <w:sz w:val="32"/>
          <w:szCs w:val="32"/>
          <w:shd w:val="clear" w:color="auto" w:fill="FFFFFF"/>
          <w:lang w:eastAsia="zh-CN"/>
        </w:rPr>
        <w:t>实施</w:t>
      </w:r>
      <w:r>
        <w:rPr>
          <w:rFonts w:hint="eastAsia" w:ascii="仿宋_GB2312" w:hAnsi="仿宋_GB2312" w:eastAsia="仿宋_GB2312" w:cs="仿宋_GB2312"/>
          <w:color w:val="auto"/>
          <w:sz w:val="32"/>
          <w:szCs w:val="32"/>
          <w:lang w:eastAsia="zh-CN"/>
        </w:rPr>
        <w:t>特色水果技术能力提升5850亩；甜樱桃、脆红李等特色水果基地建设8个，面积达2000亩；中药材繁育基地150亩、油菜和蔬菜基地650亩，中蜂养殖基地8处2500箱；</w:t>
      </w:r>
      <w:r>
        <w:rPr>
          <w:rFonts w:hint="eastAsia" w:ascii="仿宋_GB2312" w:hAnsi="仿宋_GB2312" w:eastAsia="仿宋_GB2312" w:cs="仿宋_GB2312"/>
          <w:b w:val="0"/>
          <w:bCs w:val="0"/>
          <w:i w:val="0"/>
          <w:caps w:val="0"/>
          <w:color w:val="auto"/>
          <w:spacing w:val="0"/>
          <w:sz w:val="32"/>
          <w:szCs w:val="32"/>
          <w:shd w:val="clear" w:color="auto" w:fill="FFFFFF"/>
          <w:lang w:eastAsia="zh-CN"/>
        </w:rPr>
        <w:t>建设完成</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现代农业示范园</w:t>
      </w:r>
      <w:r>
        <w:rPr>
          <w:rFonts w:hint="eastAsia" w:ascii="仿宋_GB2312" w:hAnsi="仿宋_GB2312" w:eastAsia="仿宋_GB2312" w:cs="仿宋_GB2312"/>
          <w:b w:val="0"/>
          <w:bCs w:val="0"/>
          <w:color w:val="auto"/>
          <w:kern w:val="0"/>
          <w:sz w:val="32"/>
          <w:szCs w:val="32"/>
          <w:highlight w:val="none"/>
          <w:shd w:val="clear" w:color="auto" w:fill="auto"/>
          <w:lang w:val="en-US" w:eastAsia="zh-CN" w:bidi="ar"/>
        </w:rPr>
        <w:t>5个</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w:t>
      </w:r>
      <w:r>
        <w:rPr>
          <w:rFonts w:hint="eastAsia" w:ascii="仿宋_GB2312" w:hAnsi="仿宋_GB2312" w:eastAsia="仿宋_GB2312" w:cs="仿宋_GB2312"/>
          <w:sz w:val="32"/>
          <w:szCs w:val="32"/>
        </w:rPr>
        <w:t>完成牧道维修84公里、牧桥29座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实施</w:t>
      </w:r>
      <w:r>
        <w:rPr>
          <w:rFonts w:hint="eastAsia" w:ascii="仿宋_GB2312" w:hAnsi="仿宋_GB2312" w:eastAsia="仿宋_GB2312" w:cs="仿宋_GB2312"/>
          <w:b w:val="0"/>
          <w:bCs w:val="0"/>
          <w:color w:val="auto"/>
          <w:kern w:val="0"/>
          <w:sz w:val="32"/>
          <w:szCs w:val="32"/>
          <w:lang w:val="en-US" w:eastAsia="zh-CN"/>
        </w:rPr>
        <w:t>东西部扶贫援建项目，提升内生动力。完成农产品集散及冷链物流中心建设项目、畜牧业产业帮扶项目、</w:t>
      </w:r>
      <w:r>
        <w:rPr>
          <w:rFonts w:hint="eastAsia" w:ascii="仿宋_GB2312" w:hAnsi="仿宋_GB2312" w:eastAsia="仿宋_GB2312" w:cs="仿宋_GB2312"/>
          <w:color w:val="000000"/>
          <w:sz w:val="32"/>
          <w:szCs w:val="32"/>
        </w:rPr>
        <w:t>特色农产品加工集散中心项目</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培育壮大优势特色农业产业项目</w:t>
      </w:r>
      <w:r>
        <w:rPr>
          <w:rFonts w:hint="eastAsia" w:ascii="仿宋_GB2312" w:hAnsi="仿宋_GB2312" w:eastAsia="仿宋_GB2312" w:cs="仿宋_GB2312"/>
          <w:color w:val="000000"/>
          <w:sz w:val="32"/>
          <w:szCs w:val="32"/>
          <w:lang w:eastAsia="zh-CN"/>
        </w:rPr>
        <w:t>等项目</w:t>
      </w:r>
      <w:r>
        <w:rPr>
          <w:rFonts w:hint="eastAsia" w:ascii="仿宋_GB2312" w:hAnsi="仿宋_GB2312" w:eastAsia="仿宋_GB2312" w:cs="仿宋_GB2312"/>
          <w:b w:val="0"/>
          <w:bCs w:val="0"/>
          <w:color w:val="auto"/>
          <w:kern w:val="0"/>
          <w:sz w:val="32"/>
          <w:szCs w:val="32"/>
          <w:lang w:val="en-US" w:eastAsia="zh-CN"/>
        </w:rPr>
        <w:t>，</w:t>
      </w:r>
      <w:r>
        <w:rPr>
          <w:rFonts w:hint="eastAsia" w:ascii="仿宋_GB2312" w:hAnsi="仿宋_GB2312" w:eastAsia="仿宋_GB2312" w:cs="仿宋_GB2312"/>
          <w:b w:val="0"/>
          <w:bCs/>
          <w:sz w:val="32"/>
          <w:szCs w:val="32"/>
        </w:rPr>
        <w:t>新建农产品集散及冷链物流中心1个、屠宰厂1座，</w:t>
      </w:r>
      <w:r>
        <w:rPr>
          <w:rFonts w:hint="eastAsia" w:ascii="仿宋_GB2312" w:hAnsi="仿宋_GB2312" w:eastAsia="仿宋_GB2312" w:cs="仿宋_GB2312"/>
          <w:bCs/>
          <w:sz w:val="32"/>
          <w:szCs w:val="32"/>
        </w:rPr>
        <w:t>建成后冷藏能力达到200吨，年屠宰生猪4万头、牛、羊2万头。</w:t>
      </w:r>
      <w:r>
        <w:rPr>
          <w:rFonts w:hint="eastAsia" w:ascii="仿宋_GB2312" w:hAnsi="仿宋_GB2312" w:eastAsia="仿宋_GB2312" w:cs="仿宋_GB2312"/>
          <w:b/>
          <w:bCs w:val="0"/>
          <w:sz w:val="32"/>
          <w:szCs w:val="32"/>
          <w:lang w:val="en-US" w:eastAsia="zh-CN"/>
        </w:rPr>
        <w:t>三是</w:t>
      </w:r>
      <w:r>
        <w:rPr>
          <w:rFonts w:hint="eastAsia" w:ascii="仿宋" w:hAnsi="仿宋" w:eastAsia="仿宋" w:cs="仿宋"/>
          <w:b w:val="0"/>
          <w:bCs w:val="0"/>
          <w:color w:val="auto"/>
          <w:sz w:val="32"/>
          <w:szCs w:val="32"/>
          <w:lang w:val="en-US" w:eastAsia="zh-CN"/>
        </w:rPr>
        <w:t>全</w:t>
      </w:r>
      <w:r>
        <w:rPr>
          <w:rFonts w:hint="eastAsia" w:ascii="仿宋" w:hAnsi="仿宋" w:eastAsia="仿宋" w:cs="仿宋"/>
          <w:color w:val="auto"/>
          <w:sz w:val="32"/>
          <w:szCs w:val="32"/>
          <w:lang w:val="en-US" w:eastAsia="zh-CN"/>
        </w:rPr>
        <w:t>力</w:t>
      </w:r>
      <w:r>
        <w:rPr>
          <w:rFonts w:hint="eastAsia" w:ascii="仿宋_GB2312" w:hAnsi="仿宋_GB2312" w:eastAsia="仿宋_GB2312" w:cs="仿宋_GB2312"/>
          <w:color w:val="auto"/>
          <w:sz w:val="32"/>
          <w:szCs w:val="32"/>
          <w:lang w:val="en-US" w:eastAsia="zh-CN"/>
        </w:rPr>
        <w:t>抓好高标准农田建设。全力推进</w:t>
      </w:r>
      <w:r>
        <w:rPr>
          <w:rFonts w:hint="eastAsia" w:ascii="仿宋_GB2312" w:hAnsi="仿宋_GB2312" w:eastAsia="仿宋_GB2312" w:cs="仿宋_GB2312"/>
          <w:bCs/>
          <w:color w:val="auto"/>
          <w:sz w:val="32"/>
          <w:szCs w:val="32"/>
        </w:rPr>
        <w:t>高标准农田建设、水利设施建设、农村物流体系建设等保障工程。建设高标准农田5000亩，建立九寨沟县农用地土壤环境质量分类清单，布设耕地质量长期定位监测点1个。</w:t>
      </w:r>
      <w:r>
        <w:rPr>
          <w:rFonts w:hint="eastAsia" w:ascii="仿宋_GB2312" w:hAnsi="仿宋_GB2312" w:eastAsia="仿宋_GB2312" w:cs="仿宋_GB2312"/>
          <w:b/>
          <w:bCs w:val="0"/>
          <w:color w:val="000000"/>
          <w:sz w:val="32"/>
          <w:szCs w:val="32"/>
          <w:lang w:val="en-US" w:eastAsia="zh-CN"/>
        </w:rPr>
        <w:t>四是</w:t>
      </w:r>
      <w:r>
        <w:rPr>
          <w:rFonts w:hint="eastAsia" w:ascii="仿宋_GB2312" w:hAnsi="仿宋_GB2312" w:eastAsia="仿宋_GB2312" w:cs="仿宋_GB2312"/>
          <w:bCs/>
          <w:color w:val="000000"/>
          <w:sz w:val="32"/>
          <w:szCs w:val="32"/>
          <w:lang w:val="en-US" w:eastAsia="zh-CN"/>
        </w:rPr>
        <w:t>实施</w:t>
      </w:r>
      <w:r>
        <w:rPr>
          <w:rFonts w:hint="eastAsia" w:ascii="仿宋_GB2312" w:hAnsi="仿宋_GB2312" w:eastAsia="仿宋_GB2312" w:cs="仿宋_GB2312"/>
          <w:bCs/>
          <w:color w:val="000000"/>
          <w:sz w:val="32"/>
          <w:szCs w:val="32"/>
        </w:rPr>
        <w:t>白河乡乡村旅游发展项目1500万元</w:t>
      </w:r>
      <w:r>
        <w:rPr>
          <w:rFonts w:hint="eastAsia" w:ascii="仿宋_GB2312" w:hAnsi="仿宋_GB2312" w:eastAsia="仿宋_GB2312" w:cs="仿宋_GB2312"/>
          <w:bCs/>
          <w:color w:val="000000"/>
          <w:sz w:val="32"/>
          <w:szCs w:val="32"/>
          <w:lang w:val="en-US" w:eastAsia="zh-CN"/>
        </w:rPr>
        <w:t>和</w:t>
      </w:r>
      <w:r>
        <w:rPr>
          <w:rFonts w:hint="eastAsia" w:ascii="仿宋_GB2312" w:hAnsi="仿宋_GB2312" w:eastAsia="仿宋_GB2312" w:cs="仿宋_GB2312"/>
          <w:bCs/>
          <w:color w:val="000000"/>
          <w:sz w:val="32"/>
          <w:szCs w:val="32"/>
        </w:rPr>
        <w:t>双河镇罗依坝村乡村旅游发展项目700万</w:t>
      </w:r>
      <w:r>
        <w:rPr>
          <w:rFonts w:hint="eastAsia" w:ascii="仿宋_GB2312" w:hAnsi="仿宋_GB2312" w:eastAsia="仿宋_GB2312" w:cs="仿宋_GB2312"/>
          <w:bCs/>
          <w:color w:val="000000"/>
          <w:sz w:val="32"/>
          <w:szCs w:val="32"/>
          <w:lang w:eastAsia="zh-CN"/>
        </w:rPr>
        <w:t>元，进一步夯实乡村振兴基础。</w:t>
      </w:r>
    </w:p>
    <w:p w14:paraId="61B9755B">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auto"/>
          <w:sz w:val="32"/>
          <w:szCs w:val="32"/>
          <w:shd w:val="clear" w:color="auto" w:fill="FFFFFF"/>
          <w:lang w:val="en-US" w:eastAsia="zh-CN"/>
        </w:rPr>
      </w:pPr>
      <w:r>
        <w:rPr>
          <w:rFonts w:hint="eastAsia" w:ascii="楷体_GB2312" w:hAnsi="楷体_GB2312" w:eastAsia="楷体_GB2312" w:cs="楷体_GB2312"/>
          <w:b/>
          <w:bCs/>
          <w:color w:val="auto"/>
          <w:sz w:val="32"/>
          <w:szCs w:val="32"/>
          <w:lang w:val="en-US" w:eastAsia="zh-CN"/>
        </w:rPr>
        <w:t>5.稳定粮食生产面积，提升粮食生产能力</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color w:val="auto"/>
          <w:sz w:val="32"/>
          <w:szCs w:val="32"/>
          <w:lang w:val="en-US" w:eastAsia="zh-CN"/>
        </w:rPr>
        <w:t>深入实施“藏粮于地、藏粮于技”战略，</w:t>
      </w:r>
      <w:r>
        <w:rPr>
          <w:rFonts w:hint="eastAsia" w:ascii="仿宋_GB2312" w:hAnsi="仿宋_GB2312" w:eastAsia="仿宋_GB2312" w:cs="仿宋_GB2312"/>
          <w:b/>
          <w:bCs/>
          <w:color w:val="auto"/>
          <w:sz w:val="32"/>
          <w:szCs w:val="32"/>
          <w:lang w:val="en-US" w:eastAsia="zh-CN"/>
        </w:rPr>
        <w:t>一是</w:t>
      </w:r>
      <w:r>
        <w:rPr>
          <w:rFonts w:hint="eastAsia" w:ascii="仿宋" w:hAnsi="仿宋" w:eastAsia="仿宋"/>
          <w:sz w:val="32"/>
          <w:szCs w:val="32"/>
          <w:lang w:val="en-US" w:eastAsia="zh-CN"/>
        </w:rPr>
        <w:t>全面落实“一排两减”方针政策，依托高标准农田建设项目，发放生物有机肥150吨，减少化肥使用量，今年全县化肥使用量1011吨，与去年同期相比减少了39吨；完成肥水示范基地建设1个，面积1500亩，辐射面积4600亩，带动农户605户，示范推广面积100亩；推广绿肥种植代替化肥，推广示范绿肥种植面积40亩；</w:t>
      </w:r>
      <w:r>
        <w:rPr>
          <w:rFonts w:hint="eastAsia" w:ascii="仿宋" w:hAnsi="仿宋" w:eastAsia="仿宋" w:cs="Times New Roman"/>
          <w:kern w:val="0"/>
          <w:sz w:val="32"/>
          <w:szCs w:val="32"/>
          <w:lang w:val="en-US" w:eastAsia="zh-CN" w:bidi="ar-SA"/>
        </w:rPr>
        <w:t>大力提倡秸秆还田，推广种植冬绿肥，改变农民重化肥轻有机肥，重氮肥轻磷钾肥的施肥习惯，开展农作秸秆利用情况检查，严禁全县农作物秸秆野外焚烧，转变秸秆焚烧等不良现象，实现秸秆综合利用率</w:t>
      </w:r>
      <w:r>
        <w:rPr>
          <w:rFonts w:hint="eastAsia" w:ascii="仿宋" w:hAnsi="仿宋" w:eastAsia="仿宋" w:cs="仿宋"/>
          <w:kern w:val="0"/>
          <w:sz w:val="32"/>
          <w:szCs w:val="32"/>
          <w:lang w:val="en-US" w:eastAsia="zh-CN" w:bidi="ar-SA"/>
        </w:rPr>
        <w:t>&gt;90%的目标。</w:t>
      </w:r>
      <w:r>
        <w:rPr>
          <w:rFonts w:hint="eastAsia" w:ascii="仿宋" w:hAnsi="仿宋" w:eastAsia="仿宋" w:cs="Times New Roman"/>
          <w:b/>
          <w:bCs/>
          <w:kern w:val="0"/>
          <w:sz w:val="32"/>
          <w:szCs w:val="32"/>
          <w:lang w:val="en-US" w:eastAsia="zh-CN" w:bidi="ar-SA"/>
        </w:rPr>
        <w:t>二是</w:t>
      </w:r>
      <w:r>
        <w:rPr>
          <w:rFonts w:hint="eastAsia" w:ascii="仿宋" w:hAnsi="仿宋" w:eastAsia="仿宋" w:cs="Times New Roman"/>
          <w:b w:val="0"/>
          <w:bCs w:val="0"/>
          <w:kern w:val="0"/>
          <w:sz w:val="32"/>
          <w:szCs w:val="32"/>
          <w:lang w:val="en-US" w:eastAsia="zh-CN" w:bidi="ar-SA"/>
        </w:rPr>
        <w:t>完成</w:t>
      </w:r>
      <w:r>
        <w:rPr>
          <w:rFonts w:hint="eastAsia" w:ascii="仿宋" w:hAnsi="仿宋" w:eastAsia="仿宋" w:cs="仿宋"/>
          <w:sz w:val="32"/>
          <w:szCs w:val="32"/>
        </w:rPr>
        <w:t>四川省玉米高原中熟组</w:t>
      </w:r>
      <w:r>
        <w:rPr>
          <w:rFonts w:hint="eastAsia" w:ascii="仿宋" w:hAnsi="仿宋" w:eastAsia="仿宋" w:cs="仿宋"/>
          <w:sz w:val="32"/>
          <w:szCs w:val="32"/>
          <w:lang w:val="en-US" w:eastAsia="zh-CN"/>
        </w:rPr>
        <w:t>10</w:t>
      </w:r>
      <w:r>
        <w:rPr>
          <w:rFonts w:hint="eastAsia" w:ascii="仿宋" w:hAnsi="仿宋" w:eastAsia="仿宋" w:cs="仿宋"/>
          <w:sz w:val="32"/>
          <w:szCs w:val="32"/>
        </w:rPr>
        <w:t>个品种区试试验工作。</w:t>
      </w:r>
      <w:r>
        <w:rPr>
          <w:rFonts w:hint="eastAsia" w:ascii="仿宋" w:hAnsi="仿宋" w:eastAsia="仿宋" w:cs="仿宋"/>
          <w:sz w:val="32"/>
          <w:szCs w:val="32"/>
          <w:lang w:val="en-US" w:eastAsia="zh-CN"/>
        </w:rPr>
        <w:t>2020年</w:t>
      </w:r>
      <w:r>
        <w:rPr>
          <w:rFonts w:hint="eastAsia" w:ascii="仿宋_GB2312" w:hAnsi="仿宋_GB2312" w:eastAsia="仿宋_GB2312" w:cs="仿宋_GB2312"/>
          <w:color w:val="auto"/>
          <w:sz w:val="32"/>
          <w:szCs w:val="32"/>
          <w:lang w:eastAsia="zh-CN"/>
        </w:rPr>
        <w:t>全年</w:t>
      </w:r>
      <w:r>
        <w:rPr>
          <w:rFonts w:hint="eastAsia" w:ascii="仿宋_GB2312" w:hAnsi="仿宋_GB2312" w:eastAsia="仿宋_GB2312" w:cs="仿宋_GB2312"/>
          <w:color w:val="auto"/>
          <w:sz w:val="32"/>
          <w:szCs w:val="32"/>
          <w:lang w:val="en-US" w:eastAsia="zh-CN"/>
        </w:rPr>
        <w:t>完成</w:t>
      </w:r>
      <w:r>
        <w:rPr>
          <w:rFonts w:hint="eastAsia" w:ascii="仿宋_GB2312" w:hAnsi="仿宋_GB2312" w:eastAsia="仿宋_GB2312" w:cs="仿宋_GB2312"/>
          <w:color w:val="auto"/>
          <w:sz w:val="32"/>
          <w:szCs w:val="32"/>
          <w:shd w:val="clear" w:color="auto" w:fill="FFFFFF"/>
          <w:lang w:val="en-US" w:eastAsia="zh-CN"/>
        </w:rPr>
        <w:t>粮食播面44355亩、预计产量11032吨。</w:t>
      </w:r>
    </w:p>
    <w:p w14:paraId="5A938B34">
      <w:pPr>
        <w:pStyle w:val="2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b/>
          <w:bCs/>
          <w:color w:val="auto"/>
          <w:sz w:val="32"/>
          <w:szCs w:val="32"/>
          <w:lang w:val="en-US" w:eastAsia="zh-CN"/>
        </w:rPr>
        <w:t>6.持续优化产业结构，</w:t>
      </w:r>
      <w:r>
        <w:rPr>
          <w:rFonts w:hint="eastAsia" w:ascii="楷体" w:hAnsi="楷体" w:eastAsia="楷体" w:cs="楷体"/>
          <w:b/>
          <w:bCs/>
          <w:color w:val="auto"/>
          <w:sz w:val="32"/>
          <w:szCs w:val="32"/>
          <w:lang w:val="en-US" w:eastAsia="zh-CN"/>
        </w:rPr>
        <w:t>特</w:t>
      </w:r>
      <w:r>
        <w:rPr>
          <w:rFonts w:hint="eastAsia" w:ascii="楷体" w:hAnsi="楷体" w:eastAsia="楷体" w:cs="楷体"/>
          <w:b/>
          <w:bCs/>
          <w:color w:val="auto"/>
          <w:sz w:val="32"/>
          <w:szCs w:val="32"/>
        </w:rPr>
        <w:t>色产业</w:t>
      </w:r>
      <w:r>
        <w:rPr>
          <w:rFonts w:hint="eastAsia" w:ascii="楷体" w:hAnsi="楷体" w:eastAsia="楷体" w:cs="楷体"/>
          <w:b/>
          <w:bCs/>
          <w:color w:val="auto"/>
          <w:sz w:val="32"/>
          <w:szCs w:val="32"/>
          <w:lang w:val="en-US" w:eastAsia="zh-CN"/>
        </w:rPr>
        <w:t>扩面提质</w:t>
      </w:r>
      <w:r>
        <w:rPr>
          <w:rFonts w:hint="eastAsia" w:ascii="楷体" w:hAnsi="楷体" w:eastAsia="楷体" w:cs="楷体"/>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围绕</w:t>
      </w:r>
      <w:r>
        <w:rPr>
          <w:rFonts w:hint="eastAsia" w:ascii="仿宋_GB2312" w:hAnsi="仿宋_GB2312" w:eastAsia="仿宋_GB2312" w:cs="仿宋_GB2312"/>
          <w:b w:val="0"/>
          <w:bCs w:val="0"/>
          <w:color w:val="auto"/>
          <w:sz w:val="32"/>
          <w:szCs w:val="32"/>
        </w:rPr>
        <w:t>九寨沟粮油、九寨沟特色果业、九寨沟道地药业、九寨沟藏香（生）猪、九寨沟牦牛（禽蜂）、九寨沟酒水业6大优势特色产业</w:t>
      </w:r>
      <w:r>
        <w:rPr>
          <w:rFonts w:hint="eastAsia" w:ascii="仿宋_GB2312" w:hAnsi="仿宋_GB2312" w:eastAsia="仿宋_GB2312" w:cs="仿宋_GB2312"/>
          <w:b w:val="0"/>
          <w:bCs w:val="0"/>
          <w:color w:val="auto"/>
          <w:sz w:val="32"/>
          <w:szCs w:val="32"/>
          <w:lang w:val="en-US" w:eastAsia="zh-CN"/>
        </w:rPr>
        <w:t>扩面提质，因地制宜、因村因户施策，全力推进高半山产业结构调整优化，</w:t>
      </w:r>
      <w:r>
        <w:rPr>
          <w:rFonts w:hint="eastAsia" w:ascii="仿宋_GB2312" w:hAnsi="仿宋_GB2312" w:eastAsia="仿宋_GB2312" w:cs="仿宋_GB2312"/>
          <w:b w:val="0"/>
          <w:bCs w:val="0"/>
          <w:color w:val="auto"/>
          <w:sz w:val="32"/>
          <w:szCs w:val="32"/>
        </w:rPr>
        <w:t>全产业链融合发展</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构建全县“6+2”现代农业产业体系。</w:t>
      </w:r>
      <w:r>
        <w:rPr>
          <w:rFonts w:hint="eastAsia" w:ascii="仿宋_GB2312" w:hAnsi="仿宋_GB2312" w:eastAsia="仿宋_GB2312" w:cs="仿宋_GB2312"/>
          <w:b w:val="0"/>
          <w:bCs w:val="0"/>
          <w:color w:val="auto"/>
          <w:sz w:val="32"/>
          <w:szCs w:val="32"/>
          <w:lang w:val="en-US" w:eastAsia="zh-CN"/>
        </w:rPr>
        <w:t>一是推进特色产业集聚发展。</w:t>
      </w:r>
      <w:r>
        <w:rPr>
          <w:rFonts w:hint="eastAsia" w:ascii="仿宋_GB2312" w:hAnsi="仿宋_GB2312" w:eastAsia="仿宋_GB2312" w:cs="仿宋_GB2312"/>
          <w:color w:val="auto"/>
          <w:sz w:val="32"/>
          <w:szCs w:val="32"/>
        </w:rPr>
        <w:t>围绕我县甜樱桃、脆红李特色水果</w:t>
      </w:r>
      <w:r>
        <w:rPr>
          <w:rFonts w:hint="eastAsia" w:ascii="仿宋_GB2312" w:hAnsi="仿宋_GB2312" w:eastAsia="仿宋_GB2312" w:cs="仿宋_GB2312"/>
          <w:color w:val="auto"/>
          <w:sz w:val="32"/>
          <w:szCs w:val="32"/>
          <w:lang w:val="en-US" w:eastAsia="zh-CN"/>
        </w:rPr>
        <w:t>产业串点成线、连线成片，持续向高半山、偏远山村延伸拓展，加快发展果、蔬、药等优势产业。截止</w:t>
      </w:r>
      <w:r>
        <w:rPr>
          <w:rFonts w:hint="eastAsia" w:ascii="仿宋_GB2312" w:hAnsi="仿宋_GB2312" w:eastAsia="仿宋_GB2312" w:cs="仿宋_GB2312"/>
          <w:b w:val="0"/>
          <w:bCs w:val="0"/>
          <w:color w:val="auto"/>
          <w:sz w:val="32"/>
          <w:szCs w:val="32"/>
          <w:lang w:val="en-US" w:eastAsia="zh-CN"/>
        </w:rPr>
        <w:t>20</w:t>
      </w:r>
      <w:r>
        <w:rPr>
          <w:rFonts w:hint="eastAsia" w:ascii="仿宋_GB2312" w:hAnsi="仿宋_GB2312" w:eastAsia="仿宋_GB2312" w:cs="仿宋_GB2312"/>
          <w:b w:val="0"/>
          <w:bCs w:val="0"/>
          <w:color w:val="auto"/>
          <w:sz w:val="32"/>
          <w:szCs w:val="32"/>
        </w:rPr>
        <w:t>20年，</w:t>
      </w:r>
      <w:r>
        <w:rPr>
          <w:rFonts w:hint="eastAsia" w:ascii="仿宋_GB2312" w:hAnsi="仿宋_GB2312" w:eastAsia="仿宋_GB2312" w:cs="仿宋_GB2312"/>
          <w:b w:val="0"/>
          <w:bCs w:val="0"/>
          <w:color w:val="auto"/>
          <w:sz w:val="32"/>
          <w:szCs w:val="32"/>
          <w:lang w:val="en-US" w:eastAsia="zh-CN"/>
        </w:rPr>
        <w:t>发展优质特色</w:t>
      </w:r>
      <w:r>
        <w:rPr>
          <w:rFonts w:hint="eastAsia" w:ascii="仿宋_GB2312" w:hAnsi="仿宋_GB2312" w:eastAsia="仿宋_GB2312" w:cs="仿宋_GB2312"/>
          <w:b w:val="0"/>
          <w:bCs w:val="0"/>
          <w:color w:val="auto"/>
          <w:sz w:val="32"/>
          <w:szCs w:val="32"/>
          <w:shd w:val="clear" w:color="auto" w:fill="FFFFFF"/>
          <w:lang w:val="en-US" w:eastAsia="zh-CN"/>
        </w:rPr>
        <w:t>水果13666亩、产量达5858吨；蔬菜10452亩、15362.97吨；中药材14522亩、3055.41吨。</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稳步推进现代畜牧业高质量发展。</w:t>
      </w:r>
      <w:r>
        <w:rPr>
          <w:rFonts w:hint="eastAsia" w:ascii="仿宋_GB2312" w:hAnsi="仿宋_GB2312" w:eastAsia="仿宋_GB2312" w:cs="仿宋_GB2312"/>
          <w:i w:val="0"/>
          <w:caps w:val="0"/>
          <w:color w:val="auto"/>
          <w:spacing w:val="0"/>
          <w:sz w:val="32"/>
          <w:szCs w:val="32"/>
          <w:shd w:val="clear" w:color="auto" w:fill="FFFFFF"/>
          <w:lang w:eastAsia="zh-CN"/>
        </w:rPr>
        <w:t>发展藏香猪、九寨沟中蜂等</w:t>
      </w:r>
      <w:r>
        <w:rPr>
          <w:rFonts w:hint="eastAsia" w:ascii="仿宋_GB2312" w:hAnsi="仿宋_GB2312" w:eastAsia="仿宋_GB2312" w:cs="仿宋_GB2312"/>
          <w:i w:val="0"/>
          <w:caps w:val="0"/>
          <w:color w:val="auto"/>
          <w:spacing w:val="0"/>
          <w:sz w:val="32"/>
          <w:szCs w:val="32"/>
          <w:shd w:val="clear" w:color="auto" w:fill="FFFFFF"/>
        </w:rPr>
        <w:t>优势产业</w:t>
      </w:r>
      <w:r>
        <w:rPr>
          <w:rFonts w:hint="eastAsia" w:ascii="仿宋_GB2312" w:hAnsi="仿宋_GB2312" w:eastAsia="仿宋_GB2312" w:cs="仿宋_GB2312"/>
          <w:i w:val="0"/>
          <w:caps w:val="0"/>
          <w:color w:val="auto"/>
          <w:spacing w:val="0"/>
          <w:sz w:val="32"/>
          <w:szCs w:val="32"/>
          <w:shd w:val="clear" w:color="auto" w:fill="FFFFFF"/>
          <w:lang w:eastAsia="zh-CN"/>
        </w:rPr>
        <w:t>，</w:t>
      </w:r>
      <w:r>
        <w:rPr>
          <w:rFonts w:hint="eastAsia" w:ascii="仿宋_GB2312" w:hAnsi="仿宋_GB2312" w:eastAsia="仿宋_GB2312" w:cs="仿宋_GB2312"/>
          <w:color w:val="auto"/>
          <w:sz w:val="32"/>
          <w:szCs w:val="32"/>
        </w:rPr>
        <w:t>组建藏香猪核心繁殖场3个，建立“九寨沟中蜂”遗传资源保护区，养殖中蜂17000群</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严格落实省“猪八条”措施，强化生猪养殖保险政策落实，</w:t>
      </w:r>
      <w:r>
        <w:rPr>
          <w:rFonts w:hint="eastAsia" w:ascii="仿宋_GB2312" w:hAnsi="仿宋_GB2312" w:eastAsia="仿宋_GB2312" w:cs="仿宋_GB2312"/>
          <w:color w:val="auto"/>
          <w:sz w:val="32"/>
          <w:szCs w:val="32"/>
        </w:rPr>
        <w:t>全县已核实能繁母猪145</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头，兑现</w:t>
      </w:r>
      <w:r>
        <w:rPr>
          <w:rFonts w:hint="eastAsia" w:ascii="仿宋_GB2312" w:hAnsi="仿宋_GB2312" w:eastAsia="仿宋_GB2312" w:cs="仿宋_GB2312"/>
          <w:color w:val="auto"/>
          <w:sz w:val="32"/>
          <w:szCs w:val="32"/>
          <w:lang w:eastAsia="zh-CN"/>
        </w:rPr>
        <w:t>补助资金</w:t>
      </w:r>
      <w:r>
        <w:rPr>
          <w:rFonts w:hint="eastAsia" w:ascii="仿宋_GB2312" w:hAnsi="仿宋_GB2312" w:eastAsia="仿宋_GB2312" w:cs="仿宋_GB2312"/>
          <w:color w:val="auto"/>
          <w:sz w:val="32"/>
          <w:szCs w:val="32"/>
          <w:lang w:val="en-US" w:eastAsia="zh-CN"/>
        </w:rPr>
        <w:t>43.56万元；</w:t>
      </w:r>
      <w:r>
        <w:rPr>
          <w:rFonts w:hint="eastAsia" w:ascii="仿宋_GB2312" w:hAnsi="仿宋_GB2312" w:eastAsia="仿宋_GB2312" w:cs="仿宋_GB2312"/>
          <w:bCs/>
          <w:color w:val="auto"/>
          <w:kern w:val="0"/>
          <w:sz w:val="32"/>
          <w:szCs w:val="32"/>
        </w:rPr>
        <w:t>完成生猪入保515头，牦牛入保1603头，能繁母猪入保126头</w:t>
      </w:r>
      <w:r>
        <w:rPr>
          <w:rFonts w:hint="eastAsia" w:ascii="仿宋_GB2312" w:hAnsi="仿宋_GB2312" w:eastAsia="仿宋_GB2312" w:cs="仿宋_GB2312"/>
          <w:bCs/>
          <w:color w:val="auto"/>
          <w:kern w:val="0"/>
          <w:sz w:val="32"/>
          <w:szCs w:val="32"/>
          <w:lang w:eastAsia="zh-CN"/>
        </w:rPr>
        <w:t>；</w:t>
      </w:r>
      <w:r>
        <w:rPr>
          <w:rFonts w:hint="default" w:ascii="Times New Roman" w:hAnsi="Times New Roman" w:eastAsia="仿宋" w:cs="Times New Roman"/>
          <w:color w:val="auto"/>
          <w:kern w:val="2"/>
          <w:sz w:val="32"/>
          <w:szCs w:val="32"/>
          <w:shd w:val="clear" w:color="auto" w:fill="FFFFFF"/>
          <w:lang w:val="en-US" w:eastAsia="zh-CN" w:bidi="ar-SA"/>
        </w:rPr>
        <w:t>截止第三季度全县出栏猪20649头，同比增长57.25%，完成全年任务的67.7%</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预计</w:t>
      </w:r>
      <w:r>
        <w:rPr>
          <w:rFonts w:hint="eastAsia" w:ascii="仿宋_GB2312" w:hAnsi="仿宋_GB2312" w:eastAsia="仿宋_GB2312" w:cs="仿宋_GB2312"/>
          <w:color w:val="auto"/>
          <w:sz w:val="32"/>
          <w:szCs w:val="32"/>
        </w:rPr>
        <w:t>年底完成3</w:t>
      </w:r>
      <w:r>
        <w:rPr>
          <w:rFonts w:hint="eastAsia" w:ascii="仿宋_GB2312" w:hAnsi="仿宋_GB2312" w:eastAsia="仿宋_GB2312" w:cs="仿宋_GB2312"/>
          <w:color w:val="auto"/>
          <w:sz w:val="32"/>
          <w:szCs w:val="32"/>
          <w:lang w:val="en-US" w:eastAsia="zh-CN"/>
        </w:rPr>
        <w:t>05</w:t>
      </w:r>
      <w:r>
        <w:rPr>
          <w:rFonts w:hint="eastAsia" w:ascii="仿宋_GB2312" w:hAnsi="仿宋_GB2312" w:eastAsia="仿宋_GB2312" w:cs="仿宋_GB2312"/>
          <w:color w:val="auto"/>
          <w:sz w:val="32"/>
          <w:szCs w:val="32"/>
        </w:rPr>
        <w:t>00头</w:t>
      </w:r>
      <w:r>
        <w:rPr>
          <w:rFonts w:hint="eastAsia" w:ascii="仿宋_GB2312" w:hAnsi="仿宋_GB2312" w:eastAsia="仿宋_GB2312" w:cs="仿宋_GB2312"/>
          <w:color w:val="auto"/>
          <w:sz w:val="32"/>
          <w:szCs w:val="32"/>
          <w:lang w:val="en-US" w:eastAsia="zh-CN"/>
        </w:rPr>
        <w:t>目标任务。2020年</w:t>
      </w:r>
      <w:r>
        <w:rPr>
          <w:rFonts w:hint="eastAsia" w:ascii="仿宋_GB2312" w:hAnsi="仿宋_GB2312" w:eastAsia="仿宋_GB2312" w:cs="仿宋_GB2312"/>
          <w:color w:val="auto"/>
          <w:sz w:val="32"/>
          <w:szCs w:val="32"/>
        </w:rPr>
        <w:t>全年预计出栏牛18915头、羊7616头、家禽58087只（羽）、兔6121只，肉类总产量4611吨、禽蛋产量64吨、牛奶产量1123吨</w:t>
      </w:r>
      <w:r>
        <w:rPr>
          <w:rFonts w:hint="eastAsia" w:ascii="仿宋_GB2312" w:hAnsi="仿宋_GB2312" w:eastAsia="仿宋_GB2312" w:cs="仿宋_GB2312"/>
          <w:color w:val="auto"/>
          <w:sz w:val="32"/>
          <w:szCs w:val="32"/>
          <w:lang w:eastAsia="zh-CN"/>
        </w:rPr>
        <w:t>。</w:t>
      </w:r>
    </w:p>
    <w:p w14:paraId="1B6212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color w:val="000000"/>
          <w:sz w:val="32"/>
          <w:szCs w:val="32"/>
          <w:lang w:val="en-US" w:eastAsia="zh-CN"/>
        </w:rPr>
        <w:t>7.</w:t>
      </w:r>
      <w:r>
        <w:rPr>
          <w:rFonts w:hint="eastAsia" w:ascii="楷体_GB2312" w:hAnsi="楷体_GB2312" w:eastAsia="楷体_GB2312" w:cs="楷体_GB2312"/>
          <w:b/>
          <w:bCs/>
          <w:color w:val="000000"/>
          <w:sz w:val="32"/>
          <w:szCs w:val="32"/>
        </w:rPr>
        <w:t>农牧产品品牌逐步擦亮</w:t>
      </w:r>
      <w:r>
        <w:rPr>
          <w:rFonts w:hint="eastAsia" w:ascii="楷体_GB2312" w:hAnsi="楷体_GB2312" w:eastAsia="楷体_GB2312" w:cs="楷体_GB2312"/>
          <w:b/>
          <w:bCs/>
          <w:color w:val="000000"/>
          <w:sz w:val="32"/>
          <w:szCs w:val="32"/>
          <w:lang w:eastAsia="zh-CN"/>
        </w:rPr>
        <w:t>，</w:t>
      </w:r>
      <w:r>
        <w:rPr>
          <w:rFonts w:hint="eastAsia" w:ascii="楷体_GB2312" w:hAnsi="楷体_GB2312" w:eastAsia="楷体_GB2312" w:cs="楷体_GB2312"/>
          <w:b/>
          <w:bCs/>
          <w:color w:val="000000"/>
          <w:sz w:val="32"/>
          <w:szCs w:val="32"/>
          <w:lang w:val="en-US" w:eastAsia="zh-CN"/>
        </w:rPr>
        <w:t>促进特色农产品营销</w:t>
      </w:r>
      <w:r>
        <w:rPr>
          <w:rFonts w:hint="eastAsia" w:ascii="楷体" w:hAnsi="楷体" w:eastAsia="楷体" w:cs="楷体"/>
          <w:b/>
          <w:bCs/>
          <w:color w:val="000000"/>
          <w:sz w:val="32"/>
          <w:szCs w:val="32"/>
        </w:rPr>
        <w:t>。</w:t>
      </w:r>
      <w:r>
        <w:rPr>
          <w:rFonts w:hint="eastAsia" w:ascii="仿宋" w:hAnsi="仿宋" w:eastAsia="仿宋" w:cs="仿宋"/>
          <w:b/>
          <w:bCs/>
          <w:color w:val="000000"/>
          <w:sz w:val="32"/>
          <w:szCs w:val="32"/>
          <w:lang w:val="en-US" w:eastAsia="zh-CN"/>
        </w:rPr>
        <w:t>一是</w:t>
      </w:r>
      <w:r>
        <w:rPr>
          <w:rFonts w:hint="default" w:ascii="Times New Roman" w:hAnsi="Times New Roman" w:eastAsia="仿宋" w:cs="Times New Roman"/>
          <w:color w:val="000000"/>
          <w:sz w:val="32"/>
          <w:szCs w:val="32"/>
        </w:rPr>
        <w:t>实施“九寨沟+”品牌培育计划，推广“净土阿坝”“阳光九寨”区域品牌。目前，已有7家企业产品授权使用“净土阿坝”区域品牌；全县已认证有机食品2个、绿色食品</w:t>
      </w:r>
      <w:r>
        <w:rPr>
          <w:rFonts w:hint="eastAsia" w:ascii="Times New Roman" w:hAnsi="Times New Roman" w:eastAsia="仿宋" w:cs="Times New Roman"/>
          <w:color w:val="000000"/>
          <w:sz w:val="32"/>
          <w:szCs w:val="32"/>
          <w:lang w:val="en-US" w:eastAsia="zh-CN"/>
        </w:rPr>
        <w:t>2</w:t>
      </w:r>
      <w:r>
        <w:rPr>
          <w:rFonts w:hint="default" w:ascii="Times New Roman" w:hAnsi="Times New Roman" w:eastAsia="仿宋" w:cs="Times New Roman"/>
          <w:color w:val="000000"/>
          <w:sz w:val="32"/>
          <w:szCs w:val="32"/>
        </w:rPr>
        <w:t>个、无公害农产品16个，申报地标产品5个，并在此基础上，积极开展李，花椒，菊花绿色产品申报工作。</w:t>
      </w:r>
      <w:r>
        <w:rPr>
          <w:rFonts w:hint="eastAsia" w:ascii="Times New Roman" w:hAnsi="Times New Roman" w:eastAsia="仿宋" w:cs="Times New Roman"/>
          <w:b/>
          <w:bCs/>
          <w:color w:val="000000"/>
          <w:sz w:val="32"/>
          <w:szCs w:val="32"/>
          <w:lang w:val="en-US" w:eastAsia="zh-CN"/>
        </w:rPr>
        <w:t>二是</w:t>
      </w:r>
      <w:r>
        <w:rPr>
          <w:rFonts w:hint="eastAsia" w:ascii="仿宋_GB2312" w:hAnsi="仿宋_GB2312" w:eastAsia="仿宋_GB2312" w:cs="仿宋_GB2312"/>
          <w:color w:val="000000"/>
          <w:sz w:val="32"/>
          <w:szCs w:val="32"/>
          <w:lang w:val="en-US" w:eastAsia="zh-CN"/>
        </w:rPr>
        <w:t>完成</w:t>
      </w:r>
      <w:r>
        <w:rPr>
          <w:rFonts w:hint="eastAsia" w:ascii="仿宋_GB2312" w:hAnsi="仿宋_GB2312" w:eastAsia="仿宋_GB2312" w:cs="仿宋_GB2312"/>
          <w:sz w:val="32"/>
          <w:szCs w:val="32"/>
          <w:shd w:val="clear" w:color="auto" w:fill="FFFFFF"/>
          <w:lang w:val="en-US" w:eastAsia="zh-CN"/>
        </w:rPr>
        <w:t>农产品质量安全检验检测中心“双认证”工作，获得CATI证书和CMA证书，标志着我县农产品质量安全检验检测中心具备农药残留、兽残、元素共68个参数检测能力，将促进县域农产品质量安全预警和管理水平。</w:t>
      </w:r>
      <w:r>
        <w:rPr>
          <w:rFonts w:hint="eastAsia" w:ascii="仿宋_GB2312" w:hAnsi="仿宋_GB2312" w:eastAsia="仿宋_GB2312" w:cs="仿宋_GB2312"/>
          <w:b/>
          <w:bCs/>
          <w:sz w:val="32"/>
          <w:szCs w:val="32"/>
          <w:shd w:val="clear" w:color="auto" w:fill="FFFFFF"/>
          <w:lang w:val="en-US" w:eastAsia="zh-CN"/>
        </w:rPr>
        <w:t>三</w:t>
      </w:r>
      <w:r>
        <w:rPr>
          <w:rFonts w:hint="eastAsia" w:ascii="仿宋_GB2312" w:hAnsi="仿宋_GB2312" w:eastAsia="仿宋_GB2312" w:cs="仿宋_GB2312"/>
          <w:b/>
          <w:bCs/>
          <w:color w:val="000000"/>
          <w:sz w:val="32"/>
          <w:szCs w:val="32"/>
          <w:lang w:val="en-US" w:eastAsia="zh-CN"/>
        </w:rPr>
        <w:t>是</w:t>
      </w:r>
      <w:r>
        <w:rPr>
          <w:rFonts w:hint="eastAsia" w:ascii="仿宋_GB2312" w:hAnsi="仿宋_GB2312" w:eastAsia="仿宋_GB2312" w:cs="仿宋_GB2312"/>
          <w:color w:val="000000"/>
          <w:sz w:val="32"/>
          <w:szCs w:val="32"/>
          <w:lang w:val="en-US" w:eastAsia="zh-CN"/>
        </w:rPr>
        <w:t>组织生产经营主体参加各类推介直播活动，提升我县农产品消费者知晓度。组织20家/次生产经营主体参加2020阿坝州文化旅游“相约阿坝</w:t>
      </w:r>
      <w:r>
        <w:rPr>
          <w:rFonts w:hint="default" w:ascii="Times New Roman" w:hAnsi="Times New Roman" w:eastAsia="仿宋_GB2312" w:cs="Times New Roman"/>
          <w:b/>
          <w:bCs/>
          <w:color w:val="000000"/>
          <w:sz w:val="32"/>
          <w:szCs w:val="32"/>
          <w:lang w:val="en-US" w:eastAsia="zh-CN"/>
        </w:rPr>
        <w:t>·</w:t>
      </w:r>
      <w:r>
        <w:rPr>
          <w:rFonts w:hint="eastAsia" w:ascii="仿宋_GB2312" w:hAnsi="仿宋_GB2312" w:eastAsia="仿宋_GB2312" w:cs="仿宋_GB2312"/>
          <w:color w:val="000000"/>
          <w:sz w:val="32"/>
          <w:szCs w:val="32"/>
          <w:lang w:val="en-US" w:eastAsia="zh-CN"/>
        </w:rPr>
        <w:t>寨见熊猫”主题月、“净土阿坝”消费扶贫直播节、“金秋购物助脱贫 四川扶贫产品销售周暨扶贫832四川采购对接会”、县长抖音直播带货，多渠道推广销售我县农产品，提升我县农产品消费者知晓度。</w:t>
      </w:r>
    </w:p>
    <w:p w14:paraId="3AE99D69">
      <w:pPr>
        <w:pStyle w:val="18"/>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Cs/>
          <w:color w:val="000000"/>
          <w:sz w:val="32"/>
          <w:szCs w:val="32"/>
          <w:lang w:eastAsia="zh-CN"/>
        </w:rPr>
      </w:pPr>
      <w:r>
        <w:rPr>
          <w:rFonts w:hint="eastAsia" w:ascii="楷体" w:hAnsi="楷体" w:eastAsia="楷体" w:cs="楷体"/>
          <w:b/>
          <w:bCs/>
          <w:color w:val="000000"/>
          <w:sz w:val="32"/>
          <w:szCs w:val="32"/>
          <w:lang w:val="en-US" w:eastAsia="zh-CN"/>
        </w:rPr>
        <w:t>8.发挥绿色屏障优势，坚守生态发展底线。</w:t>
      </w:r>
      <w:r>
        <w:rPr>
          <w:rFonts w:hint="eastAsia" w:ascii="楷体" w:hAnsi="楷体" w:eastAsia="楷体" w:cs="楷体"/>
          <w:b/>
          <w:bCs/>
          <w:sz w:val="32"/>
          <w:szCs w:val="32"/>
          <w:lang w:val="en-US" w:eastAsia="zh-CN"/>
        </w:rPr>
        <w:t>一是</w:t>
      </w:r>
      <w:r>
        <w:rPr>
          <w:rFonts w:hint="eastAsia" w:ascii="楷体" w:hAnsi="楷体" w:eastAsia="楷体" w:cs="楷体"/>
          <w:b/>
          <w:bCs/>
          <w:sz w:val="32"/>
          <w:szCs w:val="32"/>
        </w:rPr>
        <w:t>全面</w:t>
      </w:r>
      <w:r>
        <w:rPr>
          <w:rFonts w:hint="eastAsia" w:ascii="楷体" w:hAnsi="楷体" w:eastAsia="楷体" w:cs="楷体"/>
          <w:b/>
          <w:bCs/>
          <w:sz w:val="32"/>
          <w:szCs w:val="32"/>
          <w:lang w:val="zh-CN"/>
        </w:rPr>
        <w:t>推进农村</w:t>
      </w:r>
      <w:r>
        <w:rPr>
          <w:rFonts w:hint="eastAsia" w:ascii="楷体" w:hAnsi="楷体" w:eastAsia="楷体" w:cs="楷体"/>
          <w:b/>
          <w:bCs/>
          <w:sz w:val="32"/>
          <w:szCs w:val="32"/>
        </w:rPr>
        <w:t>人居环境整治。</w:t>
      </w:r>
      <w:r>
        <w:rPr>
          <w:rFonts w:hint="eastAsia" w:eastAsia="仿宋" w:cs="Times New Roman"/>
          <w:sz w:val="32"/>
          <w:szCs w:val="32"/>
          <w:lang w:val="en-US" w:eastAsia="zh-CN"/>
        </w:rPr>
        <w:t>2020年</w:t>
      </w:r>
      <w:r>
        <w:rPr>
          <w:rFonts w:hint="default" w:ascii="Times New Roman" w:hAnsi="Times New Roman" w:eastAsia="仿宋" w:cs="Times New Roman"/>
          <w:color w:val="000000"/>
          <w:sz w:val="32"/>
          <w:szCs w:val="32"/>
        </w:rPr>
        <w:t>实施4011户户厕改造，新建及改建9个乡镇29村44座农村公厕</w:t>
      </w:r>
      <w:r>
        <w:rPr>
          <w:rFonts w:hint="default" w:ascii="Times New Roman" w:hAnsi="Times New Roman" w:eastAsia="仿宋" w:cs="Times New Roman"/>
          <w:sz w:val="32"/>
          <w:szCs w:val="32"/>
        </w:rPr>
        <w:t>；</w:t>
      </w:r>
      <w:r>
        <w:rPr>
          <w:rFonts w:hint="default" w:ascii="Times New Roman" w:hAnsi="Times New Roman" w:eastAsia="仿宋" w:cs="Times New Roman"/>
          <w:color w:val="000000"/>
          <w:sz w:val="32"/>
          <w:szCs w:val="32"/>
        </w:rPr>
        <w:t>新建26个村排污主管网、支管网、检查井、雨水管网，污水处理系统，维修南坪镇（原安乐乡片区）受损污水主管网</w:t>
      </w:r>
      <w:r>
        <w:rPr>
          <w:rFonts w:hint="default" w:ascii="Times New Roman" w:hAnsi="Times New Roman" w:eastAsia="仿宋" w:cs="Times New Roman"/>
          <w:color w:val="000000"/>
          <w:sz w:val="32"/>
          <w:szCs w:val="32"/>
          <w:lang w:eastAsia="zh-CN"/>
        </w:rPr>
        <w:t>，</w:t>
      </w:r>
      <w:r>
        <w:rPr>
          <w:rFonts w:hint="default" w:ascii="Times New Roman" w:hAnsi="Times New Roman" w:eastAsia="仿宋" w:cs="Times New Roman"/>
          <w:bCs/>
          <w:sz w:val="32"/>
          <w:szCs w:val="32"/>
        </w:rPr>
        <w:t>实现100%行政村对生活污水进行治理</w:t>
      </w:r>
      <w:r>
        <w:rPr>
          <w:rFonts w:hint="default" w:ascii="Times New Roman" w:hAnsi="Times New Roman" w:eastAsia="仿宋" w:cs="Times New Roman"/>
          <w:color w:val="000000"/>
          <w:sz w:val="32"/>
          <w:szCs w:val="32"/>
        </w:rPr>
        <w:t>；在99个村推行乡村分类投放、分类收集、分类运输、分类处理的垃圾处理系统，并建立2个集中垃圾收运点，</w:t>
      </w:r>
      <w:r>
        <w:rPr>
          <w:rFonts w:hint="default" w:ascii="Times New Roman" w:hAnsi="Times New Roman" w:eastAsia="仿宋" w:cs="Times New Roman"/>
          <w:bCs/>
          <w:sz w:val="32"/>
          <w:szCs w:val="32"/>
        </w:rPr>
        <w:t>全县生活垃圾得到有效处理的村占比达</w:t>
      </w:r>
      <w:r>
        <w:rPr>
          <w:rFonts w:hint="default" w:ascii="Times New Roman" w:hAnsi="Times New Roman" w:eastAsia="仿宋" w:cs="Times New Roman"/>
          <w:color w:val="000000"/>
          <w:sz w:val="32"/>
          <w:szCs w:val="32"/>
        </w:rPr>
        <w:t>80%以上。</w:t>
      </w:r>
      <w:r>
        <w:rPr>
          <w:rFonts w:hint="default" w:ascii="Times New Roman" w:hAnsi="Times New Roman" w:eastAsia="仿宋" w:cs="Times New Roman"/>
          <w:bCs/>
          <w:sz w:val="32"/>
          <w:szCs w:val="32"/>
        </w:rPr>
        <w:t>推进“绿化九寨”行动，对标集中补齐农村人居环境整治短板，重点抓好“四清一拆一改”。</w:t>
      </w:r>
      <w:r>
        <w:rPr>
          <w:rFonts w:hint="eastAsia" w:ascii="楷体" w:hAnsi="楷体" w:eastAsia="楷体" w:cs="楷体"/>
          <w:b/>
          <w:bCs w:val="0"/>
          <w:color w:val="000000"/>
          <w:sz w:val="32"/>
          <w:szCs w:val="32"/>
          <w:lang w:val="en-US" w:eastAsia="zh-CN"/>
        </w:rPr>
        <w:t>二是</w:t>
      </w:r>
      <w:r>
        <w:rPr>
          <w:rFonts w:hint="eastAsia" w:ascii="楷体" w:hAnsi="楷体" w:eastAsia="楷体" w:cs="楷体"/>
          <w:b/>
          <w:bCs w:val="0"/>
          <w:color w:val="000000"/>
          <w:sz w:val="32"/>
          <w:szCs w:val="32"/>
        </w:rPr>
        <w:t>生态文明建设</w:t>
      </w:r>
      <w:r>
        <w:rPr>
          <w:rFonts w:hint="eastAsia" w:ascii="楷体" w:hAnsi="楷体" w:eastAsia="楷体" w:cs="楷体"/>
          <w:b/>
          <w:bCs w:val="0"/>
          <w:color w:val="000000"/>
          <w:sz w:val="32"/>
          <w:szCs w:val="32"/>
          <w:lang w:eastAsia="zh-CN"/>
        </w:rPr>
        <w:t>长足发展</w:t>
      </w:r>
      <w:r>
        <w:rPr>
          <w:rFonts w:hint="eastAsia" w:ascii="楷体" w:hAnsi="楷体" w:eastAsia="楷体" w:cs="楷体"/>
          <w:b/>
          <w:bCs w:val="0"/>
          <w:color w:val="000000"/>
          <w:sz w:val="32"/>
          <w:szCs w:val="32"/>
        </w:rPr>
        <w:t>。</w:t>
      </w:r>
      <w:r>
        <w:rPr>
          <w:rFonts w:hint="default" w:ascii="Times New Roman" w:hAnsi="Times New Roman" w:eastAsia="仿宋" w:cs="Times New Roman"/>
          <w:bCs/>
          <w:color w:val="000000"/>
          <w:sz w:val="32"/>
          <w:szCs w:val="32"/>
        </w:rPr>
        <w:t>全面压实农牧业生态环境保护责任，落实河（湖）长制。依法开展农牧产业规划与实施环境影响评价。深入开展</w:t>
      </w:r>
      <w:r>
        <w:rPr>
          <w:rFonts w:hint="eastAsia" w:eastAsia="仿宋" w:cs="Times New Roman"/>
          <w:bCs/>
          <w:color w:val="000000"/>
          <w:sz w:val="32"/>
          <w:szCs w:val="32"/>
          <w:lang w:val="en-US" w:eastAsia="zh-CN"/>
        </w:rPr>
        <w:t>农业面源污染</w:t>
      </w:r>
      <w:r>
        <w:rPr>
          <w:rFonts w:hint="default" w:ascii="Times New Roman" w:hAnsi="Times New Roman" w:eastAsia="仿宋" w:cs="Times New Roman"/>
          <w:bCs/>
          <w:color w:val="000000"/>
          <w:sz w:val="32"/>
          <w:szCs w:val="32"/>
        </w:rPr>
        <w:t>专项治理行动。落实“一控两减三基本”，</w:t>
      </w:r>
      <w:r>
        <w:rPr>
          <w:rFonts w:hint="eastAsia" w:ascii="仿宋_GB2312" w:hAnsi="仿宋_GB2312" w:eastAsia="仿宋_GB2312" w:cs="仿宋_GB2312"/>
          <w:bCs/>
          <w:color w:val="000000"/>
          <w:sz w:val="32"/>
          <w:szCs w:val="32"/>
        </w:rPr>
        <w:t>持续开展化肥农药减量、</w:t>
      </w:r>
      <w:r>
        <w:rPr>
          <w:rFonts w:hint="eastAsia" w:ascii="仿宋_GB2312" w:hAnsi="仿宋_GB2312" w:eastAsia="仿宋_GB2312" w:cs="仿宋_GB2312"/>
          <w:bCs/>
          <w:color w:val="000000"/>
          <w:sz w:val="32"/>
          <w:szCs w:val="32"/>
          <w:lang w:val="en-US" w:eastAsia="zh-CN"/>
        </w:rPr>
        <w:t>畜禽粪污污染等</w:t>
      </w:r>
      <w:r>
        <w:rPr>
          <w:rFonts w:hint="eastAsia" w:ascii="仿宋_GB2312" w:hAnsi="仿宋_GB2312" w:eastAsia="仿宋_GB2312" w:cs="仿宋_GB2312"/>
          <w:bCs/>
          <w:color w:val="000000"/>
          <w:sz w:val="32"/>
          <w:szCs w:val="32"/>
        </w:rPr>
        <w:t>工作。实现全县化肥用量</w:t>
      </w:r>
      <w:r>
        <w:rPr>
          <w:rFonts w:hint="eastAsia" w:ascii="仿宋_GB2312" w:hAnsi="仿宋_GB2312" w:eastAsia="仿宋_GB2312" w:cs="仿宋_GB2312"/>
          <w:bCs/>
          <w:color w:val="000000"/>
          <w:sz w:val="32"/>
          <w:szCs w:val="32"/>
          <w:lang w:eastAsia="zh-CN"/>
        </w:rPr>
        <w:t>零增长，</w:t>
      </w:r>
      <w:r>
        <w:rPr>
          <w:rFonts w:hint="eastAsia" w:ascii="仿宋_GB2312" w:hAnsi="仿宋_GB2312" w:eastAsia="仿宋_GB2312" w:cs="仿宋_GB2312"/>
          <w:color w:val="000000"/>
          <w:sz w:val="32"/>
          <w:szCs w:val="32"/>
        </w:rPr>
        <w:t>农药全年用量13.39吨，同比下降1.22吨（2019年用量14.61吨），有效实现农药零增长量；经济作物主产区农药包装废弃物收回0.8吨，回收率71%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畜禽粪污综合利用率</w:t>
      </w:r>
      <w:r>
        <w:rPr>
          <w:rFonts w:hint="eastAsia" w:ascii="仿宋_GB2312" w:hAnsi="仿宋_GB2312" w:eastAsia="仿宋_GB2312" w:cs="仿宋_GB2312"/>
          <w:color w:val="000000"/>
          <w:sz w:val="32"/>
          <w:szCs w:val="32"/>
          <w:lang w:val="en-US" w:eastAsia="zh-CN"/>
        </w:rPr>
        <w:t>88以上%</w:t>
      </w:r>
      <w:r>
        <w:rPr>
          <w:rFonts w:hint="eastAsia" w:ascii="仿宋_GB2312" w:hAnsi="仿宋_GB2312" w:eastAsia="仿宋_GB2312" w:cs="仿宋_GB2312"/>
          <w:color w:val="000000"/>
          <w:sz w:val="32"/>
          <w:szCs w:val="32"/>
          <w:lang w:eastAsia="zh-CN"/>
        </w:rPr>
        <w:t>。</w:t>
      </w:r>
    </w:p>
    <w:p w14:paraId="5F8632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color w:val="auto"/>
          <w:sz w:val="32"/>
          <w:szCs w:val="32"/>
          <w:lang w:val="en-US" w:eastAsia="zh-CN"/>
        </w:rPr>
        <w:t>9.</w:t>
      </w:r>
      <w:r>
        <w:rPr>
          <w:rFonts w:hint="eastAsia" w:ascii="楷体_GB2312" w:hAnsi="楷体_GB2312" w:eastAsia="楷体_GB2312" w:cs="楷体_GB2312"/>
          <w:b/>
          <w:bCs/>
          <w:color w:val="auto"/>
          <w:sz w:val="32"/>
          <w:szCs w:val="32"/>
        </w:rPr>
        <w:t>抓实</w:t>
      </w:r>
      <w:r>
        <w:rPr>
          <w:rFonts w:hint="eastAsia" w:ascii="楷体_GB2312" w:hAnsi="楷体_GB2312" w:eastAsia="楷体_GB2312" w:cs="楷体_GB2312"/>
          <w:b/>
          <w:bCs/>
          <w:color w:val="auto"/>
          <w:sz w:val="32"/>
          <w:szCs w:val="32"/>
          <w:lang w:val="en-US" w:eastAsia="zh-CN"/>
        </w:rPr>
        <w:t>农业</w:t>
      </w:r>
      <w:r>
        <w:rPr>
          <w:rFonts w:hint="eastAsia" w:ascii="楷体_GB2312" w:hAnsi="楷体_GB2312" w:eastAsia="楷体_GB2312" w:cs="楷体_GB2312"/>
          <w:b/>
          <w:bCs/>
          <w:color w:val="auto"/>
          <w:sz w:val="32"/>
          <w:szCs w:val="32"/>
        </w:rPr>
        <w:t>安全生产</w:t>
      </w: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lang w:val="en-US" w:eastAsia="zh-CN"/>
        </w:rPr>
        <w:t>筑牢保稳保收屏障</w:t>
      </w:r>
      <w:r>
        <w:rPr>
          <w:rFonts w:hint="eastAsia" w:ascii="楷体_GB2312" w:hAnsi="楷体_GB2312" w:eastAsia="楷体_GB2312" w:cs="楷体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color w:val="auto"/>
          <w:sz w:val="32"/>
          <w:szCs w:val="32"/>
        </w:rPr>
        <w:t>全力打好新冠肺炎疫情阻击战。</w:t>
      </w:r>
      <w:r>
        <w:rPr>
          <w:rFonts w:hint="eastAsia" w:ascii="仿宋_GB2312" w:hAnsi="仿宋_GB2312" w:eastAsia="仿宋_GB2312" w:cs="仿宋_GB2312"/>
          <w:b w:val="0"/>
          <w:bCs w:val="0"/>
          <w:color w:val="auto"/>
          <w:spacing w:val="0"/>
          <w:w w:val="100"/>
          <w:kern w:val="2"/>
          <w:sz w:val="32"/>
          <w:szCs w:val="32"/>
          <w:u w:val="none"/>
          <w:shd w:val="clear" w:color="auto" w:fill="FFFFFF"/>
          <w:lang w:val="en-US" w:eastAsia="zh-CN" w:bidi="ar-SA"/>
        </w:rPr>
        <w:t>在县应对新冠肺炎疫情防控工作领导小组的领导下，成立农村（社区）疫情防控工作组领导小组，明确责任，细化分工，</w:t>
      </w:r>
      <w:r>
        <w:rPr>
          <w:rFonts w:hint="eastAsia" w:ascii="仿宋_GB2312" w:hAnsi="仿宋_GB2312" w:eastAsia="仿宋_GB2312" w:cs="仿宋_GB2312"/>
          <w:color w:val="auto"/>
          <w:w w:val="95"/>
          <w:sz w:val="32"/>
          <w:szCs w:val="32"/>
          <w:lang w:eastAsia="zh-CN"/>
        </w:rPr>
        <w:t>构建“片区、乡镇、村（社区）、组（小区）、户”五级网格</w:t>
      </w:r>
      <w:r>
        <w:rPr>
          <w:rFonts w:hint="eastAsia" w:ascii="仿宋_GB2312" w:hAnsi="仿宋_GB2312" w:eastAsia="仿宋_GB2312" w:cs="仿宋_GB2312"/>
          <w:color w:val="auto"/>
          <w:w w:val="95"/>
          <w:sz w:val="32"/>
          <w:szCs w:val="32"/>
          <w:lang w:val="en-US" w:eastAsia="zh-CN"/>
        </w:rPr>
        <w:t>化管理工作</w:t>
      </w:r>
      <w:r>
        <w:rPr>
          <w:rFonts w:hint="eastAsia" w:ascii="仿宋_GB2312" w:hAnsi="仿宋_GB2312" w:eastAsia="仿宋_GB2312" w:cs="仿宋_GB2312"/>
          <w:color w:val="auto"/>
          <w:w w:val="95"/>
          <w:sz w:val="32"/>
          <w:szCs w:val="32"/>
          <w:lang w:eastAsia="zh-CN"/>
        </w:rPr>
        <w:t>，</w:t>
      </w:r>
      <w:r>
        <w:rPr>
          <w:rFonts w:hint="eastAsia" w:ascii="仿宋_GB2312" w:hAnsi="仿宋_GB2312" w:eastAsia="仿宋_GB2312" w:cs="仿宋_GB2312"/>
          <w:i w:val="0"/>
          <w:caps w:val="0"/>
          <w:color w:val="auto"/>
          <w:spacing w:val="0"/>
          <w:sz w:val="32"/>
          <w:szCs w:val="32"/>
          <w:shd w:val="clear" w:color="auto" w:fill="FFFFFF"/>
        </w:rPr>
        <w:t>按照疫情防控工作“一盘棋”统筹指导、协调推进，全面落实</w:t>
      </w:r>
      <w:r>
        <w:rPr>
          <w:rFonts w:hint="eastAsia" w:ascii="仿宋_GB2312" w:hAnsi="仿宋_GB2312" w:eastAsia="仿宋_GB2312" w:cs="仿宋_GB2312"/>
          <w:i w:val="0"/>
          <w:caps w:val="0"/>
          <w:color w:val="auto"/>
          <w:spacing w:val="0"/>
          <w:sz w:val="32"/>
          <w:szCs w:val="32"/>
          <w:shd w:val="clear" w:color="auto" w:fill="FFFFFF"/>
          <w:lang w:val="en-US" w:eastAsia="zh-CN"/>
        </w:rPr>
        <w:t>乡镇</w:t>
      </w:r>
      <w:r>
        <w:rPr>
          <w:rFonts w:hint="eastAsia" w:ascii="仿宋_GB2312" w:hAnsi="仿宋_GB2312" w:eastAsia="仿宋_GB2312" w:cs="仿宋_GB2312"/>
          <w:i w:val="0"/>
          <w:caps w:val="0"/>
          <w:color w:val="auto"/>
          <w:spacing w:val="0"/>
          <w:sz w:val="32"/>
          <w:szCs w:val="32"/>
          <w:shd w:val="clear" w:color="auto" w:fill="FFFFFF"/>
        </w:rPr>
        <w:t>领导主体责任</w:t>
      </w:r>
      <w:r>
        <w:rPr>
          <w:rFonts w:hint="eastAsia" w:ascii="仿宋_GB2312" w:hAnsi="仿宋_GB2312" w:eastAsia="仿宋_GB2312" w:cs="仿宋_GB2312"/>
          <w:i w:val="0"/>
          <w:caps w:val="0"/>
          <w:color w:val="auto"/>
          <w:spacing w:val="0"/>
          <w:sz w:val="32"/>
          <w:szCs w:val="32"/>
          <w:shd w:val="clear" w:color="auto" w:fill="FFFFFF"/>
          <w:lang w:eastAsia="zh-CN"/>
        </w:rPr>
        <w:t>。</w:t>
      </w:r>
      <w:r>
        <w:rPr>
          <w:rFonts w:hint="eastAsia" w:ascii="仿宋_GB2312" w:hAnsi="仿宋_GB2312" w:eastAsia="仿宋_GB2312" w:cs="仿宋_GB2312"/>
          <w:color w:val="auto"/>
          <w:sz w:val="32"/>
          <w:szCs w:val="32"/>
          <w:lang w:val="en-US" w:eastAsia="zh-CN"/>
        </w:rPr>
        <w:t>按照</w:t>
      </w:r>
      <w:r>
        <w:rPr>
          <w:rFonts w:hint="eastAsia" w:ascii="仿宋_GB2312" w:hAnsi="仿宋_GB2312" w:eastAsia="仿宋_GB2312" w:cs="仿宋_GB2312"/>
          <w:color w:val="auto"/>
          <w:sz w:val="32"/>
          <w:szCs w:val="32"/>
          <w:lang w:eastAsia="zh-CN"/>
        </w:rPr>
        <w:t>属地管理、分级负责的原则，</w:t>
      </w:r>
      <w:r>
        <w:rPr>
          <w:rFonts w:hint="eastAsia" w:ascii="仿宋_GB2312" w:hAnsi="仿宋_GB2312" w:eastAsia="仿宋_GB2312" w:cs="仿宋_GB2312"/>
          <w:i w:val="0"/>
          <w:caps w:val="0"/>
          <w:color w:val="auto"/>
          <w:spacing w:val="0"/>
          <w:sz w:val="32"/>
          <w:szCs w:val="32"/>
          <w:shd w:val="clear" w:color="auto" w:fill="FFFFFF"/>
        </w:rPr>
        <w:t>继续推行县级领导包</w:t>
      </w:r>
      <w:r>
        <w:rPr>
          <w:rFonts w:hint="eastAsia" w:ascii="仿宋_GB2312" w:hAnsi="仿宋_GB2312" w:eastAsia="仿宋_GB2312" w:cs="仿宋_GB2312"/>
          <w:i w:val="0"/>
          <w:caps w:val="0"/>
          <w:color w:val="auto"/>
          <w:spacing w:val="0"/>
          <w:sz w:val="32"/>
          <w:szCs w:val="32"/>
          <w:shd w:val="clear" w:color="auto" w:fill="FFFFFF"/>
          <w:lang w:val="en-US" w:eastAsia="zh-CN"/>
        </w:rPr>
        <w:t>片区</w:t>
      </w:r>
      <w:r>
        <w:rPr>
          <w:rFonts w:hint="eastAsia" w:ascii="仿宋_GB2312" w:hAnsi="仿宋_GB2312" w:eastAsia="仿宋_GB2312" w:cs="仿宋_GB2312"/>
          <w:i w:val="0"/>
          <w:caps w:val="0"/>
          <w:color w:val="auto"/>
          <w:spacing w:val="0"/>
          <w:sz w:val="32"/>
          <w:szCs w:val="32"/>
          <w:shd w:val="clear" w:color="auto" w:fill="FFFFFF"/>
        </w:rPr>
        <w:t>、乡镇干部包村社、村社干部包小组</w:t>
      </w:r>
      <w:r>
        <w:rPr>
          <w:rFonts w:hint="eastAsia" w:ascii="仿宋_GB2312" w:hAnsi="仿宋_GB2312" w:eastAsia="仿宋_GB2312" w:cs="仿宋_GB2312"/>
          <w:i w:val="0"/>
          <w:caps w:val="0"/>
          <w:color w:val="auto"/>
          <w:spacing w:val="0"/>
          <w:sz w:val="32"/>
          <w:szCs w:val="32"/>
          <w:shd w:val="clear" w:color="auto" w:fill="FFFFFF"/>
          <w:lang w:val="en-US" w:eastAsia="zh-CN"/>
        </w:rPr>
        <w:t>的</w:t>
      </w:r>
      <w:r>
        <w:rPr>
          <w:rFonts w:hint="eastAsia" w:ascii="仿宋_GB2312" w:hAnsi="仿宋_GB2312" w:eastAsia="仿宋_GB2312" w:cs="仿宋_GB2312"/>
          <w:i w:val="0"/>
          <w:caps w:val="0"/>
          <w:color w:val="auto"/>
          <w:spacing w:val="0"/>
          <w:sz w:val="32"/>
          <w:szCs w:val="32"/>
          <w:shd w:val="clear" w:color="auto" w:fill="FFFFFF"/>
        </w:rPr>
        <w:t>“</w:t>
      </w:r>
      <w:r>
        <w:rPr>
          <w:rFonts w:hint="eastAsia" w:ascii="仿宋_GB2312" w:hAnsi="仿宋_GB2312" w:eastAsia="仿宋_GB2312" w:cs="仿宋_GB2312"/>
          <w:i w:val="0"/>
          <w:caps w:val="0"/>
          <w:color w:val="auto"/>
          <w:spacing w:val="0"/>
          <w:sz w:val="32"/>
          <w:szCs w:val="32"/>
          <w:shd w:val="clear" w:color="auto" w:fill="FFFFFF"/>
          <w:lang w:val="en-US" w:eastAsia="zh-CN"/>
        </w:rPr>
        <w:t>责任制</w:t>
      </w:r>
      <w:r>
        <w:rPr>
          <w:rFonts w:hint="eastAsia" w:ascii="仿宋_GB2312" w:hAnsi="仿宋_GB2312" w:eastAsia="仿宋_GB2312" w:cs="仿宋_GB2312"/>
          <w:i w:val="0"/>
          <w:caps w:val="0"/>
          <w:color w:val="auto"/>
          <w:spacing w:val="0"/>
          <w:sz w:val="32"/>
          <w:szCs w:val="32"/>
          <w:shd w:val="clear" w:color="auto" w:fill="FFFFFF"/>
        </w:rPr>
        <w:t>”</w:t>
      </w:r>
      <w:r>
        <w:rPr>
          <w:rFonts w:hint="eastAsia" w:ascii="仿宋_GB2312" w:hAnsi="仿宋_GB2312" w:eastAsia="仿宋_GB2312" w:cs="仿宋_GB2312"/>
          <w:i w:val="0"/>
          <w:caps w:val="0"/>
          <w:color w:val="auto"/>
          <w:spacing w:val="0"/>
          <w:sz w:val="32"/>
          <w:szCs w:val="32"/>
          <w:shd w:val="clear" w:color="auto" w:fill="FFFFFF"/>
          <w:lang w:eastAsia="zh-CN"/>
        </w:rPr>
        <w:t>，</w:t>
      </w:r>
      <w:r>
        <w:rPr>
          <w:rFonts w:hint="eastAsia" w:ascii="仿宋_GB2312" w:hAnsi="仿宋_GB2312" w:eastAsia="仿宋_GB2312" w:cs="仿宋_GB2312"/>
          <w:color w:val="auto"/>
          <w:sz w:val="32"/>
          <w:szCs w:val="32"/>
          <w:lang w:val="en-US" w:eastAsia="zh-CN"/>
        </w:rPr>
        <w:t>实现了</w:t>
      </w:r>
      <w:r>
        <w:rPr>
          <w:rFonts w:hint="eastAsia" w:ascii="仿宋_GB2312" w:hAnsi="仿宋_GB2312" w:eastAsia="仿宋_GB2312" w:cs="仿宋_GB2312"/>
          <w:color w:val="auto"/>
          <w:sz w:val="32"/>
          <w:szCs w:val="32"/>
          <w:lang w:eastAsia="zh-CN"/>
        </w:rPr>
        <w:t>一级</w:t>
      </w:r>
      <w:r>
        <w:rPr>
          <w:rFonts w:hint="eastAsia" w:ascii="仿宋_GB2312" w:hAnsi="仿宋_GB2312" w:eastAsia="仿宋_GB2312" w:cs="仿宋_GB2312"/>
          <w:color w:val="auto"/>
          <w:sz w:val="32"/>
          <w:szCs w:val="32"/>
          <w:lang w:val="en-US" w:eastAsia="zh-CN"/>
        </w:rPr>
        <w:t>抓</w:t>
      </w:r>
      <w:r>
        <w:rPr>
          <w:rFonts w:hint="eastAsia" w:ascii="仿宋_GB2312" w:hAnsi="仿宋_GB2312" w:eastAsia="仿宋_GB2312" w:cs="仿宋_GB2312"/>
          <w:color w:val="auto"/>
          <w:sz w:val="32"/>
          <w:szCs w:val="32"/>
          <w:lang w:eastAsia="zh-CN"/>
        </w:rPr>
        <w:t>一级，层层抓落实，</w:t>
      </w:r>
      <w:r>
        <w:rPr>
          <w:rFonts w:hint="eastAsia" w:ascii="仿宋_GB2312" w:hAnsi="仿宋_GB2312" w:eastAsia="仿宋_GB2312" w:cs="仿宋_GB2312"/>
          <w:i w:val="0"/>
          <w:caps w:val="0"/>
          <w:color w:val="auto"/>
          <w:spacing w:val="0"/>
          <w:sz w:val="32"/>
          <w:szCs w:val="32"/>
          <w:shd w:val="clear" w:color="auto" w:fill="FFFFFF"/>
          <w:lang w:val="en-US" w:eastAsia="zh-CN"/>
        </w:rPr>
        <w:t>切实做到</w:t>
      </w:r>
      <w:r>
        <w:rPr>
          <w:rFonts w:hint="eastAsia" w:ascii="仿宋_GB2312" w:hAnsi="仿宋_GB2312" w:eastAsia="仿宋_GB2312" w:cs="仿宋_GB2312"/>
          <w:i w:val="0"/>
          <w:caps w:val="0"/>
          <w:color w:val="auto"/>
          <w:spacing w:val="0"/>
          <w:sz w:val="32"/>
          <w:szCs w:val="32"/>
          <w:shd w:val="clear" w:color="auto" w:fill="FFFFFF"/>
        </w:rPr>
        <w:t>责任到人、联系到户，确保各项防控措施全面落实、不留死角</w:t>
      </w:r>
      <w:r>
        <w:rPr>
          <w:rFonts w:hint="eastAsia" w:ascii="仿宋_GB2312" w:hAnsi="仿宋_GB2312" w:eastAsia="仿宋_GB2312" w:cs="仿宋_GB2312"/>
          <w:i w:val="0"/>
          <w:caps w:val="0"/>
          <w:color w:val="auto"/>
          <w:spacing w:val="0"/>
          <w:sz w:val="32"/>
          <w:szCs w:val="32"/>
          <w:shd w:val="clear" w:color="auto" w:fill="FFFFFF"/>
          <w:lang w:eastAsia="zh-CN"/>
        </w:rPr>
        <w:t>。</w:t>
      </w:r>
      <w:r>
        <w:rPr>
          <w:rFonts w:hint="eastAsia" w:ascii="仿宋_GB2312" w:hAnsi="仿宋_GB2312" w:eastAsia="仿宋_GB2312" w:cs="仿宋_GB2312"/>
          <w:i w:val="0"/>
          <w:caps w:val="0"/>
          <w:color w:val="auto"/>
          <w:spacing w:val="0"/>
          <w:sz w:val="32"/>
          <w:szCs w:val="32"/>
          <w:shd w:val="clear" w:color="auto" w:fill="FFFFFF"/>
          <w:lang w:val="en-US" w:eastAsia="zh-CN"/>
        </w:rPr>
        <w:t>截至目前，我县未发生新冠肺炎疫情。</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b/>
          <w:bCs/>
          <w:color w:val="auto"/>
          <w:sz w:val="32"/>
          <w:szCs w:val="32"/>
        </w:rPr>
        <w:t>全力抓实重大动植物疫情防控。</w:t>
      </w:r>
      <w:r>
        <w:rPr>
          <w:rFonts w:hint="eastAsia" w:ascii="仿宋_GB2312" w:hAnsi="仿宋_GB2312" w:eastAsia="仿宋_GB2312" w:cs="仿宋_GB2312"/>
          <w:sz w:val="32"/>
          <w:szCs w:val="32"/>
        </w:rPr>
        <w:t>扎实开展动物“春秋”防疫工作，严格落实重大动物疫病防控举措，加强技术指导和督导检查，确保非洲猪瘟等重大动物疫病防控措施落地落实。全年累计免疫禽流感6万羽，免疫猪口蹄疫2.03万头，免疫牛口蹄疫9.64万头，免疫羊口蹄疫2.04万只，免疫羊小反刍兽疫2.04万只，免疫羊包虫病免1.96万只，免疫猪瘟2.07万头，均占应免疫数的100%。</w:t>
      </w:r>
      <w:r>
        <w:rPr>
          <w:rFonts w:hint="eastAsia" w:ascii="仿宋_GB2312" w:hAnsi="仿宋_GB2312" w:eastAsia="仿宋_GB2312" w:cs="仿宋_GB2312"/>
          <w:b/>
          <w:bCs/>
          <w:color w:val="auto"/>
          <w:sz w:val="32"/>
          <w:szCs w:val="32"/>
          <w:lang w:val="en-US" w:eastAsia="zh-CN"/>
        </w:rPr>
        <w:t>三是加强重大植物疫情监测预警和阻截防控。</w:t>
      </w:r>
      <w:r>
        <w:rPr>
          <w:rFonts w:hint="eastAsia" w:ascii="仿宋_GB2312" w:hAnsi="仿宋_GB2312" w:eastAsia="仿宋_GB2312" w:cs="仿宋_GB2312"/>
          <w:color w:val="auto"/>
          <w:sz w:val="32"/>
          <w:szCs w:val="32"/>
        </w:rPr>
        <w:t>完成甜樱桃果蝇综合防治，防治面积1800亩，防治效果达85%以上</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完成全县12乡（镇）600多亩玉米地布控草地贪夜蛾监测点10个，安装草地贪夜蛾诱捕器31套</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sz w:val="32"/>
          <w:szCs w:val="32"/>
        </w:rPr>
        <w:t>完成州农业有害生物防控目标4.23万亩，覆盖率达40%以上；主要农作物专业化统防纺治2.46万亩，覆盖率达40%以上；对种子苗木生产、经营、调入者检疫抽查率50%；植物疫情防控处置率100%。</w:t>
      </w:r>
      <w:r>
        <w:rPr>
          <w:rFonts w:hint="eastAsia" w:ascii="仿宋_GB2312" w:hAnsi="仿宋_GB2312" w:eastAsia="仿宋_GB2312" w:cs="仿宋_GB2312"/>
          <w:b/>
          <w:bCs/>
          <w:color w:val="auto"/>
          <w:sz w:val="32"/>
          <w:szCs w:val="32"/>
          <w:lang w:val="en-US" w:eastAsia="zh-CN"/>
        </w:rPr>
        <w:t>四是</w:t>
      </w:r>
      <w:r>
        <w:rPr>
          <w:rFonts w:hint="eastAsia" w:ascii="仿宋_GB2312" w:hAnsi="仿宋_GB2312" w:eastAsia="仿宋_GB2312" w:cs="仿宋_GB2312"/>
          <w:b/>
          <w:bCs/>
          <w:color w:val="auto"/>
          <w:sz w:val="32"/>
          <w:szCs w:val="32"/>
        </w:rPr>
        <w:t>全力抓</w:t>
      </w:r>
      <w:r>
        <w:rPr>
          <w:rFonts w:hint="eastAsia" w:ascii="仿宋_GB2312" w:hAnsi="仿宋_GB2312" w:eastAsia="仿宋_GB2312" w:cs="仿宋_GB2312"/>
          <w:b/>
          <w:bCs/>
          <w:color w:val="auto"/>
          <w:sz w:val="32"/>
          <w:szCs w:val="32"/>
          <w:lang w:val="en-US" w:eastAsia="zh-CN"/>
        </w:rPr>
        <w:t>农机</w:t>
      </w:r>
      <w:r>
        <w:rPr>
          <w:rFonts w:hint="eastAsia" w:ascii="仿宋_GB2312" w:hAnsi="仿宋_GB2312" w:eastAsia="仿宋_GB2312" w:cs="仿宋_GB2312"/>
          <w:b/>
          <w:bCs/>
          <w:color w:val="auto"/>
          <w:sz w:val="32"/>
          <w:szCs w:val="32"/>
        </w:rPr>
        <w:t>安全生产监督监管。</w:t>
      </w:r>
      <w:r>
        <w:rPr>
          <w:rFonts w:hint="eastAsia" w:ascii="仿宋_GB2312" w:hAnsi="仿宋_GB2312" w:eastAsia="仿宋_GB2312" w:cs="仿宋_GB2312"/>
          <w:color w:val="auto"/>
          <w:sz w:val="32"/>
          <w:szCs w:val="32"/>
          <w:lang w:val="en-US" w:eastAsia="zh-CN"/>
        </w:rPr>
        <w:t>全年</w:t>
      </w:r>
      <w:r>
        <w:rPr>
          <w:rFonts w:hint="eastAsia" w:ascii="仿宋_GB2312" w:hAnsi="仿宋_GB2312" w:eastAsia="仿宋_GB2312" w:cs="仿宋_GB2312"/>
          <w:color w:val="auto"/>
          <w:sz w:val="32"/>
          <w:szCs w:val="32"/>
        </w:rPr>
        <w:t>出动农</w:t>
      </w:r>
      <w:r>
        <w:rPr>
          <w:rFonts w:hint="eastAsia" w:ascii="仿宋_GB2312" w:hAnsi="仿宋_GB2312" w:eastAsia="仿宋_GB2312" w:cs="仿宋_GB2312"/>
          <w:sz w:val="32"/>
          <w:szCs w:val="32"/>
        </w:rPr>
        <w:t>机执法人员95人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，检查14.7千瓦以上的自走式农业机械132台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，排查农机安全隐患6起，教育、处理违法农机手5人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全县农机手新办拖拉机驾驶证30个，换发驾驶证11个，车辆年检23台。</w:t>
      </w:r>
      <w:r>
        <w:rPr>
          <w:rFonts w:hint="eastAsia" w:ascii="仿宋_GB2312" w:hAnsi="仿宋_GB2312" w:eastAsia="仿宋_GB2312" w:cs="仿宋_GB2312"/>
          <w:b/>
          <w:bCs/>
          <w:sz w:val="32"/>
          <w:szCs w:val="32"/>
          <w:lang w:val="en-US" w:eastAsia="zh-CN"/>
        </w:rPr>
        <w:t>五是认真开展好农</w:t>
      </w:r>
      <w:r>
        <w:rPr>
          <w:rFonts w:hint="eastAsia" w:ascii="仿宋_GB2312" w:hAnsi="仿宋_GB2312" w:eastAsia="仿宋_GB2312" w:cs="仿宋_GB2312"/>
          <w:b/>
          <w:bCs/>
          <w:color w:val="000000"/>
          <w:sz w:val="32"/>
          <w:szCs w:val="32"/>
          <w:lang w:val="en-US" w:eastAsia="zh-CN"/>
        </w:rPr>
        <w:t>产品质量安全监管工作。</w:t>
      </w:r>
      <w:r>
        <w:rPr>
          <w:rFonts w:hint="eastAsia" w:ascii="仿宋_GB2312" w:hAnsi="仿宋_GB2312" w:eastAsia="仿宋_GB2312" w:cs="仿宋_GB2312"/>
          <w:color w:val="000000"/>
          <w:sz w:val="32"/>
          <w:szCs w:val="32"/>
          <w:lang w:val="en-US" w:eastAsia="zh-CN"/>
        </w:rPr>
        <w:t>建立健全农产品安全管理体系，按照属地管理原则，与全县12个乡镇签订《农产品质量安全监管责任书》，层层落实农产品安全管理责任；完成15家生产经营主体追溯体系平台培训，使其消费者扫描追溯码即可知晓所购买的农产品的具体信息，让消费者放心消费；</w:t>
      </w:r>
      <w:r>
        <w:rPr>
          <w:rFonts w:hint="eastAsia" w:ascii="仿宋_GB2312" w:hAnsi="仿宋_GB2312" w:eastAsia="仿宋_GB2312" w:cs="仿宋_GB2312"/>
          <w:b/>
          <w:bCs/>
          <w:sz w:val="32"/>
          <w:szCs w:val="32"/>
          <w:shd w:val="clear" w:color="auto" w:fill="FFFFFF"/>
          <w:lang w:val="en-US" w:eastAsia="zh-CN"/>
        </w:rPr>
        <w:t>六</w:t>
      </w:r>
      <w:r>
        <w:rPr>
          <w:rFonts w:hint="eastAsia" w:ascii="仿宋_GB2312" w:hAnsi="仿宋_GB2312" w:eastAsia="仿宋_GB2312" w:cs="仿宋_GB2312"/>
          <w:b/>
          <w:bCs/>
          <w:sz w:val="32"/>
          <w:szCs w:val="32"/>
          <w:lang w:val="en-US" w:eastAsia="zh-CN"/>
        </w:rPr>
        <w:t>是</w:t>
      </w:r>
      <w:r>
        <w:rPr>
          <w:rFonts w:hint="eastAsia" w:ascii="仿宋_GB2312" w:hAnsi="仿宋_GB2312" w:eastAsia="仿宋_GB2312" w:cs="仿宋_GB2312"/>
          <w:sz w:val="32"/>
          <w:szCs w:val="32"/>
          <w:lang w:val="en-US" w:eastAsia="zh-CN"/>
        </w:rPr>
        <w:t>全力做好“8.16”九寨沟特大洪涝灾害农业农村抢险救灾工作。走村入户认真开展核灾统</w:t>
      </w:r>
      <w:r>
        <w:rPr>
          <w:rFonts w:hint="eastAsia" w:ascii="仿宋_GB2312" w:hAnsi="仿宋_GB2312" w:eastAsia="仿宋_GB2312" w:cs="仿宋_GB2312"/>
          <w:b w:val="0"/>
          <w:bCs w:val="0"/>
          <w:color w:val="auto"/>
          <w:sz w:val="32"/>
          <w:szCs w:val="32"/>
          <w:lang w:val="en-US" w:eastAsia="zh-CN"/>
        </w:rPr>
        <w:t>灾工作和灾后重建项目申报工作。此次灾情</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sz w:val="32"/>
          <w:szCs w:val="32"/>
          <w:lang w:val="en-US" w:eastAsia="zh-CN"/>
        </w:rPr>
        <w:t>全县累计受灾农民</w:t>
      </w:r>
      <w:r>
        <w:rPr>
          <w:rFonts w:hint="eastAsia" w:ascii="仿宋_GB2312" w:hAnsi="仿宋_GB2312" w:eastAsia="仿宋_GB2312" w:cs="仿宋_GB2312"/>
          <w:color w:val="auto"/>
          <w:sz w:val="32"/>
          <w:szCs w:val="32"/>
          <w:lang w:val="en-US" w:eastAsia="zh-CN"/>
        </w:rPr>
        <w:t>19389</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农作物受灾面积</w:t>
      </w:r>
      <w:r>
        <w:rPr>
          <w:rFonts w:hint="eastAsia" w:ascii="仿宋_GB2312" w:hAnsi="仿宋_GB2312" w:eastAsia="仿宋_GB2312" w:cs="仿宋_GB2312"/>
          <w:color w:val="auto"/>
          <w:sz w:val="32"/>
          <w:szCs w:val="32"/>
          <w:lang w:val="en-US" w:eastAsia="zh-CN"/>
        </w:rPr>
        <w:t>314.77</w:t>
      </w:r>
      <w:r>
        <w:rPr>
          <w:rFonts w:hint="eastAsia" w:ascii="仿宋_GB2312" w:hAnsi="仿宋_GB2312" w:eastAsia="仿宋_GB2312" w:cs="仿宋_GB2312"/>
          <w:color w:val="auto"/>
          <w:sz w:val="32"/>
          <w:szCs w:val="32"/>
        </w:rPr>
        <w:t>公顷</w:t>
      </w:r>
      <w:r>
        <w:rPr>
          <w:rFonts w:hint="eastAsia" w:ascii="仿宋_GB2312" w:hAnsi="仿宋_GB2312" w:eastAsia="仿宋_GB2312" w:cs="仿宋_GB2312"/>
          <w:color w:val="auto"/>
          <w:sz w:val="32"/>
          <w:szCs w:val="32"/>
          <w:lang w:eastAsia="zh-CN"/>
        </w:rPr>
        <w:t>机耕道损毁</w:t>
      </w:r>
      <w:r>
        <w:rPr>
          <w:rFonts w:hint="eastAsia" w:ascii="仿宋_GB2312" w:hAnsi="仿宋_GB2312" w:eastAsia="仿宋_GB2312" w:cs="仿宋_GB2312"/>
          <w:color w:val="auto"/>
          <w:sz w:val="32"/>
          <w:szCs w:val="32"/>
          <w:lang w:val="en-US" w:eastAsia="zh-CN"/>
        </w:rPr>
        <w:t>324公里、生产便桥损毁35座，堡坎损毁11492立方米，农用便桥损毁30座，牧道损毁23公里，其他基础设施损毁870平方米，圈棚损毁4393平方。</w:t>
      </w:r>
    </w:p>
    <w:p w14:paraId="2F7D30FE">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bCs/>
          <w:kern w:val="2"/>
          <w:sz w:val="32"/>
          <w:szCs w:val="32"/>
          <w:lang w:val="en-US" w:eastAsia="zh-CN" w:bidi="ar-SA"/>
        </w:rPr>
        <w:t>10.落实要素保障运行，深化农业农村改革。</w:t>
      </w:r>
      <w:r>
        <w:rPr>
          <w:rFonts w:hint="eastAsia" w:ascii="仿宋_GB2312" w:hAnsi="仿宋_GB2312" w:eastAsia="仿宋_GB2312" w:cs="仿宋_GB2312"/>
          <w:b/>
          <w:bCs/>
          <w:kern w:val="2"/>
          <w:sz w:val="32"/>
          <w:szCs w:val="32"/>
          <w:lang w:val="en-US" w:eastAsia="zh-CN" w:bidi="ar-SA"/>
        </w:rPr>
        <w:t>一是认真落实惠民惠农政策。</w:t>
      </w:r>
      <w:r>
        <w:rPr>
          <w:rFonts w:hint="eastAsia" w:ascii="仿宋_GB2312" w:hAnsi="仿宋_GB2312" w:eastAsia="仿宋_GB2312" w:cs="仿宋_GB2312"/>
          <w:color w:val="000000"/>
          <w:sz w:val="32"/>
          <w:szCs w:val="32"/>
          <w:lang w:val="en-US" w:eastAsia="zh-CN"/>
        </w:rPr>
        <w:t>2020年全县实施禁牧34万亩，兑现每亩7.5元的禁牧补助资金255万元；实施草畜平衡127.85万亩，兑现每亩2.5元的草畜平衡奖励资金319.625万元；认真落实</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耕地地力保护</w:t>
      </w:r>
      <w:r>
        <w:rPr>
          <w:rFonts w:hint="eastAsia" w:ascii="仿宋_GB2312" w:hAnsi="仿宋_GB2312" w:eastAsia="仿宋_GB2312" w:cs="仿宋_GB2312"/>
          <w:sz w:val="32"/>
          <w:szCs w:val="32"/>
          <w:lang w:val="en-US" w:eastAsia="zh-CN"/>
        </w:rPr>
        <w:t>政策，兑现补助资金311.1万元；预计</w:t>
      </w:r>
      <w:r>
        <w:rPr>
          <w:rFonts w:hint="eastAsia" w:ascii="仿宋_GB2312" w:hAnsi="仿宋_GB2312" w:eastAsia="仿宋_GB2312" w:cs="仿宋_GB2312"/>
          <w:sz w:val="32"/>
          <w:szCs w:val="32"/>
        </w:rPr>
        <w:t>2020</w:t>
      </w:r>
      <w:r>
        <w:rPr>
          <w:rFonts w:hint="eastAsia" w:ascii="仿宋_GB2312" w:hAnsi="仿宋_GB2312" w:eastAsia="仿宋_GB2312" w:cs="仿宋_GB2312"/>
          <w:sz w:val="32"/>
          <w:szCs w:val="32"/>
          <w:lang w:val="en-US" w:eastAsia="zh-CN"/>
        </w:rPr>
        <w:t>年底前，落实</w:t>
      </w:r>
      <w:r>
        <w:rPr>
          <w:rFonts w:hint="eastAsia" w:ascii="仿宋_GB2312" w:hAnsi="仿宋_GB2312" w:eastAsia="仿宋_GB2312" w:cs="仿宋_GB2312"/>
          <w:sz w:val="32"/>
          <w:szCs w:val="32"/>
        </w:rPr>
        <w:t>农机购置补贴资金100万元</w:t>
      </w:r>
      <w:r>
        <w:rPr>
          <w:rFonts w:hint="eastAsia" w:ascii="仿宋_GB2312" w:hAnsi="仿宋_GB2312" w:eastAsia="仿宋_GB2312" w:cs="仿宋_GB2312"/>
          <w:color w:val="000000"/>
          <w:sz w:val="32"/>
          <w:szCs w:val="32"/>
          <w:lang w:val="en-US" w:eastAsia="zh-CN"/>
        </w:rPr>
        <w:t>。</w:t>
      </w:r>
      <w:r>
        <w:rPr>
          <w:rFonts w:hint="eastAsia" w:ascii="仿宋" w:hAnsi="仿宋" w:eastAsia="仿宋" w:cs="仿宋"/>
          <w:b/>
          <w:bCs/>
          <w:sz w:val="32"/>
          <w:szCs w:val="32"/>
          <w:lang w:val="en-US" w:eastAsia="zh-CN"/>
        </w:rPr>
        <w:t>二是</w:t>
      </w:r>
      <w:r>
        <w:rPr>
          <w:rFonts w:hint="eastAsia" w:ascii="仿宋_GB2312" w:hAnsi="仿宋_GB2312" w:eastAsia="仿宋_GB2312" w:cs="仿宋_GB2312"/>
          <w:b/>
          <w:bCs/>
          <w:sz w:val="32"/>
          <w:szCs w:val="32"/>
          <w:lang w:val="en-US" w:eastAsia="zh-CN"/>
        </w:rPr>
        <w:t>深化农业农村改革。</w:t>
      </w:r>
      <w:r>
        <w:rPr>
          <w:rFonts w:hint="eastAsia" w:ascii="仿宋_GB2312" w:hAnsi="仿宋_GB2312" w:eastAsia="仿宋_GB2312" w:cs="仿宋_GB2312"/>
          <w:b w:val="0"/>
          <w:bCs w:val="0"/>
          <w:sz w:val="32"/>
          <w:szCs w:val="32"/>
          <w:lang w:val="en-US" w:eastAsia="zh-CN"/>
        </w:rPr>
        <w:t>完成全县农村土地承包经营权证颁证工作，涉及土地承包农户 14487户，地块60519宗，实测承包土地面积88122.31亩；目前全县流转土地16187亩</w:t>
      </w:r>
      <w:r>
        <w:rPr>
          <w:rFonts w:hint="eastAsia" w:ascii="仿宋_GB2312" w:hAnsi="仿宋_GB2312" w:eastAsia="仿宋_GB2312" w:cs="仿宋_GB2312"/>
          <w:kern w:val="2"/>
          <w:sz w:val="32"/>
          <w:szCs w:val="32"/>
          <w:shd w:val="clear" w:color="auto" w:fill="FFFFFF"/>
          <w:lang w:val="en-US" w:eastAsia="zh-CN" w:bidi="ar-SA"/>
        </w:rPr>
        <w:t>（含非耕地）</w:t>
      </w:r>
      <w:r>
        <w:rPr>
          <w:rFonts w:hint="eastAsia" w:ascii="仿宋_GB2312" w:hAnsi="仿宋_GB2312" w:eastAsia="仿宋_GB2312" w:cs="仿宋_GB2312"/>
          <w:b w:val="0"/>
          <w:bCs w:val="0"/>
          <w:sz w:val="32"/>
          <w:szCs w:val="32"/>
          <w:lang w:val="en-US" w:eastAsia="zh-CN"/>
        </w:rPr>
        <w:t>，其中出租16181亩，出租5.7亩；流转入种养大户260亩，农民合作社14600亩，工商业企业809亩，流转村集体经济组织30亩，其他主体488亩；深化农村宅基地改革，</w:t>
      </w:r>
      <w:r>
        <w:rPr>
          <w:rFonts w:hint="eastAsia" w:ascii="仿宋" w:hAnsi="仿宋" w:eastAsia="仿宋" w:cs="仿宋"/>
          <w:sz w:val="32"/>
          <w:szCs w:val="32"/>
          <w:lang w:val="en-US" w:eastAsia="zh-CN"/>
        </w:rPr>
        <w:t>编印了《九寨沟县农村宅基地审批和住房建设管理工作资料汇编》；深</w:t>
      </w:r>
      <w:r>
        <w:rPr>
          <w:rFonts w:hint="default" w:ascii="Times New Roman" w:hAnsi="Times New Roman" w:eastAsia="仿宋" w:cs="Times New Roman"/>
          <w:color w:val="000000"/>
          <w:sz w:val="32"/>
          <w:szCs w:val="32"/>
          <w:lang w:eastAsia="zh-CN"/>
        </w:rPr>
        <w:t>入推进农村集体产权制度改革，</w:t>
      </w:r>
      <w:r>
        <w:rPr>
          <w:rFonts w:hint="default" w:ascii="Times New Roman" w:hAnsi="Times New Roman" w:eastAsia="仿宋" w:cs="Times New Roman"/>
          <w:color w:val="auto"/>
          <w:sz w:val="32"/>
          <w:szCs w:val="32"/>
          <w:lang w:eastAsia="zh-CN"/>
        </w:rPr>
        <w:t>完成</w:t>
      </w:r>
      <w:r>
        <w:rPr>
          <w:rFonts w:hint="default" w:ascii="Times New Roman" w:hAnsi="Times New Roman" w:eastAsia="仿宋" w:cs="Times New Roman"/>
          <w:color w:val="auto"/>
          <w:sz w:val="32"/>
          <w:szCs w:val="32"/>
          <w:lang w:val="en-US" w:eastAsia="zh-CN"/>
        </w:rPr>
        <w:t>1</w:t>
      </w:r>
      <w:r>
        <w:rPr>
          <w:rFonts w:hint="eastAsia" w:ascii="Times New Roman" w:hAnsi="Times New Roman" w:eastAsia="仿宋" w:cs="Times New Roman"/>
          <w:color w:val="auto"/>
          <w:sz w:val="32"/>
          <w:szCs w:val="32"/>
          <w:lang w:val="en-US" w:eastAsia="zh-CN"/>
        </w:rPr>
        <w:t>1</w:t>
      </w:r>
      <w:r>
        <w:rPr>
          <w:rFonts w:hint="default" w:ascii="Times New Roman" w:hAnsi="Times New Roman" w:eastAsia="仿宋" w:cs="Times New Roman"/>
          <w:color w:val="auto"/>
          <w:sz w:val="32"/>
          <w:szCs w:val="32"/>
          <w:lang w:val="en-US" w:eastAsia="zh-CN"/>
        </w:rPr>
        <w:t>0个村、10个社区农村集体资产清产核资工作，</w:t>
      </w:r>
      <w:r>
        <w:rPr>
          <w:rFonts w:hint="default" w:ascii="Times New Roman" w:hAnsi="Times New Roman" w:eastAsia="仿宋" w:cs="Times New Roman"/>
          <w:sz w:val="32"/>
          <w:szCs w:val="32"/>
        </w:rPr>
        <w:t>清查核实农村集体资产为22243.1032万元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color w:val="auto"/>
          <w:sz w:val="32"/>
          <w:szCs w:val="32"/>
          <w:lang w:val="en-US" w:eastAsia="zh-CN"/>
        </w:rPr>
        <w:t>完成成员确定、股权量化、成立临时集体经济经营管理班子、赋码登记办证等工作。</w:t>
      </w:r>
      <w:r>
        <w:rPr>
          <w:rFonts w:hint="default" w:ascii="Times New Roman" w:hAnsi="Times New Roman" w:eastAsia="仿宋" w:cs="Times New Roman"/>
          <w:bCs/>
          <w:sz w:val="32"/>
          <w:szCs w:val="32"/>
        </w:rPr>
        <w:t>持续推进农村土地制度改革工作，深入落实承包地“三权分置”制度。</w:t>
      </w:r>
      <w:r>
        <w:rPr>
          <w:rFonts w:hint="eastAsia" w:ascii="仿宋_GB2312" w:hAnsi="仿宋_GB2312" w:eastAsia="仿宋_GB2312" w:cs="仿宋_GB2312"/>
          <w:b/>
          <w:bCs/>
          <w:color w:val="auto"/>
          <w:kern w:val="2"/>
          <w:sz w:val="32"/>
          <w:szCs w:val="32"/>
          <w:lang w:val="en-US" w:eastAsia="zh-CN" w:bidi="ar-SA"/>
        </w:rPr>
        <w:t>三是</w:t>
      </w:r>
      <w:r>
        <w:rPr>
          <w:rFonts w:hint="eastAsia" w:ascii="仿宋_GB2312" w:hAnsi="仿宋_GB2312" w:eastAsia="仿宋_GB2312" w:cs="仿宋_GB2312"/>
          <w:b/>
          <w:bCs/>
          <w:color w:val="000000"/>
          <w:sz w:val="32"/>
          <w:szCs w:val="32"/>
        </w:rPr>
        <w:t>新型经营主体培育壮大</w:t>
      </w:r>
      <w:r>
        <w:rPr>
          <w:rFonts w:hint="eastAsia" w:ascii="楷体" w:hAnsi="楷体" w:eastAsia="楷体" w:cs="楷体"/>
          <w:b/>
          <w:bCs/>
          <w:color w:val="000000"/>
          <w:sz w:val="32"/>
          <w:szCs w:val="32"/>
        </w:rPr>
        <w:t>。</w:t>
      </w:r>
      <w:r>
        <w:rPr>
          <w:rFonts w:hint="default" w:ascii="Times New Roman" w:hAnsi="Times New Roman" w:eastAsia="仿宋" w:cs="Times New Roman"/>
          <w:color w:val="000000"/>
          <w:sz w:val="32"/>
          <w:szCs w:val="32"/>
        </w:rPr>
        <w:t>通过培育新型经营主体，</w:t>
      </w:r>
      <w:r>
        <w:rPr>
          <w:rFonts w:hint="eastAsia" w:ascii="仿宋_GB2312" w:hAnsi="仿宋_GB2312" w:eastAsia="仿宋_GB2312" w:cs="仿宋_GB2312"/>
          <w:kern w:val="2"/>
          <w:sz w:val="32"/>
          <w:szCs w:val="32"/>
          <w:shd w:val="clear" w:color="auto" w:fill="FFFFFF"/>
          <w:lang w:val="en-US" w:eastAsia="zh-CN" w:bidi="ar-SA"/>
        </w:rPr>
        <w:t>已注册登记的农民专业合作社594个，培育国家级示范社1个、省级示范社4个、州级示范社14个、家庭农场21个。</w:t>
      </w:r>
      <w:r>
        <w:rPr>
          <w:rFonts w:hint="eastAsia" w:ascii="仿宋_GB2312" w:hAnsi="仿宋_GB2312" w:eastAsia="仿宋_GB2312" w:cs="仿宋_GB2312"/>
          <w:sz w:val="32"/>
          <w:szCs w:val="32"/>
          <w:lang w:val="en-US" w:eastAsia="zh-CN"/>
        </w:rPr>
        <w:t>正在组织申报州级示范合作社2个、州级示范家庭农场3个；</w:t>
      </w:r>
      <w:r>
        <w:rPr>
          <w:rFonts w:hint="eastAsia" w:ascii="仿宋_GB2312" w:hAnsi="仿宋_GB2312" w:eastAsia="仿宋_GB2312" w:cs="仿宋_GB2312"/>
          <w:b w:val="0"/>
          <w:bCs w:val="0"/>
          <w:sz w:val="32"/>
          <w:szCs w:val="32"/>
          <w:lang w:val="en-US" w:eastAsia="zh-CN"/>
        </w:rPr>
        <w:t>全县流转土地16187亩</w:t>
      </w:r>
      <w:r>
        <w:rPr>
          <w:rFonts w:hint="eastAsia" w:ascii="仿宋_GB2312" w:hAnsi="仿宋_GB2312" w:eastAsia="仿宋_GB2312" w:cs="仿宋_GB2312"/>
          <w:kern w:val="2"/>
          <w:sz w:val="32"/>
          <w:szCs w:val="32"/>
          <w:shd w:val="clear" w:color="auto" w:fill="FFFFFF"/>
          <w:lang w:val="en-US" w:eastAsia="zh-CN" w:bidi="ar-SA"/>
        </w:rPr>
        <w:t>（含非耕地）</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sz w:val="32"/>
          <w:szCs w:val="32"/>
          <w:lang w:val="en-US" w:eastAsia="zh-CN"/>
        </w:rPr>
        <w:t>其中</w:t>
      </w:r>
      <w:r>
        <w:rPr>
          <w:rFonts w:hint="eastAsia" w:ascii="仿宋_GB2312" w:hAnsi="仿宋_GB2312" w:eastAsia="仿宋_GB2312" w:cs="仿宋_GB2312"/>
          <w:b w:val="0"/>
          <w:bCs w:val="0"/>
          <w:sz w:val="32"/>
          <w:szCs w:val="32"/>
          <w:lang w:val="en-US" w:eastAsia="zh-CN"/>
        </w:rPr>
        <w:t>流转入种养大户260亩，农民合作社14600亩，工商业企业809亩，流转村集体经济组织30亩，其他主体488亩。</w:t>
      </w:r>
    </w:p>
    <w:p w14:paraId="6E78D254">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p>
    <w:p w14:paraId="16EB08ED">
      <w:pPr>
        <w:pStyle w:val="7"/>
        <w:adjustRightInd w:val="0"/>
        <w:snapToGrid w:val="0"/>
        <w:spacing w:before="93" w:line="600" w:lineRule="exact"/>
        <w:ind w:firstLine="672" w:firstLineChars="210"/>
        <w:outlineLvl w:val="2"/>
        <w:rPr>
          <w:rFonts w:ascii="仿宋" w:hAnsi="仿宋" w:eastAsia="仿宋"/>
          <w:bCs/>
          <w:color w:val="000000"/>
          <w:sz w:val="32"/>
          <w:szCs w:val="32"/>
        </w:rPr>
      </w:pPr>
    </w:p>
    <w:p w14:paraId="245EAC3D">
      <w:pPr>
        <w:pStyle w:val="4"/>
        <w:numPr>
          <w:ilvl w:val="0"/>
          <w:numId w:val="1"/>
        </w:numPr>
        <w:rPr>
          <w:rStyle w:val="28"/>
          <w:rFonts w:hint="eastAsia" w:ascii="黑体" w:hAnsi="黑体" w:eastAsia="黑体"/>
          <w:b w:val="0"/>
          <w:bCs w:val="0"/>
        </w:rPr>
      </w:pPr>
      <w:bookmarkStart w:id="28" w:name="_Toc79163605"/>
      <w:bookmarkStart w:id="29" w:name="_Toc79163855"/>
      <w:bookmarkStart w:id="30" w:name="_Toc15377200"/>
      <w:bookmarkStart w:id="31" w:name="_Toc15396601"/>
      <w:r>
        <w:rPr>
          <w:rFonts w:hint="eastAsia" w:ascii="黑体" w:hAnsi="黑体" w:eastAsia="黑体"/>
          <w:b w:val="0"/>
          <w:color w:val="000000"/>
        </w:rPr>
        <w:t>机</w:t>
      </w:r>
      <w:r>
        <w:rPr>
          <w:rStyle w:val="28"/>
          <w:rFonts w:hint="eastAsia" w:ascii="黑体" w:hAnsi="黑体" w:eastAsia="黑体"/>
          <w:b w:val="0"/>
          <w:bCs w:val="0"/>
        </w:rPr>
        <w:t>构设置</w:t>
      </w:r>
      <w:bookmarkEnd w:id="28"/>
      <w:bookmarkEnd w:id="29"/>
      <w:bookmarkEnd w:id="30"/>
      <w:bookmarkEnd w:id="31"/>
    </w:p>
    <w:p w14:paraId="4B66E3A9">
      <w:pPr>
        <w:pStyle w:val="3"/>
        <w:keepNext/>
        <w:keepLines/>
        <w:pageBreakBefore w:val="0"/>
        <w:widowControl w:val="0"/>
        <w:kinsoku/>
        <w:wordWrap/>
        <w:overflowPunct/>
        <w:topLinePunct w:val="0"/>
        <w:autoSpaceDE/>
        <w:autoSpaceDN/>
        <w:bidi w:val="0"/>
        <w:adjustRightInd/>
        <w:snapToGrid/>
        <w:spacing w:line="579" w:lineRule="auto"/>
        <w:ind w:right="442" w:firstLine="640" w:firstLineChars="200"/>
        <w:jc w:val="left"/>
        <w:textAlignment w:val="auto"/>
        <w:rPr>
          <w:rFonts w:hint="default" w:ascii="黑体" w:hAnsi="黑体" w:eastAsia="黑体"/>
          <w:b w:val="0"/>
          <w:color w:val="000000"/>
          <w:lang w:val="en-US"/>
        </w:rPr>
      </w:pPr>
      <w:bookmarkStart w:id="32" w:name="_Toc15377204"/>
      <w:bookmarkStart w:id="33" w:name="_Toc79163859"/>
      <w:bookmarkStart w:id="34" w:name="_Toc15396602"/>
      <w:bookmarkStart w:id="35" w:name="_Toc79163609"/>
      <w:r>
        <w:rPr>
          <w:rFonts w:hint="eastAsia" w:ascii="仿宋_GB2312" w:hAnsi="仿宋_GB2312" w:eastAsia="仿宋_GB2312" w:cs="仿宋_GB2312"/>
          <w:b w:val="0"/>
          <w:bCs w:val="0"/>
          <w:sz w:val="32"/>
          <w:szCs w:val="32"/>
          <w:lang w:val="en-US" w:eastAsia="zh-CN"/>
        </w:rPr>
        <w:t>县动物疫病预防控制中心，为县科学技术和农业畜牧局所属财政全额拨款公益一类股级事业单位。核定事业编制8名，其中，主任1名。</w:t>
      </w:r>
    </w:p>
    <w:p w14:paraId="3F2C25DB">
      <w:pPr>
        <w:rPr>
          <w:rFonts w:hint="eastAsia"/>
        </w:rPr>
      </w:pPr>
    </w:p>
    <w:p w14:paraId="4A0B7869">
      <w:pPr>
        <w:pStyle w:val="3"/>
        <w:ind w:right="440"/>
        <w:jc w:val="right"/>
        <w:rPr>
          <w:rFonts w:hint="eastAsia" w:ascii="黑体" w:hAnsi="黑体" w:eastAsia="黑体"/>
          <w:b w:val="0"/>
          <w:color w:val="000000"/>
        </w:rPr>
      </w:pPr>
    </w:p>
    <w:p w14:paraId="6C17A650">
      <w:pPr>
        <w:pStyle w:val="3"/>
        <w:ind w:right="440"/>
        <w:jc w:val="right"/>
        <w:rPr>
          <w:rFonts w:hint="eastAsia" w:ascii="黑体" w:hAnsi="黑体" w:eastAsia="黑体"/>
          <w:b w:val="0"/>
          <w:color w:val="000000"/>
        </w:rPr>
      </w:pPr>
    </w:p>
    <w:p w14:paraId="0E269D2F">
      <w:pPr>
        <w:pStyle w:val="3"/>
        <w:ind w:right="440"/>
        <w:jc w:val="right"/>
        <w:rPr>
          <w:rFonts w:hint="eastAsia" w:ascii="黑体" w:hAnsi="黑体" w:eastAsia="黑体"/>
          <w:b w:val="0"/>
          <w:color w:val="000000"/>
        </w:rPr>
      </w:pPr>
    </w:p>
    <w:p w14:paraId="067D060F">
      <w:pPr>
        <w:pStyle w:val="3"/>
        <w:ind w:right="440"/>
        <w:jc w:val="both"/>
        <w:rPr>
          <w:rFonts w:hint="eastAsia" w:ascii="黑体" w:hAnsi="黑体" w:eastAsia="黑体"/>
          <w:b w:val="0"/>
          <w:color w:val="000000"/>
        </w:rPr>
      </w:pPr>
    </w:p>
    <w:p w14:paraId="1BD9452A">
      <w:pPr>
        <w:rPr>
          <w:rFonts w:hint="eastAsia"/>
        </w:rPr>
      </w:pPr>
    </w:p>
    <w:p w14:paraId="480DFDA5">
      <w:pPr>
        <w:pStyle w:val="2"/>
        <w:rPr>
          <w:rFonts w:hint="eastAsia"/>
        </w:rPr>
      </w:pPr>
    </w:p>
    <w:p w14:paraId="7D3F9E8F">
      <w:pPr>
        <w:pStyle w:val="2"/>
        <w:rPr>
          <w:rFonts w:hint="eastAsia"/>
        </w:rPr>
      </w:pPr>
    </w:p>
    <w:p w14:paraId="1EFBA3B0">
      <w:pPr>
        <w:pStyle w:val="2"/>
        <w:rPr>
          <w:rFonts w:hint="eastAsia"/>
        </w:rPr>
      </w:pPr>
    </w:p>
    <w:p w14:paraId="416144F1">
      <w:pPr>
        <w:pStyle w:val="2"/>
        <w:rPr>
          <w:rFonts w:hint="eastAsia"/>
        </w:rPr>
      </w:pPr>
    </w:p>
    <w:p w14:paraId="24185FC7">
      <w:pPr>
        <w:pStyle w:val="2"/>
        <w:rPr>
          <w:rFonts w:hint="eastAsia"/>
        </w:rPr>
      </w:pPr>
    </w:p>
    <w:p w14:paraId="04DEBB62">
      <w:pPr>
        <w:pStyle w:val="2"/>
        <w:rPr>
          <w:rFonts w:hint="eastAsia"/>
        </w:rPr>
      </w:pPr>
    </w:p>
    <w:p w14:paraId="7ED2FE6D">
      <w:pPr>
        <w:pStyle w:val="2"/>
        <w:rPr>
          <w:rFonts w:hint="eastAsia"/>
        </w:rPr>
      </w:pPr>
    </w:p>
    <w:p w14:paraId="3E6BBCC5">
      <w:pPr>
        <w:pStyle w:val="2"/>
        <w:rPr>
          <w:rFonts w:hint="eastAsia"/>
        </w:rPr>
      </w:pPr>
    </w:p>
    <w:p w14:paraId="083DC424">
      <w:pPr>
        <w:pStyle w:val="2"/>
        <w:rPr>
          <w:rFonts w:hint="eastAsia"/>
        </w:rPr>
      </w:pPr>
    </w:p>
    <w:p w14:paraId="5E4F448C">
      <w:pPr>
        <w:pStyle w:val="2"/>
        <w:rPr>
          <w:rFonts w:hint="eastAsia"/>
        </w:rPr>
      </w:pPr>
    </w:p>
    <w:p w14:paraId="4599C86E">
      <w:pPr>
        <w:pStyle w:val="2"/>
        <w:rPr>
          <w:rFonts w:hint="eastAsia"/>
        </w:rPr>
      </w:pPr>
    </w:p>
    <w:p w14:paraId="2283E169">
      <w:pPr>
        <w:pStyle w:val="2"/>
        <w:rPr>
          <w:rFonts w:hint="eastAsia"/>
        </w:rPr>
      </w:pPr>
    </w:p>
    <w:p w14:paraId="73CF9E52">
      <w:pPr>
        <w:pStyle w:val="2"/>
        <w:rPr>
          <w:rFonts w:hint="eastAsia"/>
        </w:rPr>
      </w:pPr>
    </w:p>
    <w:p w14:paraId="5BEE39BD">
      <w:pPr>
        <w:pStyle w:val="2"/>
        <w:rPr>
          <w:rFonts w:hint="eastAsia"/>
        </w:rPr>
      </w:pPr>
    </w:p>
    <w:p w14:paraId="676793FC">
      <w:pPr>
        <w:pStyle w:val="2"/>
        <w:rPr>
          <w:rFonts w:hint="eastAsia"/>
        </w:rPr>
      </w:pPr>
    </w:p>
    <w:p w14:paraId="6C17BA1C">
      <w:pPr>
        <w:pStyle w:val="3"/>
        <w:ind w:right="440" w:firstLine="440" w:firstLineChars="100"/>
        <w:jc w:val="both"/>
        <w:rPr>
          <w:rStyle w:val="27"/>
          <w:rFonts w:ascii="黑体" w:hAnsi="黑体" w:eastAsia="黑体"/>
          <w:b w:val="0"/>
          <w:bCs w:val="0"/>
        </w:rPr>
      </w:pPr>
      <w:r>
        <w:rPr>
          <w:rFonts w:hint="eastAsia" w:ascii="黑体" w:hAnsi="黑体" w:eastAsia="黑体"/>
          <w:b w:val="0"/>
          <w:color w:val="000000"/>
        </w:rPr>
        <w:t>第二部分</w:t>
      </w:r>
      <w:r>
        <w:rPr>
          <w:rFonts w:ascii="黑体" w:hAnsi="黑体" w:eastAsia="黑体"/>
          <w:color w:val="000000"/>
        </w:rPr>
        <w:t xml:space="preserve"> </w:t>
      </w:r>
      <w:r>
        <w:rPr>
          <w:rStyle w:val="27"/>
          <w:rFonts w:ascii="黑体" w:hAnsi="黑体" w:eastAsia="黑体"/>
          <w:b w:val="0"/>
          <w:bCs w:val="0"/>
        </w:rPr>
        <w:t>2020</w:t>
      </w:r>
      <w:r>
        <w:rPr>
          <w:rStyle w:val="27"/>
          <w:rFonts w:hint="eastAsia" w:ascii="黑体" w:hAnsi="黑体" w:eastAsia="黑体"/>
          <w:b w:val="0"/>
          <w:bCs w:val="0"/>
        </w:rPr>
        <w:t>年度部门决算情况说明</w:t>
      </w:r>
      <w:bookmarkEnd w:id="32"/>
      <w:bookmarkEnd w:id="33"/>
      <w:bookmarkEnd w:id="34"/>
      <w:bookmarkEnd w:id="35"/>
    </w:p>
    <w:p w14:paraId="410722ED"/>
    <w:p w14:paraId="11D09F9B">
      <w:pPr>
        <w:pStyle w:val="38"/>
        <w:numPr>
          <w:ilvl w:val="0"/>
          <w:numId w:val="2"/>
        </w:numPr>
        <w:spacing w:line="600" w:lineRule="exact"/>
        <w:ind w:firstLineChars="0"/>
        <w:outlineLvl w:val="1"/>
        <w:rPr>
          <w:rStyle w:val="28"/>
          <w:rFonts w:ascii="黑体" w:hAnsi="黑体" w:eastAsia="黑体"/>
          <w:b w:val="0"/>
        </w:rPr>
      </w:pPr>
      <w:bookmarkStart w:id="36" w:name="_Toc79163610"/>
      <w:bookmarkStart w:id="37" w:name="_Toc79163860"/>
      <w:bookmarkStart w:id="38" w:name="_Toc15396603"/>
      <w:bookmarkStart w:id="39" w:name="_Toc15377205"/>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36"/>
      <w:bookmarkEnd w:id="37"/>
      <w:bookmarkEnd w:id="38"/>
      <w:bookmarkEnd w:id="39"/>
    </w:p>
    <w:p w14:paraId="7403EB3C">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675.45</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年相比，收、支总计各增加</w:t>
      </w:r>
      <w:r>
        <w:rPr>
          <w:rFonts w:hint="eastAsia" w:ascii="仿宋" w:hAnsi="仿宋" w:eastAsia="仿宋"/>
          <w:color w:val="000000"/>
          <w:sz w:val="32"/>
          <w:szCs w:val="32"/>
          <w:lang w:val="en-US" w:eastAsia="zh-CN"/>
        </w:rPr>
        <w:t>83.25</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14.58</w:t>
      </w:r>
      <w:r>
        <w:rPr>
          <w:rFonts w:ascii="仿宋" w:hAnsi="仿宋" w:eastAsia="仿宋"/>
          <w:color w:val="000000"/>
          <w:sz w:val="32"/>
          <w:szCs w:val="32"/>
        </w:rPr>
        <w:t>%</w:t>
      </w:r>
      <w:r>
        <w:rPr>
          <w:rFonts w:hint="eastAsia" w:ascii="仿宋" w:hAnsi="仿宋" w:eastAsia="仿宋"/>
          <w:color w:val="000000"/>
          <w:sz w:val="32"/>
          <w:szCs w:val="32"/>
        </w:rPr>
        <w:t>。</w:t>
      </w:r>
    </w:p>
    <w:p w14:paraId="41668CCB">
      <w:pPr>
        <w:pStyle w:val="22"/>
        <w:rPr>
          <w:rFonts w:hint="eastAsia"/>
        </w:rPr>
      </w:pPr>
    </w:p>
    <w:p w14:paraId="25E14298">
      <w:pPr>
        <w:pStyle w:val="22"/>
        <w:rPr>
          <w:rFonts w:hint="eastAsia"/>
        </w:rPr>
      </w:pPr>
    </w:p>
    <w:p w14:paraId="28106A3C">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59264" behindDoc="1" locked="0" layoutInCell="1" allowOverlap="1">
            <wp:simplePos x="0" y="0"/>
            <wp:positionH relativeFrom="column">
              <wp:posOffset>492125</wp:posOffset>
            </wp:positionH>
            <wp:positionV relativeFrom="paragraph">
              <wp:posOffset>118745</wp:posOffset>
            </wp:positionV>
            <wp:extent cx="4492625" cy="2188210"/>
            <wp:effectExtent l="4445" t="4445" r="11430" b="17145"/>
            <wp:wrapTight wrapText="bothSides">
              <wp:wrapPolygon>
                <wp:start x="-21" y="-44"/>
                <wp:lineTo x="-21" y="21519"/>
                <wp:lineTo x="21594" y="21519"/>
                <wp:lineTo x="21594" y="-44"/>
                <wp:lineTo x="-21" y="-44"/>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05DB0343">
      <w:pPr>
        <w:spacing w:line="600" w:lineRule="exact"/>
        <w:ind w:firstLine="640" w:firstLineChars="200"/>
        <w:rPr>
          <w:rFonts w:hint="eastAsia" w:ascii="仿宋" w:hAnsi="仿宋" w:eastAsia="仿宋"/>
          <w:color w:val="000000"/>
          <w:sz w:val="32"/>
          <w:szCs w:val="32"/>
        </w:rPr>
      </w:pPr>
    </w:p>
    <w:p w14:paraId="7A01F072">
      <w:pPr>
        <w:spacing w:line="600" w:lineRule="exact"/>
        <w:ind w:firstLine="640" w:firstLineChars="200"/>
        <w:rPr>
          <w:rFonts w:hint="eastAsia" w:ascii="仿宋" w:hAnsi="仿宋" w:eastAsia="仿宋"/>
          <w:color w:val="000000"/>
          <w:sz w:val="32"/>
          <w:szCs w:val="32"/>
        </w:rPr>
      </w:pPr>
    </w:p>
    <w:p w14:paraId="54FBE7B8">
      <w:pPr>
        <w:spacing w:line="600" w:lineRule="exact"/>
        <w:ind w:firstLine="640" w:firstLineChars="200"/>
        <w:rPr>
          <w:rFonts w:hint="eastAsia" w:ascii="仿宋" w:hAnsi="仿宋" w:eastAsia="仿宋"/>
          <w:color w:val="000000"/>
          <w:sz w:val="32"/>
          <w:szCs w:val="32"/>
        </w:rPr>
      </w:pPr>
    </w:p>
    <w:p w14:paraId="230DA6FC">
      <w:pPr>
        <w:spacing w:line="600" w:lineRule="exact"/>
        <w:ind w:firstLine="640" w:firstLineChars="200"/>
        <w:rPr>
          <w:rFonts w:hint="eastAsia" w:ascii="仿宋" w:hAnsi="仿宋" w:eastAsia="仿宋"/>
          <w:color w:val="000000"/>
          <w:sz w:val="32"/>
          <w:szCs w:val="32"/>
        </w:rPr>
      </w:pPr>
    </w:p>
    <w:p w14:paraId="69ECE561">
      <w:pPr>
        <w:spacing w:line="600" w:lineRule="exact"/>
        <w:ind w:firstLine="640" w:firstLineChars="200"/>
        <w:rPr>
          <w:rFonts w:hint="eastAsia" w:ascii="仿宋" w:hAnsi="仿宋" w:eastAsia="仿宋"/>
          <w:color w:val="000000"/>
          <w:sz w:val="32"/>
          <w:szCs w:val="32"/>
        </w:rPr>
      </w:pPr>
    </w:p>
    <w:p w14:paraId="4A6B5C85">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14:paraId="48DBDB83">
      <w:pPr>
        <w:spacing w:line="600" w:lineRule="exact"/>
        <w:ind w:firstLine="640" w:firstLineChars="200"/>
        <w:jc w:val="left"/>
        <w:rPr>
          <w:rFonts w:ascii="仿宋_GB2312" w:eastAsia="仿宋_GB2312"/>
          <w:color w:val="000000"/>
          <w:sz w:val="32"/>
          <w:szCs w:val="32"/>
        </w:rPr>
      </w:pPr>
    </w:p>
    <w:p w14:paraId="49483540">
      <w:pPr>
        <w:pStyle w:val="38"/>
        <w:numPr>
          <w:ilvl w:val="0"/>
          <w:numId w:val="2"/>
        </w:numPr>
        <w:spacing w:line="600" w:lineRule="exact"/>
        <w:ind w:firstLineChars="0"/>
        <w:outlineLvl w:val="1"/>
        <w:rPr>
          <w:rStyle w:val="28"/>
          <w:rFonts w:ascii="黑体" w:hAnsi="黑体" w:eastAsia="黑体"/>
          <w:b w:val="0"/>
        </w:rPr>
      </w:pPr>
      <w:bookmarkStart w:id="40" w:name="_Toc79163861"/>
      <w:bookmarkStart w:id="41" w:name="_Toc79163611"/>
      <w:bookmarkStart w:id="42" w:name="_Toc15396604"/>
      <w:bookmarkStart w:id="43" w:name="_Toc15377206"/>
      <w:r>
        <w:rPr>
          <w:rFonts w:hint="eastAsia" w:ascii="黑体" w:hAnsi="黑体" w:eastAsia="黑体"/>
          <w:color w:val="000000"/>
          <w:sz w:val="32"/>
          <w:szCs w:val="32"/>
        </w:rPr>
        <w:t>收</w:t>
      </w:r>
      <w:r>
        <w:rPr>
          <w:rStyle w:val="28"/>
          <w:rFonts w:hint="eastAsia" w:ascii="黑体" w:hAnsi="黑体" w:eastAsia="黑体"/>
          <w:b w:val="0"/>
        </w:rPr>
        <w:t>入决算情况说明</w:t>
      </w:r>
      <w:bookmarkEnd w:id="40"/>
      <w:bookmarkEnd w:id="41"/>
      <w:bookmarkEnd w:id="42"/>
      <w:bookmarkEnd w:id="43"/>
    </w:p>
    <w:p w14:paraId="5161E7A3">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675.45</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675.45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14:paraId="72C31176">
      <w:pPr>
        <w:spacing w:line="600" w:lineRule="exact"/>
        <w:ind w:firstLine="640" w:firstLineChars="200"/>
        <w:jc w:val="center"/>
        <w:rPr>
          <w:rFonts w:ascii="仿宋" w:hAnsi="仿宋" w:eastAsia="仿宋"/>
          <w:color w:val="auto"/>
          <w:sz w:val="32"/>
          <w:szCs w:val="32"/>
        </w:rPr>
      </w:pPr>
      <w:r>
        <w:rPr>
          <w:rFonts w:hint="eastAsia" w:ascii="仿宋" w:hAnsi="仿宋" w:eastAsia="仿宋"/>
          <w:color w:val="auto"/>
          <w:sz w:val="32"/>
          <w:szCs w:val="32"/>
        </w:rPr>
        <w:t>（注：数据来源于财决</w:t>
      </w:r>
      <w:r>
        <w:rPr>
          <w:rFonts w:ascii="仿宋" w:hAnsi="仿宋" w:eastAsia="仿宋"/>
          <w:color w:val="auto"/>
          <w:sz w:val="32"/>
          <w:szCs w:val="32"/>
        </w:rPr>
        <w:t>01</w:t>
      </w:r>
      <w:r>
        <w:rPr>
          <w:rFonts w:hint="eastAsia" w:ascii="仿宋" w:hAnsi="仿宋" w:eastAsia="仿宋"/>
          <w:color w:val="auto"/>
          <w:sz w:val="32"/>
          <w:szCs w:val="32"/>
        </w:rPr>
        <w:t>表）</w:t>
      </w:r>
    </w:p>
    <w:p w14:paraId="746541EA">
      <w:pPr>
        <w:spacing w:line="600" w:lineRule="exact"/>
        <w:rPr>
          <w:rFonts w:ascii="仿宋_GB2312" w:eastAsia="仿宋_GB2312"/>
          <w:color w:val="FF0000"/>
          <w:sz w:val="32"/>
          <w:szCs w:val="32"/>
        </w:rPr>
      </w:pPr>
      <w:r>
        <w:rPr>
          <w:rFonts w:hint="eastAsia" w:ascii="仿宋_GB2312" w:eastAsia="仿宋_GB2312"/>
          <w:color w:val="FF0000"/>
          <w:sz w:val="32"/>
          <w:szCs w:val="32"/>
          <w:lang w:eastAsia="zh-CN"/>
        </w:rPr>
        <w:drawing>
          <wp:anchor distT="0" distB="0" distL="114300" distR="114300" simplePos="0" relativeHeight="251660288" behindDoc="1" locked="0" layoutInCell="1" allowOverlap="1">
            <wp:simplePos x="0" y="0"/>
            <wp:positionH relativeFrom="column">
              <wp:posOffset>148590</wp:posOffset>
            </wp:positionH>
            <wp:positionV relativeFrom="paragraph">
              <wp:posOffset>209550</wp:posOffset>
            </wp:positionV>
            <wp:extent cx="4975860" cy="2618105"/>
            <wp:effectExtent l="4445" t="4445" r="10795" b="6350"/>
            <wp:wrapTight wrapText="bothSides">
              <wp:wrapPolygon>
                <wp:start x="-19" y="-37"/>
                <wp:lineTo x="-19" y="21548"/>
                <wp:lineTo x="21592" y="21548"/>
                <wp:lineTo x="21592" y="-37"/>
                <wp:lineTo x="-19" y="-37"/>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42372DB0">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14:paraId="42246A6F">
      <w:pPr>
        <w:spacing w:line="600" w:lineRule="exact"/>
        <w:ind w:firstLine="640" w:firstLineChars="200"/>
        <w:rPr>
          <w:rFonts w:ascii="仿宋_GB2312" w:eastAsia="仿宋_GB2312"/>
          <w:color w:val="FF0000"/>
          <w:sz w:val="32"/>
          <w:szCs w:val="32"/>
        </w:rPr>
      </w:pPr>
    </w:p>
    <w:p w14:paraId="10D86667">
      <w:pPr>
        <w:pStyle w:val="38"/>
        <w:numPr>
          <w:ilvl w:val="0"/>
          <w:numId w:val="2"/>
        </w:numPr>
        <w:spacing w:line="600" w:lineRule="exact"/>
        <w:ind w:firstLineChars="0"/>
        <w:outlineLvl w:val="1"/>
        <w:rPr>
          <w:rStyle w:val="28"/>
          <w:rFonts w:ascii="黑体" w:hAnsi="黑体" w:eastAsia="黑体"/>
          <w:b w:val="0"/>
        </w:rPr>
      </w:pPr>
      <w:bookmarkStart w:id="44" w:name="_Toc15396605"/>
      <w:bookmarkStart w:id="45" w:name="_Toc79163612"/>
      <w:bookmarkStart w:id="46" w:name="_Toc15377207"/>
      <w:bookmarkStart w:id="47" w:name="_Toc79163862"/>
      <w:r>
        <w:rPr>
          <w:rFonts w:hint="eastAsia" w:ascii="黑体" w:hAnsi="黑体" w:eastAsia="黑体"/>
          <w:color w:val="000000"/>
          <w:sz w:val="32"/>
          <w:szCs w:val="32"/>
        </w:rPr>
        <w:t>支</w:t>
      </w:r>
      <w:r>
        <w:rPr>
          <w:rStyle w:val="28"/>
          <w:rFonts w:hint="eastAsia" w:ascii="黑体" w:hAnsi="黑体" w:eastAsia="黑体"/>
          <w:b w:val="0"/>
        </w:rPr>
        <w:t>出决算情况说明</w:t>
      </w:r>
      <w:bookmarkEnd w:id="44"/>
      <w:bookmarkEnd w:id="45"/>
      <w:bookmarkEnd w:id="46"/>
      <w:bookmarkEnd w:id="47"/>
    </w:p>
    <w:p w14:paraId="63DB1A23">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 w:hAnsi="仿宋" w:eastAsia="仿宋"/>
          <w:color w:val="000000"/>
          <w:sz w:val="32"/>
          <w:szCs w:val="32"/>
          <w:lang w:val="en-US" w:eastAsia="zh-CN"/>
        </w:rPr>
        <w:t>675.45</w:t>
      </w:r>
      <w:r>
        <w:rPr>
          <w:rFonts w:hint="eastAsia" w:ascii="仿宋_GB2312" w:eastAsia="仿宋_GB2312"/>
          <w:sz w:val="32"/>
          <w:szCs w:val="32"/>
        </w:rPr>
        <w:t>万元，其中：基本支出</w:t>
      </w:r>
      <w:r>
        <w:rPr>
          <w:rFonts w:hint="eastAsia" w:ascii="仿宋" w:hAnsi="仿宋" w:eastAsia="仿宋"/>
          <w:color w:val="000000"/>
          <w:sz w:val="32"/>
          <w:szCs w:val="32"/>
          <w:lang w:val="en-US" w:eastAsia="zh-CN"/>
        </w:rPr>
        <w:t>675.45</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6BF351E3">
      <w:pPr>
        <w:spacing w:line="600" w:lineRule="exact"/>
        <w:ind w:firstLine="640" w:firstLineChars="200"/>
        <w:jc w:val="center"/>
        <w:rPr>
          <w:rFonts w:ascii="仿宋_GB2312" w:eastAsia="仿宋_GB2312"/>
          <w:sz w:val="32"/>
          <w:szCs w:val="32"/>
        </w:rPr>
      </w:pPr>
      <w:r>
        <w:rPr>
          <w:rFonts w:hint="eastAsia" w:ascii="仿宋_GB2312" w:eastAsia="仿宋_GB2312"/>
          <w:sz w:val="32"/>
          <w:szCs w:val="32"/>
        </w:rPr>
        <w:t>（注：数据来源于财决</w:t>
      </w:r>
      <w:r>
        <w:rPr>
          <w:rFonts w:ascii="仿宋_GB2312" w:eastAsia="仿宋_GB2312"/>
          <w:sz w:val="32"/>
          <w:szCs w:val="32"/>
        </w:rPr>
        <w:t>04</w:t>
      </w:r>
      <w:r>
        <w:rPr>
          <w:rFonts w:hint="eastAsia" w:ascii="仿宋_GB2312" w:eastAsia="仿宋_GB2312"/>
          <w:sz w:val="32"/>
          <w:szCs w:val="32"/>
        </w:rPr>
        <w:t>表）</w:t>
      </w:r>
    </w:p>
    <w:p w14:paraId="42B144E3">
      <w:pPr>
        <w:spacing w:line="600" w:lineRule="exact"/>
        <w:ind w:firstLine="640"/>
        <w:rPr>
          <w:rFonts w:ascii="仿宋" w:hAnsi="仿宋" w:eastAsia="仿宋"/>
          <w:color w:val="000000"/>
          <w:sz w:val="32"/>
          <w:szCs w:val="32"/>
          <w:shd w:val="pct10" w:color="auto" w:fill="FFFFFF"/>
        </w:rPr>
      </w:pPr>
      <w:r>
        <w:rPr>
          <w:rFonts w:hint="eastAsia" w:ascii="仿宋_GB2312" w:eastAsia="仿宋_GB2312"/>
          <w:color w:val="FF0000"/>
          <w:sz w:val="32"/>
          <w:szCs w:val="32"/>
          <w:lang w:eastAsia="zh-CN"/>
        </w:rPr>
        <w:drawing>
          <wp:anchor distT="0" distB="0" distL="114300" distR="114300" simplePos="0" relativeHeight="251661312" behindDoc="1" locked="0" layoutInCell="1" allowOverlap="1">
            <wp:simplePos x="0" y="0"/>
            <wp:positionH relativeFrom="column">
              <wp:posOffset>532130</wp:posOffset>
            </wp:positionH>
            <wp:positionV relativeFrom="paragraph">
              <wp:posOffset>147955</wp:posOffset>
            </wp:positionV>
            <wp:extent cx="4350385" cy="2393315"/>
            <wp:effectExtent l="4445" t="4445" r="39370" b="40640"/>
            <wp:wrapTight wrapText="bothSides">
              <wp:wrapPolygon>
                <wp:start x="-22" y="-40"/>
                <wp:lineTo x="-22" y="21508"/>
                <wp:lineTo x="21543" y="21508"/>
                <wp:lineTo x="21543" y="-40"/>
                <wp:lineTo x="-22" y="-40"/>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5E09284C">
      <w:pPr>
        <w:pStyle w:val="22"/>
        <w:rPr>
          <w:rFonts w:ascii="仿宋" w:hAnsi="仿宋" w:eastAsia="仿宋"/>
          <w:color w:val="000000"/>
          <w:sz w:val="32"/>
          <w:szCs w:val="32"/>
          <w:shd w:val="pct10" w:color="auto" w:fill="FFFFFF"/>
        </w:rPr>
      </w:pPr>
    </w:p>
    <w:p w14:paraId="4C80766A">
      <w:pPr>
        <w:pStyle w:val="22"/>
        <w:rPr>
          <w:rFonts w:ascii="仿宋" w:hAnsi="仿宋" w:eastAsia="仿宋"/>
          <w:color w:val="000000"/>
          <w:sz w:val="32"/>
          <w:szCs w:val="32"/>
          <w:shd w:val="pct10" w:color="auto" w:fill="FFFFFF"/>
        </w:rPr>
      </w:pPr>
    </w:p>
    <w:p w14:paraId="7F1A331C">
      <w:pPr>
        <w:pStyle w:val="22"/>
        <w:rPr>
          <w:rFonts w:ascii="仿宋" w:hAnsi="仿宋" w:eastAsia="仿宋"/>
          <w:color w:val="000000"/>
          <w:sz w:val="32"/>
          <w:szCs w:val="32"/>
          <w:shd w:val="pct10" w:color="auto" w:fill="FFFFFF"/>
        </w:rPr>
      </w:pPr>
    </w:p>
    <w:p w14:paraId="79D96228">
      <w:pPr>
        <w:pStyle w:val="22"/>
        <w:rPr>
          <w:rFonts w:ascii="仿宋" w:hAnsi="仿宋" w:eastAsia="仿宋"/>
          <w:color w:val="000000"/>
          <w:sz w:val="32"/>
          <w:szCs w:val="32"/>
          <w:shd w:val="pct10" w:color="auto" w:fill="FFFFFF"/>
        </w:rPr>
      </w:pPr>
    </w:p>
    <w:p w14:paraId="7746E22B">
      <w:pPr>
        <w:spacing w:line="600" w:lineRule="exact"/>
        <w:ind w:firstLine="640" w:firstLineChars="200"/>
        <w:jc w:val="center"/>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14:paraId="01F6F280">
      <w:pPr>
        <w:pStyle w:val="2"/>
      </w:pPr>
    </w:p>
    <w:p w14:paraId="1B2D4DC6">
      <w:pPr>
        <w:spacing w:line="600" w:lineRule="exact"/>
        <w:ind w:firstLine="640" w:firstLineChars="200"/>
        <w:outlineLvl w:val="1"/>
        <w:rPr>
          <w:rStyle w:val="28"/>
          <w:rFonts w:ascii="黑体" w:hAnsi="黑体" w:eastAsia="黑体"/>
          <w:b w:val="0"/>
        </w:rPr>
      </w:pPr>
      <w:bookmarkStart w:id="48" w:name="_Toc79163863"/>
      <w:bookmarkStart w:id="49" w:name="_Toc79163613"/>
      <w:bookmarkStart w:id="50" w:name="_Toc15377208"/>
      <w:bookmarkStart w:id="51" w:name="_Toc15396606"/>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48"/>
      <w:bookmarkEnd w:id="49"/>
      <w:bookmarkEnd w:id="50"/>
      <w:bookmarkEnd w:id="51"/>
    </w:p>
    <w:p w14:paraId="354932E6">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年财政拨款收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675.45</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支出总计675.45。</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年相比，财政拨款收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总计增加</w:t>
      </w:r>
      <w:r>
        <w:rPr>
          <w:rFonts w:hint="eastAsia" w:ascii="仿宋" w:hAnsi="仿宋" w:eastAsia="仿宋"/>
          <w:color w:val="000000"/>
          <w:sz w:val="32"/>
          <w:szCs w:val="32"/>
          <w:lang w:val="en-US" w:eastAsia="zh-CN"/>
        </w:rPr>
        <w:t>83.25</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14.58</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财政拨款</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总计增加</w:t>
      </w:r>
      <w:r>
        <w:rPr>
          <w:rFonts w:hint="eastAsia" w:ascii="仿宋" w:hAnsi="仿宋" w:eastAsia="仿宋"/>
          <w:color w:val="000000"/>
          <w:sz w:val="32"/>
          <w:szCs w:val="32"/>
          <w:lang w:val="en-US" w:eastAsia="zh-CN"/>
        </w:rPr>
        <w:t>83.25</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14.58</w:t>
      </w:r>
      <w:r>
        <w:rPr>
          <w:rFonts w:ascii="仿宋" w:hAnsi="仿宋" w:eastAsia="仿宋"/>
          <w:color w:val="000000"/>
          <w:sz w:val="32"/>
          <w:szCs w:val="32"/>
        </w:rPr>
        <w:t>%</w:t>
      </w:r>
      <w:r>
        <w:rPr>
          <w:rFonts w:hint="eastAsia" w:ascii="仿宋" w:hAnsi="仿宋" w:eastAsia="仿宋"/>
          <w:color w:val="000000"/>
          <w:sz w:val="32"/>
          <w:szCs w:val="32"/>
          <w:lang w:eastAsia="zh-CN"/>
        </w:rPr>
        <w:t>。</w:t>
      </w:r>
    </w:p>
    <w:p w14:paraId="57FF32DB">
      <w:pPr>
        <w:spacing w:line="600" w:lineRule="exact"/>
        <w:ind w:firstLine="640"/>
        <w:jc w:val="center"/>
        <w:rPr>
          <w:rFonts w:ascii="仿宋" w:hAnsi="仿宋" w:eastAsia="仿宋"/>
          <w:color w:val="000000"/>
          <w:sz w:val="32"/>
          <w:szCs w:val="32"/>
        </w:rPr>
      </w:pPr>
      <w:r>
        <w:rPr>
          <w:rFonts w:hint="eastAsia" w:ascii="仿宋" w:hAnsi="仿宋" w:eastAsia="仿宋"/>
          <w:color w:val="000000"/>
          <w:sz w:val="32"/>
          <w:szCs w:val="32"/>
          <w:lang w:val="en-US" w:eastAsia="zh-CN"/>
        </w:rPr>
        <w:drawing>
          <wp:anchor distT="0" distB="0" distL="114300" distR="114300" simplePos="0" relativeHeight="251662336" behindDoc="0" locked="0" layoutInCell="1" allowOverlap="1">
            <wp:simplePos x="0" y="0"/>
            <wp:positionH relativeFrom="column">
              <wp:posOffset>255905</wp:posOffset>
            </wp:positionH>
            <wp:positionV relativeFrom="paragraph">
              <wp:posOffset>1003935</wp:posOffset>
            </wp:positionV>
            <wp:extent cx="4900295" cy="3449955"/>
            <wp:effectExtent l="4445" t="4445" r="10160" b="1270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hAnsi="仿宋" w:eastAsia="仿宋"/>
          <w:b/>
          <w:color w:val="auto"/>
          <w:sz w:val="32"/>
          <w:szCs w:val="32"/>
        </w:rPr>
        <w:t>（注：除国有资本经营预算外，数据来源于财决</w:t>
      </w:r>
      <w:r>
        <w:rPr>
          <w:rFonts w:ascii="仿宋" w:hAnsi="仿宋" w:eastAsia="仿宋"/>
          <w:b/>
          <w:color w:val="auto"/>
          <w:sz w:val="32"/>
          <w:szCs w:val="32"/>
        </w:rPr>
        <w:t>Z01-1</w:t>
      </w:r>
      <w:r>
        <w:rPr>
          <w:rFonts w:hint="eastAsia" w:ascii="仿宋" w:hAnsi="仿宋" w:eastAsia="仿宋"/>
          <w:b/>
          <w:color w:val="auto"/>
          <w:sz w:val="32"/>
          <w:szCs w:val="32"/>
        </w:rPr>
        <w:t>表，口径为“总计”数</w:t>
      </w:r>
      <w:r>
        <w:rPr>
          <w:rFonts w:ascii="仿宋" w:hAnsi="仿宋" w:eastAsia="仿宋"/>
          <w:b/>
          <w:color w:val="auto"/>
          <w:sz w:val="32"/>
          <w:szCs w:val="32"/>
        </w:rPr>
        <w:t>+</w:t>
      </w:r>
      <w:r>
        <w:rPr>
          <w:rFonts w:hint="eastAsia" w:ascii="仿宋" w:hAnsi="仿宋" w:eastAsia="仿宋"/>
          <w:b/>
          <w:color w:val="auto"/>
          <w:sz w:val="32"/>
          <w:szCs w:val="32"/>
        </w:rPr>
        <w:t>国有资本经营预算。）</w:t>
      </w:r>
    </w:p>
    <w:p w14:paraId="1B7F38F8">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14:paraId="6D93CC97">
      <w:pPr>
        <w:spacing w:line="600" w:lineRule="exact"/>
        <w:ind w:firstLine="640"/>
        <w:rPr>
          <w:rFonts w:ascii="仿宋" w:hAnsi="仿宋" w:eastAsia="仿宋"/>
          <w:b/>
          <w:color w:val="00B050"/>
          <w:sz w:val="32"/>
          <w:szCs w:val="32"/>
        </w:rPr>
      </w:pPr>
    </w:p>
    <w:p w14:paraId="2C543B90">
      <w:pPr>
        <w:spacing w:line="600" w:lineRule="exact"/>
        <w:ind w:firstLine="640" w:firstLineChars="200"/>
        <w:outlineLvl w:val="1"/>
        <w:rPr>
          <w:rStyle w:val="28"/>
          <w:rFonts w:ascii="黑体" w:hAnsi="黑体" w:eastAsia="黑体"/>
          <w:b w:val="0"/>
        </w:rPr>
      </w:pPr>
      <w:bookmarkStart w:id="52" w:name="_Toc79163614"/>
      <w:bookmarkStart w:id="53" w:name="_Toc79163864"/>
      <w:bookmarkStart w:id="54" w:name="_Toc15377209"/>
      <w:bookmarkStart w:id="55"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52"/>
      <w:bookmarkEnd w:id="53"/>
      <w:bookmarkEnd w:id="54"/>
      <w:bookmarkEnd w:id="55"/>
    </w:p>
    <w:p w14:paraId="5DC45978">
      <w:pPr>
        <w:spacing w:line="600" w:lineRule="exact"/>
        <w:ind w:firstLine="643" w:firstLineChars="200"/>
        <w:outlineLvl w:val="2"/>
        <w:rPr>
          <w:rFonts w:ascii="仿宋" w:hAnsi="仿宋" w:eastAsia="仿宋"/>
          <w:b/>
          <w:color w:val="000000"/>
          <w:sz w:val="32"/>
          <w:szCs w:val="32"/>
        </w:rPr>
      </w:pPr>
      <w:bookmarkStart w:id="56" w:name="_Toc79163615"/>
      <w:bookmarkStart w:id="57" w:name="_Toc79163865"/>
      <w:bookmarkStart w:id="58" w:name="_Toc15377210"/>
      <w:r>
        <w:rPr>
          <w:rFonts w:hint="eastAsia" w:ascii="仿宋" w:hAnsi="仿宋" w:eastAsia="仿宋"/>
          <w:b/>
          <w:color w:val="000000"/>
          <w:sz w:val="32"/>
          <w:szCs w:val="32"/>
        </w:rPr>
        <w:t>（一）一般公共预算财政拨款支出决算总体情况</w:t>
      </w:r>
      <w:bookmarkEnd w:id="56"/>
      <w:bookmarkEnd w:id="57"/>
      <w:bookmarkEnd w:id="58"/>
    </w:p>
    <w:p w14:paraId="213B105E">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675.45</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83.25</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14.58</w:t>
      </w:r>
      <w:r>
        <w:rPr>
          <w:rFonts w:ascii="仿宋" w:hAnsi="仿宋" w:eastAsia="仿宋"/>
          <w:color w:val="000000"/>
          <w:sz w:val="32"/>
          <w:szCs w:val="32"/>
        </w:rPr>
        <w:t>%</w:t>
      </w:r>
      <w:r>
        <w:rPr>
          <w:rFonts w:hint="eastAsia" w:ascii="仿宋" w:hAnsi="仿宋" w:eastAsia="仿宋"/>
          <w:color w:val="000000"/>
          <w:sz w:val="32"/>
          <w:szCs w:val="32"/>
          <w:lang w:eastAsia="zh-CN"/>
        </w:rPr>
        <w:t>。</w:t>
      </w:r>
    </w:p>
    <w:p w14:paraId="57CFB200">
      <w:pPr>
        <w:spacing w:line="600" w:lineRule="exact"/>
        <w:ind w:firstLine="640" w:firstLineChars="200"/>
        <w:rPr>
          <w:rFonts w:ascii="仿宋" w:hAnsi="仿宋" w:eastAsia="仿宋"/>
          <w:color w:val="000000"/>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3360" behindDoc="0" locked="0" layoutInCell="1" allowOverlap="1">
            <wp:simplePos x="0" y="0"/>
            <wp:positionH relativeFrom="column">
              <wp:posOffset>147320</wp:posOffset>
            </wp:positionH>
            <wp:positionV relativeFrom="paragraph">
              <wp:posOffset>136525</wp:posOffset>
            </wp:positionV>
            <wp:extent cx="5080000" cy="3810000"/>
            <wp:effectExtent l="4445" t="4445" r="8255" b="825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598F054B">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14:paraId="6F0131F5">
      <w:pPr>
        <w:spacing w:line="600" w:lineRule="exact"/>
        <w:ind w:firstLine="640" w:firstLineChars="200"/>
        <w:rPr>
          <w:rFonts w:ascii="仿宋" w:hAnsi="仿宋" w:eastAsia="仿宋"/>
          <w:color w:val="000000"/>
          <w:sz w:val="32"/>
          <w:szCs w:val="32"/>
          <w:highlight w:val="none"/>
        </w:rPr>
      </w:pPr>
    </w:p>
    <w:p w14:paraId="34D39E7F">
      <w:pPr>
        <w:spacing w:line="600" w:lineRule="exact"/>
        <w:ind w:firstLine="643" w:firstLineChars="200"/>
        <w:outlineLvl w:val="2"/>
        <w:rPr>
          <w:rFonts w:ascii="仿宋" w:hAnsi="仿宋" w:eastAsia="仿宋"/>
          <w:b/>
          <w:color w:val="000000"/>
          <w:sz w:val="32"/>
          <w:szCs w:val="32"/>
          <w:highlight w:val="none"/>
        </w:rPr>
      </w:pPr>
      <w:bookmarkStart w:id="59" w:name="_Toc79163616"/>
      <w:bookmarkStart w:id="60" w:name="_Toc15377211"/>
      <w:bookmarkStart w:id="61" w:name="_Toc79163866"/>
      <w:r>
        <w:rPr>
          <w:rFonts w:hint="eastAsia" w:ascii="仿宋" w:hAnsi="仿宋" w:eastAsia="仿宋"/>
          <w:b/>
          <w:color w:val="000000"/>
          <w:sz w:val="32"/>
          <w:szCs w:val="32"/>
          <w:highlight w:val="none"/>
        </w:rPr>
        <w:t>（二）一般公共预算财政拨款支出决算结构情况</w:t>
      </w:r>
      <w:bookmarkEnd w:id="59"/>
      <w:bookmarkEnd w:id="60"/>
      <w:bookmarkEnd w:id="61"/>
    </w:p>
    <w:p w14:paraId="677E029F">
      <w:pPr>
        <w:spacing w:line="600" w:lineRule="exact"/>
        <w:ind w:firstLine="640"/>
        <w:rPr>
          <w:rFonts w:hint="eastAsia" w:ascii="仿宋" w:hAnsi="仿宋" w:eastAsia="仿宋"/>
          <w:color w:val="000000" w:themeColor="text1"/>
          <w:sz w:val="32"/>
          <w:szCs w:val="32"/>
          <w:highlight w:val="none"/>
          <w:lang w:eastAsia="zh-CN"/>
          <w14:textFill>
            <w14:solidFill>
              <w14:schemeClr w14:val="tx1"/>
            </w14:solidFill>
          </w14:textFill>
        </w:rPr>
      </w:pPr>
      <w:r>
        <w:rPr>
          <w:rFonts w:ascii="仿宋" w:hAnsi="仿宋" w:eastAsia="仿宋"/>
          <w:color w:val="000000"/>
          <w:sz w:val="32"/>
          <w:szCs w:val="32"/>
          <w:highlight w:val="none"/>
        </w:rPr>
        <w:t>2020</w:t>
      </w:r>
      <w:r>
        <w:rPr>
          <w:rFonts w:hint="eastAsia" w:ascii="仿宋" w:hAnsi="仿宋" w:eastAsia="仿宋"/>
          <w:color w:val="000000"/>
          <w:sz w:val="32"/>
          <w:szCs w:val="32"/>
          <w:highlight w:val="none"/>
        </w:rPr>
        <w:t>年一般公共预算财政拨款支出</w:t>
      </w:r>
      <w:r>
        <w:rPr>
          <w:rFonts w:hint="eastAsia" w:ascii="仿宋" w:hAnsi="仿宋" w:eastAsia="仿宋"/>
          <w:color w:val="000000"/>
          <w:sz w:val="32"/>
          <w:szCs w:val="32"/>
          <w:highlight w:val="none"/>
          <w:lang w:val="en-US" w:eastAsia="zh-CN"/>
        </w:rPr>
        <w:t>675.45</w:t>
      </w:r>
      <w:r>
        <w:rPr>
          <w:rFonts w:hint="eastAsia" w:ascii="仿宋" w:hAnsi="仿宋" w:eastAsia="仿宋"/>
          <w:color w:val="000000"/>
          <w:sz w:val="32"/>
          <w:szCs w:val="32"/>
          <w:highlight w:val="none"/>
        </w:rPr>
        <w:t>万元，主要用于以下方面</w:t>
      </w:r>
      <w:r>
        <w:rPr>
          <w:rFonts w:ascii="仿宋" w:hAnsi="仿宋" w:eastAsia="仿宋"/>
          <w:color w:val="000000"/>
          <w:sz w:val="32"/>
          <w:szCs w:val="32"/>
          <w:highlight w:val="none"/>
        </w:rPr>
        <w:t>:</w:t>
      </w:r>
      <w:r>
        <w:rPr>
          <w:rFonts w:hint="eastAsia" w:ascii="仿宋" w:hAnsi="仿宋" w:eastAsia="仿宋"/>
          <w:b/>
          <w:color w:val="000000" w:themeColor="text1"/>
          <w:sz w:val="32"/>
          <w:szCs w:val="32"/>
          <w:highlight w:val="none"/>
          <w14:textFill>
            <w14:solidFill>
              <w14:schemeClr w14:val="tx1"/>
            </w14:solidFill>
          </w14:textFill>
        </w:rPr>
        <w:t>社会保障和就业（</w:t>
      </w:r>
      <w:r>
        <w:rPr>
          <w:rFonts w:hint="eastAsia" w:ascii="仿宋" w:hAnsi="仿宋" w:eastAsia="仿宋"/>
          <w:b/>
          <w:color w:val="000000" w:themeColor="text1"/>
          <w:sz w:val="32"/>
          <w:szCs w:val="32"/>
          <w:highlight w:val="none"/>
          <w:lang w:val="en-US" w:eastAsia="zh-CN"/>
          <w14:textFill>
            <w14:solidFill>
              <w14:schemeClr w14:val="tx1"/>
            </w14:solidFill>
          </w14:textFill>
        </w:rPr>
        <w:t>208</w:t>
      </w:r>
      <w:r>
        <w:rPr>
          <w:rFonts w:hint="eastAsia" w:ascii="仿宋" w:hAnsi="仿宋" w:eastAsia="仿宋"/>
          <w:b/>
          <w:color w:val="000000" w:themeColor="text1"/>
          <w:sz w:val="32"/>
          <w:szCs w:val="32"/>
          <w:highlight w:val="none"/>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支出</w:t>
      </w:r>
      <w:r>
        <w:rPr>
          <w:rFonts w:hint="eastAsia" w:ascii="仿宋" w:hAnsi="仿宋" w:eastAsia="仿宋"/>
          <w:color w:val="000000" w:themeColor="text1"/>
          <w:sz w:val="32"/>
          <w:szCs w:val="32"/>
          <w:highlight w:val="none"/>
          <w:lang w:val="en-US" w:eastAsia="zh-CN"/>
          <w14:textFill>
            <w14:solidFill>
              <w14:schemeClr w14:val="tx1"/>
            </w14:solidFill>
          </w14:textFill>
        </w:rPr>
        <w:t>100.00</w:t>
      </w:r>
      <w:r>
        <w:rPr>
          <w:rFonts w:hint="eastAsia" w:ascii="仿宋" w:hAnsi="仿宋" w:eastAsia="仿宋"/>
          <w:color w:val="000000" w:themeColor="text1"/>
          <w:sz w:val="32"/>
          <w:szCs w:val="32"/>
          <w:highlight w:val="none"/>
          <w14:textFill>
            <w14:solidFill>
              <w14:schemeClr w14:val="tx1"/>
            </w14:solidFill>
          </w14:textFill>
        </w:rPr>
        <w:t>万元，占</w:t>
      </w:r>
      <w:r>
        <w:rPr>
          <w:rFonts w:hint="eastAsia" w:ascii="仿宋" w:hAnsi="仿宋" w:eastAsia="仿宋"/>
          <w:color w:val="000000" w:themeColor="text1"/>
          <w:sz w:val="32"/>
          <w:szCs w:val="32"/>
          <w:highlight w:val="none"/>
          <w:lang w:val="en-US" w:eastAsia="zh-CN"/>
          <w14:textFill>
            <w14:solidFill>
              <w14:schemeClr w14:val="tx1"/>
            </w14:solidFill>
          </w14:textFill>
        </w:rPr>
        <w:t>14.80</w:t>
      </w:r>
      <w:r>
        <w:rPr>
          <w:rFonts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b/>
          <w:bCs/>
          <w:color w:val="000000" w:themeColor="text1"/>
          <w:sz w:val="32"/>
          <w:szCs w:val="32"/>
          <w:highlight w:val="none"/>
          <w14:textFill>
            <w14:solidFill>
              <w14:schemeClr w14:val="tx1"/>
            </w14:solidFill>
          </w14:textFill>
        </w:rPr>
        <w:t>卫生健康支出</w:t>
      </w:r>
      <w:r>
        <w:rPr>
          <w:rFonts w:hint="eastAsia" w:ascii="仿宋" w:hAnsi="仿宋" w:eastAsia="仿宋"/>
          <w:b/>
          <w:color w:val="000000" w:themeColor="text1"/>
          <w:sz w:val="32"/>
          <w:szCs w:val="32"/>
          <w:highlight w:val="none"/>
          <w14:textFill>
            <w14:solidFill>
              <w14:schemeClr w14:val="tx1"/>
            </w14:solidFill>
          </w14:textFill>
        </w:rPr>
        <w:t>（</w:t>
      </w:r>
      <w:r>
        <w:rPr>
          <w:rFonts w:hint="eastAsia" w:ascii="仿宋" w:hAnsi="仿宋" w:eastAsia="仿宋"/>
          <w:b/>
          <w:color w:val="000000" w:themeColor="text1"/>
          <w:sz w:val="32"/>
          <w:szCs w:val="32"/>
          <w:highlight w:val="none"/>
          <w:lang w:val="en-US" w:eastAsia="zh-CN"/>
          <w14:textFill>
            <w14:solidFill>
              <w14:schemeClr w14:val="tx1"/>
            </w14:solidFill>
          </w14:textFill>
        </w:rPr>
        <w:t>210</w:t>
      </w:r>
      <w:r>
        <w:rPr>
          <w:rFonts w:hint="eastAsia" w:ascii="仿宋" w:hAnsi="仿宋" w:eastAsia="仿宋"/>
          <w:b/>
          <w:color w:val="000000" w:themeColor="text1"/>
          <w:sz w:val="32"/>
          <w:szCs w:val="32"/>
          <w:highlight w:val="none"/>
          <w14:textFill>
            <w14:solidFill>
              <w14:schemeClr w14:val="tx1"/>
            </w14:solidFill>
          </w14:textFill>
        </w:rPr>
        <w:t>）</w:t>
      </w:r>
      <w:r>
        <w:rPr>
          <w:rFonts w:hint="eastAsia" w:ascii="仿宋" w:hAnsi="仿宋" w:eastAsia="仿宋"/>
          <w:b/>
          <w:color w:val="000000" w:themeColor="text1"/>
          <w:sz w:val="32"/>
          <w:szCs w:val="32"/>
          <w:highlight w:val="none"/>
          <w:lang w:val="en-US" w:eastAsia="zh-CN"/>
          <w14:textFill>
            <w14:solidFill>
              <w14:schemeClr w14:val="tx1"/>
            </w14:solidFill>
          </w14:textFill>
        </w:rPr>
        <w:t>2.55</w:t>
      </w:r>
      <w:r>
        <w:rPr>
          <w:rFonts w:hint="eastAsia" w:ascii="仿宋" w:hAnsi="仿宋" w:eastAsia="仿宋"/>
          <w:color w:val="000000" w:themeColor="text1"/>
          <w:sz w:val="32"/>
          <w:szCs w:val="32"/>
          <w:highlight w:val="none"/>
          <w14:textFill>
            <w14:solidFill>
              <w14:schemeClr w14:val="tx1"/>
            </w14:solidFill>
          </w14:textFill>
        </w:rPr>
        <w:t>万元，占</w:t>
      </w:r>
      <w:r>
        <w:rPr>
          <w:rFonts w:hint="eastAsia" w:ascii="仿宋" w:hAnsi="仿宋" w:eastAsia="仿宋"/>
          <w:color w:val="000000" w:themeColor="text1"/>
          <w:sz w:val="32"/>
          <w:szCs w:val="32"/>
          <w:highlight w:val="none"/>
          <w:lang w:val="en-US" w:eastAsia="zh-CN"/>
          <w14:textFill>
            <w14:solidFill>
              <w14:schemeClr w14:val="tx1"/>
            </w14:solidFill>
          </w14:textFill>
        </w:rPr>
        <w:t>0.38</w:t>
      </w:r>
      <w:r>
        <w:rPr>
          <w:rFonts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cs="Times New Roman"/>
          <w:b/>
          <w:bCs/>
          <w:color w:val="000000" w:themeColor="text1"/>
          <w:sz w:val="32"/>
          <w:szCs w:val="32"/>
          <w:highlight w:val="none"/>
          <w:lang w:val="en-US" w:eastAsia="zh-CN"/>
          <w14:textFill>
            <w14:solidFill>
              <w14:schemeClr w14:val="tx1"/>
            </w14:solidFill>
          </w14:textFill>
        </w:rPr>
        <w:t>农林水支出</w:t>
      </w:r>
      <w:r>
        <w:rPr>
          <w:rFonts w:hint="eastAsia" w:ascii="仿宋" w:hAnsi="仿宋" w:eastAsia="仿宋"/>
          <w:b/>
          <w:color w:val="000000" w:themeColor="text1"/>
          <w:sz w:val="32"/>
          <w:szCs w:val="32"/>
          <w:highlight w:val="none"/>
          <w14:textFill>
            <w14:solidFill>
              <w14:schemeClr w14:val="tx1"/>
            </w14:solidFill>
          </w14:textFill>
        </w:rPr>
        <w:t>（</w:t>
      </w:r>
      <w:r>
        <w:rPr>
          <w:rFonts w:hint="eastAsia" w:ascii="仿宋" w:hAnsi="仿宋" w:eastAsia="仿宋"/>
          <w:b/>
          <w:color w:val="000000" w:themeColor="text1"/>
          <w:sz w:val="32"/>
          <w:szCs w:val="32"/>
          <w:highlight w:val="none"/>
          <w:lang w:val="en-US" w:eastAsia="zh-CN"/>
          <w14:textFill>
            <w14:solidFill>
              <w14:schemeClr w14:val="tx1"/>
            </w14:solidFill>
          </w14:textFill>
        </w:rPr>
        <w:t>213</w:t>
      </w:r>
      <w:r>
        <w:rPr>
          <w:rFonts w:hint="eastAsia" w:ascii="仿宋" w:hAnsi="仿宋" w:eastAsia="仿宋"/>
          <w:b/>
          <w:color w:val="000000" w:themeColor="text1"/>
          <w:sz w:val="32"/>
          <w:szCs w:val="32"/>
          <w:highlight w:val="none"/>
          <w14:textFill>
            <w14:solidFill>
              <w14:schemeClr w14:val="tx1"/>
            </w14:solidFill>
          </w14:textFill>
        </w:rPr>
        <w:t>）</w:t>
      </w:r>
      <w:r>
        <w:rPr>
          <w:rFonts w:hint="eastAsia" w:ascii="仿宋" w:hAnsi="仿宋" w:eastAsia="仿宋"/>
          <w:color w:val="000000" w:themeColor="text1"/>
          <w:sz w:val="32"/>
          <w:szCs w:val="32"/>
          <w:highlight w:val="none"/>
          <w:lang w:val="en-US" w:eastAsia="zh-CN"/>
          <w14:textFill>
            <w14:solidFill>
              <w14:schemeClr w14:val="tx1"/>
            </w14:solidFill>
          </w14:textFill>
        </w:rPr>
        <w:t>472.90</w:t>
      </w:r>
      <w:r>
        <w:rPr>
          <w:rFonts w:hint="eastAsia" w:ascii="仿宋" w:hAnsi="仿宋" w:eastAsia="仿宋"/>
          <w:color w:val="000000" w:themeColor="text1"/>
          <w:sz w:val="32"/>
          <w:szCs w:val="32"/>
          <w:highlight w:val="none"/>
          <w14:textFill>
            <w14:solidFill>
              <w14:schemeClr w14:val="tx1"/>
            </w14:solidFill>
          </w14:textFill>
        </w:rPr>
        <w:t>万元，占</w:t>
      </w:r>
      <w:r>
        <w:rPr>
          <w:rFonts w:hint="eastAsia" w:ascii="仿宋" w:hAnsi="仿宋" w:eastAsia="仿宋"/>
          <w:color w:val="000000" w:themeColor="text1"/>
          <w:sz w:val="32"/>
          <w:szCs w:val="32"/>
          <w:highlight w:val="none"/>
          <w:lang w:val="en-US" w:eastAsia="zh-CN"/>
          <w14:textFill>
            <w14:solidFill>
              <w14:schemeClr w14:val="tx1"/>
            </w14:solidFill>
          </w14:textFill>
        </w:rPr>
        <w:t>70.02</w:t>
      </w:r>
      <w:r>
        <w:rPr>
          <w:rFonts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b/>
          <w:bCs/>
          <w:color w:val="000000" w:themeColor="text1"/>
          <w:sz w:val="32"/>
          <w:szCs w:val="32"/>
          <w:highlight w:val="none"/>
          <w14:textFill>
            <w14:solidFill>
              <w14:schemeClr w14:val="tx1"/>
            </w14:solidFill>
          </w14:textFill>
        </w:rPr>
        <w:t>住房保障支出</w:t>
      </w:r>
      <w:r>
        <w:rPr>
          <w:rFonts w:hint="eastAsia" w:ascii="仿宋" w:hAnsi="仿宋" w:eastAsia="仿宋"/>
          <w:b/>
          <w:bCs/>
          <w:color w:val="000000" w:themeColor="text1"/>
          <w:sz w:val="32"/>
          <w:szCs w:val="32"/>
          <w:highlight w:val="none"/>
          <w:lang w:eastAsia="zh-CN"/>
          <w14:textFill>
            <w14:solidFill>
              <w14:schemeClr w14:val="tx1"/>
            </w14:solidFill>
          </w14:textFill>
        </w:rPr>
        <w:t>（</w:t>
      </w:r>
      <w:r>
        <w:rPr>
          <w:rFonts w:hint="eastAsia" w:ascii="仿宋" w:hAnsi="仿宋" w:eastAsia="仿宋"/>
          <w:b/>
          <w:bCs/>
          <w:color w:val="000000" w:themeColor="text1"/>
          <w:sz w:val="32"/>
          <w:szCs w:val="32"/>
          <w:highlight w:val="none"/>
          <w:lang w:val="en-US" w:eastAsia="zh-CN"/>
          <w14:textFill>
            <w14:solidFill>
              <w14:schemeClr w14:val="tx1"/>
            </w14:solidFill>
          </w14:textFill>
        </w:rPr>
        <w:t>221</w:t>
      </w:r>
      <w:r>
        <w:rPr>
          <w:rFonts w:hint="eastAsia" w:ascii="仿宋" w:hAnsi="仿宋" w:eastAsia="仿宋"/>
          <w:b/>
          <w:bCs/>
          <w:color w:val="000000" w:themeColor="text1"/>
          <w:sz w:val="32"/>
          <w:szCs w:val="32"/>
          <w:highlight w:val="none"/>
          <w:lang w:eastAsia="zh-CN"/>
          <w14:textFill>
            <w14:solidFill>
              <w14:schemeClr w14:val="tx1"/>
            </w14:solidFill>
          </w14:textFill>
        </w:rPr>
        <w:t>）</w:t>
      </w:r>
      <w:r>
        <w:rPr>
          <w:rFonts w:hint="eastAsia" w:ascii="仿宋" w:hAnsi="仿宋" w:eastAsia="仿宋"/>
          <w:color w:val="000000"/>
          <w:sz w:val="32"/>
          <w:szCs w:val="32"/>
          <w:highlight w:val="none"/>
          <w:lang w:val="en-US" w:eastAsia="zh-CN"/>
        </w:rPr>
        <w:t>100.00</w:t>
      </w:r>
      <w:r>
        <w:rPr>
          <w:rFonts w:hint="eastAsia" w:ascii="仿宋" w:hAnsi="仿宋" w:eastAsia="仿宋"/>
          <w:color w:val="000000"/>
          <w:sz w:val="32"/>
          <w:szCs w:val="32"/>
          <w:highlight w:val="none"/>
        </w:rPr>
        <w:t>万元，占</w:t>
      </w:r>
      <w:r>
        <w:rPr>
          <w:rFonts w:hint="eastAsia" w:ascii="仿宋" w:hAnsi="仿宋" w:eastAsia="仿宋"/>
          <w:color w:val="000000"/>
          <w:sz w:val="32"/>
          <w:szCs w:val="32"/>
          <w:highlight w:val="none"/>
          <w:lang w:val="en-US" w:eastAsia="zh-CN"/>
        </w:rPr>
        <w:t>14.8</w:t>
      </w:r>
      <w:r>
        <w:rPr>
          <w:rFonts w:ascii="仿宋" w:hAnsi="仿宋" w:eastAsia="仿宋"/>
          <w:color w:val="000000"/>
          <w:sz w:val="32"/>
          <w:szCs w:val="32"/>
          <w:highlight w:val="none"/>
        </w:rPr>
        <w:t>%</w:t>
      </w:r>
      <w:r>
        <w:rPr>
          <w:rFonts w:hint="eastAsia" w:ascii="仿宋" w:hAnsi="仿宋" w:eastAsia="仿宋"/>
          <w:color w:val="000000"/>
          <w:sz w:val="32"/>
          <w:szCs w:val="32"/>
          <w:highlight w:val="none"/>
        </w:rPr>
        <w:t>。</w:t>
      </w:r>
    </w:p>
    <w:p w14:paraId="27B99181">
      <w:pPr>
        <w:pStyle w:val="2"/>
        <w:rPr>
          <w:rFonts w:hint="eastAsia" w:ascii="仿宋" w:hAnsi="仿宋" w:eastAsia="仿宋"/>
          <w:color w:val="000000"/>
          <w:sz w:val="32"/>
          <w:szCs w:val="32"/>
        </w:rPr>
      </w:pPr>
    </w:p>
    <w:p w14:paraId="042D18AB">
      <w:pPr>
        <w:pStyle w:val="2"/>
        <w:rPr>
          <w:rFonts w:hint="eastAsia" w:ascii="仿宋" w:hAnsi="仿宋" w:eastAsia="仿宋"/>
          <w:color w:val="000000"/>
          <w:sz w:val="32"/>
          <w:szCs w:val="32"/>
        </w:rPr>
      </w:pPr>
      <w:r>
        <w:rPr>
          <w:rFonts w:hint="eastAsia" w:ascii="仿宋_GB2312" w:eastAsia="仿宋_GB2312"/>
          <w:color w:val="FF0000"/>
          <w:sz w:val="32"/>
          <w:szCs w:val="32"/>
          <w:lang w:eastAsia="zh-CN"/>
        </w:rPr>
        <w:drawing>
          <wp:anchor distT="0" distB="0" distL="114300" distR="114300" simplePos="0" relativeHeight="251664384" behindDoc="1" locked="0" layoutInCell="1" allowOverlap="1">
            <wp:simplePos x="0" y="0"/>
            <wp:positionH relativeFrom="column">
              <wp:posOffset>242570</wp:posOffset>
            </wp:positionH>
            <wp:positionV relativeFrom="paragraph">
              <wp:posOffset>52070</wp:posOffset>
            </wp:positionV>
            <wp:extent cx="4938395" cy="2976880"/>
            <wp:effectExtent l="4445" t="4445" r="10160" b="9525"/>
            <wp:wrapTight wrapText="bothSides">
              <wp:wrapPolygon>
                <wp:start x="-19" y="-32"/>
                <wp:lineTo x="-19" y="21531"/>
                <wp:lineTo x="21561" y="21531"/>
                <wp:lineTo x="21561" y="-32"/>
                <wp:lineTo x="-19" y="-32"/>
              </wp:wrapPolygon>
            </wp:wrapTight>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3F3D1784">
      <w:pPr>
        <w:pStyle w:val="2"/>
        <w:rPr>
          <w:rFonts w:hint="eastAsia" w:ascii="仿宋" w:hAnsi="仿宋" w:eastAsia="仿宋"/>
          <w:color w:val="000000"/>
          <w:sz w:val="32"/>
          <w:szCs w:val="32"/>
        </w:rPr>
      </w:pPr>
    </w:p>
    <w:p w14:paraId="65AFA2C3">
      <w:pPr>
        <w:pStyle w:val="2"/>
        <w:rPr>
          <w:rFonts w:hint="eastAsia" w:ascii="仿宋" w:hAnsi="仿宋" w:eastAsia="仿宋"/>
          <w:color w:val="000000"/>
          <w:sz w:val="32"/>
          <w:szCs w:val="32"/>
        </w:rPr>
      </w:pPr>
    </w:p>
    <w:p w14:paraId="21393CD4">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14:paraId="23B65C1A">
      <w:pPr>
        <w:spacing w:line="600" w:lineRule="exact"/>
        <w:ind w:firstLine="640" w:firstLineChars="200"/>
        <w:rPr>
          <w:rFonts w:ascii="仿宋" w:hAnsi="仿宋" w:eastAsia="仿宋"/>
          <w:color w:val="000000"/>
          <w:sz w:val="32"/>
          <w:szCs w:val="32"/>
        </w:rPr>
      </w:pPr>
    </w:p>
    <w:p w14:paraId="539F4CFE">
      <w:pPr>
        <w:spacing w:line="600" w:lineRule="exact"/>
        <w:ind w:firstLine="643" w:firstLineChars="200"/>
        <w:outlineLvl w:val="2"/>
        <w:rPr>
          <w:rFonts w:ascii="仿宋" w:hAnsi="仿宋" w:eastAsia="仿宋"/>
          <w:b/>
          <w:color w:val="000000"/>
          <w:sz w:val="32"/>
          <w:szCs w:val="32"/>
        </w:rPr>
      </w:pPr>
      <w:bookmarkStart w:id="62" w:name="_Toc79163867"/>
      <w:bookmarkStart w:id="63" w:name="_Toc79163617"/>
      <w:bookmarkStart w:id="64" w:name="_Toc15377212"/>
      <w:r>
        <w:rPr>
          <w:rFonts w:hint="eastAsia" w:ascii="仿宋" w:hAnsi="仿宋" w:eastAsia="仿宋"/>
          <w:b/>
          <w:color w:val="000000"/>
          <w:sz w:val="32"/>
          <w:szCs w:val="32"/>
        </w:rPr>
        <w:t>（三）一般公共预算财政拨款支出决算具体情况</w:t>
      </w:r>
      <w:bookmarkEnd w:id="62"/>
      <w:bookmarkEnd w:id="63"/>
      <w:bookmarkEnd w:id="64"/>
    </w:p>
    <w:p w14:paraId="11FDD67F">
      <w:pPr>
        <w:spacing w:line="600" w:lineRule="exact"/>
        <w:ind w:firstLine="643" w:firstLineChars="200"/>
        <w:rPr>
          <w:rFonts w:ascii="仿宋" w:hAnsi="仿宋" w:eastAsia="仿宋"/>
          <w:b/>
          <w:color w:val="000000"/>
          <w:sz w:val="32"/>
          <w:szCs w:val="32"/>
        </w:rPr>
      </w:pPr>
      <w:bookmarkStart w:id="65" w:name="_Toc15377213"/>
      <w:bookmarkStart w:id="66" w:name="_Toc15377444"/>
      <w:bookmarkStart w:id="67" w:name="_Toc15378460"/>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675.45</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14:paraId="75984F07">
      <w:pPr>
        <w:spacing w:line="600" w:lineRule="exact"/>
        <w:ind w:firstLine="643" w:firstLineChars="200"/>
        <w:rPr>
          <w:rFonts w:ascii="仿宋" w:hAnsi="仿宋" w:eastAsia="仿宋"/>
          <w:b/>
          <w:color w:val="000000"/>
          <w:sz w:val="32"/>
          <w:szCs w:val="32"/>
        </w:rPr>
      </w:pPr>
      <w:r>
        <w:rPr>
          <w:rStyle w:val="25"/>
          <w:rFonts w:hint="eastAsia" w:ascii="仿宋" w:hAnsi="仿宋" w:eastAsia="仿宋"/>
          <w:bCs/>
          <w:color w:val="000000"/>
          <w:sz w:val="32"/>
          <w:szCs w:val="32"/>
          <w:lang w:val="en-US" w:eastAsia="zh-CN"/>
        </w:rPr>
        <w:t>1</w:t>
      </w:r>
      <w:r>
        <w:rPr>
          <w:rStyle w:val="25"/>
          <w:rFonts w:ascii="仿宋" w:hAnsi="仿宋" w:eastAsia="仿宋"/>
          <w:bCs/>
          <w:color w:val="000000"/>
          <w:sz w:val="32"/>
          <w:szCs w:val="32"/>
        </w:rPr>
        <w:t>.</w:t>
      </w:r>
      <w:r>
        <w:rPr>
          <w:rStyle w:val="25"/>
          <w:rFonts w:hint="eastAsia" w:ascii="仿宋" w:hAnsi="仿宋" w:eastAsia="仿宋"/>
          <w:bCs/>
          <w:color w:val="000000"/>
          <w:sz w:val="32"/>
          <w:szCs w:val="32"/>
        </w:rPr>
        <w:t>社会保障和就业（</w:t>
      </w:r>
      <w:r>
        <w:rPr>
          <w:rStyle w:val="25"/>
          <w:rFonts w:hint="eastAsia" w:ascii="仿宋" w:hAnsi="仿宋" w:eastAsia="仿宋"/>
          <w:bCs/>
          <w:color w:val="000000"/>
          <w:sz w:val="32"/>
          <w:szCs w:val="32"/>
          <w:lang w:val="en-US" w:eastAsia="zh-CN"/>
        </w:rPr>
        <w:t>208</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val="en-US" w:eastAsia="zh-CN"/>
        </w:rPr>
        <w:t>行政事业单位离退休</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val="en-US" w:eastAsia="zh-CN"/>
        </w:rPr>
        <w:t>05</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val="en-US" w:eastAsia="zh-CN"/>
        </w:rPr>
        <w:t>机关事业单位基本养老保险缴费支出</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val="en-US" w:eastAsia="zh-CN"/>
        </w:rPr>
        <w:t>05</w:t>
      </w:r>
      <w:r>
        <w:rPr>
          <w:rStyle w:val="25"/>
          <w:rFonts w:hint="eastAsia" w:ascii="仿宋" w:hAnsi="仿宋" w:eastAsia="仿宋"/>
          <w:bCs/>
          <w:color w:val="000000"/>
          <w:sz w:val="32"/>
          <w:szCs w:val="32"/>
        </w:rPr>
        <w:t>）</w:t>
      </w:r>
      <w:r>
        <w:rPr>
          <w:rStyle w:val="25"/>
          <w:rFonts w:ascii="仿宋" w:hAnsi="仿宋" w:eastAsia="仿宋"/>
          <w:bCs/>
          <w:color w:val="000000"/>
          <w:sz w:val="32"/>
          <w:szCs w:val="32"/>
        </w:rPr>
        <w:t>:</w:t>
      </w:r>
      <w:r>
        <w:rPr>
          <w:rStyle w:val="25"/>
          <w:rFonts w:ascii="仿宋" w:hAnsi="仿宋" w:eastAsia="仿宋"/>
          <w:b w:val="0"/>
          <w:bCs/>
          <w:color w:val="000000"/>
          <w:sz w:val="32"/>
          <w:szCs w:val="32"/>
        </w:rPr>
        <w:t xml:space="preserve"> </w:t>
      </w:r>
      <w:r>
        <w:rPr>
          <w:rStyle w:val="25"/>
          <w:rFonts w:hint="eastAsia" w:ascii="仿宋" w:hAnsi="仿宋" w:eastAsia="仿宋"/>
          <w:b w:val="0"/>
          <w:bCs/>
          <w:color w:val="000000"/>
          <w:sz w:val="32"/>
          <w:szCs w:val="32"/>
        </w:rPr>
        <w:t>支出决算为</w:t>
      </w:r>
      <w:r>
        <w:rPr>
          <w:rStyle w:val="25"/>
          <w:rFonts w:hint="eastAsia" w:ascii="仿宋" w:hAnsi="仿宋" w:eastAsia="仿宋"/>
          <w:b w:val="0"/>
          <w:bCs/>
          <w:color w:val="000000"/>
          <w:sz w:val="32"/>
          <w:szCs w:val="32"/>
          <w:lang w:val="en-US" w:eastAsia="zh-CN"/>
        </w:rPr>
        <w:t>100.00</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，决算数等于预算数。</w:t>
      </w:r>
    </w:p>
    <w:p w14:paraId="1203E55C">
      <w:pPr>
        <w:spacing w:line="600" w:lineRule="exact"/>
        <w:ind w:firstLine="643" w:firstLineChars="200"/>
        <w:rPr>
          <w:rStyle w:val="25"/>
          <w:rFonts w:hint="eastAsia" w:ascii="仿宋" w:hAnsi="仿宋" w:eastAsia="仿宋"/>
          <w:b w:val="0"/>
          <w:bCs/>
          <w:color w:val="000000"/>
          <w:sz w:val="32"/>
          <w:szCs w:val="32"/>
        </w:rPr>
      </w:pPr>
      <w:r>
        <w:rPr>
          <w:rStyle w:val="25"/>
          <w:rFonts w:hint="eastAsia" w:ascii="仿宋" w:hAnsi="仿宋" w:eastAsia="仿宋"/>
          <w:bCs/>
          <w:color w:val="000000"/>
          <w:sz w:val="32"/>
          <w:szCs w:val="32"/>
          <w:lang w:val="en-US" w:eastAsia="zh-CN"/>
        </w:rPr>
        <w:t>2</w:t>
      </w:r>
      <w:r>
        <w:rPr>
          <w:rStyle w:val="25"/>
          <w:rFonts w:ascii="仿宋" w:hAnsi="仿宋" w:eastAsia="仿宋"/>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卫生健康</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val="en-US" w:eastAsia="zh-CN"/>
        </w:rPr>
        <w:t>210</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val="en-US" w:eastAsia="zh-CN"/>
        </w:rPr>
        <w:t>行政事业单位医疗</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val="en-US" w:eastAsia="zh-CN"/>
        </w:rPr>
        <w:t>11</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val="en-US" w:eastAsia="zh-CN"/>
        </w:rPr>
        <w:t>事业单位医疗</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val="en-US" w:eastAsia="zh-CN"/>
        </w:rPr>
        <w:t>02</w:t>
      </w:r>
      <w:r>
        <w:rPr>
          <w:rStyle w:val="25"/>
          <w:rFonts w:hint="eastAsia" w:ascii="仿宋" w:hAnsi="仿宋" w:eastAsia="仿宋"/>
          <w:bCs/>
          <w:color w:val="000000"/>
          <w:sz w:val="32"/>
          <w:szCs w:val="32"/>
        </w:rPr>
        <w:t>）</w:t>
      </w:r>
      <w:r>
        <w:rPr>
          <w:rStyle w:val="25"/>
          <w:rFonts w:ascii="仿宋" w:hAnsi="仿宋" w:eastAsia="仿宋"/>
          <w:bCs/>
          <w:color w:val="000000"/>
          <w:sz w:val="32"/>
          <w:szCs w:val="32"/>
        </w:rPr>
        <w:t>:</w:t>
      </w:r>
      <w:r>
        <w:rPr>
          <w:rStyle w:val="25"/>
          <w:rFonts w:hint="eastAsia" w:ascii="仿宋" w:hAnsi="仿宋" w:eastAsia="仿宋"/>
          <w:b w:val="0"/>
          <w:bCs/>
          <w:color w:val="000000"/>
          <w:sz w:val="32"/>
          <w:szCs w:val="32"/>
        </w:rPr>
        <w:t>支出决算为</w:t>
      </w:r>
      <w:r>
        <w:rPr>
          <w:rStyle w:val="25"/>
          <w:rFonts w:hint="eastAsia" w:ascii="仿宋" w:hAnsi="仿宋" w:eastAsia="仿宋"/>
          <w:b w:val="0"/>
          <w:bCs/>
          <w:color w:val="000000"/>
          <w:sz w:val="32"/>
          <w:szCs w:val="32"/>
          <w:lang w:val="en-US" w:eastAsia="zh-CN"/>
        </w:rPr>
        <w:t>100.00</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，决算数等于预算数。</w:t>
      </w:r>
    </w:p>
    <w:p w14:paraId="133F6DED">
      <w:pPr>
        <w:spacing w:line="600" w:lineRule="exact"/>
        <w:ind w:firstLine="643" w:firstLineChars="200"/>
        <w:rPr>
          <w:rStyle w:val="25"/>
          <w:rFonts w:hint="eastAsia" w:ascii="仿宋" w:hAnsi="仿宋" w:eastAsia="仿宋"/>
          <w:b w:val="0"/>
          <w:bCs/>
          <w:color w:val="000000"/>
          <w:sz w:val="32"/>
          <w:szCs w:val="32"/>
        </w:rPr>
      </w:pPr>
      <w:r>
        <w:rPr>
          <w:rStyle w:val="25"/>
          <w:rFonts w:hint="eastAsia" w:ascii="仿宋" w:hAnsi="仿宋" w:eastAsia="仿宋"/>
          <w:bCs/>
          <w:color w:val="000000"/>
          <w:sz w:val="32"/>
          <w:szCs w:val="32"/>
          <w:lang w:val="en-US" w:eastAsia="zh-CN"/>
        </w:rPr>
        <w:t>3</w:t>
      </w:r>
      <w:r>
        <w:rPr>
          <w:rStyle w:val="25"/>
          <w:rFonts w:ascii="仿宋" w:hAnsi="仿宋" w:eastAsia="仿宋"/>
          <w:bCs/>
          <w:color w:val="000000"/>
          <w:sz w:val="32"/>
          <w:szCs w:val="32"/>
        </w:rPr>
        <w:t>.</w:t>
      </w:r>
      <w:r>
        <w:rPr>
          <w:rFonts w:hint="eastAsia" w:ascii="仿宋" w:hAnsi="仿宋" w:eastAsia="仿宋"/>
          <w:b/>
          <w:bCs/>
          <w:color w:val="000000" w:themeColor="text1"/>
          <w:sz w:val="32"/>
          <w:szCs w:val="32"/>
          <w:lang w:val="en-US" w:eastAsia="zh-CN"/>
          <w14:textFill>
            <w14:solidFill>
              <w14:schemeClr w14:val="tx1"/>
            </w14:solidFill>
          </w14:textFill>
        </w:rPr>
        <w:t>农林水支出</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val="en-US" w:eastAsia="zh-CN"/>
        </w:rPr>
        <w:t>213</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val="en-US" w:eastAsia="zh-CN"/>
        </w:rPr>
        <w:t>农业</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val="en-US" w:eastAsia="zh-CN"/>
        </w:rPr>
        <w:t>01</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val="en-US" w:eastAsia="zh-CN"/>
        </w:rPr>
        <w:t>事业运行</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val="en-US" w:eastAsia="zh-CN"/>
        </w:rPr>
        <w:t>04</w:t>
      </w:r>
      <w:r>
        <w:rPr>
          <w:rStyle w:val="25"/>
          <w:rFonts w:hint="eastAsia" w:ascii="仿宋" w:hAnsi="仿宋" w:eastAsia="仿宋"/>
          <w:bCs/>
          <w:color w:val="000000"/>
          <w:sz w:val="32"/>
          <w:szCs w:val="32"/>
        </w:rPr>
        <w:t>）</w:t>
      </w:r>
      <w:r>
        <w:rPr>
          <w:rStyle w:val="25"/>
          <w:rFonts w:ascii="仿宋" w:hAnsi="仿宋" w:eastAsia="仿宋"/>
          <w:bCs/>
          <w:color w:val="000000"/>
          <w:sz w:val="32"/>
          <w:szCs w:val="32"/>
        </w:rPr>
        <w:t>:</w:t>
      </w:r>
      <w:r>
        <w:rPr>
          <w:rStyle w:val="25"/>
          <w:rFonts w:hint="eastAsia" w:ascii="仿宋" w:hAnsi="仿宋" w:eastAsia="仿宋"/>
          <w:b w:val="0"/>
          <w:bCs/>
          <w:color w:val="000000"/>
          <w:sz w:val="32"/>
          <w:szCs w:val="32"/>
        </w:rPr>
        <w:t>支出决算为</w:t>
      </w:r>
      <w:r>
        <w:rPr>
          <w:rStyle w:val="25"/>
          <w:rFonts w:hint="eastAsia" w:ascii="仿宋" w:hAnsi="仿宋" w:eastAsia="仿宋"/>
          <w:b w:val="0"/>
          <w:bCs/>
          <w:color w:val="000000"/>
          <w:sz w:val="32"/>
          <w:szCs w:val="32"/>
          <w:lang w:val="en-US" w:eastAsia="zh-CN"/>
        </w:rPr>
        <w:t>472.90</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，决算数等于预算数。</w:t>
      </w:r>
    </w:p>
    <w:p w14:paraId="2997D29D">
      <w:pPr>
        <w:spacing w:line="600" w:lineRule="exact"/>
        <w:ind w:firstLine="643" w:firstLineChars="200"/>
        <w:rPr>
          <w:rStyle w:val="25"/>
          <w:rFonts w:hint="eastAsia" w:ascii="仿宋" w:hAnsi="仿宋" w:eastAsia="仿宋"/>
          <w:b w:val="0"/>
          <w:bCs/>
          <w:color w:val="000000"/>
          <w:sz w:val="32"/>
          <w:szCs w:val="32"/>
        </w:rPr>
      </w:pPr>
      <w:r>
        <w:rPr>
          <w:rStyle w:val="25"/>
          <w:rFonts w:hint="eastAsia" w:ascii="仿宋" w:hAnsi="仿宋" w:eastAsia="仿宋"/>
          <w:bCs/>
          <w:color w:val="000000"/>
          <w:sz w:val="32"/>
          <w:szCs w:val="32"/>
          <w:lang w:val="en-US" w:eastAsia="zh-CN"/>
        </w:rPr>
        <w:t>4</w:t>
      </w:r>
      <w:r>
        <w:rPr>
          <w:rStyle w:val="25"/>
          <w:rFonts w:ascii="仿宋" w:hAnsi="仿宋" w:eastAsia="仿宋"/>
          <w:bCs/>
          <w:color w:val="000000"/>
          <w:sz w:val="32"/>
          <w:szCs w:val="32"/>
        </w:rPr>
        <w:t>.</w:t>
      </w:r>
      <w:r>
        <w:rPr>
          <w:rFonts w:hint="eastAsia" w:ascii="仿宋" w:hAnsi="仿宋" w:eastAsia="仿宋"/>
          <w:b/>
          <w:bCs/>
          <w:color w:val="000000" w:themeColor="text1"/>
          <w:sz w:val="32"/>
          <w:szCs w:val="32"/>
          <w:highlight w:val="none"/>
          <w14:textFill>
            <w14:solidFill>
              <w14:schemeClr w14:val="tx1"/>
            </w14:solidFill>
          </w14:textFill>
        </w:rPr>
        <w:t>住房保障支出</w:t>
      </w:r>
      <w:r>
        <w:rPr>
          <w:rFonts w:hint="eastAsia" w:ascii="仿宋" w:hAnsi="仿宋" w:eastAsia="仿宋"/>
          <w:b/>
          <w:bCs/>
          <w:color w:val="000000" w:themeColor="text1"/>
          <w:sz w:val="32"/>
          <w:szCs w:val="32"/>
          <w:highlight w:val="none"/>
          <w:lang w:eastAsia="zh-CN"/>
          <w14:textFill>
            <w14:solidFill>
              <w14:schemeClr w14:val="tx1"/>
            </w14:solidFill>
          </w14:textFill>
        </w:rPr>
        <w:t>（</w:t>
      </w:r>
      <w:r>
        <w:rPr>
          <w:rFonts w:hint="eastAsia" w:ascii="仿宋" w:hAnsi="仿宋" w:eastAsia="仿宋"/>
          <w:b/>
          <w:bCs/>
          <w:color w:val="000000" w:themeColor="text1"/>
          <w:sz w:val="32"/>
          <w:szCs w:val="32"/>
          <w:highlight w:val="none"/>
          <w:lang w:val="en-US" w:eastAsia="zh-CN"/>
          <w14:textFill>
            <w14:solidFill>
              <w14:schemeClr w14:val="tx1"/>
            </w14:solidFill>
          </w14:textFill>
        </w:rPr>
        <w:t>221</w:t>
      </w:r>
      <w:r>
        <w:rPr>
          <w:rFonts w:hint="eastAsia" w:ascii="仿宋" w:hAnsi="仿宋" w:eastAsia="仿宋"/>
          <w:b/>
          <w:bCs/>
          <w:color w:val="000000" w:themeColor="text1"/>
          <w:sz w:val="32"/>
          <w:szCs w:val="32"/>
          <w:highlight w:val="none"/>
          <w:lang w:eastAsia="zh-CN"/>
          <w14:textFill>
            <w14:solidFill>
              <w14:schemeClr w14:val="tx1"/>
            </w14:solidFill>
          </w14:textFill>
        </w:rPr>
        <w:t>）</w:t>
      </w:r>
      <w:r>
        <w:rPr>
          <w:rStyle w:val="25"/>
          <w:rFonts w:hint="eastAsia" w:ascii="仿宋" w:hAnsi="仿宋" w:eastAsia="仿宋"/>
          <w:bCs/>
          <w:color w:val="000000"/>
          <w:sz w:val="32"/>
          <w:szCs w:val="32"/>
          <w:lang w:val="en-US" w:eastAsia="zh-CN"/>
        </w:rPr>
        <w:t>住房改革支出</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val="en-US" w:eastAsia="zh-CN"/>
        </w:rPr>
        <w:t>02</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val="en-US" w:eastAsia="zh-CN"/>
        </w:rPr>
        <w:t>住房公积金</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val="en-US" w:eastAsia="zh-CN"/>
        </w:rPr>
        <w:t>01</w:t>
      </w:r>
      <w:r>
        <w:rPr>
          <w:rStyle w:val="25"/>
          <w:rFonts w:hint="eastAsia" w:ascii="仿宋" w:hAnsi="仿宋" w:eastAsia="仿宋"/>
          <w:bCs/>
          <w:color w:val="000000"/>
          <w:sz w:val="32"/>
          <w:szCs w:val="32"/>
        </w:rPr>
        <w:t>）</w:t>
      </w:r>
      <w:r>
        <w:rPr>
          <w:rStyle w:val="25"/>
          <w:rFonts w:ascii="仿宋" w:hAnsi="仿宋" w:eastAsia="仿宋"/>
          <w:bCs/>
          <w:color w:val="000000"/>
          <w:sz w:val="32"/>
          <w:szCs w:val="32"/>
        </w:rPr>
        <w:t>:</w:t>
      </w:r>
      <w:r>
        <w:rPr>
          <w:rStyle w:val="25"/>
          <w:rFonts w:hint="eastAsia" w:ascii="仿宋" w:hAnsi="仿宋" w:eastAsia="仿宋"/>
          <w:b w:val="0"/>
          <w:bCs/>
          <w:color w:val="000000"/>
          <w:sz w:val="32"/>
          <w:szCs w:val="32"/>
        </w:rPr>
        <w:t>支出决算为</w:t>
      </w:r>
      <w:r>
        <w:rPr>
          <w:rStyle w:val="25"/>
          <w:rFonts w:hint="eastAsia" w:ascii="仿宋" w:hAnsi="仿宋" w:eastAsia="仿宋"/>
          <w:b w:val="0"/>
          <w:bCs/>
          <w:color w:val="000000"/>
          <w:sz w:val="32"/>
          <w:szCs w:val="32"/>
          <w:lang w:val="en-US" w:eastAsia="zh-CN"/>
        </w:rPr>
        <w:t>100.00</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，决算数等于预算数。</w:t>
      </w:r>
    </w:p>
    <w:p w14:paraId="36B12FCA">
      <w:pPr>
        <w:pStyle w:val="2"/>
      </w:pPr>
    </w:p>
    <w:p w14:paraId="5F9728B7">
      <w:pPr>
        <w:tabs>
          <w:tab w:val="right" w:pos="8306"/>
        </w:tabs>
        <w:spacing w:line="600" w:lineRule="exact"/>
        <w:ind w:firstLine="640"/>
        <w:outlineLvl w:val="1"/>
        <w:rPr>
          <w:rStyle w:val="28"/>
        </w:rPr>
      </w:pPr>
      <w:bookmarkStart w:id="68" w:name="_Toc79163618"/>
      <w:bookmarkStart w:id="69" w:name="_Toc15396608"/>
      <w:bookmarkStart w:id="70" w:name="_Toc79163868"/>
      <w:bookmarkStart w:id="7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68"/>
      <w:bookmarkEnd w:id="69"/>
      <w:bookmarkEnd w:id="70"/>
      <w:bookmarkEnd w:id="71"/>
      <w:r>
        <w:rPr>
          <w:rStyle w:val="28"/>
          <w:rFonts w:ascii="黑体" w:hAnsi="黑体" w:eastAsia="黑体"/>
          <w:b w:val="0"/>
        </w:rPr>
        <w:tab/>
      </w:r>
    </w:p>
    <w:p w14:paraId="67D3D408">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675.45</w:t>
      </w:r>
      <w:r>
        <w:rPr>
          <w:rFonts w:hint="eastAsia" w:ascii="仿宋" w:hAnsi="仿宋" w:eastAsia="仿宋"/>
          <w:color w:val="000000"/>
          <w:sz w:val="32"/>
          <w:szCs w:val="32"/>
        </w:rPr>
        <w:t>万元，其中：</w:t>
      </w:r>
    </w:p>
    <w:p w14:paraId="6BFBC71B">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665.45</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5D5C710D">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10.00</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74C34B6A">
      <w:pPr>
        <w:spacing w:line="600" w:lineRule="exact"/>
        <w:ind w:firstLine="640"/>
        <w:rPr>
          <w:rFonts w:ascii="仿宋" w:hAnsi="仿宋" w:eastAsia="仿宋"/>
          <w:b/>
          <w:color w:val="FF0000"/>
          <w:sz w:val="32"/>
          <w:szCs w:val="32"/>
        </w:rPr>
      </w:pPr>
    </w:p>
    <w:p w14:paraId="36629C16">
      <w:pPr>
        <w:spacing w:line="600" w:lineRule="exact"/>
        <w:ind w:firstLine="640"/>
        <w:outlineLvl w:val="1"/>
        <w:rPr>
          <w:rStyle w:val="28"/>
          <w:rFonts w:ascii="黑体" w:hAnsi="黑体" w:eastAsia="黑体"/>
          <w:b w:val="0"/>
        </w:rPr>
      </w:pPr>
      <w:bookmarkStart w:id="72" w:name="_Toc79163869"/>
      <w:bookmarkStart w:id="73" w:name="_Toc15377215"/>
      <w:bookmarkStart w:id="74" w:name="_Toc79163619"/>
      <w:bookmarkStart w:id="75" w:name="_Toc15396609"/>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72"/>
      <w:bookmarkEnd w:id="73"/>
      <w:bookmarkEnd w:id="74"/>
      <w:bookmarkEnd w:id="75"/>
    </w:p>
    <w:p w14:paraId="78B92DA9">
      <w:pPr>
        <w:spacing w:line="600" w:lineRule="exact"/>
        <w:ind w:firstLine="640"/>
        <w:outlineLvl w:val="2"/>
        <w:rPr>
          <w:rFonts w:ascii="仿宋" w:hAnsi="仿宋" w:eastAsia="仿宋"/>
          <w:b/>
          <w:color w:val="000000"/>
          <w:sz w:val="32"/>
          <w:szCs w:val="32"/>
        </w:rPr>
      </w:pPr>
      <w:bookmarkStart w:id="76" w:name="_Toc79163620"/>
      <w:bookmarkStart w:id="77" w:name="_Toc15377216"/>
      <w:bookmarkStart w:id="78" w:name="_Toc79163870"/>
      <w:r>
        <w:rPr>
          <w:rFonts w:hint="eastAsia" w:ascii="仿宋" w:hAnsi="仿宋" w:eastAsia="仿宋"/>
          <w:b/>
          <w:color w:val="000000"/>
          <w:sz w:val="32"/>
          <w:szCs w:val="32"/>
        </w:rPr>
        <w:t>（一）“三公”经费财政拨款支出决算总体情况说明</w:t>
      </w:r>
      <w:bookmarkEnd w:id="76"/>
      <w:bookmarkEnd w:id="77"/>
      <w:bookmarkEnd w:id="78"/>
    </w:p>
    <w:p w14:paraId="34E9EC68">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14:paraId="0DC6A1C3">
      <w:pPr>
        <w:spacing w:line="600" w:lineRule="exact"/>
        <w:ind w:firstLine="640"/>
        <w:outlineLvl w:val="2"/>
        <w:rPr>
          <w:rFonts w:ascii="仿宋" w:hAnsi="仿宋" w:eastAsia="仿宋"/>
          <w:b/>
          <w:color w:val="000000"/>
          <w:sz w:val="32"/>
          <w:szCs w:val="32"/>
        </w:rPr>
      </w:pPr>
      <w:bookmarkStart w:id="79" w:name="_Toc15377217"/>
      <w:bookmarkStart w:id="80" w:name="_Toc79163871"/>
      <w:bookmarkStart w:id="81" w:name="_Toc79163621"/>
      <w:r>
        <w:rPr>
          <w:rFonts w:hint="eastAsia" w:ascii="仿宋" w:hAnsi="仿宋" w:eastAsia="仿宋"/>
          <w:b/>
          <w:color w:val="000000"/>
          <w:sz w:val="32"/>
          <w:szCs w:val="32"/>
        </w:rPr>
        <w:t>（二）“三公”经费财政拨款支出决算具体情况说明</w:t>
      </w:r>
      <w:bookmarkEnd w:id="79"/>
      <w:bookmarkEnd w:id="80"/>
      <w:bookmarkEnd w:id="81"/>
    </w:p>
    <w:p w14:paraId="718656D2">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14:paraId="0C1F3FE4">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5"/>
          <w:rFonts w:hint="eastAsia" w:ascii="仿宋" w:hAnsi="仿宋" w:eastAsia="仿宋"/>
          <w:b w:val="0"/>
          <w:bCs/>
          <w:color w:val="000000"/>
          <w:sz w:val="32"/>
          <w:szCs w:val="32"/>
        </w:rPr>
        <w:t>完成预算</w:t>
      </w:r>
      <w:r>
        <w:rPr>
          <w:rStyle w:val="25"/>
          <w:rFonts w:hint="eastAsia" w:ascii="仿宋" w:hAnsi="仿宋" w:eastAsia="仿宋"/>
          <w:b w:val="0"/>
          <w:bCs/>
          <w:color w:val="000000"/>
          <w:sz w:val="32"/>
          <w:szCs w:val="32"/>
          <w:lang w:val="en-US" w:eastAsia="zh-CN"/>
        </w:rPr>
        <w:t>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2018</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14:paraId="6BA7C77D">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ascii="仿宋_GB2312" w:eastAsia="仿宋_GB2312"/>
          <w:color w:val="000000"/>
          <w:sz w:val="32"/>
          <w:szCs w:val="32"/>
        </w:rPr>
        <w:t>,</w:t>
      </w:r>
      <w:r>
        <w:rPr>
          <w:rStyle w:val="25"/>
          <w:rFonts w:hint="eastAsia" w:ascii="仿宋" w:hAnsi="仿宋" w:eastAsia="仿宋"/>
          <w:b w:val="0"/>
          <w:bCs/>
          <w:color w:val="000000"/>
          <w:sz w:val="32"/>
          <w:szCs w:val="32"/>
        </w:rPr>
        <w:t>完成预算</w:t>
      </w:r>
      <w:r>
        <w:rPr>
          <w:rStyle w:val="25"/>
          <w:rFonts w:hint="eastAsia" w:ascii="仿宋" w:hAnsi="仿宋" w:eastAsia="仿宋"/>
          <w:b w:val="0"/>
          <w:bCs/>
          <w:color w:val="000000"/>
          <w:sz w:val="32"/>
          <w:szCs w:val="32"/>
          <w:lang w:val="en-US" w:eastAsia="zh-CN"/>
        </w:rPr>
        <w:t>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2018</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14:paraId="0948716E">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14:paraId="4048BBD1">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67A6AEEA">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5"/>
          <w:rFonts w:hint="eastAsia" w:ascii="仿宋" w:hAnsi="仿宋" w:eastAsia="仿宋"/>
          <w:b w:val="0"/>
          <w:bCs/>
          <w:color w:val="000000"/>
          <w:sz w:val="32"/>
          <w:szCs w:val="32"/>
        </w:rPr>
        <w:t>完成预算</w:t>
      </w:r>
      <w:r>
        <w:rPr>
          <w:rStyle w:val="25"/>
          <w:rFonts w:hint="eastAsia" w:ascii="仿宋" w:hAnsi="仿宋" w:eastAsia="仿宋"/>
          <w:b w:val="0"/>
          <w:bCs/>
          <w:color w:val="000000"/>
          <w:sz w:val="32"/>
          <w:szCs w:val="32"/>
          <w:lang w:val="en-US" w:eastAsia="zh-CN"/>
        </w:rPr>
        <w:t>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w:t>
      </w:r>
    </w:p>
    <w:p w14:paraId="7458F772">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p>
    <w:p w14:paraId="331EA8BF">
      <w:pPr>
        <w:spacing w:line="600" w:lineRule="exact"/>
        <w:ind w:firstLine="640"/>
        <w:outlineLvl w:val="1"/>
        <w:rPr>
          <w:rFonts w:hint="eastAsia"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bookmarkStart w:id="82" w:name="_Toc15377218"/>
      <w:bookmarkStart w:id="83" w:name="_Toc79163872"/>
      <w:bookmarkStart w:id="84" w:name="_Toc15396610"/>
      <w:bookmarkStart w:id="85" w:name="_Toc79163622"/>
    </w:p>
    <w:p w14:paraId="4F1163B0">
      <w:pPr>
        <w:pStyle w:val="2"/>
        <w:rPr>
          <w:rFonts w:hint="eastAsia"/>
        </w:rPr>
      </w:pPr>
    </w:p>
    <w:p w14:paraId="7BEC4500">
      <w:pPr>
        <w:spacing w:line="600" w:lineRule="exact"/>
        <w:ind w:firstLine="640"/>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82"/>
      <w:bookmarkEnd w:id="83"/>
      <w:bookmarkEnd w:id="84"/>
      <w:bookmarkEnd w:id="85"/>
    </w:p>
    <w:p w14:paraId="09F5D1B7">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035B4FB9">
      <w:pPr>
        <w:spacing w:line="600" w:lineRule="exact"/>
        <w:ind w:firstLine="640"/>
        <w:rPr>
          <w:rFonts w:ascii="仿宋_GB2312" w:eastAsia="仿宋_GB2312"/>
          <w:color w:val="000000"/>
          <w:sz w:val="32"/>
          <w:szCs w:val="32"/>
        </w:rPr>
      </w:pPr>
    </w:p>
    <w:p w14:paraId="5CA511A2">
      <w:pPr>
        <w:numPr>
          <w:ilvl w:val="0"/>
          <w:numId w:val="3"/>
        </w:numPr>
        <w:spacing w:line="600" w:lineRule="exact"/>
        <w:ind w:firstLine="640"/>
        <w:outlineLvl w:val="1"/>
        <w:rPr>
          <w:rStyle w:val="28"/>
          <w:rFonts w:ascii="黑体" w:hAnsi="黑体" w:eastAsia="黑体"/>
          <w:b w:val="0"/>
        </w:rPr>
      </w:pPr>
      <w:bookmarkStart w:id="86" w:name="_Toc79163873"/>
      <w:bookmarkStart w:id="87" w:name="_Toc15377219"/>
      <w:bookmarkStart w:id="88" w:name="_Toc15396611"/>
      <w:bookmarkStart w:id="89" w:name="_Toc79163623"/>
      <w:r>
        <w:rPr>
          <w:rStyle w:val="28"/>
          <w:rFonts w:hint="eastAsia" w:ascii="黑体" w:hAnsi="黑体" w:eastAsia="黑体"/>
          <w:b w:val="0"/>
        </w:rPr>
        <w:t>国有资本经营预算支出决算情况说明</w:t>
      </w:r>
      <w:bookmarkEnd w:id="86"/>
      <w:bookmarkEnd w:id="87"/>
      <w:bookmarkEnd w:id="88"/>
      <w:bookmarkEnd w:id="89"/>
    </w:p>
    <w:p w14:paraId="1C38A689">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67AEC08F">
      <w:pPr>
        <w:spacing w:line="580" w:lineRule="exact"/>
        <w:jc w:val="center"/>
        <w:rPr>
          <w:rFonts w:ascii="方正小标宋简体" w:hAnsi="方正小标宋简体" w:eastAsia="方正小标宋简体" w:cs="方正小标宋简体"/>
          <w:sz w:val="44"/>
          <w:szCs w:val="44"/>
        </w:rPr>
      </w:pPr>
    </w:p>
    <w:p w14:paraId="43402577">
      <w:pPr>
        <w:spacing w:line="600" w:lineRule="exact"/>
        <w:ind w:firstLine="800" w:firstLineChars="250"/>
        <w:outlineLvl w:val="1"/>
        <w:rPr>
          <w:rStyle w:val="28"/>
          <w:rFonts w:ascii="黑体" w:hAnsi="黑体" w:eastAsia="黑体"/>
        </w:rPr>
      </w:pPr>
      <w:bookmarkStart w:id="90" w:name="_Toc79163624"/>
      <w:bookmarkStart w:id="91" w:name="_Toc15396612"/>
      <w:bookmarkStart w:id="92" w:name="_Toc79163874"/>
      <w:bookmarkStart w:id="93" w:name="_Toc15377221"/>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90"/>
      <w:bookmarkEnd w:id="91"/>
      <w:bookmarkEnd w:id="92"/>
      <w:bookmarkEnd w:id="93"/>
    </w:p>
    <w:p w14:paraId="22BD9219">
      <w:pPr>
        <w:spacing w:line="600" w:lineRule="exact"/>
        <w:ind w:firstLine="643" w:firstLineChars="200"/>
        <w:outlineLvl w:val="2"/>
        <w:rPr>
          <w:rFonts w:ascii="仿宋" w:hAnsi="仿宋" w:eastAsia="仿宋"/>
          <w:color w:val="000000"/>
          <w:sz w:val="32"/>
          <w:szCs w:val="32"/>
        </w:rPr>
      </w:pPr>
      <w:bookmarkStart w:id="94" w:name="_Toc79163875"/>
      <w:bookmarkStart w:id="95" w:name="_Toc79163625"/>
      <w:bookmarkStart w:id="96" w:name="_Toc15377222"/>
      <w:r>
        <w:rPr>
          <w:rFonts w:hint="eastAsia" w:ascii="仿宋" w:hAnsi="仿宋" w:eastAsia="仿宋"/>
          <w:b/>
          <w:color w:val="000000"/>
          <w:sz w:val="32"/>
          <w:szCs w:val="32"/>
        </w:rPr>
        <w:t>（一）机关运行经费支出情况</w:t>
      </w:r>
      <w:bookmarkEnd w:id="94"/>
      <w:bookmarkEnd w:id="95"/>
      <w:bookmarkEnd w:id="96"/>
    </w:p>
    <w:p w14:paraId="73165DB4">
      <w:pPr>
        <w:spacing w:line="600" w:lineRule="exact"/>
        <w:ind w:firstLine="640" w:firstLineChars="200"/>
        <w:rPr>
          <w:rFonts w:hint="eastAsia" w:ascii="仿宋_GB2312" w:eastAsia="仿宋_GB2312"/>
          <w:color w:val="000000"/>
          <w:sz w:val="32"/>
          <w:szCs w:val="32"/>
          <w:highlight w:val="none"/>
          <w:lang w:eastAsia="zh-CN"/>
        </w:rPr>
      </w:pPr>
      <w:r>
        <w:rPr>
          <w:rFonts w:ascii="仿宋_GB2312" w:eastAsia="仿宋_GB2312"/>
          <w:color w:val="000000"/>
          <w:sz w:val="32"/>
          <w:szCs w:val="32"/>
          <w:highlight w:val="none"/>
        </w:rPr>
        <w:t>2020</w:t>
      </w:r>
      <w:r>
        <w:rPr>
          <w:rFonts w:hint="eastAsia" w:ascii="仿宋_GB2312" w:eastAsia="仿宋_GB2312"/>
          <w:color w:val="000000"/>
          <w:sz w:val="32"/>
          <w:szCs w:val="32"/>
          <w:highlight w:val="none"/>
        </w:rPr>
        <w:t>年，四川省阿坝州</w:t>
      </w:r>
      <w:r>
        <w:rPr>
          <w:rFonts w:hint="eastAsia" w:ascii="仿宋_GB2312" w:eastAsia="仿宋_GB2312"/>
          <w:color w:val="000000"/>
          <w:sz w:val="32"/>
          <w:szCs w:val="32"/>
          <w:highlight w:val="none"/>
          <w:lang w:val="en-US" w:eastAsia="zh-CN"/>
        </w:rPr>
        <w:t>九寨沟县畜牧兽医服务中心</w:t>
      </w:r>
      <w:r>
        <w:rPr>
          <w:rFonts w:hint="eastAsia" w:ascii="仿宋_GB2312" w:eastAsia="仿宋_GB2312"/>
          <w:color w:val="000000"/>
          <w:sz w:val="32"/>
          <w:szCs w:val="32"/>
          <w:highlight w:val="none"/>
        </w:rPr>
        <w:t>机关运行经费支出</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万元，与</w:t>
      </w:r>
      <w:r>
        <w:rPr>
          <w:rFonts w:ascii="仿宋_GB2312" w:eastAsia="仿宋_GB2312"/>
          <w:color w:val="000000"/>
          <w:sz w:val="32"/>
          <w:szCs w:val="32"/>
          <w:highlight w:val="none"/>
        </w:rPr>
        <w:t>2019</w:t>
      </w:r>
      <w:r>
        <w:rPr>
          <w:rFonts w:hint="eastAsia" w:ascii="仿宋_GB2312" w:eastAsia="仿宋_GB2312"/>
          <w:color w:val="000000"/>
          <w:sz w:val="32"/>
          <w:szCs w:val="32"/>
          <w:highlight w:val="none"/>
        </w:rPr>
        <w:t>年决算数持平）</w:t>
      </w:r>
      <w:r>
        <w:rPr>
          <w:rFonts w:hint="eastAsia" w:ascii="仿宋_GB2312" w:eastAsia="仿宋_GB2312"/>
          <w:color w:val="000000"/>
          <w:sz w:val="32"/>
          <w:szCs w:val="32"/>
          <w:highlight w:val="none"/>
          <w:lang w:eastAsia="zh-CN"/>
        </w:rPr>
        <w:t>。</w:t>
      </w:r>
    </w:p>
    <w:p w14:paraId="5D14BE79">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79163876"/>
      <w:bookmarkStart w:id="98" w:name="_Toc15377223"/>
      <w:bookmarkStart w:id="99" w:name="_Toc79163626"/>
      <w:r>
        <w:rPr>
          <w:rFonts w:hint="eastAsia" w:ascii="仿宋" w:hAnsi="仿宋" w:eastAsia="仿宋"/>
          <w:b/>
          <w:color w:val="000000"/>
          <w:sz w:val="32"/>
          <w:szCs w:val="32"/>
        </w:rPr>
        <w:t>（二）政府采购支出情况</w:t>
      </w:r>
      <w:bookmarkEnd w:id="97"/>
      <w:bookmarkEnd w:id="98"/>
      <w:bookmarkEnd w:id="99"/>
    </w:p>
    <w:p w14:paraId="363AB382">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highlight w:val="none"/>
        </w:rPr>
        <w:t>四川省阿坝州</w:t>
      </w:r>
      <w:r>
        <w:rPr>
          <w:rFonts w:hint="eastAsia" w:ascii="仿宋_GB2312" w:eastAsia="仿宋_GB2312"/>
          <w:color w:val="000000"/>
          <w:sz w:val="32"/>
          <w:szCs w:val="32"/>
          <w:highlight w:val="none"/>
          <w:lang w:val="en-US" w:eastAsia="zh-CN"/>
        </w:rPr>
        <w:t>九寨沟县畜牧兽医服务中心</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14:paraId="7FD5C738">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79163877"/>
      <w:bookmarkStart w:id="101" w:name="_Toc15377224"/>
      <w:bookmarkStart w:id="102" w:name="_Toc79163627"/>
      <w:r>
        <w:rPr>
          <w:rFonts w:hint="eastAsia" w:ascii="仿宋" w:hAnsi="仿宋" w:eastAsia="仿宋"/>
          <w:b/>
          <w:color w:val="000000"/>
          <w:sz w:val="32"/>
          <w:szCs w:val="32"/>
        </w:rPr>
        <w:t>（三）国有资产占有使用情况</w:t>
      </w:r>
      <w:bookmarkEnd w:id="100"/>
      <w:bookmarkEnd w:id="101"/>
      <w:bookmarkEnd w:id="102"/>
    </w:p>
    <w:p w14:paraId="3136ECA8">
      <w:pPr>
        <w:autoSpaceDE w:val="0"/>
        <w:autoSpaceDN w:val="0"/>
        <w:adjustRightInd w:val="0"/>
        <w:spacing w:line="600" w:lineRule="exact"/>
        <w:ind w:firstLine="640" w:firstLineChars="200"/>
        <w:jc w:val="left"/>
        <w:rPr>
          <w:rFonts w:hint="eastAsia"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highlight w:val="none"/>
        </w:rPr>
        <w:t>四川省阿坝州</w:t>
      </w:r>
      <w:r>
        <w:rPr>
          <w:rFonts w:hint="eastAsia" w:ascii="仿宋_GB2312" w:eastAsia="仿宋_GB2312"/>
          <w:color w:val="000000"/>
          <w:sz w:val="32"/>
          <w:szCs w:val="32"/>
          <w:highlight w:val="none"/>
          <w:lang w:val="en-US" w:eastAsia="zh-CN"/>
        </w:rPr>
        <w:t>九寨沟县畜牧兽医服务中心</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14:paraId="0D3B1561">
      <w:pPr>
        <w:pStyle w:val="22"/>
        <w:rPr>
          <w:rFonts w:hint="eastAsia" w:ascii="仿宋" w:hAnsi="仿宋" w:eastAsia="仿宋"/>
          <w:b/>
          <w:color w:val="FF0000"/>
          <w:sz w:val="32"/>
          <w:szCs w:val="32"/>
        </w:rPr>
      </w:pPr>
    </w:p>
    <w:p w14:paraId="274B1BD8">
      <w:pPr>
        <w:pStyle w:val="22"/>
        <w:rPr>
          <w:rFonts w:hint="eastAsia" w:ascii="仿宋" w:hAnsi="仿宋" w:eastAsia="仿宋"/>
          <w:b/>
          <w:color w:val="FF0000"/>
          <w:sz w:val="32"/>
          <w:szCs w:val="32"/>
        </w:rPr>
      </w:pPr>
    </w:p>
    <w:p w14:paraId="56EF3BE5">
      <w:pPr>
        <w:pStyle w:val="22"/>
        <w:ind w:left="0" w:leftChars="0" w:firstLine="0" w:firstLineChars="0"/>
        <w:rPr>
          <w:rFonts w:hint="eastAsia" w:ascii="仿宋" w:hAnsi="仿宋" w:eastAsia="仿宋"/>
          <w:b/>
          <w:color w:val="FF0000"/>
          <w:sz w:val="32"/>
          <w:szCs w:val="32"/>
        </w:rPr>
      </w:pPr>
    </w:p>
    <w:p w14:paraId="4357E09C">
      <w:pPr>
        <w:numPr>
          <w:ilvl w:val="0"/>
          <w:numId w:val="4"/>
        </w:numPr>
        <w:spacing w:line="600" w:lineRule="exact"/>
        <w:ind w:firstLine="660" w:firstLineChars="150"/>
        <w:jc w:val="center"/>
        <w:outlineLvl w:val="0"/>
        <w:rPr>
          <w:rStyle w:val="27"/>
          <w:rFonts w:ascii="黑体" w:hAnsi="黑体" w:eastAsia="黑体"/>
          <w:b w:val="0"/>
        </w:rPr>
      </w:pPr>
      <w:bookmarkStart w:id="103" w:name="_Toc15377225"/>
      <w:bookmarkStart w:id="104" w:name="_Toc15396613"/>
      <w:bookmarkStart w:id="105" w:name="_Toc79163879"/>
      <w:bookmarkStart w:id="106" w:name="_Toc79163629"/>
      <w:r>
        <w:rPr>
          <w:rFonts w:hint="eastAsia" w:ascii="黑体" w:hAnsi="黑体" w:eastAsia="黑体"/>
          <w:color w:val="000000"/>
          <w:sz w:val="44"/>
          <w:szCs w:val="44"/>
        </w:rPr>
        <w:t>名</w:t>
      </w:r>
      <w:r>
        <w:rPr>
          <w:rStyle w:val="27"/>
          <w:rFonts w:hint="eastAsia" w:ascii="黑体" w:hAnsi="黑体" w:eastAsia="黑体"/>
          <w:b w:val="0"/>
        </w:rPr>
        <w:t>词解释</w:t>
      </w:r>
      <w:bookmarkEnd w:id="103"/>
      <w:bookmarkEnd w:id="104"/>
      <w:bookmarkEnd w:id="105"/>
      <w:bookmarkEnd w:id="106"/>
    </w:p>
    <w:p w14:paraId="6E340D78">
      <w:pPr>
        <w:spacing w:line="600" w:lineRule="exact"/>
        <w:jc w:val="left"/>
        <w:rPr>
          <w:rFonts w:ascii="宋体"/>
          <w:b/>
          <w:color w:val="000000"/>
          <w:sz w:val="44"/>
          <w:szCs w:val="44"/>
        </w:rPr>
      </w:pPr>
    </w:p>
    <w:p w14:paraId="0D14D8BE">
      <w:pPr>
        <w:pStyle w:val="3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2B7B3355">
      <w:pPr>
        <w:pStyle w:val="37"/>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14:paraId="105D9332">
      <w:pPr>
        <w:pStyle w:val="37"/>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14:paraId="2EC4B423">
      <w:pPr>
        <w:pStyle w:val="37"/>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14:paraId="68D3ACB6">
      <w:pPr>
        <w:pStyle w:val="37"/>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14:paraId="1B02B076">
      <w:pPr>
        <w:pStyle w:val="37"/>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7247930E">
      <w:pPr>
        <w:pStyle w:val="37"/>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14:paraId="66222463">
      <w:pPr>
        <w:pStyle w:val="37"/>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3FF68277">
      <w:pPr>
        <w:ind w:firstLine="640" w:firstLineChars="200"/>
        <w:rPr>
          <w:rFonts w:hint="eastAsia"/>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行政事业单位离退休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部门实施养老保险制度由单位缴纳的养老保险支出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机关事业单位职业年金缴费支出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反映机关事业单位实施养老保险制度由单位实际缴纳的职业年金支出。</w:t>
      </w:r>
    </w:p>
    <w:p w14:paraId="007F1C92">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医疗卫生与计划生育（210）行政事业单位医疗（11）行政单位医疗（01）：指反映财政部门集中安排的行政单位的基本医疗保险缴费经费，未参加医疗保险的行政单位的公费医疗经费，按国家规定享受离休人员、红军老战士待遇的医疗经费。</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公务员医疗补助</w:t>
      </w:r>
      <w:r>
        <w:rPr>
          <w:rFonts w:hint="eastAsia" w:ascii="仿宋_GB2312" w:eastAsia="仿宋_GB2312"/>
          <w:color w:val="000000"/>
          <w:sz w:val="32"/>
          <w:szCs w:val="32"/>
          <w:lang w:eastAsia="zh-CN"/>
        </w:rPr>
        <w:t>：指国家公务员在参加城镇职工基本医疗保险制度的基础上国家对公务员实行的医疗补助。</w:t>
      </w:r>
      <w:r>
        <w:rPr>
          <w:rFonts w:hint="eastAsia" w:ascii="仿宋_GB2312" w:eastAsia="仿宋_GB2312"/>
          <w:color w:val="000000"/>
          <w:sz w:val="32"/>
          <w:szCs w:val="32"/>
        </w:rPr>
        <w:t xml:space="preserve"> </w:t>
      </w:r>
    </w:p>
    <w:p w14:paraId="0CCC7AD5">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eastAsia="仿宋_GB2312"/>
          <w:color w:val="000000"/>
          <w:sz w:val="32"/>
          <w:szCs w:val="32"/>
          <w:lang w:val="en-US" w:eastAsia="zh-CN"/>
        </w:rPr>
      </w:pPr>
      <w:r>
        <w:rPr>
          <w:rFonts w:hint="eastAsia" w:ascii="仿宋_GB2312" w:hAnsi="Times New Roman" w:eastAsia="仿宋_GB2312" w:cs="Times New Roman"/>
          <w:color w:val="000000"/>
          <w:kern w:val="2"/>
          <w:sz w:val="32"/>
          <w:szCs w:val="32"/>
          <w:lang w:val="en-US" w:eastAsia="zh-CN" w:bidi="ar-SA"/>
        </w:rPr>
        <w:t>1</w:t>
      </w:r>
      <w:r>
        <w:rPr>
          <w:rFonts w:hint="eastAsia" w:ascii="仿宋_GB2312" w:eastAsia="仿宋_GB2312" w:cs="Times New Roman"/>
          <w:color w:val="000000"/>
          <w:kern w:val="2"/>
          <w:sz w:val="32"/>
          <w:szCs w:val="32"/>
          <w:lang w:val="en-US" w:eastAsia="zh-CN" w:bidi="ar-SA"/>
        </w:rPr>
        <w:t>1</w:t>
      </w:r>
      <w:r>
        <w:rPr>
          <w:rFonts w:hint="eastAsia" w:ascii="仿宋_GB2312" w:hAnsi="Times New Roman" w:eastAsia="仿宋_GB2312" w:cs="Times New Roman"/>
          <w:color w:val="000000"/>
          <w:kern w:val="2"/>
          <w:sz w:val="32"/>
          <w:szCs w:val="32"/>
          <w:lang w:val="en-US" w:eastAsia="zh-CN" w:bidi="ar-SA"/>
        </w:rPr>
        <w:t>.农林水支出（213）扶贫（05）生产发展（05）：反映用于农村贫困地区发展种植业、养殖业、畜牧业、农副产品加工、林果</w:t>
      </w:r>
      <w:r>
        <w:rPr>
          <w:rFonts w:hint="eastAsia" w:ascii="仿宋_GB2312" w:eastAsia="仿宋_GB2312"/>
          <w:color w:val="000000"/>
          <w:sz w:val="32"/>
          <w:szCs w:val="32"/>
          <w:lang w:val="en-US" w:eastAsia="zh-CN"/>
        </w:rPr>
        <w:t>地建设等生产发展项目以及相关技术推广等方面的项目支出。</w:t>
      </w:r>
    </w:p>
    <w:p w14:paraId="34E984B6">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lang w:eastAsia="zh-CN"/>
        </w:rPr>
        <w:t xml:space="preserve">住房保障支出（221）住房改革支出（02）住房公积金（01）：指按照《住房公积金管理条例》的规定，由单位及其在职职工缴存的长期住房储金。 </w:t>
      </w:r>
    </w:p>
    <w:p w14:paraId="47EAD6E6">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6300D313">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677DFE98">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6E8868DC">
      <w:pPr>
        <w:pStyle w:val="3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5F08D7A">
      <w:pPr>
        <w:pStyle w:val="3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5454C7D">
      <w:pPr>
        <w:widowControl/>
        <w:jc w:val="left"/>
        <w:rPr>
          <w:rStyle w:val="27"/>
          <w:rFonts w:ascii="黑体" w:hAnsi="黑体" w:eastAsia="黑体"/>
          <w:b w:val="0"/>
        </w:rPr>
      </w:pPr>
      <w:bookmarkStart w:id="107" w:name="_Toc15377226"/>
    </w:p>
    <w:p w14:paraId="418FDBD5">
      <w:pPr>
        <w:pStyle w:val="2"/>
        <w:rPr>
          <w:rStyle w:val="27"/>
          <w:rFonts w:ascii="黑体" w:hAnsi="黑体" w:eastAsia="黑体"/>
          <w:b w:val="0"/>
        </w:rPr>
      </w:pPr>
    </w:p>
    <w:p w14:paraId="2BB0EF42">
      <w:pPr>
        <w:pStyle w:val="2"/>
        <w:rPr>
          <w:rStyle w:val="27"/>
          <w:rFonts w:ascii="黑体" w:hAnsi="黑体" w:eastAsia="黑体"/>
          <w:b w:val="0"/>
        </w:rPr>
      </w:pPr>
    </w:p>
    <w:p w14:paraId="10CD048F">
      <w:pPr>
        <w:pStyle w:val="2"/>
        <w:rPr>
          <w:rStyle w:val="27"/>
          <w:rFonts w:ascii="黑体" w:hAnsi="黑体" w:eastAsia="黑体"/>
          <w:b w:val="0"/>
        </w:rPr>
      </w:pPr>
    </w:p>
    <w:p w14:paraId="17E98CB5">
      <w:pPr>
        <w:pStyle w:val="2"/>
        <w:rPr>
          <w:rStyle w:val="27"/>
          <w:rFonts w:ascii="黑体" w:hAnsi="黑体" w:eastAsia="黑体"/>
          <w:b w:val="0"/>
        </w:rPr>
      </w:pPr>
    </w:p>
    <w:p w14:paraId="5DF8C02C">
      <w:pPr>
        <w:pStyle w:val="2"/>
        <w:rPr>
          <w:rStyle w:val="27"/>
          <w:rFonts w:ascii="黑体" w:hAnsi="黑体" w:eastAsia="黑体"/>
          <w:b w:val="0"/>
        </w:rPr>
      </w:pPr>
    </w:p>
    <w:p w14:paraId="23602B92">
      <w:pPr>
        <w:pStyle w:val="2"/>
        <w:rPr>
          <w:rStyle w:val="27"/>
          <w:rFonts w:ascii="黑体" w:hAnsi="黑体" w:eastAsia="黑体"/>
          <w:b w:val="0"/>
        </w:rPr>
      </w:pPr>
    </w:p>
    <w:p w14:paraId="2332E3DB">
      <w:pPr>
        <w:pStyle w:val="2"/>
        <w:rPr>
          <w:rStyle w:val="27"/>
          <w:rFonts w:ascii="黑体" w:hAnsi="黑体" w:eastAsia="黑体"/>
          <w:b w:val="0"/>
        </w:rPr>
      </w:pPr>
    </w:p>
    <w:p w14:paraId="61B7D4AE">
      <w:pPr>
        <w:pStyle w:val="2"/>
        <w:rPr>
          <w:rStyle w:val="27"/>
          <w:rFonts w:ascii="黑体" w:hAnsi="黑体" w:eastAsia="黑体"/>
          <w:b w:val="0"/>
        </w:rPr>
      </w:pPr>
    </w:p>
    <w:p w14:paraId="3C8E6DFB">
      <w:pPr>
        <w:pStyle w:val="2"/>
        <w:rPr>
          <w:rStyle w:val="27"/>
          <w:rFonts w:ascii="黑体" w:hAnsi="黑体" w:eastAsia="黑体"/>
          <w:b w:val="0"/>
        </w:rPr>
      </w:pPr>
    </w:p>
    <w:p w14:paraId="24352A2E">
      <w:pPr>
        <w:pStyle w:val="2"/>
        <w:rPr>
          <w:rStyle w:val="27"/>
          <w:rFonts w:ascii="黑体" w:hAnsi="黑体" w:eastAsia="黑体"/>
          <w:b w:val="0"/>
        </w:rPr>
      </w:pPr>
    </w:p>
    <w:p w14:paraId="08523E3F">
      <w:pPr>
        <w:pStyle w:val="2"/>
        <w:rPr>
          <w:rStyle w:val="27"/>
          <w:rFonts w:ascii="黑体" w:hAnsi="黑体" w:eastAsia="黑体"/>
          <w:b w:val="0"/>
        </w:rPr>
      </w:pPr>
    </w:p>
    <w:p w14:paraId="0A57D401">
      <w:pPr>
        <w:spacing w:line="600" w:lineRule="exact"/>
        <w:jc w:val="center"/>
        <w:outlineLvl w:val="0"/>
        <w:rPr>
          <w:rStyle w:val="27"/>
          <w:rFonts w:ascii="黑体" w:hAnsi="黑体" w:eastAsia="黑体"/>
          <w:b w:val="0"/>
        </w:rPr>
      </w:pPr>
      <w:bookmarkStart w:id="108" w:name="_Toc79163885"/>
      <w:bookmarkStart w:id="109" w:name="_Toc79163635"/>
      <w:bookmarkStart w:id="110" w:name="_Toc15396618"/>
      <w:r>
        <w:rPr>
          <w:rFonts w:hint="eastAsia" w:ascii="黑体" w:hAnsi="黑体" w:eastAsia="黑体"/>
          <w:color w:val="000000"/>
          <w:sz w:val="44"/>
          <w:szCs w:val="44"/>
        </w:rPr>
        <w:t>第</w:t>
      </w:r>
      <w:r>
        <w:rPr>
          <w:rFonts w:hint="eastAsia" w:ascii="黑体" w:hAnsi="黑体" w:eastAsia="黑体"/>
          <w:color w:val="000000"/>
          <w:sz w:val="44"/>
          <w:szCs w:val="44"/>
          <w:lang w:val="en-US" w:eastAsia="zh-CN"/>
        </w:rPr>
        <w:t>四</w:t>
      </w:r>
      <w:r>
        <w:rPr>
          <w:rStyle w:val="27"/>
          <w:rFonts w:hint="eastAsia" w:ascii="黑体" w:hAnsi="黑体" w:eastAsia="黑体"/>
          <w:b w:val="0"/>
        </w:rPr>
        <w:t>部分</w:t>
      </w:r>
      <w:r>
        <w:rPr>
          <w:rStyle w:val="27"/>
          <w:rFonts w:ascii="黑体" w:hAnsi="黑体" w:eastAsia="黑体"/>
          <w:b w:val="0"/>
        </w:rPr>
        <w:t xml:space="preserve"> </w:t>
      </w:r>
      <w:r>
        <w:rPr>
          <w:rStyle w:val="27"/>
          <w:rFonts w:hint="eastAsia" w:ascii="黑体" w:hAnsi="黑体" w:eastAsia="黑体"/>
          <w:b w:val="0"/>
        </w:rPr>
        <w:t>附表</w:t>
      </w:r>
      <w:bookmarkEnd w:id="107"/>
      <w:bookmarkEnd w:id="108"/>
      <w:bookmarkEnd w:id="109"/>
      <w:bookmarkEnd w:id="110"/>
    </w:p>
    <w:p w14:paraId="3A587FF3">
      <w:pPr>
        <w:pStyle w:val="4"/>
        <w:rPr>
          <w:rFonts w:ascii="仿宋" w:hAnsi="仿宋" w:eastAsia="仿宋"/>
          <w:color w:val="000000"/>
        </w:rPr>
      </w:pPr>
      <w:bookmarkStart w:id="111" w:name="_Toc79163886"/>
      <w:bookmarkStart w:id="112" w:name="_Toc15396619"/>
      <w:bookmarkStart w:id="113" w:name="_Toc79163636"/>
      <w:r>
        <w:rPr>
          <w:rFonts w:hint="eastAsia" w:ascii="仿宋" w:hAnsi="仿宋" w:eastAsia="仿宋"/>
          <w:b w:val="0"/>
          <w:color w:val="000000"/>
        </w:rPr>
        <w:t>一、收</w:t>
      </w:r>
      <w:r>
        <w:rPr>
          <w:rStyle w:val="28"/>
          <w:rFonts w:hint="eastAsia" w:ascii="仿宋" w:hAnsi="仿宋" w:eastAsia="仿宋"/>
          <w:b w:val="0"/>
          <w:bCs w:val="0"/>
        </w:rPr>
        <w:t>入支出决算总表</w:t>
      </w:r>
      <w:bookmarkEnd w:id="111"/>
      <w:bookmarkEnd w:id="112"/>
      <w:bookmarkEnd w:id="113"/>
    </w:p>
    <w:p w14:paraId="5B36C193">
      <w:pPr>
        <w:pStyle w:val="4"/>
        <w:rPr>
          <w:rFonts w:ascii="仿宋" w:hAnsi="仿宋" w:eastAsia="仿宋"/>
          <w:color w:val="000000"/>
        </w:rPr>
      </w:pPr>
      <w:bookmarkStart w:id="114" w:name="_Toc79163887"/>
      <w:bookmarkStart w:id="115" w:name="_Toc79163637"/>
      <w:bookmarkStart w:id="116" w:name="_Toc15396620"/>
      <w:r>
        <w:rPr>
          <w:rFonts w:hint="eastAsia" w:ascii="仿宋" w:hAnsi="仿宋" w:eastAsia="仿宋"/>
          <w:b w:val="0"/>
          <w:color w:val="000000"/>
        </w:rPr>
        <w:t>二、收</w:t>
      </w:r>
      <w:r>
        <w:rPr>
          <w:rStyle w:val="28"/>
          <w:rFonts w:hint="eastAsia" w:ascii="仿宋" w:hAnsi="仿宋" w:eastAsia="仿宋"/>
          <w:b w:val="0"/>
          <w:bCs w:val="0"/>
        </w:rPr>
        <w:t>入决算表</w:t>
      </w:r>
      <w:bookmarkEnd w:id="114"/>
      <w:bookmarkEnd w:id="115"/>
      <w:bookmarkEnd w:id="116"/>
    </w:p>
    <w:p w14:paraId="7DE7899C">
      <w:pPr>
        <w:pStyle w:val="4"/>
        <w:rPr>
          <w:rFonts w:ascii="仿宋" w:hAnsi="仿宋" w:eastAsia="仿宋"/>
          <w:color w:val="000000"/>
        </w:rPr>
      </w:pPr>
      <w:bookmarkStart w:id="117" w:name="_Toc15396621"/>
      <w:bookmarkStart w:id="118" w:name="_Toc79163638"/>
      <w:bookmarkStart w:id="119" w:name="_Toc79163888"/>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117"/>
      <w:bookmarkEnd w:id="118"/>
      <w:bookmarkEnd w:id="119"/>
    </w:p>
    <w:p w14:paraId="3B704F1B">
      <w:pPr>
        <w:pStyle w:val="4"/>
        <w:rPr>
          <w:rFonts w:ascii="仿宋" w:hAnsi="仿宋" w:eastAsia="仿宋"/>
          <w:b w:val="0"/>
          <w:color w:val="000000"/>
        </w:rPr>
      </w:pPr>
      <w:bookmarkStart w:id="120" w:name="_Toc15396622"/>
      <w:bookmarkStart w:id="121" w:name="_Toc79163889"/>
      <w:bookmarkStart w:id="122" w:name="_Toc79163639"/>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120"/>
      <w:bookmarkEnd w:id="121"/>
      <w:bookmarkEnd w:id="122"/>
    </w:p>
    <w:p w14:paraId="3B1CE211">
      <w:pPr>
        <w:pStyle w:val="4"/>
        <w:rPr>
          <w:rStyle w:val="28"/>
          <w:rFonts w:ascii="仿宋" w:hAnsi="仿宋" w:eastAsia="仿宋"/>
          <w:b w:val="0"/>
          <w:bCs w:val="0"/>
        </w:rPr>
      </w:pPr>
      <w:bookmarkStart w:id="123" w:name="_Toc15396623"/>
      <w:bookmarkStart w:id="124" w:name="_Toc79163640"/>
      <w:bookmarkStart w:id="125" w:name="_Toc79163890"/>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123"/>
      <w:bookmarkEnd w:id="124"/>
      <w:bookmarkEnd w:id="125"/>
      <w:bookmarkStart w:id="126" w:name="_Toc15396624"/>
    </w:p>
    <w:p w14:paraId="190785CA">
      <w:pPr>
        <w:pStyle w:val="4"/>
        <w:rPr>
          <w:rFonts w:ascii="仿宋" w:hAnsi="仿宋" w:eastAsia="仿宋"/>
          <w:color w:val="000000"/>
        </w:rPr>
      </w:pPr>
      <w:bookmarkStart w:id="127" w:name="_Toc79163641"/>
      <w:bookmarkStart w:id="128" w:name="_Toc79163891"/>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126"/>
      <w:bookmarkEnd w:id="127"/>
      <w:bookmarkEnd w:id="128"/>
    </w:p>
    <w:p w14:paraId="27AA05A4">
      <w:pPr>
        <w:pStyle w:val="4"/>
        <w:rPr>
          <w:rFonts w:ascii="仿宋" w:hAnsi="仿宋" w:eastAsia="仿宋"/>
          <w:color w:val="000000"/>
        </w:rPr>
      </w:pPr>
      <w:bookmarkStart w:id="129" w:name="_Toc79163642"/>
      <w:bookmarkStart w:id="130" w:name="_Toc79163892"/>
      <w:bookmarkStart w:id="131" w:name="_Toc15396625"/>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129"/>
      <w:bookmarkEnd w:id="130"/>
      <w:bookmarkEnd w:id="131"/>
    </w:p>
    <w:p w14:paraId="09AB15DC">
      <w:pPr>
        <w:pStyle w:val="4"/>
        <w:rPr>
          <w:rFonts w:ascii="仿宋" w:hAnsi="仿宋" w:eastAsia="仿宋"/>
          <w:color w:val="000000"/>
        </w:rPr>
      </w:pPr>
      <w:bookmarkStart w:id="132" w:name="_Toc79163643"/>
      <w:bookmarkStart w:id="133" w:name="_Toc15396626"/>
      <w:bookmarkStart w:id="134" w:name="_Toc79163893"/>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132"/>
      <w:bookmarkEnd w:id="133"/>
      <w:bookmarkEnd w:id="134"/>
    </w:p>
    <w:p w14:paraId="22647A00">
      <w:pPr>
        <w:pStyle w:val="4"/>
        <w:rPr>
          <w:rFonts w:ascii="仿宋" w:hAnsi="仿宋" w:eastAsia="仿宋"/>
          <w:color w:val="000000"/>
        </w:rPr>
      </w:pPr>
      <w:bookmarkStart w:id="135" w:name="_Toc79163894"/>
      <w:bookmarkStart w:id="136" w:name="_Toc15396627"/>
      <w:bookmarkStart w:id="137" w:name="_Toc79163644"/>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135"/>
      <w:bookmarkEnd w:id="136"/>
      <w:bookmarkEnd w:id="137"/>
    </w:p>
    <w:p w14:paraId="5534D6A3">
      <w:pPr>
        <w:pStyle w:val="4"/>
        <w:rPr>
          <w:rFonts w:ascii="仿宋" w:hAnsi="仿宋" w:eastAsia="仿宋"/>
          <w:color w:val="000000"/>
        </w:rPr>
      </w:pPr>
      <w:bookmarkStart w:id="138" w:name="_Toc79163895"/>
      <w:bookmarkStart w:id="139" w:name="_Toc15396628"/>
      <w:bookmarkStart w:id="140" w:name="_Toc79163645"/>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138"/>
      <w:bookmarkEnd w:id="139"/>
      <w:bookmarkEnd w:id="140"/>
    </w:p>
    <w:p w14:paraId="4C01D77A">
      <w:pPr>
        <w:pStyle w:val="4"/>
        <w:rPr>
          <w:rFonts w:ascii="仿宋" w:hAnsi="仿宋" w:eastAsia="仿宋"/>
          <w:color w:val="000000"/>
        </w:rPr>
      </w:pPr>
      <w:bookmarkStart w:id="141" w:name="_Toc15396629"/>
      <w:bookmarkStart w:id="142" w:name="_Toc79163646"/>
      <w:bookmarkStart w:id="143" w:name="_Toc79163896"/>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141"/>
      <w:bookmarkEnd w:id="142"/>
      <w:bookmarkEnd w:id="143"/>
    </w:p>
    <w:p w14:paraId="3CD08339">
      <w:pPr>
        <w:pStyle w:val="4"/>
        <w:rPr>
          <w:rFonts w:ascii="仿宋" w:hAnsi="仿宋" w:eastAsia="仿宋"/>
          <w:color w:val="000000"/>
        </w:rPr>
      </w:pPr>
      <w:bookmarkStart w:id="144" w:name="_Toc79163897"/>
      <w:bookmarkStart w:id="145" w:name="_Toc15396630"/>
      <w:bookmarkStart w:id="146" w:name="_Toc79163647"/>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144"/>
      <w:bookmarkEnd w:id="145"/>
      <w:bookmarkEnd w:id="146"/>
    </w:p>
    <w:p w14:paraId="738058AE">
      <w:pPr>
        <w:pStyle w:val="4"/>
        <w:rPr>
          <w:rStyle w:val="28"/>
          <w:rFonts w:ascii="仿宋" w:hAnsi="仿宋" w:eastAsia="仿宋"/>
          <w:b w:val="0"/>
          <w:bCs w:val="0"/>
        </w:rPr>
      </w:pPr>
      <w:bookmarkStart w:id="147" w:name="_Toc79163648"/>
      <w:bookmarkStart w:id="148" w:name="_Toc15396631"/>
      <w:bookmarkStart w:id="149" w:name="_Toc79163898"/>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有资本经营预算财政拨款支出决算表</w:t>
      </w:r>
      <w:bookmarkEnd w:id="147"/>
      <w:bookmarkEnd w:id="148"/>
      <w:bookmarkEnd w:id="149"/>
    </w:p>
    <w:p w14:paraId="0165AAD1">
      <w:pPr>
        <w:pStyle w:val="4"/>
        <w:rPr>
          <w:rStyle w:val="28"/>
          <w:rFonts w:ascii="仿宋" w:hAnsi="仿宋" w:eastAsia="仿宋"/>
          <w:b w:val="0"/>
          <w:bCs w:val="0"/>
        </w:rPr>
      </w:pPr>
      <w:bookmarkStart w:id="150" w:name="_Toc79163899"/>
      <w:bookmarkStart w:id="151" w:name="_Toc79163649"/>
      <w:r>
        <w:rPr>
          <w:rStyle w:val="28"/>
          <w:rFonts w:hint="eastAsia" w:ascii="仿宋" w:hAnsi="仿宋" w:eastAsia="仿宋"/>
          <w:b w:val="0"/>
          <w:bCs w:val="0"/>
        </w:rPr>
        <w:t>十四、国有资本经营预算财政拨款支出决算表</w:t>
      </w:r>
      <w:bookmarkEnd w:id="150"/>
      <w:bookmarkEnd w:id="151"/>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B9390">
    <w:pPr>
      <w:pStyle w:val="13"/>
      <w:jc w:val="center"/>
    </w:pPr>
    <w:r>
      <w:fldChar w:fldCharType="begin"/>
    </w:r>
    <w:r>
      <w:instrText xml:space="preserve">PAGE   \* MERGEFORMAT</w:instrText>
    </w:r>
    <w:r>
      <w:fldChar w:fldCharType="separate"/>
    </w:r>
    <w:r>
      <w:rPr>
        <w:lang w:val="zh-CN"/>
      </w:rPr>
      <w:t>3</w:t>
    </w:r>
    <w:r>
      <w:fldChar w:fldCharType="end"/>
    </w:r>
  </w:p>
  <w:p w14:paraId="493ADA41">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F35C8">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9EDA44"/>
    <w:multiLevelType w:val="singleLevel"/>
    <w:tmpl w:val="9B9EDA44"/>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0248"/>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A2032A3"/>
    <w:rsid w:val="0A38084C"/>
    <w:rsid w:val="10C055FF"/>
    <w:rsid w:val="1151688E"/>
    <w:rsid w:val="118107EC"/>
    <w:rsid w:val="16BB723D"/>
    <w:rsid w:val="19F242CB"/>
    <w:rsid w:val="1D155CEE"/>
    <w:rsid w:val="23D01148"/>
    <w:rsid w:val="240371BF"/>
    <w:rsid w:val="29FD04D3"/>
    <w:rsid w:val="2D86223E"/>
    <w:rsid w:val="319F7F4E"/>
    <w:rsid w:val="335811CB"/>
    <w:rsid w:val="355228C8"/>
    <w:rsid w:val="37C74602"/>
    <w:rsid w:val="381758A4"/>
    <w:rsid w:val="4462184A"/>
    <w:rsid w:val="4ECE2238"/>
    <w:rsid w:val="52B10F72"/>
    <w:rsid w:val="552F555B"/>
    <w:rsid w:val="577E5DC1"/>
    <w:rsid w:val="5D737140"/>
    <w:rsid w:val="5E0F4033"/>
    <w:rsid w:val="61BB1C5E"/>
    <w:rsid w:val="67A33B2C"/>
    <w:rsid w:val="69BE3708"/>
    <w:rsid w:val="6AD62AC5"/>
    <w:rsid w:val="6C4A05C8"/>
    <w:rsid w:val="70767CCF"/>
    <w:rsid w:val="72734D90"/>
    <w:rsid w:val="760C5C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8"/>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9"/>
    <w:qFormat/>
    <w:uiPriority w:val="9"/>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cs="Courier New"/>
      <w:szCs w:val="21"/>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link w:val="36"/>
    <w:qFormat/>
    <w:uiPriority w:val="99"/>
    <w:pPr>
      <w:spacing w:beforeLines="30"/>
    </w:pPr>
    <w:rPr>
      <w:rFonts w:ascii="仿宋_GB2312" w:eastAsia="仿宋_GB2312"/>
      <w:kern w:val="0"/>
      <w:sz w:val="24"/>
      <w:szCs w:val="20"/>
      <w:lang w:val="zh-CN" w:eastAsia="zh-CN"/>
    </w:rPr>
  </w:style>
  <w:style w:type="paragraph" w:styleId="8">
    <w:name w:val="Body Text Indent"/>
    <w:basedOn w:val="1"/>
    <w:semiHidden/>
    <w:unhideWhenUsed/>
    <w:qFormat/>
    <w:uiPriority w:val="99"/>
    <w:pPr>
      <w:spacing w:after="120"/>
      <w:ind w:left="420" w:leftChars="200"/>
    </w:p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31"/>
    <w:semiHidden/>
    <w:unhideWhenUsed/>
    <w:qFormat/>
    <w:uiPriority w:val="99"/>
    <w:rPr>
      <w:sz w:val="18"/>
      <w:szCs w:val="18"/>
    </w:rPr>
  </w:style>
  <w:style w:type="paragraph" w:styleId="13">
    <w:name w:val="footer"/>
    <w:basedOn w:val="1"/>
    <w:link w:val="35"/>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4">
    <w:name w:val="header"/>
    <w:basedOn w:val="1"/>
    <w:link w:val="34"/>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able of figures"/>
    <w:basedOn w:val="1"/>
    <w:next w:val="1"/>
    <w:qFormat/>
    <w:uiPriority w:val="0"/>
    <w:pPr>
      <w:ind w:left="0" w:leftChars="200" w:hanging="200" w:hangingChars="200"/>
    </w:pPr>
    <w:rPr>
      <w:rFonts w:ascii="Times New Roman" w:hAnsi="Times New Roman" w:eastAsia="宋体" w:cs="Times New Roman"/>
    </w:rPr>
  </w:style>
  <w:style w:type="paragraph" w:styleId="19">
    <w:name w:val="toc 2"/>
    <w:basedOn w:val="1"/>
    <w:next w:val="1"/>
    <w:unhideWhenUsed/>
    <w:qFormat/>
    <w:uiPriority w:val="39"/>
    <w:pPr>
      <w:ind w:left="210"/>
      <w:jc w:val="left"/>
    </w:pPr>
    <w:rPr>
      <w:rFonts w:asciiTheme="minorHAnsi" w:eastAsiaTheme="minorHAnsi"/>
      <w:smallCaps/>
      <w:sz w:val="20"/>
      <w:szCs w:val="20"/>
    </w:rPr>
  </w:style>
  <w:style w:type="paragraph" w:styleId="20">
    <w:name w:val="toc 9"/>
    <w:basedOn w:val="1"/>
    <w:next w:val="1"/>
    <w:unhideWhenUsed/>
    <w:qFormat/>
    <w:uiPriority w:val="39"/>
    <w:pPr>
      <w:ind w:left="1680"/>
      <w:jc w:val="left"/>
    </w:pPr>
    <w:rPr>
      <w:rFonts w:asciiTheme="minorHAnsi" w:eastAsiaTheme="minorHAnsi"/>
      <w:sz w:val="18"/>
      <w:szCs w:val="18"/>
    </w:rPr>
  </w:style>
  <w:style w:type="paragraph" w:styleId="21">
    <w:name w:val="Normal (Web)"/>
    <w:basedOn w:val="1"/>
    <w:unhideWhenUsed/>
    <w:qFormat/>
    <w:uiPriority w:val="0"/>
    <w:pPr>
      <w:widowControl/>
      <w:spacing w:before="100" w:beforeAutospacing="1" w:after="100" w:afterAutospacing="1"/>
      <w:jc w:val="left"/>
    </w:pPr>
    <w:rPr>
      <w:rFonts w:ascii="宋体" w:hAnsi="宋体" w:cs="宋体"/>
      <w:kern w:val="0"/>
      <w:sz w:val="24"/>
      <w:szCs w:val="24"/>
      <w:lang w:bidi="bo-CN"/>
    </w:rPr>
  </w:style>
  <w:style w:type="paragraph" w:styleId="22">
    <w:name w:val="Body Text First Indent 2"/>
    <w:basedOn w:val="8"/>
    <w:unhideWhenUsed/>
    <w:qFormat/>
    <w:uiPriority w:val="99"/>
    <w:pPr>
      <w:ind w:firstLine="420" w:firstLineChars="200"/>
    </w:pPr>
  </w:style>
  <w:style w:type="character" w:styleId="25">
    <w:name w:val="Strong"/>
    <w:basedOn w:val="24"/>
    <w:qFormat/>
    <w:uiPriority w:val="99"/>
    <w:rPr>
      <w:rFonts w:cs="Times New Roman"/>
      <w:b/>
    </w:rPr>
  </w:style>
  <w:style w:type="character" w:styleId="26">
    <w:name w:val="Hyperlink"/>
    <w:basedOn w:val="24"/>
    <w:unhideWhenUsed/>
    <w:qFormat/>
    <w:uiPriority w:val="99"/>
    <w:rPr>
      <w:rFonts w:cs="Times New Roman"/>
      <w:color w:val="0000FF"/>
      <w:u w:val="single"/>
    </w:rPr>
  </w:style>
  <w:style w:type="character" w:customStyle="1" w:styleId="27">
    <w:name w:val="标题 1 字符"/>
    <w:basedOn w:val="24"/>
    <w:link w:val="3"/>
    <w:qFormat/>
    <w:locked/>
    <w:uiPriority w:val="9"/>
    <w:rPr>
      <w:rFonts w:ascii="Times New Roman" w:hAnsi="Times New Roman" w:cs="Times New Roman"/>
      <w:b/>
      <w:bCs/>
      <w:kern w:val="44"/>
      <w:sz w:val="44"/>
      <w:szCs w:val="44"/>
    </w:rPr>
  </w:style>
  <w:style w:type="character" w:customStyle="1" w:styleId="28">
    <w:name w:val="标题 2 字符"/>
    <w:basedOn w:val="24"/>
    <w:link w:val="4"/>
    <w:qFormat/>
    <w:locked/>
    <w:uiPriority w:val="9"/>
    <w:rPr>
      <w:rFonts w:ascii="Cambria" w:hAnsi="Cambria" w:eastAsia="宋体" w:cs="Times New Roman"/>
      <w:b/>
      <w:bCs/>
      <w:kern w:val="2"/>
      <w:sz w:val="32"/>
      <w:szCs w:val="32"/>
    </w:rPr>
  </w:style>
  <w:style w:type="character" w:customStyle="1" w:styleId="29">
    <w:name w:val="标题 3 字符"/>
    <w:basedOn w:val="24"/>
    <w:link w:val="5"/>
    <w:qFormat/>
    <w:locked/>
    <w:uiPriority w:val="9"/>
    <w:rPr>
      <w:rFonts w:ascii="Times New Roman" w:hAnsi="Times New Roman" w:cs="Times New Roman"/>
      <w:b/>
      <w:bCs/>
      <w:kern w:val="2"/>
      <w:sz w:val="32"/>
      <w:szCs w:val="32"/>
    </w:rPr>
  </w:style>
  <w:style w:type="character" w:customStyle="1" w:styleId="30">
    <w:name w:val="Body Text Char"/>
    <w:basedOn w:val="24"/>
    <w:semiHidden/>
    <w:qFormat/>
    <w:uiPriority w:val="99"/>
    <w:rPr>
      <w:rFonts w:ascii="Times New Roman" w:hAnsi="Times New Roman" w:cs="Times New Roman"/>
      <w:sz w:val="24"/>
      <w:szCs w:val="24"/>
    </w:rPr>
  </w:style>
  <w:style w:type="character" w:customStyle="1" w:styleId="31">
    <w:name w:val="批注框文本 字符"/>
    <w:basedOn w:val="24"/>
    <w:link w:val="12"/>
    <w:semiHidden/>
    <w:qFormat/>
    <w:locked/>
    <w:uiPriority w:val="99"/>
    <w:rPr>
      <w:rFonts w:ascii="Times New Roman" w:hAnsi="Times New Roman" w:cs="Times New Roman"/>
      <w:kern w:val="2"/>
      <w:sz w:val="18"/>
      <w:szCs w:val="18"/>
    </w:rPr>
  </w:style>
  <w:style w:type="character" w:customStyle="1" w:styleId="32">
    <w:name w:val="Footer Char"/>
    <w:basedOn w:val="24"/>
    <w:semiHidden/>
    <w:qFormat/>
    <w:uiPriority w:val="99"/>
    <w:rPr>
      <w:rFonts w:ascii="Times New Roman" w:hAnsi="Times New Roman" w:cs="Times New Roman"/>
      <w:sz w:val="18"/>
      <w:szCs w:val="18"/>
    </w:rPr>
  </w:style>
  <w:style w:type="character" w:customStyle="1" w:styleId="33">
    <w:name w:val="Header Char"/>
    <w:basedOn w:val="24"/>
    <w:semiHidden/>
    <w:qFormat/>
    <w:uiPriority w:val="99"/>
    <w:rPr>
      <w:rFonts w:ascii="Times New Roman" w:hAnsi="Times New Roman" w:cs="Times New Roman"/>
      <w:sz w:val="18"/>
      <w:szCs w:val="18"/>
    </w:rPr>
  </w:style>
  <w:style w:type="character" w:customStyle="1" w:styleId="34">
    <w:name w:val="页眉 字符"/>
    <w:link w:val="14"/>
    <w:semiHidden/>
    <w:qFormat/>
    <w:locked/>
    <w:uiPriority w:val="99"/>
    <w:rPr>
      <w:sz w:val="18"/>
    </w:rPr>
  </w:style>
  <w:style w:type="character" w:customStyle="1" w:styleId="35">
    <w:name w:val="页脚 字符"/>
    <w:link w:val="13"/>
    <w:qFormat/>
    <w:locked/>
    <w:uiPriority w:val="99"/>
    <w:rPr>
      <w:sz w:val="18"/>
    </w:rPr>
  </w:style>
  <w:style w:type="character" w:customStyle="1" w:styleId="36">
    <w:name w:val="正文文本 字符"/>
    <w:link w:val="7"/>
    <w:qFormat/>
    <w:locked/>
    <w:uiPriority w:val="99"/>
    <w:rPr>
      <w:rFonts w:ascii="仿宋_GB2312" w:hAnsi="Times New Roman" w:eastAsia="仿宋_GB2312"/>
      <w:sz w:val="24"/>
    </w:rPr>
  </w:style>
  <w:style w:type="paragraph" w:customStyle="1" w:styleId="3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8">
    <w:name w:val="列表段落1"/>
    <w:basedOn w:val="1"/>
    <w:qFormat/>
    <w:uiPriority w:val="34"/>
    <w:pPr>
      <w:ind w:firstLine="420" w:firstLineChars="200"/>
    </w:pPr>
  </w:style>
  <w:style w:type="paragraph" w:customStyle="1" w:styleId="39">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0">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1">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2">
    <w:name w:val="NormalCharacter"/>
    <w:qFormat/>
    <w:uiPriority w:val="0"/>
    <w:rPr>
      <w:rFonts w:hint="default" w:ascii="Calibri" w:hAnsi="Calibri" w:eastAsia="宋体"/>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90606226106"/>
          <c:y val="0.181657066902969"/>
          <c:w val="0.88399781540142"/>
          <c:h val="0.688258750553833"/>
        </c:manualLayout>
      </c:layout>
      <c:barChart>
        <c:barDir val="col"/>
        <c:grouping val="clustered"/>
        <c:varyColors val="0"/>
        <c:ser>
          <c:idx val="0"/>
          <c:order val="0"/>
          <c:tx>
            <c:strRef>
              <c:f>Sheet1!$B$1</c:f>
              <c:strCache>
                <c:ptCount val="1"/>
                <c:pt idx="0">
                  <c:v>系列 1</c:v>
                </c:pt>
              </c:strCache>
            </c:strRef>
          </c:tx>
          <c:spPr>
            <a:solidFill>
              <a:schemeClr val="accent2">
                <a:lumMod val="75000"/>
              </a:schemeClr>
            </a:solidFill>
            <a:ln>
              <a:noFill/>
            </a:ln>
            <a:effectLst/>
          </c:spPr>
          <c:invertIfNegative val="0"/>
          <c:dPt>
            <c:idx val="0"/>
            <c:invertIfNegative val="0"/>
            <c:bubble3D val="0"/>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2019年</c:v>
                </c:pt>
                <c:pt idx="1">
                  <c:v>2020年</c:v>
                </c:pt>
              </c:strCache>
            </c:strRef>
          </c:cat>
          <c:val>
            <c:numRef>
              <c:f>Sheet1!$B$2:$B$3</c:f>
              <c:numCache>
                <c:formatCode>General</c:formatCode>
                <c:ptCount val="2"/>
                <c:pt idx="0">
                  <c:v>592.2</c:v>
                </c:pt>
                <c:pt idx="1">
                  <c:v>675.45</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2019年</c:v>
                </c:pt>
                <c:pt idx="1">
                  <c:v>2020年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19"/>
        <c:overlap val="-27"/>
        <c:axId val="743299026"/>
        <c:axId val="568897553"/>
      </c:barChart>
      <c:catAx>
        <c:axId val="74329902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8897553"/>
        <c:crosses val="autoZero"/>
        <c:auto val="1"/>
        <c:lblAlgn val="ctr"/>
        <c:lblOffset val="100"/>
        <c:noMultiLvlLbl val="0"/>
      </c:catAx>
      <c:valAx>
        <c:axId val="56889755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3299026"/>
        <c:crosses val="autoZero"/>
        <c:crossBetween val="between"/>
      </c:valAx>
      <c:spPr>
        <a:noFill/>
        <a:ln>
          <a:noFill/>
        </a:ln>
        <a:effectLst/>
      </c:spPr>
    </c:plotArea>
    <c:plotVisOnly val="1"/>
    <c:dispBlanksAs val="gap"/>
    <c:showDLblsOverMax val="0"/>
    <c:extLst>
      <c:ext uri="{0b15fc19-7d7d-44ad-8c2d-2c3a37ce22c3}">
        <chartProps xmlns="https://web.wps.cn/et/2018/main" chartId="{bbed780f-16fb-4318-9752-264c52d83d3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2">
                  <a:lumMod val="75000"/>
                </a:schemeClr>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Pt>
            <c:idx val="5"/>
            <c:bubble3D val="0"/>
            <c:spPr>
              <a:solidFill>
                <a:schemeClr val="accent6"/>
              </a:solidFill>
              <a:ln>
                <a:noFill/>
              </a:ln>
              <a:effectLst>
                <a:outerShdw blurRad="254000" sx="102000" sy="102000" algn="ctr" rotWithShape="0">
                  <a:prstClr val="black">
                    <a:alpha val="20000"/>
                  </a:prstClr>
                </a:outerShdw>
              </a:effectLst>
            </c:spPr>
          </c:dPt>
          <c:dPt>
            <c:idx val="6"/>
            <c:bubble3D val="0"/>
            <c:spPr>
              <a:solidFill>
                <a:schemeClr val="accent1">
                  <a:lumMod val="60000"/>
                </a:schemeClr>
              </a:solidFill>
              <a:ln>
                <a:noFill/>
              </a:ln>
              <a:effectLst>
                <a:outerShdw blurRad="254000" sx="102000" sy="102000" algn="ctr" rotWithShape="0">
                  <a:prstClr val="black">
                    <a:alpha val="20000"/>
                  </a:prstClr>
                </a:outerShdw>
              </a:effectLst>
            </c:spPr>
          </c:dPt>
          <c:dLbls>
            <c:dLbl>
              <c:idx val="0"/>
              <c:layout>
                <c:manualLayout>
                  <c:x val="0.0140372728945332"/>
                  <c:y val="-0.723502304143913"/>
                </c:manualLayout>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rPr lang="en-US" altLang="zh-CN"/>
                      <a:t>100</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1"/>
              <c:delete val="1"/>
            </c:dLbl>
            <c:dLbl>
              <c:idx val="2"/>
              <c:delete val="1"/>
            </c:dLbl>
            <c:dLbl>
              <c:idx val="3"/>
              <c:delete val="1"/>
            </c:dLbl>
            <c:dLbl>
              <c:idx val="4"/>
              <c:delete val="1"/>
            </c:dLbl>
            <c:dLbl>
              <c:idx val="5"/>
              <c:delete val="1"/>
            </c:dLbl>
            <c:dLbl>
              <c:idx val="6"/>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0</a:t>
                    </a:r>
                    <a:r>
                      <a:rPr lang="en-US" altLang="zh-CN"/>
                      <a:t>.001</a:t>
                    </a:r>
                    <a:r>
                      <a:t>%</a:t>
                    </a:r>
                  </a:p>
                </c:rich>
              </c:tx>
              <c:dLblPos val="ctr"/>
              <c:showLegendKey val="0"/>
              <c:showVal val="0"/>
              <c:showCatName val="0"/>
              <c:showSerName val="0"/>
              <c:showPercent val="1"/>
              <c:showBubbleSize val="0"/>
              <c:extLst>
                <c:ext xmlns:c15="http://schemas.microsoft.com/office/drawing/2012/chart" uri="{CE6537A1-D6FC-4f65-9D91-7224C49458BB}"/>
              </c:extLst>
            </c:dLbl>
            <c:spPr>
              <a:solidFill>
                <a:schemeClr val="tx1"/>
              </a:solid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Sheet1!$B$2:$B$8</c:f>
              <c:numCache>
                <c:formatCode>0.000%</c:formatCode>
                <c:ptCount val="7"/>
                <c:pt idx="0">
                  <c:v>1</c:v>
                </c:pt>
                <c:pt idx="1" c:formatCode="General">
                  <c:v>0</c:v>
                </c:pt>
                <c:pt idx="2" c:formatCode="General">
                  <c:v>0</c:v>
                </c:pt>
                <c:pt idx="3" c:formatCode="General">
                  <c:v>0</c:v>
                </c:pt>
                <c:pt idx="4" c:formatCode="General">
                  <c:v>0</c:v>
                </c:pt>
                <c:pt idx="5" c:formatCode="General">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57861153649821"/>
          <c:y val="0.145040019403347"/>
        </c:manualLayout>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extLst>
      <c:ext uri="{0b15fc19-7d7d-44ad-8c2d-2c3a37ce22c3}">
        <chartProps xmlns="https://web.wps.cn/et/2018/main" chartId="{3dd71b33-12b6-46c5-8c40-dd79b345349d}"/>
      </c:ext>
    </c:extLst>
  </c:chart>
  <c:spPr>
    <a:solidFill>
      <a:schemeClr val="bg1"/>
    </a:soli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2">
                  <a:lumMod val="75000"/>
                </a:schemeClr>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Lbls>
            <c:dLbl>
              <c:idx val="0"/>
              <c:layout>
                <c:manualLayout>
                  <c:x val="0.0140372728945332"/>
                  <c:y val="-0.723502304143913"/>
                </c:manualLayout>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rPr lang="en-US" altLang="zh-CN"/>
                      <a:t>100</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1"/>
              <c:delete val="1"/>
            </c:dLbl>
            <c:dLbl>
              <c:idx val="2"/>
              <c:delete val="1"/>
            </c:dLbl>
            <c:dLbl>
              <c:idx val="3"/>
              <c:delete val="1"/>
            </c:dLbl>
            <c:dLbl>
              <c:idx val="4"/>
              <c:delete val="1"/>
            </c:dLbl>
            <c:spPr>
              <a:solidFill>
                <a:schemeClr val="tx1"/>
              </a:solid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0.000%</c:formatCode>
                <c:ptCount val="5"/>
                <c:pt idx="0">
                  <c:v>1</c:v>
                </c:pt>
                <c:pt idx="1" c:formatCode="General">
                  <c:v>0</c:v>
                </c:pt>
                <c:pt idx="2" c:formatCode="General">
                  <c:v>0</c:v>
                </c:pt>
                <c:pt idx="3" c:formatCode="General">
                  <c:v>0</c:v>
                </c:pt>
                <c:pt idx="4" c:formatCode="General">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57861153649821"/>
          <c:y val="0.145040019403347"/>
        </c:manualLayout>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extLst>
      <c:ext uri="{0b15fc19-7d7d-44ad-8c2d-2c3a37ce22c3}">
        <chartProps xmlns="https://web.wps.cn/et/2018/main" chartId="{b86b8fd8-a668-4871-961e-8f6afeafcf4c}"/>
      </c:ext>
    </c:extLst>
  </c:chart>
  <c:spPr>
    <a:solidFill>
      <a:schemeClr val="bg1"/>
    </a:soli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41998185823507"/>
          <c:y val="0.086508374746917"/>
          <c:w val="0.901697550861734"/>
          <c:h val="0.787115773973863"/>
        </c:manualLayout>
      </c:layout>
      <c:barChart>
        <c:barDir val="col"/>
        <c:grouping val="clustered"/>
        <c:varyColors val="0"/>
        <c:ser>
          <c:idx val="0"/>
          <c:order val="0"/>
          <c:tx>
            <c:strRef>
              <c:f>Sheet1!$B$1</c:f>
              <c:strCache>
                <c:ptCount val="1"/>
                <c:pt idx="0">
                  <c:v>2019年</c:v>
                </c:pt>
              </c:strCache>
            </c:strRef>
          </c:tx>
          <c:spPr>
            <a:solidFill>
              <a:schemeClr val="accent2">
                <a:lumMod val="60000"/>
                <a:lumOff val="40000"/>
              </a:schemeClr>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592.2</c:v>
                </c:pt>
                <c:pt idx="1">
                  <c:v>592.2</c:v>
                </c:pt>
              </c:numCache>
            </c:numRef>
          </c:val>
        </c:ser>
        <c:ser>
          <c:idx val="1"/>
          <c:order val="1"/>
          <c:tx>
            <c:strRef>
              <c:f>Sheet1!$C$1</c:f>
              <c:strCache>
                <c:ptCount val="1"/>
                <c:pt idx="0">
                  <c:v>2020年</c:v>
                </c:pt>
              </c:strCache>
            </c:strRef>
          </c:tx>
          <c:spPr>
            <a:solidFill>
              <a:schemeClr val="accent6">
                <a:lumMod val="75000"/>
              </a:schemeClr>
            </a:solidFill>
            <a:ln>
              <a:noFill/>
            </a:ln>
            <a:effectLst/>
          </c:spPr>
          <c:invertIfNegative val="0"/>
          <c:dPt>
            <c:idx val="0"/>
            <c:invertIfNegative val="0"/>
            <c:bubble3D val="0"/>
            <c:spPr>
              <a:solidFill>
                <a:schemeClr val="accent2">
                  <a:lumMod val="75000"/>
                </a:schemeClr>
              </a:solidFill>
              <a:ln>
                <a:noFill/>
              </a:ln>
              <a:effectLst/>
            </c:spPr>
          </c:dPt>
          <c:dPt>
            <c:idx val="1"/>
            <c:invertIfNegative val="0"/>
            <c:bubble3D val="0"/>
            <c:spPr>
              <a:solidFill>
                <a:schemeClr val="accent2">
                  <a:lumMod val="75000"/>
                </a:schemeClr>
              </a:solidFill>
              <a:ln>
                <a:no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675.45</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0025212193857717"/>
                  <c:y val="0.00218482729001779"/>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675.45</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675.45</c:v>
                </c:pt>
                <c:pt idx="1">
                  <c:v>675.45</c:v>
                </c:pt>
              </c:numCache>
            </c:numRef>
          </c:val>
        </c:ser>
        <c:dLbls>
          <c:showLegendKey val="0"/>
          <c:showVal val="1"/>
          <c:showCatName val="0"/>
          <c:showSerName val="0"/>
          <c:showPercent val="0"/>
          <c:showBubbleSize val="0"/>
        </c:dLbls>
        <c:gapWidth val="219"/>
        <c:overlap val="-27"/>
        <c:axId val="664181426"/>
        <c:axId val="958763901"/>
      </c:barChart>
      <c:catAx>
        <c:axId val="66418142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8763901"/>
        <c:crosses val="autoZero"/>
        <c:auto val="1"/>
        <c:lblAlgn val="ctr"/>
        <c:lblOffset val="100"/>
        <c:noMultiLvlLbl val="0"/>
      </c:catAx>
      <c:valAx>
        <c:axId val="95876390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418142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cf5ecc3-10d8-4fe5-8524-8b94e262bae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c:v>
                </c:pt>
              </c:strCache>
            </c:strRef>
          </c:tx>
          <c:spPr>
            <a:solidFill>
              <a:schemeClr val="accent2">
                <a:lumMod val="75000"/>
              </a:schemeClr>
            </a:solidFill>
            <a:ln>
              <a:noFill/>
            </a:ln>
            <a:effectLst/>
          </c:spPr>
          <c:invertIfNegative val="0"/>
          <c:dPt>
            <c:idx val="0"/>
            <c:invertIfNegative val="0"/>
            <c:bubble3D val="0"/>
            <c:spPr>
              <a:solidFill>
                <a:schemeClr val="accent2">
                  <a:lumMod val="60000"/>
                  <a:lumOff val="40000"/>
                </a:schemeClr>
              </a:solidFill>
              <a:ln>
                <a:noFill/>
              </a:ln>
              <a:effectLst/>
            </c:spPr>
          </c:dPt>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2019年</c:v>
                </c:pt>
                <c:pt idx="1">
                  <c:v>2020年</c:v>
                </c:pt>
              </c:strCache>
            </c:strRef>
          </c:cat>
          <c:val>
            <c:numRef>
              <c:f>Sheet1!$B$2:$B$3</c:f>
              <c:numCache>
                <c:formatCode>General</c:formatCode>
                <c:ptCount val="2"/>
                <c:pt idx="0">
                  <c:v>592.2</c:v>
                </c:pt>
                <c:pt idx="1">
                  <c:v>675.45</c:v>
                </c:pt>
              </c:numCache>
            </c:numRef>
          </c:val>
        </c:ser>
        <c:dLbls>
          <c:showLegendKey val="0"/>
          <c:showVal val="1"/>
          <c:showCatName val="0"/>
          <c:showSerName val="0"/>
          <c:showPercent val="0"/>
          <c:showBubbleSize val="0"/>
        </c:dLbls>
        <c:gapWidth val="219"/>
        <c:overlap val="-27"/>
        <c:axId val="375212140"/>
        <c:axId val="980762572"/>
      </c:barChart>
      <c:catAx>
        <c:axId val="3752121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0762572"/>
        <c:crosses val="autoZero"/>
        <c:auto val="1"/>
        <c:lblAlgn val="ctr"/>
        <c:lblOffset val="100"/>
        <c:noMultiLvlLbl val="0"/>
      </c:catAx>
      <c:valAx>
        <c:axId val="9807625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7521214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7d16b76-0e19-449b-a86f-d317e793a22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62784557222988"/>
          <c:y val="0.0682559781482733"/>
          <c:w val="0.553294573643411"/>
          <c:h val="0.912140575079872"/>
        </c:manualLayout>
      </c:layout>
      <c:pieChart>
        <c:varyColors val="1"/>
        <c:ser>
          <c:idx val="0"/>
          <c:order val="0"/>
          <c:spPr/>
          <c:explosion val="0"/>
          <c:dPt>
            <c:idx val="0"/>
            <c:bubble3D val="0"/>
            <c:spPr>
              <a:solidFill>
                <a:schemeClr val="accent2">
                  <a:lumMod val="60000"/>
                  <a:lumOff val="40000"/>
                </a:schemeClr>
              </a:solidFill>
              <a:ln>
                <a:noFill/>
              </a:ln>
              <a:effectLst>
                <a:outerShdw blurRad="254000" sx="102000" sy="102000" algn="ctr" rotWithShape="0">
                  <a:prstClr val="black">
                    <a:alpha val="20000"/>
                  </a:prstClr>
                </a:outerShdw>
              </a:effectLst>
            </c:spPr>
          </c:dPt>
          <c:dPt>
            <c:idx val="1"/>
            <c:bubble3D val="0"/>
            <c:spPr>
              <a:solidFill>
                <a:schemeClr val="accent1">
                  <a:lumMod val="75000"/>
                </a:schemeClr>
              </a:solidFill>
              <a:ln>
                <a:noFill/>
              </a:ln>
              <a:effectLst>
                <a:outerShdw blurRad="254000" sx="102000" sy="102000" algn="ctr" rotWithShape="0">
                  <a:prstClr val="black">
                    <a:alpha val="20000"/>
                  </a:prstClr>
                </a:outerShdw>
              </a:effectLst>
            </c:spPr>
          </c:dPt>
          <c:dPt>
            <c:idx val="2"/>
            <c:bubble3D val="0"/>
            <c:spPr>
              <a:solidFill>
                <a:schemeClr val="accent2">
                  <a:lumMod val="75000"/>
                </a:schemeClr>
              </a:solidFill>
              <a:ln>
                <a:noFill/>
              </a:ln>
              <a:effectLst>
                <a:outerShdw blurRad="254000" sx="102000" sy="102000" algn="ctr" rotWithShape="0">
                  <a:prstClr val="black">
                    <a:alpha val="20000"/>
                  </a:prstClr>
                </a:outerShdw>
              </a:effectLst>
            </c:spPr>
          </c:dPt>
          <c:dPt>
            <c:idx val="3"/>
            <c:bubble3D val="0"/>
            <c:spPr>
              <a:solidFill>
                <a:schemeClr val="accent4">
                  <a:lumMod val="60000"/>
                  <a:lumOff val="40000"/>
                </a:schemeClr>
              </a:solidFill>
              <a:ln>
                <a:noFill/>
              </a:ln>
              <a:effectLst>
                <a:outerShdw blurRad="254000" sx="102000" sy="102000" algn="ctr" rotWithShape="0">
                  <a:prstClr val="black">
                    <a:alpha val="20000"/>
                  </a:prstClr>
                </a:outerShdw>
              </a:effectLst>
            </c:spPr>
          </c:dPt>
          <c:dLbls>
            <c:delete val="1"/>
          </c:dLbls>
          <c:cat>
            <c:strRef>
              <c:f>Sheet1!$A$2:$A$5</c:f>
              <c:strCache>
                <c:ptCount val="4"/>
                <c:pt idx="0">
                  <c:v>社会保障和就业（208类）</c:v>
                </c:pt>
                <c:pt idx="1">
                  <c:v>医疗卫生支出（210类）</c:v>
                </c:pt>
                <c:pt idx="2">
                  <c:v>农林水支出（213类）</c:v>
                </c:pt>
                <c:pt idx="3">
                  <c:v>住房保障支出（221类）</c:v>
                </c:pt>
              </c:strCache>
            </c:strRef>
          </c:cat>
          <c:val>
            <c:numRef>
              <c:f>Sheet1!$B$2:$B$5</c:f>
              <c:numCache>
                <c:formatCode>0.00%</c:formatCode>
                <c:ptCount val="4"/>
                <c:pt idx="0">
                  <c:v>0.148</c:v>
                </c:pt>
                <c:pt idx="1">
                  <c:v>0.0038</c:v>
                </c:pt>
                <c:pt idx="2">
                  <c:v>0.7002</c:v>
                </c:pt>
                <c:pt idx="3">
                  <c:v>0.148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75000"/>
                      <a:lumOff val="25000"/>
                    </a:schemeClr>
                  </a:solidFill>
                </a:u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75000"/>
                      <a:lumOff val="25000"/>
                    </a:schemeClr>
                  </a:solidFill>
                </a:uFill>
                <a:latin typeface="+mn-lt"/>
                <a:ea typeface="+mn-ea"/>
                <a:cs typeface="+mn-cs"/>
              </a:defRPr>
            </a:pPr>
          </a:p>
        </c:txPr>
      </c:legendEntry>
      <c:legendEntry>
        <c:idx val="2"/>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75000"/>
                      <a:lumOff val="25000"/>
                    </a:schemeClr>
                  </a:solidFill>
                </a:uFill>
                <a:latin typeface="+mn-lt"/>
                <a:ea typeface="+mn-ea"/>
                <a:cs typeface="+mn-cs"/>
              </a:defRPr>
            </a:pPr>
          </a:p>
        </c:txPr>
      </c:legendEntry>
      <c:layout>
        <c:manualLayout>
          <c:xMode val="edge"/>
          <c:yMode val="edge"/>
          <c:x val="0.688440272598688"/>
          <c:y val="0.268984641638225"/>
          <c:w val="0.307702198791308"/>
          <c:h val="0.426834470989761"/>
        </c:manualLayout>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lumMod val="75000"/>
                    <a:lumOff val="25000"/>
                  </a:schemeClr>
                </a:solidFill>
              </a:uFill>
              <a:latin typeface="+mn-lt"/>
              <a:ea typeface="+mn-ea"/>
              <a:cs typeface="+mn-cs"/>
            </a:defRPr>
          </a:pPr>
        </a:p>
      </c:txPr>
    </c:legend>
    <c:plotVisOnly val="1"/>
    <c:dispBlanksAs val="gap"/>
    <c:showDLblsOverMax val="0"/>
    <c:extLst>
      <c:ext uri="{0b15fc19-7d7d-44ad-8c2d-2c3a37ce22c3}">
        <chartProps xmlns="https://web.wps.cn/et/2018/main" chartId="{af74ea71-8992-4379-bea6-3fd50b86b2ee}"/>
      </c:ext>
    </c:extLst>
  </c:chart>
  <c:spPr>
    <a:solidFill>
      <a:schemeClr val="bg1"/>
    </a:soli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34</Pages>
  <Words>10375</Words>
  <Characters>10944</Characters>
  <Lines>74</Lines>
  <Paragraphs>21</Paragraphs>
  <TotalTime>21</TotalTime>
  <ScaleCrop>false</ScaleCrop>
  <LinksUpToDate>false</LinksUpToDate>
  <CharactersWithSpaces>11065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w..</cp:lastModifiedBy>
  <cp:lastPrinted>2021-07-29T03:56:00Z</cp:lastPrinted>
  <dcterms:modified xsi:type="dcterms:W3CDTF">2026-04-17T03:02:45Z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8A3E82EAF9044A279B117C6588720A83</vt:lpwstr>
  </property>
  <property fmtid="{D5CDD505-2E9C-101B-9397-08002B2CF9AE}" pid="4" name="KSOTemplateDocerSaveRecord">
    <vt:lpwstr>eyJoZGlkIjoiYWVmODIyMjIyMDJiOTEwZGRhNWYyZDA4ZjBlYjcyMGQiLCJ1c2VySWQiOiI1NTMwNjQ1MDMifQ==</vt:lpwstr>
  </property>
</Properties>
</file>