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5C4D2">
      <w:pPr>
        <w:spacing w:line="600" w:lineRule="exact"/>
        <w:jc w:val="left"/>
        <w:outlineLvl w:val="0"/>
        <w:rPr>
          <w:rFonts w:ascii="方正小标宋简体" w:eastAsia="方正小标宋简体"/>
          <w:szCs w:val="21"/>
        </w:rPr>
      </w:pPr>
      <w:bookmarkStart w:id="0" w:name="_Toc15306267"/>
    </w:p>
    <w:p w14:paraId="68ED7711">
      <w:pPr>
        <w:pStyle w:val="7"/>
        <w:spacing w:before="93" w:beforeLines="0"/>
      </w:pPr>
    </w:p>
    <w:p w14:paraId="4E643BA2">
      <w:pPr>
        <w:spacing w:line="600" w:lineRule="exact"/>
        <w:jc w:val="center"/>
        <w:outlineLvl w:val="0"/>
        <w:rPr>
          <w:rFonts w:ascii="方正小标宋简体" w:eastAsia="方正小标宋简体"/>
          <w:sz w:val="72"/>
          <w:szCs w:val="72"/>
        </w:rPr>
      </w:pPr>
    </w:p>
    <w:p w14:paraId="130B0602">
      <w:pPr>
        <w:spacing w:line="600" w:lineRule="exact"/>
        <w:jc w:val="center"/>
        <w:outlineLvl w:val="0"/>
        <w:rPr>
          <w:rFonts w:ascii="方正小标宋简体" w:eastAsia="方正小标宋简体"/>
          <w:sz w:val="72"/>
          <w:szCs w:val="72"/>
        </w:rPr>
      </w:pPr>
    </w:p>
    <w:p w14:paraId="527CDF8E">
      <w:pPr>
        <w:adjustRightInd w:val="0"/>
        <w:snapToGrid w:val="0"/>
        <w:spacing w:line="360" w:lineRule="auto"/>
        <w:jc w:val="center"/>
        <w:outlineLvl w:val="0"/>
        <w:rPr>
          <w:rFonts w:ascii="方正小标宋简体" w:eastAsia="方正小标宋简体" w:cs="方正小标宋简体"/>
          <w:sz w:val="72"/>
          <w:szCs w:val="72"/>
        </w:rPr>
      </w:pPr>
      <w:bookmarkStart w:id="1" w:name="_Toc15396597"/>
      <w:bookmarkStart w:id="2" w:name="_Toc99843115"/>
      <w:bookmarkStart w:id="3" w:name="_Toc15377425"/>
      <w:bookmarkStart w:id="4" w:name="_Toc15396475"/>
      <w:bookmarkStart w:id="5" w:name="_Toc15377193"/>
      <w:bookmarkStart w:id="6" w:name="_Toc15378441"/>
      <w:r>
        <w:rPr>
          <w:rFonts w:hint="eastAsia" w:ascii="方正小标宋简体" w:eastAsia="方正小标宋简体" w:cs="方正小标宋简体"/>
          <w:sz w:val="72"/>
          <w:szCs w:val="72"/>
        </w:rPr>
        <w:t>2023年度</w:t>
      </w:r>
      <w:bookmarkEnd w:id="1"/>
      <w:bookmarkEnd w:id="2"/>
      <w:bookmarkEnd w:id="3"/>
      <w:bookmarkEnd w:id="4"/>
      <w:bookmarkEnd w:id="5"/>
      <w:bookmarkEnd w:id="6"/>
    </w:p>
    <w:p w14:paraId="034138A6">
      <w:pPr>
        <w:adjustRightInd w:val="0"/>
        <w:snapToGrid w:val="0"/>
        <w:spacing w:line="360" w:lineRule="auto"/>
        <w:jc w:val="center"/>
        <w:outlineLvl w:val="0"/>
        <w:rPr>
          <w:rFonts w:ascii="方正小标宋简体" w:eastAsia="方正小标宋简体" w:cs="方正小标宋简体"/>
          <w:sz w:val="72"/>
          <w:szCs w:val="72"/>
        </w:rPr>
      </w:pPr>
      <w:bookmarkStart w:id="7" w:name="_Toc15378442"/>
      <w:bookmarkStart w:id="8" w:name="_Toc15396598"/>
      <w:bookmarkStart w:id="9" w:name="_Toc15377426"/>
      <w:bookmarkStart w:id="10" w:name="_Toc15377194"/>
      <w:bookmarkStart w:id="11" w:name="_Toc99843116"/>
      <w:bookmarkStart w:id="12" w:name="_Toc15396476"/>
      <w:r>
        <w:rPr>
          <w:rFonts w:hint="eastAsia" w:ascii="方正小标宋简体" w:eastAsia="方正小标宋简体" w:cs="方正小标宋简体"/>
          <w:sz w:val="72"/>
          <w:szCs w:val="72"/>
        </w:rPr>
        <w:t>四川省</w:t>
      </w:r>
      <w:bookmarkEnd w:id="0"/>
      <w:bookmarkStart w:id="13" w:name="_Toc15306268"/>
      <w:r>
        <w:rPr>
          <w:rFonts w:ascii="方正小标宋简体" w:eastAsia="方正小标宋简体" w:cs="方正小标宋简体"/>
          <w:sz w:val="72"/>
          <w:szCs w:val="72"/>
        </w:rPr>
        <w:t>九寨沟县自然资源局</w:t>
      </w:r>
      <w:r>
        <w:rPr>
          <w:rFonts w:hint="eastAsia" w:ascii="方正小标宋简体" w:eastAsia="方正小标宋简体" w:cs="方正小标宋简体"/>
          <w:sz w:val="72"/>
          <w:szCs w:val="72"/>
        </w:rPr>
        <w:t>单位决算</w:t>
      </w:r>
      <w:bookmarkEnd w:id="7"/>
      <w:bookmarkEnd w:id="8"/>
      <w:bookmarkEnd w:id="9"/>
      <w:bookmarkEnd w:id="10"/>
      <w:bookmarkEnd w:id="11"/>
      <w:bookmarkEnd w:id="12"/>
      <w:bookmarkEnd w:id="13"/>
    </w:p>
    <w:p w14:paraId="7D6C17E2">
      <w:pPr>
        <w:adjustRightInd w:val="0"/>
        <w:snapToGrid w:val="0"/>
        <w:spacing w:line="360" w:lineRule="auto"/>
        <w:jc w:val="center"/>
        <w:outlineLvl w:val="0"/>
        <w:rPr>
          <w:rFonts w:ascii="方正小标宋简体" w:eastAsia="方正小标宋简体"/>
          <w:sz w:val="52"/>
          <w:szCs w:val="52"/>
        </w:rPr>
      </w:pPr>
      <w:bookmarkStart w:id="14" w:name="_Toc99843117"/>
      <w:r>
        <w:rPr>
          <w:rFonts w:hint="eastAsia" w:ascii="方正小标宋简体" w:eastAsia="方正小标宋简体"/>
          <w:sz w:val="52"/>
          <w:szCs w:val="52"/>
        </w:rPr>
        <w:t>(单位公开范本)</w:t>
      </w:r>
      <w:bookmarkEnd w:id="14"/>
    </w:p>
    <w:p w14:paraId="3F1D5903">
      <w:pPr>
        <w:widowControl/>
        <w:jc w:val="center"/>
        <w:rPr>
          <w:rFonts w:ascii="黑体" w:eastAsia="黑体"/>
          <w:sz w:val="48"/>
          <w:szCs w:val="48"/>
        </w:rPr>
      </w:pPr>
      <w:r>
        <w:rPr>
          <w:rFonts w:ascii="方正小标宋简体" w:eastAsia="方正小标宋简体"/>
          <w:sz w:val="36"/>
          <w:szCs w:val="36"/>
        </w:rPr>
        <w:br w:type="page"/>
      </w:r>
      <w:r>
        <w:rPr>
          <w:rFonts w:hint="eastAsia" w:ascii="黑体" w:eastAsia="黑体"/>
          <w:sz w:val="48"/>
          <w:szCs w:val="48"/>
        </w:rPr>
        <w:t>目录</w:t>
      </w:r>
    </w:p>
    <w:p w14:paraId="62D1ED27">
      <w:pPr>
        <w:widowControl/>
        <w:jc w:val="center"/>
        <w:rPr>
          <w:rFonts w:ascii="黑体" w:eastAsia="黑体" w:cs="Arial"/>
          <w:sz w:val="28"/>
          <w:szCs w:val="28"/>
        </w:rPr>
      </w:pPr>
    </w:p>
    <w:p w14:paraId="076419E9">
      <w:pPr>
        <w:pStyle w:val="15"/>
        <w:tabs>
          <w:tab w:val="right" w:leader="dot" w:pos="8296"/>
        </w:tabs>
        <w:jc w:val="center"/>
      </w:pPr>
      <w:r>
        <w:rPr>
          <w:rFonts w:hint="eastAsia"/>
        </w:rPr>
        <w:t>公开时间：202</w:t>
      </w:r>
      <w:r>
        <w:t>4</w:t>
      </w:r>
      <w:r>
        <w:rPr>
          <w:rFonts w:hint="eastAsia"/>
        </w:rPr>
        <w:t>年</w:t>
      </w:r>
      <w:r>
        <w:t>10</w:t>
      </w:r>
      <w:r>
        <w:rPr>
          <w:rFonts w:hint="eastAsia"/>
        </w:rPr>
        <w:t>月</w:t>
      </w:r>
      <w:r>
        <w:t>15</w:t>
      </w:r>
      <w:r>
        <w:rPr>
          <w:rFonts w:hint="eastAsia"/>
        </w:rPr>
        <w:t>日</w:t>
      </w:r>
    </w:p>
    <w:p w14:paraId="2B5D2552">
      <w:pPr>
        <w:pStyle w:val="15"/>
        <w:tabs>
          <w:tab w:val="right" w:leader="dot" w:pos="8306"/>
        </w:tabs>
      </w:pPr>
      <w:r>
        <w:fldChar w:fldCharType="begin"/>
      </w:r>
      <w:r>
        <w:instrText xml:space="preserve"> TOC \o "1-3" \h \u </w:instrText>
      </w:r>
      <w:r>
        <w:fldChar w:fldCharType="separate"/>
      </w:r>
    </w:p>
    <w:p w14:paraId="0813C1AE">
      <w:pPr>
        <w:pStyle w:val="15"/>
        <w:tabs>
          <w:tab w:val="right" w:leader="dot" w:pos="8306"/>
        </w:tabs>
      </w:pPr>
      <w:r>
        <w:fldChar w:fldCharType="begin"/>
      </w:r>
      <w:r>
        <w:instrText xml:space="preserve">Hyperlink \l "_Toc99843116"</w:instrText>
      </w:r>
      <w:r>
        <w:fldChar w:fldCharType="separate"/>
      </w:r>
      <w:r>
        <w:rPr>
          <w:rFonts w:hint="eastAsia" w:ascii="方正小标宋简体" w:eastAsia="方正小标宋简体" w:cs="方正小标宋简体"/>
          <w:szCs w:val="72"/>
        </w:rPr>
        <w:t>四川省</w:t>
      </w:r>
      <w:r>
        <w:rPr>
          <w:rFonts w:ascii="方正小标宋简体" w:eastAsia="方正小标宋简体" w:cs="方正小标宋简体"/>
          <w:szCs w:val="72"/>
        </w:rPr>
        <w:t>九寨沟县自然资源局</w:t>
      </w:r>
      <w:r>
        <w:rPr>
          <w:rFonts w:hint="eastAsia" w:ascii="方正小标宋简体" w:eastAsia="方正小标宋简体" w:cs="方正小标宋简体"/>
          <w:szCs w:val="72"/>
        </w:rPr>
        <w:t>单位决算</w:t>
      </w:r>
      <w:r>
        <w:tab/>
      </w:r>
      <w:r>
        <w:fldChar w:fldCharType="begin"/>
      </w:r>
      <w:r>
        <w:instrText xml:space="preserve">PageRef _Toc99843116 \h</w:instrText>
      </w:r>
      <w:r>
        <w:fldChar w:fldCharType="separate"/>
      </w:r>
      <w:r>
        <w:t>1</w:t>
      </w:r>
      <w:r>
        <w:fldChar w:fldCharType="end"/>
      </w:r>
      <w:r>
        <w:fldChar w:fldCharType="end"/>
      </w:r>
    </w:p>
    <w:p w14:paraId="20B163FA">
      <w:pPr>
        <w:pStyle w:val="15"/>
        <w:tabs>
          <w:tab w:val="right" w:leader="dot" w:pos="8306"/>
        </w:tabs>
      </w:pPr>
      <w:r>
        <w:fldChar w:fldCharType="begin"/>
      </w:r>
      <w:r>
        <w:instrText xml:space="preserve">Hyperlink \l "_Toc99843118"</w:instrText>
      </w:r>
      <w:r>
        <w:fldChar w:fldCharType="separate"/>
      </w:r>
      <w:r>
        <w:rPr>
          <w:rFonts w:hint="eastAsia" w:ascii="黑体" w:eastAsia="黑体"/>
        </w:rPr>
        <w:t>第一部分 单位</w:t>
      </w:r>
      <w:r>
        <w:rPr>
          <w:rFonts w:hint="eastAsia" w:ascii="黑体" w:eastAsia="黑体" w:cs="Times New Roman"/>
          <w:bCs/>
          <w:kern w:val="44"/>
          <w:szCs w:val="44"/>
          <w:lang w:val="en-US" w:eastAsia="zh-CN" w:bidi="ar-SA"/>
        </w:rPr>
        <w:t>概况</w:t>
      </w:r>
      <w:r>
        <w:tab/>
      </w:r>
      <w:r>
        <w:fldChar w:fldCharType="begin"/>
      </w:r>
      <w:r>
        <w:instrText xml:space="preserve">PageRef _Toc99843118 \h</w:instrText>
      </w:r>
      <w:r>
        <w:fldChar w:fldCharType="separate"/>
      </w:r>
      <w:r>
        <w:t>4</w:t>
      </w:r>
      <w:r>
        <w:fldChar w:fldCharType="end"/>
      </w:r>
      <w:r>
        <w:fldChar w:fldCharType="end"/>
      </w:r>
    </w:p>
    <w:p w14:paraId="1585D7C9">
      <w:pPr>
        <w:pStyle w:val="18"/>
        <w:tabs>
          <w:tab w:val="right" w:leader="dot" w:pos="8306"/>
        </w:tabs>
      </w:pPr>
      <w:r>
        <w:fldChar w:fldCharType="begin"/>
      </w:r>
      <w:r>
        <w:instrText xml:space="preserve">Hyperlink \l "_Toc99843119"</w:instrText>
      </w:r>
      <w:r>
        <w:fldChar w:fldCharType="separate"/>
      </w:r>
      <w:r>
        <w:rPr>
          <w:rFonts w:hint="eastAsia" w:ascii="黑体" w:eastAsia="黑体" w:cs="Times New Roman"/>
          <w:bCs/>
          <w:kern w:val="2"/>
          <w:szCs w:val="32"/>
          <w:u w:color="auto"/>
          <w:lang w:val="en-US" w:eastAsia="zh-CN" w:bidi="ar-SA"/>
        </w:rPr>
        <w:t>一、</w:t>
      </w:r>
      <w:r>
        <w:t xml:space="preserve">  </w:t>
      </w:r>
      <w:r>
        <w:rPr>
          <w:rFonts w:hint="eastAsia" w:ascii="黑体" w:eastAsia="黑体" w:cs="Times New Roman"/>
          <w:bCs/>
          <w:kern w:val="2"/>
          <w:szCs w:val="32"/>
          <w:lang w:val="en-US" w:eastAsia="zh-CN" w:bidi="ar-SA"/>
        </w:rPr>
        <w:t>主要职责</w:t>
      </w:r>
      <w:r>
        <w:tab/>
      </w:r>
      <w:r>
        <w:fldChar w:fldCharType="begin"/>
      </w:r>
      <w:r>
        <w:instrText xml:space="preserve">PageRef _Toc99843119 \h</w:instrText>
      </w:r>
      <w:r>
        <w:fldChar w:fldCharType="separate"/>
      </w:r>
      <w:r>
        <w:t>4</w:t>
      </w:r>
      <w:r>
        <w:fldChar w:fldCharType="end"/>
      </w:r>
      <w:r>
        <w:fldChar w:fldCharType="end"/>
      </w:r>
    </w:p>
    <w:p w14:paraId="5F577F3E">
      <w:pPr>
        <w:pStyle w:val="18"/>
        <w:tabs>
          <w:tab w:val="right" w:leader="dot" w:pos="8306"/>
        </w:tabs>
      </w:pPr>
      <w:r>
        <w:fldChar w:fldCharType="begin"/>
      </w:r>
      <w:r>
        <w:instrText xml:space="preserve">Hyperlink \l "_Toc99843120"</w:instrText>
      </w:r>
      <w:r>
        <w:fldChar w:fldCharType="separate"/>
      </w:r>
      <w:r>
        <w:rPr>
          <w:rFonts w:hint="eastAsia" w:ascii="黑体" w:eastAsia="黑体"/>
        </w:rPr>
        <w:t>二、机构设置</w:t>
      </w:r>
      <w:r>
        <w:tab/>
      </w:r>
      <w:r>
        <w:fldChar w:fldCharType="begin"/>
      </w:r>
      <w:r>
        <w:instrText xml:space="preserve">PageRef _Toc99843120 \h</w:instrText>
      </w:r>
      <w:r>
        <w:fldChar w:fldCharType="separate"/>
      </w:r>
      <w:r>
        <w:t>4</w:t>
      </w:r>
      <w:r>
        <w:fldChar w:fldCharType="end"/>
      </w:r>
      <w:r>
        <w:fldChar w:fldCharType="end"/>
      </w:r>
    </w:p>
    <w:p w14:paraId="03894431">
      <w:pPr>
        <w:pStyle w:val="15"/>
        <w:tabs>
          <w:tab w:val="right" w:leader="dot" w:pos="8306"/>
        </w:tabs>
      </w:pPr>
      <w:r>
        <w:fldChar w:fldCharType="begin"/>
      </w:r>
      <w:r>
        <w:instrText xml:space="preserve">Hyperlink \l "_Toc99843121"</w:instrText>
      </w:r>
      <w:r>
        <w:fldChar w:fldCharType="separate"/>
      </w:r>
      <w:r>
        <w:rPr>
          <w:rFonts w:hint="eastAsia" w:ascii="黑体" w:eastAsia="黑体"/>
        </w:rPr>
        <w:t>第二部分 2023年度</w:t>
      </w:r>
      <w:r>
        <w:rPr>
          <w:rFonts w:hint="eastAsia" w:ascii="黑体" w:eastAsia="黑体" w:cs="Times New Roman"/>
          <w:bCs/>
          <w:kern w:val="44"/>
          <w:szCs w:val="44"/>
          <w:lang w:val="en-US" w:eastAsia="zh-CN" w:bidi="ar-SA"/>
        </w:rPr>
        <w:t>单位决算情况说明</w:t>
      </w:r>
      <w:r>
        <w:tab/>
      </w:r>
      <w:r>
        <w:fldChar w:fldCharType="begin"/>
      </w:r>
      <w:r>
        <w:instrText xml:space="preserve">PageRef _Toc99843121 \h</w:instrText>
      </w:r>
      <w:r>
        <w:fldChar w:fldCharType="separate"/>
      </w:r>
      <w:r>
        <w:t>5</w:t>
      </w:r>
      <w:r>
        <w:fldChar w:fldCharType="end"/>
      </w:r>
      <w:r>
        <w:fldChar w:fldCharType="end"/>
      </w:r>
    </w:p>
    <w:p w14:paraId="09ED7BCB">
      <w:pPr>
        <w:pStyle w:val="18"/>
        <w:tabs>
          <w:tab w:val="right" w:leader="dot" w:pos="8306"/>
        </w:tabs>
      </w:pPr>
      <w:r>
        <w:fldChar w:fldCharType="begin"/>
      </w:r>
      <w:r>
        <w:instrText xml:space="preserve">Hyperlink \l "_Toc99843122"</w:instrText>
      </w:r>
      <w:r>
        <w:fldChar w:fldCharType="separate"/>
      </w:r>
      <w:r>
        <w:rPr>
          <w:rFonts w:ascii="黑体" w:eastAsia="黑体" w:cs="Times New Roman"/>
          <w:bCs/>
          <w:kern w:val="2"/>
          <w:szCs w:val="32"/>
          <w:u w:color="auto"/>
          <w:lang w:val="en-US" w:eastAsia="zh-CN" w:bidi="ar-SA"/>
        </w:rPr>
        <w:t>一、</w:t>
      </w:r>
      <w:r>
        <w:t xml:space="preserve">  </w:t>
      </w:r>
      <w:r>
        <w:rPr>
          <w:rFonts w:hint="eastAsia" w:ascii="黑体" w:eastAsia="黑体"/>
          <w:szCs w:val="32"/>
        </w:rPr>
        <w:t>收</w:t>
      </w:r>
      <w:r>
        <w:rPr>
          <w:rFonts w:hint="eastAsia" w:ascii="黑体" w:eastAsia="黑体" w:cs="Times New Roman"/>
          <w:bCs/>
          <w:kern w:val="2"/>
          <w:szCs w:val="32"/>
          <w:lang w:val="en-US" w:eastAsia="zh-CN" w:bidi="ar-SA"/>
        </w:rPr>
        <w:t>入支出决算总体情况说明</w:t>
      </w:r>
      <w:r>
        <w:tab/>
      </w:r>
      <w:r>
        <w:fldChar w:fldCharType="begin"/>
      </w:r>
      <w:r>
        <w:instrText xml:space="preserve">PageRef _Toc99843122 \h</w:instrText>
      </w:r>
      <w:r>
        <w:fldChar w:fldCharType="separate"/>
      </w:r>
      <w:r>
        <w:t>5</w:t>
      </w:r>
      <w:r>
        <w:fldChar w:fldCharType="end"/>
      </w:r>
      <w:r>
        <w:fldChar w:fldCharType="end"/>
      </w:r>
    </w:p>
    <w:p w14:paraId="7B536F95">
      <w:pPr>
        <w:pStyle w:val="18"/>
        <w:tabs>
          <w:tab w:val="right" w:leader="dot" w:pos="8306"/>
        </w:tabs>
      </w:pPr>
      <w:r>
        <w:fldChar w:fldCharType="begin"/>
      </w:r>
      <w:r>
        <w:instrText xml:space="preserve">Hyperlink \l "_Toc99843123"</w:instrText>
      </w:r>
      <w:r>
        <w:fldChar w:fldCharType="separate"/>
      </w:r>
      <w:r>
        <w:rPr>
          <w:rFonts w:ascii="黑体" w:eastAsia="黑体" w:cs="Times New Roman"/>
          <w:bCs/>
          <w:kern w:val="2"/>
          <w:szCs w:val="32"/>
          <w:u w:color="auto"/>
          <w:lang w:val="en-US" w:eastAsia="zh-CN" w:bidi="ar-SA"/>
        </w:rPr>
        <w:t>二、</w:t>
      </w:r>
      <w:r>
        <w:t xml:space="preserve">  </w:t>
      </w:r>
      <w:r>
        <w:rPr>
          <w:rFonts w:hint="eastAsia" w:ascii="黑体" w:eastAsia="黑体"/>
          <w:szCs w:val="32"/>
        </w:rPr>
        <w:t>收</w:t>
      </w:r>
      <w:r>
        <w:rPr>
          <w:rFonts w:hint="eastAsia" w:ascii="黑体" w:eastAsia="黑体" w:cs="Times New Roman"/>
          <w:bCs/>
          <w:kern w:val="2"/>
          <w:szCs w:val="32"/>
          <w:lang w:val="en-US" w:eastAsia="zh-CN" w:bidi="ar-SA"/>
        </w:rPr>
        <w:t>入决算情况说明</w:t>
      </w:r>
      <w:r>
        <w:tab/>
      </w:r>
      <w:r>
        <w:fldChar w:fldCharType="begin"/>
      </w:r>
      <w:r>
        <w:instrText xml:space="preserve">PageRef _Toc99843123 \h</w:instrText>
      </w:r>
      <w:r>
        <w:fldChar w:fldCharType="separate"/>
      </w:r>
      <w:r>
        <w:t>5</w:t>
      </w:r>
      <w:r>
        <w:fldChar w:fldCharType="end"/>
      </w:r>
      <w:r>
        <w:fldChar w:fldCharType="end"/>
      </w:r>
    </w:p>
    <w:p w14:paraId="2FBB191F">
      <w:pPr>
        <w:pStyle w:val="18"/>
        <w:tabs>
          <w:tab w:val="right" w:leader="dot" w:pos="8306"/>
        </w:tabs>
      </w:pPr>
      <w:r>
        <w:fldChar w:fldCharType="begin"/>
      </w:r>
      <w:r>
        <w:instrText xml:space="preserve">Hyperlink \l "_Toc99843125"</w:instrText>
      </w:r>
      <w:r>
        <w:fldChar w:fldCharType="separate"/>
      </w:r>
      <w:r>
        <w:rPr>
          <w:rFonts w:ascii="黑体" w:eastAsia="黑体" w:cs="Times New Roman"/>
          <w:bCs/>
          <w:kern w:val="2"/>
          <w:szCs w:val="32"/>
          <w:u w:color="auto"/>
          <w:lang w:val="en-US" w:eastAsia="zh-CN" w:bidi="ar-SA"/>
        </w:rPr>
        <w:t>三、</w:t>
      </w:r>
      <w:r>
        <w:t xml:space="preserve">  </w:t>
      </w:r>
      <w:r>
        <w:rPr>
          <w:rFonts w:hint="eastAsia" w:ascii="黑体" w:eastAsia="黑体"/>
          <w:szCs w:val="32"/>
        </w:rPr>
        <w:t>支</w:t>
      </w:r>
      <w:r>
        <w:rPr>
          <w:rFonts w:hint="eastAsia" w:ascii="黑体" w:eastAsia="黑体" w:cs="Times New Roman"/>
          <w:bCs/>
          <w:kern w:val="2"/>
          <w:szCs w:val="32"/>
          <w:lang w:val="en-US" w:eastAsia="zh-CN" w:bidi="ar-SA"/>
        </w:rPr>
        <w:t>出决算情况说明</w:t>
      </w:r>
      <w:r>
        <w:tab/>
      </w:r>
      <w:r>
        <w:fldChar w:fldCharType="begin"/>
      </w:r>
      <w:r>
        <w:instrText xml:space="preserve">PageRef _Toc99843125 \h</w:instrText>
      </w:r>
      <w:r>
        <w:fldChar w:fldCharType="separate"/>
      </w:r>
      <w:r>
        <w:t>6</w:t>
      </w:r>
      <w:r>
        <w:fldChar w:fldCharType="end"/>
      </w:r>
      <w:r>
        <w:fldChar w:fldCharType="end"/>
      </w:r>
    </w:p>
    <w:p w14:paraId="7B6739E3">
      <w:pPr>
        <w:pStyle w:val="18"/>
        <w:tabs>
          <w:tab w:val="right" w:leader="dot" w:pos="8306"/>
        </w:tabs>
      </w:pPr>
      <w:r>
        <w:fldChar w:fldCharType="begin"/>
      </w:r>
      <w:r>
        <w:instrText xml:space="preserve">Hyperlink \l "_Toc99843127"</w:instrText>
      </w:r>
      <w:r>
        <w:fldChar w:fldCharType="separate"/>
      </w:r>
      <w:r>
        <w:rPr>
          <w:rFonts w:hint="eastAsia" w:ascii="黑体" w:eastAsia="黑体"/>
          <w:szCs w:val="32"/>
        </w:rPr>
        <w:t>四、财</w:t>
      </w:r>
      <w:r>
        <w:rPr>
          <w:rFonts w:hint="eastAsia" w:ascii="黑体" w:eastAsia="黑体" w:cs="Times New Roman"/>
          <w:bCs/>
          <w:kern w:val="2"/>
          <w:szCs w:val="32"/>
          <w:lang w:val="en-US" w:eastAsia="zh-CN" w:bidi="ar-SA"/>
        </w:rPr>
        <w:t>政拨款收入支出决算总体情况说明</w:t>
      </w:r>
      <w:r>
        <w:tab/>
      </w:r>
      <w:r>
        <w:fldChar w:fldCharType="begin"/>
      </w:r>
      <w:r>
        <w:instrText xml:space="preserve">PageRef _Toc99843127 \h</w:instrText>
      </w:r>
      <w:r>
        <w:fldChar w:fldCharType="separate"/>
      </w:r>
      <w:r>
        <w:t>6</w:t>
      </w:r>
      <w:r>
        <w:fldChar w:fldCharType="end"/>
      </w:r>
      <w:r>
        <w:fldChar w:fldCharType="end"/>
      </w:r>
    </w:p>
    <w:p w14:paraId="74E2DF15">
      <w:pPr>
        <w:pStyle w:val="18"/>
        <w:tabs>
          <w:tab w:val="right" w:leader="dot" w:pos="8306"/>
        </w:tabs>
      </w:pPr>
      <w:r>
        <w:fldChar w:fldCharType="begin"/>
      </w:r>
      <w:r>
        <w:instrText xml:space="preserve">Hyperlink \l "_Toc99843128"</w:instrText>
      </w:r>
      <w:r>
        <w:fldChar w:fldCharType="separate"/>
      </w:r>
      <w:r>
        <w:rPr>
          <w:rFonts w:hint="eastAsia" w:ascii="黑体" w:eastAsia="黑体"/>
          <w:szCs w:val="32"/>
        </w:rPr>
        <w:t>五、一</w:t>
      </w:r>
      <w:r>
        <w:rPr>
          <w:rFonts w:hint="eastAsia" w:ascii="黑体" w:eastAsia="黑体" w:cs="Times New Roman"/>
          <w:bCs/>
          <w:kern w:val="2"/>
          <w:szCs w:val="32"/>
          <w:lang w:val="en-US" w:eastAsia="zh-CN" w:bidi="ar-SA"/>
        </w:rPr>
        <w:t>般公共预算财政拨款支出决算情况说明</w:t>
      </w:r>
      <w:r>
        <w:tab/>
      </w:r>
      <w:r>
        <w:fldChar w:fldCharType="begin"/>
      </w:r>
      <w:r>
        <w:instrText xml:space="preserve">PageRef _Toc99843128 \h</w:instrText>
      </w:r>
      <w:r>
        <w:fldChar w:fldCharType="separate"/>
      </w:r>
      <w:r>
        <w:t>7</w:t>
      </w:r>
      <w:r>
        <w:fldChar w:fldCharType="end"/>
      </w:r>
      <w:r>
        <w:fldChar w:fldCharType="end"/>
      </w:r>
    </w:p>
    <w:p w14:paraId="0DC6C334">
      <w:pPr>
        <w:pStyle w:val="10"/>
        <w:tabs>
          <w:tab w:val="right" w:leader="dot" w:pos="8306"/>
        </w:tabs>
      </w:pPr>
      <w:r>
        <w:fldChar w:fldCharType="begin"/>
      </w:r>
      <w:r>
        <w:instrText xml:space="preserve">Hyperlink \l "_Toc99843129"</w:instrText>
      </w:r>
      <w:r>
        <w:fldChar w:fldCharType="separate"/>
      </w:r>
      <w:r>
        <w:rPr>
          <w:rFonts w:hint="eastAsia" w:ascii="仿宋" w:eastAsia="仿宋"/>
          <w:szCs w:val="32"/>
        </w:rPr>
        <w:t>（一）一般公共预算财政拨款支出决算总体情况</w:t>
      </w:r>
      <w:r>
        <w:tab/>
      </w:r>
      <w:r>
        <w:fldChar w:fldCharType="begin"/>
      </w:r>
      <w:r>
        <w:instrText xml:space="preserve">PageRef _Toc99843129 \h</w:instrText>
      </w:r>
      <w:r>
        <w:fldChar w:fldCharType="separate"/>
      </w:r>
      <w:r>
        <w:t>7</w:t>
      </w:r>
      <w:r>
        <w:fldChar w:fldCharType="end"/>
      </w:r>
      <w:r>
        <w:fldChar w:fldCharType="end"/>
      </w:r>
    </w:p>
    <w:p w14:paraId="789944B5">
      <w:pPr>
        <w:pStyle w:val="10"/>
        <w:tabs>
          <w:tab w:val="right" w:leader="dot" w:pos="8306"/>
        </w:tabs>
      </w:pPr>
      <w:r>
        <w:fldChar w:fldCharType="begin"/>
      </w:r>
      <w:r>
        <w:instrText xml:space="preserve">Hyperlink \l "_Toc99843130"</w:instrText>
      </w:r>
      <w:r>
        <w:fldChar w:fldCharType="separate"/>
      </w:r>
      <w:r>
        <w:rPr>
          <w:rFonts w:hint="eastAsia" w:ascii="仿宋" w:eastAsia="仿宋"/>
          <w:szCs w:val="32"/>
        </w:rPr>
        <w:t>（二）一般公共预算财政拨款支出决算结构情况</w:t>
      </w:r>
      <w:r>
        <w:tab/>
      </w:r>
      <w:r>
        <w:fldChar w:fldCharType="begin"/>
      </w:r>
      <w:r>
        <w:instrText xml:space="preserve">PageRef _Toc99843130 \h</w:instrText>
      </w:r>
      <w:r>
        <w:fldChar w:fldCharType="separate"/>
      </w:r>
      <w:r>
        <w:t>8</w:t>
      </w:r>
      <w:r>
        <w:fldChar w:fldCharType="end"/>
      </w:r>
      <w:r>
        <w:fldChar w:fldCharType="end"/>
      </w:r>
    </w:p>
    <w:p w14:paraId="5EBA69E7">
      <w:pPr>
        <w:pStyle w:val="10"/>
        <w:tabs>
          <w:tab w:val="right" w:leader="dot" w:pos="8306"/>
        </w:tabs>
      </w:pPr>
      <w:r>
        <w:fldChar w:fldCharType="begin"/>
      </w:r>
      <w:r>
        <w:instrText xml:space="preserve">Hyperlink \l "_Toc99843131"</w:instrText>
      </w:r>
      <w:r>
        <w:fldChar w:fldCharType="separate"/>
      </w:r>
      <w:r>
        <w:rPr>
          <w:rFonts w:hint="eastAsia" w:ascii="仿宋" w:eastAsia="仿宋"/>
          <w:szCs w:val="32"/>
        </w:rPr>
        <w:t>（三）一般公共预算财政拨款支出决算具体情况</w:t>
      </w:r>
      <w:r>
        <w:tab/>
      </w:r>
      <w:r>
        <w:fldChar w:fldCharType="begin"/>
      </w:r>
      <w:r>
        <w:instrText xml:space="preserve">PageRef _Toc99843131 \h</w:instrText>
      </w:r>
      <w:r>
        <w:fldChar w:fldCharType="separate"/>
      </w:r>
      <w:r>
        <w:t>8</w:t>
      </w:r>
      <w:r>
        <w:fldChar w:fldCharType="end"/>
      </w:r>
      <w:r>
        <w:fldChar w:fldCharType="end"/>
      </w:r>
    </w:p>
    <w:p w14:paraId="32CD9548">
      <w:pPr>
        <w:pStyle w:val="10"/>
        <w:tabs>
          <w:tab w:val="right" w:leader="dot" w:pos="8306"/>
        </w:tabs>
      </w:pPr>
      <w:r>
        <w:fldChar w:fldCharType="begin"/>
      </w:r>
      <w:r>
        <w:instrText xml:space="preserve">Hyperlink \l "_Toc99843132"</w:instrText>
      </w:r>
      <w:r>
        <w:fldChar w:fldCharType="separate"/>
      </w:r>
      <w:r>
        <w:rPr>
          <w:rFonts w:hint="eastAsia" w:ascii="仿宋" w:eastAsia="仿宋"/>
          <w:szCs w:val="32"/>
        </w:rPr>
        <w:t>2023年度一般公共预算支出决算数为</w:t>
      </w:r>
      <w:r>
        <w:rPr>
          <w:rFonts w:ascii="仿宋" w:eastAsia="仿宋"/>
          <w:szCs w:val="32"/>
        </w:rPr>
        <w:t>2514.74</w:t>
      </w:r>
      <w:r>
        <w:rPr>
          <w:rFonts w:hint="eastAsia" w:ascii="仿宋" w:eastAsia="仿宋"/>
          <w:szCs w:val="32"/>
        </w:rPr>
        <w:t>，</w:t>
      </w:r>
      <w:r>
        <w:rPr>
          <w:rFonts w:hint="eastAsia" w:ascii="仿宋" w:eastAsia="仿宋"/>
          <w:bCs/>
          <w:szCs w:val="32"/>
        </w:rPr>
        <w:t>完成预算</w:t>
      </w:r>
      <w:r>
        <w:rPr>
          <w:rFonts w:ascii="仿宋" w:eastAsia="仿宋"/>
          <w:bCs/>
          <w:szCs w:val="32"/>
        </w:rPr>
        <w:t>100%</w:t>
      </w:r>
      <w:r>
        <w:rPr>
          <w:rFonts w:hint="eastAsia" w:ascii="仿宋" w:eastAsia="仿宋"/>
          <w:bCs/>
          <w:szCs w:val="32"/>
        </w:rPr>
        <w:t>。其中：</w:t>
      </w:r>
      <w:r>
        <w:tab/>
      </w:r>
      <w:r>
        <w:fldChar w:fldCharType="begin"/>
      </w:r>
      <w:r>
        <w:instrText xml:space="preserve">PageRef _Toc99843132 \h</w:instrText>
      </w:r>
      <w:r>
        <w:fldChar w:fldCharType="separate"/>
      </w:r>
      <w:r>
        <w:t>8</w:t>
      </w:r>
      <w:r>
        <w:fldChar w:fldCharType="end"/>
      </w:r>
      <w:r>
        <w:fldChar w:fldCharType="end"/>
      </w:r>
    </w:p>
    <w:p w14:paraId="02464C91">
      <w:pPr>
        <w:pStyle w:val="18"/>
        <w:tabs>
          <w:tab w:val="right" w:leader="dot" w:pos="8306"/>
        </w:tabs>
      </w:pPr>
      <w:r>
        <w:fldChar w:fldCharType="begin"/>
      </w:r>
      <w:r>
        <w:instrText xml:space="preserve">Hyperlink \l "_Toc99843133"</w:instrText>
      </w:r>
      <w:r>
        <w:fldChar w:fldCharType="separate"/>
      </w:r>
      <w:r>
        <w:rPr>
          <w:rFonts w:hint="eastAsia" w:ascii="黑体" w:eastAsia="黑体"/>
          <w:szCs w:val="32"/>
        </w:rPr>
        <w:t>六、一</w:t>
      </w:r>
      <w:r>
        <w:rPr>
          <w:rFonts w:hint="eastAsia" w:ascii="黑体" w:eastAsia="黑体" w:cs="Times New Roman"/>
          <w:bCs/>
          <w:kern w:val="2"/>
          <w:szCs w:val="32"/>
          <w:lang w:val="en-US" w:eastAsia="zh-CN" w:bidi="ar-SA"/>
        </w:rPr>
        <w:t>般公共预算财政拨款基本支出决算情况说明</w:t>
      </w:r>
      <w:r>
        <w:tab/>
      </w:r>
      <w:r>
        <w:fldChar w:fldCharType="begin"/>
      </w:r>
      <w:r>
        <w:instrText xml:space="preserve">PageRef _Toc99843133 \h</w:instrText>
      </w:r>
      <w:r>
        <w:fldChar w:fldCharType="separate"/>
      </w:r>
      <w:r>
        <w:t>9</w:t>
      </w:r>
      <w:r>
        <w:fldChar w:fldCharType="end"/>
      </w:r>
      <w:r>
        <w:fldChar w:fldCharType="end"/>
      </w:r>
    </w:p>
    <w:p w14:paraId="63FB3D9C">
      <w:pPr>
        <w:pStyle w:val="18"/>
        <w:tabs>
          <w:tab w:val="right" w:leader="dot" w:pos="8306"/>
        </w:tabs>
      </w:pPr>
      <w:r>
        <w:fldChar w:fldCharType="begin"/>
      </w:r>
      <w:r>
        <w:instrText xml:space="preserve">Hyperlink \l "_Toc99843134"</w:instrText>
      </w:r>
      <w:r>
        <w:fldChar w:fldCharType="separate"/>
      </w:r>
      <w:r>
        <w:rPr>
          <w:rFonts w:hint="eastAsia" w:ascii="黑体" w:eastAsia="黑体"/>
          <w:szCs w:val="32"/>
        </w:rPr>
        <w:t>七、</w:t>
      </w:r>
      <w:r>
        <w:rPr>
          <w:rFonts w:hint="eastAsia" w:ascii="黑体" w:eastAsia="黑体" w:cs="Times New Roman"/>
          <w:bCs/>
          <w:kern w:val="2"/>
          <w:szCs w:val="32"/>
          <w:lang w:val="en-US" w:eastAsia="zh-CN" w:bidi="ar-SA"/>
        </w:rPr>
        <w:t>财政拨款“三公”经费支出决算情况说明</w:t>
      </w:r>
      <w:r>
        <w:tab/>
      </w:r>
      <w:r>
        <w:fldChar w:fldCharType="begin"/>
      </w:r>
      <w:r>
        <w:instrText xml:space="preserve">PageRef _Toc99843134 \h</w:instrText>
      </w:r>
      <w:r>
        <w:fldChar w:fldCharType="separate"/>
      </w:r>
      <w:r>
        <w:t>10</w:t>
      </w:r>
      <w:r>
        <w:fldChar w:fldCharType="end"/>
      </w:r>
      <w:r>
        <w:fldChar w:fldCharType="end"/>
      </w:r>
    </w:p>
    <w:p w14:paraId="4F2C1636">
      <w:pPr>
        <w:pStyle w:val="10"/>
        <w:tabs>
          <w:tab w:val="right" w:leader="dot" w:pos="8306"/>
        </w:tabs>
      </w:pPr>
      <w:r>
        <w:fldChar w:fldCharType="begin"/>
      </w:r>
      <w:r>
        <w:instrText xml:space="preserve">Hyperlink \l "_Toc99843135"</w:instrText>
      </w:r>
      <w:r>
        <w:fldChar w:fldCharType="separate"/>
      </w:r>
      <w:r>
        <w:rPr>
          <w:rFonts w:hint="eastAsia" w:ascii="仿宋" w:eastAsia="仿宋"/>
          <w:szCs w:val="32"/>
        </w:rPr>
        <w:t>（一）“三公”经费财政拨款支出决算总体情况说明</w:t>
      </w:r>
      <w:r>
        <w:tab/>
      </w:r>
      <w:r>
        <w:fldChar w:fldCharType="begin"/>
      </w:r>
      <w:r>
        <w:instrText xml:space="preserve">PageRef _Toc99843135 \h</w:instrText>
      </w:r>
      <w:r>
        <w:fldChar w:fldCharType="separate"/>
      </w:r>
      <w:r>
        <w:t>10</w:t>
      </w:r>
      <w:r>
        <w:fldChar w:fldCharType="end"/>
      </w:r>
      <w:r>
        <w:fldChar w:fldCharType="end"/>
      </w:r>
    </w:p>
    <w:p w14:paraId="291F925F">
      <w:pPr>
        <w:pStyle w:val="10"/>
        <w:tabs>
          <w:tab w:val="right" w:leader="dot" w:pos="8306"/>
        </w:tabs>
      </w:pPr>
      <w:r>
        <w:fldChar w:fldCharType="begin"/>
      </w:r>
      <w:r>
        <w:instrText xml:space="preserve">Hyperlink \l "_Toc99843136"</w:instrText>
      </w:r>
      <w:r>
        <w:fldChar w:fldCharType="separate"/>
      </w:r>
      <w:r>
        <w:rPr>
          <w:rFonts w:hint="eastAsia" w:ascii="仿宋" w:eastAsia="仿宋"/>
          <w:szCs w:val="32"/>
        </w:rPr>
        <w:t>（二）“三公”经费财政拨款支出决算具体情况说明</w:t>
      </w:r>
      <w:r>
        <w:tab/>
      </w:r>
      <w:r>
        <w:fldChar w:fldCharType="begin"/>
      </w:r>
      <w:r>
        <w:instrText xml:space="preserve">PageRef _Toc99843136 \h</w:instrText>
      </w:r>
      <w:r>
        <w:fldChar w:fldCharType="separate"/>
      </w:r>
      <w:r>
        <w:t>10</w:t>
      </w:r>
      <w:r>
        <w:fldChar w:fldCharType="end"/>
      </w:r>
      <w:r>
        <w:fldChar w:fldCharType="end"/>
      </w:r>
    </w:p>
    <w:p w14:paraId="231C59D3">
      <w:pPr>
        <w:pStyle w:val="18"/>
        <w:tabs>
          <w:tab w:val="right" w:leader="dot" w:pos="8306"/>
        </w:tabs>
      </w:pPr>
      <w:r>
        <w:fldChar w:fldCharType="begin"/>
      </w:r>
      <w:r>
        <w:instrText xml:space="preserve">Hyperlink \l "_Toc99843137"</w:instrText>
      </w:r>
      <w:r>
        <w:fldChar w:fldCharType="separate"/>
      </w:r>
      <w:r>
        <w:rPr>
          <w:rFonts w:hint="eastAsia" w:ascii="黑体" w:eastAsia="黑体"/>
          <w:szCs w:val="32"/>
        </w:rPr>
        <w:t>八、</w:t>
      </w:r>
      <w:r>
        <w:rPr>
          <w:rFonts w:hint="eastAsia" w:ascii="黑体" w:eastAsia="黑体" w:cs="Times New Roman"/>
          <w:bCs/>
          <w:kern w:val="2"/>
          <w:szCs w:val="32"/>
          <w:lang w:val="en-US" w:eastAsia="zh-CN" w:bidi="ar-SA"/>
        </w:rPr>
        <w:t>政府性基金预算支出决算情况说明</w:t>
      </w:r>
      <w:r>
        <w:tab/>
      </w:r>
      <w:r>
        <w:fldChar w:fldCharType="begin"/>
      </w:r>
      <w:r>
        <w:instrText xml:space="preserve">PageRef _Toc99843137 \h</w:instrText>
      </w:r>
      <w:r>
        <w:fldChar w:fldCharType="separate"/>
      </w:r>
      <w:r>
        <w:t>11</w:t>
      </w:r>
      <w:r>
        <w:fldChar w:fldCharType="end"/>
      </w:r>
      <w:r>
        <w:fldChar w:fldCharType="end"/>
      </w:r>
    </w:p>
    <w:p w14:paraId="65CDE115">
      <w:pPr>
        <w:pStyle w:val="18"/>
        <w:tabs>
          <w:tab w:val="right" w:leader="dot" w:pos="8306"/>
        </w:tabs>
      </w:pPr>
      <w:r>
        <w:fldChar w:fldCharType="begin"/>
      </w:r>
      <w:r>
        <w:instrText xml:space="preserve">Hyperlink \l "_Toc99843138"</w:instrText>
      </w:r>
      <w:r>
        <w:fldChar w:fldCharType="separate"/>
      </w:r>
      <w:r>
        <w:rPr>
          <w:rFonts w:hint="eastAsia" w:ascii="黑体" w:eastAsia="黑体" w:cs="Times New Roman"/>
          <w:bCs/>
          <w:kern w:val="2"/>
          <w:szCs w:val="32"/>
          <w:u w:color="auto"/>
          <w:lang w:val="en-US" w:eastAsia="zh-CN" w:bidi="ar-SA"/>
        </w:rPr>
        <w:t>九、</w:t>
      </w:r>
      <w:r>
        <w:t xml:space="preserve">  </w:t>
      </w:r>
      <w:r>
        <w:rPr>
          <w:rFonts w:hint="eastAsia" w:ascii="黑体" w:eastAsia="黑体" w:cs="Times New Roman"/>
          <w:bCs/>
          <w:kern w:val="2"/>
          <w:szCs w:val="32"/>
          <w:lang w:val="en-US" w:eastAsia="zh-CN" w:bidi="ar-SA"/>
        </w:rPr>
        <w:t>国有资本经营预算支出决算情况说明</w:t>
      </w:r>
      <w:r>
        <w:tab/>
      </w:r>
      <w:r>
        <w:fldChar w:fldCharType="begin"/>
      </w:r>
      <w:r>
        <w:instrText xml:space="preserve">PageRef _Toc99843138 \h</w:instrText>
      </w:r>
      <w:r>
        <w:fldChar w:fldCharType="separate"/>
      </w:r>
      <w:r>
        <w:t>12</w:t>
      </w:r>
      <w:r>
        <w:fldChar w:fldCharType="end"/>
      </w:r>
      <w:r>
        <w:fldChar w:fldCharType="end"/>
      </w:r>
    </w:p>
    <w:p w14:paraId="0275E07E">
      <w:pPr>
        <w:pStyle w:val="18"/>
        <w:tabs>
          <w:tab w:val="right" w:leader="dot" w:pos="8306"/>
        </w:tabs>
      </w:pPr>
      <w:r>
        <w:fldChar w:fldCharType="begin"/>
      </w:r>
      <w:r>
        <w:instrText xml:space="preserve">Hyperlink \l "_Toc99843139"</w:instrText>
      </w:r>
      <w:r>
        <w:fldChar w:fldCharType="separate"/>
      </w:r>
      <w:r>
        <w:rPr>
          <w:rFonts w:hint="eastAsia" w:ascii="黑体" w:eastAsia="黑体" w:cs="Times New Roman"/>
          <w:bCs/>
          <w:kern w:val="2"/>
          <w:szCs w:val="32"/>
          <w:u w:color="auto"/>
          <w:lang w:val="en-US" w:eastAsia="zh-CN" w:bidi="ar-SA"/>
        </w:rPr>
        <w:t>十、</w:t>
      </w:r>
      <w:r>
        <w:t xml:space="preserve">  </w:t>
      </w:r>
      <w:r>
        <w:rPr>
          <w:rFonts w:hint="eastAsia" w:ascii="黑体" w:eastAsia="黑体" w:cs="Times New Roman"/>
          <w:bCs/>
          <w:kern w:val="2"/>
          <w:szCs w:val="32"/>
          <w:lang w:val="en-US" w:eastAsia="zh-CN" w:bidi="ar-SA"/>
        </w:rPr>
        <w:t>其他重要事项的情况说明</w:t>
      </w:r>
      <w:r>
        <w:tab/>
      </w:r>
      <w:r>
        <w:fldChar w:fldCharType="begin"/>
      </w:r>
      <w:r>
        <w:instrText xml:space="preserve">PageRef _Toc99843139 \h</w:instrText>
      </w:r>
      <w:r>
        <w:fldChar w:fldCharType="separate"/>
      </w:r>
      <w:r>
        <w:t>12</w:t>
      </w:r>
      <w:r>
        <w:fldChar w:fldCharType="end"/>
      </w:r>
      <w:r>
        <w:fldChar w:fldCharType="end"/>
      </w:r>
    </w:p>
    <w:p w14:paraId="0395C933">
      <w:pPr>
        <w:pStyle w:val="10"/>
        <w:tabs>
          <w:tab w:val="right" w:leader="dot" w:pos="8306"/>
        </w:tabs>
      </w:pPr>
      <w:r>
        <w:fldChar w:fldCharType="begin"/>
      </w:r>
      <w:r>
        <w:instrText xml:space="preserve">Hyperlink \l "_Toc99843140"</w:instrText>
      </w:r>
      <w:r>
        <w:fldChar w:fldCharType="separate"/>
      </w:r>
      <w:r>
        <w:rPr>
          <w:rFonts w:hint="eastAsia" w:ascii="仿宋" w:eastAsia="仿宋"/>
          <w:szCs w:val="32"/>
        </w:rPr>
        <w:t>（一）机关运行经费支出情况</w:t>
      </w:r>
      <w:r>
        <w:tab/>
      </w:r>
      <w:r>
        <w:fldChar w:fldCharType="begin"/>
      </w:r>
      <w:r>
        <w:instrText xml:space="preserve">PageRef _Toc99843140 \h</w:instrText>
      </w:r>
      <w:r>
        <w:fldChar w:fldCharType="separate"/>
      </w:r>
      <w:r>
        <w:t>12</w:t>
      </w:r>
      <w:r>
        <w:fldChar w:fldCharType="end"/>
      </w:r>
      <w:r>
        <w:fldChar w:fldCharType="end"/>
      </w:r>
    </w:p>
    <w:p w14:paraId="0C230C14">
      <w:pPr>
        <w:pStyle w:val="10"/>
        <w:tabs>
          <w:tab w:val="right" w:leader="dot" w:pos="8306"/>
        </w:tabs>
      </w:pPr>
      <w:r>
        <w:fldChar w:fldCharType="begin"/>
      </w:r>
      <w:r>
        <w:instrText xml:space="preserve">Hyperlink \l "_Toc99843141"</w:instrText>
      </w:r>
      <w:r>
        <w:fldChar w:fldCharType="separate"/>
      </w:r>
      <w:r>
        <w:rPr>
          <w:rFonts w:hint="eastAsia" w:ascii="仿宋" w:eastAsia="仿宋"/>
          <w:szCs w:val="32"/>
        </w:rPr>
        <w:t>（二）政府采购支出情况</w:t>
      </w:r>
      <w:r>
        <w:tab/>
      </w:r>
      <w:r>
        <w:fldChar w:fldCharType="begin"/>
      </w:r>
      <w:r>
        <w:instrText xml:space="preserve">PageRef _Toc99843141 \h</w:instrText>
      </w:r>
      <w:r>
        <w:fldChar w:fldCharType="separate"/>
      </w:r>
      <w:r>
        <w:t>12</w:t>
      </w:r>
      <w:r>
        <w:fldChar w:fldCharType="end"/>
      </w:r>
      <w:r>
        <w:fldChar w:fldCharType="end"/>
      </w:r>
    </w:p>
    <w:p w14:paraId="3877599D">
      <w:pPr>
        <w:pStyle w:val="10"/>
        <w:tabs>
          <w:tab w:val="right" w:leader="dot" w:pos="8306"/>
        </w:tabs>
      </w:pPr>
      <w:r>
        <w:fldChar w:fldCharType="begin"/>
      </w:r>
      <w:r>
        <w:instrText xml:space="preserve">Hyperlink \l "_Toc99843142"</w:instrText>
      </w:r>
      <w:r>
        <w:fldChar w:fldCharType="separate"/>
      </w:r>
      <w:r>
        <w:rPr>
          <w:rFonts w:hint="eastAsia" w:ascii="仿宋" w:eastAsia="仿宋"/>
          <w:szCs w:val="32"/>
        </w:rPr>
        <w:t>（三）国有资产占有使用情况</w:t>
      </w:r>
      <w:r>
        <w:tab/>
      </w:r>
      <w:r>
        <w:fldChar w:fldCharType="begin"/>
      </w:r>
      <w:r>
        <w:instrText xml:space="preserve">PageRef _Toc99843142 \h</w:instrText>
      </w:r>
      <w:r>
        <w:fldChar w:fldCharType="separate"/>
      </w:r>
      <w:r>
        <w:t>12</w:t>
      </w:r>
      <w:r>
        <w:fldChar w:fldCharType="end"/>
      </w:r>
      <w:r>
        <w:fldChar w:fldCharType="end"/>
      </w:r>
    </w:p>
    <w:p w14:paraId="56449842">
      <w:pPr>
        <w:pStyle w:val="10"/>
        <w:tabs>
          <w:tab w:val="right" w:leader="dot" w:pos="8306"/>
        </w:tabs>
      </w:pPr>
      <w:r>
        <w:fldChar w:fldCharType="begin"/>
      </w:r>
      <w:r>
        <w:instrText xml:space="preserve">Hyperlink \l "_Toc99843143"</w:instrText>
      </w:r>
      <w:r>
        <w:fldChar w:fldCharType="separate"/>
      </w:r>
      <w:r>
        <w:rPr>
          <w:rFonts w:hint="eastAsia" w:ascii="仿宋" w:eastAsia="仿宋"/>
          <w:szCs w:val="32"/>
        </w:rPr>
        <w:t>（四）预算绩效管理情况</w:t>
      </w:r>
      <w:r>
        <w:tab/>
      </w:r>
      <w:r>
        <w:fldChar w:fldCharType="begin"/>
      </w:r>
      <w:r>
        <w:instrText xml:space="preserve">PageRef _Toc99843143 \h</w:instrText>
      </w:r>
      <w:r>
        <w:fldChar w:fldCharType="separate"/>
      </w:r>
      <w:r>
        <w:t>12</w:t>
      </w:r>
      <w:r>
        <w:fldChar w:fldCharType="end"/>
      </w:r>
      <w:r>
        <w:fldChar w:fldCharType="end"/>
      </w:r>
    </w:p>
    <w:p w14:paraId="54B75352">
      <w:pPr>
        <w:pStyle w:val="15"/>
        <w:tabs>
          <w:tab w:val="right" w:leader="dot" w:pos="8306"/>
        </w:tabs>
      </w:pPr>
      <w:r>
        <w:fldChar w:fldCharType="begin"/>
      </w:r>
      <w:r>
        <w:instrText xml:space="preserve">Hyperlink \l "_Toc99843144"</w:instrText>
      </w:r>
      <w:r>
        <w:fldChar w:fldCharType="separate"/>
      </w:r>
      <w:r>
        <w:rPr>
          <w:rFonts w:hint="eastAsia" w:ascii="黑体" w:eastAsia="黑体" w:cs="黑体"/>
          <w:bCs/>
          <w:kern w:val="44"/>
          <w:szCs w:val="44"/>
          <w:u w:color="auto"/>
          <w:lang w:val="en-US" w:eastAsia="zh-CN" w:bidi="ar-SA"/>
        </w:rPr>
        <w:t>第三部分</w:t>
      </w:r>
      <w:r>
        <w:t xml:space="preserve">  </w:t>
      </w:r>
      <w:r>
        <w:rPr>
          <w:rFonts w:hint="eastAsia" w:ascii="黑体" w:eastAsia="黑体"/>
          <w:szCs w:val="44"/>
        </w:rPr>
        <w:t>名</w:t>
      </w:r>
      <w:r>
        <w:rPr>
          <w:rFonts w:hint="eastAsia" w:ascii="黑体" w:eastAsia="黑体" w:cs="Times New Roman"/>
          <w:bCs/>
          <w:kern w:val="44"/>
          <w:szCs w:val="44"/>
          <w:lang w:val="en-US" w:eastAsia="zh-CN" w:bidi="ar-SA"/>
        </w:rPr>
        <w:t>词解释</w:t>
      </w:r>
      <w:r>
        <w:tab/>
      </w:r>
      <w:r>
        <w:fldChar w:fldCharType="begin"/>
      </w:r>
      <w:r>
        <w:instrText xml:space="preserve">PageRef _Toc99843144 \h</w:instrText>
      </w:r>
      <w:r>
        <w:fldChar w:fldCharType="separate"/>
      </w:r>
      <w:r>
        <w:t>14</w:t>
      </w:r>
      <w:r>
        <w:fldChar w:fldCharType="end"/>
      </w:r>
      <w:r>
        <w:fldChar w:fldCharType="end"/>
      </w:r>
    </w:p>
    <w:p w14:paraId="443F4C3C">
      <w:pPr>
        <w:pStyle w:val="15"/>
        <w:tabs>
          <w:tab w:val="right" w:leader="dot" w:pos="8306"/>
        </w:tabs>
      </w:pPr>
      <w:r>
        <w:fldChar w:fldCharType="begin"/>
      </w:r>
      <w:r>
        <w:instrText xml:space="preserve">Hyperlink \l "_Toc99843145"</w:instrText>
      </w:r>
      <w:r>
        <w:fldChar w:fldCharType="separate"/>
      </w:r>
      <w:r>
        <w:rPr>
          <w:rFonts w:hint="eastAsia" w:ascii="黑体" w:eastAsia="黑体"/>
          <w:szCs w:val="44"/>
        </w:rPr>
        <w:t>第</w:t>
      </w:r>
      <w:r>
        <w:rPr>
          <w:rFonts w:hint="eastAsia" w:ascii="黑体" w:eastAsia="黑体" w:cs="Times New Roman"/>
          <w:bCs/>
          <w:kern w:val="44"/>
          <w:szCs w:val="44"/>
          <w:lang w:val="en-US" w:eastAsia="zh-CN" w:bidi="ar-SA"/>
        </w:rPr>
        <w:t>四部分 附件</w:t>
      </w:r>
      <w:r>
        <w:tab/>
      </w:r>
      <w:r>
        <w:fldChar w:fldCharType="begin"/>
      </w:r>
      <w:r>
        <w:instrText xml:space="preserve">PageRef _Toc99843145 \h</w:instrText>
      </w:r>
      <w:r>
        <w:fldChar w:fldCharType="separate"/>
      </w:r>
      <w:r>
        <w:t>19</w:t>
      </w:r>
      <w:r>
        <w:fldChar w:fldCharType="end"/>
      </w:r>
      <w:r>
        <w:fldChar w:fldCharType="end"/>
      </w:r>
    </w:p>
    <w:p w14:paraId="0D6E16FE">
      <w:pPr>
        <w:pStyle w:val="15"/>
        <w:tabs>
          <w:tab w:val="right" w:leader="dot" w:pos="8306"/>
        </w:tabs>
      </w:pPr>
      <w:r>
        <w:fldChar w:fldCharType="begin"/>
      </w:r>
      <w:r>
        <w:instrText xml:space="preserve">Hyperlink \l "_Toc99843146"</w:instrText>
      </w:r>
      <w:r>
        <w:fldChar w:fldCharType="separate"/>
      </w:r>
      <w:r>
        <w:rPr>
          <w:rFonts w:hint="eastAsia" w:ascii="黑体" w:eastAsia="黑体"/>
          <w:szCs w:val="44"/>
        </w:rPr>
        <w:t>第</w:t>
      </w:r>
      <w:r>
        <w:rPr>
          <w:rFonts w:hint="eastAsia" w:ascii="黑体" w:eastAsia="黑体" w:cs="Times New Roman"/>
          <w:bCs/>
          <w:kern w:val="44"/>
          <w:szCs w:val="44"/>
          <w:lang w:val="en-US" w:eastAsia="zh-CN" w:bidi="ar-SA"/>
        </w:rPr>
        <w:t>五部分 附表</w:t>
      </w:r>
      <w:r>
        <w:tab/>
      </w:r>
      <w:r>
        <w:fldChar w:fldCharType="begin"/>
      </w:r>
      <w:r>
        <w:instrText xml:space="preserve">PageRef _Toc99843146 \h</w:instrText>
      </w:r>
      <w:r>
        <w:fldChar w:fldCharType="separate"/>
      </w:r>
      <w:r>
        <w:t>29</w:t>
      </w:r>
      <w:r>
        <w:fldChar w:fldCharType="end"/>
      </w:r>
      <w:r>
        <w:fldChar w:fldCharType="end"/>
      </w:r>
    </w:p>
    <w:p w14:paraId="489D6CBB">
      <w:pPr>
        <w:pStyle w:val="18"/>
        <w:tabs>
          <w:tab w:val="right" w:leader="dot" w:pos="8306"/>
        </w:tabs>
      </w:pPr>
      <w:r>
        <w:fldChar w:fldCharType="begin"/>
      </w:r>
      <w:r>
        <w:instrText xml:space="preserve">Hyperlink \l "_Toc99843147"</w:instrText>
      </w:r>
      <w:r>
        <w:fldChar w:fldCharType="separate"/>
      </w:r>
      <w:r>
        <w:rPr>
          <w:rFonts w:hint="eastAsia" w:ascii="仿宋" w:eastAsia="仿宋"/>
        </w:rPr>
        <w:t>一、收</w:t>
      </w:r>
      <w:r>
        <w:rPr>
          <w:rFonts w:hint="eastAsia" w:ascii="仿宋" w:eastAsia="仿宋" w:cs="Times New Roman"/>
          <w:bCs/>
          <w:kern w:val="2"/>
          <w:szCs w:val="32"/>
          <w:lang w:val="en-US" w:eastAsia="zh-CN" w:bidi="ar-SA"/>
        </w:rPr>
        <w:t>入支出决算总表</w:t>
      </w:r>
      <w:r>
        <w:tab/>
      </w:r>
      <w:r>
        <w:fldChar w:fldCharType="begin"/>
      </w:r>
      <w:r>
        <w:instrText xml:space="preserve">PageRef _Toc99843147 \h</w:instrText>
      </w:r>
      <w:r>
        <w:fldChar w:fldCharType="separate"/>
      </w:r>
      <w:r>
        <w:t>29</w:t>
      </w:r>
      <w:r>
        <w:fldChar w:fldCharType="end"/>
      </w:r>
      <w:r>
        <w:fldChar w:fldCharType="end"/>
      </w:r>
    </w:p>
    <w:p w14:paraId="2F319A3A">
      <w:pPr>
        <w:pStyle w:val="18"/>
        <w:tabs>
          <w:tab w:val="right" w:leader="dot" w:pos="8306"/>
        </w:tabs>
      </w:pPr>
      <w:r>
        <w:fldChar w:fldCharType="begin"/>
      </w:r>
      <w:r>
        <w:instrText xml:space="preserve">Hyperlink \l "_Toc99843148"</w:instrText>
      </w:r>
      <w:r>
        <w:fldChar w:fldCharType="separate"/>
      </w:r>
      <w:r>
        <w:rPr>
          <w:rFonts w:hint="eastAsia" w:ascii="仿宋" w:eastAsia="仿宋"/>
        </w:rPr>
        <w:t>二、收</w:t>
      </w:r>
      <w:r>
        <w:rPr>
          <w:rFonts w:hint="eastAsia" w:ascii="仿宋" w:eastAsia="仿宋" w:cs="Times New Roman"/>
          <w:bCs/>
          <w:kern w:val="2"/>
          <w:szCs w:val="32"/>
          <w:lang w:val="en-US" w:eastAsia="zh-CN" w:bidi="ar-SA"/>
        </w:rPr>
        <w:t>入决算表</w:t>
      </w:r>
      <w:r>
        <w:tab/>
      </w:r>
      <w:r>
        <w:fldChar w:fldCharType="begin"/>
      </w:r>
      <w:r>
        <w:instrText xml:space="preserve">PageRef _Toc99843148 \h</w:instrText>
      </w:r>
      <w:r>
        <w:fldChar w:fldCharType="separate"/>
      </w:r>
      <w:r>
        <w:t>29</w:t>
      </w:r>
      <w:r>
        <w:fldChar w:fldCharType="end"/>
      </w:r>
      <w:r>
        <w:fldChar w:fldCharType="end"/>
      </w:r>
    </w:p>
    <w:p w14:paraId="044C592C">
      <w:pPr>
        <w:pStyle w:val="18"/>
        <w:tabs>
          <w:tab w:val="right" w:leader="dot" w:pos="8306"/>
        </w:tabs>
      </w:pPr>
      <w:r>
        <w:fldChar w:fldCharType="begin"/>
      </w:r>
      <w:r>
        <w:instrText xml:space="preserve">Hyperlink \l "_Toc99843149"</w:instrText>
      </w:r>
      <w:r>
        <w:fldChar w:fldCharType="separate"/>
      </w:r>
      <w:r>
        <w:rPr>
          <w:rFonts w:hint="eastAsia" w:ascii="仿宋" w:eastAsia="仿宋" w:cs="Times New Roman"/>
          <w:bCs/>
          <w:kern w:val="2"/>
          <w:szCs w:val="32"/>
          <w:lang w:val="en-US" w:eastAsia="zh-CN" w:bidi="ar-SA"/>
        </w:rPr>
        <w:t>三、</w:t>
      </w:r>
      <w:r>
        <w:rPr>
          <w:rFonts w:hint="eastAsia" w:ascii="仿宋" w:eastAsia="仿宋"/>
        </w:rPr>
        <w:t>支</w:t>
      </w:r>
      <w:r>
        <w:rPr>
          <w:rFonts w:hint="eastAsia" w:ascii="仿宋" w:eastAsia="仿宋" w:cs="Times New Roman"/>
          <w:bCs/>
          <w:kern w:val="2"/>
          <w:szCs w:val="32"/>
          <w:lang w:val="en-US" w:eastAsia="zh-CN" w:bidi="ar-SA"/>
        </w:rPr>
        <w:t>出决算表</w:t>
      </w:r>
      <w:r>
        <w:tab/>
      </w:r>
      <w:r>
        <w:fldChar w:fldCharType="begin"/>
      </w:r>
      <w:r>
        <w:instrText xml:space="preserve">PageRef _Toc99843149 \h</w:instrText>
      </w:r>
      <w:r>
        <w:fldChar w:fldCharType="separate"/>
      </w:r>
      <w:r>
        <w:t>29</w:t>
      </w:r>
      <w:r>
        <w:fldChar w:fldCharType="end"/>
      </w:r>
      <w:r>
        <w:fldChar w:fldCharType="end"/>
      </w:r>
    </w:p>
    <w:p w14:paraId="4076A885">
      <w:pPr>
        <w:pStyle w:val="18"/>
        <w:tabs>
          <w:tab w:val="right" w:leader="dot" w:pos="8306"/>
        </w:tabs>
      </w:pPr>
      <w:r>
        <w:fldChar w:fldCharType="begin"/>
      </w:r>
      <w:r>
        <w:instrText xml:space="preserve">Hyperlink \l "_Toc99843150"</w:instrText>
      </w:r>
      <w:r>
        <w:fldChar w:fldCharType="separate"/>
      </w:r>
      <w:r>
        <w:rPr>
          <w:rFonts w:hint="eastAsia" w:ascii="仿宋" w:eastAsia="仿宋" w:cs="Times New Roman"/>
          <w:bCs/>
          <w:kern w:val="2"/>
          <w:szCs w:val="32"/>
          <w:lang w:val="en-US" w:eastAsia="zh-CN" w:bidi="ar-SA"/>
        </w:rPr>
        <w:t>四、</w:t>
      </w:r>
      <w:r>
        <w:rPr>
          <w:rFonts w:hint="eastAsia" w:ascii="仿宋" w:eastAsia="仿宋"/>
        </w:rPr>
        <w:t>财</w:t>
      </w:r>
      <w:r>
        <w:rPr>
          <w:rFonts w:hint="eastAsia" w:ascii="仿宋" w:eastAsia="仿宋" w:cs="Times New Roman"/>
          <w:bCs/>
          <w:kern w:val="2"/>
          <w:szCs w:val="32"/>
          <w:lang w:val="en-US" w:eastAsia="zh-CN" w:bidi="ar-SA"/>
        </w:rPr>
        <w:t>政拨款收入支出决算总表</w:t>
      </w:r>
      <w:r>
        <w:tab/>
      </w:r>
      <w:r>
        <w:fldChar w:fldCharType="begin"/>
      </w:r>
      <w:r>
        <w:instrText xml:space="preserve">PageRef _Toc99843150 \h</w:instrText>
      </w:r>
      <w:r>
        <w:fldChar w:fldCharType="separate"/>
      </w:r>
      <w:r>
        <w:t>29</w:t>
      </w:r>
      <w:r>
        <w:fldChar w:fldCharType="end"/>
      </w:r>
      <w:r>
        <w:fldChar w:fldCharType="end"/>
      </w:r>
    </w:p>
    <w:p w14:paraId="0D7B5F64">
      <w:pPr>
        <w:pStyle w:val="18"/>
        <w:tabs>
          <w:tab w:val="right" w:leader="dot" w:pos="8306"/>
        </w:tabs>
      </w:pPr>
      <w:r>
        <w:fldChar w:fldCharType="begin"/>
      </w:r>
      <w:r>
        <w:instrText xml:space="preserve">Hyperlink \l "_Toc99843151"</w:instrText>
      </w:r>
      <w:r>
        <w:fldChar w:fldCharType="separate"/>
      </w:r>
      <w:r>
        <w:rPr>
          <w:rFonts w:hint="eastAsia" w:ascii="仿宋" w:eastAsia="仿宋" w:cs="Times New Roman"/>
          <w:bCs/>
          <w:kern w:val="2"/>
          <w:szCs w:val="32"/>
          <w:lang w:val="en-US" w:eastAsia="zh-CN" w:bidi="ar-SA"/>
        </w:rPr>
        <w:t>五、</w:t>
      </w:r>
      <w:r>
        <w:rPr>
          <w:rFonts w:hint="eastAsia" w:ascii="仿宋" w:eastAsia="仿宋"/>
        </w:rPr>
        <w:t>财</w:t>
      </w:r>
      <w:r>
        <w:rPr>
          <w:rFonts w:hint="eastAsia" w:ascii="仿宋" w:eastAsia="仿宋" w:cs="Times New Roman"/>
          <w:bCs/>
          <w:kern w:val="2"/>
          <w:szCs w:val="32"/>
          <w:lang w:val="en-US" w:eastAsia="zh-CN" w:bidi="ar-SA"/>
        </w:rPr>
        <w:t>政拨款支出决算明细表</w:t>
      </w:r>
      <w:r>
        <w:tab/>
      </w:r>
      <w:r>
        <w:fldChar w:fldCharType="begin"/>
      </w:r>
      <w:r>
        <w:instrText xml:space="preserve">PageRef _Toc99843151 \h</w:instrText>
      </w:r>
      <w:r>
        <w:fldChar w:fldCharType="separate"/>
      </w:r>
      <w:r>
        <w:t>29</w:t>
      </w:r>
      <w:r>
        <w:fldChar w:fldCharType="end"/>
      </w:r>
      <w:r>
        <w:fldChar w:fldCharType="end"/>
      </w:r>
    </w:p>
    <w:p w14:paraId="19CB5E32">
      <w:pPr>
        <w:pStyle w:val="18"/>
        <w:tabs>
          <w:tab w:val="right" w:leader="dot" w:pos="8306"/>
        </w:tabs>
      </w:pPr>
      <w:r>
        <w:fldChar w:fldCharType="begin"/>
      </w:r>
      <w:r>
        <w:instrText xml:space="preserve">Hyperlink \l "_Toc99843152"</w:instrText>
      </w:r>
      <w:r>
        <w:fldChar w:fldCharType="separate"/>
      </w:r>
      <w:r>
        <w:rPr>
          <w:rFonts w:hint="eastAsia" w:ascii="仿宋" w:eastAsia="仿宋" w:cs="Times New Roman"/>
          <w:bCs/>
          <w:kern w:val="2"/>
          <w:szCs w:val="32"/>
          <w:lang w:val="en-US" w:eastAsia="zh-CN" w:bidi="ar-SA"/>
        </w:rPr>
        <w:t>六、</w:t>
      </w:r>
      <w:r>
        <w:rPr>
          <w:rFonts w:hint="eastAsia" w:ascii="仿宋" w:eastAsia="仿宋"/>
        </w:rPr>
        <w:t>一</w:t>
      </w:r>
      <w:r>
        <w:rPr>
          <w:rFonts w:hint="eastAsia" w:ascii="仿宋" w:eastAsia="仿宋" w:cs="Times New Roman"/>
          <w:bCs/>
          <w:kern w:val="2"/>
          <w:szCs w:val="32"/>
          <w:lang w:val="en-US" w:eastAsia="zh-CN" w:bidi="ar-SA"/>
        </w:rPr>
        <w:t>般公共预算财政拨款支出决算表</w:t>
      </w:r>
      <w:r>
        <w:tab/>
      </w:r>
      <w:r>
        <w:fldChar w:fldCharType="begin"/>
      </w:r>
      <w:r>
        <w:instrText xml:space="preserve">PageRef _Toc99843152 \h</w:instrText>
      </w:r>
      <w:r>
        <w:fldChar w:fldCharType="separate"/>
      </w:r>
      <w:r>
        <w:t>29</w:t>
      </w:r>
      <w:r>
        <w:fldChar w:fldCharType="end"/>
      </w:r>
      <w:r>
        <w:fldChar w:fldCharType="end"/>
      </w:r>
    </w:p>
    <w:p w14:paraId="6D65E197">
      <w:pPr>
        <w:pStyle w:val="18"/>
        <w:tabs>
          <w:tab w:val="right" w:leader="dot" w:pos="8306"/>
        </w:tabs>
      </w:pPr>
      <w:r>
        <w:fldChar w:fldCharType="begin"/>
      </w:r>
      <w:r>
        <w:instrText xml:space="preserve">Hyperlink \l "_Toc99843153"</w:instrText>
      </w:r>
      <w:r>
        <w:fldChar w:fldCharType="separate"/>
      </w:r>
      <w:r>
        <w:rPr>
          <w:rFonts w:hint="eastAsia" w:ascii="仿宋" w:eastAsia="仿宋" w:cs="Times New Roman"/>
          <w:bCs/>
          <w:kern w:val="2"/>
          <w:szCs w:val="32"/>
          <w:lang w:val="en-US" w:eastAsia="zh-CN" w:bidi="ar-SA"/>
        </w:rPr>
        <w:t>七、</w:t>
      </w:r>
      <w:r>
        <w:rPr>
          <w:rFonts w:hint="eastAsia" w:ascii="仿宋" w:eastAsia="仿宋"/>
        </w:rPr>
        <w:t>一</w:t>
      </w:r>
      <w:r>
        <w:rPr>
          <w:rFonts w:hint="eastAsia" w:ascii="仿宋" w:eastAsia="仿宋" w:cs="Times New Roman"/>
          <w:bCs/>
          <w:kern w:val="2"/>
          <w:szCs w:val="32"/>
          <w:lang w:val="en-US" w:eastAsia="zh-CN" w:bidi="ar-SA"/>
        </w:rPr>
        <w:t>般公共预算财政拨款支出决算明细表</w:t>
      </w:r>
      <w:r>
        <w:tab/>
      </w:r>
      <w:r>
        <w:fldChar w:fldCharType="begin"/>
      </w:r>
      <w:r>
        <w:instrText xml:space="preserve">PageRef _Toc99843153 \h</w:instrText>
      </w:r>
      <w:r>
        <w:fldChar w:fldCharType="separate"/>
      </w:r>
      <w:r>
        <w:t>29</w:t>
      </w:r>
      <w:r>
        <w:fldChar w:fldCharType="end"/>
      </w:r>
      <w:r>
        <w:fldChar w:fldCharType="end"/>
      </w:r>
    </w:p>
    <w:p w14:paraId="058B13AB">
      <w:pPr>
        <w:pStyle w:val="18"/>
        <w:tabs>
          <w:tab w:val="right" w:leader="dot" w:pos="8306"/>
        </w:tabs>
      </w:pPr>
      <w:r>
        <w:fldChar w:fldCharType="begin"/>
      </w:r>
      <w:r>
        <w:instrText xml:space="preserve">Hyperlink \l "_Toc99843154"</w:instrText>
      </w:r>
      <w:r>
        <w:fldChar w:fldCharType="separate"/>
      </w:r>
      <w:r>
        <w:rPr>
          <w:rFonts w:hint="eastAsia" w:ascii="仿宋" w:eastAsia="仿宋" w:cs="Times New Roman"/>
          <w:bCs/>
          <w:kern w:val="2"/>
          <w:szCs w:val="32"/>
          <w:lang w:val="en-US" w:eastAsia="zh-CN" w:bidi="ar-SA"/>
        </w:rPr>
        <w:t>八、</w:t>
      </w:r>
      <w:r>
        <w:rPr>
          <w:rFonts w:hint="eastAsia" w:ascii="仿宋" w:eastAsia="仿宋"/>
        </w:rPr>
        <w:t>一</w:t>
      </w:r>
      <w:r>
        <w:rPr>
          <w:rFonts w:hint="eastAsia" w:ascii="仿宋" w:eastAsia="仿宋" w:cs="Times New Roman"/>
          <w:bCs/>
          <w:kern w:val="2"/>
          <w:szCs w:val="32"/>
          <w:lang w:val="en-US" w:eastAsia="zh-CN" w:bidi="ar-SA"/>
        </w:rPr>
        <w:t>般公共预算财政拨款基本支出决算表</w:t>
      </w:r>
      <w:r>
        <w:tab/>
      </w:r>
      <w:r>
        <w:fldChar w:fldCharType="begin"/>
      </w:r>
      <w:r>
        <w:instrText xml:space="preserve">PageRef _Toc99843154 \h</w:instrText>
      </w:r>
      <w:r>
        <w:fldChar w:fldCharType="separate"/>
      </w:r>
      <w:r>
        <w:t>29</w:t>
      </w:r>
      <w:r>
        <w:fldChar w:fldCharType="end"/>
      </w:r>
      <w:r>
        <w:fldChar w:fldCharType="end"/>
      </w:r>
    </w:p>
    <w:p w14:paraId="5951CA93">
      <w:pPr>
        <w:pStyle w:val="18"/>
        <w:tabs>
          <w:tab w:val="right" w:leader="dot" w:pos="8306"/>
        </w:tabs>
      </w:pPr>
      <w:r>
        <w:fldChar w:fldCharType="begin"/>
      </w:r>
      <w:r>
        <w:instrText xml:space="preserve">Hyperlink \l "_Toc99843155"</w:instrText>
      </w:r>
      <w:r>
        <w:fldChar w:fldCharType="separate"/>
      </w:r>
      <w:r>
        <w:rPr>
          <w:rFonts w:hint="eastAsia" w:ascii="仿宋" w:eastAsia="仿宋" w:cs="Times New Roman"/>
          <w:bCs/>
          <w:kern w:val="2"/>
          <w:szCs w:val="32"/>
          <w:lang w:val="en-US" w:eastAsia="zh-CN" w:bidi="ar-SA"/>
        </w:rPr>
        <w:t>九、</w:t>
      </w:r>
      <w:r>
        <w:rPr>
          <w:rFonts w:hint="eastAsia" w:ascii="仿宋" w:eastAsia="仿宋"/>
        </w:rPr>
        <w:t>一</w:t>
      </w:r>
      <w:r>
        <w:rPr>
          <w:rFonts w:hint="eastAsia" w:ascii="仿宋" w:eastAsia="仿宋" w:cs="Times New Roman"/>
          <w:bCs/>
          <w:kern w:val="2"/>
          <w:szCs w:val="32"/>
          <w:lang w:val="en-US" w:eastAsia="zh-CN" w:bidi="ar-SA"/>
        </w:rPr>
        <w:t>般公共预算财政拨款项目支出决算表</w:t>
      </w:r>
      <w:r>
        <w:tab/>
      </w:r>
      <w:r>
        <w:fldChar w:fldCharType="begin"/>
      </w:r>
      <w:r>
        <w:instrText xml:space="preserve">PageRef _Toc99843155 \h</w:instrText>
      </w:r>
      <w:r>
        <w:fldChar w:fldCharType="separate"/>
      </w:r>
      <w:r>
        <w:t>29</w:t>
      </w:r>
      <w:r>
        <w:fldChar w:fldCharType="end"/>
      </w:r>
      <w:r>
        <w:fldChar w:fldCharType="end"/>
      </w:r>
    </w:p>
    <w:p w14:paraId="1CFBA9C3">
      <w:pPr>
        <w:pStyle w:val="18"/>
        <w:tabs>
          <w:tab w:val="right" w:leader="dot" w:pos="8306"/>
        </w:tabs>
      </w:pPr>
      <w:r>
        <w:fldChar w:fldCharType="begin"/>
      </w:r>
      <w:r>
        <w:instrText xml:space="preserve">Hyperlink \l "_Toc99843156"</w:instrText>
      </w:r>
      <w:r>
        <w:fldChar w:fldCharType="separate"/>
      </w:r>
      <w:r>
        <w:rPr>
          <w:rFonts w:hint="eastAsia" w:ascii="仿宋" w:eastAsia="仿宋" w:cs="Times New Roman"/>
          <w:bCs/>
          <w:kern w:val="2"/>
          <w:szCs w:val="32"/>
          <w:lang w:val="en-US" w:eastAsia="zh-CN" w:bidi="ar-SA"/>
        </w:rPr>
        <w:t>十、</w:t>
      </w:r>
      <w:r>
        <w:rPr>
          <w:rFonts w:hint="eastAsia" w:ascii="仿宋" w:eastAsia="仿宋"/>
        </w:rPr>
        <w:t>政</w:t>
      </w:r>
      <w:r>
        <w:rPr>
          <w:rFonts w:hint="eastAsia" w:ascii="仿宋" w:eastAsia="仿宋" w:cs="Times New Roman"/>
          <w:bCs/>
          <w:kern w:val="2"/>
          <w:szCs w:val="32"/>
          <w:lang w:val="en-US" w:eastAsia="zh-CN" w:bidi="ar-SA"/>
        </w:rPr>
        <w:t>府性基金预算财政拨款收入支出决算表</w:t>
      </w:r>
      <w:r>
        <w:tab/>
      </w:r>
      <w:r>
        <w:fldChar w:fldCharType="begin"/>
      </w:r>
      <w:r>
        <w:instrText xml:space="preserve">PageRef _Toc99843156 \h</w:instrText>
      </w:r>
      <w:r>
        <w:fldChar w:fldCharType="separate"/>
      </w:r>
      <w:r>
        <w:t>29</w:t>
      </w:r>
      <w:r>
        <w:fldChar w:fldCharType="end"/>
      </w:r>
      <w:r>
        <w:fldChar w:fldCharType="end"/>
      </w:r>
    </w:p>
    <w:p w14:paraId="53F8A7D2">
      <w:pPr>
        <w:pStyle w:val="18"/>
        <w:tabs>
          <w:tab w:val="right" w:leader="dot" w:pos="8306"/>
        </w:tabs>
      </w:pPr>
      <w:r>
        <w:fldChar w:fldCharType="begin"/>
      </w:r>
      <w:r>
        <w:instrText xml:space="preserve">Hyperlink \l "_Toc99843157"</w:instrText>
      </w:r>
      <w:r>
        <w:fldChar w:fldCharType="separate"/>
      </w:r>
      <w:r>
        <w:rPr>
          <w:rFonts w:hint="eastAsia" w:ascii="仿宋" w:eastAsia="仿宋" w:cs="Times New Roman"/>
          <w:bCs/>
          <w:kern w:val="2"/>
          <w:szCs w:val="32"/>
          <w:lang w:val="en-US" w:eastAsia="zh-CN" w:bidi="ar-SA"/>
        </w:rPr>
        <w:t>十一、</w:t>
      </w:r>
      <w:r>
        <w:rPr>
          <w:rFonts w:hint="eastAsia" w:ascii="仿宋" w:eastAsia="仿宋"/>
        </w:rPr>
        <w:t>国</w:t>
      </w:r>
      <w:r>
        <w:rPr>
          <w:rFonts w:hint="eastAsia" w:ascii="仿宋" w:eastAsia="仿宋" w:cs="Times New Roman"/>
          <w:bCs/>
          <w:kern w:val="2"/>
          <w:szCs w:val="32"/>
          <w:lang w:val="en-US" w:eastAsia="zh-CN" w:bidi="ar-SA"/>
        </w:rPr>
        <w:t>有资本经营预算财政拨款收入支出决算表</w:t>
      </w:r>
      <w:r>
        <w:tab/>
      </w:r>
      <w:r>
        <w:fldChar w:fldCharType="begin"/>
      </w:r>
      <w:r>
        <w:instrText xml:space="preserve">PageRef _Toc99843157 \h</w:instrText>
      </w:r>
      <w:r>
        <w:fldChar w:fldCharType="separate"/>
      </w:r>
      <w:r>
        <w:t>29</w:t>
      </w:r>
      <w:r>
        <w:fldChar w:fldCharType="end"/>
      </w:r>
      <w:r>
        <w:fldChar w:fldCharType="end"/>
      </w:r>
    </w:p>
    <w:p w14:paraId="3D8BB936">
      <w:pPr>
        <w:pStyle w:val="18"/>
        <w:tabs>
          <w:tab w:val="right" w:leader="dot" w:pos="8306"/>
        </w:tabs>
      </w:pPr>
      <w:r>
        <w:fldChar w:fldCharType="begin"/>
      </w:r>
      <w:r>
        <w:instrText xml:space="preserve">Hyperlink \l "_Toc99843158"</w:instrText>
      </w:r>
      <w:r>
        <w:fldChar w:fldCharType="separate"/>
      </w:r>
      <w:r>
        <w:rPr>
          <w:rFonts w:hint="eastAsia" w:ascii="仿宋" w:eastAsia="仿宋" w:cs="Times New Roman"/>
          <w:bCs/>
          <w:kern w:val="2"/>
          <w:szCs w:val="32"/>
          <w:lang w:val="en-US" w:eastAsia="zh-CN" w:bidi="ar-SA"/>
        </w:rPr>
        <w:t>十二、国有资本经营预算财政拨款支出决算表</w:t>
      </w:r>
      <w:r>
        <w:tab/>
      </w:r>
      <w:r>
        <w:fldChar w:fldCharType="begin"/>
      </w:r>
      <w:r>
        <w:instrText xml:space="preserve">PageRef _Toc99843158 \h</w:instrText>
      </w:r>
      <w:r>
        <w:fldChar w:fldCharType="separate"/>
      </w:r>
      <w:r>
        <w:t>29</w:t>
      </w:r>
      <w:r>
        <w:fldChar w:fldCharType="end"/>
      </w:r>
      <w:r>
        <w:fldChar w:fldCharType="end"/>
      </w:r>
    </w:p>
    <w:p w14:paraId="7A62BB7B">
      <w:pPr>
        <w:pStyle w:val="18"/>
        <w:tabs>
          <w:tab w:val="right" w:leader="dot" w:pos="8306"/>
        </w:tabs>
      </w:pPr>
      <w:r>
        <w:fldChar w:fldCharType="begin"/>
      </w:r>
      <w:r>
        <w:instrText xml:space="preserve">Hyperlink \l "_Toc99843159"</w:instrText>
      </w:r>
      <w:r>
        <w:fldChar w:fldCharType="separate"/>
      </w:r>
      <w:r>
        <w:rPr>
          <w:rFonts w:hint="eastAsia" w:ascii="仿宋" w:eastAsia="仿宋" w:cs="Times New Roman"/>
          <w:bCs/>
          <w:kern w:val="2"/>
          <w:szCs w:val="32"/>
          <w:lang w:val="en-US" w:eastAsia="zh-CN" w:bidi="ar-SA"/>
        </w:rPr>
        <w:t>十三、财政拨款“三公”经费支出决算表</w:t>
      </w:r>
      <w:r>
        <w:tab/>
      </w:r>
      <w:r>
        <w:fldChar w:fldCharType="begin"/>
      </w:r>
      <w:r>
        <w:instrText xml:space="preserve">PageRef _Toc99843159 \h</w:instrText>
      </w:r>
      <w:r>
        <w:fldChar w:fldCharType="separate"/>
      </w:r>
      <w:r>
        <w:t>29</w:t>
      </w:r>
      <w:r>
        <w:fldChar w:fldCharType="end"/>
      </w:r>
      <w:r>
        <w:fldChar w:fldCharType="end"/>
      </w:r>
      <w:r>
        <w:fldChar w:fldCharType="end"/>
      </w:r>
    </w:p>
    <w:p w14:paraId="27367432">
      <w:pPr>
        <w:pStyle w:val="3"/>
        <w:jc w:val="center"/>
        <w:rPr>
          <w:rFonts w:ascii="黑体" w:eastAsia="黑体"/>
          <w:b w:val="0"/>
        </w:rPr>
      </w:pPr>
      <w:bookmarkStart w:id="15" w:name="_Toc15396599"/>
      <w:bookmarkStart w:id="16" w:name="_Toc15377196"/>
      <w:bookmarkStart w:id="17" w:name="_Toc99843118"/>
    </w:p>
    <w:p w14:paraId="504DB134">
      <w:pPr>
        <w:pStyle w:val="3"/>
        <w:jc w:val="center"/>
        <w:rPr>
          <w:rFonts w:ascii="黑体" w:eastAsia="黑体"/>
          <w:b w:val="0"/>
        </w:rPr>
      </w:pPr>
    </w:p>
    <w:p w14:paraId="41948532">
      <w:pPr>
        <w:pStyle w:val="3"/>
        <w:jc w:val="center"/>
        <w:rPr>
          <w:rFonts w:ascii="黑体" w:eastAsia="黑体"/>
          <w:b w:val="0"/>
        </w:rPr>
      </w:pPr>
    </w:p>
    <w:p w14:paraId="389BE271">
      <w:pPr>
        <w:pStyle w:val="3"/>
        <w:jc w:val="center"/>
        <w:rPr>
          <w:rFonts w:ascii="黑体" w:eastAsia="黑体"/>
          <w:b w:val="0"/>
        </w:rPr>
      </w:pPr>
    </w:p>
    <w:p w14:paraId="335EFDCE">
      <w:pPr>
        <w:pStyle w:val="3"/>
        <w:rPr>
          <w:rFonts w:ascii="黑体" w:eastAsia="黑体"/>
          <w:b w:val="0"/>
        </w:rPr>
      </w:pPr>
    </w:p>
    <w:p w14:paraId="4890EDC0"/>
    <w:p w14:paraId="58CA8006">
      <w:pPr>
        <w:pStyle w:val="2"/>
      </w:pPr>
    </w:p>
    <w:p w14:paraId="15069484"/>
    <w:p w14:paraId="3012F4D8">
      <w:pPr>
        <w:pStyle w:val="2"/>
      </w:pPr>
    </w:p>
    <w:p w14:paraId="3FA3DCBE"/>
    <w:p w14:paraId="2BCC8FE0">
      <w:pPr>
        <w:pStyle w:val="2"/>
      </w:pPr>
    </w:p>
    <w:p w14:paraId="33A5BE56"/>
    <w:p w14:paraId="705DB7D2">
      <w:pPr>
        <w:pStyle w:val="2"/>
      </w:pPr>
    </w:p>
    <w:p w14:paraId="123B0D0D">
      <w:pPr>
        <w:pStyle w:val="3"/>
        <w:jc w:val="center"/>
        <w:rPr>
          <w:rStyle w:val="26"/>
          <w:rFonts w:ascii="黑体" w:eastAsia="黑体"/>
          <w:b w:val="0"/>
          <w:bCs w:val="0"/>
        </w:rPr>
      </w:pPr>
      <w:r>
        <w:rPr>
          <w:rFonts w:hint="eastAsia" w:ascii="黑体" w:eastAsia="黑体"/>
          <w:b w:val="0"/>
        </w:rPr>
        <w:t>第一部分 单位</w:t>
      </w:r>
      <w:r>
        <w:rPr>
          <w:rStyle w:val="26"/>
          <w:rFonts w:hint="eastAsia" w:ascii="黑体" w:eastAsia="黑体"/>
          <w:b w:val="0"/>
          <w:bCs w:val="0"/>
        </w:rPr>
        <w:t>概况</w:t>
      </w:r>
      <w:bookmarkEnd w:id="15"/>
      <w:bookmarkEnd w:id="16"/>
      <w:bookmarkEnd w:id="17"/>
    </w:p>
    <w:p w14:paraId="11D7AE57">
      <w:pPr>
        <w:pStyle w:val="4"/>
        <w:numPr>
          <w:ilvl w:val="0"/>
          <w:numId w:val="1"/>
        </w:numPr>
        <w:rPr>
          <w:rStyle w:val="27"/>
          <w:rFonts w:ascii="黑体" w:eastAsia="黑体"/>
          <w:b w:val="0"/>
          <w:bCs w:val="0"/>
        </w:rPr>
      </w:pPr>
      <w:bookmarkStart w:id="18" w:name="_Toc99843119"/>
      <w:bookmarkStart w:id="19" w:name="_Toc15396600"/>
      <w:bookmarkStart w:id="20" w:name="_Toc15377197"/>
      <w:r>
        <w:rPr>
          <w:rStyle w:val="27"/>
          <w:rFonts w:hint="eastAsia" w:ascii="黑体" w:eastAsia="黑体"/>
          <w:b w:val="0"/>
          <w:bCs w:val="0"/>
        </w:rPr>
        <w:t>主要职责</w:t>
      </w:r>
      <w:bookmarkEnd w:id="18"/>
    </w:p>
    <w:p w14:paraId="4C6E25F1">
      <w:r>
        <w:rPr>
          <w:rFonts w:hint="eastAsia" w:ascii="仿宋" w:eastAsia="仿宋"/>
          <w:sz w:val="32"/>
          <w:szCs w:val="32"/>
        </w:rPr>
        <w:t>按照规定权限，履行全民所有土地、矿产、森林、草原、湿地、水等自然资源资产所有者职责和所有国土空间用途管制职责；负责全县自然资源调查监测评价；负责全县自然资源统一确权登记工作；负责全县自然资源资产有偿使用工作；负责全县自然资源的合理开发利用；负责建立全县空间规划体系并监督实施；负责统筹全县国土空间生态修复；负责组织实施最严格的耕地保护制度；负责管理全县地质勘查行业和地质工作；负责落实综合防灾减灾规划相关要求，组织编制并实施地质灾害防治规划；负责全县矿产资源管理工作；负责全县测绘地理信息工作；推动全县自然资源领域科技发展和对外合作；配合国家、省、州、县级政府落实党中央、国务院关于自然资源和国土空间规划的重大方针政策、决策部署及法律法规执行情况进行督察；负责职责范围内的安全生产和职业健康、生态环境保护、审批服务便民化等工作；完成县委、县政府交办的其他任务。</w:t>
      </w:r>
    </w:p>
    <w:p w14:paraId="31BEB5FC">
      <w:pPr>
        <w:pStyle w:val="4"/>
        <w:rPr>
          <w:rFonts w:ascii="黑体" w:eastAsia="黑体"/>
          <w:b w:val="0"/>
        </w:rPr>
      </w:pPr>
      <w:bookmarkStart w:id="21" w:name="_Toc99843120"/>
      <w:r>
        <w:rPr>
          <w:rFonts w:hint="eastAsia" w:ascii="黑体" w:eastAsia="黑体"/>
          <w:b w:val="0"/>
        </w:rPr>
        <w:t>二、机构设置</w:t>
      </w:r>
      <w:bookmarkEnd w:id="21"/>
    </w:p>
    <w:bookmarkEnd w:id="19"/>
    <w:bookmarkEnd w:id="20"/>
    <w:p w14:paraId="3699826B">
      <w:pPr>
        <w:widowControl/>
        <w:jc w:val="left"/>
        <w:rPr>
          <w:rFonts w:ascii="仿宋" w:eastAsia="仿宋"/>
          <w:kern w:val="0"/>
          <w:sz w:val="32"/>
          <w:szCs w:val="32"/>
        </w:rPr>
      </w:pPr>
      <w:r>
        <w:rPr>
          <w:rFonts w:ascii="仿宋" w:eastAsia="仿宋"/>
          <w:kern w:val="0"/>
          <w:sz w:val="32"/>
          <w:szCs w:val="32"/>
        </w:rPr>
        <w:t>无</w:t>
      </w:r>
    </w:p>
    <w:p w14:paraId="5FDC157F">
      <w:pPr>
        <w:pStyle w:val="3"/>
        <w:ind w:right="440"/>
        <w:jc w:val="center"/>
        <w:rPr>
          <w:rStyle w:val="26"/>
          <w:rFonts w:ascii="黑体" w:eastAsia="黑体"/>
          <w:b w:val="0"/>
          <w:bCs/>
        </w:rPr>
      </w:pPr>
      <w:bookmarkStart w:id="22" w:name="_Toc99843121"/>
      <w:bookmarkStart w:id="23" w:name="_Toc15396602"/>
      <w:bookmarkStart w:id="24" w:name="_Toc15377204"/>
      <w:r>
        <w:rPr>
          <w:rFonts w:hint="eastAsia" w:ascii="黑体" w:eastAsia="黑体"/>
          <w:b w:val="0"/>
        </w:rPr>
        <w:t>第二部分 2023年度</w:t>
      </w:r>
      <w:r>
        <w:rPr>
          <w:rStyle w:val="26"/>
          <w:rFonts w:hint="eastAsia" w:ascii="黑体" w:eastAsia="黑体"/>
          <w:b w:val="0"/>
          <w:bCs/>
        </w:rPr>
        <w:t>单位决算情况说明</w:t>
      </w:r>
      <w:bookmarkEnd w:id="22"/>
      <w:bookmarkEnd w:id="23"/>
      <w:bookmarkEnd w:id="24"/>
    </w:p>
    <w:p w14:paraId="6B8FCF8C"/>
    <w:p w14:paraId="3A04068D">
      <w:pPr>
        <w:pStyle w:val="32"/>
        <w:numPr>
          <w:ilvl w:val="0"/>
          <w:numId w:val="2"/>
        </w:numPr>
        <w:spacing w:line="600" w:lineRule="exact"/>
        <w:ind w:firstLineChars="0"/>
        <w:outlineLvl w:val="1"/>
        <w:rPr>
          <w:rStyle w:val="27"/>
          <w:rFonts w:ascii="黑体" w:eastAsia="黑体"/>
          <w:b w:val="0"/>
        </w:rPr>
      </w:pPr>
      <w:bookmarkStart w:id="25" w:name="_Toc99843122"/>
      <w:bookmarkStart w:id="26" w:name="_Toc15377205"/>
      <w:bookmarkStart w:id="27" w:name="_Toc15396603"/>
      <w:r>
        <w:rPr>
          <w:rFonts w:hint="eastAsia" w:ascii="黑体" w:eastAsia="黑体"/>
          <w:sz w:val="32"/>
          <w:szCs w:val="32"/>
        </w:rPr>
        <w:t>收</w:t>
      </w:r>
      <w:r>
        <w:rPr>
          <w:rStyle w:val="27"/>
          <w:rFonts w:hint="eastAsia" w:ascii="黑体" w:eastAsia="黑体"/>
          <w:b w:val="0"/>
        </w:rPr>
        <w:t>入支出决算总体情况说明</w:t>
      </w:r>
      <w:bookmarkEnd w:id="25"/>
      <w:bookmarkEnd w:id="26"/>
      <w:bookmarkEnd w:id="27"/>
    </w:p>
    <w:p w14:paraId="323EF861">
      <w:pPr>
        <w:spacing w:line="600" w:lineRule="exact"/>
        <w:ind w:firstLine="640" w:firstLineChars="200"/>
        <w:rPr>
          <w:rFonts w:ascii="仿宋" w:eastAsia="仿宋"/>
          <w:sz w:val="32"/>
          <w:szCs w:val="32"/>
        </w:rPr>
      </w:pPr>
      <w:r>
        <w:rPr>
          <w:rFonts w:hint="eastAsia" w:ascii="仿宋" w:eastAsia="仿宋"/>
          <w:sz w:val="32"/>
          <w:szCs w:val="32"/>
        </w:rPr>
        <w:t>2023年度收、支总计均为</w:t>
      </w:r>
      <w:r>
        <w:rPr>
          <w:rFonts w:hint="eastAsia" w:ascii="仿宋" w:eastAsia="仿宋"/>
          <w:b/>
          <w:sz w:val="32"/>
          <w:szCs w:val="32"/>
        </w:rPr>
        <w:t>2516.96</w:t>
      </w:r>
      <w:r>
        <w:rPr>
          <w:rFonts w:hint="eastAsia" w:ascii="仿宋" w:eastAsia="仿宋"/>
          <w:sz w:val="32"/>
          <w:szCs w:val="32"/>
        </w:rPr>
        <w:t>万元。与2022年度相比，收、支总计各减少</w:t>
      </w:r>
      <w:r>
        <w:rPr>
          <w:rFonts w:ascii="仿宋" w:eastAsia="仿宋"/>
          <w:sz w:val="32"/>
          <w:szCs w:val="32"/>
        </w:rPr>
        <w:t>7810.93</w:t>
      </w:r>
      <w:r>
        <w:rPr>
          <w:rFonts w:hint="eastAsia" w:ascii="仿宋" w:eastAsia="仿宋"/>
          <w:sz w:val="32"/>
          <w:szCs w:val="32"/>
        </w:rPr>
        <w:t>万元，下降</w:t>
      </w:r>
      <w:r>
        <w:rPr>
          <w:rFonts w:ascii="仿宋" w:eastAsia="仿宋"/>
          <w:sz w:val="32"/>
          <w:szCs w:val="32"/>
        </w:rPr>
        <w:t>75.62%</w:t>
      </w:r>
      <w:r>
        <w:rPr>
          <w:rFonts w:hint="eastAsia" w:ascii="仿宋" w:eastAsia="仿宋"/>
          <w:sz w:val="32"/>
          <w:szCs w:val="32"/>
        </w:rPr>
        <w:t>。主要变动原因是</w:t>
      </w:r>
      <w:r>
        <w:rPr>
          <w:rFonts w:ascii="仿宋" w:eastAsia="仿宋"/>
          <w:sz w:val="32"/>
          <w:szCs w:val="32"/>
        </w:rPr>
        <w:t>项目减少</w:t>
      </w:r>
      <w:r>
        <w:rPr>
          <w:rFonts w:hint="eastAsia" w:ascii="仿宋" w:eastAsia="仿宋"/>
          <w:sz w:val="32"/>
          <w:szCs w:val="32"/>
        </w:rPr>
        <w:t>。</w:t>
      </w:r>
    </w:p>
    <w:p w14:paraId="418A8367">
      <w:pPr>
        <w:pStyle w:val="2"/>
      </w:pPr>
      <w:r>
        <w:drawing>
          <wp:inline distT="0" distB="0" distL="85090" distR="85090">
            <wp:extent cx="3705225" cy="2533650"/>
            <wp:effectExtent l="0" t="0" r="38" b="32"/>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6"/>
                    <a:stretch>
                      <a:fillRect/>
                    </a:stretch>
                  </pic:blipFill>
                  <pic:spPr>
                    <a:xfrm>
                      <a:off x="0" y="0"/>
                      <a:ext cx="3705797" cy="2534246"/>
                    </a:xfrm>
                    <a:prstGeom prst="rect">
                      <a:avLst/>
                    </a:prstGeom>
                    <a:noFill/>
                    <a:ln w="9525" cap="flat" cmpd="sng">
                      <a:noFill/>
                      <a:prstDash val="solid"/>
                      <a:miter/>
                    </a:ln>
                  </pic:spPr>
                </pic:pic>
              </a:graphicData>
            </a:graphic>
          </wp:inline>
        </w:drawing>
      </w:r>
    </w:p>
    <w:p w14:paraId="7CDC73E0">
      <w:pPr>
        <w:pStyle w:val="32"/>
        <w:numPr>
          <w:ilvl w:val="0"/>
          <w:numId w:val="2"/>
        </w:numPr>
        <w:spacing w:line="600" w:lineRule="exact"/>
        <w:ind w:firstLineChars="0"/>
        <w:outlineLvl w:val="1"/>
        <w:rPr>
          <w:rStyle w:val="27"/>
          <w:rFonts w:ascii="黑体" w:eastAsia="黑体"/>
          <w:b w:val="0"/>
        </w:rPr>
      </w:pPr>
      <w:bookmarkStart w:id="28" w:name="_Toc15377206"/>
      <w:bookmarkStart w:id="29" w:name="_Toc99843123"/>
      <w:bookmarkStart w:id="30" w:name="_Toc15396604"/>
      <w:r>
        <w:rPr>
          <w:rFonts w:hint="eastAsia" w:ascii="黑体" w:eastAsia="黑体"/>
          <w:sz w:val="32"/>
          <w:szCs w:val="32"/>
        </w:rPr>
        <w:t>收</w:t>
      </w:r>
      <w:r>
        <w:rPr>
          <w:rStyle w:val="27"/>
          <w:rFonts w:hint="eastAsia" w:ascii="黑体" w:eastAsia="黑体"/>
          <w:b w:val="0"/>
        </w:rPr>
        <w:t>入决算情况说明</w:t>
      </w:r>
      <w:bookmarkEnd w:id="28"/>
      <w:bookmarkEnd w:id="29"/>
      <w:bookmarkEnd w:id="30"/>
    </w:p>
    <w:p w14:paraId="382F7613">
      <w:pPr>
        <w:spacing w:line="600" w:lineRule="exact"/>
        <w:ind w:firstLine="640" w:firstLineChars="200"/>
        <w:outlineLvl w:val="1"/>
        <w:rPr>
          <w:rFonts w:ascii="仿宋" w:eastAsia="仿宋"/>
          <w:sz w:val="32"/>
          <w:szCs w:val="32"/>
        </w:rPr>
      </w:pPr>
      <w:bookmarkStart w:id="31" w:name="_Toc99843124"/>
      <w:r>
        <w:rPr>
          <w:rFonts w:hint="eastAsia" w:ascii="仿宋" w:eastAsia="仿宋"/>
          <w:sz w:val="32"/>
          <w:szCs w:val="32"/>
        </w:rPr>
        <w:t>2023年度本年收入合计</w:t>
      </w:r>
      <w:r>
        <w:rPr>
          <w:rFonts w:ascii="仿宋" w:eastAsia="仿宋"/>
          <w:b/>
          <w:sz w:val="32"/>
          <w:szCs w:val="32"/>
        </w:rPr>
        <w:t>2076.48</w:t>
      </w:r>
      <w:r>
        <w:rPr>
          <w:rFonts w:hint="eastAsia" w:ascii="仿宋" w:eastAsia="仿宋"/>
          <w:sz w:val="32"/>
          <w:szCs w:val="32"/>
        </w:rPr>
        <w:t>万元，其中：一般公共预算财政拨款收入</w:t>
      </w:r>
      <w:r>
        <w:rPr>
          <w:rFonts w:ascii="仿宋" w:eastAsia="仿宋"/>
          <w:b/>
          <w:sz w:val="32"/>
          <w:szCs w:val="32"/>
        </w:rPr>
        <w:t>2074.26</w:t>
      </w:r>
      <w:r>
        <w:rPr>
          <w:rFonts w:hint="eastAsia" w:ascii="仿宋" w:eastAsia="仿宋"/>
          <w:sz w:val="32"/>
          <w:szCs w:val="32"/>
        </w:rPr>
        <w:t>万元，占</w:t>
      </w:r>
      <w:r>
        <w:rPr>
          <w:rFonts w:ascii="仿宋" w:eastAsia="仿宋"/>
          <w:b/>
          <w:sz w:val="32"/>
          <w:szCs w:val="32"/>
        </w:rPr>
        <w:t>99.89%</w:t>
      </w:r>
      <w:r>
        <w:rPr>
          <w:rFonts w:hint="eastAsia" w:ascii="仿宋" w:eastAsia="仿宋"/>
          <w:sz w:val="32"/>
          <w:szCs w:val="32"/>
        </w:rPr>
        <w:t>；政府性基金预算财政拨款收入</w:t>
      </w:r>
      <w:r>
        <w:rPr>
          <w:rFonts w:ascii="仿宋" w:eastAsia="仿宋"/>
          <w:b/>
          <w:sz w:val="32"/>
          <w:szCs w:val="32"/>
        </w:rPr>
        <w:t>2.22</w:t>
      </w:r>
      <w:r>
        <w:rPr>
          <w:rFonts w:hint="eastAsia" w:ascii="仿宋" w:eastAsia="仿宋"/>
          <w:sz w:val="32"/>
          <w:szCs w:val="32"/>
        </w:rPr>
        <w:t>万元，占</w:t>
      </w:r>
      <w:r>
        <w:rPr>
          <w:rFonts w:ascii="仿宋" w:eastAsia="仿宋"/>
          <w:b/>
          <w:sz w:val="32"/>
          <w:szCs w:val="32"/>
        </w:rPr>
        <w:t>0.1</w:t>
      </w:r>
      <w:r>
        <w:rPr>
          <w:rFonts w:ascii="仿宋" w:eastAsia="仿宋"/>
          <w:sz w:val="32"/>
          <w:szCs w:val="32"/>
        </w:rPr>
        <w:t>%</w:t>
      </w:r>
      <w:r>
        <w:rPr>
          <w:rFonts w:hint="eastAsia" w:ascii="仿宋" w:eastAsia="仿宋"/>
          <w:sz w:val="32"/>
          <w:szCs w:val="32"/>
        </w:rPr>
        <w:t>；国有资本经营预算财政拨款收入</w:t>
      </w:r>
      <w:r>
        <w:rPr>
          <w:rFonts w:ascii="仿宋" w:eastAsia="仿宋"/>
          <w:b/>
          <w:sz w:val="32"/>
          <w:szCs w:val="32"/>
        </w:rPr>
        <w:t>0</w:t>
      </w:r>
      <w:r>
        <w:rPr>
          <w:rFonts w:hint="eastAsia" w:ascii="仿宋" w:eastAsia="仿宋"/>
          <w:sz w:val="32"/>
          <w:szCs w:val="32"/>
        </w:rPr>
        <w:t>万元，占</w:t>
      </w:r>
      <w:r>
        <w:rPr>
          <w:rFonts w:ascii="仿宋" w:eastAsia="仿宋"/>
          <w:b/>
          <w:sz w:val="32"/>
          <w:szCs w:val="32"/>
        </w:rPr>
        <w:t>0</w:t>
      </w:r>
      <w:r>
        <w:rPr>
          <w:rFonts w:ascii="仿宋" w:eastAsia="仿宋"/>
          <w:sz w:val="32"/>
          <w:szCs w:val="32"/>
        </w:rPr>
        <w:t>%</w:t>
      </w:r>
      <w:r>
        <w:rPr>
          <w:rFonts w:hint="eastAsia" w:ascii="仿宋" w:eastAsia="仿宋"/>
          <w:sz w:val="32"/>
          <w:szCs w:val="32"/>
        </w:rPr>
        <w:t>；上级补助收入</w:t>
      </w:r>
      <w:r>
        <w:rPr>
          <w:rFonts w:ascii="仿宋" w:eastAsia="仿宋"/>
          <w:b/>
          <w:sz w:val="32"/>
          <w:szCs w:val="32"/>
        </w:rPr>
        <w:t>0</w:t>
      </w:r>
      <w:r>
        <w:rPr>
          <w:rFonts w:hint="eastAsia" w:ascii="仿宋" w:eastAsia="仿宋"/>
          <w:sz w:val="32"/>
          <w:szCs w:val="32"/>
        </w:rPr>
        <w:t>万元，占</w:t>
      </w:r>
      <w:r>
        <w:rPr>
          <w:rFonts w:ascii="仿宋" w:eastAsia="仿宋"/>
          <w:sz w:val="32"/>
          <w:szCs w:val="32"/>
        </w:rPr>
        <w:t>0%</w:t>
      </w:r>
      <w:r>
        <w:rPr>
          <w:rFonts w:hint="eastAsia" w:ascii="仿宋" w:eastAsia="仿宋"/>
          <w:sz w:val="32"/>
          <w:szCs w:val="32"/>
        </w:rPr>
        <w:t>；事业收入</w:t>
      </w:r>
      <w:r>
        <w:rPr>
          <w:rFonts w:ascii="仿宋" w:eastAsia="仿宋"/>
          <w:b/>
          <w:sz w:val="32"/>
          <w:szCs w:val="32"/>
        </w:rPr>
        <w:t>0</w:t>
      </w:r>
      <w:r>
        <w:rPr>
          <w:rFonts w:hint="eastAsia" w:ascii="仿宋" w:eastAsia="仿宋"/>
          <w:sz w:val="32"/>
          <w:szCs w:val="32"/>
        </w:rPr>
        <w:t>万元，占</w:t>
      </w:r>
      <w:r>
        <w:rPr>
          <w:rFonts w:ascii="仿宋" w:eastAsia="仿宋"/>
          <w:b/>
          <w:sz w:val="32"/>
          <w:szCs w:val="32"/>
        </w:rPr>
        <w:t>0</w:t>
      </w:r>
      <w:r>
        <w:rPr>
          <w:rFonts w:ascii="仿宋" w:eastAsia="仿宋"/>
          <w:sz w:val="32"/>
          <w:szCs w:val="32"/>
        </w:rPr>
        <w:t>%</w:t>
      </w:r>
      <w:r>
        <w:rPr>
          <w:rFonts w:hint="eastAsia" w:ascii="仿宋" w:eastAsia="仿宋"/>
          <w:sz w:val="32"/>
          <w:szCs w:val="32"/>
        </w:rPr>
        <w:t>；经营收入</w:t>
      </w:r>
      <w:r>
        <w:rPr>
          <w:rFonts w:ascii="仿宋" w:eastAsia="仿宋"/>
          <w:b/>
          <w:sz w:val="32"/>
          <w:szCs w:val="32"/>
        </w:rPr>
        <w:t>0</w:t>
      </w:r>
      <w:r>
        <w:rPr>
          <w:rFonts w:hint="eastAsia" w:ascii="仿宋" w:eastAsia="仿宋"/>
          <w:sz w:val="32"/>
          <w:szCs w:val="32"/>
        </w:rPr>
        <w:t>万元，占</w:t>
      </w:r>
      <w:r>
        <w:rPr>
          <w:rFonts w:ascii="仿宋" w:eastAsia="仿宋"/>
          <w:b/>
          <w:sz w:val="32"/>
          <w:szCs w:val="32"/>
        </w:rPr>
        <w:t>0</w:t>
      </w:r>
      <w:r>
        <w:rPr>
          <w:rFonts w:ascii="仿宋" w:eastAsia="仿宋"/>
          <w:sz w:val="32"/>
          <w:szCs w:val="32"/>
        </w:rPr>
        <w:t>%</w:t>
      </w:r>
      <w:r>
        <w:rPr>
          <w:rFonts w:hint="eastAsia" w:ascii="仿宋" w:eastAsia="仿宋"/>
          <w:sz w:val="32"/>
          <w:szCs w:val="32"/>
        </w:rPr>
        <w:t>；附属单位上缴收入</w:t>
      </w:r>
      <w:r>
        <w:rPr>
          <w:rFonts w:ascii="仿宋" w:eastAsia="仿宋"/>
          <w:b/>
          <w:sz w:val="32"/>
          <w:szCs w:val="32"/>
        </w:rPr>
        <w:t>0</w:t>
      </w:r>
      <w:r>
        <w:rPr>
          <w:rFonts w:hint="eastAsia" w:ascii="仿宋" w:eastAsia="仿宋"/>
          <w:sz w:val="32"/>
          <w:szCs w:val="32"/>
        </w:rPr>
        <w:t>万元，占</w:t>
      </w:r>
      <w:r>
        <w:rPr>
          <w:rFonts w:ascii="仿宋" w:eastAsia="仿宋"/>
          <w:b/>
          <w:sz w:val="32"/>
          <w:szCs w:val="32"/>
        </w:rPr>
        <w:t>0</w:t>
      </w:r>
      <w:r>
        <w:rPr>
          <w:rFonts w:ascii="仿宋" w:eastAsia="仿宋"/>
          <w:sz w:val="32"/>
          <w:szCs w:val="32"/>
        </w:rPr>
        <w:t>%</w:t>
      </w:r>
      <w:r>
        <w:rPr>
          <w:rFonts w:hint="eastAsia" w:ascii="仿宋" w:eastAsia="仿宋"/>
          <w:sz w:val="32"/>
          <w:szCs w:val="32"/>
        </w:rPr>
        <w:t>；其他收入</w:t>
      </w:r>
      <w:r>
        <w:rPr>
          <w:rFonts w:ascii="仿宋" w:eastAsia="仿宋"/>
          <w:b/>
          <w:sz w:val="32"/>
          <w:szCs w:val="32"/>
        </w:rPr>
        <w:t>0</w:t>
      </w:r>
      <w:r>
        <w:rPr>
          <w:rFonts w:hint="eastAsia" w:ascii="仿宋" w:eastAsia="仿宋"/>
          <w:sz w:val="32"/>
          <w:szCs w:val="32"/>
        </w:rPr>
        <w:t>万元，占</w:t>
      </w:r>
      <w:r>
        <w:rPr>
          <w:rFonts w:ascii="仿宋" w:eastAsia="仿宋"/>
          <w:b/>
          <w:sz w:val="32"/>
          <w:szCs w:val="32"/>
        </w:rPr>
        <w:t>0</w:t>
      </w:r>
      <w:r>
        <w:rPr>
          <w:rFonts w:ascii="仿宋" w:eastAsia="仿宋"/>
          <w:sz w:val="32"/>
          <w:szCs w:val="32"/>
        </w:rPr>
        <w:t>%</w:t>
      </w:r>
      <w:bookmarkEnd w:id="31"/>
    </w:p>
    <w:p w14:paraId="333B4F41">
      <w:pPr>
        <w:pStyle w:val="2"/>
      </w:pPr>
      <w:r>
        <w:drawing>
          <wp:inline distT="0" distB="0" distL="85090" distR="85090">
            <wp:extent cx="4571365" cy="2742565"/>
            <wp:effectExtent l="0" t="1" r="22" b="2"/>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pic:cNvPicPr>
                      <a:picLocks noChangeAspect="1"/>
                    </pic:cNvPicPr>
                  </pic:nvPicPr>
                  <pic:blipFill>
                    <a:blip r:embed="rId7"/>
                    <a:stretch>
                      <a:fillRect/>
                    </a:stretch>
                  </pic:blipFill>
                  <pic:spPr>
                    <a:xfrm>
                      <a:off x="0" y="0"/>
                      <a:ext cx="4571908" cy="2743157"/>
                    </a:xfrm>
                    <a:prstGeom prst="rect">
                      <a:avLst/>
                    </a:prstGeom>
                    <a:noFill/>
                    <a:ln w="9525" cap="flat" cmpd="sng">
                      <a:noFill/>
                      <a:prstDash val="solid"/>
                      <a:miter/>
                    </a:ln>
                  </pic:spPr>
                </pic:pic>
              </a:graphicData>
            </a:graphic>
          </wp:inline>
        </w:drawing>
      </w:r>
    </w:p>
    <w:p w14:paraId="183AA47F">
      <w:pPr>
        <w:pStyle w:val="32"/>
        <w:numPr>
          <w:ilvl w:val="0"/>
          <w:numId w:val="2"/>
        </w:numPr>
        <w:spacing w:line="600" w:lineRule="exact"/>
        <w:ind w:firstLineChars="0"/>
        <w:outlineLvl w:val="1"/>
        <w:rPr>
          <w:rStyle w:val="27"/>
          <w:rFonts w:ascii="黑体" w:eastAsia="黑体"/>
          <w:b w:val="0"/>
        </w:rPr>
      </w:pPr>
      <w:bookmarkStart w:id="32" w:name="_Toc15377207"/>
      <w:bookmarkStart w:id="33" w:name="_Toc99843125"/>
      <w:bookmarkStart w:id="34" w:name="_Toc15396605"/>
      <w:r>
        <w:rPr>
          <w:rFonts w:hint="eastAsia" w:ascii="黑体" w:eastAsia="黑体"/>
          <w:sz w:val="32"/>
          <w:szCs w:val="32"/>
        </w:rPr>
        <w:t>支</w:t>
      </w:r>
      <w:r>
        <w:rPr>
          <w:rStyle w:val="27"/>
          <w:rFonts w:hint="eastAsia" w:ascii="黑体" w:eastAsia="黑体"/>
          <w:b w:val="0"/>
        </w:rPr>
        <w:t>出决算情况说明</w:t>
      </w:r>
      <w:bookmarkEnd w:id="32"/>
      <w:bookmarkEnd w:id="33"/>
      <w:bookmarkEnd w:id="34"/>
    </w:p>
    <w:p w14:paraId="6BB7CDE0">
      <w:pPr>
        <w:spacing w:line="600" w:lineRule="exact"/>
        <w:ind w:firstLine="640" w:firstLineChars="200"/>
        <w:outlineLvl w:val="1"/>
        <w:rPr>
          <w:rFonts w:ascii="仿宋" w:eastAsia="仿宋"/>
          <w:sz w:val="32"/>
          <w:szCs w:val="32"/>
        </w:rPr>
      </w:pPr>
      <w:bookmarkStart w:id="35" w:name="_Toc99843126"/>
      <w:r>
        <w:rPr>
          <w:rFonts w:hint="eastAsia" w:ascii="仿宋" w:eastAsia="仿宋"/>
          <w:sz w:val="32"/>
          <w:szCs w:val="32"/>
        </w:rPr>
        <w:t>2023年度本年支出合计</w:t>
      </w:r>
      <w:r>
        <w:rPr>
          <w:rFonts w:ascii="仿宋" w:eastAsia="仿宋"/>
          <w:b/>
          <w:sz w:val="32"/>
          <w:szCs w:val="32"/>
        </w:rPr>
        <w:t>2516.96</w:t>
      </w:r>
      <w:r>
        <w:rPr>
          <w:rFonts w:hint="eastAsia" w:ascii="仿宋" w:eastAsia="仿宋"/>
          <w:sz w:val="32"/>
          <w:szCs w:val="32"/>
        </w:rPr>
        <w:t>万元，其中：基本支出</w:t>
      </w:r>
      <w:r>
        <w:rPr>
          <w:rFonts w:ascii="仿宋" w:eastAsia="仿宋"/>
          <w:b/>
          <w:sz w:val="32"/>
          <w:szCs w:val="32"/>
        </w:rPr>
        <w:t>439.39</w:t>
      </w:r>
      <w:r>
        <w:rPr>
          <w:rFonts w:hint="eastAsia" w:ascii="仿宋" w:eastAsia="仿宋"/>
          <w:sz w:val="32"/>
          <w:szCs w:val="32"/>
        </w:rPr>
        <w:t>万元，占</w:t>
      </w:r>
      <w:r>
        <w:rPr>
          <w:rFonts w:ascii="仿宋" w:eastAsia="仿宋"/>
          <w:b/>
          <w:sz w:val="32"/>
          <w:szCs w:val="32"/>
        </w:rPr>
        <w:t>17.45</w:t>
      </w:r>
      <w:r>
        <w:rPr>
          <w:rFonts w:ascii="仿宋" w:eastAsia="仿宋"/>
          <w:sz w:val="32"/>
          <w:szCs w:val="32"/>
        </w:rPr>
        <w:t>%</w:t>
      </w:r>
      <w:r>
        <w:rPr>
          <w:rFonts w:hint="eastAsia" w:ascii="仿宋" w:eastAsia="仿宋"/>
          <w:sz w:val="32"/>
          <w:szCs w:val="32"/>
        </w:rPr>
        <w:t>；项目支出</w:t>
      </w:r>
      <w:r>
        <w:rPr>
          <w:rFonts w:ascii="仿宋" w:eastAsia="仿宋"/>
          <w:b/>
          <w:sz w:val="32"/>
          <w:szCs w:val="32"/>
        </w:rPr>
        <w:t>2077.57</w:t>
      </w:r>
      <w:r>
        <w:rPr>
          <w:rFonts w:hint="eastAsia" w:ascii="仿宋" w:eastAsia="仿宋"/>
          <w:sz w:val="32"/>
          <w:szCs w:val="32"/>
        </w:rPr>
        <w:t>万元，占</w:t>
      </w:r>
      <w:r>
        <w:rPr>
          <w:rFonts w:ascii="仿宋" w:eastAsia="仿宋"/>
          <w:b/>
          <w:sz w:val="32"/>
          <w:szCs w:val="32"/>
        </w:rPr>
        <w:t>82.54</w:t>
      </w:r>
      <w:r>
        <w:rPr>
          <w:rFonts w:ascii="仿宋" w:eastAsia="仿宋"/>
          <w:sz w:val="32"/>
          <w:szCs w:val="32"/>
        </w:rPr>
        <w:t>%</w:t>
      </w:r>
      <w:r>
        <w:rPr>
          <w:rFonts w:hint="eastAsia" w:ascii="仿宋" w:eastAsia="仿宋"/>
          <w:sz w:val="32"/>
          <w:szCs w:val="32"/>
        </w:rPr>
        <w:t>；上缴上级支出</w:t>
      </w:r>
      <w:r>
        <w:rPr>
          <w:rFonts w:ascii="仿宋" w:eastAsia="仿宋"/>
          <w:b/>
          <w:sz w:val="32"/>
          <w:szCs w:val="32"/>
        </w:rPr>
        <w:t>0</w:t>
      </w:r>
      <w:r>
        <w:rPr>
          <w:rFonts w:hint="eastAsia" w:ascii="仿宋" w:eastAsia="仿宋"/>
          <w:sz w:val="32"/>
          <w:szCs w:val="32"/>
        </w:rPr>
        <w:t>万元，占</w:t>
      </w:r>
      <w:r>
        <w:rPr>
          <w:rFonts w:hint="eastAsia" w:ascii="仿宋" w:eastAsia="仿宋"/>
          <w:b/>
          <w:sz w:val="32"/>
          <w:szCs w:val="32"/>
        </w:rPr>
        <w:t>0</w:t>
      </w:r>
      <w:r>
        <w:rPr>
          <w:rFonts w:ascii="仿宋" w:eastAsia="仿宋"/>
          <w:sz w:val="32"/>
          <w:szCs w:val="32"/>
        </w:rPr>
        <w:t>%</w:t>
      </w:r>
      <w:r>
        <w:rPr>
          <w:rFonts w:hint="eastAsia" w:ascii="仿宋" w:eastAsia="仿宋"/>
          <w:sz w:val="32"/>
          <w:szCs w:val="32"/>
        </w:rPr>
        <w:t>；经营支出</w:t>
      </w:r>
      <w:r>
        <w:rPr>
          <w:rFonts w:ascii="仿宋" w:eastAsia="仿宋"/>
          <w:b/>
          <w:sz w:val="32"/>
          <w:szCs w:val="32"/>
        </w:rPr>
        <w:t>0</w:t>
      </w:r>
      <w:r>
        <w:rPr>
          <w:rFonts w:hint="eastAsia" w:ascii="仿宋" w:eastAsia="仿宋"/>
          <w:sz w:val="32"/>
          <w:szCs w:val="32"/>
        </w:rPr>
        <w:t>万元，占</w:t>
      </w:r>
      <w:r>
        <w:rPr>
          <w:rFonts w:ascii="仿宋" w:eastAsia="仿宋"/>
          <w:b/>
          <w:sz w:val="32"/>
          <w:szCs w:val="32"/>
        </w:rPr>
        <w:t>0</w:t>
      </w:r>
      <w:r>
        <w:rPr>
          <w:rFonts w:ascii="仿宋" w:eastAsia="仿宋"/>
          <w:sz w:val="32"/>
          <w:szCs w:val="32"/>
        </w:rPr>
        <w:t>%</w:t>
      </w:r>
      <w:r>
        <w:rPr>
          <w:rFonts w:hint="eastAsia" w:ascii="仿宋" w:eastAsia="仿宋"/>
          <w:sz w:val="32"/>
          <w:szCs w:val="32"/>
        </w:rPr>
        <w:t>；对附属单位补助支出</w:t>
      </w:r>
      <w:r>
        <w:rPr>
          <w:rFonts w:ascii="仿宋" w:eastAsia="仿宋"/>
          <w:b/>
          <w:sz w:val="32"/>
          <w:szCs w:val="32"/>
        </w:rPr>
        <w:t>0</w:t>
      </w:r>
      <w:r>
        <w:rPr>
          <w:rFonts w:hint="eastAsia" w:ascii="仿宋" w:eastAsia="仿宋"/>
          <w:sz w:val="32"/>
          <w:szCs w:val="32"/>
        </w:rPr>
        <w:t>万元，占</w:t>
      </w:r>
      <w:r>
        <w:rPr>
          <w:rFonts w:ascii="仿宋" w:eastAsia="仿宋"/>
          <w:b/>
          <w:sz w:val="32"/>
          <w:szCs w:val="32"/>
        </w:rPr>
        <w:t>0</w:t>
      </w:r>
      <w:r>
        <w:rPr>
          <w:rFonts w:ascii="仿宋" w:eastAsia="仿宋"/>
          <w:sz w:val="32"/>
          <w:szCs w:val="32"/>
        </w:rPr>
        <w:t>%</w:t>
      </w:r>
      <w:r>
        <w:rPr>
          <w:rFonts w:hint="eastAsia" w:ascii="仿宋" w:eastAsia="仿宋"/>
          <w:sz w:val="32"/>
          <w:szCs w:val="32"/>
        </w:rPr>
        <w:t>。</w:t>
      </w:r>
      <w:bookmarkEnd w:id="35"/>
    </w:p>
    <w:p w14:paraId="557A3D03">
      <w:pPr>
        <w:pStyle w:val="2"/>
      </w:pPr>
      <w:r>
        <w:drawing>
          <wp:inline distT="0" distB="0" distL="85090" distR="85090">
            <wp:extent cx="4180840" cy="2312035"/>
            <wp:effectExtent l="0" t="0" r="19" b="32"/>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pic:cNvPicPr>
                      <a:picLocks noChangeAspect="1"/>
                    </pic:cNvPicPr>
                  </pic:nvPicPr>
                  <pic:blipFill>
                    <a:blip r:embed="rId8"/>
                    <a:stretch>
                      <a:fillRect/>
                    </a:stretch>
                  </pic:blipFill>
                  <pic:spPr>
                    <a:xfrm>
                      <a:off x="0" y="0"/>
                      <a:ext cx="4181392" cy="2312285"/>
                    </a:xfrm>
                    <a:prstGeom prst="rect">
                      <a:avLst/>
                    </a:prstGeom>
                    <a:noFill/>
                    <a:ln w="9525" cap="flat" cmpd="sng">
                      <a:noFill/>
                      <a:prstDash val="solid"/>
                      <a:miter/>
                    </a:ln>
                  </pic:spPr>
                </pic:pic>
              </a:graphicData>
            </a:graphic>
          </wp:inline>
        </w:drawing>
      </w:r>
    </w:p>
    <w:p w14:paraId="69044C57">
      <w:pPr>
        <w:spacing w:line="600" w:lineRule="exact"/>
        <w:ind w:firstLine="640" w:firstLineChars="200"/>
        <w:outlineLvl w:val="1"/>
        <w:rPr>
          <w:rStyle w:val="27"/>
          <w:rFonts w:ascii="黑体" w:eastAsia="黑体"/>
          <w:b w:val="0"/>
        </w:rPr>
      </w:pPr>
      <w:bookmarkStart w:id="36" w:name="_Toc15396606"/>
      <w:bookmarkStart w:id="37" w:name="_Toc99843127"/>
      <w:bookmarkStart w:id="38" w:name="_Toc15377208"/>
      <w:r>
        <w:rPr>
          <w:rFonts w:hint="eastAsia" w:ascii="黑体" w:eastAsia="黑体"/>
          <w:sz w:val="32"/>
          <w:szCs w:val="32"/>
        </w:rPr>
        <w:t>四、财</w:t>
      </w:r>
      <w:r>
        <w:rPr>
          <w:rStyle w:val="27"/>
          <w:rFonts w:hint="eastAsia" w:ascii="黑体" w:eastAsia="黑体"/>
          <w:b w:val="0"/>
        </w:rPr>
        <w:t>政拨款收入支出决算总体情况说明</w:t>
      </w:r>
      <w:bookmarkEnd w:id="36"/>
      <w:bookmarkEnd w:id="37"/>
      <w:bookmarkEnd w:id="38"/>
    </w:p>
    <w:p w14:paraId="0D78C3DC">
      <w:pPr>
        <w:spacing w:line="600" w:lineRule="exact"/>
        <w:ind w:firstLine="640"/>
        <w:rPr>
          <w:rFonts w:ascii="仿宋" w:eastAsia="仿宋"/>
          <w:sz w:val="32"/>
          <w:szCs w:val="32"/>
        </w:rPr>
      </w:pPr>
      <w:r>
        <w:rPr>
          <w:rFonts w:hint="eastAsia" w:ascii="仿宋" w:eastAsia="仿宋"/>
          <w:sz w:val="32"/>
          <w:szCs w:val="32"/>
        </w:rPr>
        <w:t>2023年度财政拨款收、支总计均为</w:t>
      </w:r>
      <w:r>
        <w:rPr>
          <w:rFonts w:ascii="仿宋" w:eastAsia="仿宋"/>
          <w:b/>
          <w:sz w:val="32"/>
          <w:szCs w:val="32"/>
        </w:rPr>
        <w:t>2516.96</w:t>
      </w:r>
      <w:r>
        <w:rPr>
          <w:rFonts w:hint="eastAsia" w:ascii="仿宋" w:eastAsia="仿宋"/>
          <w:sz w:val="32"/>
          <w:szCs w:val="32"/>
        </w:rPr>
        <w:t>万元。与2022年度相比，收、支总计各减少</w:t>
      </w:r>
      <w:r>
        <w:rPr>
          <w:rFonts w:ascii="仿宋" w:eastAsia="仿宋"/>
          <w:sz w:val="32"/>
          <w:szCs w:val="32"/>
        </w:rPr>
        <w:t>7810.93</w:t>
      </w:r>
      <w:r>
        <w:rPr>
          <w:rFonts w:hint="eastAsia" w:ascii="仿宋" w:eastAsia="仿宋"/>
          <w:sz w:val="32"/>
          <w:szCs w:val="32"/>
        </w:rPr>
        <w:t>万元，下降</w:t>
      </w:r>
      <w:r>
        <w:rPr>
          <w:rFonts w:ascii="仿宋" w:eastAsia="仿宋"/>
          <w:sz w:val="32"/>
          <w:szCs w:val="32"/>
        </w:rPr>
        <w:t>75.62%</w:t>
      </w:r>
      <w:r>
        <w:rPr>
          <w:rFonts w:hint="eastAsia" w:ascii="仿宋" w:eastAsia="仿宋"/>
          <w:sz w:val="32"/>
          <w:szCs w:val="32"/>
        </w:rPr>
        <w:t>。主要变动原因是</w:t>
      </w:r>
      <w:r>
        <w:rPr>
          <w:rFonts w:ascii="仿宋" w:eastAsia="仿宋"/>
          <w:sz w:val="32"/>
          <w:szCs w:val="32"/>
        </w:rPr>
        <w:t>项目减少</w:t>
      </w:r>
      <w:r>
        <w:rPr>
          <w:rFonts w:hint="eastAsia" w:ascii="仿宋" w:eastAsia="仿宋"/>
          <w:sz w:val="32"/>
          <w:szCs w:val="32"/>
        </w:rPr>
        <w:t>。</w:t>
      </w:r>
    </w:p>
    <w:p w14:paraId="69A11E22">
      <w:r>
        <w:drawing>
          <wp:inline distT="0" distB="0" distL="85090" distR="85090">
            <wp:extent cx="4571365" cy="2742565"/>
            <wp:effectExtent l="0" t="0" r="7" b="1"/>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1"/>
                    </pic:cNvPicPr>
                  </pic:nvPicPr>
                  <pic:blipFill>
                    <a:blip r:embed="rId9"/>
                    <a:stretch>
                      <a:fillRect/>
                    </a:stretch>
                  </pic:blipFill>
                  <pic:spPr>
                    <a:xfrm>
                      <a:off x="0" y="0"/>
                      <a:ext cx="4571923" cy="2743157"/>
                    </a:xfrm>
                    <a:prstGeom prst="rect">
                      <a:avLst/>
                    </a:prstGeom>
                    <a:noFill/>
                    <a:ln w="9525" cap="flat" cmpd="sng">
                      <a:noFill/>
                      <a:prstDash val="solid"/>
                      <a:miter/>
                    </a:ln>
                  </pic:spPr>
                </pic:pic>
              </a:graphicData>
            </a:graphic>
          </wp:inline>
        </w:drawing>
      </w:r>
    </w:p>
    <w:p w14:paraId="17D6F91E">
      <w:pPr>
        <w:spacing w:line="600" w:lineRule="exact"/>
        <w:ind w:firstLine="640" w:firstLineChars="200"/>
        <w:outlineLvl w:val="1"/>
        <w:rPr>
          <w:rStyle w:val="27"/>
          <w:rFonts w:ascii="黑体" w:eastAsia="黑体"/>
          <w:b w:val="0"/>
        </w:rPr>
      </w:pPr>
      <w:bookmarkStart w:id="39" w:name="_Toc15396607"/>
      <w:bookmarkStart w:id="40" w:name="_Toc15377209"/>
      <w:bookmarkStart w:id="41" w:name="_Toc99843128"/>
      <w:r>
        <w:rPr>
          <w:rFonts w:hint="eastAsia" w:ascii="黑体" w:eastAsia="黑体"/>
          <w:sz w:val="32"/>
          <w:szCs w:val="32"/>
        </w:rPr>
        <w:t>五、</w:t>
      </w:r>
      <w:r>
        <w:rPr>
          <w:rFonts w:hint="eastAsia" w:ascii="黑体" w:eastAsia="黑体"/>
          <w:b/>
          <w:sz w:val="32"/>
          <w:szCs w:val="32"/>
        </w:rPr>
        <w:t>一</w:t>
      </w:r>
      <w:r>
        <w:rPr>
          <w:rStyle w:val="27"/>
          <w:rFonts w:hint="eastAsia" w:ascii="黑体" w:eastAsia="黑体"/>
          <w:b w:val="0"/>
        </w:rPr>
        <w:t>般公共预算财政拨款支出决算情况说明</w:t>
      </w:r>
      <w:bookmarkEnd w:id="39"/>
      <w:bookmarkEnd w:id="40"/>
      <w:bookmarkEnd w:id="41"/>
    </w:p>
    <w:p w14:paraId="0FB904A7">
      <w:pPr>
        <w:spacing w:line="600" w:lineRule="exact"/>
        <w:ind w:firstLine="643" w:firstLineChars="200"/>
        <w:outlineLvl w:val="2"/>
        <w:rPr>
          <w:rFonts w:ascii="仿宋" w:eastAsia="仿宋"/>
          <w:b/>
          <w:sz w:val="32"/>
          <w:szCs w:val="32"/>
        </w:rPr>
      </w:pPr>
      <w:bookmarkStart w:id="42" w:name="_Toc99843129"/>
      <w:bookmarkStart w:id="43" w:name="_Toc15377210"/>
      <w:r>
        <w:rPr>
          <w:rFonts w:hint="eastAsia" w:ascii="仿宋" w:eastAsia="仿宋"/>
          <w:b/>
          <w:sz w:val="32"/>
          <w:szCs w:val="32"/>
        </w:rPr>
        <w:t>（一）一般公共预算财政拨款支出决算总体情况</w:t>
      </w:r>
      <w:bookmarkEnd w:id="42"/>
      <w:bookmarkEnd w:id="43"/>
    </w:p>
    <w:p w14:paraId="7E363B68">
      <w:pPr>
        <w:spacing w:line="600" w:lineRule="exact"/>
        <w:ind w:firstLine="640" w:firstLineChars="200"/>
        <w:rPr>
          <w:rFonts w:ascii="仿宋" w:eastAsia="仿宋"/>
          <w:sz w:val="32"/>
          <w:szCs w:val="32"/>
        </w:rPr>
      </w:pPr>
      <w:r>
        <w:rPr>
          <w:rFonts w:hint="eastAsia" w:ascii="仿宋" w:eastAsia="仿宋"/>
          <w:sz w:val="32"/>
          <w:szCs w:val="32"/>
        </w:rPr>
        <w:t>2023年度一般公共预算财政拨款支出</w:t>
      </w:r>
      <w:r>
        <w:rPr>
          <w:rFonts w:ascii="仿宋" w:eastAsia="仿宋"/>
          <w:b/>
          <w:sz w:val="32"/>
          <w:szCs w:val="32"/>
        </w:rPr>
        <w:t>2514.74</w:t>
      </w:r>
      <w:r>
        <w:rPr>
          <w:rFonts w:hint="eastAsia" w:ascii="仿宋" w:eastAsia="仿宋"/>
          <w:sz w:val="32"/>
          <w:szCs w:val="32"/>
        </w:rPr>
        <w:t>万元，占本年支出合计的</w:t>
      </w:r>
      <w:r>
        <w:rPr>
          <w:rFonts w:ascii="仿宋" w:eastAsia="仿宋"/>
          <w:b/>
          <w:sz w:val="32"/>
          <w:szCs w:val="32"/>
        </w:rPr>
        <w:t>99.91</w:t>
      </w:r>
      <w:r>
        <w:rPr>
          <w:rFonts w:ascii="仿宋" w:eastAsia="仿宋"/>
          <w:sz w:val="32"/>
          <w:szCs w:val="32"/>
        </w:rPr>
        <w:t>%</w:t>
      </w:r>
      <w:r>
        <w:rPr>
          <w:rFonts w:hint="eastAsia" w:ascii="仿宋" w:eastAsia="仿宋"/>
          <w:sz w:val="32"/>
          <w:szCs w:val="32"/>
        </w:rPr>
        <w:t>。与2022年度相比，一般公共预算财政拨款支出减少</w:t>
      </w:r>
      <w:r>
        <w:rPr>
          <w:rFonts w:ascii="仿宋" w:eastAsia="仿宋"/>
          <w:sz w:val="32"/>
          <w:szCs w:val="32"/>
        </w:rPr>
        <w:t>6708.8</w:t>
      </w:r>
      <w:r>
        <w:rPr>
          <w:rFonts w:hint="eastAsia" w:ascii="仿宋" w:eastAsia="仿宋"/>
          <w:sz w:val="32"/>
          <w:szCs w:val="32"/>
        </w:rPr>
        <w:t>万元，下降</w:t>
      </w:r>
      <w:r>
        <w:rPr>
          <w:rFonts w:ascii="仿宋" w:eastAsia="仿宋"/>
          <w:sz w:val="32"/>
          <w:szCs w:val="32"/>
        </w:rPr>
        <w:t>72.73%</w:t>
      </w:r>
      <w:r>
        <w:rPr>
          <w:rFonts w:hint="eastAsia" w:ascii="仿宋" w:eastAsia="仿宋"/>
          <w:sz w:val="32"/>
          <w:szCs w:val="32"/>
        </w:rPr>
        <w:t>。主要变动原因是</w:t>
      </w:r>
      <w:r>
        <w:rPr>
          <w:rFonts w:ascii="仿宋" w:eastAsia="仿宋"/>
          <w:sz w:val="32"/>
          <w:szCs w:val="32"/>
        </w:rPr>
        <w:t>项目减少。</w:t>
      </w:r>
    </w:p>
    <w:p w14:paraId="1190D12C">
      <w:pPr>
        <w:pStyle w:val="2"/>
        <w:spacing w:line="377" w:lineRule="auto"/>
      </w:pPr>
    </w:p>
    <w:p w14:paraId="655442AC">
      <w:r>
        <w:drawing>
          <wp:inline distT="0" distB="0" distL="85090" distR="85090">
            <wp:extent cx="4571365" cy="2534285"/>
            <wp:effectExtent l="0" t="0" r="7" b="44"/>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pic:cNvPicPr>
                      <a:picLocks noChangeAspect="1"/>
                    </pic:cNvPicPr>
                  </pic:nvPicPr>
                  <pic:blipFill>
                    <a:blip r:embed="rId10"/>
                    <a:stretch>
                      <a:fillRect/>
                    </a:stretch>
                  </pic:blipFill>
                  <pic:spPr>
                    <a:xfrm>
                      <a:off x="0" y="0"/>
                      <a:ext cx="4571923" cy="2534512"/>
                    </a:xfrm>
                    <a:prstGeom prst="rect">
                      <a:avLst/>
                    </a:prstGeom>
                    <a:noFill/>
                    <a:ln w="9525" cap="flat" cmpd="sng">
                      <a:noFill/>
                      <a:prstDash val="solid"/>
                      <a:miter/>
                    </a:ln>
                  </pic:spPr>
                </pic:pic>
              </a:graphicData>
            </a:graphic>
          </wp:inline>
        </w:drawing>
      </w:r>
    </w:p>
    <w:p w14:paraId="788B4EA7">
      <w:pPr>
        <w:spacing w:line="600" w:lineRule="exact"/>
        <w:ind w:firstLine="643" w:firstLineChars="200"/>
        <w:outlineLvl w:val="2"/>
        <w:rPr>
          <w:rFonts w:ascii="仿宋" w:eastAsia="仿宋"/>
          <w:b/>
          <w:sz w:val="32"/>
          <w:szCs w:val="32"/>
        </w:rPr>
      </w:pPr>
      <w:bookmarkStart w:id="44" w:name="_Toc99843130"/>
      <w:bookmarkStart w:id="45" w:name="_Toc15377211"/>
      <w:r>
        <w:rPr>
          <w:rFonts w:hint="eastAsia" w:ascii="仿宋" w:eastAsia="仿宋"/>
          <w:b/>
          <w:sz w:val="32"/>
          <w:szCs w:val="32"/>
        </w:rPr>
        <w:t>（二）一般公共预算财政拨款支出决算结构情况</w:t>
      </w:r>
      <w:bookmarkEnd w:id="44"/>
      <w:bookmarkEnd w:id="45"/>
    </w:p>
    <w:p w14:paraId="03FDA7C3">
      <w:pPr>
        <w:spacing w:line="600" w:lineRule="exact"/>
        <w:ind w:firstLine="640"/>
        <w:rPr>
          <w:rFonts w:ascii="仿宋" w:eastAsia="仿宋"/>
          <w:b/>
          <w:sz w:val="32"/>
          <w:szCs w:val="32"/>
        </w:rPr>
      </w:pPr>
      <w:r>
        <w:rPr>
          <w:rFonts w:hint="eastAsia" w:ascii="仿宋" w:eastAsia="仿宋"/>
          <w:sz w:val="32"/>
          <w:szCs w:val="32"/>
        </w:rPr>
        <w:t>2023年度一般公共预算财政拨款支出</w:t>
      </w:r>
      <w:r>
        <w:rPr>
          <w:rFonts w:ascii="仿宋" w:eastAsia="仿宋"/>
          <w:b/>
          <w:sz w:val="32"/>
          <w:szCs w:val="32"/>
        </w:rPr>
        <w:t>2514.74</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w:t>
      </w:r>
      <w:r>
        <w:rPr>
          <w:rFonts w:hint="eastAsia" w:ascii="仿宋" w:eastAsia="仿宋"/>
          <w:b/>
          <w:bCs/>
          <w:sz w:val="32"/>
          <w:szCs w:val="32"/>
        </w:rPr>
        <w:t>支出</w:t>
      </w:r>
      <w:r>
        <w:rPr>
          <w:rFonts w:ascii="仿宋" w:eastAsia="仿宋"/>
          <w:sz w:val="32"/>
          <w:szCs w:val="32"/>
        </w:rPr>
        <w:t>1.5</w:t>
      </w:r>
      <w:r>
        <w:rPr>
          <w:rFonts w:hint="eastAsia" w:ascii="仿宋" w:eastAsia="仿宋"/>
          <w:sz w:val="32"/>
          <w:szCs w:val="32"/>
        </w:rPr>
        <w:t>万元，占</w:t>
      </w:r>
      <w:r>
        <w:rPr>
          <w:rFonts w:ascii="仿宋" w:eastAsia="仿宋"/>
          <w:sz w:val="32"/>
          <w:szCs w:val="32"/>
        </w:rPr>
        <w:t>0.05%</w:t>
      </w:r>
      <w:r>
        <w:rPr>
          <w:rFonts w:hint="eastAsia" w:ascii="仿宋" w:eastAsia="仿宋"/>
          <w:sz w:val="32"/>
          <w:szCs w:val="32"/>
        </w:rPr>
        <w:t>；</w:t>
      </w:r>
      <w:r>
        <w:rPr>
          <w:rFonts w:ascii="仿宋" w:eastAsia="仿宋"/>
          <w:b/>
          <w:sz w:val="32"/>
          <w:szCs w:val="32"/>
        </w:rPr>
        <w:t>自然资源海洋气象等</w:t>
      </w:r>
      <w:r>
        <w:rPr>
          <w:rFonts w:hint="eastAsia" w:ascii="仿宋" w:eastAsia="仿宋"/>
          <w:b/>
          <w:sz w:val="32"/>
          <w:szCs w:val="32"/>
        </w:rPr>
        <w:t>支出</w:t>
      </w:r>
      <w:r>
        <w:rPr>
          <w:rFonts w:ascii="仿宋" w:eastAsia="仿宋"/>
          <w:sz w:val="32"/>
          <w:szCs w:val="32"/>
        </w:rPr>
        <w:t>776.77</w:t>
      </w:r>
      <w:r>
        <w:rPr>
          <w:rFonts w:hint="eastAsia" w:ascii="仿宋" w:eastAsia="仿宋"/>
          <w:sz w:val="32"/>
          <w:szCs w:val="32"/>
        </w:rPr>
        <w:t>万元，占</w:t>
      </w:r>
      <w:r>
        <w:rPr>
          <w:rFonts w:ascii="仿宋" w:eastAsia="仿宋"/>
          <w:sz w:val="32"/>
          <w:szCs w:val="32"/>
        </w:rPr>
        <w:t>30.88%</w:t>
      </w:r>
      <w:r>
        <w:rPr>
          <w:rFonts w:hint="eastAsia" w:ascii="仿宋" w:eastAsia="仿宋"/>
          <w:sz w:val="32"/>
          <w:szCs w:val="32"/>
        </w:rPr>
        <w:t>；</w:t>
      </w:r>
      <w:r>
        <w:rPr>
          <w:rFonts w:ascii="仿宋" w:eastAsia="仿宋"/>
          <w:b/>
          <w:sz w:val="32"/>
          <w:szCs w:val="32"/>
        </w:rPr>
        <w:t>灾害防治及应急管理</w:t>
      </w:r>
      <w:r>
        <w:rPr>
          <w:rFonts w:hint="eastAsia" w:ascii="仿宋" w:eastAsia="仿宋"/>
          <w:b/>
          <w:bCs/>
          <w:sz w:val="32"/>
          <w:szCs w:val="32"/>
        </w:rPr>
        <w:t>支出</w:t>
      </w:r>
      <w:r>
        <w:rPr>
          <w:rFonts w:ascii="仿宋" w:eastAsia="仿宋"/>
          <w:sz w:val="32"/>
          <w:szCs w:val="32"/>
        </w:rPr>
        <w:t>1621.74</w:t>
      </w:r>
      <w:r>
        <w:rPr>
          <w:rFonts w:hint="eastAsia" w:ascii="仿宋" w:eastAsia="仿宋"/>
          <w:sz w:val="32"/>
          <w:szCs w:val="32"/>
        </w:rPr>
        <w:t>万元，占</w:t>
      </w:r>
      <w:r>
        <w:rPr>
          <w:rFonts w:ascii="仿宋" w:eastAsia="仿宋"/>
          <w:sz w:val="32"/>
          <w:szCs w:val="32"/>
        </w:rPr>
        <w:t>64.48%</w:t>
      </w:r>
      <w:r>
        <w:rPr>
          <w:rFonts w:hint="eastAsia" w:ascii="仿宋" w:eastAsia="仿宋"/>
          <w:sz w:val="32"/>
          <w:szCs w:val="32"/>
        </w:rPr>
        <w:t>；</w:t>
      </w:r>
      <w:r>
        <w:rPr>
          <w:rFonts w:hint="eastAsia" w:ascii="仿宋" w:eastAsia="仿宋"/>
          <w:b/>
          <w:sz w:val="32"/>
          <w:szCs w:val="32"/>
        </w:rPr>
        <w:t>社会保障和就业</w:t>
      </w:r>
      <w:r>
        <w:rPr>
          <w:rFonts w:hint="eastAsia" w:ascii="仿宋" w:eastAsia="仿宋"/>
          <w:b/>
          <w:bCs/>
          <w:sz w:val="32"/>
          <w:szCs w:val="32"/>
        </w:rPr>
        <w:t>支出</w:t>
      </w:r>
      <w:r>
        <w:rPr>
          <w:rFonts w:ascii="仿宋" w:eastAsia="仿宋"/>
          <w:sz w:val="32"/>
          <w:szCs w:val="32"/>
        </w:rPr>
        <w:t>60.84</w:t>
      </w:r>
      <w:r>
        <w:rPr>
          <w:rFonts w:hint="eastAsia" w:ascii="仿宋" w:eastAsia="仿宋"/>
          <w:sz w:val="32"/>
          <w:szCs w:val="32"/>
        </w:rPr>
        <w:t>万元，占</w:t>
      </w:r>
      <w:r>
        <w:rPr>
          <w:rFonts w:ascii="仿宋" w:eastAsia="仿宋"/>
          <w:sz w:val="32"/>
          <w:szCs w:val="32"/>
        </w:rPr>
        <w:t>2.41%</w:t>
      </w:r>
      <w:r>
        <w:rPr>
          <w:rFonts w:hint="eastAsia" w:ascii="仿宋" w:eastAsia="仿宋"/>
          <w:sz w:val="32"/>
          <w:szCs w:val="32"/>
        </w:rPr>
        <w:t>；</w:t>
      </w:r>
      <w:r>
        <w:rPr>
          <w:rFonts w:hint="eastAsia" w:ascii="仿宋" w:eastAsia="仿宋"/>
          <w:b/>
          <w:bCs/>
          <w:sz w:val="32"/>
          <w:szCs w:val="32"/>
        </w:rPr>
        <w:t>卫生健康支出</w:t>
      </w:r>
      <w:r>
        <w:rPr>
          <w:rFonts w:ascii="仿宋" w:eastAsia="仿宋"/>
          <w:sz w:val="32"/>
          <w:szCs w:val="32"/>
        </w:rPr>
        <w:t>24.28</w:t>
      </w:r>
      <w:r>
        <w:rPr>
          <w:rFonts w:hint="eastAsia" w:ascii="仿宋" w:eastAsia="仿宋"/>
          <w:sz w:val="32"/>
          <w:szCs w:val="32"/>
        </w:rPr>
        <w:t>万元，占</w:t>
      </w:r>
      <w:r>
        <w:rPr>
          <w:rFonts w:ascii="仿宋" w:eastAsia="仿宋"/>
          <w:sz w:val="32"/>
          <w:szCs w:val="32"/>
        </w:rPr>
        <w:t>0.96%</w:t>
      </w:r>
      <w:r>
        <w:rPr>
          <w:rFonts w:hint="eastAsia" w:ascii="仿宋" w:eastAsia="仿宋"/>
          <w:sz w:val="32"/>
          <w:szCs w:val="32"/>
        </w:rPr>
        <w:t>；</w:t>
      </w:r>
      <w:r>
        <w:rPr>
          <w:rFonts w:hint="eastAsia" w:ascii="仿宋" w:eastAsia="仿宋"/>
          <w:b/>
          <w:bCs/>
          <w:sz w:val="32"/>
          <w:szCs w:val="32"/>
        </w:rPr>
        <w:t>住房保障支出</w:t>
      </w:r>
      <w:r>
        <w:rPr>
          <w:rFonts w:ascii="仿宋" w:eastAsia="仿宋"/>
          <w:sz w:val="32"/>
          <w:szCs w:val="32"/>
        </w:rPr>
        <w:t>29.61</w:t>
      </w:r>
      <w:r>
        <w:rPr>
          <w:rFonts w:hint="eastAsia" w:ascii="仿宋" w:eastAsia="仿宋"/>
          <w:sz w:val="32"/>
          <w:szCs w:val="32"/>
        </w:rPr>
        <w:t>万元，占</w:t>
      </w:r>
      <w:r>
        <w:rPr>
          <w:rFonts w:ascii="仿宋" w:eastAsia="仿宋"/>
          <w:sz w:val="32"/>
          <w:szCs w:val="32"/>
        </w:rPr>
        <w:t>1.22%</w:t>
      </w:r>
      <w:r>
        <w:rPr>
          <w:rFonts w:hint="eastAsia" w:ascii="仿宋" w:eastAsia="仿宋"/>
          <w:sz w:val="32"/>
          <w:szCs w:val="32"/>
        </w:rPr>
        <w:t>。</w:t>
      </w:r>
    </w:p>
    <w:p w14:paraId="2A872919">
      <w:r>
        <w:drawing>
          <wp:inline distT="0" distB="0" distL="85090" distR="85090">
            <wp:extent cx="5300980" cy="2894330"/>
            <wp:effectExtent l="0" t="0" r="35" b="46"/>
            <wp:docPr id="1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pic:cNvPicPr>
                      <a:picLocks noChangeAspect="1"/>
                    </pic:cNvPicPr>
                  </pic:nvPicPr>
                  <pic:blipFill>
                    <a:blip r:embed="rId11"/>
                    <a:stretch>
                      <a:fillRect/>
                    </a:stretch>
                  </pic:blipFill>
                  <pic:spPr>
                    <a:xfrm>
                      <a:off x="0" y="0"/>
                      <a:ext cx="5301213" cy="2894557"/>
                    </a:xfrm>
                    <a:prstGeom prst="rect">
                      <a:avLst/>
                    </a:prstGeom>
                    <a:noFill/>
                    <a:ln w="9525" cap="flat" cmpd="sng">
                      <a:noFill/>
                      <a:prstDash val="solid"/>
                      <a:miter/>
                    </a:ln>
                  </pic:spPr>
                </pic:pic>
              </a:graphicData>
            </a:graphic>
          </wp:inline>
        </w:drawing>
      </w:r>
    </w:p>
    <w:p w14:paraId="40EAC630">
      <w:pPr>
        <w:spacing w:line="600" w:lineRule="exact"/>
        <w:ind w:firstLine="643" w:firstLineChars="200"/>
        <w:outlineLvl w:val="2"/>
        <w:rPr>
          <w:rFonts w:ascii="仿宋" w:eastAsia="仿宋"/>
          <w:b/>
          <w:sz w:val="32"/>
          <w:szCs w:val="32"/>
        </w:rPr>
      </w:pPr>
      <w:bookmarkStart w:id="46" w:name="_Toc15377212"/>
      <w:bookmarkStart w:id="47" w:name="_Toc99843131"/>
      <w:r>
        <w:rPr>
          <w:rFonts w:hint="eastAsia" w:ascii="仿宋" w:eastAsia="仿宋"/>
          <w:b/>
          <w:sz w:val="32"/>
          <w:szCs w:val="32"/>
        </w:rPr>
        <w:t>（三）一般公共预算财政拨款支出决算具体情况</w:t>
      </w:r>
      <w:bookmarkEnd w:id="46"/>
      <w:bookmarkEnd w:id="47"/>
    </w:p>
    <w:p w14:paraId="1C744171">
      <w:pPr>
        <w:spacing w:line="600" w:lineRule="exact"/>
        <w:ind w:firstLine="643" w:firstLineChars="200"/>
        <w:outlineLvl w:val="2"/>
        <w:rPr>
          <w:rFonts w:ascii="仿宋" w:eastAsia="仿宋"/>
          <w:sz w:val="32"/>
          <w:szCs w:val="32"/>
        </w:rPr>
      </w:pPr>
      <w:bookmarkStart w:id="48" w:name="_Toc15378460"/>
      <w:bookmarkStart w:id="49" w:name="_Toc99843132"/>
      <w:bookmarkStart w:id="50" w:name="_Toc15377444"/>
      <w:bookmarkStart w:id="51" w:name="_Toc15377213"/>
      <w:r>
        <w:rPr>
          <w:rFonts w:hint="eastAsia" w:ascii="仿宋" w:eastAsia="仿宋"/>
          <w:b/>
          <w:sz w:val="32"/>
          <w:szCs w:val="32"/>
        </w:rPr>
        <w:t>2023年度一般公共预算支出决算数为</w:t>
      </w:r>
      <w:r>
        <w:rPr>
          <w:rFonts w:ascii="仿宋" w:eastAsia="仿宋"/>
          <w:b/>
          <w:sz w:val="32"/>
          <w:szCs w:val="32"/>
        </w:rPr>
        <w:t>2514.74</w:t>
      </w:r>
      <w:r>
        <w:rPr>
          <w:rFonts w:hint="eastAsia" w:ascii="仿宋" w:eastAsia="仿宋"/>
          <w:sz w:val="32"/>
          <w:szCs w:val="32"/>
        </w:rPr>
        <w:t>，</w:t>
      </w:r>
      <w:r>
        <w:rPr>
          <w:rStyle w:val="24"/>
          <w:rFonts w:hint="eastAsia" w:ascii="仿宋" w:eastAsia="仿宋"/>
          <w:bCs/>
          <w:sz w:val="32"/>
          <w:szCs w:val="32"/>
        </w:rPr>
        <w:t>完成预算</w:t>
      </w:r>
      <w:r>
        <w:rPr>
          <w:rStyle w:val="24"/>
          <w:rFonts w:ascii="仿宋" w:eastAsia="仿宋"/>
          <w:bCs/>
          <w:sz w:val="32"/>
          <w:szCs w:val="32"/>
        </w:rPr>
        <w:t>100%</w:t>
      </w:r>
      <w:r>
        <w:rPr>
          <w:rStyle w:val="24"/>
          <w:rFonts w:hint="eastAsia" w:ascii="仿宋" w:eastAsia="仿宋"/>
          <w:bCs/>
          <w:sz w:val="32"/>
          <w:szCs w:val="32"/>
        </w:rPr>
        <w:t>。其中：</w:t>
      </w:r>
      <w:bookmarkEnd w:id="48"/>
      <w:bookmarkEnd w:id="49"/>
      <w:bookmarkEnd w:id="50"/>
      <w:bookmarkEnd w:id="51"/>
    </w:p>
    <w:p w14:paraId="4F9D5475">
      <w:pPr>
        <w:spacing w:line="600" w:lineRule="exact"/>
        <w:ind w:firstLine="643" w:firstLineChars="200"/>
        <w:rPr>
          <w:rFonts w:ascii="仿宋" w:eastAsia="仿宋"/>
          <w:b/>
          <w:sz w:val="32"/>
          <w:szCs w:val="32"/>
        </w:rPr>
      </w:pPr>
      <w:r>
        <w:rPr>
          <w:rStyle w:val="24"/>
          <w:rFonts w:ascii="仿宋" w:eastAsia="仿宋"/>
          <w:bCs/>
          <w:sz w:val="32"/>
          <w:szCs w:val="32"/>
        </w:rPr>
        <w:t>1.</w:t>
      </w:r>
      <w:r>
        <w:rPr>
          <w:rStyle w:val="24"/>
          <w:rFonts w:hint="eastAsia" w:ascii="仿宋" w:eastAsia="仿宋"/>
          <w:bCs/>
          <w:sz w:val="32"/>
          <w:szCs w:val="32"/>
        </w:rPr>
        <w:t>一般公共服务（</w:t>
      </w:r>
      <w:r>
        <w:rPr>
          <w:rStyle w:val="24"/>
          <w:rFonts w:ascii="仿宋" w:eastAsia="仿宋"/>
          <w:bCs/>
          <w:sz w:val="32"/>
          <w:szCs w:val="32"/>
        </w:rPr>
        <w:t>201</w:t>
      </w:r>
      <w:r>
        <w:rPr>
          <w:rStyle w:val="24"/>
          <w:rFonts w:hint="eastAsia" w:ascii="仿宋" w:eastAsia="仿宋"/>
          <w:bCs/>
          <w:sz w:val="32"/>
          <w:szCs w:val="32"/>
        </w:rPr>
        <w:t>）</w:t>
      </w:r>
      <w:r>
        <w:rPr>
          <w:rStyle w:val="24"/>
          <w:rFonts w:ascii="仿宋" w:eastAsia="仿宋"/>
          <w:bCs/>
          <w:sz w:val="32"/>
          <w:szCs w:val="32"/>
        </w:rPr>
        <w:t>组织事务</w:t>
      </w:r>
      <w:r>
        <w:rPr>
          <w:rStyle w:val="24"/>
          <w:rFonts w:hint="eastAsia" w:ascii="仿宋" w:eastAsia="仿宋"/>
          <w:bCs/>
          <w:sz w:val="32"/>
          <w:szCs w:val="32"/>
        </w:rPr>
        <w:t>（</w:t>
      </w:r>
      <w:r>
        <w:rPr>
          <w:rStyle w:val="24"/>
          <w:rFonts w:ascii="仿宋" w:eastAsia="仿宋"/>
          <w:bCs/>
          <w:sz w:val="32"/>
          <w:szCs w:val="32"/>
        </w:rPr>
        <w:t>32</w:t>
      </w:r>
      <w:r>
        <w:rPr>
          <w:rStyle w:val="24"/>
          <w:rFonts w:hint="eastAsia" w:ascii="仿宋" w:eastAsia="仿宋"/>
          <w:bCs/>
          <w:sz w:val="32"/>
          <w:szCs w:val="32"/>
        </w:rPr>
        <w:t>）</w:t>
      </w:r>
      <w:r>
        <w:rPr>
          <w:rStyle w:val="24"/>
          <w:rFonts w:ascii="仿宋" w:eastAsia="仿宋"/>
          <w:bCs/>
          <w:sz w:val="32"/>
          <w:szCs w:val="32"/>
        </w:rPr>
        <w:t>其他组织事务支出</w:t>
      </w:r>
      <w:r>
        <w:rPr>
          <w:rStyle w:val="24"/>
          <w:rFonts w:hint="eastAsia" w:ascii="仿宋" w:eastAsia="仿宋"/>
          <w:bCs/>
          <w:sz w:val="32"/>
          <w:szCs w:val="32"/>
        </w:rPr>
        <w:t>（</w:t>
      </w:r>
      <w:r>
        <w:rPr>
          <w:rStyle w:val="24"/>
          <w:rFonts w:ascii="仿宋" w:eastAsia="仿宋"/>
          <w:bCs/>
          <w:sz w:val="32"/>
          <w:szCs w:val="32"/>
        </w:rPr>
        <w:t>99</w:t>
      </w:r>
      <w:r>
        <w:rPr>
          <w:rStyle w:val="24"/>
          <w:rFonts w:hint="eastAsia" w:ascii="仿宋" w:eastAsia="仿宋"/>
          <w:bCs/>
          <w:sz w:val="32"/>
          <w:szCs w:val="32"/>
        </w:rPr>
        <w:t>）</w:t>
      </w:r>
      <w:r>
        <w:rPr>
          <w:rStyle w:val="24"/>
          <w:rFonts w:ascii="仿宋" w:eastAsia="仿宋"/>
          <w:bCs/>
          <w:sz w:val="32"/>
          <w:szCs w:val="32"/>
        </w:rPr>
        <w:t>:</w:t>
      </w:r>
      <w:r>
        <w:rPr>
          <w:rStyle w:val="24"/>
          <w:rFonts w:ascii="仿宋" w:eastAsia="仿宋"/>
          <w:b w:val="0"/>
          <w:bCs/>
          <w:sz w:val="32"/>
          <w:szCs w:val="32"/>
        </w:rPr>
        <w:t xml:space="preserve"> </w:t>
      </w:r>
      <w:r>
        <w:rPr>
          <w:rStyle w:val="24"/>
          <w:rFonts w:hint="eastAsia" w:ascii="仿宋" w:eastAsia="仿宋"/>
          <w:b w:val="0"/>
          <w:bCs/>
          <w:sz w:val="32"/>
          <w:szCs w:val="32"/>
        </w:rPr>
        <w:t>支出决算为</w:t>
      </w:r>
      <w:r>
        <w:rPr>
          <w:rStyle w:val="24"/>
          <w:rFonts w:ascii="仿宋" w:eastAsia="仿宋"/>
          <w:b w:val="0"/>
          <w:bCs/>
          <w:sz w:val="32"/>
          <w:szCs w:val="32"/>
        </w:rPr>
        <w:t>1.5</w:t>
      </w:r>
      <w:r>
        <w:rPr>
          <w:rStyle w:val="24"/>
          <w:rFonts w:hint="eastAsia" w:ascii="仿宋" w:eastAsia="仿宋"/>
          <w:b w:val="0"/>
          <w:bCs/>
          <w:sz w:val="32"/>
          <w:szCs w:val="32"/>
        </w:rPr>
        <w:t>万元，完成预算</w:t>
      </w:r>
      <w:r>
        <w:rPr>
          <w:rStyle w:val="24"/>
          <w:rFonts w:ascii="仿宋" w:eastAsia="仿宋"/>
          <w:b w:val="0"/>
          <w:bCs/>
          <w:sz w:val="32"/>
          <w:szCs w:val="32"/>
        </w:rPr>
        <w:t>100%</w:t>
      </w:r>
      <w:r>
        <w:rPr>
          <w:rStyle w:val="24"/>
          <w:rFonts w:hint="eastAsia" w:ascii="仿宋" w:eastAsia="仿宋"/>
          <w:b w:val="0"/>
          <w:bCs/>
          <w:sz w:val="32"/>
          <w:szCs w:val="32"/>
        </w:rPr>
        <w:t>。</w:t>
      </w:r>
    </w:p>
    <w:p w14:paraId="30214241">
      <w:pPr>
        <w:spacing w:line="600" w:lineRule="exact"/>
        <w:ind w:firstLine="643" w:firstLineChars="200"/>
        <w:rPr>
          <w:rStyle w:val="24"/>
          <w:rFonts w:hint="eastAsia" w:ascii="仿宋" w:eastAsia="仿宋"/>
          <w:b w:val="0"/>
          <w:bCs/>
          <w:sz w:val="32"/>
          <w:szCs w:val="32"/>
        </w:rPr>
      </w:pPr>
      <w:r>
        <w:rPr>
          <w:rStyle w:val="24"/>
          <w:rFonts w:ascii="仿宋" w:eastAsia="仿宋"/>
          <w:bCs/>
          <w:sz w:val="32"/>
          <w:szCs w:val="32"/>
        </w:rPr>
        <w:t>2.</w:t>
      </w:r>
      <w:r>
        <w:rPr>
          <w:rStyle w:val="24"/>
          <w:rFonts w:hint="eastAsia" w:ascii="仿宋" w:eastAsia="仿宋" w:cs="宋体"/>
          <w:bCs/>
          <w:sz w:val="32"/>
          <w:szCs w:val="32"/>
          <w:lang w:bidi="ar-SA"/>
        </w:rPr>
        <w:t>卫生健康支出（210）行政事业单位医疗（11）行政单位医疗（01）、卫生健康支出（210）行政事业单位医疗（11）事业单位医疗（02）、卫生健康支出（210）行政事业单位医疗（11）公务员医疗（03）卫生健康支出（210）行政事业单位医疗（11）其他行政事业单位医疗支出（99）</w:t>
      </w:r>
      <w:r>
        <w:rPr>
          <w:rStyle w:val="24"/>
          <w:rFonts w:hint="eastAsia" w:ascii="仿宋" w:eastAsia="仿宋" w:cs="宋体"/>
          <w:b w:val="0"/>
          <w:bCs/>
          <w:sz w:val="32"/>
          <w:szCs w:val="32"/>
          <w:lang w:bidi="ar-SA"/>
        </w:rPr>
        <w:t>:支出决算为</w:t>
      </w:r>
      <w:r>
        <w:rPr>
          <w:rStyle w:val="24"/>
          <w:rFonts w:ascii="仿宋" w:eastAsia="仿宋" w:cs="宋体"/>
          <w:b w:val="0"/>
          <w:bCs/>
          <w:sz w:val="32"/>
          <w:szCs w:val="32"/>
          <w:lang w:bidi="ar-SA"/>
        </w:rPr>
        <w:t>24.28</w:t>
      </w:r>
      <w:r>
        <w:rPr>
          <w:rStyle w:val="24"/>
          <w:rFonts w:hint="eastAsia" w:ascii="仿宋" w:eastAsia="仿宋" w:cs="宋体"/>
          <w:b w:val="0"/>
          <w:bCs/>
          <w:sz w:val="32"/>
          <w:szCs w:val="32"/>
          <w:lang w:bidi="ar-SA"/>
        </w:rPr>
        <w:t>万元，完成预算100%。</w:t>
      </w:r>
    </w:p>
    <w:p w14:paraId="0DDC5712">
      <w:pPr>
        <w:spacing w:line="600" w:lineRule="exact"/>
        <w:ind w:firstLine="643" w:firstLineChars="200"/>
        <w:rPr>
          <w:rStyle w:val="24"/>
          <w:rFonts w:hint="eastAsia" w:ascii="仿宋" w:eastAsia="仿宋" w:cs="宋体"/>
          <w:b w:val="0"/>
          <w:bCs/>
          <w:sz w:val="32"/>
          <w:szCs w:val="32"/>
        </w:rPr>
      </w:pPr>
      <w:r>
        <w:rPr>
          <w:rStyle w:val="24"/>
          <w:rFonts w:ascii="仿宋" w:eastAsia="仿宋"/>
          <w:bCs/>
          <w:sz w:val="32"/>
          <w:szCs w:val="32"/>
        </w:rPr>
        <w:t>3.</w:t>
      </w:r>
      <w:r>
        <w:rPr>
          <w:rStyle w:val="24"/>
          <w:rFonts w:hint="eastAsia" w:ascii="仿宋" w:eastAsia="仿宋" w:cs="宋体"/>
          <w:bCs/>
          <w:sz w:val="32"/>
          <w:szCs w:val="32"/>
        </w:rPr>
        <w:t>自然海洋气象支出（220）自然资源事务（01）行政运行（01）、自然海洋气象支出（220）自然资源事务（01）自然自资源规划及管理（04）、自然海洋气象支出（220）自然资源事务（01）事业运行（50）、自然海洋气象支出（220）自然资源事务（01）其他自然资源事务支出（99）：</w:t>
      </w:r>
      <w:r>
        <w:rPr>
          <w:rStyle w:val="24"/>
          <w:rFonts w:hint="eastAsia" w:ascii="仿宋" w:eastAsia="仿宋" w:cs="宋体"/>
          <w:b w:val="0"/>
          <w:bCs/>
          <w:sz w:val="32"/>
          <w:szCs w:val="32"/>
        </w:rPr>
        <w:t>支出决算为</w:t>
      </w:r>
      <w:r>
        <w:rPr>
          <w:rStyle w:val="24"/>
          <w:rFonts w:ascii="仿宋" w:eastAsia="仿宋" w:cs="宋体"/>
          <w:b w:val="0"/>
          <w:bCs/>
          <w:sz w:val="32"/>
          <w:szCs w:val="32"/>
        </w:rPr>
        <w:t>776.77</w:t>
      </w:r>
      <w:r>
        <w:rPr>
          <w:rStyle w:val="24"/>
          <w:rFonts w:hint="eastAsia" w:ascii="仿宋" w:eastAsia="仿宋" w:cs="宋体"/>
          <w:b w:val="0"/>
          <w:bCs/>
          <w:sz w:val="32"/>
          <w:szCs w:val="32"/>
        </w:rPr>
        <w:t>万元，完成预算100%。</w:t>
      </w:r>
    </w:p>
    <w:p w14:paraId="174C0AC7">
      <w:pPr>
        <w:pStyle w:val="20"/>
        <w:shd w:val="clear" w:color="auto" w:fill="FFFFFF"/>
        <w:ind w:firstLine="643" w:firstLineChars="200"/>
        <w:rPr>
          <w:rStyle w:val="24"/>
          <w:rFonts w:hint="eastAsia" w:ascii="仿宋" w:eastAsia="仿宋"/>
          <w:b w:val="0"/>
          <w:bCs/>
          <w:kern w:val="2"/>
          <w:sz w:val="32"/>
          <w:szCs w:val="32"/>
        </w:rPr>
      </w:pPr>
      <w:r>
        <w:rPr>
          <w:rStyle w:val="24"/>
          <w:rFonts w:ascii="仿宋" w:eastAsia="仿宋"/>
          <w:bCs/>
          <w:sz w:val="32"/>
          <w:szCs w:val="32"/>
        </w:rPr>
        <w:t>4.</w:t>
      </w:r>
      <w:r>
        <w:rPr>
          <w:rStyle w:val="24"/>
          <w:rFonts w:hint="eastAsia" w:ascii="仿宋" w:eastAsia="仿宋"/>
          <w:bCs/>
          <w:kern w:val="2"/>
          <w:sz w:val="32"/>
          <w:szCs w:val="32"/>
          <w:lang w:bidi="ar-SA"/>
        </w:rPr>
        <w:t>住房保障支出（221）住房改革支出（02）住房公积金（01）：</w:t>
      </w:r>
      <w:r>
        <w:rPr>
          <w:rStyle w:val="24"/>
          <w:rFonts w:hint="eastAsia" w:ascii="仿宋" w:eastAsia="仿宋"/>
          <w:b w:val="0"/>
          <w:bCs/>
          <w:kern w:val="2"/>
          <w:sz w:val="32"/>
          <w:szCs w:val="32"/>
          <w:lang w:bidi="ar-SA"/>
        </w:rPr>
        <w:t>支出决算为</w:t>
      </w:r>
      <w:r>
        <w:rPr>
          <w:rStyle w:val="24"/>
          <w:rFonts w:ascii="仿宋" w:eastAsia="仿宋"/>
          <w:b w:val="0"/>
          <w:bCs/>
          <w:kern w:val="2"/>
          <w:sz w:val="32"/>
          <w:szCs w:val="32"/>
          <w:lang w:bidi="ar-SA"/>
        </w:rPr>
        <w:t>29.61</w:t>
      </w:r>
      <w:r>
        <w:rPr>
          <w:rStyle w:val="24"/>
          <w:rFonts w:hint="eastAsia" w:ascii="仿宋" w:eastAsia="仿宋"/>
          <w:b w:val="0"/>
          <w:bCs/>
          <w:kern w:val="2"/>
          <w:sz w:val="32"/>
          <w:szCs w:val="32"/>
          <w:lang w:bidi="ar-SA"/>
        </w:rPr>
        <w:t>万元，完成预算100%。</w:t>
      </w:r>
    </w:p>
    <w:p w14:paraId="7D351BF7">
      <w:pPr>
        <w:spacing w:line="600" w:lineRule="exact"/>
        <w:ind w:firstLine="643" w:firstLineChars="200"/>
        <w:rPr>
          <w:rStyle w:val="24"/>
          <w:rFonts w:hint="eastAsia" w:ascii="仿宋" w:eastAsia="仿宋"/>
          <w:b w:val="0"/>
          <w:bCs/>
          <w:sz w:val="32"/>
          <w:szCs w:val="32"/>
        </w:rPr>
      </w:pPr>
      <w:r>
        <w:rPr>
          <w:rStyle w:val="24"/>
          <w:rFonts w:ascii="仿宋" w:eastAsia="仿宋"/>
          <w:bCs/>
          <w:sz w:val="32"/>
          <w:szCs w:val="32"/>
        </w:rPr>
        <w:t>5</w:t>
      </w:r>
      <w:r>
        <w:rPr>
          <w:rStyle w:val="24"/>
          <w:rFonts w:hint="eastAsia" w:ascii="仿宋" w:eastAsia="仿宋"/>
          <w:bCs/>
          <w:sz w:val="32"/>
          <w:szCs w:val="32"/>
        </w:rPr>
        <w:t>.</w:t>
      </w:r>
      <w:r>
        <w:rPr>
          <w:rStyle w:val="24"/>
          <w:rFonts w:hint="eastAsia" w:ascii="仿宋" w:eastAsia="仿宋" w:cs="宋体"/>
          <w:bCs/>
          <w:sz w:val="32"/>
          <w:szCs w:val="32"/>
        </w:rPr>
        <w:t>灾害防治及应急管理支出（224）自然灾害防治（06）地质灾害防治（01）、灾害防治及应急管理支出（224）自然灾害防治（06）其他自然灾害防治支出（99）：</w:t>
      </w:r>
      <w:r>
        <w:rPr>
          <w:rStyle w:val="24"/>
          <w:rFonts w:hint="eastAsia" w:ascii="仿宋" w:eastAsia="仿宋" w:cs="宋体"/>
          <w:b w:val="0"/>
          <w:bCs/>
          <w:sz w:val="32"/>
          <w:szCs w:val="32"/>
        </w:rPr>
        <w:t>支出决算为</w:t>
      </w:r>
      <w:r>
        <w:rPr>
          <w:rStyle w:val="24"/>
          <w:rFonts w:ascii="仿宋" w:eastAsia="仿宋" w:cs="宋体"/>
          <w:b w:val="0"/>
          <w:bCs/>
          <w:sz w:val="32"/>
          <w:szCs w:val="32"/>
        </w:rPr>
        <w:t>1621.74</w:t>
      </w:r>
      <w:r>
        <w:rPr>
          <w:rStyle w:val="24"/>
          <w:rFonts w:hint="eastAsia" w:ascii="仿宋" w:eastAsia="仿宋" w:cs="宋体"/>
          <w:b w:val="0"/>
          <w:bCs/>
          <w:sz w:val="32"/>
          <w:szCs w:val="32"/>
        </w:rPr>
        <w:t>万元，完成预算100%。</w:t>
      </w:r>
    </w:p>
    <w:p w14:paraId="187FCB39">
      <w:pPr>
        <w:spacing w:line="600" w:lineRule="exact"/>
        <w:ind w:firstLine="643" w:firstLineChars="200"/>
        <w:rPr>
          <w:rStyle w:val="24"/>
          <w:rFonts w:hint="eastAsia" w:ascii="仿宋" w:eastAsia="仿宋" w:cs="宋体"/>
          <w:b w:val="0"/>
          <w:bCs/>
          <w:sz w:val="32"/>
          <w:szCs w:val="32"/>
        </w:rPr>
      </w:pPr>
      <w:r>
        <w:rPr>
          <w:rStyle w:val="24"/>
          <w:rFonts w:ascii="仿宋" w:eastAsia="仿宋"/>
          <w:bCs/>
          <w:sz w:val="32"/>
          <w:szCs w:val="32"/>
        </w:rPr>
        <w:t>6</w:t>
      </w:r>
      <w:r>
        <w:rPr>
          <w:rStyle w:val="24"/>
          <w:rFonts w:hint="eastAsia" w:ascii="仿宋" w:eastAsia="仿宋" w:cs="宋体"/>
          <w:bCs/>
          <w:sz w:val="32"/>
          <w:szCs w:val="32"/>
        </w:rPr>
        <w:t>.</w:t>
      </w:r>
      <w:r>
        <w:rPr>
          <w:rStyle w:val="24"/>
          <w:rFonts w:hint="eastAsia" w:ascii="仿宋" w:eastAsia="仿宋" w:cs="宋体"/>
          <w:bCs/>
          <w:sz w:val="32"/>
          <w:szCs w:val="32"/>
          <w:lang w:bidi="ar-SA"/>
        </w:rPr>
        <w:t>社会保障和就业（208）行政事业单位养老支出（05）机关事业单位基本养老保险缴费支出（05）、社会保障和就业（208）行政事业单位养老支出（05）机关事业单位职业年金缴费支出（06）:</w:t>
      </w:r>
      <w:r>
        <w:rPr>
          <w:rStyle w:val="24"/>
          <w:rFonts w:hint="eastAsia" w:ascii="仿宋" w:eastAsia="仿宋" w:cs="宋体"/>
          <w:b w:val="0"/>
          <w:bCs/>
          <w:sz w:val="32"/>
          <w:szCs w:val="32"/>
          <w:lang w:bidi="ar-SA"/>
        </w:rPr>
        <w:t xml:space="preserve"> 支出决算为</w:t>
      </w:r>
      <w:r>
        <w:rPr>
          <w:rStyle w:val="24"/>
          <w:rFonts w:ascii="仿宋" w:eastAsia="仿宋" w:cs="宋体"/>
          <w:b w:val="0"/>
          <w:bCs/>
          <w:sz w:val="32"/>
          <w:szCs w:val="32"/>
          <w:lang w:bidi="ar-SA"/>
        </w:rPr>
        <w:t>60.84</w:t>
      </w:r>
      <w:r>
        <w:rPr>
          <w:rStyle w:val="24"/>
          <w:rFonts w:hint="eastAsia" w:ascii="仿宋" w:eastAsia="仿宋" w:cs="宋体"/>
          <w:b w:val="0"/>
          <w:bCs/>
          <w:sz w:val="32"/>
          <w:szCs w:val="32"/>
          <w:lang w:bidi="ar-SA"/>
        </w:rPr>
        <w:t>万元，完成预算100%。</w:t>
      </w:r>
    </w:p>
    <w:p w14:paraId="25FB6148">
      <w:pPr>
        <w:tabs>
          <w:tab w:val="right" w:pos="8306"/>
        </w:tabs>
        <w:spacing w:line="600" w:lineRule="exact"/>
        <w:ind w:firstLine="640"/>
        <w:outlineLvl w:val="1"/>
        <w:rPr>
          <w:rStyle w:val="27"/>
        </w:rPr>
      </w:pPr>
      <w:bookmarkStart w:id="52" w:name="_Toc15396608"/>
      <w:bookmarkStart w:id="53" w:name="_Toc15377214"/>
      <w:bookmarkStart w:id="54" w:name="_Toc99843133"/>
      <w:r>
        <w:rPr>
          <w:rFonts w:hint="eastAsia" w:ascii="黑体" w:eastAsia="黑体"/>
          <w:sz w:val="32"/>
          <w:szCs w:val="32"/>
        </w:rPr>
        <w:t>六</w:t>
      </w:r>
      <w:r>
        <w:rPr>
          <w:rFonts w:hint="eastAsia" w:ascii="黑体" w:eastAsia="黑体"/>
          <w:b/>
          <w:sz w:val="32"/>
          <w:szCs w:val="32"/>
        </w:rPr>
        <w:t>、一</w:t>
      </w:r>
      <w:r>
        <w:rPr>
          <w:rStyle w:val="27"/>
          <w:rFonts w:hint="eastAsia" w:ascii="黑体" w:eastAsia="黑体"/>
          <w:b w:val="0"/>
        </w:rPr>
        <w:t>般公共预算财政拨款基本支出决算情况说明</w:t>
      </w:r>
      <w:bookmarkEnd w:id="52"/>
      <w:bookmarkEnd w:id="53"/>
      <w:r>
        <w:rPr>
          <w:rStyle w:val="27"/>
          <w:rFonts w:ascii="黑体" w:eastAsia="黑体"/>
          <w:b w:val="0"/>
        </w:rPr>
        <w:tab/>
      </w:r>
      <w:bookmarkEnd w:id="54"/>
    </w:p>
    <w:p w14:paraId="6EACABB5">
      <w:pPr>
        <w:spacing w:line="600" w:lineRule="exact"/>
        <w:ind w:firstLine="645"/>
        <w:rPr>
          <w:rFonts w:ascii="仿宋" w:eastAsia="仿宋"/>
          <w:sz w:val="32"/>
          <w:szCs w:val="32"/>
        </w:rPr>
      </w:pPr>
      <w:r>
        <w:rPr>
          <w:rFonts w:hint="eastAsia" w:ascii="仿宋" w:eastAsia="仿宋"/>
          <w:sz w:val="32"/>
          <w:szCs w:val="32"/>
        </w:rPr>
        <w:t>2023年度一般公共预算财政拨款基本支出</w:t>
      </w:r>
      <w:r>
        <w:rPr>
          <w:rFonts w:ascii="仿宋" w:eastAsia="仿宋"/>
          <w:b/>
          <w:sz w:val="32"/>
          <w:szCs w:val="32"/>
        </w:rPr>
        <w:t>439.39</w:t>
      </w:r>
      <w:r>
        <w:rPr>
          <w:rFonts w:hint="eastAsia" w:ascii="仿宋" w:eastAsia="仿宋"/>
          <w:sz w:val="32"/>
          <w:szCs w:val="32"/>
        </w:rPr>
        <w:t>万元，其中：</w:t>
      </w:r>
    </w:p>
    <w:p w14:paraId="56D4B802">
      <w:pPr>
        <w:spacing w:line="600" w:lineRule="exact"/>
        <w:ind w:firstLine="645"/>
        <w:rPr>
          <w:rFonts w:ascii="仿宋" w:eastAsia="仿宋"/>
          <w:sz w:val="32"/>
          <w:szCs w:val="32"/>
        </w:rPr>
      </w:pPr>
      <w:r>
        <w:rPr>
          <w:rFonts w:hint="eastAsia" w:ascii="仿宋" w:eastAsia="仿宋"/>
          <w:sz w:val="32"/>
          <w:szCs w:val="32"/>
        </w:rPr>
        <w:t>人员经费</w:t>
      </w:r>
      <w:r>
        <w:rPr>
          <w:rFonts w:ascii="仿宋" w:eastAsia="仿宋"/>
          <w:b/>
          <w:sz w:val="32"/>
          <w:szCs w:val="32"/>
        </w:rPr>
        <w:t>411.85</w:t>
      </w:r>
      <w:r>
        <w:rPr>
          <w:rFonts w:hint="eastAsia" w:asci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sz w:val="32"/>
          <w:szCs w:val="32"/>
        </w:rPr>
        <w:br w:type="textWrapping"/>
      </w:r>
      <w:r>
        <w:rPr>
          <w:rFonts w:hint="eastAsia" w:ascii="仿宋" w:eastAsia="仿宋"/>
          <w:sz w:val="32"/>
          <w:szCs w:val="32"/>
        </w:rPr>
        <w:t>　　公用经费</w:t>
      </w:r>
      <w:r>
        <w:rPr>
          <w:rFonts w:ascii="仿宋" w:eastAsia="仿宋"/>
          <w:b/>
          <w:sz w:val="32"/>
          <w:szCs w:val="32"/>
        </w:rPr>
        <w:t>27.54</w:t>
      </w:r>
      <w:r>
        <w:rPr>
          <w:rFonts w:hint="eastAsia" w:asci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6959030">
      <w:pPr>
        <w:spacing w:line="600" w:lineRule="exact"/>
        <w:ind w:firstLine="640"/>
        <w:outlineLvl w:val="1"/>
        <w:rPr>
          <w:rStyle w:val="27"/>
          <w:rFonts w:ascii="黑体" w:eastAsia="黑体"/>
          <w:b w:val="0"/>
        </w:rPr>
      </w:pPr>
      <w:bookmarkStart w:id="55" w:name="_Toc99843134"/>
      <w:bookmarkStart w:id="56" w:name="_Toc15377215"/>
      <w:bookmarkStart w:id="57" w:name="_Toc15396609"/>
      <w:r>
        <w:rPr>
          <w:rFonts w:hint="eastAsia" w:ascii="黑体" w:eastAsia="黑体"/>
          <w:sz w:val="32"/>
          <w:szCs w:val="32"/>
        </w:rPr>
        <w:t>七、</w:t>
      </w:r>
      <w:r>
        <w:rPr>
          <w:rStyle w:val="27"/>
          <w:rFonts w:hint="eastAsia" w:ascii="黑体" w:eastAsia="黑体"/>
          <w:b w:val="0"/>
        </w:rPr>
        <w:t>财政拨款</w:t>
      </w:r>
      <w:r>
        <w:rPr>
          <w:rStyle w:val="27"/>
          <w:rFonts w:hint="eastAsia" w:ascii="黑体" w:eastAsia="黑体"/>
        </w:rPr>
        <w:t>“</w:t>
      </w:r>
      <w:r>
        <w:rPr>
          <w:rStyle w:val="27"/>
          <w:rFonts w:hint="eastAsia" w:ascii="黑体" w:eastAsia="黑体"/>
          <w:b w:val="0"/>
        </w:rPr>
        <w:t>三公”经费支出决算情况说明</w:t>
      </w:r>
      <w:bookmarkEnd w:id="55"/>
      <w:bookmarkEnd w:id="56"/>
      <w:bookmarkEnd w:id="57"/>
    </w:p>
    <w:p w14:paraId="6BE4D12E">
      <w:pPr>
        <w:spacing w:line="600" w:lineRule="exact"/>
        <w:ind w:firstLine="640"/>
        <w:outlineLvl w:val="2"/>
        <w:rPr>
          <w:rFonts w:ascii="仿宋" w:eastAsia="仿宋"/>
          <w:b/>
          <w:sz w:val="32"/>
          <w:szCs w:val="32"/>
        </w:rPr>
      </w:pPr>
      <w:bookmarkStart w:id="58" w:name="_Toc15377216"/>
      <w:bookmarkStart w:id="59" w:name="_Toc99843135"/>
      <w:r>
        <w:rPr>
          <w:rFonts w:hint="eastAsia" w:ascii="仿宋" w:eastAsia="仿宋"/>
          <w:b/>
          <w:sz w:val="32"/>
          <w:szCs w:val="32"/>
        </w:rPr>
        <w:t>（一）“三公”经费财政拨款支出决算总体情况说明</w:t>
      </w:r>
      <w:bookmarkEnd w:id="58"/>
      <w:bookmarkEnd w:id="59"/>
    </w:p>
    <w:p w14:paraId="7C55AAA8">
      <w:pPr>
        <w:spacing w:line="600" w:lineRule="exact"/>
        <w:ind w:firstLine="640"/>
        <w:rPr>
          <w:rFonts w:ascii="仿宋" w:eastAsia="仿宋"/>
          <w:sz w:val="32"/>
          <w:szCs w:val="32"/>
        </w:rPr>
      </w:pPr>
      <w:r>
        <w:rPr>
          <w:rFonts w:hint="eastAsia" w:ascii="仿宋" w:eastAsia="仿宋"/>
          <w:sz w:val="32"/>
          <w:szCs w:val="32"/>
        </w:rPr>
        <w:t>2023年度“三公”经费财政拨款支出决算为</w:t>
      </w:r>
      <w:r>
        <w:rPr>
          <w:rFonts w:ascii="仿宋" w:eastAsia="仿宋"/>
          <w:b/>
          <w:sz w:val="32"/>
          <w:szCs w:val="32"/>
        </w:rPr>
        <w:t>9.1</w:t>
      </w:r>
      <w:r>
        <w:rPr>
          <w:rFonts w:hint="eastAsia" w:ascii="仿宋" w:eastAsia="仿宋"/>
          <w:sz w:val="32"/>
          <w:szCs w:val="32"/>
        </w:rPr>
        <w:t>万元，完成预算</w:t>
      </w:r>
      <w:r>
        <w:rPr>
          <w:rFonts w:ascii="仿宋" w:eastAsia="仿宋"/>
          <w:b/>
          <w:sz w:val="32"/>
          <w:szCs w:val="32"/>
        </w:rPr>
        <w:t>100</w:t>
      </w:r>
      <w:r>
        <w:rPr>
          <w:rFonts w:ascii="仿宋" w:eastAsia="仿宋"/>
          <w:sz w:val="32"/>
          <w:szCs w:val="32"/>
        </w:rPr>
        <w:t>%</w:t>
      </w:r>
      <w:r>
        <w:rPr>
          <w:rFonts w:hint="eastAsia" w:ascii="仿宋" w:eastAsia="仿宋"/>
          <w:sz w:val="32"/>
          <w:szCs w:val="32"/>
        </w:rPr>
        <w:t>，较上年度减少</w:t>
      </w:r>
      <w:r>
        <w:rPr>
          <w:rFonts w:ascii="仿宋" w:eastAsia="仿宋"/>
          <w:sz w:val="32"/>
          <w:szCs w:val="32"/>
        </w:rPr>
        <w:t>0.01</w:t>
      </w:r>
      <w:r>
        <w:rPr>
          <w:rFonts w:hint="eastAsia" w:ascii="仿宋" w:eastAsia="仿宋"/>
          <w:sz w:val="32"/>
          <w:szCs w:val="32"/>
        </w:rPr>
        <w:t>万元，下降</w:t>
      </w:r>
      <w:r>
        <w:rPr>
          <w:rFonts w:ascii="仿宋" w:eastAsia="仿宋"/>
          <w:sz w:val="32"/>
          <w:szCs w:val="32"/>
        </w:rPr>
        <w:t>0.1</w:t>
      </w:r>
      <w:r>
        <w:rPr>
          <w:rFonts w:hint="eastAsia" w:ascii="仿宋" w:eastAsia="仿宋"/>
          <w:sz w:val="32"/>
          <w:szCs w:val="32"/>
        </w:rPr>
        <w:t>%。</w:t>
      </w:r>
    </w:p>
    <w:p w14:paraId="563D44FC">
      <w:pPr>
        <w:spacing w:line="600" w:lineRule="exact"/>
        <w:ind w:firstLine="640"/>
        <w:outlineLvl w:val="2"/>
        <w:rPr>
          <w:rFonts w:ascii="仿宋" w:eastAsia="仿宋"/>
          <w:b/>
          <w:sz w:val="32"/>
          <w:szCs w:val="32"/>
        </w:rPr>
      </w:pPr>
      <w:bookmarkStart w:id="60" w:name="_Toc15377217"/>
      <w:bookmarkStart w:id="61" w:name="_Toc99843136"/>
      <w:r>
        <w:rPr>
          <w:rFonts w:hint="eastAsia" w:ascii="仿宋" w:eastAsia="仿宋"/>
          <w:b/>
          <w:sz w:val="32"/>
          <w:szCs w:val="32"/>
        </w:rPr>
        <w:t>（二）“三公”经费财政拨款支出决算具体情况说明</w:t>
      </w:r>
      <w:bookmarkEnd w:id="60"/>
      <w:bookmarkEnd w:id="61"/>
    </w:p>
    <w:p w14:paraId="6D8EED73">
      <w:pPr>
        <w:spacing w:line="600" w:lineRule="exact"/>
        <w:ind w:firstLine="640"/>
        <w:rPr>
          <w:rFonts w:ascii="仿宋" w:eastAsia="仿宋"/>
          <w:sz w:val="32"/>
          <w:szCs w:val="32"/>
        </w:rPr>
      </w:pPr>
      <w:r>
        <w:rPr>
          <w:rFonts w:hint="eastAsia" w:ascii="仿宋" w:eastAsia="仿宋"/>
          <w:sz w:val="32"/>
          <w:szCs w:val="32"/>
        </w:rPr>
        <w:t>2023年度“三公”经费财政拨款支出决算中，因公出国（境）费支出决算</w:t>
      </w:r>
      <w:r>
        <w:rPr>
          <w:rFonts w:ascii="仿宋" w:eastAsia="仿宋"/>
          <w:b/>
          <w:sz w:val="32"/>
          <w:szCs w:val="32"/>
        </w:rPr>
        <w:t>0</w:t>
      </w:r>
      <w:r>
        <w:rPr>
          <w:rFonts w:hint="eastAsia" w:ascii="仿宋" w:eastAsia="仿宋"/>
          <w:sz w:val="32"/>
          <w:szCs w:val="32"/>
        </w:rPr>
        <w:t>万元，占</w:t>
      </w:r>
      <w:r>
        <w:rPr>
          <w:rFonts w:ascii="仿宋" w:eastAsia="仿宋"/>
          <w:b/>
          <w:sz w:val="32"/>
          <w:szCs w:val="32"/>
        </w:rPr>
        <w:t>0</w:t>
      </w:r>
      <w:r>
        <w:rPr>
          <w:rFonts w:ascii="仿宋" w:eastAsia="仿宋"/>
          <w:sz w:val="32"/>
          <w:szCs w:val="32"/>
        </w:rPr>
        <w:t>%</w:t>
      </w:r>
      <w:r>
        <w:rPr>
          <w:rFonts w:hint="eastAsia" w:ascii="仿宋" w:eastAsia="仿宋"/>
          <w:sz w:val="32"/>
          <w:szCs w:val="32"/>
        </w:rPr>
        <w:t>；公务用车购置及运行维护费支出决算</w:t>
      </w:r>
      <w:r>
        <w:rPr>
          <w:rFonts w:ascii="仿宋" w:eastAsia="仿宋"/>
          <w:b/>
          <w:sz w:val="32"/>
          <w:szCs w:val="32"/>
        </w:rPr>
        <w:t>9.1</w:t>
      </w:r>
      <w:r>
        <w:rPr>
          <w:rFonts w:hint="eastAsia" w:ascii="仿宋" w:eastAsia="仿宋"/>
          <w:sz w:val="32"/>
          <w:szCs w:val="32"/>
        </w:rPr>
        <w:t>万元，占</w:t>
      </w:r>
      <w:r>
        <w:rPr>
          <w:rFonts w:ascii="仿宋" w:eastAsia="仿宋"/>
          <w:b/>
          <w:sz w:val="32"/>
          <w:szCs w:val="32"/>
        </w:rPr>
        <w:t>100</w:t>
      </w:r>
      <w:r>
        <w:rPr>
          <w:rFonts w:ascii="仿宋" w:eastAsia="仿宋"/>
          <w:sz w:val="32"/>
          <w:szCs w:val="32"/>
        </w:rPr>
        <w:t>%</w:t>
      </w:r>
      <w:r>
        <w:rPr>
          <w:rFonts w:hint="eastAsia" w:ascii="仿宋" w:eastAsia="仿宋"/>
          <w:sz w:val="32"/>
          <w:szCs w:val="32"/>
        </w:rPr>
        <w:t>；公务接待费支出决算</w:t>
      </w:r>
      <w:r>
        <w:rPr>
          <w:rFonts w:ascii="仿宋" w:eastAsia="仿宋"/>
          <w:b/>
          <w:sz w:val="32"/>
          <w:szCs w:val="32"/>
        </w:rPr>
        <w:t>0</w:t>
      </w:r>
      <w:r>
        <w:rPr>
          <w:rFonts w:hint="eastAsia" w:ascii="仿宋" w:eastAsia="仿宋"/>
          <w:sz w:val="32"/>
          <w:szCs w:val="32"/>
        </w:rPr>
        <w:t>万元，占</w:t>
      </w:r>
      <w:r>
        <w:rPr>
          <w:rFonts w:ascii="仿宋" w:eastAsia="仿宋"/>
          <w:b/>
          <w:sz w:val="32"/>
          <w:szCs w:val="32"/>
        </w:rPr>
        <w:t>0</w:t>
      </w:r>
      <w:r>
        <w:rPr>
          <w:rFonts w:ascii="仿宋" w:eastAsia="仿宋"/>
          <w:sz w:val="32"/>
          <w:szCs w:val="32"/>
        </w:rPr>
        <w:t>%</w:t>
      </w:r>
      <w:r>
        <w:rPr>
          <w:rFonts w:hint="eastAsia" w:ascii="仿宋" w:eastAsia="仿宋"/>
          <w:sz w:val="32"/>
          <w:szCs w:val="32"/>
        </w:rPr>
        <w:t>。具体情况如下：</w:t>
      </w:r>
    </w:p>
    <w:p w14:paraId="0ECFBF21">
      <w:pPr>
        <w:pStyle w:val="2"/>
      </w:pPr>
      <w:r>
        <w:drawing>
          <wp:inline distT="0" distB="0" distL="85090" distR="85090">
            <wp:extent cx="4571365" cy="2742565"/>
            <wp:effectExtent l="0" t="1" r="4" b="2"/>
            <wp:docPr id="19"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pic:cNvPicPr>
                      <a:picLocks noChangeAspect="1"/>
                    </pic:cNvPicPr>
                  </pic:nvPicPr>
                  <pic:blipFill>
                    <a:blip r:embed="rId12"/>
                    <a:stretch>
                      <a:fillRect/>
                    </a:stretch>
                  </pic:blipFill>
                  <pic:spPr>
                    <a:xfrm>
                      <a:off x="0" y="0"/>
                      <a:ext cx="4571926" cy="2743157"/>
                    </a:xfrm>
                    <a:prstGeom prst="rect">
                      <a:avLst/>
                    </a:prstGeom>
                    <a:noFill/>
                    <a:ln w="9525" cap="flat" cmpd="sng">
                      <a:noFill/>
                      <a:prstDash val="solid"/>
                      <a:miter/>
                    </a:ln>
                  </pic:spPr>
                </pic:pic>
              </a:graphicData>
            </a:graphic>
          </wp:inline>
        </w:drawing>
      </w:r>
    </w:p>
    <w:p w14:paraId="3D641BD8">
      <w:pPr>
        <w:numPr>
          <w:ilvl w:val="0"/>
          <w:numId w:val="3"/>
        </w:numPr>
        <w:spacing w:line="600" w:lineRule="exact"/>
        <w:rPr>
          <w:rStyle w:val="24"/>
          <w:rFonts w:ascii="仿宋" w:eastAsia="仿宋"/>
          <w:b w:val="0"/>
          <w:bCs/>
          <w:sz w:val="32"/>
          <w:szCs w:val="32"/>
        </w:rPr>
      </w:pPr>
      <w:bookmarkStart w:id="62" w:name="_Toc15396610"/>
      <w:bookmarkStart w:id="63" w:name="_Toc15377218"/>
      <w:r>
        <w:rPr>
          <w:rFonts w:hint="eastAsia" w:ascii="仿宋_GB2312" w:eastAsia="仿宋_GB2312"/>
          <w:b/>
          <w:sz w:val="32"/>
          <w:szCs w:val="32"/>
        </w:rPr>
        <w:t>因公出国（境）经费支出</w:t>
      </w:r>
      <w:r>
        <w:rPr>
          <w:rFonts w:ascii="仿宋" w:eastAsia="仿宋"/>
          <w:b/>
          <w:sz w:val="32"/>
          <w:szCs w:val="32"/>
        </w:rPr>
        <w:t>0</w:t>
      </w:r>
      <w:r>
        <w:rPr>
          <w:rFonts w:hint="eastAsia" w:ascii="仿宋_GB2312" w:eastAsia="仿宋_GB2312"/>
          <w:sz w:val="32"/>
          <w:szCs w:val="32"/>
        </w:rPr>
        <w:t>万元，</w:t>
      </w:r>
      <w:r>
        <w:rPr>
          <w:rStyle w:val="24"/>
          <w:rFonts w:hint="eastAsia" w:ascii="仿宋" w:eastAsia="仿宋"/>
          <w:b w:val="0"/>
          <w:bCs/>
          <w:sz w:val="32"/>
          <w:szCs w:val="32"/>
        </w:rPr>
        <w:t>完成预算</w:t>
      </w:r>
      <w:r>
        <w:rPr>
          <w:rStyle w:val="24"/>
          <w:rFonts w:ascii="仿宋" w:eastAsia="仿宋"/>
          <w:bCs/>
          <w:sz w:val="32"/>
          <w:szCs w:val="32"/>
        </w:rPr>
        <w:t>0</w:t>
      </w:r>
      <w:r>
        <w:rPr>
          <w:rStyle w:val="24"/>
          <w:rFonts w:ascii="仿宋" w:eastAsia="仿宋"/>
          <w:b w:val="0"/>
          <w:bCs/>
          <w:sz w:val="32"/>
          <w:szCs w:val="32"/>
        </w:rPr>
        <w:t>%</w:t>
      </w:r>
      <w:r>
        <w:rPr>
          <w:rStyle w:val="24"/>
          <w:rFonts w:hint="eastAsia" w:ascii="仿宋" w:eastAsia="仿宋"/>
          <w:b w:val="0"/>
          <w:bCs/>
          <w:sz w:val="32"/>
          <w:szCs w:val="32"/>
        </w:rPr>
        <w:t>。</w:t>
      </w:r>
    </w:p>
    <w:p w14:paraId="30AF52BC">
      <w:pPr>
        <w:numPr>
          <w:ilvl w:val="0"/>
          <w:numId w:val="3"/>
        </w:numPr>
        <w:spacing w:line="600" w:lineRule="exact"/>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eastAsia="仿宋"/>
          <w:b/>
          <w:sz w:val="32"/>
          <w:szCs w:val="32"/>
        </w:rPr>
        <w:t>9.1</w:t>
      </w:r>
      <w:r>
        <w:rPr>
          <w:rFonts w:hint="eastAsia" w:ascii="仿宋_GB2312" w:eastAsia="仿宋_GB2312"/>
          <w:sz w:val="32"/>
          <w:szCs w:val="32"/>
        </w:rPr>
        <w:t>万元,</w:t>
      </w:r>
      <w:r>
        <w:rPr>
          <w:rStyle w:val="24"/>
          <w:rFonts w:hint="eastAsia" w:ascii="仿宋" w:eastAsia="仿宋"/>
          <w:b w:val="0"/>
          <w:bCs/>
          <w:sz w:val="32"/>
          <w:szCs w:val="32"/>
        </w:rPr>
        <w:t>完成预算</w:t>
      </w:r>
      <w:r>
        <w:rPr>
          <w:rStyle w:val="24"/>
          <w:rFonts w:ascii="仿宋" w:eastAsia="仿宋"/>
          <w:bCs/>
          <w:sz w:val="32"/>
          <w:szCs w:val="32"/>
        </w:rPr>
        <w:t>100</w:t>
      </w:r>
      <w:r>
        <w:rPr>
          <w:rStyle w:val="24"/>
          <w:rFonts w:ascii="仿宋" w:eastAsia="仿宋"/>
          <w:b w:val="0"/>
          <w:bCs/>
          <w:sz w:val="32"/>
          <w:szCs w:val="32"/>
        </w:rPr>
        <w:t>%</w:t>
      </w:r>
      <w:r>
        <w:rPr>
          <w:rStyle w:val="24"/>
          <w:rFonts w:hint="eastAsia" w:ascii="仿宋" w:eastAsia="仿宋"/>
          <w:b w:val="0"/>
          <w:bCs/>
          <w:sz w:val="32"/>
          <w:szCs w:val="32"/>
        </w:rPr>
        <w:t>。</w:t>
      </w:r>
      <w:r>
        <w:rPr>
          <w:rFonts w:hint="eastAsia" w:ascii="仿宋_GB2312" w:eastAsia="仿宋_GB2312"/>
          <w:sz w:val="32"/>
          <w:szCs w:val="32"/>
        </w:rPr>
        <w:t>公务用车购置及运行维护费支出决算比2022年度增加</w:t>
      </w:r>
      <w:r>
        <w:rPr>
          <w:rFonts w:ascii="仿宋_GB2312" w:eastAsia="仿宋_GB2312"/>
          <w:sz w:val="32"/>
          <w:szCs w:val="32"/>
        </w:rPr>
        <w:t>0.1</w:t>
      </w:r>
      <w:r>
        <w:rPr>
          <w:rFonts w:hint="eastAsia" w:ascii="仿宋_GB2312" w:eastAsia="仿宋_GB2312"/>
          <w:sz w:val="32"/>
          <w:szCs w:val="32"/>
        </w:rPr>
        <w:t>万元，增长</w:t>
      </w:r>
      <w:r>
        <w:rPr>
          <w:rFonts w:ascii="仿宋_GB2312" w:eastAsia="仿宋_GB2312"/>
          <w:sz w:val="32"/>
          <w:szCs w:val="32"/>
        </w:rPr>
        <w:t>1.1%</w:t>
      </w:r>
      <w:r>
        <w:rPr>
          <w:rFonts w:hint="eastAsia" w:ascii="仿宋_GB2312" w:eastAsia="仿宋_GB2312"/>
          <w:sz w:val="32"/>
          <w:szCs w:val="32"/>
        </w:rPr>
        <w:t>。</w:t>
      </w:r>
    </w:p>
    <w:p w14:paraId="6DD71B94">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eastAsia="仿宋"/>
          <w:b/>
          <w:sz w:val="32"/>
          <w:szCs w:val="32"/>
        </w:rPr>
        <w:t>0</w:t>
      </w:r>
      <w:r>
        <w:rPr>
          <w:rFonts w:hint="eastAsia" w:ascii="仿宋_GB2312" w:eastAsia="仿宋_GB2312"/>
          <w:sz w:val="32"/>
          <w:szCs w:val="32"/>
        </w:rPr>
        <w:t>万元。</w:t>
      </w:r>
    </w:p>
    <w:p w14:paraId="4301214D">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ascii="仿宋" w:eastAsia="仿宋"/>
          <w:b/>
          <w:sz w:val="32"/>
          <w:szCs w:val="32"/>
        </w:rPr>
        <w:t>9.1</w:t>
      </w:r>
      <w:r>
        <w:rPr>
          <w:rFonts w:hint="eastAsia" w:ascii="仿宋_GB2312" w:eastAsia="仿宋_GB2312"/>
          <w:sz w:val="32"/>
          <w:szCs w:val="32"/>
        </w:rPr>
        <w:t>万元。主要用于</w:t>
      </w:r>
      <w:r>
        <w:rPr>
          <w:rFonts w:ascii="仿宋_GB2312" w:eastAsia="仿宋_GB2312"/>
          <w:sz w:val="32"/>
          <w:szCs w:val="32"/>
        </w:rPr>
        <w:t>自然资源工作</w:t>
      </w:r>
      <w:r>
        <w:rPr>
          <w:rFonts w:hint="eastAsia" w:ascii="仿宋_GB2312" w:eastAsia="仿宋_GB2312"/>
          <w:sz w:val="32"/>
          <w:szCs w:val="32"/>
        </w:rPr>
        <w:t>等所需的公务用车燃料费、维修费、过路过桥费、保险费等支出。</w:t>
      </w:r>
    </w:p>
    <w:p w14:paraId="0290D666">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eastAsia="仿宋"/>
          <w:b/>
          <w:sz w:val="32"/>
          <w:szCs w:val="32"/>
        </w:rPr>
        <w:t>0</w:t>
      </w:r>
      <w:r>
        <w:rPr>
          <w:rFonts w:hint="eastAsia" w:ascii="仿宋_GB2312" w:eastAsia="仿宋_GB2312"/>
          <w:sz w:val="32"/>
          <w:szCs w:val="32"/>
        </w:rPr>
        <w:t>万元，</w:t>
      </w:r>
      <w:r>
        <w:rPr>
          <w:rStyle w:val="24"/>
          <w:rFonts w:hint="eastAsia" w:ascii="仿宋" w:eastAsia="仿宋"/>
          <w:b w:val="0"/>
          <w:bCs/>
          <w:sz w:val="32"/>
          <w:szCs w:val="32"/>
        </w:rPr>
        <w:t>完成预算</w:t>
      </w:r>
      <w:r>
        <w:rPr>
          <w:rStyle w:val="24"/>
          <w:rFonts w:ascii="仿宋" w:eastAsia="仿宋"/>
          <w:b w:val="0"/>
          <w:bCs/>
          <w:sz w:val="32"/>
          <w:szCs w:val="32"/>
        </w:rPr>
        <w:t>0%</w:t>
      </w:r>
      <w:r>
        <w:rPr>
          <w:rStyle w:val="24"/>
          <w:rFonts w:hint="eastAsia" w:ascii="仿宋" w:eastAsia="仿宋"/>
          <w:b w:val="0"/>
          <w:bCs/>
          <w:sz w:val="32"/>
          <w:szCs w:val="32"/>
        </w:rPr>
        <w:t>。</w:t>
      </w:r>
      <w:r>
        <w:rPr>
          <w:rFonts w:hint="eastAsia" w:ascii="仿宋" w:eastAsia="仿宋"/>
          <w:b/>
          <w:sz w:val="32"/>
          <w:szCs w:val="32"/>
        </w:rPr>
        <w:t>国内公务接待支出</w:t>
      </w:r>
      <w:r>
        <w:rPr>
          <w:rFonts w:ascii="仿宋" w:eastAsia="仿宋"/>
          <w:b/>
          <w:sz w:val="32"/>
          <w:szCs w:val="32"/>
        </w:rPr>
        <w:t>0</w:t>
      </w:r>
      <w:r>
        <w:rPr>
          <w:rFonts w:hint="eastAsia" w:ascii="仿宋_GB2312" w:eastAsia="仿宋_GB2312"/>
          <w:sz w:val="32"/>
          <w:szCs w:val="32"/>
        </w:rPr>
        <w:t>万元。</w:t>
      </w:r>
    </w:p>
    <w:p w14:paraId="7D73A662">
      <w:pPr>
        <w:spacing w:line="600" w:lineRule="exact"/>
        <w:ind w:firstLine="643" w:firstLineChars="200"/>
        <w:rPr>
          <w:rFonts w:ascii="仿宋_GB2312" w:eastAsia="仿宋_GB2312"/>
          <w:sz w:val="32"/>
          <w:szCs w:val="32"/>
        </w:rPr>
      </w:pPr>
      <w:r>
        <w:rPr>
          <w:rFonts w:hint="eastAsia" w:ascii="仿宋" w:eastAsia="仿宋"/>
          <w:b/>
          <w:sz w:val="32"/>
          <w:szCs w:val="32"/>
        </w:rPr>
        <w:t>外事接待支出</w:t>
      </w:r>
      <w:r>
        <w:rPr>
          <w:rFonts w:ascii="仿宋" w:eastAsia="仿宋"/>
          <w:b/>
          <w:sz w:val="32"/>
          <w:szCs w:val="32"/>
        </w:rPr>
        <w:t>0</w:t>
      </w:r>
      <w:r>
        <w:rPr>
          <w:rFonts w:hint="eastAsia" w:ascii="仿宋_GB2312" w:eastAsia="仿宋_GB2312"/>
          <w:sz w:val="32"/>
          <w:szCs w:val="32"/>
        </w:rPr>
        <w:t>万元。</w:t>
      </w:r>
    </w:p>
    <w:p w14:paraId="51ED9683">
      <w:pPr>
        <w:spacing w:line="600" w:lineRule="exact"/>
        <w:ind w:firstLine="640"/>
        <w:outlineLvl w:val="1"/>
        <w:rPr>
          <w:rFonts w:ascii="黑体" w:eastAsia="黑体"/>
          <w:sz w:val="32"/>
          <w:szCs w:val="32"/>
        </w:rPr>
      </w:pPr>
    </w:p>
    <w:p w14:paraId="30031DE3">
      <w:pPr>
        <w:spacing w:line="600" w:lineRule="exact"/>
        <w:ind w:firstLine="640"/>
        <w:outlineLvl w:val="1"/>
        <w:rPr>
          <w:rStyle w:val="27"/>
          <w:rFonts w:ascii="黑体" w:eastAsia="黑体"/>
        </w:rPr>
      </w:pPr>
      <w:bookmarkStart w:id="64" w:name="_Toc99843137"/>
      <w:r>
        <w:rPr>
          <w:rFonts w:hint="eastAsia" w:ascii="黑体" w:eastAsia="黑体"/>
          <w:sz w:val="32"/>
          <w:szCs w:val="32"/>
        </w:rPr>
        <w:t>八、</w:t>
      </w:r>
      <w:r>
        <w:rPr>
          <w:rStyle w:val="27"/>
          <w:rFonts w:hint="eastAsia" w:ascii="黑体" w:eastAsia="黑体"/>
          <w:b w:val="0"/>
        </w:rPr>
        <w:t>政府性基金预算支出决算情况说明</w:t>
      </w:r>
      <w:bookmarkEnd w:id="62"/>
      <w:bookmarkEnd w:id="63"/>
      <w:bookmarkEnd w:id="64"/>
    </w:p>
    <w:p w14:paraId="2294004A">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rFonts w:ascii="仿宋" w:eastAsia="仿宋"/>
          <w:b/>
          <w:sz w:val="32"/>
          <w:szCs w:val="32"/>
        </w:rPr>
        <w:t>2.22</w:t>
      </w:r>
      <w:r>
        <w:rPr>
          <w:rFonts w:hint="eastAsia" w:ascii="仿宋_GB2312" w:eastAsia="仿宋_GB2312"/>
          <w:sz w:val="32"/>
          <w:szCs w:val="32"/>
        </w:rPr>
        <w:t>万元。</w:t>
      </w:r>
    </w:p>
    <w:p w14:paraId="0D26A56D">
      <w:pPr>
        <w:spacing w:line="600" w:lineRule="exact"/>
        <w:ind w:firstLine="640"/>
        <w:rPr>
          <w:rFonts w:ascii="仿宋_GB2312" w:eastAsia="仿宋_GB2312"/>
          <w:sz w:val="32"/>
          <w:szCs w:val="32"/>
        </w:rPr>
      </w:pPr>
    </w:p>
    <w:p w14:paraId="37DF174C">
      <w:pPr>
        <w:numPr>
          <w:ilvl w:val="0"/>
          <w:numId w:val="4"/>
        </w:numPr>
        <w:spacing w:line="600" w:lineRule="exact"/>
        <w:ind w:left="0" w:firstLine="640"/>
        <w:outlineLvl w:val="1"/>
        <w:rPr>
          <w:rStyle w:val="27"/>
          <w:rFonts w:ascii="黑体" w:eastAsia="黑体"/>
          <w:b w:val="0"/>
        </w:rPr>
      </w:pPr>
      <w:bookmarkStart w:id="65" w:name="_Toc15396611"/>
      <w:bookmarkStart w:id="66" w:name="_Toc99843138"/>
      <w:bookmarkStart w:id="67" w:name="_Toc15377219"/>
      <w:r>
        <w:rPr>
          <w:rStyle w:val="27"/>
          <w:rFonts w:hint="eastAsia" w:ascii="黑体" w:eastAsia="黑体"/>
          <w:b w:val="0"/>
        </w:rPr>
        <w:t>国有资本经营预算支出决算情况说明</w:t>
      </w:r>
      <w:bookmarkEnd w:id="65"/>
      <w:bookmarkEnd w:id="66"/>
      <w:bookmarkEnd w:id="67"/>
    </w:p>
    <w:p w14:paraId="3C3D291F">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rFonts w:ascii="仿宋" w:eastAsia="仿宋"/>
          <w:b/>
          <w:sz w:val="32"/>
          <w:szCs w:val="32"/>
        </w:rPr>
        <w:t>0</w:t>
      </w:r>
      <w:r>
        <w:rPr>
          <w:rFonts w:hint="eastAsia" w:ascii="仿宋_GB2312" w:eastAsia="仿宋_GB2312"/>
          <w:sz w:val="32"/>
          <w:szCs w:val="32"/>
        </w:rPr>
        <w:t>万元。</w:t>
      </w:r>
    </w:p>
    <w:p w14:paraId="53960F30">
      <w:pPr>
        <w:spacing w:line="580" w:lineRule="exact"/>
        <w:jc w:val="center"/>
        <w:rPr>
          <w:rFonts w:ascii="方正小标宋简体" w:eastAsia="方正小标宋简体" w:cs="方正小标宋简体"/>
          <w:sz w:val="44"/>
          <w:szCs w:val="44"/>
        </w:rPr>
      </w:pPr>
    </w:p>
    <w:p w14:paraId="138F126B">
      <w:pPr>
        <w:numPr>
          <w:ilvl w:val="0"/>
          <w:numId w:val="4"/>
        </w:numPr>
        <w:spacing w:line="600" w:lineRule="exact"/>
        <w:ind w:left="0" w:firstLine="640"/>
        <w:outlineLvl w:val="1"/>
        <w:rPr>
          <w:rStyle w:val="27"/>
          <w:rFonts w:ascii="黑体" w:eastAsia="黑体"/>
          <w:b w:val="0"/>
        </w:rPr>
      </w:pPr>
      <w:bookmarkStart w:id="68" w:name="_Toc15396612"/>
      <w:bookmarkStart w:id="69" w:name="_Toc99843139"/>
      <w:bookmarkStart w:id="70" w:name="_Toc15377221"/>
      <w:r>
        <w:rPr>
          <w:rStyle w:val="27"/>
          <w:rFonts w:hint="eastAsia" w:ascii="黑体" w:eastAsia="黑体"/>
          <w:b w:val="0"/>
        </w:rPr>
        <w:t>其他重要事项的情况说明</w:t>
      </w:r>
      <w:bookmarkEnd w:id="68"/>
      <w:bookmarkEnd w:id="69"/>
      <w:bookmarkEnd w:id="70"/>
    </w:p>
    <w:p w14:paraId="372C1190">
      <w:pPr>
        <w:spacing w:line="600" w:lineRule="exact"/>
        <w:ind w:firstLine="643" w:firstLineChars="200"/>
        <w:outlineLvl w:val="2"/>
        <w:rPr>
          <w:rFonts w:ascii="仿宋" w:eastAsia="仿宋"/>
          <w:sz w:val="32"/>
          <w:szCs w:val="32"/>
        </w:rPr>
      </w:pPr>
      <w:bookmarkStart w:id="71" w:name="_Toc15377222"/>
      <w:bookmarkStart w:id="72" w:name="_Toc99843140"/>
      <w:r>
        <w:rPr>
          <w:rFonts w:hint="eastAsia" w:ascii="仿宋" w:eastAsia="仿宋"/>
          <w:b/>
          <w:sz w:val="32"/>
          <w:szCs w:val="32"/>
        </w:rPr>
        <w:t>（一）机关运行经费支出情况</w:t>
      </w:r>
      <w:bookmarkEnd w:id="71"/>
      <w:bookmarkEnd w:id="72"/>
    </w:p>
    <w:p w14:paraId="0A5CAA25">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四川省阿坝州九寨沟县自然资源局（本级）</w:t>
      </w:r>
      <w:r>
        <w:rPr>
          <w:rFonts w:hint="eastAsia" w:ascii="仿宋_GB2312" w:eastAsia="仿宋_GB2312"/>
          <w:sz w:val="32"/>
          <w:szCs w:val="32"/>
        </w:rPr>
        <w:t>机关运行经费支出</w:t>
      </w:r>
      <w:r>
        <w:rPr>
          <w:rFonts w:ascii="仿宋" w:eastAsia="仿宋"/>
          <w:b/>
          <w:sz w:val="32"/>
          <w:szCs w:val="32"/>
        </w:rPr>
        <w:t>27.54</w:t>
      </w:r>
      <w:r>
        <w:rPr>
          <w:rFonts w:hint="eastAsia" w:ascii="仿宋_GB2312" w:eastAsia="仿宋_GB2312"/>
          <w:sz w:val="32"/>
          <w:szCs w:val="32"/>
        </w:rPr>
        <w:t>万元，比2022年度减少</w:t>
      </w:r>
      <w:r>
        <w:rPr>
          <w:rFonts w:ascii="仿宋_GB2312" w:eastAsia="仿宋_GB2312"/>
          <w:sz w:val="32"/>
          <w:szCs w:val="32"/>
        </w:rPr>
        <w:t>31.23</w:t>
      </w:r>
      <w:r>
        <w:rPr>
          <w:rFonts w:hint="eastAsia" w:ascii="仿宋_GB2312" w:eastAsia="仿宋_GB2312"/>
          <w:sz w:val="32"/>
          <w:szCs w:val="32"/>
        </w:rPr>
        <w:t>万元，下降</w:t>
      </w:r>
      <w:r>
        <w:rPr>
          <w:rFonts w:ascii="仿宋_GB2312" w:eastAsia="仿宋_GB2312"/>
          <w:sz w:val="32"/>
          <w:szCs w:val="32"/>
        </w:rPr>
        <w:t>53.13%</w:t>
      </w:r>
      <w:r>
        <w:rPr>
          <w:rFonts w:hint="eastAsia" w:ascii="仿宋_GB2312" w:eastAsia="仿宋_GB2312"/>
          <w:sz w:val="32"/>
          <w:szCs w:val="32"/>
        </w:rPr>
        <w:t>。主要原因是</w:t>
      </w:r>
      <w:r>
        <w:rPr>
          <w:rFonts w:ascii="仿宋_GB2312" w:eastAsia="仿宋_GB2312"/>
          <w:sz w:val="32"/>
          <w:szCs w:val="32"/>
        </w:rPr>
        <w:t>人员变动</w:t>
      </w:r>
      <w:r>
        <w:rPr>
          <w:rFonts w:hint="eastAsia" w:ascii="仿宋_GB2312" w:eastAsia="仿宋_GB2312"/>
          <w:sz w:val="32"/>
          <w:szCs w:val="32"/>
        </w:rPr>
        <w:t>。</w:t>
      </w:r>
    </w:p>
    <w:p w14:paraId="4B18C699">
      <w:pPr>
        <w:spacing w:line="600" w:lineRule="exact"/>
        <w:ind w:firstLine="643" w:firstLineChars="200"/>
        <w:rPr>
          <w:rFonts w:ascii="仿宋" w:eastAsia="仿宋"/>
          <w:b/>
          <w:sz w:val="32"/>
          <w:szCs w:val="32"/>
        </w:rPr>
      </w:pPr>
    </w:p>
    <w:p w14:paraId="3F4E31E8">
      <w:pPr>
        <w:autoSpaceDE w:val="0"/>
        <w:autoSpaceDN w:val="0"/>
        <w:adjustRightInd w:val="0"/>
        <w:spacing w:line="600" w:lineRule="exact"/>
        <w:ind w:firstLine="643" w:firstLineChars="200"/>
        <w:jc w:val="left"/>
        <w:outlineLvl w:val="2"/>
        <w:rPr>
          <w:rFonts w:ascii="仿宋" w:eastAsia="仿宋"/>
          <w:b/>
          <w:sz w:val="32"/>
          <w:szCs w:val="32"/>
        </w:rPr>
      </w:pPr>
      <w:bookmarkStart w:id="73" w:name="_Toc99843141"/>
      <w:bookmarkStart w:id="74" w:name="_Toc15377223"/>
      <w:r>
        <w:rPr>
          <w:rFonts w:hint="eastAsia" w:ascii="仿宋" w:eastAsia="仿宋"/>
          <w:b/>
          <w:sz w:val="32"/>
          <w:szCs w:val="32"/>
        </w:rPr>
        <w:t>（二）政府采购支出情况</w:t>
      </w:r>
      <w:bookmarkEnd w:id="73"/>
      <w:bookmarkEnd w:id="74"/>
    </w:p>
    <w:p w14:paraId="26631FD6">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四川省阿坝州九寨沟县自然资源局（本级）</w:t>
      </w:r>
      <w:r>
        <w:rPr>
          <w:rFonts w:hint="eastAsia" w:ascii="仿宋_GB2312" w:eastAsia="仿宋_GB2312"/>
          <w:sz w:val="32"/>
          <w:szCs w:val="32"/>
        </w:rPr>
        <w:t>政府采购支出总额</w:t>
      </w:r>
      <w:r>
        <w:rPr>
          <w:rFonts w:ascii="仿宋" w:eastAsia="仿宋"/>
          <w:b/>
          <w:sz w:val="32"/>
          <w:szCs w:val="32"/>
        </w:rPr>
        <w:t>0</w:t>
      </w:r>
      <w:r>
        <w:rPr>
          <w:rFonts w:hint="eastAsia" w:ascii="仿宋_GB2312" w:eastAsia="仿宋_GB2312"/>
          <w:sz w:val="32"/>
          <w:szCs w:val="32"/>
        </w:rPr>
        <w:t>万元，其中：政府采购货物支出</w:t>
      </w:r>
      <w:r>
        <w:rPr>
          <w:rFonts w:ascii="仿宋" w:eastAsia="仿宋"/>
          <w:b/>
          <w:sz w:val="32"/>
          <w:szCs w:val="32"/>
        </w:rPr>
        <w:t>0</w:t>
      </w:r>
      <w:r>
        <w:rPr>
          <w:rFonts w:hint="eastAsia" w:ascii="仿宋_GB2312" w:eastAsia="仿宋_GB2312"/>
          <w:sz w:val="32"/>
          <w:szCs w:val="32"/>
        </w:rPr>
        <w:t>万元、政府采购工程支出</w:t>
      </w:r>
      <w:r>
        <w:rPr>
          <w:rFonts w:ascii="仿宋" w:eastAsia="仿宋"/>
          <w:b/>
          <w:sz w:val="32"/>
          <w:szCs w:val="32"/>
        </w:rPr>
        <w:t>0</w:t>
      </w:r>
      <w:r>
        <w:rPr>
          <w:rFonts w:hint="eastAsia" w:ascii="仿宋_GB2312" w:eastAsia="仿宋_GB2312"/>
          <w:sz w:val="32"/>
          <w:szCs w:val="32"/>
        </w:rPr>
        <w:t>万元、政府采购服务支出</w:t>
      </w:r>
      <w:r>
        <w:rPr>
          <w:rFonts w:ascii="仿宋" w:eastAsia="仿宋"/>
          <w:b/>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rFonts w:asci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14:paraId="1FD8881C">
      <w:pPr>
        <w:autoSpaceDE w:val="0"/>
        <w:autoSpaceDN w:val="0"/>
        <w:adjustRightInd w:val="0"/>
        <w:spacing w:line="600" w:lineRule="exact"/>
        <w:ind w:firstLine="643" w:firstLineChars="200"/>
        <w:jc w:val="left"/>
        <w:outlineLvl w:val="2"/>
        <w:rPr>
          <w:rFonts w:ascii="仿宋" w:eastAsia="仿宋"/>
          <w:b/>
          <w:sz w:val="32"/>
          <w:szCs w:val="32"/>
        </w:rPr>
      </w:pPr>
      <w:bookmarkStart w:id="75" w:name="_Toc99843142"/>
      <w:bookmarkStart w:id="76" w:name="_Toc15377224"/>
      <w:r>
        <w:rPr>
          <w:rFonts w:hint="eastAsia" w:ascii="仿宋" w:eastAsia="仿宋"/>
          <w:b/>
          <w:sz w:val="32"/>
          <w:szCs w:val="32"/>
        </w:rPr>
        <w:t>（三）国有资产占有使用情况</w:t>
      </w:r>
      <w:bookmarkEnd w:id="75"/>
      <w:bookmarkEnd w:id="76"/>
    </w:p>
    <w:p w14:paraId="45F8680B">
      <w:pPr>
        <w:autoSpaceDE w:val="0"/>
        <w:autoSpaceDN w:val="0"/>
        <w:adjustRightInd w:val="0"/>
        <w:spacing w:line="600" w:lineRule="exact"/>
        <w:ind w:firstLine="640" w:firstLineChars="200"/>
        <w:jc w:val="left"/>
        <w:rPr>
          <w:rFonts w:ascii="仿宋" w:eastAsia="仿宋"/>
          <w:b/>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四川省阿坝州九寨沟县自然资源局（本级）</w:t>
      </w:r>
      <w:r>
        <w:rPr>
          <w:rFonts w:hint="eastAsia" w:ascii="仿宋_GB2312" w:eastAsia="仿宋_GB2312"/>
          <w:sz w:val="32"/>
          <w:szCs w:val="32"/>
        </w:rPr>
        <w:t>共有车辆</w:t>
      </w:r>
      <w:r>
        <w:rPr>
          <w:rFonts w:hint="eastAsia" w:ascii="仿宋_GB2312" w:eastAsia="仿宋_GB2312"/>
          <w:b/>
          <w:sz w:val="32"/>
          <w:szCs w:val="32"/>
        </w:rPr>
        <w:t>5</w:t>
      </w:r>
      <w:r>
        <w:rPr>
          <w:rFonts w:hint="eastAsia" w:ascii="仿宋_GB2312" w:eastAsia="仿宋_GB2312"/>
          <w:sz w:val="32"/>
          <w:szCs w:val="32"/>
        </w:rPr>
        <w:t>辆，其中：主要领导干部用车</w:t>
      </w:r>
      <w:r>
        <w:rPr>
          <w:rFonts w:ascii="仿宋_GB2312" w:eastAsia="仿宋_GB2312"/>
          <w:sz w:val="32"/>
          <w:szCs w:val="32"/>
        </w:rPr>
        <w:t>0</w:t>
      </w:r>
      <w:r>
        <w:rPr>
          <w:rFonts w:hint="eastAsia" w:ascii="仿宋_GB2312" w:eastAsia="仿宋_GB2312"/>
          <w:sz w:val="32"/>
          <w:szCs w:val="32"/>
        </w:rPr>
        <w:t>辆、机要通信用车</w:t>
      </w:r>
      <w:r>
        <w:rPr>
          <w:rFonts w:ascii="仿宋_GB2312" w:eastAsia="仿宋_GB2312"/>
          <w:sz w:val="32"/>
          <w:szCs w:val="32"/>
        </w:rPr>
        <w:t>0</w:t>
      </w:r>
      <w:r>
        <w:rPr>
          <w:rFonts w:hint="eastAsia" w:ascii="仿宋_GB2312" w:eastAsia="仿宋_GB2312"/>
          <w:sz w:val="32"/>
          <w:szCs w:val="32"/>
        </w:rPr>
        <w:t>辆、应急保障用车</w:t>
      </w:r>
      <w:r>
        <w:rPr>
          <w:rFonts w:ascii="仿宋_GB2312" w:eastAsia="仿宋_GB2312"/>
          <w:sz w:val="32"/>
          <w:szCs w:val="32"/>
        </w:rPr>
        <w:t>0</w:t>
      </w:r>
      <w:r>
        <w:rPr>
          <w:rFonts w:hint="eastAsia" w:ascii="仿宋_GB2312" w:eastAsia="仿宋_GB2312"/>
          <w:sz w:val="32"/>
          <w:szCs w:val="32"/>
        </w:rPr>
        <w:t>辆、其他用车</w:t>
      </w:r>
      <w:r>
        <w:rPr>
          <w:rFonts w:ascii="仿宋_GB2312" w:eastAsia="仿宋_GB2312"/>
          <w:sz w:val="32"/>
          <w:szCs w:val="32"/>
        </w:rPr>
        <w:t>5</w:t>
      </w:r>
      <w:r>
        <w:rPr>
          <w:rFonts w:hint="eastAsia" w:ascii="仿宋_GB2312" w:eastAsia="仿宋_GB2312"/>
          <w:sz w:val="32"/>
          <w:szCs w:val="32"/>
        </w:rPr>
        <w:t>辆</w:t>
      </w:r>
      <w:r>
        <w:rPr>
          <w:rFonts w:ascii="仿宋_GB2312" w:eastAsia="仿宋_GB2312"/>
          <w:sz w:val="32"/>
          <w:szCs w:val="32"/>
        </w:rPr>
        <w:t>。</w:t>
      </w:r>
    </w:p>
    <w:p w14:paraId="4DA860E2">
      <w:pPr>
        <w:autoSpaceDE w:val="0"/>
        <w:autoSpaceDN w:val="0"/>
        <w:adjustRightInd w:val="0"/>
        <w:spacing w:line="600" w:lineRule="exact"/>
        <w:ind w:firstLine="643" w:firstLineChars="200"/>
        <w:jc w:val="left"/>
        <w:outlineLvl w:val="2"/>
        <w:rPr>
          <w:rFonts w:ascii="仿宋" w:eastAsia="仿宋"/>
          <w:b/>
          <w:sz w:val="32"/>
          <w:szCs w:val="32"/>
        </w:rPr>
      </w:pPr>
      <w:bookmarkStart w:id="77" w:name="_Toc99843143"/>
      <w:r>
        <w:rPr>
          <w:rFonts w:hint="eastAsia" w:ascii="仿宋" w:eastAsia="仿宋"/>
          <w:b/>
          <w:sz w:val="32"/>
          <w:szCs w:val="32"/>
        </w:rPr>
        <w:t>（四）预算绩效管理情况</w:t>
      </w:r>
      <w:bookmarkEnd w:id="77"/>
    </w:p>
    <w:p w14:paraId="0DC892AA">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根据预算绩效管理要求，本部门在2023年度预算编制阶段，组织对</w:t>
      </w:r>
      <w:r>
        <w:rPr>
          <w:rFonts w:ascii="仿宋_GB2312" w:eastAsia="仿宋_GB2312" w:cs="仿宋_GB2312"/>
          <w:sz w:val="32"/>
          <w:szCs w:val="32"/>
        </w:rPr>
        <w:t>29</w:t>
      </w:r>
      <w:r>
        <w:rPr>
          <w:rFonts w:hint="eastAsia" w:ascii="仿宋_GB2312" w:eastAsia="仿宋_GB2312" w:cs="仿宋_GB2312"/>
          <w:sz w:val="32"/>
          <w:szCs w:val="32"/>
        </w:rPr>
        <w:t>项目（项目名称）开展了预算事前绩效评估，对</w:t>
      </w:r>
      <w:r>
        <w:rPr>
          <w:rFonts w:ascii="仿宋_GB2312" w:eastAsia="仿宋_GB2312" w:cs="仿宋_GB2312"/>
          <w:sz w:val="32"/>
          <w:szCs w:val="32"/>
        </w:rPr>
        <w:t>29</w:t>
      </w:r>
      <w:r>
        <w:rPr>
          <w:rFonts w:hint="eastAsia" w:ascii="仿宋_GB2312" w:eastAsia="仿宋_GB2312" w:cs="仿宋_GB2312"/>
          <w:sz w:val="32"/>
          <w:szCs w:val="32"/>
        </w:rPr>
        <w:t>个项目编制了绩效目标，预算执行过程中，选取</w:t>
      </w:r>
      <w:r>
        <w:rPr>
          <w:rFonts w:ascii="仿宋_GB2312" w:eastAsia="仿宋_GB2312" w:cs="仿宋_GB2312"/>
          <w:sz w:val="32"/>
          <w:szCs w:val="32"/>
        </w:rPr>
        <w:t>29</w:t>
      </w:r>
      <w:r>
        <w:rPr>
          <w:rFonts w:hint="eastAsia" w:ascii="仿宋_GB2312" w:eastAsia="仿宋_GB2312" w:cs="仿宋_GB2312"/>
          <w:sz w:val="32"/>
          <w:szCs w:val="32"/>
        </w:rPr>
        <w:t>个项目开展绩效监控。</w:t>
      </w:r>
    </w:p>
    <w:p w14:paraId="1FC0C3EB">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组织对2023年度一般公共预算、政府性基金预算、国有资本经营预算、社会保险基金预算以及资本资产、债券资金等全面开展绩效自评，形成</w:t>
      </w:r>
      <w:r>
        <w:rPr>
          <w:rFonts w:ascii="仿宋_GB2312" w:eastAsia="仿宋_GB2312" w:cs="仿宋_GB2312"/>
          <w:sz w:val="32"/>
          <w:szCs w:val="32"/>
        </w:rPr>
        <w:t>九寨沟县自然资源局</w:t>
      </w:r>
      <w:r>
        <w:rPr>
          <w:rFonts w:hint="eastAsia" w:ascii="仿宋_GB2312" w:eastAsia="仿宋_GB2312" w:cs="仿宋_GB2312"/>
          <w:sz w:val="32"/>
          <w:szCs w:val="32"/>
        </w:rPr>
        <w:t>部门整体（含部门预算项目）绩效自评报告。绩效自评报告详见附件。</w:t>
      </w:r>
    </w:p>
    <w:p w14:paraId="1D76657C">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14:paraId="0AC377FE">
      <w:pPr>
        <w:numPr>
          <w:ilvl w:val="0"/>
          <w:numId w:val="5"/>
        </w:numPr>
        <w:spacing w:line="600" w:lineRule="exact"/>
        <w:ind w:left="0" w:firstLine="660" w:firstLineChars="150"/>
        <w:jc w:val="center"/>
        <w:outlineLvl w:val="0"/>
        <w:rPr>
          <w:rStyle w:val="26"/>
          <w:rFonts w:ascii="黑体" w:eastAsia="黑体"/>
          <w:b w:val="0"/>
        </w:rPr>
      </w:pPr>
      <w:bookmarkStart w:id="78" w:name="_Toc15377225"/>
      <w:bookmarkStart w:id="79" w:name="_Toc99843144"/>
      <w:bookmarkStart w:id="80" w:name="_Toc15396613"/>
      <w:r>
        <w:rPr>
          <w:rFonts w:hint="eastAsia" w:ascii="黑体" w:eastAsia="黑体"/>
          <w:sz w:val="44"/>
          <w:szCs w:val="44"/>
        </w:rPr>
        <w:t>名</w:t>
      </w:r>
      <w:r>
        <w:rPr>
          <w:rStyle w:val="26"/>
          <w:rFonts w:hint="eastAsia" w:ascii="黑体" w:eastAsia="黑体"/>
          <w:b w:val="0"/>
        </w:rPr>
        <w:t>词解释</w:t>
      </w:r>
      <w:bookmarkEnd w:id="78"/>
      <w:bookmarkEnd w:id="79"/>
      <w:bookmarkEnd w:id="80"/>
    </w:p>
    <w:p w14:paraId="14D98A6C">
      <w:pPr>
        <w:spacing w:line="600" w:lineRule="exact"/>
        <w:jc w:val="left"/>
        <w:rPr>
          <w:rFonts w:ascii="宋体"/>
          <w:b/>
          <w:sz w:val="44"/>
          <w:szCs w:val="44"/>
        </w:rPr>
      </w:pPr>
    </w:p>
    <w:p w14:paraId="5902AD3B">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1.财政拨款收入：指单位从同级财政部门取得的财政预算资金。</w:t>
      </w:r>
    </w:p>
    <w:p w14:paraId="65E2EAD5">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2.事业收入：指事业单位开展专业业务活动及辅助活动取得的收入。</w:t>
      </w:r>
    </w:p>
    <w:p w14:paraId="4A5289D6">
      <w:pPr>
        <w:pStyle w:val="20"/>
        <w:shd w:val="clear" w:color="auto" w:fill="FFFFFF"/>
        <w:rPr>
          <w:rFonts w:ascii="仿宋_GB2312" w:eastAsia="仿宋_GB2312" w:cs="仿宋_GB2312"/>
          <w:kern w:val="2"/>
          <w:sz w:val="32"/>
          <w:szCs w:val="32"/>
        </w:rPr>
      </w:pPr>
      <w:r>
        <w:rPr>
          <w:rFonts w:hint="eastAsia" w:ascii="仿宋_GB2312" w:eastAsia="仿宋_GB2312" w:cs="仿宋_GB2312"/>
          <w:kern w:val="2"/>
          <w:sz w:val="32"/>
          <w:szCs w:val="32"/>
        </w:rPr>
        <w:t>3.经营收入：指事业单位在专业业务活动及其辅助活动之外开展非独立核算经营活动取得的收入。</w:t>
      </w:r>
    </w:p>
    <w:p w14:paraId="45785549">
      <w:pPr>
        <w:pStyle w:val="20"/>
        <w:shd w:val="clear" w:color="auto" w:fill="FFFFFF"/>
        <w:rPr>
          <w:rFonts w:ascii="仿宋_GB2312" w:eastAsia="仿宋_GB2312" w:cs="仿宋_GB2312"/>
          <w:kern w:val="2"/>
          <w:sz w:val="32"/>
          <w:szCs w:val="32"/>
        </w:rPr>
      </w:pPr>
      <w:r>
        <w:rPr>
          <w:rFonts w:hint="eastAsia" w:ascii="仿宋_GB2312" w:eastAsia="仿宋_GB2312" w:cs="仿宋_GB2312"/>
          <w:kern w:val="2"/>
          <w:sz w:val="32"/>
          <w:szCs w:val="32"/>
        </w:rPr>
        <w:t>4.其他收入：指单位取得的除上述收入以外的各项收入。</w:t>
      </w:r>
    </w:p>
    <w:p w14:paraId="12229EB4">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5.使用非财政拨款结余：指事业单位使用以前年度积累的非财政拨款结余弥补当年收支差额的金额。</w:t>
      </w:r>
    </w:p>
    <w:p w14:paraId="3FB8797A">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6.年初结转和结余：指以前年度尚未完成、结转到本年按有关规定继续使用的资金。</w:t>
      </w:r>
    </w:p>
    <w:p w14:paraId="2F492B80">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7.结余分配：指事业单位按照会计制度规定缴纳的所得税、提取的专用结余以及转入非财政拨款结余的金额等。</w:t>
      </w:r>
    </w:p>
    <w:p w14:paraId="7930E7DE">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8、年末结转和结余：指单位按有关规定结转到下年或以后年度继续使用的资金。</w:t>
      </w:r>
    </w:p>
    <w:p w14:paraId="4893BF5C">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9.一般公共服务（201）组织事务（32）行政运行（01）、：指组织事务基本支出。</w:t>
      </w:r>
    </w:p>
    <w:p w14:paraId="3A782842">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10. 一般公共服务（201）其他一般公共事务（99）其他一般公共事务（99）：指一般公共事务的基本支出。</w:t>
      </w:r>
    </w:p>
    <w:p w14:paraId="6ED64FA2">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11. 社会保障和就业（208）行政事业单位离退休（05）机关事业单位基本养老保险缴费支出（05）：指其基本医疗保险支出。</w:t>
      </w:r>
    </w:p>
    <w:p w14:paraId="0C1E51CA">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12. 社会保障和就业（208）抚恤（08）死亡抚恤（01）：指抚恤支出。</w:t>
      </w:r>
    </w:p>
    <w:p w14:paraId="4F4D9EA0">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13. 卫生健康支出（210）行政事业单位医疗（11）行政单位医疗（01）：指行单位事业医疗支出。</w:t>
      </w:r>
    </w:p>
    <w:p w14:paraId="5D7A71C4">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14. 卫生健康支出（210）行政事业单位医疗（11）公务员医疗（03）：指公务员医疗支出。</w:t>
      </w:r>
    </w:p>
    <w:p w14:paraId="70CAF42F">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15. 节能环保支出（211）国土生态保护（04）生态保护（01）：指生态保护支出。</w:t>
      </w:r>
    </w:p>
    <w:p w14:paraId="2A33851E">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16. 节能环保支出（211）国土生态保护（04）其他国土生态保护支出（99）：指其其他生态支出。</w:t>
      </w:r>
    </w:p>
    <w:p w14:paraId="506DE5BB">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17. 城局社区支出（212）城局社区管理事务（01）其他城局社区管理事务支出（99）:指其他城局社区管理事务支出。</w:t>
      </w:r>
    </w:p>
    <w:p w14:paraId="6B85AAEF">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18. 城局社区支出（212）国有土地使用权出让收入及对应专项债务收入安排的支出（08）征地和拆迁补偿支出（01）：指征地和拆迁支出。</w:t>
      </w:r>
    </w:p>
    <w:p w14:paraId="3ABFF7D1">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19. 城局社区支出（212）国有土地使用权出让收入及对应专项债务收入安排的支出（08）其他国有土地使用权出让收入安排的支出（99）：指其他国有土地使用权出让收入安排的支出。</w:t>
      </w:r>
    </w:p>
    <w:p w14:paraId="589DC999">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20. 城局社区支出（212）国有土地收益基金及对专项债务收入安排的支出（10）征地和拆迁补偿支出（01）：指征地和拆迁补偿支出。</w:t>
      </w:r>
    </w:p>
    <w:p w14:paraId="15EB1627">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21. 城局社区支出（212）农业土地开发资金及对应专项债务收入安排的支出（11）农业土地开发资金及对应专项债务收入安排的支出（00）:指农业土地开发资金及对应专项债务收入安排的支出。</w:t>
      </w:r>
    </w:p>
    <w:p w14:paraId="5979A281">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22. 土地海洋气象支出（220）土地资源事务（01）</w:t>
      </w:r>
    </w:p>
    <w:p w14:paraId="39079E10">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行政运行（01）：指行政运行支出。</w:t>
      </w:r>
    </w:p>
    <w:p w14:paraId="5A2C68B3">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23. 土地海洋气象支出（220）土地资源事务（01）</w:t>
      </w:r>
    </w:p>
    <w:p w14:paraId="3885EB6A">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一般行政管理事务（02）：指一般行政运行支出。</w:t>
      </w:r>
    </w:p>
    <w:p w14:paraId="1809D13F">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24. 土地海洋气象支出（220）地质灾害防治（11）其他国土资源事务支出（99）：指其他国土资源事务支出。</w:t>
      </w:r>
    </w:p>
    <w:p w14:paraId="312E9963">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25. 地海洋气象支出（220）其他国土海洋气象等支出（99）其他国土海洋气象等支出（01）：指其他国土海洋气象支出。</w:t>
      </w:r>
    </w:p>
    <w:p w14:paraId="36CBEA5A">
      <w:pPr>
        <w:pStyle w:val="20"/>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26.住房保障支出（221）住房改革支出（02）住房公积金（01）：指行政事业单位按人力资源和社会保障部、财政部规定的基本工资和津补贴依规定比例为职工缴纳住房公积金。</w:t>
      </w:r>
    </w:p>
    <w:p w14:paraId="2B469407">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27.基本支出：指为保障机构正常运转、完成日常工作任务而发生的人员支出和公用支出。</w:t>
      </w:r>
    </w:p>
    <w:p w14:paraId="3BC24773">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28.项目支出：指在基本支出之外为完成特定行政任务和事业发展目标所发生的支出。</w:t>
      </w:r>
    </w:p>
    <w:p w14:paraId="314667D3">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29.经营支出：指事业单位在专业业务活动及其辅助活动之外开展非独立核算经营活动发生的支出。</w:t>
      </w:r>
    </w:p>
    <w:p w14:paraId="10098A9A">
      <w:pPr>
        <w:pStyle w:val="20"/>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30.“三公”经费：指部门用财政拨款安排的因公出国（境）费、公务用车购置及运行费和公务接待费。其中，因公出国（境）</w:t>
      </w:r>
      <w:r>
        <w:rPr>
          <w:rFonts w:hint="eastAsia" w:ascii="仿宋_GB2312" w:eastAsia="仿宋_GB2312" w:cs="仿宋_GB2312"/>
          <w:sz w:val="32"/>
          <w:szCs w:val="32"/>
        </w:rPr>
        <w:t>费反映</w:t>
      </w:r>
      <w:r>
        <w:rPr>
          <w:rFonts w:hint="eastAsia" w:ascii="仿宋_GB2312" w:eastAsia="仿宋_GB2312" w:cs="仿宋_GB2312"/>
          <w:kern w:val="2"/>
          <w:sz w:val="32"/>
          <w:szCs w:val="32"/>
        </w:rPr>
        <w:t>单位公务出国（境）的国际旅费、国外城市间交通费、住宿费、伙食费、培训费、公杂费等支出；公务用车购置及运行</w:t>
      </w:r>
      <w:r>
        <w:rPr>
          <w:rFonts w:hint="eastAsia" w:ascii="仿宋_GB2312" w:eastAsia="仿宋_GB2312" w:cs="仿宋_GB2312"/>
          <w:sz w:val="32"/>
          <w:szCs w:val="32"/>
        </w:rPr>
        <w:t>费反映</w:t>
      </w:r>
      <w:r>
        <w:rPr>
          <w:rFonts w:hint="eastAsia" w:ascii="仿宋_GB2312" w:eastAsia="仿宋_GB2312" w:cs="仿宋_GB2312"/>
          <w:kern w:val="2"/>
          <w:sz w:val="32"/>
          <w:szCs w:val="32"/>
        </w:rPr>
        <w:t>单位公务用车车辆购置支出（</w:t>
      </w:r>
      <w:r>
        <w:rPr>
          <w:rFonts w:hint="eastAsia" w:ascii="仿宋_GB2312" w:eastAsia="仿宋_GB2312" w:cs="仿宋_GB2312"/>
          <w:sz w:val="32"/>
          <w:szCs w:val="32"/>
        </w:rPr>
        <w:t>含车辆</w:t>
      </w:r>
      <w:r>
        <w:rPr>
          <w:rFonts w:hint="eastAsia" w:ascii="仿宋_GB2312" w:eastAsia="仿宋_GB2312" w:cs="仿宋_GB2312"/>
          <w:kern w:val="2"/>
          <w:sz w:val="32"/>
          <w:szCs w:val="32"/>
        </w:rPr>
        <w:t>购置税）及租用费、燃料费、维修费、过路过桥费、保险费等支出；公务接待</w:t>
      </w:r>
      <w:r>
        <w:rPr>
          <w:rFonts w:hint="eastAsia" w:ascii="仿宋_GB2312" w:eastAsia="仿宋_GB2312" w:cs="仿宋_GB2312"/>
          <w:sz w:val="32"/>
          <w:szCs w:val="32"/>
        </w:rPr>
        <w:t>费反映</w:t>
      </w:r>
      <w:r>
        <w:rPr>
          <w:rFonts w:hint="eastAsia" w:ascii="仿宋_GB2312" w:eastAsia="仿宋_GB2312" w:cs="仿宋_GB2312"/>
          <w:kern w:val="2"/>
          <w:sz w:val="32"/>
          <w:szCs w:val="32"/>
        </w:rPr>
        <w:t>单位按规定开支的各类公务接待（含外宾接待）支出。</w:t>
      </w:r>
    </w:p>
    <w:p w14:paraId="1269E96E">
      <w:pPr>
        <w:pStyle w:val="20"/>
        <w:shd w:val="clear" w:color="auto" w:fill="FFFFFF"/>
        <w:rPr>
          <w:rFonts w:ascii="仿宋_GB2312" w:eastAsia="仿宋_GB2312" w:cs="仿宋_GB2312"/>
          <w:kern w:val="2"/>
          <w:sz w:val="32"/>
          <w:szCs w:val="32"/>
        </w:rPr>
      </w:pPr>
      <w:r>
        <w:rPr>
          <w:rFonts w:hint="eastAsia" w:ascii="仿宋_GB2312" w:eastAsia="仿宋_GB2312" w:cs="仿宋_GB2312"/>
          <w:kern w:val="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331C939">
      <w:pPr>
        <w:spacing w:line="600" w:lineRule="exact"/>
        <w:jc w:val="center"/>
        <w:outlineLvl w:val="0"/>
        <w:rPr>
          <w:rStyle w:val="26"/>
          <w:rFonts w:ascii="黑体" w:eastAsia="黑体"/>
          <w:b w:val="0"/>
        </w:rPr>
      </w:pPr>
      <w:bookmarkStart w:id="81" w:name="_Toc15377226"/>
      <w:r>
        <w:rPr>
          <w:rFonts w:ascii="宋体"/>
          <w:b/>
          <w:sz w:val="44"/>
          <w:szCs w:val="44"/>
        </w:rPr>
        <w:br w:type="page"/>
      </w:r>
      <w:bookmarkStart w:id="82" w:name="_Toc99843145"/>
      <w:bookmarkStart w:id="83" w:name="_Toc15396614"/>
      <w:r>
        <w:rPr>
          <w:rFonts w:hint="eastAsia" w:ascii="黑体" w:eastAsia="黑体"/>
          <w:sz w:val="44"/>
          <w:szCs w:val="44"/>
        </w:rPr>
        <w:t>第</w:t>
      </w:r>
      <w:r>
        <w:rPr>
          <w:rStyle w:val="26"/>
          <w:rFonts w:hint="eastAsia" w:ascii="黑体" w:eastAsia="黑体"/>
          <w:b w:val="0"/>
        </w:rPr>
        <w:t>四部分 附件</w:t>
      </w:r>
      <w:bookmarkEnd w:id="82"/>
      <w:bookmarkEnd w:id="83"/>
    </w:p>
    <w:p w14:paraId="20BFC340">
      <w:pPr>
        <w:spacing w:line="572" w:lineRule="exact"/>
        <w:jc w:val="left"/>
        <w:outlineLvl w:val="0"/>
        <w:rPr>
          <w:rFonts w:ascii="仿宋_GB2312" w:eastAsia="仿宋_GB2312" w:cs="仿宋_GB2312"/>
          <w:sz w:val="32"/>
          <w:szCs w:val="32"/>
        </w:rPr>
      </w:pPr>
    </w:p>
    <w:p w14:paraId="61198101">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eastAsia" w:ascii="仿宋_GB2312" w:eastAsia="仿宋_GB2312" w:cs="仿宋_GB2312"/>
          <w:bCs/>
          <w:sz w:val="32"/>
          <w:szCs w:val="32"/>
          <w:highlight w:val="none"/>
        </w:rPr>
      </w:pPr>
      <w:bookmarkStart w:id="84" w:name="_Toc15396618"/>
      <w:r>
        <w:rPr>
          <w:rFonts w:hint="eastAsia" w:ascii="仿宋_GB2312" w:eastAsia="仿宋_GB2312" w:cs="仿宋_GB2312"/>
          <w:bCs/>
          <w:sz w:val="32"/>
          <w:szCs w:val="32"/>
          <w:highlight w:val="none"/>
          <w:lang w:val="en-US" w:eastAsia="zh-CN"/>
        </w:rPr>
        <w:t>九寨沟县自然资源局2023年县级</w:t>
      </w:r>
      <w:r>
        <w:rPr>
          <w:rFonts w:hint="eastAsia" w:ascii="仿宋_GB2312" w:eastAsia="仿宋_GB2312" w:cs="仿宋_GB2312"/>
          <w:bCs/>
          <w:sz w:val="32"/>
          <w:szCs w:val="32"/>
          <w:highlight w:val="none"/>
        </w:rPr>
        <w:t>部门</w:t>
      </w:r>
    </w:p>
    <w:p w14:paraId="1BEC4FE9">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eastAsia" w:ascii="仿宋_GB2312" w:eastAsia="仿宋_GB2312" w:cs="仿宋_GB2312"/>
          <w:sz w:val="32"/>
          <w:szCs w:val="32"/>
        </w:rPr>
      </w:pPr>
      <w:r>
        <w:rPr>
          <w:rFonts w:hint="eastAsia" w:ascii="仿宋_GB2312" w:eastAsia="仿宋_GB2312" w:cs="仿宋_GB2312"/>
          <w:bCs/>
          <w:sz w:val="32"/>
          <w:szCs w:val="32"/>
          <w:highlight w:val="none"/>
          <w:lang w:eastAsia="zh-CN"/>
        </w:rPr>
        <w:t>预算</w:t>
      </w:r>
      <w:r>
        <w:rPr>
          <w:rFonts w:hint="eastAsia" w:ascii="仿宋_GB2312" w:eastAsia="仿宋_GB2312" w:cs="仿宋_GB2312"/>
          <w:bCs/>
          <w:sz w:val="32"/>
          <w:szCs w:val="32"/>
          <w:highlight w:val="none"/>
        </w:rPr>
        <w:t>绩效</w:t>
      </w:r>
      <w:r>
        <w:rPr>
          <w:rFonts w:hint="eastAsia" w:ascii="仿宋_GB2312" w:eastAsia="仿宋_GB2312" w:cs="仿宋_GB2312"/>
          <w:bCs/>
          <w:sz w:val="32"/>
          <w:szCs w:val="32"/>
          <w:highlight w:val="none"/>
          <w:lang w:eastAsia="zh-CN"/>
        </w:rPr>
        <w:t>评价</w:t>
      </w:r>
      <w:r>
        <w:rPr>
          <w:rFonts w:hint="eastAsia" w:ascii="仿宋_GB2312" w:eastAsia="仿宋_GB2312" w:cs="仿宋_GB2312"/>
          <w:bCs/>
          <w:sz w:val="32"/>
          <w:szCs w:val="32"/>
          <w:highlight w:val="none"/>
        </w:rPr>
        <w:t>报告</w:t>
      </w:r>
    </w:p>
    <w:p w14:paraId="7FB141CB">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sz w:val="32"/>
          <w:szCs w:val="32"/>
        </w:rPr>
      </w:pPr>
      <w:r>
        <w:rPr>
          <w:rFonts w:hint="eastAsia" w:ascii="仿宋_GB2312" w:eastAsia="仿宋_GB2312" w:cs="仿宋_GB2312"/>
          <w:sz w:val="32"/>
          <w:szCs w:val="32"/>
          <w:highlight w:val="none"/>
          <w:lang w:val="zh-CN"/>
        </w:rPr>
        <w:t>一、部门（单位）基本情况</w:t>
      </w:r>
    </w:p>
    <w:p w14:paraId="41C2D09E">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bCs/>
          <w:sz w:val="32"/>
          <w:szCs w:val="32"/>
          <w:highlight w:val="none"/>
          <w:lang w:val="zh-CN"/>
        </w:rPr>
      </w:pPr>
      <w:r>
        <w:rPr>
          <w:rFonts w:hint="eastAsia" w:ascii="仿宋_GB2312" w:eastAsia="仿宋_GB2312" w:cs="仿宋_GB2312"/>
          <w:bCs/>
          <w:sz w:val="32"/>
          <w:szCs w:val="32"/>
          <w:highlight w:val="none"/>
          <w:lang w:val="zh-CN"/>
        </w:rPr>
        <w:t>（一）机构组成。</w:t>
      </w:r>
    </w:p>
    <w:p w14:paraId="30C9664D">
      <w:pPr>
        <w:pStyle w:val="20"/>
        <w:adjustRightInd/>
        <w:snapToGrid/>
        <w:spacing w:before="0" w:beforeAutospacing="0" w:after="0" w:afterAutospacing="0" w:line="560" w:lineRule="exact"/>
        <w:ind w:firstLine="640" w:firstLineChars="200"/>
        <w:contextualSpacing/>
        <w:rPr>
          <w:rFonts w:hint="eastAsia" w:ascii="仿宋_GB2312" w:eastAsia="仿宋_GB2312" w:cs="仿宋_GB2312"/>
          <w:kern w:val="2"/>
          <w:sz w:val="32"/>
          <w:szCs w:val="32"/>
        </w:rPr>
      </w:pPr>
      <w:r>
        <w:rPr>
          <w:rFonts w:hint="eastAsia" w:ascii="仿宋_GB2312" w:eastAsia="仿宋_GB2312" w:cs="仿宋_GB2312"/>
          <w:kern w:val="2"/>
          <w:sz w:val="32"/>
          <w:szCs w:val="32"/>
        </w:rPr>
        <w:t>本单位下属事业单位机构数为9个，主要包括：自然资源执法中队、九寨沟县南坪自然资源所、九寨沟县漳扎自然资源所、九寨沟县玉瓦自然资源所、九寨沟县双河自然资源所、九寨沟县不动产登记中心、九寨沟县土地收购储备中心、九寨沟县生态修复与地质灾害防治研究所、九寨沟县规划管理服务所（挂县测绘地理信息中心牌子）</w:t>
      </w:r>
    </w:p>
    <w:p w14:paraId="6AA45331">
      <w:pPr>
        <w:keepNext w:val="0"/>
        <w:keepLines w:val="0"/>
        <w:pageBreakBefore w:val="0"/>
        <w:widowControl/>
        <w:numPr>
          <w:ilvl w:val="0"/>
          <w:numId w:val="6"/>
        </w:numPr>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bCs/>
          <w:sz w:val="32"/>
          <w:szCs w:val="32"/>
          <w:highlight w:val="none"/>
          <w:lang w:val="zh-CN"/>
        </w:rPr>
      </w:pPr>
      <w:r>
        <w:rPr>
          <w:rFonts w:hint="eastAsia" w:ascii="仿宋_GB2312" w:eastAsia="仿宋_GB2312" w:cs="仿宋_GB2312"/>
          <w:bCs/>
          <w:sz w:val="32"/>
          <w:szCs w:val="32"/>
          <w:highlight w:val="none"/>
          <w:lang w:val="zh-CN"/>
        </w:rPr>
        <w:t>机构职能。</w:t>
      </w:r>
    </w:p>
    <w:p w14:paraId="78E4A509">
      <w:pPr>
        <w:widowControl/>
        <w:adjustRightInd w:val="0"/>
        <w:snapToGrid w:val="0"/>
        <w:spacing w:line="480" w:lineRule="exact"/>
        <w:ind w:firstLine="720"/>
        <w:jc w:val="left"/>
        <w:rPr>
          <w:rFonts w:hint="eastAsia" w:ascii="仿宋_GB2312" w:eastAsia="仿宋_GB2312" w:cs="仿宋_GB2312"/>
          <w:bCs/>
          <w:sz w:val="32"/>
          <w:szCs w:val="32"/>
          <w:highlight w:val="none"/>
          <w:lang w:val="zh-CN"/>
        </w:rPr>
      </w:pPr>
      <w:r>
        <w:rPr>
          <w:rFonts w:hint="eastAsia" w:ascii="仿宋_GB2312" w:eastAsia="仿宋_GB2312" w:cs="仿宋_GB2312"/>
          <w:sz w:val="32"/>
          <w:szCs w:val="32"/>
        </w:rPr>
        <w:t>按照规定权限，履行全民所有土地、矿产、森林、草原、湿地、水等自然资源资产所有者职责和所有国土空间用途管制职责；负责全县自然资源调查监测评价；负责全县自然资源统一确权登记工作；负责全县自然资源资产有偿使用工作；负责全县自然资源的合理开发利用；负责建立全县空间规划体系并监督实施；负责统筹全县国土空间生态修复；负责组织实施最严格的耕地保护制度；负责管理全县地质勘查行业和地质工作；负责落实综合防灾减灾规划相关要求，组织编制并实施地质灾害防治规划；负责全县矿产资源管理工作；负责全县测绘地理信息工作；推动全县自然资源领域科技发展和对外合作；配合国家、省、州、县级政府落实党中央、国务院关于自然资源和国土空间规划的重大方针政策、决策部署及法律法规执行情况进行督察；负责职责范围内的安全生产和职业健康、生态环境保护、审批服务便民化等工作；完成县委、县政府交办的其他任务</w:t>
      </w:r>
      <w:r>
        <w:rPr>
          <w:rFonts w:hint="eastAsia" w:ascii="仿宋_GB2312" w:eastAsia="仿宋_GB2312" w:cs="仿宋_GB2312"/>
          <w:sz w:val="32"/>
          <w:szCs w:val="32"/>
          <w:lang w:eastAsia="zh-CN"/>
        </w:rPr>
        <w:t>。</w:t>
      </w:r>
    </w:p>
    <w:p w14:paraId="37B05BB6">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firstLine="640" w:firstLineChars="200"/>
        <w:textAlignment w:val="auto"/>
        <w:rPr>
          <w:rFonts w:hint="eastAsia" w:ascii="仿宋_GB2312" w:eastAsia="仿宋_GB2312" w:cs="仿宋_GB2312"/>
          <w:bCs/>
          <w:sz w:val="32"/>
          <w:szCs w:val="32"/>
          <w:highlight w:val="none"/>
          <w:lang w:val="zh-CN"/>
        </w:rPr>
      </w:pPr>
      <w:r>
        <w:rPr>
          <w:rFonts w:hint="eastAsia" w:ascii="仿宋_GB2312" w:eastAsia="仿宋_GB2312" w:cs="仿宋_GB2312"/>
          <w:bCs/>
          <w:sz w:val="32"/>
          <w:szCs w:val="32"/>
          <w:highlight w:val="none"/>
          <w:lang w:val="zh-CN"/>
        </w:rPr>
        <w:t>人员概况。</w:t>
      </w:r>
    </w:p>
    <w:p w14:paraId="040347CC">
      <w:pPr>
        <w:widowControl/>
        <w:adjustRightInd w:val="0"/>
        <w:snapToGrid w:val="0"/>
        <w:spacing w:line="580" w:lineRule="exact"/>
        <w:ind w:firstLine="640" w:firstLineChars="200"/>
        <w:contextualSpacing/>
        <w:jc w:val="left"/>
        <w:rPr>
          <w:rFonts w:hint="eastAsia" w:ascii="仿宋_GB2312" w:eastAsia="仿宋_GB2312" w:cs="仿宋_GB2312"/>
          <w:bCs/>
          <w:sz w:val="32"/>
          <w:szCs w:val="32"/>
          <w:highlight w:val="none"/>
          <w:lang w:val="zh-CN"/>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年年底，部门人员编制数为56人；部门实有人数5</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人，其中：公务员编制人员</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人，参公编制</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人，行政工勤4人，事业编制3</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人，离退休人员</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人。</w:t>
      </w:r>
    </w:p>
    <w:p w14:paraId="76262355">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cs="仿宋_GB2312"/>
          <w:sz w:val="32"/>
          <w:szCs w:val="32"/>
          <w:highlight w:val="none"/>
        </w:rPr>
      </w:pPr>
      <w:r>
        <w:rPr>
          <w:rFonts w:hint="eastAsia" w:ascii="仿宋_GB2312" w:eastAsia="仿宋_GB2312" w:cs="仿宋_GB2312"/>
          <w:sz w:val="32"/>
          <w:szCs w:val="32"/>
          <w:highlight w:val="none"/>
        </w:rPr>
        <w:t>二、</w:t>
      </w:r>
      <w:r>
        <w:rPr>
          <w:rFonts w:hint="eastAsia" w:ascii="仿宋_GB2312" w:eastAsia="仿宋_GB2312" w:cs="仿宋_GB2312"/>
          <w:sz w:val="32"/>
          <w:szCs w:val="32"/>
          <w:highlight w:val="none"/>
          <w:lang w:eastAsia="zh-CN"/>
        </w:rPr>
        <w:t>部门</w:t>
      </w:r>
      <w:r>
        <w:rPr>
          <w:rFonts w:hint="eastAsia" w:ascii="仿宋_GB2312" w:eastAsia="仿宋_GB2312" w:cs="仿宋_GB2312"/>
          <w:sz w:val="32"/>
          <w:szCs w:val="32"/>
          <w:highlight w:val="none"/>
        </w:rPr>
        <w:t>资金收支情况</w:t>
      </w:r>
    </w:p>
    <w:p w14:paraId="19C57A06">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cs="仿宋_GB2312"/>
          <w:bCs/>
          <w:sz w:val="32"/>
          <w:szCs w:val="32"/>
          <w:highlight w:val="none"/>
          <w:lang w:val="zh-CN"/>
        </w:rPr>
      </w:pPr>
      <w:r>
        <w:rPr>
          <w:rFonts w:hint="eastAsia" w:ascii="仿宋_GB2312" w:eastAsia="仿宋_GB2312" w:cs="仿宋_GB2312"/>
          <w:bCs/>
          <w:sz w:val="32"/>
          <w:szCs w:val="32"/>
          <w:highlight w:val="none"/>
          <w:lang w:val="zh-CN"/>
        </w:rPr>
        <w:t>（一）收入情况。</w:t>
      </w:r>
    </w:p>
    <w:p w14:paraId="3B43ECFC">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cs="仿宋_GB2312"/>
          <w:bCs/>
          <w:sz w:val="32"/>
          <w:szCs w:val="32"/>
          <w:highlight w:val="none"/>
          <w:lang w:val="zh-CN"/>
        </w:rPr>
      </w:pPr>
      <w:r>
        <w:rPr>
          <w:rFonts w:hint="eastAsia" w:ascii="仿宋_GB2312" w:eastAsia="仿宋_GB2312" w:cs="仿宋_GB2312"/>
          <w:sz w:val="32"/>
          <w:szCs w:val="32"/>
        </w:rPr>
        <w:t>单位20</w:t>
      </w:r>
      <w:r>
        <w:rPr>
          <w:rFonts w:hint="eastAsia" w:ascii="仿宋_GB2312" w:eastAsia="仿宋_GB2312" w:cs="仿宋_GB2312"/>
          <w:sz w:val="32"/>
          <w:szCs w:val="32"/>
          <w:lang w:val="en-US" w:eastAsia="zh-CN"/>
        </w:rPr>
        <w:t>23</w:t>
      </w:r>
      <w:r>
        <w:rPr>
          <w:rFonts w:hint="eastAsia" w:ascii="仿宋_GB2312" w:eastAsia="仿宋_GB2312" w:cs="仿宋_GB2312"/>
          <w:sz w:val="32"/>
          <w:szCs w:val="32"/>
        </w:rPr>
        <w:t>年总收入</w:t>
      </w:r>
      <w:r>
        <w:rPr>
          <w:rFonts w:hint="eastAsia" w:ascii="仿宋_GB2312" w:eastAsia="仿宋_GB2312" w:cs="仿宋_GB2312"/>
          <w:sz w:val="32"/>
          <w:szCs w:val="32"/>
          <w:lang w:val="en-US" w:eastAsia="zh-CN"/>
        </w:rPr>
        <w:t>2619.22</w:t>
      </w:r>
      <w:r>
        <w:rPr>
          <w:rFonts w:hint="eastAsia" w:ascii="仿宋_GB2312" w:eastAsia="仿宋_GB2312" w:cs="仿宋_GB2312"/>
          <w:sz w:val="32"/>
          <w:szCs w:val="32"/>
        </w:rPr>
        <w:t>万元</w:t>
      </w:r>
    </w:p>
    <w:p w14:paraId="5E07CF28">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bCs/>
          <w:sz w:val="32"/>
          <w:szCs w:val="32"/>
          <w:highlight w:val="none"/>
          <w:lang w:val="zh-CN"/>
        </w:rPr>
      </w:pPr>
      <w:r>
        <w:rPr>
          <w:rFonts w:hint="eastAsia" w:ascii="仿宋_GB2312" w:eastAsia="仿宋_GB2312" w:cs="仿宋_GB2312"/>
          <w:bCs/>
          <w:sz w:val="32"/>
          <w:szCs w:val="32"/>
          <w:highlight w:val="none"/>
          <w:lang w:val="zh-CN"/>
        </w:rPr>
        <w:t>支出情况。</w:t>
      </w:r>
    </w:p>
    <w:p w14:paraId="5FC105D2">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bCs/>
          <w:sz w:val="32"/>
          <w:szCs w:val="32"/>
          <w:highlight w:val="none"/>
          <w:lang w:val="zh-CN"/>
        </w:rPr>
      </w:pPr>
      <w:r>
        <w:rPr>
          <w:rFonts w:hint="eastAsia" w:ascii="仿宋_GB2312" w:eastAsia="仿宋_GB2312" w:cs="仿宋_GB2312"/>
          <w:sz w:val="32"/>
          <w:szCs w:val="32"/>
        </w:rPr>
        <w:t>单位202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年总支出</w:t>
      </w:r>
      <w:r>
        <w:rPr>
          <w:rFonts w:hint="eastAsia" w:ascii="仿宋_GB2312" w:eastAsia="仿宋_GB2312" w:cs="仿宋_GB2312"/>
          <w:sz w:val="32"/>
          <w:szCs w:val="32"/>
          <w:lang w:val="en-US" w:eastAsia="zh-CN"/>
        </w:rPr>
        <w:t>2619.22</w:t>
      </w:r>
      <w:r>
        <w:rPr>
          <w:rFonts w:hint="eastAsia" w:ascii="仿宋_GB2312" w:eastAsia="仿宋_GB2312" w:cs="仿宋_GB2312"/>
          <w:sz w:val="32"/>
          <w:szCs w:val="32"/>
        </w:rPr>
        <w:t>万元</w:t>
      </w:r>
    </w:p>
    <w:p w14:paraId="52519828">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sz w:val="32"/>
          <w:szCs w:val="32"/>
          <w:lang w:eastAsia="zh-CN"/>
        </w:rPr>
      </w:pPr>
      <w:r>
        <w:rPr>
          <w:rFonts w:hint="eastAsia" w:ascii="仿宋_GB2312" w:eastAsia="仿宋_GB2312" w:cs="仿宋_GB2312"/>
          <w:sz w:val="32"/>
          <w:szCs w:val="32"/>
        </w:rPr>
        <w:t>结余分配和结转结余情况</w:t>
      </w:r>
      <w:r>
        <w:rPr>
          <w:rFonts w:hint="eastAsia" w:ascii="仿宋_GB2312" w:eastAsia="仿宋_GB2312" w:cs="仿宋_GB2312"/>
          <w:sz w:val="32"/>
          <w:szCs w:val="32"/>
          <w:lang w:eastAsia="zh-CN"/>
        </w:rPr>
        <w:t>。</w:t>
      </w:r>
    </w:p>
    <w:p w14:paraId="33D45687">
      <w:pPr>
        <w:keepNext w:val="0"/>
        <w:keepLines w:val="0"/>
        <w:pageBreakBefore w:val="0"/>
        <w:widowControl/>
        <w:kinsoku/>
        <w:wordWrap/>
        <w:overflowPunct/>
        <w:topLinePunct w:val="0"/>
        <w:autoSpaceDE/>
        <w:autoSpaceDN/>
        <w:bidi w:val="0"/>
        <w:adjustRightInd w:val="0"/>
        <w:snapToGrid w:val="0"/>
        <w:spacing w:line="578" w:lineRule="exact"/>
        <w:ind w:left="420" w:leftChars="200"/>
        <w:contextualSpacing/>
        <w:jc w:val="left"/>
        <w:textAlignment w:val="auto"/>
        <w:outlineLvl w:val="9"/>
        <w:rPr>
          <w:rFonts w:hint="eastAsia" w:ascii="仿宋_GB2312" w:eastAsia="仿宋_GB2312" w:cs="仿宋_GB2312"/>
          <w:sz w:val="32"/>
          <w:szCs w:val="32"/>
          <w:highlight w:val="none"/>
          <w:lang w:val="en-US" w:eastAsia="zh-CN"/>
        </w:rPr>
      </w:pPr>
      <w:r>
        <w:rPr>
          <w:rFonts w:hint="eastAsia" w:ascii="仿宋_GB2312" w:eastAsia="仿宋_GB2312" w:cs="仿宋_GB2312"/>
          <w:bCs/>
          <w:sz w:val="32"/>
          <w:szCs w:val="32"/>
          <w:lang w:val="en-US" w:eastAsia="zh-CN"/>
        </w:rPr>
        <w:t>单位2</w:t>
      </w:r>
      <w:r>
        <w:rPr>
          <w:rFonts w:hint="eastAsia" w:ascii="仿宋_GB2312" w:eastAsia="仿宋_GB2312" w:cs="仿宋_GB2312"/>
          <w:sz w:val="32"/>
          <w:szCs w:val="32"/>
          <w:lang w:val="en-US" w:eastAsia="zh-CN"/>
        </w:rPr>
        <w:t>023年决算报表</w:t>
      </w:r>
      <w:r>
        <w:rPr>
          <w:rFonts w:hint="eastAsia" w:ascii="仿宋_GB2312" w:eastAsia="仿宋_GB2312" w:cs="仿宋_GB2312"/>
          <w:sz w:val="32"/>
          <w:szCs w:val="32"/>
          <w:highlight w:val="none"/>
          <w:lang w:val="en-US" w:eastAsia="zh-CN"/>
        </w:rPr>
        <w:t>结转结余490.94万元</w:t>
      </w:r>
    </w:p>
    <w:p w14:paraId="6624564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cs="仿宋_GB2312"/>
          <w:sz w:val="32"/>
          <w:szCs w:val="32"/>
          <w:highlight w:val="none"/>
        </w:rPr>
      </w:pPr>
      <w:r>
        <w:rPr>
          <w:rFonts w:hint="eastAsia" w:ascii="仿宋_GB2312" w:eastAsia="仿宋_GB2312" w:cs="仿宋_GB2312"/>
          <w:sz w:val="32"/>
          <w:szCs w:val="32"/>
          <w:highlight w:val="none"/>
        </w:rPr>
        <w:t>三、部门</w:t>
      </w:r>
      <w:r>
        <w:rPr>
          <w:rFonts w:hint="eastAsia" w:ascii="仿宋_GB2312" w:eastAsia="仿宋_GB2312" w:cs="仿宋_GB2312"/>
          <w:sz w:val="32"/>
          <w:szCs w:val="32"/>
          <w:highlight w:val="none"/>
          <w:lang w:eastAsia="zh-CN"/>
        </w:rPr>
        <w:t>预算</w:t>
      </w:r>
      <w:r>
        <w:rPr>
          <w:rFonts w:hint="eastAsia" w:ascii="仿宋_GB2312" w:eastAsia="仿宋_GB2312" w:cs="仿宋_GB2312"/>
          <w:sz w:val="32"/>
          <w:szCs w:val="32"/>
          <w:highlight w:val="none"/>
        </w:rPr>
        <w:t>绩效</w:t>
      </w:r>
      <w:r>
        <w:rPr>
          <w:rFonts w:hint="eastAsia" w:ascii="仿宋_GB2312" w:eastAsia="仿宋_GB2312" w:cs="仿宋_GB2312"/>
          <w:sz w:val="32"/>
          <w:szCs w:val="32"/>
          <w:highlight w:val="none"/>
          <w:lang w:eastAsia="zh-CN"/>
        </w:rPr>
        <w:t>分析</w:t>
      </w:r>
    </w:p>
    <w:p w14:paraId="1EEF2AD0">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sz w:val="32"/>
          <w:szCs w:val="32"/>
          <w:highlight w:val="none"/>
          <w:lang w:val="zh-CN"/>
        </w:rPr>
      </w:pPr>
      <w:r>
        <w:rPr>
          <w:rFonts w:hint="eastAsia" w:ascii="仿宋_GB2312" w:eastAsia="仿宋_GB2312" w:cs="仿宋_GB2312"/>
          <w:bCs/>
          <w:sz w:val="32"/>
          <w:szCs w:val="32"/>
          <w:highlight w:val="none"/>
          <w:lang w:val="zh-CN"/>
        </w:rPr>
        <w:t>（一）部门预算总体绩效分析。</w:t>
      </w:r>
    </w:p>
    <w:p w14:paraId="4F85DE7E">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sz w:val="32"/>
          <w:szCs w:val="32"/>
          <w:highlight w:val="none"/>
          <w:lang w:val="zh-CN"/>
        </w:rPr>
      </w:pPr>
      <w:r>
        <w:rPr>
          <w:rFonts w:hint="eastAsia" w:ascii="仿宋_GB2312" w:eastAsia="仿宋_GB2312" w:cs="仿宋_GB2312"/>
          <w:sz w:val="32"/>
          <w:szCs w:val="32"/>
          <w:highlight w:val="none"/>
          <w:lang w:val="en-US" w:eastAsia="zh-CN"/>
        </w:rPr>
        <w:t>1.</w:t>
      </w:r>
      <w:r>
        <w:rPr>
          <w:rFonts w:hint="eastAsia" w:ascii="仿宋_GB2312" w:eastAsia="仿宋_GB2312" w:cs="仿宋_GB2312"/>
          <w:sz w:val="32"/>
          <w:szCs w:val="32"/>
          <w:highlight w:val="none"/>
          <w:lang w:val="zh-CN"/>
        </w:rPr>
        <w:t>履职效能。</w:t>
      </w:r>
    </w:p>
    <w:p w14:paraId="2C636B2D">
      <w:pPr>
        <w:keepNext w:val="0"/>
        <w:keepLines w:val="0"/>
        <w:pageBreakBefore w:val="0"/>
        <w:widowControl w:val="0"/>
        <w:kinsoku/>
        <w:wordWrap/>
        <w:overflowPunct/>
        <w:topLinePunct w:val="0"/>
        <w:autoSpaceDE/>
        <w:autoSpaceDN/>
        <w:adjustRightInd/>
        <w:snapToGrid/>
        <w:spacing w:line="520" w:lineRule="exact"/>
        <w:ind w:firstLine="320" w:firstLineChars="100"/>
        <w:rPr>
          <w:rFonts w:hint="eastAsia" w:ascii="仿宋_GB2312" w:eastAsia="仿宋_GB2312" w:cs="仿宋_GB2312"/>
          <w:sz w:val="32"/>
          <w:szCs w:val="32"/>
          <w:highlight w:val="none"/>
        </w:rPr>
      </w:pP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一</w:t>
      </w:r>
      <w:r>
        <w:rPr>
          <w:rFonts w:hint="eastAsia" w:ascii="仿宋_GB2312" w:eastAsia="仿宋_GB2312" w:cs="仿宋_GB2312"/>
          <w:bCs/>
          <w:sz w:val="32"/>
          <w:szCs w:val="32"/>
        </w:rPr>
        <w:t>）严抓耕地保护，着力做好要素保障。一是层层抓实耕地保护工作。</w:t>
      </w:r>
      <w:r>
        <w:rPr>
          <w:rFonts w:hint="eastAsia" w:ascii="仿宋_GB2312" w:eastAsia="仿宋_GB2312" w:cs="仿宋_GB2312"/>
          <w:sz w:val="32"/>
          <w:szCs w:val="32"/>
        </w:rPr>
        <w:t>与全县12个乡镇签订耕地保护目标责任书12份，明确耕地保护政府行政主体责任和“一把手负总责”制度；推进耕地保护卫片督察。</w:t>
      </w:r>
      <w:r>
        <w:rPr>
          <w:rFonts w:hint="eastAsia" w:ascii="仿宋_GB2312" w:eastAsia="仿宋_GB2312" w:cs="仿宋_GB2312"/>
          <w:sz w:val="32"/>
          <w:szCs w:val="32"/>
          <w:lang w:bidi="ar-SA"/>
        </w:rPr>
        <w:t>2023年通过耕地卫片监督系统开展耕地卫片督察，到乡镇开展专项督查39余次；加强耕地动态监测监管，</w:t>
      </w:r>
      <w:r>
        <w:rPr>
          <w:rFonts w:hint="eastAsia" w:ascii="仿宋_GB2312" w:eastAsia="仿宋_GB2312" w:cs="仿宋_GB2312"/>
          <w:snapToGrid w:val="0"/>
          <w:sz w:val="32"/>
          <w:szCs w:val="32"/>
          <w:lang w:bidi="ar-SA"/>
        </w:rPr>
        <w:t>运用卫星遥感影像等信息技术手段，每两个月对全省耕地变化情况开展一次动态监测，</w:t>
      </w:r>
      <w:r>
        <w:rPr>
          <w:rFonts w:hint="eastAsia" w:ascii="仿宋_GB2312" w:eastAsia="仿宋_GB2312" w:cs="仿宋_GB2312"/>
          <w:snapToGrid w:val="0"/>
          <w:sz w:val="32"/>
          <w:szCs w:val="32"/>
          <w:highlight w:val="none"/>
          <w:lang w:bidi="ar-SA"/>
        </w:rPr>
        <w:t>今年查处下发图斑</w:t>
      </w:r>
      <w:r>
        <w:rPr>
          <w:rFonts w:hint="eastAsia" w:ascii="仿宋_GB2312" w:eastAsia="仿宋_GB2312" w:cs="仿宋_GB2312"/>
          <w:snapToGrid w:val="0"/>
          <w:sz w:val="32"/>
          <w:szCs w:val="32"/>
          <w:highlight w:val="none"/>
          <w:lang w:val="en-US" w:eastAsia="zh-CN" w:bidi="ar-SA"/>
        </w:rPr>
        <w:t>536</w:t>
      </w:r>
      <w:r>
        <w:rPr>
          <w:rFonts w:hint="eastAsia" w:ascii="仿宋_GB2312" w:eastAsia="仿宋_GB2312" w:cs="仿宋_GB2312"/>
          <w:snapToGrid w:val="0"/>
          <w:sz w:val="32"/>
          <w:szCs w:val="32"/>
          <w:highlight w:val="none"/>
          <w:lang w:bidi="ar-SA"/>
        </w:rPr>
        <w:t>个；</w:t>
      </w:r>
      <w:r>
        <w:rPr>
          <w:rFonts w:hint="eastAsia" w:ascii="仿宋_GB2312" w:eastAsia="仿宋_GB2312" w:cs="仿宋_GB2312"/>
          <w:snapToGrid w:val="0"/>
          <w:sz w:val="32"/>
          <w:szCs w:val="32"/>
          <w:lang w:bidi="ar-SA"/>
        </w:rPr>
        <w:t>全面开展田长制工作，成立九寨沟县“田长制”工作领导小组，制发《九寨沟县耕地保护“田长制”实施方案》</w:t>
      </w:r>
      <w:r>
        <w:rPr>
          <w:rFonts w:hint="eastAsia" w:ascii="仿宋_GB2312" w:eastAsia="仿宋_GB2312" w:cs="仿宋_GB2312"/>
          <w:sz w:val="32"/>
          <w:szCs w:val="32"/>
        </w:rPr>
        <w:t>《2023年九寨沟县田长制工作要点》。建立</w:t>
      </w:r>
      <w:r>
        <w:rPr>
          <w:rFonts w:hint="eastAsia" w:ascii="仿宋_GB2312" w:eastAsia="仿宋_GB2312" w:cs="仿宋_GB2312"/>
          <w:snapToGrid w:val="0"/>
          <w:sz w:val="32"/>
          <w:szCs w:val="32"/>
          <w:lang w:bidi="ar-SA"/>
        </w:rPr>
        <w:t>县、乡（镇）、村“三级田长制”，形成齐抓共管的长效机制，自田长巡田APP启动以来，</w:t>
      </w:r>
      <w:r>
        <w:rPr>
          <w:rFonts w:hint="eastAsia" w:ascii="仿宋_GB2312" w:eastAsia="仿宋_GB2312" w:cs="仿宋_GB2312"/>
          <w:snapToGrid w:val="0"/>
          <w:sz w:val="32"/>
          <w:szCs w:val="32"/>
          <w:highlight w:val="none"/>
          <w:lang w:bidi="ar-SA"/>
        </w:rPr>
        <w:t>我县共计巡田</w:t>
      </w:r>
      <w:r>
        <w:rPr>
          <w:rFonts w:hint="eastAsia" w:ascii="仿宋_GB2312" w:eastAsia="仿宋_GB2312" w:cs="仿宋_GB2312"/>
          <w:snapToGrid w:val="0"/>
          <w:sz w:val="32"/>
          <w:szCs w:val="32"/>
          <w:highlight w:val="none"/>
          <w:lang w:val="en-US" w:eastAsia="zh-CN" w:bidi="ar-SA"/>
        </w:rPr>
        <w:t>1563</w:t>
      </w:r>
      <w:r>
        <w:rPr>
          <w:rFonts w:hint="eastAsia" w:ascii="仿宋_GB2312" w:eastAsia="仿宋_GB2312" w:cs="仿宋_GB2312"/>
          <w:snapToGrid w:val="0"/>
          <w:sz w:val="32"/>
          <w:szCs w:val="32"/>
          <w:highlight w:val="none"/>
          <w:lang w:bidi="ar-SA"/>
        </w:rPr>
        <w:t>余次；</w:t>
      </w:r>
      <w:r>
        <w:rPr>
          <w:rFonts w:hint="eastAsia" w:ascii="仿宋_GB2312" w:eastAsia="仿宋_GB2312" w:cs="仿宋_GB2312"/>
          <w:snapToGrid w:val="0"/>
          <w:sz w:val="32"/>
          <w:szCs w:val="32"/>
          <w:lang w:bidi="ar-SA"/>
        </w:rPr>
        <w:t>完成2023年度耕地“进出平衡”工作。</w:t>
      </w:r>
      <w:r>
        <w:rPr>
          <w:rFonts w:hint="eastAsia" w:ascii="仿宋_GB2312" w:eastAsia="仿宋_GB2312" w:cs="仿宋_GB2312"/>
          <w:sz w:val="32"/>
          <w:szCs w:val="32"/>
          <w:lang w:bidi="ar-SA"/>
        </w:rPr>
        <w:t>编制</w:t>
      </w:r>
      <w:r>
        <w:rPr>
          <w:rFonts w:hint="eastAsia" w:ascii="仿宋_GB2312" w:eastAsia="仿宋_GB2312" w:cs="仿宋_GB2312"/>
          <w:snapToGrid w:val="0"/>
          <w:sz w:val="32"/>
          <w:szCs w:val="32"/>
          <w:lang w:bidi="ar-SA"/>
        </w:rPr>
        <w:t>完成并上报《九寨沟县2023年度耕地“进出平衡”方案》。</w:t>
      </w:r>
      <w:r>
        <w:rPr>
          <w:rFonts w:hint="eastAsia" w:ascii="仿宋_GB2312" w:eastAsia="仿宋_GB2312" w:cs="仿宋_GB2312"/>
          <w:snapToGrid w:val="0"/>
          <w:sz w:val="32"/>
          <w:szCs w:val="32"/>
          <w:highlight w:val="none"/>
          <w:lang w:bidi="ar-SA"/>
        </w:rPr>
        <w:t>截止</w:t>
      </w:r>
      <w:r>
        <w:rPr>
          <w:rFonts w:hint="eastAsia" w:ascii="仿宋_GB2312" w:eastAsia="仿宋_GB2312" w:cs="仿宋_GB2312"/>
          <w:snapToGrid w:val="0"/>
          <w:sz w:val="32"/>
          <w:szCs w:val="32"/>
          <w:highlight w:val="none"/>
          <w:lang w:eastAsia="zh-CN" w:bidi="ar-SA"/>
        </w:rPr>
        <w:t>目前</w:t>
      </w:r>
      <w:r>
        <w:rPr>
          <w:rFonts w:hint="eastAsia" w:ascii="仿宋_GB2312" w:eastAsia="仿宋_GB2312" w:cs="仿宋_GB2312"/>
          <w:snapToGrid w:val="0"/>
          <w:sz w:val="32"/>
          <w:szCs w:val="32"/>
          <w:highlight w:val="none"/>
          <w:lang w:bidi="ar-SA"/>
        </w:rPr>
        <w:t>全县新增耕地流出</w:t>
      </w:r>
      <w:r>
        <w:rPr>
          <w:rFonts w:hint="eastAsia" w:ascii="仿宋_GB2312" w:eastAsia="仿宋_GB2312" w:cs="仿宋_GB2312"/>
          <w:snapToGrid w:val="0"/>
          <w:sz w:val="32"/>
          <w:szCs w:val="32"/>
          <w:highlight w:val="none"/>
          <w:lang w:val="en-US" w:eastAsia="zh-CN" w:bidi="ar-SA"/>
        </w:rPr>
        <w:t>97.5</w:t>
      </w:r>
      <w:r>
        <w:rPr>
          <w:rFonts w:hint="eastAsia" w:ascii="仿宋_GB2312" w:eastAsia="仿宋_GB2312" w:cs="仿宋_GB2312"/>
          <w:snapToGrid w:val="0"/>
          <w:sz w:val="32"/>
          <w:szCs w:val="32"/>
          <w:highlight w:val="none"/>
          <w:lang w:bidi="ar-SA"/>
        </w:rPr>
        <w:t>亩，</w:t>
      </w:r>
      <w:r>
        <w:rPr>
          <w:rFonts w:hint="eastAsia" w:ascii="仿宋_GB2312" w:eastAsia="仿宋_GB2312" w:cs="仿宋_GB2312"/>
          <w:snapToGrid w:val="0"/>
          <w:sz w:val="32"/>
          <w:szCs w:val="32"/>
          <w:highlight w:val="none"/>
          <w:lang w:eastAsia="zh-CN" w:bidi="ar-SA"/>
        </w:rPr>
        <w:t>流入</w:t>
      </w:r>
      <w:r>
        <w:rPr>
          <w:rFonts w:hint="eastAsia" w:ascii="仿宋_GB2312" w:eastAsia="仿宋_GB2312" w:cs="仿宋_GB2312"/>
          <w:snapToGrid w:val="0"/>
          <w:sz w:val="32"/>
          <w:szCs w:val="32"/>
          <w:highlight w:val="none"/>
          <w:lang w:val="en-US" w:eastAsia="zh-CN" w:bidi="ar-SA"/>
        </w:rPr>
        <w:t>122.7亩，</w:t>
      </w:r>
      <w:r>
        <w:rPr>
          <w:rFonts w:hint="eastAsia" w:ascii="仿宋_GB2312" w:eastAsia="仿宋_GB2312" w:cs="仿宋_GB2312"/>
          <w:snapToGrid w:val="0"/>
          <w:sz w:val="32"/>
          <w:szCs w:val="32"/>
          <w:highlight w:val="none"/>
          <w:lang w:eastAsia="zh-CN" w:bidi="ar-SA"/>
        </w:rPr>
        <w:t>净流入</w:t>
      </w:r>
      <w:r>
        <w:rPr>
          <w:rFonts w:hint="eastAsia" w:ascii="仿宋_GB2312" w:eastAsia="仿宋_GB2312" w:cs="仿宋_GB2312"/>
          <w:snapToGrid w:val="0"/>
          <w:sz w:val="32"/>
          <w:szCs w:val="32"/>
          <w:highlight w:val="none"/>
          <w:lang w:val="en-US" w:eastAsia="zh-CN" w:bidi="ar-SA"/>
        </w:rPr>
        <w:t>25.2</w:t>
      </w:r>
      <w:r>
        <w:rPr>
          <w:rFonts w:hint="eastAsia" w:ascii="仿宋_GB2312" w:eastAsia="仿宋_GB2312" w:cs="仿宋_GB2312"/>
          <w:snapToGrid w:val="0"/>
          <w:sz w:val="32"/>
          <w:szCs w:val="32"/>
          <w:highlight w:val="none"/>
          <w:lang w:bidi="ar-SA"/>
        </w:rPr>
        <w:t>亩；</w:t>
      </w:r>
      <w:r>
        <w:rPr>
          <w:rFonts w:hint="eastAsia" w:ascii="仿宋_GB2312" w:eastAsia="仿宋_GB2312" w:cs="仿宋_GB2312"/>
          <w:bCs/>
          <w:snapToGrid w:val="0"/>
          <w:sz w:val="32"/>
          <w:szCs w:val="32"/>
          <w:lang w:bidi="ar-SA"/>
        </w:rPr>
        <w:t>二是有序推进</w:t>
      </w:r>
      <w:r>
        <w:rPr>
          <w:rFonts w:hint="eastAsia" w:ascii="仿宋_GB2312" w:eastAsia="仿宋_GB2312" w:cs="仿宋_GB2312"/>
          <w:bCs/>
          <w:sz w:val="32"/>
          <w:szCs w:val="32"/>
          <w:lang w:bidi="ar-SA"/>
        </w:rPr>
        <w:t>自然资源监测评价工作。</w:t>
      </w:r>
      <w:r>
        <w:rPr>
          <w:rFonts w:hint="eastAsia" w:ascii="仿宋_GB2312" w:eastAsia="仿宋_GB2312" w:cs="仿宋_GB2312"/>
          <w:sz w:val="32"/>
          <w:szCs w:val="32"/>
          <w:lang w:bidi="ar-SA"/>
        </w:rPr>
        <w:t>初步完成自然资源资产清查工作，我县全民所有自然资源资产清查、资产平衡表编制和国有自然资源（资产）管理情况专项成果已上报州自然资源局；完成我县征收农用地片区综合地价修订工作，已取得省人民政府批复并于2023年11月1日起正式实施；</w:t>
      </w:r>
      <w:r>
        <w:rPr>
          <w:rFonts w:hint="eastAsia" w:ascii="仿宋_GB2312" w:eastAsia="仿宋_GB2312" w:cs="仿宋_GB2312"/>
          <w:sz w:val="32"/>
          <w:szCs w:val="32"/>
        </w:rPr>
        <w:t>开展九寨沟县青苗和地上附着物补偿标准修订工作，目前已完成各单位意见征集，正按专家审查意见修改成果说明。</w:t>
      </w:r>
      <w:r>
        <w:rPr>
          <w:rFonts w:hint="eastAsia" w:ascii="仿宋_GB2312" w:eastAsia="仿宋_GB2312" w:cs="仿宋_GB2312"/>
          <w:bCs/>
          <w:sz w:val="32"/>
          <w:szCs w:val="32"/>
          <w:highlight w:val="none"/>
        </w:rPr>
        <w:t>三是做好重点项目要素保障。</w:t>
      </w:r>
      <w:r>
        <w:rPr>
          <w:rFonts w:hint="eastAsia" w:ascii="仿宋_GB2312" w:eastAsia="仿宋_GB2312" w:cs="仿宋_GB2312"/>
          <w:sz w:val="32"/>
          <w:szCs w:val="32"/>
          <w:highlight w:val="none"/>
          <w:lang w:bidi="ar-SA"/>
        </w:rPr>
        <w:t>依法</w:t>
      </w:r>
      <w:r>
        <w:rPr>
          <w:rFonts w:hint="eastAsia" w:ascii="仿宋_GB2312" w:eastAsia="仿宋_GB2312" w:cs="仿宋_GB2312"/>
          <w:bCs/>
          <w:sz w:val="32"/>
          <w:szCs w:val="32"/>
          <w:highlight w:val="none"/>
        </w:rPr>
        <w:t>开展</w:t>
      </w:r>
      <w:r>
        <w:rPr>
          <w:rFonts w:hint="eastAsia" w:ascii="仿宋_GB2312" w:eastAsia="仿宋_GB2312" w:cs="仿宋_GB2312"/>
          <w:sz w:val="32"/>
          <w:szCs w:val="32"/>
          <w:highlight w:val="none"/>
          <w:lang w:bidi="ar-SA"/>
        </w:rPr>
        <w:t>四川省九寨沟县2017年第1批乡镇建设用地国有建设用地、双柳地、王树坝等3宗闲置土地处置调查工作，</w:t>
      </w:r>
      <w:r>
        <w:rPr>
          <w:rFonts w:hint="eastAsia" w:ascii="仿宋_GB2312" w:eastAsia="仿宋_GB2312" w:cs="仿宋_GB2312"/>
          <w:bCs/>
          <w:sz w:val="32"/>
          <w:szCs w:val="32"/>
          <w:highlight w:val="none"/>
        </w:rPr>
        <w:t>共计</w:t>
      </w:r>
      <w:r>
        <w:rPr>
          <w:rFonts w:hint="eastAsia" w:ascii="仿宋_GB2312" w:eastAsia="仿宋_GB2312" w:cs="仿宋_GB2312"/>
          <w:bCs/>
          <w:sz w:val="32"/>
          <w:szCs w:val="32"/>
          <w:highlight w:val="none"/>
          <w:lang w:val="en-US" w:eastAsia="zh-CN"/>
        </w:rPr>
        <w:t>380.5487</w:t>
      </w:r>
      <w:r>
        <w:rPr>
          <w:rFonts w:hint="eastAsia" w:ascii="仿宋_GB2312" w:eastAsia="仿宋_GB2312" w:cs="仿宋_GB2312"/>
          <w:bCs/>
          <w:sz w:val="32"/>
          <w:szCs w:val="32"/>
          <w:highlight w:val="none"/>
        </w:rPr>
        <w:t>亩</w:t>
      </w:r>
      <w:r>
        <w:rPr>
          <w:rFonts w:hint="eastAsia" w:ascii="仿宋_GB2312" w:eastAsia="仿宋_GB2312" w:cs="仿宋_GB2312"/>
          <w:sz w:val="32"/>
          <w:szCs w:val="32"/>
          <w:highlight w:val="none"/>
          <w:lang w:bidi="ar-SA"/>
        </w:rPr>
        <w:t>；全力</w:t>
      </w:r>
      <w:r>
        <w:rPr>
          <w:rFonts w:hint="eastAsia" w:ascii="仿宋_GB2312" w:eastAsia="仿宋_GB2312" w:cs="仿宋_GB2312"/>
          <w:sz w:val="32"/>
          <w:szCs w:val="32"/>
          <w:highlight w:val="none"/>
        </w:rPr>
        <w:t>推进乡村振兴、全域旅游等项目用地报批工作，取回2020年度报件批复2个批次3004.6365亩；组件上报年度土地报件1个批次11.5455余亩。挂牌出让国有建设用地使用权1宗240.8025亩，成交价款10856万元。2023年对90个项目出具了用地预审和选址意见，确保项目落地。</w:t>
      </w:r>
    </w:p>
    <w:p w14:paraId="516535B8">
      <w:pPr>
        <w:keepNext w:val="0"/>
        <w:keepLines w:val="0"/>
        <w:pageBreakBefore w:val="0"/>
        <w:widowControl w:val="0"/>
        <w:kinsoku/>
        <w:wordWrap/>
        <w:overflowPunct/>
        <w:topLinePunct w:val="0"/>
        <w:autoSpaceDE/>
        <w:autoSpaceDN/>
        <w:adjustRightInd/>
        <w:snapToGrid/>
        <w:spacing w:line="520" w:lineRule="exact"/>
        <w:rPr>
          <w:rFonts w:hint="eastAsia" w:ascii="仿宋_GB2312" w:eastAsia="仿宋_GB2312" w:cs="仿宋_GB2312"/>
          <w:sz w:val="32"/>
          <w:szCs w:val="32"/>
          <w:lang w:bidi="ar-SA"/>
        </w:rPr>
      </w:pP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二</w:t>
      </w:r>
      <w:r>
        <w:rPr>
          <w:rFonts w:hint="eastAsia" w:ascii="仿宋_GB2312" w:eastAsia="仿宋_GB2312" w:cs="仿宋_GB2312"/>
          <w:bCs/>
          <w:sz w:val="32"/>
          <w:szCs w:val="32"/>
        </w:rPr>
        <w:t>）坚持规划管控，科学绘制规划蓝图。</w:t>
      </w:r>
      <w:r>
        <w:rPr>
          <w:rFonts w:hint="eastAsia" w:ascii="仿宋_GB2312" w:eastAsia="仿宋_GB2312" w:cs="仿宋_GB2312"/>
          <w:sz w:val="32"/>
          <w:szCs w:val="32"/>
        </w:rPr>
        <w:t>完成“双评价”、“两规”实施评估、风险评估、城镇开发边界专题研究及“三区三线”划定等工作；县级国土空间规划成果经九寨沟县第十五届人大常委会第十二次会议审议通过，于2023年7月经县人民政府按规划审批流程逐级上报至省人民政府审批，当前省自然资源厅正组织按程序将</w:t>
      </w:r>
      <w:r>
        <w:rPr>
          <w:rFonts w:hint="eastAsia" w:ascii="仿宋_GB2312" w:eastAsia="仿宋_GB2312" w:cs="仿宋_GB2312"/>
          <w:sz w:val="32"/>
          <w:szCs w:val="32"/>
          <w:lang w:bidi="ar-SA"/>
        </w:rPr>
        <w:t>《九寨沟县国土空间总体规划（2021—2035年）》</w:t>
      </w:r>
      <w:r>
        <w:rPr>
          <w:rFonts w:hint="eastAsia" w:ascii="仿宋_GB2312" w:eastAsia="仿宋_GB2312" w:cs="仿宋_GB2312"/>
          <w:sz w:val="32"/>
          <w:szCs w:val="32"/>
        </w:rPr>
        <w:t>提交省国土空间规划委员会审议；全力推进以片区为单元编制乡村国土空间规划工作，基本完成双河、玉瓦、勿角3个乡镇级片区和8个村级片区国土空间规划成果。南坪城乡融合片区、九寨沟全域旅游片区2个乡（镇）级片区和26个村级片区规划队正在编制初步成果。</w:t>
      </w:r>
    </w:p>
    <w:p w14:paraId="39463B78">
      <w:pPr>
        <w:keepNext w:val="0"/>
        <w:keepLines w:val="0"/>
        <w:pageBreakBefore w:val="0"/>
        <w:widowControl w:val="0"/>
        <w:kinsoku/>
        <w:wordWrap/>
        <w:overflowPunct/>
        <w:topLinePunct w:val="0"/>
        <w:autoSpaceDE/>
        <w:autoSpaceDN/>
        <w:adjustRightInd/>
        <w:snapToGrid/>
        <w:spacing w:line="520" w:lineRule="exact"/>
        <w:rPr>
          <w:rFonts w:hint="eastAsia" w:ascii="仿宋_GB2312" w:eastAsia="仿宋_GB2312" w:cs="仿宋_GB2312"/>
          <w:sz w:val="32"/>
          <w:szCs w:val="32"/>
        </w:rPr>
      </w:pP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三</w:t>
      </w:r>
      <w:r>
        <w:rPr>
          <w:rFonts w:hint="eastAsia" w:ascii="仿宋_GB2312" w:eastAsia="仿宋_GB2312" w:cs="仿宋_GB2312"/>
          <w:bCs/>
          <w:sz w:val="32"/>
          <w:szCs w:val="32"/>
        </w:rPr>
        <w:t>)深化地灾治理，切实保障人民安全。</w:t>
      </w:r>
      <w:r>
        <w:rPr>
          <w:rFonts w:hint="eastAsia" w:ascii="仿宋_GB2312" w:eastAsia="仿宋_GB2312" w:cs="仿宋_GB2312"/>
          <w:sz w:val="32"/>
          <w:szCs w:val="32"/>
        </w:rPr>
        <w:t>扎实开展地质灾害全覆盖隐患督导排查，全县地质灾害隐患点692处，其中分布于12个乡镇直接威胁群众269处，落实专职监测员269人，开展汛期地质灾害隐患点全覆盖检查7轮。实施地质灾害隐患点治理工程2处，总投资1684万元；组织开展既有隐患点治理工程清淤及维修加固21处，总投资472万元。印发实施2023年地质灾害防治专项应急预案，形成覆盖县、乡镇、村组、监测人4级群测群防网络体系。强化地灾宣传培训和避险演练，累计开展集中培训12场/次，隐患点现场培训及演练281余次，培训防灾工作人员、隐患点监测员、在校师生、隐患点周边群众等共计6000余人，发放培训资料2000余份，发送地质灾害预警短信17万余条，发布地质灾害气象风险预警等级183次。</w:t>
      </w:r>
    </w:p>
    <w:p w14:paraId="5094DFF0">
      <w:pPr>
        <w:keepNext w:val="0"/>
        <w:keepLines w:val="0"/>
        <w:pageBreakBefore w:val="0"/>
        <w:widowControl w:val="0"/>
        <w:kinsoku/>
        <w:wordWrap/>
        <w:overflowPunct/>
        <w:topLinePunct w:val="0"/>
        <w:autoSpaceDE/>
        <w:autoSpaceDN/>
        <w:adjustRightInd/>
        <w:snapToGrid/>
        <w:spacing w:line="520" w:lineRule="exact"/>
        <w:rPr>
          <w:rFonts w:hint="eastAsia" w:ascii="仿宋_GB2312" w:eastAsia="仿宋_GB2312" w:cs="仿宋_GB2312"/>
          <w:bCs/>
          <w:sz w:val="32"/>
          <w:szCs w:val="32"/>
        </w:rPr>
      </w:pP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四</w:t>
      </w:r>
      <w:r>
        <w:rPr>
          <w:rFonts w:hint="eastAsia" w:ascii="仿宋_GB2312" w:eastAsia="仿宋_GB2312" w:cs="仿宋_GB2312"/>
          <w:bCs/>
          <w:sz w:val="32"/>
          <w:szCs w:val="32"/>
        </w:rPr>
        <w:t>）规范矿产管理，扎实推进生态修复。</w:t>
      </w:r>
      <w:r>
        <w:rPr>
          <w:rFonts w:hint="eastAsia" w:ascii="仿宋_GB2312" w:eastAsia="仿宋_GB2312" w:cs="仿宋_GB2312"/>
          <w:bCs/>
          <w:sz w:val="32"/>
          <w:szCs w:val="32"/>
          <w:lang w:eastAsia="zh-CN" w:bidi="ar-SA"/>
        </w:rPr>
        <w:t>完成生态保护红线内矿业权退出工作，县域内10宗矿业权已完成注销并通过州、县级验收；完成九寨沟矿泉水有限责任公司九寨沟矿泉采矿权的延续工作和四川九寨沟马脑壳金矿开发有限责任公司两河口金矿采矿权延续资料组卷及上报工作；完成南坪地热探矿权出让工作。持续推进生态修复，督促马脑壳金矿、草地金矿、九寨沟矿泉水公司严格按照《矿山地质环境生态修复方案和土地复垦方案》做好矿山地质环境生态修复和土地复垦工作，今年以来马脑壳金矿公司生态修复投入资金1033.94万元（其中年度实际投入380.35万元；越界区域653.59万元），九寨沟矿泉水公司地质环境监测工程投入资金5.48万元。不定期对矿山企业开展检查和指导50余次。严格落实环保督察整改，州委、州政府主要领导调研督导指出马脑壳生态环境问题3个，2个整改完成并销号，1个由省自然资源厅委托州自然资源局处置。</w:t>
      </w:r>
    </w:p>
    <w:p w14:paraId="079C0244">
      <w:pPr>
        <w:keepNext w:val="0"/>
        <w:keepLines w:val="0"/>
        <w:pageBreakBefore w:val="0"/>
        <w:widowControl w:val="0"/>
        <w:kinsoku/>
        <w:wordWrap/>
        <w:overflowPunct/>
        <w:topLinePunct w:val="0"/>
        <w:autoSpaceDE/>
        <w:autoSpaceDN/>
        <w:adjustRightInd/>
        <w:snapToGrid/>
        <w:spacing w:line="520" w:lineRule="exact"/>
        <w:rPr>
          <w:rFonts w:hint="eastAsia" w:ascii="仿宋_GB2312" w:eastAsia="仿宋_GB2312" w:cs="仿宋_GB2312"/>
          <w:bCs/>
          <w:sz w:val="32"/>
          <w:szCs w:val="32"/>
        </w:rPr>
      </w:pP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五</w:t>
      </w:r>
      <w:r>
        <w:rPr>
          <w:rFonts w:hint="eastAsia" w:ascii="仿宋_GB2312" w:eastAsia="仿宋_GB2312" w:cs="仿宋_GB2312"/>
          <w:bCs/>
          <w:sz w:val="32"/>
          <w:szCs w:val="32"/>
        </w:rPr>
        <w:t>）严格巡查执法，坚决遏制违法行为。一是强化日常巡查执法。</w:t>
      </w:r>
      <w:r>
        <w:rPr>
          <w:rFonts w:hint="eastAsia" w:ascii="仿宋_GB2312" w:eastAsia="仿宋_GB2312" w:cs="仿宋_GB2312"/>
          <w:sz w:val="32"/>
          <w:szCs w:val="32"/>
        </w:rPr>
        <w:t>严厉打击</w:t>
      </w:r>
      <w:r>
        <w:rPr>
          <w:rFonts w:hint="eastAsia" w:ascii="仿宋_GB2312" w:eastAsia="仿宋_GB2312" w:cs="仿宋_GB2312"/>
          <w:sz w:val="32"/>
          <w:szCs w:val="32"/>
          <w:lang w:bidi="ar-SA"/>
        </w:rPr>
        <w:t>无证开采、私挖盗采、土地违建等行为，开展动态巡查80余次。发现并拆除白河乡占用基本农田私自建房违法行为1起，</w:t>
      </w:r>
      <w:r>
        <w:rPr>
          <w:rFonts w:hint="eastAsia" w:ascii="仿宋_GB2312" w:eastAsia="仿宋_GB2312" w:cs="仿宋_GB2312"/>
          <w:bCs/>
          <w:sz w:val="32"/>
          <w:szCs w:val="32"/>
        </w:rPr>
        <w:t>。截止2023年11月共计完成下发45个图斑的核查上报，其中违法图斑1个。</w:t>
      </w:r>
      <w:r>
        <w:rPr>
          <w:rFonts w:hint="eastAsia" w:ascii="仿宋_GB2312" w:eastAsia="仿宋_GB2312" w:cs="仿宋_GB2312"/>
          <w:bCs/>
          <w:sz w:val="32"/>
          <w:szCs w:val="32"/>
          <w:lang w:bidi="ar-SA"/>
        </w:rPr>
        <w:t xml:space="preserve"> 二是加强来访信访工作。</w:t>
      </w:r>
      <w:r>
        <w:rPr>
          <w:rFonts w:hint="eastAsia" w:ascii="仿宋_GB2312" w:eastAsia="仿宋_GB2312" w:cs="仿宋_GB2312"/>
          <w:sz w:val="32"/>
          <w:szCs w:val="32"/>
          <w:lang w:bidi="ar-SA"/>
        </w:rPr>
        <w:t>做好来访接待、记录、核查、反馈和信访案件的复查复核、交转办和实地核查，积极排查化解信访矛盾纠纷，截至目前，收到信访案件 8 件，办结8件。</w:t>
      </w:r>
      <w:r>
        <w:rPr>
          <w:rFonts w:hint="eastAsia" w:ascii="仿宋_GB2312" w:eastAsia="仿宋_GB2312" w:cs="仿宋_GB2312"/>
          <w:bCs/>
          <w:sz w:val="32"/>
          <w:szCs w:val="32"/>
          <w:lang w:bidi="ar-SA"/>
        </w:rPr>
        <w:t>三是强化规划执法。</w:t>
      </w:r>
      <w:r>
        <w:rPr>
          <w:rFonts w:hint="eastAsia" w:ascii="仿宋_GB2312" w:eastAsia="仿宋_GB2312" w:cs="仿宋_GB2312"/>
          <w:sz w:val="32"/>
          <w:szCs w:val="32"/>
          <w:lang w:bidi="ar-SA"/>
        </w:rPr>
        <w:t xml:space="preserve">联合南坪镇违建整治小组对南坪镇片区多处居民违规建设开展整治活动，截至目前共下发责令停止违法行为通知书10份。 </w:t>
      </w:r>
    </w:p>
    <w:p w14:paraId="520F569B">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sz w:val="32"/>
          <w:szCs w:val="32"/>
          <w:highlight w:val="none"/>
          <w:lang w:val="zh-CN"/>
        </w:rPr>
      </w:pPr>
    </w:p>
    <w:p w14:paraId="27D73308">
      <w:pPr>
        <w:keepNext w:val="0"/>
        <w:keepLines w:val="0"/>
        <w:pageBreakBefore w:val="0"/>
        <w:widowControl w:val="0"/>
        <w:numPr>
          <w:ilvl w:val="0"/>
          <w:numId w:val="8"/>
        </w:numPr>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sz w:val="32"/>
          <w:szCs w:val="32"/>
          <w:highlight w:val="none"/>
          <w:lang w:val="zh-CN"/>
        </w:rPr>
      </w:pPr>
      <w:r>
        <w:rPr>
          <w:rFonts w:hint="eastAsia" w:ascii="仿宋_GB2312" w:eastAsia="仿宋_GB2312" w:cs="仿宋_GB2312"/>
          <w:sz w:val="32"/>
          <w:szCs w:val="32"/>
          <w:highlight w:val="none"/>
          <w:lang w:val="zh-CN"/>
        </w:rPr>
        <w:t>预算管理。</w:t>
      </w:r>
    </w:p>
    <w:p w14:paraId="1FBF2A0F">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sz w:val="32"/>
          <w:szCs w:val="32"/>
          <w:highlight w:val="none"/>
          <w:lang w:val="zh-CN"/>
        </w:rPr>
      </w:pPr>
      <w:r>
        <w:rPr>
          <w:rFonts w:hint="eastAsia" w:ascii="仿宋_GB2312" w:eastAsia="仿宋_GB2312" w:cs="仿宋_GB2312"/>
          <w:sz w:val="32"/>
          <w:szCs w:val="32"/>
          <w:lang w:val="zh-CN"/>
        </w:rPr>
        <w:t>我局202</w:t>
      </w:r>
      <w:r>
        <w:rPr>
          <w:rFonts w:hint="eastAsia" w:ascii="仿宋_GB2312" w:eastAsia="仿宋_GB2312" w:cs="仿宋_GB2312"/>
          <w:sz w:val="32"/>
          <w:szCs w:val="32"/>
        </w:rPr>
        <w:t>3</w:t>
      </w:r>
      <w:r>
        <w:rPr>
          <w:rFonts w:hint="eastAsia" w:ascii="仿宋_GB2312" w:eastAsia="仿宋_GB2312" w:cs="仿宋_GB2312"/>
          <w:sz w:val="32"/>
          <w:szCs w:val="32"/>
          <w:lang w:val="zh-CN"/>
        </w:rPr>
        <w:t>年预算编制严格按照《中华人民共和国预算法》的要求，按照相关填报口径做到科学合理的细化预算编制。</w:t>
      </w:r>
    </w:p>
    <w:p w14:paraId="06DADC49">
      <w:pPr>
        <w:widowControl/>
        <w:numPr>
          <w:ilvl w:val="0"/>
          <w:numId w:val="8"/>
        </w:numPr>
        <w:adjustRightInd w:val="0"/>
        <w:snapToGrid w:val="0"/>
        <w:spacing w:line="480" w:lineRule="exact"/>
        <w:ind w:left="0" w:firstLine="640" w:firstLineChars="200"/>
        <w:jc w:val="left"/>
        <w:rPr>
          <w:rFonts w:hint="eastAsia" w:ascii="仿宋_GB2312" w:eastAsia="仿宋_GB2312" w:cs="仿宋_GB2312"/>
          <w:sz w:val="32"/>
          <w:szCs w:val="32"/>
          <w:highlight w:val="none"/>
          <w:lang w:val="zh-CN"/>
        </w:rPr>
      </w:pPr>
      <w:r>
        <w:rPr>
          <w:rFonts w:hint="eastAsia" w:ascii="仿宋_GB2312" w:eastAsia="仿宋_GB2312" w:cs="仿宋_GB2312"/>
          <w:sz w:val="32"/>
          <w:szCs w:val="32"/>
          <w:highlight w:val="none"/>
          <w:lang w:val="zh-CN"/>
        </w:rPr>
        <w:t>财务管理。</w:t>
      </w:r>
    </w:p>
    <w:p w14:paraId="568E730B">
      <w:pPr>
        <w:widowControl/>
        <w:adjustRightInd w:val="0"/>
        <w:snapToGrid w:val="0"/>
        <w:spacing w:line="480" w:lineRule="exact"/>
        <w:ind w:left="420" w:leftChars="200"/>
        <w:jc w:val="left"/>
        <w:rPr>
          <w:rFonts w:hint="eastAsia" w:ascii="仿宋_GB2312" w:eastAsia="仿宋_GB2312" w:cs="仿宋_GB2312"/>
          <w:sz w:val="32"/>
          <w:szCs w:val="32"/>
          <w:lang w:val="zh-CN"/>
        </w:rPr>
      </w:pPr>
      <w:r>
        <w:rPr>
          <w:rFonts w:hint="eastAsia" w:ascii="仿宋_GB2312" w:eastAsia="仿宋_GB2312" w:cs="仿宋_GB2312"/>
          <w:sz w:val="32"/>
          <w:szCs w:val="32"/>
          <w:lang w:val="zh-CN"/>
        </w:rPr>
        <w:t>一是加强内部控制。2023年继续修改完善相关财务管理的制度、规定，加强内部控制和监督。对各项资金的管理、经费收支审批等均做了明确规定，正确组织资金的筹集、调度和使用，债权债务及时结算、结清。各项经费支出严格按照单位“三重一大”制度执行。</w:t>
      </w:r>
    </w:p>
    <w:p w14:paraId="61541827">
      <w:pPr>
        <w:widowControl/>
        <w:adjustRightInd w:val="0"/>
        <w:snapToGrid w:val="0"/>
        <w:spacing w:line="480" w:lineRule="exact"/>
        <w:ind w:firstLine="640" w:firstLineChars="200"/>
        <w:jc w:val="left"/>
        <w:rPr>
          <w:rFonts w:hint="eastAsia" w:ascii="仿宋_GB2312" w:eastAsia="仿宋_GB2312" w:cs="仿宋_GB2312"/>
          <w:sz w:val="32"/>
          <w:szCs w:val="32"/>
          <w:highlight w:val="none"/>
          <w:lang w:val="zh-CN"/>
        </w:rPr>
      </w:pPr>
      <w:r>
        <w:rPr>
          <w:rFonts w:hint="eastAsia" w:ascii="仿宋_GB2312" w:eastAsia="仿宋_GB2312" w:cs="仿宋_GB2312"/>
          <w:sz w:val="32"/>
          <w:szCs w:val="32"/>
          <w:lang w:val="zh-CN"/>
        </w:rPr>
        <w:t>二是强化制度执行。切实做好厉行节约工作，全面落实各项管理制度要求，努力降低行政成本。严格公务接待费、差旅费、会议费和培训费审核审批程序，加强对公务用车的管理，把“三公”经费较好地控制在预算范围之内。</w:t>
      </w:r>
    </w:p>
    <w:p w14:paraId="3057F8D7">
      <w:pPr>
        <w:widowControl/>
        <w:numPr>
          <w:ilvl w:val="0"/>
          <w:numId w:val="8"/>
        </w:numPr>
        <w:adjustRightInd w:val="0"/>
        <w:snapToGrid w:val="0"/>
        <w:spacing w:line="480" w:lineRule="exact"/>
        <w:ind w:left="0" w:firstLine="640" w:firstLineChars="200"/>
        <w:jc w:val="left"/>
        <w:rPr>
          <w:rFonts w:hint="eastAsia" w:ascii="仿宋_GB2312" w:eastAsia="仿宋_GB2312" w:cs="仿宋_GB2312"/>
          <w:sz w:val="32"/>
          <w:szCs w:val="32"/>
          <w:highlight w:val="none"/>
          <w:lang w:val="zh-CN"/>
        </w:rPr>
      </w:pPr>
      <w:r>
        <w:rPr>
          <w:rFonts w:hint="eastAsia" w:ascii="仿宋_GB2312" w:eastAsia="仿宋_GB2312" w:cs="仿宋_GB2312"/>
          <w:sz w:val="32"/>
          <w:szCs w:val="32"/>
          <w:highlight w:val="none"/>
          <w:lang w:val="zh-CN"/>
        </w:rPr>
        <w:t>资产管理。</w:t>
      </w:r>
    </w:p>
    <w:p w14:paraId="028AC4E2">
      <w:pPr>
        <w:widowControl/>
        <w:adjustRightInd w:val="0"/>
        <w:snapToGrid w:val="0"/>
        <w:spacing w:line="480" w:lineRule="exact"/>
        <w:ind w:left="420" w:leftChars="200"/>
        <w:jc w:val="left"/>
        <w:rPr>
          <w:rFonts w:hint="eastAsia" w:ascii="仿宋_GB2312" w:eastAsia="仿宋_GB2312" w:cs="仿宋_GB2312"/>
          <w:sz w:val="32"/>
          <w:szCs w:val="32"/>
          <w:highlight w:val="none"/>
          <w:lang w:val="en-US" w:eastAsia="zh-CN"/>
        </w:rPr>
      </w:pPr>
      <w:r>
        <w:rPr>
          <w:rFonts w:hint="eastAsia" w:ascii="仿宋_GB2312" w:eastAsia="仿宋_GB2312" w:cs="仿宋_GB2312"/>
          <w:sz w:val="32"/>
          <w:szCs w:val="32"/>
          <w:lang w:val="zh-CN"/>
        </w:rPr>
        <w:t>我局所有采买的资产，都是经过了政府采购，资产的领用由局办公室负责，资产购买流程合法，管理规范。定期对资产进行清查盘点，做到账实相符。</w:t>
      </w:r>
      <w:r>
        <w:rPr>
          <w:rFonts w:hint="eastAsia" w:ascii="仿宋_GB2312" w:eastAsia="仿宋_GB2312" w:cs="仿宋_GB2312"/>
          <w:sz w:val="32"/>
          <w:szCs w:val="32"/>
          <w:lang w:val="en-US" w:eastAsia="zh-CN"/>
        </w:rPr>
        <w:t>2022年行政事业单位人均占有资产为 66123.86；</w:t>
      </w:r>
      <w:r>
        <w:rPr>
          <w:rFonts w:hint="eastAsia" w:ascii="仿宋_GB2312" w:eastAsia="仿宋_GB2312" w:cs="仿宋_GB2312"/>
          <w:sz w:val="32"/>
          <w:szCs w:val="32"/>
          <w:highlight w:val="none"/>
          <w:lang w:val="zh-CN"/>
        </w:rPr>
        <w:t>人均资产变化率</w:t>
      </w:r>
      <w:r>
        <w:rPr>
          <w:rFonts w:hint="eastAsia" w:ascii="仿宋_GB2312" w:eastAsia="仿宋_GB2312" w:cs="仿宋_GB2312"/>
          <w:sz w:val="32"/>
          <w:szCs w:val="32"/>
          <w:highlight w:val="none"/>
          <w:lang w:val="en-US" w:eastAsia="zh-CN"/>
        </w:rPr>
        <w:t>为5.32%。2023</w:t>
      </w:r>
      <w:r>
        <w:rPr>
          <w:rFonts w:hint="eastAsia" w:ascii="仿宋_GB2312" w:eastAsia="仿宋_GB2312" w:cs="仿宋_GB2312"/>
          <w:sz w:val="32"/>
          <w:szCs w:val="32"/>
          <w:lang w:val="en-US" w:eastAsia="zh-CN"/>
        </w:rPr>
        <w:t>年行政事业单位人均占有资产为64023.19；</w:t>
      </w:r>
      <w:r>
        <w:rPr>
          <w:rFonts w:hint="eastAsia" w:ascii="仿宋_GB2312" w:eastAsia="仿宋_GB2312" w:cs="仿宋_GB2312"/>
          <w:sz w:val="32"/>
          <w:szCs w:val="32"/>
          <w:highlight w:val="none"/>
          <w:lang w:val="zh-CN"/>
        </w:rPr>
        <w:t>人均资产变化率</w:t>
      </w:r>
      <w:r>
        <w:rPr>
          <w:rFonts w:hint="eastAsia" w:ascii="仿宋_GB2312" w:eastAsia="仿宋_GB2312" w:cs="仿宋_GB2312"/>
          <w:sz w:val="32"/>
          <w:szCs w:val="32"/>
          <w:highlight w:val="none"/>
          <w:lang w:val="en-US" w:eastAsia="zh-CN"/>
        </w:rPr>
        <w:t>为3.18%。</w:t>
      </w:r>
    </w:p>
    <w:p w14:paraId="2A371AF9">
      <w:pPr>
        <w:widowControl/>
        <w:numPr>
          <w:ilvl w:val="0"/>
          <w:numId w:val="8"/>
        </w:numPr>
        <w:adjustRightInd w:val="0"/>
        <w:snapToGrid w:val="0"/>
        <w:spacing w:line="480" w:lineRule="exact"/>
        <w:ind w:left="0" w:firstLine="640" w:firstLineChars="200"/>
        <w:jc w:val="left"/>
        <w:rPr>
          <w:rFonts w:hint="eastAsia" w:ascii="仿宋_GB2312" w:eastAsia="仿宋_GB2312" w:cs="仿宋_GB2312"/>
          <w:sz w:val="32"/>
          <w:szCs w:val="32"/>
          <w:highlight w:val="none"/>
          <w:lang w:val="zh-CN"/>
        </w:rPr>
      </w:pPr>
      <w:r>
        <w:rPr>
          <w:rFonts w:hint="eastAsia" w:ascii="仿宋_GB2312" w:eastAsia="仿宋_GB2312" w:cs="仿宋_GB2312"/>
          <w:sz w:val="32"/>
          <w:szCs w:val="32"/>
          <w:highlight w:val="none"/>
          <w:lang w:val="zh-CN"/>
        </w:rPr>
        <w:t>采购管理。</w:t>
      </w:r>
    </w:p>
    <w:p w14:paraId="2BEF685D">
      <w:pPr>
        <w:widowControl/>
        <w:adjustRightInd w:val="0"/>
        <w:snapToGrid w:val="0"/>
        <w:spacing w:line="480" w:lineRule="exact"/>
        <w:ind w:left="420" w:leftChars="200"/>
        <w:jc w:val="left"/>
        <w:rPr>
          <w:rFonts w:hint="eastAsia" w:ascii="仿宋_GB2312" w:eastAsia="仿宋_GB2312" w:cs="仿宋_GB2312"/>
          <w:sz w:val="32"/>
          <w:szCs w:val="32"/>
          <w:highlight w:val="none"/>
          <w:lang w:val="zh-CN"/>
        </w:rPr>
      </w:pPr>
      <w:r>
        <w:rPr>
          <w:rFonts w:hint="eastAsia" w:ascii="仿宋_GB2312" w:eastAsia="仿宋_GB2312" w:cs="仿宋_GB2312"/>
          <w:sz w:val="32"/>
          <w:szCs w:val="32"/>
          <w:lang w:val="zh-CN"/>
        </w:rPr>
        <w:t>我局严格按照《九寨沟县</w:t>
      </w:r>
      <w:r>
        <w:rPr>
          <w:rFonts w:hint="eastAsia" w:ascii="仿宋_GB2312" w:eastAsia="仿宋_GB2312" w:cs="仿宋_GB2312"/>
          <w:sz w:val="32"/>
          <w:szCs w:val="32"/>
          <w:lang w:val="en-US" w:eastAsia="zh-CN"/>
        </w:rPr>
        <w:t>自然资源局</w:t>
      </w:r>
      <w:r>
        <w:rPr>
          <w:rFonts w:hint="eastAsia" w:ascii="仿宋_GB2312" w:eastAsia="仿宋_GB2312" w:cs="仿宋_GB2312"/>
          <w:sz w:val="32"/>
          <w:szCs w:val="32"/>
          <w:lang w:val="zh-CN"/>
        </w:rPr>
        <w:t>政府采购内控管理制度》进行采购。</w:t>
      </w:r>
    </w:p>
    <w:p w14:paraId="22CBCA2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cs="仿宋_GB2312"/>
          <w:sz w:val="32"/>
          <w:szCs w:val="32"/>
          <w:highlight w:val="none"/>
          <w:lang w:val="en-US" w:eastAsia="zh-CN"/>
        </w:rPr>
      </w:pPr>
      <w:r>
        <w:rPr>
          <w:rFonts w:hint="eastAsia" w:ascii="仿宋_GB2312" w:eastAsia="仿宋_GB2312" w:cs="仿宋_GB2312"/>
          <w:bCs/>
          <w:sz w:val="32"/>
          <w:szCs w:val="32"/>
          <w:highlight w:val="none"/>
          <w:lang w:val="zh-CN"/>
        </w:rPr>
        <w:t>（二）部门预算项目绩效分析。</w:t>
      </w:r>
    </w:p>
    <w:p w14:paraId="695BC941">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sz w:val="32"/>
          <w:szCs w:val="32"/>
          <w:highlight w:val="none"/>
          <w:lang w:val="zh-CN" w:eastAsia="zh-CN"/>
        </w:rPr>
      </w:pPr>
      <w:r>
        <w:rPr>
          <w:rFonts w:hint="eastAsia" w:ascii="仿宋_GB2312" w:eastAsia="仿宋_GB2312" w:cs="仿宋_GB2312"/>
          <w:sz w:val="32"/>
          <w:szCs w:val="32"/>
          <w:highlight w:val="none"/>
          <w:lang w:val="en-US" w:eastAsia="zh-CN"/>
        </w:rPr>
        <w:t>常年项目绩效分析。</w:t>
      </w:r>
      <w:r>
        <w:rPr>
          <w:rFonts w:hint="eastAsia" w:ascii="仿宋_GB2312" w:eastAsia="仿宋_GB2312" w:cs="仿宋_GB2312"/>
          <w:sz w:val="32"/>
          <w:szCs w:val="32"/>
          <w:highlight w:val="none"/>
          <w:lang w:val="zh-CN" w:eastAsia="zh-CN"/>
        </w:rPr>
        <w:t>该类项目总数</w:t>
      </w:r>
      <w:r>
        <w:rPr>
          <w:rFonts w:hint="eastAsia" w:ascii="仿宋_GB2312" w:eastAsia="仿宋_GB2312" w:cs="仿宋_GB2312"/>
          <w:sz w:val="32"/>
          <w:szCs w:val="32"/>
          <w:highlight w:val="none"/>
          <w:lang w:val="en-US" w:eastAsia="zh-CN"/>
        </w:rPr>
        <w:t xml:space="preserve"> 0 </w:t>
      </w:r>
      <w:r>
        <w:rPr>
          <w:rFonts w:hint="eastAsia" w:ascii="仿宋_GB2312" w:eastAsia="仿宋_GB2312" w:cs="仿宋_GB2312"/>
          <w:sz w:val="32"/>
          <w:szCs w:val="32"/>
          <w:highlight w:val="none"/>
          <w:lang w:val="zh-CN" w:eastAsia="zh-CN"/>
        </w:rPr>
        <w:t>个，涉及预算总金额</w:t>
      </w:r>
      <w:r>
        <w:rPr>
          <w:rFonts w:hint="eastAsia" w:ascii="仿宋_GB2312" w:eastAsia="仿宋_GB2312" w:cs="仿宋_GB2312"/>
          <w:sz w:val="32"/>
          <w:szCs w:val="32"/>
          <w:highlight w:val="none"/>
          <w:lang w:val="en-US" w:eastAsia="zh-CN"/>
        </w:rPr>
        <w:t xml:space="preserve">   0</w:t>
      </w:r>
      <w:r>
        <w:rPr>
          <w:rFonts w:hint="eastAsia" w:ascii="仿宋_GB2312" w:eastAsia="仿宋_GB2312" w:cs="仿宋_GB2312"/>
          <w:sz w:val="32"/>
          <w:szCs w:val="32"/>
          <w:highlight w:val="none"/>
          <w:lang w:val="zh-CN" w:eastAsia="zh-CN"/>
        </w:rPr>
        <w:t>万元，</w:t>
      </w:r>
      <w:r>
        <w:rPr>
          <w:rFonts w:hint="eastAsia" w:ascii="仿宋_GB2312" w:eastAsia="仿宋_GB2312" w:cs="仿宋_GB2312"/>
          <w:sz w:val="32"/>
          <w:szCs w:val="32"/>
          <w:highlight w:val="none"/>
          <w:lang w:val="zh-CN"/>
        </w:rPr>
        <w:t>1</w:t>
      </w:r>
      <w:r>
        <w:rPr>
          <w:rFonts w:hint="eastAsia" w:ascii="仿宋_GB2312" w:eastAsia="仿宋_GB2312" w:cs="仿宋_GB2312"/>
          <w:sz w:val="32"/>
          <w:szCs w:val="32"/>
          <w:highlight w:val="none"/>
          <w:lang w:val="zh-CN" w:eastAsia="zh-CN"/>
        </w:rPr>
        <w:t>—</w:t>
      </w:r>
      <w:r>
        <w:rPr>
          <w:rFonts w:hint="eastAsia" w:ascii="仿宋_GB2312" w:eastAsia="仿宋_GB2312" w:cs="仿宋_GB2312"/>
          <w:sz w:val="32"/>
          <w:szCs w:val="32"/>
          <w:highlight w:val="none"/>
          <w:lang w:val="zh-CN"/>
        </w:rPr>
        <w:t>1</w:t>
      </w:r>
      <w:r>
        <w:rPr>
          <w:rFonts w:hint="eastAsia" w:ascii="仿宋_GB2312" w:eastAsia="仿宋_GB2312" w:cs="仿宋_GB2312"/>
          <w:sz w:val="32"/>
          <w:szCs w:val="32"/>
          <w:highlight w:val="none"/>
          <w:lang w:val="en-US" w:eastAsia="zh-CN"/>
        </w:rPr>
        <w:t>2</w:t>
      </w:r>
      <w:r>
        <w:rPr>
          <w:rFonts w:hint="eastAsia" w:ascii="仿宋_GB2312" w:eastAsia="仿宋_GB2312" w:cs="仿宋_GB2312"/>
          <w:sz w:val="32"/>
          <w:szCs w:val="32"/>
          <w:highlight w:val="none"/>
          <w:lang w:val="zh-CN"/>
        </w:rPr>
        <w:t>月预算执行总体进度为</w:t>
      </w:r>
      <w:r>
        <w:rPr>
          <w:rFonts w:hint="eastAsia" w:ascii="仿宋_GB2312" w:eastAsia="仿宋_GB2312" w:cs="仿宋_GB2312"/>
          <w:sz w:val="32"/>
          <w:szCs w:val="32"/>
          <w:highlight w:val="none"/>
          <w:lang w:val="en-US" w:eastAsia="zh-CN"/>
        </w:rPr>
        <w:t xml:space="preserve">0 </w:t>
      </w:r>
      <w:r>
        <w:rPr>
          <w:rFonts w:hint="eastAsia" w:ascii="仿宋_GB2312" w:eastAsia="仿宋_GB2312" w:cs="仿宋_GB2312"/>
          <w:sz w:val="32"/>
          <w:szCs w:val="32"/>
          <w:highlight w:val="none"/>
          <w:lang w:val="zh-CN"/>
        </w:rPr>
        <w:t>%，其中：</w:t>
      </w:r>
      <w:r>
        <w:rPr>
          <w:rFonts w:hint="eastAsia" w:ascii="仿宋_GB2312" w:eastAsia="仿宋_GB2312" w:cs="仿宋_GB2312"/>
          <w:sz w:val="32"/>
          <w:szCs w:val="32"/>
          <w:highlight w:val="none"/>
          <w:lang w:val="zh-CN" w:eastAsia="zh-CN"/>
        </w:rPr>
        <w:t>预算结余率大于</w:t>
      </w:r>
      <w:r>
        <w:rPr>
          <w:rFonts w:hint="eastAsia" w:ascii="仿宋_GB2312" w:eastAsia="仿宋_GB2312" w:cs="仿宋_GB2312"/>
          <w:sz w:val="32"/>
          <w:szCs w:val="32"/>
          <w:highlight w:val="none"/>
          <w:lang w:val="en-US" w:eastAsia="zh-CN"/>
        </w:rPr>
        <w:t>10%</w:t>
      </w:r>
      <w:r>
        <w:rPr>
          <w:rFonts w:hint="eastAsia" w:ascii="仿宋_GB2312" w:eastAsia="仿宋_GB2312" w:cs="仿宋_GB2312"/>
          <w:sz w:val="32"/>
          <w:szCs w:val="32"/>
          <w:highlight w:val="none"/>
          <w:lang w:val="zh-CN" w:eastAsia="zh-CN"/>
        </w:rPr>
        <w:t>的项目共计</w:t>
      </w:r>
      <w:r>
        <w:rPr>
          <w:rFonts w:hint="eastAsia" w:ascii="仿宋_GB2312" w:eastAsia="仿宋_GB2312" w:cs="仿宋_GB2312"/>
          <w:sz w:val="32"/>
          <w:szCs w:val="32"/>
          <w:highlight w:val="none"/>
          <w:lang w:val="en-US" w:eastAsia="zh-CN"/>
        </w:rPr>
        <w:t xml:space="preserve">0 </w:t>
      </w:r>
      <w:r>
        <w:rPr>
          <w:rFonts w:hint="eastAsia" w:ascii="仿宋_GB2312" w:eastAsia="仿宋_GB2312" w:cs="仿宋_GB2312"/>
          <w:sz w:val="32"/>
          <w:szCs w:val="32"/>
          <w:highlight w:val="none"/>
          <w:lang w:val="zh-CN" w:eastAsia="zh-CN"/>
        </w:rPr>
        <w:t>个。</w:t>
      </w:r>
    </w:p>
    <w:p w14:paraId="100FA172">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sz w:val="32"/>
          <w:szCs w:val="32"/>
          <w:highlight w:val="none"/>
          <w:lang w:val="zh-CN" w:eastAsia="zh-CN"/>
        </w:rPr>
      </w:pPr>
      <w:r>
        <w:rPr>
          <w:rFonts w:hint="eastAsia" w:ascii="仿宋_GB2312" w:eastAsia="仿宋_GB2312" w:cs="仿宋_GB2312"/>
          <w:sz w:val="32"/>
          <w:szCs w:val="32"/>
          <w:highlight w:val="none"/>
          <w:lang w:val="en-US" w:eastAsia="zh-CN"/>
        </w:rPr>
        <w:t>阶段（一次性）项目绩效分析。</w:t>
      </w:r>
      <w:r>
        <w:rPr>
          <w:rFonts w:hint="eastAsia" w:ascii="仿宋_GB2312" w:eastAsia="仿宋_GB2312" w:cs="仿宋_GB2312"/>
          <w:sz w:val="32"/>
          <w:szCs w:val="32"/>
          <w:highlight w:val="none"/>
          <w:lang w:val="zh-CN" w:eastAsia="zh-CN"/>
        </w:rPr>
        <w:t>该类项目总数</w:t>
      </w:r>
      <w:r>
        <w:rPr>
          <w:rFonts w:hint="eastAsia" w:ascii="仿宋_GB2312" w:eastAsia="仿宋_GB2312" w:cs="仿宋_GB2312"/>
          <w:sz w:val="32"/>
          <w:szCs w:val="32"/>
          <w:highlight w:val="none"/>
          <w:lang w:val="en-US" w:eastAsia="zh-CN"/>
        </w:rPr>
        <w:t xml:space="preserve"> 29 </w:t>
      </w:r>
      <w:r>
        <w:rPr>
          <w:rFonts w:hint="eastAsia" w:ascii="仿宋_GB2312" w:eastAsia="仿宋_GB2312" w:cs="仿宋_GB2312"/>
          <w:sz w:val="32"/>
          <w:szCs w:val="32"/>
          <w:highlight w:val="none"/>
          <w:lang w:val="zh-CN" w:eastAsia="zh-CN"/>
        </w:rPr>
        <w:t>个，涉及预算总金额</w:t>
      </w:r>
      <w:r>
        <w:rPr>
          <w:rFonts w:hint="eastAsia" w:ascii="仿宋_GB2312" w:eastAsia="仿宋_GB2312" w:cs="仿宋_GB2312"/>
          <w:sz w:val="32"/>
          <w:szCs w:val="32"/>
          <w:highlight w:val="none"/>
          <w:lang w:val="en-US" w:eastAsia="zh-CN"/>
        </w:rPr>
        <w:t xml:space="preserve"> 1329.27</w:t>
      </w:r>
      <w:r>
        <w:rPr>
          <w:rFonts w:hint="eastAsia" w:ascii="仿宋_GB2312" w:eastAsia="仿宋_GB2312" w:cs="仿宋_GB2312"/>
          <w:sz w:val="32"/>
          <w:szCs w:val="32"/>
          <w:highlight w:val="none"/>
          <w:lang w:val="zh-CN" w:eastAsia="zh-CN"/>
        </w:rPr>
        <w:t>万元，</w:t>
      </w:r>
      <w:r>
        <w:rPr>
          <w:rFonts w:hint="eastAsia" w:ascii="仿宋_GB2312" w:eastAsia="仿宋_GB2312" w:cs="仿宋_GB2312"/>
          <w:sz w:val="32"/>
          <w:szCs w:val="32"/>
          <w:highlight w:val="none"/>
          <w:lang w:val="zh-CN"/>
        </w:rPr>
        <w:t>1</w:t>
      </w:r>
      <w:r>
        <w:rPr>
          <w:rFonts w:hint="eastAsia" w:ascii="仿宋_GB2312" w:eastAsia="仿宋_GB2312" w:cs="仿宋_GB2312"/>
          <w:sz w:val="32"/>
          <w:szCs w:val="32"/>
          <w:highlight w:val="none"/>
          <w:lang w:val="zh-CN" w:eastAsia="zh-CN"/>
        </w:rPr>
        <w:t>—</w:t>
      </w:r>
      <w:r>
        <w:rPr>
          <w:rFonts w:hint="eastAsia" w:ascii="仿宋_GB2312" w:eastAsia="仿宋_GB2312" w:cs="仿宋_GB2312"/>
          <w:sz w:val="32"/>
          <w:szCs w:val="32"/>
          <w:highlight w:val="none"/>
          <w:lang w:val="zh-CN"/>
        </w:rPr>
        <w:t>1</w:t>
      </w:r>
      <w:r>
        <w:rPr>
          <w:rFonts w:hint="eastAsia" w:ascii="仿宋_GB2312" w:eastAsia="仿宋_GB2312" w:cs="仿宋_GB2312"/>
          <w:sz w:val="32"/>
          <w:szCs w:val="32"/>
          <w:highlight w:val="none"/>
          <w:lang w:val="en-US" w:eastAsia="zh-CN"/>
        </w:rPr>
        <w:t>2</w:t>
      </w:r>
      <w:r>
        <w:rPr>
          <w:rFonts w:hint="eastAsia" w:ascii="仿宋_GB2312" w:eastAsia="仿宋_GB2312" w:cs="仿宋_GB2312"/>
          <w:sz w:val="32"/>
          <w:szCs w:val="32"/>
          <w:highlight w:val="none"/>
          <w:lang w:val="zh-CN"/>
        </w:rPr>
        <w:t>月预算执行总体进度为</w:t>
      </w:r>
      <w:r>
        <w:rPr>
          <w:rFonts w:hint="eastAsia" w:ascii="仿宋_GB2312" w:eastAsia="仿宋_GB2312" w:cs="仿宋_GB2312"/>
          <w:sz w:val="32"/>
          <w:szCs w:val="32"/>
          <w:highlight w:val="none"/>
          <w:lang w:val="en-US" w:eastAsia="zh-CN"/>
        </w:rPr>
        <w:t xml:space="preserve">65 </w:t>
      </w:r>
      <w:r>
        <w:rPr>
          <w:rFonts w:hint="eastAsia" w:ascii="仿宋_GB2312" w:eastAsia="仿宋_GB2312" w:cs="仿宋_GB2312"/>
          <w:sz w:val="32"/>
          <w:szCs w:val="32"/>
          <w:highlight w:val="none"/>
          <w:lang w:val="zh-CN"/>
        </w:rPr>
        <w:t>%，其中：</w:t>
      </w:r>
      <w:r>
        <w:rPr>
          <w:rFonts w:hint="eastAsia" w:ascii="仿宋_GB2312" w:eastAsia="仿宋_GB2312" w:cs="仿宋_GB2312"/>
          <w:sz w:val="32"/>
          <w:szCs w:val="32"/>
          <w:highlight w:val="none"/>
          <w:lang w:val="zh-CN" w:eastAsia="zh-CN"/>
        </w:rPr>
        <w:t>预算结余率大于</w:t>
      </w:r>
      <w:r>
        <w:rPr>
          <w:rFonts w:hint="eastAsia" w:ascii="仿宋_GB2312" w:eastAsia="仿宋_GB2312" w:cs="仿宋_GB2312"/>
          <w:sz w:val="32"/>
          <w:szCs w:val="32"/>
          <w:highlight w:val="none"/>
          <w:lang w:val="en-US" w:eastAsia="zh-CN"/>
        </w:rPr>
        <w:t>10%</w:t>
      </w:r>
      <w:r>
        <w:rPr>
          <w:rFonts w:hint="eastAsia" w:ascii="仿宋_GB2312" w:eastAsia="仿宋_GB2312" w:cs="仿宋_GB2312"/>
          <w:sz w:val="32"/>
          <w:szCs w:val="32"/>
          <w:highlight w:val="none"/>
          <w:lang w:val="zh-CN" w:eastAsia="zh-CN"/>
        </w:rPr>
        <w:t>的项目共计</w:t>
      </w:r>
      <w:r>
        <w:rPr>
          <w:rFonts w:hint="eastAsia" w:ascii="仿宋_GB2312" w:eastAsia="仿宋_GB2312" w:cs="仿宋_GB2312"/>
          <w:sz w:val="32"/>
          <w:szCs w:val="32"/>
          <w:highlight w:val="none"/>
          <w:lang w:val="en-US" w:eastAsia="zh-CN"/>
        </w:rPr>
        <w:t xml:space="preserve">13 </w:t>
      </w:r>
      <w:r>
        <w:rPr>
          <w:rFonts w:hint="eastAsia" w:ascii="仿宋_GB2312" w:eastAsia="仿宋_GB2312" w:cs="仿宋_GB2312"/>
          <w:sz w:val="32"/>
          <w:szCs w:val="32"/>
          <w:highlight w:val="none"/>
          <w:lang w:val="zh-CN" w:eastAsia="zh-CN"/>
        </w:rPr>
        <w:t>个。</w:t>
      </w:r>
    </w:p>
    <w:p w14:paraId="37AE8C8C">
      <w:pPr>
        <w:keepNext w:val="0"/>
        <w:keepLines w:val="0"/>
        <w:pageBreakBefore w:val="0"/>
        <w:widowControl w:val="0"/>
        <w:numPr>
          <w:ilvl w:val="0"/>
          <w:numId w:val="9"/>
        </w:numPr>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sz w:val="32"/>
          <w:szCs w:val="32"/>
          <w:highlight w:val="none"/>
          <w:lang w:val="en-US" w:eastAsia="zh-CN"/>
        </w:rPr>
      </w:pPr>
      <w:r>
        <w:rPr>
          <w:rFonts w:hint="eastAsia" w:ascii="仿宋_GB2312" w:eastAsia="仿宋_GB2312" w:cs="仿宋_GB2312"/>
          <w:sz w:val="32"/>
          <w:szCs w:val="32"/>
          <w:highlight w:val="none"/>
          <w:lang w:val="en-US" w:eastAsia="zh-CN"/>
        </w:rPr>
        <w:t>“九寨沟县存量林权登记数据资料整合”，该项目为阶段（一次性）项目，投资102.24万元，预算执行率100%。该项目的实施能持续推进九寨沟县林权数据整合项目，目前已完成外业调查个人林地41142宗，集体林地1105宗，国有林地69宗（南林局58宗，九寨沟景区1宗，林草局10宗）；内业绘图42316宗，清理及扫描档案约80000张，并已制作完成九寨沟县林权登记电子台账。</w:t>
      </w:r>
    </w:p>
    <w:p w14:paraId="10FCEFD1">
      <w:pPr>
        <w:keepNext w:val="0"/>
        <w:keepLines w:val="0"/>
        <w:pageBreakBefore w:val="0"/>
        <w:widowControl w:val="0"/>
        <w:kinsoku/>
        <w:wordWrap/>
        <w:overflowPunct/>
        <w:topLinePunct w:val="0"/>
        <w:autoSpaceDE/>
        <w:autoSpaceDN/>
        <w:bidi w:val="0"/>
        <w:adjustRightInd w:val="0"/>
        <w:snapToGrid w:val="0"/>
        <w:spacing w:line="578" w:lineRule="exact"/>
        <w:contextualSpacing/>
        <w:jc w:val="left"/>
        <w:textAlignment w:val="auto"/>
        <w:outlineLvl w:val="9"/>
        <w:rPr>
          <w:rFonts w:hint="eastAsia" w:ascii="仿宋_GB2312" w:eastAsia="仿宋_GB2312" w:cs="仿宋_GB2312"/>
          <w:sz w:val="32"/>
          <w:szCs w:val="32"/>
          <w:highlight w:val="none"/>
          <w:lang w:val="en-US" w:eastAsia="zh-CN"/>
        </w:rPr>
      </w:pPr>
      <w:r>
        <w:rPr>
          <w:rFonts w:hint="eastAsia" w:ascii="仿宋_GB2312" w:eastAsia="仿宋_GB2312" w:cs="仿宋_GB2312"/>
          <w:sz w:val="32"/>
          <w:szCs w:val="32"/>
          <w:lang w:val="en-US" w:eastAsia="zh-CN"/>
        </w:rPr>
        <w:t xml:space="preserve">    </w:t>
      </w:r>
      <w:r>
        <w:rPr>
          <w:rFonts w:hint="eastAsia" w:ascii="仿宋_GB2312" w:eastAsia="仿宋_GB2312" w:cs="仿宋_GB2312"/>
          <w:bCs/>
          <w:sz w:val="32"/>
          <w:szCs w:val="32"/>
          <w:lang w:val="en-US" w:eastAsia="zh-CN"/>
        </w:rPr>
        <w:t>2.“九寨沟县集体土地所有权登记成果更新汇交”，</w:t>
      </w:r>
      <w:r>
        <w:rPr>
          <w:rFonts w:hint="eastAsia" w:ascii="仿宋_GB2312" w:eastAsia="仿宋_GB2312" w:cs="仿宋_GB2312"/>
          <w:sz w:val="32"/>
          <w:szCs w:val="32"/>
          <w:highlight w:val="none"/>
          <w:lang w:val="en-US" w:eastAsia="zh-CN"/>
        </w:rPr>
        <w:t>该项目为阶段（一次性）项目，投资33.2万元，预算执行率100%。该项目的实施更新了九寨沟县集体土地所有权确权登记成果。确保每一宗土地都能达到“来源合法、界址清楚、面积准确、权属清晰”的标准，为建设用地报批、集体土地征收、国有土地供应、集体经营性建设用地入市和自然资源统一确权登记等相关工作提供基础。</w:t>
      </w:r>
    </w:p>
    <w:p w14:paraId="21914D7A">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sz w:val="32"/>
          <w:szCs w:val="32"/>
          <w:highlight w:val="none"/>
          <w:lang w:val="en-US" w:eastAsia="zh-CN"/>
        </w:rPr>
      </w:pPr>
      <w:r>
        <w:rPr>
          <w:rFonts w:hint="eastAsia" w:ascii="仿宋_GB2312" w:eastAsia="仿宋_GB2312" w:cs="仿宋_GB2312"/>
          <w:bCs/>
          <w:sz w:val="32"/>
          <w:szCs w:val="32"/>
          <w:lang w:val="en-US" w:eastAsia="zh-CN"/>
        </w:rPr>
        <w:t>3.“-新增建设用地土地有偿使用费”，</w:t>
      </w:r>
      <w:r>
        <w:rPr>
          <w:rFonts w:hint="eastAsia" w:ascii="仿宋_GB2312" w:eastAsia="仿宋_GB2312" w:cs="仿宋_GB2312"/>
          <w:sz w:val="32"/>
          <w:szCs w:val="32"/>
          <w:highlight w:val="none"/>
          <w:lang w:val="en-US" w:eastAsia="zh-CN"/>
        </w:rPr>
        <w:t>该项目为阶段（一次性）项目，投资13.13万元，预算执行率100%。该项目的实施将农用地转批为建设用地，提供要素保障。</w:t>
      </w:r>
    </w:p>
    <w:p w14:paraId="026A93F1">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eastAsia="仿宋_GB2312" w:cs="仿宋_GB2312"/>
          <w:sz w:val="32"/>
          <w:szCs w:val="32"/>
          <w:highlight w:val="none"/>
          <w:lang w:val="en-US" w:eastAsia="zh-CN"/>
        </w:rPr>
      </w:pPr>
      <w:r>
        <w:rPr>
          <w:rFonts w:hint="eastAsia" w:ascii="仿宋_GB2312" w:eastAsia="仿宋_GB2312" w:cs="仿宋_GB2312"/>
          <w:sz w:val="32"/>
          <w:szCs w:val="32"/>
          <w:highlight w:val="none"/>
          <w:lang w:val="en-US" w:eastAsia="zh-CN"/>
        </w:rPr>
        <w:t>4.“乡村人才振兴五年行动专项资金”，该项目为阶段（一次性）项目，投资1.5万元，预算执行率100%。该项目的实施可促进县域内本地干部工作能力的有效提升，从而更好地</w:t>
      </w:r>
      <w:bookmarkStart w:id="112" w:name="_GoBack"/>
      <w:bookmarkEnd w:id="112"/>
      <w:r>
        <w:rPr>
          <w:rFonts w:hint="eastAsia" w:ascii="仿宋_GB2312" w:eastAsia="仿宋_GB2312" w:cs="仿宋_GB2312"/>
          <w:sz w:val="32"/>
          <w:szCs w:val="32"/>
          <w:highlight w:val="none"/>
          <w:lang w:val="en-US" w:eastAsia="zh-CN"/>
        </w:rPr>
        <w:t>为本县服务。</w:t>
      </w:r>
    </w:p>
    <w:p w14:paraId="761F8051">
      <w:pPr>
        <w:keepNext w:val="0"/>
        <w:keepLines w:val="0"/>
        <w:pageBreakBefore w:val="0"/>
        <w:widowControl w:val="0"/>
        <w:kinsoku/>
        <w:wordWrap/>
        <w:overflowPunct/>
        <w:topLinePunct w:val="0"/>
        <w:autoSpaceDE/>
        <w:autoSpaceDN/>
        <w:bidi w:val="0"/>
        <w:adjustRightInd w:val="0"/>
        <w:snapToGrid w:val="0"/>
        <w:spacing w:line="578" w:lineRule="exact"/>
        <w:contextualSpacing/>
        <w:jc w:val="left"/>
        <w:textAlignment w:val="auto"/>
        <w:outlineLvl w:val="9"/>
        <w:rPr>
          <w:rFonts w:hint="eastAsia" w:ascii="仿宋_GB2312" w:eastAsia="仿宋_GB2312" w:cs="仿宋_GB2312"/>
          <w:bCs/>
          <w:sz w:val="32"/>
          <w:szCs w:val="32"/>
          <w:lang w:val="en-US" w:eastAsia="zh-CN"/>
        </w:rPr>
      </w:pPr>
      <w:r>
        <w:rPr>
          <w:rFonts w:hint="eastAsia" w:ascii="仿宋_GB2312" w:eastAsia="仿宋_GB2312" w:cs="仿宋_GB2312"/>
          <w:sz w:val="32"/>
          <w:szCs w:val="32"/>
          <w:lang w:val="en-US" w:eastAsia="zh-CN"/>
        </w:rPr>
        <w:t xml:space="preserve">    5.“2022年第三批地质灾害防治补助资金（省级）-避险搬迁”，</w:t>
      </w:r>
      <w:r>
        <w:rPr>
          <w:rFonts w:hint="eastAsia" w:ascii="仿宋_GB2312" w:eastAsia="仿宋_GB2312" w:cs="仿宋_GB2312"/>
          <w:sz w:val="32"/>
          <w:szCs w:val="32"/>
          <w:highlight w:val="none"/>
          <w:lang w:val="en-US" w:eastAsia="zh-CN"/>
        </w:rPr>
        <w:t>该项目为阶段（一次性）项目，投资12万元，预算执行率100%。该项目的实施能防范其危害，保护人民群众生命财产安全。</w:t>
      </w:r>
    </w:p>
    <w:p w14:paraId="4C63133A">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cs="仿宋_GB2312"/>
          <w:bCs/>
          <w:sz w:val="32"/>
          <w:szCs w:val="32"/>
          <w:highlight w:val="none"/>
          <w:lang w:val="zh-CN" w:eastAsia="zh-CN"/>
        </w:rPr>
      </w:pPr>
      <w:r>
        <w:rPr>
          <w:rFonts w:hint="eastAsia" w:ascii="仿宋_GB2312" w:eastAsia="仿宋_GB2312" w:cs="仿宋_GB2312"/>
          <w:bCs/>
          <w:sz w:val="32"/>
          <w:szCs w:val="32"/>
          <w:highlight w:val="none"/>
          <w:lang w:val="zh-CN"/>
        </w:rPr>
        <w:t>（三）</w:t>
      </w:r>
      <w:r>
        <w:rPr>
          <w:rFonts w:hint="eastAsia" w:ascii="仿宋_GB2312" w:eastAsia="仿宋_GB2312" w:cs="仿宋_GB2312"/>
          <w:bCs/>
          <w:sz w:val="32"/>
          <w:szCs w:val="32"/>
          <w:highlight w:val="none"/>
          <w:lang w:val="zh-CN" w:eastAsia="zh-CN"/>
        </w:rPr>
        <w:t>重点领域</w:t>
      </w:r>
      <w:r>
        <w:rPr>
          <w:rFonts w:hint="eastAsia" w:ascii="仿宋_GB2312" w:eastAsia="仿宋_GB2312" w:cs="仿宋_GB2312"/>
          <w:bCs/>
          <w:sz w:val="32"/>
          <w:szCs w:val="32"/>
          <w:highlight w:val="none"/>
          <w:lang w:val="zh-CN"/>
        </w:rPr>
        <w:t>绩效分析</w:t>
      </w:r>
      <w:r>
        <w:rPr>
          <w:rFonts w:hint="eastAsia" w:ascii="仿宋_GB2312" w:eastAsia="仿宋_GB2312" w:cs="仿宋_GB2312"/>
          <w:bCs/>
          <w:sz w:val="32"/>
          <w:szCs w:val="32"/>
          <w:highlight w:val="none"/>
          <w:lang w:val="zh-CN" w:eastAsia="zh-CN"/>
        </w:rPr>
        <w:t>。</w:t>
      </w:r>
    </w:p>
    <w:p w14:paraId="7AB6404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cs="仿宋_GB2312"/>
          <w:sz w:val="32"/>
          <w:szCs w:val="32"/>
          <w:highlight w:val="none"/>
          <w:lang w:val="en-US" w:eastAsia="zh-CN"/>
        </w:rPr>
      </w:pPr>
      <w:r>
        <w:rPr>
          <w:rFonts w:hint="eastAsia" w:ascii="仿宋_GB2312" w:eastAsia="仿宋_GB2312" w:cs="仿宋_GB2312"/>
          <w:sz w:val="32"/>
          <w:szCs w:val="32"/>
        </w:rPr>
        <w:t>九寨沟县</w:t>
      </w:r>
      <w:r>
        <w:rPr>
          <w:rFonts w:hint="eastAsia" w:ascii="仿宋_GB2312" w:eastAsia="仿宋_GB2312" w:cs="仿宋_GB2312"/>
          <w:sz w:val="32"/>
          <w:szCs w:val="32"/>
          <w:lang w:val="en-US" w:eastAsia="zh-CN"/>
        </w:rPr>
        <w:t>自然资源局</w:t>
      </w:r>
      <w:r>
        <w:rPr>
          <w:rFonts w:hint="eastAsia" w:ascii="仿宋_GB2312" w:eastAsia="仿宋_GB2312" w:cs="仿宋_GB2312"/>
          <w:sz w:val="32"/>
          <w:szCs w:val="32"/>
        </w:rPr>
        <w:t>不涉及国有资本、行政事业性国有资产、债券资金、政府采购和政府购买服务等重点领域。</w:t>
      </w:r>
    </w:p>
    <w:p w14:paraId="6B5D2308">
      <w:pPr>
        <w:numPr>
          <w:ilvl w:val="0"/>
          <w:numId w:val="7"/>
        </w:numPr>
        <w:pBdr>
          <w:top w:val="none" w:color="auto" w:sz="0" w:space="0"/>
          <w:bottom w:val="none" w:color="auto" w:sz="0" w:space="0"/>
          <w:right w:val="none" w:color="auto" w:sz="0" w:space="0"/>
        </w:pBdr>
        <w:autoSpaceDE w:val="0"/>
        <w:snapToGrid w:val="0"/>
        <w:spacing w:line="520" w:lineRule="exact"/>
        <w:ind w:left="0" w:firstLine="640" w:firstLineChars="200"/>
        <w:rPr>
          <w:rFonts w:hint="eastAsia" w:ascii="仿宋_GB2312" w:eastAsia="仿宋_GB2312" w:cs="仿宋_GB2312"/>
          <w:bCs/>
          <w:sz w:val="32"/>
          <w:szCs w:val="32"/>
          <w:lang w:val="zh-CN"/>
        </w:rPr>
      </w:pPr>
      <w:r>
        <w:rPr>
          <w:rFonts w:hint="eastAsia" w:ascii="仿宋_GB2312" w:eastAsia="仿宋_GB2312" w:cs="仿宋_GB2312"/>
          <w:bCs/>
          <w:sz w:val="32"/>
          <w:szCs w:val="32"/>
          <w:lang w:val="zh-CN"/>
        </w:rPr>
        <w:t>绩效结果应用情况。</w:t>
      </w:r>
    </w:p>
    <w:p w14:paraId="58A09501">
      <w:pPr>
        <w:pBdr>
          <w:top w:val="none" w:color="auto" w:sz="0" w:space="0"/>
          <w:bottom w:val="none" w:color="auto" w:sz="0" w:space="0"/>
          <w:right w:val="none" w:color="auto" w:sz="0" w:space="0"/>
        </w:pBdr>
        <w:autoSpaceDE w:val="0"/>
        <w:snapToGrid w:val="0"/>
        <w:spacing w:line="520" w:lineRule="exact"/>
        <w:ind w:left="420" w:leftChars="200"/>
        <w:rPr>
          <w:rFonts w:hint="eastAsia" w:ascii="仿宋_GB2312" w:eastAsia="仿宋_GB2312" w:cs="仿宋_GB2312"/>
          <w:sz w:val="32"/>
          <w:szCs w:val="32"/>
          <w:lang w:val="zh-CN"/>
        </w:rPr>
      </w:pPr>
      <w:r>
        <w:rPr>
          <w:rFonts w:hint="eastAsia" w:ascii="仿宋_GB2312" w:eastAsia="仿宋_GB2312" w:cs="仿宋_GB2312"/>
          <w:sz w:val="32"/>
          <w:szCs w:val="32"/>
        </w:rPr>
        <w:t>1、</w:t>
      </w:r>
      <w:r>
        <w:rPr>
          <w:rFonts w:hint="eastAsia" w:ascii="仿宋_GB2312" w:eastAsia="仿宋_GB2312" w:cs="仿宋_GB2312"/>
          <w:sz w:val="32"/>
          <w:szCs w:val="32"/>
          <w:lang w:val="zh-CN"/>
        </w:rPr>
        <w:t>部门预算绩效评价结果应用的制度建设不断推进。项目支出绩效评价结果应用的制度建设日益完善。政策性支出绩效评价结果应用的制度建设开始起步。部门整体支出绩效评价结果应用的制度建设逐步推进。</w:t>
      </w:r>
    </w:p>
    <w:p w14:paraId="4F79EB38">
      <w:pPr>
        <w:pBdr>
          <w:top w:val="none" w:color="auto" w:sz="0" w:space="0"/>
          <w:bottom w:val="none" w:color="auto" w:sz="0" w:space="0"/>
          <w:right w:val="none" w:color="auto" w:sz="0" w:space="0"/>
        </w:pBdr>
        <w:autoSpaceDE w:val="0"/>
        <w:snapToGrid w:val="0"/>
        <w:spacing w:line="520" w:lineRule="exact"/>
        <w:ind w:firstLine="640" w:firstLineChars="200"/>
        <w:rPr>
          <w:rFonts w:hint="eastAsia" w:ascii="仿宋_GB2312" w:eastAsia="仿宋_GB2312" w:cs="仿宋_GB2312"/>
          <w:sz w:val="32"/>
          <w:szCs w:val="32"/>
          <w:lang w:val="zh-CN"/>
        </w:rPr>
      </w:pPr>
      <w:r>
        <w:rPr>
          <w:rFonts w:hint="eastAsia" w:ascii="仿宋_GB2312" w:eastAsia="仿宋_GB2312" w:cs="仿宋_GB2312"/>
          <w:sz w:val="32"/>
          <w:szCs w:val="32"/>
        </w:rPr>
        <w:t>2、</w:t>
      </w:r>
      <w:r>
        <w:rPr>
          <w:rFonts w:hint="eastAsia" w:ascii="仿宋_GB2312" w:eastAsia="仿宋_GB2312" w:cs="仿宋_GB2312"/>
          <w:sz w:val="32"/>
          <w:szCs w:val="32"/>
          <w:lang w:val="zh-CN"/>
        </w:rPr>
        <w:t>预算绩效评价结果公开制度的实施，有利于打破行政管理的封闭性，打造透明预算，从而使各利益相关方了解预算资金使用的安全</w:t>
      </w:r>
      <w:r>
        <w:rPr>
          <w:rFonts w:hint="eastAsia" w:ascii="仿宋_GB2312" w:eastAsia="仿宋_GB2312" w:cs="仿宋_GB2312"/>
          <w:sz w:val="32"/>
          <w:szCs w:val="32"/>
        </w:rPr>
        <w:t>性</w:t>
      </w:r>
      <w:r>
        <w:rPr>
          <w:rFonts w:hint="eastAsia" w:ascii="仿宋_GB2312" w:eastAsia="仿宋_GB2312" w:cs="仿宋_GB2312"/>
          <w:sz w:val="32"/>
          <w:szCs w:val="32"/>
          <w:lang w:val="zh-CN"/>
        </w:rPr>
        <w:t>、效益性，并发挥其监督作用。</w:t>
      </w:r>
    </w:p>
    <w:p w14:paraId="11D1AD06">
      <w:pPr>
        <w:pBdr>
          <w:top w:val="none" w:color="auto" w:sz="0" w:space="0"/>
          <w:bottom w:val="none" w:color="auto" w:sz="0" w:space="0"/>
          <w:right w:val="none" w:color="auto" w:sz="0" w:space="0"/>
        </w:pBdr>
        <w:autoSpaceDE w:val="0"/>
        <w:snapToGrid w:val="0"/>
        <w:spacing w:line="52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3、绩效评价结果的质量参差不齐，尚未形成统一、科学的绩效指标体系。</w:t>
      </w:r>
    </w:p>
    <w:p w14:paraId="14178682">
      <w:pPr>
        <w:pBdr>
          <w:top w:val="none" w:color="auto" w:sz="0" w:space="0"/>
          <w:bottom w:val="none" w:color="auto" w:sz="0" w:space="0"/>
          <w:right w:val="none" w:color="auto" w:sz="0" w:space="0"/>
        </w:pBdr>
        <w:autoSpaceDE w:val="0"/>
        <w:snapToGrid w:val="0"/>
        <w:spacing w:line="520" w:lineRule="exact"/>
        <w:ind w:firstLine="640" w:firstLineChars="200"/>
        <w:rPr>
          <w:rFonts w:hint="eastAsia" w:ascii="仿宋_GB2312" w:eastAsia="仿宋_GB2312" w:cs="仿宋_GB2312"/>
          <w:sz w:val="32"/>
          <w:szCs w:val="32"/>
          <w:highlight w:val="none"/>
        </w:rPr>
      </w:pPr>
      <w:r>
        <w:rPr>
          <w:rFonts w:hint="eastAsia" w:ascii="仿宋_GB2312" w:eastAsia="仿宋_GB2312" w:cs="仿宋_GB2312"/>
          <w:sz w:val="32"/>
          <w:szCs w:val="32"/>
          <w:highlight w:val="none"/>
          <w:lang w:eastAsia="zh-CN"/>
        </w:rPr>
        <w:t>四、</w:t>
      </w:r>
      <w:r>
        <w:rPr>
          <w:rFonts w:hint="eastAsia" w:ascii="仿宋_GB2312" w:eastAsia="仿宋_GB2312" w:cs="仿宋_GB2312"/>
          <w:sz w:val="32"/>
          <w:szCs w:val="32"/>
          <w:highlight w:val="none"/>
        </w:rPr>
        <w:t>评价结论及建议</w:t>
      </w:r>
    </w:p>
    <w:p w14:paraId="544A4BDC">
      <w:pPr>
        <w:pBdr>
          <w:top w:val="none" w:color="auto" w:sz="0" w:space="0"/>
          <w:bottom w:val="none" w:color="auto" w:sz="0" w:space="0"/>
          <w:right w:val="none" w:color="auto" w:sz="0" w:space="0"/>
        </w:pBdr>
        <w:autoSpaceDE w:val="0"/>
        <w:snapToGrid w:val="0"/>
        <w:spacing w:line="520" w:lineRule="exact"/>
        <w:ind w:firstLine="640" w:firstLineChars="200"/>
        <w:rPr>
          <w:rFonts w:hint="eastAsia" w:ascii="仿宋_GB2312" w:eastAsia="仿宋_GB2312" w:cs="仿宋_GB2312"/>
          <w:sz w:val="32"/>
          <w:szCs w:val="32"/>
          <w:highlight w:val="none"/>
          <w:lang w:val="en-US" w:eastAsia="zh-CN" w:bidi="ar-SA"/>
        </w:rPr>
      </w:pPr>
      <w:r>
        <w:rPr>
          <w:rFonts w:hint="eastAsia" w:ascii="仿宋_GB2312" w:eastAsia="仿宋_GB2312" w:cs="仿宋_GB2312"/>
          <w:bCs/>
          <w:sz w:val="32"/>
          <w:szCs w:val="32"/>
          <w:highlight w:val="none"/>
          <w:lang w:val="zh-CN"/>
        </w:rPr>
        <w:t>（一）评价结论。</w:t>
      </w:r>
      <w:r>
        <w:rPr>
          <w:rFonts w:hint="eastAsia" w:ascii="仿宋_GB2312" w:eastAsia="仿宋_GB2312" w:cs="仿宋_GB2312"/>
          <w:sz w:val="32"/>
          <w:szCs w:val="32"/>
        </w:rPr>
        <w:t>保障了机关正常运转，并按照国家政策、法规规定和单位实际情况，建立健全了财务基础管理规定和约束机制，依法、有效使用了财政资金，提高了财政资金使用效率，完成了部门职能目标，服务对象满意度高，达到了预期绩效目标</w:t>
      </w:r>
      <w:r>
        <w:rPr>
          <w:rFonts w:hint="eastAsia" w:ascii="仿宋_GB2312" w:eastAsia="仿宋_GB2312" w:cs="仿宋_GB2312"/>
          <w:sz w:val="32"/>
          <w:szCs w:val="32"/>
          <w:lang w:val="en-US" w:eastAsia="zh-CN"/>
        </w:rPr>
        <w:t>,</w:t>
      </w:r>
      <w:r>
        <w:rPr>
          <w:rFonts w:hint="eastAsia" w:ascii="仿宋_GB2312" w:eastAsia="仿宋_GB2312" w:cs="仿宋_GB2312"/>
          <w:sz w:val="32"/>
          <w:szCs w:val="32"/>
          <w:highlight w:val="none"/>
          <w:lang w:val="en-US" w:eastAsia="zh-CN" w:bidi="ar-SA"/>
        </w:rPr>
        <w:t>自评得分96分。</w:t>
      </w:r>
    </w:p>
    <w:p w14:paraId="00BC612F">
      <w:pPr>
        <w:pBdr>
          <w:top w:val="none" w:color="auto" w:sz="0" w:space="0"/>
          <w:bottom w:val="none" w:color="auto" w:sz="0" w:space="0"/>
          <w:right w:val="none" w:color="auto" w:sz="0" w:space="0"/>
        </w:pBdr>
        <w:autoSpaceDE w:val="0"/>
        <w:snapToGrid w:val="0"/>
        <w:spacing w:line="520" w:lineRule="exact"/>
        <w:ind w:firstLine="640" w:firstLineChars="200"/>
        <w:rPr>
          <w:rFonts w:hint="eastAsia" w:ascii="仿宋_GB2312" w:eastAsia="仿宋_GB2312" w:cs="仿宋_GB2312"/>
          <w:bCs/>
          <w:sz w:val="32"/>
          <w:szCs w:val="32"/>
          <w:highlight w:val="none"/>
          <w:lang w:val="en-US" w:eastAsia="zh-CN"/>
        </w:rPr>
      </w:pPr>
      <w:r>
        <w:rPr>
          <w:rFonts w:hint="eastAsia" w:ascii="仿宋_GB2312" w:eastAsia="仿宋_GB2312" w:cs="仿宋_GB2312"/>
          <w:bCs/>
          <w:sz w:val="32"/>
          <w:szCs w:val="32"/>
          <w:highlight w:val="none"/>
          <w:lang w:val="en-US" w:eastAsia="zh-CN" w:bidi="ar-SA"/>
        </w:rPr>
        <w:t>(二)</w:t>
      </w:r>
      <w:r>
        <w:rPr>
          <w:rFonts w:hint="eastAsia" w:ascii="仿宋_GB2312" w:eastAsia="仿宋_GB2312" w:cs="仿宋_GB2312"/>
          <w:bCs/>
          <w:sz w:val="32"/>
          <w:szCs w:val="32"/>
          <w:highlight w:val="none"/>
          <w:lang w:val="zh-CN"/>
        </w:rPr>
        <w:t>存在问题。</w:t>
      </w:r>
      <w:r>
        <w:rPr>
          <w:rFonts w:hint="eastAsia" w:ascii="仿宋_GB2312" w:eastAsia="仿宋_GB2312" w:cs="仿宋_GB2312"/>
          <w:sz w:val="32"/>
          <w:szCs w:val="32"/>
          <w:lang w:val="en-US" w:eastAsia="zh-CN"/>
        </w:rPr>
        <w:t>一是</w:t>
      </w:r>
      <w:r>
        <w:rPr>
          <w:rFonts w:hint="eastAsia" w:ascii="仿宋_GB2312" w:eastAsia="仿宋_GB2312" w:cs="仿宋_GB2312"/>
          <w:sz w:val="32"/>
          <w:szCs w:val="32"/>
          <w:lang w:val="zh-CN"/>
        </w:rPr>
        <w:t>预算编制不够准确和细化，预算的调整数比较大；</w:t>
      </w:r>
      <w:r>
        <w:rPr>
          <w:rFonts w:hint="eastAsia" w:ascii="仿宋_GB2312" w:eastAsia="仿宋_GB2312" w:cs="仿宋_GB2312"/>
          <w:sz w:val="32"/>
          <w:szCs w:val="32"/>
          <w:lang w:val="en-US" w:eastAsia="zh-CN"/>
        </w:rPr>
        <w:t>二</w:t>
      </w:r>
      <w:r>
        <w:rPr>
          <w:rFonts w:hint="eastAsia" w:ascii="仿宋_GB2312" w:eastAsia="仿宋_GB2312" w:cs="仿宋_GB2312"/>
          <w:sz w:val="32"/>
          <w:szCs w:val="32"/>
        </w:rPr>
        <w:t>是还需进一步加快项目竣工验收工作</w:t>
      </w:r>
      <w:r>
        <w:rPr>
          <w:rFonts w:hint="eastAsia" w:ascii="仿宋_GB2312" w:eastAsia="仿宋_GB2312" w:cs="仿宋_GB2312"/>
          <w:sz w:val="32"/>
          <w:szCs w:val="32"/>
          <w:lang w:eastAsia="zh-CN"/>
        </w:rPr>
        <w:t>，</w:t>
      </w:r>
      <w:r>
        <w:rPr>
          <w:rFonts w:hint="eastAsia" w:ascii="仿宋_GB2312" w:eastAsia="仿宋_GB2312" w:cs="仿宋_GB2312"/>
          <w:sz w:val="32"/>
          <w:szCs w:val="32"/>
        </w:rPr>
        <w:t>地灾治理、重大项目涉及全县城镇、乡村，范围广，需加强实施、监督、验收等工作</w:t>
      </w:r>
      <w:r>
        <w:rPr>
          <w:rFonts w:hint="eastAsia" w:ascii="仿宋_GB2312" w:eastAsia="仿宋_GB2312" w:cs="仿宋_GB2312"/>
          <w:sz w:val="32"/>
          <w:szCs w:val="32"/>
          <w:lang w:eastAsia="zh-CN"/>
        </w:rPr>
        <w:t>；</w:t>
      </w:r>
      <w:r>
        <w:rPr>
          <w:rFonts w:hint="eastAsia" w:ascii="仿宋_GB2312" w:eastAsia="仿宋_GB2312" w:cs="仿宋_GB2312"/>
          <w:sz w:val="32"/>
          <w:szCs w:val="32"/>
        </w:rPr>
        <w:t>三是资产管理工作还不够规范，存在的主要问题是部分资产使用人已变更，但因没有移交或者没有将移交清单交与资产管理人员登记，加大了资产清理难度。</w:t>
      </w:r>
    </w:p>
    <w:p w14:paraId="5CA32E5C">
      <w:pPr>
        <w:keepNext w:val="0"/>
        <w:keepLines w:val="0"/>
        <w:pageBreakBefore w:val="0"/>
        <w:widowControl w:val="0"/>
        <w:kinsoku/>
        <w:wordWrap/>
        <w:overflowPunct/>
        <w:topLinePunct w:val="0"/>
        <w:autoSpaceDE/>
        <w:autoSpaceDN/>
        <w:bidi w:val="0"/>
        <w:spacing w:line="578" w:lineRule="exact"/>
        <w:ind w:left="420" w:leftChars="200"/>
        <w:contextualSpacing/>
        <w:textAlignment w:val="auto"/>
        <w:outlineLvl w:val="9"/>
        <w:rPr>
          <w:rFonts w:hint="eastAsia" w:ascii="仿宋_GB2312" w:eastAsia="仿宋_GB2312" w:cs="仿宋_GB2312"/>
          <w:bCs/>
          <w:sz w:val="32"/>
          <w:szCs w:val="32"/>
          <w:highlight w:val="none"/>
          <w:lang w:val="zh-CN" w:eastAsia="zh-CN"/>
        </w:rPr>
      </w:pPr>
      <w:r>
        <w:rPr>
          <w:rFonts w:hint="eastAsia" w:ascii="仿宋_GB2312" w:eastAsia="仿宋_GB2312" w:cs="仿宋_GB2312"/>
          <w:bCs/>
          <w:sz w:val="32"/>
          <w:szCs w:val="32"/>
          <w:highlight w:val="none"/>
          <w:lang w:val="zh-CN" w:eastAsia="zh-CN"/>
        </w:rPr>
        <w:t>（</w:t>
      </w:r>
      <w:r>
        <w:rPr>
          <w:rFonts w:hint="eastAsia" w:ascii="仿宋_GB2312" w:eastAsia="仿宋_GB2312" w:cs="仿宋_GB2312"/>
          <w:bCs/>
          <w:sz w:val="32"/>
          <w:szCs w:val="32"/>
          <w:highlight w:val="none"/>
          <w:lang w:val="en-US" w:eastAsia="zh-CN"/>
        </w:rPr>
        <w:t>三</w:t>
      </w:r>
      <w:r>
        <w:rPr>
          <w:rFonts w:hint="eastAsia" w:ascii="仿宋_GB2312" w:eastAsia="仿宋_GB2312" w:cs="仿宋_GB2312"/>
          <w:bCs/>
          <w:sz w:val="32"/>
          <w:szCs w:val="32"/>
          <w:highlight w:val="none"/>
          <w:lang w:val="zh-CN" w:eastAsia="zh-CN"/>
        </w:rPr>
        <w:t>）改进建议。</w:t>
      </w:r>
    </w:p>
    <w:p w14:paraId="03D830F8">
      <w:pPr>
        <w:widowControl/>
        <w:shd w:val="clear" w:color="auto" w:fill="FFFFFF"/>
        <w:spacing w:line="520" w:lineRule="atLeast"/>
        <w:ind w:firstLine="786"/>
        <w:rPr>
          <w:rFonts w:hint="eastAsia" w:ascii="仿宋_GB2312" w:eastAsia="仿宋_GB2312" w:cs="仿宋_GB2312"/>
          <w:sz w:val="32"/>
          <w:szCs w:val="32"/>
        </w:rPr>
      </w:pPr>
      <w:r>
        <w:rPr>
          <w:rFonts w:hint="eastAsia" w:ascii="仿宋_GB2312" w:eastAsia="仿宋_GB2312" w:cs="仿宋_GB2312"/>
          <w:sz w:val="32"/>
          <w:szCs w:val="32"/>
        </w:rPr>
        <w:t>1、立足单位实际，</w:t>
      </w:r>
      <w:r>
        <w:rPr>
          <w:rFonts w:hint="eastAsia" w:ascii="仿宋_GB2312" w:eastAsia="仿宋_GB2312" w:cs="仿宋_GB2312"/>
          <w:sz w:val="32"/>
          <w:szCs w:val="32"/>
          <w:lang w:val="zh-CN"/>
        </w:rPr>
        <w:t>加强年初预算的编制工，</w:t>
      </w:r>
      <w:r>
        <w:rPr>
          <w:rFonts w:hint="eastAsia" w:ascii="仿宋_GB2312" w:eastAsia="仿宋_GB2312" w:cs="仿宋_GB2312"/>
          <w:sz w:val="32"/>
          <w:szCs w:val="32"/>
        </w:rPr>
        <w:t>积极做好项目推进调研，准确掌握单位人员、车辆、资产等基本信息，准确把握单位业务开展和事业发展动向以及资金需要情况，科学合理编制财政资金预算，细化预算指标，尽量减少预算调整，不断提高预算管理水平。</w:t>
      </w:r>
    </w:p>
    <w:p w14:paraId="13E0CCE5">
      <w:pPr>
        <w:widowControl/>
        <w:shd w:val="clear" w:color="auto" w:fill="FFFFFF"/>
        <w:spacing w:line="520" w:lineRule="atLeast"/>
        <w:ind w:firstLine="786"/>
        <w:rPr>
          <w:rFonts w:hint="eastAsia" w:ascii="仿宋_GB2312" w:eastAsia="仿宋_GB2312" w:cs="仿宋_GB2312"/>
          <w:sz w:val="32"/>
          <w:szCs w:val="32"/>
        </w:rPr>
      </w:pPr>
      <w:r>
        <w:rPr>
          <w:rFonts w:hint="eastAsia" w:ascii="仿宋_GB2312" w:eastAsia="仿宋_GB2312" w:cs="仿宋_GB2312"/>
          <w:sz w:val="32"/>
          <w:szCs w:val="32"/>
        </w:rPr>
        <w:t>2、将进一步规范资产管理工作，加强资产管理和登记。资产在使用过程中有人员变更情况的，及时做好资产使用人变更，方便今后的资产清查工作。</w:t>
      </w:r>
    </w:p>
    <w:p w14:paraId="1FB29523">
      <w:pPr>
        <w:widowControl/>
        <w:shd w:val="clear" w:color="auto" w:fill="FFFFFF"/>
        <w:spacing w:line="520" w:lineRule="atLeast"/>
        <w:ind w:firstLine="786"/>
        <w:rPr>
          <w:rFonts w:hint="eastAsia" w:ascii="仿宋_GB2312" w:eastAsia="仿宋_GB2312" w:cs="仿宋_GB2312"/>
          <w:sz w:val="32"/>
          <w:szCs w:val="32"/>
        </w:rPr>
      </w:pPr>
      <w:r>
        <w:rPr>
          <w:rFonts w:hint="eastAsia" w:ascii="仿宋_GB2312" w:eastAsia="仿宋_GB2312" w:cs="仿宋_GB2312"/>
          <w:sz w:val="32"/>
          <w:szCs w:val="32"/>
        </w:rPr>
        <w:t>3、加快自然资源局项目实施进度，切实有效推进单位项目可持续发展。</w:t>
      </w:r>
    </w:p>
    <w:p w14:paraId="0A4A467F">
      <w:pPr>
        <w:keepNext w:val="0"/>
        <w:keepLines w:val="0"/>
        <w:pageBreakBefore w:val="0"/>
        <w:widowControl w:val="0"/>
        <w:kinsoku/>
        <w:wordWrap/>
        <w:overflowPunct/>
        <w:topLinePunct w:val="0"/>
        <w:autoSpaceDE/>
        <w:autoSpaceDN/>
        <w:bidi w:val="0"/>
        <w:spacing w:line="578" w:lineRule="exact"/>
        <w:ind w:left="420" w:leftChars="200"/>
        <w:contextualSpacing/>
        <w:textAlignment w:val="auto"/>
        <w:outlineLvl w:val="9"/>
        <w:rPr>
          <w:rFonts w:ascii="Times New Roman" w:hAnsi="Times New Roman" w:eastAsia="楷体_GB2312" w:cs="Times New Roman"/>
          <w:b/>
          <w:bCs/>
          <w:color w:val="000000"/>
          <w:kern w:val="0"/>
          <w:szCs w:val="32"/>
          <w:highlight w:val="none"/>
          <w:shd w:val="clear" w:color="auto" w:fill="FFFFFF"/>
          <w:lang w:val="en-US" w:eastAsia="zh-CN"/>
        </w:rPr>
      </w:pPr>
    </w:p>
    <w:p w14:paraId="33D1BB19">
      <w:pPr>
        <w:pStyle w:val="2"/>
        <w:keepNext/>
        <w:keepLines/>
        <w:pageBreakBefore w:val="0"/>
        <w:widowControl w:val="0"/>
        <w:suppressLineNumbers w:val="0"/>
        <w:suppressAutoHyphens w:val="0"/>
        <w:bidi w:val="0"/>
        <w:spacing w:line="377" w:lineRule="auto"/>
        <w:outlineLvl w:val="4"/>
      </w:pPr>
    </w:p>
    <w:p w14:paraId="017EE7BE">
      <w:pPr>
        <w:keepNext w:val="0"/>
        <w:keepLines w:val="0"/>
        <w:pageBreakBefore w:val="0"/>
        <w:widowControl w:val="0"/>
        <w:suppressLineNumbers w:val="0"/>
        <w:suppressAutoHyphens w:val="0"/>
        <w:bidi w:val="0"/>
      </w:pPr>
    </w:p>
    <w:p w14:paraId="39F05521">
      <w:pPr>
        <w:pStyle w:val="2"/>
        <w:keepNext/>
        <w:keepLines/>
        <w:pageBreakBefore w:val="0"/>
        <w:widowControl w:val="0"/>
        <w:suppressLineNumbers w:val="0"/>
        <w:suppressAutoHyphens w:val="0"/>
        <w:bidi w:val="0"/>
      </w:pPr>
    </w:p>
    <w:p w14:paraId="191B3019">
      <w:pPr>
        <w:keepNext w:val="0"/>
        <w:keepLines w:val="0"/>
        <w:pageBreakBefore w:val="0"/>
        <w:widowControl w:val="0"/>
        <w:suppressLineNumbers w:val="0"/>
        <w:suppressAutoHyphens w:val="0"/>
        <w:bidi w:val="0"/>
      </w:pPr>
    </w:p>
    <w:p w14:paraId="4F543A95">
      <w:pPr>
        <w:pStyle w:val="2"/>
        <w:keepNext/>
        <w:keepLines/>
        <w:pageBreakBefore w:val="0"/>
        <w:widowControl w:val="0"/>
        <w:suppressLineNumbers w:val="0"/>
        <w:suppressAutoHyphens w:val="0"/>
        <w:bidi w:val="0"/>
      </w:pPr>
    </w:p>
    <w:p w14:paraId="1192EE0E">
      <w:pPr>
        <w:keepNext w:val="0"/>
        <w:keepLines w:val="0"/>
        <w:pageBreakBefore w:val="0"/>
        <w:widowControl w:val="0"/>
        <w:suppressLineNumbers w:val="0"/>
        <w:suppressAutoHyphens w:val="0"/>
        <w:bidi w:val="0"/>
      </w:pPr>
    </w:p>
    <w:p w14:paraId="5F786EFB">
      <w:pPr>
        <w:pStyle w:val="2"/>
        <w:keepNext/>
        <w:keepLines/>
        <w:pageBreakBefore w:val="0"/>
        <w:widowControl w:val="0"/>
        <w:suppressLineNumbers w:val="0"/>
        <w:suppressAutoHyphens w:val="0"/>
        <w:bidi w:val="0"/>
      </w:pPr>
    </w:p>
    <w:p w14:paraId="3A5AD08C">
      <w:pPr>
        <w:keepNext w:val="0"/>
        <w:keepLines w:val="0"/>
        <w:pageBreakBefore w:val="0"/>
        <w:widowControl w:val="0"/>
        <w:suppressLineNumbers w:val="0"/>
        <w:suppressAutoHyphens w:val="0"/>
        <w:bidi w:val="0"/>
      </w:pPr>
    </w:p>
    <w:p w14:paraId="15B95759">
      <w:pPr>
        <w:pStyle w:val="2"/>
        <w:keepNext/>
        <w:keepLines/>
        <w:pageBreakBefore w:val="0"/>
        <w:widowControl w:val="0"/>
        <w:suppressLineNumbers w:val="0"/>
        <w:suppressAutoHyphens w:val="0"/>
        <w:bidi w:val="0"/>
      </w:pPr>
    </w:p>
    <w:p w14:paraId="6AEC879B">
      <w:pPr>
        <w:keepNext w:val="0"/>
        <w:keepLines w:val="0"/>
        <w:pageBreakBefore w:val="0"/>
        <w:widowControl w:val="0"/>
        <w:suppressLineNumbers w:val="0"/>
        <w:suppressAutoHyphens w:val="0"/>
        <w:bidi w:val="0"/>
      </w:pPr>
    </w:p>
    <w:p w14:paraId="41DAB6D6">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eastAsia="仿宋_GB2312" w:cs="Times New Roman"/>
          <w:kern w:val="2"/>
          <w:sz w:val="32"/>
          <w:szCs w:val="24"/>
          <w:highlight w:val="none"/>
          <w:lang w:val="en-US" w:eastAsia="zh-CN" w:bidi="ar-SA"/>
        </w:rPr>
      </w:pPr>
      <w:r>
        <w:rPr>
          <w:rFonts w:hint="eastAsia" w:ascii="黑体" w:eastAsia="黑体" w:cs="黑体"/>
          <w:kern w:val="2"/>
          <w:sz w:val="32"/>
          <w:szCs w:val="24"/>
          <w:highlight w:val="none"/>
          <w:lang w:val="en-US" w:eastAsia="zh-CN" w:bidi="ar-SA"/>
        </w:rPr>
        <w:t>附表</w:t>
      </w:r>
    </w:p>
    <w:tbl>
      <w:tblPr>
        <w:tblStyle w:val="22"/>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0C458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tcBorders>
              <w:top w:val="nil"/>
              <w:left w:val="nil"/>
              <w:bottom w:val="nil"/>
              <w:right w:val="nil"/>
            </w:tcBorders>
            <w:shd w:val="clear" w:color="auto" w:fill="auto"/>
            <w:noWrap/>
            <w:vAlign w:val="center"/>
          </w:tcPr>
          <w:p w14:paraId="4558F71D">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hAnsi="Times New Roman" w:eastAsia="黑体" w:cs="Times New Roman"/>
                <w:i w:val="0"/>
                <w:color w:val="000000"/>
                <w:sz w:val="28"/>
                <w:szCs w:val="28"/>
                <w:u w:val="none"/>
              </w:rPr>
            </w:pPr>
            <w:r>
              <w:rPr>
                <w:rFonts w:ascii="Times New Roman" w:hAnsi="Times New Roman" w:eastAsia="方正小标宋简体" w:cs="Times New Roman"/>
                <w:i w:val="0"/>
                <w:color w:val="000000"/>
                <w:kern w:val="0"/>
                <w:sz w:val="44"/>
                <w:szCs w:val="44"/>
                <w:u w:val="none"/>
                <w:lang w:val="en-US" w:eastAsia="zh-CN"/>
              </w:rPr>
              <w:t>部门整体支出绩效目标完成情况自评表</w:t>
            </w:r>
          </w:p>
        </w:tc>
      </w:tr>
      <w:tr w14:paraId="4A2DC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tcBorders>
              <w:top w:val="nil"/>
              <w:left w:val="nil"/>
              <w:bottom w:val="nil"/>
              <w:right w:val="nil"/>
            </w:tcBorders>
            <w:shd w:val="clear" w:color="auto" w:fill="auto"/>
            <w:noWrap/>
            <w:vAlign w:val="center"/>
          </w:tcPr>
          <w:p w14:paraId="0FAA34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8"/>
                <w:szCs w:val="28"/>
                <w:u w:val="none"/>
              </w:rPr>
            </w:pPr>
            <w:r>
              <w:rPr>
                <w:rFonts w:ascii="Times New Roman" w:hAnsi="Times New Roman" w:eastAsia="宋体" w:cs="Times New Roman"/>
                <w:i w:val="0"/>
                <w:color w:val="000000"/>
                <w:kern w:val="0"/>
                <w:sz w:val="28"/>
                <w:szCs w:val="28"/>
                <w:u w:val="none"/>
                <w:lang w:val="en-US" w:eastAsia="zh-CN"/>
              </w:rPr>
              <w:t>（2023年度）</w:t>
            </w:r>
          </w:p>
        </w:tc>
      </w:tr>
      <w:tr w14:paraId="239F1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tcBorders>
              <w:top w:val="nil"/>
              <w:left w:val="nil"/>
              <w:bottom w:val="single" w:color="000000" w:sz="4" w:space="0"/>
              <w:right w:val="nil"/>
            </w:tcBorders>
            <w:shd w:val="clear" w:color="auto" w:fill="auto"/>
            <w:noWrap/>
            <w:vAlign w:val="center"/>
          </w:tcPr>
          <w:p w14:paraId="558E38D6">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hAnsi="Times New Roman" w:eastAsia="宋体" w:cs="Times New Roman"/>
                <w:i w:val="0"/>
                <w:color w:val="000000"/>
                <w:sz w:val="21"/>
                <w:szCs w:val="21"/>
                <w:u w:val="none"/>
              </w:rPr>
            </w:pPr>
            <w:r>
              <w:rPr>
                <w:rFonts w:ascii="Times New Roman" w:hAnsi="Times New Roman" w:eastAsia="宋体" w:cs="Times New Roman"/>
                <w:i w:val="0"/>
                <w:color w:val="000000"/>
                <w:kern w:val="0"/>
                <w:sz w:val="21"/>
                <w:szCs w:val="21"/>
                <w:u w:val="none"/>
                <w:lang w:val="en-US" w:eastAsia="zh-CN"/>
              </w:rPr>
              <w:t>单位：万元</w:t>
            </w:r>
          </w:p>
        </w:tc>
      </w:tr>
      <w:tr w14:paraId="45542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31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3CC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自然资源局部门</w:t>
            </w:r>
          </w:p>
        </w:tc>
      </w:tr>
      <w:tr w14:paraId="4C3AD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23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35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04A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89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其他资金</w:t>
            </w:r>
          </w:p>
        </w:tc>
      </w:tr>
      <w:tr w14:paraId="0935E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9B06"/>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076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893.67</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E13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893.67</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4FB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0</w:t>
            </w:r>
          </w:p>
        </w:tc>
      </w:tr>
      <w:tr w14:paraId="37364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63C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年度总体</w:t>
            </w:r>
          </w:p>
          <w:p w14:paraId="5331D1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AA1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完成生态红线、永久基本农田、土地利用总体规划、城乡规划进行技术审查，出具成果；缴清土地出让金欠款律师代理费；以及局日常工作。</w:t>
            </w:r>
          </w:p>
        </w:tc>
      </w:tr>
      <w:tr w14:paraId="57139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E3B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年度主要</w:t>
            </w:r>
          </w:p>
          <w:p w14:paraId="56AC1D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0A8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E18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主要内容</w:t>
            </w:r>
          </w:p>
        </w:tc>
      </w:tr>
      <w:tr w14:paraId="61C50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29B36"/>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4D1F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支付委托托律师事务所法院诉讼追土地出让金欠款律师代理费</w:t>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757E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支付检察院公益诉讼委托律师事务所法院诉讼追缴九寨沟县重庆锦城家园（九寨沟县雪域啤酒有限责任公司）、成都九寨沟大厦饭店有限公司（九寨沟县·九龙湾度假酒店置业有限公司）土地出让金欠款律师代理费</w:t>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p>
        </w:tc>
      </w:tr>
      <w:tr w14:paraId="75FA3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9AFB"/>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C4F5">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建设项目红线审查年度技术服务费</w:t>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r>
              <w:rPr>
                <w:rFonts w:ascii="Times New Roman" w:hAnsi="Times New Roman" w:eastAsia="宋体" w:cs="Times New Roman"/>
                <w:i w:val="0"/>
                <w:color w:val="000000"/>
                <w:sz w:val="24"/>
                <w:szCs w:val="24"/>
                <w:u w:val="none"/>
              </w:rPr>
              <w:tab/>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508A">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"对各类项目用地矢量多审合一技术审查出具成果</w:t>
            </w:r>
          </w:p>
          <w:p w14:paraId="797541C3">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根据《自然资源局关于“多规合一为基础推进规划用地”多审合一“、“多证合一”改革的通知》（自然资规〔2019〕2号，深化”放管服“改革和优化营商环境，对申请项目用地，套合2018年生态保护红线、2021年5月版生态红线、永久基本农田、土地利用总体规划、城乡规划进行技术审查，出具成果。</w:t>
            </w:r>
          </w:p>
        </w:tc>
      </w:tr>
      <w:tr w14:paraId="12BD1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50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年度绩效</w:t>
            </w:r>
          </w:p>
          <w:p w14:paraId="308D97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648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FC5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56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C13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绩效指标</w:t>
            </w:r>
          </w:p>
          <w:p w14:paraId="5AA7A2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E0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F4D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绩效度量单位</w:t>
            </w:r>
          </w:p>
        </w:tc>
        <w:tc>
          <w:tcPr>
            <w:tcW w:w="926" w:type="dxa"/>
            <w:tcBorders>
              <w:top w:val="single" w:color="000000" w:sz="4" w:space="0"/>
              <w:left w:val="single" w:color="000000" w:sz="4" w:space="0"/>
              <w:bottom w:val="single" w:color="000000" w:sz="4" w:space="0"/>
              <w:right w:val="nil"/>
            </w:tcBorders>
            <w:shd w:val="clear" w:color="auto" w:fill="auto"/>
            <w:noWrap/>
            <w:vAlign w:val="center"/>
          </w:tcPr>
          <w:p w14:paraId="1B11DC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C08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实际完成</w:t>
            </w:r>
          </w:p>
          <w:p w14:paraId="261A85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指标值</w:t>
            </w:r>
          </w:p>
        </w:tc>
      </w:tr>
      <w:tr w14:paraId="7251F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E737"/>
        </w:tc>
        <w:tc>
          <w:tcPr>
            <w:tcW w:w="1347" w:type="dxa"/>
            <w:tcBorders>
              <w:top w:val="single" w:color="000000" w:sz="4" w:space="0"/>
              <w:left w:val="single" w:color="000000" w:sz="4" w:space="0"/>
              <w:bottom w:val="nil"/>
              <w:right w:val="single" w:color="000000" w:sz="4" w:space="0"/>
            </w:tcBorders>
            <w:shd w:val="clear" w:color="auto" w:fill="auto"/>
            <w:noWrap/>
            <w:vAlign w:val="center"/>
          </w:tcPr>
          <w:p w14:paraId="528C8118">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57C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F367">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按时完成年度任务指标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740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93F5">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60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5CBE">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361BE">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60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2DF8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75E22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9877A"/>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BB9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效益指标</w:t>
            </w:r>
          </w:p>
        </w:tc>
        <w:tc>
          <w:tcPr>
            <w:tcW w:w="1273" w:type="dxa"/>
            <w:tcBorders>
              <w:top w:val="single" w:color="000000" w:sz="4" w:space="0"/>
              <w:left w:val="single" w:color="000000" w:sz="4" w:space="0"/>
              <w:bottom w:val="nil"/>
              <w:right w:val="single" w:color="000000" w:sz="4" w:space="0"/>
            </w:tcBorders>
            <w:shd w:val="clear" w:color="auto" w:fill="auto"/>
            <w:noWrap/>
            <w:vAlign w:val="center"/>
          </w:tcPr>
          <w:p w14:paraId="16D9C0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社会效益</w:t>
            </w:r>
          </w:p>
          <w:p w14:paraId="24343A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2CE7">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保障局日常事务开展和深化”放管服“改革和优化营商环境</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865E0">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5B2A">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CE3F">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AC57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31C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优</w:t>
            </w:r>
          </w:p>
        </w:tc>
      </w:tr>
      <w:tr w14:paraId="2DB02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BEB34"/>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966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2DC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8864A">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社会和政府满意度</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25F3">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0746E">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BD23">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3B17">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4222">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bl>
    <w:p w14:paraId="1A58CE8B">
      <w:pPr>
        <w:pStyle w:val="21"/>
        <w:ind w:left="0" w:leftChars="0" w:firstLine="0" w:firstLineChars="0"/>
        <w:rPr>
          <w:rFonts w:ascii="Times New Roman" w:hAnsi="Times New Roman" w:eastAsia="黑体" w:cs="Times New Roman"/>
          <w:sz w:val="24"/>
          <w:szCs w:val="24"/>
          <w:highlight w:val="none"/>
          <w:lang w:val="en-US" w:eastAsia="zh-CN"/>
        </w:rPr>
      </w:pPr>
    </w:p>
    <w:p w14:paraId="6191CA9B">
      <w:pPr>
        <w:pStyle w:val="7"/>
        <w:spacing w:before="93" w:beforeLines="0"/>
        <w:rPr>
          <w:rFonts w:cs="仿宋"/>
          <w:sz w:val="32"/>
          <w:szCs w:val="32"/>
        </w:rPr>
      </w:pPr>
    </w:p>
    <w:p w14:paraId="15FF286B">
      <w:pPr>
        <w:pStyle w:val="7"/>
        <w:spacing w:before="93" w:beforeLines="0"/>
        <w:rPr>
          <w:rFonts w:cs="仿宋"/>
          <w:sz w:val="32"/>
          <w:szCs w:val="32"/>
        </w:rPr>
      </w:pPr>
    </w:p>
    <w:p w14:paraId="4A5E6AD8">
      <w:pPr>
        <w:pStyle w:val="7"/>
        <w:spacing w:before="93" w:beforeLines="0"/>
        <w:rPr>
          <w:rFonts w:cs="仿宋"/>
          <w:sz w:val="32"/>
          <w:szCs w:val="32"/>
        </w:rPr>
      </w:pPr>
    </w:p>
    <w:p w14:paraId="1FA53119">
      <w:pPr>
        <w:spacing w:line="600" w:lineRule="exact"/>
        <w:jc w:val="center"/>
        <w:outlineLvl w:val="0"/>
        <w:rPr>
          <w:rFonts w:ascii="仿宋" w:eastAsia="仿宋"/>
        </w:rPr>
      </w:pPr>
      <w:bookmarkStart w:id="85" w:name="_Toc99843146"/>
      <w:r>
        <w:rPr>
          <w:rFonts w:hint="eastAsia" w:ascii="黑体" w:eastAsia="黑体"/>
          <w:sz w:val="44"/>
          <w:szCs w:val="44"/>
        </w:rPr>
        <w:t>第</w:t>
      </w:r>
      <w:r>
        <w:rPr>
          <w:rStyle w:val="26"/>
          <w:rFonts w:hint="eastAsia" w:ascii="黑体" w:eastAsia="黑体"/>
          <w:b w:val="0"/>
        </w:rPr>
        <w:t>五部分 附表</w:t>
      </w:r>
      <w:bookmarkEnd w:id="81"/>
      <w:bookmarkEnd w:id="84"/>
      <w:bookmarkEnd w:id="85"/>
      <w:bookmarkStart w:id="86" w:name="_Toc15396619"/>
    </w:p>
    <w:p w14:paraId="7AB5ACFE">
      <w:pPr>
        <w:pStyle w:val="4"/>
        <w:rPr>
          <w:rFonts w:ascii="仿宋" w:eastAsia="仿宋"/>
        </w:rPr>
      </w:pPr>
      <w:bookmarkStart w:id="87" w:name="_Toc99843147"/>
      <w:r>
        <w:rPr>
          <w:rFonts w:hint="eastAsia" w:ascii="仿宋" w:eastAsia="仿宋"/>
          <w:b w:val="0"/>
        </w:rPr>
        <w:t>一、收</w:t>
      </w:r>
      <w:r>
        <w:rPr>
          <w:rStyle w:val="27"/>
          <w:rFonts w:hint="eastAsia" w:ascii="仿宋" w:eastAsia="仿宋"/>
          <w:b w:val="0"/>
          <w:bCs w:val="0"/>
        </w:rPr>
        <w:t>入支出决算总表</w:t>
      </w:r>
      <w:bookmarkEnd w:id="86"/>
      <w:bookmarkEnd w:id="87"/>
    </w:p>
    <w:p w14:paraId="6335C6BD">
      <w:pPr>
        <w:pStyle w:val="4"/>
        <w:rPr>
          <w:rFonts w:ascii="仿宋" w:eastAsia="仿宋"/>
        </w:rPr>
      </w:pPr>
      <w:bookmarkStart w:id="88" w:name="_Toc15396620"/>
      <w:bookmarkStart w:id="89" w:name="_Toc99843148"/>
      <w:r>
        <w:rPr>
          <w:rFonts w:hint="eastAsia" w:ascii="仿宋" w:eastAsia="仿宋"/>
          <w:b w:val="0"/>
        </w:rPr>
        <w:t>二、收</w:t>
      </w:r>
      <w:r>
        <w:rPr>
          <w:rStyle w:val="27"/>
          <w:rFonts w:hint="eastAsia" w:ascii="仿宋" w:eastAsia="仿宋"/>
          <w:b w:val="0"/>
          <w:bCs w:val="0"/>
        </w:rPr>
        <w:t>入决算表</w:t>
      </w:r>
      <w:bookmarkEnd w:id="88"/>
      <w:bookmarkEnd w:id="89"/>
    </w:p>
    <w:p w14:paraId="6C6259F8">
      <w:pPr>
        <w:pStyle w:val="4"/>
        <w:rPr>
          <w:rFonts w:ascii="仿宋" w:eastAsia="仿宋"/>
        </w:rPr>
      </w:pPr>
      <w:bookmarkStart w:id="90" w:name="_Toc99843149"/>
      <w:bookmarkStart w:id="91" w:name="_Toc15396621"/>
      <w:r>
        <w:rPr>
          <w:rStyle w:val="27"/>
          <w:rFonts w:hint="eastAsia" w:ascii="仿宋" w:eastAsia="仿宋"/>
          <w:b w:val="0"/>
          <w:bCs w:val="0"/>
        </w:rPr>
        <w:t>三、</w:t>
      </w:r>
      <w:r>
        <w:rPr>
          <w:rFonts w:hint="eastAsia" w:ascii="仿宋" w:eastAsia="仿宋"/>
          <w:b w:val="0"/>
        </w:rPr>
        <w:t>支</w:t>
      </w:r>
      <w:r>
        <w:rPr>
          <w:rStyle w:val="27"/>
          <w:rFonts w:hint="eastAsia" w:ascii="仿宋" w:eastAsia="仿宋"/>
          <w:b w:val="0"/>
          <w:bCs w:val="0"/>
        </w:rPr>
        <w:t>出决算表</w:t>
      </w:r>
      <w:bookmarkEnd w:id="90"/>
      <w:bookmarkEnd w:id="91"/>
    </w:p>
    <w:p w14:paraId="0A1D433F">
      <w:pPr>
        <w:pStyle w:val="4"/>
        <w:rPr>
          <w:rFonts w:ascii="仿宋" w:eastAsia="仿宋"/>
          <w:b w:val="0"/>
        </w:rPr>
      </w:pPr>
      <w:bookmarkStart w:id="92" w:name="_Toc15396622"/>
      <w:bookmarkStart w:id="93" w:name="_Toc99843150"/>
      <w:r>
        <w:rPr>
          <w:rStyle w:val="27"/>
          <w:rFonts w:hint="eastAsia" w:ascii="仿宋" w:eastAsia="仿宋"/>
          <w:b w:val="0"/>
          <w:bCs w:val="0"/>
        </w:rPr>
        <w:t>四、</w:t>
      </w:r>
      <w:r>
        <w:rPr>
          <w:rFonts w:hint="eastAsia" w:ascii="仿宋" w:eastAsia="仿宋"/>
          <w:b w:val="0"/>
        </w:rPr>
        <w:t>财</w:t>
      </w:r>
      <w:r>
        <w:rPr>
          <w:rStyle w:val="27"/>
          <w:rFonts w:hint="eastAsia" w:ascii="仿宋" w:eastAsia="仿宋"/>
          <w:b w:val="0"/>
          <w:bCs w:val="0"/>
        </w:rPr>
        <w:t>政拨款收入支出决算总表</w:t>
      </w:r>
      <w:bookmarkEnd w:id="92"/>
      <w:bookmarkEnd w:id="93"/>
    </w:p>
    <w:p w14:paraId="7F5510EA">
      <w:pPr>
        <w:pStyle w:val="4"/>
        <w:rPr>
          <w:rStyle w:val="27"/>
          <w:rFonts w:ascii="仿宋" w:eastAsia="仿宋"/>
          <w:b w:val="0"/>
          <w:bCs w:val="0"/>
        </w:rPr>
      </w:pPr>
      <w:bookmarkStart w:id="94" w:name="_Toc15396623"/>
      <w:bookmarkStart w:id="95" w:name="_Toc99843151"/>
      <w:r>
        <w:rPr>
          <w:rStyle w:val="27"/>
          <w:rFonts w:hint="eastAsia" w:ascii="仿宋" w:eastAsia="仿宋"/>
          <w:b w:val="0"/>
          <w:bCs w:val="0"/>
        </w:rPr>
        <w:t>五、</w:t>
      </w:r>
      <w:r>
        <w:rPr>
          <w:rFonts w:hint="eastAsia" w:ascii="仿宋" w:eastAsia="仿宋"/>
          <w:b w:val="0"/>
        </w:rPr>
        <w:t>财</w:t>
      </w:r>
      <w:r>
        <w:rPr>
          <w:rStyle w:val="27"/>
          <w:rFonts w:hint="eastAsia" w:ascii="仿宋" w:eastAsia="仿宋"/>
          <w:b w:val="0"/>
          <w:bCs w:val="0"/>
        </w:rPr>
        <w:t>政拨款支出决算明细表</w:t>
      </w:r>
      <w:bookmarkEnd w:id="94"/>
      <w:bookmarkEnd w:id="95"/>
      <w:bookmarkStart w:id="96" w:name="_Toc15396624"/>
    </w:p>
    <w:p w14:paraId="1E3F8A08">
      <w:pPr>
        <w:pStyle w:val="4"/>
        <w:rPr>
          <w:rFonts w:ascii="仿宋" w:eastAsia="仿宋"/>
        </w:rPr>
      </w:pPr>
      <w:bookmarkStart w:id="97" w:name="_Toc99843152"/>
      <w:r>
        <w:rPr>
          <w:rStyle w:val="27"/>
          <w:rFonts w:hint="eastAsia" w:ascii="仿宋" w:eastAsia="仿宋"/>
          <w:b w:val="0"/>
          <w:bCs w:val="0"/>
        </w:rPr>
        <w:t>六、</w:t>
      </w:r>
      <w:r>
        <w:rPr>
          <w:rFonts w:hint="eastAsia" w:ascii="仿宋" w:eastAsia="仿宋"/>
          <w:b w:val="0"/>
        </w:rPr>
        <w:t>一</w:t>
      </w:r>
      <w:r>
        <w:rPr>
          <w:rStyle w:val="27"/>
          <w:rFonts w:hint="eastAsia" w:ascii="仿宋" w:eastAsia="仿宋"/>
          <w:b w:val="0"/>
          <w:bCs w:val="0"/>
        </w:rPr>
        <w:t>般公共预算财政拨款支出决算表</w:t>
      </w:r>
      <w:bookmarkEnd w:id="96"/>
      <w:bookmarkEnd w:id="97"/>
    </w:p>
    <w:p w14:paraId="63107B22">
      <w:pPr>
        <w:pStyle w:val="4"/>
        <w:rPr>
          <w:rFonts w:ascii="仿宋" w:eastAsia="仿宋"/>
        </w:rPr>
      </w:pPr>
      <w:bookmarkStart w:id="98" w:name="_Toc99843153"/>
      <w:bookmarkStart w:id="99" w:name="_Toc15396625"/>
      <w:r>
        <w:rPr>
          <w:rStyle w:val="27"/>
          <w:rFonts w:hint="eastAsia" w:ascii="仿宋" w:eastAsia="仿宋"/>
          <w:b w:val="0"/>
          <w:bCs w:val="0"/>
        </w:rPr>
        <w:t>七、</w:t>
      </w:r>
      <w:r>
        <w:rPr>
          <w:rFonts w:hint="eastAsia" w:ascii="仿宋" w:eastAsia="仿宋"/>
          <w:b w:val="0"/>
        </w:rPr>
        <w:t>一</w:t>
      </w:r>
      <w:r>
        <w:rPr>
          <w:rStyle w:val="27"/>
          <w:rFonts w:hint="eastAsia" w:ascii="仿宋" w:eastAsia="仿宋"/>
          <w:b w:val="0"/>
          <w:bCs w:val="0"/>
        </w:rPr>
        <w:t>般公共预算财政拨款支出决算明细表</w:t>
      </w:r>
      <w:bookmarkEnd w:id="98"/>
      <w:bookmarkEnd w:id="99"/>
    </w:p>
    <w:p w14:paraId="4B651838">
      <w:pPr>
        <w:pStyle w:val="4"/>
        <w:rPr>
          <w:rFonts w:ascii="仿宋" w:eastAsia="仿宋"/>
        </w:rPr>
      </w:pPr>
      <w:bookmarkStart w:id="100" w:name="_Toc15396626"/>
      <w:bookmarkStart w:id="101" w:name="_Toc99843154"/>
      <w:r>
        <w:rPr>
          <w:rStyle w:val="27"/>
          <w:rFonts w:hint="eastAsia" w:ascii="仿宋" w:eastAsia="仿宋"/>
          <w:b w:val="0"/>
          <w:bCs w:val="0"/>
        </w:rPr>
        <w:t>八、</w:t>
      </w:r>
      <w:r>
        <w:rPr>
          <w:rFonts w:hint="eastAsia" w:ascii="仿宋" w:eastAsia="仿宋"/>
          <w:b w:val="0"/>
        </w:rPr>
        <w:t>一</w:t>
      </w:r>
      <w:r>
        <w:rPr>
          <w:rStyle w:val="27"/>
          <w:rFonts w:hint="eastAsia" w:ascii="仿宋" w:eastAsia="仿宋"/>
          <w:b w:val="0"/>
          <w:bCs w:val="0"/>
        </w:rPr>
        <w:t>般公共预算财政拨款基本支出决算表</w:t>
      </w:r>
      <w:bookmarkEnd w:id="100"/>
      <w:bookmarkEnd w:id="101"/>
    </w:p>
    <w:p w14:paraId="3FC5DF77">
      <w:pPr>
        <w:pStyle w:val="4"/>
        <w:rPr>
          <w:rFonts w:ascii="仿宋" w:eastAsia="仿宋"/>
        </w:rPr>
      </w:pPr>
      <w:bookmarkStart w:id="102" w:name="_Toc15396627"/>
      <w:bookmarkStart w:id="103" w:name="_Toc99843155"/>
      <w:r>
        <w:rPr>
          <w:rStyle w:val="27"/>
          <w:rFonts w:hint="eastAsia" w:ascii="仿宋" w:eastAsia="仿宋"/>
          <w:b w:val="0"/>
          <w:bCs w:val="0"/>
        </w:rPr>
        <w:t>九、</w:t>
      </w:r>
      <w:r>
        <w:rPr>
          <w:rFonts w:hint="eastAsia" w:ascii="仿宋" w:eastAsia="仿宋"/>
          <w:b w:val="0"/>
        </w:rPr>
        <w:t>一</w:t>
      </w:r>
      <w:r>
        <w:rPr>
          <w:rStyle w:val="27"/>
          <w:rFonts w:hint="eastAsia" w:ascii="仿宋" w:eastAsia="仿宋"/>
          <w:b w:val="0"/>
          <w:bCs w:val="0"/>
        </w:rPr>
        <w:t>般公共预算财政拨款项目支出决算表</w:t>
      </w:r>
      <w:bookmarkEnd w:id="102"/>
      <w:bookmarkEnd w:id="103"/>
    </w:p>
    <w:p w14:paraId="0C9598B3">
      <w:pPr>
        <w:pStyle w:val="4"/>
        <w:rPr>
          <w:rFonts w:ascii="仿宋" w:eastAsia="仿宋"/>
        </w:rPr>
      </w:pPr>
      <w:bookmarkStart w:id="104" w:name="_Toc15396628"/>
      <w:bookmarkStart w:id="105" w:name="_Toc99843156"/>
      <w:r>
        <w:rPr>
          <w:rStyle w:val="27"/>
          <w:rFonts w:hint="eastAsia" w:ascii="仿宋" w:eastAsia="仿宋"/>
          <w:b w:val="0"/>
          <w:bCs w:val="0"/>
        </w:rPr>
        <w:t>十、</w:t>
      </w:r>
      <w:bookmarkEnd w:id="104"/>
      <w:r>
        <w:rPr>
          <w:rFonts w:hint="eastAsia" w:ascii="仿宋" w:eastAsia="仿宋"/>
          <w:b w:val="0"/>
        </w:rPr>
        <w:t>政</w:t>
      </w:r>
      <w:r>
        <w:rPr>
          <w:rStyle w:val="27"/>
          <w:rFonts w:hint="eastAsia" w:ascii="仿宋" w:eastAsia="仿宋"/>
          <w:b w:val="0"/>
          <w:bCs w:val="0"/>
        </w:rPr>
        <w:t>府性基金预算财政拨款收入支出决算表</w:t>
      </w:r>
      <w:bookmarkEnd w:id="105"/>
    </w:p>
    <w:p w14:paraId="610F99D8">
      <w:pPr>
        <w:pStyle w:val="4"/>
        <w:rPr>
          <w:rFonts w:ascii="仿宋" w:eastAsia="仿宋"/>
        </w:rPr>
      </w:pPr>
      <w:bookmarkStart w:id="106" w:name="_Toc15396629"/>
      <w:bookmarkStart w:id="107" w:name="_Toc99843157"/>
      <w:r>
        <w:rPr>
          <w:rStyle w:val="27"/>
          <w:rFonts w:hint="eastAsia" w:ascii="仿宋" w:eastAsia="仿宋"/>
          <w:b w:val="0"/>
          <w:bCs w:val="0"/>
        </w:rPr>
        <w:t>十一、</w:t>
      </w:r>
      <w:bookmarkEnd w:id="106"/>
      <w:r>
        <w:rPr>
          <w:rFonts w:hint="eastAsia" w:ascii="仿宋" w:eastAsia="仿宋"/>
          <w:b w:val="0"/>
        </w:rPr>
        <w:t>国</w:t>
      </w:r>
      <w:r>
        <w:rPr>
          <w:rStyle w:val="27"/>
          <w:rFonts w:hint="eastAsia" w:ascii="仿宋" w:eastAsia="仿宋"/>
          <w:b w:val="0"/>
          <w:bCs w:val="0"/>
        </w:rPr>
        <w:t>有资本经营预算财政拨款收入支出决算表</w:t>
      </w:r>
      <w:bookmarkEnd w:id="107"/>
    </w:p>
    <w:p w14:paraId="77D3F757">
      <w:pPr>
        <w:pStyle w:val="4"/>
        <w:rPr>
          <w:rFonts w:ascii="仿宋" w:eastAsia="仿宋"/>
        </w:rPr>
      </w:pPr>
      <w:bookmarkStart w:id="108" w:name="_Toc15396630"/>
      <w:bookmarkStart w:id="109" w:name="_Toc99843158"/>
      <w:r>
        <w:rPr>
          <w:rStyle w:val="27"/>
          <w:rFonts w:hint="eastAsia" w:ascii="仿宋" w:eastAsia="仿宋"/>
          <w:b w:val="0"/>
          <w:bCs w:val="0"/>
        </w:rPr>
        <w:t>十二、</w:t>
      </w:r>
      <w:bookmarkEnd w:id="108"/>
      <w:r>
        <w:rPr>
          <w:rStyle w:val="27"/>
          <w:rFonts w:hint="eastAsia" w:ascii="仿宋" w:eastAsia="仿宋"/>
          <w:b w:val="0"/>
          <w:bCs w:val="0"/>
        </w:rPr>
        <w:t>国有资本经营预算财政拨款支出决算表</w:t>
      </w:r>
      <w:bookmarkEnd w:id="109"/>
    </w:p>
    <w:p w14:paraId="2E1F2570">
      <w:pPr>
        <w:pStyle w:val="4"/>
        <w:rPr>
          <w:rFonts w:eastAsia="仿宋"/>
        </w:rPr>
      </w:pPr>
      <w:bookmarkStart w:id="110" w:name="_Toc15396631"/>
      <w:bookmarkStart w:id="111" w:name="_Toc99843159"/>
      <w:r>
        <w:rPr>
          <w:rStyle w:val="27"/>
          <w:rFonts w:hint="eastAsia" w:ascii="仿宋" w:eastAsia="仿宋"/>
          <w:b w:val="0"/>
          <w:bCs w:val="0"/>
        </w:rPr>
        <w:t>十三、</w:t>
      </w:r>
      <w:bookmarkEnd w:id="110"/>
      <w:r>
        <w:rPr>
          <w:rStyle w:val="27"/>
          <w:rFonts w:hint="eastAsia" w:ascii="仿宋" w:eastAsia="仿宋"/>
          <w:b w:val="0"/>
          <w:bCs w:val="0"/>
        </w:rPr>
        <w:t>财政拨款“三公”经费支出决算表</w:t>
      </w:r>
      <w:bookmarkEnd w:id="111"/>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08296849"/>
    </w:sdtPr>
    <w:sdtContent>
      <w:p w14:paraId="36CFCEE6">
        <w:pPr>
          <w:pStyle w:val="13"/>
          <w:jc w:val="center"/>
        </w:pPr>
        <w:r>
          <w:fldChar w:fldCharType="begin"/>
        </w:r>
        <w:r>
          <w:instrText xml:space="preserve">PAGE   \* MERGEFORMAT</w:instrText>
        </w:r>
        <w:r>
          <w:fldChar w:fldCharType="separate"/>
        </w:r>
        <w:r>
          <w:rPr>
            <w:lang w:val="zh-CN"/>
          </w:rPr>
          <w:t>15</w:t>
        </w:r>
        <w:r>
          <w:fldChar w:fldCharType="end"/>
        </w:r>
      </w:p>
    </w:sdtContent>
  </w:sdt>
  <w:p w14:paraId="25946036">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590E5">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DF2D5BD0"/>
    <w:multiLevelType w:val="singleLevel"/>
    <w:tmpl w:val="DF2D5BD0"/>
    <w:lvl w:ilvl="0" w:tentative="0">
      <w:start w:val="2"/>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ascii="黑体" w:hAnsi="黑体" w:eastAsia="黑体" w:cs="黑体"/>
        <w:sz w:val="44"/>
        <w:szCs w:val="44"/>
      </w:rPr>
    </w:lvl>
  </w:abstractNum>
  <w:abstractNum w:abstractNumId="3">
    <w:nsid w:val="EEDD9A75"/>
    <w:multiLevelType w:val="singleLevel"/>
    <w:tmpl w:val="EEDD9A75"/>
    <w:lvl w:ilvl="0" w:tentative="0">
      <w:start w:val="2"/>
      <w:numFmt w:val="decimal"/>
      <w:lvlText w:val="%1."/>
      <w:lvlJc w:val="left"/>
      <w:pPr>
        <w:tabs>
          <w:tab w:val="left" w:pos="0"/>
        </w:tabs>
        <w:ind w:left="0" w:firstLine="0"/>
      </w:p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1380B50E"/>
    <w:multiLevelType w:val="multilevel"/>
    <w:tmpl w:val="1380B50E"/>
    <w:lvl w:ilvl="0" w:tentative="0">
      <w:start w:val="1"/>
      <w:numFmt w:val="decimal"/>
      <w:lvlText w:val="%1."/>
      <w:legacy w:legacy="1" w:legacySpace="0" w:legacyIndent="360"/>
      <w:lvlJc w:val="left"/>
      <w:pPr>
        <w:ind w:left="1000" w:hanging="360"/>
      </w:pPr>
      <w:rPr>
        <w:rFonts w:hint="default" w:ascii="仿宋_GB2312" w:hAnsi="仿宋_GB2312" w:eastAsia="仿宋_GB2312"/>
        <w:b/>
        <w:i w:val="0"/>
      </w:rPr>
    </w:lvl>
    <w:lvl w:ilvl="1" w:tentative="0">
      <w:start w:val="1"/>
      <w:numFmt w:val="lowerLetter"/>
      <w:lvlText w:val="%2)"/>
      <w:legacy w:legacy="1" w:legacySpace="0" w:legacyIndent="420"/>
      <w:lvlJc w:val="left"/>
      <w:pPr>
        <w:ind w:left="1480" w:hanging="420"/>
      </w:pPr>
    </w:lvl>
    <w:lvl w:ilvl="2" w:tentative="0">
      <w:start w:val="1"/>
      <w:numFmt w:val="lowerRoman"/>
      <w:lvlText w:val="%3."/>
      <w:legacy w:legacy="1" w:legacySpace="0" w:legacyIndent="420"/>
      <w:lvlJc w:val="right"/>
      <w:pPr>
        <w:ind w:left="1900" w:hanging="420"/>
      </w:pPr>
    </w:lvl>
    <w:lvl w:ilvl="3" w:tentative="0">
      <w:start w:val="1"/>
      <w:numFmt w:val="decimal"/>
      <w:lvlText w:val="%4."/>
      <w:legacy w:legacy="1" w:legacySpace="0" w:legacyIndent="420"/>
      <w:lvlJc w:val="left"/>
      <w:pPr>
        <w:ind w:left="2320" w:hanging="420"/>
      </w:pPr>
    </w:lvl>
    <w:lvl w:ilvl="4" w:tentative="0">
      <w:start w:val="1"/>
      <w:numFmt w:val="lowerLetter"/>
      <w:lvlText w:val="%5)"/>
      <w:legacy w:legacy="1" w:legacySpace="0" w:legacyIndent="420"/>
      <w:lvlJc w:val="left"/>
      <w:pPr>
        <w:ind w:left="2740" w:hanging="420"/>
      </w:pPr>
    </w:lvl>
    <w:lvl w:ilvl="5" w:tentative="0">
      <w:start w:val="1"/>
      <w:numFmt w:val="lowerRoman"/>
      <w:lvlText w:val="%6."/>
      <w:legacy w:legacy="1" w:legacySpace="0" w:legacyIndent="420"/>
      <w:lvlJc w:val="right"/>
      <w:pPr>
        <w:ind w:left="3160" w:hanging="420"/>
      </w:pPr>
    </w:lvl>
    <w:lvl w:ilvl="6" w:tentative="0">
      <w:start w:val="1"/>
      <w:numFmt w:val="decimal"/>
      <w:lvlText w:val="%7."/>
      <w:legacy w:legacy="1" w:legacySpace="0" w:legacyIndent="420"/>
      <w:lvlJc w:val="left"/>
      <w:pPr>
        <w:ind w:left="3580" w:hanging="420"/>
      </w:pPr>
    </w:lvl>
    <w:lvl w:ilvl="7" w:tentative="0">
      <w:start w:val="1"/>
      <w:numFmt w:val="lowerLetter"/>
      <w:lvlText w:val="%8)"/>
      <w:legacy w:legacy="1" w:legacySpace="0" w:legacyIndent="420"/>
      <w:lvlJc w:val="left"/>
      <w:pPr>
        <w:ind w:left="4000" w:hanging="420"/>
      </w:pPr>
    </w:lvl>
    <w:lvl w:ilvl="8" w:tentative="0">
      <w:start w:val="1"/>
      <w:numFmt w:val="lowerRoman"/>
      <w:lvlText w:val="%9."/>
      <w:legacy w:legacy="1" w:legacySpace="0" w:legacyIndent="420"/>
      <w:lvlJc w:val="right"/>
      <w:pPr>
        <w:ind w:left="4420" w:hanging="420"/>
      </w:pPr>
    </w:lvl>
  </w:abstractNum>
  <w:abstractNum w:abstractNumId="6">
    <w:nsid w:val="19FFFBC1"/>
    <w:multiLevelType w:val="singleLevel"/>
    <w:tmpl w:val="19FFFBC1"/>
    <w:lvl w:ilvl="0" w:tentative="0">
      <w:start w:val="2"/>
      <w:numFmt w:val="chineseCounting"/>
      <w:suff w:val="nothing"/>
      <w:lvlText w:val="（%1）"/>
      <w:lvlJc w:val="left"/>
      <w:pPr>
        <w:tabs>
          <w:tab w:val="left" w:pos="0"/>
        </w:tabs>
        <w:ind w:left="0" w:firstLine="0"/>
      </w:pPr>
      <w:rPr>
        <w:rFonts w:hint="eastAsia"/>
      </w:rPr>
    </w:lvl>
  </w:abstractNum>
  <w:abstractNum w:abstractNumId="7">
    <w:nsid w:val="2D7F05DD"/>
    <w:multiLevelType w:val="singleLevel"/>
    <w:tmpl w:val="2D7F05DD"/>
    <w:lvl w:ilvl="0" w:tentative="0">
      <w:start w:val="1"/>
      <w:numFmt w:val="decimal"/>
      <w:lvlText w:val="%1."/>
      <w:lvlJc w:val="left"/>
      <w:pPr>
        <w:tabs>
          <w:tab w:val="left" w:pos="0"/>
        </w:tabs>
        <w:ind w:left="0" w:firstLine="0"/>
      </w:pPr>
    </w:lvl>
  </w:abstractNum>
  <w:abstractNum w:abstractNumId="8">
    <w:nsid w:val="3818A09A"/>
    <w:multiLevelType w:val="singleLevel"/>
    <w:tmpl w:val="3818A09A"/>
    <w:lvl w:ilvl="0" w:tentative="0">
      <w:start w:val="1"/>
      <w:numFmt w:val="chineseCounting"/>
      <w:suff w:val="nothing"/>
      <w:lvlText w:val="%1、"/>
      <w:lvlJc w:val="left"/>
      <w:pPr>
        <w:tabs>
          <w:tab w:val="left" w:pos="0"/>
        </w:tabs>
        <w:ind w:left="0" w:firstLine="0"/>
      </w:pPr>
      <w:rPr>
        <w:rFonts w:hint="eastAsia"/>
      </w:rPr>
    </w:lvl>
  </w:abstractNum>
  <w:num w:numId="1">
    <w:abstractNumId w:val="8"/>
  </w:num>
  <w:num w:numId="2">
    <w:abstractNumId w:val="4"/>
  </w:num>
  <w:num w:numId="3">
    <w:abstractNumId w:val="5"/>
  </w:num>
  <w:num w:numId="4">
    <w:abstractNumId w:val="0"/>
  </w:num>
  <w:num w:numId="5">
    <w:abstractNumId w:val="2"/>
  </w:num>
  <w:num w:numId="6">
    <w:abstractNumId w:val="6"/>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1CB7811"/>
    <w:rsid w:val="13725D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7"/>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3">
    <w:name w:val="Default Paragraph Font"/>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customStyle="1" w:styleId="2">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toc 7"/>
    <w:autoRedefine/>
    <w:uiPriority w:val="0"/>
    <w:pPr>
      <w:ind w:left="1260"/>
      <w:jc w:val="left"/>
    </w:pPr>
    <w:rPr>
      <w:rFonts w:ascii="Times New Roman" w:hAnsi="Times New Roman" w:eastAsia="宋体" w:cs="Times New Roman"/>
      <w:sz w:val="18"/>
      <w:szCs w:val="20"/>
      <w:lang w:val="en-US" w:eastAsia="zh-CN" w:bidi="ar-SA"/>
    </w:r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Body Text Indent"/>
    <w:basedOn w:val="1"/>
    <w:qFormat/>
    <w:uiPriority w:val="0"/>
    <w:pPr>
      <w:spacing w:after="120"/>
      <w:ind w:left="200" w:leftChars="200"/>
    </w:pPr>
    <w:rPr>
      <w:rFonts w:ascii="仿宋_GB2312" w:hAnsi="仿宋_GB2312"/>
      <w:szCs w:val="32"/>
    </w:rPr>
  </w:style>
  <w:style w:type="paragraph" w:styleId="9">
    <w:name w:val="toc 5"/>
    <w:autoRedefine/>
    <w:uiPriority w:val="0"/>
    <w:pPr>
      <w:ind w:left="840"/>
      <w:jc w:val="left"/>
    </w:pPr>
    <w:rPr>
      <w:rFonts w:ascii="Times New Roman" w:hAnsi="Times New Roman" w:eastAsia="宋体" w:cs="Times New Roman"/>
      <w:sz w:val="18"/>
      <w:szCs w:val="20"/>
      <w:lang w:val="en-US" w:eastAsia="zh-CN" w:bidi="ar-SA"/>
    </w:rPr>
  </w:style>
  <w:style w:type="paragraph" w:styleId="10">
    <w:name w:val="toc 3"/>
    <w:qFormat/>
    <w:uiPriority w:val="0"/>
    <w:pPr>
      <w:ind w:left="420"/>
      <w:jc w:val="left"/>
    </w:pPr>
    <w:rPr>
      <w:rFonts w:ascii="Times New Roman" w:hAnsi="Times New Roman" w:eastAsia="宋体" w:cs="Times New Roman"/>
      <w:i/>
      <w:sz w:val="20"/>
      <w:szCs w:val="20"/>
      <w:lang w:val="en-US" w:eastAsia="zh-CN" w:bidi="ar-SA"/>
    </w:rPr>
  </w:style>
  <w:style w:type="paragraph" w:styleId="11">
    <w:name w:val="toc 8"/>
    <w:autoRedefine/>
    <w:uiPriority w:val="0"/>
    <w:pPr>
      <w:ind w:left="1470"/>
      <w:jc w:val="left"/>
    </w:pPr>
    <w:rPr>
      <w:rFonts w:ascii="Times New Roman" w:hAnsi="Times New Roman" w:eastAsia="宋体" w:cs="Times New Roman"/>
      <w:sz w:val="18"/>
      <w:szCs w:val="20"/>
      <w:lang w:val="en-US" w:eastAsia="zh-CN" w:bidi="ar-SA"/>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uiPriority w:val="0"/>
    <w:pPr>
      <w:spacing w:before="120" w:after="120"/>
      <w:ind w:left="0"/>
      <w:jc w:val="left"/>
    </w:pPr>
    <w:rPr>
      <w:rFonts w:ascii="Times New Roman" w:hAnsi="Times New Roman" w:eastAsia="宋体" w:cs="Times New Roman"/>
      <w:b/>
      <w:caps/>
      <w:sz w:val="20"/>
      <w:szCs w:val="20"/>
      <w:lang w:val="en-US" w:eastAsia="zh-CN" w:bidi="ar-SA"/>
    </w:rPr>
  </w:style>
  <w:style w:type="paragraph" w:styleId="16">
    <w:name w:val="toc 4"/>
    <w:autoRedefine/>
    <w:qFormat/>
    <w:uiPriority w:val="0"/>
    <w:pPr>
      <w:ind w:left="630"/>
      <w:jc w:val="left"/>
    </w:pPr>
    <w:rPr>
      <w:rFonts w:ascii="Times New Roman" w:hAnsi="Times New Roman" w:eastAsia="宋体" w:cs="Times New Roman"/>
      <w:sz w:val="18"/>
      <w:szCs w:val="20"/>
      <w:lang w:val="en-US" w:eastAsia="zh-CN" w:bidi="ar-SA"/>
    </w:rPr>
  </w:style>
  <w:style w:type="paragraph" w:styleId="17">
    <w:name w:val="toc 6"/>
    <w:autoRedefine/>
    <w:uiPriority w:val="0"/>
    <w:pPr>
      <w:ind w:left="1050"/>
      <w:jc w:val="left"/>
    </w:pPr>
    <w:rPr>
      <w:rFonts w:ascii="Times New Roman" w:hAnsi="Times New Roman" w:eastAsia="宋体" w:cs="Times New Roman"/>
      <w:sz w:val="18"/>
      <w:szCs w:val="20"/>
      <w:lang w:val="en-US" w:eastAsia="zh-CN" w:bidi="ar-SA"/>
    </w:rPr>
  </w:style>
  <w:style w:type="paragraph" w:styleId="18">
    <w:name w:val="toc 2"/>
    <w:qFormat/>
    <w:uiPriority w:val="0"/>
    <w:pPr>
      <w:ind w:left="210"/>
      <w:jc w:val="left"/>
    </w:pPr>
    <w:rPr>
      <w:rFonts w:ascii="Times New Roman" w:hAnsi="Times New Roman" w:eastAsia="宋体" w:cs="Times New Roman"/>
      <w:smallCaps/>
      <w:sz w:val="20"/>
      <w:szCs w:val="20"/>
      <w:lang w:val="en-US" w:eastAsia="zh-CN" w:bidi="ar-SA"/>
    </w:rPr>
  </w:style>
  <w:style w:type="paragraph" w:styleId="19">
    <w:name w:val="toc 9"/>
    <w:autoRedefine/>
    <w:uiPriority w:val="0"/>
    <w:pPr>
      <w:ind w:left="1680"/>
      <w:jc w:val="left"/>
    </w:pPr>
    <w:rPr>
      <w:rFonts w:ascii="Times New Roman" w:hAnsi="Times New Roman" w:eastAsia="宋体" w:cs="Times New Roman"/>
      <w:sz w:val="18"/>
      <w:szCs w:val="20"/>
      <w:lang w:val="en-US" w:eastAsia="zh-CN" w:bidi="ar-SA"/>
    </w:rPr>
  </w:style>
  <w:style w:type="paragraph" w:styleId="20">
    <w:name w:val="Normal (Web)"/>
    <w:next w:val="2"/>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hAnsi="Times New Roman" w:eastAsia="宋体" w:cs="宋体"/>
      <w:snapToGrid/>
      <w:color w:val="auto"/>
      <w:spacing w:val="0"/>
      <w:w w:val="100"/>
      <w:kern w:val="0"/>
      <w:position w:val="0"/>
      <w:sz w:val="24"/>
      <w:szCs w:val="24"/>
      <w:u w:val="none" w:color="auto"/>
      <w:vertAlign w:val="baseline"/>
      <w:lang w:val="en-US" w:eastAsia="zh-CN" w:bidi="ar-SA"/>
    </w:rPr>
  </w:style>
  <w:style w:type="paragraph" w:styleId="21">
    <w:name w:val="Body Text First Indent 2"/>
    <w:basedOn w:val="8"/>
    <w:qFormat/>
    <w:uiPriority w:val="0"/>
    <w:pPr>
      <w:ind w:firstLine="200" w:firstLineChars="200"/>
    </w:pPr>
  </w:style>
  <w:style w:type="character" w:styleId="24">
    <w:name w:val="Strong"/>
    <w:basedOn w:val="23"/>
    <w:qFormat/>
    <w:uiPriority w:val="0"/>
    <w:rPr>
      <w:b/>
    </w:rPr>
  </w:style>
  <w:style w:type="character" w:styleId="25">
    <w:name w:val="Hyperlink"/>
    <w:basedOn w:val="23"/>
    <w:qFormat/>
    <w:uiPriority w:val="0"/>
    <w:rPr>
      <w:color w:val="0000FF"/>
      <w:u w:val="single"/>
    </w:rPr>
  </w:style>
  <w:style w:type="character" w:customStyle="1" w:styleId="26">
    <w:name w:val="heading 1 Char"/>
    <w:basedOn w:val="23"/>
    <w:link w:val="3"/>
    <w:qFormat/>
    <w:uiPriority w:val="0"/>
    <w:rPr>
      <w:rFonts w:ascii="Times New Roman" w:hAnsi="Times New Roman" w:eastAsia="宋体" w:cs="Times New Roman"/>
      <w:b/>
      <w:bCs/>
      <w:kern w:val="44"/>
      <w:sz w:val="44"/>
      <w:szCs w:val="44"/>
      <w:lang w:val="en-US" w:eastAsia="zh-CN" w:bidi="ar-SA"/>
    </w:rPr>
  </w:style>
  <w:style w:type="character" w:customStyle="1" w:styleId="27">
    <w:name w:val="heading 2 Char"/>
    <w:basedOn w:val="23"/>
    <w:link w:val="4"/>
    <w:qFormat/>
    <w:uiPriority w:val="0"/>
    <w:rPr>
      <w:rFonts w:ascii="Cambria" w:hAnsi="Cambria" w:eastAsia="宋体" w:cs="Times New Roman"/>
      <w:b/>
      <w:bCs/>
      <w:kern w:val="2"/>
      <w:sz w:val="32"/>
      <w:szCs w:val="32"/>
      <w:lang w:val="en-US" w:eastAsia="zh-CN" w:bidi="ar-SA"/>
    </w:rPr>
  </w:style>
  <w:style w:type="character" w:customStyle="1" w:styleId="28">
    <w:name w:val="Header Char"/>
    <w:basedOn w:val="23"/>
    <w:uiPriority w:val="0"/>
    <w:rPr>
      <w:rFonts w:ascii="Times New Roman" w:hAnsi="Times New Roman"/>
      <w:sz w:val="18"/>
      <w:szCs w:val="18"/>
    </w:rPr>
  </w:style>
  <w:style w:type="character" w:customStyle="1" w:styleId="29">
    <w:name w:val="Footer Char"/>
    <w:basedOn w:val="23"/>
    <w:uiPriority w:val="0"/>
    <w:rPr>
      <w:rFonts w:ascii="Times New Roman" w:hAnsi="Times New Roman"/>
      <w:sz w:val="18"/>
      <w:szCs w:val="18"/>
    </w:rPr>
  </w:style>
  <w:style w:type="character" w:customStyle="1" w:styleId="30">
    <w:name w:val="Body Text Char"/>
    <w:basedOn w:val="23"/>
    <w:qFormat/>
    <w:uiPriority w:val="0"/>
    <w:rPr>
      <w:rFonts w:ascii="Times New Roman" w:hAnsi="Times New Roman"/>
      <w:szCs w:val="24"/>
    </w:rPr>
  </w:style>
  <w:style w:type="paragraph" w:customStyle="1" w:styleId="3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2">
    <w:name w:val="List Paragraph"/>
    <w:basedOn w:val="1"/>
    <w:uiPriority w:val="0"/>
    <w:pPr>
      <w:ind w:firstLine="200" w:firstLineChars="200"/>
    </w:pPr>
  </w:style>
  <w:style w:type="paragraph" w:customStyle="1" w:styleId="33">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34">
    <w:name w:val="TOC 标题2"/>
    <w:basedOn w:val="3"/>
    <w:next w:val="1"/>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bmp"/><Relationship Id="rId8" Type="http://schemas.openxmlformats.org/officeDocument/2006/relationships/image" Target="media/image3.bmp"/><Relationship Id="rId7" Type="http://schemas.openxmlformats.org/officeDocument/2006/relationships/image" Target="media/image2.bmp"/><Relationship Id="rId6" Type="http://schemas.openxmlformats.org/officeDocument/2006/relationships/image" Target="media/image1.bmp"/><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bmp"/><Relationship Id="rId11" Type="http://schemas.openxmlformats.org/officeDocument/2006/relationships/image" Target="media/image6.bmp"/><Relationship Id="rId10" Type="http://schemas.openxmlformats.org/officeDocument/2006/relationships/image" Target="media/image5.bmp"/><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29</Pages>
  <Words>10699</Words>
  <Characters>11616</Characters>
  <Lines>633</Lines>
  <Paragraphs>266</Paragraphs>
  <TotalTime>161</TotalTime>
  <ScaleCrop>false</ScaleCrop>
  <LinksUpToDate>false</LinksUpToDate>
  <CharactersWithSpaces>11741</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Keys</cp:lastModifiedBy>
  <cp:lastPrinted>2023-08-03T02:35:00Z</cp:lastPrinted>
  <dcterms:modified xsi:type="dcterms:W3CDTF">2026-04-17T08:53:21Z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eyJoZGlkIjoiYjBmMGI4NjQwMWUzOTYxMDBiN2Y1NTkxNTIxOTgxNWQiLCJ1c2VySWQiOiI5NzExNDI0MjEifQ==</vt:lpwstr>
  </property>
  <property fmtid="{D5CDD505-2E9C-101B-9397-08002B2CF9AE}" pid="4" name="ICV">
    <vt:lpwstr>9D1820E01F144528BD6A31C15A7B2D21_12</vt:lpwstr>
  </property>
</Properties>
</file>