
<file path=[Content_Types].xml><?xml version="1.0" encoding="utf-8"?>
<Types xmlns="http://schemas.openxmlformats.org/package/2006/content-types">
  <Default Extension="bmp" ContentType="image/bmp"/>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64199F">
      <w:pPr>
        <w:pStyle w:val="9"/>
        <w:rPr>
          <w:rFonts w:hint="eastAsia" w:ascii="Times New Roman" w:hAnsi="Times New Roman" w:eastAsia="方正小标宋简体" w:cs="Times New Roman"/>
          <w:color w:val="auto"/>
          <w:kern w:val="2"/>
          <w:sz w:val="72"/>
          <w:szCs w:val="72"/>
          <w:highlight w:val="none"/>
          <w:lang w:val="en-US" w:eastAsia="zh-CN" w:bidi="ar-SA"/>
        </w:rPr>
      </w:pPr>
      <w:bookmarkStart w:id="0" w:name="_Toc15396475"/>
      <w:bookmarkStart w:id="1" w:name="_Toc15377193"/>
      <w:bookmarkStart w:id="2" w:name="_Toc15306267"/>
      <w:bookmarkStart w:id="3" w:name="_Toc15377425"/>
      <w:bookmarkStart w:id="4" w:name="_Toc15378441"/>
      <w:bookmarkStart w:id="5" w:name="_Toc15396597"/>
    </w:p>
    <w:p w14:paraId="03CA0703">
      <w:pPr>
        <w:pStyle w:val="9"/>
        <w:rPr>
          <w:rFonts w:hint="eastAsia" w:ascii="Times New Roman" w:hAnsi="Times New Roman" w:eastAsia="方正小标宋简体" w:cs="Times New Roman"/>
          <w:color w:val="auto"/>
          <w:kern w:val="2"/>
          <w:sz w:val="72"/>
          <w:szCs w:val="72"/>
          <w:highlight w:val="none"/>
          <w:lang w:val="en-US" w:eastAsia="zh-CN" w:bidi="ar-SA"/>
        </w:rPr>
      </w:pPr>
    </w:p>
    <w:p w14:paraId="19FD6C67">
      <w:pPr>
        <w:pStyle w:val="9"/>
        <w:rPr>
          <w:rFonts w:hint="eastAsia" w:ascii="Times New Roman" w:hAnsi="Times New Roman" w:eastAsia="方正小标宋简体" w:cs="Times New Roman"/>
          <w:color w:val="auto"/>
          <w:kern w:val="2"/>
          <w:sz w:val="72"/>
          <w:szCs w:val="72"/>
          <w:highlight w:val="none"/>
          <w:lang w:val="en-US" w:eastAsia="zh-CN" w:bidi="ar-SA"/>
        </w:rPr>
      </w:pPr>
    </w:p>
    <w:p w14:paraId="4EE62453">
      <w:pPr>
        <w:pStyle w:val="9"/>
        <w:jc w:val="center"/>
        <w:rPr>
          <w:rFonts w:ascii="Times New Roman" w:hAns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2024年度</w:t>
      </w:r>
    </w:p>
    <w:p w14:paraId="2EF5A626">
      <w:pPr>
        <w:pStyle w:val="9"/>
        <w:jc w:val="center"/>
        <w:rPr>
          <w:rFonts w:ascii="Times New Roman" w:hAnsi="Times New Roman" w:eastAsia="方正小标宋简体" w:cs="Times New Roman"/>
          <w:color w:val="auto"/>
          <w:kern w:val="2"/>
          <w:sz w:val="44"/>
          <w:szCs w:val="44"/>
          <w:highlight w:val="none"/>
          <w:lang w:val="en-US" w:eastAsia="zh-CN" w:bidi="ar-SA"/>
        </w:rPr>
      </w:pPr>
      <w:r>
        <w:rPr>
          <w:rFonts w:ascii="Times New Roman" w:hAnsi="Times New Roman" w:eastAsia="方正小标宋简体" w:cs="Times New Roman"/>
          <w:color w:val="auto"/>
          <w:kern w:val="2"/>
          <w:sz w:val="44"/>
          <w:szCs w:val="44"/>
          <w:highlight w:val="none"/>
          <w:lang w:val="en-US" w:eastAsia="zh-CN" w:bidi="ar-SA"/>
        </w:rPr>
        <w:t>四川省阿坝州九寨沟县自然资源局</w:t>
      </w:r>
    </w:p>
    <w:p w14:paraId="3302FE53">
      <w:pPr>
        <w:pStyle w:val="9"/>
        <w:jc w:val="center"/>
        <w:rPr>
          <w:rFonts w:hint="eastAsia" w:ascii="Times New Roman" w:hAns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部门决算</w:t>
      </w:r>
    </w:p>
    <w:p w14:paraId="36A90F62">
      <w:pPr>
        <w:pStyle w:val="9"/>
        <w:jc w:val="center"/>
        <w:rPr>
          <w:rFonts w:ascii="Times New Roman" w:hAnsi="Times New Roman" w:eastAsia="方正小标宋简体" w:cs="Times New Roman"/>
          <w:color w:val="auto"/>
          <w:kern w:val="2"/>
          <w:sz w:val="44"/>
          <w:szCs w:val="44"/>
          <w:highlight w:val="none"/>
          <w:lang w:val="en-US" w:eastAsia="zh-CN" w:bidi="ar-SA"/>
        </w:rPr>
      </w:pPr>
    </w:p>
    <w:p w14:paraId="19585360">
      <w:pPr>
        <w:spacing w:line="600" w:lineRule="exact"/>
        <w:jc w:val="center"/>
        <w:outlineLvl w:val="0"/>
        <w:rPr>
          <w:rFonts w:ascii="Times New Roman" w:hAnsi="Times New Roman" w:eastAsia="方正小标宋简体"/>
          <w:color w:val="auto"/>
          <w:sz w:val="72"/>
          <w:szCs w:val="72"/>
          <w:highlight w:val="none"/>
        </w:rPr>
      </w:pPr>
    </w:p>
    <w:p w14:paraId="7E5E2C91">
      <w:pPr>
        <w:pStyle w:val="30"/>
        <w:rPr>
          <w:rFonts w:ascii="Times New Roman" w:hAnsi="Times New Roman"/>
        </w:rPr>
        <w:sectPr>
          <w:headerReference r:id="rId3" w:type="default"/>
          <w:footerReference r:id="rId4" w:type="default"/>
          <w:footerReference r:id="rId5" w:type="even"/>
          <w:pgSz w:w="11906" w:h="16838"/>
          <w:pgMar w:top="1440" w:right="1800" w:bottom="1440" w:left="1800" w:header="851" w:footer="992" w:gutter="0"/>
          <w:pgNumType w:fmt="numberInDash" w:start="1"/>
          <w:cols w:space="720" w:num="1"/>
          <w:titlePg/>
          <w:docGrid w:type="lines" w:linePitch="312" w:charSpace="0"/>
        </w:sectPr>
      </w:pPr>
    </w:p>
    <w:p w14:paraId="46850787">
      <w:pPr>
        <w:rPr>
          <w:rFonts w:ascii="Times New Roman" w:hAnsi="Times New Roman"/>
        </w:rPr>
      </w:pPr>
    </w:p>
    <w:bookmarkEnd w:id="0"/>
    <w:bookmarkEnd w:id="1"/>
    <w:bookmarkEnd w:id="2"/>
    <w:bookmarkEnd w:id="3"/>
    <w:bookmarkEnd w:id="4"/>
    <w:bookmarkEnd w:id="5"/>
    <w:p w14:paraId="3F0B873D">
      <w:pPr>
        <w:widowControl/>
        <w:jc w:val="center"/>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14:paraId="36AADF76">
      <w:pPr>
        <w:widowControl/>
        <w:jc w:val="center"/>
        <w:rPr>
          <w:rFonts w:ascii="Times New Roman" w:hAnsi="Times New Roman" w:eastAsia="黑体" w:cs="Arial"/>
          <w:color w:val="auto"/>
          <w:sz w:val="28"/>
          <w:szCs w:val="28"/>
          <w:highlight w:val="none"/>
        </w:rPr>
      </w:pPr>
    </w:p>
    <w:p w14:paraId="72BE63B0">
      <w:pPr>
        <w:pStyle w:val="16"/>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w:t>
      </w:r>
      <w:r>
        <w:rPr>
          <w:rFonts w:ascii="Times New Roman" w:hAnsi="Times New Roman" w:eastAsia="仿宋_GB2312" w:cs="仿宋_GB2312"/>
          <w:color w:val="auto"/>
          <w:sz w:val="32"/>
          <w:szCs w:val="32"/>
          <w:highlight w:val="none"/>
          <w:lang w:val="en-US" w:eastAsia="zh-CN"/>
        </w:rPr>
        <w:t>5</w:t>
      </w:r>
      <w:r>
        <w:rPr>
          <w:rFonts w:hint="eastAsia" w:ascii="Times New Roman" w:hAnsi="Times New Roman" w:eastAsia="仿宋_GB2312" w:cs="仿宋_GB2312"/>
          <w:color w:val="auto"/>
          <w:sz w:val="32"/>
          <w:szCs w:val="32"/>
          <w:highlight w:val="none"/>
        </w:rPr>
        <w:t>年</w:t>
      </w:r>
      <w:r>
        <w:rPr>
          <w:rFonts w:ascii="Times New Roman" w:hAnsi="Times New Roman" w:eastAsia="仿宋_GB2312" w:cs="仿宋_GB2312"/>
          <w:color w:val="auto"/>
          <w:sz w:val="32"/>
          <w:szCs w:val="32"/>
          <w:highlight w:val="none"/>
          <w:lang w:val="en-US" w:eastAsia="zh-CN"/>
        </w:rPr>
        <w:t>10</w:t>
      </w:r>
      <w:r>
        <w:rPr>
          <w:rFonts w:hint="eastAsia" w:ascii="Times New Roman" w:hAnsi="Times New Roman" w:eastAsia="仿宋_GB2312" w:cs="仿宋_GB2312"/>
          <w:color w:val="auto"/>
          <w:sz w:val="32"/>
          <w:szCs w:val="32"/>
          <w:highlight w:val="none"/>
        </w:rPr>
        <w:t>月</w:t>
      </w:r>
      <w:r>
        <w:rPr>
          <w:rFonts w:ascii="Times New Roman" w:hAnsi="Times New Roman" w:eastAsia="仿宋_GB2312" w:cs="仿宋_GB2312"/>
          <w:color w:val="auto"/>
          <w:sz w:val="32"/>
          <w:szCs w:val="32"/>
          <w:highlight w:val="none"/>
          <w:lang w:val="en-US" w:eastAsia="zh-CN"/>
        </w:rPr>
        <w:t>10</w:t>
      </w:r>
      <w:r>
        <w:rPr>
          <w:rFonts w:hint="eastAsia" w:ascii="Times New Roman" w:hAnsi="Times New Roman" w:eastAsia="仿宋_GB2312" w:cs="仿宋_GB2312"/>
          <w:color w:val="auto"/>
          <w:sz w:val="32"/>
          <w:szCs w:val="32"/>
          <w:highlight w:val="none"/>
        </w:rPr>
        <w:t>日</w:t>
      </w:r>
    </w:p>
    <w:p w14:paraId="5057B4CB">
      <w:pPr>
        <w:rPr>
          <w:rFonts w:ascii="Times New Roman" w:hAnsi="Times New Roman"/>
          <w:color w:val="auto"/>
          <w:highlight w:val="none"/>
        </w:rPr>
      </w:pPr>
    </w:p>
    <w:p w14:paraId="54A660AB">
      <w:pPr>
        <w:pStyle w:val="16"/>
        <w:keepNext w:val="0"/>
        <w:keepLines w:val="0"/>
        <w:pageBreakBefore w:val="0"/>
        <w:widowControl w:val="0"/>
        <w:tabs>
          <w:tab w:val="right" w:leader="dot" w:pos="8306"/>
        </w:tabs>
        <w:bidi w:val="0"/>
        <w:jc w:val="center"/>
      </w:pPr>
      <w:r>
        <w:rPr>
          <w:rFonts w:ascii="Times New Roman" w:hAnsi="Times New Roman" w:eastAsia="黑体" w:cs="黑体"/>
          <w:color w:val="auto"/>
          <w:sz w:val="32"/>
          <w:szCs w:val="32"/>
          <w:highlight w:val="none"/>
        </w:rPr>
        <w:fldChar w:fldCharType="begin"/>
      </w:r>
      <w:r>
        <w:rPr>
          <w:rFonts w:ascii="Times New Roman" w:hAnsi="Times New Roman" w:eastAsia="黑体" w:cs="黑体"/>
          <w:color w:val="auto"/>
          <w:sz w:val="32"/>
          <w:szCs w:val="32"/>
          <w:highlight w:val="none"/>
        </w:rPr>
        <w:instrText xml:space="preserve"> TOC \o "1-3" \h \u </w:instrText>
      </w:r>
      <w:r>
        <w:rPr>
          <w:rFonts w:ascii="Times New Roman" w:hAnsi="Times New Roman" w:eastAsia="黑体" w:cs="黑体"/>
          <w:color w:val="auto"/>
          <w:sz w:val="32"/>
          <w:szCs w:val="32"/>
          <w:highlight w:val="none"/>
        </w:rPr>
        <w:fldChar w:fldCharType="separate"/>
      </w:r>
      <w:r>
        <w:fldChar w:fldCharType="begin"/>
      </w:r>
      <w:r>
        <w:instrText xml:space="preserve">Hyperlink \l "_Toc88884147"</w:instrText>
      </w:r>
      <w:r>
        <w:fldChar w:fldCharType="separate"/>
      </w:r>
      <w:r>
        <w:rPr>
          <w:rFonts w:hint="eastAsia" w:ascii="Times New Roman" w:hAnsi="Times New Roman" w:eastAsia="方正小标宋简体" w:cs="方正小标宋简体"/>
          <w:highlight w:val="none"/>
        </w:rPr>
        <w:t>第一部分</w:t>
      </w:r>
      <w:r>
        <w:rPr>
          <w:rFonts w:hint="eastAsia" w:ascii="Times New Roman" w:hAnsi="Times New Roman" w:eastAsia="方正小标宋简体" w:cs="方正小标宋简体"/>
          <w:highlight w:val="none"/>
          <w:lang w:val="en-US" w:eastAsia="zh-CN"/>
        </w:rPr>
        <w:t xml:space="preserve"> </w:t>
      </w:r>
      <w:r>
        <w:rPr>
          <w:rFonts w:hint="eastAsia" w:ascii="Times New Roman" w:hAnsi="Times New Roman" w:eastAsia="方正小标宋简体" w:cs="方正小标宋简体"/>
          <w:highlight w:val="none"/>
        </w:rPr>
        <w:t xml:space="preserve"> </w:t>
      </w:r>
      <w:r>
        <w:rPr>
          <w:rFonts w:hint="eastAsia" w:ascii="Times New Roman" w:hAnsi="Times New Roman" w:eastAsia="方正小标宋简体" w:cs="方正小标宋简体"/>
          <w:bCs w:val="0"/>
          <w:kern w:val="44"/>
          <w:szCs w:val="44"/>
          <w:lang w:val="en-US" w:eastAsia="zh-CN" w:bidi="ar-SA"/>
        </w:rPr>
        <w:t>部门概况</w:t>
      </w:r>
      <w:r>
        <w:tab/>
      </w:r>
      <w:r>
        <w:fldChar w:fldCharType="begin"/>
      </w:r>
      <w:r>
        <w:instrText xml:space="preserve">PageRef _Toc88884147 \h</w:instrText>
      </w:r>
      <w:r>
        <w:fldChar w:fldCharType="separate"/>
      </w:r>
      <w:r>
        <w:t>- 2 -</w:t>
      </w:r>
      <w:r>
        <w:fldChar w:fldCharType="end"/>
      </w:r>
      <w:r>
        <w:fldChar w:fldCharType="end"/>
      </w:r>
    </w:p>
    <w:p w14:paraId="1CF7E7F3">
      <w:pPr>
        <w:pStyle w:val="19"/>
        <w:keepNext w:val="0"/>
        <w:keepLines w:val="0"/>
        <w:pageBreakBefore w:val="0"/>
        <w:widowControl w:val="0"/>
        <w:tabs>
          <w:tab w:val="right" w:leader="dot" w:pos="8306"/>
        </w:tabs>
        <w:bidi w:val="0"/>
        <w:ind w:left="420" w:leftChars="200"/>
      </w:pPr>
      <w:r>
        <w:fldChar w:fldCharType="begin"/>
      </w:r>
      <w:r>
        <w:instrText xml:space="preserve">Hyperlink \l "_Toc88884148"</w:instrText>
      </w:r>
      <w:r>
        <w:fldChar w:fldCharType="separate"/>
      </w:r>
      <w:r>
        <w:rPr>
          <w:rFonts w:hint="eastAsia" w:ascii="Times New Roman" w:hAnsi="Times New Roman" w:eastAsia="黑体"/>
          <w:highlight w:val="none"/>
          <w:u w:color="auto"/>
          <w:shd w:val="clear" w:color="auto" w:fill="auto"/>
          <w:lang w:eastAsia="zh-CN"/>
        </w:rPr>
        <w:t>一、</w:t>
      </w:r>
      <w:r>
        <w:t xml:space="preserve">  </w:t>
      </w:r>
      <w:r>
        <w:rPr>
          <w:rFonts w:hint="eastAsia" w:ascii="Times New Roman" w:hAnsi="Times New Roman" w:eastAsia="黑体"/>
          <w:highlight w:val="none"/>
          <w:lang w:eastAsia="zh-CN"/>
        </w:rPr>
        <w:t>部门职责</w:t>
      </w:r>
      <w:r>
        <w:tab/>
      </w:r>
      <w:r>
        <w:fldChar w:fldCharType="begin"/>
      </w:r>
      <w:r>
        <w:instrText xml:space="preserve">PageRef _Toc88884148 \h</w:instrText>
      </w:r>
      <w:r>
        <w:fldChar w:fldCharType="separate"/>
      </w:r>
      <w:r>
        <w:t>- 2 -</w:t>
      </w:r>
      <w:r>
        <w:fldChar w:fldCharType="end"/>
      </w:r>
      <w:r>
        <w:fldChar w:fldCharType="end"/>
      </w:r>
    </w:p>
    <w:p w14:paraId="3D618116">
      <w:pPr>
        <w:pStyle w:val="19"/>
        <w:keepNext w:val="0"/>
        <w:keepLines w:val="0"/>
        <w:pageBreakBefore w:val="0"/>
        <w:widowControl w:val="0"/>
        <w:tabs>
          <w:tab w:val="right" w:leader="dot" w:pos="8306"/>
        </w:tabs>
        <w:bidi w:val="0"/>
        <w:ind w:left="420" w:leftChars="200"/>
      </w:pPr>
      <w:r>
        <w:fldChar w:fldCharType="begin"/>
      </w:r>
      <w:r>
        <w:instrText xml:space="preserve">Hyperlink \l "_Toc88884149"</w:instrText>
      </w:r>
      <w:r>
        <w:fldChar w:fldCharType="separate"/>
      </w:r>
      <w:r>
        <w:rPr>
          <w:rFonts w:hint="eastAsia" w:ascii="Times New Roman" w:hAnsi="Times New Roman" w:eastAsia="黑体"/>
          <w:highlight w:val="none"/>
        </w:rPr>
        <w:t>二、机</w:t>
      </w:r>
      <w:r>
        <w:rPr>
          <w:rFonts w:hint="eastAsia" w:ascii="Times New Roman" w:hAnsi="Times New Roman" w:eastAsia="黑体" w:cs="Times New Roman"/>
          <w:bCs w:val="0"/>
          <w:kern w:val="2"/>
          <w:szCs w:val="32"/>
          <w:lang w:val="en-US" w:eastAsia="zh-CN" w:bidi="ar-SA"/>
        </w:rPr>
        <w:t>构设置</w:t>
      </w:r>
      <w:r>
        <w:tab/>
      </w:r>
      <w:r>
        <w:fldChar w:fldCharType="begin"/>
      </w:r>
      <w:r>
        <w:instrText xml:space="preserve">PageRef _Toc88884149 \h</w:instrText>
      </w:r>
      <w:r>
        <w:fldChar w:fldCharType="separate"/>
      </w:r>
      <w:r>
        <w:t>- 2 -</w:t>
      </w:r>
      <w:r>
        <w:fldChar w:fldCharType="end"/>
      </w:r>
      <w:r>
        <w:fldChar w:fldCharType="end"/>
      </w:r>
    </w:p>
    <w:p w14:paraId="4809D6A2">
      <w:pPr>
        <w:pStyle w:val="11"/>
        <w:keepNext w:val="0"/>
        <w:keepLines w:val="0"/>
        <w:pageBreakBefore w:val="0"/>
        <w:widowControl w:val="0"/>
        <w:tabs>
          <w:tab w:val="right" w:leader="dot" w:pos="8306"/>
        </w:tabs>
        <w:bidi w:val="0"/>
        <w:ind w:left="840" w:leftChars="400"/>
      </w:pPr>
      <w:r>
        <w:fldChar w:fldCharType="begin"/>
      </w:r>
      <w:r>
        <w:instrText xml:space="preserve">Hyperlink \l "_Toc88884150"</w:instrText>
      </w:r>
      <w:r>
        <w:fldChar w:fldCharType="separate"/>
      </w:r>
      <w:r>
        <w:rPr>
          <w:rFonts w:ascii="仿宋" w:eastAsia="仿宋"/>
          <w:szCs w:val="32"/>
          <w:u w:color="auto"/>
          <w:shd w:val="clear" w:color="auto" w:fill="auto"/>
        </w:rPr>
        <w:t>1.</w:t>
      </w:r>
      <w:r>
        <w:t xml:space="preserve">  </w:t>
      </w:r>
      <w:r>
        <w:rPr>
          <w:rFonts w:ascii="仿宋" w:eastAsia="仿宋"/>
          <w:szCs w:val="32"/>
        </w:rPr>
        <w:t>九寨沟县自然资源局</w:t>
      </w:r>
      <w:r>
        <w:tab/>
      </w:r>
      <w:r>
        <w:fldChar w:fldCharType="begin"/>
      </w:r>
      <w:r>
        <w:instrText xml:space="preserve">PageRef _Toc88884150 \h</w:instrText>
      </w:r>
      <w:r>
        <w:fldChar w:fldCharType="separate"/>
      </w:r>
      <w:r>
        <w:t>- 3 -</w:t>
      </w:r>
      <w:r>
        <w:fldChar w:fldCharType="end"/>
      </w:r>
      <w:r>
        <w:fldChar w:fldCharType="end"/>
      </w:r>
    </w:p>
    <w:p w14:paraId="645512D8">
      <w:pPr>
        <w:pStyle w:val="11"/>
        <w:keepNext w:val="0"/>
        <w:keepLines w:val="0"/>
        <w:pageBreakBefore w:val="0"/>
        <w:widowControl w:val="0"/>
        <w:tabs>
          <w:tab w:val="right" w:leader="dot" w:pos="8306"/>
        </w:tabs>
        <w:bidi w:val="0"/>
        <w:ind w:left="840" w:leftChars="400"/>
      </w:pPr>
      <w:r>
        <w:fldChar w:fldCharType="begin"/>
      </w:r>
      <w:r>
        <w:instrText xml:space="preserve">Hyperlink \l "_Toc88884151"</w:instrText>
      </w:r>
      <w:r>
        <w:fldChar w:fldCharType="separate"/>
      </w:r>
      <w:r>
        <w:rPr>
          <w:rFonts w:ascii="仿宋" w:eastAsia="仿宋"/>
          <w:szCs w:val="32"/>
          <w:u w:color="auto"/>
          <w:shd w:val="clear" w:color="auto" w:fill="auto"/>
        </w:rPr>
        <w:t>2.</w:t>
      </w:r>
      <w:r>
        <w:t xml:space="preserve">  </w:t>
      </w:r>
      <w:r>
        <w:rPr>
          <w:rFonts w:ascii="仿宋" w:eastAsia="仿宋"/>
          <w:szCs w:val="32"/>
        </w:rPr>
        <w:t>九寨沟县国土资源大队</w:t>
      </w:r>
      <w:r>
        <w:tab/>
      </w:r>
      <w:r>
        <w:fldChar w:fldCharType="begin"/>
      </w:r>
      <w:r>
        <w:instrText xml:space="preserve">PageRef _Toc88884151 \h</w:instrText>
      </w:r>
      <w:r>
        <w:fldChar w:fldCharType="separate"/>
      </w:r>
      <w:r>
        <w:t>- 3 -</w:t>
      </w:r>
      <w:r>
        <w:fldChar w:fldCharType="end"/>
      </w:r>
      <w:r>
        <w:fldChar w:fldCharType="end"/>
      </w:r>
    </w:p>
    <w:p w14:paraId="2C1A0481">
      <w:pPr>
        <w:pStyle w:val="16"/>
        <w:keepNext w:val="0"/>
        <w:keepLines w:val="0"/>
        <w:pageBreakBefore w:val="0"/>
        <w:widowControl w:val="0"/>
        <w:tabs>
          <w:tab w:val="right" w:leader="dot" w:pos="8306"/>
        </w:tabs>
        <w:bidi w:val="0"/>
        <w:jc w:val="center"/>
      </w:pPr>
      <w:r>
        <w:fldChar w:fldCharType="begin"/>
      </w:r>
      <w:r>
        <w:instrText xml:space="preserve">Hyperlink \l "_Toc88884152"</w:instrText>
      </w:r>
      <w:r>
        <w:fldChar w:fldCharType="separate"/>
      </w:r>
      <w:r>
        <w:rPr>
          <w:rFonts w:hint="eastAsia" w:ascii="Times New Roman" w:hAnsi="Times New Roman" w:eastAsia="方正小标宋简体" w:cs="方正小标宋简体"/>
          <w:highlight w:val="none"/>
        </w:rPr>
        <w:t>第二部分</w:t>
      </w:r>
      <w:r>
        <w:rPr>
          <w:rFonts w:hint="eastAsia" w:ascii="Times New Roman" w:hAnsi="Times New Roman" w:eastAsia="方正小标宋简体" w:cs="方正小标宋简体"/>
          <w:highlight w:val="none"/>
          <w:lang w:val="en-US" w:eastAsia="zh-CN"/>
        </w:rPr>
        <w:t xml:space="preserve"> </w:t>
      </w:r>
      <w:r>
        <w:rPr>
          <w:rFonts w:hint="eastAsia" w:ascii="Times New Roman" w:hAnsi="Times New Roman" w:eastAsia="方正小标宋简体" w:cs="方正小标宋简体"/>
          <w:highlight w:val="none"/>
        </w:rPr>
        <w:t xml:space="preserve"> </w:t>
      </w:r>
      <w:r>
        <w:rPr>
          <w:rFonts w:hint="eastAsia" w:ascii="Times New Roman" w:hAnsi="Times New Roman" w:eastAsia="方正小标宋简体" w:cs="方正小标宋简体"/>
          <w:highlight w:val="none"/>
          <w:lang w:val="en-US" w:eastAsia="zh-CN"/>
        </w:rPr>
        <w:t>2024年度</w:t>
      </w:r>
      <w:r>
        <w:rPr>
          <w:rFonts w:hint="eastAsia" w:ascii="Times New Roman" w:hAnsi="Times New Roman" w:eastAsia="方正小标宋简体" w:cs="方正小标宋简体"/>
          <w:highlight w:val="none"/>
        </w:rPr>
        <w:t>部门决算情况说明</w:t>
      </w:r>
      <w:r>
        <w:tab/>
      </w:r>
      <w:r>
        <w:fldChar w:fldCharType="begin"/>
      </w:r>
      <w:r>
        <w:instrText xml:space="preserve">PageRef _Toc88884152 \h</w:instrText>
      </w:r>
      <w:r>
        <w:fldChar w:fldCharType="separate"/>
      </w:r>
      <w:r>
        <w:t>- 4 -</w:t>
      </w:r>
      <w:r>
        <w:fldChar w:fldCharType="end"/>
      </w:r>
      <w:r>
        <w:fldChar w:fldCharType="end"/>
      </w:r>
    </w:p>
    <w:p w14:paraId="06931ED9">
      <w:pPr>
        <w:pStyle w:val="19"/>
        <w:keepNext w:val="0"/>
        <w:keepLines w:val="0"/>
        <w:pageBreakBefore w:val="0"/>
        <w:widowControl w:val="0"/>
        <w:tabs>
          <w:tab w:val="right" w:leader="dot" w:pos="8306"/>
        </w:tabs>
        <w:bidi w:val="0"/>
        <w:ind w:left="420" w:leftChars="200"/>
      </w:pPr>
      <w:r>
        <w:fldChar w:fldCharType="begin"/>
      </w:r>
      <w:r>
        <w:instrText xml:space="preserve">Hyperlink \l "_Toc88884153"</w:instrText>
      </w:r>
      <w:r>
        <w:fldChar w:fldCharType="separate"/>
      </w:r>
      <w:r>
        <w:rPr>
          <w:rFonts w:hint="eastAsia" w:ascii="Times New Roman" w:hAnsi="Times New Roman" w:eastAsia="黑体"/>
          <w:szCs w:val="32"/>
          <w:highlight w:val="none"/>
          <w:lang w:eastAsia="zh-CN"/>
        </w:rPr>
        <w:t>一、</w:t>
      </w:r>
      <w:r>
        <w:rPr>
          <w:rFonts w:hint="eastAsia" w:ascii="Times New Roman" w:hAnsi="Times New Roman" w:eastAsia="黑体"/>
          <w:szCs w:val="32"/>
          <w:highlight w:val="none"/>
        </w:rPr>
        <w:t>收</w:t>
      </w:r>
      <w:r>
        <w:rPr>
          <w:rFonts w:hint="eastAsia" w:ascii="Times New Roman" w:hAnsi="Times New Roman" w:eastAsia="黑体" w:cs="Times New Roman"/>
          <w:bCs/>
          <w:kern w:val="2"/>
          <w:szCs w:val="32"/>
          <w:lang w:val="en-US" w:eastAsia="zh-CN" w:bidi="ar-SA"/>
        </w:rPr>
        <w:t>入支出决算总体情况说明</w:t>
      </w:r>
      <w:r>
        <w:tab/>
      </w:r>
      <w:r>
        <w:fldChar w:fldCharType="begin"/>
      </w:r>
      <w:r>
        <w:instrText xml:space="preserve">PageRef _Toc88884153 \h</w:instrText>
      </w:r>
      <w:r>
        <w:fldChar w:fldCharType="separate"/>
      </w:r>
      <w:r>
        <w:t>- 4 -</w:t>
      </w:r>
      <w:r>
        <w:fldChar w:fldCharType="end"/>
      </w:r>
      <w:r>
        <w:fldChar w:fldCharType="end"/>
      </w:r>
    </w:p>
    <w:p w14:paraId="05C87689">
      <w:pPr>
        <w:pStyle w:val="19"/>
        <w:keepNext w:val="0"/>
        <w:keepLines w:val="0"/>
        <w:pageBreakBefore w:val="0"/>
        <w:widowControl w:val="0"/>
        <w:tabs>
          <w:tab w:val="right" w:leader="dot" w:pos="8306"/>
        </w:tabs>
        <w:bidi w:val="0"/>
        <w:ind w:left="420" w:leftChars="200"/>
      </w:pPr>
      <w:r>
        <w:fldChar w:fldCharType="begin"/>
      </w:r>
      <w:r>
        <w:instrText xml:space="preserve">Hyperlink \l "_Toc88884155"</w:instrText>
      </w:r>
      <w:r>
        <w:fldChar w:fldCharType="separate"/>
      </w:r>
      <w:r>
        <w:rPr>
          <w:rFonts w:hint="eastAsia" w:ascii="Times New Roman" w:hAnsi="Times New Roman" w:eastAsia="黑体"/>
          <w:szCs w:val="32"/>
          <w:highlight w:val="none"/>
          <w:lang w:eastAsia="zh-CN"/>
        </w:rPr>
        <w:t>二、收入决算情况说明</w:t>
      </w:r>
      <w:r>
        <w:tab/>
      </w:r>
      <w:r>
        <w:fldChar w:fldCharType="begin"/>
      </w:r>
      <w:r>
        <w:instrText xml:space="preserve">PageRef _Toc88884155 \h</w:instrText>
      </w:r>
      <w:r>
        <w:fldChar w:fldCharType="separate"/>
      </w:r>
      <w:r>
        <w:t>- 4 -</w:t>
      </w:r>
      <w:r>
        <w:fldChar w:fldCharType="end"/>
      </w:r>
      <w:r>
        <w:fldChar w:fldCharType="end"/>
      </w:r>
    </w:p>
    <w:p w14:paraId="09CC5BD2">
      <w:pPr>
        <w:pStyle w:val="19"/>
        <w:keepNext w:val="0"/>
        <w:keepLines w:val="0"/>
        <w:pageBreakBefore w:val="0"/>
        <w:widowControl w:val="0"/>
        <w:tabs>
          <w:tab w:val="right" w:leader="dot" w:pos="8306"/>
        </w:tabs>
        <w:bidi w:val="0"/>
        <w:ind w:left="420" w:leftChars="200"/>
      </w:pPr>
      <w:r>
        <w:fldChar w:fldCharType="begin"/>
      </w:r>
      <w:r>
        <w:instrText xml:space="preserve">Hyperlink \l "_Toc88884157"</w:instrText>
      </w:r>
      <w:r>
        <w:fldChar w:fldCharType="separate"/>
      </w:r>
      <w:r>
        <w:rPr>
          <w:rFonts w:hint="eastAsia" w:ascii="Times New Roman" w:hAnsi="Times New Roman" w:eastAsia="黑体"/>
          <w:szCs w:val="32"/>
          <w:highlight w:val="none"/>
          <w:lang w:eastAsia="zh-CN"/>
        </w:rPr>
        <w:t>三、</w:t>
      </w:r>
      <w:r>
        <w:rPr>
          <w:rFonts w:hint="eastAsia" w:ascii="Times New Roman" w:hAnsi="Times New Roman" w:eastAsia="黑体"/>
          <w:szCs w:val="32"/>
          <w:highlight w:val="none"/>
        </w:rPr>
        <w:t>支</w:t>
      </w:r>
      <w:r>
        <w:rPr>
          <w:rFonts w:hint="eastAsia" w:ascii="Times New Roman" w:hAnsi="Times New Roman" w:eastAsia="黑体" w:cs="Times New Roman"/>
          <w:bCs/>
          <w:kern w:val="2"/>
          <w:szCs w:val="32"/>
          <w:lang w:val="en-US" w:eastAsia="zh-CN" w:bidi="ar-SA"/>
        </w:rPr>
        <w:t>出决算情况说明</w:t>
      </w:r>
      <w:r>
        <w:tab/>
      </w:r>
      <w:r>
        <w:fldChar w:fldCharType="begin"/>
      </w:r>
      <w:r>
        <w:instrText xml:space="preserve">PageRef _Toc88884157 \h</w:instrText>
      </w:r>
      <w:r>
        <w:fldChar w:fldCharType="separate"/>
      </w:r>
      <w:r>
        <w:t>- 5 -</w:t>
      </w:r>
      <w:r>
        <w:fldChar w:fldCharType="end"/>
      </w:r>
      <w:r>
        <w:fldChar w:fldCharType="end"/>
      </w:r>
    </w:p>
    <w:p w14:paraId="283B55E6">
      <w:pPr>
        <w:pStyle w:val="19"/>
        <w:keepNext w:val="0"/>
        <w:keepLines w:val="0"/>
        <w:pageBreakBefore w:val="0"/>
        <w:widowControl w:val="0"/>
        <w:tabs>
          <w:tab w:val="right" w:leader="dot" w:pos="8306"/>
        </w:tabs>
        <w:bidi w:val="0"/>
        <w:ind w:left="420" w:leftChars="200"/>
      </w:pPr>
      <w:r>
        <w:fldChar w:fldCharType="begin"/>
      </w:r>
      <w:r>
        <w:instrText xml:space="preserve">Hyperlink \l "_Toc88884159"</w:instrText>
      </w:r>
      <w:r>
        <w:fldChar w:fldCharType="separate"/>
      </w:r>
      <w:r>
        <w:rPr>
          <w:rFonts w:hint="eastAsia" w:ascii="Times New Roman" w:hAnsi="Times New Roman" w:eastAsia="黑体"/>
          <w:szCs w:val="32"/>
          <w:highlight w:val="none"/>
        </w:rPr>
        <w:t>四、财</w:t>
      </w:r>
      <w:r>
        <w:rPr>
          <w:rFonts w:hint="eastAsia" w:ascii="Times New Roman" w:hAnsi="Times New Roman" w:eastAsia="黑体" w:cs="Times New Roman"/>
          <w:bCs/>
          <w:kern w:val="2"/>
          <w:szCs w:val="32"/>
          <w:lang w:val="en-US" w:eastAsia="zh-CN" w:bidi="ar-SA"/>
        </w:rPr>
        <w:t>政拨款收入支出决算总体情况说明</w:t>
      </w:r>
      <w:r>
        <w:tab/>
      </w:r>
      <w:r>
        <w:fldChar w:fldCharType="begin"/>
      </w:r>
      <w:r>
        <w:instrText xml:space="preserve">PageRef _Toc88884159 \h</w:instrText>
      </w:r>
      <w:r>
        <w:fldChar w:fldCharType="separate"/>
      </w:r>
      <w:r>
        <w:t>- 5 -</w:t>
      </w:r>
      <w:r>
        <w:fldChar w:fldCharType="end"/>
      </w:r>
      <w:r>
        <w:fldChar w:fldCharType="end"/>
      </w:r>
    </w:p>
    <w:p w14:paraId="77C5B841">
      <w:pPr>
        <w:pStyle w:val="19"/>
        <w:keepNext w:val="0"/>
        <w:keepLines w:val="0"/>
        <w:pageBreakBefore w:val="0"/>
        <w:widowControl w:val="0"/>
        <w:tabs>
          <w:tab w:val="right" w:leader="dot" w:pos="8306"/>
        </w:tabs>
        <w:bidi w:val="0"/>
        <w:ind w:left="420" w:leftChars="200"/>
      </w:pPr>
      <w:r>
        <w:fldChar w:fldCharType="begin"/>
      </w:r>
      <w:r>
        <w:instrText xml:space="preserve">Hyperlink \l "_Toc88884160"</w:instrText>
      </w:r>
      <w:r>
        <w:fldChar w:fldCharType="separate"/>
      </w:r>
      <w:r>
        <w:rPr>
          <w:rFonts w:hint="eastAsia" w:ascii="Times New Roman" w:hAnsi="Times New Roman" w:eastAsia="黑体"/>
          <w:szCs w:val="32"/>
          <w:highlight w:val="none"/>
        </w:rPr>
        <w:t>五、一</w:t>
      </w:r>
      <w:r>
        <w:rPr>
          <w:rFonts w:hint="eastAsia" w:ascii="Times New Roman" w:hAnsi="Times New Roman" w:eastAsia="黑体" w:cs="Times New Roman"/>
          <w:bCs/>
          <w:kern w:val="2"/>
          <w:szCs w:val="32"/>
          <w:lang w:val="en-US" w:eastAsia="zh-CN" w:bidi="ar-SA"/>
        </w:rPr>
        <w:t>般公共预算财政拨款支出决算情况说明</w:t>
      </w:r>
      <w:r>
        <w:tab/>
      </w:r>
      <w:r>
        <w:fldChar w:fldCharType="begin"/>
      </w:r>
      <w:r>
        <w:instrText xml:space="preserve">PageRef _Toc88884160 \h</w:instrText>
      </w:r>
      <w:r>
        <w:fldChar w:fldCharType="separate"/>
      </w:r>
      <w:r>
        <w:t>- 6 -</w:t>
      </w:r>
      <w:r>
        <w:fldChar w:fldCharType="end"/>
      </w:r>
      <w:r>
        <w:fldChar w:fldCharType="end"/>
      </w:r>
    </w:p>
    <w:p w14:paraId="7BEE0B66">
      <w:pPr>
        <w:pStyle w:val="11"/>
        <w:keepNext w:val="0"/>
        <w:keepLines w:val="0"/>
        <w:pageBreakBefore w:val="0"/>
        <w:widowControl w:val="0"/>
        <w:tabs>
          <w:tab w:val="right" w:leader="dot" w:pos="8306"/>
        </w:tabs>
        <w:bidi w:val="0"/>
        <w:ind w:left="840" w:leftChars="400"/>
      </w:pPr>
      <w:r>
        <w:fldChar w:fldCharType="begin"/>
      </w:r>
      <w:r>
        <w:instrText xml:space="preserve">Hyperlink \l "_Toc88884161"</w:instrText>
      </w:r>
      <w:r>
        <w:fldChar w:fldCharType="separate"/>
      </w:r>
      <w:r>
        <w:rPr>
          <w:rFonts w:hint="eastAsia" w:ascii="Times New Roman" w:hAnsi="Times New Roman" w:eastAsia="楷体_GB2312" w:cs="楷体_GB2312"/>
          <w:szCs w:val="32"/>
          <w:highlight w:val="none"/>
        </w:rPr>
        <w:t>（一）一般公共预算财政拨款支出决算总体情况</w:t>
      </w:r>
      <w:r>
        <w:tab/>
      </w:r>
      <w:r>
        <w:fldChar w:fldCharType="begin"/>
      </w:r>
      <w:r>
        <w:instrText xml:space="preserve">PageRef _Toc88884161 \h</w:instrText>
      </w:r>
      <w:r>
        <w:fldChar w:fldCharType="separate"/>
      </w:r>
      <w:r>
        <w:t>- 6 -</w:t>
      </w:r>
      <w:r>
        <w:fldChar w:fldCharType="end"/>
      </w:r>
      <w:r>
        <w:fldChar w:fldCharType="end"/>
      </w:r>
    </w:p>
    <w:p w14:paraId="4BEDDEC3">
      <w:pPr>
        <w:pStyle w:val="11"/>
        <w:keepNext w:val="0"/>
        <w:keepLines w:val="0"/>
        <w:pageBreakBefore w:val="0"/>
        <w:widowControl w:val="0"/>
        <w:tabs>
          <w:tab w:val="right" w:leader="dot" w:pos="8306"/>
        </w:tabs>
        <w:bidi w:val="0"/>
        <w:ind w:left="840" w:leftChars="400"/>
      </w:pPr>
      <w:r>
        <w:fldChar w:fldCharType="begin"/>
      </w:r>
      <w:r>
        <w:instrText xml:space="preserve">Hyperlink \l "_Toc88884162"</w:instrText>
      </w:r>
      <w:r>
        <w:fldChar w:fldCharType="separate"/>
      </w:r>
      <w:r>
        <w:rPr>
          <w:rFonts w:hint="eastAsia" w:ascii="Times New Roman" w:hAnsi="Times New Roman" w:eastAsia="楷体_GB2312" w:cs="楷体_GB2312"/>
          <w:szCs w:val="32"/>
          <w:highlight w:val="none"/>
        </w:rPr>
        <w:t>（二）一般公共预算财政拨款支出决算结构情况</w:t>
      </w:r>
      <w:r>
        <w:tab/>
      </w:r>
      <w:r>
        <w:fldChar w:fldCharType="begin"/>
      </w:r>
      <w:r>
        <w:instrText xml:space="preserve">PageRef _Toc88884162 \h</w:instrText>
      </w:r>
      <w:r>
        <w:fldChar w:fldCharType="separate"/>
      </w:r>
      <w:r>
        <w:t>- 7 -</w:t>
      </w:r>
      <w:r>
        <w:fldChar w:fldCharType="end"/>
      </w:r>
      <w:r>
        <w:fldChar w:fldCharType="end"/>
      </w:r>
    </w:p>
    <w:p w14:paraId="48CEC15F">
      <w:pPr>
        <w:pStyle w:val="11"/>
        <w:keepNext w:val="0"/>
        <w:keepLines w:val="0"/>
        <w:pageBreakBefore w:val="0"/>
        <w:widowControl w:val="0"/>
        <w:tabs>
          <w:tab w:val="right" w:leader="dot" w:pos="8306"/>
        </w:tabs>
        <w:bidi w:val="0"/>
        <w:ind w:left="840" w:leftChars="400"/>
      </w:pPr>
      <w:r>
        <w:fldChar w:fldCharType="begin"/>
      </w:r>
      <w:r>
        <w:instrText xml:space="preserve">Hyperlink \l "_Toc88884163"</w:instrText>
      </w:r>
      <w:r>
        <w:fldChar w:fldCharType="separate"/>
      </w:r>
      <w:r>
        <w:rPr>
          <w:rFonts w:hint="eastAsia" w:ascii="Times New Roman" w:hAnsi="Times New Roman" w:eastAsia="楷体_GB2312" w:cs="楷体_GB2312"/>
          <w:szCs w:val="32"/>
          <w:highlight w:val="none"/>
        </w:rPr>
        <w:t>（三）一般公共预算财政拨款支出决算具体情况</w:t>
      </w:r>
      <w:r>
        <w:tab/>
      </w:r>
      <w:r>
        <w:fldChar w:fldCharType="begin"/>
      </w:r>
      <w:r>
        <w:instrText xml:space="preserve">PageRef _Toc88884163 \h</w:instrText>
      </w:r>
      <w:r>
        <w:fldChar w:fldCharType="separate"/>
      </w:r>
      <w:r>
        <w:t>- 8 -</w:t>
      </w:r>
      <w:r>
        <w:fldChar w:fldCharType="end"/>
      </w:r>
      <w:r>
        <w:fldChar w:fldCharType="end"/>
      </w:r>
    </w:p>
    <w:p w14:paraId="411AB363">
      <w:pPr>
        <w:pStyle w:val="19"/>
        <w:keepNext w:val="0"/>
        <w:keepLines w:val="0"/>
        <w:pageBreakBefore w:val="0"/>
        <w:widowControl w:val="0"/>
        <w:tabs>
          <w:tab w:val="right" w:leader="dot" w:pos="8306"/>
        </w:tabs>
        <w:bidi w:val="0"/>
        <w:ind w:left="420" w:leftChars="200"/>
      </w:pPr>
      <w:r>
        <w:fldChar w:fldCharType="begin"/>
      </w:r>
      <w:r>
        <w:instrText xml:space="preserve">Hyperlink \l "_Toc88884164"</w:instrText>
      </w:r>
      <w:r>
        <w:fldChar w:fldCharType="separate"/>
      </w:r>
      <w:r>
        <w:rPr>
          <w:rFonts w:hint="eastAsia" w:ascii="Times New Roman" w:hAnsi="Times New Roman" w:eastAsia="黑体"/>
          <w:szCs w:val="32"/>
          <w:highlight w:val="none"/>
        </w:rPr>
        <w:t>六、一</w:t>
      </w:r>
      <w:r>
        <w:rPr>
          <w:rFonts w:hint="eastAsia" w:ascii="Times New Roman" w:hAnsi="Times New Roman" w:eastAsia="黑体" w:cs="Times New Roman"/>
          <w:bCs/>
          <w:kern w:val="2"/>
          <w:szCs w:val="32"/>
          <w:lang w:val="en-US" w:eastAsia="zh-CN" w:bidi="ar-SA"/>
        </w:rPr>
        <w:t>般公共预算财政拨款基本支出决算情况说明</w:t>
      </w:r>
      <w:r>
        <w:tab/>
      </w:r>
      <w:r>
        <w:fldChar w:fldCharType="begin"/>
      </w:r>
      <w:r>
        <w:instrText xml:space="preserve">PageRef _Toc88884164 \h</w:instrText>
      </w:r>
      <w:r>
        <w:fldChar w:fldCharType="separate"/>
      </w:r>
      <w:r>
        <w:t>- 9 -</w:t>
      </w:r>
      <w:r>
        <w:fldChar w:fldCharType="end"/>
      </w:r>
      <w:r>
        <w:fldChar w:fldCharType="end"/>
      </w:r>
    </w:p>
    <w:p w14:paraId="4E07A7FF">
      <w:pPr>
        <w:pStyle w:val="19"/>
        <w:keepNext w:val="0"/>
        <w:keepLines w:val="0"/>
        <w:pageBreakBefore w:val="0"/>
        <w:widowControl w:val="0"/>
        <w:tabs>
          <w:tab w:val="right" w:leader="dot" w:pos="8306"/>
        </w:tabs>
        <w:bidi w:val="0"/>
        <w:ind w:left="420" w:leftChars="200"/>
      </w:pPr>
      <w:r>
        <w:fldChar w:fldCharType="begin"/>
      </w:r>
      <w:r>
        <w:instrText xml:space="preserve">Hyperlink \l "_Toc88884165"</w:instrText>
      </w:r>
      <w:r>
        <w:fldChar w:fldCharType="separate"/>
      </w:r>
      <w:r>
        <w:rPr>
          <w:rFonts w:hint="eastAsia" w:ascii="Times New Roman" w:hAnsi="Times New Roman" w:eastAsia="黑体"/>
          <w:szCs w:val="32"/>
          <w:highlight w:val="none"/>
        </w:rPr>
        <w:t>七、</w:t>
      </w:r>
      <w:r>
        <w:rPr>
          <w:rFonts w:hint="eastAsia" w:ascii="Times New Roman" w:hAnsi="Times New Roman" w:eastAsia="黑体" w:cs="Times New Roman"/>
          <w:bCs/>
          <w:kern w:val="2"/>
          <w:szCs w:val="32"/>
          <w:lang w:val="en-US" w:eastAsia="zh-CN" w:bidi="ar-SA"/>
        </w:rPr>
        <w:t>财政拨款“三公”经费支出决算情况说明</w:t>
      </w:r>
      <w:r>
        <w:tab/>
      </w:r>
      <w:r>
        <w:fldChar w:fldCharType="begin"/>
      </w:r>
      <w:r>
        <w:instrText xml:space="preserve">PageRef _Toc88884165 \h</w:instrText>
      </w:r>
      <w:r>
        <w:fldChar w:fldCharType="separate"/>
      </w:r>
      <w:r>
        <w:t>- 9 -</w:t>
      </w:r>
      <w:r>
        <w:fldChar w:fldCharType="end"/>
      </w:r>
      <w:r>
        <w:fldChar w:fldCharType="end"/>
      </w:r>
    </w:p>
    <w:p w14:paraId="53E05119">
      <w:pPr>
        <w:pStyle w:val="11"/>
        <w:keepNext w:val="0"/>
        <w:keepLines w:val="0"/>
        <w:pageBreakBefore w:val="0"/>
        <w:widowControl w:val="0"/>
        <w:tabs>
          <w:tab w:val="right" w:leader="dot" w:pos="8306"/>
        </w:tabs>
        <w:bidi w:val="0"/>
        <w:ind w:left="840" w:leftChars="400"/>
      </w:pPr>
      <w:r>
        <w:fldChar w:fldCharType="begin"/>
      </w:r>
      <w:r>
        <w:instrText xml:space="preserve">Hyperlink \l "_Toc88884166"</w:instrText>
      </w:r>
      <w:r>
        <w:fldChar w:fldCharType="separate"/>
      </w:r>
      <w:r>
        <w:rPr>
          <w:rFonts w:hint="eastAsia" w:ascii="Times New Roman" w:hAnsi="Times New Roman" w:eastAsia="楷体_GB2312" w:cs="楷体_GB2312"/>
          <w:szCs w:val="32"/>
          <w:highlight w:val="none"/>
        </w:rPr>
        <w:t>（一）“三公”经费财政拨款支出决算总体情况说明</w:t>
      </w:r>
      <w:r>
        <w:tab/>
      </w:r>
      <w:r>
        <w:fldChar w:fldCharType="begin"/>
      </w:r>
      <w:r>
        <w:instrText xml:space="preserve">PageRef _Toc88884166 \h</w:instrText>
      </w:r>
      <w:r>
        <w:fldChar w:fldCharType="separate"/>
      </w:r>
      <w:r>
        <w:t>- 10 -</w:t>
      </w:r>
      <w:r>
        <w:fldChar w:fldCharType="end"/>
      </w:r>
      <w:r>
        <w:fldChar w:fldCharType="end"/>
      </w:r>
    </w:p>
    <w:p w14:paraId="563B61E7">
      <w:pPr>
        <w:pStyle w:val="11"/>
        <w:keepNext w:val="0"/>
        <w:keepLines w:val="0"/>
        <w:pageBreakBefore w:val="0"/>
        <w:widowControl w:val="0"/>
        <w:tabs>
          <w:tab w:val="right" w:leader="dot" w:pos="8306"/>
        </w:tabs>
        <w:bidi w:val="0"/>
        <w:ind w:left="840" w:leftChars="400"/>
      </w:pPr>
      <w:r>
        <w:fldChar w:fldCharType="begin"/>
      </w:r>
      <w:r>
        <w:instrText xml:space="preserve">Hyperlink \l "_Toc88884167"</w:instrText>
      </w:r>
      <w:r>
        <w:fldChar w:fldCharType="separate"/>
      </w:r>
      <w:r>
        <w:rPr>
          <w:rFonts w:hint="eastAsia" w:ascii="Times New Roman" w:hAnsi="Times New Roman" w:eastAsia="楷体_GB2312" w:cs="楷体_GB2312"/>
          <w:szCs w:val="32"/>
          <w:highlight w:val="none"/>
        </w:rPr>
        <w:t>（二）“三公”经费财政拨款支出决算具体情况说明</w:t>
      </w:r>
      <w:r>
        <w:tab/>
      </w:r>
      <w:r>
        <w:fldChar w:fldCharType="begin"/>
      </w:r>
      <w:r>
        <w:instrText xml:space="preserve">PageRef _Toc88884167 \h</w:instrText>
      </w:r>
      <w:r>
        <w:fldChar w:fldCharType="separate"/>
      </w:r>
      <w:r>
        <w:t>- 10 -</w:t>
      </w:r>
      <w:r>
        <w:fldChar w:fldCharType="end"/>
      </w:r>
      <w:r>
        <w:fldChar w:fldCharType="end"/>
      </w:r>
    </w:p>
    <w:p w14:paraId="2236226C">
      <w:pPr>
        <w:pStyle w:val="19"/>
        <w:keepNext w:val="0"/>
        <w:keepLines w:val="0"/>
        <w:pageBreakBefore w:val="0"/>
        <w:widowControl w:val="0"/>
        <w:tabs>
          <w:tab w:val="right" w:leader="dot" w:pos="8306"/>
        </w:tabs>
        <w:bidi w:val="0"/>
        <w:ind w:left="420" w:leftChars="200"/>
      </w:pPr>
      <w:r>
        <w:fldChar w:fldCharType="begin"/>
      </w:r>
      <w:r>
        <w:instrText xml:space="preserve">Hyperlink \l "_Toc88884168"</w:instrText>
      </w:r>
      <w:r>
        <w:fldChar w:fldCharType="separate"/>
      </w:r>
      <w:r>
        <w:rPr>
          <w:rFonts w:hint="eastAsia" w:ascii="Times New Roman" w:hAnsi="Times New Roman" w:eastAsia="黑体"/>
          <w:szCs w:val="32"/>
          <w:highlight w:val="none"/>
        </w:rPr>
        <w:t>八、</w:t>
      </w:r>
      <w:r>
        <w:rPr>
          <w:rFonts w:hint="eastAsia" w:ascii="Times New Roman" w:hAnsi="Times New Roman" w:eastAsia="黑体" w:cs="Times New Roman"/>
          <w:bCs/>
          <w:kern w:val="2"/>
          <w:szCs w:val="32"/>
          <w:lang w:val="en-US" w:eastAsia="zh-CN" w:bidi="ar-SA"/>
        </w:rPr>
        <w:t>政府性基金预算支出决算情况说明</w:t>
      </w:r>
      <w:r>
        <w:tab/>
      </w:r>
      <w:r>
        <w:fldChar w:fldCharType="begin"/>
      </w:r>
      <w:r>
        <w:instrText xml:space="preserve">PageRef _Toc88884168 \h</w:instrText>
      </w:r>
      <w:r>
        <w:fldChar w:fldCharType="separate"/>
      </w:r>
      <w:r>
        <w:t>- 11 -</w:t>
      </w:r>
      <w:r>
        <w:fldChar w:fldCharType="end"/>
      </w:r>
      <w:r>
        <w:fldChar w:fldCharType="end"/>
      </w:r>
    </w:p>
    <w:p w14:paraId="5C79966A">
      <w:pPr>
        <w:pStyle w:val="19"/>
        <w:keepNext w:val="0"/>
        <w:keepLines w:val="0"/>
        <w:pageBreakBefore w:val="0"/>
        <w:widowControl w:val="0"/>
        <w:tabs>
          <w:tab w:val="right" w:leader="dot" w:pos="8306"/>
        </w:tabs>
        <w:bidi w:val="0"/>
        <w:ind w:left="420" w:leftChars="200"/>
      </w:pPr>
      <w:r>
        <w:fldChar w:fldCharType="begin"/>
      </w:r>
      <w:r>
        <w:instrText xml:space="preserve">Hyperlink \l "_Toc88884169"</w:instrText>
      </w:r>
      <w:r>
        <w:fldChar w:fldCharType="separate"/>
      </w:r>
      <w:r>
        <w:rPr>
          <w:rFonts w:hint="eastAsia" w:ascii="Times New Roman" w:hAnsi="Times New Roman" w:eastAsia="黑体" w:cs="Times New Roman"/>
          <w:bCs/>
          <w:kern w:val="2"/>
          <w:szCs w:val="32"/>
          <w:lang w:val="en-US" w:eastAsia="zh-CN" w:bidi="ar-SA"/>
        </w:rPr>
        <w:t>九、国有资本经营预算支出决算情况说明</w:t>
      </w:r>
      <w:r>
        <w:tab/>
      </w:r>
      <w:r>
        <w:fldChar w:fldCharType="begin"/>
      </w:r>
      <w:r>
        <w:instrText xml:space="preserve">PageRef _Toc88884169 \h</w:instrText>
      </w:r>
      <w:r>
        <w:fldChar w:fldCharType="separate"/>
      </w:r>
      <w:r>
        <w:t>- 11 -</w:t>
      </w:r>
      <w:r>
        <w:fldChar w:fldCharType="end"/>
      </w:r>
      <w:r>
        <w:fldChar w:fldCharType="end"/>
      </w:r>
    </w:p>
    <w:p w14:paraId="7C67FC00">
      <w:pPr>
        <w:pStyle w:val="19"/>
        <w:keepNext w:val="0"/>
        <w:keepLines w:val="0"/>
        <w:pageBreakBefore w:val="0"/>
        <w:widowControl w:val="0"/>
        <w:tabs>
          <w:tab w:val="right" w:leader="dot" w:pos="8306"/>
        </w:tabs>
        <w:bidi w:val="0"/>
        <w:ind w:left="420" w:leftChars="200"/>
      </w:pPr>
      <w:r>
        <w:fldChar w:fldCharType="begin"/>
      </w:r>
      <w:r>
        <w:instrText xml:space="preserve">Hyperlink \l "_Toc88884170"</w:instrText>
      </w:r>
      <w:r>
        <w:fldChar w:fldCharType="separate"/>
      </w:r>
      <w:r>
        <w:rPr>
          <w:rFonts w:hint="eastAsia" w:ascii="Times New Roman" w:hAnsi="Times New Roman" w:eastAsia="黑体" w:cs="Times New Roman"/>
          <w:bCs/>
          <w:kern w:val="2"/>
          <w:szCs w:val="32"/>
          <w:lang w:val="en-US" w:eastAsia="zh-CN" w:bidi="ar-SA"/>
        </w:rPr>
        <w:t>十、其他重要事项的情况说明</w:t>
      </w:r>
      <w:r>
        <w:tab/>
      </w:r>
      <w:r>
        <w:fldChar w:fldCharType="begin"/>
      </w:r>
      <w:r>
        <w:instrText xml:space="preserve">PageRef _Toc88884170 \h</w:instrText>
      </w:r>
      <w:r>
        <w:fldChar w:fldCharType="separate"/>
      </w:r>
      <w:r>
        <w:t>- 11 -</w:t>
      </w:r>
      <w:r>
        <w:fldChar w:fldCharType="end"/>
      </w:r>
      <w:r>
        <w:fldChar w:fldCharType="end"/>
      </w:r>
    </w:p>
    <w:p w14:paraId="56A8D014">
      <w:pPr>
        <w:pStyle w:val="11"/>
        <w:keepNext w:val="0"/>
        <w:keepLines w:val="0"/>
        <w:pageBreakBefore w:val="0"/>
        <w:widowControl w:val="0"/>
        <w:tabs>
          <w:tab w:val="right" w:leader="dot" w:pos="8306"/>
        </w:tabs>
        <w:bidi w:val="0"/>
        <w:ind w:left="840" w:leftChars="400"/>
      </w:pPr>
      <w:r>
        <w:fldChar w:fldCharType="begin"/>
      </w:r>
      <w:r>
        <w:instrText xml:space="preserve">Hyperlink \l "_Toc88884171"</w:instrText>
      </w:r>
      <w:r>
        <w:fldChar w:fldCharType="separate"/>
      </w:r>
      <w:r>
        <w:rPr>
          <w:rFonts w:hint="eastAsia" w:ascii="Times New Roman" w:hAnsi="Times New Roman" w:eastAsia="楷体_GB2312" w:cs="楷体_GB2312"/>
          <w:szCs w:val="32"/>
          <w:highlight w:val="none"/>
        </w:rPr>
        <w:t>（一）机关运行经费支出情况</w:t>
      </w:r>
      <w:r>
        <w:tab/>
      </w:r>
      <w:r>
        <w:fldChar w:fldCharType="begin"/>
      </w:r>
      <w:r>
        <w:instrText xml:space="preserve">PageRef _Toc88884171 \h</w:instrText>
      </w:r>
      <w:r>
        <w:fldChar w:fldCharType="separate"/>
      </w:r>
      <w:r>
        <w:t>- 11 -</w:t>
      </w:r>
      <w:r>
        <w:fldChar w:fldCharType="end"/>
      </w:r>
      <w:r>
        <w:fldChar w:fldCharType="end"/>
      </w:r>
    </w:p>
    <w:p w14:paraId="366C37EB">
      <w:pPr>
        <w:pStyle w:val="11"/>
        <w:keepNext w:val="0"/>
        <w:keepLines w:val="0"/>
        <w:pageBreakBefore w:val="0"/>
        <w:widowControl w:val="0"/>
        <w:tabs>
          <w:tab w:val="right" w:leader="dot" w:pos="8306"/>
        </w:tabs>
        <w:bidi w:val="0"/>
        <w:ind w:left="840" w:leftChars="400"/>
      </w:pPr>
      <w:r>
        <w:fldChar w:fldCharType="begin"/>
      </w:r>
      <w:r>
        <w:instrText xml:space="preserve">Hyperlink \l "_Toc88884172"</w:instrText>
      </w:r>
      <w:r>
        <w:fldChar w:fldCharType="separate"/>
      </w:r>
      <w:r>
        <w:rPr>
          <w:rFonts w:hint="eastAsia" w:ascii="Times New Roman" w:hAnsi="Times New Roman" w:eastAsia="楷体_GB2312" w:cs="楷体_GB2312"/>
          <w:szCs w:val="32"/>
          <w:highlight w:val="none"/>
        </w:rPr>
        <w:t>（二）政府采购支出情况</w:t>
      </w:r>
      <w:r>
        <w:tab/>
      </w:r>
      <w:r>
        <w:fldChar w:fldCharType="begin"/>
      </w:r>
      <w:r>
        <w:instrText xml:space="preserve">PageRef _Toc88884172 \h</w:instrText>
      </w:r>
      <w:r>
        <w:fldChar w:fldCharType="separate"/>
      </w:r>
      <w:r>
        <w:t>- 11 -</w:t>
      </w:r>
      <w:r>
        <w:fldChar w:fldCharType="end"/>
      </w:r>
      <w:r>
        <w:fldChar w:fldCharType="end"/>
      </w:r>
    </w:p>
    <w:p w14:paraId="7CB330CE">
      <w:pPr>
        <w:pStyle w:val="11"/>
        <w:keepNext w:val="0"/>
        <w:keepLines w:val="0"/>
        <w:pageBreakBefore w:val="0"/>
        <w:widowControl w:val="0"/>
        <w:tabs>
          <w:tab w:val="right" w:leader="dot" w:pos="8306"/>
        </w:tabs>
        <w:bidi w:val="0"/>
        <w:ind w:left="840" w:leftChars="400"/>
      </w:pPr>
      <w:r>
        <w:fldChar w:fldCharType="begin"/>
      </w:r>
      <w:r>
        <w:instrText xml:space="preserve">Hyperlink \l "_Toc88884173"</w:instrText>
      </w:r>
      <w:r>
        <w:fldChar w:fldCharType="separate"/>
      </w:r>
      <w:r>
        <w:rPr>
          <w:rFonts w:hint="eastAsia" w:ascii="Times New Roman" w:hAnsi="Times New Roman" w:eastAsia="楷体_GB2312" w:cs="楷体_GB2312"/>
          <w:szCs w:val="32"/>
          <w:highlight w:val="none"/>
        </w:rPr>
        <w:t>（三）国有资产占有使用情况</w:t>
      </w:r>
      <w:r>
        <w:tab/>
      </w:r>
      <w:r>
        <w:fldChar w:fldCharType="begin"/>
      </w:r>
      <w:r>
        <w:instrText xml:space="preserve">PageRef _Toc88884173 \h</w:instrText>
      </w:r>
      <w:r>
        <w:fldChar w:fldCharType="separate"/>
      </w:r>
      <w:r>
        <w:t>- 12 -</w:t>
      </w:r>
      <w:r>
        <w:fldChar w:fldCharType="end"/>
      </w:r>
      <w:r>
        <w:fldChar w:fldCharType="end"/>
      </w:r>
    </w:p>
    <w:p w14:paraId="20D6171F">
      <w:pPr>
        <w:pStyle w:val="11"/>
        <w:keepNext w:val="0"/>
        <w:keepLines w:val="0"/>
        <w:pageBreakBefore w:val="0"/>
        <w:widowControl w:val="0"/>
        <w:tabs>
          <w:tab w:val="right" w:leader="dot" w:pos="8306"/>
        </w:tabs>
        <w:bidi w:val="0"/>
        <w:ind w:left="840" w:leftChars="400"/>
      </w:pPr>
      <w:r>
        <w:fldChar w:fldCharType="begin"/>
      </w:r>
      <w:r>
        <w:instrText xml:space="preserve">Hyperlink \l "_Toc88884174"</w:instrText>
      </w:r>
      <w:r>
        <w:fldChar w:fldCharType="separate"/>
      </w:r>
      <w:r>
        <w:rPr>
          <w:rFonts w:hint="eastAsia" w:ascii="Times New Roman" w:hAnsi="Times New Roman" w:eastAsia="楷体_GB2312" w:cs="楷体_GB2312"/>
          <w:szCs w:val="32"/>
          <w:highlight w:val="none"/>
        </w:rPr>
        <w:t>（四）预算绩效管理情况</w:t>
      </w:r>
      <w:r>
        <w:tab/>
      </w:r>
      <w:r>
        <w:fldChar w:fldCharType="begin"/>
      </w:r>
      <w:r>
        <w:instrText xml:space="preserve">PageRef _Toc88884174 \h</w:instrText>
      </w:r>
      <w:r>
        <w:fldChar w:fldCharType="separate"/>
      </w:r>
      <w:r>
        <w:t>- 12 -</w:t>
      </w:r>
      <w:r>
        <w:fldChar w:fldCharType="end"/>
      </w:r>
      <w:r>
        <w:fldChar w:fldCharType="end"/>
      </w:r>
    </w:p>
    <w:p w14:paraId="243F53BD">
      <w:pPr>
        <w:pStyle w:val="16"/>
        <w:keepNext w:val="0"/>
        <w:keepLines w:val="0"/>
        <w:pageBreakBefore w:val="0"/>
        <w:widowControl w:val="0"/>
        <w:tabs>
          <w:tab w:val="right" w:leader="dot" w:pos="8306"/>
        </w:tabs>
        <w:bidi w:val="0"/>
        <w:jc w:val="center"/>
      </w:pPr>
      <w:r>
        <w:fldChar w:fldCharType="begin"/>
      </w:r>
      <w:r>
        <w:instrText xml:space="preserve">Hyperlink \l "_Toc88884175"</w:instrText>
      </w:r>
      <w:r>
        <w:fldChar w:fldCharType="separate"/>
      </w:r>
      <w:r>
        <w:rPr>
          <w:rFonts w:hint="eastAsia" w:ascii="Times New Roman" w:hAnsi="Times New Roman" w:eastAsia="黑体"/>
          <w:szCs w:val="44"/>
          <w:highlight w:val="none"/>
        </w:rPr>
        <w:t>第</w:t>
      </w:r>
      <w:r>
        <w:rPr>
          <w:rFonts w:hint="eastAsia" w:eastAsia="黑体"/>
          <w:szCs w:val="44"/>
          <w:highlight w:val="none"/>
          <w:lang w:eastAsia="zh-CN"/>
        </w:rPr>
        <w:t>三</w:t>
      </w:r>
      <w:r>
        <w:rPr>
          <w:rFonts w:hint="eastAsia" w:ascii="Times New Roman" w:hAnsi="Times New Roman" w:eastAsia="黑体"/>
          <w:szCs w:val="44"/>
          <w:highlight w:val="none"/>
        </w:rPr>
        <w:t>部分</w:t>
      </w:r>
      <w:r>
        <w:rPr>
          <w:rFonts w:hint="eastAsia" w:ascii="Times New Roman" w:hAnsi="Times New Roman" w:eastAsia="黑体"/>
          <w:szCs w:val="44"/>
          <w:highlight w:val="none"/>
          <w:lang w:val="en-US" w:eastAsia="zh-CN"/>
        </w:rPr>
        <w:t xml:space="preserve"> </w:t>
      </w:r>
      <w:r>
        <w:rPr>
          <w:rFonts w:hint="eastAsia" w:eastAsia="黑体"/>
          <w:szCs w:val="44"/>
          <w:highlight w:val="none"/>
          <w:lang w:val="en-US" w:eastAsia="zh-CN"/>
        </w:rPr>
        <w:t xml:space="preserve"> </w:t>
      </w:r>
      <w:r>
        <w:rPr>
          <w:rFonts w:hint="eastAsia" w:ascii="Times New Roman" w:hAnsi="Times New Roman" w:eastAsia="黑体"/>
          <w:szCs w:val="44"/>
          <w:highlight w:val="none"/>
        </w:rPr>
        <w:t>名词解释</w:t>
      </w:r>
      <w:r>
        <w:tab/>
      </w:r>
      <w:r>
        <w:fldChar w:fldCharType="begin"/>
      </w:r>
      <w:r>
        <w:instrText xml:space="preserve">PageRef _Toc88884175 \h</w:instrText>
      </w:r>
      <w:r>
        <w:fldChar w:fldCharType="separate"/>
      </w:r>
      <w:r>
        <w:t>- 13 -</w:t>
      </w:r>
      <w:r>
        <w:fldChar w:fldCharType="end"/>
      </w:r>
      <w:r>
        <w:fldChar w:fldCharType="end"/>
      </w:r>
    </w:p>
    <w:p w14:paraId="118EBFD5">
      <w:pPr>
        <w:pStyle w:val="16"/>
        <w:keepNext w:val="0"/>
        <w:keepLines w:val="0"/>
        <w:pageBreakBefore w:val="0"/>
        <w:widowControl w:val="0"/>
        <w:tabs>
          <w:tab w:val="right" w:leader="dot" w:pos="8306"/>
        </w:tabs>
        <w:bidi w:val="0"/>
        <w:jc w:val="center"/>
      </w:pPr>
      <w:r>
        <w:rPr>
          <w:rFonts w:hint="eastAsia" w:ascii="Times New Roman" w:hAnsi="Times New Roman" w:eastAsia="黑体"/>
          <w:szCs w:val="44"/>
          <w:highlight w:val="none"/>
        </w:rPr>
        <w:t>第</w:t>
      </w:r>
      <w:r>
        <w:rPr>
          <w:rFonts w:ascii="Times New Roman" w:hAnsi="Times New Roman" w:eastAsia="黑体"/>
          <w:szCs w:val="44"/>
          <w:highlight w:val="none"/>
        </w:rPr>
        <w:t>四</w:t>
      </w:r>
      <w:r>
        <w:rPr>
          <w:rFonts w:hint="eastAsia" w:ascii="Times New Roman" w:hAnsi="Times New Roman" w:eastAsia="黑体"/>
          <w:szCs w:val="44"/>
          <w:highlight w:val="none"/>
        </w:rPr>
        <w:t>部分</w:t>
      </w:r>
      <w:r>
        <w:rPr>
          <w:rFonts w:ascii="Times New Roman" w:hAnsi="Times New Roman" w:eastAsia="黑体"/>
          <w:szCs w:val="44"/>
          <w:highlight w:val="none"/>
        </w:rPr>
        <w:t xml:space="preserve">  </w:t>
      </w:r>
      <w:r>
        <w:fldChar w:fldCharType="begin"/>
      </w:r>
      <w:r>
        <w:instrText xml:space="preserve">Hyperlink \l "_Toc88884176"</w:instrText>
      </w:r>
      <w:r>
        <w:fldChar w:fldCharType="separate"/>
      </w:r>
      <w:r>
        <w:rPr>
          <w:rFonts w:hint="eastAsia" w:ascii="Times New Roman" w:hAnsi="Times New Roman" w:eastAsia="黑体" w:cs="黑体"/>
          <w:szCs w:val="32"/>
          <w:highlight w:val="none"/>
        </w:rPr>
        <w:t>附件</w:t>
      </w:r>
      <w:r>
        <w:tab/>
      </w:r>
      <w:r>
        <w:fldChar w:fldCharType="begin"/>
      </w:r>
      <w:r>
        <w:instrText xml:space="preserve">PageRef _Toc88884176 \h</w:instrText>
      </w:r>
      <w:r>
        <w:fldChar w:fldCharType="separate"/>
      </w:r>
      <w:r>
        <w:t>- 18 -</w:t>
      </w:r>
      <w:r>
        <w:fldChar w:fldCharType="end"/>
      </w:r>
      <w:r>
        <w:fldChar w:fldCharType="end"/>
      </w:r>
    </w:p>
    <w:p w14:paraId="748B6AC4">
      <w:pPr>
        <w:pStyle w:val="16"/>
        <w:keepNext w:val="0"/>
        <w:keepLines w:val="0"/>
        <w:pageBreakBefore w:val="0"/>
        <w:widowControl w:val="0"/>
        <w:tabs>
          <w:tab w:val="right" w:leader="dot" w:pos="8306"/>
        </w:tabs>
        <w:jc w:val="both"/>
        <w:rPr>
          <w:rFonts w:eastAsia="黑体"/>
          <w:bCs/>
          <w:szCs w:val="44"/>
        </w:rPr>
      </w:pPr>
      <w:r>
        <w:rPr>
          <w:rFonts w:ascii="Times New Roman" w:hAnsi="Times New Roman" w:eastAsia="黑体" w:cs="黑体"/>
          <w:color w:val="auto"/>
          <w:sz w:val="32"/>
          <w:szCs w:val="32"/>
          <w:highlight w:val="none"/>
        </w:rPr>
        <w:fldChar w:fldCharType="end"/>
      </w:r>
      <w:r>
        <w:rPr>
          <w:rFonts w:hint="eastAsia" w:ascii="Times New Roman" w:hAnsi="Times New Roman" w:eastAsia="黑体"/>
          <w:szCs w:val="44"/>
          <w:highlight w:val="none"/>
        </w:rPr>
        <w:t>第</w:t>
      </w:r>
      <w:r>
        <w:rPr>
          <w:rFonts w:hint="eastAsia" w:eastAsia="黑体"/>
          <w:bCs/>
          <w:sz w:val="28"/>
          <w:szCs w:val="44"/>
          <w:highlight w:val="none"/>
        </w:rPr>
        <w:t xml:space="preserve">五部分 </w:t>
      </w:r>
      <w:r>
        <w:rPr>
          <w:rFonts w:eastAsia="黑体"/>
          <w:bCs/>
          <w:sz w:val="28"/>
          <w:szCs w:val="44"/>
          <w:highlight w:val="none"/>
        </w:rPr>
        <w:t xml:space="preserve"> </w:t>
      </w:r>
      <w:r>
        <w:rPr>
          <w:rFonts w:hint="eastAsia" w:eastAsia="黑体"/>
          <w:bCs/>
          <w:sz w:val="28"/>
          <w:szCs w:val="44"/>
          <w:highlight w:val="none"/>
        </w:rPr>
        <w:t>附表</w:t>
      </w:r>
      <w:r>
        <w:tab/>
      </w:r>
      <w:r>
        <w:fldChar w:fldCharType="begin"/>
      </w:r>
      <w:r>
        <w:instrText xml:space="preserve">PageRef _Toc88884176 \h</w:instrText>
      </w:r>
      <w:r>
        <w:fldChar w:fldCharType="separate"/>
      </w:r>
      <w:r>
        <w:t>- 34 -</w:t>
      </w:r>
      <w:r>
        <w:fldChar w:fldCharType="end"/>
      </w:r>
    </w:p>
    <w:p w14:paraId="6214439B">
      <w:pPr>
        <w:pStyle w:val="19"/>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p>
    <w:p w14:paraId="7E310088">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rPr>
      </w:pPr>
      <w:bookmarkStart w:id="6" w:name="_Toc15377196"/>
      <w:bookmarkStart w:id="7" w:name="_Toc15396599"/>
      <w:r>
        <w:rPr>
          <w:rFonts w:hint="eastAsia" w:ascii="Times New Roman" w:hAnsi="Times New Roman" w:eastAsia="仿宋_GB2312" w:cs="仿宋_GB2312"/>
          <w:b/>
          <w:color w:val="auto"/>
          <w:sz w:val="32"/>
          <w:szCs w:val="32"/>
          <w:highlight w:val="none"/>
        </w:rPr>
        <w:br w:type="page"/>
      </w:r>
    </w:p>
    <w:p w14:paraId="6A502F18">
      <w:pPr>
        <w:pStyle w:val="5"/>
        <w:jc w:val="center"/>
        <w:rPr>
          <w:rStyle w:val="28"/>
          <w:rFonts w:hint="eastAsia" w:eastAsia="方正小标宋简体" w:cs="方正小标宋简体"/>
          <w:b w:val="0"/>
          <w:bCs w:val="0"/>
        </w:rPr>
      </w:pPr>
      <w:bookmarkStart w:id="8" w:name="_Toc88884147"/>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28"/>
          <w:rFonts w:hint="eastAsia" w:ascii="Times New Roman" w:hAnsi="Times New Roman" w:eastAsia="方正小标宋简体" w:cs="方正小标宋简体"/>
          <w:b w:val="0"/>
          <w:bCs w:val="0"/>
          <w:color w:val="auto"/>
          <w:highlight w:val="none"/>
        </w:rPr>
        <w:t>部门概况</w:t>
      </w:r>
      <w:bookmarkEnd w:id="6"/>
      <w:bookmarkEnd w:id="7"/>
      <w:bookmarkEnd w:id="8"/>
    </w:p>
    <w:p w14:paraId="5D65EC5E">
      <w:pPr>
        <w:pStyle w:val="6"/>
        <w:numPr>
          <w:ilvl w:val="0"/>
          <w:numId w:val="1"/>
        </w:numPr>
        <w:rPr>
          <w:rFonts w:ascii="Times New Roman" w:hAnsi="Times New Roman" w:eastAsia="黑体"/>
          <w:b w:val="0"/>
          <w:color w:val="auto"/>
          <w:highlight w:val="none"/>
          <w:lang w:eastAsia="zh-CN"/>
        </w:rPr>
      </w:pPr>
      <w:bookmarkStart w:id="9" w:name="_Toc15377197"/>
      <w:bookmarkEnd w:id="9"/>
      <w:bookmarkStart w:id="10" w:name="_Toc15396600"/>
      <w:bookmarkEnd w:id="10"/>
      <w:bookmarkStart w:id="11" w:name="_Toc88884148"/>
      <w:r>
        <w:rPr>
          <w:rFonts w:hint="eastAsia" w:ascii="Times New Roman" w:hAnsi="Times New Roman" w:eastAsia="黑体"/>
          <w:b w:val="0"/>
          <w:color w:val="auto"/>
          <w:highlight w:val="none"/>
          <w:lang w:eastAsia="zh-CN"/>
        </w:rPr>
        <w:t>部门职责</w:t>
      </w:r>
      <w:bookmarkEnd w:id="11"/>
    </w:p>
    <w:p w14:paraId="7238AE1E">
      <w:pPr>
        <w:ind w:firstLine="560" w:firstLineChars="200"/>
        <w:rPr>
          <w:sz w:val="28"/>
          <w:szCs w:val="28"/>
        </w:rPr>
      </w:pPr>
      <w:r>
        <w:rPr>
          <w:rFonts w:hint="eastAsia" w:ascii="仿宋" w:eastAsia="仿宋"/>
          <w:sz w:val="28"/>
          <w:szCs w:val="28"/>
        </w:rPr>
        <w:t>按照规定权限，履行全民所有土地、矿产、森林、草原、湿地、水等自然资源资产所有者职责和所有国土空间用途管制职责；负责全县自然资源调查监测评价；负责全县自然资源统一确权登记工作；负责全县自然资源资产有偿使用工作；负责全县自然资源的合理开发利用；负责建立全县空间规划体系并监督实施；负责统筹全县国土空间生态修复；负责组织实施最严格的耕地保护制度；负责管理全县地质勘查行业和地质工作；负责落实综合防灾减灾规划相关要求，组织编制并实施地质灾害防治规划；负责全县矿产资源管理工作；负责全县测绘地理信息工作；推动全县自然资源领域科技发展和对外合作；配合国家、省、州、县级政府落实党中央、国务院关于自然资源和国土空间规划的重大方针政策、决策部署及法律法规执行情况进行督察；负责职责范围内的安全生产和职业健康、生态环境保护、审批服务便民化等工作；完成县委、县政府交办的其他任务。</w:t>
      </w:r>
    </w:p>
    <w:p w14:paraId="249572D4">
      <w:pPr>
        <w:pStyle w:val="6"/>
        <w:rPr>
          <w:rStyle w:val="29"/>
          <w:rFonts w:ascii="Times New Roman" w:hAnsi="Times New Roman"/>
          <w:b w:val="0"/>
          <w:bCs w:val="0"/>
          <w:color w:val="auto"/>
          <w:highlight w:val="none"/>
        </w:rPr>
      </w:pPr>
      <w:bookmarkStart w:id="12" w:name="_Toc15377200"/>
      <w:bookmarkStart w:id="13" w:name="_Toc88884149"/>
      <w:bookmarkStart w:id="14" w:name="_Toc15396601"/>
      <w:r>
        <w:rPr>
          <w:rFonts w:hint="eastAsia" w:ascii="Times New Roman" w:hAnsi="Times New Roman" w:eastAsia="黑体"/>
          <w:b w:val="0"/>
          <w:color w:val="auto"/>
          <w:highlight w:val="none"/>
        </w:rPr>
        <w:t>二、机</w:t>
      </w:r>
      <w:r>
        <w:rPr>
          <w:rStyle w:val="29"/>
          <w:rFonts w:hint="eastAsia" w:ascii="Times New Roman" w:hAnsi="Times New Roman" w:eastAsia="黑体"/>
          <w:b w:val="0"/>
          <w:bCs w:val="0"/>
          <w:color w:val="auto"/>
          <w:highlight w:val="none"/>
        </w:rPr>
        <w:t>构设置</w:t>
      </w:r>
      <w:bookmarkEnd w:id="12"/>
      <w:bookmarkEnd w:id="13"/>
      <w:bookmarkEnd w:id="14"/>
    </w:p>
    <w:p w14:paraId="60FCD36E">
      <w:pPr>
        <w:ind w:firstLine="800" w:firstLineChars="250"/>
        <w:rPr>
          <w:rFonts w:ascii="仿宋" w:eastAsia="仿宋"/>
          <w:sz w:val="32"/>
          <w:szCs w:val="32"/>
        </w:rPr>
      </w:pPr>
      <w:r>
        <w:rPr>
          <w:sz w:val="32"/>
          <w:szCs w:val="32"/>
        </w:rPr>
        <w:t>自然资源局</w:t>
      </w:r>
      <w:r>
        <w:rPr>
          <w:rFonts w:hint="eastAsia" w:ascii="仿宋" w:eastAsia="仿宋"/>
          <w:sz w:val="32"/>
          <w:szCs w:val="32"/>
        </w:rPr>
        <w:t>下属二级预算单位</w:t>
      </w:r>
      <w:r>
        <w:rPr>
          <w:sz w:val="32"/>
          <w:szCs w:val="32"/>
        </w:rPr>
        <w:t>2</w:t>
      </w:r>
      <w:r>
        <w:rPr>
          <w:rFonts w:hint="eastAsia" w:ascii="仿宋" w:eastAsia="仿宋"/>
          <w:sz w:val="32"/>
          <w:szCs w:val="32"/>
        </w:rPr>
        <w:t>个，其中行政单位</w:t>
      </w:r>
      <w:r>
        <w:rPr>
          <w:rFonts w:ascii="仿宋" w:eastAsia="仿宋"/>
          <w:sz w:val="32"/>
          <w:szCs w:val="32"/>
        </w:rPr>
        <w:t>1</w:t>
      </w:r>
      <w:r>
        <w:rPr>
          <w:rFonts w:hint="eastAsia" w:ascii="仿宋" w:eastAsia="仿宋"/>
          <w:sz w:val="32"/>
          <w:szCs w:val="32"/>
        </w:rPr>
        <w:t>个，参照公务员法管理的事业单位</w:t>
      </w:r>
      <w:r>
        <w:rPr>
          <w:rFonts w:ascii="仿宋" w:eastAsia="仿宋"/>
          <w:bCs/>
          <w:sz w:val="32"/>
          <w:szCs w:val="32"/>
        </w:rPr>
        <w:t>1</w:t>
      </w:r>
      <w:r>
        <w:rPr>
          <w:rFonts w:hint="eastAsia" w:ascii="仿宋" w:eastAsia="仿宋"/>
          <w:sz w:val="32"/>
          <w:szCs w:val="32"/>
        </w:rPr>
        <w:t>个。</w:t>
      </w:r>
    </w:p>
    <w:p w14:paraId="61828B3A">
      <w:pPr>
        <w:pStyle w:val="9"/>
        <w:adjustRightInd w:val="0"/>
        <w:snapToGrid w:val="0"/>
        <w:spacing w:before="93" w:beforeLines="0" w:line="600" w:lineRule="exact"/>
        <w:ind w:firstLine="665" w:firstLineChars="208"/>
        <w:rPr>
          <w:rFonts w:ascii="仿宋" w:eastAsia="仿宋"/>
          <w:sz w:val="32"/>
          <w:szCs w:val="32"/>
        </w:rPr>
      </w:pPr>
      <w:r>
        <w:rPr>
          <w:rFonts w:hint="eastAsia" w:ascii="仿宋" w:eastAsia="仿宋"/>
          <w:sz w:val="32"/>
          <w:szCs w:val="32"/>
        </w:rPr>
        <w:t>纳入</w:t>
      </w:r>
      <w:r>
        <w:rPr>
          <w:rFonts w:ascii="Times New Roman" w:hAnsi="Times New Roman" w:eastAsia="宋体"/>
          <w:kern w:val="2"/>
          <w:sz w:val="32"/>
          <w:szCs w:val="32"/>
        </w:rPr>
        <w:t>自然资源局</w:t>
      </w:r>
      <w:r>
        <w:rPr>
          <w:rFonts w:hint="eastAsia" w:ascii="仿宋" w:eastAsia="仿宋"/>
          <w:sz w:val="32"/>
          <w:szCs w:val="32"/>
        </w:rPr>
        <w:t>202</w:t>
      </w:r>
      <w:r>
        <w:rPr>
          <w:rFonts w:ascii="仿宋" w:eastAsia="仿宋"/>
          <w:sz w:val="32"/>
          <w:szCs w:val="32"/>
        </w:rPr>
        <w:t>4</w:t>
      </w:r>
      <w:r>
        <w:rPr>
          <w:rFonts w:hint="eastAsia" w:ascii="仿宋" w:eastAsia="仿宋"/>
          <w:sz w:val="32"/>
          <w:szCs w:val="32"/>
        </w:rPr>
        <w:t>年度部门决算编制范围的二级预算单位包括：</w:t>
      </w:r>
    </w:p>
    <w:p w14:paraId="5030EF2C">
      <w:pPr>
        <w:pStyle w:val="9"/>
        <w:numPr>
          <w:ilvl w:val="0"/>
          <w:numId w:val="2"/>
        </w:numPr>
        <w:adjustRightInd w:val="0"/>
        <w:snapToGrid w:val="0"/>
        <w:spacing w:before="93" w:beforeLines="0" w:line="600" w:lineRule="exact"/>
        <w:outlineLvl w:val="2"/>
        <w:rPr>
          <w:rFonts w:ascii="仿宋" w:eastAsia="仿宋"/>
          <w:sz w:val="32"/>
          <w:szCs w:val="32"/>
        </w:rPr>
      </w:pPr>
      <w:bookmarkStart w:id="15" w:name="_Toc88884150"/>
      <w:bookmarkStart w:id="16" w:name="_Toc67948559"/>
      <w:r>
        <w:rPr>
          <w:rFonts w:ascii="仿宋" w:eastAsia="仿宋"/>
          <w:sz w:val="32"/>
          <w:szCs w:val="32"/>
        </w:rPr>
        <w:t>九寨沟县自然资源局</w:t>
      </w:r>
      <w:bookmarkEnd w:id="15"/>
      <w:bookmarkEnd w:id="16"/>
    </w:p>
    <w:p w14:paraId="06E5CD4D">
      <w:pPr>
        <w:pStyle w:val="9"/>
        <w:numPr>
          <w:ilvl w:val="0"/>
          <w:numId w:val="2"/>
        </w:numPr>
        <w:adjustRightInd w:val="0"/>
        <w:snapToGrid w:val="0"/>
        <w:spacing w:before="93" w:beforeLines="0" w:line="600" w:lineRule="exact"/>
        <w:outlineLvl w:val="2"/>
        <w:rPr>
          <w:rFonts w:ascii="仿宋" w:eastAsia="仿宋"/>
          <w:sz w:val="32"/>
          <w:szCs w:val="32"/>
        </w:rPr>
      </w:pPr>
      <w:bookmarkStart w:id="17" w:name="_Toc67948560"/>
      <w:bookmarkStart w:id="18" w:name="_Toc88884151"/>
      <w:r>
        <w:rPr>
          <w:rFonts w:ascii="仿宋" w:eastAsia="仿宋"/>
          <w:sz w:val="32"/>
          <w:szCs w:val="32"/>
        </w:rPr>
        <w:t>九寨沟县国土资源大队</w:t>
      </w:r>
      <w:bookmarkEnd w:id="17"/>
      <w:bookmarkEnd w:id="18"/>
    </w:p>
    <w:p w14:paraId="11D76727">
      <w:pPr>
        <w:pStyle w:val="9"/>
        <w:adjustRightInd w:val="0"/>
        <w:snapToGrid w:val="0"/>
        <w:spacing w:before="93" w:beforeLines="0" w:line="600" w:lineRule="exact"/>
        <w:ind w:firstLine="1120" w:firstLineChars="350"/>
        <w:rPr>
          <w:rFonts w:hint="eastAsia" w:ascii="Times New Roman" w:hAnsi="Times New Roman" w:eastAsia="仿宋_GB2312" w:cs="仿宋_GB2312"/>
          <w:color w:val="auto"/>
          <w:sz w:val="32"/>
          <w:szCs w:val="32"/>
          <w:highlight w:val="none"/>
        </w:rPr>
      </w:pPr>
    </w:p>
    <w:p w14:paraId="3E78BCA1">
      <w:pPr>
        <w:widowControl/>
        <w:jc w:val="left"/>
        <w:rPr>
          <w:rFonts w:ascii="Times New Roman" w:hAnsi="Times New Roman" w:eastAsia="仿宋"/>
          <w:color w:val="auto"/>
          <w:kern w:val="0"/>
          <w:sz w:val="32"/>
          <w:szCs w:val="32"/>
          <w:highlight w:val="none"/>
        </w:rPr>
      </w:pPr>
      <w:r>
        <w:rPr>
          <w:rFonts w:ascii="Times New Roman" w:hAnsi="Times New Roman" w:eastAsia="仿宋"/>
          <w:color w:val="auto"/>
          <w:sz w:val="32"/>
          <w:szCs w:val="32"/>
          <w:highlight w:val="none"/>
        </w:rPr>
        <w:br w:type="page"/>
      </w:r>
    </w:p>
    <w:p w14:paraId="72765992">
      <w:pPr>
        <w:pStyle w:val="5"/>
        <w:jc w:val="center"/>
        <w:rPr>
          <w:rFonts w:hint="eastAsia" w:ascii="Times New Roman" w:hAnsi="Times New Roman" w:eastAsia="方正小标宋简体" w:cs="方正小标宋简体"/>
          <w:b w:val="0"/>
          <w:color w:val="auto"/>
          <w:highlight w:val="none"/>
        </w:rPr>
      </w:pPr>
      <w:bookmarkStart w:id="19" w:name="_Toc15396602"/>
      <w:bookmarkStart w:id="20" w:name="_Toc88884152"/>
      <w:bookmarkStart w:id="21" w:name="_Toc15377204"/>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19"/>
      <w:bookmarkEnd w:id="20"/>
      <w:bookmarkEnd w:id="21"/>
    </w:p>
    <w:p w14:paraId="22BC2D73">
      <w:pPr>
        <w:rPr>
          <w:rFonts w:ascii="Times New Roman" w:hAnsi="Times New Roman"/>
          <w:color w:val="auto"/>
          <w:highlight w:val="none"/>
        </w:rPr>
      </w:pPr>
    </w:p>
    <w:p w14:paraId="039BF1CB">
      <w:pPr>
        <w:pStyle w:val="35"/>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Style w:val="29"/>
          <w:rFonts w:hint="eastAsia" w:ascii="Times New Roman" w:hAnsi="Times New Roman" w:eastAsia="黑体"/>
          <w:b w:val="0"/>
          <w:color w:val="auto"/>
          <w:highlight w:val="none"/>
        </w:rPr>
      </w:pPr>
      <w:bookmarkStart w:id="22" w:name="_Toc15377205"/>
      <w:bookmarkStart w:id="23" w:name="_Toc15396603"/>
      <w:bookmarkStart w:id="24" w:name="_Toc88884153"/>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29"/>
          <w:rFonts w:hint="eastAsia" w:ascii="Times New Roman" w:hAnsi="Times New Roman" w:eastAsia="黑体"/>
          <w:b w:val="0"/>
          <w:color w:val="auto"/>
          <w:highlight w:val="none"/>
        </w:rPr>
        <w:t>入支出决算总体情况说明</w:t>
      </w:r>
      <w:bookmarkEnd w:id="22"/>
      <w:bookmarkEnd w:id="23"/>
      <w:bookmarkEnd w:id="24"/>
    </w:p>
    <w:p w14:paraId="4F509BE6">
      <w:pPr>
        <w:pStyle w:val="35"/>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hint="eastAsia" w:ascii="Times New Roman" w:hAnsi="Times New Roman" w:eastAsia="仿宋_GB2312" w:cs="仿宋_GB2312"/>
          <w:color w:val="auto"/>
          <w:sz w:val="32"/>
          <w:szCs w:val="32"/>
          <w:highlight w:val="none"/>
          <w:lang w:eastAsia="zh-CN"/>
        </w:rPr>
      </w:pPr>
      <w:bookmarkStart w:id="25" w:name="_Toc88884154"/>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eastAsia="仿宋_GB2312" w:cs="仿宋_GB2312"/>
          <w:sz w:val="32"/>
          <w:szCs w:val="32"/>
        </w:rPr>
        <w:t>9555</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总计各增加</w:t>
      </w:r>
      <w:r>
        <w:rPr>
          <w:rFonts w:ascii="Times New Roman" w:hAnsi="Times New Roman" w:eastAsia="仿宋_GB2312" w:cs="仿宋_GB2312"/>
          <w:color w:val="auto"/>
          <w:sz w:val="32"/>
          <w:szCs w:val="32"/>
          <w:highlight w:val="none"/>
        </w:rPr>
        <w:t>644</w:t>
      </w:r>
      <w:r>
        <w:rPr>
          <w:rFonts w:hint="eastAsia" w:eastAsia="仿宋_GB2312" w:cs="仿宋_GB2312"/>
          <w:color w:val="auto"/>
          <w:sz w:val="32"/>
          <w:szCs w:val="32"/>
          <w:highlight w:val="none"/>
          <w:lang w:val="en-US" w:eastAsia="zh-CN"/>
        </w:rPr>
        <w:t>4.84</w:t>
      </w:r>
      <w:r>
        <w:rPr>
          <w:rFonts w:hint="eastAsia" w:ascii="Times New Roman" w:hAnsi="Times New Roman" w:eastAsia="仿宋_GB2312" w:cs="仿宋_GB2312"/>
          <w:color w:val="auto"/>
          <w:sz w:val="32"/>
          <w:szCs w:val="32"/>
          <w:highlight w:val="none"/>
        </w:rPr>
        <w:t>万元，增长</w:t>
      </w:r>
      <w:r>
        <w:rPr>
          <w:rFonts w:ascii="Times New Roman" w:hAnsi="Times New Roman" w:eastAsia="仿宋_GB2312" w:cs="仿宋_GB2312"/>
          <w:color w:val="auto"/>
          <w:sz w:val="32"/>
          <w:szCs w:val="32"/>
          <w:highlight w:val="none"/>
        </w:rPr>
        <w:t>20</w:t>
      </w:r>
      <w:r>
        <w:rPr>
          <w:rFonts w:hint="eastAsia" w:eastAsia="仿宋_GB2312" w:cs="仿宋_GB2312"/>
          <w:color w:val="auto"/>
          <w:sz w:val="32"/>
          <w:szCs w:val="32"/>
          <w:highlight w:val="none"/>
          <w:lang w:val="en-US" w:eastAsia="zh-CN"/>
        </w:rPr>
        <w:t>7</w:t>
      </w:r>
      <w:r>
        <w:rPr>
          <w:rFonts w:hint="eastAsia" w:ascii="Times New Roman" w:hAnsi="Times New Roman" w:eastAsia="仿宋_GB2312" w:cs="仿宋_GB2312"/>
          <w:color w:val="auto"/>
          <w:sz w:val="32"/>
          <w:szCs w:val="32"/>
          <w:highlight w:val="none"/>
        </w:rPr>
        <w:t>%。主要变动原因是</w:t>
      </w:r>
      <w:r>
        <w:rPr>
          <w:rFonts w:ascii="Times New Roman" w:hAnsi="Times New Roman" w:eastAsia="仿宋_GB2312" w:cs="仿宋_GB2312"/>
          <w:color w:val="auto"/>
          <w:sz w:val="32"/>
          <w:szCs w:val="32"/>
          <w:highlight w:val="none"/>
        </w:rPr>
        <w:t>新增国债项目。</w:t>
      </w:r>
      <w:bookmarkEnd w:id="25"/>
    </w:p>
    <w:p w14:paraId="1ACC426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drawing>
          <wp:inline distT="0" distB="0" distL="85090" distR="85090">
            <wp:extent cx="3705225" cy="2533650"/>
            <wp:effectExtent l="0" t="0" r="38" b="32"/>
            <wp:docPr id="1"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pic:cNvPicPr>
                      <a:picLocks noChangeAspect="1"/>
                    </pic:cNvPicPr>
                  </pic:nvPicPr>
                  <pic:blipFill>
                    <a:blip r:embed="rId9"/>
                    <a:stretch>
                      <a:fillRect/>
                    </a:stretch>
                  </pic:blipFill>
                  <pic:spPr>
                    <a:xfrm>
                      <a:off x="0" y="0"/>
                      <a:ext cx="3705797" cy="2534246"/>
                    </a:xfrm>
                    <a:prstGeom prst="rect">
                      <a:avLst/>
                    </a:prstGeom>
                    <a:noFill/>
                    <a:ln w="9525" cap="flat" cmpd="sng">
                      <a:noFill/>
                      <a:prstDash val="solid"/>
                      <a:miter/>
                    </a:ln>
                  </pic:spPr>
                </pic:pic>
              </a:graphicData>
            </a:graphic>
          </wp:inline>
        </w:drawing>
      </w:r>
    </w:p>
    <w:p w14:paraId="2819D48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rPr>
      </w:pPr>
    </w:p>
    <w:p w14:paraId="751F2640">
      <w:pPr>
        <w:pStyle w:val="35"/>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hint="eastAsia" w:ascii="Times New Roman" w:hAnsi="Times New Roman" w:eastAsia="黑体"/>
          <w:color w:val="auto"/>
          <w:sz w:val="32"/>
          <w:szCs w:val="32"/>
          <w:highlight w:val="none"/>
          <w:lang w:eastAsia="zh-CN"/>
        </w:rPr>
      </w:pPr>
      <w:bookmarkStart w:id="26" w:name="_Toc88884155"/>
      <w:bookmarkStart w:id="27" w:name="_Toc15377206"/>
      <w:bookmarkStart w:id="28" w:name="_Toc15396604"/>
      <w:r>
        <w:rPr>
          <w:rFonts w:hint="eastAsia" w:ascii="Times New Roman" w:hAnsi="Times New Roman" w:eastAsia="黑体"/>
          <w:color w:val="auto"/>
          <w:sz w:val="32"/>
          <w:szCs w:val="32"/>
          <w:highlight w:val="none"/>
          <w:lang w:eastAsia="zh-CN"/>
        </w:rPr>
        <w:t>二、收入决算情况说明</w:t>
      </w:r>
      <w:bookmarkEnd w:id="26"/>
      <w:bookmarkEnd w:id="27"/>
      <w:bookmarkEnd w:id="28"/>
    </w:p>
    <w:p w14:paraId="5022EF3E">
      <w:pPr>
        <w:pStyle w:val="35"/>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bookmarkStart w:id="29" w:name="_Toc88884156"/>
      <w:r>
        <w:rPr>
          <w:rFonts w:hint="eastAsia" w:ascii="仿宋_GB2312" w:eastAsia="仿宋_GB2312" w:cs="仿宋_GB2312"/>
          <w:color w:val="auto"/>
          <w:sz w:val="32"/>
          <w:szCs w:val="32"/>
          <w:highlight w:val="none"/>
          <w:lang w:eastAsia="zh-CN"/>
        </w:rPr>
        <w:t>2024年度本年收入合计</w:t>
      </w:r>
      <w:r>
        <w:rPr>
          <w:rFonts w:hint="eastAsia" w:ascii="仿宋_GB2312" w:eastAsia="仿宋_GB2312" w:cs="仿宋_GB2312"/>
          <w:sz w:val="32"/>
          <w:szCs w:val="32"/>
        </w:rPr>
        <w:t>9038.95万元，其中：一般公共预算财政拨款收入8449.26</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93.4</w:t>
      </w:r>
      <w:r>
        <w:rPr>
          <w:rFonts w:hint="eastAsia" w:ascii="仿宋_GB2312" w:eastAsia="仿宋_GB2312" w:cs="仿宋_GB2312"/>
          <w:sz w:val="32"/>
          <w:szCs w:val="32"/>
          <w:lang w:val="en-US" w:eastAsia="zh-CN"/>
        </w:rPr>
        <w:t>8</w:t>
      </w:r>
      <w:r>
        <w:rPr>
          <w:rFonts w:hint="eastAsia" w:ascii="仿宋_GB2312" w:eastAsia="仿宋_GB2312" w:cs="仿宋_GB2312"/>
          <w:color w:val="auto"/>
          <w:sz w:val="32"/>
          <w:szCs w:val="32"/>
          <w:highlight w:val="none"/>
          <w:lang w:eastAsia="zh-CN"/>
        </w:rPr>
        <w:t>%；政府性基金预算财政拨款收入</w:t>
      </w:r>
      <w:r>
        <w:rPr>
          <w:rFonts w:hint="eastAsia" w:ascii="仿宋_GB2312" w:eastAsia="仿宋_GB2312" w:cs="仿宋_GB2312"/>
          <w:sz w:val="32"/>
          <w:szCs w:val="32"/>
        </w:rPr>
        <w:t>589.69</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6.52%</w:t>
      </w:r>
      <w:r>
        <w:rPr>
          <w:rFonts w:hint="eastAsia" w:ascii="仿宋_GB2312" w:eastAsia="仿宋_GB2312" w:cs="仿宋_GB2312"/>
          <w:color w:val="auto"/>
          <w:sz w:val="32"/>
          <w:szCs w:val="32"/>
          <w:highlight w:val="none"/>
          <w:lang w:eastAsia="zh-CN"/>
        </w:rPr>
        <w:t>；国有资本经营预算财政拨款收入</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%；上级补助收入</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%；事业收入</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%；经营收入</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%；附属单位上缴收入</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%；其他收入</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w:t>
      </w:r>
      <w:bookmarkEnd w:id="29"/>
    </w:p>
    <w:p w14:paraId="201E4AEC">
      <w:pPr>
        <w:ind w:firstLine="800" w:firstLineChars="250"/>
        <w:rPr>
          <w:rFonts w:hint="eastAsia" w:ascii="Times New Roman" w:hAnsi="Times New Roman" w:eastAsia="仿宋_GB2312" w:cs="仿宋_GB2312"/>
          <w:color w:val="auto"/>
          <w:sz w:val="32"/>
          <w:szCs w:val="32"/>
          <w:highlight w:val="none"/>
          <w:lang w:eastAsia="zh-CN"/>
        </w:rPr>
      </w:pPr>
      <w:r>
        <w:rPr>
          <w:rFonts w:ascii="Times New Roman" w:hAnsi="Times New Roman" w:eastAsia="仿宋_GB2312" w:cs="仿宋_GB2312"/>
          <w:color w:val="auto"/>
          <w:sz w:val="32"/>
          <w:szCs w:val="32"/>
          <w:highlight w:val="none"/>
          <w:lang w:eastAsia="zh-CN"/>
        </w:rPr>
        <w:drawing>
          <wp:inline distT="0" distB="0" distL="85090" distR="85090">
            <wp:extent cx="4571365" cy="2742565"/>
            <wp:effectExtent l="0" t="1" r="22" b="2"/>
            <wp:docPr id="4"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pic:cNvPicPr>
                      <a:picLocks noChangeAspect="1"/>
                    </pic:cNvPicPr>
                  </pic:nvPicPr>
                  <pic:blipFill>
                    <a:blip r:embed="rId10"/>
                    <a:stretch>
                      <a:fillRect/>
                    </a:stretch>
                  </pic:blipFill>
                  <pic:spPr>
                    <a:xfrm>
                      <a:off x="0" y="0"/>
                      <a:ext cx="4571908" cy="2743157"/>
                    </a:xfrm>
                    <a:prstGeom prst="rect">
                      <a:avLst/>
                    </a:prstGeom>
                    <a:noFill/>
                    <a:ln w="9525" cap="flat" cmpd="sng">
                      <a:noFill/>
                      <a:prstDash val="solid"/>
                      <a:miter/>
                    </a:ln>
                  </pic:spPr>
                </pic:pic>
              </a:graphicData>
            </a:graphic>
          </wp:inline>
        </w:drawing>
      </w:r>
    </w:p>
    <w:p w14:paraId="682BD995">
      <w:pPr>
        <w:ind w:firstLine="800" w:firstLineChars="250"/>
        <w:rPr>
          <w:rFonts w:hint="eastAsia" w:ascii="Times New Roman" w:hAnsi="Times New Roman" w:eastAsia="仿宋_GB2312" w:cs="仿宋_GB2312"/>
          <w:color w:val="auto"/>
          <w:sz w:val="32"/>
          <w:szCs w:val="32"/>
          <w:highlight w:val="none"/>
          <w:lang w:eastAsia="zh-CN"/>
        </w:rPr>
      </w:pPr>
    </w:p>
    <w:p w14:paraId="305583FC">
      <w:pPr>
        <w:pStyle w:val="35"/>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Style w:val="29"/>
          <w:rFonts w:hint="eastAsia" w:ascii="Times New Roman" w:hAnsi="Times New Roman" w:eastAsia="黑体"/>
          <w:b w:val="0"/>
          <w:color w:val="auto"/>
          <w:highlight w:val="none"/>
        </w:rPr>
      </w:pPr>
      <w:bookmarkStart w:id="30" w:name="_Toc15377207"/>
      <w:bookmarkStart w:id="31" w:name="_Toc15396605"/>
      <w:bookmarkStart w:id="32" w:name="_Toc88884157"/>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29"/>
          <w:rFonts w:hint="eastAsia" w:ascii="Times New Roman" w:hAnsi="Times New Roman" w:eastAsia="黑体"/>
          <w:b w:val="0"/>
          <w:color w:val="auto"/>
          <w:highlight w:val="none"/>
        </w:rPr>
        <w:t>出决算情况说明</w:t>
      </w:r>
      <w:bookmarkEnd w:id="30"/>
      <w:bookmarkEnd w:id="31"/>
      <w:bookmarkEnd w:id="32"/>
    </w:p>
    <w:p w14:paraId="262FEA73">
      <w:pPr>
        <w:pStyle w:val="35"/>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outlineLvl w:val="1"/>
        <w:rPr>
          <w:rFonts w:hint="eastAsia" w:ascii="Times New Roman" w:hAnsi="Times New Roman" w:eastAsia="仿宋_GB2312" w:cs="仿宋_GB2312"/>
          <w:color w:val="auto"/>
          <w:sz w:val="32"/>
          <w:szCs w:val="32"/>
          <w:highlight w:val="none"/>
          <w:lang w:eastAsia="zh-CN"/>
        </w:rPr>
      </w:pPr>
      <w:bookmarkStart w:id="33" w:name="_Toc88884158"/>
      <w:r>
        <w:rPr>
          <w:rFonts w:hint="eastAsia" w:ascii="仿宋_GB2312" w:eastAsia="仿宋_GB2312" w:cs="仿宋_GB2312"/>
          <w:color w:val="auto"/>
          <w:sz w:val="32"/>
          <w:szCs w:val="32"/>
          <w:highlight w:val="none"/>
          <w:lang w:eastAsia="zh-CN"/>
        </w:rPr>
        <w:t>2024年度本年支出合计</w:t>
      </w:r>
      <w:r>
        <w:rPr>
          <w:rFonts w:hint="eastAsia" w:ascii="仿宋_GB2312" w:eastAsia="仿宋_GB2312" w:cs="仿宋_GB2312"/>
          <w:sz w:val="32"/>
          <w:szCs w:val="32"/>
        </w:rPr>
        <w:t>9555</w:t>
      </w:r>
      <w:r>
        <w:rPr>
          <w:rFonts w:hint="eastAsia" w:ascii="仿宋_GB2312" w:eastAsia="仿宋_GB2312" w:cs="仿宋_GB2312"/>
          <w:color w:val="auto"/>
          <w:sz w:val="32"/>
          <w:szCs w:val="32"/>
          <w:highlight w:val="none"/>
          <w:lang w:eastAsia="zh-CN"/>
        </w:rPr>
        <w:t>万元，其中：基本支出</w:t>
      </w:r>
      <w:r>
        <w:rPr>
          <w:rFonts w:hint="eastAsia" w:ascii="仿宋_GB2312" w:eastAsia="仿宋_GB2312" w:cs="仿宋_GB2312"/>
          <w:sz w:val="32"/>
          <w:szCs w:val="32"/>
        </w:rPr>
        <w:t>1016.88</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10.64</w:t>
      </w:r>
      <w:r>
        <w:rPr>
          <w:rFonts w:hint="eastAsia" w:ascii="仿宋_GB2312" w:eastAsia="仿宋_GB2312" w:cs="仿宋_GB2312"/>
          <w:color w:val="auto"/>
          <w:sz w:val="32"/>
          <w:szCs w:val="32"/>
          <w:highlight w:val="none"/>
          <w:lang w:eastAsia="zh-CN"/>
        </w:rPr>
        <w:t>%；项目支出</w:t>
      </w:r>
      <w:r>
        <w:rPr>
          <w:rFonts w:hint="eastAsia" w:ascii="仿宋_GB2312" w:eastAsia="仿宋_GB2312" w:cs="仿宋_GB2312"/>
          <w:sz w:val="32"/>
          <w:szCs w:val="32"/>
        </w:rPr>
        <w:t>8538.12</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89.35</w:t>
      </w:r>
      <w:r>
        <w:rPr>
          <w:rFonts w:hint="eastAsia" w:ascii="仿宋_GB2312" w:eastAsia="仿宋_GB2312" w:cs="仿宋_GB2312"/>
          <w:color w:val="auto"/>
          <w:sz w:val="32"/>
          <w:szCs w:val="32"/>
          <w:highlight w:val="none"/>
          <w:lang w:eastAsia="zh-CN"/>
        </w:rPr>
        <w:t>%；上缴上级支出</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%；经营支出</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%；对附属单位补助支出</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w:t>
      </w:r>
      <w:bookmarkEnd w:id="33"/>
    </w:p>
    <w:p w14:paraId="412ACC9A">
      <w:pPr>
        <w:ind w:firstLine="800" w:firstLineChars="250"/>
        <w:rPr>
          <w:rFonts w:hint="eastAsia" w:ascii="Times New Roman" w:hAnsi="Times New Roman" w:eastAsia="仿宋_GB2312" w:cs="仿宋_GB2312"/>
          <w:color w:val="auto"/>
          <w:sz w:val="32"/>
          <w:szCs w:val="32"/>
          <w:highlight w:val="none"/>
          <w:lang w:eastAsia="zh-CN"/>
        </w:rPr>
      </w:pPr>
      <w:r>
        <w:rPr>
          <w:rFonts w:ascii="Times New Roman" w:hAnsi="Times New Roman" w:eastAsia="仿宋_GB2312" w:cs="仿宋_GB2312"/>
          <w:color w:val="auto"/>
          <w:sz w:val="32"/>
          <w:szCs w:val="32"/>
          <w:highlight w:val="none"/>
          <w:lang w:eastAsia="zh-CN"/>
        </w:rPr>
        <w:drawing>
          <wp:inline distT="0" distB="0" distL="85090" distR="85090">
            <wp:extent cx="4571365" cy="2742565"/>
            <wp:effectExtent l="0" t="0" r="4" b="1"/>
            <wp:docPr id="7"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pic:cNvPicPr>
                      <a:picLocks noChangeAspect="1"/>
                    </pic:cNvPicPr>
                  </pic:nvPicPr>
                  <pic:blipFill>
                    <a:blip r:embed="rId11"/>
                    <a:stretch>
                      <a:fillRect/>
                    </a:stretch>
                  </pic:blipFill>
                  <pic:spPr>
                    <a:xfrm>
                      <a:off x="0" y="0"/>
                      <a:ext cx="4571926" cy="2743157"/>
                    </a:xfrm>
                    <a:prstGeom prst="rect">
                      <a:avLst/>
                    </a:prstGeom>
                    <a:noFill/>
                    <a:ln w="9525" cap="flat" cmpd="sng">
                      <a:noFill/>
                      <a:prstDash val="solid"/>
                      <a:miter/>
                    </a:ln>
                  </pic:spPr>
                </pic:pic>
              </a:graphicData>
            </a:graphic>
          </wp:inline>
        </w:drawing>
      </w:r>
    </w:p>
    <w:p w14:paraId="5463066D">
      <w:pPr>
        <w:ind w:firstLine="800" w:firstLineChars="250"/>
        <w:rPr>
          <w:rFonts w:hint="eastAsia" w:ascii="Times New Roman" w:hAnsi="Times New Roman" w:eastAsia="仿宋_GB2312" w:cs="仿宋_GB2312"/>
          <w:color w:val="auto"/>
          <w:sz w:val="32"/>
          <w:szCs w:val="32"/>
          <w:highlight w:val="none"/>
          <w:lang w:eastAsia="zh-CN"/>
        </w:rPr>
      </w:pPr>
    </w:p>
    <w:p w14:paraId="732FF7AF">
      <w:pPr>
        <w:spacing w:line="600" w:lineRule="exact"/>
        <w:ind w:firstLine="640" w:firstLineChars="200"/>
        <w:outlineLvl w:val="1"/>
        <w:rPr>
          <w:rStyle w:val="29"/>
          <w:rFonts w:ascii="Times New Roman" w:hAnsi="Times New Roman" w:eastAsia="黑体"/>
          <w:b w:val="0"/>
          <w:color w:val="auto"/>
          <w:highlight w:val="none"/>
        </w:rPr>
      </w:pPr>
      <w:bookmarkStart w:id="34" w:name="_Toc88884159"/>
      <w:bookmarkStart w:id="35" w:name="_Toc15396606"/>
      <w:bookmarkStart w:id="36" w:name="_Toc15377208"/>
      <w:r>
        <w:rPr>
          <w:rFonts w:hint="eastAsia" w:ascii="Times New Roman" w:hAnsi="Times New Roman" w:eastAsia="黑体"/>
          <w:color w:val="auto"/>
          <w:sz w:val="32"/>
          <w:szCs w:val="32"/>
          <w:highlight w:val="none"/>
        </w:rPr>
        <w:t>四、财</w:t>
      </w:r>
      <w:r>
        <w:rPr>
          <w:rStyle w:val="29"/>
          <w:rFonts w:hint="eastAsia" w:ascii="Times New Roman" w:hAnsi="Times New Roman" w:eastAsia="黑体"/>
          <w:b w:val="0"/>
          <w:color w:val="auto"/>
          <w:highlight w:val="none"/>
        </w:rPr>
        <w:t>政拨款收入支出决算总体情况说明</w:t>
      </w:r>
      <w:bookmarkEnd w:id="34"/>
      <w:bookmarkEnd w:id="35"/>
      <w:bookmarkEnd w:id="36"/>
    </w:p>
    <w:p w14:paraId="0C4876B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eastAsia="仿宋_GB2312" w:cs="仿宋_GB2312"/>
          <w:sz w:val="32"/>
          <w:szCs w:val="32"/>
        </w:rPr>
        <w:t>9555</w:t>
      </w:r>
      <w:r>
        <w:rPr>
          <w:rFonts w:hint="eastAsia" w:ascii="Times New Roman" w:hAnsi="Times New Roman" w:eastAsia="仿宋_GB2312" w:cs="仿宋_GB2312"/>
          <w:color w:val="auto"/>
          <w:kern w:val="2"/>
          <w:sz w:val="32"/>
          <w:szCs w:val="32"/>
          <w:highlight w:val="none"/>
          <w:lang w:val="en-US" w:eastAsia="zh-CN" w:bidi="ar-SA"/>
        </w:rPr>
        <w:t>万元。与2023年度相比，财政拨款收入总计、支出总计各</w:t>
      </w:r>
      <w:r>
        <w:rPr>
          <w:rFonts w:hint="eastAsia" w:ascii="Times New Roman" w:hAnsi="Times New Roman" w:eastAsia="仿宋_GB2312" w:cs="仿宋_GB2312"/>
          <w:color w:val="auto"/>
          <w:sz w:val="32"/>
          <w:szCs w:val="32"/>
          <w:highlight w:val="none"/>
        </w:rPr>
        <w:t>增加</w:t>
      </w:r>
      <w:r>
        <w:rPr>
          <w:rFonts w:ascii="Times New Roman" w:hAnsi="Times New Roman" w:eastAsia="仿宋_GB2312" w:cs="仿宋_GB2312"/>
          <w:color w:val="auto"/>
          <w:sz w:val="32"/>
          <w:szCs w:val="32"/>
          <w:highlight w:val="none"/>
        </w:rPr>
        <w:t>644</w:t>
      </w:r>
      <w:r>
        <w:rPr>
          <w:rFonts w:hint="eastAsia" w:eastAsia="仿宋_GB2312" w:cs="仿宋_GB2312"/>
          <w:color w:val="auto"/>
          <w:sz w:val="32"/>
          <w:szCs w:val="32"/>
          <w:highlight w:val="none"/>
          <w:lang w:val="en-US" w:eastAsia="zh-CN"/>
        </w:rPr>
        <w:t>4.84</w:t>
      </w:r>
      <w:r>
        <w:rPr>
          <w:rFonts w:hint="eastAsia" w:ascii="Times New Roman" w:hAnsi="Times New Roman" w:eastAsia="仿宋_GB2312" w:cs="仿宋_GB2312"/>
          <w:color w:val="auto"/>
          <w:sz w:val="32"/>
          <w:szCs w:val="32"/>
          <w:highlight w:val="none"/>
        </w:rPr>
        <w:t>万元</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sz w:val="32"/>
          <w:szCs w:val="32"/>
          <w:highlight w:val="none"/>
        </w:rPr>
        <w:t>增长</w:t>
      </w:r>
      <w:r>
        <w:rPr>
          <w:rFonts w:ascii="Times New Roman" w:hAnsi="Times New Roman" w:eastAsia="仿宋_GB2312" w:cs="仿宋_GB2312"/>
          <w:color w:val="auto"/>
          <w:sz w:val="32"/>
          <w:szCs w:val="32"/>
          <w:highlight w:val="none"/>
        </w:rPr>
        <w:t>20</w:t>
      </w:r>
      <w:r>
        <w:rPr>
          <w:rFonts w:hint="eastAsia" w:eastAsia="仿宋_GB2312" w:cs="仿宋_GB2312"/>
          <w:color w:val="auto"/>
          <w:sz w:val="32"/>
          <w:szCs w:val="32"/>
          <w:highlight w:val="none"/>
          <w:lang w:val="en-US" w:eastAsia="zh-CN"/>
        </w:rPr>
        <w:t>7</w:t>
      </w:r>
      <w:r>
        <w:rPr>
          <w:rFonts w:hint="eastAsia" w:ascii="Times New Roman" w:hAnsi="Times New Roman" w:eastAsia="仿宋_GB2312" w:cs="仿宋_GB2312"/>
          <w:color w:val="auto"/>
          <w:sz w:val="32"/>
          <w:szCs w:val="32"/>
          <w:highlight w:val="none"/>
        </w:rPr>
        <w:t>%。主要变动原因是</w:t>
      </w:r>
      <w:r>
        <w:rPr>
          <w:rFonts w:ascii="Times New Roman" w:hAnsi="Times New Roman" w:eastAsia="仿宋_GB2312" w:cs="仿宋_GB2312"/>
          <w:color w:val="auto"/>
          <w:sz w:val="32"/>
          <w:szCs w:val="32"/>
          <w:highlight w:val="none"/>
        </w:rPr>
        <w:t>新增国债项目。</w:t>
      </w:r>
    </w:p>
    <w:p w14:paraId="3BC2F616">
      <w:pPr>
        <w:pStyle w:val="2"/>
      </w:pPr>
    </w:p>
    <w:p w14:paraId="0E75B237">
      <w:pPr>
        <w:pStyle w:val="3"/>
        <w:ind w:left="0" w:leftChars="0" w:firstLine="0" w:firstLineChars="0"/>
      </w:pPr>
    </w:p>
    <w:p w14:paraId="2C7F93B7">
      <w:pPr>
        <w:pStyle w:val="3"/>
      </w:pPr>
      <w:r>
        <w:drawing>
          <wp:inline distT="0" distB="0" distL="85090" distR="85090">
            <wp:extent cx="4571365" cy="2742565"/>
            <wp:effectExtent l="0" t="0" r="7" b="1"/>
            <wp:docPr id="10"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pic:cNvPicPr>
                      <a:picLocks noChangeAspect="1"/>
                    </pic:cNvPicPr>
                  </pic:nvPicPr>
                  <pic:blipFill>
                    <a:blip r:embed="rId12"/>
                    <a:stretch>
                      <a:fillRect/>
                    </a:stretch>
                  </pic:blipFill>
                  <pic:spPr>
                    <a:xfrm>
                      <a:off x="0" y="0"/>
                      <a:ext cx="4571923" cy="2743157"/>
                    </a:xfrm>
                    <a:prstGeom prst="rect">
                      <a:avLst/>
                    </a:prstGeom>
                    <a:noFill/>
                    <a:ln w="9525" cap="flat" cmpd="sng">
                      <a:noFill/>
                      <a:prstDash val="solid"/>
                      <a:miter/>
                    </a:ln>
                  </pic:spPr>
                </pic:pic>
              </a:graphicData>
            </a:graphic>
          </wp:inline>
        </w:drawing>
      </w:r>
    </w:p>
    <w:p w14:paraId="3494E324">
      <w:pPr>
        <w:spacing w:line="600" w:lineRule="exact"/>
        <w:ind w:left="0"/>
        <w:rPr>
          <w:rFonts w:hint="eastAsia" w:ascii="Times New Roman" w:hAnsi="Times New Roman" w:eastAsia="仿宋_GB2312" w:cs="仿宋_GB2312"/>
          <w:color w:val="auto"/>
          <w:kern w:val="2"/>
          <w:sz w:val="32"/>
          <w:szCs w:val="32"/>
          <w:highlight w:val="none"/>
          <w:lang w:val="en-US" w:eastAsia="zh-CN" w:bidi="ar-SA"/>
        </w:rPr>
      </w:pPr>
    </w:p>
    <w:p w14:paraId="3083F93F">
      <w:pPr>
        <w:spacing w:line="600" w:lineRule="exact"/>
        <w:ind w:firstLine="640" w:firstLineChars="200"/>
        <w:outlineLvl w:val="1"/>
        <w:rPr>
          <w:rStyle w:val="29"/>
          <w:rFonts w:ascii="Times New Roman" w:hAnsi="Times New Roman" w:eastAsia="黑体"/>
          <w:b w:val="0"/>
          <w:color w:val="auto"/>
          <w:highlight w:val="none"/>
        </w:rPr>
      </w:pPr>
      <w:bookmarkStart w:id="37" w:name="_Toc88884160"/>
      <w:bookmarkStart w:id="38" w:name="_Toc15377209"/>
      <w:bookmarkStart w:id="39" w:name="_Toc15396607"/>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29"/>
          <w:rFonts w:hint="eastAsia" w:ascii="Times New Roman" w:hAnsi="Times New Roman" w:eastAsia="黑体"/>
          <w:b w:val="0"/>
          <w:color w:val="auto"/>
          <w:highlight w:val="none"/>
        </w:rPr>
        <w:t>般公共预算财政拨款支出决算情况说明</w:t>
      </w:r>
      <w:bookmarkEnd w:id="37"/>
      <w:bookmarkEnd w:id="38"/>
      <w:bookmarkEnd w:id="39"/>
    </w:p>
    <w:p w14:paraId="286B9F63">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0" w:name="_Toc15377210"/>
      <w:bookmarkStart w:id="41" w:name="_Toc88884161"/>
      <w:r>
        <w:rPr>
          <w:rFonts w:hint="eastAsia" w:ascii="Times New Roman" w:hAnsi="Times New Roman" w:eastAsia="楷体_GB2312" w:cs="楷体_GB2312"/>
          <w:b/>
          <w:color w:val="auto"/>
          <w:sz w:val="32"/>
          <w:szCs w:val="32"/>
          <w:highlight w:val="none"/>
        </w:rPr>
        <w:t>（一）一般公共预算财政拨款支出决算总体情况</w:t>
      </w:r>
      <w:bookmarkEnd w:id="40"/>
      <w:bookmarkEnd w:id="41"/>
    </w:p>
    <w:p w14:paraId="6E00441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eastAsia="仿宋_GB2312" w:cs="仿宋_GB2312"/>
          <w:color w:val="auto"/>
          <w:kern w:val="2"/>
          <w:sz w:val="32"/>
          <w:szCs w:val="32"/>
          <w:highlight w:val="none"/>
          <w:lang w:val="en-US" w:eastAsia="zh-CN" w:bidi="ar-SA"/>
        </w:rPr>
        <w:t>2024年度一般公共预算财政拨款8449.26万元、年初结转结余516.05万元,占本年支出合计的</w:t>
      </w:r>
      <w:r>
        <w:rPr>
          <w:rFonts w:hint="eastAsia" w:ascii="仿宋_GB2312" w:eastAsia="仿宋_GB2312" w:cs="仿宋_GB2312"/>
          <w:sz w:val="32"/>
          <w:szCs w:val="32"/>
        </w:rPr>
        <w:t>93.82</w:t>
      </w:r>
      <w:r>
        <w:rPr>
          <w:rFonts w:hint="eastAsia" w:ascii="仿宋_GB2312" w:eastAsia="仿宋_GB2312" w:cs="仿宋_GB2312"/>
          <w:color w:val="auto"/>
          <w:kern w:val="2"/>
          <w:sz w:val="32"/>
          <w:szCs w:val="32"/>
          <w:highlight w:val="none"/>
          <w:lang w:val="en-US" w:eastAsia="zh-CN" w:bidi="ar-SA"/>
        </w:rPr>
        <w:t>%。与2023年度相比，一般公共预算财政拨款支出增加5857.37万元，增长188.46%。主要变动原因是</w:t>
      </w:r>
      <w:r>
        <w:rPr>
          <w:rFonts w:ascii="仿宋_GB2312" w:eastAsia="仿宋_GB2312" w:cs="仿宋_GB2312"/>
          <w:color w:val="auto"/>
          <w:kern w:val="2"/>
          <w:sz w:val="32"/>
          <w:szCs w:val="32"/>
          <w:highlight w:val="none"/>
          <w:lang w:val="en-US" w:eastAsia="zh-CN" w:bidi="ar-SA"/>
        </w:rPr>
        <w:t>新增国债项目。</w:t>
      </w:r>
    </w:p>
    <w:p w14:paraId="4611C44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539BB61A">
      <w:pPr>
        <w:spacing w:line="600" w:lineRule="exact"/>
        <w:ind w:firstLine="640"/>
        <w:rPr>
          <w:rFonts w:ascii="Times New Roman" w:hAnsi="Times New Roman" w:eastAsia="仿宋_GB2312" w:cs="仿宋_GB2312"/>
          <w:color w:val="auto"/>
          <w:kern w:val="2"/>
          <w:sz w:val="32"/>
          <w:szCs w:val="32"/>
          <w:highlight w:val="none"/>
          <w:lang w:val="en-US" w:eastAsia="zh-CN" w:bidi="ar-SA"/>
        </w:rPr>
      </w:pPr>
    </w:p>
    <w:p w14:paraId="40A6FC5A">
      <w:pPr>
        <w:pStyle w:val="2"/>
      </w:pPr>
    </w:p>
    <w:p w14:paraId="3EAE48CE">
      <w:pPr>
        <w:pStyle w:val="3"/>
      </w:pPr>
    </w:p>
    <w:p w14:paraId="0DB8FDE6">
      <w:pPr>
        <w:pStyle w:val="3"/>
      </w:pPr>
    </w:p>
    <w:p w14:paraId="53E5F6E0">
      <w:pPr>
        <w:pStyle w:val="3"/>
      </w:pPr>
    </w:p>
    <w:p w14:paraId="333044A8">
      <w:pPr>
        <w:pStyle w:val="3"/>
      </w:pPr>
      <w:r>
        <w:drawing>
          <wp:inline distT="0" distB="0" distL="85090" distR="85090">
            <wp:extent cx="4571365" cy="2742565"/>
            <wp:effectExtent l="0" t="0" r="7" b="1"/>
            <wp:docPr id="13"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pic:cNvPicPr>
                      <a:picLocks noChangeAspect="1"/>
                    </pic:cNvPicPr>
                  </pic:nvPicPr>
                  <pic:blipFill>
                    <a:blip r:embed="rId13"/>
                    <a:stretch>
                      <a:fillRect/>
                    </a:stretch>
                  </pic:blipFill>
                  <pic:spPr>
                    <a:xfrm>
                      <a:off x="0" y="0"/>
                      <a:ext cx="4571923" cy="2743157"/>
                    </a:xfrm>
                    <a:prstGeom prst="rect">
                      <a:avLst/>
                    </a:prstGeom>
                    <a:noFill/>
                    <a:ln w="9525" cap="flat" cmpd="sng">
                      <a:noFill/>
                      <a:prstDash val="solid"/>
                      <a:miter/>
                    </a:ln>
                  </pic:spPr>
                </pic:pic>
              </a:graphicData>
            </a:graphic>
          </wp:inline>
        </w:drawing>
      </w:r>
    </w:p>
    <w:p w14:paraId="06297075">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2" w:name="_Toc88884162"/>
      <w:bookmarkStart w:id="43"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42"/>
      <w:bookmarkEnd w:id="43"/>
    </w:p>
    <w:p w14:paraId="2050804C">
      <w:pPr>
        <w:spacing w:line="600" w:lineRule="exact"/>
        <w:ind w:firstLine="640"/>
        <w:rPr>
          <w:rFonts w:hint="eastAsia" w:eastAsia="仿宋_GB2312" w:cs="仿宋_GB2312"/>
          <w:b/>
          <w:bCs/>
          <w:sz w:val="32"/>
          <w:szCs w:val="32"/>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eastAsia="仿宋_GB2312" w:cs="仿宋_GB2312"/>
          <w:sz w:val="32"/>
          <w:szCs w:val="32"/>
        </w:rPr>
        <w:t>8965.31</w:t>
      </w:r>
      <w:r>
        <w:rPr>
          <w:rFonts w:hint="eastAsia" w:asci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ascii="Times New Roman" w:hAnsi="Times New Roman" w:eastAsia="仿宋_GB2312" w:cs="仿宋_GB2312"/>
          <w:color w:val="auto"/>
          <w:kern w:val="2"/>
          <w:sz w:val="32"/>
          <w:szCs w:val="32"/>
          <w:highlight w:val="none"/>
          <w:lang w:val="en-US" w:eastAsia="zh-CN" w:bidi="ar-SA"/>
        </w:rPr>
        <w:t>自然资源海洋气象等支出960.1</w:t>
      </w:r>
      <w:r>
        <w:rPr>
          <w:rFonts w:hint="eastAsia" w:ascii="Times New Roman" w:hAnsi="Times New Roman" w:eastAsia="仿宋_GB2312" w:cs="仿宋_GB2312"/>
          <w:color w:val="auto"/>
          <w:kern w:val="2"/>
          <w:sz w:val="32"/>
          <w:szCs w:val="32"/>
          <w:highlight w:val="none"/>
          <w:lang w:val="en-US" w:eastAsia="zh-CN" w:bidi="ar-SA"/>
        </w:rPr>
        <w:t>万元，占</w:t>
      </w:r>
      <w:r>
        <w:rPr>
          <w:rFonts w:ascii="Times New Roman" w:hAnsi="Times New Roman" w:eastAsia="仿宋_GB2312" w:cs="仿宋_GB2312"/>
          <w:color w:val="auto"/>
          <w:kern w:val="2"/>
          <w:sz w:val="32"/>
          <w:szCs w:val="32"/>
          <w:highlight w:val="none"/>
          <w:lang w:val="en-US" w:eastAsia="zh-CN" w:bidi="ar-SA"/>
        </w:rPr>
        <w:t>10.7</w:t>
      </w:r>
      <w:r>
        <w:rPr>
          <w:rFonts w:hint="eastAsia" w:ascii="Times New Roman" w:hAnsi="Times New Roman" w:eastAsia="仿宋_GB2312" w:cs="仿宋_GB2312"/>
          <w:color w:val="auto"/>
          <w:kern w:val="2"/>
          <w:sz w:val="32"/>
          <w:szCs w:val="32"/>
          <w:highlight w:val="none"/>
          <w:lang w:val="en-US" w:eastAsia="zh-CN" w:bidi="ar-SA"/>
        </w:rPr>
        <w:t>%；</w:t>
      </w:r>
      <w:r>
        <w:rPr>
          <w:rFonts w:ascii="Times New Roman" w:hAnsi="Times New Roman" w:eastAsia="仿宋_GB2312" w:cs="仿宋_GB2312"/>
          <w:color w:val="auto"/>
          <w:kern w:val="2"/>
          <w:sz w:val="32"/>
          <w:szCs w:val="32"/>
          <w:highlight w:val="none"/>
          <w:lang w:val="en-US" w:eastAsia="zh-CN" w:bidi="ar-SA"/>
        </w:rPr>
        <w:t>农林水</w:t>
      </w:r>
      <w:r>
        <w:rPr>
          <w:rFonts w:hint="eastAsia" w:ascii="Times New Roman" w:hAnsi="Times New Roman" w:eastAsia="仿宋_GB2312" w:cs="仿宋_GB2312"/>
          <w:color w:val="auto"/>
          <w:kern w:val="2"/>
          <w:sz w:val="32"/>
          <w:szCs w:val="32"/>
          <w:highlight w:val="none"/>
          <w:lang w:val="en-US" w:eastAsia="zh-CN" w:bidi="ar-SA"/>
        </w:rPr>
        <w:t>支出</w:t>
      </w:r>
      <w:r>
        <w:rPr>
          <w:rFonts w:ascii="Times New Roman" w:hAnsi="Times New Roman" w:eastAsia="仿宋_GB2312" w:cs="仿宋_GB2312"/>
          <w:color w:val="auto"/>
          <w:kern w:val="2"/>
          <w:sz w:val="32"/>
          <w:szCs w:val="32"/>
          <w:highlight w:val="none"/>
          <w:lang w:val="en-US" w:eastAsia="zh-CN" w:bidi="ar-SA"/>
        </w:rPr>
        <w:t>18.66</w:t>
      </w:r>
      <w:r>
        <w:rPr>
          <w:rFonts w:hint="eastAsia" w:ascii="Times New Roman" w:hAnsi="Times New Roman" w:eastAsia="仿宋_GB2312" w:cs="仿宋_GB2312"/>
          <w:color w:val="auto"/>
          <w:kern w:val="2"/>
          <w:sz w:val="32"/>
          <w:szCs w:val="32"/>
          <w:highlight w:val="none"/>
          <w:lang w:val="en-US" w:eastAsia="zh-CN" w:bidi="ar-SA"/>
        </w:rPr>
        <w:t>万元，占</w:t>
      </w:r>
      <w:r>
        <w:rPr>
          <w:rFonts w:ascii="Times New Roman" w:hAnsi="Times New Roman" w:eastAsia="仿宋_GB2312" w:cs="仿宋_GB2312"/>
          <w:color w:val="auto"/>
          <w:kern w:val="2"/>
          <w:sz w:val="32"/>
          <w:szCs w:val="32"/>
          <w:highlight w:val="none"/>
          <w:lang w:val="en-US" w:eastAsia="zh-CN" w:bidi="ar-SA"/>
        </w:rPr>
        <w:t>0.2</w:t>
      </w:r>
      <w:r>
        <w:rPr>
          <w:rFonts w:hint="eastAsia" w:ascii="Times New Roman" w:hAnsi="Times New Roman" w:eastAsia="仿宋_GB2312" w:cs="仿宋_GB2312"/>
          <w:color w:val="auto"/>
          <w:kern w:val="2"/>
          <w:sz w:val="32"/>
          <w:szCs w:val="32"/>
          <w:highlight w:val="none"/>
          <w:lang w:val="en-US" w:eastAsia="zh-CN" w:bidi="ar-SA"/>
        </w:rPr>
        <w:t>%；</w:t>
      </w:r>
      <w:r>
        <w:rPr>
          <w:rFonts w:ascii="Times New Roman" w:hAnsi="Times New Roman" w:eastAsia="仿宋_GB2312" w:cs="仿宋_GB2312"/>
          <w:color w:val="auto"/>
          <w:kern w:val="2"/>
          <w:sz w:val="32"/>
          <w:szCs w:val="32"/>
          <w:highlight w:val="none"/>
          <w:lang w:val="en-US" w:eastAsia="zh-CN" w:bidi="ar-SA"/>
        </w:rPr>
        <w:t>灾害防治及应急管理</w:t>
      </w:r>
      <w:r>
        <w:rPr>
          <w:rFonts w:hint="eastAsia" w:ascii="Times New Roman" w:hAnsi="Times New Roman" w:eastAsia="仿宋_GB2312" w:cs="仿宋_GB2312"/>
          <w:color w:val="auto"/>
          <w:kern w:val="2"/>
          <w:sz w:val="32"/>
          <w:szCs w:val="32"/>
          <w:highlight w:val="none"/>
          <w:lang w:val="en-US" w:eastAsia="zh-CN" w:bidi="ar-SA"/>
        </w:rPr>
        <w:t>支出</w:t>
      </w:r>
      <w:r>
        <w:rPr>
          <w:rFonts w:ascii="Times New Roman" w:hAnsi="Times New Roman" w:eastAsia="仿宋_GB2312" w:cs="仿宋_GB2312"/>
          <w:color w:val="auto"/>
          <w:kern w:val="2"/>
          <w:sz w:val="32"/>
          <w:szCs w:val="32"/>
          <w:highlight w:val="none"/>
          <w:lang w:val="en-US" w:eastAsia="zh-CN" w:bidi="ar-SA"/>
        </w:rPr>
        <w:t>7721.55</w:t>
      </w:r>
      <w:r>
        <w:rPr>
          <w:rFonts w:hint="eastAsia" w:ascii="Times New Roman" w:hAnsi="Times New Roman" w:eastAsia="仿宋_GB2312" w:cs="仿宋_GB2312"/>
          <w:color w:val="auto"/>
          <w:kern w:val="2"/>
          <w:sz w:val="32"/>
          <w:szCs w:val="32"/>
          <w:highlight w:val="none"/>
          <w:lang w:val="en-US" w:eastAsia="zh-CN" w:bidi="ar-SA"/>
        </w:rPr>
        <w:t>万元，占</w:t>
      </w:r>
      <w:r>
        <w:rPr>
          <w:rFonts w:ascii="Times New Roman" w:hAnsi="Times New Roman" w:eastAsia="仿宋_GB2312" w:cs="仿宋_GB2312"/>
          <w:color w:val="auto"/>
          <w:kern w:val="2"/>
          <w:sz w:val="32"/>
          <w:szCs w:val="32"/>
          <w:highlight w:val="none"/>
          <w:lang w:val="en-US" w:eastAsia="zh-CN" w:bidi="ar-SA"/>
        </w:rPr>
        <w:t>86.13</w:t>
      </w:r>
      <w:r>
        <w:rPr>
          <w:rFonts w:hint="eastAsia" w:ascii="Times New Roman" w:hAnsi="Times New Roman" w:eastAsia="仿宋_GB2312" w:cs="仿宋_GB2312"/>
          <w:color w:val="auto"/>
          <w:kern w:val="2"/>
          <w:sz w:val="32"/>
          <w:szCs w:val="32"/>
          <w:highlight w:val="none"/>
          <w:lang w:val="en-US" w:eastAsia="zh-CN" w:bidi="ar-SA"/>
        </w:rPr>
        <w:t>%；社会保障和就业支出</w:t>
      </w:r>
      <w:r>
        <w:rPr>
          <w:rFonts w:ascii="Times New Roman" w:hAnsi="Times New Roman" w:eastAsia="仿宋_GB2312" w:cs="仿宋_GB2312"/>
          <w:color w:val="auto"/>
          <w:kern w:val="2"/>
          <w:sz w:val="32"/>
          <w:szCs w:val="32"/>
          <w:highlight w:val="none"/>
          <w:lang w:val="en-US" w:eastAsia="zh-CN" w:bidi="ar-SA"/>
        </w:rPr>
        <w:t>136</w:t>
      </w:r>
      <w:r>
        <w:rPr>
          <w:rFonts w:hint="eastAsia" w:ascii="Times New Roman" w:hAnsi="Times New Roman" w:eastAsia="仿宋_GB2312" w:cs="仿宋_GB2312"/>
          <w:color w:val="auto"/>
          <w:kern w:val="2"/>
          <w:sz w:val="32"/>
          <w:szCs w:val="32"/>
          <w:highlight w:val="none"/>
          <w:lang w:val="en-US" w:eastAsia="zh-CN" w:bidi="ar-SA"/>
        </w:rPr>
        <w:t>万元，占</w:t>
      </w:r>
      <w:r>
        <w:rPr>
          <w:rFonts w:ascii="Times New Roman" w:hAnsi="Times New Roman" w:eastAsia="仿宋_GB2312" w:cs="仿宋_GB2312"/>
          <w:color w:val="auto"/>
          <w:kern w:val="2"/>
          <w:sz w:val="32"/>
          <w:szCs w:val="32"/>
          <w:highlight w:val="none"/>
          <w:lang w:val="en-US" w:eastAsia="zh-CN" w:bidi="ar-SA"/>
        </w:rPr>
        <w:t>1.5</w:t>
      </w:r>
      <w:r>
        <w:rPr>
          <w:rFonts w:hint="eastAsia" w:ascii="Times New Roman" w:hAnsi="Times New Roman" w:eastAsia="仿宋_GB2312" w:cs="仿宋_GB2312"/>
          <w:color w:val="auto"/>
          <w:kern w:val="2"/>
          <w:sz w:val="32"/>
          <w:szCs w:val="32"/>
          <w:highlight w:val="none"/>
          <w:lang w:val="en-US" w:eastAsia="zh-CN" w:bidi="ar-SA"/>
        </w:rPr>
        <w:t>%；卫生健康支出</w:t>
      </w:r>
      <w:r>
        <w:rPr>
          <w:rFonts w:ascii="Times New Roman" w:hAnsi="Times New Roman" w:eastAsia="仿宋_GB2312" w:cs="仿宋_GB2312"/>
          <w:color w:val="auto"/>
          <w:kern w:val="2"/>
          <w:sz w:val="32"/>
          <w:szCs w:val="32"/>
          <w:highlight w:val="none"/>
          <w:lang w:val="en-US" w:eastAsia="zh-CN" w:bidi="ar-SA"/>
        </w:rPr>
        <w:t>56</w:t>
      </w:r>
      <w:r>
        <w:rPr>
          <w:rFonts w:hint="eastAsia" w:ascii="Times New Roman" w:hAnsi="Times New Roman" w:eastAsia="仿宋_GB2312" w:cs="仿宋_GB2312"/>
          <w:color w:val="auto"/>
          <w:kern w:val="2"/>
          <w:sz w:val="32"/>
          <w:szCs w:val="32"/>
          <w:highlight w:val="none"/>
          <w:lang w:val="en-US" w:eastAsia="zh-CN" w:bidi="ar-SA"/>
        </w:rPr>
        <w:t>万元，占</w:t>
      </w:r>
      <w:r>
        <w:rPr>
          <w:rFonts w:ascii="Times New Roman" w:hAnsi="Times New Roman" w:eastAsia="仿宋_GB2312" w:cs="仿宋_GB2312"/>
          <w:color w:val="auto"/>
          <w:kern w:val="2"/>
          <w:sz w:val="32"/>
          <w:szCs w:val="32"/>
          <w:highlight w:val="none"/>
          <w:lang w:val="en-US" w:eastAsia="zh-CN" w:bidi="ar-SA"/>
        </w:rPr>
        <w:t>0.6</w:t>
      </w:r>
      <w:r>
        <w:rPr>
          <w:rFonts w:hint="eastAsia" w:ascii="Times New Roman" w:hAnsi="Times New Roman" w:eastAsia="仿宋_GB2312" w:cs="仿宋_GB2312"/>
          <w:color w:val="auto"/>
          <w:kern w:val="2"/>
          <w:sz w:val="32"/>
          <w:szCs w:val="32"/>
          <w:highlight w:val="none"/>
          <w:lang w:val="en-US" w:eastAsia="zh-CN" w:bidi="ar-SA"/>
        </w:rPr>
        <w:t>%；住房保障支出</w:t>
      </w:r>
      <w:r>
        <w:rPr>
          <w:rFonts w:ascii="Times New Roman" w:hAnsi="Times New Roman" w:eastAsia="仿宋_GB2312" w:cs="仿宋_GB2312"/>
          <w:color w:val="auto"/>
          <w:kern w:val="2"/>
          <w:sz w:val="32"/>
          <w:szCs w:val="32"/>
          <w:highlight w:val="none"/>
          <w:lang w:val="en-US" w:eastAsia="zh-CN" w:bidi="ar-SA"/>
        </w:rPr>
        <w:t>73</w:t>
      </w:r>
      <w:r>
        <w:rPr>
          <w:rFonts w:hint="eastAsia" w:ascii="Times New Roman" w:hAnsi="Times New Roman" w:eastAsia="仿宋_GB2312" w:cs="仿宋_GB2312"/>
          <w:color w:val="auto"/>
          <w:kern w:val="2"/>
          <w:sz w:val="32"/>
          <w:szCs w:val="32"/>
          <w:highlight w:val="none"/>
          <w:lang w:val="en-US" w:eastAsia="zh-CN" w:bidi="ar-SA"/>
        </w:rPr>
        <w:t>万元，占</w:t>
      </w:r>
      <w:r>
        <w:rPr>
          <w:rFonts w:ascii="Times New Roman" w:hAnsi="Times New Roman" w:eastAsia="仿宋_GB2312" w:cs="仿宋_GB2312"/>
          <w:color w:val="auto"/>
          <w:kern w:val="2"/>
          <w:sz w:val="32"/>
          <w:szCs w:val="32"/>
          <w:highlight w:val="none"/>
          <w:lang w:val="en-US" w:eastAsia="zh-CN" w:bidi="ar-SA"/>
        </w:rPr>
        <w:t>0.87</w:t>
      </w:r>
      <w:r>
        <w:rPr>
          <w:rFonts w:hint="eastAsia" w:ascii="Times New Roman" w:hAnsi="Times New Roman" w:eastAsia="仿宋_GB2312" w:cs="仿宋_GB2312"/>
          <w:color w:val="auto"/>
          <w:kern w:val="2"/>
          <w:sz w:val="32"/>
          <w:szCs w:val="32"/>
          <w:highlight w:val="none"/>
          <w:lang w:val="en-US" w:eastAsia="zh-CN" w:bidi="ar-SA"/>
        </w:rPr>
        <w:t>%；</w:t>
      </w:r>
    </w:p>
    <w:p w14:paraId="7E368C13">
      <w:pPr>
        <w:pStyle w:val="3"/>
      </w:pPr>
      <w:r>
        <w:drawing>
          <wp:inline distT="0" distB="0" distL="85090" distR="85090">
            <wp:extent cx="4126865" cy="3190240"/>
            <wp:effectExtent l="0" t="0" r="25" b="0"/>
            <wp:docPr id="16"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pic:cNvPicPr>
                      <a:picLocks noChangeAspect="1"/>
                    </pic:cNvPicPr>
                  </pic:nvPicPr>
                  <pic:blipFill>
                    <a:blip r:embed="rId14"/>
                    <a:stretch>
                      <a:fillRect/>
                    </a:stretch>
                  </pic:blipFill>
                  <pic:spPr>
                    <a:xfrm>
                      <a:off x="0" y="0"/>
                      <a:ext cx="4127430" cy="3190826"/>
                    </a:xfrm>
                    <a:prstGeom prst="rect">
                      <a:avLst/>
                    </a:prstGeom>
                    <a:noFill/>
                    <a:ln w="9525" cap="flat" cmpd="sng">
                      <a:noFill/>
                      <a:prstDash val="solid"/>
                      <a:miter/>
                    </a:ln>
                  </pic:spPr>
                </pic:pic>
              </a:graphicData>
            </a:graphic>
          </wp:inline>
        </w:drawing>
      </w:r>
    </w:p>
    <w:p w14:paraId="7DFC787E">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4" w:name="_Toc88884163"/>
      <w:bookmarkStart w:id="45"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44"/>
      <w:bookmarkEnd w:id="45"/>
    </w:p>
    <w:p w14:paraId="65DAAB0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46" w:name="_Toc15377213"/>
      <w:bookmarkStart w:id="47" w:name="_Toc15378460"/>
      <w:bookmarkStart w:id="48" w:name="_Toc15377444"/>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_GB2312" w:eastAsia="仿宋_GB2312" w:cs="仿宋_GB2312"/>
          <w:sz w:val="32"/>
          <w:szCs w:val="32"/>
        </w:rPr>
        <w:t>8965.31</w:t>
      </w:r>
      <w:r>
        <w:rPr>
          <w:rFonts w:hint="eastAsia" w:asci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w:t>
      </w:r>
      <w:r>
        <w:rPr>
          <w:rFonts w:ascii="Times New Roman" w:hAnsi="Times New Roman"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%。其中：</w:t>
      </w:r>
      <w:bookmarkEnd w:id="46"/>
      <w:bookmarkEnd w:id="47"/>
      <w:bookmarkEnd w:id="48"/>
    </w:p>
    <w:p w14:paraId="6DA0CE11">
      <w:pPr>
        <w:spacing w:line="600" w:lineRule="exact"/>
        <w:ind w:firstLine="640"/>
        <w:rPr>
          <w:rFonts w:hint="eastAsia" w:eastAsia="仿宋_GB2312" w:cs="仿宋_GB2312"/>
          <w:sz w:val="32"/>
          <w:szCs w:val="32"/>
          <w:highlight w:val="none"/>
          <w:lang w:val="en-US" w:eastAsia="zh-CN" w:bidi="ar-SA"/>
        </w:rPr>
      </w:pPr>
      <w:r>
        <w:rPr>
          <w:rFonts w:eastAsia="仿宋_GB2312" w:cs="仿宋_GB2312"/>
          <w:bCs/>
          <w:sz w:val="32"/>
          <w:szCs w:val="32"/>
        </w:rPr>
        <w:t>1.</w:t>
      </w:r>
      <w:r>
        <w:rPr>
          <w:rFonts w:hint="eastAsia" w:eastAsia="仿宋_GB2312" w:cs="仿宋_GB2312"/>
          <w:bCs/>
          <w:sz w:val="32"/>
          <w:szCs w:val="32"/>
        </w:rPr>
        <w:t>自然海洋气象支出（220）自然资源事务（01）行政运行（01）、自然海洋气象支出（220）自然资源事务（01）自然</w:t>
      </w:r>
      <w:bookmarkStart w:id="122" w:name="_GoBack"/>
      <w:bookmarkEnd w:id="122"/>
      <w:r>
        <w:rPr>
          <w:rFonts w:hint="eastAsia" w:eastAsia="仿宋_GB2312" w:cs="仿宋_GB2312"/>
          <w:bCs/>
          <w:sz w:val="32"/>
          <w:szCs w:val="32"/>
        </w:rPr>
        <w:t>资源规划及管理（04）、自然海洋气象支出（220）自然资源事务（01）事业运行（50）、自然海洋气象支出（220）自然资源事务（01）其他自然资源事务支出（99）：</w:t>
      </w:r>
      <w:r>
        <w:rPr>
          <w:rFonts w:hint="eastAsia" w:eastAsia="仿宋_GB2312" w:cs="仿宋_GB2312"/>
          <w:sz w:val="32"/>
          <w:szCs w:val="32"/>
          <w:highlight w:val="none"/>
          <w:lang w:val="en-US" w:eastAsia="zh-CN" w:bidi="ar-SA"/>
        </w:rPr>
        <w:t>支出960.1万元，完成预算100%。</w:t>
      </w:r>
    </w:p>
    <w:p w14:paraId="676DF6DE">
      <w:pPr>
        <w:spacing w:line="600" w:lineRule="exact"/>
        <w:ind w:firstLine="640"/>
        <w:rPr>
          <w:rFonts w:hint="eastAsia" w:eastAsia="仿宋_GB2312" w:cs="仿宋_GB2312"/>
          <w:sz w:val="32"/>
          <w:szCs w:val="32"/>
          <w:highlight w:val="none"/>
          <w:lang w:val="en-US" w:eastAsia="zh-CN" w:bidi="ar-SA"/>
        </w:rPr>
      </w:pPr>
      <w:r>
        <w:rPr>
          <w:rFonts w:hint="eastAsia" w:eastAsia="仿宋_GB2312" w:cs="仿宋_GB2312"/>
          <w:bCs/>
          <w:sz w:val="32"/>
          <w:szCs w:val="32"/>
          <w:highlight w:val="none"/>
          <w:lang w:val="en-US" w:eastAsia="zh-CN" w:bidi="ar-SA"/>
        </w:rPr>
        <w:t>2.农林水支出</w:t>
      </w:r>
      <w:r>
        <w:rPr>
          <w:rFonts w:eastAsia="仿宋_GB2312" w:cs="仿宋_GB2312"/>
          <w:bCs/>
          <w:sz w:val="32"/>
          <w:szCs w:val="32"/>
          <w:highlight w:val="none"/>
          <w:lang w:val="en-US" w:eastAsia="zh-CN" w:bidi="ar-SA"/>
        </w:rPr>
        <w:t>（213）巩固脱贫攻坚成果衔接乡村振兴（05）其他巩固脱贫攻坚成果衔接乡村振兴支出</w:t>
      </w:r>
      <w:r>
        <w:rPr>
          <w:rFonts w:hint="eastAsia" w:eastAsia="仿宋_GB2312" w:cs="仿宋_GB2312"/>
          <w:bCs/>
          <w:sz w:val="32"/>
          <w:szCs w:val="32"/>
          <w:highlight w:val="none"/>
          <w:lang w:val="en-US" w:eastAsia="zh-CN" w:bidi="ar-SA"/>
        </w:rPr>
        <w:t>18.66万元，完成预算100%。</w:t>
      </w:r>
    </w:p>
    <w:p w14:paraId="0E60611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sz w:val="32"/>
          <w:szCs w:val="32"/>
          <w:highlight w:val="none"/>
        </w:rPr>
        <w:t>3.</w:t>
      </w:r>
      <w:r>
        <w:rPr>
          <w:rFonts w:hint="eastAsia" w:eastAsia="仿宋_GB2312" w:cs="仿宋_GB2312"/>
          <w:bCs/>
          <w:sz w:val="32"/>
          <w:szCs w:val="32"/>
        </w:rPr>
        <w:t>灾害防治及应急管理支出（224）自然灾害防治（06）地质灾害防治（01）、灾害防治及应急管理支出（224）自然灾害防治（06）其他自然灾害防治支出（99）：</w:t>
      </w:r>
      <w:r>
        <w:rPr>
          <w:rFonts w:hint="eastAsia" w:eastAsia="仿宋_GB2312" w:cs="仿宋_GB2312"/>
          <w:sz w:val="32"/>
          <w:szCs w:val="32"/>
          <w:highlight w:val="none"/>
        </w:rPr>
        <w:t>支出7721.5</w:t>
      </w:r>
      <w:r>
        <w:rPr>
          <w:rFonts w:ascii="Times New Roman" w:hAnsi="Times New Roman"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万元，完成预算</w:t>
      </w:r>
      <w:r>
        <w:rPr>
          <w:rFonts w:ascii="Times New Roman" w:hAnsi="Times New Roman"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ascii="Times New Roman" w:hAnsi="Times New Roman" w:eastAsia="仿宋_GB2312" w:cs="仿宋_GB2312"/>
          <w:color w:val="auto"/>
          <w:kern w:val="2"/>
          <w:sz w:val="32"/>
          <w:szCs w:val="32"/>
          <w:highlight w:val="none"/>
          <w:lang w:val="en-US" w:eastAsia="zh-CN" w:bidi="ar-SA"/>
        </w:rPr>
        <w:t>。</w:t>
      </w:r>
    </w:p>
    <w:p w14:paraId="0A13584E">
      <w:pPr>
        <w:spacing w:line="600" w:lineRule="exact"/>
        <w:ind w:firstLine="640"/>
        <w:rPr>
          <w:rFonts w:hint="eastAsia" w:eastAsia="仿宋_GB2312" w:cs="仿宋_GB2312"/>
          <w:sz w:val="32"/>
          <w:szCs w:val="32"/>
          <w:highlight w:val="none"/>
          <w:lang w:val="en-US" w:eastAsia="zh-CN" w:bidi="ar-SA"/>
        </w:rPr>
      </w:pPr>
      <w:r>
        <w:rPr>
          <w:rFonts w:hint="eastAsia" w:eastAsia="仿宋_GB2312" w:cs="仿宋_GB2312"/>
          <w:sz w:val="32"/>
          <w:szCs w:val="32"/>
          <w:highlight w:val="none"/>
          <w:lang w:val="en-US" w:eastAsia="zh-CN" w:bidi="ar-SA"/>
        </w:rPr>
        <w:t>4.</w:t>
      </w:r>
      <w:r>
        <w:rPr>
          <w:rFonts w:hint="eastAsia" w:eastAsia="仿宋_GB2312" w:cs="仿宋_GB2312"/>
          <w:bCs/>
          <w:sz w:val="32"/>
          <w:szCs w:val="32"/>
          <w:lang w:bidi="ar-SA"/>
        </w:rPr>
        <w:t xml:space="preserve">社会保障和就业（208）行政事业单位养老支出（05）机关事业单位基本养老保险缴费支出（05）、社会保障和就业（208）行政事业单位养老支出（05）机关事业单位职业年金缴费支出（06）: </w:t>
      </w:r>
      <w:r>
        <w:rPr>
          <w:rFonts w:hint="eastAsia" w:eastAsia="仿宋_GB2312" w:cs="仿宋_GB2312"/>
          <w:sz w:val="32"/>
          <w:szCs w:val="32"/>
          <w:highlight w:val="none"/>
          <w:lang w:val="en-US" w:eastAsia="zh-CN" w:bidi="ar-SA"/>
        </w:rPr>
        <w:t>支出136万元，完成预算100%。</w:t>
      </w:r>
    </w:p>
    <w:p w14:paraId="47FD1398">
      <w:pPr>
        <w:spacing w:line="600" w:lineRule="exact"/>
        <w:ind w:firstLine="640"/>
        <w:rPr>
          <w:rFonts w:hint="eastAsia" w:eastAsia="仿宋_GB2312" w:cs="仿宋_GB2312"/>
          <w:sz w:val="32"/>
          <w:szCs w:val="32"/>
          <w:highlight w:val="none"/>
          <w:lang w:val="en-US" w:eastAsia="zh-CN" w:bidi="ar-SA"/>
        </w:rPr>
      </w:pPr>
      <w:r>
        <w:rPr>
          <w:rFonts w:hint="eastAsia" w:eastAsia="仿宋_GB2312" w:cs="仿宋_GB2312"/>
          <w:sz w:val="32"/>
          <w:szCs w:val="32"/>
          <w:highlight w:val="none"/>
          <w:lang w:val="en-US" w:eastAsia="zh-CN" w:bidi="ar-SA"/>
        </w:rPr>
        <w:t>5.</w:t>
      </w:r>
      <w:r>
        <w:rPr>
          <w:rFonts w:hint="eastAsia" w:eastAsia="仿宋_GB2312" w:cs="仿宋_GB2312"/>
          <w:bCs/>
          <w:sz w:val="32"/>
          <w:szCs w:val="32"/>
          <w:lang w:bidi="ar-SA"/>
        </w:rPr>
        <w:t>住房保障支出（221）住房改革支出（02）住房公积金（01）：</w:t>
      </w:r>
      <w:r>
        <w:rPr>
          <w:rFonts w:hint="eastAsia" w:eastAsia="仿宋_GB2312" w:cs="仿宋_GB2312"/>
          <w:sz w:val="32"/>
          <w:szCs w:val="32"/>
          <w:highlight w:val="none"/>
          <w:lang w:val="en-US" w:eastAsia="zh-CN" w:bidi="ar-SA"/>
        </w:rPr>
        <w:t>支出73万元，完成预算100%。</w:t>
      </w:r>
    </w:p>
    <w:p w14:paraId="5C8A6DCE">
      <w:pPr>
        <w:spacing w:line="600" w:lineRule="exact"/>
        <w:ind w:firstLine="640"/>
        <w:rPr>
          <w:rFonts w:hint="eastAsia" w:eastAsia="仿宋_GB2312" w:cs="仿宋_GB2312"/>
          <w:sz w:val="32"/>
          <w:szCs w:val="32"/>
        </w:rPr>
      </w:pPr>
      <w:r>
        <w:rPr>
          <w:rFonts w:hint="eastAsia" w:eastAsia="仿宋_GB2312" w:cs="仿宋_GB2312"/>
          <w:sz w:val="32"/>
          <w:szCs w:val="32"/>
          <w:highlight w:val="none"/>
          <w:lang w:val="en-US" w:eastAsia="zh-CN" w:bidi="ar-SA"/>
        </w:rPr>
        <w:t>6.</w:t>
      </w:r>
      <w:r>
        <w:rPr>
          <w:rFonts w:hint="eastAsia" w:eastAsia="仿宋_GB2312" w:cs="仿宋_GB2312"/>
          <w:bCs/>
          <w:sz w:val="32"/>
          <w:szCs w:val="32"/>
          <w:lang w:bidi="ar-SA"/>
        </w:rPr>
        <w:t>卫生健康支出（210）行政事业单位医疗（11）行政单位医疗（01）、卫生健康支出（210）行政事业单位医疗（11）事业单位医疗（02）、卫生健康支出（210）行政事业单位医疗（11）公务员医疗（03）卫生健康支出（210）行政事业单位医疗（11）其他行政事业单位医疗支出（99）：</w:t>
      </w:r>
      <w:r>
        <w:rPr>
          <w:rFonts w:hint="eastAsia" w:eastAsia="仿宋_GB2312" w:cs="仿宋_GB2312"/>
          <w:sz w:val="32"/>
          <w:szCs w:val="32"/>
          <w:highlight w:val="none"/>
          <w:lang w:val="en-US" w:eastAsia="zh-CN" w:bidi="ar-SA"/>
        </w:rPr>
        <w:t>支出56万元，完成预算100%。</w:t>
      </w:r>
    </w:p>
    <w:p w14:paraId="0D41459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562F5DBD">
      <w:pPr>
        <w:tabs>
          <w:tab w:val="right" w:pos="8306"/>
        </w:tabs>
        <w:spacing w:line="600" w:lineRule="exact"/>
        <w:ind w:firstLine="640"/>
        <w:outlineLvl w:val="1"/>
        <w:rPr>
          <w:rStyle w:val="29"/>
          <w:rFonts w:ascii="Times New Roman" w:hAnsi="Times New Roman"/>
          <w:color w:val="auto"/>
          <w:highlight w:val="none"/>
        </w:rPr>
      </w:pPr>
      <w:bookmarkStart w:id="49" w:name="_Toc15396608"/>
      <w:bookmarkStart w:id="50" w:name="_Toc15377214"/>
      <w:bookmarkStart w:id="51" w:name="_Toc88884164"/>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29"/>
          <w:rFonts w:hint="eastAsia" w:ascii="Times New Roman" w:hAnsi="Times New Roman" w:eastAsia="黑体"/>
          <w:b w:val="0"/>
          <w:color w:val="auto"/>
          <w:highlight w:val="none"/>
        </w:rPr>
        <w:t>般公共预算财政拨款基本支出决算情况说明</w:t>
      </w:r>
      <w:bookmarkEnd w:id="49"/>
      <w:bookmarkEnd w:id="50"/>
      <w:r>
        <w:rPr>
          <w:rStyle w:val="29"/>
          <w:rFonts w:ascii="Times New Roman" w:hAnsi="Times New Roman" w:eastAsia="黑体"/>
          <w:b w:val="0"/>
          <w:color w:val="auto"/>
          <w:highlight w:val="none"/>
        </w:rPr>
        <w:tab/>
      </w:r>
      <w:bookmarkEnd w:id="51"/>
    </w:p>
    <w:p w14:paraId="6646B74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eastAsia="仿宋_GB2312" w:cs="仿宋_GB2312"/>
          <w:sz w:val="32"/>
          <w:szCs w:val="32"/>
        </w:rPr>
        <w:t>1016.88</w:t>
      </w:r>
      <w:r>
        <w:rPr>
          <w:rFonts w:hint="eastAsia" w:asci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14:paraId="62FB222A">
      <w:pPr>
        <w:spacing w:line="600" w:lineRule="exact"/>
        <w:ind w:firstLine="640"/>
        <w:rPr>
          <w:rFonts w:hint="eastAsia" w:eastAsia="仿宋_GB2312" w:cs="仿宋_GB2312"/>
          <w:sz w:val="32"/>
          <w:szCs w:val="32"/>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eastAsia="仿宋_GB2312" w:cs="仿宋_GB2312"/>
          <w:sz w:val="32"/>
          <w:szCs w:val="32"/>
        </w:rPr>
        <w:t>940.62</w:t>
      </w:r>
      <w:r>
        <w:rPr>
          <w:rFonts w:hint="eastAsia" w:asci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eastAsia="仿宋_GB2312" w:cs="仿宋_GB2312"/>
          <w:sz w:val="32"/>
          <w:szCs w:val="32"/>
        </w:rPr>
        <w:t>76.26</w:t>
      </w:r>
      <w:r>
        <w:rPr>
          <w:rFonts w:hint="eastAsia" w:asci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4D60083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6C61EFEE">
      <w:pPr>
        <w:spacing w:line="600" w:lineRule="exact"/>
        <w:ind w:firstLine="640"/>
        <w:outlineLvl w:val="1"/>
        <w:rPr>
          <w:rStyle w:val="29"/>
          <w:rFonts w:ascii="Times New Roman" w:hAnsi="Times New Roman" w:eastAsia="黑体"/>
          <w:b w:val="0"/>
          <w:color w:val="auto"/>
          <w:highlight w:val="none"/>
        </w:rPr>
      </w:pPr>
      <w:bookmarkStart w:id="52" w:name="_Toc88884165"/>
      <w:bookmarkStart w:id="53" w:name="_Toc15377215"/>
      <w:bookmarkStart w:id="54" w:name="_Toc15396609"/>
      <w:r>
        <w:rPr>
          <w:rFonts w:hint="eastAsia" w:ascii="Times New Roman" w:hAnsi="Times New Roman" w:eastAsia="黑体"/>
          <w:color w:val="auto"/>
          <w:sz w:val="32"/>
          <w:szCs w:val="32"/>
          <w:highlight w:val="none"/>
        </w:rPr>
        <w:t>七、</w:t>
      </w:r>
      <w:r>
        <w:rPr>
          <w:rStyle w:val="29"/>
          <w:rFonts w:hint="eastAsia" w:ascii="Times New Roman" w:hAnsi="Times New Roman" w:eastAsia="黑体"/>
          <w:b w:val="0"/>
          <w:color w:val="auto"/>
          <w:highlight w:val="none"/>
        </w:rPr>
        <w:t>财政拨款</w:t>
      </w:r>
      <w:r>
        <w:rPr>
          <w:rStyle w:val="29"/>
          <w:rFonts w:hint="eastAsia" w:ascii="Times New Roman" w:hAnsi="Times New Roman" w:eastAsia="黑体"/>
          <w:color w:val="auto"/>
          <w:highlight w:val="none"/>
        </w:rPr>
        <w:t>“</w:t>
      </w:r>
      <w:r>
        <w:rPr>
          <w:rStyle w:val="29"/>
          <w:rFonts w:hint="eastAsia" w:ascii="Times New Roman" w:hAnsi="Times New Roman" w:eastAsia="黑体"/>
          <w:b w:val="0"/>
          <w:color w:val="auto"/>
          <w:highlight w:val="none"/>
        </w:rPr>
        <w:t>三公”经费支出决算情况说明</w:t>
      </w:r>
      <w:bookmarkEnd w:id="52"/>
      <w:bookmarkEnd w:id="53"/>
      <w:bookmarkEnd w:id="54"/>
    </w:p>
    <w:p w14:paraId="7C61A91A">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5" w:name="_Toc88884166"/>
      <w:bookmarkStart w:id="56"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55"/>
      <w:bookmarkEnd w:id="56"/>
    </w:p>
    <w:p w14:paraId="369B238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w:t>
      </w:r>
      <w:r>
        <w:rPr>
          <w:rFonts w:hint="eastAsia" w:ascii="仿宋_GB2312" w:eastAsia="仿宋_GB2312" w:cs="仿宋_GB2312"/>
          <w:sz w:val="32"/>
          <w:szCs w:val="32"/>
        </w:rPr>
        <w:t>9</w:t>
      </w:r>
      <w:r>
        <w:rPr>
          <w:rFonts w:hint="eastAsia" w:ascii="仿宋_GB2312" w:eastAsia="仿宋_GB2312" w:cs="仿宋_GB2312"/>
          <w:color w:val="auto"/>
          <w:kern w:val="2"/>
          <w:sz w:val="32"/>
          <w:szCs w:val="32"/>
          <w:highlight w:val="none"/>
          <w:lang w:val="en-US" w:eastAsia="zh-CN" w:bidi="ar-SA"/>
        </w:rPr>
        <w:t>万元，完成预算</w:t>
      </w:r>
      <w:r>
        <w:rPr>
          <w:rFonts w:hint="eastAsia" w:ascii="仿宋_GB2312" w:eastAsia="仿宋_GB2312" w:cs="仿宋_GB2312"/>
          <w:sz w:val="32"/>
          <w:szCs w:val="32"/>
        </w:rPr>
        <w:t>100</w:t>
      </w:r>
      <w:r>
        <w:rPr>
          <w:rFonts w:hint="eastAsia" w:asci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较上年度减少</w:t>
      </w:r>
      <w:r>
        <w:rPr>
          <w:rFonts w:ascii="Times New Roman" w:hAnsi="Times New Roman" w:eastAsia="仿宋_GB2312" w:cs="仿宋_GB2312"/>
          <w:color w:val="auto"/>
          <w:kern w:val="2"/>
          <w:sz w:val="32"/>
          <w:szCs w:val="32"/>
          <w:highlight w:val="none"/>
          <w:lang w:val="en-US" w:eastAsia="zh-CN" w:bidi="ar-SA"/>
        </w:rPr>
        <w:t>0.1</w:t>
      </w:r>
      <w:r>
        <w:rPr>
          <w:rFonts w:hint="eastAsia" w:ascii="Times New Roman" w:hAnsi="Times New Roman" w:eastAsia="仿宋_GB2312" w:cs="仿宋_GB2312"/>
          <w:color w:val="auto"/>
          <w:kern w:val="2"/>
          <w:sz w:val="32"/>
          <w:szCs w:val="32"/>
          <w:highlight w:val="none"/>
          <w:lang w:val="en-US" w:eastAsia="zh-CN" w:bidi="ar-SA"/>
        </w:rPr>
        <w:t>万元，下降</w:t>
      </w:r>
      <w:r>
        <w:rPr>
          <w:rFonts w:ascii="Times New Roman" w:hAnsi="Times New Roman" w:eastAsia="仿宋_GB2312" w:cs="仿宋_GB2312"/>
          <w:color w:val="auto"/>
          <w:kern w:val="2"/>
          <w:sz w:val="32"/>
          <w:szCs w:val="32"/>
          <w:highlight w:val="none"/>
          <w:lang w:val="en-US" w:eastAsia="zh-CN" w:bidi="ar-SA"/>
        </w:rPr>
        <w:t>1.1</w:t>
      </w:r>
      <w:r>
        <w:rPr>
          <w:rFonts w:hint="eastAsia" w:ascii="Times New Roman" w:hAnsi="Times New Roman" w:eastAsia="仿宋_GB2312" w:cs="仿宋_GB2312"/>
          <w:color w:val="auto"/>
          <w:kern w:val="2"/>
          <w:sz w:val="32"/>
          <w:szCs w:val="32"/>
          <w:highlight w:val="none"/>
          <w:lang w:val="en-US" w:eastAsia="zh-CN" w:bidi="ar-SA"/>
        </w:rPr>
        <w:t>%。</w:t>
      </w:r>
    </w:p>
    <w:p w14:paraId="0E3D749D">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p>
    <w:p w14:paraId="640349F9">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7" w:name="_Toc88884167"/>
      <w:bookmarkStart w:id="58"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57"/>
      <w:bookmarkEnd w:id="58"/>
    </w:p>
    <w:p w14:paraId="7B4A91EE">
      <w:pPr>
        <w:spacing w:line="600" w:lineRule="exact"/>
        <w:ind w:firstLine="640"/>
        <w:rPr>
          <w:rFonts w:hint="eastAsia" w:ascii="仿宋_GB2312" w:eastAsia="仿宋_GB2312" w:cs="仿宋_GB2312"/>
          <w:sz w:val="32"/>
          <w:szCs w:val="32"/>
        </w:rPr>
      </w:pPr>
      <w:r>
        <w:rPr>
          <w:rFonts w:hint="eastAsia" w:asci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万元，占</w:t>
      </w:r>
      <w:r>
        <w:rPr>
          <w:rFonts w:ascii="仿宋_GB2312" w:eastAsia="仿宋_GB2312" w:cs="仿宋_GB2312"/>
          <w:color w:val="auto"/>
          <w:kern w:val="2"/>
          <w:sz w:val="32"/>
          <w:szCs w:val="32"/>
          <w:highlight w:val="none"/>
          <w:lang w:val="en-US" w:eastAsia="zh-CN" w:bidi="ar-SA"/>
        </w:rPr>
        <w:t>0</w:t>
      </w:r>
      <w:r>
        <w:rPr>
          <w:rFonts w:hint="eastAsia" w:ascii="仿宋_GB2312" w:eastAsia="仿宋_GB2312" w:cs="仿宋_GB2312"/>
          <w:color w:val="auto"/>
          <w:kern w:val="2"/>
          <w:sz w:val="32"/>
          <w:szCs w:val="32"/>
          <w:highlight w:val="none"/>
          <w:lang w:val="en-US" w:eastAsia="zh-CN" w:bidi="ar-SA"/>
        </w:rPr>
        <w:t>%；公务用车购置及运行维护费支出决算</w:t>
      </w:r>
      <w:r>
        <w:rPr>
          <w:rFonts w:hint="eastAsia" w:ascii="仿宋_GB2312" w:eastAsia="仿宋_GB2312" w:cs="仿宋_GB2312"/>
          <w:sz w:val="32"/>
          <w:szCs w:val="32"/>
        </w:rPr>
        <w:t>9</w:t>
      </w:r>
      <w:r>
        <w:rPr>
          <w:rFonts w:hint="eastAsia" w:ascii="仿宋_GB2312" w:eastAsia="仿宋_GB2312" w:cs="仿宋_GB2312"/>
          <w:color w:val="auto"/>
          <w:kern w:val="2"/>
          <w:sz w:val="32"/>
          <w:szCs w:val="32"/>
          <w:highlight w:val="none"/>
          <w:lang w:val="en-US" w:eastAsia="zh-CN" w:bidi="ar-SA"/>
        </w:rPr>
        <w:t>万元，占</w:t>
      </w:r>
      <w:r>
        <w:rPr>
          <w:rFonts w:ascii="仿宋_GB2312" w:eastAsia="仿宋_GB2312" w:cs="仿宋_GB2312"/>
          <w:color w:val="auto"/>
          <w:kern w:val="2"/>
          <w:sz w:val="32"/>
          <w:szCs w:val="32"/>
          <w:highlight w:val="none"/>
          <w:lang w:val="en-US" w:eastAsia="zh-CN" w:bidi="ar-SA"/>
        </w:rPr>
        <w:t>100</w:t>
      </w:r>
      <w:r>
        <w:rPr>
          <w:rFonts w:hint="eastAsia" w:ascii="仿宋_GB2312" w:eastAsia="仿宋_GB2312" w:cs="仿宋_GB2312"/>
          <w:color w:val="auto"/>
          <w:kern w:val="2"/>
          <w:sz w:val="32"/>
          <w:szCs w:val="32"/>
          <w:highlight w:val="none"/>
          <w:lang w:val="en-US" w:eastAsia="zh-CN" w:bidi="ar-SA"/>
        </w:rPr>
        <w:t>%；公务接待费支出决算</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万元，占</w:t>
      </w:r>
      <w:r>
        <w:rPr>
          <w:rFonts w:ascii="仿宋_GB2312" w:eastAsia="仿宋_GB2312" w:cs="仿宋_GB2312"/>
          <w:color w:val="auto"/>
          <w:kern w:val="2"/>
          <w:sz w:val="32"/>
          <w:szCs w:val="32"/>
          <w:highlight w:val="none"/>
          <w:lang w:val="en-US" w:eastAsia="zh-CN" w:bidi="ar-SA"/>
        </w:rPr>
        <w:t>0</w:t>
      </w:r>
      <w:r>
        <w:rPr>
          <w:rFonts w:hint="eastAsia" w:ascii="仿宋_GB2312" w:eastAsia="仿宋_GB2312" w:cs="仿宋_GB2312"/>
          <w:color w:val="auto"/>
          <w:kern w:val="2"/>
          <w:sz w:val="32"/>
          <w:szCs w:val="32"/>
          <w:highlight w:val="none"/>
          <w:lang w:val="en-US" w:eastAsia="zh-CN" w:bidi="ar-SA"/>
        </w:rPr>
        <w:t>%。具体情况如下：</w:t>
      </w:r>
    </w:p>
    <w:p w14:paraId="4F2FD898">
      <w:pPr>
        <w:pStyle w:val="2"/>
      </w:pPr>
    </w:p>
    <w:p w14:paraId="5F22CB70">
      <w:pPr>
        <w:pStyle w:val="3"/>
      </w:pPr>
      <w:r>
        <w:drawing>
          <wp:inline distT="0" distB="0" distL="85090" distR="85090">
            <wp:extent cx="4571365" cy="2742565"/>
            <wp:effectExtent l="0" t="0" r="4" b="1"/>
            <wp:docPr id="19"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pic:cNvPicPr>
                      <a:picLocks noChangeAspect="1"/>
                    </pic:cNvPicPr>
                  </pic:nvPicPr>
                  <pic:blipFill>
                    <a:blip r:embed="rId15"/>
                    <a:stretch>
                      <a:fillRect/>
                    </a:stretch>
                  </pic:blipFill>
                  <pic:spPr>
                    <a:xfrm>
                      <a:off x="0" y="0"/>
                      <a:ext cx="4571926" cy="2743157"/>
                    </a:xfrm>
                    <a:prstGeom prst="rect">
                      <a:avLst/>
                    </a:prstGeom>
                    <a:noFill/>
                    <a:ln w="9525" cap="flat" cmpd="sng">
                      <a:noFill/>
                      <a:prstDash val="solid"/>
                      <a:miter/>
                    </a:ln>
                  </pic:spPr>
                </pic:pic>
              </a:graphicData>
            </a:graphic>
          </wp:inline>
        </w:drawing>
      </w:r>
    </w:p>
    <w:p w14:paraId="41071FBF">
      <w:pPr>
        <w:spacing w:line="600" w:lineRule="exact"/>
        <w:ind w:firstLine="640"/>
        <w:rPr>
          <w:rFonts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1.因公出国（境）经费支出</w:t>
      </w:r>
      <w:r>
        <w:rPr>
          <w:rFonts w:ascii="Times New Roman" w:hAnsi="Times New Roman"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万元，完成预算</w:t>
      </w:r>
      <w:r>
        <w:rPr>
          <w:rFonts w:ascii="Times New Roman" w:hAnsi="Times New Roman"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w:t>
      </w:r>
    </w:p>
    <w:p w14:paraId="54310CE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eastAsia="仿宋_GB2312" w:cs="仿宋_GB2312"/>
          <w:b/>
          <w:bCs/>
          <w:color w:val="auto"/>
          <w:kern w:val="2"/>
          <w:sz w:val="32"/>
          <w:szCs w:val="32"/>
          <w:highlight w:val="none"/>
          <w:lang w:val="en-US" w:eastAsia="zh-CN" w:bidi="ar-SA"/>
        </w:rPr>
        <w:t>9万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ascii="Times New Roman" w:hAnsi="Times New Roman"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公务用车购置及运行维护费支出决算比2023年度减少</w:t>
      </w:r>
      <w:r>
        <w:rPr>
          <w:rFonts w:ascii="Times New Roman" w:hAnsi="Times New Roman" w:eastAsia="仿宋_GB2312" w:cs="仿宋_GB2312"/>
          <w:color w:val="auto"/>
          <w:kern w:val="2"/>
          <w:sz w:val="32"/>
          <w:szCs w:val="32"/>
          <w:highlight w:val="none"/>
          <w:lang w:val="en-US" w:eastAsia="zh-CN" w:bidi="ar-SA"/>
        </w:rPr>
        <w:t>0.1</w:t>
      </w:r>
      <w:r>
        <w:rPr>
          <w:rFonts w:hint="eastAsia" w:ascii="Times New Roman" w:hAnsi="Times New Roman" w:eastAsia="仿宋_GB2312" w:cs="仿宋_GB2312"/>
          <w:color w:val="auto"/>
          <w:kern w:val="2"/>
          <w:sz w:val="32"/>
          <w:szCs w:val="32"/>
          <w:highlight w:val="none"/>
          <w:lang w:val="en-US" w:eastAsia="zh-CN" w:bidi="ar-SA"/>
        </w:rPr>
        <w:t>万元，下降</w:t>
      </w:r>
      <w:r>
        <w:rPr>
          <w:rFonts w:ascii="Times New Roman" w:hAnsi="Times New Roman" w:eastAsia="仿宋_GB2312" w:cs="仿宋_GB2312"/>
          <w:color w:val="auto"/>
          <w:kern w:val="2"/>
          <w:sz w:val="32"/>
          <w:szCs w:val="32"/>
          <w:highlight w:val="none"/>
          <w:lang w:val="en-US" w:eastAsia="zh-CN" w:bidi="ar-SA"/>
        </w:rPr>
        <w:t>1.1</w:t>
      </w:r>
      <w:r>
        <w:rPr>
          <w:rFonts w:hint="eastAsia" w:ascii="Times New Roman" w:hAnsi="Times New Roman" w:eastAsia="仿宋_GB2312" w:cs="仿宋_GB2312"/>
          <w:color w:val="auto"/>
          <w:kern w:val="2"/>
          <w:sz w:val="32"/>
          <w:szCs w:val="32"/>
          <w:highlight w:val="none"/>
          <w:lang w:val="en-US" w:eastAsia="zh-CN" w:bidi="ar-SA"/>
        </w:rPr>
        <w:t>%。</w:t>
      </w:r>
    </w:p>
    <w:p w14:paraId="347D2B43">
      <w:pPr>
        <w:spacing w:line="600" w:lineRule="exact"/>
        <w:ind w:firstLine="640"/>
        <w:rPr>
          <w:rFonts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其中：公务用车购置支</w:t>
      </w:r>
      <w:r>
        <w:rPr>
          <w:rFonts w:hint="eastAsia" w:ascii="仿宋_GB2312" w:eastAsia="仿宋_GB2312" w:cs="仿宋_GB2312"/>
          <w:color w:val="auto"/>
          <w:kern w:val="2"/>
          <w:sz w:val="32"/>
          <w:szCs w:val="32"/>
          <w:highlight w:val="none"/>
          <w:lang w:val="en-US" w:eastAsia="zh-CN" w:bidi="ar-SA"/>
        </w:rPr>
        <w:t>出</w:t>
      </w:r>
      <w:r>
        <w:rPr>
          <w:rFonts w:hint="eastAsia" w:asci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w:t>
      </w:r>
    </w:p>
    <w:p w14:paraId="28FB0DF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公务用车运行维护费支</w:t>
      </w:r>
      <w:r>
        <w:rPr>
          <w:rFonts w:hint="eastAsia" w:ascii="仿宋_GB2312" w:eastAsia="仿宋_GB2312" w:cs="仿宋_GB2312"/>
          <w:color w:val="auto"/>
          <w:kern w:val="2"/>
          <w:sz w:val="32"/>
          <w:szCs w:val="32"/>
          <w:highlight w:val="none"/>
          <w:lang w:val="en-US" w:eastAsia="zh-CN" w:bidi="ar-SA"/>
        </w:rPr>
        <w:t>出</w:t>
      </w:r>
      <w:r>
        <w:rPr>
          <w:rFonts w:hint="eastAsia" w:ascii="仿宋_GB2312" w:eastAsia="仿宋_GB2312" w:cs="仿宋_GB2312"/>
          <w:sz w:val="32"/>
          <w:szCs w:val="32"/>
        </w:rPr>
        <w:t>9</w:t>
      </w:r>
      <w:r>
        <w:rPr>
          <w:rFonts w:hint="eastAsia" w:ascii="Times New Roman" w:hAnsi="Times New Roman" w:eastAsia="仿宋_GB2312" w:cs="仿宋_GB2312"/>
          <w:color w:val="auto"/>
          <w:kern w:val="2"/>
          <w:sz w:val="32"/>
          <w:szCs w:val="32"/>
          <w:highlight w:val="none"/>
          <w:lang w:val="en-US" w:eastAsia="zh-CN" w:bidi="ar-SA"/>
        </w:rPr>
        <w:t>万元。主要用于</w:t>
      </w:r>
      <w:r>
        <w:rPr>
          <w:rFonts w:ascii="仿宋_GB2312" w:eastAsia="仿宋_GB2312"/>
          <w:sz w:val="32"/>
          <w:szCs w:val="32"/>
        </w:rPr>
        <w:t>自然资源工作</w:t>
      </w:r>
      <w:r>
        <w:rPr>
          <w:rFonts w:hint="eastAsia" w:ascii="仿宋_GB2312" w:eastAsia="仿宋_GB2312"/>
          <w:sz w:val="32"/>
          <w:szCs w:val="32"/>
        </w:rPr>
        <w:t>等</w:t>
      </w:r>
      <w:r>
        <w:rPr>
          <w:rFonts w:hint="eastAsia" w:ascii="Times New Roman" w:hAnsi="Times New Roman" w:eastAsia="仿宋_GB2312" w:cs="仿宋_GB2312"/>
          <w:color w:val="auto"/>
          <w:kern w:val="2"/>
          <w:sz w:val="32"/>
          <w:szCs w:val="32"/>
          <w:highlight w:val="none"/>
          <w:lang w:val="en-US" w:eastAsia="zh-CN" w:bidi="ar-SA"/>
        </w:rPr>
        <w:t>所需的公务用车燃料费、维修费、过路过桥费、保险费等支出。</w:t>
      </w:r>
    </w:p>
    <w:p w14:paraId="29B555E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eastAsia="仿宋_GB2312" w:cs="仿宋_GB2312"/>
          <w:b/>
          <w:bCs/>
          <w:color w:val="auto"/>
          <w:kern w:val="2"/>
          <w:sz w:val="32"/>
          <w:szCs w:val="32"/>
          <w:highlight w:val="none"/>
          <w:lang w:val="en-US" w:eastAsia="zh-CN" w:bidi="ar-SA"/>
        </w:rPr>
        <w:t>0万</w:t>
      </w:r>
      <w:r>
        <w:rPr>
          <w:rFonts w:hint="eastAsia" w:ascii="Times New Roman" w:hAnsi="Times New Roman" w:eastAsia="仿宋_GB2312" w:cs="仿宋_GB2312"/>
          <w:b/>
          <w:bCs/>
          <w:color w:val="auto"/>
          <w:kern w:val="2"/>
          <w:sz w:val="32"/>
          <w:szCs w:val="32"/>
          <w:highlight w:val="none"/>
          <w:lang w:val="en-US" w:eastAsia="zh-CN" w:bidi="ar-SA"/>
        </w:rPr>
        <w:t>元，完成预算</w:t>
      </w:r>
      <w:r>
        <w:rPr>
          <w:rFonts w:ascii="Times New Roman" w:hAnsi="Times New Roman"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w:t>
      </w:r>
    </w:p>
    <w:p w14:paraId="0097796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59" w:name="_Toc15377218"/>
      <w:bookmarkStart w:id="60" w:name="_Toc15396610"/>
    </w:p>
    <w:p w14:paraId="34FCC523">
      <w:pPr>
        <w:spacing w:line="600" w:lineRule="exact"/>
        <w:ind w:firstLine="640"/>
        <w:outlineLvl w:val="1"/>
        <w:rPr>
          <w:rStyle w:val="29"/>
          <w:rFonts w:ascii="Times New Roman" w:hAnsi="Times New Roman" w:eastAsia="黑体"/>
          <w:color w:val="auto"/>
          <w:highlight w:val="none"/>
        </w:rPr>
      </w:pPr>
      <w:bookmarkStart w:id="61" w:name="_Toc88884168"/>
      <w:r>
        <w:rPr>
          <w:rFonts w:hint="eastAsia" w:ascii="Times New Roman" w:hAnsi="Times New Roman" w:eastAsia="黑体"/>
          <w:color w:val="auto"/>
          <w:sz w:val="32"/>
          <w:szCs w:val="32"/>
          <w:highlight w:val="none"/>
        </w:rPr>
        <w:t>八、</w:t>
      </w:r>
      <w:r>
        <w:rPr>
          <w:rStyle w:val="29"/>
          <w:rFonts w:hint="eastAsia" w:ascii="Times New Roman" w:hAnsi="Times New Roman" w:eastAsia="黑体"/>
          <w:b w:val="0"/>
          <w:color w:val="auto"/>
          <w:highlight w:val="none"/>
        </w:rPr>
        <w:t>政府性基金预算支出决算情况说明</w:t>
      </w:r>
      <w:bookmarkEnd w:id="59"/>
      <w:bookmarkEnd w:id="60"/>
      <w:bookmarkEnd w:id="61"/>
    </w:p>
    <w:p w14:paraId="61A29DB7">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仿宋_GB2312" w:eastAsia="仿宋_GB2312" w:cs="仿宋_GB2312"/>
          <w:color w:val="auto"/>
          <w:kern w:val="2"/>
          <w:sz w:val="32"/>
          <w:szCs w:val="32"/>
          <w:highlight w:val="none"/>
          <w:lang w:val="en-US" w:eastAsia="zh-CN" w:bidi="ar-SA"/>
        </w:rPr>
        <w:t>2024年度政府性基金预算财政拨款支出</w:t>
      </w:r>
      <w:r>
        <w:rPr>
          <w:rFonts w:hint="eastAsia" w:ascii="仿宋_GB2312" w:eastAsia="仿宋_GB2312" w:cs="仿宋_GB2312"/>
          <w:sz w:val="32"/>
          <w:szCs w:val="32"/>
        </w:rPr>
        <w:t>589.69</w:t>
      </w:r>
      <w:r>
        <w:rPr>
          <w:rFonts w:hint="eastAsia" w:ascii="仿宋_GB2312" w:eastAsia="仿宋_GB2312" w:cs="仿宋_GB2312"/>
          <w:color w:val="auto"/>
          <w:kern w:val="2"/>
          <w:sz w:val="32"/>
          <w:szCs w:val="32"/>
          <w:highlight w:val="none"/>
          <w:lang w:val="en-US" w:eastAsia="zh-CN" w:bidi="ar-SA"/>
        </w:rPr>
        <w:t>万元，占本年支出合计的</w:t>
      </w:r>
      <w:r>
        <w:rPr>
          <w:rFonts w:hint="eastAsia" w:ascii="仿宋_GB2312" w:eastAsia="仿宋_GB2312" w:cs="仿宋_GB2312"/>
          <w:sz w:val="32"/>
          <w:szCs w:val="32"/>
        </w:rPr>
        <w:t>6.17</w:t>
      </w:r>
      <w:r>
        <w:rPr>
          <w:rFonts w:hint="eastAsia" w:asci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。与2023年度相比，政府性基金预算财政拨款支出增加</w:t>
      </w:r>
      <w:r>
        <w:rPr>
          <w:rFonts w:ascii="Times New Roman" w:hAnsi="Times New Roman" w:eastAsia="仿宋_GB2312" w:cs="仿宋_GB2312"/>
          <w:color w:val="auto"/>
          <w:kern w:val="2"/>
          <w:sz w:val="32"/>
          <w:szCs w:val="32"/>
          <w:highlight w:val="none"/>
          <w:lang w:val="en-US" w:eastAsia="zh-CN" w:bidi="ar-SA"/>
        </w:rPr>
        <w:t>587.47</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ascii="仿宋_GB2312" w:eastAsia="仿宋_GB2312" w:cs="仿宋_GB2312"/>
          <w:sz w:val="32"/>
          <w:szCs w:val="32"/>
          <w:lang w:val="en-US" w:eastAsia="zh-CN"/>
        </w:rPr>
        <w:t>264</w:t>
      </w:r>
      <w:r>
        <w:rPr>
          <w:rFonts w:hint="eastAsia" w:asci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ascii="Times New Roman" w:hAnsi="Times New Roman" w:eastAsia="仿宋_GB2312" w:cs="仿宋_GB2312"/>
          <w:color w:val="auto"/>
          <w:kern w:val="2"/>
          <w:sz w:val="32"/>
          <w:szCs w:val="32"/>
          <w:highlight w:val="none"/>
          <w:lang w:val="en-US" w:eastAsia="zh-CN" w:bidi="ar-SA"/>
        </w:rPr>
        <w:t>补助被征地农民支出。</w:t>
      </w:r>
    </w:p>
    <w:p w14:paraId="1E44DF8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3B6B2529">
      <w:pPr>
        <w:spacing w:line="600" w:lineRule="exact"/>
        <w:ind w:left="630"/>
        <w:outlineLvl w:val="1"/>
        <w:rPr>
          <w:rStyle w:val="29"/>
          <w:rFonts w:ascii="Times New Roman" w:hAnsi="Times New Roman" w:eastAsia="黑体"/>
          <w:b w:val="0"/>
          <w:color w:val="auto"/>
          <w:highlight w:val="none"/>
        </w:rPr>
      </w:pPr>
      <w:bookmarkStart w:id="62" w:name="_Toc15396611"/>
      <w:bookmarkStart w:id="63" w:name="_Toc88884169"/>
      <w:bookmarkStart w:id="64" w:name="_Toc15377219"/>
      <w:r>
        <w:rPr>
          <w:rStyle w:val="29"/>
          <w:rFonts w:hint="eastAsia" w:ascii="Times New Roman" w:hAnsi="Times New Roman" w:eastAsia="黑体"/>
          <w:b w:val="0"/>
          <w:color w:val="auto"/>
          <w:highlight w:val="none"/>
          <w:lang w:eastAsia="zh-CN"/>
        </w:rPr>
        <w:t>九、</w:t>
      </w:r>
      <w:r>
        <w:rPr>
          <w:rStyle w:val="29"/>
          <w:rFonts w:hint="eastAsia" w:ascii="Times New Roman" w:hAnsi="Times New Roman" w:eastAsia="黑体"/>
          <w:b w:val="0"/>
          <w:color w:val="auto"/>
          <w:highlight w:val="none"/>
        </w:rPr>
        <w:t>国有资本经营预算支出决算情况说明</w:t>
      </w:r>
      <w:bookmarkEnd w:id="62"/>
      <w:bookmarkEnd w:id="63"/>
      <w:bookmarkEnd w:id="64"/>
    </w:p>
    <w:p w14:paraId="196FABD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万元，占本年支出合计的</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。与2023年度相比，国有资本经营预算财政拨款支出</w:t>
      </w:r>
      <w:r>
        <w:rPr>
          <w:rFonts w:ascii="Times New Roman" w:hAnsi="Times New Roman" w:eastAsia="仿宋_GB2312" w:cs="仿宋_GB2312"/>
          <w:color w:val="auto"/>
          <w:kern w:val="2"/>
          <w:sz w:val="32"/>
          <w:szCs w:val="32"/>
          <w:highlight w:val="none"/>
          <w:lang w:val="en-US" w:eastAsia="zh-CN" w:bidi="ar-SA"/>
        </w:rPr>
        <w:t>持平。</w:t>
      </w:r>
    </w:p>
    <w:p w14:paraId="2B8F1E6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22EFE66E">
      <w:pPr>
        <w:spacing w:line="600" w:lineRule="exact"/>
        <w:ind w:left="630"/>
        <w:outlineLvl w:val="1"/>
        <w:rPr>
          <w:rStyle w:val="29"/>
          <w:rFonts w:hint="eastAsia" w:ascii="Times New Roman" w:hAnsi="Times New Roman" w:eastAsia="黑体"/>
          <w:b w:val="0"/>
          <w:color w:val="auto"/>
          <w:highlight w:val="none"/>
        </w:rPr>
      </w:pPr>
      <w:bookmarkStart w:id="65" w:name="_Toc15396612"/>
      <w:bookmarkStart w:id="66" w:name="_Toc15377221"/>
      <w:bookmarkStart w:id="67" w:name="_Toc88884170"/>
      <w:r>
        <w:rPr>
          <w:rStyle w:val="29"/>
          <w:rFonts w:hint="eastAsia" w:ascii="Times New Roman" w:hAnsi="Times New Roman" w:eastAsia="黑体"/>
          <w:b w:val="0"/>
          <w:color w:val="auto"/>
          <w:highlight w:val="none"/>
          <w:lang w:eastAsia="zh-CN"/>
        </w:rPr>
        <w:t>十、</w:t>
      </w:r>
      <w:r>
        <w:rPr>
          <w:rStyle w:val="29"/>
          <w:rFonts w:hint="eastAsia" w:ascii="Times New Roman" w:hAnsi="Times New Roman" w:eastAsia="黑体"/>
          <w:b w:val="0"/>
          <w:color w:val="auto"/>
          <w:highlight w:val="none"/>
        </w:rPr>
        <w:t>其他重要事项的情况说明</w:t>
      </w:r>
      <w:bookmarkEnd w:id="65"/>
      <w:bookmarkEnd w:id="66"/>
      <w:bookmarkEnd w:id="67"/>
    </w:p>
    <w:p w14:paraId="28139DDA">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68" w:name="_Toc15377222"/>
      <w:bookmarkStart w:id="69" w:name="_Toc88884171"/>
      <w:r>
        <w:rPr>
          <w:rFonts w:hint="eastAsia" w:ascii="Times New Roman" w:hAnsi="Times New Roman" w:eastAsia="楷体_GB2312" w:cs="楷体_GB2312"/>
          <w:b/>
          <w:color w:val="auto"/>
          <w:sz w:val="32"/>
          <w:szCs w:val="32"/>
          <w:highlight w:val="none"/>
        </w:rPr>
        <w:t>（一）机关运行经费支出情况</w:t>
      </w:r>
      <w:bookmarkEnd w:id="68"/>
      <w:bookmarkEnd w:id="69"/>
    </w:p>
    <w:p w14:paraId="04F2640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eastAsia="仿宋_GB2312" w:cs="仿宋_GB2312"/>
          <w:color w:val="auto"/>
          <w:kern w:val="2"/>
          <w:sz w:val="32"/>
          <w:szCs w:val="32"/>
          <w:highlight w:val="none"/>
          <w:lang w:val="en-US" w:eastAsia="zh-CN" w:bidi="ar-SA"/>
        </w:rPr>
        <w:t>，</w:t>
      </w:r>
      <w:r>
        <w:rPr>
          <w:rFonts w:hint="eastAsia" w:ascii="仿宋_GB2312" w:eastAsia="仿宋_GB2312" w:cs="仿宋_GB2312"/>
          <w:sz w:val="32"/>
          <w:szCs w:val="32"/>
        </w:rPr>
        <w:t>九寨沟县自然资源局</w:t>
      </w:r>
      <w:r>
        <w:rPr>
          <w:rFonts w:hint="eastAsia" w:ascii="仿宋_GB2312" w:eastAsia="仿宋_GB2312" w:cs="仿宋_GB2312"/>
          <w:color w:val="auto"/>
          <w:kern w:val="2"/>
          <w:sz w:val="32"/>
          <w:szCs w:val="32"/>
          <w:highlight w:val="none"/>
          <w:lang w:val="en-US" w:eastAsia="zh-CN" w:bidi="ar-SA"/>
        </w:rPr>
        <w:t>机关运行经费支出</w:t>
      </w:r>
      <w:r>
        <w:rPr>
          <w:rFonts w:hint="eastAsia" w:ascii="仿宋_GB2312" w:eastAsia="仿宋_GB2312" w:cs="仿宋_GB2312"/>
          <w:sz w:val="32"/>
          <w:szCs w:val="32"/>
        </w:rPr>
        <w:t>57.78</w:t>
      </w:r>
      <w:r>
        <w:rPr>
          <w:rFonts w:hint="eastAsia" w:asci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元，比2023年度增加</w:t>
      </w:r>
      <w:r>
        <w:rPr>
          <w:rFonts w:ascii="Times New Roman" w:hAnsi="Times New Roman" w:eastAsia="仿宋_GB2312" w:cs="仿宋_GB2312"/>
          <w:color w:val="auto"/>
          <w:kern w:val="2"/>
          <w:sz w:val="32"/>
          <w:szCs w:val="32"/>
          <w:highlight w:val="none"/>
          <w:lang w:val="en-US" w:eastAsia="zh-CN" w:bidi="ar-SA"/>
        </w:rPr>
        <w:t>30.25</w:t>
      </w:r>
      <w:r>
        <w:rPr>
          <w:rFonts w:hint="eastAsia" w:ascii="Times New Roman" w:hAnsi="Times New Roman" w:eastAsia="仿宋_GB2312" w:cs="仿宋_GB2312"/>
          <w:color w:val="auto"/>
          <w:kern w:val="2"/>
          <w:sz w:val="32"/>
          <w:szCs w:val="32"/>
          <w:highlight w:val="none"/>
          <w:lang w:val="en-US" w:eastAsia="zh-CN" w:bidi="ar-SA"/>
        </w:rPr>
        <w:t>万元，增长</w:t>
      </w:r>
      <w:r>
        <w:rPr>
          <w:rFonts w:ascii="Times New Roman" w:hAnsi="Times New Roman" w:eastAsia="仿宋_GB2312" w:cs="仿宋_GB2312"/>
          <w:color w:val="auto"/>
          <w:kern w:val="2"/>
          <w:sz w:val="32"/>
          <w:szCs w:val="32"/>
          <w:highlight w:val="none"/>
          <w:lang w:val="en-US" w:eastAsia="zh-CN" w:bidi="ar-SA"/>
        </w:rPr>
        <w:t>109</w:t>
      </w:r>
      <w:r>
        <w:rPr>
          <w:rFonts w:hint="eastAsia" w:ascii="Times New Roman" w:hAnsi="Times New Roman" w:eastAsia="仿宋_GB2312" w:cs="仿宋_GB2312"/>
          <w:color w:val="auto"/>
          <w:kern w:val="2"/>
          <w:sz w:val="32"/>
          <w:szCs w:val="32"/>
          <w:highlight w:val="none"/>
          <w:lang w:val="en-US" w:eastAsia="zh-CN" w:bidi="ar-SA"/>
        </w:rPr>
        <w:t>%。主要原因是</w:t>
      </w:r>
      <w:r>
        <w:rPr>
          <w:rFonts w:ascii="Times New Roman" w:hAnsi="Times New Roman" w:eastAsia="仿宋_GB2312" w:cs="仿宋_GB2312"/>
          <w:color w:val="auto"/>
          <w:kern w:val="2"/>
          <w:sz w:val="32"/>
          <w:szCs w:val="32"/>
          <w:highlight w:val="none"/>
          <w:lang w:val="en-US" w:eastAsia="zh-CN" w:bidi="ar-SA"/>
        </w:rPr>
        <w:t>人员调动和日常工作量的增加。</w:t>
      </w:r>
    </w:p>
    <w:p w14:paraId="741F7A7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1F8DC743">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70" w:name="_Toc15377223"/>
      <w:bookmarkStart w:id="71" w:name="_Toc88884172"/>
      <w:r>
        <w:rPr>
          <w:rFonts w:hint="eastAsia" w:ascii="Times New Roman" w:hAnsi="Times New Roman" w:eastAsia="楷体_GB2312" w:cs="楷体_GB2312"/>
          <w:b/>
          <w:color w:val="auto"/>
          <w:sz w:val="32"/>
          <w:szCs w:val="32"/>
          <w:highlight w:val="none"/>
        </w:rPr>
        <w:t>（二）政府采购支出情况</w:t>
      </w:r>
      <w:bookmarkEnd w:id="70"/>
      <w:bookmarkEnd w:id="71"/>
    </w:p>
    <w:p w14:paraId="201573A0">
      <w:pPr>
        <w:spacing w:line="600" w:lineRule="exact"/>
        <w:ind w:firstLine="640"/>
        <w:rPr>
          <w:rFonts w:ascii="仿宋_GB2312" w:eastAsia="仿宋_GB2312" w:cs="仿宋_GB2312"/>
          <w:sz w:val="32"/>
          <w:szCs w:val="32"/>
        </w:rPr>
      </w:pPr>
      <w:r>
        <w:rPr>
          <w:rFonts w:hint="eastAsia" w:ascii="仿宋_GB2312" w:eastAsia="仿宋_GB2312" w:cs="仿宋_GB2312"/>
          <w:color w:val="auto"/>
          <w:kern w:val="2"/>
          <w:sz w:val="32"/>
          <w:szCs w:val="32"/>
          <w:highlight w:val="none"/>
          <w:lang w:val="en-US" w:eastAsia="zh-CN" w:bidi="ar-SA"/>
        </w:rPr>
        <w:t>2024年度，</w:t>
      </w:r>
      <w:r>
        <w:rPr>
          <w:rFonts w:hint="eastAsia" w:ascii="仿宋_GB2312" w:eastAsia="仿宋_GB2312" w:cs="仿宋_GB2312"/>
          <w:sz w:val="32"/>
          <w:szCs w:val="32"/>
        </w:rPr>
        <w:t>九寨沟县自然资源局</w:t>
      </w:r>
      <w:r>
        <w:rPr>
          <w:rFonts w:hint="eastAsia" w:ascii="仿宋_GB2312" w:eastAsia="仿宋_GB2312" w:cs="仿宋_GB2312"/>
          <w:color w:val="auto"/>
          <w:kern w:val="2"/>
          <w:sz w:val="32"/>
          <w:szCs w:val="32"/>
          <w:highlight w:val="none"/>
          <w:lang w:val="en-US" w:eastAsia="zh-CN" w:bidi="ar-SA"/>
        </w:rPr>
        <w:t>政府采购支出总额</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万元，其中：政府采购货物支出</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万元、政府采购工程支出</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万元、政府采购服务支出</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万元。</w:t>
      </w:r>
    </w:p>
    <w:p w14:paraId="434F70D9">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72" w:name="_Toc88884173"/>
      <w:bookmarkStart w:id="73" w:name="_Toc15377224"/>
      <w:r>
        <w:rPr>
          <w:rFonts w:hint="eastAsia" w:ascii="Times New Roman" w:hAnsi="Times New Roman" w:eastAsia="楷体_GB2312" w:cs="楷体_GB2312"/>
          <w:b/>
          <w:color w:val="auto"/>
          <w:sz w:val="32"/>
          <w:szCs w:val="32"/>
          <w:highlight w:val="none"/>
        </w:rPr>
        <w:t>（三）国有资产占有使用情况</w:t>
      </w:r>
      <w:bookmarkEnd w:id="72"/>
      <w:bookmarkEnd w:id="73"/>
    </w:p>
    <w:p w14:paraId="0092596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eastAsia="仿宋_GB2312" w:cs="仿宋_GB2312"/>
          <w:color w:val="auto"/>
          <w:kern w:val="2"/>
          <w:sz w:val="32"/>
          <w:szCs w:val="32"/>
          <w:highlight w:val="none"/>
          <w:lang w:val="en-US" w:eastAsia="zh-CN" w:bidi="ar-SA"/>
        </w:rPr>
        <w:t>截至2024年12月31日，</w:t>
      </w:r>
      <w:r>
        <w:rPr>
          <w:rFonts w:hint="eastAsia" w:ascii="仿宋_GB2312" w:eastAsia="仿宋_GB2312" w:cs="仿宋_GB2312"/>
          <w:sz w:val="32"/>
          <w:szCs w:val="32"/>
        </w:rPr>
        <w:t>九寨沟县自然资源局</w:t>
      </w:r>
      <w:r>
        <w:rPr>
          <w:rFonts w:hint="eastAsia" w:ascii="仿宋_GB2312" w:eastAsia="仿宋_GB2312" w:cs="仿宋_GB2312"/>
          <w:color w:val="auto"/>
          <w:kern w:val="2"/>
          <w:sz w:val="32"/>
          <w:szCs w:val="32"/>
          <w:highlight w:val="none"/>
          <w:lang w:val="en-US" w:eastAsia="zh-CN" w:bidi="ar-SA"/>
        </w:rPr>
        <w:t>共有车辆</w:t>
      </w:r>
      <w:r>
        <w:rPr>
          <w:rFonts w:hint="eastAsia" w:ascii="仿宋_GB2312" w:eastAsia="仿宋_GB2312" w:cs="仿宋_GB2312"/>
          <w:sz w:val="32"/>
          <w:szCs w:val="32"/>
        </w:rPr>
        <w:t>5</w:t>
      </w:r>
      <w:r>
        <w:rPr>
          <w:rFonts w:hint="eastAsia" w:ascii="仿宋_GB2312" w:eastAsia="仿宋_GB2312" w:cs="仿宋_GB2312"/>
          <w:color w:val="auto"/>
          <w:kern w:val="2"/>
          <w:sz w:val="32"/>
          <w:szCs w:val="32"/>
          <w:highlight w:val="none"/>
          <w:lang w:val="en-US" w:eastAsia="zh-CN" w:bidi="ar-SA"/>
        </w:rPr>
        <w:t>辆，其中：主要负责人用车</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辆、机要通信用车</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辆、应急保障用车</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辆、其他用车</w:t>
      </w:r>
      <w:r>
        <w:rPr>
          <w:rFonts w:hint="eastAsia" w:ascii="仿宋_GB2312" w:eastAsia="仿宋_GB2312" w:cs="仿宋_GB2312"/>
          <w:sz w:val="32"/>
          <w:szCs w:val="32"/>
        </w:rPr>
        <w:t>5</w:t>
      </w:r>
      <w:r>
        <w:rPr>
          <w:rFonts w:hint="eastAsia" w:ascii="仿宋_GB2312" w:eastAsia="仿宋_GB2312" w:cs="仿宋_GB2312"/>
          <w:color w:val="auto"/>
          <w:kern w:val="2"/>
          <w:sz w:val="32"/>
          <w:szCs w:val="32"/>
          <w:highlight w:val="none"/>
          <w:lang w:val="en-US" w:eastAsia="zh-CN" w:bidi="ar-SA"/>
        </w:rPr>
        <w:t>辆</w:t>
      </w:r>
      <w:r>
        <w:rPr>
          <w:rFonts w:hint="eastAsia" w:ascii="Times New Roman" w:hAnsi="Times New Roman" w:eastAsia="仿宋_GB2312" w:cs="仿宋_GB2312"/>
          <w:color w:val="auto"/>
          <w:kern w:val="2"/>
          <w:sz w:val="32"/>
          <w:szCs w:val="32"/>
          <w:highlight w:val="none"/>
          <w:lang w:val="en-US" w:eastAsia="zh-CN" w:bidi="ar-SA"/>
        </w:rPr>
        <w:t>。</w:t>
      </w:r>
    </w:p>
    <w:p w14:paraId="301F959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0BA96AFC">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74" w:name="_Toc88884174"/>
      <w:r>
        <w:rPr>
          <w:rFonts w:hint="eastAsia" w:ascii="Times New Roman" w:hAnsi="Times New Roman" w:eastAsia="楷体_GB2312" w:cs="楷体_GB2312"/>
          <w:b/>
          <w:color w:val="auto"/>
          <w:sz w:val="32"/>
          <w:szCs w:val="32"/>
          <w:highlight w:val="none"/>
        </w:rPr>
        <w:t>（四）预算绩效管理情况</w:t>
      </w:r>
      <w:bookmarkEnd w:id="74"/>
    </w:p>
    <w:p w14:paraId="14AF5CC1">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根据预算绩效管理要求，本部门在202</w:t>
      </w:r>
      <w:r>
        <w:rPr>
          <w:rFonts w:ascii="仿宋_GB2312" w:eastAsia="仿宋_GB2312" w:cs="仿宋_GB2312"/>
          <w:sz w:val="32"/>
          <w:szCs w:val="32"/>
        </w:rPr>
        <w:t>4</w:t>
      </w:r>
      <w:r>
        <w:rPr>
          <w:rFonts w:hint="eastAsia" w:ascii="仿宋_GB2312" w:eastAsia="仿宋_GB2312" w:cs="仿宋_GB2312"/>
          <w:sz w:val="32"/>
          <w:szCs w:val="32"/>
        </w:rPr>
        <w:t>年度预算编制阶段，组织对</w:t>
      </w:r>
      <w:r>
        <w:rPr>
          <w:rFonts w:ascii="仿宋_GB2312" w:eastAsia="仿宋_GB2312" w:cs="仿宋_GB2312"/>
          <w:sz w:val="32"/>
          <w:szCs w:val="32"/>
        </w:rPr>
        <w:t>25</w:t>
      </w:r>
      <w:r>
        <w:rPr>
          <w:rFonts w:hint="eastAsia" w:ascii="仿宋_GB2312" w:eastAsia="仿宋_GB2312" w:cs="仿宋_GB2312"/>
          <w:sz w:val="32"/>
          <w:szCs w:val="32"/>
        </w:rPr>
        <w:t>项目（项目名称）开展了预算事前绩效评估，对</w:t>
      </w:r>
      <w:r>
        <w:rPr>
          <w:rFonts w:ascii="仿宋_GB2312" w:eastAsia="仿宋_GB2312" w:cs="仿宋_GB2312"/>
          <w:sz w:val="32"/>
          <w:szCs w:val="32"/>
        </w:rPr>
        <w:t>25</w:t>
      </w:r>
      <w:r>
        <w:rPr>
          <w:rFonts w:hint="eastAsia" w:ascii="仿宋_GB2312" w:eastAsia="仿宋_GB2312" w:cs="仿宋_GB2312"/>
          <w:sz w:val="32"/>
          <w:szCs w:val="32"/>
        </w:rPr>
        <w:t>个项目编制了绩效目标，预算执行过程中，选取</w:t>
      </w:r>
      <w:r>
        <w:rPr>
          <w:rFonts w:ascii="仿宋_GB2312" w:eastAsia="仿宋_GB2312" w:cs="仿宋_GB2312"/>
          <w:sz w:val="32"/>
          <w:szCs w:val="32"/>
        </w:rPr>
        <w:t>25</w:t>
      </w:r>
      <w:r>
        <w:rPr>
          <w:rFonts w:hint="eastAsia" w:ascii="仿宋_GB2312" w:eastAsia="仿宋_GB2312" w:cs="仿宋_GB2312"/>
          <w:sz w:val="32"/>
          <w:szCs w:val="32"/>
        </w:rPr>
        <w:t>个项目开展绩效监控。</w:t>
      </w:r>
    </w:p>
    <w:p w14:paraId="7938BDF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eastAsia="仿宋_GB2312" w:cs="仿宋_GB2312"/>
          <w:sz w:val="32"/>
          <w:szCs w:val="32"/>
        </w:rPr>
        <w:t>组织对202</w:t>
      </w:r>
      <w:r>
        <w:rPr>
          <w:rFonts w:ascii="仿宋_GB2312" w:eastAsia="仿宋_GB2312" w:cs="仿宋_GB2312"/>
          <w:sz w:val="32"/>
          <w:szCs w:val="32"/>
        </w:rPr>
        <w:t>4</w:t>
      </w:r>
      <w:r>
        <w:rPr>
          <w:rFonts w:hint="eastAsia" w:ascii="仿宋_GB2312" w:eastAsia="仿宋_GB2312" w:cs="仿宋_GB2312"/>
          <w:sz w:val="32"/>
          <w:szCs w:val="32"/>
        </w:rPr>
        <w:t>年度一般公共预算、政府性基金预算、国有资本经营预算、社会保险基金预算以及资本资产、债券资金等全面开展绩效自评，形成</w:t>
      </w:r>
      <w:r>
        <w:rPr>
          <w:rFonts w:ascii="仿宋_GB2312" w:eastAsia="仿宋_GB2312" w:cs="仿宋_GB2312"/>
          <w:sz w:val="32"/>
          <w:szCs w:val="32"/>
        </w:rPr>
        <w:t>九寨沟县自然资源局</w:t>
      </w:r>
      <w:r>
        <w:rPr>
          <w:rFonts w:hint="eastAsia" w:ascii="仿宋_GB2312" w:eastAsia="仿宋_GB2312" w:cs="仿宋_GB2312"/>
          <w:sz w:val="32"/>
          <w:szCs w:val="32"/>
        </w:rPr>
        <w:t>部门整体（含部门预算项目）绩效自评报告。绩效自评报告详见附件。</w:t>
      </w:r>
    </w:p>
    <w:p w14:paraId="4B4C9653">
      <w:pPr>
        <w:spacing w:line="600" w:lineRule="exact"/>
        <w:ind w:firstLine="640"/>
        <w:rPr>
          <w:rFonts w:ascii="Times New Roman" w:hAnsi="Times New Roman" w:eastAsia="仿宋_GB2312" w:cs="仿宋_GB2312"/>
          <w:color w:val="auto"/>
          <w:kern w:val="2"/>
          <w:sz w:val="32"/>
          <w:szCs w:val="32"/>
          <w:highlight w:val="none"/>
          <w:lang w:val="en-US" w:eastAsia="zh-CN" w:bidi="ar-SA"/>
        </w:rPr>
      </w:pPr>
    </w:p>
    <w:p w14:paraId="78E8D196">
      <w:pPr>
        <w:pStyle w:val="2"/>
      </w:pPr>
    </w:p>
    <w:p w14:paraId="4B580FE3">
      <w:pPr>
        <w:pStyle w:val="3"/>
      </w:pPr>
    </w:p>
    <w:p w14:paraId="1CC73CE2">
      <w:pPr>
        <w:pStyle w:val="3"/>
      </w:pPr>
    </w:p>
    <w:p w14:paraId="32C1B03A">
      <w:pPr>
        <w:pStyle w:val="3"/>
      </w:pPr>
    </w:p>
    <w:p w14:paraId="5E12672E">
      <w:pPr>
        <w:pStyle w:val="3"/>
      </w:pPr>
    </w:p>
    <w:p w14:paraId="06F0179A">
      <w:pPr>
        <w:pStyle w:val="3"/>
      </w:pPr>
    </w:p>
    <w:p w14:paraId="07F47C61">
      <w:pPr>
        <w:pStyle w:val="3"/>
      </w:pPr>
    </w:p>
    <w:p w14:paraId="3A91D811">
      <w:pPr>
        <w:pStyle w:val="3"/>
      </w:pPr>
    </w:p>
    <w:p w14:paraId="5B9D4785">
      <w:pPr>
        <w:pStyle w:val="3"/>
      </w:pPr>
    </w:p>
    <w:p w14:paraId="6C8C0480">
      <w:pPr>
        <w:pStyle w:val="3"/>
      </w:pPr>
    </w:p>
    <w:p w14:paraId="0F207588">
      <w:pPr>
        <w:pStyle w:val="3"/>
      </w:pPr>
    </w:p>
    <w:p w14:paraId="73712AFB">
      <w:pPr>
        <w:spacing w:line="600" w:lineRule="exact"/>
        <w:jc w:val="center"/>
        <w:outlineLvl w:val="0"/>
        <w:rPr>
          <w:rFonts w:hint="eastAsia" w:ascii="Times New Roman" w:hAnsi="Times New Roman" w:eastAsia="黑体"/>
          <w:color w:val="auto"/>
          <w:sz w:val="44"/>
          <w:szCs w:val="44"/>
          <w:highlight w:val="none"/>
        </w:rPr>
      </w:pPr>
      <w:bookmarkStart w:id="75" w:name="_Toc15377225"/>
      <w:bookmarkStart w:id="76" w:name="_Toc88884175"/>
      <w:bookmarkStart w:id="77" w:name="_Toc15396613"/>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75"/>
      <w:bookmarkEnd w:id="76"/>
      <w:bookmarkEnd w:id="77"/>
    </w:p>
    <w:p w14:paraId="243D5733">
      <w:pPr>
        <w:spacing w:line="600" w:lineRule="exact"/>
        <w:jc w:val="left"/>
        <w:rPr>
          <w:rFonts w:ascii="Times New Roman" w:hAnsi="Times New Roman"/>
          <w:b/>
          <w:color w:val="auto"/>
          <w:sz w:val="44"/>
          <w:szCs w:val="44"/>
          <w:highlight w:val="none"/>
        </w:rPr>
      </w:pPr>
    </w:p>
    <w:p w14:paraId="0E0C31C7">
      <w:pPr>
        <w:pStyle w:val="22"/>
        <w:shd w:val="clear" w:color="auto" w:fill="FFFFFF"/>
        <w:rPr>
          <w:rFonts w:hint="eastAsia" w:ascii="仿宋_GB2312" w:eastAsia="仿宋_GB2312" w:cs="仿宋_GB2312"/>
          <w:kern w:val="2"/>
          <w:sz w:val="32"/>
          <w:szCs w:val="32"/>
        </w:rPr>
      </w:pPr>
      <w:r>
        <w:rPr>
          <w:rFonts w:hint="eastAsia" w:ascii="仿宋_GB2312" w:eastAsia="仿宋_GB2312" w:cs="仿宋_GB2312"/>
          <w:kern w:val="2"/>
          <w:sz w:val="32"/>
          <w:szCs w:val="32"/>
        </w:rPr>
        <w:t>1.财政拨款收入：指单位从同级财政部门取得的财政预算资金。</w:t>
      </w:r>
    </w:p>
    <w:p w14:paraId="50D62EF8">
      <w:pPr>
        <w:pStyle w:val="22"/>
        <w:shd w:val="clear" w:color="auto" w:fill="FFFFFF"/>
        <w:rPr>
          <w:rFonts w:hint="eastAsia" w:ascii="仿宋_GB2312" w:eastAsia="仿宋_GB2312" w:cs="仿宋_GB2312"/>
          <w:kern w:val="2"/>
          <w:sz w:val="32"/>
          <w:szCs w:val="32"/>
        </w:rPr>
      </w:pPr>
      <w:r>
        <w:rPr>
          <w:rFonts w:hint="eastAsia" w:ascii="仿宋_GB2312" w:eastAsia="仿宋_GB2312" w:cs="仿宋_GB2312"/>
          <w:kern w:val="2"/>
          <w:sz w:val="32"/>
          <w:szCs w:val="32"/>
        </w:rPr>
        <w:t>2.事业收入：指事业单位开展专业业务活动及辅助活动取得的收入。</w:t>
      </w:r>
    </w:p>
    <w:p w14:paraId="1F55F611">
      <w:pPr>
        <w:pStyle w:val="22"/>
        <w:shd w:val="clear" w:color="auto" w:fill="FFFFFF"/>
        <w:rPr>
          <w:rFonts w:ascii="仿宋_GB2312" w:eastAsia="仿宋_GB2312" w:cs="仿宋_GB2312"/>
          <w:kern w:val="2"/>
          <w:sz w:val="32"/>
          <w:szCs w:val="32"/>
        </w:rPr>
      </w:pPr>
      <w:r>
        <w:rPr>
          <w:rFonts w:hint="eastAsia" w:ascii="仿宋_GB2312" w:eastAsia="仿宋_GB2312" w:cs="仿宋_GB2312"/>
          <w:kern w:val="2"/>
          <w:sz w:val="32"/>
          <w:szCs w:val="32"/>
        </w:rPr>
        <w:t>3.经营收入：指事业单位在专业业务活动及其辅助活动之外开展非独立核算经营活动取得的收入。</w:t>
      </w:r>
    </w:p>
    <w:p w14:paraId="70F10C3F">
      <w:pPr>
        <w:pStyle w:val="22"/>
        <w:shd w:val="clear" w:color="auto" w:fill="FFFFFF"/>
        <w:rPr>
          <w:rFonts w:ascii="仿宋_GB2312" w:eastAsia="仿宋_GB2312" w:cs="仿宋_GB2312"/>
          <w:kern w:val="2"/>
          <w:sz w:val="32"/>
          <w:szCs w:val="32"/>
        </w:rPr>
      </w:pPr>
      <w:r>
        <w:rPr>
          <w:rFonts w:hint="eastAsia" w:ascii="仿宋_GB2312" w:eastAsia="仿宋_GB2312" w:cs="仿宋_GB2312"/>
          <w:kern w:val="2"/>
          <w:sz w:val="32"/>
          <w:szCs w:val="32"/>
        </w:rPr>
        <w:t>4.其他收入：指单位取得的除上述收入以外的各项收入。</w:t>
      </w:r>
    </w:p>
    <w:p w14:paraId="4B274F72">
      <w:pPr>
        <w:pStyle w:val="22"/>
        <w:shd w:val="clear" w:color="auto" w:fill="FFFFFF"/>
        <w:rPr>
          <w:rFonts w:hint="eastAsia" w:ascii="仿宋_GB2312" w:eastAsia="仿宋_GB2312" w:cs="仿宋_GB2312"/>
          <w:kern w:val="2"/>
          <w:sz w:val="32"/>
          <w:szCs w:val="32"/>
        </w:rPr>
      </w:pPr>
      <w:r>
        <w:rPr>
          <w:rFonts w:hint="eastAsia" w:ascii="仿宋_GB2312" w:eastAsia="仿宋_GB2312" w:cs="仿宋_GB2312"/>
          <w:kern w:val="2"/>
          <w:sz w:val="32"/>
          <w:szCs w:val="32"/>
        </w:rPr>
        <w:t>5.使用非财政拨款结余：指事业单位使用以前年度积累的非财政拨款结余弥补当年收支差额的金额。</w:t>
      </w:r>
    </w:p>
    <w:p w14:paraId="1AF5FE47">
      <w:pPr>
        <w:pStyle w:val="22"/>
        <w:shd w:val="clear" w:color="auto" w:fill="FFFFFF"/>
        <w:rPr>
          <w:rFonts w:hint="eastAsia" w:ascii="仿宋_GB2312" w:eastAsia="仿宋_GB2312" w:cs="仿宋_GB2312"/>
          <w:kern w:val="2"/>
          <w:sz w:val="32"/>
          <w:szCs w:val="32"/>
        </w:rPr>
      </w:pPr>
      <w:r>
        <w:rPr>
          <w:rFonts w:hint="eastAsia" w:ascii="仿宋_GB2312" w:eastAsia="仿宋_GB2312" w:cs="仿宋_GB2312"/>
          <w:kern w:val="2"/>
          <w:sz w:val="32"/>
          <w:szCs w:val="32"/>
        </w:rPr>
        <w:t>6.年初结转和结余：指以前年度尚未完成、结转到本年按有关规定继续使用的资金。</w:t>
      </w:r>
    </w:p>
    <w:p w14:paraId="7EDBC660">
      <w:pPr>
        <w:pStyle w:val="22"/>
        <w:shd w:val="clear" w:color="auto" w:fill="FFFFFF"/>
        <w:rPr>
          <w:rFonts w:hint="eastAsia" w:ascii="仿宋_GB2312" w:eastAsia="仿宋_GB2312" w:cs="仿宋_GB2312"/>
          <w:kern w:val="2"/>
          <w:sz w:val="32"/>
          <w:szCs w:val="32"/>
        </w:rPr>
      </w:pPr>
      <w:r>
        <w:rPr>
          <w:rFonts w:hint="eastAsia" w:ascii="仿宋_GB2312" w:eastAsia="仿宋_GB2312" w:cs="仿宋_GB2312"/>
          <w:kern w:val="2"/>
          <w:sz w:val="32"/>
          <w:szCs w:val="32"/>
        </w:rPr>
        <w:t>7.结余分配：指事业单位按照会计制度规定缴纳的所得税、提取的专用结余以及转入非财政拨款结余的金额等。</w:t>
      </w:r>
    </w:p>
    <w:p w14:paraId="68F8CEC9">
      <w:pPr>
        <w:pStyle w:val="22"/>
        <w:shd w:val="clear" w:color="auto" w:fill="FFFFFF"/>
        <w:rPr>
          <w:rFonts w:hint="eastAsia" w:ascii="仿宋_GB2312" w:eastAsia="仿宋_GB2312" w:cs="仿宋_GB2312"/>
          <w:kern w:val="2"/>
          <w:sz w:val="32"/>
          <w:szCs w:val="32"/>
        </w:rPr>
      </w:pPr>
      <w:r>
        <w:rPr>
          <w:rFonts w:hint="eastAsia" w:ascii="仿宋_GB2312" w:eastAsia="仿宋_GB2312" w:cs="仿宋_GB2312"/>
          <w:kern w:val="2"/>
          <w:sz w:val="32"/>
          <w:szCs w:val="32"/>
        </w:rPr>
        <w:t>8、年末结转和结余：指单位按有关规定结转到下年或以后年度继续使用的资金。</w:t>
      </w:r>
    </w:p>
    <w:p w14:paraId="196054D6">
      <w:pPr>
        <w:pStyle w:val="22"/>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9.一般公共服务（201）组织事务（32）行政运行（01）、：指组织事务基本支出。</w:t>
      </w:r>
    </w:p>
    <w:p w14:paraId="62A3C637">
      <w:pPr>
        <w:pStyle w:val="22"/>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10. 一般公共服务（201）其他一般公共事务（99）其他一般公共事务（99）：指一般公共事务的基本支出。</w:t>
      </w:r>
    </w:p>
    <w:p w14:paraId="260785AD">
      <w:pPr>
        <w:pStyle w:val="22"/>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11. 社会保障和就业（208）行政事业单位离退休（05）机关事业单位基本养老保险缴费支出（05）：指其基本医疗保险支出。</w:t>
      </w:r>
    </w:p>
    <w:p w14:paraId="46621AFF">
      <w:pPr>
        <w:pStyle w:val="22"/>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12. 社会保障和就业（208）抚恤（08）死亡抚恤（01）：指抚恤支出。</w:t>
      </w:r>
    </w:p>
    <w:p w14:paraId="236B27D7">
      <w:pPr>
        <w:pStyle w:val="22"/>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13. 卫生健康支出（210）行政事业单位医疗（11）行政单位医疗（01）：指行单位事业医疗支出。</w:t>
      </w:r>
    </w:p>
    <w:p w14:paraId="3D2E6B56">
      <w:pPr>
        <w:pStyle w:val="22"/>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14. 卫生健康支出（210）行政事业单位医疗（11）公务员医疗（03）：指公务员医疗支出。</w:t>
      </w:r>
    </w:p>
    <w:p w14:paraId="6471C1CF">
      <w:pPr>
        <w:pStyle w:val="22"/>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15. 节能环保支出（211）国土生态保护（04）生态保护（01）：指生态保护支出。</w:t>
      </w:r>
    </w:p>
    <w:p w14:paraId="5676050A">
      <w:pPr>
        <w:pStyle w:val="22"/>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16. 节能环保支出（211）国土生态保护（04）其他国土生态保护支出（99）：指其其他生态支出。</w:t>
      </w:r>
    </w:p>
    <w:p w14:paraId="64DA9DD2">
      <w:pPr>
        <w:pStyle w:val="22"/>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17. 城局社区支出（212）城局社区管理事务（01）其他城局社区管理事务支出（99）:指其他城局社区管理事务支出。</w:t>
      </w:r>
    </w:p>
    <w:p w14:paraId="35525433">
      <w:pPr>
        <w:pStyle w:val="22"/>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18. 城局社区支出（212）国有土地使用权出让收入及对应专项债务收入安排的支出（08）征地和拆迁补偿支出（01）：指征地和拆迁支出。</w:t>
      </w:r>
    </w:p>
    <w:p w14:paraId="47FE49E3">
      <w:pPr>
        <w:pStyle w:val="22"/>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19. 城局社区支出（212）国有土地使用权出让收入及对应专项债务收入安排的支出（08）其他国有土地使用权出让收入安排的支出（99）：指其他国有土地使用权出让收入安排的支出。</w:t>
      </w:r>
    </w:p>
    <w:p w14:paraId="37D55E88">
      <w:pPr>
        <w:pStyle w:val="22"/>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20. 城局社区支出（212）国有土地收益基金及对专项债务收入安排的支出（10）征地和拆迁补偿支出（01）：指征地和拆迁补偿支出。</w:t>
      </w:r>
    </w:p>
    <w:p w14:paraId="3E427660">
      <w:pPr>
        <w:pStyle w:val="22"/>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21. 城局社区支出（212）农业土地开发资金及对应专项债务收入安排的支出（11）农业土地开发资金及对应专项债务收入安排的支出（00）:指农业土地开发资金及对应专项债务收入安排的支出。</w:t>
      </w:r>
    </w:p>
    <w:p w14:paraId="4A4ADB50">
      <w:pPr>
        <w:pStyle w:val="22"/>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22. 土地海洋气象支出（220）土地资源事务（01）</w:t>
      </w:r>
    </w:p>
    <w:p w14:paraId="146F58FA">
      <w:pPr>
        <w:pStyle w:val="22"/>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行政运行（01）：指行政运行支出。</w:t>
      </w:r>
    </w:p>
    <w:p w14:paraId="2618CFF9">
      <w:pPr>
        <w:pStyle w:val="22"/>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23. 土地海洋气象支出（220）土地资源事务（01）</w:t>
      </w:r>
    </w:p>
    <w:p w14:paraId="794273E5">
      <w:pPr>
        <w:pStyle w:val="22"/>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一般行政管理事务（02）：指一般行政运行支出。</w:t>
      </w:r>
    </w:p>
    <w:p w14:paraId="29D2A416">
      <w:pPr>
        <w:pStyle w:val="22"/>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24. 土地海洋气象支出（220）地质灾害防治（11）其他国土资源事务支出（99）：指其他国土资源事务支出。</w:t>
      </w:r>
    </w:p>
    <w:p w14:paraId="45CF3E2C">
      <w:pPr>
        <w:pStyle w:val="22"/>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25. 地海洋气象支出（220）其他国土海洋气象等支出（99）其他国土海洋气象等支出（01）：指其他国土海洋气象支出。</w:t>
      </w:r>
    </w:p>
    <w:p w14:paraId="3E1FDC58">
      <w:pPr>
        <w:pStyle w:val="22"/>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26.住房保障支出（221）住房改革支出（02）住房公积金（01）：指行政事业单位按人力资源和社会保障部、财政部规定的基本工资和津补贴依规定比例为职工缴纳住房公积金。</w:t>
      </w:r>
    </w:p>
    <w:p w14:paraId="4C5553BE">
      <w:pPr>
        <w:pStyle w:val="22"/>
        <w:shd w:val="clear" w:color="auto" w:fill="FFFFFF"/>
        <w:rPr>
          <w:rFonts w:hint="eastAsia" w:ascii="仿宋_GB2312" w:eastAsia="仿宋_GB2312" w:cs="仿宋_GB2312"/>
          <w:kern w:val="2"/>
          <w:sz w:val="32"/>
          <w:szCs w:val="32"/>
        </w:rPr>
      </w:pPr>
      <w:r>
        <w:rPr>
          <w:rFonts w:hint="eastAsia" w:ascii="仿宋_GB2312" w:eastAsia="仿宋_GB2312" w:cs="仿宋_GB2312"/>
          <w:kern w:val="2"/>
          <w:sz w:val="32"/>
          <w:szCs w:val="32"/>
        </w:rPr>
        <w:t>27.基本支出：指为保障机构正常运转、完成日常工作任务而发生的人员支出和公用支出。</w:t>
      </w:r>
    </w:p>
    <w:p w14:paraId="23E81D8A">
      <w:pPr>
        <w:pStyle w:val="22"/>
        <w:shd w:val="clear" w:color="auto" w:fill="FFFFFF"/>
        <w:rPr>
          <w:rFonts w:hint="eastAsia" w:ascii="仿宋_GB2312" w:eastAsia="仿宋_GB2312" w:cs="仿宋_GB2312"/>
          <w:kern w:val="2"/>
          <w:sz w:val="32"/>
          <w:szCs w:val="32"/>
        </w:rPr>
      </w:pPr>
      <w:r>
        <w:rPr>
          <w:rFonts w:hint="eastAsia" w:ascii="仿宋_GB2312" w:eastAsia="仿宋_GB2312" w:cs="仿宋_GB2312"/>
          <w:kern w:val="2"/>
          <w:sz w:val="32"/>
          <w:szCs w:val="32"/>
        </w:rPr>
        <w:t>28.项目支出：指在基本支出之外为完成特定行政任务和事业发展目标所发生的支出。</w:t>
      </w:r>
    </w:p>
    <w:p w14:paraId="3EF2E194">
      <w:pPr>
        <w:pStyle w:val="22"/>
        <w:shd w:val="clear" w:color="auto" w:fill="FFFFFF"/>
        <w:rPr>
          <w:rFonts w:hint="eastAsia" w:ascii="仿宋_GB2312" w:eastAsia="仿宋_GB2312" w:cs="仿宋_GB2312"/>
          <w:kern w:val="2"/>
          <w:sz w:val="32"/>
          <w:szCs w:val="32"/>
        </w:rPr>
      </w:pPr>
      <w:r>
        <w:rPr>
          <w:rFonts w:hint="eastAsia" w:ascii="仿宋_GB2312" w:eastAsia="仿宋_GB2312" w:cs="仿宋_GB2312"/>
          <w:kern w:val="2"/>
          <w:sz w:val="32"/>
          <w:szCs w:val="32"/>
        </w:rPr>
        <w:t>29.经营支出：指事业单位在专业业务活动及其辅助活动之外开展非独立核算经营活动发生的支出。</w:t>
      </w:r>
    </w:p>
    <w:p w14:paraId="6F803A0E">
      <w:pPr>
        <w:pStyle w:val="22"/>
        <w:shd w:val="clear" w:color="auto" w:fill="FFFFFF"/>
        <w:rPr>
          <w:rFonts w:hint="eastAsia" w:ascii="仿宋_GB2312" w:eastAsia="仿宋_GB2312" w:cs="仿宋_GB2312"/>
          <w:kern w:val="2"/>
          <w:sz w:val="32"/>
          <w:szCs w:val="32"/>
        </w:rPr>
      </w:pPr>
      <w:r>
        <w:rPr>
          <w:rFonts w:hint="eastAsia" w:ascii="仿宋_GB2312" w:eastAsia="仿宋_GB2312" w:cs="仿宋_GB2312"/>
          <w:kern w:val="2"/>
          <w:sz w:val="32"/>
          <w:szCs w:val="32"/>
        </w:rPr>
        <w:t>30.“三公”经费：指部门用财政拨款安排的因公出国（境）费、公务用车购置及运行费和公务接待费。其中，因公出国（境）</w:t>
      </w:r>
      <w:r>
        <w:rPr>
          <w:rFonts w:hint="eastAsia" w:ascii="仿宋_GB2312" w:eastAsia="仿宋_GB2312" w:cs="仿宋_GB2312"/>
          <w:sz w:val="32"/>
          <w:szCs w:val="32"/>
        </w:rPr>
        <w:t>费反映</w:t>
      </w:r>
      <w:r>
        <w:rPr>
          <w:rFonts w:hint="eastAsia" w:ascii="仿宋_GB2312" w:eastAsia="仿宋_GB2312" w:cs="仿宋_GB2312"/>
          <w:kern w:val="2"/>
          <w:sz w:val="32"/>
          <w:szCs w:val="32"/>
        </w:rPr>
        <w:t>单位公务出国（境）的国际旅费、国外城市间交通费、住宿费、伙食费、培训费、公杂费等支出；公务用车购置及运行</w:t>
      </w:r>
      <w:r>
        <w:rPr>
          <w:rFonts w:hint="eastAsia" w:ascii="仿宋_GB2312" w:eastAsia="仿宋_GB2312" w:cs="仿宋_GB2312"/>
          <w:sz w:val="32"/>
          <w:szCs w:val="32"/>
        </w:rPr>
        <w:t>费反映</w:t>
      </w:r>
      <w:r>
        <w:rPr>
          <w:rFonts w:hint="eastAsia" w:ascii="仿宋_GB2312" w:eastAsia="仿宋_GB2312" w:cs="仿宋_GB2312"/>
          <w:kern w:val="2"/>
          <w:sz w:val="32"/>
          <w:szCs w:val="32"/>
        </w:rPr>
        <w:t>单位公务用车车辆购置支出（</w:t>
      </w:r>
      <w:r>
        <w:rPr>
          <w:rFonts w:hint="eastAsia" w:ascii="仿宋_GB2312" w:eastAsia="仿宋_GB2312" w:cs="仿宋_GB2312"/>
          <w:sz w:val="32"/>
          <w:szCs w:val="32"/>
        </w:rPr>
        <w:t>含车辆</w:t>
      </w:r>
      <w:r>
        <w:rPr>
          <w:rFonts w:hint="eastAsia" w:ascii="仿宋_GB2312" w:eastAsia="仿宋_GB2312" w:cs="仿宋_GB2312"/>
          <w:kern w:val="2"/>
          <w:sz w:val="32"/>
          <w:szCs w:val="32"/>
        </w:rPr>
        <w:t>购置税）及租用费、燃料费、维修费、过路过桥费、保险费等支出；公务接待</w:t>
      </w:r>
      <w:r>
        <w:rPr>
          <w:rFonts w:hint="eastAsia" w:ascii="仿宋_GB2312" w:eastAsia="仿宋_GB2312" w:cs="仿宋_GB2312"/>
          <w:sz w:val="32"/>
          <w:szCs w:val="32"/>
        </w:rPr>
        <w:t>费反映</w:t>
      </w:r>
      <w:r>
        <w:rPr>
          <w:rFonts w:hint="eastAsia" w:ascii="仿宋_GB2312" w:eastAsia="仿宋_GB2312" w:cs="仿宋_GB2312"/>
          <w:kern w:val="2"/>
          <w:sz w:val="32"/>
          <w:szCs w:val="32"/>
        </w:rPr>
        <w:t>单位按规定开支的各类公务接待（含外宾接待）支出。</w:t>
      </w:r>
    </w:p>
    <w:p w14:paraId="6D52C299">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仿宋_GB2312" w:eastAsia="仿宋_GB2312" w:cs="仿宋_GB2312"/>
          <w:kern w:val="2"/>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1152947">
      <w:pPr>
        <w:spacing w:line="600" w:lineRule="exact"/>
        <w:jc w:val="center"/>
        <w:rPr>
          <w:rStyle w:val="28"/>
          <w:rFonts w:hint="eastAsia" w:ascii="Times New Roman" w:hAnsi="Times New Roman" w:eastAsia="黑体"/>
          <w:b w:val="0"/>
          <w:color w:val="auto"/>
          <w:highlight w:val="none"/>
          <w:lang w:eastAsia="zh-CN"/>
        </w:rPr>
      </w:pPr>
      <w:bookmarkStart w:id="78" w:name="_Toc15377226"/>
      <w:r>
        <w:rPr>
          <w:rFonts w:hint="eastAsia" w:ascii="Times New Roman" w:hAnsi="Times New Roman" w:eastAsia="仿宋_GB2312" w:cs="仿宋_GB2312"/>
          <w:color w:val="auto"/>
          <w:kern w:val="2"/>
          <w:sz w:val="32"/>
          <w:szCs w:val="32"/>
          <w:highlight w:val="none"/>
          <w:lang w:val="en-US" w:eastAsia="zh-CN" w:bidi="ar-SA"/>
        </w:rPr>
        <w:br w:type="page"/>
      </w:r>
      <w:bookmarkStart w:id="79" w:name="_Toc15396614"/>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79"/>
    </w:p>
    <w:p w14:paraId="49023ACF">
      <w:pPr>
        <w:keepNext w:val="0"/>
        <w:keepLines w:val="0"/>
        <w:pageBreakBefore w:val="0"/>
        <w:widowControl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14:paraId="787A2741">
      <w:pPr>
        <w:keepNext w:val="0"/>
        <w:keepLines w:val="0"/>
        <w:pageBreakBefore w:val="0"/>
        <w:widowControl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bookmarkStart w:id="80" w:name="_Toc88884176"/>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bookmarkEnd w:id="80"/>
    </w:p>
    <w:p w14:paraId="3DC12E15">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ascii="Times New Roman" w:hAnsi="Times New Roman" w:eastAsia="方正小标宋简体" w:cs="Times New Roman"/>
          <w:b w:val="0"/>
          <w:bCs/>
          <w:sz w:val="44"/>
          <w:szCs w:val="44"/>
          <w:highlight w:val="none"/>
          <w:shd w:val="clear" w:color="auto" w:fill="FFFFFF"/>
        </w:rPr>
      </w:pPr>
    </w:p>
    <w:p w14:paraId="367B4B23">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ascii="Times New Roman" w:hAnsi="Times New Roman" w:eastAsia="方正小标宋简体" w:cs="Times New Roman"/>
          <w:b w:val="0"/>
          <w:bCs/>
          <w:sz w:val="44"/>
          <w:szCs w:val="44"/>
          <w:highlight w:val="none"/>
          <w:shd w:val="clear" w:color="auto" w:fill="FFFFFF"/>
        </w:rPr>
      </w:pPr>
      <w:r>
        <w:rPr>
          <w:rFonts w:hint="eastAsia" w:eastAsia="方正小标宋简体" w:cs="Times New Roman"/>
          <w:b w:val="0"/>
          <w:bCs/>
          <w:sz w:val="44"/>
          <w:szCs w:val="44"/>
          <w:highlight w:val="none"/>
          <w:shd w:val="clear" w:color="auto" w:fill="FFFFFF"/>
          <w:lang w:val="en-US" w:eastAsia="zh-CN"/>
        </w:rPr>
        <w:t>九寨沟县自然资源局2024年县级</w:t>
      </w:r>
      <w:r>
        <w:rPr>
          <w:rFonts w:ascii="Times New Roman" w:hAnsi="Times New Roman" w:eastAsia="方正小标宋简体" w:cs="Times New Roman"/>
          <w:b w:val="0"/>
          <w:bCs/>
          <w:sz w:val="44"/>
          <w:szCs w:val="44"/>
          <w:highlight w:val="none"/>
          <w:shd w:val="clear" w:color="auto" w:fill="FFFFFF"/>
        </w:rPr>
        <w:t>部门</w:t>
      </w:r>
    </w:p>
    <w:p w14:paraId="6501729A">
      <w:pPr>
        <w:keepNext w:val="0"/>
        <w:keepLines w:val="0"/>
        <w:pageBreakBefore w:val="0"/>
        <w:widowControl/>
        <w:kinsoku/>
        <w:wordWrap/>
        <w:overflowPunct/>
        <w:topLinePunct w:val="0"/>
        <w:autoSpaceDE/>
        <w:autoSpaceDN/>
        <w:bidi w:val="0"/>
        <w:spacing w:line="578" w:lineRule="exact"/>
        <w:contextualSpacing/>
        <w:jc w:val="center"/>
        <w:textAlignment w:val="auto"/>
        <w:outlineLvl w:val="9"/>
      </w:pPr>
      <w:r>
        <w:rPr>
          <w:rFonts w:ascii="Times New Roman" w:hAnsi="Times New Roman" w:eastAsia="方正小标宋简体" w:cs="Times New Roman"/>
          <w:b w:val="0"/>
          <w:bCs/>
          <w:sz w:val="44"/>
          <w:szCs w:val="44"/>
          <w:highlight w:val="none"/>
          <w:shd w:val="clear" w:color="auto" w:fill="FFFFFF"/>
          <w:lang w:eastAsia="zh-CN"/>
        </w:rPr>
        <w:t>预算</w:t>
      </w:r>
      <w:r>
        <w:rPr>
          <w:rFonts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评价</w:t>
      </w:r>
      <w:r>
        <w:rPr>
          <w:rFonts w:ascii="Times New Roman" w:hAnsi="Times New Roman" w:eastAsia="方正小标宋简体" w:cs="Times New Roman"/>
          <w:b w:val="0"/>
          <w:bCs/>
          <w:sz w:val="44"/>
          <w:szCs w:val="44"/>
          <w:highlight w:val="none"/>
          <w:shd w:val="clear" w:color="auto" w:fill="FFFFFF"/>
        </w:rPr>
        <w:t>报告</w:t>
      </w:r>
    </w:p>
    <w:p w14:paraId="11E59343">
      <w:pPr>
        <w:keepNext w:val="0"/>
        <w:keepLines w:val="0"/>
        <w:pageBreakBefore w:val="0"/>
        <w:widowControl/>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ascii="Times New Roman" w:hAnsi="Times New Roman" w:cs="Times New Roman"/>
          <w:sz w:val="32"/>
          <w:szCs w:val="32"/>
        </w:rPr>
      </w:pPr>
      <w:r>
        <w:rPr>
          <w:rFonts w:hint="eastAsia" w:eastAsia="黑体" w:cs="Times New Roman"/>
          <w:color w:val="000000"/>
          <w:kern w:val="0"/>
          <w:sz w:val="32"/>
          <w:szCs w:val="32"/>
          <w:highlight w:val="none"/>
          <w:shd w:val="clear" w:color="auto" w:fill="FFFFFF"/>
          <w:lang w:val="zh-CN"/>
        </w:rPr>
        <w:t>一、</w:t>
      </w:r>
      <w:r>
        <w:rPr>
          <w:rFonts w:ascii="Times New Roman" w:hAnsi="Times New Roman" w:eastAsia="黑体" w:cs="Times New Roman"/>
          <w:color w:val="000000"/>
          <w:kern w:val="0"/>
          <w:sz w:val="32"/>
          <w:szCs w:val="32"/>
          <w:highlight w:val="none"/>
          <w:shd w:val="clear" w:color="auto" w:fill="FFFFFF"/>
          <w:lang w:val="zh-CN"/>
        </w:rPr>
        <w:t>部门（单位）基本情况</w:t>
      </w:r>
    </w:p>
    <w:p w14:paraId="511AF7FB">
      <w:pPr>
        <w:keepNext w:val="0"/>
        <w:keepLines w:val="0"/>
        <w:pageBreakBefore w:val="0"/>
        <w:widowControl/>
        <w:kinsoku/>
        <w:wordWrap/>
        <w:overflowPunct/>
        <w:topLinePunct w:val="0"/>
        <w:autoSpaceDE/>
        <w:autoSpaceDN/>
        <w:bidi w:val="0"/>
        <w:adjustRightInd w:val="0"/>
        <w:snapToGrid w:val="0"/>
        <w:spacing w:line="578" w:lineRule="exact"/>
        <w:ind w:left="0" w:firstLine="643" w:firstLineChars="200"/>
        <w:contextualSpacing/>
        <w:jc w:val="left"/>
        <w:textAlignment w:val="auto"/>
        <w:outlineLvl w:val="9"/>
        <w:rPr>
          <w:rFonts w:ascii="Times New Roman" w:hAnsi="Times New Roman" w:eastAsia="楷体_GB2312" w:cs="Times New Roman"/>
          <w:b/>
          <w:bCs/>
          <w:color w:val="000000"/>
          <w:kern w:val="0"/>
          <w:sz w:val="32"/>
          <w:szCs w:val="32"/>
          <w:highlight w:val="none"/>
          <w:shd w:val="clear" w:color="auto" w:fill="FFFFFF"/>
          <w:lang w:val="zh-CN"/>
        </w:rPr>
      </w:pPr>
      <w:r>
        <w:rPr>
          <w:rFonts w:hint="eastAsia" w:eastAsia="楷体_GB2312" w:cs="Times New Roman"/>
          <w:b/>
          <w:bCs/>
          <w:color w:val="000000"/>
          <w:kern w:val="0"/>
          <w:sz w:val="32"/>
          <w:szCs w:val="32"/>
          <w:highlight w:val="none"/>
          <w:shd w:val="clear" w:color="auto" w:fill="FFFFFF"/>
          <w:lang w:val="zh-CN"/>
        </w:rPr>
        <w:t>（一）</w:t>
      </w:r>
      <w:r>
        <w:rPr>
          <w:rFonts w:ascii="Times New Roman" w:hAnsi="Times New Roman" w:eastAsia="楷体_GB2312" w:cs="Times New Roman"/>
          <w:b/>
          <w:bCs/>
          <w:color w:val="000000"/>
          <w:kern w:val="0"/>
          <w:sz w:val="32"/>
          <w:szCs w:val="32"/>
          <w:highlight w:val="none"/>
          <w:shd w:val="clear" w:color="auto" w:fill="FFFFFF"/>
          <w:lang w:val="zh-CN"/>
        </w:rPr>
        <w:t>机构组成。</w:t>
      </w:r>
    </w:p>
    <w:p w14:paraId="7AF56406">
      <w:pPr>
        <w:pStyle w:val="22"/>
        <w:adjustRightInd/>
        <w:snapToGrid/>
        <w:spacing w:before="0" w:beforeAutospacing="0" w:after="0" w:afterAutospacing="0" w:line="560" w:lineRule="exact"/>
        <w:ind w:firstLine="640" w:firstLineChars="200"/>
        <w:contextualSpacing/>
        <w:rPr>
          <w:sz w:val="32"/>
          <w:szCs w:val="32"/>
        </w:rPr>
      </w:pPr>
      <w:r>
        <w:rPr>
          <w:rFonts w:hint="eastAsia" w:ascii="仿宋" w:eastAsia="仿宋"/>
          <w:color w:val="000000"/>
          <w:sz w:val="32"/>
          <w:szCs w:val="32"/>
          <w:shd w:val="clear" w:color="auto" w:fill="FFFFFF"/>
        </w:rPr>
        <w:t>本单位下属事业单位机构数为</w:t>
      </w:r>
      <w:r>
        <w:rPr>
          <w:rFonts w:hint="eastAsia" w:ascii="仿宋" w:eastAsia="仿宋"/>
          <w:color w:val="000000"/>
          <w:sz w:val="32"/>
          <w:szCs w:val="32"/>
          <w:shd w:val="clear" w:color="auto" w:fill="FFFFFF"/>
          <w:lang w:val="en-US" w:eastAsia="zh-CN"/>
        </w:rPr>
        <w:t>8</w:t>
      </w:r>
      <w:r>
        <w:rPr>
          <w:rFonts w:hint="eastAsia" w:ascii="仿宋" w:eastAsia="仿宋"/>
          <w:color w:val="000000"/>
          <w:sz w:val="32"/>
          <w:szCs w:val="32"/>
          <w:shd w:val="clear" w:color="auto" w:fill="FFFFFF"/>
        </w:rPr>
        <w:t>个，主要包括：九寨沟县南坪自然资源所、九寨沟县漳扎自然资源所、九寨沟县玉瓦自然资源所、九寨沟县双河自然资源所、九寨沟县不动产登记中心、九寨沟县土地收购储备中心、九寨沟县生态修复与地质灾害防治研究所、九寨沟县规划管理服务所（挂县测绘地理信息中心牌子）</w:t>
      </w:r>
    </w:p>
    <w:p w14:paraId="4DFF3AB4">
      <w:pPr>
        <w:keepNext w:val="0"/>
        <w:keepLines w:val="0"/>
        <w:pageBreakBefore w:val="0"/>
        <w:widowControl/>
        <w:numPr>
          <w:ilvl w:val="0"/>
          <w:numId w:val="3"/>
        </w:numPr>
        <w:kinsoku/>
        <w:wordWrap/>
        <w:overflowPunct/>
        <w:topLinePunct w:val="0"/>
        <w:autoSpaceDE/>
        <w:autoSpaceDN/>
        <w:bidi w:val="0"/>
        <w:adjustRightInd w:val="0"/>
        <w:snapToGrid w:val="0"/>
        <w:spacing w:line="578" w:lineRule="exact"/>
        <w:ind w:left="0" w:firstLine="643" w:firstLineChars="200"/>
        <w:contextualSpacing/>
        <w:jc w:val="left"/>
        <w:textAlignment w:val="auto"/>
        <w:outlineLvl w:val="9"/>
        <w:rPr>
          <w:rFonts w:hint="eastAsia" w:eastAsia="楷体_GB2312" w:cs="Times New Roman"/>
          <w:b/>
          <w:bCs/>
          <w:color w:val="000000"/>
          <w:kern w:val="0"/>
          <w:sz w:val="32"/>
          <w:szCs w:val="32"/>
          <w:highlight w:val="none"/>
          <w:shd w:val="clear" w:color="auto" w:fill="FFFFFF"/>
          <w:lang w:val="zh-CN"/>
        </w:rPr>
      </w:pPr>
      <w:r>
        <w:rPr>
          <w:rFonts w:ascii="Times New Roman" w:hAnsi="Times New Roman" w:eastAsia="楷体_GB2312" w:cs="Times New Roman"/>
          <w:b/>
          <w:bCs/>
          <w:color w:val="000000"/>
          <w:kern w:val="0"/>
          <w:sz w:val="32"/>
          <w:szCs w:val="32"/>
          <w:highlight w:val="none"/>
          <w:shd w:val="clear" w:color="auto" w:fill="FFFFFF"/>
          <w:lang w:val="zh-CN"/>
        </w:rPr>
        <w:t>机构职能</w:t>
      </w:r>
      <w:r>
        <w:rPr>
          <w:rFonts w:hint="eastAsia" w:eastAsia="楷体_GB2312" w:cs="Times New Roman"/>
          <w:b/>
          <w:bCs/>
          <w:color w:val="000000"/>
          <w:kern w:val="0"/>
          <w:sz w:val="32"/>
          <w:szCs w:val="32"/>
          <w:highlight w:val="none"/>
          <w:shd w:val="clear" w:color="auto" w:fill="FFFFFF"/>
          <w:lang w:val="zh-CN"/>
        </w:rPr>
        <w:t>。</w:t>
      </w:r>
    </w:p>
    <w:p w14:paraId="4382717C">
      <w:pPr>
        <w:widowControl/>
        <w:adjustRightInd w:val="0"/>
        <w:snapToGrid w:val="0"/>
        <w:spacing w:line="480" w:lineRule="exact"/>
        <w:ind w:firstLine="720"/>
        <w:jc w:val="left"/>
        <w:rPr>
          <w:rFonts w:eastAsia="楷体_GB2312" w:cs="Times New Roman"/>
          <w:b/>
          <w:bCs/>
          <w:color w:val="000000"/>
          <w:kern w:val="0"/>
          <w:sz w:val="32"/>
          <w:szCs w:val="32"/>
          <w:highlight w:val="none"/>
          <w:shd w:val="clear" w:color="auto" w:fill="FFFFFF"/>
          <w:lang w:val="zh-CN"/>
        </w:rPr>
      </w:pPr>
      <w:r>
        <w:rPr>
          <w:rFonts w:hint="eastAsia" w:ascii="仿宋" w:eastAsia="仿宋"/>
          <w:color w:val="333333"/>
          <w:sz w:val="32"/>
          <w:szCs w:val="32"/>
          <w:shd w:val="clear" w:color="auto" w:fill="FFFFFF"/>
        </w:rPr>
        <w:t>按照规定权限，履行全民所有土地、矿产、森林、草原、湿地、水等自然资源资产所有者职责和所有国土空间用途管制职责；负责全县自然资源调查监测评价；负责全县自然资源统一确权登记工作；负责全县自然资源资产有偿使用工作；负责全县自然资源的合理开发利用；负责建立全县空间规划体系并监督实施；负责统筹全县国土空间生态修复；负责组织实施最严格的耕地保护制度；负责管理全县地质勘查行业和地质工作；负责落实综合防灾减灾规划相关要求，组织编制并实施地质灾害防治规划；负责全县矿产资源管理工作；负责全县测绘地理信息工作；推动全县自然资源领域科技发展和对外合作；配合国家、省、州、县级政府落实党中央、国务院关于自然资源和国土空间规划的重大方针政策、决策部署及法律法规执行情况进行督察；负责职责范围内的安全生产和职业健康、生态环境保护、审批服务便民化等工作；完成县委、县政府交办的其他任务</w:t>
      </w:r>
      <w:r>
        <w:rPr>
          <w:rFonts w:hint="eastAsia" w:ascii="仿宋" w:eastAsia="仿宋"/>
          <w:color w:val="333333"/>
          <w:sz w:val="32"/>
          <w:szCs w:val="32"/>
          <w:shd w:val="clear" w:color="auto" w:fill="FFFFFF"/>
          <w:lang w:eastAsia="zh-CN"/>
        </w:rPr>
        <w:t>。</w:t>
      </w:r>
    </w:p>
    <w:p w14:paraId="453DC110">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firstLine="643" w:firstLineChars="200"/>
        <w:textAlignment w:val="auto"/>
        <w:rPr>
          <w:rFonts w:hint="eastAsia" w:eastAsia="楷体_GB2312" w:cs="Times New Roman"/>
          <w:b/>
          <w:bCs/>
          <w:color w:val="000000"/>
          <w:kern w:val="0"/>
          <w:sz w:val="32"/>
          <w:szCs w:val="32"/>
          <w:highlight w:val="none"/>
          <w:shd w:val="clear" w:color="auto" w:fill="FFFFFF"/>
          <w:lang w:val="zh-CN"/>
        </w:rPr>
      </w:pPr>
      <w:r>
        <w:rPr>
          <w:rFonts w:ascii="Times New Roman" w:hAnsi="Times New Roman" w:eastAsia="楷体_GB2312" w:cs="Times New Roman"/>
          <w:b/>
          <w:bCs/>
          <w:color w:val="000000"/>
          <w:kern w:val="0"/>
          <w:sz w:val="32"/>
          <w:szCs w:val="32"/>
          <w:highlight w:val="none"/>
          <w:shd w:val="clear" w:color="auto" w:fill="FFFFFF"/>
          <w:lang w:val="zh-CN"/>
        </w:rPr>
        <w:t>人员概况</w:t>
      </w:r>
      <w:r>
        <w:rPr>
          <w:rFonts w:hint="eastAsia" w:eastAsia="楷体_GB2312" w:cs="Times New Roman"/>
          <w:b/>
          <w:bCs/>
          <w:color w:val="000000"/>
          <w:kern w:val="0"/>
          <w:sz w:val="32"/>
          <w:szCs w:val="32"/>
          <w:highlight w:val="none"/>
          <w:shd w:val="clear" w:color="auto" w:fill="FFFFFF"/>
          <w:lang w:val="zh-CN"/>
        </w:rPr>
        <w:t>。</w:t>
      </w:r>
    </w:p>
    <w:p w14:paraId="7A25386A">
      <w:pPr>
        <w:widowControl/>
        <w:adjustRightInd w:val="0"/>
        <w:snapToGrid w:val="0"/>
        <w:spacing w:line="580" w:lineRule="exact"/>
        <w:ind w:firstLine="640" w:firstLineChars="200"/>
        <w:contextualSpacing/>
        <w:jc w:val="left"/>
        <w:rPr>
          <w:rFonts w:eastAsia="楷体_GB2312" w:cs="Times New Roman"/>
          <w:b/>
          <w:bCs/>
          <w:color w:val="000000"/>
          <w:kern w:val="0"/>
          <w:sz w:val="32"/>
          <w:szCs w:val="32"/>
          <w:highlight w:val="none"/>
          <w:shd w:val="clear" w:color="auto" w:fill="FFFFFF"/>
          <w:lang w:val="zh-CN"/>
        </w:rPr>
      </w:pPr>
      <w:r>
        <w:rPr>
          <w:rFonts w:hint="eastAsia" w:ascii="仿宋" w:eastAsia="仿宋"/>
          <w:color w:val="333333"/>
          <w:sz w:val="32"/>
          <w:szCs w:val="32"/>
          <w:shd w:val="clear" w:color="auto" w:fill="FFFFFF"/>
        </w:rPr>
        <w:t>202</w:t>
      </w:r>
      <w:r>
        <w:rPr>
          <w:rFonts w:hint="eastAsia" w:ascii="仿宋" w:eastAsia="仿宋"/>
          <w:color w:val="333333"/>
          <w:sz w:val="32"/>
          <w:szCs w:val="32"/>
          <w:shd w:val="clear" w:color="auto" w:fill="FFFFFF"/>
          <w:lang w:val="en-US" w:eastAsia="zh-CN"/>
        </w:rPr>
        <w:t>4</w:t>
      </w:r>
      <w:r>
        <w:rPr>
          <w:rFonts w:hint="eastAsia" w:ascii="仿宋" w:eastAsia="仿宋"/>
          <w:color w:val="333333"/>
          <w:sz w:val="32"/>
          <w:szCs w:val="32"/>
          <w:shd w:val="clear" w:color="auto" w:fill="FFFFFF"/>
        </w:rPr>
        <w:t>年年底，部门人员编制数为</w:t>
      </w:r>
      <w:r>
        <w:rPr>
          <w:rFonts w:hint="eastAsia" w:ascii="仿宋" w:eastAsia="仿宋"/>
          <w:color w:val="333333"/>
          <w:sz w:val="32"/>
          <w:szCs w:val="32"/>
          <w:shd w:val="clear" w:color="auto" w:fill="FFFFFF"/>
          <w:lang w:val="en-US" w:eastAsia="zh-CN"/>
        </w:rPr>
        <w:t>42</w:t>
      </w:r>
      <w:r>
        <w:rPr>
          <w:rFonts w:hint="eastAsia" w:ascii="仿宋" w:eastAsia="仿宋"/>
          <w:color w:val="333333"/>
          <w:sz w:val="32"/>
          <w:szCs w:val="32"/>
          <w:shd w:val="clear" w:color="auto" w:fill="FFFFFF"/>
        </w:rPr>
        <w:t>人；部门实有人数</w:t>
      </w:r>
      <w:r>
        <w:rPr>
          <w:rFonts w:hint="eastAsia" w:ascii="仿宋" w:eastAsia="仿宋"/>
          <w:color w:val="333333"/>
          <w:sz w:val="32"/>
          <w:szCs w:val="32"/>
          <w:shd w:val="clear" w:color="auto" w:fill="FFFFFF"/>
          <w:lang w:val="en-US" w:eastAsia="zh-CN"/>
        </w:rPr>
        <w:t>41</w:t>
      </w:r>
      <w:r>
        <w:rPr>
          <w:rFonts w:hint="eastAsia" w:ascii="仿宋" w:eastAsia="仿宋"/>
          <w:color w:val="333333"/>
          <w:sz w:val="32"/>
          <w:szCs w:val="32"/>
          <w:shd w:val="clear" w:color="auto" w:fill="FFFFFF"/>
        </w:rPr>
        <w:t>人，其中：公务员编制人员</w:t>
      </w:r>
      <w:r>
        <w:rPr>
          <w:rFonts w:hint="eastAsia" w:ascii="仿宋" w:eastAsia="仿宋"/>
          <w:color w:val="333333"/>
          <w:sz w:val="32"/>
          <w:szCs w:val="32"/>
          <w:shd w:val="clear" w:color="auto" w:fill="FFFFFF"/>
          <w:lang w:val="en-US" w:eastAsia="zh-CN"/>
        </w:rPr>
        <w:t>7</w:t>
      </w:r>
      <w:r>
        <w:rPr>
          <w:rFonts w:hint="eastAsia" w:ascii="仿宋" w:eastAsia="仿宋"/>
          <w:color w:val="333333"/>
          <w:sz w:val="32"/>
          <w:szCs w:val="32"/>
          <w:shd w:val="clear" w:color="auto" w:fill="FFFFFF"/>
        </w:rPr>
        <w:t>人，行政工勤</w:t>
      </w:r>
      <w:r>
        <w:rPr>
          <w:rFonts w:hint="eastAsia" w:ascii="仿宋" w:eastAsia="仿宋"/>
          <w:color w:val="333333"/>
          <w:sz w:val="32"/>
          <w:szCs w:val="32"/>
          <w:shd w:val="clear" w:color="auto" w:fill="FFFFFF"/>
          <w:lang w:val="en-US" w:eastAsia="zh-CN"/>
        </w:rPr>
        <w:t>1</w:t>
      </w:r>
      <w:r>
        <w:rPr>
          <w:rFonts w:hint="eastAsia" w:ascii="仿宋" w:eastAsia="仿宋"/>
          <w:color w:val="333333"/>
          <w:sz w:val="32"/>
          <w:szCs w:val="32"/>
          <w:shd w:val="clear" w:color="auto" w:fill="FFFFFF"/>
        </w:rPr>
        <w:t>人，事业编制3</w:t>
      </w:r>
      <w:r>
        <w:rPr>
          <w:rFonts w:hint="eastAsia" w:ascii="仿宋" w:eastAsia="仿宋"/>
          <w:color w:val="333333"/>
          <w:sz w:val="32"/>
          <w:szCs w:val="32"/>
          <w:shd w:val="clear" w:color="auto" w:fill="FFFFFF"/>
          <w:lang w:val="en-US" w:eastAsia="zh-CN"/>
        </w:rPr>
        <w:t>3</w:t>
      </w:r>
      <w:r>
        <w:rPr>
          <w:rFonts w:hint="eastAsia" w:ascii="仿宋" w:eastAsia="仿宋"/>
          <w:color w:val="333333"/>
          <w:sz w:val="32"/>
          <w:szCs w:val="32"/>
          <w:shd w:val="clear" w:color="auto" w:fill="FFFFFF"/>
        </w:rPr>
        <w:t>人，离退休人员</w:t>
      </w:r>
      <w:r>
        <w:rPr>
          <w:rFonts w:hint="eastAsia" w:ascii="仿宋" w:eastAsia="仿宋"/>
          <w:color w:val="333333"/>
          <w:sz w:val="32"/>
          <w:szCs w:val="32"/>
          <w:shd w:val="clear" w:color="auto" w:fill="FFFFFF"/>
          <w:lang w:val="en-US" w:eastAsia="zh-CN"/>
        </w:rPr>
        <w:t>10</w:t>
      </w:r>
      <w:r>
        <w:rPr>
          <w:rFonts w:hint="eastAsia" w:ascii="仿宋" w:eastAsia="仿宋"/>
          <w:color w:val="333333"/>
          <w:sz w:val="32"/>
          <w:szCs w:val="32"/>
          <w:shd w:val="clear" w:color="auto" w:fill="FFFFFF"/>
        </w:rPr>
        <w:t>人。</w:t>
      </w:r>
    </w:p>
    <w:p w14:paraId="71D88A88">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Times New Roman" w:hAnsi="Times New Roman" w:eastAsia="黑体" w:cs="Times New Roman"/>
          <w:color w:val="000000"/>
          <w:kern w:val="0"/>
          <w:sz w:val="32"/>
          <w:szCs w:val="32"/>
          <w:highlight w:val="none"/>
          <w:shd w:val="clear" w:color="auto" w:fill="FFFFFF"/>
        </w:rPr>
      </w:pPr>
      <w:r>
        <w:rPr>
          <w:rFonts w:ascii="Times New Roman" w:hAnsi="Times New Roman" w:eastAsia="黑体" w:cs="Times New Roman"/>
          <w:color w:val="000000"/>
          <w:kern w:val="0"/>
          <w:sz w:val="32"/>
          <w:szCs w:val="32"/>
          <w:highlight w:val="none"/>
          <w:shd w:val="clear" w:color="auto" w:fill="FFFFFF"/>
        </w:rPr>
        <w:t>二、</w:t>
      </w:r>
      <w:r>
        <w:rPr>
          <w:rFonts w:ascii="Times New Roman" w:hAnsi="Times New Roman" w:eastAsia="黑体" w:cs="Times New Roman"/>
          <w:color w:val="000000"/>
          <w:kern w:val="0"/>
          <w:sz w:val="32"/>
          <w:szCs w:val="32"/>
          <w:highlight w:val="none"/>
          <w:shd w:val="clear" w:color="auto" w:fill="FFFFFF"/>
          <w:lang w:eastAsia="zh-CN"/>
        </w:rPr>
        <w:t>部门</w:t>
      </w:r>
      <w:r>
        <w:rPr>
          <w:rFonts w:ascii="Times New Roman" w:hAnsi="Times New Roman" w:eastAsia="黑体" w:cs="Times New Roman"/>
          <w:color w:val="000000"/>
          <w:kern w:val="0"/>
          <w:sz w:val="32"/>
          <w:szCs w:val="32"/>
          <w:highlight w:val="none"/>
          <w:shd w:val="clear" w:color="auto" w:fill="FFFFFF"/>
        </w:rPr>
        <w:t>资金收支情况</w:t>
      </w:r>
    </w:p>
    <w:p w14:paraId="1A3B497B">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ascii="Times New Roman" w:hAnsi="Times New Roman" w:eastAsia="楷体_GB2312" w:cs="Times New Roman"/>
          <w:b/>
          <w:bCs/>
          <w:color w:val="000000"/>
          <w:kern w:val="0"/>
          <w:sz w:val="32"/>
          <w:szCs w:val="32"/>
          <w:highlight w:val="none"/>
          <w:shd w:val="clear" w:color="auto" w:fill="FFFFFF"/>
          <w:lang w:val="zh-CN"/>
        </w:rPr>
      </w:pPr>
      <w:r>
        <w:rPr>
          <w:rFonts w:ascii="Times New Roman" w:hAnsi="Times New Roman" w:eastAsia="楷体_GB2312" w:cs="Times New Roman"/>
          <w:b/>
          <w:bCs/>
          <w:color w:val="000000"/>
          <w:kern w:val="0"/>
          <w:sz w:val="32"/>
          <w:szCs w:val="32"/>
          <w:highlight w:val="none"/>
          <w:shd w:val="clear" w:color="auto" w:fill="FFFFFF"/>
          <w:lang w:val="zh-CN"/>
        </w:rPr>
        <w:t>（一）</w:t>
      </w:r>
      <w:r>
        <w:rPr>
          <w:rFonts w:hint="eastAsia" w:eastAsia="楷体_GB2312" w:cs="Times New Roman"/>
          <w:b/>
          <w:bCs/>
          <w:color w:val="000000"/>
          <w:kern w:val="0"/>
          <w:sz w:val="32"/>
          <w:szCs w:val="32"/>
          <w:highlight w:val="none"/>
          <w:shd w:val="clear" w:color="auto" w:fill="FFFFFF"/>
          <w:lang w:val="zh-CN"/>
        </w:rPr>
        <w:t>收入情况</w:t>
      </w:r>
      <w:r>
        <w:rPr>
          <w:rFonts w:ascii="Times New Roman" w:hAnsi="Times New Roman" w:eastAsia="楷体_GB2312" w:cs="Times New Roman"/>
          <w:b/>
          <w:bCs/>
          <w:color w:val="000000"/>
          <w:kern w:val="0"/>
          <w:sz w:val="32"/>
          <w:szCs w:val="32"/>
          <w:highlight w:val="none"/>
          <w:shd w:val="clear" w:color="auto" w:fill="FFFFFF"/>
          <w:lang w:val="zh-CN"/>
        </w:rPr>
        <w:t>。</w:t>
      </w:r>
    </w:p>
    <w:p w14:paraId="3697990F">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Times New Roman" w:hAnsi="Times New Roman" w:eastAsia="楷体_GB2312" w:cs="Times New Roman"/>
          <w:b/>
          <w:bCs/>
          <w:color w:val="000000"/>
          <w:kern w:val="0"/>
          <w:sz w:val="32"/>
          <w:szCs w:val="32"/>
          <w:highlight w:val="none"/>
          <w:shd w:val="clear" w:color="auto" w:fill="FFFFFF"/>
          <w:lang w:val="zh-CN"/>
        </w:rPr>
      </w:pPr>
      <w:r>
        <w:rPr>
          <w:rFonts w:hint="eastAsia" w:ascii="仿宋" w:eastAsia="仿宋"/>
          <w:color w:val="333333"/>
          <w:sz w:val="32"/>
          <w:szCs w:val="32"/>
          <w:shd w:val="clear" w:color="auto" w:fill="FFFFFF"/>
        </w:rPr>
        <w:t>单位20</w:t>
      </w:r>
      <w:r>
        <w:rPr>
          <w:rFonts w:hint="eastAsia" w:ascii="仿宋" w:eastAsia="仿宋"/>
          <w:color w:val="333333"/>
          <w:sz w:val="32"/>
          <w:szCs w:val="32"/>
          <w:shd w:val="clear" w:color="auto" w:fill="FFFFFF"/>
          <w:lang w:val="en-US" w:eastAsia="zh-CN"/>
        </w:rPr>
        <w:t>24</w:t>
      </w:r>
      <w:r>
        <w:rPr>
          <w:rFonts w:hint="eastAsia" w:ascii="仿宋" w:eastAsia="仿宋"/>
          <w:color w:val="333333"/>
          <w:sz w:val="32"/>
          <w:szCs w:val="32"/>
          <w:shd w:val="clear" w:color="auto" w:fill="FFFFFF"/>
        </w:rPr>
        <w:t>年总收</w:t>
      </w:r>
      <w:r>
        <w:rPr>
          <w:rFonts w:hint="eastAsia" w:ascii="仿宋" w:eastAsia="仿宋"/>
          <w:color w:val="000000"/>
          <w:sz w:val="32"/>
          <w:szCs w:val="32"/>
          <w:shd w:val="clear" w:color="auto" w:fill="FFFFFF"/>
        </w:rPr>
        <w:t>入</w:t>
      </w:r>
      <w:r>
        <w:rPr>
          <w:rFonts w:hint="eastAsia" w:ascii="仿宋" w:eastAsia="仿宋"/>
          <w:color w:val="000000"/>
          <w:sz w:val="32"/>
          <w:szCs w:val="32"/>
          <w:shd w:val="clear" w:color="auto" w:fill="FFFFFF"/>
          <w:lang w:val="en-US" w:eastAsia="zh-CN"/>
        </w:rPr>
        <w:t>8449.26</w:t>
      </w:r>
      <w:r>
        <w:rPr>
          <w:rFonts w:hint="eastAsia" w:ascii="仿宋" w:eastAsia="仿宋"/>
          <w:color w:val="000000"/>
          <w:sz w:val="32"/>
          <w:szCs w:val="32"/>
          <w:shd w:val="clear" w:color="auto" w:fill="FFFFFF"/>
        </w:rPr>
        <w:t>万元</w:t>
      </w:r>
    </w:p>
    <w:p w14:paraId="66A24337">
      <w:pPr>
        <w:keepNext w:val="0"/>
        <w:keepLines w:val="0"/>
        <w:pageBreakBefore w:val="0"/>
        <w:widowControl/>
        <w:numPr>
          <w:ilvl w:val="0"/>
          <w:numId w:val="4"/>
        </w:numPr>
        <w:kinsoku/>
        <w:wordWrap/>
        <w:overflowPunct/>
        <w:topLinePunct w:val="0"/>
        <w:autoSpaceDE/>
        <w:autoSpaceDN/>
        <w:bidi w:val="0"/>
        <w:adjustRightInd w:val="0"/>
        <w:snapToGrid w:val="0"/>
        <w:spacing w:line="578" w:lineRule="exact"/>
        <w:ind w:left="0" w:firstLine="643" w:firstLineChars="200"/>
        <w:contextualSpacing/>
        <w:jc w:val="left"/>
        <w:textAlignment w:val="auto"/>
        <w:outlineLvl w:val="9"/>
        <w:rPr>
          <w:rFonts w:ascii="Times New Roman" w:hAnsi="Times New Roman" w:eastAsia="楷体_GB2312" w:cs="Times New Roman"/>
          <w:b/>
          <w:bCs/>
          <w:color w:val="000000"/>
          <w:kern w:val="0"/>
          <w:sz w:val="32"/>
          <w:szCs w:val="32"/>
          <w:highlight w:val="none"/>
          <w:shd w:val="clear" w:color="auto" w:fill="FFFFFF"/>
          <w:lang w:val="zh-CN"/>
        </w:rPr>
      </w:pPr>
      <w:r>
        <w:rPr>
          <w:rFonts w:hint="eastAsia" w:eastAsia="楷体_GB2312" w:cs="Times New Roman"/>
          <w:b/>
          <w:bCs/>
          <w:color w:val="000000"/>
          <w:kern w:val="0"/>
          <w:sz w:val="32"/>
          <w:szCs w:val="32"/>
          <w:highlight w:val="none"/>
          <w:shd w:val="clear" w:color="auto" w:fill="FFFFFF"/>
          <w:lang w:val="zh-CN"/>
        </w:rPr>
        <w:t>支出情况</w:t>
      </w:r>
      <w:r>
        <w:rPr>
          <w:rFonts w:ascii="Times New Roman" w:hAnsi="Times New Roman" w:eastAsia="楷体_GB2312" w:cs="Times New Roman"/>
          <w:b/>
          <w:bCs/>
          <w:color w:val="000000"/>
          <w:kern w:val="0"/>
          <w:sz w:val="32"/>
          <w:szCs w:val="32"/>
          <w:highlight w:val="none"/>
          <w:shd w:val="clear" w:color="auto" w:fill="FFFFFF"/>
          <w:lang w:val="zh-CN"/>
        </w:rPr>
        <w:t>。</w:t>
      </w:r>
    </w:p>
    <w:p w14:paraId="0FAE5827">
      <w:pPr>
        <w:keepNext w:val="0"/>
        <w:keepLines w:val="0"/>
        <w:pageBreakBefore w:val="0"/>
        <w:widowControl/>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ascii="Times New Roman" w:hAnsi="Times New Roman" w:eastAsia="楷体_GB2312" w:cs="Times New Roman"/>
          <w:b/>
          <w:bCs/>
          <w:color w:val="000000"/>
          <w:kern w:val="0"/>
          <w:sz w:val="32"/>
          <w:szCs w:val="32"/>
          <w:highlight w:val="none"/>
          <w:shd w:val="clear" w:color="auto" w:fill="FFFFFF"/>
          <w:lang w:val="zh-CN"/>
        </w:rPr>
      </w:pPr>
      <w:r>
        <w:rPr>
          <w:rFonts w:hint="eastAsia" w:ascii="仿宋" w:eastAsia="仿宋"/>
          <w:color w:val="000000"/>
          <w:sz w:val="32"/>
          <w:szCs w:val="32"/>
          <w:shd w:val="clear" w:color="auto" w:fill="FFFFFF"/>
        </w:rPr>
        <w:t>单位202</w:t>
      </w:r>
      <w:r>
        <w:rPr>
          <w:rFonts w:hint="eastAsia" w:ascii="仿宋" w:eastAsia="仿宋"/>
          <w:color w:val="000000"/>
          <w:sz w:val="32"/>
          <w:szCs w:val="32"/>
          <w:shd w:val="clear" w:color="auto" w:fill="FFFFFF"/>
          <w:lang w:val="en-US" w:eastAsia="zh-CN"/>
        </w:rPr>
        <w:t>4</w:t>
      </w:r>
      <w:r>
        <w:rPr>
          <w:rFonts w:hint="eastAsia" w:ascii="仿宋" w:eastAsia="仿宋"/>
          <w:color w:val="000000"/>
          <w:sz w:val="32"/>
          <w:szCs w:val="32"/>
          <w:shd w:val="clear" w:color="auto" w:fill="FFFFFF"/>
        </w:rPr>
        <w:t>年总支出</w:t>
      </w:r>
      <w:r>
        <w:rPr>
          <w:rFonts w:hint="eastAsia" w:ascii="仿宋" w:eastAsia="仿宋"/>
          <w:color w:val="000000"/>
          <w:sz w:val="32"/>
          <w:szCs w:val="32"/>
          <w:shd w:val="clear" w:color="auto" w:fill="FFFFFF"/>
          <w:lang w:val="en-US" w:eastAsia="zh-CN"/>
        </w:rPr>
        <w:t>8449.26</w:t>
      </w:r>
      <w:r>
        <w:rPr>
          <w:rFonts w:hint="eastAsia" w:ascii="仿宋" w:eastAsia="仿宋"/>
          <w:color w:val="000000"/>
          <w:sz w:val="32"/>
          <w:szCs w:val="32"/>
          <w:shd w:val="clear" w:color="auto" w:fill="FFFFFF"/>
        </w:rPr>
        <w:t>万元</w:t>
      </w:r>
    </w:p>
    <w:p w14:paraId="0935CA88">
      <w:pPr>
        <w:keepNext w:val="0"/>
        <w:keepLines w:val="0"/>
        <w:pageBreakBefore w:val="0"/>
        <w:widowControl/>
        <w:numPr>
          <w:ilvl w:val="0"/>
          <w:numId w:val="4"/>
        </w:numPr>
        <w:kinsoku/>
        <w:wordWrap/>
        <w:overflowPunct/>
        <w:topLinePunct w:val="0"/>
        <w:autoSpaceDE/>
        <w:autoSpaceDN/>
        <w:bidi w:val="0"/>
        <w:adjustRightInd w:val="0"/>
        <w:snapToGrid w:val="0"/>
        <w:spacing w:line="578" w:lineRule="exact"/>
        <w:ind w:left="0" w:firstLine="643" w:firstLineChars="200"/>
        <w:contextualSpacing/>
        <w:jc w:val="left"/>
        <w:textAlignment w:val="auto"/>
        <w:outlineLvl w:val="9"/>
        <w:rPr>
          <w:rFonts w:hint="eastAsia" w:ascii="Times New Roman" w:hAnsi="Times New Roman" w:eastAsia="楷体_GB2312" w:cs="Times New Roman"/>
          <w:b/>
          <w:sz w:val="32"/>
          <w:szCs w:val="32"/>
          <w:lang w:eastAsia="zh-CN"/>
        </w:rPr>
      </w:pPr>
      <w:r>
        <w:rPr>
          <w:rFonts w:ascii="Times New Roman" w:hAnsi="Times New Roman" w:eastAsia="楷体_GB2312" w:cs="Times New Roman"/>
          <w:b/>
          <w:sz w:val="32"/>
          <w:szCs w:val="32"/>
        </w:rPr>
        <w:t>结余分配和结转结余情况</w:t>
      </w:r>
      <w:r>
        <w:rPr>
          <w:rFonts w:hint="eastAsia" w:ascii="Times New Roman" w:hAnsi="Times New Roman" w:eastAsia="楷体_GB2312" w:cs="Times New Roman"/>
          <w:b/>
          <w:sz w:val="32"/>
          <w:szCs w:val="32"/>
          <w:lang w:eastAsia="zh-CN"/>
        </w:rPr>
        <w:t>。</w:t>
      </w:r>
    </w:p>
    <w:p w14:paraId="2C3A199F">
      <w:pPr>
        <w:keepNext w:val="0"/>
        <w:keepLines w:val="0"/>
        <w:pageBreakBefore w:val="0"/>
        <w:widowControl/>
        <w:kinsoku/>
        <w:wordWrap/>
        <w:overflowPunct/>
        <w:topLinePunct w:val="0"/>
        <w:autoSpaceDE/>
        <w:autoSpaceDN/>
        <w:bidi w:val="0"/>
        <w:adjustRightInd w:val="0"/>
        <w:snapToGrid w:val="0"/>
        <w:spacing w:line="578" w:lineRule="exact"/>
        <w:ind w:left="420" w:leftChars="200"/>
        <w:contextualSpacing/>
        <w:jc w:val="left"/>
        <w:textAlignment w:val="auto"/>
        <w:outlineLvl w:val="9"/>
        <w:rPr>
          <w:rFonts w:ascii="Times New Roman" w:hAnsi="Times New Roman" w:eastAsia="仿宋_GB2312" w:cs="Times New Roman"/>
          <w:b w:val="0"/>
          <w:bCs w:val="0"/>
          <w:color w:val="000000"/>
          <w:kern w:val="0"/>
          <w:sz w:val="32"/>
          <w:szCs w:val="32"/>
          <w:highlight w:val="none"/>
          <w:shd w:val="clear" w:color="auto" w:fill="FFFFFF"/>
          <w:lang w:val="en-US" w:eastAsia="zh-CN"/>
        </w:rPr>
      </w:pPr>
      <w:r>
        <w:rPr>
          <w:rFonts w:hint="eastAsia" w:eastAsia="楷体_GB2312" w:cs="Times New Roman"/>
          <w:b w:val="0"/>
          <w:bCs/>
          <w:sz w:val="32"/>
          <w:szCs w:val="32"/>
          <w:lang w:val="en-US" w:eastAsia="zh-CN"/>
        </w:rPr>
        <w:t>单位</w:t>
      </w:r>
      <w:r>
        <w:rPr>
          <w:rFonts w:hint="eastAsia" w:cs="Times New Roman"/>
          <w:b w:val="0"/>
          <w:bCs/>
          <w:sz w:val="32"/>
          <w:szCs w:val="32"/>
          <w:lang w:val="en-US" w:eastAsia="zh-CN"/>
        </w:rPr>
        <w:t>2</w:t>
      </w:r>
      <w:r>
        <w:rPr>
          <w:rFonts w:hint="eastAsia" w:cs="Times New Roman"/>
          <w:sz w:val="32"/>
          <w:szCs w:val="32"/>
          <w:lang w:val="en-US" w:eastAsia="zh-CN"/>
        </w:rPr>
        <w:t>024年年初</w:t>
      </w:r>
      <w:r>
        <w:rPr>
          <w:rFonts w:hint="eastAsia" w:ascii="Times New Roman" w:hAnsi="Times New Roman" w:cs="Times New Roman"/>
          <w:sz w:val="32"/>
          <w:szCs w:val="32"/>
          <w:lang w:val="en-US" w:eastAsia="zh-CN"/>
        </w:rPr>
        <w:t>决算报表</w:t>
      </w:r>
      <w:r>
        <w:rPr>
          <w:rFonts w:ascii="Times New Roman" w:hAnsi="Times New Roman" w:eastAsia="仿宋_GB2312" w:cs="Times New Roman"/>
          <w:b w:val="0"/>
          <w:bCs w:val="0"/>
          <w:color w:val="000000"/>
          <w:kern w:val="0"/>
          <w:sz w:val="32"/>
          <w:szCs w:val="32"/>
          <w:highlight w:val="none"/>
          <w:shd w:val="clear" w:color="auto" w:fill="FFFFFF"/>
          <w:lang w:val="en-US" w:eastAsia="zh-CN"/>
        </w:rPr>
        <w:t>结转结余</w:t>
      </w:r>
      <w:r>
        <w:rPr>
          <w:rFonts w:hint="eastAsia" w:cs="Times New Roman"/>
          <w:b w:val="0"/>
          <w:bCs w:val="0"/>
          <w:color w:val="000000"/>
          <w:kern w:val="0"/>
          <w:sz w:val="32"/>
          <w:szCs w:val="32"/>
          <w:highlight w:val="none"/>
          <w:shd w:val="clear" w:color="auto" w:fill="FFFFFF"/>
          <w:lang w:val="en-US" w:eastAsia="zh-CN"/>
        </w:rPr>
        <w:t>516.05万元</w:t>
      </w:r>
    </w:p>
    <w:p w14:paraId="168142B9">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Times New Roman" w:hAnsi="Times New Roman" w:eastAsia="黑体" w:cs="Times New Roman"/>
          <w:color w:val="auto"/>
          <w:kern w:val="0"/>
          <w:sz w:val="32"/>
          <w:szCs w:val="32"/>
          <w:highlight w:val="none"/>
          <w:shd w:val="clear" w:color="auto" w:fill="FFFFFF"/>
        </w:rPr>
      </w:pPr>
      <w:r>
        <w:rPr>
          <w:rFonts w:ascii="Times New Roman" w:hAnsi="Times New Roman" w:eastAsia="黑体" w:cs="Times New Roman"/>
          <w:color w:val="auto"/>
          <w:kern w:val="0"/>
          <w:sz w:val="32"/>
          <w:szCs w:val="32"/>
          <w:highlight w:val="none"/>
          <w:shd w:val="clear" w:color="auto" w:fill="FFFFFF"/>
        </w:rPr>
        <w:t>三、</w:t>
      </w:r>
      <w:r>
        <w:rPr>
          <w:rFonts w:ascii="Times New Roman" w:hAnsi="Times New Roman" w:eastAsia="黑体" w:cs="Times New Roman"/>
          <w:color w:val="auto"/>
          <w:kern w:val="0"/>
          <w:sz w:val="32"/>
          <w:szCs w:val="32"/>
          <w:highlight w:val="none"/>
          <w:u w:val="none"/>
          <w:shd w:val="clear" w:color="auto" w:fill="FFFFFF"/>
        </w:rPr>
        <w:t>部门</w:t>
      </w:r>
      <w:r>
        <w:rPr>
          <w:rFonts w:ascii="Times New Roman" w:hAnsi="Times New Roman" w:eastAsia="黑体" w:cs="Times New Roman"/>
          <w:color w:val="auto"/>
          <w:kern w:val="0"/>
          <w:sz w:val="32"/>
          <w:szCs w:val="32"/>
          <w:highlight w:val="none"/>
          <w:u w:val="none"/>
          <w:shd w:val="clear" w:color="auto" w:fill="FFFFFF"/>
          <w:lang w:eastAsia="zh-CN"/>
        </w:rPr>
        <w:t>预算</w:t>
      </w:r>
      <w:r>
        <w:rPr>
          <w:rFonts w:ascii="Times New Roman" w:hAnsi="Times New Roman" w:eastAsia="黑体" w:cs="Times New Roman"/>
          <w:color w:val="auto"/>
          <w:kern w:val="0"/>
          <w:sz w:val="32"/>
          <w:szCs w:val="32"/>
          <w:highlight w:val="none"/>
          <w:u w:val="none"/>
          <w:shd w:val="clear" w:color="auto" w:fill="FFFFFF"/>
        </w:rPr>
        <w:t>绩效</w:t>
      </w:r>
      <w:r>
        <w:rPr>
          <w:rFonts w:ascii="Times New Roman" w:hAnsi="Times New Roman" w:eastAsia="黑体" w:cs="Times New Roman"/>
          <w:color w:val="auto"/>
          <w:kern w:val="0"/>
          <w:sz w:val="32"/>
          <w:szCs w:val="32"/>
          <w:highlight w:val="none"/>
          <w:u w:val="none"/>
          <w:shd w:val="clear" w:color="auto" w:fill="FFFFFF"/>
          <w:lang w:eastAsia="zh-CN"/>
        </w:rPr>
        <w:t>分析</w:t>
      </w:r>
    </w:p>
    <w:p w14:paraId="0B116F7B">
      <w:pPr>
        <w:keepNext w:val="0"/>
        <w:keepLines w:val="0"/>
        <w:pageBreakBefore w:val="0"/>
        <w:widowControl w:val="0"/>
        <w:kinsoku/>
        <w:wordWrap/>
        <w:overflowPunct/>
        <w:topLinePunct w:val="0"/>
        <w:autoSpaceDE/>
        <w:autoSpaceDN/>
        <w:bidi w:val="0"/>
        <w:adjustRightInd w:val="0"/>
        <w:snapToGrid w:val="0"/>
        <w:spacing w:line="578" w:lineRule="exact"/>
        <w:ind w:left="0" w:firstLine="643" w:firstLineChars="200"/>
        <w:contextualSpacing/>
        <w:jc w:val="left"/>
        <w:textAlignment w:val="auto"/>
        <w:outlineLvl w:val="9"/>
        <w:rPr>
          <w:rFonts w:ascii="Times New Roman" w:hAnsi="Times New Roman" w:cs="Times New Roman"/>
          <w:color w:val="auto"/>
          <w:kern w:val="0"/>
          <w:sz w:val="32"/>
          <w:szCs w:val="32"/>
          <w:highlight w:val="none"/>
          <w:shd w:val="clear" w:color="auto" w:fill="FFFFFF"/>
          <w:lang w:val="zh-CN"/>
        </w:rPr>
      </w:pPr>
      <w:r>
        <w:rPr>
          <w:rFonts w:ascii="Times New Roman" w:hAnsi="Times New Roman" w:eastAsia="楷体_GB2312" w:cs="Times New Roman"/>
          <w:b/>
          <w:bCs/>
          <w:color w:val="auto"/>
          <w:kern w:val="0"/>
          <w:sz w:val="32"/>
          <w:szCs w:val="32"/>
          <w:highlight w:val="none"/>
          <w:shd w:val="clear" w:color="auto" w:fill="FFFFFF"/>
          <w:lang w:val="zh-CN"/>
        </w:rPr>
        <w:t>（一）</w:t>
      </w:r>
      <w:r>
        <w:rPr>
          <w:rFonts w:hint="eastAsia" w:eastAsia="楷体_GB2312" w:cs="Times New Roman"/>
          <w:b/>
          <w:bCs/>
          <w:color w:val="auto"/>
          <w:kern w:val="0"/>
          <w:sz w:val="32"/>
          <w:szCs w:val="32"/>
          <w:highlight w:val="none"/>
          <w:shd w:val="clear" w:color="auto" w:fill="FFFFFF"/>
          <w:lang w:val="zh-CN"/>
        </w:rPr>
        <w:t>部门预算</w:t>
      </w:r>
      <w:r>
        <w:rPr>
          <w:rFonts w:ascii="Times New Roman" w:hAnsi="Times New Roman" w:eastAsia="楷体_GB2312" w:cs="Times New Roman"/>
          <w:b/>
          <w:bCs/>
          <w:color w:val="auto"/>
          <w:kern w:val="0"/>
          <w:sz w:val="32"/>
          <w:szCs w:val="32"/>
          <w:highlight w:val="none"/>
          <w:shd w:val="clear" w:color="auto" w:fill="FFFFFF"/>
          <w:lang w:val="zh-CN"/>
        </w:rPr>
        <w:t>总体绩效分析。</w:t>
      </w:r>
    </w:p>
    <w:p w14:paraId="1DA47218">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楷体_GB2312" w:eastAsia="楷体_GB2312" w:cs="楷体_GB2312"/>
          <w:color w:val="auto"/>
          <w:kern w:val="0"/>
          <w:sz w:val="32"/>
          <w:szCs w:val="32"/>
          <w:highlight w:val="none"/>
          <w:shd w:val="clear" w:color="auto" w:fill="FFFFFF"/>
          <w:lang w:val="zh-CN"/>
        </w:rPr>
      </w:pPr>
      <w:r>
        <w:rPr>
          <w:rFonts w:hint="eastAsia" w:ascii="楷体_GB2312" w:eastAsia="楷体_GB2312" w:cs="楷体_GB2312"/>
          <w:color w:val="auto"/>
          <w:kern w:val="0"/>
          <w:sz w:val="32"/>
          <w:szCs w:val="32"/>
          <w:highlight w:val="none"/>
          <w:shd w:val="clear" w:color="auto" w:fill="FFFFFF"/>
          <w:lang w:val="en-US" w:eastAsia="zh-CN"/>
        </w:rPr>
        <w:t>1.</w:t>
      </w:r>
      <w:r>
        <w:rPr>
          <w:rFonts w:hint="eastAsia" w:ascii="楷体_GB2312" w:eastAsia="楷体_GB2312" w:cs="楷体_GB2312"/>
          <w:color w:val="auto"/>
          <w:kern w:val="0"/>
          <w:sz w:val="32"/>
          <w:szCs w:val="32"/>
          <w:highlight w:val="none"/>
          <w:shd w:val="clear" w:color="auto" w:fill="FFFFFF"/>
          <w:lang w:val="zh-CN"/>
        </w:rPr>
        <w:t>履职效能。</w:t>
      </w:r>
    </w:p>
    <w:p w14:paraId="155CCC1A">
      <w:pPr>
        <w:pStyle w:val="21"/>
        <w:keepNext w:val="0"/>
        <w:keepLines w:val="0"/>
        <w:pageBreakBefore w:val="0"/>
        <w:widowControl/>
        <w:suppressLineNumbers w:val="0"/>
        <w:kinsoku/>
        <w:wordWrap/>
        <w:overflowPunct/>
        <w:topLinePunct w:val="0"/>
        <w:autoSpaceDE/>
        <w:autoSpaceDN/>
        <w:adjustRightInd/>
        <w:snapToGrid/>
        <w:spacing w:line="540" w:lineRule="exact"/>
        <w:ind w:left="0" w:firstLine="640" w:firstLineChars="200"/>
        <w:rPr>
          <w:rFonts w:ascii="Times New Roman" w:hAnsi="Times New Roman" w:eastAsia="楷体_GB2312" w:cs="Times New Roman"/>
          <w:b/>
          <w:bCs/>
          <w:color w:val="000000"/>
          <w:sz w:val="32"/>
          <w:szCs w:val="32"/>
          <w:lang w:bidi="ar-SA"/>
        </w:rPr>
      </w:pPr>
      <w:r>
        <w:rPr>
          <w:rFonts w:hint="eastAsia" w:ascii="楷体_GB2312" w:eastAsia="楷体_GB2312" w:cs="楷体_GB2312"/>
          <w:color w:val="auto"/>
          <w:kern w:val="0"/>
          <w:sz w:val="32"/>
          <w:szCs w:val="32"/>
          <w:highlight w:val="none"/>
          <w:shd w:val="clear" w:color="auto" w:fill="FFFFFF"/>
          <w:lang w:val="en-US" w:eastAsia="zh-CN"/>
        </w:rPr>
        <w:t xml:space="preserve">   </w:t>
      </w:r>
      <w:r>
        <w:rPr>
          <w:rFonts w:ascii="Times New Roman" w:hAnsi="Times New Roman" w:eastAsia="楷体_GB2312" w:cs="Times New Roman"/>
          <w:b/>
          <w:bCs/>
          <w:color w:val="000000"/>
          <w:sz w:val="32"/>
          <w:szCs w:val="32"/>
          <w:lang w:bidi="ar-SA"/>
        </w:rPr>
        <w:t>（一）强化规划引领，保障高质量发展。</w:t>
      </w:r>
      <w:r>
        <w:rPr>
          <w:rFonts w:ascii="Times New Roman" w:hAnsi="Times New Roman" w:eastAsia="仿宋_GB2312" w:cs="Times New Roman"/>
          <w:b/>
          <w:bCs/>
          <w:color w:val="000000"/>
          <w:sz w:val="32"/>
          <w:szCs w:val="32"/>
          <w:lang w:bidi="ar-SA"/>
        </w:rPr>
        <w:t>一是扎实做好规划编制。</w:t>
      </w:r>
      <w:r>
        <w:rPr>
          <w:rFonts w:ascii="Times New Roman" w:hAnsi="Times New Roman" w:eastAsia="仿宋_GB2312" w:cs="Times New Roman"/>
          <w:color w:val="000000"/>
          <w:sz w:val="32"/>
          <w:szCs w:val="32"/>
          <w:lang w:bidi="ar-SA"/>
        </w:rPr>
        <w:t>完成</w:t>
      </w:r>
      <w:r>
        <w:rPr>
          <w:rFonts w:ascii="Times New Roman" w:hAnsi="Times New Roman" w:eastAsia="仿宋_GB2312" w:cs="Times New Roman"/>
          <w:bCs/>
          <w:color w:val="000000"/>
          <w:sz w:val="32"/>
          <w:szCs w:val="32"/>
          <w:lang w:bidi="ar-SA"/>
        </w:rPr>
        <w:t>《九寨沟县级国土空间总体规划（2021-2035）》</w:t>
      </w:r>
      <w:r>
        <w:rPr>
          <w:rFonts w:ascii="Times New Roman" w:hAnsi="Times New Roman" w:eastAsia="仿宋_GB2312" w:cs="Times New Roman"/>
          <w:bCs/>
          <w:color w:val="000000"/>
          <w:sz w:val="32"/>
          <w:szCs w:val="32"/>
          <w:lang w:val="en-US" w:eastAsia="zh-CN" w:bidi="ar-SA"/>
        </w:rPr>
        <w:t>编制审批工作，已于6月20日由</w:t>
      </w:r>
      <w:r>
        <w:rPr>
          <w:rFonts w:ascii="Times New Roman" w:hAnsi="Times New Roman" w:eastAsia="仿宋_GB2312" w:cs="Times New Roman"/>
          <w:bCs/>
          <w:color w:val="000000"/>
          <w:sz w:val="32"/>
          <w:szCs w:val="32"/>
          <w:lang w:bidi="ar-SA"/>
        </w:rPr>
        <w:t>省人民政府批准执行；完成《九寨沟县南坪城乡融合片区国土空间总体规</w:t>
      </w:r>
      <w:r>
        <w:rPr>
          <w:rFonts w:hint="eastAsia" w:ascii="Times New Roman" w:eastAsia="仿宋_GB2312" w:cs="Times New Roman"/>
          <w:bCs/>
          <w:color w:val="000000"/>
          <w:sz w:val="32"/>
          <w:szCs w:val="32"/>
          <w:lang w:val="en-US" w:eastAsia="zh-CN" w:bidi="ar-SA"/>
        </w:rPr>
        <w:t>划</w:t>
      </w:r>
      <w:r>
        <w:rPr>
          <w:rFonts w:ascii="Times New Roman" w:hAnsi="Times New Roman" w:eastAsia="仿宋_GB2312" w:cs="Times New Roman"/>
          <w:bCs/>
          <w:color w:val="000000"/>
          <w:sz w:val="32"/>
          <w:szCs w:val="32"/>
          <w:lang w:bidi="ar-SA"/>
        </w:rPr>
        <w:t>（2021-2035）》等5个乡镇级片区国土空间总体规划编制成果，</w:t>
      </w:r>
      <w:r>
        <w:rPr>
          <w:rFonts w:ascii="Times New Roman" w:hAnsi="Times New Roman" w:eastAsia="仿宋_GB2312" w:cs="Times New Roman"/>
          <w:bCs/>
          <w:snapToGrid w:val="0"/>
          <w:color w:val="000000"/>
          <w:sz w:val="32"/>
          <w:szCs w:val="32"/>
          <w:highlight w:val="none"/>
        </w:rPr>
        <w:t>已经</w:t>
      </w:r>
      <w:r>
        <w:rPr>
          <w:rFonts w:ascii="Times New Roman" w:hAnsi="Times New Roman" w:eastAsia="仿宋_GB2312" w:cs="Times New Roman"/>
          <w:bCs/>
          <w:snapToGrid w:val="0"/>
          <w:color w:val="000000"/>
          <w:sz w:val="32"/>
          <w:szCs w:val="32"/>
        </w:rPr>
        <w:t>县十五届人民政府第54次常务会审议</w:t>
      </w:r>
      <w:r>
        <w:rPr>
          <w:rFonts w:ascii="Times New Roman" w:hAnsi="Times New Roman" w:eastAsia="仿宋_GB2312" w:cs="Times New Roman"/>
          <w:bCs/>
          <w:snapToGrid w:val="0"/>
          <w:color w:val="000000"/>
          <w:sz w:val="32"/>
          <w:szCs w:val="32"/>
          <w:highlight w:val="none"/>
        </w:rPr>
        <w:t>通过，目前已按程序报州自然资源局审批，预计年底取得州人民政府批复；</w:t>
      </w:r>
      <w:r>
        <w:rPr>
          <w:rFonts w:ascii="Times New Roman" w:hAnsi="Times New Roman" w:eastAsia="仿宋_GB2312" w:cs="Times New Roman"/>
          <w:bCs/>
          <w:color w:val="000000"/>
          <w:sz w:val="32"/>
          <w:szCs w:val="32"/>
          <w:lang w:bidi="ar-SA"/>
        </w:rPr>
        <w:t>完成34个村级片区国土空间总体规划初步成果，先后</w:t>
      </w:r>
      <w:r>
        <w:rPr>
          <w:rFonts w:ascii="Times New Roman" w:hAnsi="Times New Roman" w:eastAsia="仿宋_GB2312" w:cs="Times New Roman"/>
          <w:bCs/>
          <w:color w:val="000000"/>
          <w:sz w:val="32"/>
          <w:szCs w:val="32"/>
          <w:lang w:val="en-US" w:eastAsia="zh-CN" w:bidi="ar-SA"/>
        </w:rPr>
        <w:t>完成</w:t>
      </w:r>
      <w:r>
        <w:rPr>
          <w:rFonts w:ascii="Times New Roman" w:hAnsi="Times New Roman" w:eastAsia="仿宋_GB2312" w:cs="Times New Roman"/>
          <w:bCs/>
          <w:color w:val="000000"/>
          <w:sz w:val="32"/>
          <w:szCs w:val="32"/>
          <w:lang w:bidi="ar-SA"/>
        </w:rPr>
        <w:t>专班及专家评审，根据审查意见修改完善成果。按照省州要求进一步推进城镇详细规划编制工作，启动九寨沟县中心城区（南坪镇）和漳扎镇区详细规划编制工作。</w:t>
      </w:r>
      <w:r>
        <w:rPr>
          <w:rFonts w:ascii="Times New Roman" w:hAnsi="Times New Roman" w:eastAsia="仿宋_GB2312" w:cs="Times New Roman"/>
          <w:b/>
          <w:bCs/>
          <w:color w:val="000000"/>
          <w:sz w:val="32"/>
          <w:szCs w:val="32"/>
          <w:lang w:bidi="ar-SA"/>
        </w:rPr>
        <w:t>二是坚持做好规划服务</w:t>
      </w:r>
      <w:r>
        <w:rPr>
          <w:rFonts w:ascii="Times New Roman" w:hAnsi="Times New Roman" w:eastAsia="仿宋_GB2312" w:cs="Times New Roman"/>
          <w:bCs/>
          <w:color w:val="000000"/>
          <w:sz w:val="32"/>
          <w:szCs w:val="32"/>
          <w:lang w:bidi="ar-SA"/>
        </w:rPr>
        <w:t>。做好城市规划区范围内建设项目建筑设计方案的审查、审批工作，</w:t>
      </w:r>
      <w:r>
        <w:rPr>
          <w:rFonts w:ascii="Times New Roman" w:hAnsi="Times New Roman" w:eastAsia="仿宋_GB2312" w:cs="Times New Roman"/>
          <w:bCs/>
          <w:color w:val="000000"/>
          <w:sz w:val="32"/>
          <w:szCs w:val="32"/>
          <w:lang w:eastAsia="zh-CN" w:bidi="ar-SA"/>
        </w:rPr>
        <w:t>完成</w:t>
      </w:r>
      <w:r>
        <w:rPr>
          <w:rFonts w:ascii="Times New Roman" w:hAnsi="Times New Roman" w:eastAsia="仿宋_GB2312" w:cs="Times New Roman"/>
          <w:bCs/>
          <w:color w:val="000000"/>
          <w:sz w:val="32"/>
          <w:szCs w:val="32"/>
          <w:lang w:val="en-US" w:eastAsia="zh-CN" w:bidi="ar-SA"/>
        </w:rPr>
        <w:t>居民建房设计方案审查36个，</w:t>
      </w:r>
      <w:r>
        <w:rPr>
          <w:rFonts w:ascii="Times New Roman" w:hAnsi="Times New Roman" w:eastAsia="仿宋_GB2312" w:cs="Times New Roman"/>
          <w:bCs/>
          <w:color w:val="000000"/>
          <w:sz w:val="32"/>
          <w:szCs w:val="32"/>
          <w:lang w:bidi="ar-SA"/>
        </w:rPr>
        <w:t>完成九寨·扶州苑地下车库出入口方案设计项目等24个项目设计方案审查；做好项目竣工规划核实工作，完成九寨沟县烈士陵园建设项目等5个项目规划核实，</w:t>
      </w:r>
      <w:r>
        <w:rPr>
          <w:rFonts w:ascii="Times New Roman" w:hAnsi="Times New Roman" w:eastAsia="仿宋_GB2312" w:cs="Times New Roman"/>
          <w:bCs/>
          <w:color w:val="000000"/>
          <w:sz w:val="32"/>
          <w:szCs w:val="32"/>
          <w:lang w:val="en-US" w:eastAsia="zh-CN" w:bidi="ar-SA"/>
        </w:rPr>
        <w:t>并对57个项目出具了用地预审和选址意见</w:t>
      </w:r>
      <w:r>
        <w:rPr>
          <w:rFonts w:ascii="Times New Roman" w:hAnsi="Times New Roman" w:eastAsia="仿宋_GB2312" w:cs="Times New Roman"/>
          <w:bCs/>
          <w:color w:val="000000"/>
          <w:sz w:val="32"/>
          <w:szCs w:val="32"/>
          <w:lang w:bidi="ar-SA"/>
        </w:rPr>
        <w:t>，办理建设用地规划许可证6份，建设工程规划许可证39份，为项目顺利落地落实提供规划保障。</w:t>
      </w:r>
    </w:p>
    <w:p w14:paraId="6D95F59A">
      <w:pPr>
        <w:pStyle w:val="21"/>
        <w:keepNext w:val="0"/>
        <w:keepLines w:val="0"/>
        <w:pageBreakBefore w:val="0"/>
        <w:widowControl/>
        <w:suppressLineNumbers w:val="0"/>
        <w:kinsoku/>
        <w:wordWrap/>
        <w:overflowPunct/>
        <w:topLinePunct w:val="0"/>
        <w:autoSpaceDE/>
        <w:autoSpaceDN/>
        <w:adjustRightInd/>
        <w:snapToGrid/>
        <w:spacing w:line="540" w:lineRule="exact"/>
        <w:ind w:left="0" w:firstLine="643" w:firstLineChars="200"/>
        <w:rPr>
          <w:rFonts w:ascii="Times New Roman" w:hAnsi="Times New Roman" w:eastAsia="楷体_GB2312" w:cs="Times New Roman"/>
          <w:b/>
          <w:bCs/>
          <w:color w:val="000000"/>
          <w:sz w:val="32"/>
          <w:szCs w:val="32"/>
          <w:lang w:bidi="ar-SA"/>
        </w:rPr>
      </w:pPr>
      <w:r>
        <w:rPr>
          <w:rFonts w:ascii="Times New Roman" w:hAnsi="Times New Roman" w:eastAsia="楷体_GB2312" w:cs="Times New Roman"/>
          <w:b/>
          <w:bCs/>
          <w:color w:val="000000"/>
          <w:sz w:val="32"/>
          <w:szCs w:val="32"/>
          <w:lang w:bidi="ar-SA"/>
        </w:rPr>
        <w:t>（二）统筹自然资源，增强发展后劲。</w:t>
      </w:r>
      <w:r>
        <w:rPr>
          <w:rFonts w:ascii="Times New Roman" w:hAnsi="Times New Roman" w:eastAsia="仿宋_GB2312" w:cs="Times New Roman"/>
          <w:bCs/>
          <w:color w:val="000000"/>
          <w:sz w:val="32"/>
          <w:szCs w:val="32"/>
          <w:lang w:bidi="ar-SA"/>
        </w:rPr>
        <w:t>落实最严格耕地保护制度，坚决扛牢政治责任，采取“长牙齿”硬举措，合力推进耕地保护工作。全县建立耕地保护政府行政主体责任和“一把手负总责”制度，层层签订责任状，严格实行耕地保护党政同责、一票否决、终身追责。</w:t>
      </w:r>
      <w:r>
        <w:rPr>
          <w:rFonts w:ascii="Times New Roman" w:hAnsi="Times New Roman" w:eastAsia="仿宋_GB2312" w:cs="Times New Roman"/>
          <w:color w:val="000000"/>
          <w:sz w:val="32"/>
          <w:szCs w:val="32"/>
          <w:lang w:bidi="ar-SA"/>
        </w:rPr>
        <w:t>全县建立县、乡、村三级田长制责任体系，设田长173名、网格员200名，实现耕地保护责任全覆盖。各级田长、网格员共开展巡田</w:t>
      </w:r>
      <w:r>
        <w:rPr>
          <w:rFonts w:ascii="Times New Roman" w:hAnsi="Times New Roman" w:eastAsia="仿宋_GB2312" w:cs="Times New Roman"/>
          <w:snapToGrid w:val="0"/>
          <w:color w:val="000000"/>
          <w:sz w:val="32"/>
          <w:szCs w:val="32"/>
          <w:highlight w:val="none"/>
          <w:lang w:val="en-US" w:eastAsia="zh-CN" w:bidi="ar-SA"/>
        </w:rPr>
        <w:t>32358</w:t>
      </w:r>
      <w:r>
        <w:rPr>
          <w:rFonts w:ascii="Times New Roman" w:hAnsi="Times New Roman" w:eastAsia="仿宋_GB2312" w:cs="Times New Roman"/>
          <w:color w:val="000000"/>
          <w:sz w:val="32"/>
          <w:szCs w:val="32"/>
          <w:lang w:bidi="ar-SA"/>
        </w:rPr>
        <w:t>余</w:t>
      </w:r>
      <w:r>
        <w:rPr>
          <w:rFonts w:ascii="Times New Roman" w:hAnsi="Times New Roman" w:eastAsia="仿宋_GB2312" w:cs="Times New Roman"/>
          <w:color w:val="000000"/>
          <w:sz w:val="32"/>
          <w:szCs w:val="32"/>
          <w:lang w:eastAsia="zh-CN" w:bidi="ar-SA"/>
        </w:rPr>
        <w:t>次</w:t>
      </w:r>
      <w:r>
        <w:rPr>
          <w:rFonts w:ascii="Times New Roman" w:hAnsi="Times New Roman" w:eastAsia="仿宋_GB2312" w:cs="Times New Roman"/>
          <w:color w:val="000000"/>
          <w:sz w:val="32"/>
          <w:szCs w:val="32"/>
          <w:lang w:bidi="ar-SA"/>
        </w:rPr>
        <w:t>，发现问题线索1个，已及时处理。压实耕地占补平衡、耕地进出平衡责任，2024年1-8月，省级下发我县动态监测图斑1951个，总面积9610.91亩，其中耕地图斑1172个，面积6692.91亩；非耕地图斑779个，面积2918亩。经举证核查统计，耕地流出净面积3106.58亩，流入面积144.69亩，整改图斑及措施建议已下发各乡镇。目前已完成</w:t>
      </w:r>
      <w:r>
        <w:rPr>
          <w:rFonts w:ascii="Times New Roman" w:hAnsi="Times New Roman" w:eastAsia="仿宋_GB2312" w:cs="Times New Roman"/>
          <w:color w:val="000000"/>
          <w:sz w:val="32"/>
          <w:szCs w:val="32"/>
          <w:lang w:eastAsia="zh-CN" w:bidi="ar-SA"/>
        </w:rPr>
        <w:t>《</w:t>
      </w:r>
      <w:r>
        <w:rPr>
          <w:rFonts w:ascii="Times New Roman" w:hAnsi="Times New Roman" w:eastAsia="仿宋_GB2312" w:cs="Times New Roman"/>
          <w:color w:val="000000"/>
          <w:sz w:val="32"/>
          <w:szCs w:val="32"/>
          <w:lang w:val="en-US" w:eastAsia="zh-CN" w:bidi="ar-SA"/>
        </w:rPr>
        <w:t>九寨沟县2024年度耕地“流入流出”方案</w:t>
      </w:r>
      <w:r>
        <w:rPr>
          <w:rFonts w:ascii="Times New Roman" w:hAnsi="Times New Roman" w:eastAsia="仿宋_GB2312" w:cs="Times New Roman"/>
          <w:color w:val="000000"/>
          <w:sz w:val="32"/>
          <w:szCs w:val="32"/>
          <w:lang w:eastAsia="zh-CN" w:bidi="ar-SA"/>
        </w:rPr>
        <w:t>》编制上报，并</w:t>
      </w:r>
      <w:r>
        <w:rPr>
          <w:rFonts w:ascii="Times New Roman" w:hAnsi="Times New Roman" w:eastAsia="仿宋_GB2312" w:cs="Times New Roman"/>
          <w:color w:val="000000"/>
          <w:sz w:val="32"/>
          <w:szCs w:val="32"/>
          <w:lang w:bidi="ar-SA"/>
        </w:rPr>
        <w:t>多次召开培训部署会，分析研判流出耕地现状，压实整改恢复责任，因地制宜地编制我县2024年补充耕地恢复实施方案，</w:t>
      </w:r>
      <w:r>
        <w:rPr>
          <w:rFonts w:ascii="Times New Roman" w:hAnsi="Times New Roman" w:eastAsia="仿宋_GB2312" w:cs="Times New Roman"/>
          <w:color w:val="000000"/>
          <w:sz w:val="32"/>
          <w:szCs w:val="32"/>
          <w:lang w:eastAsia="zh-CN" w:bidi="ar-SA"/>
        </w:rPr>
        <w:t>督促乡镇开展流出耕地整改恢复工作。</w:t>
      </w:r>
    </w:p>
    <w:p w14:paraId="72B365F5">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line="540" w:lineRule="exact"/>
        <w:ind w:firstLine="643" w:firstLineChars="200"/>
        <w:rPr>
          <w:rFonts w:ascii="Times New Roman" w:hAnsi="Times New Roman" w:eastAsia="楷体_GB2312" w:cs="Times New Roman"/>
          <w:b/>
          <w:bCs/>
          <w:color w:val="000000"/>
          <w:sz w:val="32"/>
          <w:szCs w:val="32"/>
          <w:lang w:bidi="ar-SA"/>
        </w:rPr>
      </w:pPr>
      <w:r>
        <w:rPr>
          <w:rFonts w:ascii="Times New Roman" w:hAnsi="Times New Roman" w:eastAsia="楷体_GB2312" w:cs="Times New Roman"/>
          <w:b/>
          <w:bCs/>
          <w:color w:val="000000"/>
          <w:sz w:val="32"/>
          <w:szCs w:val="32"/>
          <w:lang w:bidi="ar-SA"/>
        </w:rPr>
        <w:t>（</w:t>
      </w:r>
      <w:r>
        <w:rPr>
          <w:rFonts w:hint="eastAsia" w:ascii="Times New Roman" w:hAnsi="Times New Roman" w:eastAsia="楷体_GB2312" w:cs="Times New Roman"/>
          <w:b/>
          <w:bCs/>
          <w:color w:val="000000"/>
          <w:sz w:val="32"/>
          <w:szCs w:val="32"/>
          <w:lang w:val="en-US" w:eastAsia="zh-CN" w:bidi="ar-SA"/>
        </w:rPr>
        <w:t>三</w:t>
      </w:r>
      <w:r>
        <w:rPr>
          <w:rFonts w:ascii="Times New Roman" w:hAnsi="Times New Roman" w:eastAsia="楷体_GB2312" w:cs="Times New Roman"/>
          <w:b/>
          <w:bCs/>
          <w:color w:val="000000"/>
          <w:sz w:val="32"/>
          <w:szCs w:val="32"/>
          <w:lang w:bidi="ar-SA"/>
        </w:rPr>
        <w:t>）做好地灾防治 共筑平安九寨。</w:t>
      </w:r>
      <w:r>
        <w:rPr>
          <w:rFonts w:ascii="Times New Roman" w:hAnsi="Times New Roman" w:eastAsia="仿宋_GB2312" w:cs="Times New Roman"/>
          <w:color w:val="000000"/>
          <w:sz w:val="32"/>
          <w:szCs w:val="32"/>
          <w:lang w:bidi="ar-SA"/>
        </w:rPr>
        <w:t>扎实开展汛期地质灾害隐患点全覆盖检查</w:t>
      </w:r>
      <w:r>
        <w:rPr>
          <w:rFonts w:ascii="Times New Roman" w:hAnsi="Times New Roman" w:eastAsia="仿宋_GB2312" w:cs="Times New Roman"/>
          <w:color w:val="000000"/>
          <w:sz w:val="32"/>
          <w:szCs w:val="32"/>
          <w:lang w:val="en-US" w:eastAsia="zh-CN" w:bidi="ar-SA"/>
        </w:rPr>
        <w:t>4</w:t>
      </w:r>
      <w:r>
        <w:rPr>
          <w:rFonts w:ascii="Times New Roman" w:hAnsi="Times New Roman" w:eastAsia="仿宋_GB2312" w:cs="Times New Roman"/>
          <w:color w:val="000000"/>
          <w:sz w:val="32"/>
          <w:szCs w:val="32"/>
          <w:lang w:bidi="ar-SA"/>
        </w:rPr>
        <w:t>轮，全县地质灾害隐患点695处，其中分布于12个乡镇直接威胁群众272处，落实专职监测员272人。印发实施202</w:t>
      </w:r>
      <w:r>
        <w:rPr>
          <w:rFonts w:ascii="Times New Roman" w:hAnsi="Times New Roman" w:eastAsia="仿宋_GB2312" w:cs="Times New Roman"/>
          <w:color w:val="000000"/>
          <w:sz w:val="32"/>
          <w:szCs w:val="32"/>
          <w:lang w:val="en-US" w:eastAsia="zh-CN" w:bidi="ar-SA"/>
        </w:rPr>
        <w:t>4</w:t>
      </w:r>
      <w:r>
        <w:rPr>
          <w:rFonts w:ascii="Times New Roman" w:hAnsi="Times New Roman" w:eastAsia="仿宋_GB2312" w:cs="Times New Roman"/>
          <w:color w:val="000000"/>
          <w:sz w:val="32"/>
          <w:szCs w:val="32"/>
          <w:lang w:bidi="ar-SA"/>
        </w:rPr>
        <w:t>年地质灾害防治专项应急预案，严格执行“三个紧急撤离”，</w:t>
      </w:r>
      <w:r>
        <w:rPr>
          <w:rFonts w:ascii="Times New Roman" w:hAnsi="Times New Roman" w:eastAsia="仿宋_GB2312" w:cs="Times New Roman"/>
          <w:color w:val="000000"/>
          <w:sz w:val="32"/>
          <w:szCs w:val="32"/>
          <w:lang w:val="en-US" w:eastAsia="zh-CN" w:bidi="ar-SA"/>
        </w:rPr>
        <w:t>九寨沟“7·16”“7·24”强降雨期间，</w:t>
      </w:r>
      <w:r>
        <w:rPr>
          <w:rFonts w:ascii="Times New Roman" w:hAnsi="Times New Roman" w:eastAsia="仿宋_GB2312" w:cs="Times New Roman"/>
          <w:color w:val="000000"/>
          <w:sz w:val="32"/>
          <w:szCs w:val="32"/>
          <w:lang w:bidi="ar-SA"/>
        </w:rPr>
        <w:t>紧急避险撤离群众</w:t>
      </w:r>
      <w:r>
        <w:rPr>
          <w:rFonts w:ascii="Times New Roman" w:hAnsi="Times New Roman" w:eastAsia="仿宋_GB2312" w:cs="Times New Roman"/>
          <w:color w:val="000000"/>
          <w:sz w:val="32"/>
          <w:szCs w:val="32"/>
          <w:lang w:val="en-US" w:eastAsia="zh-CN" w:bidi="ar-SA"/>
        </w:rPr>
        <w:t>2274户8388人</w:t>
      </w:r>
      <w:r>
        <w:rPr>
          <w:rFonts w:ascii="Times New Roman" w:hAnsi="Times New Roman" w:eastAsia="仿宋_GB2312" w:cs="Times New Roman"/>
          <w:color w:val="000000"/>
          <w:sz w:val="32"/>
          <w:szCs w:val="32"/>
          <w:lang w:bidi="ar-SA"/>
        </w:rPr>
        <w:t>，同时成功避险3起突发地质灾害，入选全国地质灾害成功避险典型案例，获得自然资源部办公厅通报表扬。实施九寨沟县增发国债地灾项目3个，估算总投资6914万元</w:t>
      </w:r>
      <w:r>
        <w:rPr>
          <w:rFonts w:ascii="Times New Roman" w:hAnsi="Times New Roman" w:eastAsia="仿宋_GB2312" w:cs="Times New Roman"/>
          <w:color w:val="000000"/>
          <w:sz w:val="32"/>
          <w:szCs w:val="32"/>
          <w:lang w:eastAsia="zh-CN" w:bidi="ar-SA"/>
        </w:rPr>
        <w:t>；</w:t>
      </w:r>
      <w:r>
        <w:rPr>
          <w:rFonts w:ascii="Times New Roman" w:hAnsi="Times New Roman" w:eastAsia="仿宋_GB2312" w:cs="Times New Roman"/>
          <w:color w:val="000000"/>
          <w:sz w:val="32"/>
          <w:szCs w:val="32"/>
          <w:lang w:bidi="ar-SA"/>
        </w:rPr>
        <w:t>组织开展既有隐患点治理工程清淤及维修加固</w:t>
      </w:r>
      <w:r>
        <w:rPr>
          <w:rFonts w:ascii="Times New Roman" w:hAnsi="Times New Roman" w:eastAsia="仿宋_GB2312" w:cs="Times New Roman"/>
          <w:color w:val="000000"/>
          <w:sz w:val="32"/>
          <w:szCs w:val="32"/>
          <w:lang w:val="en-US" w:eastAsia="zh-CN" w:bidi="ar-SA"/>
        </w:rPr>
        <w:t>34</w:t>
      </w:r>
      <w:r>
        <w:rPr>
          <w:rFonts w:ascii="Times New Roman" w:hAnsi="Times New Roman" w:eastAsia="仿宋_GB2312" w:cs="Times New Roman"/>
          <w:color w:val="000000"/>
          <w:sz w:val="32"/>
          <w:szCs w:val="32"/>
          <w:lang w:bidi="ar-SA"/>
        </w:rPr>
        <w:t>处，总投资</w:t>
      </w:r>
      <w:r>
        <w:rPr>
          <w:rFonts w:ascii="Times New Roman" w:hAnsi="Times New Roman" w:eastAsia="仿宋_GB2312" w:cs="Times New Roman"/>
          <w:color w:val="000000"/>
          <w:sz w:val="32"/>
          <w:szCs w:val="32"/>
          <w:lang w:val="en-US" w:eastAsia="zh-CN" w:bidi="ar-SA"/>
        </w:rPr>
        <w:t>605.2</w:t>
      </w:r>
      <w:r>
        <w:rPr>
          <w:rFonts w:ascii="Times New Roman" w:hAnsi="Times New Roman" w:eastAsia="仿宋_GB2312" w:cs="Times New Roman"/>
          <w:color w:val="000000"/>
          <w:sz w:val="32"/>
          <w:szCs w:val="32"/>
          <w:lang w:bidi="ar-SA"/>
        </w:rPr>
        <w:t>万元。强化地灾宣传培训与避险演练，开展集中培训 12 场、隐患点现场培训及演练284余次，培训6000余人，发放资料3000余份，发送预警短信18万余条，发布风险预警173次。</w:t>
      </w:r>
    </w:p>
    <w:p w14:paraId="61FA9DBE">
      <w:pPr>
        <w:pStyle w:val="21"/>
        <w:keepNext w:val="0"/>
        <w:keepLines w:val="0"/>
        <w:pageBreakBefore w:val="0"/>
        <w:widowControl/>
        <w:suppressLineNumbers w:val="0"/>
        <w:kinsoku/>
        <w:wordWrap/>
        <w:overflowPunct/>
        <w:topLinePunct w:val="0"/>
        <w:autoSpaceDE/>
        <w:autoSpaceDN/>
        <w:adjustRightInd/>
        <w:snapToGrid/>
        <w:spacing w:line="540" w:lineRule="exact"/>
        <w:ind w:left="0" w:firstLine="643" w:firstLineChars="200"/>
        <w:rPr>
          <w:rFonts w:ascii="Times New Roman" w:hAnsi="Times New Roman" w:eastAsia="楷体_GB2312" w:cs="Times New Roman"/>
          <w:b/>
          <w:bCs/>
          <w:color w:val="000000"/>
          <w:sz w:val="32"/>
          <w:szCs w:val="32"/>
          <w:lang w:bidi="ar-SA"/>
        </w:rPr>
      </w:pPr>
      <w:r>
        <w:rPr>
          <w:rFonts w:ascii="Times New Roman" w:hAnsi="Times New Roman" w:eastAsia="楷体_GB2312" w:cs="Times New Roman"/>
          <w:b/>
          <w:bCs/>
          <w:color w:val="000000"/>
          <w:sz w:val="32"/>
          <w:szCs w:val="32"/>
          <w:lang w:bidi="ar-SA"/>
        </w:rPr>
        <w:t>（</w:t>
      </w:r>
      <w:r>
        <w:rPr>
          <w:rFonts w:hint="eastAsia" w:ascii="Times New Roman" w:hAnsi="Times New Roman" w:eastAsia="楷体_GB2312" w:cs="Times New Roman"/>
          <w:b/>
          <w:bCs/>
          <w:color w:val="000000"/>
          <w:sz w:val="32"/>
          <w:szCs w:val="32"/>
          <w:lang w:val="en-US" w:eastAsia="zh-CN" w:bidi="ar-SA"/>
        </w:rPr>
        <w:t>四</w:t>
      </w:r>
      <w:r>
        <w:rPr>
          <w:rFonts w:ascii="Times New Roman" w:hAnsi="Times New Roman" w:eastAsia="楷体_GB2312" w:cs="Times New Roman"/>
          <w:b/>
          <w:bCs/>
          <w:color w:val="000000"/>
          <w:sz w:val="32"/>
          <w:szCs w:val="32"/>
          <w:lang w:bidi="ar-SA"/>
        </w:rPr>
        <w:t>）规范矿产管理，守护生态底色。</w:t>
      </w:r>
      <w:r>
        <w:rPr>
          <w:rFonts w:ascii="Times New Roman" w:hAnsi="Times New Roman" w:eastAsia="仿宋_GB2312" w:cs="Times New Roman"/>
          <w:b/>
          <w:bCs/>
          <w:color w:val="000000"/>
          <w:sz w:val="32"/>
          <w:szCs w:val="32"/>
          <w:lang w:bidi="ar-SA"/>
        </w:rPr>
        <w:t>一是科学规范全县矿业权。</w:t>
      </w:r>
      <w:r>
        <w:rPr>
          <w:rFonts w:ascii="Times New Roman" w:hAnsi="Times New Roman" w:eastAsia="仿宋_GB2312" w:cs="Times New Roman"/>
          <w:color w:val="000000"/>
          <w:sz w:val="32"/>
          <w:szCs w:val="32"/>
          <w:lang w:bidi="ar-SA"/>
        </w:rPr>
        <w:t>完成生态保护红线内矿业权退出奖补资金申报工作，拨付奖补资金50万元；完成水神沟岩金矿详查探矿权延续登记和马脑壳金矿采矿许可证变更登记初审，已经政府常务会审议通过；完成G544线双九段公路改建工程4#弃渣场洞渣出让挂网工作；完成南坪地热普查井位论证实施方案专家评审工作。</w:t>
      </w:r>
      <w:r>
        <w:rPr>
          <w:rFonts w:ascii="Times New Roman" w:hAnsi="Times New Roman" w:eastAsia="仿宋_GB2312" w:cs="Times New Roman"/>
          <w:b/>
          <w:bCs/>
          <w:color w:val="000000"/>
          <w:sz w:val="32"/>
          <w:szCs w:val="32"/>
          <w:lang w:bidi="ar-SA"/>
        </w:rPr>
        <w:t>二是加快非煤矿山生态修复。</w:t>
      </w:r>
      <w:r>
        <w:rPr>
          <w:rFonts w:ascii="Times New Roman" w:hAnsi="Times New Roman" w:eastAsia="仿宋_GB2312" w:cs="Times New Roman"/>
          <w:color w:val="000000"/>
          <w:sz w:val="32"/>
          <w:szCs w:val="32"/>
          <w:lang w:bidi="ar-SA"/>
        </w:rPr>
        <w:t>马脑壳金矿</w:t>
      </w:r>
      <w:r>
        <w:rPr>
          <w:rFonts w:ascii="Times New Roman" w:hAnsi="Times New Roman" w:eastAsia="仿宋_GB2312" w:cs="Times New Roman"/>
          <w:bCs/>
          <w:color w:val="000000"/>
          <w:sz w:val="32"/>
          <w:szCs w:val="32"/>
          <w:lang w:bidi="ar-SA"/>
        </w:rPr>
        <w:t>通过系统修复和综合治理，</w:t>
      </w:r>
      <w:r>
        <w:rPr>
          <w:rFonts w:ascii="Times New Roman" w:hAnsi="Times New Roman" w:eastAsia="仿宋_GB2312" w:cs="Times New Roman"/>
          <w:color w:val="000000"/>
          <w:sz w:val="32"/>
          <w:szCs w:val="32"/>
          <w:lang w:bidi="ar-SA"/>
        </w:rPr>
        <w:t>完成生态修复15.44公顷，投入资金400万元；草地金矿生态修复以植被补种补栽为主，其中南林局牵头栽植苗木17178株，播撒草籽2193公斤，克土862方，铺管网1800米等；紫金环保公司组织完成</w:t>
      </w:r>
      <w:r>
        <w:rPr>
          <w:rFonts w:ascii="Times New Roman" w:hAnsi="Times New Roman" w:eastAsia="仿宋_GB2312" w:cs="Times New Roman"/>
          <w:bCs/>
          <w:color w:val="000000"/>
          <w:sz w:val="32"/>
          <w:szCs w:val="32"/>
          <w:lang w:bidi="ar-SA"/>
        </w:rPr>
        <w:t>铁桦岭矿区裸露面挂网喷播35990</w:t>
      </w:r>
      <w:r>
        <w:rPr>
          <w:rFonts w:hint="eastAsia" w:ascii="Times New Roman" w:hAnsi="Times New Roman" w:eastAsia="宋体" w:cs="Times New Roman"/>
          <w:bCs/>
          <w:color w:val="000000"/>
          <w:sz w:val="32"/>
          <w:szCs w:val="32"/>
          <w:lang w:bidi="ar-SA"/>
        </w:rPr>
        <w:t>㎡</w:t>
      </w:r>
      <w:r>
        <w:rPr>
          <w:rFonts w:ascii="Times New Roman" w:hAnsi="Times New Roman" w:eastAsia="仿宋_GB2312" w:cs="Times New Roman"/>
          <w:bCs/>
          <w:color w:val="000000"/>
          <w:sz w:val="32"/>
          <w:szCs w:val="32"/>
          <w:lang w:bidi="ar-SA"/>
        </w:rPr>
        <w:t>、素喷53500</w:t>
      </w:r>
      <w:r>
        <w:rPr>
          <w:rFonts w:hint="eastAsia" w:ascii="Times New Roman" w:hAnsi="Times New Roman" w:eastAsia="宋体" w:cs="Times New Roman"/>
          <w:bCs/>
          <w:color w:val="000000"/>
          <w:sz w:val="32"/>
          <w:szCs w:val="32"/>
          <w:lang w:bidi="ar-SA"/>
        </w:rPr>
        <w:t>㎡</w:t>
      </w:r>
      <w:r>
        <w:rPr>
          <w:rFonts w:ascii="Times New Roman" w:hAnsi="Times New Roman" w:eastAsia="仿宋_GB2312" w:cs="Times New Roman"/>
          <w:bCs/>
          <w:color w:val="000000"/>
          <w:sz w:val="32"/>
          <w:szCs w:val="32"/>
          <w:lang w:bidi="ar-SA"/>
        </w:rPr>
        <w:t>、拉钩点撒播23900</w:t>
      </w:r>
      <w:r>
        <w:rPr>
          <w:rFonts w:hint="eastAsia" w:ascii="Times New Roman" w:hAnsi="Times New Roman" w:eastAsia="宋体" w:cs="Times New Roman"/>
          <w:bCs/>
          <w:color w:val="000000"/>
          <w:sz w:val="32"/>
          <w:szCs w:val="32"/>
          <w:lang w:bidi="ar-SA"/>
        </w:rPr>
        <w:t>㎡</w:t>
      </w:r>
      <w:r>
        <w:rPr>
          <w:rFonts w:ascii="Times New Roman" w:hAnsi="Times New Roman" w:eastAsia="仿宋_GB2312" w:cs="Times New Roman"/>
          <w:bCs/>
          <w:color w:val="000000"/>
          <w:sz w:val="32"/>
          <w:szCs w:val="32"/>
          <w:lang w:bidi="ar-SA"/>
        </w:rPr>
        <w:t>、种植藤苗2600株等。</w:t>
      </w:r>
      <w:r>
        <w:rPr>
          <w:rFonts w:ascii="Times New Roman" w:hAnsi="Times New Roman" w:eastAsia="仿宋_GB2312" w:cs="Times New Roman"/>
          <w:b/>
          <w:bCs/>
          <w:color w:val="000000"/>
          <w:sz w:val="32"/>
          <w:szCs w:val="32"/>
          <w:lang w:bidi="ar-SA"/>
        </w:rPr>
        <w:t>三是落实环保督察问题整改。</w:t>
      </w:r>
      <w:r>
        <w:rPr>
          <w:rFonts w:ascii="Times New Roman" w:hAnsi="Times New Roman" w:eastAsia="仿宋_GB2312" w:cs="Times New Roman"/>
          <w:color w:val="000000"/>
          <w:sz w:val="32"/>
          <w:szCs w:val="32"/>
          <w:lang w:bidi="ar-SA"/>
        </w:rPr>
        <w:t>我局牵头负责马脑壳金矿生态环境问题7个，完成6个，1个整改中；草地金矿生态环境问题11个，全部完成整改。</w:t>
      </w:r>
    </w:p>
    <w:p w14:paraId="3A7525FD">
      <w:pPr>
        <w:pStyle w:val="21"/>
        <w:keepNext w:val="0"/>
        <w:keepLines w:val="0"/>
        <w:pageBreakBefore w:val="0"/>
        <w:widowControl/>
        <w:suppressLineNumbers w:val="0"/>
        <w:kinsoku/>
        <w:wordWrap/>
        <w:overflowPunct/>
        <w:topLinePunct w:val="0"/>
        <w:autoSpaceDE/>
        <w:autoSpaceDN/>
        <w:adjustRightInd/>
        <w:snapToGrid/>
        <w:spacing w:line="540" w:lineRule="exact"/>
        <w:ind w:left="0" w:firstLine="643" w:firstLineChars="200"/>
        <w:rPr>
          <w:rFonts w:ascii="Times New Roman" w:hAnsi="Times New Roman" w:eastAsia="楷体_GB2312" w:cs="Times New Roman"/>
          <w:b/>
          <w:bCs/>
          <w:color w:val="000000"/>
          <w:sz w:val="32"/>
          <w:szCs w:val="32"/>
          <w:lang w:bidi="ar-SA"/>
        </w:rPr>
      </w:pPr>
      <w:r>
        <w:rPr>
          <w:rFonts w:ascii="Times New Roman" w:hAnsi="Times New Roman" w:eastAsia="楷体_GB2312" w:cs="Times New Roman"/>
          <w:b/>
          <w:bCs/>
          <w:color w:val="000000"/>
          <w:sz w:val="32"/>
          <w:szCs w:val="32"/>
          <w:lang w:bidi="ar-SA"/>
        </w:rPr>
        <w:t>（</w:t>
      </w:r>
      <w:r>
        <w:rPr>
          <w:rFonts w:hint="eastAsia" w:ascii="Times New Roman" w:hAnsi="Times New Roman" w:eastAsia="楷体_GB2312" w:cs="Times New Roman"/>
          <w:b/>
          <w:bCs/>
          <w:color w:val="000000"/>
          <w:sz w:val="32"/>
          <w:szCs w:val="32"/>
          <w:lang w:val="en-US" w:eastAsia="zh-CN" w:bidi="ar-SA"/>
        </w:rPr>
        <w:t>五</w:t>
      </w:r>
      <w:r>
        <w:rPr>
          <w:rFonts w:ascii="Times New Roman" w:hAnsi="Times New Roman" w:eastAsia="楷体_GB2312" w:cs="Times New Roman"/>
          <w:b/>
          <w:bCs/>
          <w:color w:val="000000"/>
          <w:sz w:val="32"/>
          <w:szCs w:val="32"/>
          <w:lang w:bidi="ar-SA"/>
        </w:rPr>
        <w:t>）严格执法监察，规范用地秩序。</w:t>
      </w:r>
      <w:r>
        <w:rPr>
          <w:rFonts w:ascii="Times New Roman" w:hAnsi="Times New Roman" w:eastAsia="仿宋_GB2312" w:cs="Times New Roman"/>
          <w:b/>
          <w:bCs/>
          <w:color w:val="000000"/>
          <w:sz w:val="32"/>
          <w:szCs w:val="32"/>
          <w:lang w:bidi="ar-SA"/>
        </w:rPr>
        <w:t>一是落实动态巡查。</w:t>
      </w:r>
      <w:r>
        <w:rPr>
          <w:rFonts w:ascii="Times New Roman" w:hAnsi="Times New Roman" w:eastAsia="仿宋_GB2312" w:cs="Times New Roman"/>
          <w:color w:val="000000"/>
          <w:sz w:val="32"/>
          <w:szCs w:val="32"/>
          <w:lang w:bidi="ar-SA"/>
        </w:rPr>
        <w:t>对辖区内违法用地频发区域、重点区域，加大巡查频率和力度，开展动态巡查100余次，确保动态巡查无死角。</w:t>
      </w:r>
      <w:r>
        <w:rPr>
          <w:rFonts w:ascii="Times New Roman" w:hAnsi="Times New Roman" w:eastAsia="仿宋_GB2312" w:cs="Times New Roman"/>
          <w:b/>
          <w:bCs/>
          <w:color w:val="000000"/>
          <w:sz w:val="32"/>
          <w:szCs w:val="32"/>
          <w:lang w:bidi="ar-SA"/>
        </w:rPr>
        <w:t>二是查处违法案件。</w:t>
      </w:r>
      <w:r>
        <w:rPr>
          <w:rFonts w:ascii="Times New Roman" w:hAnsi="Times New Roman" w:eastAsia="仿宋_GB2312" w:cs="Times New Roman"/>
          <w:color w:val="000000"/>
          <w:sz w:val="32"/>
          <w:szCs w:val="32"/>
          <w:lang w:bidi="ar-SA"/>
        </w:rPr>
        <w:t>查处移交</w:t>
      </w:r>
      <w:r>
        <w:rPr>
          <w:rFonts w:ascii="Times New Roman" w:hAnsi="Times New Roman" w:eastAsia="仿宋_GB2312" w:cs="Times New Roman"/>
          <w:color w:val="000000"/>
          <w:sz w:val="32"/>
          <w:szCs w:val="32"/>
          <w:lang w:val="en-US" w:eastAsia="zh-CN" w:bidi="ar-SA"/>
        </w:rPr>
        <w:t>草地金矿越界开采案；查处城投公司垃圾三厂建设项目涉嫌未经批准占用土地修建案，收缴罚款257575.00元，现已结案；查处九寨沟县水务局罗州湖水库工程项目涉嫌未经批准占用土地进行修建案，收缴罚款1392950元，现已结案。</w:t>
      </w:r>
      <w:r>
        <w:rPr>
          <w:rFonts w:ascii="Times New Roman" w:hAnsi="Times New Roman" w:eastAsia="仿宋_GB2312" w:cs="Times New Roman"/>
          <w:b/>
          <w:bCs/>
          <w:color w:val="000000"/>
          <w:sz w:val="32"/>
          <w:szCs w:val="32"/>
          <w:lang w:bidi="ar-SA"/>
        </w:rPr>
        <w:t>三是开展卫片执法检查工作。</w:t>
      </w:r>
      <w:r>
        <w:rPr>
          <w:rFonts w:ascii="Times New Roman" w:hAnsi="Times New Roman" w:eastAsia="仿宋_GB2312" w:cs="Times New Roman"/>
          <w:color w:val="000000"/>
          <w:sz w:val="32"/>
          <w:szCs w:val="32"/>
          <w:lang w:val="en-US" w:eastAsia="zh-CN" w:bidi="ar-SA"/>
        </w:rPr>
        <w:t>2023年退回图斑及</w:t>
      </w:r>
      <w:r>
        <w:rPr>
          <w:rFonts w:ascii="Times New Roman" w:hAnsi="Times New Roman" w:eastAsia="仿宋_GB2312" w:cs="Times New Roman"/>
          <w:color w:val="000000"/>
          <w:sz w:val="32"/>
          <w:szCs w:val="32"/>
          <w:lang w:eastAsia="zh-CN" w:bidi="ar-SA"/>
        </w:rPr>
        <w:t>202</w:t>
      </w:r>
      <w:r>
        <w:rPr>
          <w:rFonts w:ascii="Times New Roman" w:hAnsi="Times New Roman" w:eastAsia="仿宋_GB2312" w:cs="Times New Roman"/>
          <w:color w:val="000000"/>
          <w:sz w:val="32"/>
          <w:szCs w:val="32"/>
          <w:lang w:val="en-US" w:eastAsia="zh-CN" w:bidi="ar-SA"/>
        </w:rPr>
        <w:t>4</w:t>
      </w:r>
      <w:r>
        <w:rPr>
          <w:rFonts w:ascii="Times New Roman" w:hAnsi="Times New Roman" w:eastAsia="仿宋_GB2312" w:cs="Times New Roman"/>
          <w:color w:val="000000"/>
          <w:sz w:val="32"/>
          <w:szCs w:val="32"/>
          <w:lang w:bidi="ar-SA"/>
        </w:rPr>
        <w:t>年</w:t>
      </w:r>
      <w:r>
        <w:rPr>
          <w:rFonts w:ascii="Times New Roman" w:hAnsi="Times New Roman" w:eastAsia="仿宋_GB2312" w:cs="Times New Roman"/>
          <w:color w:val="000000"/>
          <w:sz w:val="32"/>
          <w:szCs w:val="32"/>
          <w:lang w:val="en-US" w:eastAsia="zh-CN" w:bidi="ar-SA"/>
        </w:rPr>
        <w:t>1-10月</w:t>
      </w:r>
      <w:r>
        <w:rPr>
          <w:rFonts w:ascii="Times New Roman" w:hAnsi="Times New Roman" w:eastAsia="仿宋_GB2312" w:cs="Times New Roman"/>
          <w:color w:val="000000"/>
          <w:sz w:val="32"/>
          <w:szCs w:val="32"/>
          <w:lang w:bidi="ar-SA"/>
        </w:rPr>
        <w:t>下发土地遥感监测图斑共</w:t>
      </w:r>
      <w:r>
        <w:rPr>
          <w:rFonts w:ascii="Times New Roman" w:hAnsi="Times New Roman" w:eastAsia="仿宋_GB2312" w:cs="Times New Roman"/>
          <w:color w:val="000000"/>
          <w:sz w:val="32"/>
          <w:szCs w:val="32"/>
          <w:lang w:val="en-US" w:eastAsia="zh-CN" w:bidi="ar-SA"/>
        </w:rPr>
        <w:t>762</w:t>
      </w:r>
      <w:r>
        <w:rPr>
          <w:rFonts w:ascii="Times New Roman" w:hAnsi="Times New Roman" w:eastAsia="仿宋_GB2312" w:cs="Times New Roman"/>
          <w:color w:val="000000"/>
          <w:sz w:val="32"/>
          <w:szCs w:val="32"/>
          <w:lang w:bidi="ar-SA"/>
        </w:rPr>
        <w:t>个，其中470个已调查核实并经系统上报，剩余292个正在核实填报中。</w:t>
      </w:r>
      <w:r>
        <w:rPr>
          <w:rFonts w:ascii="Times New Roman" w:hAnsi="Times New Roman" w:eastAsia="仿宋_GB2312" w:cs="Times New Roman"/>
          <w:b/>
          <w:bCs/>
          <w:color w:val="000000"/>
          <w:sz w:val="32"/>
          <w:szCs w:val="32"/>
          <w:lang w:bidi="ar-SA"/>
        </w:rPr>
        <w:t>四是做好信访稳定工作。</w:t>
      </w:r>
      <w:r>
        <w:rPr>
          <w:rFonts w:ascii="Times New Roman" w:hAnsi="Times New Roman" w:eastAsia="仿宋_GB2312" w:cs="Times New Roman"/>
          <w:color w:val="000000"/>
          <w:sz w:val="32"/>
          <w:szCs w:val="32"/>
          <w:lang w:bidi="ar-SA"/>
        </w:rPr>
        <w:t>收到信访8件，办结6件，退回2件，积极排查化解信访矛盾纠纷。</w:t>
      </w:r>
    </w:p>
    <w:p w14:paraId="71078798">
      <w:pPr>
        <w:pStyle w:val="21"/>
        <w:keepNext w:val="0"/>
        <w:keepLines w:val="0"/>
        <w:pageBreakBefore w:val="0"/>
        <w:widowControl/>
        <w:suppressLineNumbers w:val="0"/>
        <w:kinsoku/>
        <w:wordWrap/>
        <w:overflowPunct/>
        <w:topLinePunct w:val="0"/>
        <w:autoSpaceDE/>
        <w:autoSpaceDN/>
        <w:adjustRightInd/>
        <w:snapToGrid/>
        <w:spacing w:line="540" w:lineRule="exact"/>
        <w:ind w:left="0" w:firstLine="643" w:firstLineChars="200"/>
        <w:rPr>
          <w:rFonts w:hint="eastAsia"/>
          <w:sz w:val="32"/>
          <w:szCs w:val="32"/>
          <w:lang w:val="zh-CN"/>
        </w:rPr>
      </w:pPr>
      <w:r>
        <w:rPr>
          <w:rFonts w:ascii="Times New Roman" w:hAnsi="Times New Roman" w:eastAsia="楷体_GB2312" w:cs="Times New Roman"/>
          <w:b/>
          <w:bCs/>
          <w:color w:val="000000"/>
          <w:sz w:val="32"/>
          <w:szCs w:val="32"/>
          <w:lang w:bidi="ar-SA"/>
        </w:rPr>
        <w:t>（</w:t>
      </w:r>
      <w:r>
        <w:rPr>
          <w:rFonts w:hint="eastAsia" w:ascii="Times New Roman" w:hAnsi="Times New Roman" w:eastAsia="楷体_GB2312" w:cs="Times New Roman"/>
          <w:b/>
          <w:bCs/>
          <w:color w:val="000000"/>
          <w:sz w:val="32"/>
          <w:szCs w:val="32"/>
          <w:lang w:val="en-US" w:eastAsia="zh-CN" w:bidi="ar-SA"/>
        </w:rPr>
        <w:t>六</w:t>
      </w:r>
      <w:r>
        <w:rPr>
          <w:rFonts w:ascii="Times New Roman" w:hAnsi="Times New Roman" w:eastAsia="楷体_GB2312" w:cs="Times New Roman"/>
          <w:b/>
          <w:bCs/>
          <w:color w:val="000000"/>
          <w:sz w:val="32"/>
          <w:szCs w:val="32"/>
          <w:lang w:bidi="ar-SA"/>
        </w:rPr>
        <w:t>）全面深化改革，优化登记服务。</w:t>
      </w:r>
      <w:r>
        <w:rPr>
          <w:rFonts w:ascii="Times New Roman" w:hAnsi="Times New Roman" w:eastAsia="仿宋_GB2312" w:cs="Times New Roman"/>
          <w:color w:val="000000"/>
          <w:sz w:val="32"/>
          <w:szCs w:val="32"/>
          <w:lang w:bidi="ar-SA"/>
        </w:rPr>
        <w:t>深入贯彻落实“放管服”改革，按照“流程最简、时限最短、服务最优”的目标，打通服务企业群众的“最后一公里”。截至目前受理办结各类不动产登记共计4335件；</w:t>
      </w:r>
      <w:r>
        <w:rPr>
          <w:rFonts w:ascii="Times New Roman" w:hAnsi="Times New Roman" w:eastAsia="仿宋_GB2312" w:cs="Times New Roman"/>
          <w:color w:val="000000"/>
          <w:sz w:val="32"/>
          <w:szCs w:val="32"/>
          <w:lang w:val="en-US" w:eastAsia="zh-CN" w:bidi="ar-SA"/>
        </w:rPr>
        <w:t>推进农村宅基地房地一体及集体建设用地统一确权登记工作，完成144</w:t>
      </w:r>
      <w:r>
        <w:rPr>
          <w:rFonts w:ascii="Times New Roman" w:hAnsi="Times New Roman" w:eastAsia="仿宋_GB2312" w:cs="Times New Roman"/>
          <w:color w:val="000000"/>
          <w:sz w:val="32"/>
          <w:szCs w:val="32"/>
          <w:lang w:bidi="ar-SA"/>
        </w:rPr>
        <w:t>户制证、颁证及228户登记资料补齐补正工作</w:t>
      </w:r>
      <w:r>
        <w:rPr>
          <w:rFonts w:ascii="Times New Roman" w:hAnsi="Times New Roman" w:eastAsia="仿宋_GB2312" w:cs="Times New Roman"/>
          <w:color w:val="000000"/>
          <w:sz w:val="32"/>
          <w:szCs w:val="32"/>
          <w:lang w:eastAsia="zh-CN" w:bidi="ar-SA"/>
        </w:rPr>
        <w:t>；</w:t>
      </w:r>
      <w:r>
        <w:rPr>
          <w:rFonts w:ascii="Times New Roman" w:hAnsi="Times New Roman" w:eastAsia="仿宋_GB2312" w:cs="Times New Roman"/>
          <w:color w:val="000000"/>
          <w:sz w:val="32"/>
          <w:szCs w:val="32"/>
          <w:lang w:val="en-US" w:eastAsia="zh-CN" w:bidi="ar-SA"/>
        </w:rPr>
        <w:t>推进</w:t>
      </w:r>
      <w:r>
        <w:rPr>
          <w:rFonts w:ascii="Times New Roman" w:hAnsi="Times New Roman" w:eastAsia="仿宋_GB2312" w:cs="Times New Roman"/>
          <w:color w:val="000000"/>
          <w:sz w:val="32"/>
          <w:szCs w:val="32"/>
          <w:lang w:eastAsia="zh-CN" w:bidi="ar-SA"/>
        </w:rPr>
        <w:t>九寨沟县</w:t>
      </w:r>
      <w:r>
        <w:rPr>
          <w:rFonts w:ascii="Times New Roman" w:hAnsi="Times New Roman" w:eastAsia="仿宋_GB2312" w:cs="Times New Roman"/>
          <w:color w:val="000000"/>
          <w:sz w:val="32"/>
          <w:szCs w:val="32"/>
          <w:lang w:bidi="ar-SA"/>
        </w:rPr>
        <w:t>集体土地所有权确权登记成果更新汇交工作</w:t>
      </w:r>
      <w:r>
        <w:rPr>
          <w:rFonts w:ascii="Times New Roman" w:hAnsi="Times New Roman" w:eastAsia="仿宋_GB2312" w:cs="Times New Roman"/>
          <w:color w:val="000000"/>
          <w:sz w:val="32"/>
          <w:szCs w:val="32"/>
          <w:lang w:eastAsia="zh-CN" w:bidi="ar-SA"/>
        </w:rPr>
        <w:t>，</w:t>
      </w:r>
      <w:r>
        <w:rPr>
          <w:rFonts w:ascii="Times New Roman" w:hAnsi="Times New Roman" w:eastAsia="仿宋_GB2312" w:cs="Times New Roman"/>
          <w:color w:val="000000"/>
          <w:sz w:val="32"/>
          <w:szCs w:val="32"/>
          <w:lang w:bidi="ar-SA"/>
        </w:rPr>
        <w:t>完成</w:t>
      </w:r>
      <w:r>
        <w:rPr>
          <w:rFonts w:ascii="Times New Roman" w:hAnsi="Times New Roman" w:eastAsia="仿宋_GB2312" w:cs="Times New Roman"/>
          <w:color w:val="000000"/>
          <w:sz w:val="32"/>
          <w:szCs w:val="32"/>
          <w:lang w:val="en-US" w:eastAsia="zh-CN" w:bidi="ar-SA"/>
        </w:rPr>
        <w:t>全县100个行政村2647</w:t>
      </w:r>
      <w:r>
        <w:rPr>
          <w:rFonts w:ascii="Times New Roman" w:hAnsi="Times New Roman" w:eastAsia="仿宋_GB2312" w:cs="Times New Roman"/>
          <w:color w:val="000000"/>
          <w:sz w:val="32"/>
          <w:szCs w:val="32"/>
          <w:lang w:bidi="ar-SA"/>
        </w:rPr>
        <w:t>宗宗地数据汇交工作。</w:t>
      </w:r>
    </w:p>
    <w:p w14:paraId="0458410D">
      <w:pPr>
        <w:keepNext w:val="0"/>
        <w:keepLines w:val="0"/>
        <w:pageBreakBefore w:val="0"/>
        <w:widowControl w:val="0"/>
        <w:numPr>
          <w:ilvl w:val="0"/>
          <w:numId w:val="5"/>
        </w:numPr>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楷体_GB2312" w:eastAsia="楷体_GB2312" w:cs="楷体_GB2312"/>
          <w:color w:val="auto"/>
          <w:kern w:val="0"/>
          <w:sz w:val="32"/>
          <w:szCs w:val="32"/>
          <w:highlight w:val="none"/>
          <w:shd w:val="clear" w:color="auto" w:fill="FFFFFF"/>
          <w:lang w:val="zh-CN"/>
        </w:rPr>
      </w:pPr>
      <w:r>
        <w:rPr>
          <w:rFonts w:ascii="楷体_GB2312" w:eastAsia="楷体_GB2312" w:cs="楷体_GB2312"/>
          <w:color w:val="auto"/>
          <w:kern w:val="0"/>
          <w:sz w:val="32"/>
          <w:szCs w:val="32"/>
          <w:highlight w:val="none"/>
          <w:shd w:val="clear" w:color="auto" w:fill="FFFFFF"/>
          <w:lang w:val="zh-CN"/>
        </w:rPr>
        <w:t>预算管理</w:t>
      </w:r>
      <w:r>
        <w:rPr>
          <w:rFonts w:hint="eastAsia" w:ascii="楷体_GB2312" w:eastAsia="楷体_GB2312" w:cs="楷体_GB2312"/>
          <w:color w:val="auto"/>
          <w:kern w:val="0"/>
          <w:sz w:val="32"/>
          <w:szCs w:val="32"/>
          <w:highlight w:val="none"/>
          <w:shd w:val="clear" w:color="auto" w:fill="FFFFFF"/>
          <w:lang w:val="zh-CN"/>
        </w:rPr>
        <w:t>。</w:t>
      </w:r>
    </w:p>
    <w:p w14:paraId="08A27D42">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楷体_GB2312" w:eastAsia="楷体_GB2312" w:cs="楷体_GB2312"/>
          <w:color w:val="FF0000"/>
          <w:kern w:val="0"/>
          <w:sz w:val="32"/>
          <w:szCs w:val="32"/>
          <w:highlight w:val="none"/>
          <w:shd w:val="clear" w:color="auto" w:fill="FFFFFF"/>
          <w:lang w:val="zh-CN"/>
        </w:rPr>
      </w:pPr>
      <w:r>
        <w:rPr>
          <w:rFonts w:hint="eastAsia" w:ascii="仿宋_GB2312" w:hAnsi="仿宋_GB2312" w:cs="仿宋_GB2312"/>
          <w:color w:val="000000"/>
          <w:kern w:val="0"/>
          <w:sz w:val="32"/>
          <w:szCs w:val="32"/>
          <w:lang w:val="zh-CN"/>
        </w:rPr>
        <w:t>我局202</w:t>
      </w:r>
      <w:r>
        <w:rPr>
          <w:rFonts w:hint="eastAsia" w:ascii="仿宋_GB2312" w:hAnsi="仿宋_GB2312" w:cs="仿宋_GB2312"/>
          <w:color w:val="000000"/>
          <w:kern w:val="0"/>
          <w:sz w:val="32"/>
          <w:szCs w:val="32"/>
          <w:lang w:val="en-US" w:eastAsia="zh-CN"/>
        </w:rPr>
        <w:t>4</w:t>
      </w:r>
      <w:r>
        <w:rPr>
          <w:rFonts w:hint="eastAsia" w:ascii="仿宋_GB2312" w:hAnsi="仿宋_GB2312" w:cs="仿宋_GB2312"/>
          <w:color w:val="000000"/>
          <w:kern w:val="0"/>
          <w:sz w:val="32"/>
          <w:szCs w:val="32"/>
          <w:lang w:val="zh-CN"/>
        </w:rPr>
        <w:t>年预算编制严格按照《中华人民共和国预算法》的要求，按照相关填报口径做到科学合理的细化预算编制。</w:t>
      </w:r>
    </w:p>
    <w:p w14:paraId="7FCF93FB">
      <w:pPr>
        <w:widowControl/>
        <w:numPr>
          <w:ilvl w:val="0"/>
          <w:numId w:val="5"/>
        </w:numPr>
        <w:adjustRightInd w:val="0"/>
        <w:snapToGrid w:val="0"/>
        <w:spacing w:line="480" w:lineRule="exact"/>
        <w:ind w:left="0" w:firstLine="640" w:firstLineChars="200"/>
        <w:jc w:val="left"/>
        <w:rPr>
          <w:rFonts w:hint="eastAsia" w:ascii="楷体_GB2312" w:eastAsia="楷体_GB2312" w:cs="楷体_GB2312"/>
          <w:color w:val="auto"/>
          <w:kern w:val="0"/>
          <w:sz w:val="32"/>
          <w:szCs w:val="32"/>
          <w:highlight w:val="none"/>
          <w:shd w:val="clear" w:color="auto" w:fill="FFFFFF"/>
          <w:lang w:val="zh-CN"/>
        </w:rPr>
      </w:pPr>
      <w:r>
        <w:rPr>
          <w:rFonts w:ascii="楷体_GB2312" w:eastAsia="楷体_GB2312" w:cs="楷体_GB2312"/>
          <w:color w:val="auto"/>
          <w:kern w:val="0"/>
          <w:sz w:val="32"/>
          <w:szCs w:val="32"/>
          <w:highlight w:val="none"/>
          <w:shd w:val="clear" w:color="auto" w:fill="FFFFFF"/>
          <w:lang w:val="zh-CN"/>
        </w:rPr>
        <w:t>财务管理</w:t>
      </w:r>
      <w:r>
        <w:rPr>
          <w:rFonts w:hint="eastAsia" w:ascii="楷体_GB2312" w:eastAsia="楷体_GB2312" w:cs="楷体_GB2312"/>
          <w:color w:val="auto"/>
          <w:kern w:val="0"/>
          <w:sz w:val="32"/>
          <w:szCs w:val="32"/>
          <w:highlight w:val="none"/>
          <w:shd w:val="clear" w:color="auto" w:fill="FFFFFF"/>
          <w:lang w:val="zh-CN"/>
        </w:rPr>
        <w:t>。</w:t>
      </w:r>
    </w:p>
    <w:p w14:paraId="61D63DB6">
      <w:pPr>
        <w:widowControl/>
        <w:adjustRightInd w:val="0"/>
        <w:snapToGrid w:val="0"/>
        <w:spacing w:line="480" w:lineRule="exact"/>
        <w:ind w:left="420" w:leftChars="200"/>
        <w:jc w:val="left"/>
        <w:rPr>
          <w:rFonts w:ascii="仿宋_GB2312" w:hAnsi="仿宋_GB2312" w:cs="仿宋_GB2312"/>
          <w:color w:val="000000"/>
          <w:kern w:val="0"/>
          <w:sz w:val="32"/>
          <w:szCs w:val="32"/>
          <w:lang w:val="zh-CN"/>
        </w:rPr>
      </w:pPr>
      <w:r>
        <w:rPr>
          <w:rFonts w:hint="eastAsia" w:ascii="仿宋_GB2312" w:hAnsi="仿宋_GB2312" w:cs="仿宋_GB2312"/>
          <w:color w:val="000000"/>
          <w:kern w:val="0"/>
          <w:sz w:val="32"/>
          <w:szCs w:val="32"/>
          <w:lang w:val="zh-CN"/>
        </w:rPr>
        <w:t>一是加强内部控制。202</w:t>
      </w:r>
      <w:r>
        <w:rPr>
          <w:rFonts w:hint="eastAsia" w:ascii="仿宋_GB2312" w:hAnsi="仿宋_GB2312" w:cs="仿宋_GB2312"/>
          <w:color w:val="000000"/>
          <w:kern w:val="0"/>
          <w:sz w:val="32"/>
          <w:szCs w:val="32"/>
          <w:lang w:val="en-US" w:eastAsia="zh-CN"/>
        </w:rPr>
        <w:t>4</w:t>
      </w:r>
      <w:r>
        <w:rPr>
          <w:rFonts w:hint="eastAsia" w:ascii="仿宋_GB2312" w:hAnsi="仿宋_GB2312" w:cs="仿宋_GB2312"/>
          <w:color w:val="000000"/>
          <w:kern w:val="0"/>
          <w:sz w:val="32"/>
          <w:szCs w:val="32"/>
          <w:lang w:val="zh-CN"/>
        </w:rPr>
        <w:t>年继续修改完善相关财务管理的制度、规定，加强内部控制和监督。对各项资金的管理、经费收支审批等均做了明确规定，正确组织资金的筹集、调度和使用，债权债务及时结算、结清。各项经费支出严格按照单位“三重一大”制度执行。</w:t>
      </w:r>
    </w:p>
    <w:p w14:paraId="4D689AD7">
      <w:pPr>
        <w:widowControl/>
        <w:adjustRightInd w:val="0"/>
        <w:snapToGrid w:val="0"/>
        <w:spacing w:line="480" w:lineRule="exact"/>
        <w:ind w:firstLine="640" w:firstLineChars="200"/>
        <w:jc w:val="left"/>
        <w:rPr>
          <w:rFonts w:hint="eastAsia" w:ascii="楷体_GB2312" w:eastAsia="楷体_GB2312" w:cs="楷体_GB2312"/>
          <w:color w:val="FF0000"/>
          <w:kern w:val="0"/>
          <w:sz w:val="32"/>
          <w:szCs w:val="32"/>
          <w:highlight w:val="none"/>
          <w:shd w:val="clear" w:color="auto" w:fill="FFFFFF"/>
          <w:lang w:val="zh-CN"/>
        </w:rPr>
      </w:pPr>
      <w:r>
        <w:rPr>
          <w:rFonts w:hint="eastAsia" w:ascii="仿宋_GB2312" w:hAnsi="仿宋_GB2312" w:cs="仿宋_GB2312"/>
          <w:color w:val="000000"/>
          <w:kern w:val="0"/>
          <w:sz w:val="32"/>
          <w:szCs w:val="32"/>
          <w:lang w:val="zh-CN"/>
        </w:rPr>
        <w:t>二是强化制度执行。切实做好厉行节约工作，全面落实各项管理制度要求，努力降低行政成本。严格公务接待费、差旅费、会议费和培训费审核审批程序，加强对公务用车的管理，把“三公”经费较好地控制在预算范围之内。</w:t>
      </w:r>
    </w:p>
    <w:p w14:paraId="6DCFCDAB">
      <w:pPr>
        <w:widowControl/>
        <w:numPr>
          <w:ilvl w:val="0"/>
          <w:numId w:val="5"/>
        </w:numPr>
        <w:adjustRightInd w:val="0"/>
        <w:snapToGrid w:val="0"/>
        <w:spacing w:line="480" w:lineRule="exact"/>
        <w:ind w:left="0" w:firstLine="640" w:firstLineChars="200"/>
        <w:jc w:val="left"/>
        <w:rPr>
          <w:rFonts w:hint="eastAsia" w:ascii="楷体_GB2312" w:eastAsia="楷体_GB2312" w:cs="楷体_GB2312"/>
          <w:color w:val="auto"/>
          <w:kern w:val="0"/>
          <w:sz w:val="32"/>
          <w:szCs w:val="32"/>
          <w:highlight w:val="none"/>
          <w:shd w:val="clear" w:color="auto" w:fill="FFFFFF"/>
          <w:lang w:val="zh-CN"/>
        </w:rPr>
      </w:pPr>
      <w:r>
        <w:rPr>
          <w:rFonts w:ascii="楷体_GB2312" w:eastAsia="楷体_GB2312" w:cs="楷体_GB2312"/>
          <w:color w:val="auto"/>
          <w:kern w:val="0"/>
          <w:sz w:val="32"/>
          <w:szCs w:val="32"/>
          <w:highlight w:val="none"/>
          <w:shd w:val="clear" w:color="auto" w:fill="FFFFFF"/>
          <w:lang w:val="zh-CN"/>
        </w:rPr>
        <w:t>资产管理</w:t>
      </w:r>
      <w:r>
        <w:rPr>
          <w:rFonts w:hint="eastAsia" w:ascii="楷体_GB2312" w:eastAsia="楷体_GB2312" w:cs="楷体_GB2312"/>
          <w:color w:val="auto"/>
          <w:kern w:val="0"/>
          <w:sz w:val="32"/>
          <w:szCs w:val="32"/>
          <w:highlight w:val="none"/>
          <w:shd w:val="clear" w:color="auto" w:fill="FFFFFF"/>
          <w:lang w:val="zh-CN"/>
        </w:rPr>
        <w:t>。</w:t>
      </w:r>
    </w:p>
    <w:p w14:paraId="2153A3B7">
      <w:pPr>
        <w:widowControl/>
        <w:adjustRightInd w:val="0"/>
        <w:snapToGrid w:val="0"/>
        <w:spacing w:line="480" w:lineRule="exact"/>
        <w:ind w:left="420" w:leftChars="200"/>
        <w:jc w:val="left"/>
        <w:rPr>
          <w:rFonts w:ascii="楷体_GB2312" w:hAnsi="楷体_GB2312" w:eastAsia="仿宋_GB2312" w:cs="楷体_GB2312"/>
          <w:color w:val="auto"/>
          <w:kern w:val="0"/>
          <w:sz w:val="32"/>
          <w:szCs w:val="32"/>
          <w:highlight w:val="none"/>
          <w:shd w:val="clear" w:color="auto" w:fill="FFFFFF"/>
          <w:lang w:val="en-US" w:eastAsia="zh-CN"/>
          <w14:textFill>
            <w14:gradFill>
              <w14:gsLst>
                <w14:gs w14:pos="50000">
                  <w14:srgbClr w14:val="C0504D"/>
                </w14:gs>
                <w14:gs w14:pos="0">
                  <w14:srgbClr w14:val="EFD3D2"/>
                </w14:gs>
                <w14:gs w14:pos="100000">
                  <w14:srgbClr w14:val="A93F3C"/>
                </w14:gs>
              </w14:gsLst>
              <w14:lin w14:ang="5400000" w14:scaled="0"/>
            </w14:gradFill>
          </w14:textFill>
        </w:rPr>
      </w:pPr>
      <w:r>
        <w:rPr>
          <w:rFonts w:hint="eastAsia" w:ascii="仿宋_GB2312" w:hAnsi="仿宋_GB2312" w:cs="仿宋_GB2312"/>
          <w:color w:val="auto"/>
          <w:kern w:val="0"/>
          <w:sz w:val="32"/>
          <w:szCs w:val="32"/>
          <w:lang w:val="zh-CN"/>
        </w:rPr>
        <w:t>我</w:t>
      </w:r>
      <w:r>
        <w:rPr>
          <w:rFonts w:ascii="仿宋_GB2312" w:hAnsi="仿宋_GB2312" w:cs="仿宋_GB2312"/>
          <w:color w:val="auto"/>
          <w:kern w:val="0"/>
          <w:sz w:val="32"/>
          <w:szCs w:val="32"/>
          <w:lang w:val="zh-CN"/>
        </w:rPr>
        <w:t>局所有</w:t>
      </w:r>
      <w:r>
        <w:rPr>
          <w:rFonts w:hint="eastAsia" w:ascii="仿宋_GB2312" w:hAnsi="仿宋_GB2312" w:cs="仿宋_GB2312"/>
          <w:color w:val="auto"/>
          <w:kern w:val="0"/>
          <w:sz w:val="32"/>
          <w:szCs w:val="32"/>
          <w:lang w:val="zh-CN"/>
        </w:rPr>
        <w:t>采</w:t>
      </w:r>
      <w:r>
        <w:rPr>
          <w:rFonts w:ascii="仿宋_GB2312" w:hAnsi="仿宋_GB2312" w:cs="仿宋_GB2312"/>
          <w:color w:val="auto"/>
          <w:kern w:val="0"/>
          <w:sz w:val="32"/>
          <w:szCs w:val="32"/>
          <w:lang w:val="zh-CN"/>
        </w:rPr>
        <w:t>买的</w:t>
      </w:r>
      <w:r>
        <w:rPr>
          <w:rFonts w:hint="eastAsia" w:ascii="仿宋_GB2312" w:hAnsi="仿宋_GB2312" w:cs="仿宋_GB2312"/>
          <w:color w:val="auto"/>
          <w:kern w:val="0"/>
          <w:sz w:val="32"/>
          <w:szCs w:val="32"/>
          <w:lang w:val="zh-CN"/>
        </w:rPr>
        <w:t>资产，</w:t>
      </w:r>
      <w:r>
        <w:rPr>
          <w:rFonts w:ascii="仿宋_GB2312" w:hAnsi="仿宋_GB2312" w:cs="仿宋_GB2312"/>
          <w:color w:val="auto"/>
          <w:kern w:val="0"/>
          <w:sz w:val="32"/>
          <w:szCs w:val="32"/>
          <w:lang w:val="zh-CN"/>
        </w:rPr>
        <w:t>都是经过了政府采购，资产的领用由局</w:t>
      </w:r>
      <w:r>
        <w:rPr>
          <w:rFonts w:hint="eastAsia" w:ascii="仿宋_GB2312" w:hAnsi="仿宋_GB2312" w:cs="仿宋_GB2312"/>
          <w:color w:val="auto"/>
          <w:kern w:val="0"/>
          <w:sz w:val="32"/>
          <w:szCs w:val="32"/>
          <w:lang w:val="zh-CN"/>
        </w:rPr>
        <w:t>办公室</w:t>
      </w:r>
      <w:r>
        <w:rPr>
          <w:rFonts w:ascii="仿宋_GB2312" w:hAnsi="仿宋_GB2312" w:cs="仿宋_GB2312"/>
          <w:color w:val="auto"/>
          <w:kern w:val="0"/>
          <w:sz w:val="32"/>
          <w:szCs w:val="32"/>
          <w:lang w:val="zh-CN"/>
        </w:rPr>
        <w:t>负责，资产购买流程合法，管理规范。</w:t>
      </w:r>
      <w:r>
        <w:rPr>
          <w:rFonts w:hint="eastAsia" w:ascii="仿宋_GB2312" w:hAnsi="仿宋_GB2312" w:cs="仿宋_GB2312"/>
          <w:color w:val="auto"/>
          <w:kern w:val="0"/>
          <w:sz w:val="32"/>
          <w:szCs w:val="32"/>
          <w:lang w:val="zh-CN"/>
        </w:rPr>
        <w:t>定期对</w:t>
      </w:r>
      <w:r>
        <w:rPr>
          <w:rFonts w:ascii="仿宋_GB2312" w:hAnsi="仿宋_GB2312" w:cs="仿宋_GB2312"/>
          <w:color w:val="auto"/>
          <w:kern w:val="0"/>
          <w:sz w:val="32"/>
          <w:szCs w:val="32"/>
          <w:lang w:val="zh-CN"/>
        </w:rPr>
        <w:t>资产进行清</w:t>
      </w:r>
      <w:r>
        <w:rPr>
          <w:rFonts w:hint="eastAsia" w:ascii="仿宋_GB2312" w:hAnsi="仿宋_GB2312" w:cs="仿宋_GB2312"/>
          <w:color w:val="auto"/>
          <w:kern w:val="0"/>
          <w:sz w:val="32"/>
          <w:szCs w:val="32"/>
          <w:lang w:val="zh-CN"/>
        </w:rPr>
        <w:t>查</w:t>
      </w:r>
      <w:r>
        <w:rPr>
          <w:rFonts w:ascii="仿宋_GB2312" w:hAnsi="仿宋_GB2312" w:cs="仿宋_GB2312"/>
          <w:color w:val="auto"/>
          <w:kern w:val="0"/>
          <w:sz w:val="32"/>
          <w:szCs w:val="32"/>
          <w:lang w:val="zh-CN"/>
        </w:rPr>
        <w:t>盘点，</w:t>
      </w:r>
      <w:r>
        <w:rPr>
          <w:rFonts w:hint="eastAsia" w:ascii="仿宋_GB2312" w:hAnsi="仿宋_GB2312" w:cs="仿宋_GB2312"/>
          <w:color w:val="auto"/>
          <w:kern w:val="0"/>
          <w:sz w:val="32"/>
          <w:szCs w:val="32"/>
          <w:lang w:val="zh-CN"/>
        </w:rPr>
        <w:t>做到</w:t>
      </w:r>
      <w:r>
        <w:rPr>
          <w:rFonts w:ascii="仿宋_GB2312" w:hAnsi="仿宋_GB2312" w:cs="仿宋_GB2312"/>
          <w:color w:val="auto"/>
          <w:kern w:val="0"/>
          <w:sz w:val="32"/>
          <w:szCs w:val="32"/>
          <w:lang w:val="zh-CN"/>
        </w:rPr>
        <w:t>账实</w:t>
      </w:r>
      <w:r>
        <w:rPr>
          <w:rFonts w:hint="eastAsia" w:ascii="仿宋_GB2312" w:hAnsi="仿宋_GB2312" w:cs="仿宋_GB2312"/>
          <w:color w:val="auto"/>
          <w:kern w:val="0"/>
          <w:sz w:val="32"/>
          <w:szCs w:val="32"/>
          <w:lang w:val="zh-CN"/>
        </w:rPr>
        <w:t>相符</w:t>
      </w:r>
      <w:r>
        <w:rPr>
          <w:rFonts w:ascii="仿宋_GB2312" w:hAnsi="仿宋_GB2312" w:cs="仿宋_GB2312"/>
          <w:color w:val="auto"/>
          <w:kern w:val="0"/>
          <w:sz w:val="32"/>
          <w:szCs w:val="32"/>
          <w:lang w:val="zh-CN"/>
        </w:rPr>
        <w:t>。</w:t>
      </w:r>
    </w:p>
    <w:p w14:paraId="2BCC5F1E">
      <w:pPr>
        <w:widowControl/>
        <w:numPr>
          <w:ilvl w:val="0"/>
          <w:numId w:val="5"/>
        </w:numPr>
        <w:adjustRightInd w:val="0"/>
        <w:snapToGrid w:val="0"/>
        <w:spacing w:line="480" w:lineRule="exact"/>
        <w:ind w:left="0" w:firstLine="640" w:firstLineChars="200"/>
        <w:jc w:val="left"/>
        <w:rPr>
          <w:rFonts w:hint="eastAsia" w:ascii="楷体_GB2312" w:eastAsia="楷体_GB2312" w:cs="楷体_GB2312"/>
          <w:color w:val="auto"/>
          <w:kern w:val="0"/>
          <w:sz w:val="32"/>
          <w:szCs w:val="32"/>
          <w:highlight w:val="none"/>
          <w:shd w:val="clear" w:color="auto" w:fill="FFFFFF"/>
          <w:lang w:val="zh-CN"/>
        </w:rPr>
      </w:pPr>
      <w:r>
        <w:rPr>
          <w:rFonts w:ascii="楷体_GB2312" w:eastAsia="楷体_GB2312" w:cs="楷体_GB2312"/>
          <w:color w:val="auto"/>
          <w:kern w:val="0"/>
          <w:sz w:val="32"/>
          <w:szCs w:val="32"/>
          <w:highlight w:val="none"/>
          <w:shd w:val="clear" w:color="auto" w:fill="FFFFFF"/>
          <w:lang w:val="zh-CN"/>
        </w:rPr>
        <w:t>采购管理</w:t>
      </w:r>
      <w:r>
        <w:rPr>
          <w:rFonts w:hint="eastAsia" w:ascii="楷体_GB2312" w:eastAsia="楷体_GB2312" w:cs="楷体_GB2312"/>
          <w:color w:val="auto"/>
          <w:kern w:val="0"/>
          <w:sz w:val="32"/>
          <w:szCs w:val="32"/>
          <w:highlight w:val="none"/>
          <w:shd w:val="clear" w:color="auto" w:fill="FFFFFF"/>
          <w:lang w:val="zh-CN"/>
        </w:rPr>
        <w:t>。</w:t>
      </w:r>
    </w:p>
    <w:p w14:paraId="56602594">
      <w:pPr>
        <w:widowControl/>
        <w:adjustRightInd w:val="0"/>
        <w:snapToGrid w:val="0"/>
        <w:spacing w:line="480" w:lineRule="exact"/>
        <w:ind w:left="420" w:leftChars="200"/>
        <w:jc w:val="left"/>
        <w:rPr>
          <w:rFonts w:hint="eastAsia" w:ascii="楷体_GB2312" w:eastAsia="楷体_GB2312" w:cs="楷体_GB2312"/>
          <w:color w:val="FF0000"/>
          <w:kern w:val="0"/>
          <w:sz w:val="32"/>
          <w:szCs w:val="32"/>
          <w:highlight w:val="none"/>
          <w:shd w:val="clear" w:color="auto" w:fill="FFFFFF"/>
          <w:lang w:val="zh-CN"/>
        </w:rPr>
      </w:pPr>
      <w:r>
        <w:rPr>
          <w:rFonts w:hint="eastAsia" w:ascii="仿宋_GB2312" w:hAnsi="仿宋_GB2312" w:cs="仿宋_GB2312"/>
          <w:color w:val="000000"/>
          <w:kern w:val="0"/>
          <w:sz w:val="32"/>
          <w:szCs w:val="32"/>
          <w:lang w:val="zh-CN"/>
        </w:rPr>
        <w:t>我局严格按照《九寨沟县</w:t>
      </w:r>
      <w:r>
        <w:rPr>
          <w:rFonts w:hint="eastAsia" w:ascii="仿宋_GB2312" w:hAnsi="仿宋_GB2312" w:cs="仿宋_GB2312"/>
          <w:color w:val="000000"/>
          <w:kern w:val="0"/>
          <w:sz w:val="32"/>
          <w:szCs w:val="32"/>
          <w:lang w:val="en-US" w:eastAsia="zh-CN"/>
        </w:rPr>
        <w:t>自然资源局</w:t>
      </w:r>
      <w:r>
        <w:rPr>
          <w:rFonts w:hint="eastAsia" w:ascii="仿宋_GB2312" w:hAnsi="仿宋_GB2312" w:cs="仿宋_GB2312"/>
          <w:color w:val="000000"/>
          <w:kern w:val="0"/>
          <w:sz w:val="32"/>
          <w:szCs w:val="32"/>
          <w:lang w:val="zh-CN"/>
        </w:rPr>
        <w:t>政府采购内控管理制度》进行采购。</w:t>
      </w:r>
    </w:p>
    <w:p w14:paraId="48115F06">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ascii="Times New Roman" w:hAnsi="Times New Roman" w:cs="Times New Roman"/>
          <w:color w:val="auto"/>
          <w:kern w:val="0"/>
          <w:sz w:val="32"/>
          <w:szCs w:val="32"/>
          <w:highlight w:val="none"/>
          <w:shd w:val="clear" w:color="auto" w:fill="FFFFFF"/>
          <w:lang w:val="en-US" w:eastAsia="zh-CN"/>
        </w:rPr>
      </w:pPr>
      <w:r>
        <w:rPr>
          <w:rFonts w:ascii="Times New Roman" w:hAnsi="Times New Roman" w:eastAsia="楷体_GB2312" w:cs="Times New Roman"/>
          <w:b/>
          <w:bCs/>
          <w:color w:val="auto"/>
          <w:kern w:val="0"/>
          <w:sz w:val="32"/>
          <w:szCs w:val="32"/>
          <w:highlight w:val="none"/>
          <w:shd w:val="clear" w:color="auto" w:fill="FFFFFF"/>
          <w:lang w:val="zh-CN"/>
        </w:rPr>
        <w:t>（二）部门预算项目绩效分析。</w:t>
      </w:r>
    </w:p>
    <w:p w14:paraId="5F354B72">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cs="Times New Roman"/>
          <w:color w:val="auto"/>
          <w:kern w:val="0"/>
          <w:sz w:val="32"/>
          <w:szCs w:val="32"/>
          <w:highlight w:val="none"/>
          <w:shd w:val="clear" w:color="auto" w:fill="FFFFFF"/>
          <w:lang w:val="zh-CN" w:eastAsia="zh-CN"/>
        </w:rPr>
      </w:pPr>
      <w:r>
        <w:rPr>
          <w:rFonts w:cs="Times New Roman"/>
          <w:color w:val="auto"/>
          <w:kern w:val="0"/>
          <w:sz w:val="32"/>
          <w:szCs w:val="32"/>
          <w:highlight w:val="none"/>
          <w:shd w:val="clear" w:color="auto" w:fill="FFFFFF"/>
          <w:lang w:val="en-US" w:eastAsia="zh-CN"/>
        </w:rPr>
        <w:t>常年项目绩效分析。</w:t>
      </w:r>
      <w:r>
        <w:rPr>
          <w:rFonts w:cs="Times New Roman"/>
          <w:color w:val="auto"/>
          <w:kern w:val="0"/>
          <w:sz w:val="32"/>
          <w:szCs w:val="32"/>
          <w:highlight w:val="none"/>
          <w:shd w:val="clear" w:color="auto" w:fill="FFFFFF"/>
          <w:lang w:val="zh-CN" w:eastAsia="zh-CN"/>
        </w:rPr>
        <w:t>该类项目总数</w:t>
      </w:r>
      <w:r>
        <w:rPr>
          <w:rFonts w:cs="Times New Roman"/>
          <w:color w:val="auto"/>
          <w:kern w:val="0"/>
          <w:sz w:val="32"/>
          <w:szCs w:val="32"/>
          <w:highlight w:val="none"/>
          <w:shd w:val="clear" w:color="auto" w:fill="FFFFFF"/>
          <w:lang w:val="en-US" w:eastAsia="zh-CN"/>
        </w:rPr>
        <w:t xml:space="preserve"> </w:t>
      </w:r>
      <w:r>
        <w:rPr>
          <w:rFonts w:hint="eastAsia" w:cs="Times New Roman"/>
          <w:color w:val="auto"/>
          <w:kern w:val="0"/>
          <w:sz w:val="32"/>
          <w:szCs w:val="32"/>
          <w:highlight w:val="none"/>
          <w:shd w:val="clear" w:color="auto" w:fill="FFFFFF"/>
          <w:lang w:val="en-US" w:eastAsia="zh-CN"/>
        </w:rPr>
        <w:t>0</w:t>
      </w:r>
      <w:r>
        <w:rPr>
          <w:rFonts w:cs="Times New Roman"/>
          <w:color w:val="auto"/>
          <w:kern w:val="0"/>
          <w:sz w:val="32"/>
          <w:szCs w:val="32"/>
          <w:highlight w:val="none"/>
          <w:shd w:val="clear" w:color="auto" w:fill="FFFFFF"/>
          <w:lang w:val="en-US" w:eastAsia="zh-CN"/>
        </w:rPr>
        <w:t xml:space="preserve"> </w:t>
      </w:r>
      <w:r>
        <w:rPr>
          <w:rFonts w:cs="Times New Roman"/>
          <w:color w:val="auto"/>
          <w:kern w:val="0"/>
          <w:sz w:val="32"/>
          <w:szCs w:val="32"/>
          <w:highlight w:val="none"/>
          <w:shd w:val="clear" w:color="auto" w:fill="FFFFFF"/>
          <w:lang w:val="zh-CN" w:eastAsia="zh-CN"/>
        </w:rPr>
        <w:t>个，涉及预算总金额</w:t>
      </w:r>
      <w:r>
        <w:rPr>
          <w:rFonts w:cs="Times New Roman"/>
          <w:color w:val="auto"/>
          <w:kern w:val="0"/>
          <w:sz w:val="32"/>
          <w:szCs w:val="32"/>
          <w:highlight w:val="none"/>
          <w:shd w:val="clear" w:color="auto" w:fill="FFFFFF"/>
          <w:lang w:val="en-US" w:eastAsia="zh-CN"/>
        </w:rPr>
        <w:t xml:space="preserve">   </w:t>
      </w:r>
      <w:r>
        <w:rPr>
          <w:rFonts w:hint="eastAsia" w:cs="Times New Roman"/>
          <w:color w:val="auto"/>
          <w:kern w:val="0"/>
          <w:sz w:val="32"/>
          <w:szCs w:val="32"/>
          <w:highlight w:val="none"/>
          <w:shd w:val="clear" w:color="auto" w:fill="FFFFFF"/>
          <w:lang w:val="en-US" w:eastAsia="zh-CN"/>
        </w:rPr>
        <w:t>0</w:t>
      </w:r>
      <w:r>
        <w:rPr>
          <w:rFonts w:cs="Times New Roman"/>
          <w:color w:val="auto"/>
          <w:kern w:val="0"/>
          <w:sz w:val="32"/>
          <w:szCs w:val="32"/>
          <w:highlight w:val="none"/>
          <w:shd w:val="clear" w:color="auto" w:fill="FFFFFF"/>
          <w:lang w:val="zh-CN" w:eastAsia="zh-CN"/>
        </w:rPr>
        <w:t>万元，</w:t>
      </w:r>
      <w:r>
        <w:rPr>
          <w:rFonts w:cs="Times New Roman"/>
          <w:color w:val="auto"/>
          <w:kern w:val="0"/>
          <w:sz w:val="32"/>
          <w:szCs w:val="32"/>
          <w:highlight w:val="none"/>
          <w:shd w:val="clear" w:color="auto" w:fill="FFFFFF"/>
          <w:lang w:val="zh-CN"/>
        </w:rPr>
        <w:t>1</w:t>
      </w:r>
      <w:r>
        <w:rPr>
          <w:rFonts w:hint="eastAsia" w:cs="Times New Roman"/>
          <w:color w:val="auto"/>
          <w:kern w:val="0"/>
          <w:sz w:val="32"/>
          <w:szCs w:val="32"/>
          <w:highlight w:val="none"/>
          <w:shd w:val="clear" w:color="auto" w:fill="FFFFFF"/>
          <w:lang w:val="zh-CN" w:eastAsia="zh-CN"/>
        </w:rPr>
        <w:t>—</w:t>
      </w:r>
      <w:r>
        <w:rPr>
          <w:rFonts w:cs="Times New Roman"/>
          <w:color w:val="auto"/>
          <w:kern w:val="0"/>
          <w:sz w:val="32"/>
          <w:szCs w:val="32"/>
          <w:highlight w:val="none"/>
          <w:shd w:val="clear" w:color="auto" w:fill="FFFFFF"/>
          <w:lang w:val="zh-CN"/>
        </w:rPr>
        <w:t>1</w:t>
      </w:r>
      <w:r>
        <w:rPr>
          <w:rFonts w:cs="Times New Roman"/>
          <w:color w:val="auto"/>
          <w:kern w:val="0"/>
          <w:sz w:val="32"/>
          <w:szCs w:val="32"/>
          <w:highlight w:val="none"/>
          <w:shd w:val="clear" w:color="auto" w:fill="FFFFFF"/>
          <w:lang w:val="en-US" w:eastAsia="zh-CN"/>
        </w:rPr>
        <w:t>2</w:t>
      </w:r>
      <w:r>
        <w:rPr>
          <w:rFonts w:cs="Times New Roman"/>
          <w:color w:val="auto"/>
          <w:kern w:val="0"/>
          <w:sz w:val="32"/>
          <w:szCs w:val="32"/>
          <w:highlight w:val="none"/>
          <w:shd w:val="clear" w:color="auto" w:fill="FFFFFF"/>
          <w:lang w:val="zh-CN"/>
        </w:rPr>
        <w:t>月预算执行总体进度为</w:t>
      </w:r>
      <w:r>
        <w:rPr>
          <w:rFonts w:hint="eastAsia" w:cs="Times New Roman"/>
          <w:color w:val="auto"/>
          <w:kern w:val="0"/>
          <w:sz w:val="32"/>
          <w:szCs w:val="32"/>
          <w:highlight w:val="none"/>
          <w:shd w:val="clear" w:color="auto" w:fill="FFFFFF"/>
          <w:lang w:val="en-US" w:eastAsia="zh-CN"/>
        </w:rPr>
        <w:t>0</w:t>
      </w:r>
      <w:r>
        <w:rPr>
          <w:rFonts w:cs="Times New Roman"/>
          <w:color w:val="auto"/>
          <w:kern w:val="0"/>
          <w:sz w:val="32"/>
          <w:szCs w:val="32"/>
          <w:highlight w:val="none"/>
          <w:shd w:val="clear" w:color="auto" w:fill="FFFFFF"/>
          <w:lang w:val="en-US" w:eastAsia="zh-CN"/>
        </w:rPr>
        <w:t xml:space="preserve"> </w:t>
      </w:r>
      <w:r>
        <w:rPr>
          <w:rFonts w:cs="Times New Roman"/>
          <w:color w:val="auto"/>
          <w:kern w:val="0"/>
          <w:sz w:val="32"/>
          <w:szCs w:val="32"/>
          <w:highlight w:val="none"/>
          <w:shd w:val="clear" w:color="auto" w:fill="FFFFFF"/>
          <w:lang w:val="zh-CN"/>
        </w:rPr>
        <w:t>%，其中：</w:t>
      </w:r>
      <w:r>
        <w:rPr>
          <w:rFonts w:cs="Times New Roman"/>
          <w:color w:val="auto"/>
          <w:kern w:val="0"/>
          <w:sz w:val="32"/>
          <w:szCs w:val="32"/>
          <w:highlight w:val="none"/>
          <w:shd w:val="clear" w:color="auto" w:fill="FFFFFF"/>
          <w:lang w:val="zh-CN" w:eastAsia="zh-CN"/>
        </w:rPr>
        <w:t>预算结余率大于</w:t>
      </w:r>
      <w:r>
        <w:rPr>
          <w:rFonts w:cs="Times New Roman"/>
          <w:color w:val="auto"/>
          <w:kern w:val="0"/>
          <w:sz w:val="32"/>
          <w:szCs w:val="32"/>
          <w:highlight w:val="none"/>
          <w:shd w:val="clear" w:color="auto" w:fill="FFFFFF"/>
          <w:lang w:val="en-US" w:eastAsia="zh-CN"/>
        </w:rPr>
        <w:t>10%</w:t>
      </w:r>
      <w:r>
        <w:rPr>
          <w:rFonts w:cs="Times New Roman"/>
          <w:color w:val="auto"/>
          <w:kern w:val="0"/>
          <w:sz w:val="32"/>
          <w:szCs w:val="32"/>
          <w:highlight w:val="none"/>
          <w:shd w:val="clear" w:color="auto" w:fill="FFFFFF"/>
          <w:lang w:val="zh-CN" w:eastAsia="zh-CN"/>
        </w:rPr>
        <w:t>的项目共计</w:t>
      </w:r>
      <w:r>
        <w:rPr>
          <w:rFonts w:hint="eastAsia" w:cs="Times New Roman"/>
          <w:color w:val="auto"/>
          <w:kern w:val="0"/>
          <w:sz w:val="32"/>
          <w:szCs w:val="32"/>
          <w:highlight w:val="none"/>
          <w:shd w:val="clear" w:color="auto" w:fill="FFFFFF"/>
          <w:lang w:val="en-US" w:eastAsia="zh-CN"/>
        </w:rPr>
        <w:t>0</w:t>
      </w:r>
      <w:r>
        <w:rPr>
          <w:rFonts w:cs="Times New Roman"/>
          <w:color w:val="auto"/>
          <w:kern w:val="0"/>
          <w:sz w:val="32"/>
          <w:szCs w:val="32"/>
          <w:highlight w:val="none"/>
          <w:shd w:val="clear" w:color="auto" w:fill="FFFFFF"/>
          <w:lang w:val="en-US" w:eastAsia="zh-CN"/>
        </w:rPr>
        <w:t xml:space="preserve"> </w:t>
      </w:r>
      <w:r>
        <w:rPr>
          <w:rFonts w:cs="Times New Roman"/>
          <w:color w:val="auto"/>
          <w:kern w:val="0"/>
          <w:sz w:val="32"/>
          <w:szCs w:val="32"/>
          <w:highlight w:val="none"/>
          <w:shd w:val="clear" w:color="auto" w:fill="FFFFFF"/>
          <w:lang w:val="zh-CN" w:eastAsia="zh-CN"/>
        </w:rPr>
        <w:t>个。</w:t>
      </w:r>
    </w:p>
    <w:p w14:paraId="50F3FE3D">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cs="Times New Roman"/>
          <w:color w:val="auto"/>
          <w:kern w:val="0"/>
          <w:sz w:val="32"/>
          <w:szCs w:val="32"/>
          <w:highlight w:val="none"/>
          <w:shd w:val="clear" w:color="auto" w:fill="FFFFFF"/>
          <w:lang w:val="zh-CN" w:eastAsia="zh-CN"/>
        </w:rPr>
      </w:pPr>
      <w:r>
        <w:rPr>
          <w:rFonts w:cs="Times New Roman"/>
          <w:color w:val="auto"/>
          <w:kern w:val="0"/>
          <w:sz w:val="32"/>
          <w:szCs w:val="32"/>
          <w:highlight w:val="none"/>
          <w:shd w:val="clear" w:color="auto" w:fill="FFFFFF"/>
          <w:lang w:val="en-US" w:eastAsia="zh-CN"/>
        </w:rPr>
        <w:t>阶段</w:t>
      </w:r>
      <w:r>
        <w:rPr>
          <w:rFonts w:hint="eastAsia" w:cs="Times New Roman"/>
          <w:color w:val="auto"/>
          <w:kern w:val="0"/>
          <w:sz w:val="32"/>
          <w:szCs w:val="32"/>
          <w:highlight w:val="none"/>
          <w:shd w:val="clear" w:color="auto" w:fill="FFFFFF"/>
          <w:lang w:val="en-US" w:eastAsia="zh-CN"/>
        </w:rPr>
        <w:t>（</w:t>
      </w:r>
      <w:r>
        <w:rPr>
          <w:rFonts w:cs="Times New Roman"/>
          <w:color w:val="auto"/>
          <w:kern w:val="0"/>
          <w:sz w:val="32"/>
          <w:szCs w:val="32"/>
          <w:highlight w:val="none"/>
          <w:shd w:val="clear" w:color="auto" w:fill="FFFFFF"/>
          <w:lang w:val="en-US" w:eastAsia="zh-CN"/>
        </w:rPr>
        <w:t>一次性</w:t>
      </w:r>
      <w:r>
        <w:rPr>
          <w:rFonts w:hint="eastAsia" w:cs="Times New Roman"/>
          <w:color w:val="auto"/>
          <w:kern w:val="0"/>
          <w:sz w:val="32"/>
          <w:szCs w:val="32"/>
          <w:highlight w:val="none"/>
          <w:shd w:val="clear" w:color="auto" w:fill="FFFFFF"/>
          <w:lang w:val="en-US" w:eastAsia="zh-CN"/>
        </w:rPr>
        <w:t>）</w:t>
      </w:r>
      <w:r>
        <w:rPr>
          <w:rFonts w:cs="Times New Roman"/>
          <w:color w:val="auto"/>
          <w:kern w:val="0"/>
          <w:sz w:val="32"/>
          <w:szCs w:val="32"/>
          <w:highlight w:val="none"/>
          <w:shd w:val="clear" w:color="auto" w:fill="FFFFFF"/>
          <w:lang w:val="en-US" w:eastAsia="zh-CN"/>
        </w:rPr>
        <w:t>项目绩效分析。</w:t>
      </w:r>
      <w:r>
        <w:rPr>
          <w:rFonts w:cs="Times New Roman"/>
          <w:color w:val="auto"/>
          <w:kern w:val="0"/>
          <w:sz w:val="32"/>
          <w:szCs w:val="32"/>
          <w:highlight w:val="none"/>
          <w:shd w:val="clear" w:color="auto" w:fill="FFFFFF"/>
          <w:lang w:val="zh-CN" w:eastAsia="zh-CN"/>
        </w:rPr>
        <w:t>该类项目总数</w:t>
      </w:r>
      <w:r>
        <w:rPr>
          <w:rFonts w:cs="Times New Roman"/>
          <w:color w:val="auto"/>
          <w:kern w:val="0"/>
          <w:sz w:val="32"/>
          <w:szCs w:val="32"/>
          <w:highlight w:val="none"/>
          <w:shd w:val="clear" w:color="auto" w:fill="FFFFFF"/>
          <w:lang w:val="en-US" w:eastAsia="zh-CN"/>
        </w:rPr>
        <w:t xml:space="preserve"> </w:t>
      </w:r>
      <w:r>
        <w:rPr>
          <w:rFonts w:hint="eastAsia" w:cs="Times New Roman"/>
          <w:color w:val="auto"/>
          <w:kern w:val="0"/>
          <w:sz w:val="32"/>
          <w:szCs w:val="32"/>
          <w:highlight w:val="none"/>
          <w:shd w:val="clear" w:color="auto" w:fill="FFFFFF"/>
          <w:lang w:val="en-US" w:eastAsia="zh-CN"/>
        </w:rPr>
        <w:t>29</w:t>
      </w:r>
      <w:r>
        <w:rPr>
          <w:rFonts w:cs="Times New Roman"/>
          <w:color w:val="auto"/>
          <w:kern w:val="0"/>
          <w:sz w:val="32"/>
          <w:szCs w:val="32"/>
          <w:highlight w:val="none"/>
          <w:shd w:val="clear" w:color="auto" w:fill="FFFFFF"/>
          <w:lang w:val="en-US" w:eastAsia="zh-CN"/>
        </w:rPr>
        <w:t xml:space="preserve"> </w:t>
      </w:r>
      <w:r>
        <w:rPr>
          <w:rFonts w:cs="Times New Roman"/>
          <w:color w:val="auto"/>
          <w:kern w:val="0"/>
          <w:sz w:val="32"/>
          <w:szCs w:val="32"/>
          <w:highlight w:val="none"/>
          <w:shd w:val="clear" w:color="auto" w:fill="FFFFFF"/>
          <w:lang w:val="zh-CN" w:eastAsia="zh-CN"/>
        </w:rPr>
        <w:t>个，涉及预算总金额</w:t>
      </w:r>
      <w:r>
        <w:rPr>
          <w:rFonts w:cs="Times New Roman"/>
          <w:color w:val="auto"/>
          <w:kern w:val="0"/>
          <w:sz w:val="32"/>
          <w:szCs w:val="32"/>
          <w:highlight w:val="none"/>
          <w:shd w:val="clear" w:color="auto" w:fill="FFFFFF"/>
          <w:lang w:val="en-US" w:eastAsia="zh-CN"/>
        </w:rPr>
        <w:t xml:space="preserve"> </w:t>
      </w:r>
      <w:r>
        <w:rPr>
          <w:rFonts w:hint="eastAsia" w:cs="Times New Roman"/>
          <w:color w:val="auto"/>
          <w:kern w:val="0"/>
          <w:sz w:val="32"/>
          <w:szCs w:val="32"/>
          <w:highlight w:val="none"/>
          <w:shd w:val="clear" w:color="auto" w:fill="FFFFFF"/>
          <w:lang w:val="en-US" w:eastAsia="zh-CN"/>
        </w:rPr>
        <w:t>1709.55</w:t>
      </w:r>
      <w:r>
        <w:rPr>
          <w:rFonts w:cs="Times New Roman"/>
          <w:color w:val="auto"/>
          <w:kern w:val="0"/>
          <w:sz w:val="32"/>
          <w:szCs w:val="32"/>
          <w:highlight w:val="none"/>
          <w:shd w:val="clear" w:color="auto" w:fill="FFFFFF"/>
          <w:lang w:val="zh-CN" w:eastAsia="zh-CN"/>
        </w:rPr>
        <w:t>万元，</w:t>
      </w:r>
      <w:r>
        <w:rPr>
          <w:rFonts w:cs="Times New Roman"/>
          <w:color w:val="auto"/>
          <w:kern w:val="0"/>
          <w:sz w:val="32"/>
          <w:szCs w:val="32"/>
          <w:highlight w:val="none"/>
          <w:shd w:val="clear" w:color="auto" w:fill="FFFFFF"/>
          <w:lang w:val="zh-CN"/>
        </w:rPr>
        <w:t>1</w:t>
      </w:r>
      <w:r>
        <w:rPr>
          <w:rFonts w:hint="eastAsia" w:cs="Times New Roman"/>
          <w:color w:val="auto"/>
          <w:kern w:val="0"/>
          <w:sz w:val="32"/>
          <w:szCs w:val="32"/>
          <w:highlight w:val="none"/>
          <w:shd w:val="clear" w:color="auto" w:fill="FFFFFF"/>
          <w:lang w:val="zh-CN" w:eastAsia="zh-CN"/>
        </w:rPr>
        <w:t>—</w:t>
      </w:r>
      <w:r>
        <w:rPr>
          <w:rFonts w:cs="Times New Roman"/>
          <w:color w:val="auto"/>
          <w:kern w:val="0"/>
          <w:sz w:val="32"/>
          <w:szCs w:val="32"/>
          <w:highlight w:val="none"/>
          <w:shd w:val="clear" w:color="auto" w:fill="FFFFFF"/>
          <w:lang w:val="zh-CN"/>
        </w:rPr>
        <w:t>1</w:t>
      </w:r>
      <w:r>
        <w:rPr>
          <w:rFonts w:cs="Times New Roman"/>
          <w:color w:val="auto"/>
          <w:kern w:val="0"/>
          <w:sz w:val="32"/>
          <w:szCs w:val="32"/>
          <w:highlight w:val="none"/>
          <w:shd w:val="clear" w:color="auto" w:fill="FFFFFF"/>
          <w:lang w:val="en-US" w:eastAsia="zh-CN"/>
        </w:rPr>
        <w:t>2</w:t>
      </w:r>
      <w:r>
        <w:rPr>
          <w:rFonts w:cs="Times New Roman"/>
          <w:color w:val="auto"/>
          <w:kern w:val="0"/>
          <w:sz w:val="32"/>
          <w:szCs w:val="32"/>
          <w:highlight w:val="none"/>
          <w:shd w:val="clear" w:color="auto" w:fill="FFFFFF"/>
          <w:lang w:val="zh-CN"/>
        </w:rPr>
        <w:t>月预算执行总体进度为</w:t>
      </w:r>
      <w:r>
        <w:rPr>
          <w:rFonts w:hint="eastAsia" w:cs="Times New Roman"/>
          <w:color w:val="auto"/>
          <w:kern w:val="0"/>
          <w:sz w:val="32"/>
          <w:szCs w:val="32"/>
          <w:highlight w:val="none"/>
          <w:shd w:val="clear" w:color="auto" w:fill="FFFFFF"/>
          <w:lang w:val="en-US" w:eastAsia="zh-CN"/>
        </w:rPr>
        <w:t>63</w:t>
      </w:r>
      <w:r>
        <w:rPr>
          <w:rFonts w:cs="Times New Roman"/>
          <w:color w:val="auto"/>
          <w:kern w:val="0"/>
          <w:sz w:val="32"/>
          <w:szCs w:val="32"/>
          <w:highlight w:val="none"/>
          <w:shd w:val="clear" w:color="auto" w:fill="FFFFFF"/>
          <w:lang w:val="zh-CN"/>
        </w:rPr>
        <w:t>%，其中：</w:t>
      </w:r>
      <w:r>
        <w:rPr>
          <w:rFonts w:cs="Times New Roman"/>
          <w:color w:val="auto"/>
          <w:kern w:val="0"/>
          <w:sz w:val="32"/>
          <w:szCs w:val="32"/>
          <w:highlight w:val="none"/>
          <w:shd w:val="clear" w:color="auto" w:fill="FFFFFF"/>
          <w:lang w:val="zh-CN" w:eastAsia="zh-CN"/>
        </w:rPr>
        <w:t>预算结余率大于</w:t>
      </w:r>
      <w:r>
        <w:rPr>
          <w:rFonts w:cs="Times New Roman"/>
          <w:color w:val="auto"/>
          <w:kern w:val="0"/>
          <w:sz w:val="32"/>
          <w:szCs w:val="32"/>
          <w:highlight w:val="none"/>
          <w:shd w:val="clear" w:color="auto" w:fill="FFFFFF"/>
          <w:lang w:val="en-US" w:eastAsia="zh-CN"/>
        </w:rPr>
        <w:t>10%</w:t>
      </w:r>
      <w:r>
        <w:rPr>
          <w:rFonts w:cs="Times New Roman"/>
          <w:color w:val="auto"/>
          <w:kern w:val="0"/>
          <w:sz w:val="32"/>
          <w:szCs w:val="32"/>
          <w:highlight w:val="none"/>
          <w:shd w:val="clear" w:color="auto" w:fill="FFFFFF"/>
          <w:lang w:val="zh-CN" w:eastAsia="zh-CN"/>
        </w:rPr>
        <w:t>的项目共计</w:t>
      </w:r>
      <w:r>
        <w:rPr>
          <w:rFonts w:hint="eastAsia" w:cs="Times New Roman"/>
          <w:color w:val="auto"/>
          <w:kern w:val="0"/>
          <w:sz w:val="32"/>
          <w:szCs w:val="32"/>
          <w:highlight w:val="none"/>
          <w:shd w:val="clear" w:color="auto" w:fill="FFFFFF"/>
          <w:lang w:val="en-US" w:eastAsia="zh-CN"/>
        </w:rPr>
        <w:t xml:space="preserve">14 </w:t>
      </w:r>
      <w:r>
        <w:rPr>
          <w:rFonts w:cs="Times New Roman"/>
          <w:color w:val="auto"/>
          <w:kern w:val="0"/>
          <w:sz w:val="32"/>
          <w:szCs w:val="32"/>
          <w:highlight w:val="none"/>
          <w:shd w:val="clear" w:color="auto" w:fill="FFFFFF"/>
          <w:lang w:val="zh-CN" w:eastAsia="zh-CN"/>
        </w:rPr>
        <w:t>个。</w:t>
      </w:r>
    </w:p>
    <w:p w14:paraId="1FF75B3A">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kern w:val="0"/>
          <w:sz w:val="32"/>
          <w:szCs w:val="32"/>
          <w:highlight w:val="none"/>
          <w:shd w:val="clear" w:color="auto" w:fill="FFFFFF"/>
          <w:lang w:val="zh-CN"/>
        </w:rPr>
      </w:pPr>
      <w:r>
        <w:rPr>
          <w:kern w:val="0"/>
          <w:sz w:val="32"/>
          <w:szCs w:val="32"/>
          <w:highlight w:val="none"/>
          <w:shd w:val="clear" w:color="auto" w:fill="FFFFFF"/>
          <w:lang w:val="zh-CN"/>
        </w:rPr>
        <w:t>1.“九寨沟县19处地质灾害已建工程清淤及维修加固工作”，该项目为阶段（一次性）项目，投资97.6万元，预算执行率100%。该项工作的实施，能有效确保受地质灾害威胁群众生命安全，促进社会和谐稳定。</w:t>
      </w:r>
    </w:p>
    <w:p w14:paraId="51E63233">
      <w:pPr>
        <w:keepNext w:val="0"/>
        <w:keepLines w:val="0"/>
        <w:pageBreakBefore w:val="0"/>
        <w:widowControl w:val="0"/>
        <w:kinsoku/>
        <w:wordWrap/>
        <w:overflowPunct/>
        <w:topLinePunct w:val="0"/>
        <w:autoSpaceDE/>
        <w:autoSpaceDN/>
        <w:bidi w:val="0"/>
        <w:adjustRightInd w:val="0"/>
        <w:snapToGrid w:val="0"/>
        <w:spacing w:line="578" w:lineRule="exact"/>
        <w:contextualSpacing/>
        <w:jc w:val="left"/>
        <w:textAlignment w:val="auto"/>
        <w:outlineLvl w:val="9"/>
        <w:rPr>
          <w:rFonts w:hint="eastAsia" w:cs="Times New Roman"/>
          <w:color w:val="auto"/>
          <w:kern w:val="0"/>
          <w:sz w:val="32"/>
          <w:szCs w:val="32"/>
          <w:highlight w:val="none"/>
          <w:shd w:val="clear" w:color="auto" w:fill="FFFFFF"/>
          <w:lang w:val="en-US" w:eastAsia="zh-CN"/>
        </w:rPr>
      </w:pPr>
      <w:r>
        <w:rPr>
          <w:kern w:val="0"/>
          <w:sz w:val="32"/>
          <w:szCs w:val="32"/>
          <w:shd w:val="clear" w:color="auto" w:fill="FFFFFF"/>
          <w:lang w:val="zh-CN"/>
        </w:rPr>
        <w:t xml:space="preserve">    </w:t>
      </w:r>
      <w:r>
        <w:rPr>
          <w:bCs/>
          <w:kern w:val="0"/>
          <w:sz w:val="32"/>
          <w:szCs w:val="32"/>
          <w:shd w:val="clear" w:color="auto" w:fill="FFFFFF"/>
          <w:lang w:val="zh-CN"/>
        </w:rPr>
        <w:t>2.“九寨沟县2024年度地质灾害自动化监测建设项目（县级）”，</w:t>
      </w:r>
      <w:r>
        <w:rPr>
          <w:kern w:val="0"/>
          <w:sz w:val="32"/>
          <w:szCs w:val="32"/>
          <w:highlight w:val="none"/>
          <w:shd w:val="clear" w:color="auto" w:fill="FFFFFF"/>
          <w:lang w:val="zh-CN"/>
        </w:rPr>
        <w:t>该项目为阶段</w:t>
      </w:r>
      <w:r>
        <w:rPr>
          <w:rFonts w:hint="eastAsia" w:cs="Times New Roman"/>
          <w:color w:val="auto"/>
          <w:kern w:val="0"/>
          <w:sz w:val="32"/>
          <w:szCs w:val="32"/>
          <w:highlight w:val="none"/>
          <w:shd w:val="clear" w:color="auto" w:fill="FFFFFF"/>
          <w:lang w:val="en-US" w:eastAsia="zh-CN"/>
        </w:rPr>
        <w:t>（</w:t>
      </w:r>
      <w:r>
        <w:rPr>
          <w:rFonts w:cs="Times New Roman"/>
          <w:color w:val="auto"/>
          <w:kern w:val="0"/>
          <w:sz w:val="32"/>
          <w:szCs w:val="32"/>
          <w:highlight w:val="none"/>
          <w:shd w:val="clear" w:color="auto" w:fill="FFFFFF"/>
          <w:lang w:val="en-US" w:eastAsia="zh-CN"/>
        </w:rPr>
        <w:t>一次性</w:t>
      </w:r>
      <w:r>
        <w:rPr>
          <w:rFonts w:hint="eastAsia" w:cs="Times New Roman"/>
          <w:color w:val="auto"/>
          <w:kern w:val="0"/>
          <w:sz w:val="32"/>
          <w:szCs w:val="32"/>
          <w:highlight w:val="none"/>
          <w:shd w:val="clear" w:color="auto" w:fill="FFFFFF"/>
          <w:lang w:val="en-US" w:eastAsia="zh-CN"/>
        </w:rPr>
        <w:t>）</w:t>
      </w:r>
      <w:r>
        <w:rPr>
          <w:rFonts w:cs="Times New Roman"/>
          <w:color w:val="auto"/>
          <w:kern w:val="0"/>
          <w:sz w:val="32"/>
          <w:szCs w:val="32"/>
          <w:highlight w:val="none"/>
          <w:shd w:val="clear" w:color="auto" w:fill="FFFFFF"/>
          <w:lang w:val="en-US" w:eastAsia="zh-CN"/>
        </w:rPr>
        <w:t>项目</w:t>
      </w:r>
      <w:r>
        <w:rPr>
          <w:rFonts w:hint="eastAsia" w:cs="Times New Roman"/>
          <w:color w:val="auto"/>
          <w:kern w:val="0"/>
          <w:sz w:val="32"/>
          <w:szCs w:val="32"/>
          <w:highlight w:val="none"/>
          <w:shd w:val="clear" w:color="auto" w:fill="FFFFFF"/>
          <w:lang w:val="en-US" w:eastAsia="zh-CN"/>
        </w:rPr>
        <w:t>，投资59万元，预算执行率100%。该项目的实施是根据九寨沟县2024年度地质灾害自动化监测预警项目立项文件（阿州发改行审【2023】108号），实施改建97处地质灾害专业监测台账任务，强化“技防”力量，动态掌握隐患信息，完善预警体系建设，确保地质灾害无人员伤亡目标。</w:t>
      </w:r>
    </w:p>
    <w:p w14:paraId="5ADBF0C9">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cs="Times New Roman"/>
          <w:color w:val="auto"/>
          <w:kern w:val="0"/>
          <w:sz w:val="32"/>
          <w:szCs w:val="32"/>
          <w:highlight w:val="none"/>
          <w:shd w:val="clear" w:color="auto" w:fill="FFFFFF"/>
          <w:lang w:val="en-US" w:eastAsia="zh-CN"/>
        </w:rPr>
      </w:pPr>
      <w:r>
        <w:rPr>
          <w:rFonts w:hint="eastAsia" w:ascii="仿宋" w:eastAsia="仿宋" w:cs="仿宋"/>
          <w:b w:val="0"/>
          <w:bCs/>
          <w:color w:val="auto"/>
          <w:sz w:val="32"/>
          <w:szCs w:val="32"/>
          <w:lang w:val="en-US" w:eastAsia="zh-CN"/>
        </w:rPr>
        <w:t>3.“九寨沟县2024年度地质灾害综合治理项目（县级）”，</w:t>
      </w:r>
      <w:r>
        <w:rPr>
          <w:rFonts w:hint="eastAsia" w:ascii="楷体_GB2312" w:eastAsia="楷体_GB2312" w:cs="楷体_GB2312"/>
          <w:color w:val="auto"/>
          <w:kern w:val="0"/>
          <w:sz w:val="32"/>
          <w:szCs w:val="32"/>
          <w:highlight w:val="none"/>
          <w:shd w:val="clear" w:color="auto" w:fill="FFFFFF"/>
          <w:lang w:val="en-US" w:eastAsia="zh-CN"/>
        </w:rPr>
        <w:t>该项目为</w:t>
      </w:r>
      <w:r>
        <w:rPr>
          <w:rFonts w:cs="Times New Roman"/>
          <w:color w:val="auto"/>
          <w:kern w:val="0"/>
          <w:sz w:val="32"/>
          <w:szCs w:val="32"/>
          <w:highlight w:val="none"/>
          <w:shd w:val="clear" w:color="auto" w:fill="FFFFFF"/>
          <w:lang w:val="en-US" w:eastAsia="zh-CN"/>
        </w:rPr>
        <w:t>阶段</w:t>
      </w:r>
      <w:r>
        <w:rPr>
          <w:rFonts w:hint="eastAsia" w:cs="Times New Roman"/>
          <w:color w:val="auto"/>
          <w:kern w:val="0"/>
          <w:sz w:val="32"/>
          <w:szCs w:val="32"/>
          <w:highlight w:val="none"/>
          <w:shd w:val="clear" w:color="auto" w:fill="FFFFFF"/>
          <w:lang w:val="en-US" w:eastAsia="zh-CN"/>
        </w:rPr>
        <w:t>（</w:t>
      </w:r>
      <w:r>
        <w:rPr>
          <w:rFonts w:cs="Times New Roman"/>
          <w:color w:val="auto"/>
          <w:kern w:val="0"/>
          <w:sz w:val="32"/>
          <w:szCs w:val="32"/>
          <w:highlight w:val="none"/>
          <w:shd w:val="clear" w:color="auto" w:fill="FFFFFF"/>
          <w:lang w:val="en-US" w:eastAsia="zh-CN"/>
        </w:rPr>
        <w:t>一次性</w:t>
      </w:r>
      <w:r>
        <w:rPr>
          <w:rFonts w:hint="eastAsia" w:cs="Times New Roman"/>
          <w:color w:val="auto"/>
          <w:kern w:val="0"/>
          <w:sz w:val="32"/>
          <w:szCs w:val="32"/>
          <w:highlight w:val="none"/>
          <w:shd w:val="clear" w:color="auto" w:fill="FFFFFF"/>
          <w:lang w:val="en-US" w:eastAsia="zh-CN"/>
        </w:rPr>
        <w:t>）</w:t>
      </w:r>
      <w:r>
        <w:rPr>
          <w:rFonts w:cs="Times New Roman"/>
          <w:color w:val="auto"/>
          <w:kern w:val="0"/>
          <w:sz w:val="32"/>
          <w:szCs w:val="32"/>
          <w:highlight w:val="none"/>
          <w:shd w:val="clear" w:color="auto" w:fill="FFFFFF"/>
          <w:lang w:val="en-US" w:eastAsia="zh-CN"/>
        </w:rPr>
        <w:t>项目</w:t>
      </w:r>
      <w:r>
        <w:rPr>
          <w:rFonts w:hint="eastAsia" w:cs="Times New Roman"/>
          <w:color w:val="auto"/>
          <w:kern w:val="0"/>
          <w:sz w:val="32"/>
          <w:szCs w:val="32"/>
          <w:highlight w:val="none"/>
          <w:shd w:val="clear" w:color="auto" w:fill="FFFFFF"/>
          <w:lang w:val="en-US" w:eastAsia="zh-CN"/>
        </w:rPr>
        <w:t>，投资150万元，预算执行率100%。该项目的实施完成全县17处险情紧迫地质灾害隐患点的工程治理及排危除险，其中地质灾害工程治理隐患有15处，地质灾害排危除险隐患2处，采取主要工程措施为修建防护堤、主动网、被动网等对地质灾害隐患进行治理。项目已完工，目前运行效果良好。</w:t>
      </w:r>
    </w:p>
    <w:p w14:paraId="792D70BB">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cs="Times New Roman"/>
          <w:color w:val="auto"/>
          <w:kern w:val="0"/>
          <w:sz w:val="32"/>
          <w:szCs w:val="32"/>
          <w:highlight w:val="none"/>
          <w:shd w:val="clear" w:color="auto" w:fill="FFFFFF"/>
          <w:lang w:val="en-US" w:eastAsia="zh-CN"/>
        </w:rPr>
      </w:pPr>
      <w:r>
        <w:rPr>
          <w:rFonts w:hint="eastAsia" w:cs="Times New Roman"/>
          <w:color w:val="auto"/>
          <w:kern w:val="0"/>
          <w:sz w:val="32"/>
          <w:szCs w:val="32"/>
          <w:highlight w:val="none"/>
          <w:shd w:val="clear" w:color="auto" w:fill="FFFFFF"/>
          <w:lang w:val="en-US" w:eastAsia="zh-CN"/>
        </w:rPr>
        <w:t>4.“九寨沟县2024年度地质灾害避险搬迁项目（县级）”，</w:t>
      </w:r>
      <w:r>
        <w:rPr>
          <w:rFonts w:hint="eastAsia" w:ascii="楷体_GB2312" w:eastAsia="楷体_GB2312" w:cs="楷体_GB2312"/>
          <w:color w:val="auto"/>
          <w:kern w:val="0"/>
          <w:sz w:val="32"/>
          <w:szCs w:val="32"/>
          <w:highlight w:val="none"/>
          <w:shd w:val="clear" w:color="auto" w:fill="FFFFFF"/>
          <w:lang w:val="en-US" w:eastAsia="zh-CN"/>
        </w:rPr>
        <w:t>该项目为</w:t>
      </w:r>
      <w:r>
        <w:rPr>
          <w:rFonts w:cs="Times New Roman"/>
          <w:color w:val="auto"/>
          <w:kern w:val="0"/>
          <w:sz w:val="32"/>
          <w:szCs w:val="32"/>
          <w:highlight w:val="none"/>
          <w:shd w:val="clear" w:color="auto" w:fill="FFFFFF"/>
          <w:lang w:val="en-US" w:eastAsia="zh-CN"/>
        </w:rPr>
        <w:t>阶段</w:t>
      </w:r>
      <w:r>
        <w:rPr>
          <w:rFonts w:hint="eastAsia" w:cs="Times New Roman"/>
          <w:color w:val="auto"/>
          <w:kern w:val="0"/>
          <w:sz w:val="32"/>
          <w:szCs w:val="32"/>
          <w:highlight w:val="none"/>
          <w:shd w:val="clear" w:color="auto" w:fill="FFFFFF"/>
          <w:lang w:val="en-US" w:eastAsia="zh-CN"/>
        </w:rPr>
        <w:t>（</w:t>
      </w:r>
      <w:r>
        <w:rPr>
          <w:rFonts w:cs="Times New Roman"/>
          <w:color w:val="auto"/>
          <w:kern w:val="0"/>
          <w:sz w:val="32"/>
          <w:szCs w:val="32"/>
          <w:highlight w:val="none"/>
          <w:shd w:val="clear" w:color="auto" w:fill="FFFFFF"/>
          <w:lang w:val="en-US" w:eastAsia="zh-CN"/>
        </w:rPr>
        <w:t>一次性</w:t>
      </w:r>
      <w:r>
        <w:rPr>
          <w:rFonts w:hint="eastAsia" w:cs="Times New Roman"/>
          <w:color w:val="auto"/>
          <w:kern w:val="0"/>
          <w:sz w:val="32"/>
          <w:szCs w:val="32"/>
          <w:highlight w:val="none"/>
          <w:shd w:val="clear" w:color="auto" w:fill="FFFFFF"/>
          <w:lang w:val="en-US" w:eastAsia="zh-CN"/>
        </w:rPr>
        <w:t>）</w:t>
      </w:r>
      <w:r>
        <w:rPr>
          <w:rFonts w:cs="Times New Roman"/>
          <w:color w:val="auto"/>
          <w:kern w:val="0"/>
          <w:sz w:val="32"/>
          <w:szCs w:val="32"/>
          <w:highlight w:val="none"/>
          <w:shd w:val="clear" w:color="auto" w:fill="FFFFFF"/>
          <w:lang w:val="en-US" w:eastAsia="zh-CN"/>
        </w:rPr>
        <w:t>项目</w:t>
      </w:r>
      <w:r>
        <w:rPr>
          <w:rFonts w:hint="eastAsia" w:cs="Times New Roman"/>
          <w:color w:val="auto"/>
          <w:kern w:val="0"/>
          <w:sz w:val="32"/>
          <w:szCs w:val="32"/>
          <w:highlight w:val="none"/>
          <w:shd w:val="clear" w:color="auto" w:fill="FFFFFF"/>
          <w:lang w:val="en-US" w:eastAsia="zh-CN"/>
        </w:rPr>
        <w:t>，投资279万元，预算执行率100%。该项目的实施对全县259处威胁人民群众生命财产安全的地质灾害隐患点展开专职监测人员培训及日常监测，全力保障我县人民群众生命财产安全。</w:t>
      </w:r>
    </w:p>
    <w:p w14:paraId="6A8E5DBE">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cs="Times New Roman"/>
          <w:color w:val="auto"/>
          <w:kern w:val="0"/>
          <w:sz w:val="32"/>
          <w:szCs w:val="32"/>
          <w:highlight w:val="none"/>
          <w:shd w:val="clear" w:color="auto" w:fill="FFFFFF"/>
          <w:lang w:val="en-US" w:eastAsia="zh-CN"/>
        </w:rPr>
      </w:pPr>
      <w:r>
        <w:rPr>
          <w:rFonts w:hint="eastAsia"/>
          <w:color w:val="auto"/>
          <w:sz w:val="32"/>
          <w:szCs w:val="32"/>
          <w:lang w:val="en-US" w:eastAsia="zh-CN"/>
        </w:rPr>
        <w:t>5.“土地出让前期工作费用”，</w:t>
      </w:r>
      <w:r>
        <w:rPr>
          <w:rFonts w:hint="eastAsia" w:ascii="楷体_GB2312" w:eastAsia="楷体_GB2312" w:cs="楷体_GB2312"/>
          <w:color w:val="auto"/>
          <w:kern w:val="0"/>
          <w:sz w:val="32"/>
          <w:szCs w:val="32"/>
          <w:highlight w:val="none"/>
          <w:shd w:val="clear" w:color="auto" w:fill="FFFFFF"/>
          <w:lang w:val="en-US" w:eastAsia="zh-CN"/>
        </w:rPr>
        <w:t>该项目为</w:t>
      </w:r>
      <w:r>
        <w:rPr>
          <w:rFonts w:cs="Times New Roman"/>
          <w:color w:val="auto"/>
          <w:kern w:val="0"/>
          <w:sz w:val="32"/>
          <w:szCs w:val="32"/>
          <w:highlight w:val="none"/>
          <w:shd w:val="clear" w:color="auto" w:fill="FFFFFF"/>
          <w:lang w:val="en-US" w:eastAsia="zh-CN"/>
        </w:rPr>
        <w:t>阶段</w:t>
      </w:r>
      <w:r>
        <w:rPr>
          <w:rFonts w:hint="eastAsia" w:cs="Times New Roman"/>
          <w:color w:val="auto"/>
          <w:kern w:val="0"/>
          <w:sz w:val="32"/>
          <w:szCs w:val="32"/>
          <w:highlight w:val="none"/>
          <w:shd w:val="clear" w:color="auto" w:fill="FFFFFF"/>
          <w:lang w:val="en-US" w:eastAsia="zh-CN"/>
        </w:rPr>
        <w:t>（</w:t>
      </w:r>
      <w:r>
        <w:rPr>
          <w:rFonts w:cs="Times New Roman"/>
          <w:color w:val="auto"/>
          <w:kern w:val="0"/>
          <w:sz w:val="32"/>
          <w:szCs w:val="32"/>
          <w:highlight w:val="none"/>
          <w:shd w:val="clear" w:color="auto" w:fill="FFFFFF"/>
          <w:lang w:val="en-US" w:eastAsia="zh-CN"/>
        </w:rPr>
        <w:t>一次性</w:t>
      </w:r>
      <w:r>
        <w:rPr>
          <w:rFonts w:hint="eastAsia" w:cs="Times New Roman"/>
          <w:color w:val="auto"/>
          <w:kern w:val="0"/>
          <w:sz w:val="32"/>
          <w:szCs w:val="32"/>
          <w:highlight w:val="none"/>
          <w:shd w:val="clear" w:color="auto" w:fill="FFFFFF"/>
          <w:lang w:val="en-US" w:eastAsia="zh-CN"/>
        </w:rPr>
        <w:t>）</w:t>
      </w:r>
      <w:r>
        <w:rPr>
          <w:rFonts w:cs="Times New Roman"/>
          <w:color w:val="auto"/>
          <w:kern w:val="0"/>
          <w:sz w:val="32"/>
          <w:szCs w:val="32"/>
          <w:highlight w:val="none"/>
          <w:shd w:val="clear" w:color="auto" w:fill="FFFFFF"/>
          <w:lang w:val="en-US" w:eastAsia="zh-CN"/>
        </w:rPr>
        <w:t>项目</w:t>
      </w:r>
      <w:r>
        <w:rPr>
          <w:rFonts w:hint="eastAsia" w:cs="Times New Roman"/>
          <w:color w:val="auto"/>
          <w:kern w:val="0"/>
          <w:sz w:val="32"/>
          <w:szCs w:val="32"/>
          <w:highlight w:val="none"/>
          <w:shd w:val="clear" w:color="auto" w:fill="FFFFFF"/>
          <w:lang w:val="en-US" w:eastAsia="zh-CN"/>
        </w:rPr>
        <w:t>，投资39.82万元，预算执行率100%。该项目的实施能确保土地正常出让，为政府增加财政收入，保障经济效益良好。</w:t>
      </w:r>
    </w:p>
    <w:p w14:paraId="070C87EC">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sz w:val="32"/>
          <w:szCs w:val="32"/>
          <w:lang w:val="en-US" w:eastAsia="zh-CN"/>
        </w:rPr>
      </w:pPr>
      <w:r>
        <w:rPr>
          <w:rFonts w:hint="eastAsia"/>
          <w:sz w:val="32"/>
          <w:szCs w:val="32"/>
          <w:lang w:val="en-US" w:eastAsia="zh-CN"/>
        </w:rPr>
        <w:t>6.</w:t>
      </w:r>
      <w:r>
        <w:rPr>
          <w:rFonts w:hint="eastAsia"/>
          <w:color w:val="auto"/>
          <w:sz w:val="32"/>
          <w:szCs w:val="32"/>
          <w:lang w:val="en-US" w:eastAsia="zh-CN"/>
        </w:rPr>
        <w:t>“</w:t>
      </w:r>
      <w:r>
        <w:rPr>
          <w:rFonts w:hint="eastAsia"/>
          <w:sz w:val="32"/>
          <w:szCs w:val="32"/>
          <w:lang w:val="en-US" w:eastAsia="zh-CN"/>
        </w:rPr>
        <w:t>年度变更调查（综合工作）费用</w:t>
      </w:r>
      <w:r>
        <w:rPr>
          <w:sz w:val="32"/>
          <w:szCs w:val="32"/>
          <w:lang w:val="en-US" w:eastAsia="zh-CN"/>
        </w:rPr>
        <w:t>”</w:t>
      </w:r>
      <w:r>
        <w:rPr>
          <w:rFonts w:hint="eastAsia" w:ascii="楷体_GB2312" w:eastAsia="楷体_GB2312" w:cs="楷体_GB2312"/>
          <w:color w:val="auto"/>
          <w:kern w:val="0"/>
          <w:sz w:val="32"/>
          <w:szCs w:val="32"/>
          <w:highlight w:val="none"/>
          <w:shd w:val="clear" w:color="auto" w:fill="FFFFFF"/>
          <w:lang w:val="en-US" w:eastAsia="zh-CN"/>
        </w:rPr>
        <w:t>该项目为</w:t>
      </w:r>
      <w:r>
        <w:rPr>
          <w:rFonts w:cs="Times New Roman"/>
          <w:color w:val="auto"/>
          <w:kern w:val="0"/>
          <w:sz w:val="32"/>
          <w:szCs w:val="32"/>
          <w:highlight w:val="none"/>
          <w:shd w:val="clear" w:color="auto" w:fill="FFFFFF"/>
          <w:lang w:val="en-US" w:eastAsia="zh-CN"/>
        </w:rPr>
        <w:t>阶段</w:t>
      </w:r>
      <w:r>
        <w:rPr>
          <w:rFonts w:hint="eastAsia" w:cs="Times New Roman"/>
          <w:color w:val="auto"/>
          <w:kern w:val="0"/>
          <w:sz w:val="32"/>
          <w:szCs w:val="32"/>
          <w:highlight w:val="none"/>
          <w:shd w:val="clear" w:color="auto" w:fill="FFFFFF"/>
          <w:lang w:val="en-US" w:eastAsia="zh-CN"/>
        </w:rPr>
        <w:t>（</w:t>
      </w:r>
      <w:r>
        <w:rPr>
          <w:rFonts w:cs="Times New Roman"/>
          <w:color w:val="auto"/>
          <w:kern w:val="0"/>
          <w:sz w:val="32"/>
          <w:szCs w:val="32"/>
          <w:highlight w:val="none"/>
          <w:shd w:val="clear" w:color="auto" w:fill="FFFFFF"/>
          <w:lang w:val="en-US" w:eastAsia="zh-CN"/>
        </w:rPr>
        <w:t>一次性</w:t>
      </w:r>
      <w:r>
        <w:rPr>
          <w:rFonts w:hint="eastAsia" w:cs="Times New Roman"/>
          <w:color w:val="auto"/>
          <w:kern w:val="0"/>
          <w:sz w:val="32"/>
          <w:szCs w:val="32"/>
          <w:highlight w:val="none"/>
          <w:shd w:val="clear" w:color="auto" w:fill="FFFFFF"/>
          <w:lang w:val="en-US" w:eastAsia="zh-CN"/>
        </w:rPr>
        <w:t>）</w:t>
      </w:r>
      <w:r>
        <w:rPr>
          <w:rFonts w:cs="Times New Roman"/>
          <w:color w:val="auto"/>
          <w:kern w:val="0"/>
          <w:sz w:val="32"/>
          <w:szCs w:val="32"/>
          <w:highlight w:val="none"/>
          <w:shd w:val="clear" w:color="auto" w:fill="FFFFFF"/>
          <w:lang w:val="en-US" w:eastAsia="zh-CN"/>
        </w:rPr>
        <w:t>项目</w:t>
      </w:r>
      <w:r>
        <w:rPr>
          <w:rFonts w:hint="eastAsia" w:cs="Times New Roman"/>
          <w:color w:val="auto"/>
          <w:kern w:val="0"/>
          <w:sz w:val="32"/>
          <w:szCs w:val="32"/>
          <w:highlight w:val="none"/>
          <w:shd w:val="clear" w:color="auto" w:fill="FFFFFF"/>
          <w:lang w:val="en-US" w:eastAsia="zh-CN"/>
        </w:rPr>
        <w:t>，投资50.28万元，预算执行率100%。该项目的实施涉及耕地质量资源分类成果更新与监测、自然资源综合动态监测、2025年度国土变更调查补充耕地举证、耕地流入流出年度平衡方案编制、卫片执法检查、天府调查云外业举证、设施农用上图入库、土地利用现状变化调查、耕地集中连片恢复区统筹划定等各类工作。</w:t>
      </w:r>
    </w:p>
    <w:p w14:paraId="03E8FAE9">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ascii="Times New Roman" w:hAnsi="Times New Roman" w:eastAsia="楷体_GB2312" w:cs="Times New Roman"/>
          <w:b/>
          <w:bCs/>
          <w:color w:val="auto"/>
          <w:kern w:val="0"/>
          <w:sz w:val="32"/>
          <w:szCs w:val="32"/>
          <w:highlight w:val="none"/>
          <w:shd w:val="clear" w:color="auto" w:fill="FFFFFF"/>
          <w:lang w:val="zh-CN" w:eastAsia="zh-CN"/>
        </w:rPr>
      </w:pPr>
      <w:r>
        <w:rPr>
          <w:rFonts w:ascii="Times New Roman" w:hAnsi="Times New Roman" w:eastAsia="楷体_GB2312" w:cs="Times New Roman"/>
          <w:b/>
          <w:bCs/>
          <w:color w:val="auto"/>
          <w:kern w:val="0"/>
          <w:sz w:val="32"/>
          <w:szCs w:val="32"/>
          <w:highlight w:val="none"/>
          <w:shd w:val="clear" w:color="auto" w:fill="FFFFFF"/>
          <w:lang w:val="zh-CN"/>
        </w:rPr>
        <w:t>（</w:t>
      </w:r>
      <w:r>
        <w:rPr>
          <w:rFonts w:hint="eastAsia" w:eastAsia="楷体_GB2312" w:cs="Times New Roman"/>
          <w:b/>
          <w:bCs/>
          <w:color w:val="auto"/>
          <w:kern w:val="0"/>
          <w:sz w:val="32"/>
          <w:szCs w:val="32"/>
          <w:highlight w:val="none"/>
          <w:shd w:val="clear" w:color="auto" w:fill="FFFFFF"/>
          <w:lang w:val="zh-CN"/>
        </w:rPr>
        <w:t>三</w:t>
      </w:r>
      <w:r>
        <w:rPr>
          <w:rFonts w:ascii="Times New Roman" w:hAnsi="Times New Roman" w:eastAsia="楷体_GB2312" w:cs="Times New Roman"/>
          <w:b/>
          <w:bCs/>
          <w:color w:val="auto"/>
          <w:kern w:val="0"/>
          <w:sz w:val="32"/>
          <w:szCs w:val="32"/>
          <w:highlight w:val="none"/>
          <w:shd w:val="clear" w:color="auto" w:fill="FFFFFF"/>
          <w:lang w:val="zh-CN"/>
        </w:rPr>
        <w:t>）</w:t>
      </w:r>
      <w:r>
        <w:rPr>
          <w:rFonts w:ascii="Times New Roman" w:hAnsi="Times New Roman" w:eastAsia="楷体_GB2312" w:cs="Times New Roman"/>
          <w:b/>
          <w:bCs/>
          <w:color w:val="auto"/>
          <w:kern w:val="0"/>
          <w:sz w:val="32"/>
          <w:szCs w:val="32"/>
          <w:highlight w:val="none"/>
          <w:shd w:val="clear" w:color="auto" w:fill="FFFFFF"/>
          <w:lang w:val="zh-CN" w:eastAsia="zh-CN"/>
        </w:rPr>
        <w:t>重点领域</w:t>
      </w:r>
      <w:r>
        <w:rPr>
          <w:rFonts w:ascii="Times New Roman" w:hAnsi="Times New Roman" w:eastAsia="楷体_GB2312" w:cs="Times New Roman"/>
          <w:b/>
          <w:bCs/>
          <w:color w:val="auto"/>
          <w:kern w:val="0"/>
          <w:sz w:val="32"/>
          <w:szCs w:val="32"/>
          <w:highlight w:val="none"/>
          <w:shd w:val="clear" w:color="auto" w:fill="FFFFFF"/>
          <w:lang w:val="zh-CN"/>
        </w:rPr>
        <w:t>绩效分析</w:t>
      </w:r>
      <w:r>
        <w:rPr>
          <w:rFonts w:ascii="Times New Roman" w:hAnsi="Times New Roman" w:eastAsia="楷体_GB2312" w:cs="Times New Roman"/>
          <w:b/>
          <w:bCs/>
          <w:color w:val="auto"/>
          <w:kern w:val="0"/>
          <w:sz w:val="32"/>
          <w:szCs w:val="32"/>
          <w:highlight w:val="none"/>
          <w:shd w:val="clear" w:color="auto" w:fill="FFFFFF"/>
          <w:lang w:val="zh-CN" w:eastAsia="zh-CN"/>
        </w:rPr>
        <w:t>。</w:t>
      </w:r>
    </w:p>
    <w:p w14:paraId="470228C0">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Times New Roman" w:hAnsi="Times New Roman" w:cs="Times New Roman"/>
          <w:color w:val="auto"/>
          <w:kern w:val="0"/>
          <w:sz w:val="32"/>
          <w:szCs w:val="32"/>
          <w:highlight w:val="none"/>
          <w:shd w:val="clear" w:color="auto" w:fill="FFFFFF"/>
          <w:lang w:val="en-US" w:eastAsia="zh-CN"/>
        </w:rPr>
      </w:pPr>
      <w:r>
        <w:rPr>
          <w:rFonts w:hint="eastAsia"/>
          <w:color w:val="auto"/>
          <w:sz w:val="32"/>
          <w:szCs w:val="32"/>
        </w:rPr>
        <w:t>九寨沟县</w:t>
      </w:r>
      <w:r>
        <w:rPr>
          <w:rFonts w:hint="eastAsia"/>
          <w:color w:val="auto"/>
          <w:sz w:val="32"/>
          <w:szCs w:val="32"/>
          <w:lang w:val="en-US" w:eastAsia="zh-CN"/>
        </w:rPr>
        <w:t>自然资源局</w:t>
      </w:r>
      <w:r>
        <w:rPr>
          <w:rFonts w:hint="eastAsia"/>
          <w:color w:val="auto"/>
          <w:sz w:val="32"/>
          <w:szCs w:val="32"/>
        </w:rPr>
        <w:t>不</w:t>
      </w:r>
      <w:r>
        <w:rPr>
          <w:color w:val="auto"/>
          <w:sz w:val="32"/>
          <w:szCs w:val="32"/>
        </w:rPr>
        <w:t>涉及国有资本、行政事业性国有资产、债券资金、政府采购和政府购买服务等重点领域</w:t>
      </w:r>
      <w:r>
        <w:rPr>
          <w:rFonts w:hint="eastAsia"/>
          <w:color w:val="auto"/>
          <w:sz w:val="32"/>
          <w:szCs w:val="32"/>
        </w:rPr>
        <w:t>。</w:t>
      </w:r>
    </w:p>
    <w:p w14:paraId="628C518B">
      <w:pPr>
        <w:numPr>
          <w:ilvl w:val="0"/>
          <w:numId w:val="4"/>
        </w:numPr>
        <w:pBdr>
          <w:top w:val="none" w:color="auto" w:sz="0" w:space="0"/>
          <w:bottom w:val="none" w:color="auto" w:sz="0" w:space="0"/>
          <w:right w:val="none" w:color="auto" w:sz="0" w:space="0"/>
        </w:pBdr>
        <w:autoSpaceDE w:val="0"/>
        <w:snapToGrid w:val="0"/>
        <w:spacing w:line="520" w:lineRule="exact"/>
        <w:ind w:left="0" w:firstLine="643" w:firstLineChars="200"/>
        <w:rPr>
          <w:rFonts w:hint="eastAsia" w:ascii="Times New Roman" w:hAnsi="Times New Roman" w:eastAsia="楷体_GB2312" w:cs="Times New Roman"/>
          <w:b/>
          <w:bCs/>
          <w:color w:val="auto"/>
          <w:sz w:val="32"/>
          <w:szCs w:val="32"/>
          <w:lang w:val="zh-CN"/>
        </w:rPr>
      </w:pPr>
      <w:r>
        <w:rPr>
          <w:rFonts w:ascii="Times New Roman" w:hAnsi="Times New Roman" w:eastAsia="楷体_GB2312" w:cs="Times New Roman"/>
          <w:b/>
          <w:bCs/>
          <w:color w:val="auto"/>
          <w:sz w:val="32"/>
          <w:szCs w:val="32"/>
          <w:lang w:val="zh-CN"/>
        </w:rPr>
        <w:t>绩效结果应用情况</w:t>
      </w:r>
      <w:r>
        <w:rPr>
          <w:rFonts w:hint="eastAsia" w:ascii="Times New Roman" w:hAnsi="Times New Roman" w:eastAsia="楷体_GB2312" w:cs="Times New Roman"/>
          <w:b/>
          <w:bCs/>
          <w:color w:val="auto"/>
          <w:sz w:val="32"/>
          <w:szCs w:val="32"/>
          <w:lang w:val="zh-CN"/>
        </w:rPr>
        <w:t>。</w:t>
      </w:r>
    </w:p>
    <w:p w14:paraId="06D5C63E">
      <w:pPr>
        <w:pBdr>
          <w:top w:val="none" w:color="auto" w:sz="0" w:space="0"/>
          <w:bottom w:val="none" w:color="auto" w:sz="0" w:space="0"/>
          <w:right w:val="none" w:color="auto" w:sz="0" w:space="0"/>
        </w:pBdr>
        <w:autoSpaceDE w:val="0"/>
        <w:snapToGrid w:val="0"/>
        <w:spacing w:line="520" w:lineRule="exact"/>
        <w:ind w:left="420" w:leftChars="200"/>
        <w:rPr>
          <w:rFonts w:ascii="仿宋_GB2312" w:hAnsi="仿宋_GB2312" w:cs="宋体"/>
          <w:color w:val="000000"/>
          <w:kern w:val="0"/>
          <w:sz w:val="32"/>
          <w:szCs w:val="32"/>
          <w:shd w:val="clear" w:color="auto" w:fill="FFFFFF"/>
          <w:lang w:val="zh-CN"/>
        </w:rPr>
      </w:pPr>
      <w:r>
        <w:rPr>
          <w:rFonts w:hint="eastAsia" w:ascii="仿宋_GB2312" w:hAnsi="仿宋_GB2312" w:cs="宋体"/>
          <w:color w:val="auto"/>
          <w:kern w:val="0"/>
          <w:sz w:val="32"/>
          <w:szCs w:val="32"/>
          <w:shd w:val="clear" w:color="auto" w:fill="FFFFFF"/>
        </w:rPr>
        <w:t>1、</w:t>
      </w:r>
      <w:r>
        <w:rPr>
          <w:rFonts w:hint="eastAsia" w:ascii="仿宋_GB2312" w:hAnsi="仿宋_GB2312" w:cs="宋体"/>
          <w:color w:val="auto"/>
          <w:kern w:val="0"/>
          <w:sz w:val="32"/>
          <w:szCs w:val="32"/>
          <w:shd w:val="clear" w:color="auto" w:fill="FFFFFF"/>
          <w:lang w:val="zh-CN"/>
        </w:rPr>
        <w:t>部门预算绩效评价结果应用的制度建设不断推进。项目支出绩效评价结</w:t>
      </w:r>
      <w:r>
        <w:rPr>
          <w:rFonts w:hint="eastAsia" w:ascii="仿宋_GB2312" w:hAnsi="仿宋_GB2312" w:cs="宋体"/>
          <w:color w:val="000000"/>
          <w:kern w:val="0"/>
          <w:sz w:val="32"/>
          <w:szCs w:val="32"/>
          <w:shd w:val="clear" w:color="auto" w:fill="FFFFFF"/>
          <w:lang w:val="zh-CN"/>
        </w:rPr>
        <w:t>果应用的制度建设日益完善。政策性支出绩效评价结果应用的制度建设开始起步。部门整体支出绩效评价结果应用的制度建设逐步推进。</w:t>
      </w:r>
    </w:p>
    <w:p w14:paraId="3BA1FF65">
      <w:pPr>
        <w:pBdr>
          <w:top w:val="none" w:color="auto" w:sz="0" w:space="0"/>
          <w:bottom w:val="none" w:color="auto" w:sz="0" w:space="0"/>
          <w:right w:val="none" w:color="auto" w:sz="0" w:space="0"/>
        </w:pBdr>
        <w:autoSpaceDE w:val="0"/>
        <w:snapToGrid w:val="0"/>
        <w:spacing w:line="520" w:lineRule="exact"/>
        <w:ind w:firstLine="640" w:firstLineChars="200"/>
        <w:rPr>
          <w:sz w:val="32"/>
          <w:szCs w:val="32"/>
          <w:lang w:val="zh-CN"/>
        </w:rPr>
      </w:pPr>
      <w:r>
        <w:rPr>
          <w:rFonts w:hint="eastAsia" w:ascii="仿宋_GB2312" w:hAnsi="仿宋_GB2312" w:cs="宋体"/>
          <w:color w:val="000000"/>
          <w:kern w:val="0"/>
          <w:sz w:val="32"/>
          <w:szCs w:val="32"/>
          <w:shd w:val="clear" w:color="auto" w:fill="FFFFFF"/>
        </w:rPr>
        <w:t>2、</w:t>
      </w:r>
      <w:r>
        <w:rPr>
          <w:rFonts w:hint="eastAsia" w:ascii="仿宋_GB2312" w:hAnsi="仿宋_GB2312" w:cs="宋体"/>
          <w:color w:val="000000"/>
          <w:kern w:val="0"/>
          <w:sz w:val="32"/>
          <w:szCs w:val="32"/>
          <w:shd w:val="clear" w:color="auto" w:fill="FFFFFF"/>
          <w:lang w:val="zh-CN"/>
        </w:rPr>
        <w:t>预算绩效评价结果公开制度的实施，有利于打破行政管理的封闭性，打造透明预算，从而使各利益相关方了解预算资金使用的安全</w:t>
      </w:r>
      <w:r>
        <w:rPr>
          <w:rFonts w:hint="eastAsia" w:ascii="仿宋_GB2312" w:hAnsi="仿宋_GB2312" w:cs="宋体"/>
          <w:color w:val="000000"/>
          <w:kern w:val="0"/>
          <w:sz w:val="32"/>
          <w:szCs w:val="32"/>
          <w:shd w:val="clear" w:color="auto" w:fill="FFFFFF"/>
        </w:rPr>
        <w:t>性</w:t>
      </w:r>
      <w:r>
        <w:rPr>
          <w:rFonts w:hint="eastAsia" w:ascii="仿宋_GB2312" w:hAnsi="仿宋_GB2312" w:cs="宋体"/>
          <w:color w:val="000000"/>
          <w:kern w:val="0"/>
          <w:sz w:val="32"/>
          <w:szCs w:val="32"/>
          <w:shd w:val="clear" w:color="auto" w:fill="FFFFFF"/>
          <w:lang w:val="zh-CN"/>
        </w:rPr>
        <w:t>、效益性，并发挥其监督作用。</w:t>
      </w:r>
    </w:p>
    <w:p w14:paraId="48BC1C66">
      <w:pPr>
        <w:pBdr>
          <w:top w:val="none" w:color="auto" w:sz="0" w:space="0"/>
          <w:bottom w:val="none" w:color="auto" w:sz="0" w:space="0"/>
          <w:right w:val="none" w:color="auto" w:sz="0" w:space="0"/>
        </w:pBdr>
        <w:autoSpaceDE w:val="0"/>
        <w:snapToGrid w:val="0"/>
        <w:spacing w:line="520" w:lineRule="exact"/>
        <w:ind w:firstLine="640" w:firstLineChars="200"/>
        <w:rPr>
          <w:rFonts w:hint="eastAsia" w:ascii="仿宋_GB2312" w:hAnsi="仿宋_GB2312" w:cs="宋体"/>
          <w:color w:val="000000"/>
          <w:kern w:val="0"/>
          <w:sz w:val="32"/>
          <w:szCs w:val="32"/>
          <w:shd w:val="clear" w:color="auto" w:fill="FFFFFF"/>
        </w:rPr>
      </w:pPr>
      <w:r>
        <w:rPr>
          <w:rFonts w:hint="eastAsia" w:ascii="仿宋_GB2312" w:hAnsi="仿宋_GB2312" w:cs="宋体"/>
          <w:color w:val="000000"/>
          <w:kern w:val="0"/>
          <w:sz w:val="32"/>
          <w:szCs w:val="32"/>
          <w:shd w:val="clear" w:color="auto" w:fill="FFFFFF"/>
        </w:rPr>
        <w:t>3、绩效评价结果的质量参差不齐，尚未形成统一、科学的绩效指标体系。</w:t>
      </w:r>
    </w:p>
    <w:p w14:paraId="11CF0C19">
      <w:pPr>
        <w:pBdr>
          <w:top w:val="none" w:color="auto" w:sz="0" w:space="0"/>
          <w:bottom w:val="none" w:color="auto" w:sz="0" w:space="0"/>
          <w:right w:val="none" w:color="auto" w:sz="0" w:space="0"/>
        </w:pBdr>
        <w:autoSpaceDE w:val="0"/>
        <w:snapToGrid w:val="0"/>
        <w:spacing w:line="520" w:lineRule="exact"/>
        <w:ind w:firstLine="640" w:firstLineChars="200"/>
        <w:rPr>
          <w:rFonts w:ascii="Times New Roman" w:hAnsi="Times New Roman" w:eastAsia="黑体" w:cs="Times New Roman"/>
          <w:color w:val="000000"/>
          <w:kern w:val="0"/>
          <w:sz w:val="32"/>
          <w:szCs w:val="32"/>
          <w:highlight w:val="none"/>
          <w:shd w:val="clear" w:color="auto" w:fill="FFFFFF"/>
        </w:rPr>
      </w:pPr>
      <w:r>
        <w:rPr>
          <w:rFonts w:ascii="Times New Roman" w:hAnsi="Times New Roman" w:eastAsia="黑体" w:cs="Times New Roman"/>
          <w:color w:val="000000"/>
          <w:kern w:val="0"/>
          <w:sz w:val="32"/>
          <w:szCs w:val="32"/>
          <w:highlight w:val="none"/>
          <w:shd w:val="clear" w:color="auto" w:fill="FFFFFF"/>
          <w:lang w:eastAsia="zh-CN"/>
        </w:rPr>
        <w:t>四、</w:t>
      </w:r>
      <w:r>
        <w:rPr>
          <w:rFonts w:ascii="Times New Roman" w:hAnsi="Times New Roman" w:eastAsia="黑体" w:cs="Times New Roman"/>
          <w:color w:val="000000"/>
          <w:kern w:val="0"/>
          <w:sz w:val="32"/>
          <w:szCs w:val="32"/>
          <w:highlight w:val="none"/>
          <w:shd w:val="clear" w:color="auto" w:fill="FFFFFF"/>
        </w:rPr>
        <w:t>评价结论及建议</w:t>
      </w:r>
    </w:p>
    <w:p w14:paraId="4DFEA542">
      <w:pPr>
        <w:pBdr>
          <w:top w:val="none" w:color="auto" w:sz="0" w:space="0"/>
          <w:bottom w:val="none" w:color="auto" w:sz="0" w:space="0"/>
          <w:right w:val="none" w:color="auto" w:sz="0" w:space="0"/>
        </w:pBdr>
        <w:autoSpaceDE w:val="0"/>
        <w:snapToGrid w:val="0"/>
        <w:spacing w:line="520" w:lineRule="exact"/>
        <w:ind w:firstLine="643" w:firstLineChars="200"/>
        <w:rPr>
          <w:rFonts w:hint="eastAsia" w:ascii="仿宋_GB2312" w:hAnsi="仿宋_GB2312" w:cs="仿宋_GB2312"/>
          <w:b w:val="0"/>
          <w:bCs w:val="0"/>
          <w:kern w:val="0"/>
          <w:position w:val="0"/>
          <w:sz w:val="32"/>
          <w:szCs w:val="32"/>
          <w:highlight w:val="none"/>
          <w:lang w:val="en-US" w:eastAsia="zh-CN" w:bidi="ar-SA"/>
        </w:rPr>
      </w:pPr>
      <w:r>
        <w:rPr>
          <w:rFonts w:ascii="Times New Roman" w:hAnsi="Times New Roman" w:eastAsia="楷体_GB2312" w:cs="Times New Roman"/>
          <w:b/>
          <w:bCs/>
          <w:color w:val="000000"/>
          <w:kern w:val="0"/>
          <w:sz w:val="32"/>
          <w:szCs w:val="32"/>
          <w:highlight w:val="none"/>
          <w:shd w:val="clear" w:color="auto" w:fill="FFFFFF"/>
          <w:lang w:val="zh-CN"/>
        </w:rPr>
        <w:t>（一）评价结论。</w:t>
      </w:r>
      <w:r>
        <w:rPr>
          <w:rFonts w:hint="eastAsia" w:ascii="仿宋" w:eastAsia="仿宋"/>
          <w:color w:val="333333"/>
          <w:sz w:val="32"/>
          <w:szCs w:val="32"/>
          <w:shd w:val="clear" w:color="auto" w:fill="FFFFFF"/>
        </w:rPr>
        <w:t>保障了机关正常运转，并按照国家政策、法规规定和单位实际情况，建立健全了财务基础管理规定和约束机制，依法、有效使用了财政资金，提高了财政资金使用效率，完成了部门职能目标，服务对象满意度高，达到了预期绩效目标</w:t>
      </w:r>
      <w:r>
        <w:rPr>
          <w:rFonts w:hint="eastAsia" w:ascii="仿宋" w:eastAsia="仿宋"/>
          <w:color w:val="333333"/>
          <w:sz w:val="32"/>
          <w:szCs w:val="32"/>
          <w:shd w:val="clear" w:color="auto" w:fill="FFFFFF"/>
          <w:lang w:val="en-US" w:eastAsia="zh-CN"/>
        </w:rPr>
        <w:t>,</w:t>
      </w:r>
      <w:r>
        <w:rPr>
          <w:rFonts w:hint="eastAsia" w:ascii="仿宋" w:eastAsia="仿宋" w:cs="仿宋_GB2312"/>
          <w:color w:val="333333"/>
          <w:sz w:val="32"/>
          <w:szCs w:val="32"/>
          <w:highlight w:val="none"/>
          <w:shd w:val="clear" w:color="auto" w:fill="FFFFFF"/>
          <w:lang w:val="en-US" w:eastAsia="zh-CN" w:bidi="ar-SA"/>
        </w:rPr>
        <w:t>自评得分96分。</w:t>
      </w:r>
    </w:p>
    <w:p w14:paraId="08D9EFDF">
      <w:pPr>
        <w:pBdr>
          <w:top w:val="none" w:color="auto" w:sz="0" w:space="0"/>
          <w:bottom w:val="none" w:color="auto" w:sz="0" w:space="0"/>
          <w:right w:val="none" w:color="auto" w:sz="0" w:space="0"/>
        </w:pBdr>
        <w:autoSpaceDE w:val="0"/>
        <w:snapToGrid w:val="0"/>
        <w:spacing w:line="520" w:lineRule="exact"/>
        <w:ind w:firstLine="643" w:firstLineChars="200"/>
        <w:rPr>
          <w:rFonts w:hint="eastAsia" w:ascii="Times New Roman" w:hAnsi="Times New Roman" w:eastAsia="楷体_GB2312" w:cs="Times New Roman"/>
          <w:b/>
          <w:bCs/>
          <w:color w:val="000000"/>
          <w:kern w:val="0"/>
          <w:sz w:val="32"/>
          <w:szCs w:val="32"/>
          <w:highlight w:val="none"/>
          <w:shd w:val="clear" w:color="auto" w:fill="FFFFFF"/>
          <w:lang w:val="en-US" w:eastAsia="zh-CN"/>
        </w:rPr>
      </w:pPr>
      <w:r>
        <w:rPr>
          <w:rFonts w:hint="eastAsia" w:ascii="仿宋_GB2312" w:hAnsi="仿宋_GB2312" w:cs="仿宋_GB2312"/>
          <w:b/>
          <w:bCs/>
          <w:kern w:val="0"/>
          <w:position w:val="0"/>
          <w:sz w:val="32"/>
          <w:szCs w:val="32"/>
          <w:highlight w:val="none"/>
          <w:lang w:val="en-US" w:eastAsia="zh-CN" w:bidi="ar-SA"/>
        </w:rPr>
        <w:t>(二)</w:t>
      </w:r>
      <w:r>
        <w:rPr>
          <w:rFonts w:ascii="Times New Roman" w:hAnsi="Times New Roman" w:eastAsia="楷体_GB2312" w:cs="Times New Roman"/>
          <w:b/>
          <w:bCs/>
          <w:color w:val="000000"/>
          <w:kern w:val="0"/>
          <w:sz w:val="32"/>
          <w:szCs w:val="32"/>
          <w:highlight w:val="none"/>
          <w:shd w:val="clear" w:color="auto" w:fill="FFFFFF"/>
          <w:lang w:val="zh-CN"/>
        </w:rPr>
        <w:t>存在问题。</w:t>
      </w:r>
      <w:r>
        <w:rPr>
          <w:rFonts w:hint="eastAsia" w:ascii="仿宋" w:eastAsia="仿宋" w:cs="宋体"/>
          <w:color w:val="333333"/>
          <w:sz w:val="32"/>
          <w:szCs w:val="32"/>
          <w:shd w:val="clear" w:color="auto" w:fill="FFFFFF"/>
          <w:lang w:val="en-US" w:eastAsia="zh-CN"/>
        </w:rPr>
        <w:t>一是</w:t>
      </w:r>
      <w:r>
        <w:rPr>
          <w:rFonts w:hint="eastAsia" w:ascii="仿宋" w:eastAsia="仿宋" w:cs="宋体"/>
          <w:color w:val="333333"/>
          <w:sz w:val="32"/>
          <w:szCs w:val="32"/>
          <w:shd w:val="clear" w:color="auto" w:fill="FFFFFF"/>
          <w:lang w:val="zh-CN"/>
        </w:rPr>
        <w:t>预算编制不够准确和细化，预算的调整数比较大；</w:t>
      </w:r>
      <w:r>
        <w:rPr>
          <w:rFonts w:hint="eastAsia" w:ascii="仿宋" w:eastAsia="仿宋"/>
          <w:color w:val="333333"/>
          <w:sz w:val="32"/>
          <w:szCs w:val="32"/>
          <w:shd w:val="clear" w:color="auto" w:fill="FFFFFF"/>
          <w:lang w:val="en-US" w:eastAsia="zh-CN"/>
        </w:rPr>
        <w:t>二</w:t>
      </w:r>
      <w:r>
        <w:rPr>
          <w:rFonts w:hint="eastAsia" w:ascii="仿宋" w:eastAsia="仿宋"/>
          <w:color w:val="333333"/>
          <w:sz w:val="32"/>
          <w:szCs w:val="32"/>
          <w:shd w:val="clear" w:color="auto" w:fill="FFFFFF"/>
        </w:rPr>
        <w:t>是还需进一步加快项目竣工验收工作</w:t>
      </w:r>
      <w:r>
        <w:rPr>
          <w:rFonts w:hint="eastAsia" w:ascii="仿宋" w:eastAsia="仿宋"/>
          <w:color w:val="333333"/>
          <w:sz w:val="32"/>
          <w:szCs w:val="32"/>
          <w:shd w:val="clear" w:color="auto" w:fill="FFFFFF"/>
          <w:lang w:eastAsia="zh-CN"/>
        </w:rPr>
        <w:t>，</w:t>
      </w:r>
      <w:r>
        <w:rPr>
          <w:rFonts w:hint="eastAsia" w:ascii="仿宋" w:eastAsia="仿宋"/>
          <w:color w:val="333333"/>
          <w:sz w:val="32"/>
          <w:szCs w:val="32"/>
          <w:shd w:val="clear" w:color="auto" w:fill="FFFFFF"/>
        </w:rPr>
        <w:t>地灾治理、重大项目涉及全县城镇、乡村，范围广，需加强实施、监督、验收等工作</w:t>
      </w:r>
      <w:r>
        <w:rPr>
          <w:rFonts w:hint="eastAsia" w:ascii="仿宋" w:eastAsia="仿宋"/>
          <w:color w:val="333333"/>
          <w:sz w:val="32"/>
          <w:szCs w:val="32"/>
          <w:shd w:val="clear" w:color="auto" w:fill="FFFFFF"/>
          <w:lang w:eastAsia="zh-CN"/>
        </w:rPr>
        <w:t>；</w:t>
      </w:r>
      <w:r>
        <w:rPr>
          <w:rFonts w:hint="eastAsia" w:ascii="仿宋" w:eastAsia="仿宋"/>
          <w:color w:val="333333"/>
          <w:sz w:val="32"/>
          <w:szCs w:val="32"/>
          <w:shd w:val="clear" w:color="auto" w:fill="FFFFFF"/>
        </w:rPr>
        <w:t>三是资产管理工作还不够规范，存在的主要问题是部分资产使用人已变更，但因没有移交或者没有将移交清单交与资产管理人员登记，加大了资产清理难度。</w:t>
      </w:r>
    </w:p>
    <w:p w14:paraId="0B518971">
      <w:pPr>
        <w:keepNext w:val="0"/>
        <w:keepLines w:val="0"/>
        <w:pageBreakBefore w:val="0"/>
        <w:widowControl w:val="0"/>
        <w:kinsoku/>
        <w:wordWrap/>
        <w:overflowPunct/>
        <w:topLinePunct w:val="0"/>
        <w:autoSpaceDE/>
        <w:autoSpaceDN/>
        <w:bidi w:val="0"/>
        <w:spacing w:line="578" w:lineRule="exact"/>
        <w:ind w:left="420" w:leftChars="200"/>
        <w:contextualSpacing/>
        <w:textAlignment w:val="auto"/>
        <w:outlineLvl w:val="9"/>
        <w:rPr>
          <w:rFonts w:ascii="Times New Roman" w:hAnsi="Times New Roman" w:eastAsia="楷体_GB2312" w:cs="Times New Roman"/>
          <w:b/>
          <w:bCs/>
          <w:color w:val="000000"/>
          <w:kern w:val="0"/>
          <w:sz w:val="32"/>
          <w:szCs w:val="32"/>
          <w:highlight w:val="none"/>
          <w:shd w:val="clear" w:color="auto" w:fill="FFFFFF"/>
          <w:lang w:val="zh-CN" w:eastAsia="zh-CN"/>
        </w:rPr>
      </w:pPr>
      <w:r>
        <w:rPr>
          <w:rFonts w:hint="eastAsia" w:eastAsia="楷体_GB2312" w:cs="Times New Roman"/>
          <w:b/>
          <w:bCs/>
          <w:color w:val="000000"/>
          <w:kern w:val="0"/>
          <w:sz w:val="32"/>
          <w:szCs w:val="32"/>
          <w:highlight w:val="none"/>
          <w:shd w:val="clear" w:color="auto" w:fill="FFFFFF"/>
          <w:lang w:val="zh-CN" w:eastAsia="zh-CN"/>
        </w:rPr>
        <w:t>（</w:t>
      </w:r>
      <w:r>
        <w:rPr>
          <w:rFonts w:hint="eastAsia" w:eastAsia="楷体_GB2312" w:cs="Times New Roman"/>
          <w:b/>
          <w:bCs/>
          <w:color w:val="000000"/>
          <w:kern w:val="0"/>
          <w:sz w:val="32"/>
          <w:szCs w:val="32"/>
          <w:highlight w:val="none"/>
          <w:shd w:val="clear" w:color="auto" w:fill="FFFFFF"/>
          <w:lang w:val="en-US" w:eastAsia="zh-CN"/>
        </w:rPr>
        <w:t>三</w:t>
      </w:r>
      <w:r>
        <w:rPr>
          <w:rFonts w:hint="eastAsia" w:eastAsia="楷体_GB2312" w:cs="Times New Roman"/>
          <w:b/>
          <w:bCs/>
          <w:color w:val="000000"/>
          <w:kern w:val="0"/>
          <w:sz w:val="32"/>
          <w:szCs w:val="32"/>
          <w:highlight w:val="none"/>
          <w:shd w:val="clear" w:color="auto" w:fill="FFFFFF"/>
          <w:lang w:val="zh-CN" w:eastAsia="zh-CN"/>
        </w:rPr>
        <w:t>）</w:t>
      </w:r>
      <w:r>
        <w:rPr>
          <w:rFonts w:ascii="Times New Roman" w:hAnsi="Times New Roman" w:eastAsia="楷体_GB2312" w:cs="Times New Roman"/>
          <w:b/>
          <w:bCs/>
          <w:color w:val="000000"/>
          <w:kern w:val="0"/>
          <w:sz w:val="32"/>
          <w:szCs w:val="32"/>
          <w:highlight w:val="none"/>
          <w:shd w:val="clear" w:color="auto" w:fill="FFFFFF"/>
          <w:lang w:val="zh-CN" w:eastAsia="zh-CN"/>
        </w:rPr>
        <w:t>改进建议。</w:t>
      </w:r>
    </w:p>
    <w:p w14:paraId="1542F812">
      <w:pPr>
        <w:widowControl/>
        <w:shd w:val="clear" w:color="auto" w:fill="FFFFFF"/>
        <w:spacing w:line="520" w:lineRule="atLeast"/>
        <w:ind w:firstLine="786"/>
        <w:rPr>
          <w:rFonts w:ascii="仿宋" w:eastAsia="仿宋"/>
          <w:color w:val="333333"/>
          <w:sz w:val="32"/>
          <w:szCs w:val="32"/>
          <w:shd w:val="clear" w:color="auto" w:fill="FFFFFF"/>
        </w:rPr>
      </w:pPr>
      <w:r>
        <w:rPr>
          <w:rFonts w:ascii="仿宋" w:eastAsia="仿宋"/>
          <w:color w:val="333333"/>
          <w:sz w:val="32"/>
          <w:szCs w:val="32"/>
          <w:shd w:val="clear" w:color="auto" w:fill="FFFFFF"/>
        </w:rPr>
        <w:t>1</w:t>
      </w:r>
      <w:r>
        <w:rPr>
          <w:rFonts w:hint="eastAsia" w:ascii="仿宋" w:eastAsia="仿宋"/>
          <w:color w:val="333333"/>
          <w:sz w:val="32"/>
          <w:szCs w:val="32"/>
          <w:shd w:val="clear" w:color="auto" w:fill="FFFFFF"/>
        </w:rPr>
        <w:t>、立足单位实际，</w:t>
      </w:r>
      <w:r>
        <w:rPr>
          <w:rFonts w:hint="eastAsia" w:ascii="仿宋" w:eastAsia="仿宋" w:cs="宋体"/>
          <w:color w:val="333333"/>
          <w:sz w:val="32"/>
          <w:szCs w:val="32"/>
          <w:shd w:val="clear" w:color="auto" w:fill="FFFFFF"/>
          <w:lang w:val="zh-CN"/>
        </w:rPr>
        <w:t>加强年初预算的编制</w:t>
      </w:r>
      <w:r>
        <w:rPr>
          <w:rFonts w:hint="eastAsia" w:ascii="仿宋" w:eastAsia="仿宋" w:cs="宋体"/>
          <w:color w:val="333333"/>
          <w:sz w:val="32"/>
          <w:szCs w:val="32"/>
          <w:shd w:val="clear" w:color="auto" w:fill="FFFFFF"/>
          <w:lang w:val="en-US" w:eastAsia="zh-CN"/>
        </w:rPr>
        <w:t>工作</w:t>
      </w:r>
      <w:r>
        <w:rPr>
          <w:rFonts w:hint="eastAsia" w:ascii="仿宋" w:eastAsia="仿宋" w:cs="宋体"/>
          <w:color w:val="333333"/>
          <w:sz w:val="32"/>
          <w:szCs w:val="32"/>
          <w:shd w:val="clear" w:color="auto" w:fill="FFFFFF"/>
          <w:lang w:val="zh-CN"/>
        </w:rPr>
        <w:t>，</w:t>
      </w:r>
      <w:r>
        <w:rPr>
          <w:rFonts w:hint="eastAsia" w:ascii="仿宋" w:eastAsia="仿宋"/>
          <w:color w:val="333333"/>
          <w:sz w:val="32"/>
          <w:szCs w:val="32"/>
          <w:shd w:val="clear" w:color="auto" w:fill="FFFFFF"/>
        </w:rPr>
        <w:t>积极做好项目推进调研，准确掌握单位人员、车辆、资产等基本信息，准确把握单位业务开展和事业发展动向以及资金需要情况，科学合理编制财政资金预算，细化预算指标，尽量减少预算调整，不断提高预算管理水平。</w:t>
      </w:r>
    </w:p>
    <w:p w14:paraId="2B65D602">
      <w:pPr>
        <w:widowControl/>
        <w:shd w:val="clear" w:color="auto" w:fill="FFFFFF"/>
        <w:spacing w:line="520" w:lineRule="atLeast"/>
        <w:ind w:firstLine="786"/>
        <w:rPr>
          <w:rFonts w:ascii="仿宋" w:eastAsia="仿宋"/>
          <w:color w:val="333333"/>
          <w:sz w:val="32"/>
          <w:szCs w:val="32"/>
          <w:shd w:val="clear" w:color="auto" w:fill="FFFFFF"/>
        </w:rPr>
      </w:pPr>
      <w:r>
        <w:rPr>
          <w:rFonts w:ascii="仿宋" w:eastAsia="仿宋"/>
          <w:color w:val="333333"/>
          <w:sz w:val="32"/>
          <w:szCs w:val="32"/>
          <w:shd w:val="clear" w:color="auto" w:fill="FFFFFF"/>
        </w:rPr>
        <w:t>2</w:t>
      </w:r>
      <w:r>
        <w:rPr>
          <w:rFonts w:hint="eastAsia" w:ascii="仿宋" w:eastAsia="仿宋"/>
          <w:color w:val="333333"/>
          <w:sz w:val="32"/>
          <w:szCs w:val="32"/>
          <w:shd w:val="clear" w:color="auto" w:fill="FFFFFF"/>
        </w:rPr>
        <w:t>、将进一步规范资产管理工作，加强资产管理和登记。资产在使用过程中有人员变更情况的，及时做好资产使用人变更，方便今后的资产清查工作。</w:t>
      </w:r>
    </w:p>
    <w:p w14:paraId="6FC56F3B">
      <w:pPr>
        <w:widowControl/>
        <w:shd w:val="clear" w:color="auto" w:fill="FFFFFF"/>
        <w:spacing w:line="520" w:lineRule="atLeast"/>
        <w:ind w:firstLine="786"/>
        <w:rPr>
          <w:rFonts w:ascii="仿宋" w:eastAsia="仿宋"/>
          <w:color w:val="333333"/>
          <w:sz w:val="32"/>
          <w:szCs w:val="32"/>
          <w:shd w:val="clear" w:color="auto" w:fill="FFFFFF"/>
        </w:rPr>
      </w:pPr>
      <w:r>
        <w:rPr>
          <w:rFonts w:ascii="仿宋" w:eastAsia="仿宋"/>
          <w:color w:val="333333"/>
          <w:sz w:val="32"/>
          <w:szCs w:val="32"/>
          <w:shd w:val="clear" w:color="auto" w:fill="FFFFFF"/>
        </w:rPr>
        <w:t>3</w:t>
      </w:r>
      <w:r>
        <w:rPr>
          <w:rFonts w:hint="eastAsia" w:ascii="仿宋" w:eastAsia="仿宋"/>
          <w:color w:val="333333"/>
          <w:sz w:val="32"/>
          <w:szCs w:val="32"/>
          <w:shd w:val="clear" w:color="auto" w:fill="FFFFFF"/>
        </w:rPr>
        <w:t>、加快自然资源局项目实施进度，切实有效推进单位项目可持续发展。</w:t>
      </w:r>
    </w:p>
    <w:p w14:paraId="18026389">
      <w:pPr>
        <w:keepNext w:val="0"/>
        <w:keepLines w:val="0"/>
        <w:pageBreakBefore w:val="0"/>
        <w:widowControl w:val="0"/>
        <w:kinsoku/>
        <w:wordWrap/>
        <w:overflowPunct/>
        <w:topLinePunct w:val="0"/>
        <w:autoSpaceDE/>
        <w:autoSpaceDN/>
        <w:bidi w:val="0"/>
        <w:spacing w:line="578" w:lineRule="exact"/>
        <w:textAlignment w:val="auto"/>
        <w:rPr>
          <w:rFonts w:hint="eastAsia" w:ascii="Times New Roman" w:hAnsi="Times New Roman" w:cs="Times New Roman"/>
          <w:color w:val="000000"/>
          <w:kern w:val="0"/>
          <w:sz w:val="32"/>
          <w:szCs w:val="32"/>
          <w:highlight w:val="none"/>
          <w:shd w:val="clear" w:color="auto" w:fill="FFFFFF"/>
          <w:lang w:val="en-US" w:eastAsia="zh-CN"/>
        </w:rPr>
      </w:pPr>
    </w:p>
    <w:p w14:paraId="0CEACCF2">
      <w:pPr>
        <w:keepNext w:val="0"/>
        <w:keepLines w:val="0"/>
        <w:pageBreakBefore w:val="0"/>
        <w:widowControl w:val="0"/>
        <w:kinsoku/>
        <w:wordWrap/>
        <w:overflowPunct/>
        <w:topLinePunct w:val="0"/>
        <w:autoSpaceDE/>
        <w:autoSpaceDN/>
        <w:bidi w:val="0"/>
        <w:spacing w:line="578" w:lineRule="exact"/>
        <w:textAlignment w:val="auto"/>
        <w:rPr>
          <w:rFonts w:ascii="Times New Roman" w:hAnsi="Times New Roman" w:cs="Times New Roman"/>
          <w:color w:val="000000"/>
          <w:kern w:val="0"/>
          <w:sz w:val="32"/>
          <w:szCs w:val="32"/>
          <w:highlight w:val="none"/>
          <w:shd w:val="clear" w:color="auto" w:fill="FFFFFF"/>
          <w:lang w:val="en-US" w:eastAsia="zh-CN"/>
        </w:rPr>
      </w:pPr>
      <w:r>
        <w:rPr>
          <w:rFonts w:hint="eastAsia" w:ascii="Times New Roman" w:hAnsi="Times New Roman" w:cs="Times New Roman"/>
          <w:color w:val="000000"/>
          <w:kern w:val="0"/>
          <w:sz w:val="32"/>
          <w:szCs w:val="32"/>
          <w:highlight w:val="none"/>
          <w:shd w:val="clear" w:color="auto" w:fill="FFFFFF"/>
          <w:lang w:val="en-US" w:eastAsia="zh-CN"/>
        </w:rPr>
        <w:t>附表：</w:t>
      </w:r>
      <w:r>
        <w:rPr>
          <w:rFonts w:ascii="Times New Roman" w:hAnsi="Times New Roman" w:cs="Times New Roman"/>
          <w:color w:val="000000"/>
          <w:kern w:val="0"/>
          <w:sz w:val="32"/>
          <w:szCs w:val="32"/>
          <w:highlight w:val="none"/>
          <w:shd w:val="clear" w:color="auto" w:fill="FFFFFF"/>
          <w:lang w:val="en-US" w:eastAsia="zh-CN"/>
        </w:rPr>
        <w:t>部门整体支出绩效目标完成情况自评表</w:t>
      </w:r>
    </w:p>
    <w:tbl>
      <w:tblPr>
        <w:tblStyle w:val="23"/>
        <w:tblW w:w="105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309"/>
        <w:gridCol w:w="1347"/>
        <w:gridCol w:w="1273"/>
        <w:gridCol w:w="1100"/>
        <w:gridCol w:w="1144"/>
        <w:gridCol w:w="1"/>
        <w:gridCol w:w="1289"/>
        <w:gridCol w:w="1058"/>
        <w:gridCol w:w="926"/>
        <w:gridCol w:w="1113"/>
      </w:tblGrid>
      <w:tr w14:paraId="2C1B8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2" w:hRule="exact"/>
          <w:jc w:val="center"/>
        </w:trPr>
        <w:tc>
          <w:tcPr>
            <w:tcW w:w="10560" w:type="dxa"/>
            <w:gridSpan w:val="10"/>
            <w:tcBorders>
              <w:top w:val="nil"/>
              <w:left w:val="nil"/>
              <w:bottom w:val="nil"/>
              <w:right w:val="nil"/>
            </w:tcBorders>
            <w:shd w:val="clear" w:color="auto" w:fill="auto"/>
            <w:noWrap/>
            <w:vAlign w:val="center"/>
          </w:tcPr>
          <w:p w14:paraId="4743059E">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ascii="Times New Roman" w:hAnsi="Times New Roman" w:eastAsia="黑体" w:cs="Times New Roman"/>
                <w:i w:val="0"/>
                <w:color w:val="000000"/>
                <w:sz w:val="28"/>
                <w:szCs w:val="28"/>
                <w:u w:val="none"/>
              </w:rPr>
            </w:pPr>
            <w:r>
              <w:rPr>
                <w:rFonts w:ascii="Times New Roman" w:hAnsi="Times New Roman" w:eastAsia="方正小标宋简体" w:cs="Times New Roman"/>
                <w:i w:val="0"/>
                <w:color w:val="000000"/>
                <w:kern w:val="0"/>
                <w:sz w:val="44"/>
                <w:szCs w:val="44"/>
                <w:u w:val="none"/>
                <w:lang w:val="en-US" w:eastAsia="zh-CN"/>
              </w:rPr>
              <w:t>部门整体支出绩效目标完成情况自评表</w:t>
            </w:r>
          </w:p>
        </w:tc>
      </w:tr>
      <w:tr w14:paraId="62B69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10"/>
            <w:tcBorders>
              <w:top w:val="nil"/>
              <w:left w:val="nil"/>
              <w:bottom w:val="nil"/>
              <w:right w:val="nil"/>
            </w:tcBorders>
            <w:shd w:val="clear" w:color="auto" w:fill="auto"/>
            <w:noWrap/>
            <w:vAlign w:val="center"/>
          </w:tcPr>
          <w:p w14:paraId="4418DA4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8"/>
                <w:szCs w:val="28"/>
                <w:u w:val="none"/>
              </w:rPr>
            </w:pPr>
            <w:r>
              <w:rPr>
                <w:rFonts w:ascii="Times New Roman" w:hAnsi="Times New Roman" w:eastAsia="宋体" w:cs="Times New Roman"/>
                <w:i w:val="0"/>
                <w:color w:val="000000"/>
                <w:kern w:val="0"/>
                <w:sz w:val="28"/>
                <w:szCs w:val="28"/>
                <w:u w:val="none"/>
                <w:lang w:val="en-US" w:eastAsia="zh-CN"/>
              </w:rPr>
              <w:t>（202</w:t>
            </w:r>
            <w:r>
              <w:rPr>
                <w:rFonts w:hint="eastAsia" w:eastAsia="宋体" w:cs="Times New Roman"/>
                <w:i w:val="0"/>
                <w:color w:val="000000"/>
                <w:kern w:val="0"/>
                <w:sz w:val="28"/>
                <w:szCs w:val="28"/>
                <w:u w:val="none"/>
                <w:lang w:val="en-US" w:eastAsia="zh-CN"/>
              </w:rPr>
              <w:t>4</w:t>
            </w:r>
            <w:r>
              <w:rPr>
                <w:rFonts w:ascii="Times New Roman" w:hAnsi="Times New Roman" w:eastAsia="宋体" w:cs="Times New Roman"/>
                <w:i w:val="0"/>
                <w:color w:val="000000"/>
                <w:kern w:val="0"/>
                <w:sz w:val="28"/>
                <w:szCs w:val="28"/>
                <w:u w:val="none"/>
                <w:lang w:val="en-US" w:eastAsia="zh-CN"/>
              </w:rPr>
              <w:t>年度）</w:t>
            </w:r>
          </w:p>
        </w:tc>
      </w:tr>
      <w:tr w14:paraId="08E42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10"/>
            <w:tcBorders>
              <w:top w:val="nil"/>
              <w:left w:val="nil"/>
              <w:bottom w:val="single" w:color="000000" w:sz="4" w:space="0"/>
              <w:right w:val="nil"/>
            </w:tcBorders>
            <w:shd w:val="clear" w:color="auto" w:fill="auto"/>
            <w:noWrap/>
            <w:vAlign w:val="center"/>
          </w:tcPr>
          <w:p w14:paraId="42DC882C">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ascii="Times New Roman" w:hAnsi="Times New Roman" w:eastAsia="宋体" w:cs="Times New Roman"/>
                <w:i w:val="0"/>
                <w:color w:val="000000"/>
                <w:sz w:val="21"/>
                <w:szCs w:val="21"/>
                <w:u w:val="none"/>
              </w:rPr>
            </w:pPr>
            <w:r>
              <w:rPr>
                <w:rFonts w:ascii="Times New Roman" w:hAnsi="Times New Roman" w:eastAsia="宋体" w:cs="Times New Roman"/>
                <w:i w:val="0"/>
                <w:color w:val="000000"/>
                <w:kern w:val="0"/>
                <w:sz w:val="21"/>
                <w:szCs w:val="21"/>
                <w:u w:val="none"/>
                <w:lang w:val="en-US" w:eastAsia="zh-CN"/>
              </w:rPr>
              <w:t>单位：万元</w:t>
            </w:r>
          </w:p>
        </w:tc>
      </w:tr>
      <w:tr w14:paraId="5476D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392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3810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部门名称</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0E69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自然资源局部门</w:t>
            </w:r>
          </w:p>
        </w:tc>
      </w:tr>
      <w:tr w14:paraId="645F5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B6FC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763C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资金总额</w:t>
            </w:r>
          </w:p>
        </w:tc>
        <w:tc>
          <w:tcPr>
            <w:tcW w:w="22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7392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财政拨款</w:t>
            </w:r>
          </w:p>
        </w:tc>
        <w:tc>
          <w:tcPr>
            <w:tcW w:w="4387"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D2F1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其他资金</w:t>
            </w:r>
          </w:p>
        </w:tc>
      </w:tr>
      <w:tr w14:paraId="51564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220FE"/>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AE20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952.5</w:t>
            </w:r>
          </w:p>
        </w:tc>
        <w:tc>
          <w:tcPr>
            <w:tcW w:w="22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22A7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952.5</w:t>
            </w:r>
          </w:p>
        </w:tc>
        <w:tc>
          <w:tcPr>
            <w:tcW w:w="4387"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A9B6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0</w:t>
            </w:r>
          </w:p>
        </w:tc>
      </w:tr>
      <w:tr w14:paraId="05B00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20EA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年度总体</w:t>
            </w:r>
          </w:p>
          <w:p w14:paraId="256C732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目标</w:t>
            </w:r>
          </w:p>
        </w:tc>
        <w:tc>
          <w:tcPr>
            <w:tcW w:w="9251"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1490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sz w:val="24"/>
                <w:szCs w:val="24"/>
                <w:u w:val="none"/>
                <w:lang w:val="en-US"/>
              </w:rPr>
            </w:pPr>
            <w:r>
              <w:rPr>
                <w:rFonts w:ascii="Times New Roman" w:hAnsi="Times New Roman" w:eastAsia="宋体" w:cs="Times New Roman"/>
                <w:i w:val="0"/>
                <w:color w:val="000000"/>
                <w:sz w:val="24"/>
                <w:szCs w:val="24"/>
                <w:u w:val="none"/>
                <w:lang w:val="en-US"/>
              </w:rPr>
              <w:t>进一步加强耕地保护、规划管控、地灾治理、生态修复、监管执法，切实保障和改善民生，统筹自然资源保护及合理开发利用，持续提升自然资源管理保障能力和服务水平。</w:t>
            </w:r>
          </w:p>
        </w:tc>
      </w:tr>
      <w:tr w14:paraId="119ED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D792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年度主要</w:t>
            </w:r>
          </w:p>
          <w:p w14:paraId="64C34BE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任务</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75B6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任务名称</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F3D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主要内容</w:t>
            </w:r>
          </w:p>
        </w:tc>
      </w:tr>
      <w:tr w14:paraId="27427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DDC1A"/>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5E55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完成2024年人员经费、行政运行等基本工作</w:t>
            </w:r>
            <w:r>
              <w:rPr>
                <w:rFonts w:ascii="Times New Roman" w:hAnsi="Times New Roman" w:eastAsia="宋体" w:cs="Times New Roman"/>
                <w:i w:val="0"/>
                <w:color w:val="000000"/>
                <w:sz w:val="24"/>
                <w:szCs w:val="24"/>
                <w:u w:val="none"/>
              </w:rPr>
              <w:tab/>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7894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完成本单位人员工资发放、各项保险扣缴</w:t>
            </w:r>
            <w:r>
              <w:rPr>
                <w:rFonts w:ascii="Times New Roman" w:hAnsi="Times New Roman" w:eastAsia="宋体" w:cs="Times New Roman"/>
                <w:i w:val="0"/>
                <w:color w:val="000000"/>
                <w:sz w:val="24"/>
                <w:szCs w:val="24"/>
                <w:u w:val="none"/>
              </w:rPr>
              <w:tab/>
            </w:r>
            <w:r>
              <w:rPr>
                <w:rFonts w:ascii="Times New Roman" w:hAnsi="Times New Roman" w:eastAsia="宋体" w:cs="Times New Roman"/>
                <w:i w:val="0"/>
                <w:color w:val="000000"/>
                <w:sz w:val="24"/>
                <w:szCs w:val="24"/>
                <w:u w:val="none"/>
              </w:rPr>
              <w:tab/>
            </w:r>
            <w:r>
              <w:rPr>
                <w:rFonts w:ascii="Times New Roman" w:hAnsi="Times New Roman" w:eastAsia="宋体" w:cs="Times New Roman"/>
                <w:i w:val="0"/>
                <w:color w:val="000000"/>
                <w:sz w:val="24"/>
                <w:szCs w:val="24"/>
                <w:u w:val="none"/>
              </w:rPr>
              <w:tab/>
            </w:r>
          </w:p>
        </w:tc>
      </w:tr>
      <w:tr w14:paraId="2E4CF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E7D2D"/>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F711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完成地质灾害防治体系建设工作</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BF3A9">
            <w:pPr>
              <w:keepNext w:val="0"/>
              <w:keepLines w:val="0"/>
              <w:pageBreakBefore w:val="0"/>
              <w:widowControl/>
              <w:suppressLineNumbers w:val="0"/>
              <w:tabs>
                <w:tab w:val="left" w:pos="1063"/>
              </w:tabs>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eastAsia="宋体" w:cs="Times New Roman"/>
                <w:i w:val="0"/>
                <w:color w:val="000000"/>
                <w:sz w:val="24"/>
                <w:szCs w:val="24"/>
                <w:u w:val="none"/>
                <w:lang w:eastAsia="zh-CN"/>
              </w:rPr>
            </w:pPr>
            <w:r>
              <w:rPr>
                <w:rFonts w:hint="eastAsia" w:eastAsia="宋体" w:cs="Times New Roman"/>
                <w:i w:val="0"/>
                <w:color w:val="000000"/>
                <w:sz w:val="24"/>
                <w:szCs w:val="24"/>
                <w:u w:val="none"/>
                <w:lang w:eastAsia="zh-CN"/>
              </w:rPr>
              <w:t>开展全县各乡镇、矿山、重大在建项目地灾防范措施督导检查工作；扎实推进地灾治理项目建设，确保项目如期完工，早日发挥防灾减灾效益。</w:t>
            </w:r>
          </w:p>
        </w:tc>
      </w:tr>
      <w:tr w14:paraId="0761F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73556"/>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7FF1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完成耕地保护工作</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AFB2E">
            <w:pPr>
              <w:keepNext w:val="0"/>
              <w:keepLines w:val="0"/>
              <w:pageBreakBefore w:val="0"/>
              <w:widowControl/>
              <w:suppressLineNumbers w:val="0"/>
              <w:tabs>
                <w:tab w:val="left" w:pos="1018"/>
              </w:tabs>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eastAsia="宋体" w:cs="Times New Roman"/>
                <w:i w:val="0"/>
                <w:color w:val="000000"/>
                <w:sz w:val="24"/>
                <w:szCs w:val="24"/>
                <w:u w:val="none"/>
                <w:lang w:eastAsia="zh-CN"/>
              </w:rPr>
            </w:pPr>
            <w:r>
              <w:rPr>
                <w:rFonts w:hint="eastAsia" w:eastAsia="宋体" w:cs="Times New Roman"/>
                <w:i w:val="0"/>
                <w:color w:val="000000"/>
                <w:sz w:val="24"/>
                <w:szCs w:val="24"/>
                <w:u w:val="none"/>
                <w:lang w:eastAsia="zh-CN"/>
              </w:rPr>
              <w:t>继续做好耕地保护工作，落实最严格耕地保护制度，进一步完善耕地保护责任体系；</w:t>
            </w:r>
          </w:p>
        </w:tc>
      </w:tr>
      <w:tr w14:paraId="706D5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90023"/>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FF3B8">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完成国土空间规划编制工作</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B86D3">
            <w:pPr>
              <w:keepNext w:val="0"/>
              <w:keepLines w:val="0"/>
              <w:pageBreakBefore w:val="0"/>
              <w:widowControl/>
              <w:tabs>
                <w:tab w:val="left" w:pos="1138"/>
              </w:tabs>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eastAsia="zh-CN"/>
              </w:rPr>
            </w:pPr>
            <w:r>
              <w:rPr>
                <w:rFonts w:hint="eastAsia" w:eastAsia="宋体" w:cs="Times New Roman"/>
                <w:i w:val="0"/>
                <w:color w:val="000000"/>
                <w:sz w:val="24"/>
                <w:szCs w:val="24"/>
                <w:u w:val="none"/>
                <w:lang w:eastAsia="zh-CN"/>
              </w:rPr>
              <w:t>根据省自然资源厅审查意见进一步修改完善县级国土空间规划，尽快推进双河、玉瓦、勿角3个乡镇级国土空间规划和村级片区国土空间规划审批前置工作，确保按时报送成果。</w:t>
            </w:r>
          </w:p>
        </w:tc>
      </w:tr>
      <w:tr w14:paraId="1059B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FEBD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年度绩效</w:t>
            </w:r>
          </w:p>
          <w:p w14:paraId="3E471EF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93BE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一级指标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1358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二级指标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4BB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三级指标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FD3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绩效指标</w:t>
            </w:r>
          </w:p>
          <w:p w14:paraId="1A7BD7C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性质</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88ED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绩效指标值</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FC7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绩效度量单位</w:t>
            </w:r>
          </w:p>
        </w:tc>
        <w:tc>
          <w:tcPr>
            <w:tcW w:w="926" w:type="dxa"/>
            <w:tcBorders>
              <w:top w:val="single" w:color="000000" w:sz="4" w:space="0"/>
              <w:left w:val="single" w:color="000000" w:sz="4" w:space="0"/>
              <w:bottom w:val="single" w:color="000000" w:sz="4" w:space="0"/>
              <w:right w:val="nil"/>
            </w:tcBorders>
            <w:shd w:val="clear" w:color="auto" w:fill="auto"/>
            <w:noWrap/>
            <w:vAlign w:val="center"/>
          </w:tcPr>
          <w:p w14:paraId="54022CF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权重</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492D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实际完成</w:t>
            </w:r>
          </w:p>
          <w:p w14:paraId="6229C8C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指标值</w:t>
            </w:r>
          </w:p>
        </w:tc>
      </w:tr>
      <w:tr w14:paraId="5DA4E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3F6E3"/>
        </w:tc>
        <w:tc>
          <w:tcPr>
            <w:tcW w:w="1347" w:type="dxa"/>
            <w:vMerge w:val="restart"/>
            <w:tcBorders>
              <w:top w:val="single" w:color="000000" w:sz="4" w:space="0"/>
              <w:left w:val="single" w:color="000000" w:sz="4" w:space="0"/>
              <w:bottom w:val="nil"/>
              <w:right w:val="single" w:color="000000" w:sz="4" w:space="0"/>
            </w:tcBorders>
            <w:shd w:val="clear" w:color="auto" w:fill="auto"/>
            <w:noWrap/>
            <w:vAlign w:val="center"/>
          </w:tcPr>
          <w:p w14:paraId="33F5A256">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产出指标</w:t>
            </w:r>
          </w:p>
        </w:tc>
        <w:tc>
          <w:tcPr>
            <w:tcW w:w="1273" w:type="dxa"/>
            <w:vMerge w:val="restart"/>
            <w:tcBorders>
              <w:top w:val="single" w:color="000000" w:sz="4" w:space="0"/>
              <w:left w:val="single" w:color="000000" w:sz="4" w:space="0"/>
              <w:bottom w:val="nil"/>
              <w:right w:val="single" w:color="000000" w:sz="4" w:space="0"/>
            </w:tcBorders>
            <w:shd w:val="clear" w:color="auto" w:fill="auto"/>
            <w:noWrap/>
            <w:vAlign w:val="center"/>
          </w:tcPr>
          <w:p w14:paraId="346A17C6">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时效指标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24FFD">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国土空间编制完成时间</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703BB">
            <w:pPr>
              <w:keepNext w:val="0"/>
              <w:keepLines w:val="0"/>
              <w:pageBreakBefore w:val="0"/>
              <w:widowControl/>
              <w:tabs>
                <w:tab w:val="center" w:pos="557"/>
              </w:tabs>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定性</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FE441">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12月前</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0BD7D">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55945">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5</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FCBAF">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r>
      <w:tr w14:paraId="35C93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052EB"/>
        </w:tc>
        <w:tc>
          <w:tcPr>
            <w:tcW w:w="1347" w:type="dxa"/>
            <w:vMerge w:val="continue"/>
            <w:tcBorders>
              <w:top w:val="nil"/>
              <w:left w:val="single" w:color="000000" w:sz="4" w:space="0"/>
              <w:bottom w:val="nil"/>
              <w:right w:val="single" w:color="000000" w:sz="4" w:space="0"/>
            </w:tcBorders>
            <w:shd w:val="clear" w:color="auto" w:fill="auto"/>
            <w:noWrap/>
            <w:vAlign w:val="center"/>
          </w:tcPr>
          <w:p w14:paraId="4D4512E7"/>
        </w:tc>
        <w:tc>
          <w:tcPr>
            <w:tcW w:w="1273" w:type="dxa"/>
            <w:vMerge w:val="continue"/>
            <w:tcBorders>
              <w:top w:val="nil"/>
              <w:left w:val="single" w:color="000000" w:sz="4" w:space="0"/>
              <w:bottom w:val="nil"/>
              <w:right w:val="single" w:color="000000" w:sz="4" w:space="0"/>
            </w:tcBorders>
            <w:shd w:val="clear" w:color="auto" w:fill="auto"/>
            <w:noWrap/>
            <w:vAlign w:val="center"/>
          </w:tcPr>
          <w:p w14:paraId="73FF5F53"/>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76060">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人员经费支出及时率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CDAA2">
            <w:pPr>
              <w:keepNext w:val="0"/>
              <w:keepLines w:val="0"/>
              <w:pageBreakBefore w:val="0"/>
              <w:widowControl/>
              <w:tabs>
                <w:tab w:val="center" w:pos="557"/>
              </w:tabs>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516EF">
            <w:pPr>
              <w:keepNext w:val="0"/>
              <w:keepLines w:val="0"/>
              <w:pageBreakBefore w:val="0"/>
              <w:widowControl/>
              <w:kinsoku/>
              <w:wordWrap/>
              <w:overflowPunct/>
              <w:topLinePunct w:val="0"/>
              <w:autoSpaceDE/>
              <w:autoSpaceDN/>
              <w:bidi w:val="0"/>
              <w:adjustRightInd/>
              <w:snapToGrid/>
              <w:spacing w:line="300" w:lineRule="exact"/>
              <w:jc w:val="left"/>
              <w:outlineLvl w:val="9"/>
              <w:rPr>
                <w:rFonts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A133B">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B3A51">
            <w:pPr>
              <w:keepNext w:val="0"/>
              <w:keepLines w:val="0"/>
              <w:pageBreakBefore w:val="0"/>
              <w:widowControl/>
              <w:kinsoku/>
              <w:wordWrap/>
              <w:overflowPunct/>
              <w:topLinePunct w:val="0"/>
              <w:autoSpaceDE/>
              <w:autoSpaceDN/>
              <w:bidi w:val="0"/>
              <w:adjustRightInd/>
              <w:snapToGrid/>
              <w:spacing w:line="300" w:lineRule="exact"/>
              <w:jc w:val="left"/>
              <w:outlineLvl w:val="9"/>
              <w:rPr>
                <w:rFonts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5</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F389D">
            <w:pPr>
              <w:keepNext w:val="0"/>
              <w:keepLines w:val="0"/>
              <w:pageBreakBefore w:val="0"/>
              <w:widowControl/>
              <w:kinsoku/>
              <w:wordWrap/>
              <w:overflowPunct/>
              <w:topLinePunct w:val="0"/>
              <w:autoSpaceDE/>
              <w:autoSpaceDN/>
              <w:bidi w:val="0"/>
              <w:adjustRightInd/>
              <w:snapToGrid/>
              <w:spacing w:line="300" w:lineRule="exact"/>
              <w:jc w:val="left"/>
              <w:outlineLvl w:val="9"/>
              <w:rPr>
                <w:rFonts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r>
      <w:tr w14:paraId="5D086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CD4BC"/>
        </w:tc>
        <w:tc>
          <w:tcPr>
            <w:tcW w:w="1347" w:type="dxa"/>
            <w:vMerge w:val="continue"/>
            <w:tcBorders>
              <w:top w:val="nil"/>
              <w:left w:val="single" w:color="000000" w:sz="4" w:space="0"/>
              <w:bottom w:val="nil"/>
              <w:right w:val="single" w:color="000000" w:sz="4" w:space="0"/>
            </w:tcBorders>
            <w:shd w:val="clear" w:color="auto" w:fill="auto"/>
            <w:noWrap/>
            <w:vAlign w:val="center"/>
          </w:tcPr>
          <w:p w14:paraId="15453D07"/>
        </w:tc>
        <w:tc>
          <w:tcPr>
            <w:tcW w:w="1273" w:type="dxa"/>
            <w:vMerge w:val="continue"/>
            <w:tcBorders>
              <w:top w:val="nil"/>
              <w:left w:val="single" w:color="000000" w:sz="4" w:space="0"/>
              <w:bottom w:val="single" w:color="000000" w:sz="4" w:space="0"/>
              <w:right w:val="single" w:color="000000" w:sz="4" w:space="0"/>
            </w:tcBorders>
            <w:shd w:val="clear" w:color="auto" w:fill="auto"/>
            <w:noWrap/>
            <w:vAlign w:val="center"/>
          </w:tcPr>
          <w:p w14:paraId="2226FB7A"/>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BC6BA">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项目建设完成时间</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50727">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定性</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86936">
            <w:pPr>
              <w:keepNext w:val="0"/>
              <w:keepLines w:val="0"/>
              <w:pageBreakBefore w:val="0"/>
              <w:widowControl/>
              <w:kinsoku/>
              <w:wordWrap/>
              <w:overflowPunct/>
              <w:topLinePunct w:val="0"/>
              <w:autoSpaceDE/>
              <w:autoSpaceDN/>
              <w:bidi w:val="0"/>
              <w:adjustRightInd/>
              <w:snapToGrid/>
              <w:spacing w:line="300" w:lineRule="exact"/>
              <w:ind w:firstLine="453"/>
              <w:jc w:val="left"/>
              <w:outlineLvl w:val="9"/>
              <w:rPr>
                <w:rFonts w:hint="eastAsia"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12月前</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06989">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A51E5">
            <w:pPr>
              <w:keepNext w:val="0"/>
              <w:keepLines w:val="0"/>
              <w:pageBreakBefore w:val="0"/>
              <w:widowControl/>
              <w:kinsoku/>
              <w:wordWrap/>
              <w:overflowPunct/>
              <w:topLinePunct w:val="0"/>
              <w:autoSpaceDE/>
              <w:autoSpaceDN/>
              <w:bidi w:val="0"/>
              <w:adjustRightInd/>
              <w:snapToGrid/>
              <w:spacing w:line="300" w:lineRule="exact"/>
              <w:jc w:val="left"/>
              <w:outlineLvl w:val="9"/>
              <w:rPr>
                <w:rFonts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48C72">
            <w:pPr>
              <w:keepNext w:val="0"/>
              <w:keepLines w:val="0"/>
              <w:pageBreakBefore w:val="0"/>
              <w:widowControl/>
              <w:kinsoku/>
              <w:wordWrap/>
              <w:overflowPunct/>
              <w:topLinePunct w:val="0"/>
              <w:autoSpaceDE/>
              <w:autoSpaceDN/>
              <w:bidi w:val="0"/>
              <w:adjustRightInd/>
              <w:snapToGrid/>
              <w:spacing w:line="300" w:lineRule="exact"/>
              <w:jc w:val="left"/>
              <w:outlineLvl w:val="9"/>
              <w:rPr>
                <w:rFonts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r>
      <w:tr w14:paraId="57B56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9A458"/>
        </w:tc>
        <w:tc>
          <w:tcPr>
            <w:tcW w:w="1347" w:type="dxa"/>
            <w:vMerge w:val="continue"/>
            <w:tcBorders>
              <w:top w:val="nil"/>
              <w:left w:val="single" w:color="000000" w:sz="4" w:space="0"/>
              <w:bottom w:val="nil"/>
              <w:right w:val="single" w:color="000000" w:sz="4" w:space="0"/>
            </w:tcBorders>
            <w:shd w:val="clear" w:color="auto" w:fill="auto"/>
            <w:noWrap/>
            <w:vAlign w:val="center"/>
          </w:tcPr>
          <w:p w14:paraId="123FBE0F"/>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F8558">
            <w:pPr>
              <w:keepNext w:val="0"/>
              <w:keepLines w:val="0"/>
              <w:pageBreakBefore w:val="0"/>
              <w:widowControl/>
              <w:suppressLineNumbers w:val="0"/>
              <w:tabs>
                <w:tab w:val="left" w:pos="461"/>
              </w:tabs>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hint="eastAsia" w:eastAsia="宋体" w:cs="Times New Roman"/>
                <w:i w:val="0"/>
                <w:color w:val="000000"/>
                <w:kern w:val="0"/>
                <w:sz w:val="24"/>
                <w:szCs w:val="24"/>
                <w:u w:val="none"/>
                <w:lang w:val="en-US" w:eastAsia="zh-CN"/>
              </w:rPr>
              <w:t>质量指标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EFA4D">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安全事故发生次数</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8E468">
            <w:pPr>
              <w:keepNext w:val="0"/>
              <w:keepLines w:val="0"/>
              <w:pageBreakBefore w:val="0"/>
              <w:widowControl/>
              <w:tabs>
                <w:tab w:val="center" w:pos="557"/>
              </w:tabs>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FBCC6">
            <w:pPr>
              <w:keepNext w:val="0"/>
              <w:keepLines w:val="0"/>
              <w:pageBreakBefore w:val="0"/>
              <w:widowControl/>
              <w:kinsoku/>
              <w:wordWrap/>
              <w:overflowPunct/>
              <w:topLinePunct w:val="0"/>
              <w:autoSpaceDE/>
              <w:autoSpaceDN/>
              <w:bidi w:val="0"/>
              <w:adjustRightInd/>
              <w:snapToGrid/>
              <w:spacing w:line="300" w:lineRule="exact"/>
              <w:jc w:val="left"/>
              <w:outlineLvl w:val="9"/>
              <w:rPr>
                <w:rFonts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0</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4D101">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次</w:t>
            </w:r>
          </w:p>
        </w:tc>
        <w:tc>
          <w:tcPr>
            <w:tcW w:w="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6D5ED">
            <w:pPr>
              <w:keepNext w:val="0"/>
              <w:keepLines w:val="0"/>
              <w:pageBreakBefore w:val="0"/>
              <w:widowControl/>
              <w:kinsoku/>
              <w:wordWrap/>
              <w:overflowPunct/>
              <w:topLinePunct w:val="0"/>
              <w:autoSpaceDE/>
              <w:autoSpaceDN/>
              <w:bidi w:val="0"/>
              <w:adjustRightInd/>
              <w:snapToGrid/>
              <w:spacing w:line="300" w:lineRule="exact"/>
              <w:jc w:val="left"/>
              <w:outlineLvl w:val="9"/>
              <w:rPr>
                <w:rFonts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5</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7A710">
            <w:pPr>
              <w:keepNext w:val="0"/>
              <w:keepLines w:val="0"/>
              <w:pageBreakBefore w:val="0"/>
              <w:widowControl/>
              <w:kinsoku/>
              <w:wordWrap/>
              <w:overflowPunct/>
              <w:topLinePunct w:val="0"/>
              <w:autoSpaceDE/>
              <w:autoSpaceDN/>
              <w:bidi w:val="0"/>
              <w:adjustRightInd/>
              <w:snapToGrid/>
              <w:spacing w:line="300" w:lineRule="exact"/>
              <w:jc w:val="left"/>
              <w:outlineLvl w:val="9"/>
              <w:rPr>
                <w:rFonts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r>
      <w:tr w14:paraId="4EA33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D2806"/>
        </w:tc>
        <w:tc>
          <w:tcPr>
            <w:tcW w:w="1347" w:type="dxa"/>
            <w:vMerge w:val="continue"/>
            <w:tcBorders>
              <w:top w:val="nil"/>
              <w:left w:val="single" w:color="000000" w:sz="4" w:space="0"/>
              <w:bottom w:val="nil"/>
              <w:right w:val="single" w:color="000000" w:sz="4" w:space="0"/>
            </w:tcBorders>
            <w:shd w:val="clear" w:color="auto" w:fill="auto"/>
            <w:noWrap/>
            <w:vAlign w:val="center"/>
          </w:tcPr>
          <w:p w14:paraId="1811C293"/>
        </w:tc>
        <w:tc>
          <w:tcPr>
            <w:tcW w:w="1273" w:type="dxa"/>
            <w:vMerge w:val="restart"/>
            <w:tcBorders>
              <w:top w:val="single" w:color="000000" w:sz="4" w:space="0"/>
              <w:left w:val="single" w:color="000000" w:sz="4" w:space="0"/>
              <w:bottom w:val="nil"/>
              <w:right w:val="single" w:color="000000" w:sz="4" w:space="0"/>
            </w:tcBorders>
            <w:shd w:val="clear" w:color="auto" w:fill="auto"/>
            <w:noWrap/>
            <w:vAlign w:val="center"/>
          </w:tcPr>
          <w:p w14:paraId="59674990">
            <w:pPr>
              <w:keepNext w:val="0"/>
              <w:keepLines w:val="0"/>
              <w:pageBreakBefore w:val="0"/>
              <w:widowControl/>
              <w:suppressLineNumbers w:val="0"/>
              <w:tabs>
                <w:tab w:val="left" w:pos="461"/>
              </w:tabs>
              <w:kinsoku/>
              <w:wordWrap/>
              <w:overflowPunct/>
              <w:topLinePunct w:val="0"/>
              <w:autoSpaceDE/>
              <w:autoSpaceDN/>
              <w:bidi w:val="0"/>
              <w:adjustRightInd/>
              <w:snapToGrid/>
              <w:spacing w:line="300" w:lineRule="exact"/>
              <w:jc w:val="left"/>
              <w:textAlignment w:val="center"/>
              <w:outlineLvl w:val="9"/>
              <w:rPr>
                <w:rFonts w:hint="eastAsia" w:eastAsia="宋体" w:cs="Times New Roman"/>
                <w:i w:val="0"/>
                <w:color w:val="000000"/>
                <w:kern w:val="0"/>
                <w:sz w:val="24"/>
                <w:szCs w:val="24"/>
                <w:u w:val="none"/>
                <w:lang w:val="en-US" w:eastAsia="zh-CN"/>
              </w:rPr>
            </w:pPr>
            <w:r>
              <w:rPr>
                <w:rFonts w:hint="eastAsia" w:eastAsia="宋体" w:cs="Times New Roman"/>
                <w:i w:val="0"/>
                <w:color w:val="000000"/>
                <w:kern w:val="0"/>
                <w:sz w:val="24"/>
                <w:szCs w:val="24"/>
                <w:u w:val="none"/>
                <w:lang w:val="en-US" w:eastAsia="zh-CN"/>
              </w:rPr>
              <w:t>数量指标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B9155">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督导检查工作完成率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E6109">
            <w:pPr>
              <w:keepNext w:val="0"/>
              <w:keepLines w:val="0"/>
              <w:pageBreakBefore w:val="0"/>
              <w:widowControl/>
              <w:tabs>
                <w:tab w:val="center" w:pos="557"/>
              </w:tabs>
              <w:kinsoku/>
              <w:wordWrap/>
              <w:overflowPunct/>
              <w:topLinePunct w:val="0"/>
              <w:autoSpaceDE/>
              <w:autoSpaceDN/>
              <w:bidi w:val="0"/>
              <w:adjustRightInd/>
              <w:snapToGrid/>
              <w:spacing w:line="300" w:lineRule="exact"/>
              <w:jc w:val="left"/>
              <w:outlineLvl w:val="9"/>
              <w:rPr>
                <w:rFonts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9A738">
            <w:pPr>
              <w:keepNext w:val="0"/>
              <w:keepLines w:val="0"/>
              <w:pageBreakBefore w:val="0"/>
              <w:widowControl/>
              <w:kinsoku/>
              <w:wordWrap/>
              <w:overflowPunct/>
              <w:topLinePunct w:val="0"/>
              <w:autoSpaceDE/>
              <w:autoSpaceDN/>
              <w:bidi w:val="0"/>
              <w:adjustRightInd/>
              <w:snapToGrid/>
              <w:spacing w:line="300" w:lineRule="exact"/>
              <w:jc w:val="left"/>
              <w:outlineLvl w:val="9"/>
              <w:rPr>
                <w:rFonts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AAF16">
            <w:pPr>
              <w:keepNext w:val="0"/>
              <w:keepLines w:val="0"/>
              <w:pageBreakBefore w:val="0"/>
              <w:widowControl/>
              <w:kinsoku/>
              <w:wordWrap/>
              <w:overflowPunct/>
              <w:topLinePunct w:val="0"/>
              <w:autoSpaceDE/>
              <w:autoSpaceDN/>
              <w:bidi w:val="0"/>
              <w:adjustRightInd/>
              <w:snapToGrid/>
              <w:spacing w:line="300" w:lineRule="exact"/>
              <w:jc w:val="left"/>
              <w:outlineLvl w:val="9"/>
              <w:rPr>
                <w:rFonts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DD136">
            <w:pPr>
              <w:keepNext w:val="0"/>
              <w:keepLines w:val="0"/>
              <w:pageBreakBefore w:val="0"/>
              <w:widowControl/>
              <w:kinsoku/>
              <w:wordWrap/>
              <w:overflowPunct/>
              <w:topLinePunct w:val="0"/>
              <w:autoSpaceDE/>
              <w:autoSpaceDN/>
              <w:bidi w:val="0"/>
              <w:adjustRightInd/>
              <w:snapToGrid/>
              <w:spacing w:line="300" w:lineRule="exact"/>
              <w:jc w:val="left"/>
              <w:outlineLvl w:val="9"/>
              <w:rPr>
                <w:rFonts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CEBCF">
            <w:pPr>
              <w:keepNext w:val="0"/>
              <w:keepLines w:val="0"/>
              <w:pageBreakBefore w:val="0"/>
              <w:widowControl/>
              <w:kinsoku/>
              <w:wordWrap/>
              <w:overflowPunct/>
              <w:topLinePunct w:val="0"/>
              <w:autoSpaceDE/>
              <w:autoSpaceDN/>
              <w:bidi w:val="0"/>
              <w:adjustRightInd/>
              <w:snapToGrid/>
              <w:spacing w:line="300" w:lineRule="exact"/>
              <w:jc w:val="left"/>
              <w:outlineLvl w:val="9"/>
              <w:rPr>
                <w:rFonts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r>
      <w:tr w14:paraId="691E7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F3EF0"/>
        </w:tc>
        <w:tc>
          <w:tcPr>
            <w:tcW w:w="1347" w:type="dxa"/>
            <w:vMerge w:val="continue"/>
            <w:tcBorders>
              <w:top w:val="nil"/>
              <w:left w:val="single" w:color="000000" w:sz="4" w:space="0"/>
              <w:bottom w:val="nil"/>
              <w:right w:val="single" w:color="000000" w:sz="4" w:space="0"/>
            </w:tcBorders>
            <w:shd w:val="clear" w:color="auto" w:fill="auto"/>
            <w:noWrap/>
            <w:vAlign w:val="center"/>
          </w:tcPr>
          <w:p w14:paraId="17FA080E"/>
        </w:tc>
        <w:tc>
          <w:tcPr>
            <w:tcW w:w="1273" w:type="dxa"/>
            <w:vMerge w:val="continue"/>
            <w:tcBorders>
              <w:top w:val="nil"/>
              <w:left w:val="single" w:color="000000" w:sz="4" w:space="0"/>
              <w:bottom w:val="single" w:color="000000" w:sz="4" w:space="0"/>
              <w:right w:val="single" w:color="000000" w:sz="4" w:space="0"/>
            </w:tcBorders>
            <w:shd w:val="clear" w:color="auto" w:fill="auto"/>
            <w:noWrap/>
            <w:vAlign w:val="center"/>
          </w:tcPr>
          <w:p w14:paraId="7F683927"/>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384C3">
            <w:pPr>
              <w:keepNext w:val="0"/>
              <w:keepLines w:val="0"/>
              <w:pageBreakBefore w:val="0"/>
              <w:widowControl/>
              <w:kinsoku/>
              <w:wordWrap/>
              <w:overflowPunct/>
              <w:topLinePunct w:val="0"/>
              <w:autoSpaceDE/>
              <w:autoSpaceDN/>
              <w:bidi w:val="0"/>
              <w:adjustRightInd/>
              <w:snapToGrid/>
              <w:spacing w:line="300" w:lineRule="exact"/>
              <w:ind w:firstLine="433"/>
              <w:jc w:val="left"/>
              <w:outlineLvl w:val="9"/>
              <w:rPr>
                <w:rFonts w:hint="eastAsia" w:ascii="Times New Roman" w:hAnsi="Times New Roman" w:eastAsia="宋体" w:cs="Times New Roman"/>
                <w:i w:val="0"/>
                <w:color w:val="000000"/>
                <w:sz w:val="24"/>
                <w:szCs w:val="24"/>
                <w:u w:val="none"/>
                <w:lang w:val="en-US" w:eastAsia="zh-CN"/>
              </w:rPr>
            </w:pPr>
            <w:r>
              <w:rPr>
                <w:rFonts w:ascii="Times New Roman" w:hAnsi="Times New Roman" w:eastAsia="宋体" w:cs="Times New Roman"/>
                <w:i w:val="0"/>
                <w:color w:val="000000"/>
                <w:sz w:val="24"/>
                <w:szCs w:val="24"/>
                <w:u w:val="none"/>
              </w:rPr>
              <w:t>国土空间规划乡镇数量</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643E8">
            <w:pPr>
              <w:keepNext w:val="0"/>
              <w:keepLines w:val="0"/>
              <w:pageBreakBefore w:val="0"/>
              <w:widowControl/>
              <w:tabs>
                <w:tab w:val="center" w:pos="557"/>
              </w:tabs>
              <w:kinsoku/>
              <w:wordWrap/>
              <w:overflowPunct/>
              <w:topLinePunct w:val="0"/>
              <w:autoSpaceDE/>
              <w:autoSpaceDN/>
              <w:bidi w:val="0"/>
              <w:adjustRightInd/>
              <w:snapToGrid/>
              <w:spacing w:line="300" w:lineRule="exact"/>
              <w:jc w:val="left"/>
              <w:outlineLvl w:val="9"/>
              <w:rPr>
                <w:rFonts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A943C">
            <w:pPr>
              <w:keepNext w:val="0"/>
              <w:keepLines w:val="0"/>
              <w:pageBreakBefore w:val="0"/>
              <w:widowControl/>
              <w:kinsoku/>
              <w:wordWrap/>
              <w:overflowPunct/>
              <w:topLinePunct w:val="0"/>
              <w:autoSpaceDE/>
              <w:autoSpaceDN/>
              <w:bidi w:val="0"/>
              <w:adjustRightInd/>
              <w:snapToGrid/>
              <w:spacing w:line="300" w:lineRule="exact"/>
              <w:jc w:val="left"/>
              <w:outlineLvl w:val="9"/>
              <w:rPr>
                <w:rFonts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3</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6FB34">
            <w:pPr>
              <w:keepNext w:val="0"/>
              <w:keepLines w:val="0"/>
              <w:pageBreakBefore w:val="0"/>
              <w:widowControl/>
              <w:kinsoku/>
              <w:wordWrap/>
              <w:overflowPunct/>
              <w:topLinePunct w:val="0"/>
              <w:autoSpaceDE/>
              <w:autoSpaceDN/>
              <w:bidi w:val="0"/>
              <w:adjustRightInd/>
              <w:snapToGrid/>
              <w:spacing w:line="300" w:lineRule="exact"/>
              <w:jc w:val="left"/>
              <w:outlineLvl w:val="9"/>
              <w:rPr>
                <w:rFonts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个</w:t>
            </w:r>
          </w:p>
        </w:tc>
        <w:tc>
          <w:tcPr>
            <w:tcW w:w="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70BDB">
            <w:pPr>
              <w:keepNext w:val="0"/>
              <w:keepLines w:val="0"/>
              <w:pageBreakBefore w:val="0"/>
              <w:widowControl/>
              <w:kinsoku/>
              <w:wordWrap/>
              <w:overflowPunct/>
              <w:topLinePunct w:val="0"/>
              <w:autoSpaceDE/>
              <w:autoSpaceDN/>
              <w:bidi w:val="0"/>
              <w:adjustRightInd/>
              <w:snapToGrid/>
              <w:spacing w:line="300" w:lineRule="exact"/>
              <w:jc w:val="left"/>
              <w:outlineLvl w:val="9"/>
              <w:rPr>
                <w:rFonts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5</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303CD">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eastAsia="宋体" w:cs="Times New Roman"/>
                <w:i w:val="0"/>
                <w:color w:val="000000"/>
                <w:sz w:val="24"/>
                <w:szCs w:val="24"/>
                <w:u w:val="none"/>
                <w:lang w:val="en-US" w:eastAsia="zh-CN"/>
              </w:rPr>
            </w:pPr>
          </w:p>
        </w:tc>
      </w:tr>
      <w:tr w14:paraId="4A53D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F59C7"/>
        </w:tc>
        <w:tc>
          <w:tcPr>
            <w:tcW w:w="1347" w:type="dxa"/>
            <w:vMerge w:val="restart"/>
            <w:tcBorders>
              <w:top w:val="single" w:color="000000" w:sz="4" w:space="0"/>
              <w:left w:val="single" w:color="000000" w:sz="4" w:space="0"/>
              <w:bottom w:val="nil"/>
              <w:right w:val="single" w:color="000000" w:sz="4" w:space="0"/>
            </w:tcBorders>
            <w:shd w:val="clear" w:color="auto" w:fill="auto"/>
            <w:noWrap/>
            <w:vAlign w:val="center"/>
          </w:tcPr>
          <w:p w14:paraId="15C786C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效益指标</w:t>
            </w:r>
          </w:p>
        </w:tc>
        <w:tc>
          <w:tcPr>
            <w:tcW w:w="1273" w:type="dxa"/>
            <w:vMerge w:val="restart"/>
            <w:tcBorders>
              <w:top w:val="single" w:color="000000" w:sz="4" w:space="0"/>
              <w:left w:val="single" w:color="000000" w:sz="4" w:space="0"/>
              <w:bottom w:val="nil"/>
              <w:right w:val="single" w:color="000000" w:sz="4" w:space="0"/>
            </w:tcBorders>
            <w:shd w:val="clear" w:color="auto" w:fill="auto"/>
            <w:noWrap/>
            <w:vAlign w:val="center"/>
          </w:tcPr>
          <w:p w14:paraId="2326648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社会效益</w:t>
            </w:r>
          </w:p>
          <w:p w14:paraId="3DC7662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6A6B8">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保障人员生活水平</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29AAF">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定性</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58225">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优</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0356D">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5267F">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3FA7A">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优</w:t>
            </w:r>
          </w:p>
        </w:tc>
      </w:tr>
      <w:tr w14:paraId="17D01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E831A"/>
        </w:tc>
        <w:tc>
          <w:tcPr>
            <w:tcW w:w="1347" w:type="dxa"/>
            <w:vMerge w:val="continue"/>
            <w:tcBorders>
              <w:top w:val="nil"/>
              <w:left w:val="single" w:color="000000" w:sz="4" w:space="0"/>
              <w:bottom w:val="single" w:color="000000" w:sz="4" w:space="0"/>
              <w:right w:val="single" w:color="000000" w:sz="4" w:space="0"/>
            </w:tcBorders>
            <w:shd w:val="clear" w:color="auto" w:fill="auto"/>
            <w:noWrap/>
            <w:vAlign w:val="center"/>
          </w:tcPr>
          <w:p w14:paraId="3856BB9A"/>
        </w:tc>
        <w:tc>
          <w:tcPr>
            <w:tcW w:w="1273" w:type="dxa"/>
            <w:vMerge w:val="continue"/>
            <w:tcBorders>
              <w:top w:val="nil"/>
              <w:left w:val="single" w:color="000000" w:sz="4" w:space="0"/>
              <w:bottom w:val="nil"/>
              <w:right w:val="single" w:color="000000" w:sz="4" w:space="0"/>
            </w:tcBorders>
            <w:shd w:val="clear" w:color="auto" w:fill="auto"/>
            <w:noWrap/>
            <w:vAlign w:val="center"/>
          </w:tcPr>
          <w:p w14:paraId="54AE5CFF"/>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0499A">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完善耕地保护责任体系</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5A6C0">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定性</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E7E60">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优</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4020D">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32F32">
            <w:pPr>
              <w:keepNext w:val="0"/>
              <w:keepLines w:val="0"/>
              <w:pageBreakBefore w:val="0"/>
              <w:widowControl/>
              <w:kinsoku/>
              <w:wordWrap/>
              <w:overflowPunct/>
              <w:topLinePunct w:val="0"/>
              <w:autoSpaceDE/>
              <w:autoSpaceDN/>
              <w:bidi w:val="0"/>
              <w:adjustRightInd/>
              <w:snapToGrid/>
              <w:spacing w:line="300" w:lineRule="exact"/>
              <w:jc w:val="left"/>
              <w:outlineLvl w:val="9"/>
              <w:rPr>
                <w:rFonts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F0781">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优</w:t>
            </w:r>
          </w:p>
        </w:tc>
      </w:tr>
      <w:tr w14:paraId="6361B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386A6"/>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17F1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满意度指标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55FD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服务对象满意度指标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3465E">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县政府和社会满意度</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4FFA8">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CFA6B">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98</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BC732">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61E85">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21B06">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98%</w:t>
            </w:r>
          </w:p>
        </w:tc>
      </w:tr>
      <w:tr w14:paraId="08B97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B7E3C">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hAnsi="Times New Roman" w:eastAsia="宋体" w:cs="Times New Roman"/>
                <w:i w:val="0"/>
                <w:color w:val="000000"/>
                <w:sz w:val="24"/>
                <w:szCs w:val="24"/>
                <w:u w:val="none"/>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4CB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成本指标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1B10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经济成本指标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A2B78">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成本控制率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FFDB4">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71A57">
            <w:pPr>
              <w:keepNext w:val="0"/>
              <w:keepLines w:val="0"/>
              <w:pageBreakBefore w:val="0"/>
              <w:widowControl/>
              <w:kinsoku/>
              <w:wordWrap/>
              <w:overflowPunct/>
              <w:topLinePunct w:val="0"/>
              <w:autoSpaceDE/>
              <w:autoSpaceDN/>
              <w:bidi w:val="0"/>
              <w:adjustRightInd/>
              <w:snapToGrid/>
              <w:spacing w:line="300" w:lineRule="exact"/>
              <w:jc w:val="left"/>
              <w:outlineLvl w:val="9"/>
              <w:rPr>
                <w:rFonts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896F4">
            <w:pPr>
              <w:keepNext w:val="0"/>
              <w:keepLines w:val="0"/>
              <w:pageBreakBefore w:val="0"/>
              <w:widowControl/>
              <w:kinsoku/>
              <w:wordWrap/>
              <w:overflowPunct/>
              <w:topLinePunct w:val="0"/>
              <w:autoSpaceDE/>
              <w:autoSpaceDN/>
              <w:bidi w:val="0"/>
              <w:adjustRightInd/>
              <w:snapToGrid/>
              <w:spacing w:line="300" w:lineRule="exact"/>
              <w:jc w:val="left"/>
              <w:outlineLvl w:val="9"/>
              <w:rPr>
                <w:rFonts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1A4E9">
            <w:pPr>
              <w:keepNext w:val="0"/>
              <w:keepLines w:val="0"/>
              <w:pageBreakBefore w:val="0"/>
              <w:widowControl/>
              <w:kinsoku/>
              <w:wordWrap/>
              <w:overflowPunct/>
              <w:topLinePunct w:val="0"/>
              <w:autoSpaceDE/>
              <w:autoSpaceDN/>
              <w:bidi w:val="0"/>
              <w:adjustRightInd/>
              <w:snapToGrid/>
              <w:spacing w:line="300" w:lineRule="exact"/>
              <w:jc w:val="left"/>
              <w:outlineLvl w:val="9"/>
              <w:rPr>
                <w:rFonts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20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C38CC">
            <w:pPr>
              <w:keepNext w:val="0"/>
              <w:keepLines w:val="0"/>
              <w:pageBreakBefore w:val="0"/>
              <w:widowControl/>
              <w:kinsoku/>
              <w:wordWrap/>
              <w:overflowPunct/>
              <w:topLinePunct w:val="0"/>
              <w:autoSpaceDE/>
              <w:autoSpaceDN/>
              <w:bidi w:val="0"/>
              <w:adjustRightInd/>
              <w:snapToGrid/>
              <w:spacing w:line="300" w:lineRule="exact"/>
              <w:jc w:val="left"/>
              <w:outlineLvl w:val="9"/>
              <w:rPr>
                <w:rFonts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r>
    </w:tbl>
    <w:p w14:paraId="186E2C37">
      <w:pPr>
        <w:pStyle w:val="3"/>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Times New Roman" w:hAnsi="Times New Roman" w:eastAsia="仿宋_GB2312" w:cs="仿宋_GB2312"/>
          <w:b w:val="0"/>
          <w:bCs w:val="0"/>
          <w:kern w:val="0"/>
          <w:position w:val="0"/>
          <w:sz w:val="32"/>
          <w:szCs w:val="32"/>
          <w:highlight w:val="none"/>
          <w:lang w:val="zh-CN" w:eastAsia="zh-CN" w:bidi="ar-SA"/>
        </w:rPr>
      </w:pPr>
    </w:p>
    <w:p w14:paraId="7E011BA5">
      <w:pPr>
        <w:pStyle w:val="3"/>
        <w:keepNext w:val="0"/>
        <w:keepLines w:val="0"/>
        <w:pageBreakBefore w:val="0"/>
        <w:widowControl w:val="0"/>
        <w:kinsoku/>
        <w:wordWrap/>
        <w:overflowPunct/>
        <w:topLinePunct w:val="0"/>
        <w:autoSpaceDE/>
        <w:autoSpaceDN/>
        <w:bidi w:val="0"/>
        <w:spacing w:line="560" w:lineRule="exact"/>
        <w:textAlignment w:val="auto"/>
        <w:rPr>
          <w:rFonts w:hint="eastAsia" w:ascii="Times New Roman" w:hAnsi="Times New Roman" w:cs="Times New Roman"/>
          <w:sz w:val="32"/>
          <w:szCs w:val="32"/>
          <w:highlight w:val="yellow"/>
          <w:lang w:val="zh-CN" w:eastAsia="zh-CN"/>
        </w:rPr>
      </w:pPr>
    </w:p>
    <w:p w14:paraId="6A12CF52">
      <w:pPr>
        <w:pStyle w:val="9"/>
        <w:rPr>
          <w:rFonts w:hint="eastAsia" w:ascii="Times New Roman" w:hAnsi="Times New Roman" w:cs="宋体"/>
          <w:color w:val="FF0000"/>
          <w:kern w:val="0"/>
          <w:sz w:val="32"/>
          <w:szCs w:val="32"/>
          <w:highlight w:val="yellow"/>
          <w:shd w:val="clear" w:color="auto" w:fill="FFFFFF"/>
          <w:lang w:val="zh-CN"/>
        </w:rPr>
      </w:pPr>
    </w:p>
    <w:p w14:paraId="2471F1D0">
      <w:pPr>
        <w:rPr>
          <w:rFonts w:hint="eastAsia" w:ascii="Times New Roman" w:hAnsi="Times New Roman" w:eastAsia="黑体" w:cs="黑体"/>
          <w:color w:val="auto"/>
          <w:kern w:val="0"/>
          <w:sz w:val="32"/>
          <w:szCs w:val="32"/>
          <w:highlight w:val="none"/>
          <w:shd w:val="clear" w:color="auto" w:fill="FFFFFF"/>
          <w:lang w:val="zh-CN"/>
        </w:rPr>
      </w:pPr>
      <w:r>
        <w:rPr>
          <w:rFonts w:hint="eastAsia" w:ascii="Times New Roman" w:hAnsi="Times New Roman" w:eastAsia="黑体" w:cs="黑体"/>
          <w:color w:val="auto"/>
          <w:kern w:val="0"/>
          <w:sz w:val="32"/>
          <w:szCs w:val="32"/>
          <w:highlight w:val="none"/>
          <w:shd w:val="clear" w:color="auto" w:fill="FFFFFF"/>
          <w:lang w:val="zh-CN"/>
        </w:rPr>
        <w:br w:type="page"/>
      </w:r>
    </w:p>
    <w:p w14:paraId="7CA354F6">
      <w:pPr>
        <w:pStyle w:val="9"/>
        <w:rPr>
          <w:rFonts w:hint="eastAsia"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kern w:val="0"/>
          <w:sz w:val="32"/>
          <w:szCs w:val="32"/>
          <w:highlight w:val="none"/>
          <w:shd w:val="clear" w:color="auto" w:fill="FFFFFF"/>
          <w:lang w:val="zh-CN"/>
        </w:rPr>
        <w:t>附件</w:t>
      </w:r>
      <w:r>
        <w:rPr>
          <w:rFonts w:hint="eastAsia" w:ascii="Times New Roman" w:hAnsi="Times New Roman" w:eastAsia="黑体" w:cs="黑体"/>
          <w:color w:val="auto"/>
          <w:kern w:val="0"/>
          <w:sz w:val="32"/>
          <w:szCs w:val="32"/>
          <w:highlight w:val="none"/>
          <w:shd w:val="clear" w:color="auto" w:fill="FFFFFF"/>
          <w:lang w:val="en-US" w:eastAsia="zh-CN"/>
        </w:rPr>
        <w:t>2</w:t>
      </w:r>
    </w:p>
    <w:p w14:paraId="3CD1315F">
      <w:pPr>
        <w:pStyle w:val="38"/>
        <w:keepNext w:val="0"/>
        <w:keepLines w:val="0"/>
        <w:pageBreakBefore w:val="0"/>
        <w:widowControl w:val="0"/>
        <w:kinsoku/>
        <w:wordWrap/>
        <w:overflowPunct/>
        <w:topLinePunct w:val="0"/>
        <w:autoSpaceDE/>
        <w:autoSpaceDN/>
        <w:bidi w:val="0"/>
        <w:spacing w:line="578" w:lineRule="exact"/>
        <w:ind w:left="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14:paraId="6BB4B00D">
      <w:pPr>
        <w:keepNext w:val="0"/>
        <w:keepLines w:val="0"/>
        <w:pageBreakBefore w:val="0"/>
        <w:widowControl w:val="0"/>
        <w:kinsoku/>
        <w:wordWrap/>
        <w:overflowPunct/>
        <w:topLinePunct w:val="0"/>
        <w:autoSpaceDE/>
        <w:autoSpaceDN/>
        <w:bidi w:val="0"/>
        <w:adjustRightInd/>
        <w:snapToGrid w:val="0"/>
        <w:spacing w:line="580" w:lineRule="exact"/>
        <w:jc w:val="center"/>
        <w:textAlignment w:val="auto"/>
        <w:rPr>
          <w:rFonts w:hint="eastAsia" w:ascii="Arial" w:hAnsi="Arial" w:eastAsia="宋体" w:cs="Arial"/>
          <w:b/>
          <w:sz w:val="36"/>
          <w:szCs w:val="44"/>
        </w:rPr>
      </w:pPr>
      <w:r>
        <w:rPr>
          <w:rFonts w:hint="eastAsia" w:ascii="Arial" w:hAnsi="Arial" w:eastAsia="宋体" w:cs="Arial"/>
          <w:b/>
          <w:sz w:val="36"/>
          <w:szCs w:val="44"/>
        </w:rPr>
        <w:t>九寨沟县2024年度地质灾害避险搬迁项目</w:t>
      </w:r>
    </w:p>
    <w:p w14:paraId="58AF82BB">
      <w:pPr>
        <w:keepNext w:val="0"/>
        <w:keepLines w:val="0"/>
        <w:pageBreakBefore w:val="0"/>
        <w:widowControl w:val="0"/>
        <w:kinsoku/>
        <w:wordWrap/>
        <w:overflowPunct/>
        <w:topLinePunct w:val="0"/>
        <w:autoSpaceDE/>
        <w:autoSpaceDN/>
        <w:bidi w:val="0"/>
        <w:adjustRightInd/>
        <w:snapToGrid w:val="0"/>
        <w:spacing w:line="580" w:lineRule="exact"/>
        <w:jc w:val="center"/>
        <w:textAlignment w:val="auto"/>
        <w:rPr>
          <w:rFonts w:ascii="宋体" w:eastAsia="宋体" w:cs="宋体"/>
          <w:b/>
          <w:sz w:val="36"/>
          <w:szCs w:val="44"/>
        </w:rPr>
      </w:pPr>
      <w:r>
        <w:rPr>
          <w:rFonts w:hint="eastAsia" w:ascii="宋体" w:eastAsia="宋体" w:cs="宋体"/>
          <w:b/>
          <w:sz w:val="36"/>
          <w:szCs w:val="44"/>
        </w:rPr>
        <w:t>绩效自评报告</w:t>
      </w:r>
    </w:p>
    <w:p w14:paraId="260B3BAD">
      <w:pPr>
        <w:keepNext w:val="0"/>
        <w:keepLines w:val="0"/>
        <w:pageBreakBefore w:val="0"/>
        <w:widowControl w:val="0"/>
        <w:kinsoku/>
        <w:wordWrap/>
        <w:overflowPunct/>
        <w:topLinePunct w:val="0"/>
        <w:autoSpaceDE/>
        <w:autoSpaceDN/>
        <w:bidi w:val="0"/>
        <w:adjustRightInd/>
        <w:snapToGrid w:val="0"/>
        <w:spacing w:line="580" w:lineRule="exact"/>
        <w:ind w:firstLine="420" w:firstLineChars="200"/>
        <w:textAlignment w:val="auto"/>
        <w:rPr>
          <w:rFonts w:ascii="黑体" w:eastAsia="黑体" w:cs="黑体"/>
          <w:bCs/>
          <w:szCs w:val="32"/>
        </w:rPr>
      </w:pPr>
      <w:r>
        <w:rPr>
          <w:rFonts w:hint="eastAsia" w:ascii="黑体" w:eastAsia="黑体" w:cs="黑体"/>
          <w:bCs/>
          <w:szCs w:val="32"/>
        </w:rPr>
        <w:t>一、绩效目标分解下达情况</w:t>
      </w:r>
    </w:p>
    <w:p w14:paraId="08A25210">
      <w:pPr>
        <w:keepNext w:val="0"/>
        <w:keepLines w:val="0"/>
        <w:pageBreakBefore w:val="0"/>
        <w:widowControl w:val="0"/>
        <w:kinsoku/>
        <w:wordWrap/>
        <w:overflowPunct/>
        <w:topLinePunct w:val="0"/>
        <w:autoSpaceDE/>
        <w:autoSpaceDN/>
        <w:bidi w:val="0"/>
        <w:adjustRightInd/>
        <w:snapToGrid w:val="0"/>
        <w:spacing w:line="580" w:lineRule="exact"/>
        <w:ind w:firstLine="420" w:firstLineChars="200"/>
        <w:textAlignment w:val="auto"/>
        <w:outlineLvl w:val="0"/>
        <w:rPr>
          <w:rFonts w:hint="eastAsia" w:ascii="仿宋_GB2312" w:hAnsi="仿宋_GB2312"/>
          <w:szCs w:val="32"/>
          <w:lang w:val="en-US"/>
        </w:rPr>
      </w:pPr>
      <w:bookmarkStart w:id="81" w:name="_Toc88884177"/>
      <w:r>
        <w:rPr>
          <w:rFonts w:hint="eastAsia" w:ascii="仿宋_GB2312" w:hAnsi="仿宋_GB2312"/>
          <w:szCs w:val="32"/>
          <w:lang w:eastAsia="zh-CN"/>
        </w:rPr>
        <w:t xml:space="preserve"> 2024年，九寨沟县2024年度</w:t>
      </w:r>
      <w:r>
        <w:rPr>
          <w:rFonts w:hint="eastAsia" w:ascii="仿宋_GB2312" w:hAnsi="仿宋_GB2312"/>
          <w:szCs w:val="32"/>
        </w:rPr>
        <w:t>地质灾害避险搬迁项目估算总投资</w:t>
      </w:r>
      <w:r>
        <w:rPr>
          <w:rFonts w:hint="eastAsia" w:ascii="仿宋_GB2312" w:hAnsi="仿宋_GB2312"/>
          <w:szCs w:val="32"/>
          <w:lang w:val="en-US"/>
        </w:rPr>
        <w:t>2790</w:t>
      </w:r>
      <w:r>
        <w:rPr>
          <w:rFonts w:hint="eastAsia" w:ascii="仿宋_GB2312" w:hAnsi="仿宋_GB2312"/>
          <w:szCs w:val="32"/>
        </w:rPr>
        <w:t>万，实施内容</w:t>
      </w:r>
      <w:r>
        <w:rPr>
          <w:rFonts w:hint="eastAsia" w:ascii="仿宋_GB2312" w:hAnsi="仿宋_GB2312"/>
          <w:szCs w:val="32"/>
          <w:lang w:val="en-US"/>
        </w:rPr>
        <w:t>为</w:t>
      </w:r>
      <w:r>
        <w:rPr>
          <w:rFonts w:hint="eastAsia" w:ascii="仿宋_GB2312" w:hAnsi="仿宋_GB2312"/>
          <w:szCs w:val="32"/>
        </w:rPr>
        <w:t>受地质灾害威胁群众避险搬迁186户，</w:t>
      </w:r>
      <w:r>
        <w:rPr>
          <w:rFonts w:hint="eastAsia" w:ascii="仿宋_GB2312" w:hAnsi="仿宋_GB2312"/>
          <w:szCs w:val="32"/>
          <w:lang w:val="en-US"/>
        </w:rPr>
        <w:t>下达增发国债预算资金2511万元，地方财政配套预算资金279万元。绩效目标完成情况：已</w:t>
      </w:r>
      <w:r>
        <w:rPr>
          <w:rFonts w:hint="eastAsia" w:ascii="仿宋_GB2312" w:hAnsi="仿宋_GB2312"/>
          <w:szCs w:val="32"/>
        </w:rPr>
        <w:t>完成受地质灾害威胁群众避险搬迁186户，</w:t>
      </w:r>
      <w:r>
        <w:rPr>
          <w:rFonts w:hint="eastAsia" w:ascii="仿宋_GB2312" w:hAnsi="仿宋_GB2312"/>
          <w:szCs w:val="32"/>
          <w:lang w:val="en-US"/>
        </w:rPr>
        <w:t>完成资金拨付2790万元，预算执行率100%。</w:t>
      </w:r>
      <w:bookmarkEnd w:id="81"/>
    </w:p>
    <w:p w14:paraId="11DD4173">
      <w:pPr>
        <w:keepNext w:val="0"/>
        <w:keepLines w:val="0"/>
        <w:pageBreakBefore w:val="0"/>
        <w:widowControl w:val="0"/>
        <w:kinsoku/>
        <w:wordWrap/>
        <w:overflowPunct/>
        <w:topLinePunct w:val="0"/>
        <w:autoSpaceDE/>
        <w:autoSpaceDN/>
        <w:bidi w:val="0"/>
        <w:adjustRightInd/>
        <w:snapToGrid w:val="0"/>
        <w:spacing w:line="580" w:lineRule="exact"/>
        <w:ind w:firstLine="420" w:firstLineChars="200"/>
        <w:textAlignment w:val="auto"/>
        <w:rPr>
          <w:rFonts w:ascii="黑体" w:eastAsia="黑体" w:cs="黑体"/>
          <w:bCs/>
          <w:szCs w:val="32"/>
          <w:highlight w:val="none"/>
        </w:rPr>
      </w:pPr>
      <w:r>
        <w:rPr>
          <w:rFonts w:hint="eastAsia" w:ascii="黑体" w:eastAsia="黑体" w:cs="黑体"/>
          <w:bCs/>
          <w:szCs w:val="32"/>
          <w:highlight w:val="none"/>
        </w:rPr>
        <w:t>二、</w:t>
      </w:r>
      <w:r>
        <w:rPr>
          <w:rFonts w:hint="eastAsia" w:ascii="黑体" w:eastAsia="黑体" w:cs="黑体"/>
          <w:bCs/>
          <w:szCs w:val="32"/>
          <w:highlight w:val="none"/>
          <w:lang w:eastAsia="zh-CN"/>
        </w:rPr>
        <w:t>绩效</w:t>
      </w:r>
      <w:r>
        <w:rPr>
          <w:rFonts w:hint="eastAsia" w:ascii="黑体" w:eastAsia="黑体" w:cs="黑体"/>
          <w:bCs/>
          <w:szCs w:val="32"/>
          <w:highlight w:val="none"/>
        </w:rPr>
        <w:t>情况分析</w:t>
      </w:r>
    </w:p>
    <w:p w14:paraId="06DBBABD">
      <w:pPr>
        <w:keepNext w:val="0"/>
        <w:keepLines w:val="0"/>
        <w:pageBreakBefore w:val="0"/>
        <w:widowControl w:val="0"/>
        <w:kinsoku/>
        <w:wordWrap/>
        <w:overflowPunct/>
        <w:topLinePunct w:val="0"/>
        <w:autoSpaceDE/>
        <w:autoSpaceDN/>
        <w:bidi w:val="0"/>
        <w:adjustRightInd/>
        <w:snapToGrid w:val="0"/>
        <w:spacing w:line="580" w:lineRule="exact"/>
        <w:ind w:firstLine="422" w:firstLineChars="200"/>
        <w:textAlignment w:val="auto"/>
        <w:outlineLvl w:val="0"/>
        <w:rPr>
          <w:rFonts w:hint="eastAsia" w:ascii="楷体_GB2312" w:eastAsia="楷体_GB2312" w:cs="楷体_GB2312"/>
          <w:b/>
          <w:bCs/>
          <w:szCs w:val="32"/>
          <w:highlight w:val="none"/>
        </w:rPr>
      </w:pPr>
      <w:bookmarkStart w:id="82" w:name="_Toc88884178"/>
      <w:r>
        <w:rPr>
          <w:rFonts w:hint="eastAsia" w:ascii="楷体_GB2312" w:eastAsia="楷体_GB2312" w:cs="楷体_GB2312"/>
          <w:b/>
          <w:bCs/>
          <w:szCs w:val="32"/>
          <w:highlight w:val="none"/>
        </w:rPr>
        <w:t>（一）资金投入情况分析。</w:t>
      </w:r>
      <w:bookmarkEnd w:id="82"/>
    </w:p>
    <w:p w14:paraId="1B8B1015">
      <w:pPr>
        <w:keepNext w:val="0"/>
        <w:keepLines w:val="0"/>
        <w:pageBreakBefore w:val="0"/>
        <w:widowControl w:val="0"/>
        <w:kinsoku/>
        <w:wordWrap/>
        <w:overflowPunct/>
        <w:topLinePunct w:val="0"/>
        <w:autoSpaceDE/>
        <w:autoSpaceDN/>
        <w:bidi w:val="0"/>
        <w:adjustRightInd/>
        <w:snapToGrid w:val="0"/>
        <w:spacing w:line="580" w:lineRule="exact"/>
        <w:ind w:firstLine="420" w:firstLineChars="200"/>
        <w:textAlignment w:val="auto"/>
        <w:outlineLvl w:val="0"/>
        <w:rPr>
          <w:rFonts w:ascii="仿宋_GB2312" w:eastAsia="仿宋_GB2312" w:cs="仿宋_GB2312"/>
          <w:b w:val="0"/>
          <w:bCs w:val="0"/>
          <w:szCs w:val="32"/>
          <w:highlight w:val="none"/>
          <w:lang w:val="en-US" w:eastAsia="zh-CN"/>
        </w:rPr>
      </w:pPr>
      <w:bookmarkStart w:id="83" w:name="_Toc88884179"/>
      <w:r>
        <w:rPr>
          <w:rFonts w:hint="eastAsia" w:ascii="仿宋_GB2312" w:hAnsi="仿宋_GB2312" w:cs="仿宋_GB2312"/>
          <w:b w:val="0"/>
          <w:bCs w:val="0"/>
          <w:szCs w:val="32"/>
          <w:highlight w:val="none"/>
          <w:lang w:val="en-US" w:eastAsia="zh-CN"/>
        </w:rPr>
        <w:t>投入项目治理资金2790万元，增发国债资金2511万元，地方政府配套279万元，预算执行率：执行增发国债资金2511万元，地方政府配套资金279万元，执行率为100%。</w:t>
      </w:r>
      <w:bookmarkEnd w:id="83"/>
    </w:p>
    <w:p w14:paraId="0E2F8B95">
      <w:pPr>
        <w:keepNext w:val="0"/>
        <w:keepLines w:val="0"/>
        <w:pageBreakBefore w:val="0"/>
        <w:widowControl w:val="0"/>
        <w:numPr>
          <w:ilvl w:val="0"/>
          <w:numId w:val="6"/>
        </w:numPr>
        <w:kinsoku/>
        <w:wordWrap/>
        <w:overflowPunct/>
        <w:topLinePunct w:val="0"/>
        <w:autoSpaceDE/>
        <w:autoSpaceDN/>
        <w:bidi w:val="0"/>
        <w:adjustRightInd/>
        <w:snapToGrid w:val="0"/>
        <w:spacing w:line="580" w:lineRule="exact"/>
        <w:ind w:left="0" w:firstLine="422" w:firstLineChars="200"/>
        <w:textAlignment w:val="auto"/>
        <w:outlineLvl w:val="0"/>
        <w:rPr>
          <w:rFonts w:hint="eastAsia" w:ascii="楷体_GB2312" w:eastAsia="楷体_GB2312" w:cs="楷体_GB2312"/>
          <w:b/>
          <w:bCs/>
          <w:szCs w:val="32"/>
          <w:highlight w:val="none"/>
          <w:lang w:eastAsia="zh-CN"/>
        </w:rPr>
      </w:pPr>
      <w:bookmarkStart w:id="84" w:name="_Toc88884180"/>
      <w:r>
        <w:rPr>
          <w:rFonts w:hint="eastAsia" w:ascii="楷体_GB2312" w:eastAsia="楷体_GB2312" w:cs="楷体_GB2312"/>
          <w:b/>
          <w:bCs/>
          <w:szCs w:val="32"/>
          <w:highlight w:val="none"/>
          <w:lang w:eastAsia="zh-CN"/>
        </w:rPr>
        <w:t>资金管理情况分析。</w:t>
      </w:r>
      <w:bookmarkEnd w:id="84"/>
    </w:p>
    <w:p w14:paraId="200F1BF1">
      <w:pPr>
        <w:keepNext w:val="0"/>
        <w:keepLines w:val="0"/>
        <w:pageBreakBefore w:val="0"/>
        <w:widowControl w:val="0"/>
        <w:kinsoku/>
        <w:wordWrap/>
        <w:overflowPunct/>
        <w:topLinePunct w:val="0"/>
        <w:autoSpaceDE/>
        <w:autoSpaceDN/>
        <w:bidi w:val="0"/>
        <w:adjustRightInd/>
        <w:snapToGrid w:val="0"/>
        <w:spacing w:line="580" w:lineRule="exact"/>
        <w:ind w:left="0" w:firstLine="420" w:firstLineChars="200"/>
        <w:textAlignment w:val="auto"/>
        <w:outlineLvl w:val="0"/>
        <w:rPr>
          <w:rFonts w:hint="eastAsia" w:ascii="仿宋_GB2312" w:hAnsi="仿宋_GB2312" w:cs="仿宋_GB2312"/>
          <w:szCs w:val="32"/>
          <w:highlight w:val="none"/>
        </w:rPr>
      </w:pPr>
      <w:bookmarkStart w:id="85" w:name="_Toc88884181"/>
      <w:r>
        <w:rPr>
          <w:rFonts w:hint="eastAsia" w:ascii="仿宋_GB2312" w:hAnsi="仿宋_GB2312" w:cs="仿宋_GB2312"/>
          <w:b w:val="0"/>
          <w:bCs w:val="0"/>
          <w:szCs w:val="32"/>
          <w:highlight w:val="none"/>
          <w:lang w:val="en-US" w:eastAsia="zh-CN"/>
        </w:rPr>
        <w:t>九寨沟县2024年度地质灾害避险搬迁项目</w:t>
      </w:r>
      <w:r>
        <w:rPr>
          <w:rFonts w:hint="eastAsia" w:ascii="仿宋_GB2312" w:hAnsi="仿宋_GB2312" w:cs="仿宋_GB2312"/>
          <w:b w:val="0"/>
          <w:bCs w:val="0"/>
          <w:szCs w:val="32"/>
          <w:highlight w:val="none"/>
          <w:lang w:eastAsia="zh-CN"/>
        </w:rPr>
        <w:t>资金分配</w:t>
      </w:r>
      <w:r>
        <w:rPr>
          <w:rFonts w:hint="eastAsia" w:ascii="仿宋_GB2312" w:hAnsi="仿宋_GB2312" w:cs="仿宋_GB2312"/>
          <w:b w:val="0"/>
          <w:bCs w:val="0"/>
          <w:szCs w:val="32"/>
          <w:highlight w:val="none"/>
          <w:lang w:val="en-US" w:eastAsia="zh-CN"/>
        </w:rPr>
        <w:t>科</w:t>
      </w:r>
      <w:r>
        <w:rPr>
          <w:rFonts w:hint="eastAsia" w:ascii="仿宋_GB2312" w:hAnsi="仿宋_GB2312" w:cs="仿宋_GB2312"/>
          <w:szCs w:val="32"/>
          <w:highlight w:val="none"/>
        </w:rPr>
        <w:t>学，</w:t>
      </w:r>
      <w:r>
        <w:rPr>
          <w:rFonts w:hint="eastAsia" w:ascii="仿宋_GB2312" w:hAnsi="仿宋_GB2312" w:cs="仿宋_GB2312"/>
          <w:szCs w:val="32"/>
        </w:rPr>
        <w:t>实施受地质灾害威胁群众避险搬迁186户</w:t>
      </w:r>
      <w:r>
        <w:rPr>
          <w:rFonts w:hint="eastAsia" w:ascii="仿宋_GB2312" w:hAnsi="仿宋_GB2312" w:cs="仿宋_GB2312"/>
          <w:szCs w:val="32"/>
          <w:highlight w:val="none"/>
        </w:rPr>
        <w:t>、资金下达及时、拨付资金合法合规、使用规范、执行准确、预算绩效管理总体合格、支出责任履行合格。</w:t>
      </w:r>
      <w:bookmarkEnd w:id="85"/>
    </w:p>
    <w:p w14:paraId="4BC58FCE">
      <w:pPr>
        <w:keepNext w:val="0"/>
        <w:keepLines w:val="0"/>
        <w:pageBreakBefore w:val="0"/>
        <w:widowControl w:val="0"/>
        <w:numPr>
          <w:ilvl w:val="0"/>
          <w:numId w:val="6"/>
        </w:numPr>
        <w:kinsoku/>
        <w:wordWrap/>
        <w:overflowPunct/>
        <w:topLinePunct w:val="0"/>
        <w:autoSpaceDE/>
        <w:autoSpaceDN/>
        <w:bidi w:val="0"/>
        <w:adjustRightInd/>
        <w:snapToGrid w:val="0"/>
        <w:spacing w:line="580" w:lineRule="exact"/>
        <w:ind w:left="0" w:firstLine="422" w:firstLineChars="200"/>
        <w:textAlignment w:val="auto"/>
        <w:outlineLvl w:val="0"/>
        <w:rPr>
          <w:rFonts w:hint="eastAsia" w:ascii="楷体_GB2312" w:eastAsia="楷体_GB2312" w:cs="楷体_GB2312"/>
          <w:b/>
          <w:bCs/>
          <w:szCs w:val="32"/>
        </w:rPr>
      </w:pPr>
      <w:bookmarkStart w:id="86" w:name="_Toc88884182"/>
      <w:r>
        <w:rPr>
          <w:rFonts w:hint="eastAsia" w:ascii="楷体_GB2312" w:eastAsia="楷体_GB2312" w:cs="楷体_GB2312"/>
          <w:b/>
          <w:bCs/>
          <w:szCs w:val="32"/>
        </w:rPr>
        <w:t>总体绩效目标完成情况分析。</w:t>
      </w:r>
      <w:bookmarkEnd w:id="86"/>
    </w:p>
    <w:p w14:paraId="4236528D">
      <w:pPr>
        <w:keepNext w:val="0"/>
        <w:keepLines w:val="0"/>
        <w:pageBreakBefore w:val="0"/>
        <w:widowControl w:val="0"/>
        <w:kinsoku/>
        <w:wordWrap/>
        <w:overflowPunct/>
        <w:topLinePunct w:val="0"/>
        <w:autoSpaceDE/>
        <w:autoSpaceDN/>
        <w:bidi w:val="0"/>
        <w:adjustRightInd/>
        <w:snapToGrid w:val="0"/>
        <w:spacing w:line="580" w:lineRule="exact"/>
        <w:ind w:firstLine="420" w:firstLineChars="200"/>
        <w:textAlignment w:val="auto"/>
        <w:outlineLvl w:val="0"/>
        <w:rPr>
          <w:rFonts w:hint="eastAsia" w:ascii="仿宋_GB2312" w:hAnsi="仿宋_GB2312" w:cs="Times New Roman"/>
          <w:szCs w:val="32"/>
          <w:lang w:eastAsia="zh-CN"/>
        </w:rPr>
      </w:pPr>
      <w:bookmarkStart w:id="87" w:name="_Toc88884183"/>
      <w:r>
        <w:rPr>
          <w:rFonts w:hint="eastAsia" w:ascii="仿宋_GB2312" w:hAnsi="仿宋_GB2312" w:cs="Times New Roman"/>
          <w:szCs w:val="32"/>
          <w:lang w:eastAsia="zh-CN"/>
        </w:rPr>
        <w:t>通过地质灾害避险搬迁工作，使受地质灾害威胁群众搬离危险区域，有效保护受地质灾害威胁群众生命财产安全，</w:t>
      </w:r>
      <w:r>
        <w:rPr>
          <w:rFonts w:hint="eastAsia" w:ascii="仿宋_GB2312" w:hAnsi="仿宋_GB2312" w:cs="Times New Roman"/>
          <w:szCs w:val="32"/>
          <w:lang w:val="en-US" w:eastAsia="zh-CN"/>
        </w:rPr>
        <w:t>2024年全年目标任务已完成</w:t>
      </w:r>
      <w:r>
        <w:rPr>
          <w:rFonts w:hint="eastAsia" w:ascii="仿宋_GB2312" w:hAnsi="仿宋_GB2312" w:cs="Times New Roman"/>
          <w:szCs w:val="32"/>
          <w:lang w:eastAsia="zh-CN"/>
        </w:rPr>
        <w:t>。</w:t>
      </w:r>
      <w:bookmarkEnd w:id="87"/>
    </w:p>
    <w:p w14:paraId="74FC1BA5">
      <w:pPr>
        <w:keepNext w:val="0"/>
        <w:keepLines w:val="0"/>
        <w:pageBreakBefore w:val="0"/>
        <w:widowControl w:val="0"/>
        <w:numPr>
          <w:ilvl w:val="0"/>
          <w:numId w:val="6"/>
        </w:numPr>
        <w:kinsoku/>
        <w:wordWrap/>
        <w:overflowPunct/>
        <w:topLinePunct w:val="0"/>
        <w:autoSpaceDE/>
        <w:autoSpaceDN/>
        <w:bidi w:val="0"/>
        <w:adjustRightInd/>
        <w:snapToGrid w:val="0"/>
        <w:spacing w:line="580" w:lineRule="exact"/>
        <w:ind w:left="0" w:firstLine="422" w:firstLineChars="200"/>
        <w:textAlignment w:val="auto"/>
        <w:outlineLvl w:val="0"/>
        <w:rPr>
          <w:rFonts w:hint="eastAsia" w:ascii="楷体_GB2312" w:eastAsia="楷体_GB2312" w:cs="楷体_GB2312"/>
          <w:b/>
          <w:bCs/>
          <w:szCs w:val="32"/>
        </w:rPr>
      </w:pPr>
      <w:bookmarkStart w:id="88" w:name="_Toc88884184"/>
      <w:r>
        <w:rPr>
          <w:rFonts w:hint="eastAsia" w:ascii="楷体_GB2312" w:eastAsia="楷体_GB2312" w:cs="楷体_GB2312"/>
          <w:b/>
          <w:bCs/>
          <w:szCs w:val="32"/>
        </w:rPr>
        <w:t>绩效指标完成情况分析。</w:t>
      </w:r>
      <w:bookmarkEnd w:id="88"/>
    </w:p>
    <w:p w14:paraId="1AFBED53">
      <w:pPr>
        <w:keepNext w:val="0"/>
        <w:keepLines w:val="0"/>
        <w:pageBreakBefore w:val="0"/>
        <w:widowControl w:val="0"/>
        <w:kinsoku/>
        <w:wordWrap/>
        <w:overflowPunct/>
        <w:topLinePunct w:val="0"/>
        <w:autoSpaceDE/>
        <w:autoSpaceDN/>
        <w:bidi w:val="0"/>
        <w:adjustRightInd/>
        <w:snapToGrid w:val="0"/>
        <w:spacing w:line="580" w:lineRule="exact"/>
        <w:ind w:left="0" w:firstLine="420" w:firstLineChars="200"/>
        <w:textAlignment w:val="auto"/>
        <w:outlineLvl w:val="0"/>
        <w:rPr>
          <w:rFonts w:ascii="仿宋_GB2312" w:hAnsi="仿宋_GB2312" w:cs="Times New Roman"/>
          <w:szCs w:val="32"/>
          <w:lang w:val="en-US" w:eastAsia="zh-CN"/>
        </w:rPr>
      </w:pPr>
      <w:bookmarkStart w:id="89" w:name="_Toc88884185"/>
      <w:r>
        <w:rPr>
          <w:rFonts w:hint="eastAsia" w:ascii="仿宋_GB2312" w:hAnsi="仿宋_GB2312" w:cs="Times New Roman"/>
          <w:szCs w:val="32"/>
          <w:lang w:val="en-US" w:eastAsia="zh-CN"/>
        </w:rPr>
        <w:t>全</w:t>
      </w:r>
      <w:r>
        <w:rPr>
          <w:rFonts w:hint="eastAsia" w:ascii="仿宋_GB2312" w:hAnsi="仿宋_GB2312"/>
          <w:szCs w:val="32"/>
        </w:rPr>
        <w:t>年实施受地质灾害威胁群众避险搬迁186户，项目于2024年12月31日前</w:t>
      </w:r>
      <w:r>
        <w:rPr>
          <w:rFonts w:hint="eastAsia" w:ascii="仿宋_GB2312" w:hAnsi="仿宋_GB2312" w:cs="Times New Roman"/>
          <w:szCs w:val="32"/>
          <w:lang w:val="en-US" w:eastAsia="zh-CN"/>
        </w:rPr>
        <w:t>完成了186户搬迁任务，有效保护受威胁人员490人，气象预警率达100%，搬迁群众满意度高达90%以上。</w:t>
      </w:r>
      <w:bookmarkEnd w:id="89"/>
    </w:p>
    <w:p w14:paraId="7B706462">
      <w:pPr>
        <w:keepNext w:val="0"/>
        <w:keepLines w:val="0"/>
        <w:pageBreakBefore w:val="0"/>
        <w:widowControl w:val="0"/>
        <w:kinsoku/>
        <w:wordWrap/>
        <w:overflowPunct/>
        <w:topLinePunct w:val="0"/>
        <w:autoSpaceDE/>
        <w:autoSpaceDN/>
        <w:bidi w:val="0"/>
        <w:adjustRightInd/>
        <w:snapToGrid w:val="0"/>
        <w:spacing w:line="580" w:lineRule="exact"/>
        <w:ind w:firstLine="420" w:firstLineChars="200"/>
        <w:textAlignment w:val="auto"/>
        <w:rPr>
          <w:rFonts w:hint="eastAsia" w:ascii="仿宋_GB2312" w:hAnsi="仿宋_GB2312" w:eastAsia="黑体"/>
          <w:szCs w:val="32"/>
          <w:lang w:eastAsia="zh-CN"/>
        </w:rPr>
      </w:pPr>
      <w:r>
        <w:rPr>
          <w:rFonts w:hint="eastAsia" w:ascii="黑体" w:eastAsia="黑体" w:cs="黑体"/>
          <w:bCs/>
          <w:szCs w:val="32"/>
        </w:rPr>
        <w:t>三、偏离绩效目标的原因和下一步改进措施</w:t>
      </w:r>
      <w:r>
        <w:rPr>
          <w:rFonts w:hint="eastAsia" w:ascii="黑体" w:eastAsia="黑体" w:cs="黑体"/>
          <w:bCs/>
          <w:szCs w:val="32"/>
          <w:lang w:eastAsia="zh-CN"/>
        </w:rPr>
        <w:t>。</w:t>
      </w:r>
    </w:p>
    <w:p w14:paraId="39AF09F9">
      <w:pPr>
        <w:keepNext w:val="0"/>
        <w:keepLines w:val="0"/>
        <w:pageBreakBefore w:val="0"/>
        <w:widowControl w:val="0"/>
        <w:kinsoku/>
        <w:wordWrap/>
        <w:overflowPunct/>
        <w:topLinePunct w:val="0"/>
        <w:autoSpaceDE/>
        <w:autoSpaceDN/>
        <w:bidi w:val="0"/>
        <w:adjustRightInd/>
        <w:snapToGrid w:val="0"/>
        <w:spacing w:line="580" w:lineRule="exact"/>
        <w:ind w:firstLine="420" w:firstLineChars="200"/>
        <w:textAlignment w:val="auto"/>
        <w:rPr>
          <w:rFonts w:ascii="仿宋_GB2312" w:hAnsi="仿宋_GB2312"/>
          <w:szCs w:val="32"/>
        </w:rPr>
      </w:pPr>
      <w:r>
        <w:rPr>
          <w:rFonts w:hint="eastAsia" w:ascii="仿宋_GB2312" w:hAnsi="仿宋_GB2312"/>
          <w:szCs w:val="32"/>
          <w:lang w:eastAsia="zh-CN"/>
        </w:rPr>
        <w:t>加大项目资金支付力度，使得防灾减灾资金充分发挥效益，着力把项目建设成为优质工程</w:t>
      </w:r>
      <w:r>
        <w:rPr>
          <w:rFonts w:hint="eastAsia" w:ascii="仿宋_GB2312" w:hAnsi="仿宋_GB2312"/>
          <w:szCs w:val="32"/>
        </w:rPr>
        <w:t>。</w:t>
      </w:r>
    </w:p>
    <w:p w14:paraId="4F57B060">
      <w:pPr>
        <w:keepNext w:val="0"/>
        <w:keepLines w:val="0"/>
        <w:pageBreakBefore w:val="0"/>
        <w:widowControl w:val="0"/>
        <w:kinsoku/>
        <w:wordWrap/>
        <w:overflowPunct/>
        <w:topLinePunct w:val="0"/>
        <w:autoSpaceDE/>
        <w:autoSpaceDN/>
        <w:bidi w:val="0"/>
        <w:adjustRightInd/>
        <w:snapToGrid w:val="0"/>
        <w:spacing w:line="580" w:lineRule="exact"/>
        <w:ind w:firstLine="420" w:firstLineChars="200"/>
        <w:textAlignment w:val="auto"/>
        <w:rPr>
          <w:rFonts w:hint="eastAsia" w:ascii="黑体" w:eastAsia="黑体" w:cs="黑体"/>
          <w:bCs/>
          <w:szCs w:val="32"/>
          <w:lang w:eastAsia="zh-CN"/>
        </w:rPr>
      </w:pPr>
      <w:r>
        <w:rPr>
          <w:rFonts w:hint="eastAsia" w:ascii="黑体" w:eastAsia="黑体" w:cs="黑体"/>
          <w:bCs/>
          <w:szCs w:val="32"/>
        </w:rPr>
        <w:t>四、绩效自评结果拟应用和公开情况</w:t>
      </w:r>
      <w:r>
        <w:rPr>
          <w:rFonts w:hint="eastAsia" w:ascii="黑体" w:eastAsia="黑体" w:cs="黑体"/>
          <w:bCs/>
          <w:szCs w:val="32"/>
          <w:lang w:eastAsia="zh-CN"/>
        </w:rPr>
        <w:t>。</w:t>
      </w:r>
    </w:p>
    <w:p w14:paraId="771088C1">
      <w:pPr>
        <w:keepNext w:val="0"/>
        <w:keepLines w:val="0"/>
        <w:pageBreakBefore w:val="0"/>
        <w:widowControl w:val="0"/>
        <w:kinsoku/>
        <w:wordWrap/>
        <w:overflowPunct/>
        <w:topLinePunct w:val="0"/>
        <w:autoSpaceDE/>
        <w:autoSpaceDN/>
        <w:bidi w:val="0"/>
        <w:adjustRightInd/>
        <w:snapToGrid w:val="0"/>
        <w:spacing w:line="580" w:lineRule="exact"/>
        <w:ind w:firstLine="420" w:firstLineChars="200"/>
        <w:textAlignment w:val="auto"/>
        <w:rPr>
          <w:rFonts w:ascii="仿宋_GB2312" w:hAnsi="仿宋_GB2312" w:cs="Times New Roman"/>
          <w:szCs w:val="32"/>
          <w:lang w:val="en-US" w:eastAsia="zh-CN"/>
        </w:rPr>
      </w:pPr>
      <w:r>
        <w:rPr>
          <w:rFonts w:hint="eastAsia" w:ascii="仿宋_GB2312" w:hAnsi="仿宋_GB2312" w:cs="Times New Roman"/>
          <w:szCs w:val="32"/>
          <w:lang w:val="en-US" w:eastAsia="zh-CN"/>
        </w:rPr>
        <w:t>已将绩效自评结果公示应用。</w:t>
      </w:r>
    </w:p>
    <w:p w14:paraId="3F831987">
      <w:pPr>
        <w:keepNext w:val="0"/>
        <w:keepLines w:val="0"/>
        <w:pageBreakBefore w:val="0"/>
        <w:widowControl w:val="0"/>
        <w:kinsoku/>
        <w:wordWrap/>
        <w:overflowPunct/>
        <w:topLinePunct w:val="0"/>
        <w:autoSpaceDE/>
        <w:autoSpaceDN/>
        <w:bidi w:val="0"/>
        <w:adjustRightInd/>
        <w:snapToGrid w:val="0"/>
        <w:spacing w:line="580" w:lineRule="exact"/>
        <w:ind w:firstLine="420" w:firstLineChars="200"/>
        <w:textAlignment w:val="auto"/>
        <w:rPr>
          <w:rFonts w:hint="eastAsia" w:ascii="黑体" w:eastAsia="黑体" w:cs="黑体"/>
          <w:bCs/>
          <w:szCs w:val="32"/>
          <w:lang w:eastAsia="zh-CN"/>
        </w:rPr>
      </w:pPr>
      <w:r>
        <w:rPr>
          <w:rFonts w:hint="eastAsia" w:ascii="黑体" w:eastAsia="黑体" w:cs="黑体"/>
          <w:bCs/>
          <w:szCs w:val="32"/>
        </w:rPr>
        <w:t>五、其他需要说明的问题</w:t>
      </w:r>
      <w:r>
        <w:rPr>
          <w:rFonts w:hint="eastAsia" w:ascii="黑体" w:eastAsia="黑体" w:cs="黑体"/>
          <w:bCs/>
          <w:szCs w:val="32"/>
          <w:lang w:eastAsia="zh-CN"/>
        </w:rPr>
        <w:t>。</w:t>
      </w:r>
    </w:p>
    <w:p w14:paraId="353B67EE">
      <w:pPr>
        <w:keepNext w:val="0"/>
        <w:keepLines w:val="0"/>
        <w:pageBreakBefore w:val="0"/>
        <w:widowControl w:val="0"/>
        <w:kinsoku/>
        <w:wordWrap/>
        <w:overflowPunct/>
        <w:topLinePunct w:val="0"/>
        <w:autoSpaceDE/>
        <w:autoSpaceDN/>
        <w:bidi w:val="0"/>
        <w:adjustRightInd/>
        <w:snapToGrid w:val="0"/>
        <w:spacing w:line="580" w:lineRule="exact"/>
        <w:ind w:firstLine="420" w:firstLineChars="200"/>
        <w:textAlignment w:val="auto"/>
      </w:pPr>
      <w:r>
        <w:rPr>
          <w:rFonts w:hint="eastAsia"/>
          <w:lang w:val="en-US" w:eastAsia="zh-CN"/>
        </w:rPr>
        <w:t>无</w:t>
      </w:r>
      <w:r>
        <w:rPr>
          <w:rFonts w:hint="eastAsia"/>
        </w:rPr>
        <w:t>。</w:t>
      </w:r>
    </w:p>
    <w:p w14:paraId="654CDD29">
      <w:pPr>
        <w:keepNext w:val="0"/>
        <w:keepLines w:val="0"/>
        <w:pageBreakBefore w:val="0"/>
        <w:widowControl w:val="0"/>
        <w:kinsoku/>
        <w:wordWrap/>
        <w:overflowPunct/>
        <w:topLinePunct w:val="0"/>
        <w:autoSpaceDE/>
        <w:autoSpaceDN/>
        <w:bidi w:val="0"/>
        <w:adjustRightInd/>
        <w:snapToGrid w:val="0"/>
        <w:spacing w:line="580" w:lineRule="exact"/>
        <w:ind w:firstLine="420" w:firstLineChars="200"/>
        <w:textAlignment w:val="auto"/>
        <w:rPr>
          <w:rFonts w:hint="eastAsia" w:ascii="黑体" w:eastAsia="黑体" w:cs="黑体"/>
          <w:lang w:eastAsia="zh-CN"/>
        </w:rPr>
      </w:pPr>
      <w:r>
        <w:rPr>
          <w:rFonts w:hint="eastAsia" w:ascii="黑体" w:eastAsia="黑体" w:cs="黑体"/>
        </w:rPr>
        <w:t>六、附件</w:t>
      </w:r>
      <w:r>
        <w:rPr>
          <w:rFonts w:hint="eastAsia" w:ascii="黑体" w:eastAsia="黑体" w:cs="黑体"/>
          <w:lang w:eastAsia="zh-CN"/>
        </w:rPr>
        <w:t>。</w:t>
      </w:r>
    </w:p>
    <w:p w14:paraId="338BB223">
      <w:pPr>
        <w:keepNext w:val="0"/>
        <w:keepLines w:val="0"/>
        <w:pageBreakBefore w:val="0"/>
        <w:widowControl w:val="0"/>
        <w:kinsoku/>
        <w:wordWrap/>
        <w:overflowPunct/>
        <w:topLinePunct w:val="0"/>
        <w:autoSpaceDE/>
        <w:autoSpaceDN/>
        <w:bidi w:val="0"/>
        <w:adjustRightInd/>
        <w:snapToGrid w:val="0"/>
        <w:spacing w:line="580" w:lineRule="exact"/>
        <w:ind w:firstLine="420" w:firstLineChars="200"/>
        <w:textAlignment w:val="auto"/>
        <w:rPr>
          <w:rFonts w:hint="eastAsia" w:ascii="黑体" w:eastAsia="黑体" w:cs="黑体"/>
        </w:rPr>
      </w:pPr>
      <w:r>
        <w:rPr>
          <w:rFonts w:hint="eastAsia"/>
        </w:rPr>
        <w:t>转移支付区域（项目）绩效目标自评表</w:t>
      </w:r>
    </w:p>
    <w:p w14:paraId="202A41F3">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2B0D2321">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7E03B5F7">
      <w:pPr>
        <w:keepNext w:val="0"/>
        <w:keepLines w:val="0"/>
        <w:pageBreakBefore w:val="0"/>
        <w:widowControl w:val="0"/>
        <w:kinsoku/>
        <w:wordWrap/>
        <w:overflowPunct/>
        <w:topLinePunct w:val="0"/>
        <w:autoSpaceDE/>
        <w:autoSpaceDN/>
        <w:bidi w:val="0"/>
        <w:adjustRightInd/>
        <w:snapToGrid w:val="0"/>
        <w:spacing w:line="580" w:lineRule="exact"/>
        <w:jc w:val="center"/>
        <w:textAlignment w:val="auto"/>
        <w:rPr>
          <w:rFonts w:hint="eastAsia" w:ascii="Arial" w:hAnsi="Arial" w:eastAsia="宋体" w:cs="Arial"/>
          <w:b/>
          <w:sz w:val="36"/>
          <w:szCs w:val="44"/>
        </w:rPr>
      </w:pPr>
      <w:r>
        <w:rPr>
          <w:rFonts w:hint="eastAsia" w:ascii="Arial" w:hAnsi="Arial" w:eastAsia="宋体" w:cs="Arial"/>
          <w:b/>
          <w:sz w:val="36"/>
          <w:szCs w:val="44"/>
        </w:rPr>
        <w:t>九寨沟县2024年度地质灾害自动化监测建设项目</w:t>
      </w:r>
    </w:p>
    <w:p w14:paraId="4F2E8110">
      <w:pPr>
        <w:keepNext w:val="0"/>
        <w:keepLines w:val="0"/>
        <w:pageBreakBefore w:val="0"/>
        <w:widowControl w:val="0"/>
        <w:kinsoku/>
        <w:wordWrap/>
        <w:overflowPunct/>
        <w:topLinePunct w:val="0"/>
        <w:autoSpaceDE/>
        <w:autoSpaceDN/>
        <w:bidi w:val="0"/>
        <w:adjustRightInd/>
        <w:snapToGrid w:val="0"/>
        <w:spacing w:line="580" w:lineRule="exact"/>
        <w:jc w:val="center"/>
        <w:textAlignment w:val="auto"/>
        <w:rPr>
          <w:rFonts w:ascii="宋体" w:eastAsia="宋体" w:cs="宋体"/>
          <w:b/>
          <w:sz w:val="36"/>
          <w:szCs w:val="44"/>
        </w:rPr>
      </w:pPr>
      <w:r>
        <w:rPr>
          <w:rFonts w:hint="eastAsia" w:ascii="宋体" w:eastAsia="宋体" w:cs="宋体"/>
          <w:b/>
          <w:sz w:val="36"/>
          <w:szCs w:val="44"/>
        </w:rPr>
        <w:t>绩效自评报告</w:t>
      </w:r>
    </w:p>
    <w:p w14:paraId="27EDEAB8">
      <w:pPr>
        <w:keepNext w:val="0"/>
        <w:keepLines w:val="0"/>
        <w:pageBreakBefore w:val="0"/>
        <w:widowControl w:val="0"/>
        <w:kinsoku/>
        <w:wordWrap/>
        <w:overflowPunct/>
        <w:topLinePunct w:val="0"/>
        <w:autoSpaceDE/>
        <w:autoSpaceDN/>
        <w:bidi w:val="0"/>
        <w:adjustRightInd/>
        <w:snapToGrid w:val="0"/>
        <w:spacing w:line="580" w:lineRule="exact"/>
        <w:ind w:firstLine="420" w:firstLineChars="200"/>
        <w:textAlignment w:val="auto"/>
        <w:rPr>
          <w:rFonts w:ascii="黑体" w:eastAsia="黑体" w:cs="黑体"/>
          <w:bCs/>
          <w:szCs w:val="32"/>
        </w:rPr>
      </w:pPr>
      <w:r>
        <w:rPr>
          <w:rFonts w:hint="eastAsia" w:ascii="黑体" w:eastAsia="黑体" w:cs="黑体"/>
          <w:bCs/>
          <w:szCs w:val="32"/>
        </w:rPr>
        <w:t>一、绩效目标分解下达情况</w:t>
      </w:r>
    </w:p>
    <w:p w14:paraId="1BCF0C3F">
      <w:pPr>
        <w:keepNext w:val="0"/>
        <w:keepLines w:val="0"/>
        <w:pageBreakBefore w:val="0"/>
        <w:widowControl w:val="0"/>
        <w:kinsoku/>
        <w:wordWrap/>
        <w:overflowPunct/>
        <w:topLinePunct w:val="0"/>
        <w:autoSpaceDE/>
        <w:autoSpaceDN/>
        <w:bidi w:val="0"/>
        <w:adjustRightInd/>
        <w:snapToGrid w:val="0"/>
        <w:spacing w:line="580" w:lineRule="exact"/>
        <w:ind w:firstLine="420" w:firstLineChars="200"/>
        <w:textAlignment w:val="auto"/>
        <w:outlineLvl w:val="0"/>
        <w:rPr>
          <w:rFonts w:ascii="仿宋_GB2312" w:eastAsia="仿宋_GB2312"/>
          <w:szCs w:val="32"/>
          <w:lang w:val="en-US" w:eastAsia="zh-CN"/>
        </w:rPr>
      </w:pPr>
      <w:bookmarkStart w:id="90" w:name="_Toc88884186"/>
      <w:r>
        <w:rPr>
          <w:rFonts w:hint="eastAsia" w:ascii="仿宋_GB2312" w:hAnsi="仿宋_GB2312"/>
          <w:szCs w:val="32"/>
          <w:lang w:eastAsia="zh-CN"/>
        </w:rPr>
        <w:t xml:space="preserve"> 2024年，九寨沟县2024年度</w:t>
      </w:r>
      <w:r>
        <w:rPr>
          <w:rFonts w:hint="eastAsia" w:ascii="仿宋_GB2312" w:hAnsi="仿宋_GB2312"/>
          <w:szCs w:val="32"/>
        </w:rPr>
        <w:t>地质灾害自动化监测建设项目估算总投资582万，实施内容</w:t>
      </w:r>
      <w:r>
        <w:rPr>
          <w:rFonts w:hint="eastAsia" w:ascii="仿宋_GB2312" w:hAnsi="仿宋_GB2312"/>
          <w:szCs w:val="32"/>
          <w:lang w:val="en-US"/>
        </w:rPr>
        <w:t>为</w:t>
      </w:r>
      <w:r>
        <w:rPr>
          <w:rFonts w:hint="eastAsia" w:ascii="仿宋_GB2312" w:hAnsi="仿宋_GB2312"/>
          <w:szCs w:val="32"/>
        </w:rPr>
        <w:t>改建97处地质灾害专业监测台站建设任务，</w:t>
      </w:r>
      <w:r>
        <w:rPr>
          <w:rFonts w:hint="eastAsia" w:ascii="仿宋_GB2312" w:hAnsi="仿宋_GB2312"/>
          <w:szCs w:val="32"/>
          <w:lang w:val="en-US"/>
        </w:rPr>
        <w:t>下达增发国债预算资金523万元，地方财政配套预算资金59万元。绩效目标完成情况：已</w:t>
      </w:r>
      <w:r>
        <w:rPr>
          <w:rFonts w:hint="eastAsia" w:ascii="仿宋_GB2312" w:hAnsi="仿宋_GB2312"/>
          <w:szCs w:val="32"/>
        </w:rPr>
        <w:t>完成改建97处地质灾害专业监测台站建设，</w:t>
      </w:r>
      <w:r>
        <w:rPr>
          <w:rFonts w:hint="eastAsia" w:ascii="仿宋_GB2312" w:hAnsi="仿宋_GB2312"/>
          <w:szCs w:val="32"/>
          <w:lang w:val="en-US"/>
        </w:rPr>
        <w:t>完成资金拨付582万元，预算执行率100%</w:t>
      </w:r>
      <w:r>
        <w:rPr>
          <w:rFonts w:hint="eastAsia" w:ascii="Times New Roman" w:hAnsi="Times New Roman" w:cs="Times New Roman"/>
          <w:b w:val="0"/>
          <w:bCs w:val="0"/>
          <w:w w:val="99"/>
          <w:kern w:val="0"/>
          <w:sz w:val="32"/>
          <w:szCs w:val="32"/>
          <w:lang w:val="en-US" w:eastAsia="zh-CN"/>
        </w:rPr>
        <w:t>。</w:t>
      </w:r>
      <w:bookmarkEnd w:id="90"/>
    </w:p>
    <w:p w14:paraId="384994B7">
      <w:pPr>
        <w:keepNext w:val="0"/>
        <w:keepLines w:val="0"/>
        <w:pageBreakBefore w:val="0"/>
        <w:widowControl w:val="0"/>
        <w:kinsoku/>
        <w:wordWrap/>
        <w:overflowPunct/>
        <w:topLinePunct w:val="0"/>
        <w:autoSpaceDE/>
        <w:autoSpaceDN/>
        <w:bidi w:val="0"/>
        <w:adjustRightInd/>
        <w:snapToGrid w:val="0"/>
        <w:spacing w:line="580" w:lineRule="exact"/>
        <w:ind w:firstLine="420" w:firstLineChars="200"/>
        <w:textAlignment w:val="auto"/>
        <w:rPr>
          <w:rFonts w:ascii="黑体" w:eastAsia="黑体" w:cs="黑体"/>
          <w:bCs/>
          <w:szCs w:val="32"/>
          <w:highlight w:val="none"/>
        </w:rPr>
      </w:pPr>
      <w:r>
        <w:rPr>
          <w:rFonts w:hint="eastAsia" w:ascii="黑体" w:eastAsia="黑体" w:cs="黑体"/>
          <w:bCs/>
          <w:szCs w:val="32"/>
          <w:highlight w:val="none"/>
        </w:rPr>
        <w:t>二、</w:t>
      </w:r>
      <w:r>
        <w:rPr>
          <w:rFonts w:hint="eastAsia" w:ascii="黑体" w:eastAsia="黑体" w:cs="黑体"/>
          <w:bCs/>
          <w:szCs w:val="32"/>
          <w:highlight w:val="none"/>
          <w:lang w:eastAsia="zh-CN"/>
        </w:rPr>
        <w:t>绩效</w:t>
      </w:r>
      <w:r>
        <w:rPr>
          <w:rFonts w:hint="eastAsia" w:ascii="黑体" w:eastAsia="黑体" w:cs="黑体"/>
          <w:bCs/>
          <w:szCs w:val="32"/>
          <w:highlight w:val="none"/>
        </w:rPr>
        <w:t>情况分析</w:t>
      </w:r>
    </w:p>
    <w:p w14:paraId="63487D84">
      <w:pPr>
        <w:keepNext w:val="0"/>
        <w:keepLines w:val="0"/>
        <w:pageBreakBefore w:val="0"/>
        <w:widowControl w:val="0"/>
        <w:kinsoku/>
        <w:wordWrap/>
        <w:overflowPunct/>
        <w:topLinePunct w:val="0"/>
        <w:autoSpaceDE/>
        <w:autoSpaceDN/>
        <w:bidi w:val="0"/>
        <w:adjustRightInd/>
        <w:snapToGrid w:val="0"/>
        <w:spacing w:line="580" w:lineRule="exact"/>
        <w:ind w:firstLine="422" w:firstLineChars="200"/>
        <w:textAlignment w:val="auto"/>
        <w:outlineLvl w:val="0"/>
        <w:rPr>
          <w:rFonts w:hint="eastAsia" w:ascii="楷体_GB2312" w:eastAsia="楷体_GB2312" w:cs="楷体_GB2312"/>
          <w:b/>
          <w:bCs/>
          <w:szCs w:val="32"/>
          <w:highlight w:val="none"/>
        </w:rPr>
      </w:pPr>
      <w:bookmarkStart w:id="91" w:name="_Toc88884187"/>
      <w:r>
        <w:rPr>
          <w:rFonts w:hint="eastAsia" w:ascii="楷体_GB2312" w:eastAsia="楷体_GB2312" w:cs="楷体_GB2312"/>
          <w:b/>
          <w:bCs/>
          <w:szCs w:val="32"/>
          <w:highlight w:val="none"/>
        </w:rPr>
        <w:t>（一）资金投入情况分析。</w:t>
      </w:r>
      <w:bookmarkEnd w:id="91"/>
    </w:p>
    <w:p w14:paraId="42D5EE15">
      <w:pPr>
        <w:keepNext w:val="0"/>
        <w:keepLines w:val="0"/>
        <w:pageBreakBefore w:val="0"/>
        <w:widowControl w:val="0"/>
        <w:kinsoku/>
        <w:wordWrap/>
        <w:overflowPunct/>
        <w:topLinePunct w:val="0"/>
        <w:autoSpaceDE/>
        <w:autoSpaceDN/>
        <w:bidi w:val="0"/>
        <w:adjustRightInd/>
        <w:snapToGrid w:val="0"/>
        <w:spacing w:line="580" w:lineRule="exact"/>
        <w:ind w:firstLine="420" w:firstLineChars="200"/>
        <w:textAlignment w:val="auto"/>
        <w:outlineLvl w:val="0"/>
        <w:rPr>
          <w:rFonts w:ascii="仿宋_GB2312" w:eastAsia="仿宋_GB2312" w:cs="仿宋_GB2312"/>
          <w:b w:val="0"/>
          <w:bCs w:val="0"/>
          <w:szCs w:val="32"/>
          <w:highlight w:val="none"/>
          <w:lang w:val="en-US" w:eastAsia="zh-CN"/>
        </w:rPr>
      </w:pPr>
      <w:bookmarkStart w:id="92" w:name="_Toc88884188"/>
      <w:r>
        <w:rPr>
          <w:rFonts w:hint="eastAsia" w:ascii="仿宋_GB2312" w:hAnsi="仿宋_GB2312" w:cs="仿宋_GB2312"/>
          <w:b w:val="0"/>
          <w:bCs w:val="0"/>
          <w:szCs w:val="32"/>
          <w:highlight w:val="none"/>
          <w:lang w:val="en-US" w:eastAsia="zh-CN"/>
        </w:rPr>
        <w:t>投入项目治理资金582万元，增发国债资金523万元，地方政府配套59万元，预算执行率：执行增发国债资金523万元，地方政府配套资金59万元，执行率为100%。</w:t>
      </w:r>
      <w:bookmarkEnd w:id="92"/>
    </w:p>
    <w:p w14:paraId="7FD0D317">
      <w:pPr>
        <w:keepNext w:val="0"/>
        <w:keepLines w:val="0"/>
        <w:pageBreakBefore w:val="0"/>
        <w:widowControl w:val="0"/>
        <w:numPr>
          <w:ilvl w:val="0"/>
          <w:numId w:val="6"/>
        </w:numPr>
        <w:kinsoku/>
        <w:wordWrap/>
        <w:overflowPunct/>
        <w:topLinePunct w:val="0"/>
        <w:autoSpaceDE/>
        <w:autoSpaceDN/>
        <w:bidi w:val="0"/>
        <w:adjustRightInd/>
        <w:snapToGrid w:val="0"/>
        <w:spacing w:line="580" w:lineRule="exact"/>
        <w:ind w:left="0" w:firstLine="422" w:firstLineChars="200"/>
        <w:textAlignment w:val="auto"/>
        <w:outlineLvl w:val="0"/>
        <w:rPr>
          <w:rFonts w:hint="eastAsia" w:ascii="楷体_GB2312" w:eastAsia="楷体_GB2312" w:cs="楷体_GB2312"/>
          <w:b/>
          <w:bCs/>
          <w:szCs w:val="32"/>
          <w:highlight w:val="none"/>
          <w:lang w:eastAsia="zh-CN"/>
        </w:rPr>
      </w:pPr>
      <w:bookmarkStart w:id="93" w:name="_Toc88884189"/>
      <w:r>
        <w:rPr>
          <w:rFonts w:hint="eastAsia" w:ascii="楷体_GB2312" w:eastAsia="楷体_GB2312" w:cs="楷体_GB2312"/>
          <w:b/>
          <w:bCs/>
          <w:szCs w:val="32"/>
          <w:highlight w:val="none"/>
          <w:lang w:eastAsia="zh-CN"/>
        </w:rPr>
        <w:t>资金管理情况分析。</w:t>
      </w:r>
      <w:bookmarkEnd w:id="93"/>
    </w:p>
    <w:p w14:paraId="55877211">
      <w:pPr>
        <w:keepNext w:val="0"/>
        <w:keepLines w:val="0"/>
        <w:pageBreakBefore w:val="0"/>
        <w:widowControl w:val="0"/>
        <w:kinsoku/>
        <w:wordWrap/>
        <w:overflowPunct/>
        <w:topLinePunct w:val="0"/>
        <w:autoSpaceDE/>
        <w:autoSpaceDN/>
        <w:bidi w:val="0"/>
        <w:adjustRightInd/>
        <w:snapToGrid w:val="0"/>
        <w:spacing w:line="580" w:lineRule="exact"/>
        <w:ind w:left="0" w:firstLine="420" w:firstLineChars="200"/>
        <w:textAlignment w:val="auto"/>
        <w:outlineLvl w:val="0"/>
        <w:rPr>
          <w:rFonts w:ascii="仿宋_GB2312" w:hAnsi="仿宋_GB2312" w:cs="仿宋_GB2312"/>
          <w:b w:val="0"/>
          <w:bCs w:val="0"/>
          <w:szCs w:val="32"/>
          <w:highlight w:val="none"/>
          <w:lang w:val="en-US" w:eastAsia="zh-CN"/>
        </w:rPr>
      </w:pPr>
      <w:bookmarkStart w:id="94" w:name="_Toc88884190"/>
      <w:r>
        <w:rPr>
          <w:rFonts w:hint="eastAsia" w:ascii="仿宋_GB2312" w:hAnsi="仿宋_GB2312" w:cs="仿宋_GB2312"/>
          <w:b w:val="0"/>
          <w:bCs w:val="0"/>
          <w:szCs w:val="32"/>
          <w:highlight w:val="none"/>
          <w:lang w:val="en-US" w:eastAsia="zh-CN"/>
        </w:rPr>
        <w:t>九寨沟县2024年度地质灾害自动化监测建设项目</w:t>
      </w:r>
      <w:r>
        <w:rPr>
          <w:rFonts w:hint="eastAsia" w:ascii="仿宋_GB2312" w:hAnsi="仿宋_GB2312" w:cs="仿宋_GB2312"/>
          <w:b w:val="0"/>
          <w:bCs w:val="0"/>
          <w:szCs w:val="32"/>
          <w:highlight w:val="none"/>
          <w:lang w:eastAsia="zh-CN"/>
        </w:rPr>
        <w:t>资金分配</w:t>
      </w:r>
      <w:r>
        <w:rPr>
          <w:rFonts w:hint="eastAsia" w:ascii="仿宋_GB2312" w:hAnsi="仿宋_GB2312" w:cs="仿宋_GB2312"/>
          <w:b w:val="0"/>
          <w:bCs w:val="0"/>
          <w:szCs w:val="32"/>
          <w:highlight w:val="none"/>
          <w:lang w:val="en-US" w:eastAsia="zh-CN"/>
        </w:rPr>
        <w:t>科学，主要建设内容为</w:t>
      </w:r>
      <w:r>
        <w:rPr>
          <w:rFonts w:hint="eastAsia" w:ascii="仿宋_GB2312" w:hAnsi="仿宋_GB2312"/>
          <w:szCs w:val="32"/>
          <w:lang w:eastAsia="zh-CN"/>
        </w:rPr>
        <w:t>改建97处地质灾害专业监测台站</w:t>
      </w:r>
      <w:r>
        <w:rPr>
          <w:rFonts w:hint="eastAsia" w:ascii="仿宋_GB2312" w:hAnsi="仿宋_GB2312" w:cs="仿宋_GB2312"/>
          <w:b w:val="0"/>
          <w:bCs w:val="0"/>
          <w:szCs w:val="32"/>
          <w:highlight w:val="none"/>
          <w:lang w:eastAsia="zh-CN"/>
        </w:rPr>
        <w:t>、</w:t>
      </w:r>
      <w:r>
        <w:rPr>
          <w:rFonts w:hint="eastAsia" w:ascii="仿宋_GB2312" w:hAnsi="仿宋_GB2312" w:cs="仿宋_GB2312"/>
          <w:b w:val="0"/>
          <w:bCs w:val="0"/>
          <w:szCs w:val="32"/>
          <w:highlight w:val="none"/>
          <w:lang w:val="en-US" w:eastAsia="zh-CN"/>
        </w:rPr>
        <w:t>资金下达及时</w:t>
      </w:r>
      <w:r>
        <w:rPr>
          <w:rFonts w:hint="eastAsia" w:ascii="仿宋_GB2312" w:hAnsi="仿宋_GB2312" w:cs="仿宋_GB2312"/>
          <w:b w:val="0"/>
          <w:bCs w:val="0"/>
          <w:szCs w:val="32"/>
          <w:highlight w:val="none"/>
          <w:lang w:eastAsia="zh-CN"/>
        </w:rPr>
        <w:t>、拨付</w:t>
      </w:r>
      <w:r>
        <w:rPr>
          <w:rFonts w:hint="eastAsia" w:ascii="仿宋_GB2312" w:hAnsi="仿宋_GB2312" w:cs="仿宋_GB2312"/>
          <w:b w:val="0"/>
          <w:bCs w:val="0"/>
          <w:szCs w:val="32"/>
          <w:highlight w:val="none"/>
          <w:lang w:val="en-US" w:eastAsia="zh-CN"/>
        </w:rPr>
        <w:t>资金合法合规</w:t>
      </w:r>
      <w:r>
        <w:rPr>
          <w:rFonts w:hint="eastAsia" w:ascii="仿宋_GB2312" w:hAnsi="仿宋_GB2312" w:cs="仿宋_GB2312"/>
          <w:b w:val="0"/>
          <w:bCs w:val="0"/>
          <w:szCs w:val="32"/>
          <w:highlight w:val="none"/>
          <w:lang w:eastAsia="zh-CN"/>
        </w:rPr>
        <w:t>、使用</w:t>
      </w:r>
      <w:r>
        <w:rPr>
          <w:rFonts w:hint="eastAsia" w:ascii="仿宋_GB2312" w:hAnsi="仿宋_GB2312" w:cs="仿宋_GB2312"/>
          <w:b w:val="0"/>
          <w:bCs w:val="0"/>
          <w:szCs w:val="32"/>
          <w:highlight w:val="none"/>
          <w:lang w:val="en-US" w:eastAsia="zh-CN"/>
        </w:rPr>
        <w:t>规范</w:t>
      </w:r>
      <w:r>
        <w:rPr>
          <w:rFonts w:hint="eastAsia" w:ascii="仿宋_GB2312" w:hAnsi="仿宋_GB2312" w:cs="仿宋_GB2312"/>
          <w:b w:val="0"/>
          <w:bCs w:val="0"/>
          <w:szCs w:val="32"/>
          <w:highlight w:val="none"/>
          <w:lang w:eastAsia="zh-CN"/>
        </w:rPr>
        <w:t>、执行</w:t>
      </w:r>
      <w:r>
        <w:rPr>
          <w:rFonts w:hint="eastAsia" w:ascii="仿宋_GB2312" w:hAnsi="仿宋_GB2312" w:cs="仿宋_GB2312"/>
          <w:b w:val="0"/>
          <w:bCs w:val="0"/>
          <w:szCs w:val="32"/>
          <w:highlight w:val="none"/>
          <w:lang w:val="en-US" w:eastAsia="zh-CN"/>
        </w:rPr>
        <w:t>准确</w:t>
      </w:r>
      <w:r>
        <w:rPr>
          <w:rFonts w:hint="eastAsia" w:ascii="仿宋_GB2312" w:hAnsi="仿宋_GB2312" w:cs="仿宋_GB2312"/>
          <w:b w:val="0"/>
          <w:bCs w:val="0"/>
          <w:szCs w:val="32"/>
          <w:highlight w:val="none"/>
          <w:lang w:eastAsia="zh-CN"/>
        </w:rPr>
        <w:t>、预算绩效管理</w:t>
      </w:r>
      <w:r>
        <w:rPr>
          <w:rFonts w:hint="eastAsia" w:ascii="仿宋_GB2312" w:hAnsi="仿宋_GB2312" w:cs="仿宋_GB2312"/>
          <w:b w:val="0"/>
          <w:bCs w:val="0"/>
          <w:szCs w:val="32"/>
          <w:highlight w:val="none"/>
          <w:lang w:val="en-US" w:eastAsia="zh-CN"/>
        </w:rPr>
        <w:t>总体合格</w:t>
      </w:r>
      <w:r>
        <w:rPr>
          <w:rFonts w:hint="eastAsia" w:ascii="仿宋_GB2312" w:hAnsi="仿宋_GB2312" w:cs="仿宋_GB2312"/>
          <w:b w:val="0"/>
          <w:bCs w:val="0"/>
          <w:szCs w:val="32"/>
          <w:highlight w:val="none"/>
          <w:lang w:eastAsia="zh-CN"/>
        </w:rPr>
        <w:t>、支出责任履行</w:t>
      </w:r>
      <w:r>
        <w:rPr>
          <w:rFonts w:hint="eastAsia" w:ascii="仿宋_GB2312" w:hAnsi="仿宋_GB2312" w:cs="仿宋_GB2312"/>
          <w:b w:val="0"/>
          <w:bCs w:val="0"/>
          <w:szCs w:val="32"/>
          <w:highlight w:val="none"/>
          <w:lang w:val="en-US" w:eastAsia="zh-CN"/>
        </w:rPr>
        <w:t>合格。</w:t>
      </w:r>
      <w:bookmarkEnd w:id="94"/>
    </w:p>
    <w:p w14:paraId="1692F3DB">
      <w:pPr>
        <w:keepNext w:val="0"/>
        <w:keepLines w:val="0"/>
        <w:pageBreakBefore w:val="0"/>
        <w:widowControl w:val="0"/>
        <w:numPr>
          <w:ilvl w:val="0"/>
          <w:numId w:val="6"/>
        </w:numPr>
        <w:kinsoku/>
        <w:wordWrap/>
        <w:overflowPunct/>
        <w:topLinePunct w:val="0"/>
        <w:autoSpaceDE/>
        <w:autoSpaceDN/>
        <w:bidi w:val="0"/>
        <w:adjustRightInd/>
        <w:snapToGrid w:val="0"/>
        <w:spacing w:line="580" w:lineRule="exact"/>
        <w:ind w:left="0" w:firstLine="422" w:firstLineChars="200"/>
        <w:textAlignment w:val="auto"/>
        <w:outlineLvl w:val="0"/>
        <w:rPr>
          <w:rFonts w:hint="eastAsia" w:ascii="楷体_GB2312" w:eastAsia="楷体_GB2312" w:cs="楷体_GB2312"/>
          <w:b/>
          <w:bCs/>
          <w:szCs w:val="32"/>
        </w:rPr>
      </w:pPr>
      <w:bookmarkStart w:id="95" w:name="_Toc88884191"/>
      <w:r>
        <w:rPr>
          <w:rFonts w:hint="eastAsia" w:ascii="楷体_GB2312" w:eastAsia="楷体_GB2312" w:cs="楷体_GB2312"/>
          <w:b/>
          <w:bCs/>
          <w:szCs w:val="32"/>
        </w:rPr>
        <w:t>总体绩效目标完成情况分析。</w:t>
      </w:r>
      <w:bookmarkEnd w:id="95"/>
    </w:p>
    <w:p w14:paraId="526E855E">
      <w:pPr>
        <w:keepNext w:val="0"/>
        <w:keepLines w:val="0"/>
        <w:pageBreakBefore w:val="0"/>
        <w:widowControl w:val="0"/>
        <w:kinsoku/>
        <w:wordWrap/>
        <w:overflowPunct/>
        <w:topLinePunct w:val="0"/>
        <w:autoSpaceDE/>
        <w:autoSpaceDN/>
        <w:bidi w:val="0"/>
        <w:adjustRightInd/>
        <w:snapToGrid w:val="0"/>
        <w:spacing w:line="580" w:lineRule="exact"/>
        <w:ind w:firstLine="420" w:firstLineChars="200"/>
        <w:textAlignment w:val="auto"/>
        <w:outlineLvl w:val="0"/>
        <w:rPr>
          <w:rFonts w:hint="eastAsia" w:ascii="仿宋_GB2312" w:hAnsi="仿宋_GB2312" w:cs="Times New Roman"/>
          <w:szCs w:val="32"/>
          <w:lang w:eastAsia="zh-CN"/>
        </w:rPr>
      </w:pPr>
      <w:bookmarkStart w:id="96" w:name="_Toc88884192"/>
      <w:r>
        <w:rPr>
          <w:rFonts w:hint="eastAsia" w:ascii="仿宋_GB2312" w:hAnsi="仿宋_GB2312" w:cs="Times New Roman"/>
          <w:szCs w:val="32"/>
          <w:lang w:eastAsia="zh-CN"/>
        </w:rPr>
        <w:t xml:space="preserve"> 通过地质灾害监测台站建设工作，有效开展监测预警、加强</w:t>
      </w:r>
      <w:r>
        <w:rPr>
          <w:rFonts w:hint="eastAsia" w:ascii="仿宋_GB2312" w:hAnsi="仿宋_GB2312" w:cs="Times New Roman"/>
          <w:szCs w:val="32"/>
          <w:lang w:val="en-US" w:eastAsia="zh-CN"/>
        </w:rPr>
        <w:t>了</w:t>
      </w:r>
      <w:r>
        <w:rPr>
          <w:rFonts w:hint="eastAsia" w:ascii="仿宋_GB2312" w:hAnsi="仿宋_GB2312" w:cs="Times New Roman"/>
          <w:szCs w:val="32"/>
          <w:lang w:eastAsia="zh-CN"/>
        </w:rPr>
        <w:t>基层防灾能力，减少或消除因自然因素诱发的地质灾害隐患威胁、有效保护受地质灾害威胁群众生命财产安全，已完成</w:t>
      </w:r>
      <w:r>
        <w:rPr>
          <w:rFonts w:hint="eastAsia" w:ascii="仿宋_GB2312" w:hAnsi="仿宋_GB2312" w:cs="Times New Roman"/>
          <w:szCs w:val="32"/>
          <w:lang w:val="en-US" w:eastAsia="zh-CN"/>
        </w:rPr>
        <w:t>2024年</w:t>
      </w:r>
      <w:r>
        <w:rPr>
          <w:rFonts w:hint="eastAsia" w:ascii="仿宋_GB2312" w:hAnsi="仿宋_GB2312" w:cs="Times New Roman"/>
          <w:szCs w:val="32"/>
          <w:lang w:eastAsia="zh-CN"/>
        </w:rPr>
        <w:t>改建97处地质灾害专业监测台站建设任务。</w:t>
      </w:r>
      <w:bookmarkEnd w:id="96"/>
    </w:p>
    <w:p w14:paraId="6F5DB106">
      <w:pPr>
        <w:keepNext w:val="0"/>
        <w:keepLines w:val="0"/>
        <w:pageBreakBefore w:val="0"/>
        <w:widowControl w:val="0"/>
        <w:numPr>
          <w:ilvl w:val="0"/>
          <w:numId w:val="6"/>
        </w:numPr>
        <w:kinsoku/>
        <w:wordWrap/>
        <w:overflowPunct/>
        <w:topLinePunct w:val="0"/>
        <w:autoSpaceDE/>
        <w:autoSpaceDN/>
        <w:bidi w:val="0"/>
        <w:adjustRightInd/>
        <w:snapToGrid w:val="0"/>
        <w:spacing w:line="580" w:lineRule="exact"/>
        <w:ind w:left="0" w:firstLine="422" w:firstLineChars="200"/>
        <w:textAlignment w:val="auto"/>
        <w:outlineLvl w:val="0"/>
        <w:rPr>
          <w:rFonts w:hint="eastAsia" w:ascii="楷体_GB2312" w:eastAsia="楷体_GB2312" w:cs="楷体_GB2312"/>
          <w:b/>
          <w:bCs/>
          <w:szCs w:val="32"/>
        </w:rPr>
      </w:pPr>
      <w:bookmarkStart w:id="97" w:name="_Toc88884193"/>
      <w:r>
        <w:rPr>
          <w:rFonts w:hint="eastAsia" w:ascii="楷体_GB2312" w:eastAsia="楷体_GB2312" w:cs="楷体_GB2312"/>
          <w:b/>
          <w:bCs/>
          <w:szCs w:val="32"/>
        </w:rPr>
        <w:t>绩效指标完成情况分析。</w:t>
      </w:r>
      <w:bookmarkEnd w:id="97"/>
    </w:p>
    <w:p w14:paraId="592332DA">
      <w:pPr>
        <w:keepNext w:val="0"/>
        <w:keepLines w:val="0"/>
        <w:pageBreakBefore w:val="0"/>
        <w:widowControl w:val="0"/>
        <w:kinsoku/>
        <w:wordWrap/>
        <w:overflowPunct/>
        <w:topLinePunct w:val="0"/>
        <w:autoSpaceDE/>
        <w:autoSpaceDN/>
        <w:bidi w:val="0"/>
        <w:adjustRightInd/>
        <w:snapToGrid w:val="0"/>
        <w:spacing w:line="580" w:lineRule="exact"/>
        <w:ind w:left="0" w:firstLine="420" w:firstLineChars="200"/>
        <w:textAlignment w:val="auto"/>
        <w:outlineLvl w:val="0"/>
        <w:rPr>
          <w:rFonts w:ascii="仿宋_GB2312" w:hAnsi="仿宋_GB2312" w:cs="Times New Roman"/>
          <w:szCs w:val="32"/>
          <w:lang w:val="en-US" w:eastAsia="zh-CN"/>
        </w:rPr>
      </w:pPr>
      <w:bookmarkStart w:id="98" w:name="_Toc88884194"/>
      <w:r>
        <w:rPr>
          <w:rFonts w:hint="eastAsia" w:ascii="仿宋_GB2312" w:hAnsi="仿宋_GB2312" w:cs="Times New Roman"/>
          <w:szCs w:val="32"/>
          <w:lang w:val="en-US" w:eastAsia="zh-CN"/>
        </w:rPr>
        <w:t>全年实施改建地质灾害监测预警台站97处，并已组织项目通过验收，验收合格率100%，地质灾害监测预警设备在线率长期保持在90%以上，气象预警率达100%，实施区域收获群众满意度高达90%以上。</w:t>
      </w:r>
      <w:bookmarkEnd w:id="98"/>
    </w:p>
    <w:p w14:paraId="6760B96B">
      <w:pPr>
        <w:keepNext w:val="0"/>
        <w:keepLines w:val="0"/>
        <w:pageBreakBefore w:val="0"/>
        <w:widowControl w:val="0"/>
        <w:kinsoku/>
        <w:wordWrap/>
        <w:overflowPunct/>
        <w:topLinePunct w:val="0"/>
        <w:autoSpaceDE/>
        <w:autoSpaceDN/>
        <w:bidi w:val="0"/>
        <w:adjustRightInd/>
        <w:snapToGrid w:val="0"/>
        <w:spacing w:line="580" w:lineRule="exact"/>
        <w:ind w:firstLine="420" w:firstLineChars="200"/>
        <w:textAlignment w:val="auto"/>
        <w:rPr>
          <w:rFonts w:hint="eastAsia" w:ascii="仿宋_GB2312" w:hAnsi="仿宋_GB2312" w:eastAsia="黑体"/>
          <w:szCs w:val="32"/>
          <w:lang w:eastAsia="zh-CN"/>
        </w:rPr>
      </w:pPr>
      <w:r>
        <w:rPr>
          <w:rFonts w:hint="eastAsia" w:ascii="黑体" w:eastAsia="黑体" w:cs="黑体"/>
          <w:bCs/>
          <w:szCs w:val="32"/>
        </w:rPr>
        <w:t>三、偏离绩效目标的原因和下一步改进措施</w:t>
      </w:r>
      <w:r>
        <w:rPr>
          <w:rFonts w:hint="eastAsia" w:ascii="黑体" w:eastAsia="黑体" w:cs="黑体"/>
          <w:bCs/>
          <w:szCs w:val="32"/>
          <w:lang w:eastAsia="zh-CN"/>
        </w:rPr>
        <w:t>。</w:t>
      </w:r>
    </w:p>
    <w:p w14:paraId="3182E789">
      <w:pPr>
        <w:keepNext w:val="0"/>
        <w:keepLines w:val="0"/>
        <w:pageBreakBefore w:val="0"/>
        <w:widowControl w:val="0"/>
        <w:kinsoku/>
        <w:wordWrap/>
        <w:overflowPunct/>
        <w:topLinePunct w:val="0"/>
        <w:autoSpaceDE/>
        <w:autoSpaceDN/>
        <w:bidi w:val="0"/>
        <w:adjustRightInd/>
        <w:snapToGrid w:val="0"/>
        <w:spacing w:line="580" w:lineRule="exact"/>
        <w:ind w:firstLine="420" w:firstLineChars="200"/>
        <w:textAlignment w:val="auto"/>
        <w:rPr>
          <w:rFonts w:ascii="仿宋_GB2312" w:hAnsi="仿宋_GB2312"/>
          <w:szCs w:val="32"/>
        </w:rPr>
      </w:pPr>
      <w:r>
        <w:rPr>
          <w:rFonts w:hint="eastAsia" w:ascii="仿宋_GB2312" w:hAnsi="仿宋_GB2312"/>
          <w:szCs w:val="32"/>
          <w:lang w:eastAsia="zh-CN"/>
        </w:rPr>
        <w:t>加大项目资金支付力度，使得防灾减灾资金充分发挥效益，着力把项目建设成为优质工程。</w:t>
      </w:r>
    </w:p>
    <w:p w14:paraId="7D40A682">
      <w:pPr>
        <w:keepNext w:val="0"/>
        <w:keepLines w:val="0"/>
        <w:pageBreakBefore w:val="0"/>
        <w:widowControl w:val="0"/>
        <w:kinsoku/>
        <w:wordWrap/>
        <w:overflowPunct/>
        <w:topLinePunct w:val="0"/>
        <w:autoSpaceDE/>
        <w:autoSpaceDN/>
        <w:bidi w:val="0"/>
        <w:adjustRightInd/>
        <w:snapToGrid w:val="0"/>
        <w:spacing w:line="580" w:lineRule="exact"/>
        <w:ind w:firstLine="420" w:firstLineChars="200"/>
        <w:textAlignment w:val="auto"/>
        <w:rPr>
          <w:rFonts w:hint="eastAsia" w:ascii="黑体" w:eastAsia="黑体" w:cs="黑体"/>
          <w:bCs/>
          <w:szCs w:val="32"/>
          <w:lang w:eastAsia="zh-CN"/>
        </w:rPr>
      </w:pPr>
      <w:r>
        <w:rPr>
          <w:rFonts w:hint="eastAsia" w:ascii="黑体" w:eastAsia="黑体" w:cs="黑体"/>
          <w:bCs/>
          <w:szCs w:val="32"/>
        </w:rPr>
        <w:t>四、绩效自评结果拟应用和公开情况</w:t>
      </w:r>
      <w:r>
        <w:rPr>
          <w:rFonts w:hint="eastAsia" w:ascii="黑体" w:eastAsia="黑体" w:cs="黑体"/>
          <w:bCs/>
          <w:szCs w:val="32"/>
          <w:lang w:eastAsia="zh-CN"/>
        </w:rPr>
        <w:t>。</w:t>
      </w:r>
    </w:p>
    <w:p w14:paraId="2ECE4B0A">
      <w:pPr>
        <w:keepNext w:val="0"/>
        <w:keepLines w:val="0"/>
        <w:pageBreakBefore w:val="0"/>
        <w:widowControl w:val="0"/>
        <w:kinsoku/>
        <w:wordWrap/>
        <w:overflowPunct/>
        <w:topLinePunct w:val="0"/>
        <w:autoSpaceDE/>
        <w:autoSpaceDN/>
        <w:bidi w:val="0"/>
        <w:adjustRightInd/>
        <w:snapToGrid w:val="0"/>
        <w:spacing w:line="580" w:lineRule="exact"/>
        <w:ind w:firstLine="420" w:firstLineChars="200"/>
        <w:textAlignment w:val="auto"/>
        <w:rPr>
          <w:rFonts w:ascii="仿宋_GB2312" w:hAnsi="仿宋_GB2312" w:cs="Times New Roman"/>
          <w:szCs w:val="32"/>
          <w:lang w:val="en-US" w:eastAsia="zh-CN"/>
        </w:rPr>
      </w:pPr>
      <w:r>
        <w:rPr>
          <w:rFonts w:hint="eastAsia" w:ascii="仿宋_GB2312" w:hAnsi="仿宋_GB2312" w:cs="Times New Roman"/>
          <w:szCs w:val="32"/>
          <w:lang w:val="en-US" w:eastAsia="zh-CN"/>
        </w:rPr>
        <w:t>已将绩效自评结果公示应用。</w:t>
      </w:r>
    </w:p>
    <w:p w14:paraId="2D540898">
      <w:pPr>
        <w:keepNext w:val="0"/>
        <w:keepLines w:val="0"/>
        <w:pageBreakBefore w:val="0"/>
        <w:widowControl w:val="0"/>
        <w:kinsoku/>
        <w:wordWrap/>
        <w:overflowPunct/>
        <w:topLinePunct w:val="0"/>
        <w:autoSpaceDE/>
        <w:autoSpaceDN/>
        <w:bidi w:val="0"/>
        <w:adjustRightInd/>
        <w:snapToGrid w:val="0"/>
        <w:spacing w:line="580" w:lineRule="exact"/>
        <w:ind w:firstLine="420" w:firstLineChars="200"/>
        <w:textAlignment w:val="auto"/>
        <w:rPr>
          <w:rFonts w:hint="eastAsia" w:ascii="黑体" w:eastAsia="黑体" w:cs="黑体"/>
          <w:bCs/>
          <w:szCs w:val="32"/>
          <w:lang w:eastAsia="zh-CN"/>
        </w:rPr>
      </w:pPr>
      <w:r>
        <w:rPr>
          <w:rFonts w:hint="eastAsia" w:ascii="黑体" w:eastAsia="黑体" w:cs="黑体"/>
          <w:bCs/>
          <w:szCs w:val="32"/>
        </w:rPr>
        <w:t>五、其他需要说明的问题</w:t>
      </w:r>
      <w:r>
        <w:rPr>
          <w:rFonts w:hint="eastAsia" w:ascii="黑体" w:eastAsia="黑体" w:cs="黑体"/>
          <w:bCs/>
          <w:szCs w:val="32"/>
          <w:lang w:eastAsia="zh-CN"/>
        </w:rPr>
        <w:t>。</w:t>
      </w:r>
    </w:p>
    <w:p w14:paraId="642A93BD">
      <w:pPr>
        <w:keepNext w:val="0"/>
        <w:keepLines w:val="0"/>
        <w:pageBreakBefore w:val="0"/>
        <w:widowControl w:val="0"/>
        <w:kinsoku/>
        <w:wordWrap/>
        <w:overflowPunct/>
        <w:topLinePunct w:val="0"/>
        <w:autoSpaceDE/>
        <w:autoSpaceDN/>
        <w:bidi w:val="0"/>
        <w:adjustRightInd/>
        <w:snapToGrid w:val="0"/>
        <w:spacing w:line="580" w:lineRule="exact"/>
        <w:ind w:firstLine="420" w:firstLineChars="200"/>
        <w:textAlignment w:val="auto"/>
        <w:rPr>
          <w:rFonts w:hint="eastAsia" w:eastAsia="仿宋_GB2312"/>
          <w:lang w:eastAsia="zh-CN"/>
        </w:rPr>
      </w:pPr>
      <w:r>
        <w:rPr>
          <w:rFonts w:hint="eastAsia"/>
          <w:lang w:val="en-US" w:eastAsia="zh-CN"/>
        </w:rPr>
        <w:t>无</w:t>
      </w:r>
      <w:r>
        <w:rPr>
          <w:rFonts w:hint="eastAsia"/>
        </w:rPr>
        <w:t>。</w:t>
      </w:r>
    </w:p>
    <w:p w14:paraId="7751FC47">
      <w:pPr>
        <w:keepNext w:val="0"/>
        <w:keepLines w:val="0"/>
        <w:pageBreakBefore w:val="0"/>
        <w:widowControl w:val="0"/>
        <w:kinsoku/>
        <w:wordWrap/>
        <w:overflowPunct/>
        <w:topLinePunct w:val="0"/>
        <w:autoSpaceDE/>
        <w:autoSpaceDN/>
        <w:bidi w:val="0"/>
        <w:adjustRightInd/>
        <w:snapToGrid w:val="0"/>
        <w:spacing w:line="580" w:lineRule="exact"/>
        <w:ind w:firstLine="420" w:firstLineChars="200"/>
        <w:textAlignment w:val="auto"/>
        <w:rPr>
          <w:rFonts w:hint="eastAsia" w:ascii="黑体" w:eastAsia="黑体" w:cs="黑体"/>
          <w:lang w:eastAsia="zh-CN"/>
        </w:rPr>
      </w:pPr>
      <w:r>
        <w:rPr>
          <w:rFonts w:hint="eastAsia" w:ascii="黑体" w:eastAsia="黑体" w:cs="黑体"/>
        </w:rPr>
        <w:t>六、附件</w:t>
      </w:r>
      <w:r>
        <w:rPr>
          <w:rFonts w:hint="eastAsia" w:ascii="黑体" w:eastAsia="黑体" w:cs="黑体"/>
          <w:lang w:eastAsia="zh-CN"/>
        </w:rPr>
        <w:t>。</w:t>
      </w:r>
    </w:p>
    <w:p w14:paraId="099666F5">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rPr>
        <w:t>转移支付区域（项目）绩效目标自评表</w:t>
      </w:r>
    </w:p>
    <w:p w14:paraId="7AF35BB1">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ascii="Times New Roman" w:hAnsi="Times New Roman" w:eastAsia="仿宋_GB2312" w:cs="仿宋_GB2312"/>
          <w:b w:val="0"/>
          <w:bCs w:val="0"/>
          <w:kern w:val="0"/>
          <w:position w:val="0"/>
          <w:sz w:val="32"/>
          <w:szCs w:val="32"/>
          <w:highlight w:val="none"/>
          <w:lang w:val="en-US" w:eastAsia="zh-CN" w:bidi="ar-SA"/>
        </w:rPr>
      </w:pPr>
      <w:bookmarkStart w:id="99" w:name="_Toc15396618"/>
      <w:r>
        <w:rPr>
          <w:rFonts w:hint="eastAsia" w:ascii="Times New Roman" w:hAnsi="Times New Roman" w:eastAsia="仿宋_GB2312" w:cs="仿宋_GB2312"/>
          <w:b w:val="0"/>
          <w:bCs w:val="0"/>
          <w:kern w:val="0"/>
          <w:position w:val="0"/>
          <w:sz w:val="32"/>
          <w:szCs w:val="32"/>
          <w:highlight w:val="none"/>
          <w:lang w:val="en-US" w:eastAsia="zh-CN" w:bidi="ar-SA"/>
        </w:rPr>
        <w:br w:type="page"/>
      </w:r>
    </w:p>
    <w:p w14:paraId="58ABA754">
      <w:pPr>
        <w:pStyle w:val="2"/>
        <w:keepNext w:val="0"/>
        <w:keepLines w:val="0"/>
        <w:pageBreakBefore w:val="0"/>
        <w:widowControl w:val="0"/>
        <w:bidi w:val="0"/>
      </w:pPr>
    </w:p>
    <w:p w14:paraId="7559019A">
      <w:pPr>
        <w:keepNext w:val="0"/>
        <w:keepLines w:val="0"/>
        <w:pageBreakBefore w:val="0"/>
        <w:widowControl w:val="0"/>
        <w:kinsoku/>
        <w:wordWrap/>
        <w:overflowPunct/>
        <w:topLinePunct w:val="0"/>
        <w:autoSpaceDE/>
        <w:autoSpaceDN/>
        <w:bidi w:val="0"/>
        <w:adjustRightInd/>
        <w:snapToGrid w:val="0"/>
        <w:spacing w:line="580" w:lineRule="exact"/>
        <w:jc w:val="center"/>
        <w:textAlignment w:val="auto"/>
        <w:rPr>
          <w:rFonts w:hint="eastAsia" w:ascii="Arial" w:hAnsi="Arial" w:eastAsia="宋体" w:cs="Arial"/>
          <w:b/>
          <w:sz w:val="36"/>
          <w:szCs w:val="44"/>
        </w:rPr>
      </w:pPr>
      <w:r>
        <w:rPr>
          <w:rFonts w:hint="eastAsia" w:ascii="Arial" w:hAnsi="Arial" w:eastAsia="宋体" w:cs="Arial"/>
          <w:b/>
          <w:sz w:val="36"/>
          <w:szCs w:val="44"/>
        </w:rPr>
        <w:t>九寨沟县2024年度地质灾害综合治理项目</w:t>
      </w:r>
    </w:p>
    <w:p w14:paraId="56D71991">
      <w:pPr>
        <w:keepNext w:val="0"/>
        <w:keepLines w:val="0"/>
        <w:pageBreakBefore w:val="0"/>
        <w:widowControl w:val="0"/>
        <w:kinsoku/>
        <w:wordWrap/>
        <w:overflowPunct/>
        <w:topLinePunct w:val="0"/>
        <w:autoSpaceDE/>
        <w:autoSpaceDN/>
        <w:bidi w:val="0"/>
        <w:adjustRightInd/>
        <w:snapToGrid w:val="0"/>
        <w:spacing w:line="580" w:lineRule="exact"/>
        <w:jc w:val="center"/>
        <w:textAlignment w:val="auto"/>
        <w:rPr>
          <w:rFonts w:ascii="宋体" w:eastAsia="宋体" w:cs="宋体"/>
          <w:b/>
          <w:sz w:val="36"/>
          <w:szCs w:val="44"/>
        </w:rPr>
      </w:pPr>
      <w:r>
        <w:rPr>
          <w:rFonts w:hint="eastAsia" w:ascii="宋体" w:eastAsia="宋体" w:cs="宋体"/>
          <w:b/>
          <w:sz w:val="36"/>
          <w:szCs w:val="44"/>
        </w:rPr>
        <w:t>绩效自评报告</w:t>
      </w:r>
    </w:p>
    <w:p w14:paraId="7176B2AD">
      <w:pPr>
        <w:keepNext w:val="0"/>
        <w:keepLines w:val="0"/>
        <w:pageBreakBefore w:val="0"/>
        <w:widowControl w:val="0"/>
        <w:kinsoku/>
        <w:wordWrap/>
        <w:overflowPunct/>
        <w:topLinePunct w:val="0"/>
        <w:autoSpaceDE/>
        <w:autoSpaceDN/>
        <w:bidi w:val="0"/>
        <w:adjustRightInd/>
        <w:snapToGrid w:val="0"/>
        <w:spacing w:line="580" w:lineRule="exact"/>
        <w:ind w:firstLine="420" w:firstLineChars="200"/>
        <w:textAlignment w:val="auto"/>
        <w:rPr>
          <w:rFonts w:ascii="黑体" w:eastAsia="黑体" w:cs="黑体"/>
          <w:bCs/>
          <w:szCs w:val="32"/>
        </w:rPr>
      </w:pPr>
      <w:r>
        <w:rPr>
          <w:rFonts w:hint="eastAsia" w:ascii="黑体" w:eastAsia="黑体" w:cs="黑体"/>
          <w:bCs/>
          <w:szCs w:val="32"/>
        </w:rPr>
        <w:t>一、绩效目标分解下达情况</w:t>
      </w:r>
    </w:p>
    <w:p w14:paraId="5E00A8F7">
      <w:pPr>
        <w:keepNext w:val="0"/>
        <w:keepLines w:val="0"/>
        <w:pageBreakBefore w:val="0"/>
        <w:widowControl w:val="0"/>
        <w:kinsoku/>
        <w:wordWrap/>
        <w:overflowPunct/>
        <w:topLinePunct w:val="0"/>
        <w:autoSpaceDE/>
        <w:autoSpaceDN/>
        <w:bidi w:val="0"/>
        <w:adjustRightInd/>
        <w:snapToGrid w:val="0"/>
        <w:spacing w:line="580" w:lineRule="exact"/>
        <w:ind w:firstLine="420" w:firstLineChars="200"/>
        <w:textAlignment w:val="auto"/>
        <w:outlineLvl w:val="0"/>
        <w:rPr>
          <w:rFonts w:ascii="仿宋_GB2312" w:eastAsia="仿宋_GB2312"/>
          <w:szCs w:val="32"/>
          <w:lang w:val="en-US" w:eastAsia="zh-CN"/>
        </w:rPr>
      </w:pPr>
      <w:bookmarkStart w:id="100" w:name="_Toc88884195"/>
      <w:r>
        <w:rPr>
          <w:rFonts w:hint="eastAsia" w:ascii="仿宋_GB2312" w:hAnsi="仿宋_GB2312"/>
          <w:szCs w:val="32"/>
          <w:lang w:eastAsia="zh-CN"/>
        </w:rPr>
        <w:t xml:space="preserve"> 2024年，九寨沟县2024年度地质灾害综合治理项目，估算总投资3542万，实施内容为在全县选取17处险情紧迫、已完成前期勘查（施工图）设计的地质灾害隐患点，实施工程治理或排危除险（地质灾害工程治理隐患有15处，地质灾害排危除险隐患2处），</w:t>
      </w:r>
      <w:r>
        <w:rPr>
          <w:rFonts w:hint="eastAsia" w:ascii="仿宋_GB2312" w:hAnsi="仿宋_GB2312"/>
          <w:szCs w:val="32"/>
          <w:lang w:val="en-US" w:eastAsia="zh-CN"/>
        </w:rPr>
        <w:t>下达增发国债预算资金3187万元，地</w:t>
      </w:r>
      <w:r>
        <w:rPr>
          <w:rFonts w:hint="eastAsia" w:ascii="仿宋_GB2312" w:hAnsi="仿宋_GB2312"/>
          <w:szCs w:val="32"/>
          <w:lang w:val="en-US"/>
        </w:rPr>
        <w:t>方财政配套预算资金355万元。绩效目标完成情况：已</w:t>
      </w:r>
      <w:r>
        <w:rPr>
          <w:rFonts w:hint="eastAsia" w:ascii="仿宋_GB2312" w:hAnsi="仿宋_GB2312"/>
          <w:szCs w:val="32"/>
        </w:rPr>
        <w:t>完成17处险情紧迫的地质灾害隐患点工程治理或排危除险（地质灾害工程治理隐患有15处，地质灾害排危除险隐患2处），</w:t>
      </w:r>
      <w:r>
        <w:rPr>
          <w:rFonts w:hint="eastAsia" w:ascii="仿宋_GB2312" w:hAnsi="仿宋_GB2312"/>
          <w:szCs w:val="32"/>
          <w:lang w:val="en-US"/>
        </w:rPr>
        <w:t>完成资金拨付3542万元，预算执行率100%。</w:t>
      </w:r>
      <w:bookmarkEnd w:id="100"/>
    </w:p>
    <w:p w14:paraId="5368D15B">
      <w:pPr>
        <w:keepNext w:val="0"/>
        <w:keepLines w:val="0"/>
        <w:pageBreakBefore w:val="0"/>
        <w:widowControl w:val="0"/>
        <w:kinsoku/>
        <w:wordWrap/>
        <w:overflowPunct/>
        <w:topLinePunct w:val="0"/>
        <w:autoSpaceDE/>
        <w:autoSpaceDN/>
        <w:bidi w:val="0"/>
        <w:adjustRightInd/>
        <w:snapToGrid w:val="0"/>
        <w:spacing w:line="580" w:lineRule="exact"/>
        <w:ind w:firstLine="420" w:firstLineChars="200"/>
        <w:textAlignment w:val="auto"/>
        <w:rPr>
          <w:rFonts w:ascii="黑体" w:eastAsia="黑体" w:cs="黑体"/>
          <w:bCs/>
          <w:szCs w:val="32"/>
          <w:highlight w:val="none"/>
        </w:rPr>
      </w:pPr>
      <w:r>
        <w:rPr>
          <w:rFonts w:hint="eastAsia" w:ascii="黑体" w:eastAsia="黑体" w:cs="黑体"/>
          <w:bCs/>
          <w:szCs w:val="32"/>
          <w:highlight w:val="none"/>
        </w:rPr>
        <w:t>二、</w:t>
      </w:r>
      <w:r>
        <w:rPr>
          <w:rFonts w:hint="eastAsia" w:ascii="黑体" w:eastAsia="黑体" w:cs="黑体"/>
          <w:bCs/>
          <w:szCs w:val="32"/>
          <w:highlight w:val="none"/>
          <w:lang w:eastAsia="zh-CN"/>
        </w:rPr>
        <w:t>绩效</w:t>
      </w:r>
      <w:r>
        <w:rPr>
          <w:rFonts w:hint="eastAsia" w:ascii="黑体" w:eastAsia="黑体" w:cs="黑体"/>
          <w:bCs/>
          <w:szCs w:val="32"/>
          <w:highlight w:val="none"/>
        </w:rPr>
        <w:t>情况分析</w:t>
      </w:r>
    </w:p>
    <w:p w14:paraId="18FBF0C3">
      <w:pPr>
        <w:keepNext w:val="0"/>
        <w:keepLines w:val="0"/>
        <w:pageBreakBefore w:val="0"/>
        <w:widowControl w:val="0"/>
        <w:kinsoku/>
        <w:wordWrap/>
        <w:overflowPunct/>
        <w:topLinePunct w:val="0"/>
        <w:autoSpaceDE/>
        <w:autoSpaceDN/>
        <w:bidi w:val="0"/>
        <w:adjustRightInd/>
        <w:snapToGrid w:val="0"/>
        <w:spacing w:line="580" w:lineRule="exact"/>
        <w:ind w:firstLine="422" w:firstLineChars="200"/>
        <w:textAlignment w:val="auto"/>
        <w:outlineLvl w:val="0"/>
        <w:rPr>
          <w:rFonts w:hint="eastAsia" w:ascii="楷体_GB2312" w:eastAsia="楷体_GB2312" w:cs="楷体_GB2312"/>
          <w:b/>
          <w:bCs/>
          <w:szCs w:val="32"/>
          <w:highlight w:val="none"/>
        </w:rPr>
      </w:pPr>
      <w:bookmarkStart w:id="101" w:name="_Toc88884196"/>
      <w:r>
        <w:rPr>
          <w:rFonts w:hint="eastAsia" w:ascii="楷体_GB2312" w:eastAsia="楷体_GB2312" w:cs="楷体_GB2312"/>
          <w:b/>
          <w:bCs/>
          <w:szCs w:val="32"/>
          <w:highlight w:val="none"/>
        </w:rPr>
        <w:t>（一）资金投入情况分析。</w:t>
      </w:r>
      <w:bookmarkEnd w:id="101"/>
    </w:p>
    <w:p w14:paraId="43850287">
      <w:pPr>
        <w:keepNext w:val="0"/>
        <w:keepLines w:val="0"/>
        <w:pageBreakBefore w:val="0"/>
        <w:widowControl w:val="0"/>
        <w:kinsoku/>
        <w:wordWrap/>
        <w:overflowPunct/>
        <w:topLinePunct w:val="0"/>
        <w:autoSpaceDE/>
        <w:autoSpaceDN/>
        <w:bidi w:val="0"/>
        <w:adjustRightInd/>
        <w:snapToGrid w:val="0"/>
        <w:spacing w:line="580" w:lineRule="exact"/>
        <w:ind w:firstLine="420" w:firstLineChars="200"/>
        <w:textAlignment w:val="auto"/>
        <w:outlineLvl w:val="0"/>
        <w:rPr>
          <w:rFonts w:ascii="仿宋_GB2312" w:eastAsia="仿宋_GB2312" w:cs="仿宋_GB2312"/>
          <w:b w:val="0"/>
          <w:bCs w:val="0"/>
          <w:szCs w:val="32"/>
          <w:highlight w:val="none"/>
          <w:lang w:val="en-US" w:eastAsia="zh-CN"/>
        </w:rPr>
      </w:pPr>
      <w:bookmarkStart w:id="102" w:name="_Toc88884197"/>
      <w:r>
        <w:rPr>
          <w:rFonts w:hint="eastAsia" w:ascii="仿宋_GB2312" w:hAnsi="仿宋_GB2312" w:cs="仿宋_GB2312"/>
          <w:b w:val="0"/>
          <w:bCs w:val="0"/>
          <w:szCs w:val="32"/>
          <w:highlight w:val="none"/>
          <w:lang w:val="en-US" w:eastAsia="zh-CN"/>
        </w:rPr>
        <w:t>投入治理项目资金3542万元，增发国债资金3187万元，地方政府配套355万元，预算执行率：执行增发国债资金3187万元，地方政府配套资金355万元，执行率100%。</w:t>
      </w:r>
      <w:bookmarkEnd w:id="102"/>
    </w:p>
    <w:p w14:paraId="1E330905">
      <w:pPr>
        <w:keepNext w:val="0"/>
        <w:keepLines w:val="0"/>
        <w:pageBreakBefore w:val="0"/>
        <w:widowControl w:val="0"/>
        <w:numPr>
          <w:ilvl w:val="0"/>
          <w:numId w:val="6"/>
        </w:numPr>
        <w:kinsoku/>
        <w:wordWrap/>
        <w:overflowPunct/>
        <w:topLinePunct w:val="0"/>
        <w:autoSpaceDE/>
        <w:autoSpaceDN/>
        <w:bidi w:val="0"/>
        <w:adjustRightInd/>
        <w:snapToGrid w:val="0"/>
        <w:spacing w:line="580" w:lineRule="exact"/>
        <w:ind w:left="0" w:firstLine="422" w:firstLineChars="200"/>
        <w:textAlignment w:val="auto"/>
        <w:outlineLvl w:val="0"/>
        <w:rPr>
          <w:rFonts w:hint="eastAsia" w:ascii="楷体_GB2312" w:eastAsia="楷体_GB2312" w:cs="楷体_GB2312"/>
          <w:b/>
          <w:bCs/>
          <w:szCs w:val="32"/>
          <w:highlight w:val="none"/>
          <w:lang w:eastAsia="zh-CN"/>
        </w:rPr>
      </w:pPr>
      <w:bookmarkStart w:id="103" w:name="_Toc88884198"/>
      <w:r>
        <w:rPr>
          <w:rFonts w:hint="eastAsia" w:ascii="楷体_GB2312" w:eastAsia="楷体_GB2312" w:cs="楷体_GB2312"/>
          <w:b/>
          <w:bCs/>
          <w:szCs w:val="32"/>
          <w:highlight w:val="none"/>
          <w:lang w:eastAsia="zh-CN"/>
        </w:rPr>
        <w:t>资金管理情况分析。</w:t>
      </w:r>
      <w:bookmarkEnd w:id="103"/>
    </w:p>
    <w:p w14:paraId="1258AA73">
      <w:pPr>
        <w:keepNext w:val="0"/>
        <w:keepLines w:val="0"/>
        <w:pageBreakBefore w:val="0"/>
        <w:widowControl w:val="0"/>
        <w:kinsoku/>
        <w:wordWrap/>
        <w:overflowPunct/>
        <w:topLinePunct w:val="0"/>
        <w:autoSpaceDE/>
        <w:autoSpaceDN/>
        <w:bidi w:val="0"/>
        <w:adjustRightInd/>
        <w:snapToGrid w:val="0"/>
        <w:spacing w:line="580" w:lineRule="exact"/>
        <w:ind w:left="0" w:firstLine="420" w:firstLineChars="200"/>
        <w:textAlignment w:val="auto"/>
        <w:outlineLvl w:val="0"/>
        <w:rPr>
          <w:rFonts w:ascii="仿宋_GB2312" w:hAnsi="仿宋_GB2312" w:cs="仿宋_GB2312"/>
          <w:b w:val="0"/>
          <w:bCs w:val="0"/>
          <w:szCs w:val="32"/>
          <w:highlight w:val="none"/>
          <w:lang w:val="en-US" w:eastAsia="zh-CN"/>
        </w:rPr>
      </w:pPr>
      <w:bookmarkStart w:id="104" w:name="_Toc88884199"/>
      <w:r>
        <w:rPr>
          <w:rFonts w:hint="eastAsia" w:ascii="仿宋_GB2312" w:hAnsi="仿宋_GB2312" w:cs="仿宋_GB2312"/>
          <w:b w:val="0"/>
          <w:bCs w:val="0"/>
          <w:szCs w:val="32"/>
          <w:highlight w:val="none"/>
          <w:lang w:val="en-US" w:eastAsia="zh-CN"/>
        </w:rPr>
        <w:t>九寨沟县2024年度地质灾害综合治理项目</w:t>
      </w:r>
      <w:r>
        <w:rPr>
          <w:rFonts w:hint="eastAsia" w:ascii="仿宋_GB2312" w:hAnsi="仿宋_GB2312" w:cs="仿宋_GB2312"/>
          <w:b w:val="0"/>
          <w:bCs w:val="0"/>
          <w:szCs w:val="32"/>
          <w:highlight w:val="none"/>
          <w:lang w:eastAsia="zh-CN"/>
        </w:rPr>
        <w:t>资金分配</w:t>
      </w:r>
      <w:r>
        <w:rPr>
          <w:rFonts w:hint="eastAsia" w:ascii="仿宋_GB2312" w:hAnsi="仿宋_GB2312" w:cs="仿宋_GB2312"/>
          <w:b w:val="0"/>
          <w:bCs w:val="0"/>
          <w:szCs w:val="32"/>
          <w:highlight w:val="none"/>
          <w:lang w:val="en-US" w:eastAsia="zh-CN"/>
        </w:rPr>
        <w:t>科学，</w:t>
      </w:r>
      <w:r>
        <w:rPr>
          <w:rFonts w:hint="eastAsia" w:ascii="仿宋_GB2312" w:hAnsi="仿宋_GB2312"/>
          <w:szCs w:val="32"/>
          <w:lang w:eastAsia="zh-CN"/>
        </w:rPr>
        <w:t>实施工程治理或排危除险（地质灾害工程治理隐患有15处，地质灾害排危除险隐患2处）</w:t>
      </w:r>
      <w:r>
        <w:rPr>
          <w:rFonts w:hint="eastAsia" w:ascii="仿宋_GB2312" w:hAnsi="仿宋_GB2312" w:cs="仿宋_GB2312"/>
          <w:b w:val="0"/>
          <w:bCs w:val="0"/>
          <w:szCs w:val="32"/>
          <w:highlight w:val="none"/>
          <w:lang w:eastAsia="zh-CN"/>
        </w:rPr>
        <w:t>、</w:t>
      </w:r>
      <w:r>
        <w:rPr>
          <w:rFonts w:hint="eastAsia" w:ascii="仿宋_GB2312" w:hAnsi="仿宋_GB2312" w:cs="仿宋_GB2312"/>
          <w:b w:val="0"/>
          <w:bCs w:val="0"/>
          <w:szCs w:val="32"/>
          <w:highlight w:val="none"/>
          <w:lang w:val="en-US" w:eastAsia="zh-CN"/>
        </w:rPr>
        <w:t>资金下达及时</w:t>
      </w:r>
      <w:r>
        <w:rPr>
          <w:rFonts w:hint="eastAsia" w:ascii="仿宋_GB2312" w:hAnsi="仿宋_GB2312" w:cs="仿宋_GB2312"/>
          <w:b w:val="0"/>
          <w:bCs w:val="0"/>
          <w:szCs w:val="32"/>
          <w:highlight w:val="none"/>
          <w:lang w:eastAsia="zh-CN"/>
        </w:rPr>
        <w:t>、拨付</w:t>
      </w:r>
      <w:r>
        <w:rPr>
          <w:rFonts w:hint="eastAsia" w:ascii="仿宋_GB2312" w:hAnsi="仿宋_GB2312" w:cs="仿宋_GB2312"/>
          <w:b w:val="0"/>
          <w:bCs w:val="0"/>
          <w:szCs w:val="32"/>
          <w:highlight w:val="none"/>
          <w:lang w:val="en-US" w:eastAsia="zh-CN"/>
        </w:rPr>
        <w:t>资金合法合规</w:t>
      </w:r>
      <w:r>
        <w:rPr>
          <w:rFonts w:hint="eastAsia" w:ascii="仿宋_GB2312" w:hAnsi="仿宋_GB2312" w:cs="仿宋_GB2312"/>
          <w:b w:val="0"/>
          <w:bCs w:val="0"/>
          <w:szCs w:val="32"/>
          <w:highlight w:val="none"/>
          <w:lang w:eastAsia="zh-CN"/>
        </w:rPr>
        <w:t>、使用</w:t>
      </w:r>
      <w:r>
        <w:rPr>
          <w:rFonts w:hint="eastAsia" w:ascii="仿宋_GB2312" w:hAnsi="仿宋_GB2312" w:cs="仿宋_GB2312"/>
          <w:b w:val="0"/>
          <w:bCs w:val="0"/>
          <w:szCs w:val="32"/>
          <w:highlight w:val="none"/>
          <w:lang w:val="en-US" w:eastAsia="zh-CN"/>
        </w:rPr>
        <w:t>规范</w:t>
      </w:r>
      <w:r>
        <w:rPr>
          <w:rFonts w:hint="eastAsia" w:ascii="仿宋_GB2312" w:hAnsi="仿宋_GB2312" w:cs="仿宋_GB2312"/>
          <w:b w:val="0"/>
          <w:bCs w:val="0"/>
          <w:szCs w:val="32"/>
          <w:highlight w:val="none"/>
          <w:lang w:eastAsia="zh-CN"/>
        </w:rPr>
        <w:t>、执行</w:t>
      </w:r>
      <w:r>
        <w:rPr>
          <w:rFonts w:hint="eastAsia" w:ascii="仿宋_GB2312" w:hAnsi="仿宋_GB2312" w:cs="仿宋_GB2312"/>
          <w:b w:val="0"/>
          <w:bCs w:val="0"/>
          <w:szCs w:val="32"/>
          <w:highlight w:val="none"/>
          <w:lang w:val="en-US" w:eastAsia="zh-CN"/>
        </w:rPr>
        <w:t>准确</w:t>
      </w:r>
      <w:r>
        <w:rPr>
          <w:rFonts w:hint="eastAsia" w:ascii="仿宋_GB2312" w:hAnsi="仿宋_GB2312" w:cs="仿宋_GB2312"/>
          <w:b w:val="0"/>
          <w:bCs w:val="0"/>
          <w:szCs w:val="32"/>
          <w:highlight w:val="none"/>
          <w:lang w:eastAsia="zh-CN"/>
        </w:rPr>
        <w:t>、预算绩效管理</w:t>
      </w:r>
      <w:r>
        <w:rPr>
          <w:rFonts w:hint="eastAsia" w:ascii="仿宋_GB2312" w:hAnsi="仿宋_GB2312" w:cs="仿宋_GB2312"/>
          <w:b w:val="0"/>
          <w:bCs w:val="0"/>
          <w:szCs w:val="32"/>
          <w:highlight w:val="none"/>
          <w:lang w:val="en-US" w:eastAsia="zh-CN"/>
        </w:rPr>
        <w:t>总体合格</w:t>
      </w:r>
      <w:r>
        <w:rPr>
          <w:rFonts w:hint="eastAsia" w:ascii="仿宋_GB2312" w:hAnsi="仿宋_GB2312" w:cs="仿宋_GB2312"/>
          <w:b w:val="0"/>
          <w:bCs w:val="0"/>
          <w:szCs w:val="32"/>
          <w:highlight w:val="none"/>
          <w:lang w:eastAsia="zh-CN"/>
        </w:rPr>
        <w:t>、支出责任履行</w:t>
      </w:r>
      <w:r>
        <w:rPr>
          <w:rFonts w:hint="eastAsia" w:ascii="仿宋_GB2312" w:hAnsi="仿宋_GB2312" w:cs="仿宋_GB2312"/>
          <w:b w:val="0"/>
          <w:bCs w:val="0"/>
          <w:szCs w:val="32"/>
          <w:highlight w:val="none"/>
          <w:lang w:val="en-US" w:eastAsia="zh-CN"/>
        </w:rPr>
        <w:t>合格。</w:t>
      </w:r>
      <w:bookmarkEnd w:id="104"/>
    </w:p>
    <w:p w14:paraId="25942B07">
      <w:pPr>
        <w:keepNext w:val="0"/>
        <w:keepLines w:val="0"/>
        <w:pageBreakBefore w:val="0"/>
        <w:widowControl w:val="0"/>
        <w:numPr>
          <w:ilvl w:val="0"/>
          <w:numId w:val="6"/>
        </w:numPr>
        <w:kinsoku/>
        <w:wordWrap/>
        <w:overflowPunct/>
        <w:topLinePunct w:val="0"/>
        <w:autoSpaceDE/>
        <w:autoSpaceDN/>
        <w:bidi w:val="0"/>
        <w:adjustRightInd/>
        <w:snapToGrid w:val="0"/>
        <w:spacing w:line="580" w:lineRule="exact"/>
        <w:ind w:left="0" w:firstLine="422" w:firstLineChars="200"/>
        <w:textAlignment w:val="auto"/>
        <w:outlineLvl w:val="0"/>
        <w:rPr>
          <w:rFonts w:hint="eastAsia" w:ascii="楷体_GB2312" w:eastAsia="楷体_GB2312" w:cs="楷体_GB2312"/>
          <w:b/>
          <w:bCs/>
          <w:szCs w:val="32"/>
        </w:rPr>
      </w:pPr>
      <w:bookmarkStart w:id="105" w:name="_Toc88884200"/>
      <w:r>
        <w:rPr>
          <w:rFonts w:hint="eastAsia" w:ascii="楷体_GB2312" w:eastAsia="楷体_GB2312" w:cs="楷体_GB2312"/>
          <w:b/>
          <w:bCs/>
          <w:szCs w:val="32"/>
        </w:rPr>
        <w:t>总体绩效目标完成情况分析。</w:t>
      </w:r>
      <w:bookmarkEnd w:id="105"/>
    </w:p>
    <w:p w14:paraId="702742ED">
      <w:pPr>
        <w:keepNext w:val="0"/>
        <w:keepLines w:val="0"/>
        <w:pageBreakBefore w:val="0"/>
        <w:widowControl w:val="0"/>
        <w:kinsoku/>
        <w:wordWrap/>
        <w:overflowPunct/>
        <w:topLinePunct w:val="0"/>
        <w:autoSpaceDE/>
        <w:autoSpaceDN/>
        <w:bidi w:val="0"/>
        <w:adjustRightInd/>
        <w:snapToGrid w:val="0"/>
        <w:spacing w:line="580" w:lineRule="exact"/>
        <w:ind w:firstLine="420" w:firstLineChars="200"/>
        <w:textAlignment w:val="auto"/>
        <w:outlineLvl w:val="0"/>
        <w:rPr>
          <w:rFonts w:hint="eastAsia" w:ascii="仿宋_GB2312" w:hAnsi="仿宋_GB2312" w:cs="Times New Roman"/>
          <w:szCs w:val="32"/>
          <w:lang w:eastAsia="zh-CN"/>
        </w:rPr>
      </w:pPr>
      <w:bookmarkStart w:id="106" w:name="_Toc88884201"/>
      <w:r>
        <w:rPr>
          <w:rFonts w:hint="eastAsia" w:ascii="仿宋_GB2312" w:hAnsi="仿宋_GB2312" w:cs="Times New Roman"/>
          <w:szCs w:val="32"/>
          <w:lang w:eastAsia="zh-CN"/>
        </w:rPr>
        <w:t>通过地质灾害综合治理工作，减少或消除因自然因素诱发的地质灾害隐患威胁、有效保护受地质灾害威胁群众生命财产安全，</w:t>
      </w:r>
      <w:r>
        <w:rPr>
          <w:rFonts w:hint="eastAsia" w:ascii="仿宋_GB2312" w:hAnsi="仿宋_GB2312" w:cs="Times New Roman"/>
          <w:szCs w:val="32"/>
          <w:lang w:val="en-US" w:eastAsia="zh-CN"/>
        </w:rPr>
        <w:t>2024年全年目标任务已完成</w:t>
      </w:r>
      <w:r>
        <w:rPr>
          <w:rFonts w:hint="eastAsia" w:ascii="仿宋_GB2312" w:hAnsi="仿宋_GB2312" w:cs="Times New Roman"/>
          <w:szCs w:val="32"/>
          <w:lang w:eastAsia="zh-CN"/>
        </w:rPr>
        <w:t>。</w:t>
      </w:r>
      <w:bookmarkEnd w:id="106"/>
    </w:p>
    <w:p w14:paraId="357A9CD7">
      <w:pPr>
        <w:keepNext w:val="0"/>
        <w:keepLines w:val="0"/>
        <w:pageBreakBefore w:val="0"/>
        <w:widowControl w:val="0"/>
        <w:numPr>
          <w:ilvl w:val="0"/>
          <w:numId w:val="6"/>
        </w:numPr>
        <w:kinsoku/>
        <w:wordWrap/>
        <w:overflowPunct/>
        <w:topLinePunct w:val="0"/>
        <w:autoSpaceDE/>
        <w:autoSpaceDN/>
        <w:bidi w:val="0"/>
        <w:adjustRightInd/>
        <w:snapToGrid w:val="0"/>
        <w:spacing w:line="580" w:lineRule="exact"/>
        <w:ind w:left="0" w:firstLine="422" w:firstLineChars="200"/>
        <w:textAlignment w:val="auto"/>
        <w:outlineLvl w:val="0"/>
        <w:rPr>
          <w:rFonts w:hint="eastAsia" w:ascii="楷体_GB2312" w:eastAsia="楷体_GB2312" w:cs="楷体_GB2312"/>
          <w:b/>
          <w:bCs/>
          <w:szCs w:val="32"/>
        </w:rPr>
      </w:pPr>
      <w:bookmarkStart w:id="107" w:name="_Toc88884202"/>
      <w:r>
        <w:rPr>
          <w:rFonts w:hint="eastAsia" w:ascii="楷体_GB2312" w:eastAsia="楷体_GB2312" w:cs="楷体_GB2312"/>
          <w:b/>
          <w:bCs/>
          <w:szCs w:val="32"/>
        </w:rPr>
        <w:t>绩效指标完成情况分析。</w:t>
      </w:r>
      <w:bookmarkEnd w:id="107"/>
    </w:p>
    <w:p w14:paraId="49FB9706">
      <w:pPr>
        <w:keepNext w:val="0"/>
        <w:keepLines w:val="0"/>
        <w:pageBreakBefore w:val="0"/>
        <w:widowControl w:val="0"/>
        <w:kinsoku/>
        <w:wordWrap/>
        <w:overflowPunct/>
        <w:topLinePunct w:val="0"/>
        <w:autoSpaceDE/>
        <w:autoSpaceDN/>
        <w:bidi w:val="0"/>
        <w:adjustRightInd/>
        <w:snapToGrid w:val="0"/>
        <w:spacing w:line="580" w:lineRule="exact"/>
        <w:ind w:left="0" w:firstLine="420" w:firstLineChars="200"/>
        <w:textAlignment w:val="auto"/>
        <w:outlineLvl w:val="0"/>
        <w:rPr>
          <w:rFonts w:ascii="仿宋_GB2312" w:hAnsi="仿宋_GB2312" w:cs="Times New Roman"/>
          <w:szCs w:val="32"/>
          <w:lang w:val="en-US" w:eastAsia="zh-CN"/>
        </w:rPr>
      </w:pPr>
      <w:bookmarkStart w:id="108" w:name="_Toc88884203"/>
      <w:r>
        <w:rPr>
          <w:rFonts w:hint="eastAsia" w:ascii="仿宋_GB2312" w:hAnsi="仿宋_GB2312" w:cs="Times New Roman"/>
          <w:szCs w:val="32"/>
          <w:lang w:val="en-US" w:eastAsia="zh-CN"/>
        </w:rPr>
        <w:t>全年实施地质灾害工程治理15处、地质灾害排危除险2处，已组织项目通过验收，验收合格率100%，有效减轻17处地质灾害隐患风险，</w:t>
      </w:r>
      <w:r>
        <w:rPr>
          <w:rFonts w:hint="eastAsia" w:ascii="仿宋_GB2312" w:hAnsi="仿宋_GB2312" w:cs="Times New Roman"/>
          <w:szCs w:val="32"/>
          <w:lang w:eastAsia="zh-CN"/>
        </w:rPr>
        <w:t>有效保护受地质灾害威胁群众</w:t>
      </w:r>
      <w:r>
        <w:rPr>
          <w:rFonts w:hint="eastAsia" w:ascii="仿宋_GB2312" w:hAnsi="仿宋_GB2312" w:cs="Times New Roman"/>
          <w:szCs w:val="32"/>
          <w:lang w:val="en-US" w:eastAsia="zh-CN"/>
        </w:rPr>
        <w:t>生命</w:t>
      </w:r>
      <w:r>
        <w:rPr>
          <w:rFonts w:hint="eastAsia" w:ascii="仿宋_GB2312" w:hAnsi="仿宋_GB2312" w:cs="Times New Roman"/>
          <w:szCs w:val="32"/>
          <w:lang w:eastAsia="zh-CN"/>
        </w:rPr>
        <w:t>财产安全</w:t>
      </w:r>
      <w:r>
        <w:rPr>
          <w:rFonts w:hint="eastAsia" w:ascii="仿宋_GB2312" w:hAnsi="仿宋_GB2312" w:cs="Times New Roman"/>
          <w:szCs w:val="32"/>
          <w:lang w:val="en-US" w:eastAsia="zh-CN"/>
        </w:rPr>
        <w:t>2703人，减少财产损失1.31亿元，实施区域收获群众满意度高达90%以上。</w:t>
      </w:r>
      <w:bookmarkEnd w:id="108"/>
    </w:p>
    <w:p w14:paraId="32AC4686">
      <w:pPr>
        <w:keepNext w:val="0"/>
        <w:keepLines w:val="0"/>
        <w:pageBreakBefore w:val="0"/>
        <w:widowControl w:val="0"/>
        <w:kinsoku/>
        <w:wordWrap/>
        <w:overflowPunct/>
        <w:topLinePunct w:val="0"/>
        <w:autoSpaceDE/>
        <w:autoSpaceDN/>
        <w:bidi w:val="0"/>
        <w:adjustRightInd/>
        <w:snapToGrid w:val="0"/>
        <w:spacing w:line="580" w:lineRule="exact"/>
        <w:ind w:firstLine="420" w:firstLineChars="200"/>
        <w:textAlignment w:val="auto"/>
        <w:rPr>
          <w:rFonts w:ascii="仿宋_GB2312" w:hAnsi="仿宋_GB2312"/>
          <w:szCs w:val="32"/>
        </w:rPr>
      </w:pPr>
      <w:r>
        <w:rPr>
          <w:rFonts w:hint="eastAsia" w:ascii="黑体" w:eastAsia="黑体" w:cs="黑体"/>
          <w:bCs/>
          <w:szCs w:val="32"/>
        </w:rPr>
        <w:t>三、偏离绩效目标的原因和下一步改进措施</w:t>
      </w:r>
    </w:p>
    <w:p w14:paraId="65B2BD0F">
      <w:pPr>
        <w:keepNext w:val="0"/>
        <w:keepLines w:val="0"/>
        <w:pageBreakBefore w:val="0"/>
        <w:widowControl w:val="0"/>
        <w:kinsoku/>
        <w:wordWrap/>
        <w:overflowPunct/>
        <w:topLinePunct w:val="0"/>
        <w:autoSpaceDE/>
        <w:autoSpaceDN/>
        <w:bidi w:val="0"/>
        <w:adjustRightInd/>
        <w:snapToGrid w:val="0"/>
        <w:spacing w:line="580" w:lineRule="exact"/>
        <w:ind w:firstLine="420" w:firstLineChars="200"/>
        <w:textAlignment w:val="auto"/>
        <w:rPr>
          <w:rFonts w:ascii="仿宋_GB2312" w:hAnsi="仿宋_GB2312"/>
          <w:szCs w:val="32"/>
        </w:rPr>
      </w:pPr>
      <w:r>
        <w:rPr>
          <w:rFonts w:hint="eastAsia" w:ascii="仿宋_GB2312" w:hAnsi="仿宋_GB2312"/>
          <w:szCs w:val="32"/>
          <w:lang w:eastAsia="zh-CN"/>
        </w:rPr>
        <w:t>加大项目资金支付力度，使得防灾减灾资金充分发挥效益，着力把项目建设成为优质工程。</w:t>
      </w:r>
    </w:p>
    <w:p w14:paraId="3B1FE311">
      <w:pPr>
        <w:keepNext w:val="0"/>
        <w:keepLines w:val="0"/>
        <w:pageBreakBefore w:val="0"/>
        <w:widowControl w:val="0"/>
        <w:kinsoku/>
        <w:wordWrap/>
        <w:overflowPunct/>
        <w:topLinePunct w:val="0"/>
        <w:autoSpaceDE/>
        <w:autoSpaceDN/>
        <w:bidi w:val="0"/>
        <w:adjustRightInd/>
        <w:snapToGrid w:val="0"/>
        <w:spacing w:line="580" w:lineRule="exact"/>
        <w:ind w:firstLine="420" w:firstLineChars="200"/>
        <w:textAlignment w:val="auto"/>
        <w:rPr>
          <w:rFonts w:ascii="黑体" w:eastAsia="黑体" w:cs="黑体"/>
          <w:bCs/>
          <w:szCs w:val="32"/>
        </w:rPr>
      </w:pPr>
      <w:r>
        <w:rPr>
          <w:rFonts w:hint="eastAsia" w:ascii="黑体" w:eastAsia="黑体" w:cs="黑体"/>
          <w:bCs/>
          <w:szCs w:val="32"/>
        </w:rPr>
        <w:t>四、绩效自评结果拟应用和公开情况</w:t>
      </w:r>
    </w:p>
    <w:p w14:paraId="24323AAA">
      <w:pPr>
        <w:keepNext w:val="0"/>
        <w:keepLines w:val="0"/>
        <w:pageBreakBefore w:val="0"/>
        <w:widowControl w:val="0"/>
        <w:kinsoku/>
        <w:wordWrap/>
        <w:overflowPunct/>
        <w:topLinePunct w:val="0"/>
        <w:autoSpaceDE/>
        <w:autoSpaceDN/>
        <w:bidi w:val="0"/>
        <w:adjustRightInd/>
        <w:snapToGrid w:val="0"/>
        <w:spacing w:line="580" w:lineRule="exact"/>
        <w:ind w:firstLine="420" w:firstLineChars="200"/>
        <w:textAlignment w:val="auto"/>
        <w:rPr>
          <w:rFonts w:ascii="仿宋_GB2312" w:hAnsi="仿宋_GB2312" w:cs="Times New Roman"/>
          <w:szCs w:val="32"/>
          <w:lang w:val="en-US" w:eastAsia="zh-CN"/>
        </w:rPr>
      </w:pPr>
      <w:r>
        <w:rPr>
          <w:rFonts w:hint="eastAsia" w:ascii="仿宋_GB2312" w:hAnsi="仿宋_GB2312" w:cs="Times New Roman"/>
          <w:szCs w:val="32"/>
          <w:lang w:val="en-US" w:eastAsia="zh-CN"/>
        </w:rPr>
        <w:t>已将绩效自评结果公示应用。</w:t>
      </w:r>
    </w:p>
    <w:p w14:paraId="7C08B5DB">
      <w:pPr>
        <w:keepNext w:val="0"/>
        <w:keepLines w:val="0"/>
        <w:pageBreakBefore w:val="0"/>
        <w:widowControl w:val="0"/>
        <w:kinsoku/>
        <w:wordWrap/>
        <w:overflowPunct/>
        <w:topLinePunct w:val="0"/>
        <w:autoSpaceDE/>
        <w:autoSpaceDN/>
        <w:bidi w:val="0"/>
        <w:adjustRightInd/>
        <w:snapToGrid w:val="0"/>
        <w:spacing w:line="580" w:lineRule="exact"/>
        <w:ind w:firstLine="420" w:firstLineChars="200"/>
        <w:textAlignment w:val="auto"/>
        <w:rPr>
          <w:rFonts w:ascii="黑体" w:eastAsia="黑体" w:cs="黑体"/>
          <w:bCs/>
          <w:szCs w:val="32"/>
        </w:rPr>
      </w:pPr>
      <w:r>
        <w:rPr>
          <w:rFonts w:hint="eastAsia" w:ascii="黑体" w:eastAsia="黑体" w:cs="黑体"/>
          <w:bCs/>
          <w:szCs w:val="32"/>
        </w:rPr>
        <w:t>五、其他需要说明的问题</w:t>
      </w:r>
    </w:p>
    <w:p w14:paraId="54629644">
      <w:pPr>
        <w:keepNext w:val="0"/>
        <w:keepLines w:val="0"/>
        <w:pageBreakBefore w:val="0"/>
        <w:widowControl w:val="0"/>
        <w:kinsoku/>
        <w:wordWrap/>
        <w:overflowPunct/>
        <w:topLinePunct w:val="0"/>
        <w:autoSpaceDE/>
        <w:autoSpaceDN/>
        <w:bidi w:val="0"/>
        <w:adjustRightInd/>
        <w:snapToGrid w:val="0"/>
        <w:spacing w:line="580" w:lineRule="exact"/>
        <w:ind w:firstLine="420" w:firstLineChars="200"/>
        <w:textAlignment w:val="auto"/>
      </w:pPr>
      <w:r>
        <w:rPr>
          <w:rFonts w:hint="eastAsia"/>
          <w:lang w:val="en-US" w:eastAsia="zh-CN"/>
        </w:rPr>
        <w:t>无</w:t>
      </w:r>
      <w:r>
        <w:rPr>
          <w:rFonts w:hint="eastAsia"/>
        </w:rPr>
        <w:t>。</w:t>
      </w:r>
    </w:p>
    <w:p w14:paraId="18895ED8">
      <w:pPr>
        <w:keepNext w:val="0"/>
        <w:keepLines w:val="0"/>
        <w:pageBreakBefore w:val="0"/>
        <w:widowControl w:val="0"/>
        <w:kinsoku/>
        <w:wordWrap/>
        <w:overflowPunct/>
        <w:topLinePunct w:val="0"/>
        <w:autoSpaceDE/>
        <w:autoSpaceDN/>
        <w:bidi w:val="0"/>
        <w:adjustRightInd/>
        <w:snapToGrid w:val="0"/>
        <w:spacing w:line="580" w:lineRule="exact"/>
        <w:ind w:firstLine="420" w:firstLineChars="200"/>
        <w:textAlignment w:val="auto"/>
        <w:rPr>
          <w:rFonts w:hint="eastAsia" w:ascii="黑体" w:eastAsia="黑体" w:cs="黑体"/>
        </w:rPr>
      </w:pPr>
      <w:r>
        <w:rPr>
          <w:rFonts w:hint="eastAsia" w:ascii="黑体" w:eastAsia="黑体" w:cs="黑体"/>
        </w:rPr>
        <w:t>六、附件</w:t>
      </w:r>
    </w:p>
    <w:p w14:paraId="629B1DF8">
      <w:pPr>
        <w:keepNext w:val="0"/>
        <w:keepLines w:val="0"/>
        <w:pageBreakBefore w:val="0"/>
        <w:widowControl w:val="0"/>
        <w:kinsoku/>
        <w:wordWrap/>
        <w:overflowPunct/>
        <w:topLinePunct w:val="0"/>
        <w:autoSpaceDE/>
        <w:autoSpaceDN/>
        <w:bidi w:val="0"/>
        <w:adjustRightInd/>
        <w:snapToGrid w:val="0"/>
        <w:spacing w:line="580" w:lineRule="exact"/>
        <w:ind w:firstLine="420" w:firstLineChars="200"/>
        <w:textAlignment w:val="auto"/>
        <w:rPr>
          <w:rFonts w:hint="eastAsia" w:ascii="黑体" w:eastAsia="黑体" w:cs="黑体"/>
        </w:rPr>
      </w:pPr>
      <w:r>
        <w:rPr>
          <w:rFonts w:hint="eastAsia"/>
        </w:rPr>
        <w:t>转移支付区域（项目）绩效目标自评表</w:t>
      </w:r>
    </w:p>
    <w:p w14:paraId="6843EBF6">
      <w:pPr>
        <w:pStyle w:val="3"/>
        <w:keepNext w:val="0"/>
        <w:keepLines w:val="0"/>
        <w:pageBreakBefore w:val="0"/>
        <w:widowControl w:val="0"/>
        <w:bidi w:val="0"/>
      </w:pPr>
    </w:p>
    <w:p w14:paraId="63A7FC7C">
      <w:pPr>
        <w:pStyle w:val="3"/>
        <w:keepNext w:val="0"/>
        <w:keepLines w:val="0"/>
        <w:pageBreakBefore w:val="0"/>
        <w:widowControl w:val="0"/>
        <w:bidi w:val="0"/>
      </w:pPr>
    </w:p>
    <w:p w14:paraId="238D803F">
      <w:pPr>
        <w:pStyle w:val="3"/>
        <w:keepNext w:val="0"/>
        <w:keepLines w:val="0"/>
        <w:pageBreakBefore w:val="0"/>
        <w:widowControl w:val="0"/>
        <w:bidi w:val="0"/>
      </w:pPr>
    </w:p>
    <w:p w14:paraId="57EDAD2C">
      <w:pPr>
        <w:pStyle w:val="3"/>
        <w:keepNext w:val="0"/>
        <w:keepLines w:val="0"/>
        <w:pageBreakBefore w:val="0"/>
        <w:widowControl w:val="0"/>
        <w:bidi w:val="0"/>
      </w:pPr>
    </w:p>
    <w:p w14:paraId="1BCD42E9">
      <w:pPr>
        <w:pStyle w:val="3"/>
        <w:keepNext w:val="0"/>
        <w:keepLines w:val="0"/>
        <w:pageBreakBefore w:val="0"/>
        <w:widowControl w:val="0"/>
        <w:bidi w:val="0"/>
      </w:pPr>
    </w:p>
    <w:p w14:paraId="51577157">
      <w:pPr>
        <w:pStyle w:val="3"/>
        <w:keepNext w:val="0"/>
        <w:keepLines w:val="0"/>
        <w:pageBreakBefore w:val="0"/>
        <w:widowControl w:val="0"/>
        <w:bidi w:val="0"/>
      </w:pPr>
    </w:p>
    <w:p w14:paraId="0CA46CAB">
      <w:pPr>
        <w:pStyle w:val="3"/>
        <w:keepNext w:val="0"/>
        <w:keepLines w:val="0"/>
        <w:pageBreakBefore w:val="0"/>
        <w:widowControl w:val="0"/>
        <w:bidi w:val="0"/>
      </w:pPr>
    </w:p>
    <w:p w14:paraId="1E5DB336">
      <w:pPr>
        <w:pStyle w:val="3"/>
        <w:keepNext w:val="0"/>
        <w:keepLines w:val="0"/>
        <w:pageBreakBefore w:val="0"/>
        <w:widowControl w:val="0"/>
        <w:bidi w:val="0"/>
      </w:pPr>
    </w:p>
    <w:p w14:paraId="14A7CDC7">
      <w:pPr>
        <w:pStyle w:val="3"/>
        <w:keepNext w:val="0"/>
        <w:keepLines w:val="0"/>
        <w:pageBreakBefore w:val="0"/>
        <w:widowControl w:val="0"/>
        <w:bidi w:val="0"/>
      </w:pPr>
    </w:p>
    <w:p w14:paraId="53303409">
      <w:pPr>
        <w:pStyle w:val="3"/>
        <w:keepNext w:val="0"/>
        <w:keepLines w:val="0"/>
        <w:pageBreakBefore w:val="0"/>
        <w:widowControl w:val="0"/>
        <w:bidi w:val="0"/>
      </w:pPr>
    </w:p>
    <w:p w14:paraId="34698008">
      <w:pPr>
        <w:pStyle w:val="3"/>
        <w:keepNext w:val="0"/>
        <w:keepLines w:val="0"/>
        <w:pageBreakBefore w:val="0"/>
        <w:widowControl w:val="0"/>
        <w:bidi w:val="0"/>
      </w:pPr>
    </w:p>
    <w:p w14:paraId="401BB2B4">
      <w:pPr>
        <w:pStyle w:val="3"/>
        <w:keepNext w:val="0"/>
        <w:keepLines w:val="0"/>
        <w:pageBreakBefore w:val="0"/>
        <w:widowControl w:val="0"/>
        <w:bidi w:val="0"/>
      </w:pPr>
    </w:p>
    <w:p w14:paraId="3220EEC8">
      <w:pPr>
        <w:pStyle w:val="3"/>
        <w:keepNext w:val="0"/>
        <w:keepLines w:val="0"/>
        <w:pageBreakBefore w:val="0"/>
        <w:widowControl w:val="0"/>
        <w:bidi w:val="0"/>
      </w:pPr>
    </w:p>
    <w:p w14:paraId="49338AFB">
      <w:pPr>
        <w:pStyle w:val="3"/>
        <w:keepNext w:val="0"/>
        <w:keepLines w:val="0"/>
        <w:pageBreakBefore w:val="0"/>
        <w:widowControl w:val="0"/>
        <w:bidi w:val="0"/>
      </w:pPr>
    </w:p>
    <w:p w14:paraId="10B21503">
      <w:pPr>
        <w:pStyle w:val="3"/>
        <w:keepNext w:val="0"/>
        <w:keepLines w:val="0"/>
        <w:pageBreakBefore w:val="0"/>
        <w:widowControl w:val="0"/>
        <w:bidi w:val="0"/>
      </w:pPr>
    </w:p>
    <w:p w14:paraId="4CF2D624">
      <w:pPr>
        <w:pStyle w:val="3"/>
        <w:keepNext w:val="0"/>
        <w:keepLines w:val="0"/>
        <w:pageBreakBefore w:val="0"/>
        <w:widowControl w:val="0"/>
        <w:bidi w:val="0"/>
      </w:pPr>
    </w:p>
    <w:p w14:paraId="115CF0FF">
      <w:pPr>
        <w:pStyle w:val="3"/>
        <w:keepNext w:val="0"/>
        <w:keepLines w:val="0"/>
        <w:pageBreakBefore w:val="0"/>
        <w:widowControl w:val="0"/>
        <w:bidi w:val="0"/>
      </w:pPr>
    </w:p>
    <w:p w14:paraId="5B2199AA">
      <w:pPr>
        <w:pStyle w:val="3"/>
        <w:keepNext w:val="0"/>
        <w:keepLines w:val="0"/>
        <w:pageBreakBefore w:val="0"/>
        <w:widowControl w:val="0"/>
        <w:bidi w:val="0"/>
      </w:pPr>
    </w:p>
    <w:p w14:paraId="33382705">
      <w:pPr>
        <w:widowControl/>
        <w:jc w:val="center"/>
        <w:rPr>
          <w:rFonts w:hint="eastAsia" w:ascii="Times New Roman" w:hAnsi="Times New Roman" w:eastAsia="仿宋"/>
          <w:b w:val="0"/>
          <w:color w:val="auto"/>
          <w:highlight w:val="none"/>
        </w:rPr>
      </w:pPr>
      <w:r>
        <w:rPr>
          <w:rFonts w:hint="eastAsia" w:ascii="Times New Roman" w:hAnsi="Times New Roman" w:eastAsia="黑体"/>
          <w:color w:val="auto"/>
          <w:sz w:val="44"/>
          <w:szCs w:val="44"/>
          <w:highlight w:val="none"/>
        </w:rPr>
        <w:t>第</w:t>
      </w:r>
      <w:r>
        <w:rPr>
          <w:rStyle w:val="28"/>
          <w:rFonts w:hint="eastAsia" w:ascii="Times New Roman" w:hAnsi="Times New Roman" w:eastAsia="黑体"/>
          <w:b w:val="0"/>
          <w:color w:val="auto"/>
          <w:highlight w:val="none"/>
        </w:rPr>
        <w:t>五部分 附表</w:t>
      </w:r>
      <w:bookmarkEnd w:id="78"/>
      <w:bookmarkEnd w:id="99"/>
      <w:bookmarkStart w:id="109" w:name="_Toc15396619"/>
    </w:p>
    <w:p w14:paraId="4B106B9B">
      <w:pPr>
        <w:pStyle w:val="19"/>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18101D38">
      <w:pPr>
        <w:pStyle w:val="19"/>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109"/>
    </w:p>
    <w:p w14:paraId="49FD83B9">
      <w:pPr>
        <w:pStyle w:val="19"/>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10" w:name="_Toc15396620"/>
      <w:r>
        <w:rPr>
          <w:rFonts w:hint="eastAsia" w:ascii="Times New Roman" w:hAnsi="Times New Roman" w:eastAsia="仿宋_GB2312" w:cs="仿宋_GB2312"/>
          <w:color w:val="auto"/>
          <w:sz w:val="32"/>
          <w:szCs w:val="32"/>
          <w:highlight w:val="none"/>
        </w:rPr>
        <w:t>二、收入决算表</w:t>
      </w:r>
      <w:bookmarkEnd w:id="110"/>
    </w:p>
    <w:p w14:paraId="1903B224">
      <w:pPr>
        <w:pStyle w:val="19"/>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11" w:name="_Toc15396621"/>
      <w:r>
        <w:rPr>
          <w:rFonts w:hint="eastAsia" w:ascii="Times New Roman" w:hAnsi="Times New Roman" w:eastAsia="仿宋_GB2312" w:cs="仿宋_GB2312"/>
          <w:color w:val="auto"/>
          <w:sz w:val="32"/>
          <w:szCs w:val="32"/>
          <w:highlight w:val="none"/>
        </w:rPr>
        <w:t>三、支出决算表</w:t>
      </w:r>
      <w:bookmarkEnd w:id="111"/>
    </w:p>
    <w:p w14:paraId="67755193">
      <w:pPr>
        <w:pStyle w:val="19"/>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12" w:name="_Toc15396622"/>
      <w:r>
        <w:rPr>
          <w:rFonts w:hint="eastAsia" w:ascii="Times New Roman" w:hAnsi="Times New Roman" w:eastAsia="仿宋_GB2312" w:cs="仿宋_GB2312"/>
          <w:color w:val="auto"/>
          <w:sz w:val="32"/>
          <w:szCs w:val="32"/>
          <w:highlight w:val="none"/>
        </w:rPr>
        <w:t>四、财政拨款收入支出决算总表</w:t>
      </w:r>
      <w:bookmarkEnd w:id="112"/>
    </w:p>
    <w:p w14:paraId="0C28D468">
      <w:pPr>
        <w:pStyle w:val="19"/>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13" w:name="_Toc15396623"/>
      <w:r>
        <w:rPr>
          <w:rFonts w:hint="eastAsia" w:ascii="Times New Roman" w:hAnsi="Times New Roman" w:eastAsia="仿宋_GB2312" w:cs="仿宋_GB2312"/>
          <w:color w:val="auto"/>
          <w:sz w:val="32"/>
          <w:szCs w:val="32"/>
          <w:highlight w:val="none"/>
        </w:rPr>
        <w:t>五、财政拨款支出决算明细表</w:t>
      </w:r>
      <w:bookmarkEnd w:id="113"/>
      <w:bookmarkStart w:id="114" w:name="_Toc15396624"/>
    </w:p>
    <w:p w14:paraId="5891CD1C">
      <w:pPr>
        <w:pStyle w:val="19"/>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114"/>
    </w:p>
    <w:p w14:paraId="1A41DBDB">
      <w:pPr>
        <w:pStyle w:val="19"/>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15" w:name="_Toc15396625"/>
      <w:r>
        <w:rPr>
          <w:rFonts w:hint="eastAsia" w:ascii="Times New Roman" w:hAnsi="Times New Roman" w:eastAsia="仿宋_GB2312" w:cs="仿宋_GB2312"/>
          <w:color w:val="auto"/>
          <w:sz w:val="32"/>
          <w:szCs w:val="32"/>
          <w:highlight w:val="none"/>
        </w:rPr>
        <w:t>七、一般公共预算财政拨款支出决算明细表</w:t>
      </w:r>
      <w:bookmarkEnd w:id="115"/>
    </w:p>
    <w:p w14:paraId="424D9755">
      <w:pPr>
        <w:pStyle w:val="19"/>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16" w:name="_Toc15396626"/>
      <w:r>
        <w:rPr>
          <w:rFonts w:hint="eastAsia" w:ascii="Times New Roman" w:hAnsi="Times New Roman" w:eastAsia="仿宋_GB2312" w:cs="仿宋_GB2312"/>
          <w:color w:val="auto"/>
          <w:sz w:val="32"/>
          <w:szCs w:val="32"/>
          <w:highlight w:val="none"/>
        </w:rPr>
        <w:t>八、一般公共预算财政拨款基本支出决算表</w:t>
      </w:r>
      <w:bookmarkEnd w:id="116"/>
    </w:p>
    <w:p w14:paraId="686DDB5F">
      <w:pPr>
        <w:pStyle w:val="19"/>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17" w:name="_Toc15396627"/>
      <w:r>
        <w:rPr>
          <w:rFonts w:hint="eastAsia" w:ascii="Times New Roman" w:hAnsi="Times New Roman" w:eastAsia="仿宋_GB2312" w:cs="仿宋_GB2312"/>
          <w:color w:val="auto"/>
          <w:sz w:val="32"/>
          <w:szCs w:val="32"/>
          <w:highlight w:val="none"/>
        </w:rPr>
        <w:t>九、一般公共预算财政拨款项目支出决算表</w:t>
      </w:r>
      <w:bookmarkEnd w:id="117"/>
    </w:p>
    <w:p w14:paraId="2E60A87A">
      <w:pPr>
        <w:pStyle w:val="19"/>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18" w:name="_Toc15396628"/>
      <w:r>
        <w:rPr>
          <w:rFonts w:hint="eastAsia" w:ascii="Times New Roman" w:hAnsi="Times New Roman" w:eastAsia="仿宋_GB2312" w:cs="仿宋_GB2312"/>
          <w:color w:val="auto"/>
          <w:sz w:val="32"/>
          <w:szCs w:val="32"/>
          <w:highlight w:val="none"/>
        </w:rPr>
        <w:t>十、</w:t>
      </w:r>
      <w:bookmarkEnd w:id="118"/>
      <w:r>
        <w:rPr>
          <w:rFonts w:hint="eastAsia" w:ascii="Times New Roman" w:hAnsi="Times New Roman" w:eastAsia="仿宋_GB2312" w:cs="仿宋_GB2312"/>
          <w:color w:val="auto"/>
          <w:sz w:val="32"/>
          <w:szCs w:val="32"/>
          <w:highlight w:val="none"/>
        </w:rPr>
        <w:t>政府性基金预算财政拨款收入支出决算表</w:t>
      </w:r>
    </w:p>
    <w:p w14:paraId="42012EE1">
      <w:pPr>
        <w:pStyle w:val="19"/>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19" w:name="_Toc15396629"/>
      <w:r>
        <w:rPr>
          <w:rFonts w:hint="eastAsia" w:ascii="Times New Roman" w:hAnsi="Times New Roman" w:eastAsia="仿宋_GB2312" w:cs="仿宋_GB2312"/>
          <w:color w:val="auto"/>
          <w:sz w:val="32"/>
          <w:szCs w:val="32"/>
          <w:highlight w:val="none"/>
        </w:rPr>
        <w:t>十一、</w:t>
      </w:r>
      <w:bookmarkEnd w:id="119"/>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14:paraId="70078C2D">
      <w:pPr>
        <w:pStyle w:val="19"/>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20" w:name="_Toc15396630"/>
      <w:r>
        <w:rPr>
          <w:rFonts w:hint="eastAsia" w:ascii="Times New Roman" w:hAnsi="Times New Roman" w:eastAsia="仿宋_GB2312" w:cs="仿宋_GB2312"/>
          <w:color w:val="auto"/>
          <w:sz w:val="32"/>
          <w:szCs w:val="32"/>
          <w:highlight w:val="none"/>
        </w:rPr>
        <w:t>十二、</w:t>
      </w:r>
      <w:bookmarkEnd w:id="120"/>
      <w:r>
        <w:rPr>
          <w:rFonts w:hint="eastAsia" w:ascii="Times New Roman" w:hAnsi="Times New Roman" w:eastAsia="仿宋_GB2312" w:cs="仿宋_GB2312"/>
          <w:color w:val="auto"/>
          <w:sz w:val="32"/>
          <w:szCs w:val="32"/>
          <w:highlight w:val="none"/>
          <w:lang w:eastAsia="zh-CN"/>
        </w:rPr>
        <w:t>国有资本经营预算财政拨款支出决算表</w:t>
      </w:r>
    </w:p>
    <w:p w14:paraId="6B97218C">
      <w:pPr>
        <w:pStyle w:val="19"/>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121" w:name="_Toc15396631"/>
      <w:r>
        <w:rPr>
          <w:rFonts w:hint="eastAsia" w:ascii="Times New Roman" w:hAnsi="Times New Roman" w:eastAsia="仿宋_GB2312" w:cs="仿宋_GB2312"/>
          <w:color w:val="auto"/>
          <w:sz w:val="32"/>
          <w:szCs w:val="32"/>
          <w:highlight w:val="none"/>
        </w:rPr>
        <w:t>十三、</w:t>
      </w:r>
      <w:bookmarkEnd w:id="121"/>
      <w:r>
        <w:rPr>
          <w:rFonts w:hint="eastAsia" w:ascii="Times New Roman" w:hAnsi="Times New Roman" w:eastAsia="仿宋_GB2312" w:cs="仿宋_GB2312"/>
          <w:color w:val="auto"/>
          <w:sz w:val="32"/>
          <w:szCs w:val="32"/>
          <w:highlight w:val="none"/>
          <w:lang w:eastAsia="zh-CN"/>
        </w:rPr>
        <w:t>财政拨款“三公”经费支出决算表</w:t>
      </w:r>
    </w:p>
    <w:p w14:paraId="4B9F25E5">
      <w:pPr>
        <w:rPr>
          <w:rFonts w:hint="eastAsia" w:ascii="Times New Roman" w:hAnsi="Times New Roman"/>
          <w:lang w:eastAsia="zh-CN"/>
        </w:rPr>
      </w:pPr>
    </w:p>
    <w:sectPr>
      <w:footerReference r:id="rId7" w:type="first"/>
      <w:footerReference r:id="rId6" w:type="default"/>
      <w:pgSz w:w="11906" w:h="16838"/>
      <w:pgMar w:top="1440" w:right="1800" w:bottom="1440" w:left="1800"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8DA37">
    <w:pPr>
      <w:pStyle w:val="14"/>
      <w:jc w:val="center"/>
    </w:pPr>
  </w:p>
  <w:p w14:paraId="6DA2D2A6">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1D99CF">
    <w:pPr>
      <w:pStyle w:val="14"/>
      <w:framePr w:wrap="around" w:vAnchor="text" w:hAnchor="margin" w:xAlign="center" w:y="1"/>
      <w:pBdr>
        <w:top w:val="none" w:color="auto" w:sz="0" w:space="0"/>
        <w:left w:val="none" w:color="auto" w:sz="0" w:space="0"/>
        <w:bottom w:val="none" w:color="auto" w:sz="0" w:space="0"/>
        <w:right w:val="none" w:color="auto" w:sz="0" w:space="0"/>
      </w:pBdr>
      <w:rPr>
        <w:rStyle w:val="26"/>
      </w:rPr>
    </w:pPr>
    <w:r>
      <w:rPr>
        <w:rStyle w:val="26"/>
      </w:rPr>
      <w:fldChar w:fldCharType="begin"/>
    </w:r>
    <w:r>
      <w:rPr>
        <w:rStyle w:val="26"/>
      </w:rPr>
      <w:instrText xml:space="preserve">Pag</w:instrText>
    </w:r>
  </w:p>
  <w:p w14:paraId="132F0D33">
    <w:pPr>
      <w:pStyle w:val="14"/>
      <w:framePr w:wrap="around" w:vAnchor="text" w:hAnchor="margin" w:xAlign="center" w:y="1"/>
      <w:pBdr>
        <w:top w:val="none" w:color="auto" w:sz="0" w:space="0"/>
        <w:left w:val="none" w:color="auto" w:sz="0" w:space="0"/>
        <w:bottom w:val="none" w:color="auto" w:sz="0" w:space="0"/>
        <w:right w:val="none" w:color="auto" w:sz="0" w:space="0"/>
      </w:pBdr>
    </w:pPr>
    <w:r>
      <w:rPr>
        <w:rStyle w:val="26"/>
      </w:rPr>
      <w:instrText xml:space="preserve">e</w:instrText>
    </w:r>
    <w:r>
      <w:rPr>
        <w:rStyle w:val="26"/>
      </w:rPr>
      <w:fldChar w:fldCharType="separate"/>
    </w:r>
    <w:r>
      <w:rPr>
        <w:rStyle w:val="26"/>
      </w:rPr>
      <w:t>- 1 -</w:t>
    </w:r>
    <w:r>
      <w:rPr>
        <w:rStyle w:val="26"/>
      </w:rPr>
      <w:fldChar w:fldCharType="end"/>
    </w:r>
  </w:p>
  <w:p w14:paraId="4A5F8A3E">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76ABF8">
    <w:pPr>
      <w:pStyle w:val="14"/>
      <w:framePr w:wrap="around" w:vAnchor="text" w:hAnchor="margin" w:xAlign="center" w:y="1"/>
      <w:pBdr>
        <w:top w:val="none" w:color="auto" w:sz="0" w:space="0"/>
        <w:left w:val="none" w:color="auto" w:sz="0" w:space="0"/>
        <w:bottom w:val="none" w:color="auto" w:sz="0" w:space="0"/>
        <w:right w:val="none" w:color="auto" w:sz="0" w:space="0"/>
      </w:pBdr>
    </w:pPr>
    <w:r>
      <w:rPr>
        <w:rStyle w:val="26"/>
      </w:rPr>
      <w:fldChar w:fldCharType="begin"/>
    </w:r>
    <w:r>
      <w:rPr>
        <w:rStyle w:val="26"/>
      </w:rPr>
      <w:instrText xml:space="preserve">Page</w:instrText>
    </w:r>
    <w:r>
      <w:rPr>
        <w:rStyle w:val="26"/>
      </w:rPr>
      <w:fldChar w:fldCharType="separate"/>
    </w:r>
    <w:r>
      <w:rPr>
        <w:rStyle w:val="26"/>
      </w:rPr>
      <w:t>- 2 -</w:t>
    </w:r>
    <w:r>
      <w:rPr>
        <w:rStyle w:val="26"/>
      </w:rPr>
      <w:fldChar w:fldCharType="end"/>
    </w:r>
  </w:p>
  <w:p w14:paraId="6D305E37">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95871">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5D8AFE">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F7D4D9"/>
    <w:multiLevelType w:val="singleLevel"/>
    <w:tmpl w:val="A1F7D4D9"/>
    <w:lvl w:ilvl="0" w:tentative="0">
      <w:start w:val="2"/>
      <w:numFmt w:val="chineseCounting"/>
      <w:suff w:val="nothing"/>
      <w:lvlText w:val="（%1）"/>
      <w:lvlJc w:val="left"/>
      <w:pPr>
        <w:tabs>
          <w:tab w:val="left" w:pos="0"/>
        </w:tabs>
        <w:ind w:left="0" w:firstLine="0"/>
      </w:pPr>
      <w:rPr>
        <w:rFonts w:hint="eastAsia"/>
      </w:rPr>
    </w:lvl>
  </w:abstractNum>
  <w:abstractNum w:abstractNumId="1">
    <w:nsid w:val="DF2D5BD0"/>
    <w:multiLevelType w:val="singleLevel"/>
    <w:tmpl w:val="DF2D5BD0"/>
    <w:lvl w:ilvl="0" w:tentative="0">
      <w:start w:val="2"/>
      <w:numFmt w:val="chineseCounting"/>
      <w:suff w:val="nothing"/>
      <w:lvlText w:val="（%1）"/>
      <w:lvlJc w:val="left"/>
      <w:pPr>
        <w:tabs>
          <w:tab w:val="left" w:pos="0"/>
        </w:tabs>
        <w:ind w:left="0" w:firstLine="0"/>
      </w:pPr>
      <w:rPr>
        <w:rFonts w:hint="eastAsia"/>
      </w:rPr>
    </w:lvl>
  </w:abstractNum>
  <w:abstractNum w:abstractNumId="2">
    <w:nsid w:val="EEDD9A75"/>
    <w:multiLevelType w:val="singleLevel"/>
    <w:tmpl w:val="EEDD9A75"/>
    <w:lvl w:ilvl="0" w:tentative="0">
      <w:start w:val="2"/>
      <w:numFmt w:val="decimal"/>
      <w:lvlText w:val="%1."/>
      <w:lvlJc w:val="left"/>
      <w:pPr>
        <w:tabs>
          <w:tab w:val="left" w:pos="0"/>
        </w:tabs>
        <w:ind w:left="0" w:firstLine="0"/>
      </w:pPr>
    </w:lvl>
  </w:abstractNum>
  <w:abstractNum w:abstractNumId="3">
    <w:nsid w:val="105A70DA"/>
    <w:multiLevelType w:val="multilevel"/>
    <w:tmpl w:val="105A70DA"/>
    <w:lvl w:ilvl="0" w:tentative="0">
      <w:start w:val="1"/>
      <w:numFmt w:val="chineseCountingThousand"/>
      <w:lvlText w:val="%1、"/>
      <w:legacy w:legacy="1" w:legacySpace="0" w:legacyIndent="640"/>
      <w:lvlJc w:val="left"/>
      <w:pPr>
        <w:ind w:left="640" w:hanging="640"/>
      </w:pPr>
      <w:rPr>
        <w:rFonts w:hint="eastAsia" w:eastAsia="黑体"/>
      </w:rPr>
    </w:lvl>
    <w:lvl w:ilvl="1" w:tentative="0">
      <w:start w:val="1"/>
      <w:numFmt w:val="lowerLetter"/>
      <w:lvlText w:val="%2)"/>
      <w:legacy w:legacy="1" w:legacySpace="0" w:legacyIndent="420"/>
      <w:lvlJc w:val="left"/>
      <w:pPr>
        <w:ind w:left="840" w:hanging="420"/>
      </w:pPr>
    </w:lvl>
    <w:lvl w:ilvl="2" w:tentative="0">
      <w:start w:val="1"/>
      <w:numFmt w:val="lowerRoman"/>
      <w:lvlText w:val="%3."/>
      <w:legacy w:legacy="1" w:legacySpace="0" w:legacyIndent="420"/>
      <w:lvlJc w:val="right"/>
      <w:pPr>
        <w:ind w:left="1260" w:hanging="420"/>
      </w:pPr>
    </w:lvl>
    <w:lvl w:ilvl="3" w:tentative="0">
      <w:start w:val="1"/>
      <w:numFmt w:val="decimal"/>
      <w:lvlText w:val="%4."/>
      <w:legacy w:legacy="1" w:legacySpace="0" w:legacyIndent="420"/>
      <w:lvlJc w:val="left"/>
      <w:pPr>
        <w:ind w:left="1680" w:hanging="420"/>
      </w:pPr>
    </w:lvl>
    <w:lvl w:ilvl="4" w:tentative="0">
      <w:start w:val="1"/>
      <w:numFmt w:val="lowerLetter"/>
      <w:lvlText w:val="%5)"/>
      <w:legacy w:legacy="1" w:legacySpace="0" w:legacyIndent="420"/>
      <w:lvlJc w:val="left"/>
      <w:pPr>
        <w:ind w:left="2100" w:hanging="420"/>
      </w:pPr>
    </w:lvl>
    <w:lvl w:ilvl="5" w:tentative="0">
      <w:start w:val="1"/>
      <w:numFmt w:val="lowerRoman"/>
      <w:lvlText w:val="%6."/>
      <w:legacy w:legacy="1" w:legacySpace="0" w:legacyIndent="420"/>
      <w:lvlJc w:val="right"/>
      <w:pPr>
        <w:ind w:left="2520" w:hanging="420"/>
      </w:pPr>
    </w:lvl>
    <w:lvl w:ilvl="6" w:tentative="0">
      <w:start w:val="1"/>
      <w:numFmt w:val="decimal"/>
      <w:lvlText w:val="%7."/>
      <w:legacy w:legacy="1" w:legacySpace="0" w:legacyIndent="420"/>
      <w:lvlJc w:val="left"/>
      <w:pPr>
        <w:ind w:left="2940" w:hanging="420"/>
      </w:pPr>
    </w:lvl>
    <w:lvl w:ilvl="7" w:tentative="0">
      <w:start w:val="1"/>
      <w:numFmt w:val="lowerLetter"/>
      <w:lvlText w:val="%8)"/>
      <w:legacy w:legacy="1" w:legacySpace="0" w:legacyIndent="420"/>
      <w:lvlJc w:val="left"/>
      <w:pPr>
        <w:ind w:left="3360" w:hanging="420"/>
      </w:pPr>
    </w:lvl>
    <w:lvl w:ilvl="8" w:tentative="0">
      <w:start w:val="1"/>
      <w:numFmt w:val="lowerRoman"/>
      <w:lvlText w:val="%9."/>
      <w:legacy w:legacy="1" w:legacySpace="0" w:legacyIndent="420"/>
      <w:lvlJc w:val="right"/>
      <w:pPr>
        <w:ind w:left="3780" w:hanging="420"/>
      </w:pPr>
    </w:lvl>
  </w:abstractNum>
  <w:abstractNum w:abstractNumId="4">
    <w:nsid w:val="19FFFBC1"/>
    <w:multiLevelType w:val="singleLevel"/>
    <w:tmpl w:val="19FFFBC1"/>
    <w:lvl w:ilvl="0" w:tentative="0">
      <w:start w:val="2"/>
      <w:numFmt w:val="chineseCounting"/>
      <w:suff w:val="nothing"/>
      <w:lvlText w:val="（%1）"/>
      <w:lvlJc w:val="left"/>
      <w:pPr>
        <w:tabs>
          <w:tab w:val="left" w:pos="0"/>
        </w:tabs>
        <w:ind w:left="0" w:firstLine="0"/>
      </w:pPr>
      <w:rPr>
        <w:rFonts w:hint="eastAsia"/>
      </w:rPr>
    </w:lvl>
  </w:abstractNum>
  <w:abstractNum w:abstractNumId="5">
    <w:nsid w:val="62621CDC"/>
    <w:multiLevelType w:val="multilevel"/>
    <w:tmpl w:val="62621CDC"/>
    <w:lvl w:ilvl="0" w:tentative="0">
      <w:start w:val="1"/>
      <w:numFmt w:val="decimal"/>
      <w:lvlText w:val="%1."/>
      <w:lvlJc w:val="left"/>
      <w:pPr>
        <w:tabs>
          <w:tab w:val="left" w:pos="0"/>
        </w:tabs>
        <w:ind w:left="1152" w:hanging="480"/>
      </w:pPr>
      <w:rPr>
        <w:rFonts w:hint="default"/>
      </w:rPr>
    </w:lvl>
    <w:lvl w:ilvl="1" w:tentative="0">
      <w:start w:val="1"/>
      <w:numFmt w:val="lowerLetter"/>
      <w:lvlText w:val="%2)"/>
      <w:lvlJc w:val="left"/>
      <w:pPr>
        <w:tabs>
          <w:tab w:val="left" w:pos="0"/>
        </w:tabs>
        <w:ind w:left="1512" w:hanging="420"/>
      </w:pPr>
    </w:lvl>
    <w:lvl w:ilvl="2" w:tentative="0">
      <w:start w:val="1"/>
      <w:numFmt w:val="lowerRoman"/>
      <w:lvlText w:val="%3."/>
      <w:lvlJc w:val="right"/>
      <w:pPr>
        <w:tabs>
          <w:tab w:val="left" w:pos="0"/>
        </w:tabs>
        <w:ind w:left="1932" w:hanging="420"/>
      </w:pPr>
    </w:lvl>
    <w:lvl w:ilvl="3" w:tentative="0">
      <w:start w:val="1"/>
      <w:numFmt w:val="decimal"/>
      <w:lvlText w:val="%4."/>
      <w:lvlJc w:val="left"/>
      <w:pPr>
        <w:tabs>
          <w:tab w:val="left" w:pos="0"/>
        </w:tabs>
        <w:ind w:left="2352" w:hanging="420"/>
      </w:pPr>
    </w:lvl>
    <w:lvl w:ilvl="4" w:tentative="0">
      <w:start w:val="1"/>
      <w:numFmt w:val="lowerLetter"/>
      <w:lvlText w:val="%5)"/>
      <w:lvlJc w:val="left"/>
      <w:pPr>
        <w:tabs>
          <w:tab w:val="left" w:pos="0"/>
        </w:tabs>
        <w:ind w:left="2772" w:hanging="420"/>
      </w:pPr>
    </w:lvl>
    <w:lvl w:ilvl="5" w:tentative="0">
      <w:start w:val="1"/>
      <w:numFmt w:val="lowerRoman"/>
      <w:lvlText w:val="%6."/>
      <w:lvlJc w:val="right"/>
      <w:pPr>
        <w:tabs>
          <w:tab w:val="left" w:pos="0"/>
        </w:tabs>
        <w:ind w:left="3192" w:hanging="420"/>
      </w:pPr>
    </w:lvl>
    <w:lvl w:ilvl="6" w:tentative="0">
      <w:start w:val="1"/>
      <w:numFmt w:val="decimal"/>
      <w:lvlText w:val="%7."/>
      <w:lvlJc w:val="left"/>
      <w:pPr>
        <w:tabs>
          <w:tab w:val="left" w:pos="0"/>
        </w:tabs>
        <w:ind w:left="3612" w:hanging="420"/>
      </w:pPr>
    </w:lvl>
    <w:lvl w:ilvl="7" w:tentative="0">
      <w:start w:val="1"/>
      <w:numFmt w:val="lowerLetter"/>
      <w:lvlText w:val="%8)"/>
      <w:lvlJc w:val="left"/>
      <w:pPr>
        <w:tabs>
          <w:tab w:val="left" w:pos="0"/>
        </w:tabs>
        <w:ind w:left="4032" w:hanging="420"/>
      </w:pPr>
    </w:lvl>
    <w:lvl w:ilvl="8" w:tentative="0">
      <w:start w:val="1"/>
      <w:numFmt w:val="lowerRoman"/>
      <w:lvlText w:val="%9."/>
      <w:lvlJc w:val="right"/>
      <w:pPr>
        <w:tabs>
          <w:tab w:val="left" w:pos="0"/>
        </w:tabs>
        <w:ind w:left="4452" w:hanging="420"/>
      </w:pPr>
    </w:lvl>
  </w:abstractNum>
  <w:num w:numId="1">
    <w:abstractNumId w:val="3"/>
  </w:num>
  <w:num w:numId="2">
    <w:abstractNumId w:val="5"/>
  </w:num>
  <w:num w:numId="3">
    <w:abstractNumId w:val="4"/>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1DC35879"/>
    <w:rsid w:val="6E681CE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8"/>
    <w:qFormat/>
    <w:uiPriority w:val="0"/>
    <w:pPr>
      <w:keepNext/>
      <w:keepLines/>
      <w:widowControl w:val="0"/>
      <w:spacing w:before="340" w:after="330" w:line="578" w:lineRule="auto"/>
      <w:outlineLvl w:val="0"/>
    </w:pPr>
    <w:rPr>
      <w:b/>
      <w:bCs/>
      <w:kern w:val="44"/>
      <w:sz w:val="44"/>
      <w:szCs w:val="44"/>
    </w:rPr>
  </w:style>
  <w:style w:type="paragraph" w:styleId="6">
    <w:name w:val="heading 2"/>
    <w:basedOn w:val="1"/>
    <w:next w:val="1"/>
    <w:link w:val="29"/>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7">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4">
    <w:name w:val="Default Paragraph Font"/>
    <w:qFormat/>
    <w:uiPriority w:val="0"/>
  </w:style>
  <w:style w:type="table" w:default="1" w:styleId="23">
    <w:name w:val="Normal Table"/>
    <w:semiHidden/>
    <w:qFormat/>
    <w:uiPriority w:val="0"/>
    <w:tblPr>
      <w:tblCellMar>
        <w:top w:w="0" w:type="dxa"/>
        <w:left w:w="108" w:type="dxa"/>
        <w:bottom w:w="0" w:type="dxa"/>
        <w:right w:w="108" w:type="dxa"/>
      </w:tblCellMar>
    </w:tblPr>
  </w:style>
  <w:style w:type="paragraph" w:styleId="2">
    <w:name w:val="footnote text"/>
    <w:basedOn w:val="1"/>
    <w:next w:val="3"/>
    <w:qFormat/>
    <w:uiPriority w:val="0"/>
    <w:pPr>
      <w:snapToGrid w:val="0"/>
      <w:jc w:val="left"/>
    </w:pPr>
    <w:rPr>
      <w:sz w:val="18"/>
      <w:szCs w:val="18"/>
    </w:rPr>
  </w:style>
  <w:style w:type="paragraph" w:styleId="3">
    <w:name w:val="Body Text First Indent 2"/>
    <w:basedOn w:val="4"/>
    <w:qFormat/>
    <w:uiPriority w:val="0"/>
    <w:pPr>
      <w:ind w:firstLine="200" w:firstLineChars="200"/>
    </w:pPr>
  </w:style>
  <w:style w:type="paragraph" w:styleId="4">
    <w:name w:val="Body Text Indent"/>
    <w:basedOn w:val="1"/>
    <w:next w:val="3"/>
    <w:qFormat/>
    <w:uiPriority w:val="0"/>
    <w:pPr>
      <w:spacing w:after="120"/>
      <w:ind w:left="200" w:leftChars="200"/>
    </w:pPr>
    <w:rPr>
      <w:rFonts w:ascii="仿宋_GB2312" w:hAnsi="仿宋_GB2312"/>
      <w:szCs w:val="32"/>
    </w:rPr>
  </w:style>
  <w:style w:type="paragraph" w:styleId="8">
    <w:name w:val="toc 7"/>
    <w:basedOn w:val="1"/>
    <w:next w:val="1"/>
    <w:autoRedefine/>
    <w:qFormat/>
    <w:uiPriority w:val="0"/>
    <w:pPr>
      <w:ind w:left="2520"/>
    </w:pPr>
  </w:style>
  <w:style w:type="paragraph" w:styleId="9">
    <w:name w:val="Body Text"/>
    <w:basedOn w:val="1"/>
    <w:qFormat/>
    <w:uiPriority w:val="0"/>
    <w:pPr>
      <w:spacing w:before="30" w:beforeLines="30"/>
    </w:pPr>
    <w:rPr>
      <w:rFonts w:ascii="仿宋_GB2312" w:eastAsia="仿宋_GB2312"/>
      <w:kern w:val="0"/>
      <w:sz w:val="30"/>
    </w:rPr>
  </w:style>
  <w:style w:type="paragraph" w:styleId="10">
    <w:name w:val="toc 5"/>
    <w:basedOn w:val="1"/>
    <w:next w:val="1"/>
    <w:autoRedefine/>
    <w:qFormat/>
    <w:uiPriority w:val="0"/>
    <w:pPr>
      <w:ind w:left="1680"/>
    </w:pPr>
  </w:style>
  <w:style w:type="paragraph" w:styleId="11">
    <w:name w:val="toc 3"/>
    <w:basedOn w:val="1"/>
    <w:next w:val="1"/>
    <w:qFormat/>
    <w:uiPriority w:val="0"/>
    <w:pPr>
      <w:tabs>
        <w:tab w:val="right" w:leader="dot" w:pos="8296"/>
      </w:tabs>
      <w:ind w:left="400" w:leftChars="400"/>
    </w:pPr>
  </w:style>
  <w:style w:type="paragraph" w:styleId="12">
    <w:name w:val="toc 8"/>
    <w:basedOn w:val="1"/>
    <w:next w:val="1"/>
    <w:autoRedefine/>
    <w:qFormat/>
    <w:uiPriority w:val="0"/>
    <w:pPr>
      <w:ind w:left="2940"/>
    </w:pPr>
  </w:style>
  <w:style w:type="paragraph" w:styleId="13">
    <w:name w:val="Balloon Text"/>
    <w:basedOn w:val="1"/>
    <w:qFormat/>
    <w:uiPriority w:val="0"/>
    <w:rPr>
      <w:sz w:val="18"/>
      <w:szCs w:val="18"/>
    </w:rPr>
  </w:style>
  <w:style w:type="paragraph" w:styleId="14">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5">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6">
    <w:name w:val="toc 1"/>
    <w:basedOn w:val="1"/>
    <w:next w:val="1"/>
    <w:qFormat/>
    <w:uiPriority w:val="0"/>
    <w:pPr>
      <w:tabs>
        <w:tab w:val="right" w:leader="dot" w:pos="8296"/>
      </w:tabs>
      <w:spacing w:before="93"/>
      <w:jc w:val="center"/>
    </w:pPr>
    <w:rPr>
      <w:rFonts w:ascii="仿宋" w:eastAsia="仿宋"/>
      <w:sz w:val="28"/>
      <w:szCs w:val="28"/>
    </w:rPr>
  </w:style>
  <w:style w:type="paragraph" w:styleId="17">
    <w:name w:val="toc 4"/>
    <w:basedOn w:val="1"/>
    <w:next w:val="1"/>
    <w:autoRedefine/>
    <w:qFormat/>
    <w:uiPriority w:val="0"/>
    <w:pPr>
      <w:ind w:left="1260"/>
    </w:pPr>
  </w:style>
  <w:style w:type="paragraph" w:styleId="18">
    <w:name w:val="toc 6"/>
    <w:basedOn w:val="1"/>
    <w:next w:val="1"/>
    <w:autoRedefine/>
    <w:qFormat/>
    <w:uiPriority w:val="0"/>
    <w:pPr>
      <w:ind w:left="2100"/>
    </w:pPr>
  </w:style>
  <w:style w:type="paragraph" w:styleId="19">
    <w:name w:val="toc 2"/>
    <w:basedOn w:val="1"/>
    <w:next w:val="1"/>
    <w:qFormat/>
    <w:uiPriority w:val="0"/>
    <w:pPr>
      <w:tabs>
        <w:tab w:val="right" w:leader="dot" w:pos="8296"/>
      </w:tabs>
      <w:ind w:left="200" w:leftChars="200"/>
    </w:pPr>
  </w:style>
  <w:style w:type="paragraph" w:styleId="20">
    <w:name w:val="toc 9"/>
    <w:basedOn w:val="1"/>
    <w:next w:val="1"/>
    <w:autoRedefine/>
    <w:qFormat/>
    <w:uiPriority w:val="0"/>
    <w:pPr>
      <w:ind w:left="3360"/>
    </w:pPr>
  </w:style>
  <w:style w:type="paragraph" w:styleId="21">
    <w:name w:val="HTML Preformatted"/>
    <w:next w:val="4"/>
    <w:qFormat/>
    <w:uiPriority w:val="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Times New Roman" w:eastAsia="宋体" w:cs="宋体"/>
      <w:kern w:val="0"/>
      <w:sz w:val="24"/>
      <w:szCs w:val="24"/>
      <w:lang w:val="en-US" w:eastAsia="zh-CN" w:bidi="ar-SA"/>
    </w:rPr>
  </w:style>
  <w:style w:type="paragraph" w:styleId="22">
    <w:name w:val="Normal (Web)"/>
    <w:next w:val="2"/>
    <w:qFormat/>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00" w:afterAutospacing="1" w:line="240" w:lineRule="auto"/>
      <w:ind w:left="0" w:right="0" w:firstLine="0"/>
      <w:contextualSpacing w:val="0"/>
      <w:jc w:val="left"/>
      <w:textAlignment w:val="auto"/>
      <w:outlineLvl w:val="9"/>
    </w:pPr>
    <w:rPr>
      <w:rFonts w:ascii="宋体" w:hAnsi="Times New Roman" w:eastAsia="宋体" w:cs="宋体"/>
      <w:snapToGrid/>
      <w:color w:val="auto"/>
      <w:spacing w:val="0"/>
      <w:w w:val="100"/>
      <w:kern w:val="0"/>
      <w:position w:val="0"/>
      <w:sz w:val="24"/>
      <w:szCs w:val="24"/>
      <w:u w:val="none" w:color="auto"/>
      <w:vertAlign w:val="baseline"/>
      <w:lang w:val="en-US" w:eastAsia="zh-CN" w:bidi="ar-SA"/>
    </w:rPr>
  </w:style>
  <w:style w:type="character" w:styleId="25">
    <w:name w:val="Strong"/>
    <w:qFormat/>
    <w:uiPriority w:val="0"/>
    <w:rPr>
      <w:b/>
    </w:rPr>
  </w:style>
  <w:style w:type="character" w:styleId="26">
    <w:name w:val="page number"/>
    <w:basedOn w:val="24"/>
    <w:qFormat/>
    <w:uiPriority w:val="0"/>
  </w:style>
  <w:style w:type="character" w:styleId="27">
    <w:name w:val="Hyperlink"/>
    <w:basedOn w:val="24"/>
    <w:qFormat/>
    <w:uiPriority w:val="0"/>
    <w:rPr>
      <w:color w:val="0000FF"/>
      <w:u w:val="single"/>
    </w:rPr>
  </w:style>
  <w:style w:type="character" w:customStyle="1" w:styleId="28">
    <w:name w:val="heading 1 Char"/>
    <w:basedOn w:val="24"/>
    <w:link w:val="5"/>
    <w:qFormat/>
    <w:uiPriority w:val="0"/>
    <w:rPr>
      <w:rFonts w:ascii="Times New Roman" w:hAnsi="Times New Roman" w:eastAsia="宋体" w:cs="Times New Roman"/>
      <w:b/>
      <w:bCs/>
      <w:kern w:val="44"/>
      <w:sz w:val="44"/>
      <w:szCs w:val="44"/>
      <w:lang w:val="en-US" w:eastAsia="zh-CN" w:bidi="ar-SA"/>
    </w:rPr>
  </w:style>
  <w:style w:type="character" w:customStyle="1" w:styleId="29">
    <w:name w:val="heading 2 Char"/>
    <w:basedOn w:val="24"/>
    <w:link w:val="6"/>
    <w:qFormat/>
    <w:uiPriority w:val="0"/>
    <w:rPr>
      <w:rFonts w:ascii="Cambria" w:hAnsi="Cambria" w:eastAsia="宋体" w:cs="Times New Roman"/>
      <w:b/>
      <w:bCs/>
      <w:kern w:val="2"/>
      <w:sz w:val="32"/>
      <w:szCs w:val="32"/>
      <w:lang w:val="en-US" w:eastAsia="zh-CN" w:bidi="ar-SA"/>
    </w:rPr>
  </w:style>
  <w:style w:type="paragraph" w:customStyle="1" w:styleId="30">
    <w:name w:val="标题 5（有编号）（绿盟科技）"/>
    <w:next w:val="1"/>
    <w:qFormat/>
    <w:uiPriority w:val="0"/>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31">
    <w:name w:val="Header Char"/>
    <w:basedOn w:val="24"/>
    <w:qFormat/>
    <w:uiPriority w:val="0"/>
    <w:rPr>
      <w:rFonts w:ascii="Times New Roman" w:hAnsi="Times New Roman"/>
      <w:sz w:val="18"/>
      <w:szCs w:val="18"/>
    </w:rPr>
  </w:style>
  <w:style w:type="character" w:customStyle="1" w:styleId="32">
    <w:name w:val="Footer Char"/>
    <w:basedOn w:val="24"/>
    <w:qFormat/>
    <w:uiPriority w:val="0"/>
    <w:rPr>
      <w:rFonts w:ascii="Times New Roman" w:hAnsi="Times New Roman"/>
      <w:sz w:val="18"/>
      <w:szCs w:val="18"/>
    </w:rPr>
  </w:style>
  <w:style w:type="character" w:customStyle="1" w:styleId="33">
    <w:name w:val="Body Text Char"/>
    <w:basedOn w:val="24"/>
    <w:qFormat/>
    <w:uiPriority w:val="0"/>
    <w:rPr>
      <w:rFonts w:ascii="Times New Roman" w:hAnsi="Times New Roman"/>
      <w:szCs w:val="24"/>
    </w:rPr>
  </w:style>
  <w:style w:type="paragraph" w:customStyle="1" w:styleId="34">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35">
    <w:name w:val="List Paragraph"/>
    <w:basedOn w:val="1"/>
    <w:qFormat/>
    <w:uiPriority w:val="0"/>
    <w:pPr>
      <w:ind w:firstLine="200" w:firstLineChars="200"/>
    </w:pPr>
  </w:style>
  <w:style w:type="paragraph" w:customStyle="1" w:styleId="36">
    <w:name w:val="TOC 标题1"/>
    <w:basedOn w:val="5"/>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37">
    <w:name w:val="TOC Heading"/>
    <w:basedOn w:val="5"/>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38">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1.bmp"/><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image" Target="media/image7.bmp"/><Relationship Id="rId14" Type="http://schemas.openxmlformats.org/officeDocument/2006/relationships/image" Target="media/image6.bmp"/><Relationship Id="rId13" Type="http://schemas.openxmlformats.org/officeDocument/2006/relationships/image" Target="media/image5.bmp"/><Relationship Id="rId12" Type="http://schemas.openxmlformats.org/officeDocument/2006/relationships/image" Target="media/image4.bmp"/><Relationship Id="rId11" Type="http://schemas.openxmlformats.org/officeDocument/2006/relationships/image" Target="media/image3.bmp"/><Relationship Id="rId10" Type="http://schemas.openxmlformats.org/officeDocument/2006/relationships/image" Target="media/image2.bmp"/><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35</Pages>
  <Words>13022</Words>
  <Characters>14152</Characters>
  <Lines>823</Lines>
  <Paragraphs>366</Paragraphs>
  <TotalTime>24</TotalTime>
  <ScaleCrop>false</ScaleCrop>
  <LinksUpToDate>false</LinksUpToDate>
  <CharactersWithSpaces>14310</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Keys</cp:lastModifiedBy>
  <cp:lastPrinted>2025-08-06T17:34:00Z</cp:lastPrinted>
  <dcterms:modified xsi:type="dcterms:W3CDTF">2026-04-17T07:24:50Z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04787F2533EB45DC91BCDE4AB213247F</vt:lpwstr>
  </property>
  <property fmtid="{D5CDD505-2E9C-101B-9397-08002B2CF9AE}" pid="4" name="KSOTemplateDocerSaveRecord">
    <vt:lpwstr>eyJoZGlkIjoiYjBmMGI4NjQwMWUzOTYxMDBiN2Y1NTkxNTIxOTgxNWQiLCJ1c2VySWQiOiI5NzExNDI0MjEifQ==</vt:lpwstr>
  </property>
</Properties>
</file>