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5276E">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7193"/>
      <w:bookmarkStart w:id="2" w:name="_Toc15377425"/>
      <w:bookmarkStart w:id="3" w:name="_Toc15378441"/>
      <w:bookmarkStart w:id="4" w:name="_Toc15396597"/>
      <w:bookmarkStart w:id="5" w:name="_Toc15306267"/>
    </w:p>
    <w:p w14:paraId="741578F7">
      <w:pPr>
        <w:pStyle w:val="8"/>
        <w:rPr>
          <w:rFonts w:hint="eastAsia" w:ascii="Times New Roman" w:hAnsi="Times New Roman" w:eastAsia="方正小标宋简体" w:cs="Times New Roman"/>
          <w:color w:val="auto"/>
          <w:kern w:val="2"/>
          <w:sz w:val="72"/>
          <w:szCs w:val="72"/>
          <w:highlight w:val="none"/>
          <w:lang w:val="en-US" w:eastAsia="zh-CN" w:bidi="ar-SA"/>
        </w:rPr>
      </w:pPr>
    </w:p>
    <w:p w14:paraId="3659CEFC">
      <w:pPr>
        <w:pStyle w:val="8"/>
        <w:rPr>
          <w:rFonts w:hint="eastAsia" w:ascii="Times New Roman" w:hAnsi="Times New Roman" w:eastAsia="方正小标宋简体" w:cs="Times New Roman"/>
          <w:color w:val="auto"/>
          <w:kern w:val="2"/>
          <w:sz w:val="72"/>
          <w:szCs w:val="72"/>
          <w:highlight w:val="none"/>
          <w:lang w:val="en-US" w:eastAsia="zh-CN" w:bidi="ar-SA"/>
        </w:rPr>
      </w:pPr>
    </w:p>
    <w:p w14:paraId="1D3ED5F3">
      <w:pPr>
        <w:pStyle w:val="8"/>
        <w:jc w:val="center"/>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p>
    <w:p w14:paraId="42D4A052">
      <w:pPr>
        <w:pStyle w:val="8"/>
        <w:jc w:val="center"/>
        <w:rPr>
          <w:rFonts w:ascii="Times New Roman" w:hAnsi="Times New Roman" w:eastAsia="方正小标宋简体" w:cs="Times New Roman"/>
          <w:color w:val="auto"/>
          <w:kern w:val="2"/>
          <w:sz w:val="44"/>
          <w:szCs w:val="44"/>
          <w:highlight w:val="none"/>
          <w:lang w:val="en-US" w:eastAsia="zh-CN" w:bidi="ar-SA"/>
        </w:rPr>
      </w:pPr>
      <w:r>
        <w:rPr>
          <w:rFonts w:ascii="Times New Roman" w:hAnsi="Times New Roman" w:eastAsia="方正小标宋简体" w:cs="Times New Roman"/>
          <w:color w:val="auto"/>
          <w:kern w:val="2"/>
          <w:sz w:val="44"/>
          <w:szCs w:val="44"/>
          <w:highlight w:val="none"/>
          <w:lang w:val="en-US" w:eastAsia="zh-CN" w:bidi="ar-SA"/>
        </w:rPr>
        <w:t>四川省阿坝州九寨沟县自然资源局</w:t>
      </w:r>
    </w:p>
    <w:p w14:paraId="41C51B38">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单位决算</w:t>
      </w:r>
    </w:p>
    <w:p w14:paraId="326D9FD6">
      <w:pPr>
        <w:pStyle w:val="8"/>
        <w:jc w:val="center"/>
        <w:rPr>
          <w:rFonts w:ascii="Times New Roman" w:hAnsi="Times New Roman" w:eastAsia="方正小标宋简体" w:cs="Times New Roman"/>
          <w:color w:val="auto"/>
          <w:kern w:val="2"/>
          <w:sz w:val="44"/>
          <w:szCs w:val="44"/>
          <w:highlight w:val="none"/>
          <w:lang w:val="en-US" w:eastAsia="zh-CN" w:bidi="ar-SA"/>
        </w:rPr>
      </w:pPr>
    </w:p>
    <w:p w14:paraId="35C1F24F">
      <w:pPr>
        <w:spacing w:line="600" w:lineRule="exact"/>
        <w:jc w:val="center"/>
        <w:outlineLvl w:val="0"/>
        <w:rPr>
          <w:rFonts w:ascii="Times New Roman" w:hAnsi="Times New Roman" w:eastAsia="方正小标宋简体"/>
          <w:color w:val="auto"/>
          <w:sz w:val="72"/>
          <w:szCs w:val="72"/>
          <w:highlight w:val="none"/>
        </w:rPr>
      </w:pPr>
    </w:p>
    <w:p w14:paraId="25E533C1">
      <w:pPr>
        <w:pStyle w:val="23"/>
        <w:rPr>
          <w:rFonts w:ascii="Times New Roman" w:hAnsi="Times New Roman"/>
        </w:rPr>
        <w:sectPr>
          <w:headerReference r:id="rId3" w:type="default"/>
          <w:footerReference r:id="rId4" w:type="default"/>
          <w:footerReference r:id="rId5" w:type="even"/>
          <w:pgSz w:w="11906" w:h="16838"/>
          <w:pgMar w:top="1440" w:right="1800" w:bottom="1440" w:left="1800" w:header="851" w:footer="992" w:gutter="0"/>
          <w:pgNumType w:fmt="numberInDash" w:start="1"/>
          <w:cols w:space="720" w:num="1"/>
          <w:titlePg/>
          <w:docGrid w:type="lines" w:linePitch="312" w:charSpace="0"/>
        </w:sectPr>
      </w:pPr>
    </w:p>
    <w:p w14:paraId="4E99D584">
      <w:pPr>
        <w:rPr>
          <w:rFonts w:ascii="Times New Roman" w:hAnsi="Times New Roman"/>
        </w:rPr>
      </w:pPr>
    </w:p>
    <w:bookmarkEnd w:id="0"/>
    <w:bookmarkEnd w:id="1"/>
    <w:bookmarkEnd w:id="2"/>
    <w:bookmarkEnd w:id="3"/>
    <w:bookmarkEnd w:id="4"/>
    <w:bookmarkEnd w:id="5"/>
    <w:p w14:paraId="6679BE8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4502C218">
      <w:pPr>
        <w:widowControl/>
        <w:jc w:val="center"/>
        <w:rPr>
          <w:rFonts w:ascii="Times New Roman" w:hAnsi="Times New Roman" w:eastAsia="黑体" w:cs="Arial"/>
          <w:color w:val="auto"/>
          <w:sz w:val="28"/>
          <w:szCs w:val="28"/>
          <w:highlight w:val="none"/>
        </w:rPr>
      </w:pPr>
    </w:p>
    <w:p w14:paraId="1B69707E">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日</w:t>
      </w:r>
    </w:p>
    <w:p w14:paraId="787B88AA">
      <w:pPr>
        <w:pStyle w:val="13"/>
        <w:keepNext w:val="0"/>
        <w:keepLines w:val="0"/>
        <w:pageBreakBefore w:val="0"/>
        <w:widowControl w:val="0"/>
        <w:tabs>
          <w:tab w:val="right" w:leader="dot" w:pos="8306"/>
        </w:tabs>
        <w:bidi w:val="0"/>
        <w:jc w:val="center"/>
      </w:pPr>
      <w:r>
        <w:rPr>
          <w:rFonts w:ascii="Times New Roman" w:hAnsi="Times New Roman" w:eastAsia="黑体" w:cs="黑体"/>
          <w:color w:val="auto"/>
          <w:sz w:val="32"/>
          <w:szCs w:val="32"/>
          <w:highlight w:val="none"/>
        </w:rPr>
        <w:fldChar w:fldCharType="begin"/>
      </w:r>
      <w:r>
        <w:rPr>
          <w:rFonts w:ascii="Times New Roman" w:hAnsi="Times New Roman" w:eastAsia="黑体" w:cs="黑体"/>
          <w:color w:val="auto"/>
          <w:sz w:val="32"/>
          <w:szCs w:val="32"/>
          <w:highlight w:val="none"/>
        </w:rPr>
        <w:instrText xml:space="preserve"> TOC \o "1-3" \h \u</w:instrText>
      </w:r>
      <w:r>
        <w:rPr>
          <w:rFonts w:ascii="Times New Roman" w:hAnsi="Times New Roman" w:eastAsia="黑体" w:cs="黑体"/>
          <w:color w:val="auto"/>
          <w:sz w:val="32"/>
          <w:szCs w:val="32"/>
          <w:highlight w:val="none"/>
        </w:rPr>
        <w:fldChar w:fldCharType="separate"/>
      </w:r>
      <w:r>
        <w:fldChar w:fldCharType="begin"/>
      </w:r>
      <w:r>
        <w:instrText xml:space="preserve">Hyperlink \l "_Toc80393788"</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kern w:val="44"/>
          <w:szCs w:val="44"/>
          <w:lang w:val="en-US" w:eastAsia="zh-CN" w:bidi="ar-SA"/>
        </w:rPr>
        <w:t>部门概况</w:t>
      </w:r>
      <w:r>
        <w:tab/>
      </w:r>
      <w:r>
        <w:fldChar w:fldCharType="begin"/>
      </w:r>
      <w:r>
        <w:instrText xml:space="preserve">PageRef _Toc80393788 \h</w:instrText>
      </w:r>
      <w:r>
        <w:fldChar w:fldCharType="separate"/>
      </w:r>
      <w:r>
        <w:t>- 2 -</w:t>
      </w:r>
      <w:r>
        <w:fldChar w:fldCharType="end"/>
      </w:r>
      <w:r>
        <w:fldChar w:fldCharType="end"/>
      </w:r>
    </w:p>
    <w:p w14:paraId="1108A9A5">
      <w:pPr>
        <w:pStyle w:val="14"/>
        <w:keepNext w:val="0"/>
        <w:keepLines w:val="0"/>
        <w:pageBreakBefore w:val="0"/>
        <w:widowControl w:val="0"/>
        <w:tabs>
          <w:tab w:val="right" w:leader="dot" w:pos="8306"/>
        </w:tabs>
        <w:bidi w:val="0"/>
        <w:ind w:left="420" w:leftChars="200"/>
      </w:pPr>
      <w:r>
        <w:fldChar w:fldCharType="begin"/>
      </w:r>
      <w:r>
        <w:instrText xml:space="preserve">Hyperlink \l "_Toc80393789"</w:instrText>
      </w:r>
      <w:r>
        <w:fldChar w:fldCharType="separate"/>
      </w:r>
      <w:r>
        <w:rPr>
          <w:rFonts w:hint="eastAsia" w:ascii="Times New Roman" w:hAnsi="Times New Roman" w:eastAsia="黑体"/>
          <w:highlight w:val="none"/>
          <w:u w:color="auto"/>
          <w:shd w:val="clear" w:color="auto" w:fill="auto"/>
          <w:lang w:eastAsia="zh-CN"/>
        </w:rPr>
        <w:t>一、</w:t>
      </w:r>
      <w:r>
        <w:t xml:space="preserve">  </w:t>
      </w:r>
      <w:r>
        <w:rPr>
          <w:rFonts w:hint="eastAsia" w:ascii="Times New Roman" w:hAnsi="Times New Roman" w:eastAsia="黑体"/>
          <w:highlight w:val="none"/>
          <w:lang w:eastAsia="zh-CN"/>
        </w:rPr>
        <w:t>部门职责</w:t>
      </w:r>
      <w:r>
        <w:tab/>
      </w:r>
      <w:r>
        <w:fldChar w:fldCharType="begin"/>
      </w:r>
      <w:r>
        <w:instrText xml:space="preserve">PageRef _Toc80393789 \h</w:instrText>
      </w:r>
      <w:r>
        <w:fldChar w:fldCharType="separate"/>
      </w:r>
      <w:r>
        <w:t>- 2 -</w:t>
      </w:r>
      <w:r>
        <w:fldChar w:fldCharType="end"/>
      </w:r>
      <w:r>
        <w:fldChar w:fldCharType="end"/>
      </w:r>
    </w:p>
    <w:p w14:paraId="6D9731FC">
      <w:pPr>
        <w:pStyle w:val="14"/>
        <w:keepNext w:val="0"/>
        <w:keepLines w:val="0"/>
        <w:pageBreakBefore w:val="0"/>
        <w:widowControl w:val="0"/>
        <w:tabs>
          <w:tab w:val="right" w:leader="dot" w:pos="8306"/>
        </w:tabs>
        <w:bidi w:val="0"/>
        <w:ind w:left="420" w:leftChars="200"/>
      </w:pPr>
      <w:r>
        <w:fldChar w:fldCharType="begin"/>
      </w:r>
      <w:r>
        <w:instrText xml:space="preserve">Hyperlink \l "_Toc80393790"</w:instrText>
      </w:r>
      <w:r>
        <w:fldChar w:fldCharType="separate"/>
      </w:r>
      <w:r>
        <w:rPr>
          <w:rFonts w:hint="eastAsia" w:ascii="Times New Roman" w:hAnsi="Times New Roman" w:eastAsia="黑体"/>
          <w:highlight w:val="none"/>
        </w:rPr>
        <w:t>二、机</w:t>
      </w:r>
      <w:r>
        <w:rPr>
          <w:rFonts w:hint="eastAsia" w:ascii="Times New Roman" w:hAnsi="Times New Roman" w:eastAsia="黑体" w:cs="Times New Roman"/>
          <w:bCs w:val="0"/>
          <w:kern w:val="2"/>
          <w:szCs w:val="32"/>
          <w:lang w:val="en-US" w:eastAsia="zh-CN" w:bidi="ar-SA"/>
        </w:rPr>
        <w:t>构设置</w:t>
      </w:r>
      <w:r>
        <w:tab/>
      </w:r>
      <w:r>
        <w:fldChar w:fldCharType="begin"/>
      </w:r>
      <w:r>
        <w:instrText xml:space="preserve">PageRef _Toc80393790 \h</w:instrText>
      </w:r>
      <w:r>
        <w:fldChar w:fldCharType="separate"/>
      </w:r>
      <w:r>
        <w:t>- 2 -</w:t>
      </w:r>
      <w:r>
        <w:fldChar w:fldCharType="end"/>
      </w:r>
      <w:r>
        <w:fldChar w:fldCharType="end"/>
      </w:r>
    </w:p>
    <w:p w14:paraId="3DE4B97C">
      <w:pPr>
        <w:pStyle w:val="13"/>
        <w:keepNext w:val="0"/>
        <w:keepLines w:val="0"/>
        <w:pageBreakBefore w:val="0"/>
        <w:widowControl w:val="0"/>
        <w:tabs>
          <w:tab w:val="right" w:leader="dot" w:pos="8306"/>
        </w:tabs>
        <w:bidi w:val="0"/>
        <w:jc w:val="center"/>
      </w:pPr>
      <w:r>
        <w:fldChar w:fldCharType="begin"/>
      </w:r>
      <w:r>
        <w:instrText xml:space="preserve">Hyperlink \l "_Toc80393791"</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PageRef _Toc80393791 \h</w:instrText>
      </w:r>
      <w:r>
        <w:fldChar w:fldCharType="separate"/>
      </w:r>
      <w:r>
        <w:t>- 3 -</w:t>
      </w:r>
      <w:r>
        <w:fldChar w:fldCharType="end"/>
      </w:r>
      <w:r>
        <w:fldChar w:fldCharType="end"/>
      </w:r>
    </w:p>
    <w:p w14:paraId="296FB457">
      <w:pPr>
        <w:pStyle w:val="14"/>
        <w:keepNext w:val="0"/>
        <w:keepLines w:val="0"/>
        <w:pageBreakBefore w:val="0"/>
        <w:widowControl w:val="0"/>
        <w:tabs>
          <w:tab w:val="right" w:leader="dot" w:pos="8306"/>
        </w:tabs>
        <w:bidi w:val="0"/>
        <w:ind w:left="420" w:leftChars="200"/>
      </w:pPr>
      <w:r>
        <w:fldChar w:fldCharType="begin"/>
      </w:r>
      <w:r>
        <w:instrText xml:space="preserve">Hyperlink \l "_Toc80393792"</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cs="Times New Roman"/>
          <w:bCs/>
          <w:kern w:val="2"/>
          <w:szCs w:val="32"/>
          <w:lang w:val="en-US" w:eastAsia="zh-CN" w:bidi="ar-SA"/>
        </w:rPr>
        <w:t>入支出决算总体情况说明</w:t>
      </w:r>
      <w:r>
        <w:tab/>
      </w:r>
      <w:r>
        <w:fldChar w:fldCharType="begin"/>
      </w:r>
      <w:r>
        <w:instrText xml:space="preserve">PageRef _Toc80393792 \h</w:instrText>
      </w:r>
      <w:r>
        <w:fldChar w:fldCharType="separate"/>
      </w:r>
      <w:r>
        <w:t>- 3 -</w:t>
      </w:r>
      <w:r>
        <w:fldChar w:fldCharType="end"/>
      </w:r>
      <w:r>
        <w:fldChar w:fldCharType="end"/>
      </w:r>
    </w:p>
    <w:p w14:paraId="03E5DEB0">
      <w:pPr>
        <w:pStyle w:val="14"/>
        <w:keepNext w:val="0"/>
        <w:keepLines w:val="0"/>
        <w:pageBreakBefore w:val="0"/>
        <w:widowControl w:val="0"/>
        <w:tabs>
          <w:tab w:val="right" w:leader="dot" w:pos="8306"/>
        </w:tabs>
        <w:bidi w:val="0"/>
        <w:ind w:left="420" w:leftChars="200"/>
      </w:pPr>
      <w:r>
        <w:fldChar w:fldCharType="begin"/>
      </w:r>
      <w:r>
        <w:instrText xml:space="preserve">Hyperlink \l "_Toc80393794"</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PageRef _Toc80393794 \h</w:instrText>
      </w:r>
      <w:r>
        <w:fldChar w:fldCharType="separate"/>
      </w:r>
      <w:r>
        <w:t>- 3 -</w:t>
      </w:r>
      <w:r>
        <w:fldChar w:fldCharType="end"/>
      </w:r>
      <w:r>
        <w:fldChar w:fldCharType="end"/>
      </w:r>
    </w:p>
    <w:p w14:paraId="67B64E6E">
      <w:pPr>
        <w:pStyle w:val="14"/>
        <w:keepNext w:val="0"/>
        <w:keepLines w:val="0"/>
        <w:pageBreakBefore w:val="0"/>
        <w:widowControl w:val="0"/>
        <w:tabs>
          <w:tab w:val="right" w:leader="dot" w:pos="8306"/>
        </w:tabs>
        <w:bidi w:val="0"/>
        <w:ind w:left="420" w:leftChars="200"/>
      </w:pPr>
      <w:r>
        <w:fldChar w:fldCharType="begin"/>
      </w:r>
      <w:r>
        <w:instrText xml:space="preserve">Hyperlink \l "_Toc80393796"</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cs="Times New Roman"/>
          <w:bCs/>
          <w:kern w:val="2"/>
          <w:szCs w:val="32"/>
          <w:lang w:val="en-US" w:eastAsia="zh-CN" w:bidi="ar-SA"/>
        </w:rPr>
        <w:t>出决算情况说明</w:t>
      </w:r>
      <w:r>
        <w:tab/>
      </w:r>
      <w:r>
        <w:fldChar w:fldCharType="begin"/>
      </w:r>
      <w:r>
        <w:instrText xml:space="preserve">PageRef _Toc80393796 \h</w:instrText>
      </w:r>
      <w:r>
        <w:fldChar w:fldCharType="separate"/>
      </w:r>
      <w:r>
        <w:t>- 4 -</w:t>
      </w:r>
      <w:r>
        <w:fldChar w:fldCharType="end"/>
      </w:r>
      <w:r>
        <w:fldChar w:fldCharType="end"/>
      </w:r>
    </w:p>
    <w:p w14:paraId="0DDD2CEF">
      <w:pPr>
        <w:pStyle w:val="14"/>
        <w:keepNext w:val="0"/>
        <w:keepLines w:val="0"/>
        <w:pageBreakBefore w:val="0"/>
        <w:widowControl w:val="0"/>
        <w:tabs>
          <w:tab w:val="right" w:leader="dot" w:pos="8306"/>
        </w:tabs>
        <w:bidi w:val="0"/>
        <w:ind w:left="420" w:leftChars="200"/>
      </w:pPr>
      <w:r>
        <w:fldChar w:fldCharType="begin"/>
      </w:r>
      <w:r>
        <w:instrText xml:space="preserve">Hyperlink \l "_Toc80393797"</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cs="Times New Roman"/>
          <w:bCs/>
          <w:kern w:val="2"/>
          <w:szCs w:val="32"/>
          <w:lang w:val="en-US" w:eastAsia="zh-CN" w:bidi="ar-SA"/>
        </w:rPr>
        <w:t>政拨款收入支出决算总体情况说明</w:t>
      </w:r>
      <w:r>
        <w:tab/>
      </w:r>
      <w:r>
        <w:fldChar w:fldCharType="begin"/>
      </w:r>
      <w:r>
        <w:instrText xml:space="preserve">PageRef _Toc80393797 \h</w:instrText>
      </w:r>
      <w:r>
        <w:fldChar w:fldCharType="separate"/>
      </w:r>
      <w:r>
        <w:t>- 4 -</w:t>
      </w:r>
      <w:r>
        <w:fldChar w:fldCharType="end"/>
      </w:r>
      <w:r>
        <w:fldChar w:fldCharType="end"/>
      </w:r>
    </w:p>
    <w:p w14:paraId="55159FF9">
      <w:pPr>
        <w:pStyle w:val="14"/>
        <w:keepNext w:val="0"/>
        <w:keepLines w:val="0"/>
        <w:pageBreakBefore w:val="0"/>
        <w:widowControl w:val="0"/>
        <w:tabs>
          <w:tab w:val="right" w:leader="dot" w:pos="8306"/>
        </w:tabs>
        <w:bidi w:val="0"/>
        <w:ind w:left="420" w:leftChars="200"/>
      </w:pPr>
      <w:r>
        <w:fldChar w:fldCharType="begin"/>
      </w:r>
      <w:r>
        <w:instrText xml:space="preserve">Hyperlink \l "_Toc80393798"</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cs="Times New Roman"/>
          <w:bCs/>
          <w:kern w:val="2"/>
          <w:szCs w:val="32"/>
          <w:lang w:val="en-US" w:eastAsia="zh-CN" w:bidi="ar-SA"/>
        </w:rPr>
        <w:t>般公共预算财政拨款支出决算情况说明</w:t>
      </w:r>
      <w:r>
        <w:tab/>
      </w:r>
      <w:r>
        <w:fldChar w:fldCharType="begin"/>
      </w:r>
      <w:r>
        <w:instrText xml:space="preserve">PageRef _Toc80393798 \h</w:instrText>
      </w:r>
      <w:r>
        <w:fldChar w:fldCharType="separate"/>
      </w:r>
      <w:r>
        <w:t>- 5 -</w:t>
      </w:r>
      <w:r>
        <w:fldChar w:fldCharType="end"/>
      </w:r>
      <w:r>
        <w:fldChar w:fldCharType="end"/>
      </w:r>
    </w:p>
    <w:p w14:paraId="4273944D">
      <w:pPr>
        <w:pStyle w:val="9"/>
        <w:keepNext w:val="0"/>
        <w:keepLines w:val="0"/>
        <w:pageBreakBefore w:val="0"/>
        <w:widowControl w:val="0"/>
        <w:tabs>
          <w:tab w:val="right" w:leader="dot" w:pos="8306"/>
        </w:tabs>
        <w:bidi w:val="0"/>
        <w:ind w:left="840" w:leftChars="400"/>
      </w:pPr>
      <w:r>
        <w:fldChar w:fldCharType="begin"/>
      </w:r>
      <w:r>
        <w:instrText xml:space="preserve">Hyperlink \l "_Toc80393799"</w:instrText>
      </w:r>
      <w: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PageRef _Toc80393799 \h</w:instrText>
      </w:r>
      <w:r>
        <w:fldChar w:fldCharType="separate"/>
      </w:r>
      <w:r>
        <w:t>- 5 -</w:t>
      </w:r>
      <w:r>
        <w:fldChar w:fldCharType="end"/>
      </w:r>
      <w:r>
        <w:fldChar w:fldCharType="end"/>
      </w:r>
    </w:p>
    <w:p w14:paraId="1B0C5437">
      <w:pPr>
        <w:pStyle w:val="9"/>
        <w:keepNext w:val="0"/>
        <w:keepLines w:val="0"/>
        <w:pageBreakBefore w:val="0"/>
        <w:widowControl w:val="0"/>
        <w:tabs>
          <w:tab w:val="right" w:leader="dot" w:pos="8306"/>
        </w:tabs>
        <w:bidi w:val="0"/>
        <w:ind w:left="840" w:leftChars="400"/>
      </w:pPr>
      <w:r>
        <w:fldChar w:fldCharType="begin"/>
      </w:r>
      <w:r>
        <w:instrText xml:space="preserve">Hyperlink \l "_Toc80393800"</w:instrText>
      </w:r>
      <w: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PageRef _Toc80393800 \h</w:instrText>
      </w:r>
      <w:r>
        <w:fldChar w:fldCharType="separate"/>
      </w:r>
      <w:r>
        <w:t>- 6 -</w:t>
      </w:r>
      <w:r>
        <w:fldChar w:fldCharType="end"/>
      </w:r>
      <w:r>
        <w:fldChar w:fldCharType="end"/>
      </w:r>
    </w:p>
    <w:p w14:paraId="78A85529">
      <w:pPr>
        <w:pStyle w:val="9"/>
        <w:keepNext w:val="0"/>
        <w:keepLines w:val="0"/>
        <w:pageBreakBefore w:val="0"/>
        <w:widowControl w:val="0"/>
        <w:tabs>
          <w:tab w:val="right" w:leader="dot" w:pos="8306"/>
        </w:tabs>
        <w:bidi w:val="0"/>
        <w:ind w:left="840" w:leftChars="400"/>
      </w:pPr>
      <w:r>
        <w:fldChar w:fldCharType="begin"/>
      </w:r>
      <w:r>
        <w:instrText xml:space="preserve">Hyperlink \l "_Toc80393801"</w:instrText>
      </w:r>
      <w: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PageRef _Toc80393801 \h</w:instrText>
      </w:r>
      <w:r>
        <w:fldChar w:fldCharType="separate"/>
      </w:r>
      <w:r>
        <w:t>- 7 -</w:t>
      </w:r>
      <w:r>
        <w:fldChar w:fldCharType="end"/>
      </w:r>
      <w:r>
        <w:fldChar w:fldCharType="end"/>
      </w:r>
    </w:p>
    <w:p w14:paraId="007C70C8">
      <w:pPr>
        <w:pStyle w:val="14"/>
        <w:keepNext w:val="0"/>
        <w:keepLines w:val="0"/>
        <w:pageBreakBefore w:val="0"/>
        <w:widowControl w:val="0"/>
        <w:tabs>
          <w:tab w:val="right" w:leader="dot" w:pos="8306"/>
        </w:tabs>
        <w:bidi w:val="0"/>
        <w:ind w:left="420" w:leftChars="200"/>
      </w:pPr>
      <w:r>
        <w:fldChar w:fldCharType="begin"/>
      </w:r>
      <w:r>
        <w:instrText xml:space="preserve">Hyperlink \l "_Toc80393802"</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cs="Times New Roman"/>
          <w:bCs/>
          <w:kern w:val="2"/>
          <w:szCs w:val="32"/>
          <w:lang w:val="en-US" w:eastAsia="zh-CN" w:bidi="ar-SA"/>
        </w:rPr>
        <w:t>般公共预算财政拨款基本支出决算情况说明</w:t>
      </w:r>
      <w:r>
        <w:tab/>
      </w:r>
      <w:r>
        <w:fldChar w:fldCharType="begin"/>
      </w:r>
      <w:r>
        <w:instrText xml:space="preserve">PageRef _Toc80393802 \h</w:instrText>
      </w:r>
      <w:r>
        <w:fldChar w:fldCharType="separate"/>
      </w:r>
      <w:r>
        <w:t>- 8 -</w:t>
      </w:r>
      <w:r>
        <w:fldChar w:fldCharType="end"/>
      </w:r>
      <w:r>
        <w:fldChar w:fldCharType="end"/>
      </w:r>
    </w:p>
    <w:p w14:paraId="4ECFDFB1">
      <w:pPr>
        <w:pStyle w:val="14"/>
        <w:keepNext w:val="0"/>
        <w:keepLines w:val="0"/>
        <w:pageBreakBefore w:val="0"/>
        <w:widowControl w:val="0"/>
        <w:tabs>
          <w:tab w:val="right" w:leader="dot" w:pos="8306"/>
        </w:tabs>
        <w:bidi w:val="0"/>
        <w:ind w:left="420" w:leftChars="200"/>
      </w:pPr>
      <w:r>
        <w:fldChar w:fldCharType="begin"/>
      </w:r>
      <w:r>
        <w:instrText xml:space="preserve">Hyperlink \l "_Toc80393803"</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cs="Times New Roman"/>
          <w:bCs/>
          <w:kern w:val="2"/>
          <w:szCs w:val="32"/>
          <w:lang w:val="en-US" w:eastAsia="zh-CN" w:bidi="ar-SA"/>
        </w:rPr>
        <w:t>财政拨款“三公”经费支出决算情况说明</w:t>
      </w:r>
      <w:r>
        <w:tab/>
      </w:r>
      <w:r>
        <w:fldChar w:fldCharType="begin"/>
      </w:r>
      <w:r>
        <w:instrText xml:space="preserve">PageRef _Toc80393803 \h</w:instrText>
      </w:r>
      <w:r>
        <w:fldChar w:fldCharType="separate"/>
      </w:r>
      <w:r>
        <w:t>- 9 -</w:t>
      </w:r>
      <w:r>
        <w:fldChar w:fldCharType="end"/>
      </w:r>
      <w:r>
        <w:fldChar w:fldCharType="end"/>
      </w:r>
    </w:p>
    <w:p w14:paraId="428EF6C5">
      <w:pPr>
        <w:pStyle w:val="9"/>
        <w:keepNext w:val="0"/>
        <w:keepLines w:val="0"/>
        <w:pageBreakBefore w:val="0"/>
        <w:widowControl w:val="0"/>
        <w:tabs>
          <w:tab w:val="right" w:leader="dot" w:pos="8306"/>
        </w:tabs>
        <w:bidi w:val="0"/>
        <w:ind w:left="840" w:leftChars="400"/>
      </w:pPr>
      <w:r>
        <w:fldChar w:fldCharType="begin"/>
      </w:r>
      <w:r>
        <w:instrText xml:space="preserve">Hyperlink \l "_Toc80393804"</w:instrText>
      </w:r>
      <w: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PageRef _Toc80393804 \h</w:instrText>
      </w:r>
      <w:r>
        <w:fldChar w:fldCharType="separate"/>
      </w:r>
      <w:r>
        <w:t>- 9 -</w:t>
      </w:r>
      <w:r>
        <w:fldChar w:fldCharType="end"/>
      </w:r>
      <w:r>
        <w:fldChar w:fldCharType="end"/>
      </w:r>
    </w:p>
    <w:p w14:paraId="42943884">
      <w:pPr>
        <w:pStyle w:val="9"/>
        <w:keepNext w:val="0"/>
        <w:keepLines w:val="0"/>
        <w:pageBreakBefore w:val="0"/>
        <w:widowControl w:val="0"/>
        <w:tabs>
          <w:tab w:val="right" w:leader="dot" w:pos="8306"/>
        </w:tabs>
        <w:bidi w:val="0"/>
        <w:ind w:left="840" w:leftChars="400"/>
      </w:pPr>
      <w:r>
        <w:fldChar w:fldCharType="begin"/>
      </w:r>
      <w:r>
        <w:instrText xml:space="preserve">Hyperlink \l "_Toc80393805"</w:instrText>
      </w:r>
      <w: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PageRef _Toc80393805 \h</w:instrText>
      </w:r>
      <w:r>
        <w:fldChar w:fldCharType="separate"/>
      </w:r>
      <w:r>
        <w:t>- 9 -</w:t>
      </w:r>
      <w:r>
        <w:fldChar w:fldCharType="end"/>
      </w:r>
      <w:r>
        <w:fldChar w:fldCharType="end"/>
      </w:r>
    </w:p>
    <w:p w14:paraId="44F62BD2">
      <w:pPr>
        <w:pStyle w:val="14"/>
        <w:keepNext w:val="0"/>
        <w:keepLines w:val="0"/>
        <w:pageBreakBefore w:val="0"/>
        <w:widowControl w:val="0"/>
        <w:tabs>
          <w:tab w:val="right" w:leader="dot" w:pos="8306"/>
        </w:tabs>
        <w:bidi w:val="0"/>
        <w:ind w:left="420" w:leftChars="200"/>
      </w:pPr>
      <w:r>
        <w:fldChar w:fldCharType="begin"/>
      </w:r>
      <w:r>
        <w:instrText xml:space="preserve">Hyperlink \l "_Toc80393806"</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cs="Times New Roman"/>
          <w:bCs/>
          <w:kern w:val="2"/>
          <w:szCs w:val="32"/>
          <w:lang w:val="en-US" w:eastAsia="zh-CN" w:bidi="ar-SA"/>
        </w:rPr>
        <w:t>政府性基金预算支出决算情况说明</w:t>
      </w:r>
      <w:r>
        <w:tab/>
      </w:r>
      <w:r>
        <w:fldChar w:fldCharType="begin"/>
      </w:r>
      <w:r>
        <w:instrText xml:space="preserve">PageRef _Toc80393806 \h</w:instrText>
      </w:r>
      <w:r>
        <w:fldChar w:fldCharType="separate"/>
      </w:r>
      <w:r>
        <w:t>- 10 -</w:t>
      </w:r>
      <w:r>
        <w:fldChar w:fldCharType="end"/>
      </w:r>
      <w:r>
        <w:fldChar w:fldCharType="end"/>
      </w:r>
    </w:p>
    <w:p w14:paraId="723B1487">
      <w:pPr>
        <w:pStyle w:val="14"/>
        <w:keepNext w:val="0"/>
        <w:keepLines w:val="0"/>
        <w:pageBreakBefore w:val="0"/>
        <w:widowControl w:val="0"/>
        <w:tabs>
          <w:tab w:val="right" w:leader="dot" w:pos="8306"/>
        </w:tabs>
        <w:bidi w:val="0"/>
        <w:ind w:left="420" w:leftChars="200"/>
      </w:pPr>
      <w:r>
        <w:fldChar w:fldCharType="begin"/>
      </w:r>
      <w:r>
        <w:instrText xml:space="preserve">Hyperlink \l "_Toc80393807"</w:instrText>
      </w:r>
      <w:r>
        <w:fldChar w:fldCharType="separate"/>
      </w:r>
      <w:r>
        <w:rPr>
          <w:rFonts w:hint="eastAsia" w:ascii="Times New Roman" w:hAnsi="Times New Roman" w:eastAsia="黑体" w:cs="Times New Roman"/>
          <w:bCs/>
          <w:kern w:val="2"/>
          <w:szCs w:val="32"/>
          <w:lang w:val="en-US" w:eastAsia="zh-CN" w:bidi="ar-SA"/>
        </w:rPr>
        <w:t>九、国有资本经营预算支出决算情况说明</w:t>
      </w:r>
      <w:r>
        <w:tab/>
      </w:r>
      <w:r>
        <w:fldChar w:fldCharType="begin"/>
      </w:r>
      <w:r>
        <w:instrText xml:space="preserve">PageRef _Toc80393807 \h</w:instrText>
      </w:r>
      <w:r>
        <w:fldChar w:fldCharType="separate"/>
      </w:r>
      <w:r>
        <w:t>- 11 -</w:t>
      </w:r>
      <w:r>
        <w:fldChar w:fldCharType="end"/>
      </w:r>
      <w:r>
        <w:fldChar w:fldCharType="end"/>
      </w:r>
    </w:p>
    <w:p w14:paraId="5159B616">
      <w:pPr>
        <w:pStyle w:val="14"/>
        <w:keepNext w:val="0"/>
        <w:keepLines w:val="0"/>
        <w:pageBreakBefore w:val="0"/>
        <w:widowControl w:val="0"/>
        <w:tabs>
          <w:tab w:val="right" w:leader="dot" w:pos="8306"/>
        </w:tabs>
        <w:bidi w:val="0"/>
        <w:ind w:left="420" w:leftChars="200"/>
      </w:pPr>
      <w:r>
        <w:fldChar w:fldCharType="begin"/>
      </w:r>
      <w:r>
        <w:instrText xml:space="preserve">Hyperlink \l "_Toc80393808"</w:instrText>
      </w:r>
      <w:r>
        <w:fldChar w:fldCharType="separate"/>
      </w:r>
      <w:r>
        <w:rPr>
          <w:rFonts w:hint="eastAsia" w:ascii="Times New Roman" w:hAnsi="Times New Roman" w:eastAsia="黑体" w:cs="Times New Roman"/>
          <w:bCs/>
          <w:kern w:val="2"/>
          <w:szCs w:val="32"/>
          <w:lang w:val="en-US" w:eastAsia="zh-CN" w:bidi="ar-SA"/>
        </w:rPr>
        <w:t>十、其他重要事项的情况说明</w:t>
      </w:r>
      <w:r>
        <w:tab/>
      </w:r>
      <w:r>
        <w:fldChar w:fldCharType="begin"/>
      </w:r>
      <w:r>
        <w:instrText xml:space="preserve">PageRef _Toc80393808 \h</w:instrText>
      </w:r>
      <w:r>
        <w:fldChar w:fldCharType="separate"/>
      </w:r>
      <w:r>
        <w:t>- 11 -</w:t>
      </w:r>
      <w:r>
        <w:fldChar w:fldCharType="end"/>
      </w:r>
      <w:r>
        <w:fldChar w:fldCharType="end"/>
      </w:r>
    </w:p>
    <w:p w14:paraId="0D7EE8A2">
      <w:pPr>
        <w:pStyle w:val="9"/>
        <w:keepNext w:val="0"/>
        <w:keepLines w:val="0"/>
        <w:pageBreakBefore w:val="0"/>
        <w:widowControl w:val="0"/>
        <w:tabs>
          <w:tab w:val="right" w:leader="dot" w:pos="8306"/>
        </w:tabs>
        <w:bidi w:val="0"/>
        <w:ind w:left="840" w:leftChars="400"/>
      </w:pPr>
      <w:r>
        <w:fldChar w:fldCharType="begin"/>
      </w:r>
      <w:r>
        <w:instrText xml:space="preserve">Hyperlink \l "_Toc80393809"</w:instrText>
      </w:r>
      <w: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PageRef _Toc80393809 \h</w:instrText>
      </w:r>
      <w:r>
        <w:fldChar w:fldCharType="separate"/>
      </w:r>
      <w:r>
        <w:t>- 11 -</w:t>
      </w:r>
      <w:r>
        <w:fldChar w:fldCharType="end"/>
      </w:r>
      <w:r>
        <w:fldChar w:fldCharType="end"/>
      </w:r>
    </w:p>
    <w:p w14:paraId="50BAF71E">
      <w:pPr>
        <w:pStyle w:val="9"/>
        <w:keepNext w:val="0"/>
        <w:keepLines w:val="0"/>
        <w:pageBreakBefore w:val="0"/>
        <w:widowControl w:val="0"/>
        <w:tabs>
          <w:tab w:val="right" w:leader="dot" w:pos="8306"/>
        </w:tabs>
        <w:bidi w:val="0"/>
        <w:ind w:left="840" w:leftChars="400"/>
      </w:pPr>
      <w:r>
        <w:fldChar w:fldCharType="begin"/>
      </w:r>
      <w:r>
        <w:instrText xml:space="preserve">Hyperlink \l "_Toc80393810"</w:instrText>
      </w:r>
      <w: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PageRef _Toc80393810 \h</w:instrText>
      </w:r>
      <w:r>
        <w:fldChar w:fldCharType="separate"/>
      </w:r>
      <w:r>
        <w:t>- 11 -</w:t>
      </w:r>
      <w:r>
        <w:fldChar w:fldCharType="end"/>
      </w:r>
      <w:r>
        <w:fldChar w:fldCharType="end"/>
      </w:r>
    </w:p>
    <w:p w14:paraId="2225E521">
      <w:pPr>
        <w:pStyle w:val="9"/>
        <w:keepNext w:val="0"/>
        <w:keepLines w:val="0"/>
        <w:pageBreakBefore w:val="0"/>
        <w:widowControl w:val="0"/>
        <w:tabs>
          <w:tab w:val="right" w:leader="dot" w:pos="8306"/>
        </w:tabs>
        <w:bidi w:val="0"/>
        <w:ind w:left="840" w:leftChars="400"/>
      </w:pPr>
      <w:r>
        <w:fldChar w:fldCharType="begin"/>
      </w:r>
      <w:r>
        <w:instrText xml:space="preserve">Hyperlink \l "_Toc80393811"</w:instrText>
      </w:r>
      <w: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PageRef _Toc80393811 \h</w:instrText>
      </w:r>
      <w:r>
        <w:fldChar w:fldCharType="separate"/>
      </w:r>
      <w:r>
        <w:t>- 11 -</w:t>
      </w:r>
      <w:r>
        <w:fldChar w:fldCharType="end"/>
      </w:r>
      <w:r>
        <w:fldChar w:fldCharType="end"/>
      </w:r>
    </w:p>
    <w:p w14:paraId="393756C7">
      <w:pPr>
        <w:pStyle w:val="9"/>
        <w:keepNext w:val="0"/>
        <w:keepLines w:val="0"/>
        <w:pageBreakBefore w:val="0"/>
        <w:widowControl w:val="0"/>
        <w:tabs>
          <w:tab w:val="right" w:leader="dot" w:pos="8306"/>
        </w:tabs>
        <w:bidi w:val="0"/>
        <w:ind w:left="840" w:leftChars="400"/>
      </w:pPr>
      <w:r>
        <w:fldChar w:fldCharType="begin"/>
      </w:r>
      <w:r>
        <w:instrText xml:space="preserve">Hyperlink \l "_Toc80393812"</w:instrText>
      </w:r>
      <w: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PageRef _Toc80393812 \h</w:instrText>
      </w:r>
      <w:r>
        <w:fldChar w:fldCharType="separate"/>
      </w:r>
      <w:r>
        <w:t>- 11 -</w:t>
      </w:r>
      <w:r>
        <w:fldChar w:fldCharType="end"/>
      </w:r>
      <w:r>
        <w:fldChar w:fldCharType="end"/>
      </w:r>
    </w:p>
    <w:p w14:paraId="36E051C5">
      <w:pPr>
        <w:pStyle w:val="13"/>
        <w:keepNext w:val="0"/>
        <w:keepLines w:val="0"/>
        <w:pageBreakBefore w:val="0"/>
        <w:widowControl w:val="0"/>
        <w:tabs>
          <w:tab w:val="right" w:leader="dot" w:pos="8306"/>
        </w:tabs>
        <w:bidi w:val="0"/>
        <w:jc w:val="center"/>
      </w:pPr>
      <w:r>
        <w:fldChar w:fldCharType="begin"/>
      </w:r>
      <w:r>
        <w:instrText xml:space="preserve">Hyperlink \l "_Toc80393813"</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PageRef _Toc80393813 \h</w:instrText>
      </w:r>
      <w:r>
        <w:fldChar w:fldCharType="separate"/>
      </w:r>
      <w:r>
        <w:t>- 12 -</w:t>
      </w:r>
      <w:r>
        <w:fldChar w:fldCharType="end"/>
      </w:r>
      <w:r>
        <w:fldChar w:fldCharType="end"/>
      </w:r>
      <w:r>
        <w:rPr>
          <w:rFonts w:ascii="Times New Roman" w:hAnsi="Times New Roman" w:eastAsia="黑体" w:cs="黑体"/>
          <w:color w:val="auto"/>
          <w:sz w:val="32"/>
          <w:szCs w:val="32"/>
          <w:highlight w:val="none"/>
        </w:rPr>
        <w:fldChar w:fldCharType="end"/>
      </w:r>
    </w:p>
    <w:p w14:paraId="37FF867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hint="eastAsia" w:eastAsia="黑体" w:cs="仿宋_GB2312"/>
          <w:sz w:val="28"/>
          <w:szCs w:val="44"/>
          <w:highlight w:val="none"/>
        </w:rPr>
      </w:pPr>
      <w:r>
        <w:rPr>
          <w:rFonts w:hint="eastAsia" w:eastAsia="黑体"/>
          <w:sz w:val="28"/>
          <w:szCs w:val="44"/>
          <w:highlight w:val="none"/>
        </w:rPr>
        <w:t>第</w:t>
      </w:r>
      <w:r>
        <w:rPr>
          <w:rFonts w:hint="eastAsia" w:eastAsia="黑体"/>
          <w:sz w:val="28"/>
          <w:szCs w:val="44"/>
          <w:highlight w:val="none"/>
          <w:lang w:eastAsia="zh-CN"/>
        </w:rPr>
        <w:t>四</w:t>
      </w:r>
      <w:r>
        <w:rPr>
          <w:rFonts w:hint="eastAsia" w:eastAsia="黑体"/>
          <w:sz w:val="28"/>
          <w:szCs w:val="44"/>
          <w:highlight w:val="none"/>
        </w:rPr>
        <w:t>部分</w:t>
      </w:r>
      <w:r>
        <w:rPr>
          <w:rFonts w:hint="eastAsia" w:eastAsia="黑体"/>
          <w:sz w:val="28"/>
          <w:szCs w:val="44"/>
          <w:highlight w:val="none"/>
          <w:lang w:val="en-US" w:eastAsia="zh-CN"/>
        </w:rPr>
        <w:t xml:space="preserve">  </w:t>
      </w:r>
      <w:r>
        <w:rPr>
          <w:rFonts w:hint="eastAsia" w:eastAsia="黑体"/>
          <w:sz w:val="28"/>
          <w:szCs w:val="44"/>
          <w:highlight w:val="none"/>
        </w:rPr>
        <w:t>附件</w:t>
      </w:r>
      <w:r>
        <w:tab/>
      </w:r>
      <w:r>
        <w:fldChar w:fldCharType="begin"/>
      </w:r>
      <w:r>
        <w:instrText xml:space="preserve">PageRef _Toc80393813 \h</w:instrText>
      </w:r>
      <w:r>
        <w:fldChar w:fldCharType="separate"/>
      </w:r>
      <w:r>
        <w:t>- 17 -</w:t>
      </w:r>
      <w:r>
        <w:fldChar w:fldCharType="end"/>
      </w:r>
    </w:p>
    <w:p w14:paraId="1FFDE93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hint="eastAsia" w:eastAsia="黑体" w:cs="仿宋_GB2312"/>
          <w:sz w:val="28"/>
          <w:szCs w:val="44"/>
          <w:highlight w:val="none"/>
        </w:rPr>
      </w:pPr>
      <w:bookmarkStart w:id="6" w:name="_Toc15396599"/>
      <w:bookmarkStart w:id="7" w:name="_Toc15377196"/>
      <w:r>
        <w:rPr>
          <w:rFonts w:hint="eastAsia" w:eastAsia="黑体"/>
          <w:sz w:val="28"/>
          <w:szCs w:val="44"/>
          <w:highlight w:val="none"/>
        </w:rPr>
        <w:t>第</w:t>
      </w:r>
      <w:r>
        <w:rPr>
          <w:rFonts w:hint="eastAsia" w:eastAsia="黑体"/>
          <w:bCs/>
          <w:sz w:val="28"/>
          <w:szCs w:val="44"/>
          <w:highlight w:val="none"/>
        </w:rPr>
        <w:t xml:space="preserve">五部分 </w:t>
      </w:r>
      <w:r>
        <w:rPr>
          <w:rFonts w:eastAsia="黑体"/>
          <w:bCs/>
          <w:sz w:val="28"/>
          <w:szCs w:val="44"/>
          <w:highlight w:val="none"/>
        </w:rPr>
        <w:t xml:space="preserve"> </w:t>
      </w:r>
      <w:r>
        <w:rPr>
          <w:rFonts w:hint="eastAsia" w:eastAsia="黑体"/>
          <w:bCs/>
          <w:sz w:val="28"/>
          <w:szCs w:val="44"/>
          <w:highlight w:val="none"/>
        </w:rPr>
        <w:t>附表</w:t>
      </w:r>
      <w:r>
        <w:tab/>
      </w:r>
      <w:r>
        <w:fldChar w:fldCharType="begin"/>
      </w:r>
      <w:r>
        <w:instrText xml:space="preserve">PageRef _Toc80393813 \h</w:instrText>
      </w:r>
      <w:r>
        <w:fldChar w:fldCharType="separate"/>
      </w:r>
      <w:r>
        <w:t>- 18 -</w:t>
      </w:r>
      <w:r>
        <w:fldChar w:fldCharType="end"/>
      </w:r>
    </w:p>
    <w:p w14:paraId="68DBE45D">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p>
    <w:p w14:paraId="4810867F">
      <w:pPr>
        <w:pStyle w:val="5"/>
        <w:jc w:val="center"/>
        <w:rPr>
          <w:rStyle w:val="21"/>
          <w:rFonts w:hint="eastAsia" w:ascii="Times New Roman" w:hAnsi="Times New Roman" w:eastAsia="方正小标宋简体" w:cs="方正小标宋简体"/>
          <w:b/>
          <w:bCs w:val="0"/>
          <w:color w:val="auto"/>
          <w:highlight w:val="none"/>
        </w:rPr>
      </w:pPr>
      <w:bookmarkStart w:id="8" w:name="_Toc80393788"/>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1"/>
          <w:rFonts w:hint="eastAsia" w:ascii="Times New Roman" w:hAnsi="Times New Roman" w:eastAsia="方正小标宋简体" w:cs="方正小标宋简体"/>
          <w:b w:val="0"/>
          <w:bCs w:val="0"/>
          <w:color w:val="auto"/>
          <w:highlight w:val="none"/>
        </w:rPr>
        <w:t>部门概况</w:t>
      </w:r>
      <w:bookmarkEnd w:id="6"/>
      <w:bookmarkEnd w:id="7"/>
      <w:bookmarkEnd w:id="8"/>
    </w:p>
    <w:p w14:paraId="7A9A84F3">
      <w:pPr>
        <w:widowControl/>
        <w:jc w:val="left"/>
        <w:rPr>
          <w:rFonts w:ascii="Times New Roman" w:hAnsi="Times New Roman" w:eastAsia="黑体"/>
          <w:color w:val="auto"/>
          <w:sz w:val="32"/>
          <w:szCs w:val="32"/>
          <w:highlight w:val="none"/>
        </w:rPr>
      </w:pPr>
    </w:p>
    <w:p w14:paraId="5803E683">
      <w:pPr>
        <w:pStyle w:val="6"/>
        <w:numPr>
          <w:ilvl w:val="0"/>
          <w:numId w:val="1"/>
        </w:numPr>
        <w:rPr>
          <w:rFonts w:ascii="Times New Roman" w:hAnsi="Times New Roman" w:eastAsia="黑体"/>
          <w:b w:val="0"/>
          <w:color w:val="auto"/>
          <w:highlight w:val="none"/>
          <w:lang w:eastAsia="zh-CN"/>
        </w:rPr>
      </w:pPr>
      <w:bookmarkStart w:id="9" w:name="_Toc15396600"/>
      <w:bookmarkEnd w:id="9"/>
      <w:bookmarkStart w:id="10" w:name="_Toc15377197"/>
      <w:bookmarkEnd w:id="10"/>
      <w:bookmarkStart w:id="11" w:name="_Toc80393789"/>
      <w:r>
        <w:rPr>
          <w:rFonts w:hint="eastAsia" w:ascii="Times New Roman" w:hAnsi="Times New Roman" w:eastAsia="黑体"/>
          <w:b w:val="0"/>
          <w:color w:val="auto"/>
          <w:highlight w:val="none"/>
          <w:lang w:eastAsia="zh-CN"/>
        </w:rPr>
        <w:t>部门职责</w:t>
      </w:r>
      <w:bookmarkEnd w:id="11"/>
    </w:p>
    <w:p w14:paraId="6FE86846">
      <w:pPr>
        <w:ind w:firstLine="560" w:firstLineChars="200"/>
      </w:pPr>
      <w:r>
        <w:rPr>
          <w:rFonts w:hint="eastAsia" w:ascii="仿宋" w:eastAsia="仿宋"/>
          <w:sz w:val="28"/>
          <w:szCs w:val="28"/>
        </w:rPr>
        <w:t>按照规定权限，履行全民所有土地、矿产、森林、草原、湿地、水等自然资源资产所有者职责和所有国土空间用途管制职责；负责全县自然资源调查监测评价；负责全县自然资源统一确权登记工作；负责全县自然资源资产有偿使用工作；负责全县自然资源的合理开发利用；负责建立全县空间规划体系并监督实施；负责统筹全县国土空间生态修复；负责组织实施最严格的耕地保护制度；负责管理全县地质勘查行业和地质工作；负责落实综合防灾减灾规划相关要求，组织编制并实施地质灾害防治规划；负责全县矿产资源管理工作；负责全县测绘地理信息工作；推动全县自然资源领域科技发展和对外合作；配合国家、省、州、县级政府落实党中央、国务院关于自然资源和国土空间规划的重大方针政策、决策部署及法律法规执行情况进行督察；负责职责范围内的安全生产和职业健康、生态环境保护、审批服务便民化等工作；完成县委、县政府交办的其他任务。</w:t>
      </w:r>
    </w:p>
    <w:p w14:paraId="60D9740E">
      <w:pPr>
        <w:pStyle w:val="6"/>
        <w:rPr>
          <w:rStyle w:val="22"/>
          <w:rFonts w:ascii="Times New Roman" w:hAnsi="Times New Roman"/>
          <w:b w:val="0"/>
          <w:bCs w:val="0"/>
          <w:color w:val="auto"/>
          <w:highlight w:val="none"/>
        </w:rPr>
      </w:pPr>
      <w:bookmarkStart w:id="12" w:name="_Toc15377200"/>
      <w:bookmarkStart w:id="13" w:name="_Toc15396601"/>
      <w:bookmarkStart w:id="14" w:name="_Toc80393790"/>
      <w:r>
        <w:rPr>
          <w:rFonts w:hint="eastAsia" w:ascii="Times New Roman" w:hAnsi="Times New Roman" w:eastAsia="黑体"/>
          <w:b w:val="0"/>
          <w:color w:val="auto"/>
          <w:highlight w:val="none"/>
        </w:rPr>
        <w:t>二、机</w:t>
      </w:r>
      <w:r>
        <w:rPr>
          <w:rStyle w:val="22"/>
          <w:rFonts w:hint="eastAsia" w:ascii="Times New Roman" w:hAnsi="Times New Roman" w:eastAsia="黑体"/>
          <w:b w:val="0"/>
          <w:bCs w:val="0"/>
          <w:color w:val="auto"/>
          <w:highlight w:val="none"/>
        </w:rPr>
        <w:t>构设置</w:t>
      </w:r>
      <w:bookmarkEnd w:id="12"/>
      <w:bookmarkEnd w:id="13"/>
      <w:bookmarkEnd w:id="14"/>
    </w:p>
    <w:p w14:paraId="0CE01391">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t>无</w:t>
      </w:r>
      <w:r>
        <w:rPr>
          <w:rFonts w:ascii="Times New Roman" w:hAnsi="Times New Roman" w:eastAsia="仿宋"/>
          <w:color w:val="auto"/>
          <w:sz w:val="32"/>
          <w:szCs w:val="32"/>
          <w:highlight w:val="none"/>
        </w:rPr>
        <w:br w:type="page"/>
      </w:r>
    </w:p>
    <w:p w14:paraId="5B48F132">
      <w:pPr>
        <w:pStyle w:val="5"/>
        <w:jc w:val="center"/>
        <w:rPr>
          <w:rFonts w:hint="eastAsia" w:ascii="Times New Roman" w:hAnsi="Times New Roman" w:eastAsia="方正小标宋简体" w:cs="方正小标宋简体"/>
          <w:b w:val="0"/>
          <w:color w:val="auto"/>
          <w:highlight w:val="none"/>
        </w:rPr>
      </w:pPr>
      <w:bookmarkStart w:id="15" w:name="_Toc80393791"/>
      <w:bookmarkStart w:id="16" w:name="_Toc15377204"/>
      <w:bookmarkStart w:id="17"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5"/>
      <w:bookmarkEnd w:id="16"/>
      <w:bookmarkEnd w:id="17"/>
    </w:p>
    <w:p w14:paraId="57F8D1B6">
      <w:pPr>
        <w:rPr>
          <w:rFonts w:ascii="Times New Roman" w:hAnsi="Times New Roman"/>
          <w:color w:val="auto"/>
          <w:highlight w:val="none"/>
        </w:rPr>
      </w:pPr>
    </w:p>
    <w:p w14:paraId="173F2D38">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2"/>
          <w:rFonts w:hint="eastAsia" w:ascii="Times New Roman" w:hAnsi="Times New Roman" w:eastAsia="黑体"/>
          <w:b w:val="0"/>
          <w:color w:val="auto"/>
          <w:highlight w:val="none"/>
        </w:rPr>
      </w:pPr>
      <w:bookmarkStart w:id="18" w:name="_Toc15377205"/>
      <w:bookmarkStart w:id="19" w:name="_Toc15396603"/>
      <w:bookmarkStart w:id="20" w:name="_Toc8039379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2"/>
          <w:rFonts w:hint="eastAsia" w:ascii="Times New Roman" w:hAnsi="Times New Roman" w:eastAsia="黑体"/>
          <w:b w:val="0"/>
          <w:color w:val="auto"/>
          <w:highlight w:val="none"/>
        </w:rPr>
        <w:t>入支出决算总体情况说明</w:t>
      </w:r>
      <w:bookmarkEnd w:id="18"/>
      <w:bookmarkEnd w:id="19"/>
      <w:bookmarkEnd w:id="20"/>
    </w:p>
    <w:p w14:paraId="0563861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仿宋_GB2312" w:cs="仿宋_GB2312"/>
          <w:color w:val="auto"/>
          <w:sz w:val="32"/>
          <w:szCs w:val="32"/>
          <w:highlight w:val="none"/>
          <w:lang w:eastAsia="zh-CN"/>
        </w:rPr>
      </w:pPr>
      <w:bookmarkStart w:id="21" w:name="_Toc80393793"/>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eastAsia="仿宋_GB2312" w:cs="仿宋_GB2312"/>
          <w:sz w:val="32"/>
          <w:szCs w:val="32"/>
        </w:rPr>
        <w:t>8943.62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ascii="Times New Roman" w:hAnsi="Times New Roman" w:eastAsia="仿宋_GB2312" w:cs="仿宋_GB2312"/>
          <w:color w:val="auto"/>
          <w:sz w:val="32"/>
          <w:szCs w:val="32"/>
          <w:highlight w:val="none"/>
        </w:rPr>
        <w:t>6426.66</w:t>
      </w:r>
      <w:r>
        <w:rPr>
          <w:rFonts w:hint="eastAsia" w:ascii="Times New Roman" w:hAnsi="Times New Roman" w:eastAsia="仿宋_GB2312" w:cs="仿宋_GB2312"/>
          <w:color w:val="auto"/>
          <w:sz w:val="32"/>
          <w:szCs w:val="32"/>
          <w:highlight w:val="none"/>
        </w:rPr>
        <w:t>万元，增长</w:t>
      </w:r>
      <w:r>
        <w:rPr>
          <w:rFonts w:ascii="Times New Roman" w:hAnsi="Times New Roman" w:eastAsia="仿宋_GB2312" w:cs="仿宋_GB2312"/>
          <w:color w:val="auto"/>
          <w:sz w:val="32"/>
          <w:szCs w:val="32"/>
          <w:highlight w:val="none"/>
        </w:rPr>
        <w:t>255</w:t>
      </w:r>
      <w:r>
        <w:rPr>
          <w:rFonts w:hint="eastAsia" w:ascii="Times New Roman" w:hAnsi="Times New Roman" w:eastAsia="仿宋_GB2312" w:cs="仿宋_GB2312"/>
          <w:color w:val="auto"/>
          <w:sz w:val="32"/>
          <w:szCs w:val="32"/>
          <w:highlight w:val="none"/>
        </w:rPr>
        <w:t>%。主要变动原因是</w:t>
      </w:r>
      <w:r>
        <w:rPr>
          <w:rFonts w:ascii="Times New Roman" w:hAnsi="Times New Roman" w:eastAsia="仿宋_GB2312" w:cs="仿宋_GB2312"/>
          <w:color w:val="auto"/>
          <w:sz w:val="32"/>
          <w:szCs w:val="32"/>
          <w:highlight w:val="none"/>
        </w:rPr>
        <w:t>国债项目增加。</w:t>
      </w:r>
      <w:bookmarkEnd w:id="21"/>
    </w:p>
    <w:p w14:paraId="633908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drawing>
          <wp:inline distT="0" distB="0" distL="85090" distR="85090">
            <wp:extent cx="3705225" cy="2533650"/>
            <wp:effectExtent l="0" t="0" r="38" b="32"/>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9"/>
                    <a:stretch>
                      <a:fillRect/>
                    </a:stretch>
                  </pic:blipFill>
                  <pic:spPr>
                    <a:xfrm>
                      <a:off x="0" y="0"/>
                      <a:ext cx="3705797" cy="2534246"/>
                    </a:xfrm>
                    <a:prstGeom prst="rect">
                      <a:avLst/>
                    </a:prstGeom>
                    <a:noFill/>
                    <a:ln w="9525" cap="flat" cmpd="sng">
                      <a:noFill/>
                      <a:prstDash val="solid"/>
                      <a:miter/>
                    </a:ln>
                  </pic:spPr>
                </pic:pic>
              </a:graphicData>
            </a:graphic>
          </wp:inline>
        </w:drawing>
      </w:r>
    </w:p>
    <w:p w14:paraId="3A80D40C">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bookmarkStart w:id="24" w:name="_Toc80393794"/>
      <w:r>
        <w:rPr>
          <w:rFonts w:hint="eastAsia" w:ascii="Times New Roman" w:hAnsi="Times New Roman" w:eastAsia="黑体"/>
          <w:color w:val="auto"/>
          <w:sz w:val="32"/>
          <w:szCs w:val="32"/>
          <w:highlight w:val="none"/>
          <w:lang w:eastAsia="zh-CN"/>
        </w:rPr>
        <w:t>二、收入决算情况说明</w:t>
      </w:r>
      <w:bookmarkEnd w:id="22"/>
      <w:bookmarkEnd w:id="23"/>
      <w:bookmarkEnd w:id="24"/>
    </w:p>
    <w:p w14:paraId="019F3BF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25" w:name="_Toc80393795"/>
      <w:r>
        <w:rPr>
          <w:rFonts w:hint="eastAsia" w:ascii="仿宋_GB2312" w:eastAsia="仿宋_GB2312" w:cs="仿宋_GB2312"/>
          <w:color w:val="auto"/>
          <w:sz w:val="32"/>
          <w:szCs w:val="32"/>
          <w:highlight w:val="none"/>
          <w:lang w:eastAsia="zh-CN"/>
        </w:rPr>
        <w:t>2024年度本年收入合计</w:t>
      </w:r>
      <w:r>
        <w:rPr>
          <w:rFonts w:hint="eastAsia" w:ascii="仿宋_GB2312" w:eastAsia="仿宋_GB2312" w:cs="仿宋_GB2312"/>
          <w:sz w:val="32"/>
          <w:szCs w:val="32"/>
        </w:rPr>
        <w:t>8483.84万元，其中：一般公共预算财政拨款收入7894.15</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93.04</w:t>
      </w:r>
      <w:r>
        <w:rPr>
          <w:rFonts w:hint="eastAsia" w:ascii="仿宋_GB2312" w:eastAsia="仿宋_GB2312" w:cs="仿宋_GB2312"/>
          <w:color w:val="auto"/>
          <w:sz w:val="32"/>
          <w:szCs w:val="32"/>
          <w:highlight w:val="none"/>
          <w:lang w:eastAsia="zh-CN"/>
        </w:rPr>
        <w:t>%；政府性基金预算财政拨款收入</w:t>
      </w:r>
      <w:r>
        <w:rPr>
          <w:rFonts w:hint="eastAsia" w:ascii="仿宋_GB2312" w:eastAsia="仿宋_GB2312" w:cs="仿宋_GB2312"/>
          <w:sz w:val="32"/>
          <w:szCs w:val="32"/>
        </w:rPr>
        <w:t>589.69</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6.95%</w:t>
      </w:r>
      <w:r>
        <w:rPr>
          <w:rFonts w:hint="eastAsia" w:ascii="仿宋_GB2312" w:eastAsia="仿宋_GB2312" w:cs="仿宋_GB2312"/>
          <w:color w:val="auto"/>
          <w:sz w:val="32"/>
          <w:szCs w:val="32"/>
          <w:highlight w:val="none"/>
          <w:lang w:eastAsia="zh-CN"/>
        </w:rPr>
        <w:t>%；国有资本经营预算财政拨款收入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%；上级补助收入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%；事业收入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%；附属单位上缴收入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%；其他收入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bookmarkEnd w:id="25"/>
    </w:p>
    <w:p w14:paraId="7D8CDA03">
      <w:pPr>
        <w:ind w:firstLine="800" w:firstLineChars="250"/>
        <w:rPr>
          <w:rFonts w:hint="eastAsia" w:ascii="Times New Roman" w:hAnsi="Times New Roman" w:eastAsia="仿宋_GB2312" w:cs="仿宋_GB2312"/>
          <w:color w:val="auto"/>
          <w:sz w:val="32"/>
          <w:szCs w:val="32"/>
          <w:highlight w:val="none"/>
          <w:lang w:eastAsia="zh-CN"/>
        </w:rPr>
      </w:pPr>
      <w:r>
        <w:rPr>
          <w:rFonts w:ascii="Times New Roman" w:hAnsi="Times New Roman" w:eastAsia="仿宋_GB2312" w:cs="仿宋_GB2312"/>
          <w:color w:val="auto"/>
          <w:sz w:val="32"/>
          <w:szCs w:val="32"/>
          <w:highlight w:val="none"/>
          <w:lang w:eastAsia="zh-CN"/>
        </w:rPr>
        <w:drawing>
          <wp:inline distT="0" distB="0" distL="85090" distR="85090">
            <wp:extent cx="4571365" cy="2742565"/>
            <wp:effectExtent l="0" t="0" r="22" b="1"/>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10"/>
                    <a:stretch>
                      <a:fillRect/>
                    </a:stretch>
                  </pic:blipFill>
                  <pic:spPr>
                    <a:xfrm>
                      <a:off x="0" y="0"/>
                      <a:ext cx="4571908" cy="2743157"/>
                    </a:xfrm>
                    <a:prstGeom prst="rect">
                      <a:avLst/>
                    </a:prstGeom>
                    <a:noFill/>
                    <a:ln w="9525" cap="flat" cmpd="sng">
                      <a:noFill/>
                      <a:prstDash val="solid"/>
                      <a:miter/>
                    </a:ln>
                  </pic:spPr>
                </pic:pic>
              </a:graphicData>
            </a:graphic>
          </wp:inline>
        </w:drawing>
      </w:r>
    </w:p>
    <w:p w14:paraId="5DAB6EA3">
      <w:pPr>
        <w:ind w:firstLine="800" w:firstLineChars="250"/>
        <w:rPr>
          <w:rFonts w:hint="eastAsia" w:ascii="Times New Roman" w:hAnsi="Times New Roman" w:eastAsia="仿宋_GB2312" w:cs="仿宋_GB2312"/>
          <w:color w:val="auto"/>
          <w:sz w:val="32"/>
          <w:szCs w:val="32"/>
          <w:highlight w:val="none"/>
          <w:lang w:eastAsia="zh-CN"/>
        </w:rPr>
      </w:pPr>
    </w:p>
    <w:p w14:paraId="51945260">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2"/>
          <w:rFonts w:hint="eastAsia" w:ascii="Times New Roman" w:hAnsi="Times New Roman" w:eastAsia="黑体"/>
          <w:b w:val="0"/>
          <w:color w:val="auto"/>
          <w:highlight w:val="none"/>
        </w:rPr>
      </w:pPr>
      <w:bookmarkStart w:id="26" w:name="_Toc15377207"/>
      <w:bookmarkStart w:id="27" w:name="_Toc15396605"/>
      <w:bookmarkStart w:id="28" w:name="_Toc80393796"/>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2"/>
          <w:rFonts w:hint="eastAsia" w:ascii="Times New Roman" w:hAnsi="Times New Roman" w:eastAsia="黑体"/>
          <w:b w:val="0"/>
          <w:color w:val="auto"/>
          <w:highlight w:val="none"/>
        </w:rPr>
        <w:t>出决算情况说明</w:t>
      </w:r>
      <w:bookmarkEnd w:id="26"/>
      <w:bookmarkEnd w:id="27"/>
      <w:bookmarkEnd w:id="28"/>
    </w:p>
    <w:p w14:paraId="216CB022">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2024年度本年支出合计</w:t>
      </w:r>
      <w:r>
        <w:rPr>
          <w:rFonts w:hint="eastAsia" w:ascii="仿宋_GB2312" w:eastAsia="仿宋_GB2312" w:cs="仿宋_GB2312"/>
          <w:sz w:val="32"/>
          <w:szCs w:val="32"/>
        </w:rPr>
        <w:t>8943.62</w:t>
      </w:r>
      <w:r>
        <w:rPr>
          <w:rFonts w:hint="eastAsia" w:ascii="仿宋_GB2312" w:eastAsia="仿宋_GB2312" w:cs="仿宋_GB2312"/>
          <w:color w:val="auto"/>
          <w:sz w:val="32"/>
          <w:szCs w:val="32"/>
          <w:highlight w:val="none"/>
          <w:lang w:eastAsia="zh-CN"/>
        </w:rPr>
        <w:t>万元，其中：基本支出</w:t>
      </w:r>
      <w:r>
        <w:rPr>
          <w:rFonts w:hint="eastAsia" w:ascii="仿宋_GB2312" w:eastAsia="仿宋_GB2312" w:cs="仿宋_GB2312"/>
          <w:sz w:val="32"/>
          <w:szCs w:val="32"/>
        </w:rPr>
        <w:t>405.5</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4.53</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8538.12</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95.46</w:t>
      </w:r>
      <w:r>
        <w:rPr>
          <w:rFonts w:hint="eastAsia" w:ascii="仿宋_GB2312" w:eastAsia="仿宋_GB2312" w:cs="仿宋_GB2312"/>
          <w:color w:val="auto"/>
          <w:sz w:val="32"/>
          <w:szCs w:val="32"/>
          <w:highlight w:val="none"/>
          <w:lang w:eastAsia="zh-CN"/>
        </w:rPr>
        <w:t>%；上缴上级支出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%；对附属单位补助支出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r>
        <w:rPr>
          <w:rFonts w:ascii="仿宋_GB2312" w:eastAsia="仿宋_GB2312" w:cs="仿宋_GB2312"/>
          <w:color w:val="auto"/>
          <w:sz w:val="32"/>
          <w:szCs w:val="32"/>
          <w:highlight w:val="none"/>
          <w:lang w:eastAsia="zh-CN"/>
        </w:rPr>
        <w:drawing>
          <wp:inline distT="0" distB="0" distL="85090" distR="85090">
            <wp:extent cx="4571365" cy="2742565"/>
            <wp:effectExtent l="0" t="0" r="4" b="1"/>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11"/>
                    <a:stretch>
                      <a:fillRect/>
                    </a:stretch>
                  </pic:blipFill>
                  <pic:spPr>
                    <a:xfrm>
                      <a:off x="0" y="0"/>
                      <a:ext cx="4571926" cy="2743157"/>
                    </a:xfrm>
                    <a:prstGeom prst="rect">
                      <a:avLst/>
                    </a:prstGeom>
                    <a:noFill/>
                    <a:ln w="9525" cap="flat" cmpd="sng">
                      <a:noFill/>
                      <a:prstDash val="solid"/>
                      <a:miter/>
                    </a:ln>
                  </pic:spPr>
                </pic:pic>
              </a:graphicData>
            </a:graphic>
          </wp:inline>
        </w:drawing>
      </w:r>
    </w:p>
    <w:p w14:paraId="563E950B">
      <w:pPr>
        <w:ind w:firstLine="800" w:firstLineChars="250"/>
        <w:rPr>
          <w:rFonts w:hint="eastAsia" w:ascii="Times New Roman" w:hAnsi="Times New Roman" w:eastAsia="仿宋_GB2312" w:cs="仿宋_GB2312"/>
          <w:color w:val="auto"/>
          <w:sz w:val="32"/>
          <w:szCs w:val="32"/>
          <w:highlight w:val="none"/>
          <w:lang w:eastAsia="zh-CN"/>
        </w:rPr>
      </w:pPr>
    </w:p>
    <w:p w14:paraId="61257C9B">
      <w:pPr>
        <w:spacing w:line="600" w:lineRule="exact"/>
        <w:ind w:firstLine="640" w:firstLineChars="200"/>
        <w:outlineLvl w:val="1"/>
        <w:rPr>
          <w:rStyle w:val="22"/>
          <w:rFonts w:ascii="Times New Roman" w:hAnsi="Times New Roman" w:eastAsia="黑体"/>
          <w:b w:val="0"/>
          <w:color w:val="auto"/>
          <w:highlight w:val="none"/>
        </w:rPr>
      </w:pPr>
      <w:bookmarkStart w:id="29" w:name="_Toc80393797"/>
      <w:bookmarkStart w:id="30" w:name="_Toc15396606"/>
      <w:bookmarkStart w:id="31" w:name="_Toc15377208"/>
      <w:r>
        <w:rPr>
          <w:rFonts w:hint="eastAsia" w:ascii="Times New Roman" w:hAnsi="Times New Roman" w:eastAsia="黑体"/>
          <w:color w:val="auto"/>
          <w:sz w:val="32"/>
          <w:szCs w:val="32"/>
          <w:highlight w:val="none"/>
        </w:rPr>
        <w:t>四、财</w:t>
      </w:r>
      <w:r>
        <w:rPr>
          <w:rStyle w:val="22"/>
          <w:rFonts w:hint="eastAsia" w:ascii="Times New Roman" w:hAnsi="Times New Roman" w:eastAsia="黑体"/>
          <w:b w:val="0"/>
          <w:color w:val="auto"/>
          <w:highlight w:val="none"/>
        </w:rPr>
        <w:t>政拨款收入支出决算总体情况说明</w:t>
      </w:r>
      <w:bookmarkEnd w:id="29"/>
      <w:bookmarkEnd w:id="30"/>
      <w:bookmarkEnd w:id="31"/>
    </w:p>
    <w:p w14:paraId="4B24DD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eastAsia="仿宋_GB2312" w:cs="仿宋_GB2312"/>
          <w:sz w:val="32"/>
          <w:szCs w:val="32"/>
        </w:rPr>
        <w:t>8943.62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ascii="Times New Roman" w:hAnsi="Times New Roman" w:eastAsia="仿宋_GB2312" w:cs="仿宋_GB2312"/>
          <w:color w:val="auto"/>
          <w:kern w:val="2"/>
          <w:sz w:val="32"/>
          <w:szCs w:val="32"/>
          <w:highlight w:val="none"/>
          <w:lang w:val="en-US" w:eastAsia="zh-CN" w:bidi="ar-SA"/>
        </w:rPr>
        <w:t>6426.66</w:t>
      </w:r>
      <w:r>
        <w:rPr>
          <w:rFonts w:hint="eastAsia" w:ascii="Times New Roman" w:hAnsi="Times New Roman" w:eastAsia="仿宋_GB2312" w:cs="仿宋_GB2312"/>
          <w:color w:val="auto"/>
          <w:kern w:val="2"/>
          <w:sz w:val="32"/>
          <w:szCs w:val="32"/>
          <w:highlight w:val="none"/>
          <w:lang w:val="en-US" w:eastAsia="zh-CN" w:bidi="ar-SA"/>
        </w:rPr>
        <w:t>万元，增长</w:t>
      </w:r>
      <w:r>
        <w:rPr>
          <w:rFonts w:ascii="Times New Roman" w:hAnsi="Times New Roman" w:eastAsia="仿宋_GB2312" w:cs="仿宋_GB2312"/>
          <w:color w:val="auto"/>
          <w:kern w:val="2"/>
          <w:sz w:val="32"/>
          <w:szCs w:val="32"/>
          <w:highlight w:val="none"/>
          <w:lang w:val="en-US" w:eastAsia="zh-CN" w:bidi="ar-SA"/>
        </w:rPr>
        <w:t>255</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ascii="Times New Roman" w:hAnsi="Times New Roman" w:eastAsia="仿宋_GB2312" w:cs="仿宋_GB2312"/>
          <w:color w:val="auto"/>
          <w:kern w:val="2"/>
          <w:sz w:val="32"/>
          <w:szCs w:val="32"/>
          <w:highlight w:val="none"/>
          <w:lang w:val="en-US" w:eastAsia="zh-CN" w:bidi="ar-SA"/>
        </w:rPr>
        <w:t>新增国债项目。</w:t>
      </w:r>
    </w:p>
    <w:p w14:paraId="3D522D28">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4FB95BE8">
      <w:pPr>
        <w:pStyle w:val="2"/>
      </w:pPr>
    </w:p>
    <w:p w14:paraId="5C48A3ED">
      <w:pPr>
        <w:pStyle w:val="3"/>
      </w:pPr>
      <w:r>
        <w:drawing>
          <wp:inline distT="0" distB="0" distL="85090" distR="85090">
            <wp:extent cx="4571365" cy="2742565"/>
            <wp:effectExtent l="0" t="0" r="7" b="0"/>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12"/>
                    <a:stretch>
                      <a:fillRect/>
                    </a:stretch>
                  </pic:blipFill>
                  <pic:spPr>
                    <a:xfrm>
                      <a:off x="0" y="0"/>
                      <a:ext cx="4571923" cy="2743157"/>
                    </a:xfrm>
                    <a:prstGeom prst="rect">
                      <a:avLst/>
                    </a:prstGeom>
                    <a:noFill/>
                    <a:ln w="9525" cap="flat" cmpd="sng">
                      <a:noFill/>
                      <a:prstDash val="solid"/>
                      <a:miter/>
                    </a:ln>
                  </pic:spPr>
                </pic:pic>
              </a:graphicData>
            </a:graphic>
          </wp:inline>
        </w:drawing>
      </w:r>
    </w:p>
    <w:p w14:paraId="60AB8FA9">
      <w:pPr>
        <w:pStyle w:val="3"/>
        <w:ind w:left="0" w:leftChars="0" w:firstLine="0" w:firstLineChars="0"/>
      </w:pPr>
    </w:p>
    <w:p w14:paraId="450B8C4C">
      <w:pPr>
        <w:spacing w:line="600" w:lineRule="exact"/>
        <w:ind w:firstLine="640" w:firstLineChars="200"/>
        <w:outlineLvl w:val="1"/>
        <w:rPr>
          <w:rStyle w:val="22"/>
          <w:rFonts w:ascii="Times New Roman" w:hAnsi="Times New Roman" w:eastAsia="黑体"/>
          <w:b w:val="0"/>
          <w:color w:val="auto"/>
          <w:highlight w:val="none"/>
        </w:rPr>
      </w:pPr>
      <w:bookmarkStart w:id="32" w:name="_Toc15377209"/>
      <w:bookmarkStart w:id="33" w:name="_Toc15396607"/>
      <w:bookmarkStart w:id="34" w:name="_Toc80393798"/>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2"/>
          <w:rFonts w:hint="eastAsia" w:ascii="Times New Roman" w:hAnsi="Times New Roman" w:eastAsia="黑体"/>
          <w:b w:val="0"/>
          <w:color w:val="auto"/>
          <w:highlight w:val="none"/>
        </w:rPr>
        <w:t>般公共预算财政拨款支出决算情况说明</w:t>
      </w:r>
      <w:bookmarkEnd w:id="32"/>
      <w:bookmarkEnd w:id="33"/>
      <w:bookmarkEnd w:id="34"/>
    </w:p>
    <w:p w14:paraId="0219127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5" w:name="_Toc80393799"/>
      <w:bookmarkStart w:id="3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5"/>
      <w:bookmarkEnd w:id="36"/>
    </w:p>
    <w:p w14:paraId="57129E3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8353.93</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93.4</w:t>
      </w:r>
      <w:r>
        <w:rPr>
          <w:rFonts w:hint="eastAsia" w:ascii="仿宋_GB2312" w:eastAsia="仿宋_GB2312" w:cs="仿宋_GB2312"/>
          <w:color w:val="auto"/>
          <w:kern w:val="2"/>
          <w:sz w:val="32"/>
          <w:szCs w:val="32"/>
          <w:highlight w:val="none"/>
          <w:lang w:val="en-US" w:eastAsia="zh-CN" w:bidi="ar-SA"/>
        </w:rPr>
        <w:t>%。与2023年度相比，一般公共预算财政拨款支出增加</w:t>
      </w:r>
      <w:r>
        <w:rPr>
          <w:rFonts w:ascii="仿宋_GB2312" w:eastAsia="仿宋_GB2312" w:cs="仿宋_GB2312"/>
          <w:color w:val="auto"/>
          <w:kern w:val="2"/>
          <w:sz w:val="32"/>
          <w:szCs w:val="32"/>
          <w:highlight w:val="none"/>
          <w:lang w:val="en-US" w:eastAsia="zh-CN" w:bidi="ar-SA"/>
        </w:rPr>
        <w:t>5839.2</w:t>
      </w:r>
      <w:r>
        <w:rPr>
          <w:rFonts w:hint="eastAsia" w:ascii="仿宋_GB2312" w:eastAsia="仿宋_GB2312" w:cs="仿宋_GB2312"/>
          <w:color w:val="auto"/>
          <w:kern w:val="2"/>
          <w:sz w:val="32"/>
          <w:szCs w:val="32"/>
          <w:highlight w:val="none"/>
          <w:lang w:val="en-US" w:eastAsia="zh-CN" w:bidi="ar-SA"/>
        </w:rPr>
        <w:t>万元，增长</w:t>
      </w:r>
      <w:r>
        <w:rPr>
          <w:rFonts w:ascii="仿宋_GB2312" w:eastAsia="仿宋_GB2312" w:cs="仿宋_GB2312"/>
          <w:color w:val="auto"/>
          <w:kern w:val="2"/>
          <w:sz w:val="32"/>
          <w:szCs w:val="32"/>
          <w:highlight w:val="none"/>
          <w:lang w:val="en-US" w:eastAsia="zh-CN" w:bidi="ar-SA"/>
        </w:rPr>
        <w:t>232</w:t>
      </w:r>
      <w:r>
        <w:rPr>
          <w:rFonts w:hint="eastAsia" w:ascii="仿宋_GB2312" w:eastAsia="仿宋_GB2312" w:cs="仿宋_GB2312"/>
          <w:color w:val="auto"/>
          <w:kern w:val="2"/>
          <w:sz w:val="32"/>
          <w:szCs w:val="32"/>
          <w:highlight w:val="none"/>
          <w:lang w:val="en-US" w:eastAsia="zh-CN" w:bidi="ar-SA"/>
        </w:rPr>
        <w:t>%。主要变动原因是</w:t>
      </w:r>
      <w:r>
        <w:rPr>
          <w:rFonts w:ascii="仿宋_GB2312" w:eastAsia="仿宋_GB2312" w:cs="仿宋_GB2312"/>
          <w:color w:val="auto"/>
          <w:kern w:val="2"/>
          <w:sz w:val="32"/>
          <w:szCs w:val="32"/>
          <w:highlight w:val="none"/>
          <w:lang w:val="en-US" w:eastAsia="zh-CN" w:bidi="ar-SA"/>
        </w:rPr>
        <w:t>新增国债项目。</w:t>
      </w:r>
    </w:p>
    <w:p w14:paraId="19ECA241">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25290F7D">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6B2BCB86">
      <w:pPr>
        <w:pStyle w:val="2"/>
      </w:pPr>
    </w:p>
    <w:p w14:paraId="7B642414">
      <w:pPr>
        <w:pStyle w:val="3"/>
      </w:pPr>
      <w:r>
        <w:drawing>
          <wp:inline distT="0" distB="0" distL="85090" distR="85090">
            <wp:extent cx="4571365" cy="2742565"/>
            <wp:effectExtent l="0" t="0" r="7" b="1"/>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3"/>
                    <a:stretch>
                      <a:fillRect/>
                    </a:stretch>
                  </pic:blipFill>
                  <pic:spPr>
                    <a:xfrm>
                      <a:off x="0" y="0"/>
                      <a:ext cx="4571923" cy="2743157"/>
                    </a:xfrm>
                    <a:prstGeom prst="rect">
                      <a:avLst/>
                    </a:prstGeom>
                    <a:noFill/>
                    <a:ln w="9525" cap="flat" cmpd="sng">
                      <a:noFill/>
                      <a:prstDash val="solid"/>
                      <a:miter/>
                    </a:ln>
                  </pic:spPr>
                </pic:pic>
              </a:graphicData>
            </a:graphic>
          </wp:inline>
        </w:drawing>
      </w:r>
    </w:p>
    <w:p w14:paraId="079A46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522A5C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7" w:name="_Toc15377211"/>
      <w:bookmarkStart w:id="38" w:name="_Toc80393800"/>
      <w:r>
        <w:rPr>
          <w:rFonts w:hint="eastAsia" w:ascii="Times New Roman" w:hAnsi="Times New Roman" w:eastAsia="楷体_GB2312" w:cs="楷体_GB2312"/>
          <w:b/>
          <w:color w:val="auto"/>
          <w:sz w:val="32"/>
          <w:szCs w:val="32"/>
          <w:highlight w:val="none"/>
        </w:rPr>
        <w:t>（二）一般公共预算财政拨款支出决算结构情况</w:t>
      </w:r>
      <w:bookmarkEnd w:id="37"/>
      <w:bookmarkEnd w:id="38"/>
    </w:p>
    <w:p w14:paraId="573C8294">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8353.93</w:t>
      </w:r>
      <w:r>
        <w:rPr>
          <w:rFonts w:hint="eastAsia" w:asci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自然资源海洋气象等支出517.25</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6.1</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灾害防治及应急管理支出7721.57</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92.43</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农林水支出18.66</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0.22</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ascii="Times New Roman" w:hAnsi="Times New Roman" w:eastAsia="仿宋_GB2312" w:cs="仿宋_GB2312"/>
          <w:color w:val="auto"/>
          <w:kern w:val="2"/>
          <w:sz w:val="32"/>
          <w:szCs w:val="32"/>
          <w:highlight w:val="none"/>
          <w:lang w:val="en-US" w:eastAsia="zh-CN" w:bidi="ar-SA"/>
        </w:rPr>
        <w:t>50.92</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%；卫生健康支出</w:t>
      </w:r>
      <w:r>
        <w:rPr>
          <w:rFonts w:ascii="Times New Roman" w:hAnsi="Times New Roman" w:eastAsia="仿宋_GB2312" w:cs="仿宋_GB2312"/>
          <w:color w:val="auto"/>
          <w:kern w:val="2"/>
          <w:sz w:val="32"/>
          <w:szCs w:val="32"/>
          <w:highlight w:val="none"/>
          <w:lang w:val="en-US" w:eastAsia="zh-CN" w:bidi="ar-SA"/>
        </w:rPr>
        <w:t>20.17</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0.24</w:t>
      </w:r>
      <w:r>
        <w:rPr>
          <w:rFonts w:hint="eastAsia" w:ascii="Times New Roman" w:hAnsi="Times New Roman" w:eastAsia="仿宋_GB2312" w:cs="仿宋_GB2312"/>
          <w:color w:val="auto"/>
          <w:kern w:val="2"/>
          <w:sz w:val="32"/>
          <w:szCs w:val="32"/>
          <w:highlight w:val="none"/>
          <w:lang w:val="en-US" w:eastAsia="zh-CN" w:bidi="ar-SA"/>
        </w:rPr>
        <w:t>%；住房保障支出</w:t>
      </w:r>
      <w:r>
        <w:rPr>
          <w:rFonts w:ascii="Times New Roman" w:hAnsi="Times New Roman" w:eastAsia="仿宋_GB2312" w:cs="仿宋_GB2312"/>
          <w:color w:val="auto"/>
          <w:kern w:val="2"/>
          <w:sz w:val="32"/>
          <w:szCs w:val="32"/>
          <w:highlight w:val="none"/>
          <w:lang w:val="en-US" w:eastAsia="zh-CN" w:bidi="ar-SA"/>
        </w:rPr>
        <w:t>25.36</w:t>
      </w:r>
      <w:r>
        <w:rPr>
          <w:rFonts w:hint="eastAsia" w:ascii="Times New Roman" w:hAnsi="Times New Roman" w:eastAsia="仿宋_GB2312" w:cs="仿宋_GB2312"/>
          <w:color w:val="auto"/>
          <w:kern w:val="2"/>
          <w:sz w:val="32"/>
          <w:szCs w:val="32"/>
          <w:highlight w:val="none"/>
          <w:lang w:val="en-US" w:eastAsia="zh-CN" w:bidi="ar-SA"/>
        </w:rPr>
        <w:t>万元，占</w:t>
      </w:r>
      <w:r>
        <w:rPr>
          <w:rFonts w:ascii="Times New Roman" w:hAnsi="Times New Roman" w:eastAsia="仿宋_GB2312" w:cs="仿宋_GB2312"/>
          <w:color w:val="auto"/>
          <w:kern w:val="2"/>
          <w:sz w:val="32"/>
          <w:szCs w:val="32"/>
          <w:highlight w:val="none"/>
          <w:lang w:val="en-US" w:eastAsia="zh-CN" w:bidi="ar-SA"/>
        </w:rPr>
        <w:t>0.41</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w:t>
      </w:r>
    </w:p>
    <w:p w14:paraId="2DDA945E">
      <w:pPr>
        <w:pStyle w:val="2"/>
      </w:pPr>
    </w:p>
    <w:p w14:paraId="6393991A">
      <w:pPr>
        <w:pStyle w:val="3"/>
      </w:pPr>
    </w:p>
    <w:p w14:paraId="417B808C">
      <w:pPr>
        <w:pStyle w:val="3"/>
      </w:pPr>
    </w:p>
    <w:p w14:paraId="56E81BFC">
      <w:pPr>
        <w:pStyle w:val="3"/>
      </w:pPr>
    </w:p>
    <w:p w14:paraId="2A47F193">
      <w:pPr>
        <w:pStyle w:val="3"/>
      </w:pPr>
    </w:p>
    <w:p w14:paraId="24C1E0F9">
      <w:pPr>
        <w:pStyle w:val="3"/>
      </w:pPr>
      <w:r>
        <w:drawing>
          <wp:inline distT="0" distB="0" distL="85090" distR="85090">
            <wp:extent cx="3919220" cy="3029585"/>
            <wp:effectExtent l="0" t="1" r="25" b="6"/>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4"/>
                    <a:stretch>
                      <a:fillRect/>
                    </a:stretch>
                  </pic:blipFill>
                  <pic:spPr>
                    <a:xfrm>
                      <a:off x="0" y="0"/>
                      <a:ext cx="3919452" cy="3030041"/>
                    </a:xfrm>
                    <a:prstGeom prst="rect">
                      <a:avLst/>
                    </a:prstGeom>
                    <a:noFill/>
                    <a:ln w="9525" cap="flat" cmpd="sng">
                      <a:noFill/>
                      <a:prstDash val="solid"/>
                      <a:miter/>
                    </a:ln>
                  </pic:spPr>
                </pic:pic>
              </a:graphicData>
            </a:graphic>
          </wp:inline>
        </w:drawing>
      </w:r>
    </w:p>
    <w:p w14:paraId="5609072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2"/>
      <w:bookmarkStart w:id="40" w:name="_Toc80393801"/>
      <w:r>
        <w:rPr>
          <w:rFonts w:hint="eastAsia" w:ascii="Times New Roman" w:hAnsi="Times New Roman" w:eastAsia="楷体_GB2312" w:cs="楷体_GB2312"/>
          <w:b/>
          <w:color w:val="auto"/>
          <w:sz w:val="32"/>
          <w:szCs w:val="32"/>
          <w:highlight w:val="none"/>
        </w:rPr>
        <w:t>（三）一般公共预算财政拨款支出决算具体情况</w:t>
      </w:r>
      <w:bookmarkEnd w:id="39"/>
      <w:bookmarkEnd w:id="40"/>
    </w:p>
    <w:p w14:paraId="54D48F2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1" w:name="_Toc15377444"/>
      <w:bookmarkStart w:id="42" w:name="_Toc15378460"/>
      <w:bookmarkStart w:id="43"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eastAsia="仿宋_GB2312" w:cs="仿宋_GB2312"/>
          <w:sz w:val="32"/>
          <w:szCs w:val="32"/>
        </w:rPr>
        <w:t>8353.93</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1"/>
      <w:bookmarkEnd w:id="42"/>
      <w:bookmarkEnd w:id="43"/>
    </w:p>
    <w:p w14:paraId="34A8206E">
      <w:pPr>
        <w:spacing w:line="600" w:lineRule="exact"/>
        <w:ind w:firstLine="640" w:firstLineChars="200"/>
        <w:rPr>
          <w:rFonts w:hint="eastAsia" w:eastAsia="仿宋_GB2312" w:cs="仿宋_GB2312"/>
          <w:sz w:val="32"/>
          <w:szCs w:val="32"/>
          <w:highlight w:val="none"/>
        </w:rPr>
      </w:pPr>
      <w:r>
        <w:rPr>
          <w:rFonts w:hint="eastAsia" w:eastAsia="仿宋_GB2312" w:cs="仿宋_GB2312"/>
          <w:bCs/>
          <w:sz w:val="32"/>
          <w:szCs w:val="32"/>
        </w:rPr>
        <w:t>1.自然海洋气象支出（220）自然资源事务（01）行政运行（01）、自然海洋气象支出（220）自然资源事务（01）自然</w:t>
      </w:r>
      <w:bookmarkStart w:id="89" w:name="_GoBack"/>
      <w:bookmarkEnd w:id="89"/>
      <w:r>
        <w:rPr>
          <w:rFonts w:hint="eastAsia" w:eastAsia="仿宋_GB2312" w:cs="仿宋_GB2312"/>
          <w:bCs/>
          <w:sz w:val="32"/>
          <w:szCs w:val="32"/>
        </w:rPr>
        <w:t>资源规划及管理（04）、自然海洋气象支出（220）自然资源事务（01）事业运行（50）、自然海洋气象支出（220）自然资源事务（01）其他自然资源事务支出（99）：</w:t>
      </w:r>
      <w:r>
        <w:rPr>
          <w:rFonts w:hint="eastAsia" w:eastAsia="仿宋_GB2312" w:cs="仿宋_GB2312"/>
          <w:sz w:val="32"/>
          <w:szCs w:val="32"/>
          <w:highlight w:val="none"/>
        </w:rPr>
        <w:t>支出</w:t>
      </w:r>
      <w:r>
        <w:rPr>
          <w:rFonts w:ascii="Times New Roman" w:hAnsi="Times New Roman" w:eastAsia="仿宋_GB2312" w:cs="仿宋_GB2312"/>
          <w:color w:val="auto"/>
          <w:kern w:val="2"/>
          <w:sz w:val="32"/>
          <w:szCs w:val="32"/>
          <w:highlight w:val="none"/>
          <w:lang w:val="en-US" w:eastAsia="zh-CN" w:bidi="ar-SA"/>
        </w:rPr>
        <w:t>517.25</w:t>
      </w:r>
      <w:r>
        <w:rPr>
          <w:rFonts w:hint="eastAsia" w:eastAsia="仿宋_GB2312" w:cs="仿宋_GB2312"/>
          <w:sz w:val="32"/>
          <w:szCs w:val="32"/>
          <w:highlight w:val="none"/>
        </w:rPr>
        <w:t>万元，完成预算100%。</w:t>
      </w:r>
    </w:p>
    <w:p w14:paraId="410F41EB">
      <w:pPr>
        <w:spacing w:line="600" w:lineRule="exact"/>
        <w:ind w:firstLine="640" w:firstLineChars="200"/>
        <w:rPr>
          <w:rFonts w:hint="eastAsia" w:eastAsia="仿宋_GB2312" w:cs="仿宋_GB2312"/>
          <w:sz w:val="32"/>
          <w:szCs w:val="32"/>
          <w:highlight w:val="none"/>
          <w:lang w:val="en-US" w:eastAsia="zh-CN" w:bidi="ar-SA"/>
        </w:rPr>
      </w:pPr>
      <w:r>
        <w:rPr>
          <w:rFonts w:hint="eastAsia" w:eastAsia="仿宋_GB2312" w:cs="仿宋_GB2312"/>
          <w:bCs/>
          <w:sz w:val="32"/>
          <w:szCs w:val="32"/>
          <w:highlight w:val="none"/>
          <w:lang w:val="en-US" w:eastAsia="zh-CN" w:bidi="ar-SA"/>
        </w:rPr>
        <w:t>2.农林水支出（213）巩固脱贫攻坚成果衔接乡村振兴（05）其他巩固脱贫攻坚成果衔接乡村振兴支出18.66万元，完成预算100%。</w:t>
      </w:r>
    </w:p>
    <w:p w14:paraId="60C131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sz w:val="32"/>
          <w:szCs w:val="32"/>
          <w:highlight w:val="none"/>
        </w:rPr>
        <w:t>3.</w:t>
      </w:r>
      <w:r>
        <w:rPr>
          <w:rFonts w:hint="eastAsia" w:eastAsia="仿宋_GB2312" w:cs="仿宋_GB2312"/>
          <w:bCs/>
          <w:sz w:val="32"/>
          <w:szCs w:val="32"/>
        </w:rPr>
        <w:t>灾害防治及应急管理支出（224）自然灾害防治（06）地质灾害防治（01）、灾害防治及应急管理支出（224）自然灾害防治（06）其他自然灾害防治支出（99）：</w:t>
      </w:r>
      <w:r>
        <w:rPr>
          <w:rFonts w:hint="eastAsia" w:eastAsia="仿宋_GB2312" w:cs="仿宋_GB2312"/>
          <w:sz w:val="32"/>
          <w:szCs w:val="32"/>
          <w:highlight w:val="none"/>
        </w:rPr>
        <w:t>支出</w:t>
      </w:r>
      <w:r>
        <w:rPr>
          <w:rFonts w:ascii="Times New Roman" w:hAnsi="Times New Roman" w:eastAsia="仿宋_GB2312" w:cs="仿宋_GB2312"/>
          <w:color w:val="auto"/>
          <w:kern w:val="2"/>
          <w:sz w:val="32"/>
          <w:szCs w:val="32"/>
          <w:highlight w:val="none"/>
          <w:lang w:val="en-US" w:eastAsia="zh-CN" w:bidi="ar-SA"/>
        </w:rPr>
        <w:t>7721.57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w:t>
      </w:r>
    </w:p>
    <w:p w14:paraId="1557A073">
      <w:pPr>
        <w:spacing w:line="600" w:lineRule="exact"/>
        <w:ind w:firstLine="640"/>
        <w:rPr>
          <w:rFonts w:hint="eastAsia" w:eastAsia="仿宋_GB2312" w:cs="仿宋_GB2312"/>
          <w:sz w:val="32"/>
          <w:szCs w:val="32"/>
          <w:highlight w:val="none"/>
          <w:lang w:val="en-US" w:eastAsia="zh-CN" w:bidi="ar-SA"/>
        </w:rPr>
      </w:pPr>
      <w:r>
        <w:rPr>
          <w:rFonts w:hint="eastAsia" w:eastAsia="仿宋_GB2312" w:cs="仿宋_GB2312"/>
          <w:sz w:val="32"/>
          <w:szCs w:val="32"/>
          <w:highlight w:val="none"/>
          <w:lang w:val="en-US" w:eastAsia="zh-CN" w:bidi="ar-SA"/>
        </w:rPr>
        <w:t>4.</w:t>
      </w:r>
      <w:r>
        <w:rPr>
          <w:rFonts w:hint="eastAsia" w:eastAsia="仿宋_GB2312" w:cs="仿宋_GB2312"/>
          <w:bCs/>
          <w:sz w:val="32"/>
          <w:szCs w:val="32"/>
          <w:lang w:bidi="ar-SA"/>
        </w:rPr>
        <w:t xml:space="preserve">社会保障和就业（208）行政事业单位养老支出（05）机关事业单位基本养老保险缴费支出（05）、社会保障和就业（208）行政事业单位养老支出（05）机关事业单位职业年金缴费支出（06）: </w:t>
      </w:r>
      <w:r>
        <w:rPr>
          <w:rFonts w:hint="eastAsia" w:eastAsia="仿宋_GB2312" w:cs="仿宋_GB2312"/>
          <w:sz w:val="32"/>
          <w:szCs w:val="32"/>
          <w:highlight w:val="none"/>
          <w:lang w:val="en-US" w:eastAsia="zh-CN" w:bidi="ar-SA"/>
        </w:rPr>
        <w:t>支出</w:t>
      </w:r>
      <w:r>
        <w:rPr>
          <w:rFonts w:ascii="Times New Roman" w:hAnsi="Times New Roman" w:eastAsia="仿宋_GB2312" w:cs="仿宋_GB2312"/>
          <w:color w:val="auto"/>
          <w:kern w:val="2"/>
          <w:sz w:val="32"/>
          <w:szCs w:val="32"/>
          <w:highlight w:val="none"/>
          <w:lang w:val="en-US" w:eastAsia="zh-CN" w:bidi="ar-SA"/>
        </w:rPr>
        <w:t>50.92</w:t>
      </w:r>
      <w:r>
        <w:rPr>
          <w:rFonts w:hint="eastAsia" w:eastAsia="仿宋_GB2312" w:cs="仿宋_GB2312"/>
          <w:sz w:val="32"/>
          <w:szCs w:val="32"/>
          <w:highlight w:val="none"/>
          <w:lang w:val="en-US" w:eastAsia="zh-CN" w:bidi="ar-SA"/>
        </w:rPr>
        <w:t>万元，完成预算100%。</w:t>
      </w:r>
    </w:p>
    <w:p w14:paraId="507E3ACE">
      <w:pPr>
        <w:spacing w:line="600" w:lineRule="exact"/>
        <w:ind w:firstLine="640"/>
        <w:rPr>
          <w:rFonts w:hint="eastAsia" w:eastAsia="仿宋_GB2312" w:cs="仿宋_GB2312"/>
          <w:sz w:val="32"/>
          <w:szCs w:val="32"/>
          <w:highlight w:val="none"/>
          <w:lang w:val="en-US" w:eastAsia="zh-CN" w:bidi="ar-SA"/>
        </w:rPr>
      </w:pPr>
      <w:r>
        <w:rPr>
          <w:rFonts w:hint="eastAsia" w:eastAsia="仿宋_GB2312" w:cs="仿宋_GB2312"/>
          <w:sz w:val="32"/>
          <w:szCs w:val="32"/>
          <w:highlight w:val="none"/>
          <w:lang w:val="en-US" w:eastAsia="zh-CN" w:bidi="ar-SA"/>
        </w:rPr>
        <w:t>5.</w:t>
      </w:r>
      <w:r>
        <w:rPr>
          <w:rFonts w:hint="eastAsia" w:eastAsia="仿宋_GB2312" w:cs="仿宋_GB2312"/>
          <w:bCs/>
          <w:sz w:val="32"/>
          <w:szCs w:val="32"/>
          <w:lang w:bidi="ar-SA"/>
        </w:rPr>
        <w:t>住房保障支出（221）住房改革支出（02）住房公积金（01）：</w:t>
      </w:r>
      <w:r>
        <w:rPr>
          <w:rFonts w:hint="eastAsia" w:eastAsia="仿宋_GB2312" w:cs="仿宋_GB2312"/>
          <w:sz w:val="32"/>
          <w:szCs w:val="32"/>
          <w:highlight w:val="none"/>
          <w:lang w:val="en-US" w:eastAsia="zh-CN" w:bidi="ar-SA"/>
        </w:rPr>
        <w:t>支出</w:t>
      </w:r>
      <w:r>
        <w:rPr>
          <w:rFonts w:ascii="Times New Roman" w:hAnsi="Times New Roman" w:eastAsia="仿宋_GB2312" w:cs="仿宋_GB2312"/>
          <w:color w:val="auto"/>
          <w:kern w:val="2"/>
          <w:sz w:val="32"/>
          <w:szCs w:val="32"/>
          <w:highlight w:val="none"/>
          <w:lang w:val="en-US" w:eastAsia="zh-CN" w:bidi="ar-SA"/>
        </w:rPr>
        <w:t>25.36</w:t>
      </w:r>
      <w:r>
        <w:rPr>
          <w:rFonts w:hint="eastAsia" w:eastAsia="仿宋_GB2312" w:cs="仿宋_GB2312"/>
          <w:sz w:val="32"/>
          <w:szCs w:val="32"/>
          <w:highlight w:val="none"/>
          <w:lang w:val="en-US" w:eastAsia="zh-CN" w:bidi="ar-SA"/>
        </w:rPr>
        <w:t>万元，完成预算100%。</w:t>
      </w:r>
    </w:p>
    <w:p w14:paraId="45749FD1">
      <w:pPr>
        <w:spacing w:line="600" w:lineRule="exact"/>
        <w:ind w:firstLine="640"/>
        <w:rPr>
          <w:rFonts w:hint="eastAsia" w:eastAsia="仿宋_GB2312" w:cs="仿宋_GB2312"/>
          <w:sz w:val="32"/>
          <w:szCs w:val="32"/>
        </w:rPr>
      </w:pPr>
      <w:r>
        <w:rPr>
          <w:rFonts w:hint="eastAsia" w:eastAsia="仿宋_GB2312" w:cs="仿宋_GB2312"/>
          <w:sz w:val="32"/>
          <w:szCs w:val="32"/>
          <w:highlight w:val="none"/>
          <w:lang w:val="en-US" w:eastAsia="zh-CN" w:bidi="ar-SA"/>
        </w:rPr>
        <w:t>6.</w:t>
      </w:r>
      <w:r>
        <w:rPr>
          <w:rFonts w:hint="eastAsia" w:eastAsia="仿宋_GB2312" w:cs="仿宋_GB2312"/>
          <w:bCs/>
          <w:sz w:val="32"/>
          <w:szCs w:val="32"/>
          <w:lang w:bidi="ar-SA"/>
        </w:rPr>
        <w:t>卫生健康支出（210）行政事业单位医疗（11）行政单位医疗（01）、卫生健康支出（210）行政事业单位医疗（11）事业单位医疗（02）、卫生健康支出（210）行政事业单位医疗（11）公务员医疗（03）卫生健康支出（210）行政事业单位医疗（11）其他行政事业单位医疗支出（99）：</w:t>
      </w:r>
      <w:r>
        <w:rPr>
          <w:rFonts w:hint="eastAsia" w:eastAsia="仿宋_GB2312" w:cs="仿宋_GB2312"/>
          <w:sz w:val="32"/>
          <w:szCs w:val="32"/>
          <w:highlight w:val="none"/>
          <w:lang w:val="en-US" w:eastAsia="zh-CN" w:bidi="ar-SA"/>
        </w:rPr>
        <w:t>支出</w:t>
      </w:r>
      <w:r>
        <w:rPr>
          <w:rFonts w:ascii="Times New Roman" w:hAnsi="Times New Roman" w:eastAsia="仿宋_GB2312" w:cs="仿宋_GB2312"/>
          <w:color w:val="auto"/>
          <w:kern w:val="2"/>
          <w:sz w:val="32"/>
          <w:szCs w:val="32"/>
          <w:highlight w:val="none"/>
          <w:lang w:val="en-US" w:eastAsia="zh-CN" w:bidi="ar-SA"/>
        </w:rPr>
        <w:t>20.17</w:t>
      </w:r>
      <w:r>
        <w:rPr>
          <w:rFonts w:hint="eastAsia" w:eastAsia="仿宋_GB2312" w:cs="仿宋_GB2312"/>
          <w:sz w:val="32"/>
          <w:szCs w:val="32"/>
          <w:highlight w:val="none"/>
          <w:lang w:val="en-US" w:eastAsia="zh-CN" w:bidi="ar-SA"/>
        </w:rPr>
        <w:t>万元，完成预算100%。</w:t>
      </w:r>
    </w:p>
    <w:p w14:paraId="47F3D1A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AB24B00">
      <w:pPr>
        <w:tabs>
          <w:tab w:val="right" w:pos="8306"/>
        </w:tabs>
        <w:spacing w:line="600" w:lineRule="exact"/>
        <w:ind w:firstLine="640"/>
        <w:outlineLvl w:val="1"/>
        <w:rPr>
          <w:rStyle w:val="22"/>
          <w:rFonts w:ascii="Times New Roman" w:hAnsi="Times New Roman"/>
          <w:color w:val="auto"/>
          <w:highlight w:val="none"/>
        </w:rPr>
      </w:pPr>
      <w:bookmarkStart w:id="44" w:name="_Toc15396608"/>
      <w:bookmarkStart w:id="45" w:name="_Toc15377214"/>
      <w:bookmarkStart w:id="46" w:name="_Toc80393802"/>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2"/>
          <w:rFonts w:hint="eastAsia" w:ascii="Times New Roman" w:hAnsi="Times New Roman" w:eastAsia="黑体"/>
          <w:b w:val="0"/>
          <w:color w:val="auto"/>
          <w:highlight w:val="none"/>
        </w:rPr>
        <w:t>般公共预算财政拨款基本支出决算情况说明</w:t>
      </w:r>
      <w:bookmarkEnd w:id="44"/>
      <w:bookmarkEnd w:id="45"/>
      <w:r>
        <w:rPr>
          <w:rStyle w:val="22"/>
          <w:rFonts w:ascii="Times New Roman" w:hAnsi="Times New Roman" w:eastAsia="黑体"/>
          <w:b w:val="0"/>
          <w:color w:val="auto"/>
          <w:highlight w:val="none"/>
        </w:rPr>
        <w:tab/>
      </w:r>
      <w:bookmarkEnd w:id="46"/>
    </w:p>
    <w:p w14:paraId="52CBE8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eastAsia="仿宋_GB2312" w:cs="仿宋_GB2312"/>
          <w:sz w:val="32"/>
          <w:szCs w:val="32"/>
        </w:rPr>
        <w:t>405.5</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2684128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eastAsia="仿宋_GB2312" w:cs="仿宋_GB2312"/>
          <w:sz w:val="32"/>
          <w:szCs w:val="32"/>
        </w:rPr>
        <w:t>347.72</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eastAsia="仿宋_GB2312" w:cs="仿宋_GB2312"/>
          <w:sz w:val="32"/>
          <w:szCs w:val="32"/>
        </w:rPr>
        <w:t>57.78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F5C8C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3A9E39A">
      <w:pPr>
        <w:spacing w:line="600" w:lineRule="exact"/>
        <w:ind w:firstLine="640"/>
        <w:outlineLvl w:val="1"/>
        <w:rPr>
          <w:rStyle w:val="22"/>
          <w:rFonts w:ascii="Times New Roman" w:hAnsi="Times New Roman" w:eastAsia="黑体"/>
          <w:b w:val="0"/>
          <w:color w:val="auto"/>
          <w:highlight w:val="none"/>
        </w:rPr>
      </w:pPr>
      <w:bookmarkStart w:id="47" w:name="_Toc15377215"/>
      <w:bookmarkStart w:id="48" w:name="_Toc15396609"/>
      <w:bookmarkStart w:id="49" w:name="_Toc80393803"/>
      <w:r>
        <w:rPr>
          <w:rFonts w:hint="eastAsia" w:ascii="Times New Roman" w:hAnsi="Times New Roman" w:eastAsia="黑体"/>
          <w:color w:val="auto"/>
          <w:sz w:val="32"/>
          <w:szCs w:val="32"/>
          <w:highlight w:val="none"/>
        </w:rPr>
        <w:t>七、</w:t>
      </w:r>
      <w:r>
        <w:rPr>
          <w:rStyle w:val="22"/>
          <w:rFonts w:hint="eastAsia" w:ascii="Times New Roman" w:hAnsi="Times New Roman" w:eastAsia="黑体"/>
          <w:b w:val="0"/>
          <w:color w:val="auto"/>
          <w:highlight w:val="none"/>
        </w:rPr>
        <w:t>财政拨款</w:t>
      </w:r>
      <w:r>
        <w:rPr>
          <w:rStyle w:val="22"/>
          <w:rFonts w:hint="eastAsia" w:ascii="Times New Roman" w:hAnsi="Times New Roman" w:eastAsia="黑体"/>
          <w:color w:val="auto"/>
          <w:highlight w:val="none"/>
        </w:rPr>
        <w:t>“</w:t>
      </w:r>
      <w:r>
        <w:rPr>
          <w:rStyle w:val="22"/>
          <w:rFonts w:hint="eastAsia" w:ascii="Times New Roman" w:hAnsi="Times New Roman" w:eastAsia="黑体"/>
          <w:b w:val="0"/>
          <w:color w:val="auto"/>
          <w:highlight w:val="none"/>
        </w:rPr>
        <w:t>三公”经费支出决算情况说明</w:t>
      </w:r>
      <w:bookmarkEnd w:id="47"/>
      <w:bookmarkEnd w:id="48"/>
      <w:bookmarkEnd w:id="49"/>
    </w:p>
    <w:p w14:paraId="3FFA578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80393804"/>
      <w:bookmarkStart w:id="51"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0"/>
      <w:bookmarkEnd w:id="51"/>
    </w:p>
    <w:p w14:paraId="761532CF">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eastAsia="仿宋_GB2312" w:cs="仿宋_GB2312"/>
          <w:sz w:val="32"/>
          <w:szCs w:val="32"/>
        </w:rPr>
        <w:t>9</w:t>
      </w:r>
      <w:r>
        <w:rPr>
          <w:rFonts w:hint="eastAsia" w:ascii="仿宋_GB2312" w:eastAsia="仿宋_GB2312" w:cs="仿宋_GB2312"/>
          <w:color w:val="auto"/>
          <w:kern w:val="2"/>
          <w:sz w:val="32"/>
          <w:szCs w:val="32"/>
          <w:highlight w:val="none"/>
          <w:lang w:val="en-US" w:eastAsia="zh-CN" w:bidi="ar-SA"/>
        </w:rPr>
        <w:t>万元，完成预算</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ascii="Times New Roman" w:hAnsi="Times New Roman"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万元，下降</w:t>
      </w:r>
      <w:r>
        <w:rPr>
          <w:rFonts w:ascii="Times New Roman" w:hAnsi="Times New Roman"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w:t>
      </w:r>
    </w:p>
    <w:p w14:paraId="17A3489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80393805"/>
      <w:bookmarkStart w:id="5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2"/>
      <w:bookmarkEnd w:id="53"/>
    </w:p>
    <w:p w14:paraId="35182851">
      <w:pPr>
        <w:spacing w:line="600" w:lineRule="exact"/>
        <w:ind w:firstLine="640"/>
        <w:rPr>
          <w:rFonts w:hint="eastAsia" w:ascii="仿宋_GB2312"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w:t>
      </w:r>
      <w:r>
        <w:rPr>
          <w:rFonts w:ascii="仿宋_GB2312" w:eastAsia="仿宋_GB2312" w:cs="仿宋_GB2312"/>
          <w:color w:val="auto"/>
          <w:kern w:val="2"/>
          <w:sz w:val="32"/>
          <w:szCs w:val="32"/>
          <w:highlight w:val="none"/>
          <w:lang w:val="en-US" w:eastAsia="zh-CN" w:bidi="ar-SA"/>
        </w:rPr>
        <w:t>0</w:t>
      </w:r>
      <w:r>
        <w:rPr>
          <w:rFonts w:hint="eastAsia" w:ascii="仿宋_GB2312" w:eastAsia="仿宋_GB2312" w:cs="仿宋_GB2312"/>
          <w:color w:val="auto"/>
          <w:kern w:val="2"/>
          <w:sz w:val="32"/>
          <w:szCs w:val="32"/>
          <w:highlight w:val="none"/>
          <w:lang w:val="en-US" w:eastAsia="zh-CN" w:bidi="ar-SA"/>
        </w:rPr>
        <w:t>%；公务用车购置及运行维护费支出决算</w:t>
      </w:r>
      <w:r>
        <w:rPr>
          <w:rFonts w:hint="eastAsia" w:ascii="仿宋_GB2312" w:eastAsia="仿宋_GB2312" w:cs="仿宋_GB2312"/>
          <w:sz w:val="32"/>
          <w:szCs w:val="32"/>
        </w:rPr>
        <w:t>9</w:t>
      </w:r>
      <w:r>
        <w:rPr>
          <w:rFonts w:hint="eastAsia" w:ascii="仿宋_GB2312" w:eastAsia="仿宋_GB2312" w:cs="仿宋_GB2312"/>
          <w:color w:val="auto"/>
          <w:kern w:val="2"/>
          <w:sz w:val="32"/>
          <w:szCs w:val="32"/>
          <w:highlight w:val="none"/>
          <w:lang w:val="en-US" w:eastAsia="zh-CN" w:bidi="ar-SA"/>
        </w:rPr>
        <w:t>万元，占</w:t>
      </w:r>
      <w:r>
        <w:rPr>
          <w:rFonts w:ascii="仿宋_GB2312" w:eastAsia="仿宋_GB2312" w:cs="仿宋_GB2312"/>
          <w:color w:val="auto"/>
          <w:kern w:val="2"/>
          <w:sz w:val="32"/>
          <w:szCs w:val="32"/>
          <w:highlight w:val="none"/>
          <w:lang w:val="en-US" w:eastAsia="zh-CN" w:bidi="ar-SA"/>
        </w:rPr>
        <w:t>100</w:t>
      </w:r>
      <w:r>
        <w:rPr>
          <w:rFonts w:hint="eastAsia" w:ascii="仿宋_GB2312" w:eastAsia="仿宋_GB2312" w:cs="仿宋_GB2312"/>
          <w:color w:val="auto"/>
          <w:kern w:val="2"/>
          <w:sz w:val="32"/>
          <w:szCs w:val="32"/>
          <w:highlight w:val="none"/>
          <w:lang w:val="en-US" w:eastAsia="zh-CN" w:bidi="ar-SA"/>
        </w:rPr>
        <w:t>%；公务接待费支出决算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w:t>
      </w:r>
      <w:r>
        <w:rPr>
          <w:rFonts w:ascii="仿宋_GB2312" w:eastAsia="仿宋_GB2312" w:cs="仿宋_GB2312"/>
          <w:color w:val="auto"/>
          <w:kern w:val="2"/>
          <w:sz w:val="32"/>
          <w:szCs w:val="32"/>
          <w:highlight w:val="none"/>
          <w:lang w:val="en-US" w:eastAsia="zh-CN" w:bidi="ar-SA"/>
        </w:rPr>
        <w:t>0</w:t>
      </w:r>
      <w:r>
        <w:rPr>
          <w:rFonts w:hint="eastAsia" w:ascii="仿宋_GB2312" w:eastAsia="仿宋_GB2312" w:cs="仿宋_GB2312"/>
          <w:color w:val="auto"/>
          <w:kern w:val="2"/>
          <w:sz w:val="32"/>
          <w:szCs w:val="32"/>
          <w:highlight w:val="none"/>
          <w:lang w:val="en-US" w:eastAsia="zh-CN" w:bidi="ar-SA"/>
        </w:rPr>
        <w:t>%。具体情况如下：</w:t>
      </w:r>
    </w:p>
    <w:p w14:paraId="6E9B3014">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44921F04">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10764035">
      <w:pPr>
        <w:pStyle w:val="2"/>
      </w:pPr>
    </w:p>
    <w:p w14:paraId="03DDFF2C">
      <w:pPr>
        <w:pStyle w:val="3"/>
      </w:pPr>
    </w:p>
    <w:p w14:paraId="726218B2">
      <w:pPr>
        <w:pStyle w:val="3"/>
      </w:pPr>
    </w:p>
    <w:p w14:paraId="2AE27782">
      <w:pPr>
        <w:pStyle w:val="3"/>
      </w:pPr>
    </w:p>
    <w:p w14:paraId="72612685">
      <w:pPr>
        <w:pStyle w:val="3"/>
      </w:pPr>
    </w:p>
    <w:p w14:paraId="397C3D2C">
      <w:pPr>
        <w:pStyle w:val="3"/>
      </w:pPr>
      <w:r>
        <w:drawing>
          <wp:inline distT="0" distB="0" distL="85090" distR="85090">
            <wp:extent cx="4571365" cy="2742565"/>
            <wp:effectExtent l="0" t="1" r="4" b="3"/>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5"/>
                    <a:stretch>
                      <a:fillRect/>
                    </a:stretch>
                  </pic:blipFill>
                  <pic:spPr>
                    <a:xfrm>
                      <a:off x="0" y="0"/>
                      <a:ext cx="4571926" cy="2743156"/>
                    </a:xfrm>
                    <a:prstGeom prst="rect">
                      <a:avLst/>
                    </a:prstGeom>
                    <a:noFill/>
                    <a:ln w="9525" cap="flat" cmpd="sng">
                      <a:noFill/>
                      <a:prstDash val="solid"/>
                      <a:miter/>
                    </a:ln>
                  </pic:spPr>
                </pic:pic>
              </a:graphicData>
            </a:graphic>
          </wp:inline>
        </w:drawing>
      </w:r>
    </w:p>
    <w:p w14:paraId="2893D4CA">
      <w:pPr>
        <w:numPr>
          <w:ilvl w:val="0"/>
          <w:numId w:val="2"/>
        </w:numPr>
        <w:spacing w:line="600" w:lineRule="exact"/>
        <w:rPr>
          <w:rFonts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57F9BCD5">
      <w:p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eastAsia="仿宋_GB2312" w:cs="仿宋_GB2312"/>
          <w:b/>
          <w:bCs/>
          <w:color w:val="auto"/>
          <w:kern w:val="2"/>
          <w:sz w:val="32"/>
          <w:szCs w:val="32"/>
          <w:highlight w:val="none"/>
          <w:lang w:val="en-US" w:eastAsia="zh-CN" w:bidi="ar-SA"/>
        </w:rPr>
        <w:t>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ascii="Times New Roman" w:hAnsi="Times New Roman"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公务用车购置及运行维护费支出决算比2023年度较上年度减少</w:t>
      </w:r>
      <w:r>
        <w:rPr>
          <w:rFonts w:ascii="Times New Roman" w:hAnsi="Times New Roman"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万元，下降</w:t>
      </w:r>
      <w:r>
        <w:rPr>
          <w:rFonts w:ascii="Times New Roman" w:hAnsi="Times New Roman"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w:t>
      </w:r>
    </w:p>
    <w:p w14:paraId="0CCE33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ascii="Times New Roman" w:hAnsi="Times New Roman" w:eastAsia="仿宋_GB2312" w:cs="仿宋_GB2312"/>
          <w:color w:val="auto"/>
          <w:kern w:val="2"/>
          <w:sz w:val="32"/>
          <w:szCs w:val="32"/>
          <w:highlight w:val="none"/>
          <w:lang w:val="en-US" w:eastAsia="zh-CN" w:bidi="ar-SA"/>
        </w:rPr>
        <w:t>自然资源局工作</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0BA719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5A18E8D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4" w:name="_Toc15377218"/>
      <w:bookmarkStart w:id="55" w:name="_Toc15396610"/>
    </w:p>
    <w:p w14:paraId="34A4338B">
      <w:pPr>
        <w:spacing w:line="600" w:lineRule="exact"/>
        <w:ind w:firstLine="640"/>
        <w:outlineLvl w:val="1"/>
        <w:rPr>
          <w:rStyle w:val="22"/>
          <w:rFonts w:ascii="Times New Roman" w:hAnsi="Times New Roman" w:eastAsia="黑体"/>
          <w:color w:val="auto"/>
          <w:highlight w:val="none"/>
        </w:rPr>
      </w:pPr>
      <w:bookmarkStart w:id="56" w:name="_Toc80393806"/>
      <w:r>
        <w:rPr>
          <w:rFonts w:hint="eastAsia" w:ascii="Times New Roman" w:hAnsi="Times New Roman" w:eastAsia="黑体"/>
          <w:color w:val="auto"/>
          <w:sz w:val="32"/>
          <w:szCs w:val="32"/>
          <w:highlight w:val="none"/>
        </w:rPr>
        <w:t>八、</w:t>
      </w:r>
      <w:r>
        <w:rPr>
          <w:rStyle w:val="22"/>
          <w:rFonts w:hint="eastAsia" w:ascii="Times New Roman" w:hAnsi="Times New Roman" w:eastAsia="黑体"/>
          <w:b w:val="0"/>
          <w:color w:val="auto"/>
          <w:highlight w:val="none"/>
        </w:rPr>
        <w:t>政府性基金预算支出决算情况说明</w:t>
      </w:r>
      <w:bookmarkEnd w:id="54"/>
      <w:bookmarkEnd w:id="55"/>
      <w:bookmarkEnd w:id="56"/>
    </w:p>
    <w:p w14:paraId="4ADC2C7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2024年度政府性基金预算财政拨款支出</w:t>
      </w:r>
      <w:r>
        <w:rPr>
          <w:rFonts w:hint="eastAsia" w:ascii="仿宋_GB2312" w:eastAsia="仿宋_GB2312" w:cs="仿宋_GB2312"/>
          <w:sz w:val="32"/>
          <w:szCs w:val="32"/>
        </w:rPr>
        <w:t>589.69</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6.59</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ascii="Times New Roman" w:hAnsi="Times New Roman" w:eastAsia="仿宋_GB2312" w:cs="仿宋_GB2312"/>
          <w:color w:val="auto"/>
          <w:kern w:val="2"/>
          <w:sz w:val="32"/>
          <w:szCs w:val="32"/>
          <w:highlight w:val="none"/>
          <w:lang w:val="en-US" w:eastAsia="zh-CN" w:bidi="ar-SA"/>
        </w:rPr>
        <w:t>587.47</w:t>
      </w:r>
      <w:r>
        <w:rPr>
          <w:rFonts w:hint="eastAsia" w:ascii="Times New Roman" w:hAnsi="Times New Roman" w:eastAsia="仿宋_GB2312" w:cs="仿宋_GB2312"/>
          <w:color w:val="auto"/>
          <w:kern w:val="2"/>
          <w:sz w:val="32"/>
          <w:szCs w:val="32"/>
          <w:highlight w:val="none"/>
          <w:lang w:val="en-US" w:eastAsia="zh-CN" w:bidi="ar-SA"/>
        </w:rPr>
        <w:t>万元，增长</w:t>
      </w:r>
      <w:r>
        <w:rPr>
          <w:rFonts w:ascii="Times New Roman" w:hAnsi="Times New Roman" w:eastAsia="仿宋_GB2312" w:cs="仿宋_GB2312"/>
          <w:color w:val="auto"/>
          <w:kern w:val="2"/>
          <w:sz w:val="32"/>
          <w:szCs w:val="32"/>
          <w:highlight w:val="none"/>
          <w:lang w:val="en-US" w:eastAsia="zh-CN" w:bidi="ar-SA"/>
        </w:rPr>
        <w:t>264</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ascii="Times New Roman" w:hAnsi="Times New Roman" w:eastAsia="仿宋_GB2312" w:cs="仿宋_GB2312"/>
          <w:color w:val="auto"/>
          <w:kern w:val="2"/>
          <w:sz w:val="32"/>
          <w:szCs w:val="32"/>
          <w:highlight w:val="none"/>
          <w:lang w:val="en-US" w:eastAsia="zh-CN" w:bidi="ar-SA"/>
        </w:rPr>
        <w:t>补助被征地农民支出。</w:t>
      </w:r>
    </w:p>
    <w:p w14:paraId="5BA29D5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E1B33B9">
      <w:pPr>
        <w:spacing w:line="600" w:lineRule="exact"/>
        <w:ind w:left="630"/>
        <w:outlineLvl w:val="1"/>
        <w:rPr>
          <w:rStyle w:val="22"/>
          <w:rFonts w:ascii="Times New Roman" w:hAnsi="Times New Roman" w:eastAsia="黑体"/>
          <w:b w:val="0"/>
          <w:color w:val="auto"/>
          <w:highlight w:val="none"/>
        </w:rPr>
      </w:pPr>
      <w:bookmarkStart w:id="57" w:name="_Toc15396611"/>
      <w:bookmarkStart w:id="58" w:name="_Toc80393807"/>
      <w:bookmarkStart w:id="59" w:name="_Toc15377219"/>
      <w:r>
        <w:rPr>
          <w:rStyle w:val="22"/>
          <w:rFonts w:hint="eastAsia" w:ascii="Times New Roman" w:hAnsi="Times New Roman" w:eastAsia="黑体"/>
          <w:b w:val="0"/>
          <w:color w:val="auto"/>
          <w:highlight w:val="none"/>
          <w:lang w:eastAsia="zh-CN"/>
        </w:rPr>
        <w:t>九、</w:t>
      </w:r>
      <w:r>
        <w:rPr>
          <w:rStyle w:val="22"/>
          <w:rFonts w:hint="eastAsia" w:ascii="Times New Roman" w:hAnsi="Times New Roman" w:eastAsia="黑体"/>
          <w:b w:val="0"/>
          <w:color w:val="auto"/>
          <w:highlight w:val="none"/>
        </w:rPr>
        <w:t>国有资本经营预算支出决算情况说明</w:t>
      </w:r>
      <w:bookmarkEnd w:id="57"/>
      <w:bookmarkEnd w:id="58"/>
      <w:bookmarkEnd w:id="59"/>
    </w:p>
    <w:p w14:paraId="205EA9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w:t>
      </w:r>
      <w:r>
        <w:rPr>
          <w:rFonts w:ascii="Times New Roman" w:hAnsi="Times New Roman" w:eastAsia="仿宋_GB2312" w:cs="仿宋_GB2312"/>
          <w:color w:val="auto"/>
          <w:kern w:val="2"/>
          <w:sz w:val="32"/>
          <w:szCs w:val="32"/>
          <w:highlight w:val="none"/>
          <w:lang w:val="en-US" w:eastAsia="zh-CN" w:bidi="ar-SA"/>
        </w:rPr>
        <w:t>持平。</w:t>
      </w:r>
    </w:p>
    <w:p w14:paraId="78B7E66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7732F02">
      <w:pPr>
        <w:spacing w:line="600" w:lineRule="exact"/>
        <w:ind w:left="630"/>
        <w:outlineLvl w:val="1"/>
        <w:rPr>
          <w:rStyle w:val="22"/>
          <w:rFonts w:hint="eastAsia" w:ascii="Times New Roman" w:hAnsi="Times New Roman" w:eastAsia="黑体"/>
          <w:b w:val="0"/>
          <w:color w:val="auto"/>
          <w:highlight w:val="none"/>
        </w:rPr>
      </w:pPr>
      <w:bookmarkStart w:id="60" w:name="_Toc15377221"/>
      <w:bookmarkStart w:id="61" w:name="_Toc80393808"/>
      <w:bookmarkStart w:id="62" w:name="_Toc15396612"/>
      <w:r>
        <w:rPr>
          <w:rStyle w:val="22"/>
          <w:rFonts w:hint="eastAsia" w:ascii="Times New Roman" w:hAnsi="Times New Roman" w:eastAsia="黑体"/>
          <w:b w:val="0"/>
          <w:color w:val="auto"/>
          <w:highlight w:val="none"/>
          <w:lang w:eastAsia="zh-CN"/>
        </w:rPr>
        <w:t>十、</w:t>
      </w:r>
      <w:r>
        <w:rPr>
          <w:rStyle w:val="22"/>
          <w:rFonts w:hint="eastAsia" w:ascii="Times New Roman" w:hAnsi="Times New Roman" w:eastAsia="黑体"/>
          <w:b w:val="0"/>
          <w:color w:val="auto"/>
          <w:highlight w:val="none"/>
        </w:rPr>
        <w:t>其他重要事项的情况说明</w:t>
      </w:r>
      <w:bookmarkEnd w:id="60"/>
      <w:bookmarkEnd w:id="61"/>
      <w:bookmarkEnd w:id="62"/>
    </w:p>
    <w:p w14:paraId="2180D23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3" w:name="_Toc80393809"/>
      <w:bookmarkStart w:id="64" w:name="_Toc15377222"/>
      <w:r>
        <w:rPr>
          <w:rFonts w:hint="eastAsia" w:ascii="Times New Roman" w:hAnsi="Times New Roman" w:eastAsia="楷体_GB2312" w:cs="楷体_GB2312"/>
          <w:b/>
          <w:color w:val="auto"/>
          <w:sz w:val="32"/>
          <w:szCs w:val="32"/>
          <w:highlight w:val="none"/>
        </w:rPr>
        <w:t>（一）机关运行经费支出情况</w:t>
      </w:r>
      <w:bookmarkEnd w:id="63"/>
      <w:bookmarkEnd w:id="64"/>
    </w:p>
    <w:p w14:paraId="361569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eastAsia="仿宋_GB2312" w:cs="仿宋_GB2312"/>
          <w:color w:val="auto"/>
          <w:kern w:val="2"/>
          <w:sz w:val="32"/>
          <w:szCs w:val="32"/>
          <w:highlight w:val="none"/>
          <w:lang w:val="en-US" w:eastAsia="zh-CN" w:bidi="ar-SA"/>
        </w:rPr>
        <w:t>，</w:t>
      </w:r>
      <w:r>
        <w:rPr>
          <w:rFonts w:hint="eastAsia" w:ascii="仿宋_GB2312" w:eastAsia="仿宋_GB2312" w:cs="仿宋_GB2312"/>
          <w:sz w:val="32"/>
          <w:szCs w:val="32"/>
        </w:rPr>
        <w:t>九寨沟县自然资源局（本级）</w:t>
      </w:r>
      <w:r>
        <w:rPr>
          <w:rFonts w:hint="eastAsia" w:ascii="仿宋_GB2312" w:eastAsia="仿宋_GB2312" w:cs="仿宋_GB2312"/>
          <w:color w:val="auto"/>
          <w:kern w:val="2"/>
          <w:sz w:val="32"/>
          <w:szCs w:val="32"/>
          <w:highlight w:val="none"/>
          <w:lang w:val="en-US" w:eastAsia="zh-CN" w:bidi="ar-SA"/>
        </w:rPr>
        <w:t>机关运行经费支出</w:t>
      </w:r>
      <w:r>
        <w:rPr>
          <w:rFonts w:hint="eastAsia" w:ascii="仿宋_GB2312" w:eastAsia="仿宋_GB2312" w:cs="仿宋_GB2312"/>
          <w:sz w:val="32"/>
          <w:szCs w:val="32"/>
        </w:rPr>
        <w:t>57.78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ascii="Times New Roman" w:hAnsi="Times New Roman" w:eastAsia="仿宋_GB2312" w:cs="仿宋_GB2312"/>
          <w:color w:val="auto"/>
          <w:kern w:val="2"/>
          <w:sz w:val="32"/>
          <w:szCs w:val="32"/>
          <w:highlight w:val="none"/>
          <w:lang w:val="en-US" w:eastAsia="zh-CN" w:bidi="ar-SA"/>
        </w:rPr>
        <w:t>30.25</w:t>
      </w:r>
      <w:r>
        <w:rPr>
          <w:rFonts w:hint="eastAsia" w:ascii="Times New Roman" w:hAnsi="Times New Roman" w:eastAsia="仿宋_GB2312" w:cs="仿宋_GB2312"/>
          <w:color w:val="auto"/>
          <w:kern w:val="2"/>
          <w:sz w:val="32"/>
          <w:szCs w:val="32"/>
          <w:highlight w:val="none"/>
          <w:lang w:val="en-US" w:eastAsia="zh-CN" w:bidi="ar-SA"/>
        </w:rPr>
        <w:t>万元，增长</w:t>
      </w:r>
      <w:r>
        <w:rPr>
          <w:rFonts w:ascii="Times New Roman" w:hAnsi="Times New Roman" w:eastAsia="仿宋_GB2312" w:cs="仿宋_GB2312"/>
          <w:color w:val="auto"/>
          <w:kern w:val="2"/>
          <w:sz w:val="32"/>
          <w:szCs w:val="32"/>
          <w:highlight w:val="none"/>
          <w:lang w:val="en-US" w:eastAsia="zh-CN" w:bidi="ar-SA"/>
        </w:rPr>
        <w:t>109</w:t>
      </w:r>
      <w:r>
        <w:rPr>
          <w:rFonts w:hint="eastAsia" w:ascii="Times New Roman" w:hAnsi="Times New Roman" w:eastAsia="仿宋_GB2312" w:cs="仿宋_GB2312"/>
          <w:color w:val="auto"/>
          <w:kern w:val="2"/>
          <w:sz w:val="32"/>
          <w:szCs w:val="32"/>
          <w:highlight w:val="none"/>
          <w:lang w:val="en-US" w:eastAsia="zh-CN" w:bidi="ar-SA"/>
        </w:rPr>
        <w:t>%。主要原因是</w:t>
      </w:r>
      <w:r>
        <w:rPr>
          <w:rFonts w:ascii="Times New Roman" w:hAnsi="Times New Roman" w:eastAsia="仿宋_GB2312" w:cs="仿宋_GB2312"/>
          <w:color w:val="auto"/>
          <w:kern w:val="2"/>
          <w:sz w:val="32"/>
          <w:szCs w:val="32"/>
          <w:highlight w:val="none"/>
          <w:lang w:val="en-US" w:eastAsia="zh-CN" w:bidi="ar-SA"/>
        </w:rPr>
        <w:t>人员调动和日常工作量的增加。</w:t>
      </w:r>
    </w:p>
    <w:p w14:paraId="3766977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5" w:name="_Toc15377223"/>
      <w:bookmarkStart w:id="66" w:name="_Toc80393810"/>
      <w:r>
        <w:rPr>
          <w:rFonts w:hint="eastAsia" w:ascii="Times New Roman" w:hAnsi="Times New Roman" w:eastAsia="楷体_GB2312" w:cs="楷体_GB2312"/>
          <w:b/>
          <w:color w:val="auto"/>
          <w:sz w:val="32"/>
          <w:szCs w:val="32"/>
          <w:highlight w:val="none"/>
        </w:rPr>
        <w:t>（二）政府采购支出情况</w:t>
      </w:r>
      <w:bookmarkEnd w:id="65"/>
      <w:bookmarkEnd w:id="66"/>
    </w:p>
    <w:p w14:paraId="39CA5903">
      <w:pPr>
        <w:spacing w:line="600" w:lineRule="exact"/>
        <w:ind w:firstLine="640"/>
        <w:rPr>
          <w:rFonts w:hint="eastAsia" w:ascii="仿宋_GB2312" w:eastAsia="仿宋_GB2312" w:cs="仿宋_GB2312"/>
          <w:sz w:val="32"/>
          <w:szCs w:val="32"/>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九寨沟县自然资源局（本级）</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%，其中：授予小微企业合同金额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p>
    <w:p w14:paraId="42B7E85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24"/>
      <w:bookmarkStart w:id="68" w:name="_Toc80393811"/>
      <w:r>
        <w:rPr>
          <w:rFonts w:hint="eastAsia" w:ascii="Times New Roman" w:hAnsi="Times New Roman" w:eastAsia="楷体_GB2312" w:cs="楷体_GB2312"/>
          <w:b/>
          <w:color w:val="auto"/>
          <w:sz w:val="32"/>
          <w:szCs w:val="32"/>
          <w:highlight w:val="none"/>
        </w:rPr>
        <w:t>（三）国有资产占有使用情况</w:t>
      </w:r>
      <w:bookmarkEnd w:id="67"/>
      <w:bookmarkEnd w:id="68"/>
    </w:p>
    <w:p w14:paraId="5C4BDA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九寨沟县自然资源局（本级）</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5</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5</w:t>
      </w:r>
      <w:r>
        <w:rPr>
          <w:rFonts w:hint="eastAsia" w:ascii="仿宋_GB2312" w:eastAsia="仿宋_GB2312" w:cs="仿宋_GB2312"/>
          <w:color w:val="auto"/>
          <w:kern w:val="2"/>
          <w:sz w:val="32"/>
          <w:szCs w:val="32"/>
          <w:highlight w:val="none"/>
          <w:lang w:val="en-US" w:eastAsia="zh-CN" w:bidi="ar-SA"/>
        </w:rPr>
        <w:t>辆</w:t>
      </w:r>
      <w:r>
        <w:rPr>
          <w:rFonts w:hint="eastAsia" w:ascii="Times New Roman" w:hAnsi="Times New Roman" w:eastAsia="仿宋_GB2312" w:cs="仿宋_GB2312"/>
          <w:color w:val="auto"/>
          <w:kern w:val="2"/>
          <w:sz w:val="32"/>
          <w:szCs w:val="32"/>
          <w:highlight w:val="none"/>
          <w:lang w:val="en-US" w:eastAsia="zh-CN" w:bidi="ar-SA"/>
        </w:rPr>
        <w:t>。</w:t>
      </w:r>
    </w:p>
    <w:p w14:paraId="5F833EA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80393812"/>
      <w:r>
        <w:rPr>
          <w:rFonts w:hint="eastAsia" w:ascii="Times New Roman" w:hAnsi="Times New Roman" w:eastAsia="楷体_GB2312" w:cs="楷体_GB2312"/>
          <w:b/>
          <w:color w:val="auto"/>
          <w:sz w:val="32"/>
          <w:szCs w:val="32"/>
          <w:highlight w:val="none"/>
        </w:rPr>
        <w:t>（四）预算绩效管理情况</w:t>
      </w:r>
      <w:bookmarkEnd w:id="69"/>
    </w:p>
    <w:p w14:paraId="4C495BC5">
      <w:pPr>
        <w:spacing w:line="600" w:lineRule="exact"/>
        <w:ind w:firstLine="640"/>
        <w:rPr>
          <w:rFonts w:hint="eastAsia" w:eastAsia="仿宋_GB2312" w:cs="仿宋_GB2312"/>
          <w:bCs/>
          <w:sz w:val="32"/>
          <w:szCs w:val="32"/>
        </w:rPr>
      </w:pPr>
      <w:r>
        <w:rPr>
          <w:rFonts w:hint="eastAsia" w:eastAsia="仿宋_GB2312" w:cs="仿宋_GB2312"/>
          <w:bCs/>
          <w:sz w:val="32"/>
          <w:szCs w:val="32"/>
          <w:highlight w:val="none"/>
        </w:rPr>
        <w:t>无</w:t>
      </w:r>
    </w:p>
    <w:p w14:paraId="7BF0882E">
      <w:pPr>
        <w:spacing w:line="600" w:lineRule="exact"/>
        <w:jc w:val="center"/>
        <w:outlineLvl w:val="0"/>
        <w:rPr>
          <w:rFonts w:hint="eastAsia" w:ascii="Times New Roman" w:hAnsi="Times New Roman" w:eastAsia="黑体"/>
          <w:color w:val="auto"/>
          <w:sz w:val="44"/>
          <w:szCs w:val="44"/>
          <w:highlight w:val="none"/>
        </w:rPr>
      </w:pPr>
      <w:bookmarkStart w:id="70" w:name="_Toc80393813"/>
      <w:bookmarkStart w:id="71" w:name="_Toc15377225"/>
      <w:bookmarkStart w:id="72"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0"/>
      <w:bookmarkEnd w:id="71"/>
      <w:bookmarkEnd w:id="72"/>
    </w:p>
    <w:p w14:paraId="5AA19E20">
      <w:pPr>
        <w:spacing w:line="600" w:lineRule="exact"/>
        <w:jc w:val="left"/>
        <w:rPr>
          <w:rFonts w:ascii="Times New Roman" w:hAnsi="Times New Roman"/>
          <w:b/>
          <w:color w:val="auto"/>
          <w:sz w:val="44"/>
          <w:szCs w:val="44"/>
          <w:highlight w:val="none"/>
        </w:rPr>
      </w:pPr>
    </w:p>
    <w:p w14:paraId="3A3580D8">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1.财政拨款收入：指单位从同级财政部门取得的财政预算资金。</w:t>
      </w:r>
    </w:p>
    <w:p w14:paraId="251D294B">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2.事业收入：指事业单位开展专业业务活动及辅助活动取得的收入。</w:t>
      </w:r>
    </w:p>
    <w:p w14:paraId="49C53C51">
      <w:pPr>
        <w:pStyle w:val="15"/>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3.经营收入：指事业单位在专业业务活动及其辅助活动之外开展非独立核算经营活动取得的收入。</w:t>
      </w:r>
    </w:p>
    <w:p w14:paraId="3FFDF0CE">
      <w:pPr>
        <w:pStyle w:val="15"/>
        <w:shd w:val="clear" w:color="auto" w:fill="FFFFFF"/>
        <w:rPr>
          <w:rFonts w:ascii="仿宋_GB2312" w:eastAsia="仿宋_GB2312" w:cs="仿宋_GB2312"/>
          <w:kern w:val="2"/>
          <w:sz w:val="32"/>
          <w:szCs w:val="32"/>
        </w:rPr>
      </w:pPr>
      <w:r>
        <w:rPr>
          <w:rFonts w:hint="eastAsia" w:ascii="仿宋_GB2312" w:eastAsia="仿宋_GB2312" w:cs="仿宋_GB2312"/>
          <w:kern w:val="2"/>
          <w:sz w:val="32"/>
          <w:szCs w:val="32"/>
        </w:rPr>
        <w:t>4.其他收入：指单位取得的除上述收入以外的各项收入。</w:t>
      </w:r>
    </w:p>
    <w:p w14:paraId="37A3E99A">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5.使用非财政拨款结余：指事业单位使用以前年度积累的非财政拨款结余弥补当年收支差额的金额。</w:t>
      </w:r>
    </w:p>
    <w:p w14:paraId="571BC8E2">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6.年初结转和结余：指以前年度尚未完成、结转到本年按有关规定继续使用的资金。</w:t>
      </w:r>
    </w:p>
    <w:p w14:paraId="464F02D8">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7.结余分配：指事业单位按照会计制度规定缴纳的所得税、提取的专用结余以及转入非财政拨款结余的金额等。</w:t>
      </w:r>
    </w:p>
    <w:p w14:paraId="23FD46D0">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8、年末结转和结余：指单位按有关规定结转到下年或以后年度继续使用的资金。</w:t>
      </w:r>
    </w:p>
    <w:p w14:paraId="08872883">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9.一般公共服务（201）组织事务（32）行政运行（01）、：指组织事务基本支出。</w:t>
      </w:r>
    </w:p>
    <w:p w14:paraId="36BDDF83">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10. 一般公共服务（201）其他一般公共事务（99）其他一般公共事务（99）：指一般公共事务的基本支出。</w:t>
      </w:r>
    </w:p>
    <w:p w14:paraId="717CFA6D">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11. 社会保障和就业（208）行政事业单位离退休（05）机关事业单位基本养老保险缴费支出（05）：指其基本医疗保险支出。</w:t>
      </w:r>
    </w:p>
    <w:p w14:paraId="7BA95B19">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12. 社会保障和就业（208）抚恤（08）死亡抚恤（01）：指抚恤支出。</w:t>
      </w:r>
    </w:p>
    <w:p w14:paraId="7F90082B">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13. 卫生健康支出（210）行政事业单位医疗（11）行政单位医疗（01）：指行单位事业医疗支出。</w:t>
      </w:r>
    </w:p>
    <w:p w14:paraId="6F5150AA">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14. 卫生健康支出（210）行政事业单位医疗（11）公务员医疗（03）：指公务员医疗支出。</w:t>
      </w:r>
    </w:p>
    <w:p w14:paraId="40B72BCB">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15. 节能环保支出（211）国土生态保护（04）生态保护（01）：指生态保护支出。</w:t>
      </w:r>
    </w:p>
    <w:p w14:paraId="04768DD7">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16. 节能环保支出（211）国土生态保护（04）其他国土生态保护支出（99）：指其其他生态支出。</w:t>
      </w:r>
    </w:p>
    <w:p w14:paraId="395E9EC0">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17. 城局社区支出（212）城局社区管理事务（01）其他城局社区管理事务支出（99）:指其他城局社区管理事务支出。</w:t>
      </w:r>
    </w:p>
    <w:p w14:paraId="677899ED">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18. 城局社区支出（212）国有土地使用权出让收入及对应专项债务收入安排的支出（08）征地和拆迁补偿支出（01）：指征地和拆迁支出。</w:t>
      </w:r>
    </w:p>
    <w:p w14:paraId="50F48615">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19. 城局社区支出（212）国有土地使用权出让收入及对应专项债务收入安排的支出（08）其他国有土地使用权出让收入安排的支出（99）：指其他国有土地使用权出让收入安排的支出。</w:t>
      </w:r>
    </w:p>
    <w:p w14:paraId="13F55509">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20. 城局社区支出（212）国有土地收益基金及对专项债务收入安排的支出（10）征地和拆迁补偿支出（01）：指征地和拆迁补偿支出。</w:t>
      </w:r>
    </w:p>
    <w:p w14:paraId="395E4B7A">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21. 城局社区支出（212）农业土地开发资金及对应专项债务收入安排的支出（11）农业土地开发资金及对应专项债务收入安排的支出（00）:指农业土地开发资金及对应专项债务收入安排的支出。</w:t>
      </w:r>
    </w:p>
    <w:p w14:paraId="1E47F1CF">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22. 土地海洋气象支出（220）土地资源事务（01）</w:t>
      </w:r>
    </w:p>
    <w:p w14:paraId="1475B5D8">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行政运行（01）：指行政运行支出。</w:t>
      </w:r>
    </w:p>
    <w:p w14:paraId="2CF16ED3">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23. 土地海洋气象支出（220）土地资源事务（01）</w:t>
      </w:r>
    </w:p>
    <w:p w14:paraId="2DD5515A">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一般行政管理事务（02）：指一般行政运行支出。</w:t>
      </w:r>
    </w:p>
    <w:p w14:paraId="07297FB3">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24. 土地海洋气象支出（220）地质灾害防治（11）其他国土资源事务支出（99）：指其他国土资源事务支出。</w:t>
      </w:r>
    </w:p>
    <w:p w14:paraId="5581F4B2">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25. 地海洋气象支出（220）其他国土海洋气象等支出（99）其他国土海洋气象等支出（01）：指其他国土海洋气象支出。</w:t>
      </w:r>
    </w:p>
    <w:p w14:paraId="226F510A">
      <w:pPr>
        <w:pStyle w:val="15"/>
        <w:shd w:val="clear" w:color="auto" w:fill="FFFFFF"/>
        <w:spacing w:before="0" w:beforeAutospacing="0"/>
        <w:ind w:left="0"/>
        <w:jc w:val="left"/>
        <w:rPr>
          <w:rFonts w:hint="eastAsia" w:ascii="仿宋_GB2312" w:eastAsia="仿宋_GB2312" w:cs="仿宋_GB2312"/>
          <w:kern w:val="2"/>
          <w:sz w:val="32"/>
          <w:szCs w:val="32"/>
        </w:rPr>
      </w:pPr>
      <w:r>
        <w:rPr>
          <w:rFonts w:hint="eastAsia" w:ascii="仿宋_GB2312" w:eastAsia="仿宋_GB2312" w:cs="仿宋_GB2312"/>
          <w:kern w:val="2"/>
          <w:sz w:val="32"/>
          <w:szCs w:val="32"/>
        </w:rPr>
        <w:t>26.住房保障支出（221）住房改革支出（02）住房公积金（01）：指行政事业单位按人力资源和社会保障部、财政部规定的基本工资和津补贴依规定比例为职工缴纳住房公积金。</w:t>
      </w:r>
    </w:p>
    <w:p w14:paraId="39E439A8">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27.基本支出：指为保障机构正常运转、完成日常工作任务而发生的人员支出和公用支出。</w:t>
      </w:r>
    </w:p>
    <w:p w14:paraId="51A62DFD">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28.项目支出：指在基本支出之外为完成特定行政任务和事业发展目标所发生的支出。</w:t>
      </w:r>
    </w:p>
    <w:p w14:paraId="22571FE4">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29.经营支出：指事业单位在专业业务活动及其辅助活动之外开展非独立核算经营活动发生的支出。</w:t>
      </w:r>
    </w:p>
    <w:p w14:paraId="397EC73F">
      <w:pPr>
        <w:pStyle w:val="15"/>
        <w:shd w:val="clear" w:color="auto" w:fill="FFFFFF"/>
        <w:rPr>
          <w:rFonts w:hint="eastAsia" w:ascii="仿宋_GB2312" w:eastAsia="仿宋_GB2312" w:cs="仿宋_GB2312"/>
          <w:kern w:val="2"/>
          <w:sz w:val="32"/>
          <w:szCs w:val="32"/>
        </w:rPr>
      </w:pPr>
      <w:r>
        <w:rPr>
          <w:rFonts w:hint="eastAsia" w:ascii="仿宋_GB2312" w:eastAsia="仿宋_GB2312" w:cs="仿宋_GB2312"/>
          <w:kern w:val="2"/>
          <w:sz w:val="32"/>
          <w:szCs w:val="32"/>
        </w:rPr>
        <w:t>30.“三公”经费：指部门用财政拨款安排的因公出国（境）费、公务用车购置及运行费和公务接待费。其中，因公出国（境）</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单位公务出国（境）的国际旅费、国外城市间交通费、住宿费、伙食费、培训费、公杂费等支出；公务用车购置及运行</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单位公务用车车辆购置支出（</w:t>
      </w:r>
      <w:r>
        <w:rPr>
          <w:rFonts w:hint="eastAsia" w:ascii="仿宋_GB2312" w:eastAsia="仿宋_GB2312" w:cs="仿宋_GB2312"/>
          <w:sz w:val="32"/>
          <w:szCs w:val="32"/>
        </w:rPr>
        <w:t>含车辆</w:t>
      </w:r>
      <w:r>
        <w:rPr>
          <w:rFonts w:hint="eastAsia" w:ascii="仿宋_GB2312" w:eastAsia="仿宋_GB2312" w:cs="仿宋_GB2312"/>
          <w:kern w:val="2"/>
          <w:sz w:val="32"/>
          <w:szCs w:val="32"/>
        </w:rPr>
        <w:t>购置税）及租用费、燃料费、维修费、过路过桥费、保险费等支出；公务接待</w:t>
      </w:r>
      <w:r>
        <w:rPr>
          <w:rFonts w:hint="eastAsia" w:ascii="仿宋_GB2312" w:eastAsia="仿宋_GB2312" w:cs="仿宋_GB2312"/>
          <w:sz w:val="32"/>
          <w:szCs w:val="32"/>
        </w:rPr>
        <w:t>费反映</w:t>
      </w:r>
      <w:r>
        <w:rPr>
          <w:rFonts w:hint="eastAsia" w:ascii="仿宋_GB2312" w:eastAsia="仿宋_GB2312" w:cs="仿宋_GB2312"/>
          <w:kern w:val="2"/>
          <w:sz w:val="32"/>
          <w:szCs w:val="32"/>
        </w:rPr>
        <w:t>单位按规定开支的各类公务接待（含外宾接待）支出。</w:t>
      </w:r>
    </w:p>
    <w:p w14:paraId="4DA4FBE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eastAsia="仿宋_GB2312" w:cs="仿宋_GB2312"/>
          <w:kern w:val="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3BCC1F">
      <w:pPr>
        <w:spacing w:line="600" w:lineRule="exact"/>
        <w:jc w:val="center"/>
        <w:rPr>
          <w:rStyle w:val="21"/>
          <w:rFonts w:hint="eastAsia" w:ascii="Times New Roman" w:hAnsi="Times New Roman" w:eastAsia="黑体"/>
          <w:b w:val="0"/>
          <w:color w:val="auto"/>
          <w:highlight w:val="none"/>
          <w:lang w:eastAsia="zh-CN"/>
        </w:rPr>
      </w:pPr>
      <w:bookmarkStart w:id="73"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74"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4"/>
    </w:p>
    <w:p w14:paraId="708DA201">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4344D77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ascii="Times New Roman" w:hAnsi="Times New Roman" w:eastAsia="仿宋_GB2312" w:cs="仿宋_GB2312"/>
          <w:b w:val="0"/>
          <w:bCs w:val="0"/>
          <w:kern w:val="0"/>
          <w:position w:val="0"/>
          <w:sz w:val="32"/>
          <w:szCs w:val="32"/>
          <w:highlight w:val="none"/>
          <w:lang w:val="en-US" w:eastAsia="zh-CN" w:bidi="ar-SA"/>
        </w:rPr>
        <w:t>无</w:t>
      </w:r>
    </w:p>
    <w:p w14:paraId="67E01CB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28296C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E43DF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7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6FF1701">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1"/>
          <w:rFonts w:hint="eastAsia" w:ascii="Times New Roman" w:hAnsi="Times New Roman" w:eastAsia="黑体"/>
          <w:b w:val="0"/>
          <w:color w:val="auto"/>
          <w:highlight w:val="none"/>
        </w:rPr>
        <w:t>五部分 附表</w:t>
      </w:r>
      <w:bookmarkEnd w:id="73"/>
      <w:bookmarkEnd w:id="75"/>
      <w:bookmarkStart w:id="76" w:name="_Toc15396619"/>
    </w:p>
    <w:p w14:paraId="2CA8966F">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CC5DC82">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76"/>
    </w:p>
    <w:p w14:paraId="4B66C0CF">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7" w:name="_Toc15396620"/>
      <w:r>
        <w:rPr>
          <w:rFonts w:hint="eastAsia" w:ascii="Times New Roman" w:hAnsi="Times New Roman" w:eastAsia="仿宋_GB2312" w:cs="仿宋_GB2312"/>
          <w:color w:val="auto"/>
          <w:sz w:val="32"/>
          <w:szCs w:val="32"/>
          <w:highlight w:val="none"/>
        </w:rPr>
        <w:t>二、收入决算表</w:t>
      </w:r>
      <w:bookmarkEnd w:id="77"/>
    </w:p>
    <w:p w14:paraId="7103B055">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8" w:name="_Toc15396621"/>
      <w:r>
        <w:rPr>
          <w:rFonts w:hint="eastAsia" w:ascii="Times New Roman" w:hAnsi="Times New Roman" w:eastAsia="仿宋_GB2312" w:cs="仿宋_GB2312"/>
          <w:color w:val="auto"/>
          <w:sz w:val="32"/>
          <w:szCs w:val="32"/>
          <w:highlight w:val="none"/>
        </w:rPr>
        <w:t>三、支出决算表</w:t>
      </w:r>
      <w:bookmarkEnd w:id="78"/>
    </w:p>
    <w:p w14:paraId="0D61F5E9">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9" w:name="_Toc15396622"/>
      <w:r>
        <w:rPr>
          <w:rFonts w:hint="eastAsia" w:ascii="Times New Roman" w:hAnsi="Times New Roman" w:eastAsia="仿宋_GB2312" w:cs="仿宋_GB2312"/>
          <w:color w:val="auto"/>
          <w:sz w:val="32"/>
          <w:szCs w:val="32"/>
          <w:highlight w:val="none"/>
        </w:rPr>
        <w:t>四、财政拨款收入支出决算总表</w:t>
      </w:r>
      <w:bookmarkEnd w:id="79"/>
    </w:p>
    <w:p w14:paraId="1D9DA7D9">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0" w:name="_Toc15396623"/>
      <w:r>
        <w:rPr>
          <w:rFonts w:hint="eastAsia" w:ascii="Times New Roman" w:hAnsi="Times New Roman" w:eastAsia="仿宋_GB2312" w:cs="仿宋_GB2312"/>
          <w:color w:val="auto"/>
          <w:sz w:val="32"/>
          <w:szCs w:val="32"/>
          <w:highlight w:val="none"/>
        </w:rPr>
        <w:t>五、财政拨款支出决算明细表</w:t>
      </w:r>
      <w:bookmarkEnd w:id="80"/>
      <w:bookmarkStart w:id="81" w:name="_Toc15396624"/>
    </w:p>
    <w:p w14:paraId="3A9DF423">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81"/>
    </w:p>
    <w:p w14:paraId="617A3DA0">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2" w:name="_Toc15396625"/>
      <w:r>
        <w:rPr>
          <w:rFonts w:hint="eastAsia" w:ascii="Times New Roman" w:hAnsi="Times New Roman" w:eastAsia="仿宋_GB2312" w:cs="仿宋_GB2312"/>
          <w:color w:val="auto"/>
          <w:sz w:val="32"/>
          <w:szCs w:val="32"/>
          <w:highlight w:val="none"/>
        </w:rPr>
        <w:t>七、一般公共预算财政拨款支出决算明细表</w:t>
      </w:r>
      <w:bookmarkEnd w:id="82"/>
    </w:p>
    <w:p w14:paraId="5468A7B5">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3" w:name="_Toc15396626"/>
      <w:r>
        <w:rPr>
          <w:rFonts w:hint="eastAsia" w:ascii="Times New Roman" w:hAnsi="Times New Roman" w:eastAsia="仿宋_GB2312" w:cs="仿宋_GB2312"/>
          <w:color w:val="auto"/>
          <w:sz w:val="32"/>
          <w:szCs w:val="32"/>
          <w:highlight w:val="none"/>
        </w:rPr>
        <w:t>八、一般公共预算财政拨款基本支出决算表</w:t>
      </w:r>
      <w:bookmarkEnd w:id="83"/>
    </w:p>
    <w:p w14:paraId="48006A25">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4" w:name="_Toc15396627"/>
      <w:r>
        <w:rPr>
          <w:rFonts w:hint="eastAsia" w:ascii="Times New Roman" w:hAnsi="Times New Roman" w:eastAsia="仿宋_GB2312" w:cs="仿宋_GB2312"/>
          <w:color w:val="auto"/>
          <w:sz w:val="32"/>
          <w:szCs w:val="32"/>
          <w:highlight w:val="none"/>
        </w:rPr>
        <w:t>九、一般公共预算财政拨款项目支出决算表</w:t>
      </w:r>
      <w:bookmarkEnd w:id="84"/>
    </w:p>
    <w:p w14:paraId="7CC11262">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5" w:name="_Toc15396628"/>
      <w:r>
        <w:rPr>
          <w:rFonts w:hint="eastAsia" w:ascii="Times New Roman" w:hAnsi="Times New Roman" w:eastAsia="仿宋_GB2312" w:cs="仿宋_GB2312"/>
          <w:color w:val="auto"/>
          <w:sz w:val="32"/>
          <w:szCs w:val="32"/>
          <w:highlight w:val="none"/>
        </w:rPr>
        <w:t>十、</w:t>
      </w:r>
      <w:bookmarkEnd w:id="85"/>
      <w:r>
        <w:rPr>
          <w:rFonts w:hint="eastAsia" w:ascii="Times New Roman" w:hAnsi="Times New Roman" w:eastAsia="仿宋_GB2312" w:cs="仿宋_GB2312"/>
          <w:color w:val="auto"/>
          <w:sz w:val="32"/>
          <w:szCs w:val="32"/>
          <w:highlight w:val="none"/>
        </w:rPr>
        <w:t>政府性基金预算财政拨款收入支出决算表</w:t>
      </w:r>
    </w:p>
    <w:p w14:paraId="6ACB84DA">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6" w:name="_Toc15396629"/>
      <w:r>
        <w:rPr>
          <w:rFonts w:hint="eastAsia" w:ascii="Times New Roman" w:hAnsi="Times New Roman" w:eastAsia="仿宋_GB2312" w:cs="仿宋_GB2312"/>
          <w:color w:val="auto"/>
          <w:sz w:val="32"/>
          <w:szCs w:val="32"/>
          <w:highlight w:val="none"/>
        </w:rPr>
        <w:t>十一、</w:t>
      </w:r>
      <w:bookmarkEnd w:id="8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4D3BD48">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7" w:name="_Toc15396630"/>
      <w:r>
        <w:rPr>
          <w:rFonts w:hint="eastAsia" w:ascii="Times New Roman" w:hAnsi="Times New Roman" w:eastAsia="仿宋_GB2312" w:cs="仿宋_GB2312"/>
          <w:color w:val="auto"/>
          <w:sz w:val="32"/>
          <w:szCs w:val="32"/>
          <w:highlight w:val="none"/>
        </w:rPr>
        <w:t>十二、</w:t>
      </w:r>
      <w:bookmarkEnd w:id="87"/>
      <w:r>
        <w:rPr>
          <w:rFonts w:hint="eastAsia" w:ascii="Times New Roman" w:hAnsi="Times New Roman" w:eastAsia="仿宋_GB2312" w:cs="仿宋_GB2312"/>
          <w:color w:val="auto"/>
          <w:sz w:val="32"/>
          <w:szCs w:val="32"/>
          <w:highlight w:val="none"/>
          <w:lang w:eastAsia="zh-CN"/>
        </w:rPr>
        <w:t>国有资本经营预算财政拨款支出决算表</w:t>
      </w:r>
    </w:p>
    <w:p w14:paraId="32611F4D">
      <w:pPr>
        <w:pStyle w:val="14"/>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88" w:name="_Toc15396631"/>
      <w:r>
        <w:rPr>
          <w:rFonts w:hint="eastAsia" w:ascii="Times New Roman" w:hAnsi="Times New Roman" w:eastAsia="仿宋_GB2312" w:cs="仿宋_GB2312"/>
          <w:color w:val="auto"/>
          <w:sz w:val="32"/>
          <w:szCs w:val="32"/>
          <w:highlight w:val="none"/>
        </w:rPr>
        <w:t>十三、</w:t>
      </w:r>
      <w:bookmarkEnd w:id="88"/>
      <w:r>
        <w:rPr>
          <w:rFonts w:hint="eastAsia" w:ascii="Times New Roman" w:hAnsi="Times New Roman" w:eastAsia="仿宋_GB2312" w:cs="仿宋_GB2312"/>
          <w:color w:val="auto"/>
          <w:sz w:val="32"/>
          <w:szCs w:val="32"/>
          <w:highlight w:val="none"/>
          <w:lang w:eastAsia="zh-CN"/>
        </w:rPr>
        <w:t>财政拨款“三公”经费支出决算表</w:t>
      </w:r>
    </w:p>
    <w:p w14:paraId="4BC9C849">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3E43">
    <w:pPr>
      <w:pStyle w:val="11"/>
      <w:jc w:val="center"/>
    </w:pPr>
  </w:p>
  <w:p w14:paraId="52538F1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8F488">
    <w:pPr>
      <w:pStyle w:val="11"/>
      <w:framePr w:wrap="around" w:vAnchor="text" w:hAnchor="margin" w:xAlign="center" w:y="1"/>
      <w:pBdr>
        <w:top w:val="none" w:color="auto" w:sz="0" w:space="0"/>
        <w:left w:val="none" w:color="auto" w:sz="0" w:space="0"/>
        <w:bottom w:val="none" w:color="auto" w:sz="0" w:space="0"/>
        <w:right w:val="none" w:color="auto" w:sz="0" w:space="0"/>
      </w:pBdr>
    </w:pPr>
    <w:r>
      <w:rPr>
        <w:rStyle w:val="19"/>
      </w:rPr>
      <w:fldChar w:fldCharType="begin"/>
    </w:r>
    <w:r>
      <w:rPr>
        <w:rStyle w:val="19"/>
      </w:rPr>
      <w:instrText xml:space="preserve">Page</w:instrText>
    </w:r>
    <w:r>
      <w:rPr>
        <w:rStyle w:val="19"/>
      </w:rPr>
      <w:fldChar w:fldCharType="separate"/>
    </w:r>
    <w:r>
      <w:rPr>
        <w:rStyle w:val="19"/>
      </w:rPr>
      <w:t>- 1 -</w:t>
    </w:r>
    <w:r>
      <w:rPr>
        <w:rStyle w:val="19"/>
      </w:rPr>
      <w:fldChar w:fldCharType="end"/>
    </w:r>
  </w:p>
  <w:p w14:paraId="35451A4A">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0DC3F">
    <w:pPr>
      <w:pStyle w:val="11"/>
      <w:framePr w:wrap="around" w:vAnchor="text" w:hAnchor="margin" w:xAlign="center" w:y="1"/>
      <w:pBdr>
        <w:top w:val="none" w:color="auto" w:sz="0" w:space="0"/>
        <w:left w:val="none" w:color="auto" w:sz="0" w:space="0"/>
        <w:bottom w:val="none" w:color="auto" w:sz="0" w:space="0"/>
        <w:right w:val="none" w:color="auto" w:sz="0" w:space="0"/>
      </w:pBdr>
    </w:pPr>
    <w:r>
      <w:rPr>
        <w:rStyle w:val="19"/>
      </w:rPr>
      <w:fldChar w:fldCharType="begin"/>
    </w:r>
    <w:r>
      <w:rPr>
        <w:rStyle w:val="19"/>
      </w:rPr>
      <w:instrText xml:space="preserve">Page</w:instrText>
    </w:r>
    <w:r>
      <w:rPr>
        <w:rStyle w:val="19"/>
      </w:rPr>
      <w:fldChar w:fldCharType="separate"/>
    </w:r>
    <w:r>
      <w:rPr>
        <w:rStyle w:val="19"/>
      </w:rPr>
      <w:t>- 2 -</w:t>
    </w:r>
    <w:r>
      <w:rPr>
        <w:rStyle w:val="19"/>
      </w:rPr>
      <w:fldChar w:fldCharType="end"/>
    </w:r>
  </w:p>
  <w:p w14:paraId="05796D2C">
    <w:pPr>
      <w:pStyle w:val="11"/>
      <w:jc w:val="center"/>
    </w:pPr>
  </w:p>
  <w:p w14:paraId="3325EF1A">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9E02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CD83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C23D1"/>
    <w:multiLevelType w:val="multilevel"/>
    <w:tmpl w:val="961C23D1"/>
    <w:lvl w:ilvl="0" w:tentative="0">
      <w:start w:val="1"/>
      <w:numFmt w:val="decimal"/>
      <w:lvlText w:val="%1."/>
      <w:legacy w:legacy="1" w:legacySpace="0" w:legacyIndent="360"/>
      <w:lvlJc w:val="left"/>
      <w:pPr>
        <w:ind w:left="1000" w:hanging="360"/>
      </w:p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abstractNum w:abstractNumId="1">
    <w:nsid w:val="17D19C27"/>
    <w:multiLevelType w:val="multilevel"/>
    <w:tmpl w:val="17D19C27"/>
    <w:lvl w:ilvl="0" w:tentative="0">
      <w:start w:val="1"/>
      <w:numFmt w:val="chineseCountingThousand"/>
      <w:lvlText w:val="%1、"/>
      <w:legacy w:legacy="1" w:legacySpace="0" w:legacyIndent="640"/>
      <w:lvlJc w:val="left"/>
      <w:pPr>
        <w:ind w:left="640" w:hanging="640"/>
      </w:pPr>
      <w:rPr>
        <w:rFonts w:hint="eastAsia" w:eastAsia="黑体"/>
      </w:rPr>
    </w:lvl>
    <w:lvl w:ilvl="1" w:tentative="0">
      <w:start w:val="1"/>
      <w:numFmt w:val="lowerLetter"/>
      <w:lvlText w:val="%2)"/>
      <w:legacy w:legacy="1" w:legacySpace="0" w:legacyIndent="420"/>
      <w:lvlJc w:val="left"/>
      <w:pPr>
        <w:ind w:left="840" w:hanging="420"/>
      </w:pPr>
    </w:lvl>
    <w:lvl w:ilvl="2" w:tentative="0">
      <w:start w:val="1"/>
      <w:numFmt w:val="lowerRoman"/>
      <w:lvlText w:val="%3."/>
      <w:legacy w:legacy="1" w:legacySpace="0" w:legacyIndent="420"/>
      <w:lvlJc w:val="right"/>
      <w:pPr>
        <w:ind w:left="1260" w:hanging="420"/>
      </w:pPr>
    </w:lvl>
    <w:lvl w:ilvl="3" w:tentative="0">
      <w:start w:val="1"/>
      <w:numFmt w:val="decimal"/>
      <w:lvlText w:val="%4."/>
      <w:legacy w:legacy="1" w:legacySpace="0" w:legacyIndent="420"/>
      <w:lvlJc w:val="left"/>
      <w:pPr>
        <w:ind w:left="1680" w:hanging="420"/>
      </w:pPr>
    </w:lvl>
    <w:lvl w:ilvl="4" w:tentative="0">
      <w:start w:val="1"/>
      <w:numFmt w:val="lowerLetter"/>
      <w:lvlText w:val="%5)"/>
      <w:legacy w:legacy="1" w:legacySpace="0" w:legacyIndent="420"/>
      <w:lvlJc w:val="left"/>
      <w:pPr>
        <w:ind w:left="2100" w:hanging="420"/>
      </w:pPr>
    </w:lvl>
    <w:lvl w:ilvl="5" w:tentative="0">
      <w:start w:val="1"/>
      <w:numFmt w:val="lowerRoman"/>
      <w:lvlText w:val="%6."/>
      <w:legacy w:legacy="1" w:legacySpace="0" w:legacyIndent="420"/>
      <w:lvlJc w:val="right"/>
      <w:pPr>
        <w:ind w:left="2520" w:hanging="420"/>
      </w:pPr>
    </w:lvl>
    <w:lvl w:ilvl="6" w:tentative="0">
      <w:start w:val="1"/>
      <w:numFmt w:val="decimal"/>
      <w:lvlText w:val="%7."/>
      <w:legacy w:legacy="1" w:legacySpace="0" w:legacyIndent="420"/>
      <w:lvlJc w:val="left"/>
      <w:pPr>
        <w:ind w:left="2940" w:hanging="420"/>
      </w:pPr>
    </w:lvl>
    <w:lvl w:ilvl="7" w:tentative="0">
      <w:start w:val="1"/>
      <w:numFmt w:val="lowerLetter"/>
      <w:lvlText w:val="%8)"/>
      <w:legacy w:legacy="1" w:legacySpace="0" w:legacyIndent="420"/>
      <w:lvlJc w:val="left"/>
      <w:pPr>
        <w:ind w:left="3360" w:hanging="420"/>
      </w:pPr>
    </w:lvl>
    <w:lvl w:ilvl="8" w:tentative="0">
      <w:start w:val="1"/>
      <w:numFmt w:val="lowerRoman"/>
      <w:lvlText w:val="%9."/>
      <w:legacy w:legacy="1" w:legacySpace="0" w:legacyIndent="420"/>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3B202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2"/>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uiPriority w:val="0"/>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uiPriority w:val="0"/>
    <w:pPr>
      <w:ind w:firstLine="200" w:firstLineChars="200"/>
    </w:pPr>
  </w:style>
  <w:style w:type="paragraph" w:styleId="4">
    <w:name w:val="Body Text Indent"/>
    <w:basedOn w:val="1"/>
    <w:next w:val="3"/>
    <w:uiPriority w:val="0"/>
    <w:pPr>
      <w:spacing w:after="120"/>
      <w:ind w:left="200" w:leftChars="200"/>
    </w:pPr>
    <w:rPr>
      <w:rFonts w:ascii="仿宋_GB2312" w:hAnsi="仿宋_GB2312"/>
      <w:szCs w:val="32"/>
    </w:rPr>
  </w:style>
  <w:style w:type="paragraph" w:styleId="8">
    <w:name w:val="Body Text"/>
    <w:basedOn w:val="1"/>
    <w:uiPriority w:val="0"/>
    <w:pPr>
      <w:spacing w:before="30" w:beforeLines="30"/>
    </w:pPr>
    <w:rPr>
      <w:rFonts w:ascii="仿宋_GB2312" w:eastAsia="仿宋_GB2312"/>
      <w:kern w:val="0"/>
      <w:sz w:val="30"/>
    </w:rPr>
  </w:style>
  <w:style w:type="paragraph" w:styleId="9">
    <w:name w:val="toc 3"/>
    <w:basedOn w:val="1"/>
    <w:next w:val="1"/>
    <w:uiPriority w:val="0"/>
    <w:pPr>
      <w:tabs>
        <w:tab w:val="right" w:leader="dot" w:pos="8296"/>
      </w:tabs>
      <w:ind w:left="400" w:leftChars="400"/>
    </w:pPr>
  </w:style>
  <w:style w:type="paragraph" w:styleId="10">
    <w:name w:val="Balloon Text"/>
    <w:basedOn w:val="1"/>
    <w:uiPriority w:val="0"/>
    <w:rPr>
      <w:sz w:val="18"/>
      <w:szCs w:val="18"/>
    </w:rPr>
  </w:style>
  <w:style w:type="paragraph" w:styleId="11">
    <w:name w:val="footer"/>
    <w:basedOn w:val="1"/>
    <w:uiPriority w:val="0"/>
    <w:pPr>
      <w:tabs>
        <w:tab w:val="center" w:pos="4153"/>
        <w:tab w:val="right" w:pos="8306"/>
      </w:tabs>
      <w:snapToGrid w:val="0"/>
      <w:jc w:val="left"/>
    </w:pPr>
    <w:rPr>
      <w:rFonts w:ascii="Calibri" w:hAnsi="Calibri"/>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toc 2"/>
    <w:basedOn w:val="1"/>
    <w:next w:val="1"/>
    <w:uiPriority w:val="0"/>
    <w:pPr>
      <w:tabs>
        <w:tab w:val="right" w:leader="dot" w:pos="8296"/>
      </w:tabs>
      <w:ind w:left="200" w:leftChars="200"/>
    </w:pPr>
  </w:style>
  <w:style w:type="paragraph" w:styleId="15">
    <w:name w:val="Normal (Web)"/>
    <w:next w:val="2"/>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宋体"/>
      <w:snapToGrid/>
      <w:color w:val="auto"/>
      <w:spacing w:val="0"/>
      <w:w w:val="100"/>
      <w:kern w:val="0"/>
      <w:position w:val="0"/>
      <w:sz w:val="24"/>
      <w:szCs w:val="24"/>
      <w:u w:val="none" w:color="auto"/>
      <w:vertAlign w:val="baseline"/>
      <w:lang w:val="en-US" w:eastAsia="zh-CN" w:bidi="ar-SA"/>
    </w:rPr>
  </w:style>
  <w:style w:type="character" w:styleId="18">
    <w:name w:val="Strong"/>
    <w:basedOn w:val="17"/>
    <w:uiPriority w:val="0"/>
    <w:rPr>
      <w:b/>
    </w:rPr>
  </w:style>
  <w:style w:type="character" w:styleId="19">
    <w:name w:val="page number"/>
    <w:basedOn w:val="17"/>
    <w:uiPriority w:val="0"/>
  </w:style>
  <w:style w:type="character" w:styleId="20">
    <w:name w:val="Hyperlink"/>
    <w:basedOn w:val="17"/>
    <w:uiPriority w:val="0"/>
    <w:rPr>
      <w:color w:val="0000FF"/>
      <w:u w:val="single"/>
    </w:rPr>
  </w:style>
  <w:style w:type="character" w:customStyle="1" w:styleId="21">
    <w:name w:val="heading 1 Char"/>
    <w:basedOn w:val="17"/>
    <w:link w:val="5"/>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7"/>
    <w:link w:val="6"/>
    <w:qFormat/>
    <w:uiPriority w:val="0"/>
    <w:rPr>
      <w:rFonts w:ascii="Cambria" w:hAnsi="Cambria" w:eastAsia="宋体" w:cs="Times New Roman"/>
      <w:b/>
      <w:bCs/>
      <w:kern w:val="2"/>
      <w:sz w:val="32"/>
      <w:szCs w:val="32"/>
      <w:lang w:val="en-US" w:eastAsia="zh-CN" w:bidi="ar-SA"/>
    </w:rPr>
  </w:style>
  <w:style w:type="paragraph" w:customStyle="1" w:styleId="23">
    <w:name w:val="标题 5（有编号）（绿盟科技）"/>
    <w:next w:val="1"/>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7"/>
    <w:uiPriority w:val="0"/>
    <w:rPr>
      <w:rFonts w:ascii="Times New Roman" w:hAnsi="Times New Roman"/>
      <w:sz w:val="18"/>
      <w:szCs w:val="18"/>
    </w:rPr>
  </w:style>
  <w:style w:type="character" w:customStyle="1" w:styleId="25">
    <w:name w:val="Footer Char"/>
    <w:basedOn w:val="17"/>
    <w:uiPriority w:val="0"/>
    <w:rPr>
      <w:rFonts w:ascii="Times New Roman" w:hAnsi="Times New Roman"/>
      <w:sz w:val="18"/>
      <w:szCs w:val="18"/>
    </w:rPr>
  </w:style>
  <w:style w:type="character" w:customStyle="1" w:styleId="26">
    <w:name w:val="Body Text Char"/>
    <w:basedOn w:val="17"/>
    <w:uiPriority w:val="0"/>
    <w:rPr>
      <w:rFonts w:ascii="Times New Roman" w:hAnsi="Times New Roman"/>
      <w:szCs w:val="24"/>
    </w:rPr>
  </w:style>
  <w:style w:type="paragraph" w:customStyle="1" w:styleId="27">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uiPriority w:val="0"/>
    <w:pPr>
      <w:ind w:firstLine="200" w:firstLineChars="200"/>
    </w:pPr>
  </w:style>
  <w:style w:type="paragraph" w:customStyle="1" w:styleId="29">
    <w:name w:val="TOC 标题1"/>
    <w:basedOn w:val="5"/>
    <w:next w:val="1"/>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TOC Heading"/>
    <w:basedOn w:val="5"/>
    <w:next w:val="1"/>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四号正文"/>
    <w:basedOn w:val="1"/>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bmp"/><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7.bmp"/><Relationship Id="rId14" Type="http://schemas.openxmlformats.org/officeDocument/2006/relationships/image" Target="media/image6.bmp"/><Relationship Id="rId13" Type="http://schemas.openxmlformats.org/officeDocument/2006/relationships/image" Target="media/image5.bmp"/><Relationship Id="rId12" Type="http://schemas.openxmlformats.org/officeDocument/2006/relationships/image" Target="media/image4.bmp"/><Relationship Id="rId11" Type="http://schemas.openxmlformats.org/officeDocument/2006/relationships/image" Target="media/image3.bmp"/><Relationship Id="rId10" Type="http://schemas.openxmlformats.org/officeDocument/2006/relationships/image" Target="media/image2.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5224</Words>
  <Characters>5789</Characters>
  <Lines>314</Lines>
  <Paragraphs>134</Paragraphs>
  <TotalTime>1310</TotalTime>
  <ScaleCrop>false</ScaleCrop>
  <LinksUpToDate>false</LinksUpToDate>
  <CharactersWithSpaces>5909</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Keys</cp:lastModifiedBy>
  <cp:lastPrinted>2025-08-06T17:34:00Z</cp:lastPrinted>
  <dcterms:modified xsi:type="dcterms:W3CDTF">2026-04-17T07:27:28Z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eyJoZGlkIjoiYjBmMGI4NjQwMWUzOTYxMDBiN2Y1NTkxNTIxOTgxNWQiLCJ1c2VySWQiOiI5NzExNDI0MjEifQ==</vt:lpwstr>
  </property>
</Properties>
</file>