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B90" w:rsidRDefault="00205B90">
      <w:pPr>
        <w:spacing w:line="600" w:lineRule="exact"/>
        <w:jc w:val="center"/>
        <w:outlineLvl w:val="0"/>
        <w:rPr>
          <w:rFonts w:ascii="方正小标宋简体" w:eastAsia="方正小标宋简体" w:hAnsi="宋体"/>
          <w:color w:val="000000"/>
          <w:sz w:val="72"/>
          <w:szCs w:val="72"/>
        </w:rPr>
      </w:pPr>
      <w:bookmarkStart w:id="0" w:name="_Toc15306267"/>
    </w:p>
    <w:p w:rsidR="00205B90" w:rsidRDefault="00205B90">
      <w:pPr>
        <w:spacing w:line="600" w:lineRule="exact"/>
        <w:jc w:val="center"/>
        <w:outlineLvl w:val="0"/>
        <w:rPr>
          <w:rFonts w:ascii="方正小标宋简体" w:eastAsia="方正小标宋简体" w:hAnsi="宋体"/>
          <w:color w:val="000000"/>
          <w:sz w:val="72"/>
          <w:szCs w:val="72"/>
        </w:rPr>
      </w:pPr>
    </w:p>
    <w:p w:rsidR="00205B90" w:rsidRDefault="00205B90">
      <w:pPr>
        <w:spacing w:line="600" w:lineRule="exact"/>
        <w:jc w:val="center"/>
        <w:outlineLvl w:val="0"/>
        <w:rPr>
          <w:rFonts w:ascii="方正小标宋简体" w:eastAsia="方正小标宋简体" w:hAnsi="宋体"/>
          <w:color w:val="000000"/>
          <w:sz w:val="72"/>
          <w:szCs w:val="72"/>
        </w:rPr>
      </w:pPr>
    </w:p>
    <w:p w:rsidR="00205B90" w:rsidRDefault="00205B90">
      <w:pPr>
        <w:spacing w:line="600" w:lineRule="exact"/>
        <w:jc w:val="center"/>
        <w:outlineLvl w:val="0"/>
        <w:rPr>
          <w:rFonts w:ascii="方正小标宋简体" w:eastAsia="方正小标宋简体" w:hAnsi="宋体"/>
          <w:color w:val="000000"/>
          <w:sz w:val="72"/>
          <w:szCs w:val="72"/>
        </w:rPr>
      </w:pPr>
    </w:p>
    <w:p w:rsidR="00205B90" w:rsidRDefault="00D70603">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8441"/>
      <w:bookmarkStart w:id="2" w:name="_Toc15377193"/>
      <w:bookmarkStart w:id="3" w:name="_Toc15396597"/>
      <w:bookmarkStart w:id="4" w:name="_Toc15396475"/>
      <w:bookmarkStart w:id="5" w:name="_Toc15377425"/>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205B90" w:rsidRDefault="00D70603">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8442"/>
      <w:bookmarkStart w:id="7" w:name="_Toc15396598"/>
      <w:bookmarkStart w:id="8" w:name="_Toc15306268"/>
      <w:bookmarkStart w:id="9" w:name="_Toc15377194"/>
      <w:bookmarkStart w:id="10" w:name="_Toc15396476"/>
      <w:bookmarkStart w:id="11" w:name="_Toc15377426"/>
      <w:bookmarkEnd w:id="0"/>
      <w:r>
        <w:rPr>
          <w:rFonts w:ascii="方正小标宋简体" w:eastAsia="方正小标宋简体" w:hAnsi="宋体" w:hint="eastAsia"/>
          <w:color w:val="000000"/>
          <w:sz w:val="72"/>
          <w:szCs w:val="72"/>
        </w:rPr>
        <w:t>九寨沟县公共就业和人才交流服务局部门决算</w:t>
      </w:r>
      <w:bookmarkEnd w:id="6"/>
      <w:bookmarkEnd w:id="7"/>
      <w:bookmarkEnd w:id="8"/>
      <w:bookmarkEnd w:id="9"/>
      <w:bookmarkEnd w:id="10"/>
      <w:bookmarkEnd w:id="11"/>
    </w:p>
    <w:p w:rsidR="00205B90" w:rsidRDefault="00D70603">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205B90" w:rsidRDefault="00D70603">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205B90" w:rsidRDefault="00205B90">
      <w:bookmarkStart w:id="12" w:name="_GoBack"/>
      <w:bookmarkEnd w:id="12"/>
    </w:p>
    <w:p w:rsidR="00205B90" w:rsidRDefault="00D80FFA">
      <w:pPr>
        <w:pStyle w:val="10"/>
        <w:rPr>
          <w:rFonts w:cstheme="minorBidi"/>
        </w:rPr>
      </w:pPr>
      <w:hyperlink w:anchor="_Toc15396599" w:history="1">
        <w:r w:rsidR="00D70603">
          <w:rPr>
            <w:rStyle w:val="a8"/>
            <w:rFonts w:hint="eastAsia"/>
          </w:rPr>
          <w:t>第一部分</w:t>
        </w:r>
        <w:r w:rsidR="00D70603">
          <w:rPr>
            <w:rStyle w:val="a8"/>
          </w:rPr>
          <w:t xml:space="preserve"> </w:t>
        </w:r>
        <w:r w:rsidR="00D70603">
          <w:rPr>
            <w:rStyle w:val="a8"/>
            <w:rFonts w:hint="eastAsia"/>
          </w:rPr>
          <w:t>部门概况</w:t>
        </w:r>
        <w:r w:rsidR="00D70603">
          <w:tab/>
        </w:r>
        <w:r w:rsidR="00D70603">
          <w:rPr>
            <w:rFonts w:hint="eastAsia"/>
          </w:rPr>
          <w:t>4</w:t>
        </w:r>
      </w:hyperlink>
    </w:p>
    <w:p w:rsidR="00205B90" w:rsidRDefault="00D80FFA">
      <w:pPr>
        <w:pStyle w:val="20"/>
        <w:rPr>
          <w:rFonts w:ascii="仿宋" w:eastAsia="仿宋" w:hAnsi="仿宋" w:cstheme="minorBidi"/>
          <w:sz w:val="28"/>
          <w:szCs w:val="28"/>
        </w:rPr>
      </w:pPr>
      <w:hyperlink w:anchor="_Toc15396600" w:history="1">
        <w:r w:rsidR="00D70603">
          <w:rPr>
            <w:rStyle w:val="a8"/>
            <w:rFonts w:ascii="仿宋" w:eastAsia="仿宋" w:hAnsi="仿宋" w:hint="eastAsia"/>
            <w:sz w:val="28"/>
            <w:szCs w:val="28"/>
          </w:rPr>
          <w:t>一、基本职能及主要工作</w:t>
        </w:r>
        <w:r w:rsidR="00D70603">
          <w:rPr>
            <w:rFonts w:ascii="仿宋" w:eastAsia="仿宋" w:hAnsi="仿宋"/>
            <w:sz w:val="28"/>
            <w:szCs w:val="28"/>
          </w:rPr>
          <w:tab/>
        </w:r>
        <w:r w:rsidR="00D70603">
          <w:rPr>
            <w:rFonts w:ascii="仿宋" w:eastAsia="仿宋" w:hAnsi="仿宋" w:hint="eastAsia"/>
            <w:sz w:val="28"/>
            <w:szCs w:val="28"/>
          </w:rPr>
          <w:t>4</w:t>
        </w:r>
      </w:hyperlink>
    </w:p>
    <w:p w:rsidR="00205B90" w:rsidRDefault="00D80FFA">
      <w:pPr>
        <w:pStyle w:val="20"/>
        <w:rPr>
          <w:rFonts w:ascii="仿宋" w:eastAsia="仿宋" w:hAnsi="仿宋" w:cstheme="minorBidi"/>
          <w:sz w:val="28"/>
          <w:szCs w:val="28"/>
        </w:rPr>
      </w:pPr>
      <w:hyperlink w:anchor="_Toc15396601" w:history="1">
        <w:r w:rsidR="00D70603">
          <w:rPr>
            <w:rStyle w:val="a8"/>
            <w:rFonts w:ascii="仿宋" w:eastAsia="仿宋" w:hAnsi="仿宋" w:hint="eastAsia"/>
            <w:sz w:val="28"/>
            <w:szCs w:val="28"/>
          </w:rPr>
          <w:t>二、机构设置</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_Toc15396601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4</w:t>
        </w:r>
        <w:r w:rsidR="00D70603">
          <w:rPr>
            <w:rFonts w:ascii="仿宋" w:eastAsia="仿宋" w:hAnsi="仿宋"/>
            <w:sz w:val="28"/>
            <w:szCs w:val="28"/>
          </w:rPr>
          <w:fldChar w:fldCharType="end"/>
        </w:r>
      </w:hyperlink>
    </w:p>
    <w:p w:rsidR="00205B90" w:rsidRDefault="00D80FFA">
      <w:pPr>
        <w:pStyle w:val="10"/>
      </w:pPr>
      <w:hyperlink w:anchor="_Toc15396602" w:history="1">
        <w:r w:rsidR="00D70603">
          <w:rPr>
            <w:rStyle w:val="a8"/>
            <w:rFonts w:hint="eastAsia"/>
          </w:rPr>
          <w:t>第二部分</w:t>
        </w:r>
        <w:r w:rsidR="00D70603">
          <w:rPr>
            <w:rStyle w:val="a8"/>
          </w:rPr>
          <w:t xml:space="preserve"> 2018</w:t>
        </w:r>
        <w:r w:rsidR="00D70603">
          <w:rPr>
            <w:rStyle w:val="a8"/>
            <w:rFonts w:hint="eastAsia"/>
          </w:rPr>
          <w:t>年度部门决算情况说明</w:t>
        </w:r>
        <w:r w:rsidR="00D70603">
          <w:tab/>
        </w:r>
        <w:r w:rsidR="00D70603">
          <w:fldChar w:fldCharType="begin"/>
        </w:r>
        <w:r w:rsidR="00D70603">
          <w:instrText xml:space="preserve"> PAGEREF _Toc15396602 \h </w:instrText>
        </w:r>
        <w:r w:rsidR="00D70603">
          <w:fldChar w:fldCharType="separate"/>
        </w:r>
        <w:r w:rsidR="00D70603">
          <w:t>5</w:t>
        </w:r>
        <w:r w:rsidR="00D70603">
          <w:fldChar w:fldCharType="end"/>
        </w:r>
      </w:hyperlink>
    </w:p>
    <w:p w:rsidR="00205B90" w:rsidRDefault="00D80FFA">
      <w:pPr>
        <w:pStyle w:val="20"/>
        <w:rPr>
          <w:rFonts w:ascii="仿宋" w:eastAsia="仿宋" w:hAnsi="仿宋" w:cstheme="minorBidi"/>
          <w:sz w:val="28"/>
          <w:szCs w:val="28"/>
        </w:rPr>
      </w:pPr>
      <w:hyperlink w:anchor="_Toc15396603" w:history="1">
        <w:r w:rsidR="00D70603">
          <w:rPr>
            <w:rStyle w:val="a8"/>
            <w:rFonts w:ascii="仿宋" w:eastAsia="仿宋" w:hAnsi="仿宋" w:cstheme="majorBidi" w:hint="eastAsia"/>
            <w:bCs/>
            <w:sz w:val="28"/>
            <w:szCs w:val="28"/>
          </w:rPr>
          <w:t>一、</w:t>
        </w:r>
        <w:r w:rsidR="00D70603">
          <w:rPr>
            <w:rStyle w:val="a8"/>
            <w:rFonts w:ascii="仿宋" w:eastAsia="仿宋" w:hAnsi="仿宋" w:hint="eastAsia"/>
            <w:sz w:val="28"/>
            <w:szCs w:val="28"/>
          </w:rPr>
          <w:t>收</w:t>
        </w:r>
        <w:r w:rsidR="00D70603">
          <w:rPr>
            <w:rStyle w:val="a8"/>
            <w:rFonts w:ascii="仿宋" w:eastAsia="仿宋" w:hAnsi="仿宋" w:cstheme="majorBidi" w:hint="eastAsia"/>
            <w:bCs/>
            <w:sz w:val="28"/>
            <w:szCs w:val="28"/>
          </w:rPr>
          <w:t>入支出决算总体情况说明</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_Toc15396603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5</w:t>
        </w:r>
        <w:r w:rsidR="00D70603">
          <w:rPr>
            <w:rFonts w:ascii="仿宋" w:eastAsia="仿宋" w:hAnsi="仿宋"/>
            <w:sz w:val="28"/>
            <w:szCs w:val="28"/>
          </w:rPr>
          <w:fldChar w:fldCharType="end"/>
        </w:r>
      </w:hyperlink>
    </w:p>
    <w:p w:rsidR="00205B90" w:rsidRDefault="00D80FFA">
      <w:pPr>
        <w:pStyle w:val="20"/>
        <w:rPr>
          <w:rFonts w:ascii="仿宋" w:eastAsia="仿宋" w:hAnsi="仿宋" w:cstheme="minorBidi"/>
          <w:sz w:val="28"/>
          <w:szCs w:val="28"/>
        </w:rPr>
      </w:pPr>
      <w:hyperlink w:anchor="_Toc15396604" w:history="1">
        <w:r w:rsidR="00D70603">
          <w:rPr>
            <w:rStyle w:val="a8"/>
            <w:rFonts w:ascii="仿宋" w:eastAsia="仿宋" w:hAnsi="仿宋" w:cstheme="majorBidi" w:hint="eastAsia"/>
            <w:bCs/>
            <w:sz w:val="28"/>
            <w:szCs w:val="28"/>
          </w:rPr>
          <w:t>二、</w:t>
        </w:r>
        <w:r w:rsidR="00D70603">
          <w:rPr>
            <w:rStyle w:val="a8"/>
            <w:rFonts w:ascii="仿宋" w:eastAsia="仿宋" w:hAnsi="仿宋" w:hint="eastAsia"/>
            <w:sz w:val="28"/>
            <w:szCs w:val="28"/>
          </w:rPr>
          <w:t>收</w:t>
        </w:r>
        <w:r w:rsidR="00D70603">
          <w:rPr>
            <w:rStyle w:val="a8"/>
            <w:rFonts w:ascii="仿宋" w:eastAsia="仿宋" w:hAnsi="仿宋" w:cstheme="majorBidi" w:hint="eastAsia"/>
            <w:bCs/>
            <w:sz w:val="28"/>
            <w:szCs w:val="28"/>
          </w:rPr>
          <w:t>入决算情况说明</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_Toc15396604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5</w:t>
        </w:r>
        <w:r w:rsidR="00D70603">
          <w:rPr>
            <w:rFonts w:ascii="仿宋" w:eastAsia="仿宋" w:hAnsi="仿宋"/>
            <w:sz w:val="28"/>
            <w:szCs w:val="28"/>
          </w:rPr>
          <w:fldChar w:fldCharType="end"/>
        </w:r>
      </w:hyperlink>
    </w:p>
    <w:p w:rsidR="00205B90" w:rsidRDefault="00D80FFA">
      <w:pPr>
        <w:pStyle w:val="20"/>
        <w:rPr>
          <w:rFonts w:ascii="仿宋" w:eastAsia="仿宋" w:hAnsi="仿宋" w:cstheme="minorBidi"/>
          <w:sz w:val="28"/>
          <w:szCs w:val="28"/>
        </w:rPr>
      </w:pPr>
      <w:hyperlink w:anchor="_Toc15396605" w:history="1">
        <w:r w:rsidR="00D70603">
          <w:rPr>
            <w:rStyle w:val="a8"/>
            <w:rFonts w:ascii="仿宋" w:eastAsia="仿宋" w:hAnsi="仿宋" w:cstheme="majorBidi" w:hint="eastAsia"/>
            <w:bCs/>
            <w:sz w:val="28"/>
            <w:szCs w:val="28"/>
          </w:rPr>
          <w:t>三、</w:t>
        </w:r>
        <w:r w:rsidR="00D70603">
          <w:rPr>
            <w:rStyle w:val="a8"/>
            <w:rFonts w:ascii="仿宋" w:eastAsia="仿宋" w:hAnsi="仿宋" w:hint="eastAsia"/>
            <w:sz w:val="28"/>
            <w:szCs w:val="28"/>
          </w:rPr>
          <w:t>支</w:t>
        </w:r>
        <w:r w:rsidR="00D70603">
          <w:rPr>
            <w:rStyle w:val="a8"/>
            <w:rFonts w:ascii="仿宋" w:eastAsia="仿宋" w:hAnsi="仿宋" w:cstheme="majorBidi" w:hint="eastAsia"/>
            <w:bCs/>
            <w:sz w:val="28"/>
            <w:szCs w:val="28"/>
          </w:rPr>
          <w:t>出决算情况说明</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_Toc15396605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5</w:t>
        </w:r>
        <w:r w:rsidR="00D70603">
          <w:rPr>
            <w:rFonts w:ascii="仿宋" w:eastAsia="仿宋" w:hAnsi="仿宋"/>
            <w:sz w:val="28"/>
            <w:szCs w:val="28"/>
          </w:rPr>
          <w:fldChar w:fldCharType="end"/>
        </w:r>
      </w:hyperlink>
    </w:p>
    <w:p w:rsidR="00205B90" w:rsidRDefault="00D80FFA">
      <w:pPr>
        <w:pStyle w:val="20"/>
        <w:rPr>
          <w:rFonts w:ascii="仿宋" w:eastAsia="仿宋" w:hAnsi="仿宋" w:cstheme="minorBidi"/>
          <w:sz w:val="28"/>
          <w:szCs w:val="28"/>
        </w:rPr>
      </w:pPr>
      <w:hyperlink w:anchor="_Toc15396606" w:history="1">
        <w:r w:rsidR="00D70603">
          <w:rPr>
            <w:rStyle w:val="a8"/>
            <w:rFonts w:ascii="仿宋" w:eastAsia="仿宋" w:hAnsi="仿宋" w:hint="eastAsia"/>
            <w:sz w:val="28"/>
            <w:szCs w:val="28"/>
          </w:rPr>
          <w:t>四、财</w:t>
        </w:r>
        <w:r w:rsidR="00D70603">
          <w:rPr>
            <w:rStyle w:val="a8"/>
            <w:rFonts w:ascii="仿宋" w:eastAsia="仿宋" w:hAnsi="仿宋" w:cstheme="majorBidi" w:hint="eastAsia"/>
            <w:bCs/>
            <w:sz w:val="28"/>
            <w:szCs w:val="28"/>
          </w:rPr>
          <w:t>政拨款收入支出决算总体情况说明</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_Toc15396606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6</w:t>
        </w:r>
        <w:r w:rsidR="00D70603">
          <w:rPr>
            <w:rFonts w:ascii="仿宋" w:eastAsia="仿宋" w:hAnsi="仿宋"/>
            <w:sz w:val="28"/>
            <w:szCs w:val="28"/>
          </w:rPr>
          <w:fldChar w:fldCharType="end"/>
        </w:r>
      </w:hyperlink>
    </w:p>
    <w:p w:rsidR="00205B90" w:rsidRDefault="00D80FFA">
      <w:pPr>
        <w:pStyle w:val="20"/>
        <w:rPr>
          <w:rFonts w:ascii="仿宋" w:eastAsia="仿宋" w:hAnsi="仿宋" w:cstheme="minorBidi"/>
          <w:sz w:val="28"/>
          <w:szCs w:val="28"/>
        </w:rPr>
      </w:pPr>
      <w:hyperlink w:anchor="_Toc15396607" w:history="1">
        <w:r w:rsidR="00D70603">
          <w:rPr>
            <w:rStyle w:val="a8"/>
            <w:rFonts w:ascii="仿宋" w:eastAsia="仿宋" w:hAnsi="仿宋" w:hint="eastAsia"/>
            <w:sz w:val="28"/>
            <w:szCs w:val="28"/>
          </w:rPr>
          <w:t>五、一</w:t>
        </w:r>
        <w:r w:rsidR="00D70603">
          <w:rPr>
            <w:rStyle w:val="a8"/>
            <w:rFonts w:ascii="仿宋" w:eastAsia="仿宋" w:hAnsi="仿宋" w:cstheme="majorBidi" w:hint="eastAsia"/>
            <w:bCs/>
            <w:sz w:val="28"/>
            <w:szCs w:val="28"/>
          </w:rPr>
          <w:t>般公共预算财政拨款支出决算情况说明</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_Toc15396607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6</w:t>
        </w:r>
        <w:r w:rsidR="00D70603">
          <w:rPr>
            <w:rFonts w:ascii="仿宋" w:eastAsia="仿宋" w:hAnsi="仿宋"/>
            <w:sz w:val="28"/>
            <w:szCs w:val="28"/>
          </w:rPr>
          <w:fldChar w:fldCharType="end"/>
        </w:r>
      </w:hyperlink>
    </w:p>
    <w:p w:rsidR="00205B90" w:rsidRDefault="00D80FFA">
      <w:pPr>
        <w:pStyle w:val="20"/>
        <w:rPr>
          <w:rFonts w:ascii="仿宋" w:eastAsia="仿宋" w:hAnsi="仿宋" w:cstheme="minorBidi"/>
          <w:sz w:val="28"/>
          <w:szCs w:val="28"/>
        </w:rPr>
      </w:pPr>
      <w:hyperlink w:anchor="_Toc15396608" w:history="1">
        <w:r w:rsidR="00D70603">
          <w:rPr>
            <w:rStyle w:val="a8"/>
            <w:rFonts w:ascii="仿宋" w:eastAsia="仿宋" w:hAnsi="仿宋" w:hint="eastAsia"/>
            <w:sz w:val="28"/>
            <w:szCs w:val="28"/>
          </w:rPr>
          <w:t>六、一</w:t>
        </w:r>
        <w:r w:rsidR="00D70603">
          <w:rPr>
            <w:rStyle w:val="a8"/>
            <w:rFonts w:ascii="仿宋" w:eastAsia="仿宋" w:hAnsi="仿宋" w:cstheme="majorBidi" w:hint="eastAsia"/>
            <w:bCs/>
            <w:sz w:val="28"/>
            <w:szCs w:val="28"/>
          </w:rPr>
          <w:t>般公共预算财政拨款基本支出决算情况说明</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_Toc15396608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8</w:t>
        </w:r>
        <w:r w:rsidR="00D70603">
          <w:rPr>
            <w:rFonts w:ascii="仿宋" w:eastAsia="仿宋" w:hAnsi="仿宋"/>
            <w:sz w:val="28"/>
            <w:szCs w:val="28"/>
          </w:rPr>
          <w:fldChar w:fldCharType="end"/>
        </w:r>
      </w:hyperlink>
    </w:p>
    <w:p w:rsidR="00205B90" w:rsidRDefault="00D80FFA">
      <w:pPr>
        <w:pStyle w:val="20"/>
        <w:rPr>
          <w:rFonts w:ascii="仿宋" w:eastAsia="仿宋" w:hAnsi="仿宋" w:cstheme="minorBidi"/>
          <w:sz w:val="28"/>
          <w:szCs w:val="28"/>
        </w:rPr>
      </w:pPr>
      <w:hyperlink w:anchor="_Toc15396609" w:history="1">
        <w:r w:rsidR="00D70603">
          <w:rPr>
            <w:rStyle w:val="a8"/>
            <w:rFonts w:ascii="仿宋" w:eastAsia="仿宋" w:hAnsi="仿宋" w:hint="eastAsia"/>
            <w:sz w:val="28"/>
            <w:szCs w:val="28"/>
          </w:rPr>
          <w:t>七、</w:t>
        </w:r>
        <w:r w:rsidR="00D70603">
          <w:rPr>
            <w:rStyle w:val="a8"/>
            <w:rFonts w:ascii="仿宋" w:eastAsia="仿宋" w:hAnsi="仿宋"/>
            <w:sz w:val="28"/>
            <w:szCs w:val="28"/>
          </w:rPr>
          <w:t>“</w:t>
        </w:r>
        <w:r w:rsidR="00D70603">
          <w:rPr>
            <w:rStyle w:val="a8"/>
            <w:rFonts w:ascii="仿宋" w:eastAsia="仿宋" w:hAnsi="仿宋" w:cstheme="majorBidi" w:hint="eastAsia"/>
            <w:bCs/>
            <w:sz w:val="28"/>
            <w:szCs w:val="28"/>
          </w:rPr>
          <w:t>三公”经费财政拨款支出决算情况说明</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_Toc15396609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8</w:t>
        </w:r>
        <w:r w:rsidR="00D70603">
          <w:rPr>
            <w:rFonts w:ascii="仿宋" w:eastAsia="仿宋" w:hAnsi="仿宋"/>
            <w:sz w:val="28"/>
            <w:szCs w:val="28"/>
          </w:rPr>
          <w:fldChar w:fldCharType="end"/>
        </w:r>
      </w:hyperlink>
    </w:p>
    <w:p w:rsidR="00205B90" w:rsidRDefault="00D80FFA">
      <w:pPr>
        <w:pStyle w:val="20"/>
        <w:rPr>
          <w:rFonts w:ascii="仿宋" w:eastAsia="仿宋" w:hAnsi="仿宋" w:cstheme="minorBidi"/>
          <w:sz w:val="28"/>
          <w:szCs w:val="28"/>
        </w:rPr>
      </w:pPr>
      <w:hyperlink w:anchor="_Toc15396610" w:history="1">
        <w:r w:rsidR="00D70603">
          <w:rPr>
            <w:rStyle w:val="a8"/>
            <w:rFonts w:ascii="仿宋" w:eastAsia="仿宋" w:hAnsi="仿宋" w:hint="eastAsia"/>
            <w:sz w:val="28"/>
            <w:szCs w:val="28"/>
          </w:rPr>
          <w:t>八、</w:t>
        </w:r>
        <w:r w:rsidR="00D70603">
          <w:rPr>
            <w:rStyle w:val="a8"/>
            <w:rFonts w:ascii="仿宋" w:eastAsia="仿宋" w:hAnsi="仿宋" w:cstheme="majorBidi" w:hint="eastAsia"/>
            <w:bCs/>
            <w:sz w:val="28"/>
            <w:szCs w:val="28"/>
          </w:rPr>
          <w:t>政府性基金预算支出决算情况说明</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_Toc15396610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10</w:t>
        </w:r>
        <w:r w:rsidR="00D70603">
          <w:rPr>
            <w:rFonts w:ascii="仿宋" w:eastAsia="仿宋" w:hAnsi="仿宋"/>
            <w:sz w:val="28"/>
            <w:szCs w:val="28"/>
          </w:rPr>
          <w:fldChar w:fldCharType="end"/>
        </w:r>
      </w:hyperlink>
    </w:p>
    <w:p w:rsidR="00205B90" w:rsidRDefault="00D80FFA">
      <w:pPr>
        <w:pStyle w:val="20"/>
        <w:rPr>
          <w:rFonts w:ascii="仿宋" w:eastAsia="仿宋" w:hAnsi="仿宋" w:cstheme="minorBidi"/>
          <w:sz w:val="28"/>
          <w:szCs w:val="28"/>
        </w:rPr>
      </w:pPr>
      <w:hyperlink w:anchor="_Toc15396611" w:history="1">
        <w:r w:rsidR="00D70603">
          <w:rPr>
            <w:rStyle w:val="a8"/>
            <w:rFonts w:ascii="仿宋" w:eastAsia="仿宋" w:hAnsi="仿宋" w:cstheme="majorBidi" w:hint="eastAsia"/>
            <w:bCs/>
            <w:sz w:val="28"/>
            <w:szCs w:val="28"/>
          </w:rPr>
          <w:t>九、</w:t>
        </w:r>
        <w:r w:rsidR="00D70603">
          <w:rPr>
            <w:rStyle w:val="a8"/>
            <w:rFonts w:ascii="仿宋" w:eastAsia="仿宋" w:hAnsi="仿宋" w:hint="eastAsia"/>
            <w:sz w:val="28"/>
            <w:szCs w:val="28"/>
          </w:rPr>
          <w:t xml:space="preserve"> 国</w:t>
        </w:r>
        <w:r w:rsidR="00D70603">
          <w:rPr>
            <w:rStyle w:val="a8"/>
            <w:rFonts w:ascii="仿宋" w:eastAsia="仿宋" w:hAnsi="仿宋" w:cstheme="majorBidi" w:hint="eastAsia"/>
            <w:bCs/>
            <w:sz w:val="28"/>
            <w:szCs w:val="28"/>
          </w:rPr>
          <w:t>有资本经营预算支出决算情况说明</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_Toc15396611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10</w:t>
        </w:r>
        <w:r w:rsidR="00D70603">
          <w:rPr>
            <w:rFonts w:ascii="仿宋" w:eastAsia="仿宋" w:hAnsi="仿宋"/>
            <w:sz w:val="28"/>
            <w:szCs w:val="28"/>
          </w:rPr>
          <w:fldChar w:fldCharType="end"/>
        </w:r>
      </w:hyperlink>
    </w:p>
    <w:p w:rsidR="00205B90" w:rsidRDefault="00D80FFA">
      <w:pPr>
        <w:pStyle w:val="20"/>
        <w:rPr>
          <w:rFonts w:ascii="仿宋" w:eastAsia="仿宋" w:hAnsi="仿宋" w:cstheme="minorBidi"/>
          <w:sz w:val="28"/>
          <w:szCs w:val="28"/>
        </w:rPr>
      </w:pPr>
      <w:hyperlink w:anchor="_Toc15396612" w:history="1">
        <w:r w:rsidR="00D70603">
          <w:rPr>
            <w:rStyle w:val="a8"/>
            <w:rFonts w:ascii="仿宋" w:eastAsia="仿宋" w:hAnsi="仿宋" w:hint="eastAsia"/>
            <w:sz w:val="28"/>
            <w:szCs w:val="28"/>
          </w:rPr>
          <w:t>十</w:t>
        </w:r>
        <w:r w:rsidR="00D70603">
          <w:rPr>
            <w:rStyle w:val="a8"/>
            <w:rFonts w:ascii="仿宋" w:eastAsia="仿宋" w:hAnsi="仿宋" w:cstheme="majorBidi" w:hint="eastAsia"/>
            <w:bCs/>
            <w:sz w:val="28"/>
            <w:szCs w:val="28"/>
          </w:rPr>
          <w:t>一、其他重要事项的情况说明</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_Toc15396612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14</w:t>
        </w:r>
        <w:r w:rsidR="00D70603">
          <w:rPr>
            <w:rFonts w:ascii="仿宋" w:eastAsia="仿宋" w:hAnsi="仿宋"/>
            <w:sz w:val="28"/>
            <w:szCs w:val="28"/>
          </w:rPr>
          <w:fldChar w:fldCharType="end"/>
        </w:r>
      </w:hyperlink>
    </w:p>
    <w:p w:rsidR="00205B90" w:rsidRDefault="00D80FFA">
      <w:pPr>
        <w:pStyle w:val="10"/>
        <w:rPr>
          <w:rFonts w:cstheme="minorBidi"/>
        </w:rPr>
      </w:pPr>
      <w:hyperlink w:anchor="_Toc15396613" w:history="1">
        <w:r w:rsidR="00D70603">
          <w:rPr>
            <w:rStyle w:val="a8"/>
            <w:rFonts w:hint="eastAsia"/>
            <w:bCs/>
            <w:kern w:val="44"/>
          </w:rPr>
          <w:t>第三部分</w:t>
        </w:r>
        <w:r w:rsidR="00D70603">
          <w:rPr>
            <w:rStyle w:val="a8"/>
            <w:rFonts w:hint="eastAsia"/>
          </w:rPr>
          <w:t xml:space="preserve"> 名</w:t>
        </w:r>
        <w:r w:rsidR="00D70603">
          <w:rPr>
            <w:rStyle w:val="a8"/>
            <w:rFonts w:hint="eastAsia"/>
            <w:bCs/>
            <w:kern w:val="44"/>
          </w:rPr>
          <w:t>词解释</w:t>
        </w:r>
        <w:r w:rsidR="00D70603">
          <w:tab/>
        </w:r>
        <w:r w:rsidR="00D70603">
          <w:fldChar w:fldCharType="begin"/>
        </w:r>
        <w:r w:rsidR="00D70603">
          <w:instrText xml:space="preserve"> PAGEREF _Toc15396613 \h </w:instrText>
        </w:r>
        <w:r w:rsidR="00D70603">
          <w:fldChar w:fldCharType="separate"/>
        </w:r>
        <w:r w:rsidR="00D70603">
          <w:t>16</w:t>
        </w:r>
        <w:r w:rsidR="00D70603">
          <w:fldChar w:fldCharType="end"/>
        </w:r>
      </w:hyperlink>
    </w:p>
    <w:p w:rsidR="00205B90" w:rsidRDefault="00D80FFA">
      <w:pPr>
        <w:pStyle w:val="10"/>
        <w:rPr>
          <w:rFonts w:cstheme="minorBidi"/>
        </w:rPr>
      </w:pPr>
      <w:hyperlink w:anchor="_Toc15396614" w:history="1">
        <w:r w:rsidR="00D70603">
          <w:rPr>
            <w:rStyle w:val="a8"/>
            <w:rFonts w:hint="eastAsia"/>
          </w:rPr>
          <w:t>第</w:t>
        </w:r>
        <w:r w:rsidR="00D70603">
          <w:rPr>
            <w:rStyle w:val="a8"/>
            <w:rFonts w:hint="eastAsia"/>
            <w:bCs/>
            <w:kern w:val="44"/>
          </w:rPr>
          <w:t>四部分</w:t>
        </w:r>
        <w:r w:rsidR="00D70603">
          <w:rPr>
            <w:rStyle w:val="a8"/>
            <w:bCs/>
            <w:kern w:val="44"/>
          </w:rPr>
          <w:t xml:space="preserve"> </w:t>
        </w:r>
        <w:r w:rsidR="00D70603">
          <w:rPr>
            <w:rStyle w:val="a8"/>
            <w:rFonts w:hint="eastAsia"/>
            <w:bCs/>
            <w:kern w:val="44"/>
          </w:rPr>
          <w:t>附件</w:t>
        </w:r>
        <w:r w:rsidR="00D70603">
          <w:tab/>
        </w:r>
        <w:r w:rsidR="00D70603">
          <w:fldChar w:fldCharType="begin"/>
        </w:r>
        <w:r w:rsidR="00D70603">
          <w:instrText xml:space="preserve"> PAGEREF _Toc15396614 \h </w:instrText>
        </w:r>
        <w:r w:rsidR="00D70603">
          <w:fldChar w:fldCharType="separate"/>
        </w:r>
        <w:r w:rsidR="00D70603">
          <w:t>19</w:t>
        </w:r>
        <w:r w:rsidR="00D70603">
          <w:fldChar w:fldCharType="end"/>
        </w:r>
      </w:hyperlink>
    </w:p>
    <w:p w:rsidR="00205B90" w:rsidRDefault="00D80FFA">
      <w:pPr>
        <w:pStyle w:val="20"/>
        <w:rPr>
          <w:rFonts w:ascii="仿宋" w:eastAsia="仿宋" w:hAnsi="仿宋" w:cstheme="minorBidi"/>
          <w:sz w:val="28"/>
          <w:szCs w:val="28"/>
        </w:rPr>
      </w:pPr>
      <w:hyperlink w:anchor="_Toc15396615" w:history="1">
        <w:r w:rsidR="00D70603">
          <w:rPr>
            <w:rStyle w:val="a8"/>
            <w:rFonts w:ascii="仿宋" w:eastAsia="仿宋" w:hAnsi="仿宋" w:hint="eastAsia"/>
            <w:kern w:val="44"/>
            <w:sz w:val="28"/>
            <w:szCs w:val="28"/>
          </w:rPr>
          <w:t>附件</w:t>
        </w:r>
        <w:r w:rsidR="00D70603">
          <w:rPr>
            <w:rStyle w:val="a8"/>
            <w:rFonts w:ascii="仿宋" w:eastAsia="仿宋" w:hAnsi="仿宋"/>
            <w:kern w:val="44"/>
            <w:sz w:val="28"/>
            <w:szCs w:val="28"/>
          </w:rPr>
          <w:t>1</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_Toc15396615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19</w:t>
        </w:r>
        <w:r w:rsidR="00D70603">
          <w:rPr>
            <w:rFonts w:ascii="仿宋" w:eastAsia="仿宋" w:hAnsi="仿宋"/>
            <w:sz w:val="28"/>
            <w:szCs w:val="28"/>
          </w:rPr>
          <w:fldChar w:fldCharType="end"/>
        </w:r>
      </w:hyperlink>
    </w:p>
    <w:p w:rsidR="00205B90" w:rsidRDefault="00D80FFA">
      <w:pPr>
        <w:pStyle w:val="20"/>
        <w:rPr>
          <w:rFonts w:ascii="仿宋" w:eastAsia="仿宋" w:hAnsi="仿宋" w:cstheme="minorBidi"/>
          <w:sz w:val="28"/>
          <w:szCs w:val="28"/>
        </w:rPr>
      </w:pPr>
      <w:hyperlink w:anchor="_Toc15396617" w:history="1">
        <w:r w:rsidR="00D70603">
          <w:rPr>
            <w:rStyle w:val="a8"/>
            <w:rFonts w:ascii="仿宋" w:eastAsia="仿宋" w:hAnsi="仿宋" w:hint="eastAsia"/>
            <w:kern w:val="44"/>
            <w:sz w:val="28"/>
            <w:szCs w:val="28"/>
          </w:rPr>
          <w:t>附件</w:t>
        </w:r>
        <w:r w:rsidR="00D70603">
          <w:rPr>
            <w:rStyle w:val="a8"/>
            <w:rFonts w:ascii="仿宋" w:eastAsia="仿宋" w:hAnsi="仿宋"/>
            <w:kern w:val="44"/>
            <w:sz w:val="28"/>
            <w:szCs w:val="28"/>
          </w:rPr>
          <w:t>2</w:t>
        </w:r>
        <w:r w:rsidR="00D70603">
          <w:rPr>
            <w:rFonts w:ascii="仿宋" w:eastAsia="仿宋" w:hAnsi="仿宋"/>
            <w:sz w:val="28"/>
            <w:szCs w:val="28"/>
          </w:rPr>
          <w:tab/>
        </w:r>
        <w:r w:rsidR="00D70603">
          <w:rPr>
            <w:rFonts w:ascii="仿宋" w:eastAsia="仿宋" w:hAnsi="仿宋"/>
            <w:sz w:val="28"/>
            <w:szCs w:val="28"/>
          </w:rPr>
          <w:fldChar w:fldCharType="begin"/>
        </w:r>
        <w:r w:rsidR="00D70603">
          <w:rPr>
            <w:rFonts w:ascii="仿宋" w:eastAsia="仿宋" w:hAnsi="仿宋"/>
            <w:sz w:val="28"/>
            <w:szCs w:val="28"/>
          </w:rPr>
          <w:instrText xml:space="preserve"> PAGEREF _Toc15396617 \h </w:instrText>
        </w:r>
        <w:r w:rsidR="00D70603">
          <w:rPr>
            <w:rFonts w:ascii="仿宋" w:eastAsia="仿宋" w:hAnsi="仿宋"/>
            <w:sz w:val="28"/>
            <w:szCs w:val="28"/>
          </w:rPr>
        </w:r>
        <w:r w:rsidR="00D70603">
          <w:rPr>
            <w:rFonts w:ascii="仿宋" w:eastAsia="仿宋" w:hAnsi="仿宋"/>
            <w:sz w:val="28"/>
            <w:szCs w:val="28"/>
          </w:rPr>
          <w:fldChar w:fldCharType="separate"/>
        </w:r>
        <w:r w:rsidR="00D70603">
          <w:rPr>
            <w:rFonts w:ascii="仿宋" w:eastAsia="仿宋" w:hAnsi="仿宋"/>
            <w:sz w:val="28"/>
            <w:szCs w:val="28"/>
          </w:rPr>
          <w:t>21</w:t>
        </w:r>
        <w:r w:rsidR="00D70603">
          <w:rPr>
            <w:rFonts w:ascii="仿宋" w:eastAsia="仿宋" w:hAnsi="仿宋"/>
            <w:sz w:val="28"/>
            <w:szCs w:val="28"/>
          </w:rPr>
          <w:fldChar w:fldCharType="end"/>
        </w:r>
      </w:hyperlink>
    </w:p>
    <w:p w:rsidR="00205B90" w:rsidRDefault="00D80FFA">
      <w:pPr>
        <w:pStyle w:val="10"/>
        <w:rPr>
          <w:rFonts w:cstheme="minorBidi"/>
        </w:rPr>
      </w:pPr>
      <w:hyperlink w:anchor="_Toc15396618" w:history="1">
        <w:r w:rsidR="00D70603">
          <w:rPr>
            <w:rStyle w:val="a8"/>
            <w:rFonts w:hint="eastAsia"/>
          </w:rPr>
          <w:t>第</w:t>
        </w:r>
        <w:r w:rsidR="00D70603">
          <w:rPr>
            <w:rStyle w:val="a8"/>
            <w:rFonts w:hint="eastAsia"/>
            <w:bCs/>
            <w:kern w:val="44"/>
          </w:rPr>
          <w:t>五部分</w:t>
        </w:r>
        <w:r w:rsidR="00D70603">
          <w:rPr>
            <w:rStyle w:val="a8"/>
            <w:bCs/>
            <w:kern w:val="44"/>
          </w:rPr>
          <w:t xml:space="preserve"> </w:t>
        </w:r>
        <w:r w:rsidR="00D70603">
          <w:rPr>
            <w:rStyle w:val="a8"/>
            <w:rFonts w:hint="eastAsia"/>
            <w:bCs/>
            <w:kern w:val="44"/>
          </w:rPr>
          <w:t>附表</w:t>
        </w:r>
        <w:r w:rsidR="00D70603">
          <w:tab/>
        </w:r>
        <w:r w:rsidR="00D70603">
          <w:fldChar w:fldCharType="begin"/>
        </w:r>
        <w:r w:rsidR="00D70603">
          <w:instrText xml:space="preserve"> PAGEREF _Toc15396618 \h </w:instrText>
        </w:r>
        <w:r w:rsidR="00D70603">
          <w:fldChar w:fldCharType="separate"/>
        </w:r>
        <w:r w:rsidR="00D70603">
          <w:t>22</w:t>
        </w:r>
        <w:r w:rsidR="00D70603">
          <w:fldChar w:fldCharType="end"/>
        </w:r>
      </w:hyperlink>
    </w:p>
    <w:p w:rsidR="00205B90" w:rsidRDefault="00D70603">
      <w:pPr>
        <w:pStyle w:val="20"/>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8"/>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8"/>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8"/>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8"/>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8"/>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8"/>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8"/>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8"/>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8"/>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8"/>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8"/>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8"/>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205B90" w:rsidRDefault="00D70603">
      <w:pPr>
        <w:widowControl/>
        <w:jc w:val="left"/>
        <w:rPr>
          <w:rFonts w:ascii="仿宋" w:eastAsia="仿宋" w:hAnsi="仿宋"/>
          <w:color w:val="000000"/>
          <w:sz w:val="24"/>
        </w:rPr>
      </w:pPr>
      <w:r>
        <w:rPr>
          <w:rFonts w:ascii="仿宋" w:eastAsia="仿宋" w:hAnsi="仿宋"/>
          <w:color w:val="000000"/>
          <w:sz w:val="24"/>
        </w:rPr>
        <w:fldChar w:fldCharType="end"/>
      </w:r>
    </w:p>
    <w:p w:rsidR="00205B90" w:rsidRDefault="00D70603">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205B90" w:rsidRDefault="00D70603">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3"/>
      <w:bookmarkEnd w:id="14"/>
    </w:p>
    <w:p w:rsidR="00205B90" w:rsidRDefault="00205B90">
      <w:pPr>
        <w:widowControl/>
        <w:jc w:val="left"/>
        <w:rPr>
          <w:rFonts w:ascii="黑体" w:eastAsia="黑体"/>
          <w:color w:val="000000"/>
          <w:sz w:val="32"/>
          <w:szCs w:val="32"/>
        </w:rPr>
      </w:pPr>
    </w:p>
    <w:p w:rsidR="00205B90" w:rsidRDefault="00D70603">
      <w:pPr>
        <w:pStyle w:val="2"/>
        <w:ind w:firstLineChars="200" w:firstLine="640"/>
        <w:rPr>
          <w:rStyle w:val="2Char"/>
          <w:rFonts w:ascii="仿宋" w:eastAsia="仿宋" w:hAnsi="仿宋"/>
        </w:rPr>
      </w:pPr>
      <w:bookmarkStart w:id="15" w:name="_Toc15377197"/>
      <w:bookmarkStart w:id="16"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205B90" w:rsidRDefault="00D70603">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7" w:name="_Toc15378445"/>
      <w:bookmarkStart w:id="18" w:name="_Toc15377198"/>
      <w:r>
        <w:rPr>
          <w:rFonts w:ascii="仿宋" w:eastAsia="仿宋" w:hAnsi="仿宋" w:hint="eastAsia"/>
          <w:bCs/>
          <w:color w:val="000000"/>
          <w:sz w:val="32"/>
          <w:szCs w:val="32"/>
        </w:rPr>
        <w:t>（一）主要职能。</w:t>
      </w:r>
      <w:bookmarkEnd w:id="17"/>
      <w:bookmarkEnd w:id="18"/>
    </w:p>
    <w:p w:rsidR="00205B90" w:rsidRDefault="00D70603">
      <w:pPr>
        <w:spacing w:line="520" w:lineRule="exact"/>
        <w:ind w:firstLine="645"/>
        <w:rPr>
          <w:rFonts w:ascii="仿宋" w:eastAsia="仿宋" w:hAnsi="仿宋"/>
          <w:bCs/>
          <w:color w:val="000000"/>
          <w:sz w:val="32"/>
          <w:szCs w:val="32"/>
        </w:rPr>
      </w:pPr>
      <w:r>
        <w:rPr>
          <w:rFonts w:ascii="仿宋_GB2312" w:eastAsia="仿宋_GB2312" w:hAnsi="仿宋_GB2312" w:cs="仿宋_GB2312" w:hint="eastAsia"/>
          <w:sz w:val="32"/>
          <w:szCs w:val="32"/>
        </w:rPr>
        <w:t>负责全县劳动力资源的管理开发利用工作，建立劳动力资源统计网络，全面、准确掌握劳动力资源的状况；制定全县就业训练的总体规划和有关政策，负责就业前培训和下岗失业人员转岗培训和职业指导工作；负责全县的劳动力市场建设管理工作，监督指导非劳动力部门及个人兴办的职业介绍机构业务工作；合理调控农村劳动力输入的规模，指导用人单位和求职者进入劳动力市场，实行市场就业；经办失业保险业务，按照《失业保险条例》和《四川省失业保险条例》的规定，承办失业保险业务，具体负责失业保险基金的管理和失业保险金的发放，统筹全县失业职工的管理工作，对失业职工实施登记接收，生活保障，生产自救，转业转岗培训，就业安置综合管理，负责转业训练费、职业介绍费的管理与使用，促进失业职工尽快就业；认定各类企业吸纳安置下岗失业人员。</w:t>
      </w:r>
    </w:p>
    <w:p w:rsidR="00205B90" w:rsidRDefault="00D70603">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9" w:name="_Toc15378446"/>
      <w:bookmarkStart w:id="20" w:name="_Toc15377199"/>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8年重点工作完成情况。</w:t>
      </w:r>
      <w:bookmarkEnd w:id="19"/>
      <w:bookmarkEnd w:id="20"/>
    </w:p>
    <w:p w:rsidR="00205B90" w:rsidRDefault="00D70603">
      <w:pPr>
        <w:spacing w:line="520" w:lineRule="exact"/>
        <w:ind w:firstLineChars="250" w:firstLine="800"/>
        <w:rPr>
          <w:rFonts w:ascii="仿宋" w:eastAsia="仿宋" w:hAnsi="仿宋"/>
          <w:bCs/>
          <w:color w:val="000000"/>
          <w:sz w:val="32"/>
          <w:szCs w:val="32"/>
        </w:rPr>
      </w:pPr>
      <w:r>
        <w:rPr>
          <w:rFonts w:ascii="仿宋_GB2312" w:eastAsia="仿宋_GB2312" w:hAnsi="仿宋_GB2312" w:cs="仿宋_GB2312" w:hint="eastAsia"/>
          <w:color w:val="000000"/>
          <w:sz w:val="32"/>
          <w:szCs w:val="32"/>
        </w:rPr>
        <w:t>1.大力实施就业促进民生工程；2.全力提升以创新创业促就业能力；3.大力开展公共就业服务工作；4.强化职业技能培训和创业培训提高技能促进以创业带动就业；5.积极推进推进城乡统筹就业；6.稳步推进失业保险工作；7.切实加</w:t>
      </w:r>
      <w:r>
        <w:rPr>
          <w:rFonts w:ascii="仿宋_GB2312" w:eastAsia="仿宋_GB2312" w:hAnsi="仿宋_GB2312" w:cs="仿宋_GB2312" w:hint="eastAsia"/>
          <w:color w:val="000000"/>
          <w:sz w:val="32"/>
          <w:szCs w:val="32"/>
        </w:rPr>
        <w:lastRenderedPageBreak/>
        <w:t>强自身建设和基础工作。</w:t>
      </w:r>
    </w:p>
    <w:p w:rsidR="00205B90" w:rsidRDefault="00D70603">
      <w:pPr>
        <w:pStyle w:val="2"/>
        <w:ind w:firstLineChars="200" w:firstLine="640"/>
        <w:rPr>
          <w:rStyle w:val="2Char"/>
        </w:rPr>
      </w:pPr>
      <w:bookmarkStart w:id="21" w:name="_Toc15377200"/>
      <w:bookmarkStart w:id="22" w:name="_Toc15396601"/>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205B90" w:rsidRDefault="00D70603">
      <w:pPr>
        <w:ind w:firstLineChars="200" w:firstLine="640"/>
        <w:rPr>
          <w:rFonts w:ascii="仿宋" w:eastAsia="仿宋" w:hAnsi="仿宋"/>
          <w:color w:val="000000"/>
          <w:kern w:val="0"/>
          <w:sz w:val="32"/>
          <w:szCs w:val="32"/>
        </w:rPr>
      </w:pPr>
      <w:bookmarkStart w:id="23" w:name="OLE_LINK1"/>
      <w:r>
        <w:rPr>
          <w:rFonts w:ascii="仿宋_GB2312" w:eastAsia="仿宋_GB2312" w:hAnsi="仿宋_GB2312" w:cs="仿宋_GB2312" w:hint="eastAsia"/>
          <w:sz w:val="32"/>
          <w:szCs w:val="32"/>
        </w:rPr>
        <w:t>2018年</w:t>
      </w:r>
      <w:bookmarkEnd w:id="23"/>
      <w:r>
        <w:rPr>
          <w:rFonts w:ascii="仿宋_GB2312" w:eastAsia="仿宋_GB2312" w:hAnsi="仿宋_GB2312" w:cs="仿宋_GB2312" w:hint="eastAsia"/>
          <w:sz w:val="32"/>
          <w:szCs w:val="32"/>
        </w:rPr>
        <w:t>单位机构数为2个，其中行政机构0个，事业机构1个；财政供养人员编制为13名，其中行政编制0名，行政工勤编制0名，事业编制12名；</w:t>
      </w:r>
      <w:r>
        <w:rPr>
          <w:rFonts w:ascii="仿宋_GB2312" w:eastAsia="仿宋_GB2312" w:hAnsi="仿宋_GB2312" w:cs="仿宋_GB2312" w:hint="eastAsia"/>
          <w:bCs/>
          <w:kern w:val="0"/>
          <w:sz w:val="32"/>
          <w:szCs w:val="32"/>
          <w:lang w:val="zh-CN"/>
        </w:rPr>
        <w:t>201</w:t>
      </w:r>
      <w:r>
        <w:rPr>
          <w:rFonts w:ascii="仿宋_GB2312" w:eastAsia="仿宋_GB2312" w:hAnsi="仿宋_GB2312" w:cs="仿宋_GB2312" w:hint="eastAsia"/>
          <w:bCs/>
          <w:kern w:val="0"/>
          <w:sz w:val="32"/>
          <w:szCs w:val="32"/>
        </w:rPr>
        <w:t>8</w:t>
      </w:r>
      <w:r>
        <w:rPr>
          <w:rFonts w:ascii="仿宋_GB2312" w:eastAsia="仿宋_GB2312" w:hAnsi="仿宋_GB2312" w:cs="仿宋_GB2312" w:hint="eastAsia"/>
          <w:bCs/>
          <w:kern w:val="0"/>
          <w:sz w:val="32"/>
          <w:szCs w:val="32"/>
          <w:lang w:val="zh-CN"/>
        </w:rPr>
        <w:t>年实际财政供养人员1</w:t>
      </w:r>
      <w:r>
        <w:rPr>
          <w:rFonts w:ascii="仿宋_GB2312" w:eastAsia="仿宋_GB2312" w:hAnsi="仿宋_GB2312" w:cs="仿宋_GB2312" w:hint="eastAsia"/>
          <w:bCs/>
          <w:kern w:val="0"/>
          <w:sz w:val="32"/>
          <w:szCs w:val="32"/>
        </w:rPr>
        <w:t>2</w:t>
      </w:r>
      <w:r>
        <w:rPr>
          <w:rFonts w:ascii="仿宋_GB2312" w:eastAsia="仿宋_GB2312" w:hAnsi="仿宋_GB2312" w:cs="仿宋_GB2312" w:hint="eastAsia"/>
          <w:bCs/>
          <w:kern w:val="0"/>
          <w:sz w:val="32"/>
          <w:szCs w:val="32"/>
          <w:lang w:val="zh-CN"/>
        </w:rPr>
        <w:t>人，其中：行政0人，行政工勤0人， 事业</w:t>
      </w:r>
      <w:r>
        <w:rPr>
          <w:rFonts w:ascii="仿宋_GB2312" w:eastAsia="仿宋_GB2312" w:hAnsi="仿宋_GB2312" w:cs="仿宋_GB2312" w:hint="eastAsia"/>
          <w:bCs/>
          <w:kern w:val="0"/>
          <w:sz w:val="32"/>
          <w:szCs w:val="32"/>
        </w:rPr>
        <w:t>12</w:t>
      </w:r>
      <w:r>
        <w:rPr>
          <w:rFonts w:ascii="仿宋_GB2312" w:eastAsia="仿宋_GB2312" w:hAnsi="仿宋_GB2312" w:cs="仿宋_GB2312" w:hint="eastAsia"/>
          <w:bCs/>
          <w:kern w:val="0"/>
          <w:sz w:val="32"/>
          <w:szCs w:val="32"/>
          <w:lang w:val="zh-CN"/>
        </w:rPr>
        <w:t>人。</w:t>
      </w:r>
      <w:r>
        <w:rPr>
          <w:rFonts w:ascii="仿宋" w:eastAsia="仿宋" w:hAnsi="仿宋"/>
          <w:color w:val="000000"/>
          <w:sz w:val="32"/>
          <w:szCs w:val="32"/>
        </w:rPr>
        <w:br w:type="page"/>
      </w:r>
    </w:p>
    <w:p w:rsidR="00205B90" w:rsidRDefault="00D70603">
      <w:pPr>
        <w:pStyle w:val="1"/>
        <w:ind w:right="440"/>
        <w:jc w:val="right"/>
      </w:pPr>
      <w:bookmarkStart w:id="24" w:name="_Toc15377204"/>
      <w:bookmarkStart w:id="25" w:name="_Toc15396602"/>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2018年度部门决算情况说明</w:t>
      </w:r>
      <w:bookmarkEnd w:id="24"/>
      <w:bookmarkEnd w:id="25"/>
    </w:p>
    <w:p w:rsidR="00205B90" w:rsidRDefault="00D70603">
      <w:pPr>
        <w:pStyle w:val="a9"/>
        <w:numPr>
          <w:ilvl w:val="0"/>
          <w:numId w:val="1"/>
        </w:numPr>
        <w:spacing w:line="600" w:lineRule="exact"/>
        <w:ind w:firstLineChars="0"/>
        <w:outlineLvl w:val="1"/>
        <w:rPr>
          <w:rStyle w:val="2Char"/>
          <w:rFonts w:ascii="黑体" w:eastAsia="黑体" w:hAnsi="黑体"/>
          <w:b w:val="0"/>
        </w:rPr>
      </w:pPr>
      <w:bookmarkStart w:id="26" w:name="_Toc15377205"/>
      <w:bookmarkStart w:id="27"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6"/>
      <w:bookmarkEnd w:id="27"/>
    </w:p>
    <w:p w:rsidR="00205B90" w:rsidRDefault="00D70603">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2018年度收、支总计297.83万元。与2017年相比，收、支总计各减少142.74万元，下降47.93%。主要变动原因是</w:t>
      </w:r>
      <w:r>
        <w:rPr>
          <w:rFonts w:ascii="仿宋" w:eastAsia="仿宋" w:hAnsi="仿宋" w:hint="eastAsia"/>
          <w:color w:val="000000"/>
          <w:sz w:val="32"/>
          <w:szCs w:val="32"/>
        </w:rPr>
        <w:t>励行节约，减少198万元扶贫专项。</w:t>
      </w:r>
    </w:p>
    <w:p w:rsidR="00205B90" w:rsidRDefault="00D70603">
      <w:pPr>
        <w:pStyle w:val="a9"/>
        <w:numPr>
          <w:ilvl w:val="0"/>
          <w:numId w:val="1"/>
        </w:numPr>
        <w:spacing w:line="600" w:lineRule="exact"/>
        <w:ind w:firstLineChars="0"/>
        <w:outlineLvl w:val="1"/>
        <w:rPr>
          <w:rStyle w:val="2Char"/>
          <w:rFonts w:ascii="黑体" w:eastAsia="黑体" w:hAnsi="黑体"/>
          <w:b w:val="0"/>
        </w:rPr>
      </w:pPr>
      <w:bookmarkStart w:id="28" w:name="_Toc15396604"/>
      <w:bookmarkStart w:id="29"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8"/>
      <w:bookmarkEnd w:id="29"/>
    </w:p>
    <w:p w:rsidR="00205B90" w:rsidRDefault="00D70603">
      <w:pPr>
        <w:spacing w:line="600" w:lineRule="exact"/>
        <w:ind w:firstLineChars="200" w:firstLine="640"/>
        <w:outlineLvl w:val="1"/>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8年本年收入合计297.83万元，其中：一般公共预算财政拨款收入287.63万元，占95.58</w:t>
      </w:r>
      <w:r>
        <w:rPr>
          <w:rFonts w:ascii="仿宋" w:eastAsia="仿宋" w:hAnsi="仿宋"/>
          <w:sz w:val="32"/>
          <w:szCs w:val="32"/>
        </w:rPr>
        <w:t>%</w:t>
      </w:r>
      <w:r>
        <w:rPr>
          <w:rFonts w:ascii="仿宋" w:eastAsia="仿宋" w:hAnsi="仿宋" w:hint="eastAsia"/>
          <w:sz w:val="32"/>
          <w:szCs w:val="32"/>
        </w:rPr>
        <w:t>；其他收入10.20万元，占3.42</w:t>
      </w:r>
      <w:r>
        <w:rPr>
          <w:rFonts w:ascii="仿宋" w:eastAsia="仿宋" w:hAnsi="仿宋"/>
          <w:sz w:val="32"/>
          <w:szCs w:val="32"/>
        </w:rPr>
        <w:t>%</w:t>
      </w:r>
      <w:r>
        <w:rPr>
          <w:rFonts w:ascii="仿宋" w:eastAsia="仿宋" w:hAnsi="仿宋" w:hint="eastAsia"/>
          <w:sz w:val="32"/>
          <w:szCs w:val="32"/>
        </w:rPr>
        <w:t>。</w:t>
      </w:r>
    </w:p>
    <w:p w:rsidR="00205B90" w:rsidRDefault="00D70603">
      <w:pPr>
        <w:pStyle w:val="a9"/>
        <w:numPr>
          <w:ilvl w:val="0"/>
          <w:numId w:val="1"/>
        </w:numPr>
        <w:spacing w:line="600" w:lineRule="exact"/>
        <w:ind w:firstLineChars="0"/>
        <w:outlineLvl w:val="1"/>
        <w:rPr>
          <w:rStyle w:val="2Char"/>
          <w:rFonts w:ascii="黑体" w:eastAsia="黑体" w:hAnsi="黑体"/>
          <w:b w:val="0"/>
        </w:rPr>
      </w:pPr>
      <w:bookmarkStart w:id="30" w:name="_Toc15396605"/>
      <w:bookmarkStart w:id="31"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30"/>
      <w:bookmarkEnd w:id="31"/>
    </w:p>
    <w:p w:rsidR="00205B90" w:rsidRDefault="00D70603">
      <w:pPr>
        <w:spacing w:line="600" w:lineRule="exact"/>
        <w:ind w:firstLineChars="200" w:firstLine="640"/>
        <w:rPr>
          <w:rFonts w:ascii="仿宋" w:eastAsia="仿宋" w:hAnsi="仿宋"/>
          <w:color w:val="000000"/>
          <w:sz w:val="32"/>
          <w:szCs w:val="32"/>
        </w:rPr>
      </w:pPr>
      <w:r>
        <w:rPr>
          <w:rFonts w:ascii="仿宋_GB2312" w:eastAsia="仿宋_GB2312" w:hint="eastAsia"/>
          <w:color w:val="000000"/>
          <w:sz w:val="32"/>
          <w:szCs w:val="32"/>
        </w:rPr>
        <w:t>2018年度一般公共预算财政拨款支出297.83万元，占本年支出合计的100.00%。与2017年相比，一般公共预算财政拨款减少142.74万元，减少47.93%。</w:t>
      </w:r>
      <w:bookmarkStart w:id="32" w:name="_Toc15377208"/>
      <w:bookmarkStart w:id="33" w:name="_Toc15396606"/>
      <w:r>
        <w:rPr>
          <w:rFonts w:ascii="仿宋" w:eastAsia="仿宋" w:hAnsi="仿宋" w:hint="eastAsia"/>
          <w:color w:val="000000"/>
          <w:sz w:val="32"/>
          <w:szCs w:val="32"/>
        </w:rPr>
        <w:t>主要变动原因是励行节约，减少198万元扶贫专项。</w:t>
      </w:r>
    </w:p>
    <w:p w:rsidR="00205B90" w:rsidRDefault="00D70603">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2"/>
      <w:bookmarkEnd w:id="33"/>
    </w:p>
    <w:p w:rsidR="00205B90" w:rsidRDefault="00D70603">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int="eastAsia"/>
          <w:color w:val="000000"/>
          <w:sz w:val="32"/>
          <w:szCs w:val="32"/>
        </w:rPr>
        <w:t>2018年度财政拨款收、支总计297.83万元。与2017年相比，财政拨款收、支总计各减少142.74万元，减少47.93%。主要变动原因是励行节约，减少198万元扶贫专项。</w:t>
      </w:r>
    </w:p>
    <w:p w:rsidR="00205B90" w:rsidRDefault="00D70603">
      <w:pPr>
        <w:spacing w:line="600" w:lineRule="exact"/>
        <w:ind w:firstLineChars="200" w:firstLine="640"/>
        <w:outlineLvl w:val="1"/>
        <w:rPr>
          <w:rStyle w:val="2Char"/>
          <w:rFonts w:ascii="黑体" w:eastAsia="黑体" w:hAnsi="黑体"/>
          <w:b w:val="0"/>
        </w:rPr>
      </w:pPr>
      <w:bookmarkStart w:id="34" w:name="_Toc15377209"/>
      <w:bookmarkStart w:id="35"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4"/>
      <w:bookmarkEnd w:id="35"/>
    </w:p>
    <w:p w:rsidR="00205B90" w:rsidRDefault="00D70603">
      <w:pPr>
        <w:spacing w:line="600" w:lineRule="exact"/>
        <w:ind w:firstLineChars="200" w:firstLine="643"/>
        <w:outlineLvl w:val="2"/>
        <w:rPr>
          <w:rFonts w:ascii="仿宋" w:eastAsia="仿宋" w:hAnsi="仿宋"/>
          <w:b/>
          <w:color w:val="000000"/>
          <w:sz w:val="32"/>
          <w:szCs w:val="32"/>
        </w:rPr>
      </w:pPr>
      <w:bookmarkStart w:id="36" w:name="_Toc15377210"/>
      <w:r>
        <w:rPr>
          <w:rFonts w:ascii="仿宋" w:eastAsia="仿宋" w:hAnsi="仿宋" w:hint="eastAsia"/>
          <w:b/>
          <w:color w:val="000000"/>
          <w:sz w:val="32"/>
          <w:szCs w:val="32"/>
        </w:rPr>
        <w:t>（一）一般公共预算财政拨款支出决算总体情况</w:t>
      </w:r>
      <w:bookmarkEnd w:id="36"/>
    </w:p>
    <w:p w:rsidR="00205B90" w:rsidRDefault="00D70603">
      <w:pPr>
        <w:spacing w:line="600" w:lineRule="exact"/>
        <w:ind w:firstLineChars="200" w:firstLine="640"/>
        <w:rPr>
          <w:rFonts w:ascii="仿宋_GB2312" w:eastAsia="仿宋_GB2312"/>
          <w:color w:val="000000"/>
          <w:sz w:val="32"/>
          <w:szCs w:val="32"/>
        </w:rPr>
      </w:pPr>
      <w:bookmarkStart w:id="37" w:name="_Toc15377211"/>
      <w:r>
        <w:rPr>
          <w:rFonts w:ascii="仿宋_GB2312" w:eastAsia="仿宋_GB2312" w:hint="eastAsia"/>
          <w:color w:val="000000"/>
          <w:sz w:val="32"/>
          <w:szCs w:val="32"/>
        </w:rPr>
        <w:t>2018年度一般公共预算财政拨款支出297.83万元，占本年支出合计的100.00%。与2017年相比，一般公共预算财</w:t>
      </w:r>
      <w:r>
        <w:rPr>
          <w:rFonts w:ascii="仿宋_GB2312" w:eastAsia="仿宋_GB2312" w:hint="eastAsia"/>
          <w:color w:val="000000"/>
          <w:sz w:val="32"/>
          <w:szCs w:val="32"/>
        </w:rPr>
        <w:lastRenderedPageBreak/>
        <w:t>政拨款减少142.74万元，减少47.93%。</w:t>
      </w:r>
    </w:p>
    <w:p w:rsidR="00205B90" w:rsidRDefault="00D70603">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37"/>
    </w:p>
    <w:p w:rsidR="00205B90" w:rsidRDefault="00D70603">
      <w:pPr>
        <w:spacing w:line="600" w:lineRule="exact"/>
        <w:ind w:firstLine="640"/>
        <w:rPr>
          <w:rFonts w:ascii="仿宋" w:eastAsia="仿宋" w:hAnsi="仿宋"/>
          <w:color w:val="000000"/>
          <w:sz w:val="32"/>
          <w:szCs w:val="32"/>
        </w:rPr>
      </w:pPr>
      <w:r>
        <w:rPr>
          <w:rFonts w:ascii="仿宋_GB2312" w:eastAsia="仿宋_GB2312" w:hint="eastAsia"/>
          <w:color w:val="000000"/>
          <w:sz w:val="32"/>
          <w:szCs w:val="32"/>
        </w:rPr>
        <w:t>2018年一般公共预算财政拨款支出297.83万元，主要用于以下方面:社会保障和就业支出241.48万元，占81.08%；医疗卫生支出11.88万元，占3.99%；住房保障支出13.74万元，占4.61%；其他支出30.73万元，占10.32%。</w:t>
      </w:r>
    </w:p>
    <w:p w:rsidR="00205B90" w:rsidRDefault="00D70603">
      <w:pPr>
        <w:spacing w:line="600" w:lineRule="exact"/>
        <w:ind w:firstLineChars="200" w:firstLine="643"/>
        <w:outlineLvl w:val="2"/>
        <w:rPr>
          <w:rFonts w:ascii="仿宋" w:eastAsia="仿宋" w:hAnsi="仿宋"/>
          <w:b/>
          <w:color w:val="000000"/>
          <w:sz w:val="32"/>
          <w:szCs w:val="32"/>
        </w:rPr>
      </w:pPr>
      <w:bookmarkStart w:id="38" w:name="_Toc15377212"/>
      <w:r>
        <w:rPr>
          <w:rFonts w:ascii="仿宋" w:eastAsia="仿宋" w:hAnsi="仿宋" w:hint="eastAsia"/>
          <w:b/>
          <w:color w:val="000000"/>
          <w:sz w:val="32"/>
          <w:szCs w:val="32"/>
        </w:rPr>
        <w:t>（三）一般公共预算财政拨款支出决算具体情况</w:t>
      </w:r>
      <w:bookmarkEnd w:id="38"/>
    </w:p>
    <w:p w:rsidR="00205B90" w:rsidRDefault="00D70603">
      <w:pPr>
        <w:spacing w:line="600" w:lineRule="exact"/>
        <w:ind w:firstLineChars="200" w:firstLine="643"/>
        <w:outlineLvl w:val="2"/>
        <w:rPr>
          <w:rFonts w:ascii="仿宋" w:eastAsia="仿宋" w:hAnsi="仿宋"/>
          <w:color w:val="FF0000"/>
          <w:sz w:val="32"/>
          <w:szCs w:val="32"/>
        </w:rPr>
      </w:pPr>
      <w:bookmarkStart w:id="39" w:name="_Toc15377444"/>
      <w:bookmarkStart w:id="40" w:name="_Toc15378460"/>
      <w:bookmarkStart w:id="41" w:name="_Toc15377213"/>
      <w:r>
        <w:rPr>
          <w:rFonts w:ascii="仿宋" w:eastAsia="仿宋" w:hAnsi="仿宋" w:hint="eastAsia"/>
          <w:b/>
          <w:color w:val="000000" w:themeColor="text1"/>
          <w:sz w:val="32"/>
          <w:szCs w:val="32"/>
        </w:rPr>
        <w:t>2018年般公共预算支出决算数为297.83万元</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39"/>
      <w:bookmarkEnd w:id="40"/>
      <w:bookmarkEnd w:id="41"/>
    </w:p>
    <w:p w:rsidR="00205B90" w:rsidRDefault="00D70603">
      <w:pPr>
        <w:spacing w:line="600" w:lineRule="exact"/>
        <w:ind w:firstLineChars="200" w:firstLine="643"/>
        <w:rPr>
          <w:rFonts w:ascii="仿宋_GB2312" w:eastAsia="仿宋_GB2312"/>
          <w:color w:val="000000"/>
          <w:sz w:val="32"/>
          <w:szCs w:val="32"/>
        </w:rPr>
      </w:pPr>
      <w:r>
        <w:rPr>
          <w:rStyle w:val="a7"/>
          <w:rFonts w:ascii="仿宋_GB2312" w:eastAsia="仿宋_GB2312" w:hint="eastAsia"/>
          <w:color w:val="000000"/>
          <w:sz w:val="32"/>
          <w:szCs w:val="32"/>
        </w:rPr>
        <w:t>1.社会保障和就业:</w:t>
      </w:r>
      <w:r>
        <w:rPr>
          <w:rStyle w:val="a7"/>
          <w:rFonts w:ascii="仿宋_GB2312" w:eastAsia="仿宋_GB2312" w:hint="eastAsia"/>
          <w:b w:val="0"/>
          <w:color w:val="000000"/>
          <w:sz w:val="32"/>
          <w:szCs w:val="32"/>
        </w:rPr>
        <w:t xml:space="preserve"> 支出决算为241.48万元，完成预算81.08%。</w:t>
      </w:r>
    </w:p>
    <w:tbl>
      <w:tblPr>
        <w:tblW w:w="8306" w:type="dxa"/>
        <w:tblCellSpacing w:w="0" w:type="dxa"/>
        <w:tblLayout w:type="fixed"/>
        <w:tblCellMar>
          <w:left w:w="0" w:type="dxa"/>
          <w:right w:w="0" w:type="dxa"/>
        </w:tblCellMar>
        <w:tblLook w:val="04A0" w:firstRow="1" w:lastRow="0" w:firstColumn="1" w:lastColumn="0" w:noHBand="0" w:noVBand="1"/>
      </w:tblPr>
      <w:tblGrid>
        <w:gridCol w:w="8306"/>
      </w:tblGrid>
      <w:tr w:rsidR="00205B90">
        <w:trPr>
          <w:trHeight w:val="594"/>
          <w:tblCellSpacing w:w="0" w:type="dxa"/>
        </w:trPr>
        <w:tc>
          <w:tcPr>
            <w:tcW w:w="8306" w:type="dxa"/>
            <w:shd w:val="clear" w:color="auto" w:fill="FFFFFF"/>
          </w:tcPr>
          <w:tbl>
            <w:tblPr>
              <w:tblW w:w="12000" w:type="dxa"/>
              <w:jc w:val="center"/>
              <w:tblCellSpacing w:w="0" w:type="dxa"/>
              <w:tblLayout w:type="fixed"/>
              <w:tblCellMar>
                <w:left w:w="0" w:type="dxa"/>
                <w:right w:w="0" w:type="dxa"/>
              </w:tblCellMar>
              <w:tblLook w:val="04A0" w:firstRow="1" w:lastRow="0" w:firstColumn="1" w:lastColumn="0" w:noHBand="0" w:noVBand="1"/>
            </w:tblPr>
            <w:tblGrid>
              <w:gridCol w:w="12000"/>
            </w:tblGrid>
            <w:tr w:rsidR="00205B90" w:rsidRPr="008273FB">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firstRow="1" w:lastRow="0" w:firstColumn="1" w:lastColumn="0" w:noHBand="0" w:noVBand="1"/>
                  </w:tblPr>
                  <w:tblGrid>
                    <w:gridCol w:w="12000"/>
                  </w:tblGrid>
                  <w:tr w:rsidR="00205B90" w:rsidRPr="008273FB">
                    <w:trPr>
                      <w:tblCellSpacing w:w="0" w:type="dxa"/>
                    </w:trPr>
                    <w:tc>
                      <w:tcPr>
                        <w:tcW w:w="12000" w:type="dxa"/>
                      </w:tcPr>
                      <w:p w:rsidR="00205B90" w:rsidRPr="008273FB" w:rsidRDefault="00D70603">
                        <w:pPr>
                          <w:widowControl/>
                          <w:jc w:val="left"/>
                          <w:rPr>
                            <w:rFonts w:ascii="仿宋_GB2312" w:eastAsia="仿宋_GB2312" w:hAnsi="宋体" w:cs="宋体"/>
                            <w:color w:val="000000"/>
                            <w:kern w:val="0"/>
                            <w:sz w:val="32"/>
                            <w:szCs w:val="32"/>
                          </w:rPr>
                        </w:pPr>
                        <w:r w:rsidRPr="008273FB">
                          <w:rPr>
                            <w:rFonts w:ascii="仿宋_GB2312" w:eastAsia="仿宋_GB2312" w:hAnsi="宋体" w:cs="宋体" w:hint="eastAsia"/>
                            <w:color w:val="000000"/>
                            <w:kern w:val="0"/>
                            <w:sz w:val="32"/>
                            <w:szCs w:val="32"/>
                          </w:rPr>
                          <w:t>2080109</w:t>
                        </w:r>
                        <w:r w:rsidRPr="008273FB">
                          <w:rPr>
                            <w:rFonts w:ascii="仿宋_GB2312" w:eastAsia="仿宋_GB2312" w:hAnsi="宋体" w:cs="宋体" w:hint="eastAsia"/>
                            <w:color w:val="000000"/>
                            <w:kern w:val="0"/>
                            <w:sz w:val="32"/>
                            <w:szCs w:val="32"/>
                          </w:rPr>
                          <w:tab/>
                        </w:r>
                        <w:r w:rsidRPr="008273FB">
                          <w:rPr>
                            <w:rFonts w:ascii="仿宋_GB2312" w:eastAsia="仿宋_GB2312" w:hAnsi="宋体" w:cs="宋体" w:hint="eastAsia"/>
                            <w:color w:val="000000"/>
                            <w:kern w:val="0"/>
                            <w:sz w:val="32"/>
                            <w:szCs w:val="32"/>
                          </w:rPr>
                          <w:tab/>
                          <w:t xml:space="preserve">  2080109 社会保险经办机构</w:t>
                        </w:r>
                        <w:r w:rsidRPr="008273FB">
                          <w:rPr>
                            <w:rFonts w:ascii="仿宋_GB2312" w:eastAsia="仿宋_GB2312" w:hAnsi="宋体" w:cs="宋体" w:hint="eastAsia"/>
                            <w:color w:val="000000"/>
                            <w:kern w:val="0"/>
                            <w:sz w:val="32"/>
                            <w:szCs w:val="32"/>
                          </w:rPr>
                          <w:tab/>
                          <w:t>163.59万元</w:t>
                        </w:r>
                      </w:p>
                    </w:tc>
                  </w:tr>
                </w:tbl>
                <w:p w:rsidR="00205B90" w:rsidRPr="008273FB" w:rsidRDefault="00205B90">
                  <w:pPr>
                    <w:widowControl/>
                    <w:jc w:val="left"/>
                    <w:rPr>
                      <w:rFonts w:ascii="仿宋_GB2312" w:eastAsia="仿宋_GB2312" w:hAnsi="宋体" w:cs="宋体"/>
                      <w:color w:val="000000"/>
                      <w:kern w:val="0"/>
                      <w:sz w:val="32"/>
                      <w:szCs w:val="32"/>
                    </w:rPr>
                  </w:pPr>
                </w:p>
              </w:tc>
            </w:tr>
            <w:tr w:rsidR="00205B90" w:rsidRPr="008273FB">
              <w:trPr>
                <w:trHeight w:val="75"/>
                <w:tblCellSpacing w:w="0" w:type="dxa"/>
                <w:jc w:val="center"/>
              </w:trPr>
              <w:tc>
                <w:tcPr>
                  <w:tcW w:w="12000" w:type="dxa"/>
                  <w:vAlign w:val="center"/>
                </w:tcPr>
                <w:p w:rsidR="00205B90" w:rsidRPr="008273FB" w:rsidRDefault="00D70603">
                  <w:pPr>
                    <w:widowControl/>
                    <w:jc w:val="left"/>
                    <w:rPr>
                      <w:rFonts w:ascii="仿宋_GB2312" w:eastAsia="仿宋_GB2312" w:hAnsi="宋体" w:cs="宋体"/>
                      <w:color w:val="000000"/>
                      <w:kern w:val="0"/>
                      <w:sz w:val="32"/>
                      <w:szCs w:val="32"/>
                    </w:rPr>
                  </w:pPr>
                  <w:r w:rsidRPr="008273FB">
                    <w:rPr>
                      <w:rFonts w:ascii="仿宋_GB2312" w:eastAsia="仿宋_GB2312" w:hAnsi="宋体" w:cs="宋体" w:hint="eastAsia"/>
                      <w:color w:val="000000"/>
                      <w:kern w:val="0"/>
                      <w:sz w:val="32"/>
                      <w:szCs w:val="32"/>
                    </w:rPr>
                    <w:t xml:space="preserve">  </w:t>
                  </w:r>
                  <w:r w:rsidR="008273FB">
                    <w:rPr>
                      <w:rFonts w:ascii="仿宋_GB2312" w:eastAsia="仿宋_GB2312" w:hAnsi="宋体" w:cs="宋体" w:hint="eastAsia"/>
                      <w:color w:val="000000"/>
                      <w:kern w:val="0"/>
                      <w:sz w:val="32"/>
                      <w:szCs w:val="32"/>
                    </w:rPr>
                    <w:t xml:space="preserve">机关事业 </w:t>
                  </w:r>
                  <w:r w:rsidRPr="008273FB">
                    <w:rPr>
                      <w:rFonts w:ascii="仿宋_GB2312" w:eastAsia="仿宋_GB2312" w:hAnsi="宋体" w:cs="宋体" w:hint="eastAsia"/>
                      <w:color w:val="000000"/>
                      <w:kern w:val="0"/>
                      <w:sz w:val="32"/>
                      <w:szCs w:val="32"/>
                    </w:rPr>
                    <w:t xml:space="preserve"> 2080505 机关事业单位基本养老保险缴费</w:t>
                  </w:r>
                  <w:r w:rsidRPr="008273FB">
                    <w:rPr>
                      <w:rFonts w:ascii="仿宋_GB2312" w:eastAsia="仿宋_GB2312" w:hAnsi="宋体" w:cs="宋体" w:hint="eastAsia"/>
                      <w:color w:val="000000"/>
                      <w:kern w:val="0"/>
                      <w:sz w:val="32"/>
                      <w:szCs w:val="32"/>
                    </w:rPr>
                    <w:tab/>
                    <w:t>16.69万元</w:t>
                  </w:r>
                </w:p>
              </w:tc>
            </w:tr>
          </w:tbl>
          <w:p w:rsidR="00205B90" w:rsidRPr="008273FB" w:rsidRDefault="00205B90">
            <w:pPr>
              <w:widowControl/>
              <w:jc w:val="center"/>
              <w:rPr>
                <w:rFonts w:ascii="仿宋_GB2312" w:eastAsia="仿宋_GB2312" w:hAnsi="宋体" w:cs="宋体"/>
                <w:color w:val="000000"/>
                <w:kern w:val="0"/>
                <w:sz w:val="32"/>
                <w:szCs w:val="32"/>
              </w:rPr>
            </w:pPr>
          </w:p>
        </w:tc>
      </w:tr>
      <w:tr w:rsidR="00205B90">
        <w:trPr>
          <w:tblCellSpacing w:w="0" w:type="dxa"/>
        </w:trPr>
        <w:tc>
          <w:tcPr>
            <w:tcW w:w="8306" w:type="dxa"/>
            <w:shd w:val="clear" w:color="auto" w:fill="FFFFFF"/>
          </w:tcPr>
          <w:p w:rsidR="00205B90" w:rsidRPr="008273FB" w:rsidRDefault="00D70603">
            <w:pPr>
              <w:widowControl/>
              <w:jc w:val="left"/>
              <w:rPr>
                <w:rFonts w:ascii="仿宋_GB2312" w:eastAsia="仿宋_GB2312" w:hAnsi="宋体" w:cs="宋体"/>
                <w:color w:val="000000"/>
                <w:kern w:val="0"/>
                <w:sz w:val="32"/>
                <w:szCs w:val="32"/>
              </w:rPr>
            </w:pPr>
            <w:r w:rsidRPr="008273FB">
              <w:rPr>
                <w:rFonts w:ascii="仿宋_GB2312" w:eastAsia="仿宋_GB2312" w:hAnsi="宋体" w:cs="宋体" w:hint="eastAsia"/>
                <w:color w:val="000000"/>
                <w:kern w:val="0"/>
                <w:sz w:val="32"/>
                <w:szCs w:val="32"/>
              </w:rPr>
              <w:t>2080799  其他就业补助支出</w:t>
            </w:r>
            <w:r w:rsidRPr="008273FB">
              <w:rPr>
                <w:rFonts w:ascii="仿宋_GB2312" w:eastAsia="仿宋_GB2312" w:hAnsi="宋体" w:cs="宋体" w:hint="eastAsia"/>
                <w:color w:val="000000"/>
                <w:kern w:val="0"/>
                <w:sz w:val="32"/>
                <w:szCs w:val="32"/>
              </w:rPr>
              <w:tab/>
              <w:t>61.20万元</w:t>
            </w:r>
          </w:p>
        </w:tc>
      </w:tr>
      <w:tr w:rsidR="00205B90">
        <w:trPr>
          <w:tblCellSpacing w:w="0" w:type="dxa"/>
        </w:trPr>
        <w:tc>
          <w:tcPr>
            <w:tcW w:w="8306" w:type="dxa"/>
            <w:shd w:val="clear" w:color="auto" w:fill="FFFFFF"/>
          </w:tcPr>
          <w:p w:rsidR="00205B90" w:rsidRDefault="00205B90">
            <w:pPr>
              <w:widowControl/>
              <w:jc w:val="left"/>
              <w:rPr>
                <w:rFonts w:ascii="宋体" w:hAnsi="宋体" w:cs="宋体"/>
                <w:color w:val="000000"/>
                <w:kern w:val="0"/>
                <w:sz w:val="24"/>
              </w:rPr>
            </w:pPr>
          </w:p>
        </w:tc>
      </w:tr>
    </w:tbl>
    <w:p w:rsidR="00205B90" w:rsidRDefault="00D70603">
      <w:pPr>
        <w:spacing w:line="600" w:lineRule="exact"/>
        <w:ind w:firstLineChars="200" w:firstLine="643"/>
        <w:rPr>
          <w:rStyle w:val="a7"/>
          <w:rFonts w:ascii="仿宋_GB2312" w:eastAsia="仿宋_GB2312"/>
          <w:b w:val="0"/>
          <w:color w:val="000000"/>
          <w:sz w:val="32"/>
          <w:szCs w:val="32"/>
        </w:rPr>
      </w:pPr>
      <w:r>
        <w:rPr>
          <w:rStyle w:val="a7"/>
          <w:rFonts w:ascii="仿宋_GB2312" w:eastAsia="仿宋_GB2312" w:hint="eastAsia"/>
          <w:color w:val="000000"/>
          <w:sz w:val="32"/>
          <w:szCs w:val="32"/>
        </w:rPr>
        <w:t>2.医疗卫生与计划生育（210）医疗卫生与计划生育支出（11）行政事业单位医疗（01）行政单位医疗:</w:t>
      </w:r>
      <w:r>
        <w:rPr>
          <w:rStyle w:val="a7"/>
          <w:rFonts w:ascii="仿宋_GB2312" w:eastAsia="仿宋_GB2312" w:hint="eastAsia"/>
          <w:b w:val="0"/>
          <w:color w:val="000000"/>
          <w:sz w:val="32"/>
          <w:szCs w:val="32"/>
        </w:rPr>
        <w:t>支出决算为</w:t>
      </w:r>
      <w:r>
        <w:rPr>
          <w:rStyle w:val="a7"/>
          <w:rFonts w:ascii="仿宋_GB2312" w:eastAsia="仿宋_GB2312" w:hAnsi="仿宋_GB2312" w:cs="仿宋_GB2312" w:hint="eastAsia"/>
          <w:b w:val="0"/>
          <w:color w:val="000000"/>
          <w:sz w:val="32"/>
          <w:szCs w:val="32"/>
        </w:rPr>
        <w:tab/>
        <w:t>11.88万</w:t>
      </w:r>
      <w:r>
        <w:rPr>
          <w:rStyle w:val="a7"/>
          <w:rFonts w:ascii="仿宋_GB2312" w:eastAsia="仿宋_GB2312" w:hint="eastAsia"/>
          <w:b w:val="0"/>
          <w:color w:val="000000"/>
          <w:sz w:val="32"/>
          <w:szCs w:val="32"/>
        </w:rPr>
        <w:t>元，完成预算100%。</w:t>
      </w:r>
    </w:p>
    <w:p w:rsidR="00205B90" w:rsidRDefault="00D70603">
      <w:pPr>
        <w:spacing w:line="600" w:lineRule="exact"/>
        <w:ind w:firstLineChars="200" w:firstLine="643"/>
        <w:rPr>
          <w:rStyle w:val="a7"/>
          <w:rFonts w:ascii="仿宋_GB2312" w:eastAsia="仿宋_GB2312"/>
          <w:b w:val="0"/>
          <w:color w:val="000000"/>
          <w:sz w:val="32"/>
          <w:szCs w:val="32"/>
        </w:rPr>
      </w:pPr>
      <w:r>
        <w:rPr>
          <w:rStyle w:val="a7"/>
          <w:rFonts w:ascii="仿宋_GB2312" w:eastAsia="仿宋_GB2312" w:hint="eastAsia"/>
          <w:color w:val="000000"/>
          <w:sz w:val="32"/>
          <w:szCs w:val="32"/>
        </w:rPr>
        <w:t>3.住房保障支出住房（221）改革支出住房（02）住房公积金（01）</w:t>
      </w:r>
      <w:r>
        <w:rPr>
          <w:rStyle w:val="a7"/>
          <w:rFonts w:ascii="仿宋_GB2312" w:eastAsia="仿宋_GB2312" w:hint="eastAsia"/>
          <w:b w:val="0"/>
          <w:color w:val="000000"/>
          <w:sz w:val="32"/>
          <w:szCs w:val="32"/>
        </w:rPr>
        <w:t>支出决算为13.74万元，完成预算100%</w:t>
      </w:r>
      <w:r>
        <w:rPr>
          <w:rStyle w:val="a7"/>
          <w:rFonts w:ascii="仿宋_GB2312" w:eastAsia="仿宋_GB2312" w:hint="eastAsia"/>
          <w:color w:val="000000"/>
          <w:sz w:val="32"/>
          <w:szCs w:val="32"/>
        </w:rPr>
        <w:tab/>
      </w:r>
      <w:r>
        <w:rPr>
          <w:rStyle w:val="a7"/>
          <w:rFonts w:ascii="仿宋_GB2312" w:eastAsia="仿宋_GB2312" w:hint="eastAsia"/>
          <w:b w:val="0"/>
          <w:color w:val="000000"/>
          <w:sz w:val="32"/>
          <w:szCs w:val="32"/>
        </w:rPr>
        <w:t>。</w:t>
      </w:r>
    </w:p>
    <w:p w:rsidR="00205B90" w:rsidRDefault="00D70603">
      <w:pPr>
        <w:spacing w:line="600" w:lineRule="exact"/>
        <w:ind w:firstLineChars="200" w:firstLine="643"/>
        <w:rPr>
          <w:rStyle w:val="a7"/>
          <w:rFonts w:ascii="仿宋_GB2312" w:eastAsia="仿宋_GB2312"/>
          <w:b w:val="0"/>
          <w:color w:val="000000"/>
          <w:sz w:val="32"/>
          <w:szCs w:val="32"/>
        </w:rPr>
      </w:pPr>
      <w:r>
        <w:rPr>
          <w:rStyle w:val="a7"/>
          <w:rFonts w:ascii="仿宋_GB2312" w:eastAsia="仿宋_GB2312" w:hint="eastAsia"/>
          <w:color w:val="000000"/>
          <w:sz w:val="32"/>
          <w:szCs w:val="32"/>
        </w:rPr>
        <w:t>4.其他支出（2299901）</w:t>
      </w:r>
      <w:r>
        <w:rPr>
          <w:rStyle w:val="a7"/>
          <w:rFonts w:ascii="仿宋_GB2312" w:eastAsia="仿宋_GB2312" w:hint="eastAsia"/>
          <w:b w:val="0"/>
          <w:color w:val="000000"/>
          <w:sz w:val="32"/>
          <w:szCs w:val="32"/>
        </w:rPr>
        <w:t>支出决算为30.73万元，完成预算100%</w:t>
      </w:r>
      <w:r>
        <w:rPr>
          <w:rStyle w:val="a7"/>
          <w:rFonts w:ascii="仿宋_GB2312" w:eastAsia="仿宋_GB2312" w:hint="eastAsia"/>
          <w:color w:val="000000"/>
          <w:sz w:val="32"/>
          <w:szCs w:val="32"/>
        </w:rPr>
        <w:tab/>
      </w:r>
      <w:r>
        <w:rPr>
          <w:rStyle w:val="a7"/>
          <w:rFonts w:ascii="仿宋_GB2312" w:eastAsia="仿宋_GB2312" w:hint="eastAsia"/>
          <w:b w:val="0"/>
          <w:color w:val="000000"/>
          <w:sz w:val="32"/>
          <w:szCs w:val="32"/>
        </w:rPr>
        <w:t>。</w:t>
      </w:r>
    </w:p>
    <w:p w:rsidR="00205B90" w:rsidRDefault="00D70603">
      <w:pPr>
        <w:tabs>
          <w:tab w:val="right" w:pos="8306"/>
        </w:tabs>
        <w:spacing w:line="600" w:lineRule="exact"/>
        <w:ind w:firstLine="640"/>
        <w:outlineLvl w:val="1"/>
        <w:rPr>
          <w:rStyle w:val="2Char"/>
        </w:rPr>
      </w:pPr>
      <w:bookmarkStart w:id="42" w:name="_Toc15396608"/>
      <w:bookmarkStart w:id="43"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2"/>
      <w:bookmarkEnd w:id="43"/>
      <w:r>
        <w:rPr>
          <w:rStyle w:val="2Char"/>
          <w:rFonts w:ascii="黑体" w:eastAsia="黑体" w:hAnsi="黑体"/>
          <w:b w:val="0"/>
        </w:rPr>
        <w:tab/>
      </w:r>
    </w:p>
    <w:p w:rsidR="00205B90" w:rsidRDefault="00D70603">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lastRenderedPageBreak/>
        <w:t>2018年度一般公共预算财政拨款基本支出267.10万元，其中：</w:t>
      </w:r>
    </w:p>
    <w:p w:rsidR="00205B90" w:rsidRDefault="00D70603">
      <w:pPr>
        <w:spacing w:line="600" w:lineRule="exact"/>
        <w:ind w:firstLine="645"/>
        <w:rPr>
          <w:rFonts w:ascii="仿宋" w:eastAsia="仿宋" w:hAnsi="仿宋"/>
          <w:b/>
          <w:color w:val="FF0000"/>
          <w:sz w:val="32"/>
          <w:szCs w:val="32"/>
        </w:rPr>
      </w:pPr>
      <w:r>
        <w:rPr>
          <w:rFonts w:ascii="仿宋_GB2312" w:eastAsia="仿宋_GB2312" w:hint="eastAsia"/>
          <w:color w:val="000000"/>
          <w:sz w:val="32"/>
          <w:szCs w:val="32"/>
        </w:rPr>
        <w:t>人员经费137.84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_GB2312" w:eastAsia="仿宋_GB2312" w:hint="eastAsia"/>
          <w:color w:val="000000"/>
          <w:sz w:val="32"/>
          <w:szCs w:val="32"/>
        </w:rPr>
        <w:br/>
        <w:t xml:space="preserve">　　公用经费85.13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205B90" w:rsidRDefault="00D70603">
      <w:pPr>
        <w:spacing w:line="600" w:lineRule="exact"/>
        <w:ind w:firstLine="640"/>
        <w:outlineLvl w:val="1"/>
        <w:rPr>
          <w:rStyle w:val="2Char"/>
          <w:rFonts w:ascii="黑体" w:eastAsia="黑体" w:hAnsi="黑体"/>
          <w:b w:val="0"/>
        </w:rPr>
      </w:pPr>
      <w:bookmarkStart w:id="44" w:name="_Toc15377215"/>
      <w:bookmarkStart w:id="45"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4"/>
      <w:bookmarkEnd w:id="45"/>
    </w:p>
    <w:p w:rsidR="00205B90" w:rsidRDefault="00D70603">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（一）“三公”经费财政拨款支出决算总体情况说明</w:t>
      </w:r>
    </w:p>
    <w:p w:rsidR="00205B90" w:rsidRDefault="00D70603">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2018年度“三公”经费财政拨款支出决算为4.59万元，完成预算100%。</w:t>
      </w:r>
    </w:p>
    <w:p w:rsidR="00205B90" w:rsidRDefault="00D70603">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（二）“三公”经费财政拨款支出决算具体情况说明</w:t>
      </w:r>
    </w:p>
    <w:p w:rsidR="00205B90" w:rsidRDefault="00D70603">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2018年度“三公”经费财政拨款支出决算中，因公出国（境）费支出决算0万元，占0%；公务用车购置及运行维护费支出决算4.28万元，占93.25%；公务接待费支出决算0.31</w:t>
      </w:r>
      <w:r>
        <w:rPr>
          <w:rFonts w:ascii="仿宋_GB2312" w:eastAsia="仿宋_GB2312" w:hint="eastAsia"/>
          <w:color w:val="000000"/>
          <w:sz w:val="32"/>
          <w:szCs w:val="32"/>
        </w:rPr>
        <w:lastRenderedPageBreak/>
        <w:t>万元，占6.75%。具体情况如下：</w:t>
      </w:r>
    </w:p>
    <w:p w:rsidR="00205B90" w:rsidRDefault="00D70603">
      <w:pPr>
        <w:spacing w:line="600" w:lineRule="exact"/>
        <w:ind w:firstLine="640"/>
        <w:rPr>
          <w:rFonts w:ascii="仿宋_GB2312" w:eastAsia="仿宋_GB2312"/>
          <w:color w:val="000000"/>
          <w:sz w:val="32"/>
          <w:szCs w:val="32"/>
        </w:rPr>
      </w:pPr>
      <w:bookmarkStart w:id="46" w:name="_Toc15396610"/>
      <w:bookmarkStart w:id="47" w:name="_Toc15377218"/>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0万元。全年安排因公出国（境）团组0次，出国（境）0人。</w:t>
      </w:r>
    </w:p>
    <w:p w:rsidR="00205B90" w:rsidRDefault="00D70603">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2.公务用车购置及运行维护费支出</w:t>
      </w:r>
      <w:r>
        <w:rPr>
          <w:rFonts w:ascii="仿宋_GB2312" w:eastAsia="仿宋_GB2312" w:hint="eastAsia"/>
          <w:color w:val="000000"/>
          <w:sz w:val="32"/>
          <w:szCs w:val="32"/>
        </w:rPr>
        <w:t>4.28万元。</w:t>
      </w:r>
    </w:p>
    <w:p w:rsidR="00205B90" w:rsidRDefault="00D70603">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0万元。全年按规定更新购置公务用车0辆，其中：轿车0辆、金额0万元，越野车0辆、金额0万元，载客汽车0辆、金额0万元。截至2018年12月底，单位共有公务用车1辆，其中：越野车1辆。</w:t>
      </w:r>
    </w:p>
    <w:p w:rsidR="00205B90" w:rsidRDefault="00D70603">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4.28万元。主要用于</w:t>
      </w:r>
      <w:r>
        <w:rPr>
          <w:rFonts w:ascii="仿宋_GB2312" w:eastAsia="仿宋_GB2312" w:hAnsi="仿宋_GB2312" w:cs="仿宋_GB2312" w:hint="eastAsia"/>
          <w:color w:val="000000"/>
          <w:sz w:val="32"/>
          <w:szCs w:val="32"/>
        </w:rPr>
        <w:t>开展我局送岗位下乡、培训、就业政策宣传、招聘会和精准扶贫</w:t>
      </w:r>
      <w:r>
        <w:rPr>
          <w:rFonts w:ascii="仿宋_GB2312" w:eastAsia="仿宋_GB2312" w:hint="eastAsia"/>
          <w:color w:val="000000"/>
          <w:sz w:val="32"/>
          <w:szCs w:val="32"/>
        </w:rPr>
        <w:t>等业务所需的公务用车燃料费、维修费、过路过桥费、保险费等支出。</w:t>
      </w:r>
    </w:p>
    <w:p w:rsidR="00205B90" w:rsidRDefault="00D70603">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3.公务接待费支出</w:t>
      </w:r>
      <w:r>
        <w:rPr>
          <w:rFonts w:ascii="仿宋_GB2312" w:eastAsia="仿宋_GB2312" w:hint="eastAsia"/>
          <w:color w:val="000000"/>
          <w:sz w:val="32"/>
          <w:szCs w:val="32"/>
        </w:rPr>
        <w:t>0.31万元。主要用于执行公务、开展业务活动开支的交通费、住宿费、用餐费等。国内公务接待3批次，16人次（不包括陪同人员），共计支出0.31万元，具体内容包括：</w:t>
      </w:r>
      <w:r>
        <w:rPr>
          <w:rFonts w:ascii="仿宋_GB2312" w:eastAsia="仿宋_GB2312" w:hAnsi="仿宋_GB2312" w:cs="仿宋_GB2312" w:hint="eastAsia"/>
          <w:color w:val="000000"/>
          <w:sz w:val="32"/>
          <w:szCs w:val="32"/>
        </w:rPr>
        <w:t>用于执行公务、开展业务活动开支的交通费、住宿费、用餐费等</w:t>
      </w:r>
      <w:r>
        <w:rPr>
          <w:rFonts w:ascii="仿宋_GB2312" w:eastAsia="仿宋_GB2312" w:hint="eastAsia"/>
          <w:color w:val="000000"/>
          <w:sz w:val="32"/>
          <w:szCs w:val="32"/>
        </w:rPr>
        <w:t>。</w:t>
      </w:r>
    </w:p>
    <w:p w:rsidR="00205B90" w:rsidRDefault="00D70603">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公务接待费支出决算比2017年增加0.12万元，增加38.71%。主要原因是</w:t>
      </w:r>
      <w:r>
        <w:rPr>
          <w:rFonts w:ascii="仿宋_GB2312" w:eastAsia="仿宋_GB2312" w:hAnsi="宋体" w:cs="宋体" w:hint="eastAsia"/>
          <w:color w:val="000000"/>
          <w:kern w:val="0"/>
          <w:sz w:val="32"/>
        </w:rPr>
        <w:t>开展精准扶贫、技能培训、公益性岗位检查，以及政策宣传等工作</w:t>
      </w:r>
      <w:r>
        <w:rPr>
          <w:rFonts w:ascii="仿宋_GB2312" w:eastAsia="仿宋_GB2312" w:hint="eastAsia"/>
          <w:color w:val="000000"/>
          <w:sz w:val="32"/>
          <w:szCs w:val="32"/>
        </w:rPr>
        <w:t>。</w:t>
      </w:r>
    </w:p>
    <w:p w:rsidR="00205B90" w:rsidRDefault="00D70603">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6"/>
      <w:bookmarkEnd w:id="47"/>
    </w:p>
    <w:p w:rsidR="00205B90" w:rsidRDefault="00D70603">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8年政府性基金预算拨款支出0万元。</w:t>
      </w:r>
    </w:p>
    <w:p w:rsidR="00205B90" w:rsidRDefault="00D70603">
      <w:pPr>
        <w:numPr>
          <w:ilvl w:val="0"/>
          <w:numId w:val="2"/>
        </w:numPr>
        <w:spacing w:line="600" w:lineRule="exact"/>
        <w:ind w:firstLine="640"/>
        <w:outlineLvl w:val="1"/>
        <w:rPr>
          <w:rStyle w:val="2Char"/>
          <w:rFonts w:ascii="黑体" w:eastAsia="黑体" w:hAnsi="黑体"/>
          <w:b w:val="0"/>
        </w:rPr>
      </w:pPr>
      <w:bookmarkStart w:id="48" w:name="_Toc15377219"/>
      <w:bookmarkStart w:id="49" w:name="_Toc15396611"/>
      <w:r>
        <w:rPr>
          <w:rStyle w:val="2Char"/>
          <w:rFonts w:ascii="黑体" w:eastAsia="黑体" w:hAnsi="黑体" w:hint="eastAsia"/>
          <w:b w:val="0"/>
        </w:rPr>
        <w:t>国有资本经营预算支出决算情况说明</w:t>
      </w:r>
      <w:bookmarkEnd w:id="48"/>
      <w:bookmarkEnd w:id="49"/>
    </w:p>
    <w:p w:rsidR="00205B90" w:rsidRDefault="00D70603">
      <w:pPr>
        <w:spacing w:line="600" w:lineRule="exact"/>
        <w:ind w:firstLine="640"/>
        <w:rPr>
          <w:rFonts w:ascii="仿宋_GB2312" w:eastAsia="仿宋_GB2312"/>
          <w:color w:val="000000"/>
          <w:sz w:val="32"/>
          <w:szCs w:val="32"/>
        </w:rPr>
      </w:pPr>
      <w:r>
        <w:rPr>
          <w:rFonts w:ascii="仿宋_GB2312" w:eastAsia="仿宋_GB2312"/>
          <w:color w:val="000000"/>
          <w:sz w:val="32"/>
          <w:szCs w:val="32"/>
        </w:rPr>
        <w:lastRenderedPageBreak/>
        <w:t>201</w:t>
      </w:r>
      <w:r>
        <w:rPr>
          <w:rFonts w:ascii="仿宋_GB2312" w:eastAsia="仿宋_GB2312" w:hint="eastAsia"/>
          <w:color w:val="000000"/>
          <w:sz w:val="32"/>
          <w:szCs w:val="32"/>
        </w:rPr>
        <w:t>8年国有资本经营预算拨款支出0万元。</w:t>
      </w:r>
    </w:p>
    <w:p w:rsidR="00205B90" w:rsidRDefault="00D70603">
      <w:pPr>
        <w:pStyle w:val="a9"/>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205B90" w:rsidRDefault="00D70603">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205B90" w:rsidRDefault="00D7060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themeColor="text1"/>
          <w:sz w:val="32"/>
          <w:szCs w:val="32"/>
        </w:rPr>
        <w:t>根据预算绩效管理要求，本部门（单位）在年初预算编制阶段，组织对1个项目开展了预算事前绩效评估，对1个项目编制了绩效目标，预算执行过程中，选取1个项目开展绩效监控，年终执行完毕后，对1个项目开展了绩效目标完成情况梳理填报。</w:t>
      </w:r>
    </w:p>
    <w:p w:rsidR="00205B90" w:rsidRDefault="00D70603">
      <w:pPr>
        <w:numPr>
          <w:ilvl w:val="0"/>
          <w:numId w:val="4"/>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本部门在2018年度部门决算中反映“培训</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项目绩效目标实际完成情况。</w:t>
      </w:r>
    </w:p>
    <w:p w:rsidR="00205B90" w:rsidRDefault="00D70603">
      <w:pPr>
        <w:widowControl/>
        <w:adjustRightInd w:val="0"/>
        <w:snapToGrid w:val="0"/>
        <w:spacing w:line="560" w:lineRule="exact"/>
        <w:ind w:firstLine="720"/>
        <w:jc w:val="left"/>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培训项目绩效目标完成情况综述。项目全年预算数30.73万元，执行数为30.73万元，完成预算的100%。通过项目实施，实施技能培训。深入探索“政府组织+学校培训+企业用工”合作模式，与四川科华技工学校签订了《四川省深度贫困县就业扶贫攻坚技能培训“一帮一”对口承接合作协议》，围绕灾后重建、脱贫奔康目标任务，今年我局根据培训意愿开展各类技能培训，培训1127人，其中培训贫困劳动力597人。创业培训90人。发现的主要问题</w:t>
      </w:r>
      <w:r>
        <w:rPr>
          <w:rFonts w:ascii="楷体_GB2312" w:eastAsia="楷体_GB2312" w:hAnsi="楷体_GB2312" w:cs="楷体_GB2312" w:hint="eastAsia"/>
          <w:color w:val="000000"/>
          <w:kern w:val="0"/>
          <w:sz w:val="32"/>
          <w:lang w:val="zh-CN"/>
        </w:rPr>
        <w:t>。</w:t>
      </w:r>
      <w:r>
        <w:rPr>
          <w:rFonts w:ascii="仿宋_GB2312" w:eastAsia="仿宋_GB2312" w:hAnsi="仿宋_GB2312" w:cs="仿宋_GB2312" w:hint="eastAsia"/>
          <w:color w:val="000000"/>
          <w:kern w:val="0"/>
          <w:sz w:val="32"/>
          <w:lang w:val="zh-CN"/>
        </w:rPr>
        <w:t>今年增加流动人员人事档案管理服务工作，工作量进一步增大，人手不足。</w:t>
      </w:r>
      <w:r>
        <w:rPr>
          <w:rFonts w:ascii="仿宋_GB2312" w:eastAsia="仿宋_GB2312" w:hAnsi="仿宋_GB2312" w:cs="仿宋_GB2312" w:hint="eastAsia"/>
          <w:sz w:val="32"/>
          <w:szCs w:val="32"/>
        </w:rPr>
        <w:t>下一步改进措施</w:t>
      </w:r>
      <w:r>
        <w:rPr>
          <w:rFonts w:ascii="楷体_GB2312" w:eastAsia="楷体_GB2312" w:hAnsi="楷体_GB2312" w:cs="楷体_GB2312" w:hint="eastAsia"/>
          <w:color w:val="000000"/>
          <w:kern w:val="0"/>
          <w:sz w:val="32"/>
          <w:lang w:val="zh-CN"/>
        </w:rPr>
        <w:t>。</w:t>
      </w:r>
      <w:r>
        <w:rPr>
          <w:rFonts w:ascii="仿宋_GB2312" w:eastAsia="仿宋_GB2312" w:hAnsi="仿宋_GB2312" w:cs="仿宋_GB2312" w:hint="eastAsia"/>
          <w:color w:val="000000"/>
          <w:kern w:val="0"/>
          <w:sz w:val="32"/>
          <w:lang w:val="zh-CN"/>
        </w:rPr>
        <w:t>提高认识，进一步规范管理，加大对制度的执行力度，坚决杜绝不合理的费用开支。</w:t>
      </w: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205B90">
        <w:trPr>
          <w:trHeight w:val="1034"/>
        </w:trPr>
        <w:tc>
          <w:tcPr>
            <w:tcW w:w="9960" w:type="dxa"/>
            <w:gridSpan w:val="6"/>
            <w:tcMar>
              <w:top w:w="15" w:type="dxa"/>
              <w:left w:w="15" w:type="dxa"/>
              <w:bottom w:w="0" w:type="dxa"/>
              <w:right w:w="15" w:type="dxa"/>
            </w:tcMar>
            <w:vAlign w:val="center"/>
          </w:tcPr>
          <w:p w:rsidR="00205B90" w:rsidRDefault="00D70603">
            <w:pPr>
              <w:pStyle w:val="a9"/>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(2018 年度)</w:t>
            </w:r>
          </w:p>
        </w:tc>
      </w:tr>
      <w:tr w:rsidR="00205B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sz w:val="24"/>
              </w:rPr>
              <w:t>培训</w:t>
            </w:r>
          </w:p>
        </w:tc>
      </w:tr>
      <w:tr w:rsidR="00205B9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sz w:val="24"/>
              </w:rPr>
              <w:t>九寨沟到公共就业和人才交流服务局</w:t>
            </w:r>
          </w:p>
        </w:tc>
      </w:tr>
      <w:tr w:rsidR="00205B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sz w:val="24"/>
              </w:rPr>
              <w:t>30.73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sz w:val="24"/>
              </w:rPr>
              <w:t>30.73</w:t>
            </w:r>
          </w:p>
        </w:tc>
      </w:tr>
      <w:tr w:rsidR="00205B90">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205B90" w:rsidRDefault="00205B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205B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205B90">
            <w:pPr>
              <w:widowControl/>
              <w:jc w:val="center"/>
              <w:textAlignment w:val="center"/>
              <w:rPr>
                <w:rFonts w:ascii="宋体" w:hAnsi="宋体" w:cs="宋体"/>
                <w:color w:val="000000"/>
                <w:sz w:val="24"/>
              </w:rPr>
            </w:pPr>
          </w:p>
        </w:tc>
      </w:tr>
      <w:tr w:rsidR="00205B90">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205B90" w:rsidRDefault="00205B9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30.73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jc w:val="center"/>
              <w:rPr>
                <w:rFonts w:ascii="宋体" w:hAnsi="宋体" w:cs="宋体"/>
                <w:color w:val="000000"/>
                <w:sz w:val="24"/>
              </w:rPr>
            </w:pPr>
            <w:r>
              <w:rPr>
                <w:rFonts w:ascii="宋体" w:hAnsi="宋体" w:cs="宋体" w:hint="eastAsia"/>
                <w:color w:val="000000"/>
                <w:sz w:val="24"/>
              </w:rPr>
              <w:t>30.73</w:t>
            </w:r>
          </w:p>
        </w:tc>
      </w:tr>
      <w:tr w:rsidR="00205B9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205B90">
        <w:trPr>
          <w:trHeight w:val="1519"/>
        </w:trPr>
        <w:tc>
          <w:tcPr>
            <w:tcW w:w="390" w:type="dxa"/>
            <w:vMerge/>
            <w:tcBorders>
              <w:top w:val="single" w:sz="4" w:space="0" w:color="000000"/>
              <w:left w:val="single" w:sz="4" w:space="0" w:color="000000"/>
              <w:bottom w:val="single" w:sz="4" w:space="0" w:color="000000"/>
              <w:right w:val="single" w:sz="4" w:space="0" w:color="000000"/>
            </w:tcBorders>
            <w:vAlign w:val="center"/>
          </w:tcPr>
          <w:p w:rsidR="00205B90" w:rsidRDefault="00205B90">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autoSpaceDN w:val="0"/>
              <w:spacing w:line="320" w:lineRule="exact"/>
              <w:jc w:val="left"/>
              <w:textAlignment w:val="center"/>
              <w:rPr>
                <w:rFonts w:ascii="宋体" w:hAnsi="宋体" w:cs="宋体"/>
                <w:color w:val="000000"/>
                <w:sz w:val="24"/>
              </w:rPr>
            </w:pPr>
            <w:r>
              <w:rPr>
                <w:rFonts w:ascii="仿宋_GB2312" w:eastAsia="仿宋_GB2312" w:hAnsi="仿宋_GB2312" w:cs="仿宋_GB2312" w:hint="eastAsia"/>
                <w:color w:val="000000"/>
                <w:sz w:val="24"/>
              </w:rPr>
              <w:t>青年劳动者技能培训239人，创业培训50人。</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autoSpaceDN w:val="0"/>
              <w:spacing w:line="320" w:lineRule="exact"/>
              <w:jc w:val="left"/>
              <w:textAlignment w:val="center"/>
              <w:rPr>
                <w:rFonts w:ascii="宋体" w:hAnsi="宋体" w:cs="宋体"/>
                <w:color w:val="000000"/>
                <w:sz w:val="24"/>
              </w:rPr>
            </w:pPr>
            <w:r>
              <w:rPr>
                <w:rFonts w:ascii="仿宋_GB2312" w:eastAsia="仿宋_GB2312" w:hAnsi="仿宋_GB2312" w:cs="仿宋_GB2312" w:hint="eastAsia"/>
                <w:color w:val="000000"/>
                <w:sz w:val="24"/>
              </w:rPr>
              <w:t>青年劳动者技能培训1127人，创业培训90人。</w:t>
            </w:r>
          </w:p>
        </w:tc>
      </w:tr>
      <w:tr w:rsidR="00205B90">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实际完成指标值(包含数字及文字描述)</w:t>
            </w:r>
          </w:p>
        </w:tc>
      </w:tr>
      <w:tr w:rsidR="00205B90">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205B90" w:rsidRDefault="00205B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205B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205B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spacing w:line="360" w:lineRule="exact"/>
              <w:jc w:val="left"/>
              <w:rPr>
                <w:rFonts w:ascii="宋体" w:hAnsi="宋体" w:cs="宋体"/>
                <w:color w:val="000000"/>
                <w:sz w:val="24"/>
              </w:rPr>
            </w:pPr>
            <w:r>
              <w:rPr>
                <w:rFonts w:ascii="仿宋_GB2312" w:eastAsia="仿宋_GB2312" w:hAnsi="仿宋_GB2312" w:cs="仿宋_GB2312" w:hint="eastAsia"/>
                <w:color w:val="000000"/>
                <w:sz w:val="24"/>
              </w:rPr>
              <w:t>青年劳动者技能培训239人，创业培训50人。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left"/>
              <w:textAlignment w:val="center"/>
              <w:rPr>
                <w:rFonts w:ascii="宋体" w:hAnsi="宋体" w:cs="宋体"/>
                <w:color w:val="000000"/>
                <w:sz w:val="24"/>
              </w:rPr>
            </w:pPr>
            <w:r>
              <w:rPr>
                <w:rFonts w:ascii="仿宋_GB2312" w:eastAsia="仿宋_GB2312" w:hAnsi="仿宋_GB2312" w:cs="仿宋_GB2312" w:hint="eastAsia"/>
                <w:color w:val="000000"/>
                <w:sz w:val="24"/>
              </w:rPr>
              <w:t>青年劳动者技能培训1127人，创业培训90人。</w:t>
            </w:r>
          </w:p>
        </w:tc>
      </w:tr>
      <w:tr w:rsidR="00205B9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205B90" w:rsidRDefault="00205B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205B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205B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spacing w:line="360" w:lineRule="exact"/>
              <w:jc w:val="left"/>
              <w:rPr>
                <w:rFonts w:ascii="宋体" w:hAnsi="宋体" w:cs="宋体"/>
                <w:color w:val="000000"/>
                <w:sz w:val="24"/>
              </w:rPr>
            </w:pPr>
            <w:r>
              <w:rPr>
                <w:rFonts w:ascii="仿宋" w:eastAsia="仿宋" w:hAnsi="仿宋" w:cs="仿宋" w:hint="eastAsia"/>
                <w:bCs/>
                <w:sz w:val="24"/>
              </w:rPr>
              <w:t>搭建平台，助推转移就业，促进就业创业政策落实，服务灾后重建，引导就近就业增收。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left"/>
              <w:textAlignment w:val="center"/>
              <w:rPr>
                <w:rFonts w:ascii="宋体" w:hAnsi="宋体" w:cs="宋体"/>
                <w:color w:val="000000"/>
                <w:sz w:val="24"/>
              </w:rPr>
            </w:pPr>
            <w:r>
              <w:rPr>
                <w:rFonts w:ascii="仿宋_GB2312" w:eastAsia="仿宋_GB2312" w:hAnsi="仿宋_GB2312" w:cs="仿宋_GB2312" w:hint="eastAsia"/>
                <w:color w:val="000000"/>
                <w:sz w:val="24"/>
              </w:rPr>
              <w:t>青年劳动者技能培训1127人，创业培训90人。</w:t>
            </w:r>
          </w:p>
        </w:tc>
      </w:tr>
      <w:tr w:rsidR="00205B90">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205B90" w:rsidRDefault="00205B9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205B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205B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left"/>
              <w:textAlignment w:val="center"/>
              <w:rPr>
                <w:rFonts w:ascii="宋体" w:eastAsia="仿宋" w:hAnsi="宋体" w:cs="宋体"/>
                <w:color w:val="000000"/>
                <w:sz w:val="24"/>
              </w:rPr>
            </w:pPr>
            <w:r>
              <w:rPr>
                <w:rFonts w:ascii="宋体" w:eastAsia="仿宋" w:hAnsi="宋体" w:cs="宋体" w:hint="eastAsia"/>
                <w:color w:val="000000"/>
                <w:sz w:val="24"/>
              </w:rPr>
              <w:t>做实农村劳动力实名制登记数据库统计数据，实行动态管理。按月更新贫困劳动力基础信息、就业培训、转移就业、自主创业、公益性岗位安置“五个名单”。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05B90" w:rsidRDefault="00D70603">
            <w:pPr>
              <w:widowControl/>
              <w:jc w:val="left"/>
              <w:textAlignment w:val="center"/>
              <w:rPr>
                <w:rFonts w:ascii="宋体" w:hAnsi="宋体" w:cs="宋体"/>
                <w:color w:val="000000"/>
                <w:sz w:val="24"/>
              </w:rPr>
            </w:pPr>
            <w:r>
              <w:rPr>
                <w:rFonts w:ascii="仿宋" w:eastAsia="仿宋" w:hAnsi="仿宋" w:cs="仿宋" w:hint="eastAsia"/>
                <w:color w:val="000000"/>
                <w:sz w:val="24"/>
              </w:rPr>
              <w:t>成功举办“春风送岗”专场招聘会和开展“送岗下乡”等活动31场次，提供60余个工种，17378个岗位，达成就业意向3000余人，实现就业1075人。</w:t>
            </w:r>
          </w:p>
        </w:tc>
      </w:tr>
    </w:tbl>
    <w:p w:rsidR="00205B90" w:rsidRDefault="00205B90">
      <w:pPr>
        <w:rPr>
          <w:rFonts w:ascii="Calibri" w:hAnsi="Calibri"/>
        </w:rPr>
      </w:pPr>
    </w:p>
    <w:p w:rsidR="00205B90" w:rsidRDefault="00205B90">
      <w:pPr>
        <w:spacing w:line="580" w:lineRule="exact"/>
        <w:rPr>
          <w:rFonts w:ascii="仿宋_GB2312" w:eastAsia="仿宋_GB2312" w:hAnsi="仿宋_GB2312" w:cs="仿宋_GB2312"/>
          <w:sz w:val="32"/>
          <w:szCs w:val="32"/>
        </w:rPr>
      </w:pPr>
    </w:p>
    <w:p w:rsidR="00205B90" w:rsidRDefault="00D70603">
      <w:pPr>
        <w:numPr>
          <w:ilvl w:val="0"/>
          <w:numId w:val="4"/>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205B90" w:rsidRDefault="00D7060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本部门按要求对2018年部门整体支出绩效评价情况开</w:t>
      </w:r>
      <w:r>
        <w:rPr>
          <w:rFonts w:ascii="仿宋_GB2312" w:eastAsia="仿宋_GB2312" w:hAnsi="仿宋_GB2312" w:cs="仿宋_GB2312" w:hint="eastAsia"/>
          <w:sz w:val="32"/>
          <w:szCs w:val="32"/>
        </w:rPr>
        <w:lastRenderedPageBreak/>
        <w:t>展自评，《九寨沟县公共就业和人才交流服务局2018年部门整体支出绩效评价报告》见附件。</w:t>
      </w:r>
    </w:p>
    <w:p w:rsidR="00205B90" w:rsidRDefault="00D7060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本部门自行组织对培训项目《培训项目2018年绩效评价报告》见附件。（非涉密部门均需公开部门整体支出评价报告，部门自行组织的绩效评价情况根据部门实际公开）</w:t>
      </w:r>
    </w:p>
    <w:p w:rsidR="00205B90" w:rsidRDefault="00D70603">
      <w:pPr>
        <w:spacing w:line="580" w:lineRule="exact"/>
        <w:ind w:firstLineChars="200" w:firstLine="640"/>
        <w:rPr>
          <w:rFonts w:ascii="仿宋_GB2312" w:eastAsia="仿宋_GB2312" w:hAnsi="仿宋_GB2312" w:cs="仿宋_GB2312"/>
          <w:sz w:val="32"/>
          <w:szCs w:val="32"/>
        </w:rPr>
      </w:pPr>
      <w:r>
        <w:rPr>
          <w:rFonts w:ascii="仿宋" w:eastAsia="仿宋" w:hAnsi="仿宋" w:cs="仿宋" w:hint="eastAsia"/>
          <w:color w:val="000000"/>
          <w:sz w:val="32"/>
          <w:szCs w:val="32"/>
        </w:rPr>
        <w:t>已建立劳动力资源统计网络，全面、准确掌握劳动力资源的状况；就业前培训和下岗失业人员转岗培训和职业指导工作；全县的劳动力市场建设管理工作，监督指导非劳动力部门及个人兴办的职业介绍机构业务工作</w:t>
      </w:r>
      <w:r>
        <w:rPr>
          <w:rFonts w:ascii="仿宋_GB2312" w:eastAsia="仿宋_GB2312" w:hAnsi="仿宋_GB2312" w:cs="仿宋_GB2312" w:hint="eastAsia"/>
          <w:sz w:val="32"/>
          <w:szCs w:val="32"/>
        </w:rPr>
        <w:t>。</w:t>
      </w:r>
    </w:p>
    <w:p w:rsidR="00205B90" w:rsidRDefault="00D70603">
      <w:pPr>
        <w:spacing w:line="600" w:lineRule="exact"/>
        <w:ind w:firstLineChars="250" w:firstLine="800"/>
        <w:outlineLvl w:val="1"/>
        <w:rPr>
          <w:rStyle w:val="2Char"/>
          <w:rFonts w:ascii="黑体" w:eastAsia="黑体" w:hAnsi="黑体"/>
        </w:rPr>
      </w:pPr>
      <w:bookmarkStart w:id="50" w:name="_Toc15377221"/>
      <w:bookmarkStart w:id="51"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0"/>
      <w:bookmarkEnd w:id="51"/>
    </w:p>
    <w:p w:rsidR="00205B90" w:rsidRDefault="00D70603">
      <w:pPr>
        <w:spacing w:line="600" w:lineRule="exact"/>
        <w:ind w:firstLineChars="200" w:firstLine="643"/>
        <w:outlineLvl w:val="2"/>
        <w:rPr>
          <w:rFonts w:ascii="仿宋" w:eastAsia="仿宋" w:hAnsi="仿宋"/>
          <w:color w:val="000000"/>
          <w:sz w:val="32"/>
          <w:szCs w:val="32"/>
        </w:rPr>
      </w:pPr>
      <w:bookmarkStart w:id="52" w:name="_Toc15377222"/>
      <w:r>
        <w:rPr>
          <w:rFonts w:ascii="仿宋" w:eastAsia="仿宋" w:hAnsi="仿宋" w:hint="eastAsia"/>
          <w:b/>
          <w:color w:val="000000"/>
          <w:sz w:val="32"/>
          <w:szCs w:val="32"/>
        </w:rPr>
        <w:t>（一）机关运行经费支出情况</w:t>
      </w:r>
      <w:bookmarkEnd w:id="52"/>
    </w:p>
    <w:p w:rsidR="00205B90" w:rsidRDefault="00D70603">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2018年度，就业局机关运行经费支出85.13万元，比2017年增加57.02万元，增加66.98%。</w:t>
      </w:r>
    </w:p>
    <w:p w:rsidR="00205B90" w:rsidRDefault="00D7060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3" w:name="_Toc15377223"/>
      <w:r>
        <w:rPr>
          <w:rFonts w:ascii="仿宋" w:eastAsia="仿宋" w:hAnsi="仿宋" w:hint="eastAsia"/>
          <w:b/>
          <w:color w:val="000000"/>
          <w:sz w:val="32"/>
          <w:szCs w:val="32"/>
        </w:rPr>
        <w:t>（二）政府采购支出情况</w:t>
      </w:r>
      <w:bookmarkEnd w:id="53"/>
    </w:p>
    <w:p w:rsidR="00205B90" w:rsidRDefault="00D70603">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8年，政府采购支出总额0万元。</w:t>
      </w:r>
    </w:p>
    <w:p w:rsidR="00205B90" w:rsidRDefault="00D7060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4"/>
      <w:r>
        <w:rPr>
          <w:rFonts w:ascii="仿宋" w:eastAsia="仿宋" w:hAnsi="仿宋" w:hint="eastAsia"/>
          <w:b/>
          <w:color w:val="000000"/>
          <w:sz w:val="32"/>
          <w:szCs w:val="32"/>
        </w:rPr>
        <w:t>（三）国有资产占有使用情况</w:t>
      </w:r>
      <w:bookmarkEnd w:id="54"/>
    </w:p>
    <w:p w:rsidR="00205B90" w:rsidRDefault="00D70603">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日，就业局共有车辆1辆，其中：部级领导干部用车0辆、一般公务用车1辆、一般执法执勤用车0辆、特种专业技术用车0辆、其他用车0辆，。</w:t>
      </w:r>
    </w:p>
    <w:p w:rsidR="00205B90" w:rsidRDefault="00D70603">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205B90" w:rsidRDefault="00D70603">
      <w:pPr>
        <w:numPr>
          <w:ilvl w:val="0"/>
          <w:numId w:val="5"/>
        </w:numPr>
        <w:spacing w:line="600" w:lineRule="exact"/>
        <w:ind w:firstLineChars="150" w:firstLine="663"/>
        <w:jc w:val="center"/>
        <w:outlineLvl w:val="0"/>
        <w:rPr>
          <w:rStyle w:val="1Char"/>
          <w:rFonts w:ascii="黑体" w:eastAsia="黑体" w:hAnsi="黑体"/>
          <w:b w:val="0"/>
        </w:rPr>
      </w:pPr>
      <w:bookmarkStart w:id="55" w:name="_Toc15377225"/>
      <w:bookmarkStart w:id="56"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5"/>
      <w:bookmarkEnd w:id="56"/>
    </w:p>
    <w:p w:rsidR="00205B90" w:rsidRDefault="00205B90">
      <w:pPr>
        <w:spacing w:line="600" w:lineRule="exact"/>
        <w:jc w:val="left"/>
        <w:rPr>
          <w:rFonts w:ascii="宋体"/>
          <w:b/>
          <w:color w:val="000000"/>
          <w:sz w:val="44"/>
          <w:szCs w:val="44"/>
        </w:rPr>
      </w:pPr>
    </w:p>
    <w:p w:rsidR="00205B90" w:rsidRDefault="00D70603">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205B90" w:rsidRDefault="00D7060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其他收入：指单位取得的除上述收入以外的各项收入。主要是上年结余等。</w:t>
      </w:r>
      <w:r>
        <w:rPr>
          <w:rFonts w:ascii="仿宋_GB2312" w:eastAsia="仿宋_GB2312"/>
          <w:sz w:val="32"/>
          <w:szCs w:val="32"/>
        </w:rPr>
        <w:t xml:space="preserve">  </w:t>
      </w:r>
    </w:p>
    <w:p w:rsidR="00205B90" w:rsidRDefault="00D7060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205B90" w:rsidRDefault="00D7060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4.年末结转和结余：指单位按有关规定结转到下年或以后年度继续使用的资金。</w:t>
      </w:r>
    </w:p>
    <w:p w:rsidR="00205B90" w:rsidRDefault="00D70603">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t>5.社会保障和就业2080109：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rsidR="00205B90" w:rsidRDefault="00D70603">
      <w:pPr>
        <w:ind w:firstLineChars="200" w:firstLine="640"/>
        <w:rPr>
          <w:rFonts w:ascii="仿宋_GB2312" w:eastAsia="仿宋_GB2312"/>
          <w:color w:val="000000"/>
          <w:sz w:val="32"/>
          <w:szCs w:val="32"/>
        </w:rPr>
      </w:pPr>
      <w:r>
        <w:rPr>
          <w:rFonts w:ascii="仿宋_GB2312" w:eastAsia="仿宋_GB2312" w:hint="eastAsia"/>
          <w:color w:val="000000"/>
          <w:sz w:val="32"/>
          <w:szCs w:val="32"/>
        </w:rPr>
        <w:t>6.医疗卫生与计划生育2100501:指职工的医疗保险。</w:t>
      </w:r>
    </w:p>
    <w:p w:rsidR="00205B90" w:rsidRDefault="00D70603">
      <w:pPr>
        <w:ind w:firstLineChars="200" w:firstLine="640"/>
        <w:rPr>
          <w:rFonts w:ascii="仿宋_GB2312" w:eastAsia="仿宋_GB2312"/>
          <w:color w:val="000000"/>
          <w:sz w:val="32"/>
          <w:szCs w:val="32"/>
        </w:rPr>
      </w:pPr>
      <w:r>
        <w:rPr>
          <w:rFonts w:ascii="仿宋_GB2312" w:eastAsia="仿宋_GB2312" w:hint="eastAsia"/>
          <w:color w:val="000000"/>
          <w:sz w:val="32"/>
          <w:szCs w:val="32"/>
        </w:rPr>
        <w:t>7.机关事业单位基本养老保险缴费2080505：本局在职职工机关事业养老保险费用支出。</w:t>
      </w:r>
    </w:p>
    <w:p w:rsidR="00205B90" w:rsidRDefault="00D70603">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lastRenderedPageBreak/>
        <w:t>8.其他人力资源和社会保障管理事务支出2080199：指用于人力资源和社会保障管理事务方面的支出。</w:t>
      </w:r>
    </w:p>
    <w:p w:rsidR="00205B90" w:rsidRDefault="00D70603">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9.其他就业补助支出2080799：指经省级政府同意的其他用于促进就业的补助支出。</w:t>
      </w:r>
      <w:r>
        <w:rPr>
          <w:rFonts w:ascii="仿宋_GB2312" w:eastAsia="仿宋_GB2312" w:hint="eastAsia"/>
          <w:color w:val="000000"/>
          <w:sz w:val="32"/>
          <w:szCs w:val="32"/>
        </w:rPr>
        <w:tab/>
      </w:r>
    </w:p>
    <w:p w:rsidR="00205B90" w:rsidRDefault="00D70603">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住房保障支出2210201：指职工的住房公积金。</w:t>
      </w:r>
    </w:p>
    <w:p w:rsidR="00205B90" w:rsidRDefault="00D70603">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205B90" w:rsidRDefault="00D70603">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205B90" w:rsidRDefault="00D7060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13</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205B90" w:rsidRDefault="00D70603">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14</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05B90" w:rsidRDefault="00205B90">
      <w:pPr>
        <w:ind w:firstLineChars="200" w:firstLine="643"/>
        <w:rPr>
          <w:rFonts w:ascii="仿宋" w:eastAsia="仿宋" w:hAnsi="仿宋"/>
          <w:b/>
          <w:color w:val="000000"/>
          <w:sz w:val="32"/>
          <w:szCs w:val="32"/>
        </w:rPr>
      </w:pPr>
    </w:p>
    <w:p w:rsidR="00205B90" w:rsidRDefault="00D70603">
      <w:pPr>
        <w:spacing w:line="600" w:lineRule="exact"/>
        <w:jc w:val="center"/>
        <w:outlineLvl w:val="0"/>
        <w:rPr>
          <w:rStyle w:val="1Char"/>
          <w:rFonts w:ascii="黑体" w:eastAsia="黑体" w:hAnsi="黑体"/>
          <w:b w:val="0"/>
        </w:rPr>
      </w:pPr>
      <w:bookmarkStart w:id="57" w:name="_Toc15396614"/>
      <w:bookmarkStart w:id="58" w:name="_Toc15377226"/>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7"/>
    </w:p>
    <w:p w:rsidR="00205B90" w:rsidRDefault="00205B90">
      <w:pPr>
        <w:spacing w:line="600" w:lineRule="exact"/>
        <w:jc w:val="center"/>
        <w:outlineLvl w:val="0"/>
        <w:rPr>
          <w:rStyle w:val="1Char"/>
        </w:rPr>
      </w:pPr>
    </w:p>
    <w:p w:rsidR="00205B90" w:rsidRDefault="00D70603">
      <w:pPr>
        <w:pStyle w:val="2"/>
        <w:rPr>
          <w:rStyle w:val="1Char"/>
          <w:rFonts w:ascii="仿宋" w:eastAsia="仿宋" w:hAnsi="仿宋"/>
          <w:sz w:val="32"/>
          <w:szCs w:val="32"/>
        </w:rPr>
      </w:pPr>
      <w:bookmarkStart w:id="59" w:name="_Toc15396615"/>
      <w:r>
        <w:rPr>
          <w:rStyle w:val="1Char"/>
          <w:rFonts w:ascii="仿宋" w:eastAsia="仿宋" w:hAnsi="仿宋" w:hint="eastAsia"/>
          <w:sz w:val="32"/>
          <w:szCs w:val="32"/>
        </w:rPr>
        <w:t>附件1</w:t>
      </w:r>
      <w:bookmarkEnd w:id="59"/>
    </w:p>
    <w:p w:rsidR="00205B90" w:rsidRDefault="00D70603">
      <w:pPr>
        <w:spacing w:line="600" w:lineRule="exact"/>
        <w:jc w:val="center"/>
        <w:outlineLvl w:val="0"/>
        <w:rPr>
          <w:rFonts w:ascii="黑体" w:eastAsia="黑体" w:hAnsi="黑体" w:cs="方正小标宋简体"/>
          <w:sz w:val="36"/>
          <w:szCs w:val="36"/>
        </w:rPr>
      </w:pPr>
      <w:bookmarkStart w:id="60" w:name="_Toc15396616"/>
      <w:r>
        <w:rPr>
          <w:rFonts w:ascii="黑体" w:eastAsia="黑体" w:hAnsi="黑体" w:cs="方正小标宋简体" w:hint="eastAsia"/>
          <w:sz w:val="36"/>
          <w:szCs w:val="36"/>
        </w:rPr>
        <w:t>就业局2018年部门整体支出绩效评价报告</w:t>
      </w:r>
      <w:bookmarkEnd w:id="60"/>
    </w:p>
    <w:p w:rsidR="00205B90" w:rsidRDefault="00205B90">
      <w:pPr>
        <w:spacing w:line="580" w:lineRule="exact"/>
        <w:ind w:firstLineChars="200" w:firstLine="640"/>
        <w:rPr>
          <w:rFonts w:ascii="黑体" w:eastAsia="黑体" w:hAnsi="黑体" w:cs="黑体"/>
          <w:sz w:val="32"/>
          <w:szCs w:val="32"/>
        </w:rPr>
      </w:pPr>
    </w:p>
    <w:p w:rsidR="00205B90" w:rsidRDefault="00D70603">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205B90" w:rsidRDefault="00D70603">
      <w:pPr>
        <w:spacing w:line="50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205B90" w:rsidRDefault="00D70603">
      <w:pPr>
        <w:spacing w:line="500" w:lineRule="exact"/>
        <w:ind w:firstLineChars="200" w:firstLine="640"/>
        <w:rPr>
          <w:rFonts w:ascii="仿宋" w:eastAsia="仿宋" w:hAnsi="仿宋" w:cs="仿宋_GB2312"/>
          <w:sz w:val="32"/>
          <w:szCs w:val="32"/>
        </w:rPr>
      </w:pPr>
      <w:r>
        <w:rPr>
          <w:rFonts w:ascii="仿宋_GB2312" w:eastAsia="仿宋_GB2312" w:hAnsi="宋体" w:cs="宋体" w:hint="eastAsia"/>
          <w:color w:val="000000"/>
          <w:kern w:val="0"/>
          <w:sz w:val="32"/>
          <w:lang w:val="zh-CN"/>
        </w:rPr>
        <w:t>6个内设机构：办公室（含人才交流中心办）、失业保险股、就业训练股 、 职业指导股（含人才交流股）、农村劳动力开发股、人事代理股。</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（二）机构职能。</w:t>
      </w:r>
    </w:p>
    <w:p w:rsidR="00205B90" w:rsidRDefault="00D70603">
      <w:pPr>
        <w:widowControl/>
        <w:adjustRightInd w:val="0"/>
        <w:snapToGrid w:val="0"/>
        <w:spacing w:line="560" w:lineRule="exact"/>
        <w:ind w:firstLineChars="200" w:firstLine="64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1、贯彻落实国家促进就业的方针、政策和有关法律法规；分析、了解、掌握全县就业失业的基本状况，建立健全就业失业监控管理体系，控制失业率，维护就业局势基本稳定。</w:t>
      </w:r>
    </w:p>
    <w:p w:rsidR="00205B90" w:rsidRDefault="00D70603">
      <w:pPr>
        <w:widowControl/>
        <w:adjustRightInd w:val="0"/>
        <w:snapToGrid w:val="0"/>
        <w:spacing w:line="560" w:lineRule="exact"/>
        <w:ind w:firstLineChars="200" w:firstLine="64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2、协助县人力资源和社会保障局拟定公共就业服务发展规划和政策措施并具体实施。负责落实就业再就业年度工作计划。</w:t>
      </w:r>
    </w:p>
    <w:p w:rsidR="00205B90" w:rsidRDefault="00D70603">
      <w:pPr>
        <w:widowControl/>
        <w:adjustRightInd w:val="0"/>
        <w:snapToGrid w:val="0"/>
        <w:spacing w:line="560" w:lineRule="exact"/>
        <w:ind w:firstLineChars="200" w:firstLine="64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3、负责组织开展各类公共就业服务专项行动，认真落实各类积极就业政策，做好就业再就业援助工作。</w:t>
      </w:r>
    </w:p>
    <w:p w:rsidR="00205B90" w:rsidRDefault="00D70603">
      <w:pPr>
        <w:widowControl/>
        <w:adjustRightInd w:val="0"/>
        <w:snapToGrid w:val="0"/>
        <w:spacing w:line="560" w:lineRule="exact"/>
        <w:ind w:firstLineChars="200" w:firstLine="64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4、承担劳动力就业能力建设工作责任。负责全县就业训练、就业再就业培训管理，组织指导开展下岗失业人员就业再就业和农民工岗前就业培训，提升人力资源能力。</w:t>
      </w:r>
    </w:p>
    <w:p w:rsidR="00205B90" w:rsidRDefault="00D70603">
      <w:pPr>
        <w:widowControl/>
        <w:adjustRightInd w:val="0"/>
        <w:snapToGrid w:val="0"/>
        <w:spacing w:line="560" w:lineRule="exact"/>
        <w:ind w:firstLineChars="200" w:firstLine="64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lastRenderedPageBreak/>
        <w:t>5、承担城乡劳动力创业促就业指导服务工作责任。负责全县再就业小额担保贷款工作，开展创业培训、创业指导、政策咨询、开业后续支持服务，引导全民创业。</w:t>
      </w:r>
    </w:p>
    <w:p w:rsidR="00205B90" w:rsidRDefault="00D70603">
      <w:pPr>
        <w:widowControl/>
        <w:adjustRightInd w:val="0"/>
        <w:snapToGrid w:val="0"/>
        <w:spacing w:line="560" w:lineRule="exact"/>
        <w:ind w:firstLineChars="200" w:firstLine="64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6、承担全县失业保险工作责任。负责组织实施全县失业保险目标计划，负责失业保险基金内控制度和失业保险与就业指导互动建设，负责失业保险经办的业务管理、失业动态监测、指导 “破产、兼并、解散、关闭”企业失业保险工作。</w:t>
      </w:r>
    </w:p>
    <w:p w:rsidR="00205B90" w:rsidRDefault="00D70603">
      <w:pPr>
        <w:widowControl/>
        <w:adjustRightInd w:val="0"/>
        <w:snapToGrid w:val="0"/>
        <w:spacing w:line="560" w:lineRule="exact"/>
        <w:ind w:left="720"/>
        <w:jc w:val="left"/>
        <w:rPr>
          <w:rFonts w:ascii="仿宋" w:eastAsia="仿宋" w:hAnsi="仿宋" w:cs="仿宋_GB2312"/>
          <w:sz w:val="32"/>
          <w:szCs w:val="32"/>
        </w:rPr>
      </w:pPr>
      <w:r>
        <w:rPr>
          <w:rFonts w:ascii="仿宋_GB2312" w:eastAsia="仿宋_GB2312" w:hAnsi="宋体" w:cs="宋体" w:hint="eastAsia"/>
          <w:color w:val="000000"/>
          <w:kern w:val="0"/>
          <w:sz w:val="32"/>
          <w:lang w:val="zh-CN"/>
        </w:rPr>
        <w:t>7、负责办理《就业失业证》等工作。</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（三）人员概况。</w:t>
      </w:r>
    </w:p>
    <w:p w:rsidR="00205B90" w:rsidRDefault="00D70603">
      <w:pPr>
        <w:spacing w:line="580" w:lineRule="exact"/>
        <w:ind w:firstLineChars="200" w:firstLine="640"/>
        <w:rPr>
          <w:rFonts w:ascii="仿宋" w:eastAsia="仿宋" w:hAnsi="仿宋" w:cs="仿宋_GB2312"/>
          <w:sz w:val="32"/>
          <w:szCs w:val="32"/>
        </w:rPr>
      </w:pPr>
      <w:r>
        <w:rPr>
          <w:rFonts w:ascii="仿宋_GB2312" w:eastAsia="仿宋_GB2312" w:hAnsi="宋体" w:cs="宋体" w:hint="eastAsia"/>
          <w:color w:val="000000"/>
          <w:kern w:val="0"/>
          <w:sz w:val="32"/>
          <w:lang w:val="zh-CN"/>
        </w:rPr>
        <w:t>核定编制人数</w:t>
      </w:r>
      <w:r>
        <w:rPr>
          <w:rFonts w:ascii="仿宋_GB2312" w:eastAsia="仿宋_GB2312" w:hAnsi="宋体" w:cs="宋体" w:hint="eastAsia"/>
          <w:color w:val="000000"/>
          <w:kern w:val="0"/>
          <w:sz w:val="32"/>
        </w:rPr>
        <w:t>14人，2017年</w:t>
      </w:r>
      <w:r>
        <w:rPr>
          <w:rFonts w:ascii="仿宋_GB2312" w:eastAsia="仿宋_GB2312" w:hAnsi="宋体" w:cs="宋体" w:hint="eastAsia"/>
          <w:color w:val="000000"/>
          <w:kern w:val="0"/>
          <w:sz w:val="32"/>
          <w:lang w:val="zh-CN"/>
        </w:rPr>
        <w:t>有工作人员</w:t>
      </w:r>
      <w:r>
        <w:rPr>
          <w:rFonts w:ascii="仿宋_GB2312" w:eastAsia="仿宋_GB2312" w:hAnsi="宋体" w:cs="宋体" w:hint="eastAsia"/>
          <w:color w:val="000000"/>
          <w:kern w:val="0"/>
          <w:sz w:val="32"/>
        </w:rPr>
        <w:t>12人（参公人员10人，工勤2人），退休人员4人。</w:t>
      </w:r>
    </w:p>
    <w:p w:rsidR="00205B90" w:rsidRDefault="00D70603">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205B90" w:rsidRDefault="00D70603">
      <w:pPr>
        <w:spacing w:line="60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2018年就业局本年收入合计297.83万元，。其中：一般公共预算财政拨款收入287.63万元。</w:t>
      </w:r>
    </w:p>
    <w:p w:rsidR="00205B90" w:rsidRDefault="00D70603">
      <w:pPr>
        <w:numPr>
          <w:ilvl w:val="0"/>
          <w:numId w:val="6"/>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部门财政资金支出情况。</w:t>
      </w:r>
    </w:p>
    <w:p w:rsidR="00205B90" w:rsidRDefault="00D70603">
      <w:pPr>
        <w:spacing w:line="600" w:lineRule="exact"/>
        <w:ind w:firstLineChars="200" w:firstLine="640"/>
        <w:rPr>
          <w:rFonts w:ascii="仿宋" w:eastAsia="仿宋" w:hAnsi="仿宋" w:cs="仿宋_GB2312"/>
          <w:sz w:val="32"/>
          <w:szCs w:val="32"/>
        </w:rPr>
      </w:pPr>
      <w:r>
        <w:rPr>
          <w:rFonts w:ascii="仿宋_GB2312" w:eastAsia="仿宋_GB2312" w:hAnsi="仿宋_GB2312" w:cs="仿宋_GB2312" w:hint="eastAsia"/>
          <w:color w:val="000000"/>
          <w:sz w:val="32"/>
          <w:szCs w:val="32"/>
        </w:rPr>
        <w:t>2018年就业局本年支出合计297.83万元。其中：基本支出267.10万元。</w:t>
      </w:r>
    </w:p>
    <w:p w:rsidR="00205B90" w:rsidRDefault="00D70603">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包括部门绩效目标制定、目标完成、预算编制准确、支出控制、预算动态调整、执行进度、预算完成情况和违规记</w:t>
      </w:r>
      <w:r>
        <w:rPr>
          <w:rFonts w:ascii="仿宋" w:eastAsia="仿宋" w:hAnsi="仿宋" w:cs="仿宋_GB2312"/>
          <w:sz w:val="32"/>
          <w:szCs w:val="32"/>
        </w:rPr>
        <w:lastRenderedPageBreak/>
        <w:t>录等情况。</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包括专项预算项目程序严密、规划合理、结果符合、分配科学、分配及时、专项预算绩效目标完成、实施绩效、违规记录等情况。</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包括部门自评质量、绩效目标公开和自评公开、评价结果整改和应用结果反馈等情况。</w:t>
      </w:r>
    </w:p>
    <w:p w:rsidR="00205B90" w:rsidRDefault="00D70603">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205B90" w:rsidRDefault="00D70603">
      <w:pPr>
        <w:spacing w:line="500" w:lineRule="exact"/>
        <w:ind w:firstLineChars="200" w:firstLine="560"/>
        <w:rPr>
          <w:rFonts w:ascii="仿宋" w:eastAsia="仿宋" w:hAnsi="仿宋" w:cs="仿宋_GB2312"/>
          <w:sz w:val="32"/>
          <w:szCs w:val="32"/>
        </w:rPr>
      </w:pPr>
      <w:r>
        <w:rPr>
          <w:rFonts w:ascii="仿宋" w:eastAsia="仿宋" w:hAnsi="仿宋" w:cs="仿宋" w:hint="eastAsia"/>
          <w:bCs/>
          <w:sz w:val="28"/>
          <w:szCs w:val="28"/>
        </w:rPr>
        <w:t>全县城镇新增就业人员617人，完成目标任务（560）的110%；城镇失业人员实现再就业71人，完成目标任务（60）的118%，就业困难人员实现就业22人，完成目标任务（20）的110 %；失业率控制在 3.8%内；开展青年劳动者技能培训1127人，完成目标任务（240）的469%；开展创业培训90人，完成目标任务（50）的180%；促进大学生实现创业28人，完成目标任务（7）的400%；开发公益性岗位3404个，完成目标任务（260）的131%；农村劳动力实名制数据入库数47386人，劳务转移输出1.69万人，完成目标任务（1.68）的101 %；实现劳务收入4.34亿元，完成目标任务（4.3）的101%；成功发放小额担保贷款60万元，完成目标任务（60）的100%。</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（二）存在问题。</w:t>
      </w:r>
    </w:p>
    <w:p w:rsidR="00205B90" w:rsidRDefault="00D70603">
      <w:pPr>
        <w:spacing w:line="500" w:lineRule="exact"/>
        <w:ind w:firstLineChars="200" w:firstLine="560"/>
        <w:rPr>
          <w:rFonts w:ascii="仿宋" w:eastAsia="仿宋" w:hAnsi="仿宋" w:cs="仿宋_GB2312"/>
          <w:sz w:val="32"/>
          <w:szCs w:val="32"/>
        </w:rPr>
      </w:pPr>
      <w:r>
        <w:rPr>
          <w:rFonts w:eastAsia="仿宋_GB2312"/>
          <w:bCs/>
          <w:sz w:val="28"/>
          <w:szCs w:val="28"/>
        </w:rPr>
        <w:t>一是在推进就业工作中，部分群众因离家太远，外出就业意愿不强；二是各乡镇对就业工作不够重视，对老百姓外出就业意愿、培训意愿摸底不精准，转移输出工作有一定困难；三是老百姓参与就业培训意识不强，积极性不高</w:t>
      </w:r>
      <w:r>
        <w:rPr>
          <w:rFonts w:eastAsia="仿宋_GB2312"/>
          <w:sz w:val="28"/>
          <w:szCs w:val="28"/>
        </w:rPr>
        <w:t>。</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（三）改进建议。</w:t>
      </w:r>
    </w:p>
    <w:p w:rsidR="00205B90" w:rsidRDefault="00D70603">
      <w:pPr>
        <w:spacing w:line="580" w:lineRule="exact"/>
        <w:ind w:firstLineChars="200" w:firstLine="560"/>
        <w:rPr>
          <w:rFonts w:ascii="仿宋_GB2312" w:eastAsia="仿宋_GB2312" w:hAnsi="仿宋_GB2312" w:cs="仿宋_GB2312"/>
          <w:sz w:val="32"/>
          <w:szCs w:val="32"/>
        </w:rPr>
      </w:pPr>
      <w:r>
        <w:rPr>
          <w:rFonts w:eastAsia="仿宋_GB2312"/>
          <w:sz w:val="28"/>
          <w:szCs w:val="28"/>
        </w:rPr>
        <w:t>加强引导，强化部门、乡镇、村（社区）联动。引导乡、村充分发挥组织协调管理作用，</w:t>
      </w:r>
      <w:r>
        <w:rPr>
          <w:rFonts w:eastAsia="仿宋"/>
          <w:sz w:val="28"/>
          <w:szCs w:val="28"/>
        </w:rPr>
        <w:t>各乡镇指定专人负责辖区内老百姓务工情况、就业情况、培训意愿等摸底，建立县、乡、村（社区）</w:t>
      </w:r>
      <w:r>
        <w:rPr>
          <w:rFonts w:eastAsia="仿宋_GB2312"/>
          <w:sz w:val="28"/>
          <w:szCs w:val="28"/>
        </w:rPr>
        <w:t>联络机制，</w:t>
      </w:r>
      <w:r>
        <w:rPr>
          <w:rFonts w:eastAsia="仿宋"/>
          <w:sz w:val="28"/>
          <w:szCs w:val="28"/>
        </w:rPr>
        <w:t>进一步督</w:t>
      </w:r>
      <w:r>
        <w:rPr>
          <w:rFonts w:eastAsia="仿宋_GB2312"/>
          <w:sz w:val="28"/>
          <w:szCs w:val="28"/>
        </w:rPr>
        <w:t>促各乡（镇）及时收集上报老百姓的就业、培训意愿及外出务工人员资料，同时动员老百姓积极参加培训及外出就业。</w:t>
      </w:r>
    </w:p>
    <w:p w:rsidR="00205B90" w:rsidRDefault="00D70603">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205B90" w:rsidRDefault="00D70603">
      <w:pPr>
        <w:pStyle w:val="2"/>
        <w:rPr>
          <w:rStyle w:val="1Char"/>
          <w:rFonts w:ascii="仿宋" w:eastAsia="仿宋" w:hAnsi="仿宋"/>
          <w:sz w:val="32"/>
          <w:szCs w:val="32"/>
        </w:rPr>
      </w:pPr>
      <w:bookmarkStart w:id="61" w:name="_Toc15396617"/>
      <w:r>
        <w:rPr>
          <w:rStyle w:val="1Char"/>
          <w:rFonts w:ascii="仿宋" w:eastAsia="仿宋" w:hAnsi="仿宋" w:hint="eastAsia"/>
          <w:sz w:val="32"/>
          <w:szCs w:val="32"/>
        </w:rPr>
        <w:lastRenderedPageBreak/>
        <w:t>附件2</w:t>
      </w:r>
      <w:bookmarkEnd w:id="61"/>
    </w:p>
    <w:p w:rsidR="00205B90" w:rsidRDefault="00D70603">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2018年培训项目支出绩效评价报告</w:t>
      </w:r>
    </w:p>
    <w:p w:rsidR="00205B90" w:rsidRDefault="00205B90">
      <w:pPr>
        <w:spacing w:line="580" w:lineRule="exact"/>
        <w:ind w:firstLineChars="200" w:firstLine="640"/>
        <w:rPr>
          <w:rFonts w:ascii="仿宋_GB2312" w:eastAsia="仿宋_GB2312" w:hAnsi="仿宋_GB2312" w:cs="仿宋_GB2312"/>
          <w:sz w:val="32"/>
          <w:szCs w:val="32"/>
        </w:rPr>
      </w:pP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项目评价实施方案情况（包括选点、评价指标、评价方法、基础数据表等情况）</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205B90" w:rsidRDefault="00D70603">
      <w:pPr>
        <w:spacing w:line="58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协调推进，促进劳务输出。创新就业模式，深化共建共管共赢。坚持把鼓励引导建设施工企业同等条件下优先使用本地农民工作为就业输出重点。</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rsidR="00205B90" w:rsidRDefault="00D70603">
      <w:pPr>
        <w:spacing w:line="580" w:lineRule="exact"/>
        <w:ind w:firstLineChars="200" w:firstLine="640"/>
        <w:rPr>
          <w:rFonts w:ascii="仿宋" w:eastAsia="仿宋" w:hAnsi="仿宋" w:cs="仿宋"/>
          <w:color w:val="000000"/>
          <w:sz w:val="28"/>
          <w:szCs w:val="28"/>
        </w:rPr>
      </w:pPr>
      <w:r>
        <w:rPr>
          <w:rFonts w:ascii="仿宋" w:eastAsia="仿宋" w:hAnsi="仿宋" w:cs="仿宋" w:hint="eastAsia"/>
          <w:color w:val="000000"/>
          <w:sz w:val="32"/>
          <w:szCs w:val="32"/>
        </w:rPr>
        <w:t>深入探索“政府组织+学校培训+企业用工”合作模式，与四川科华技工学校签订了《四川省深度贫困县就业扶贫攻坚技能培训“一帮一”对口承接合作协议》，围绕灾后重建、脱贫奔康目标任务，今年我局根据培训意愿开展各类技能培训。</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205B90" w:rsidRDefault="00D70603">
      <w:pPr>
        <w:spacing w:line="500" w:lineRule="exact"/>
        <w:ind w:firstLineChars="200" w:firstLine="640"/>
        <w:rPr>
          <w:rFonts w:ascii="仿宋" w:eastAsia="仿宋" w:hAnsi="仿宋" w:cs="仿宋_GB2312"/>
          <w:sz w:val="32"/>
          <w:szCs w:val="32"/>
        </w:rPr>
      </w:pPr>
      <w:r>
        <w:rPr>
          <w:rFonts w:ascii="仿宋" w:eastAsia="仿宋" w:hAnsi="仿宋" w:cs="仿宋" w:hint="eastAsia"/>
          <w:bCs/>
          <w:sz w:val="32"/>
          <w:szCs w:val="32"/>
        </w:rPr>
        <w:t>全县开展青年劳动者技能培训1127人，完成目标任务（240）的469%；开展创业培训90人，完成目标任务（50）的180%。</w:t>
      </w:r>
    </w:p>
    <w:p w:rsidR="00205B90" w:rsidRDefault="00D70603">
      <w:pPr>
        <w:numPr>
          <w:ilvl w:val="0"/>
          <w:numId w:val="1"/>
        </w:numPr>
        <w:spacing w:line="580" w:lineRule="exact"/>
        <w:rPr>
          <w:rFonts w:ascii="仿宋" w:eastAsia="仿宋" w:hAnsi="仿宋" w:cs="仿宋_GB2312"/>
          <w:sz w:val="32"/>
          <w:szCs w:val="32"/>
        </w:rPr>
      </w:pPr>
      <w:r>
        <w:rPr>
          <w:rFonts w:ascii="仿宋" w:eastAsia="仿宋" w:hAnsi="仿宋" w:cs="仿宋_GB2312"/>
          <w:sz w:val="32"/>
          <w:szCs w:val="32"/>
        </w:rPr>
        <w:lastRenderedPageBreak/>
        <w:t>存在主要问题</w:t>
      </w:r>
    </w:p>
    <w:p w:rsidR="00205B90" w:rsidRDefault="00D70603">
      <w:pPr>
        <w:spacing w:line="580" w:lineRule="exact"/>
        <w:ind w:firstLineChars="200" w:firstLine="640"/>
        <w:rPr>
          <w:rFonts w:ascii="仿宋" w:eastAsia="仿宋" w:hAnsi="仿宋" w:cs="仿宋_GB2312"/>
          <w:sz w:val="32"/>
          <w:szCs w:val="32"/>
        </w:rPr>
      </w:pPr>
      <w:r>
        <w:rPr>
          <w:rFonts w:eastAsia="仿宋_GB2312"/>
          <w:bCs/>
          <w:sz w:val="32"/>
          <w:szCs w:val="32"/>
        </w:rPr>
        <w:t>一是在推进就业工作中，部分群众因离家太远，外出就业意愿不强；二是各乡镇对就业工作不够重视，对老百姓外出就业意愿、培训意愿摸底不精准，转移输出工作有一定困难；三是老百姓参与就业培训意识不强，积极性不高</w:t>
      </w:r>
      <w:r>
        <w:rPr>
          <w:rFonts w:eastAsia="仿宋_GB2312"/>
          <w:sz w:val="32"/>
          <w:szCs w:val="32"/>
        </w:rPr>
        <w:t>。</w:t>
      </w:r>
    </w:p>
    <w:p w:rsidR="00205B90" w:rsidRDefault="00D70603">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w:t>
      </w:r>
      <w:r>
        <w:rPr>
          <w:rFonts w:ascii="仿宋" w:eastAsia="仿宋" w:hAnsi="仿宋" w:cs="仿宋_GB2312"/>
          <w:sz w:val="32"/>
          <w:szCs w:val="32"/>
        </w:rPr>
        <w:t>、相关措施建议</w:t>
      </w:r>
    </w:p>
    <w:p w:rsidR="00205B90" w:rsidRDefault="00D70603">
      <w:pPr>
        <w:spacing w:line="560" w:lineRule="exact"/>
        <w:ind w:firstLineChars="200" w:firstLine="640"/>
        <w:rPr>
          <w:rFonts w:eastAsia="仿宋_GB2312"/>
          <w:sz w:val="32"/>
          <w:szCs w:val="32"/>
        </w:rPr>
      </w:pPr>
      <w:r>
        <w:rPr>
          <w:rFonts w:eastAsia="仿宋_GB2312" w:hint="eastAsia"/>
          <w:sz w:val="32"/>
          <w:szCs w:val="32"/>
        </w:rPr>
        <w:t>加</w:t>
      </w:r>
      <w:r>
        <w:rPr>
          <w:rFonts w:eastAsia="仿宋_GB2312"/>
          <w:sz w:val="32"/>
          <w:szCs w:val="32"/>
        </w:rPr>
        <w:t>强引导，强化部门、乡镇、村（社区）联动。引导乡、村充分发挥组织协调管理作用，</w:t>
      </w:r>
      <w:r>
        <w:rPr>
          <w:rFonts w:eastAsia="仿宋"/>
          <w:sz w:val="32"/>
          <w:szCs w:val="32"/>
        </w:rPr>
        <w:t>各乡镇指定专人负责辖区内老百姓务工情况、就业情况、培训意愿等摸底，建立县、乡、村（社区）</w:t>
      </w:r>
      <w:r>
        <w:rPr>
          <w:rFonts w:eastAsia="仿宋_GB2312"/>
          <w:sz w:val="32"/>
          <w:szCs w:val="32"/>
        </w:rPr>
        <w:t>联络机制，</w:t>
      </w:r>
      <w:r>
        <w:rPr>
          <w:rFonts w:eastAsia="仿宋"/>
          <w:sz w:val="32"/>
          <w:szCs w:val="32"/>
        </w:rPr>
        <w:t>进一步督</w:t>
      </w:r>
      <w:r>
        <w:rPr>
          <w:rFonts w:eastAsia="仿宋_GB2312"/>
          <w:sz w:val="32"/>
          <w:szCs w:val="32"/>
        </w:rPr>
        <w:t>促各乡（镇）及时收集上报老百姓的就业、培训意愿及外出务工人员资料，同时动员老百姓积极参加培训及外出就业。</w:t>
      </w:r>
    </w:p>
    <w:p w:rsidR="00205B90" w:rsidRDefault="00205B90">
      <w:pPr>
        <w:spacing w:line="580" w:lineRule="exact"/>
        <w:ind w:firstLineChars="200" w:firstLine="640"/>
        <w:rPr>
          <w:rFonts w:ascii="仿宋" w:eastAsia="仿宋" w:hAnsi="仿宋" w:cs="仿宋_GB2312"/>
          <w:sz w:val="32"/>
          <w:szCs w:val="32"/>
        </w:rPr>
      </w:pPr>
    </w:p>
    <w:p w:rsidR="00205B90" w:rsidRDefault="00205B90">
      <w:pPr>
        <w:spacing w:line="580" w:lineRule="exact"/>
        <w:ind w:firstLineChars="200" w:firstLine="640"/>
        <w:rPr>
          <w:rFonts w:ascii="仿宋" w:eastAsia="仿宋" w:hAnsi="仿宋" w:cs="仿宋_GB2312"/>
          <w:sz w:val="32"/>
          <w:szCs w:val="32"/>
        </w:rPr>
      </w:pPr>
    </w:p>
    <w:p w:rsidR="00205B90" w:rsidRDefault="00205B90">
      <w:pPr>
        <w:spacing w:line="580" w:lineRule="exact"/>
        <w:ind w:firstLineChars="200" w:firstLine="640"/>
        <w:rPr>
          <w:rFonts w:ascii="仿宋" w:eastAsia="仿宋" w:hAnsi="仿宋" w:cs="仿宋_GB2312"/>
          <w:sz w:val="32"/>
          <w:szCs w:val="32"/>
        </w:rPr>
      </w:pPr>
    </w:p>
    <w:p w:rsidR="00205B90" w:rsidRDefault="00205B90">
      <w:pPr>
        <w:spacing w:line="580" w:lineRule="exact"/>
        <w:ind w:firstLineChars="200" w:firstLine="640"/>
        <w:rPr>
          <w:rFonts w:ascii="仿宋" w:eastAsia="仿宋" w:hAnsi="仿宋" w:cs="仿宋_GB2312"/>
          <w:sz w:val="32"/>
          <w:szCs w:val="32"/>
        </w:rPr>
      </w:pPr>
    </w:p>
    <w:p w:rsidR="00205B90" w:rsidRDefault="00205B90">
      <w:pPr>
        <w:spacing w:line="580" w:lineRule="exact"/>
        <w:ind w:firstLineChars="200" w:firstLine="640"/>
        <w:rPr>
          <w:rFonts w:ascii="仿宋" w:eastAsia="仿宋" w:hAnsi="仿宋" w:cs="仿宋_GB2312"/>
          <w:sz w:val="32"/>
          <w:szCs w:val="32"/>
        </w:rPr>
      </w:pPr>
    </w:p>
    <w:p w:rsidR="00205B90" w:rsidRDefault="00205B90">
      <w:pPr>
        <w:spacing w:line="580" w:lineRule="exact"/>
        <w:ind w:firstLineChars="200" w:firstLine="640"/>
        <w:rPr>
          <w:rFonts w:ascii="仿宋" w:eastAsia="仿宋" w:hAnsi="仿宋" w:cs="仿宋_GB2312"/>
          <w:sz w:val="32"/>
          <w:szCs w:val="32"/>
        </w:rPr>
      </w:pPr>
    </w:p>
    <w:p w:rsidR="00205B90" w:rsidRDefault="00205B90">
      <w:pPr>
        <w:spacing w:line="580" w:lineRule="exact"/>
        <w:ind w:firstLineChars="200" w:firstLine="640"/>
        <w:rPr>
          <w:rFonts w:ascii="仿宋" w:eastAsia="仿宋" w:hAnsi="仿宋" w:cs="仿宋_GB2312"/>
          <w:sz w:val="32"/>
          <w:szCs w:val="32"/>
        </w:rPr>
      </w:pPr>
    </w:p>
    <w:p w:rsidR="00205B90" w:rsidRDefault="00205B90">
      <w:pPr>
        <w:spacing w:line="580" w:lineRule="exact"/>
        <w:ind w:firstLineChars="200" w:firstLine="640"/>
        <w:rPr>
          <w:rFonts w:ascii="仿宋" w:eastAsia="仿宋" w:hAnsi="仿宋" w:cs="仿宋_GB2312"/>
          <w:sz w:val="32"/>
          <w:szCs w:val="32"/>
        </w:rPr>
      </w:pPr>
    </w:p>
    <w:p w:rsidR="00205B90" w:rsidRDefault="00205B90">
      <w:pPr>
        <w:spacing w:line="580" w:lineRule="exact"/>
        <w:ind w:firstLineChars="200" w:firstLine="640"/>
        <w:rPr>
          <w:rFonts w:ascii="仿宋" w:eastAsia="仿宋" w:hAnsi="仿宋" w:cs="仿宋_GB2312"/>
          <w:sz w:val="32"/>
          <w:szCs w:val="32"/>
        </w:rPr>
      </w:pPr>
    </w:p>
    <w:p w:rsidR="00205B90" w:rsidRDefault="00205B90">
      <w:pPr>
        <w:spacing w:line="580" w:lineRule="exact"/>
        <w:ind w:firstLineChars="200" w:firstLine="640"/>
        <w:rPr>
          <w:rFonts w:ascii="仿宋" w:eastAsia="仿宋" w:hAnsi="仿宋" w:cs="仿宋_GB2312"/>
          <w:sz w:val="32"/>
          <w:szCs w:val="32"/>
        </w:rPr>
      </w:pPr>
    </w:p>
    <w:p w:rsidR="00205B90" w:rsidRDefault="00205B90">
      <w:pPr>
        <w:spacing w:line="580" w:lineRule="exact"/>
        <w:ind w:firstLineChars="200" w:firstLine="640"/>
        <w:rPr>
          <w:rFonts w:ascii="仿宋" w:eastAsia="仿宋" w:hAnsi="仿宋" w:cs="仿宋_GB2312"/>
          <w:sz w:val="32"/>
          <w:szCs w:val="32"/>
        </w:rPr>
      </w:pPr>
    </w:p>
    <w:p w:rsidR="00205B90" w:rsidRDefault="00205B90">
      <w:pPr>
        <w:spacing w:line="580" w:lineRule="exact"/>
        <w:ind w:firstLineChars="200" w:firstLine="640"/>
        <w:rPr>
          <w:rFonts w:ascii="仿宋" w:eastAsia="仿宋" w:hAnsi="仿宋" w:cs="仿宋_GB2312"/>
          <w:sz w:val="32"/>
          <w:szCs w:val="32"/>
        </w:rPr>
      </w:pPr>
    </w:p>
    <w:p w:rsidR="00205B90" w:rsidRDefault="00D70603">
      <w:pPr>
        <w:spacing w:line="600" w:lineRule="exact"/>
        <w:jc w:val="center"/>
        <w:outlineLvl w:val="0"/>
        <w:rPr>
          <w:rFonts w:ascii="仿宋" w:eastAsia="仿宋" w:hAnsi="仿宋"/>
          <w:b/>
          <w:color w:val="000000"/>
          <w:sz w:val="44"/>
          <w:szCs w:val="44"/>
        </w:rPr>
      </w:pPr>
      <w:bookmarkStart w:id="62"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58"/>
      <w:bookmarkEnd w:id="62"/>
    </w:p>
    <w:p w:rsidR="00205B90" w:rsidRDefault="00D70603">
      <w:pPr>
        <w:pStyle w:val="2"/>
        <w:rPr>
          <w:rFonts w:ascii="仿宋" w:eastAsia="仿宋" w:hAnsi="仿宋"/>
          <w:color w:val="000000"/>
        </w:rPr>
      </w:pPr>
      <w:bookmarkStart w:id="63" w:name="_Toc15396619"/>
      <w:r>
        <w:rPr>
          <w:rFonts w:ascii="仿宋" w:eastAsia="仿宋" w:hAnsi="仿宋" w:hint="eastAsia"/>
          <w:b w:val="0"/>
          <w:color w:val="000000"/>
        </w:rPr>
        <w:t>一、收</w:t>
      </w:r>
      <w:r>
        <w:rPr>
          <w:rStyle w:val="2Char"/>
          <w:rFonts w:ascii="仿宋" w:eastAsia="仿宋" w:hAnsi="仿宋" w:hint="eastAsia"/>
        </w:rPr>
        <w:t>入支出决算总表</w:t>
      </w:r>
      <w:bookmarkEnd w:id="63"/>
    </w:p>
    <w:p w:rsidR="00205B90" w:rsidRDefault="00D70603">
      <w:pPr>
        <w:pStyle w:val="2"/>
        <w:rPr>
          <w:rFonts w:ascii="仿宋" w:eastAsia="仿宋" w:hAnsi="仿宋"/>
          <w:color w:val="000000"/>
        </w:rPr>
      </w:pPr>
      <w:bookmarkStart w:id="64" w:name="_Toc15396620"/>
      <w:r>
        <w:rPr>
          <w:rFonts w:ascii="仿宋" w:eastAsia="仿宋" w:hAnsi="仿宋" w:hint="eastAsia"/>
          <w:b w:val="0"/>
          <w:color w:val="000000"/>
        </w:rPr>
        <w:t>二、收</w:t>
      </w:r>
      <w:r>
        <w:rPr>
          <w:rStyle w:val="2Char"/>
          <w:rFonts w:ascii="仿宋" w:eastAsia="仿宋" w:hAnsi="仿宋" w:hint="eastAsia"/>
        </w:rPr>
        <w:t>入总表</w:t>
      </w:r>
      <w:bookmarkEnd w:id="64"/>
    </w:p>
    <w:p w:rsidR="00205B90" w:rsidRDefault="00D70603">
      <w:pPr>
        <w:pStyle w:val="2"/>
        <w:rPr>
          <w:rFonts w:ascii="仿宋" w:eastAsia="仿宋" w:hAnsi="仿宋"/>
          <w:color w:val="000000"/>
        </w:rPr>
      </w:pPr>
      <w:bookmarkStart w:id="65"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5"/>
    </w:p>
    <w:p w:rsidR="00205B90" w:rsidRDefault="00D70603">
      <w:pPr>
        <w:pStyle w:val="2"/>
        <w:rPr>
          <w:rFonts w:ascii="仿宋" w:eastAsia="仿宋" w:hAnsi="仿宋"/>
          <w:b w:val="0"/>
          <w:color w:val="000000"/>
        </w:rPr>
      </w:pPr>
      <w:bookmarkStart w:id="66"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6"/>
    </w:p>
    <w:p w:rsidR="00205B90" w:rsidRDefault="00D70603">
      <w:pPr>
        <w:pStyle w:val="2"/>
        <w:rPr>
          <w:rFonts w:ascii="仿宋" w:eastAsia="仿宋" w:hAnsi="仿宋"/>
          <w:color w:val="000000"/>
        </w:rPr>
      </w:pPr>
      <w:bookmarkStart w:id="67"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7"/>
    </w:p>
    <w:p w:rsidR="00205B90" w:rsidRDefault="00D70603">
      <w:pPr>
        <w:pStyle w:val="2"/>
        <w:rPr>
          <w:rFonts w:ascii="仿宋" w:eastAsia="仿宋" w:hAnsi="仿宋"/>
          <w:color w:val="000000"/>
        </w:rPr>
      </w:pPr>
      <w:bookmarkStart w:id="68"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8"/>
    </w:p>
    <w:p w:rsidR="00205B90" w:rsidRDefault="00D70603">
      <w:pPr>
        <w:pStyle w:val="2"/>
        <w:rPr>
          <w:rFonts w:ascii="仿宋" w:eastAsia="仿宋" w:hAnsi="仿宋"/>
          <w:color w:val="000000"/>
        </w:rPr>
      </w:pPr>
      <w:bookmarkStart w:id="69"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9"/>
    </w:p>
    <w:p w:rsidR="00205B90" w:rsidRDefault="00D70603">
      <w:pPr>
        <w:pStyle w:val="2"/>
        <w:rPr>
          <w:rFonts w:ascii="仿宋" w:eastAsia="仿宋" w:hAnsi="仿宋"/>
          <w:color w:val="000000"/>
        </w:rPr>
      </w:pPr>
      <w:bookmarkStart w:id="70"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0"/>
    </w:p>
    <w:p w:rsidR="00205B90" w:rsidRDefault="00D70603">
      <w:pPr>
        <w:pStyle w:val="2"/>
        <w:rPr>
          <w:rFonts w:ascii="仿宋" w:eastAsia="仿宋" w:hAnsi="仿宋"/>
          <w:color w:val="000000"/>
        </w:rPr>
      </w:pPr>
      <w:bookmarkStart w:id="71"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1"/>
    </w:p>
    <w:p w:rsidR="00205B90" w:rsidRDefault="00D70603">
      <w:pPr>
        <w:pStyle w:val="2"/>
        <w:rPr>
          <w:rFonts w:ascii="仿宋" w:eastAsia="仿宋" w:hAnsi="仿宋"/>
          <w:color w:val="000000"/>
        </w:rPr>
      </w:pPr>
      <w:bookmarkStart w:id="72"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2"/>
    </w:p>
    <w:p w:rsidR="00205B90" w:rsidRDefault="00D70603">
      <w:pPr>
        <w:pStyle w:val="2"/>
        <w:rPr>
          <w:rFonts w:ascii="仿宋" w:eastAsia="仿宋" w:hAnsi="仿宋"/>
          <w:color w:val="000000"/>
        </w:rPr>
      </w:pPr>
      <w:bookmarkStart w:id="73"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3"/>
    </w:p>
    <w:p w:rsidR="00205B90" w:rsidRDefault="00D70603">
      <w:pPr>
        <w:pStyle w:val="2"/>
        <w:rPr>
          <w:rFonts w:ascii="仿宋" w:eastAsia="仿宋" w:hAnsi="仿宋"/>
          <w:color w:val="000000"/>
        </w:rPr>
      </w:pPr>
      <w:bookmarkStart w:id="74"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4"/>
    </w:p>
    <w:p w:rsidR="00205B90" w:rsidRDefault="00D70603">
      <w:pPr>
        <w:pStyle w:val="2"/>
        <w:rPr>
          <w:rFonts w:ascii="仿宋" w:eastAsia="仿宋" w:hAnsi="仿宋"/>
          <w:color w:val="000000" w:themeColor="text1"/>
        </w:rPr>
      </w:pPr>
      <w:bookmarkStart w:id="75"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5"/>
    </w:p>
    <w:sectPr w:rsidR="00205B90">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FFA" w:rsidRDefault="00D80FFA">
      <w:r>
        <w:separator/>
      </w:r>
    </w:p>
  </w:endnote>
  <w:endnote w:type="continuationSeparator" w:id="0">
    <w:p w:rsidR="00D80FFA" w:rsidRDefault="00D80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205B90" w:rsidRDefault="00D70603">
        <w:pPr>
          <w:pStyle w:val="a5"/>
          <w:jc w:val="center"/>
        </w:pPr>
        <w:r>
          <w:fldChar w:fldCharType="begin"/>
        </w:r>
        <w:r>
          <w:instrText>PAGE   \* MERGEFORMAT</w:instrText>
        </w:r>
        <w:r>
          <w:fldChar w:fldCharType="separate"/>
        </w:r>
        <w:r w:rsidR="009C398B" w:rsidRPr="009C398B">
          <w:rPr>
            <w:noProof/>
            <w:lang w:val="zh-CN"/>
          </w:rPr>
          <w:t>2</w:t>
        </w:r>
        <w:r>
          <w:fldChar w:fldCharType="end"/>
        </w:r>
      </w:p>
    </w:sdtContent>
  </w:sdt>
  <w:p w:rsidR="00205B90" w:rsidRDefault="00205B9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FFA" w:rsidRDefault="00D80FFA">
      <w:r>
        <w:separator/>
      </w:r>
    </w:p>
  </w:footnote>
  <w:footnote w:type="continuationSeparator" w:id="0">
    <w:p w:rsidR="00D80FFA" w:rsidRDefault="00D80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B90" w:rsidRDefault="00205B90">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602ED141"/>
    <w:multiLevelType w:val="singleLevel"/>
    <w:tmpl w:val="602ED141"/>
    <w:lvl w:ilvl="0">
      <w:start w:val="2"/>
      <w:numFmt w:val="chineseCounting"/>
      <w:suff w:val="nothing"/>
      <w:lvlText w:val="（%1）"/>
      <w:lvlJc w:val="left"/>
      <w:rPr>
        <w:rFonts w:hint="eastAsia"/>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05B90"/>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273F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C398B"/>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70603"/>
    <w:rsid w:val="00D80FFA"/>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A205BD"/>
    <w:rsid w:val="06F4223C"/>
    <w:rsid w:val="0730145C"/>
    <w:rsid w:val="0BA01D02"/>
    <w:rsid w:val="0FB3310E"/>
    <w:rsid w:val="10C055FF"/>
    <w:rsid w:val="11C40AE5"/>
    <w:rsid w:val="16BB723D"/>
    <w:rsid w:val="178A6E36"/>
    <w:rsid w:val="1D095C99"/>
    <w:rsid w:val="1D24185D"/>
    <w:rsid w:val="1D3A0708"/>
    <w:rsid w:val="240371BF"/>
    <w:rsid w:val="29FD04D3"/>
    <w:rsid w:val="2D002C65"/>
    <w:rsid w:val="2F8C74F8"/>
    <w:rsid w:val="2FBB18BE"/>
    <w:rsid w:val="319F7F4E"/>
    <w:rsid w:val="382F71EC"/>
    <w:rsid w:val="40895837"/>
    <w:rsid w:val="40B51927"/>
    <w:rsid w:val="47576A02"/>
    <w:rsid w:val="497F341A"/>
    <w:rsid w:val="4E36792A"/>
    <w:rsid w:val="50495C93"/>
    <w:rsid w:val="51494C0B"/>
    <w:rsid w:val="52D92913"/>
    <w:rsid w:val="570117CE"/>
    <w:rsid w:val="57D37F7E"/>
    <w:rsid w:val="5B0732F1"/>
    <w:rsid w:val="5C327F85"/>
    <w:rsid w:val="5DCA2C92"/>
    <w:rsid w:val="6378018D"/>
    <w:rsid w:val="64E84AEC"/>
    <w:rsid w:val="65A61F1C"/>
    <w:rsid w:val="66AE7006"/>
    <w:rsid w:val="66E7199A"/>
    <w:rsid w:val="6A8C13B1"/>
    <w:rsid w:val="6C7930EF"/>
    <w:rsid w:val="7CF31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2FAA87D-33E5-4AF0-83BC-617E3ABB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character" w:styleId="a7">
    <w:name w:val="Strong"/>
    <w:basedOn w:val="a0"/>
    <w:uiPriority w:val="99"/>
    <w:qFormat/>
    <w:rPr>
      <w:b/>
    </w:rPr>
  </w:style>
  <w:style w:type="character" w:styleId="a8">
    <w:name w:val="Hyperlink"/>
    <w:basedOn w:val="a0"/>
    <w:uiPriority w:val="99"/>
    <w:unhideWhenUsed/>
    <w:qFormat/>
    <w:rPr>
      <w:color w:val="0000FF" w:themeColor="hyperlink"/>
      <w:u w:val="single"/>
    </w:rPr>
  </w:style>
  <w:style w:type="character" w:customStyle="1" w:styleId="HeaderChar">
    <w:name w:val="Header Char"/>
    <w:basedOn w:val="a0"/>
    <w:uiPriority w:val="99"/>
    <w:semiHidden/>
    <w:rPr>
      <w:rFonts w:ascii="Times New Roman" w:hAnsi="Times New Roman"/>
      <w:sz w:val="18"/>
      <w:szCs w:val="18"/>
    </w:rPr>
  </w:style>
  <w:style w:type="character" w:customStyle="1" w:styleId="Char2">
    <w:name w:val="页眉 Char"/>
    <w:link w:val="a6"/>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5"/>
    <w:uiPriority w:val="99"/>
    <w:qFormat/>
    <w:locked/>
    <w:rPr>
      <w:sz w:val="18"/>
    </w:rPr>
  </w:style>
  <w:style w:type="character" w:customStyle="1" w:styleId="BodyTextChar">
    <w:name w:val="Body Text Char"/>
    <w:basedOn w:val="a0"/>
    <w:uiPriority w:val="99"/>
    <w:semiHidden/>
    <w:rPr>
      <w:rFonts w:ascii="Times New Roman" w:hAnsi="Times New Roman"/>
      <w:szCs w:val="24"/>
    </w:rPr>
  </w:style>
  <w:style w:type="character" w:customStyle="1" w:styleId="Char">
    <w:name w:val="正文文本 Char"/>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styleId="a9">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A817FB-D701-41C2-867E-BC09FCEA5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1542</Words>
  <Characters>8793</Characters>
  <Application>Microsoft Office Word</Application>
  <DocSecurity>0</DocSecurity>
  <Lines>73</Lines>
  <Paragraphs>20</Paragraphs>
  <ScaleCrop>false</ScaleCrop>
  <Company>四川省财政厅</Company>
  <LinksUpToDate>false</LinksUpToDate>
  <CharactersWithSpaces>10315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19</cp:revision>
  <cp:lastPrinted>2019-08-01T00:48:00Z</cp:lastPrinted>
  <dcterms:created xsi:type="dcterms:W3CDTF">2019-08-01T01:14:00Z</dcterms:created>
  <dcterms:modified xsi:type="dcterms:W3CDTF">2019-09-25T02:54:00Z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