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48"/>
          <w:szCs w:val="48"/>
        </w:rPr>
      </w:pPr>
      <w:bookmarkStart w:id="1" w:name="_Toc15377193"/>
      <w:bookmarkStart w:id="2" w:name="_Toc15396475"/>
      <w:bookmarkStart w:id="3" w:name="_Toc15377425"/>
      <w:bookmarkStart w:id="4" w:name="_Toc15378441"/>
      <w:bookmarkStart w:id="5" w:name="_Toc15396597"/>
      <w:r>
        <w:rPr>
          <w:rFonts w:ascii="黑体" w:eastAsia="黑体"/>
          <w:color w:val="000000"/>
          <w:sz w:val="48"/>
          <w:szCs w:val="48"/>
        </w:rPr>
        <w:t>201</w:t>
      </w:r>
      <w:r>
        <w:rPr>
          <w:rFonts w:hint="eastAsia" w:ascii="黑体" w:eastAsia="黑体"/>
          <w:color w:val="000000"/>
          <w:sz w:val="48"/>
          <w:szCs w:val="48"/>
        </w:rPr>
        <w:t>8</w:t>
      </w:r>
      <w:r>
        <w:rPr>
          <w:rFonts w:hint="eastAsia" w:ascii="方正小标宋简体" w:eastAsia="方正小标宋简体"/>
          <w:color w:val="000000"/>
          <w:sz w:val="48"/>
          <w:szCs w:val="48"/>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48"/>
          <w:szCs w:val="48"/>
        </w:rPr>
      </w:pPr>
      <w:bookmarkStart w:id="6" w:name="_Toc15377194"/>
      <w:bookmarkStart w:id="7" w:name="_Toc15396476"/>
      <w:bookmarkStart w:id="8" w:name="_Toc15396598"/>
      <w:bookmarkStart w:id="9" w:name="_Toc15377426"/>
      <w:bookmarkStart w:id="10" w:name="_Toc15378442"/>
      <w:r>
        <w:rPr>
          <w:rFonts w:hint="eastAsia" w:ascii="方正小标宋简体" w:eastAsia="方正小标宋简体"/>
          <w:color w:val="000000"/>
          <w:sz w:val="48"/>
          <w:szCs w:val="48"/>
        </w:rPr>
        <w:t>四川省</w:t>
      </w:r>
      <w:bookmarkEnd w:id="0"/>
      <w:bookmarkStart w:id="11" w:name="_Toc15306268"/>
      <w:r>
        <w:rPr>
          <w:rFonts w:hint="eastAsia" w:ascii="方正小标宋简体" w:eastAsia="方正小标宋简体"/>
          <w:color w:val="000000"/>
          <w:sz w:val="48"/>
          <w:szCs w:val="48"/>
        </w:rPr>
        <w:t>九寨沟县旅游</w:t>
      </w:r>
    </w:p>
    <w:p>
      <w:pPr>
        <w:adjustRightInd w:val="0"/>
        <w:snapToGrid w:val="0"/>
        <w:spacing w:line="360" w:lineRule="auto"/>
        <w:jc w:val="center"/>
        <w:outlineLvl w:val="0"/>
        <w:rPr>
          <w:rFonts w:ascii="方正小标宋简体" w:eastAsia="方正小标宋简体"/>
          <w:color w:val="000000"/>
          <w:sz w:val="48"/>
          <w:szCs w:val="48"/>
        </w:rPr>
      </w:pPr>
      <w:r>
        <w:rPr>
          <w:rFonts w:hint="eastAsia" w:ascii="方正小标宋简体" w:eastAsia="方正小标宋简体"/>
          <w:color w:val="000000"/>
          <w:sz w:val="48"/>
          <w:szCs w:val="48"/>
        </w:rPr>
        <w:t>发展局部门决算</w:t>
      </w:r>
      <w:bookmarkEnd w:id="6"/>
      <w:bookmarkEnd w:id="7"/>
      <w:bookmarkEnd w:id="8"/>
      <w:bookmarkEnd w:id="9"/>
      <w:bookmarkEnd w:id="10"/>
      <w:bookmarkEnd w:id="11"/>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Pr>
        <w:pStyle w:val="11"/>
        <w:rPr>
          <w:rFonts w:cs="Arial"/>
        </w:rPr>
      </w:pPr>
      <w:r>
        <w:fldChar w:fldCharType="begin"/>
      </w:r>
      <w:r>
        <w:instrText xml:space="preserve">Hyperlink \l "_Toc15396599"</w:instrText>
      </w:r>
      <w:r>
        <w:fldChar w:fldCharType="separate"/>
      </w:r>
      <w:r>
        <w:rPr>
          <w:rFonts w:hint="eastAsia"/>
        </w:rPr>
        <w:t>第一部分部门概况</w:t>
      </w:r>
      <w:r>
        <w:tab/>
      </w:r>
      <w:r>
        <w:rPr>
          <w:rFonts w:hint="eastAsia"/>
        </w:rPr>
        <w:t>4</w:t>
      </w:r>
      <w:r>
        <w:fldChar w:fldCharType="end"/>
      </w:r>
    </w:p>
    <w:p>
      <w:pPr>
        <w:pStyle w:val="12"/>
        <w:rPr>
          <w:rFonts w:ascii="仿宋" w:eastAsia="仿宋" w:cs="Arial"/>
          <w:sz w:val="28"/>
          <w:szCs w:val="28"/>
        </w:rPr>
      </w:pPr>
      <w:r>
        <w:fldChar w:fldCharType="begin"/>
      </w:r>
      <w:r>
        <w:instrText xml:space="preserve">Hyperlink \l "_Toc15396600"</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fldChar w:fldCharType="end"/>
      </w:r>
    </w:p>
    <w:p>
      <w:pPr>
        <w:pStyle w:val="12"/>
        <w:rPr>
          <w:rFonts w:ascii="仿宋" w:eastAsia="仿宋" w:cs="Arial"/>
          <w:sz w:val="28"/>
          <w:szCs w:val="28"/>
        </w:rPr>
      </w:pPr>
      <w:r>
        <w:fldChar w:fldCharType="begin"/>
      </w:r>
      <w:r>
        <w:instrText xml:space="preserve">Hyperlink \l "_Toc15396601"</w:instrText>
      </w:r>
      <w:r>
        <w:fldChar w:fldCharType="separate"/>
      </w:r>
      <w:r>
        <w:rPr>
          <w:rFonts w:hint="eastAsia" w:ascii="仿宋" w:eastAsia="仿宋"/>
          <w:sz w:val="28"/>
          <w:szCs w:val="28"/>
        </w:rPr>
        <w:t>二、机构设置</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_Toc15396601 \h </w:instrText>
      </w:r>
      <w:r>
        <w:rPr>
          <w:rFonts w:ascii="仿宋" w:eastAsia="仿宋"/>
          <w:sz w:val="28"/>
          <w:szCs w:val="28"/>
        </w:rPr>
        <w:fldChar w:fldCharType="separate"/>
      </w:r>
      <w:r>
        <w:rPr>
          <w:rFonts w:ascii="仿宋" w:eastAsia="仿宋"/>
          <w:sz w:val="28"/>
          <w:szCs w:val="28"/>
        </w:rPr>
        <w:t>4</w:t>
      </w:r>
      <w:r>
        <w:rPr>
          <w:rFonts w:ascii="仿宋" w:eastAsia="仿宋"/>
          <w:sz w:val="28"/>
          <w:szCs w:val="28"/>
        </w:rPr>
        <w:fldChar w:fldCharType="end"/>
      </w:r>
      <w:r>
        <w:fldChar w:fldCharType="end"/>
      </w:r>
    </w:p>
    <w:p>
      <w:pPr>
        <w:pStyle w:val="11"/>
      </w:pPr>
      <w:r>
        <w:fldChar w:fldCharType="begin"/>
      </w:r>
      <w:r>
        <w:instrText xml:space="preserve">Hyperlink \l "_Toc15396602"</w:instrText>
      </w:r>
      <w:r>
        <w:fldChar w:fldCharType="separate"/>
      </w:r>
      <w:r>
        <w:rPr>
          <w:rFonts w:hint="eastAsia"/>
        </w:rPr>
        <w:t>第二部分</w:t>
      </w:r>
      <w:r>
        <w:t xml:space="preserve"> 2018</w:t>
      </w:r>
      <w:r>
        <w:rPr>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2"/>
        <w:rPr>
          <w:rFonts w:ascii="仿宋" w:eastAsia="仿宋" w:cs="Arial"/>
          <w:sz w:val="28"/>
          <w:szCs w:val="28"/>
        </w:rPr>
      </w:pPr>
      <w:r>
        <w:fldChar w:fldCharType="begin"/>
      </w:r>
      <w:r>
        <w:instrText xml:space="preserve">Hyperlink \l "_Toc15396603"</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_Toc15396603 \h </w:instrText>
      </w:r>
      <w:r>
        <w:rPr>
          <w:rFonts w:ascii="仿宋" w:eastAsia="仿宋"/>
          <w:sz w:val="28"/>
          <w:szCs w:val="28"/>
        </w:rPr>
        <w:fldChar w:fldCharType="separate"/>
      </w:r>
      <w:r>
        <w:rPr>
          <w:rFonts w:ascii="仿宋" w:eastAsia="仿宋"/>
          <w:sz w:val="28"/>
          <w:szCs w:val="28"/>
        </w:rPr>
        <w:t>5</w:t>
      </w:r>
      <w:r>
        <w:rPr>
          <w:rFonts w:ascii="仿宋" w:eastAsia="仿宋"/>
          <w:sz w:val="28"/>
          <w:szCs w:val="28"/>
        </w:rPr>
        <w:fldChar w:fldCharType="end"/>
      </w:r>
      <w:r>
        <w:fldChar w:fldCharType="end"/>
      </w:r>
    </w:p>
    <w:p>
      <w:pPr>
        <w:pStyle w:val="12"/>
        <w:rPr>
          <w:rFonts w:ascii="仿宋" w:eastAsia="仿宋" w:cs="Arial"/>
          <w:sz w:val="28"/>
          <w:szCs w:val="28"/>
        </w:rPr>
      </w:pPr>
      <w:r>
        <w:fldChar w:fldCharType="begin"/>
      </w:r>
      <w:r>
        <w:instrText xml:space="preserve">Hyperlink \l "_Toc15396604"</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_Toc15396604 \h </w:instrText>
      </w:r>
      <w:r>
        <w:rPr>
          <w:rFonts w:ascii="仿宋" w:eastAsia="仿宋"/>
          <w:sz w:val="28"/>
          <w:szCs w:val="28"/>
        </w:rPr>
        <w:fldChar w:fldCharType="separate"/>
      </w:r>
      <w:r>
        <w:rPr>
          <w:rFonts w:ascii="仿宋" w:eastAsia="仿宋"/>
          <w:sz w:val="28"/>
          <w:szCs w:val="28"/>
        </w:rPr>
        <w:t>5</w:t>
      </w:r>
      <w:r>
        <w:rPr>
          <w:rFonts w:ascii="仿宋" w:eastAsia="仿宋"/>
          <w:sz w:val="28"/>
          <w:szCs w:val="28"/>
        </w:rPr>
        <w:fldChar w:fldCharType="end"/>
      </w:r>
      <w:r>
        <w:fldChar w:fldCharType="end"/>
      </w:r>
    </w:p>
    <w:p>
      <w:pPr>
        <w:pStyle w:val="12"/>
        <w:rPr>
          <w:rFonts w:ascii="仿宋" w:eastAsia="仿宋" w:cs="Arial"/>
          <w:sz w:val="28"/>
          <w:szCs w:val="28"/>
        </w:rPr>
      </w:pPr>
      <w:r>
        <w:fldChar w:fldCharType="begin"/>
      </w:r>
      <w:r>
        <w:instrText xml:space="preserve">Hyperlink \l "_Toc15396605"</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_Toc15396605 \h </w:instrText>
      </w:r>
      <w:r>
        <w:rPr>
          <w:rFonts w:ascii="仿宋" w:eastAsia="仿宋"/>
          <w:sz w:val="28"/>
          <w:szCs w:val="28"/>
        </w:rPr>
        <w:fldChar w:fldCharType="separate"/>
      </w:r>
      <w:r>
        <w:rPr>
          <w:rFonts w:ascii="仿宋" w:eastAsia="仿宋"/>
          <w:sz w:val="28"/>
          <w:szCs w:val="28"/>
        </w:rPr>
        <w:t>5</w:t>
      </w:r>
      <w:r>
        <w:rPr>
          <w:rFonts w:ascii="仿宋" w:eastAsia="仿宋"/>
          <w:sz w:val="28"/>
          <w:szCs w:val="28"/>
        </w:rPr>
        <w:fldChar w:fldCharType="end"/>
      </w:r>
      <w:r>
        <w:fldChar w:fldCharType="end"/>
      </w:r>
    </w:p>
    <w:p>
      <w:pPr>
        <w:pStyle w:val="12"/>
        <w:rPr>
          <w:rFonts w:ascii="仿宋" w:eastAsia="仿宋" w:cs="Arial"/>
          <w:sz w:val="28"/>
          <w:szCs w:val="28"/>
        </w:rPr>
      </w:pPr>
      <w:r>
        <w:fldChar w:fldCharType="begin"/>
      </w:r>
      <w:r>
        <w:instrText xml:space="preserve">Hyperlink \l "_Toc15396606"</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_Toc15396606 \h </w:instrText>
      </w:r>
      <w:r>
        <w:rPr>
          <w:rFonts w:ascii="仿宋" w:eastAsia="仿宋"/>
          <w:sz w:val="28"/>
          <w:szCs w:val="28"/>
        </w:rPr>
        <w:fldChar w:fldCharType="separate"/>
      </w:r>
      <w:r>
        <w:rPr>
          <w:rFonts w:ascii="仿宋" w:eastAsia="仿宋"/>
          <w:sz w:val="28"/>
          <w:szCs w:val="28"/>
        </w:rPr>
        <w:t>6</w:t>
      </w:r>
      <w:r>
        <w:rPr>
          <w:rFonts w:ascii="仿宋" w:eastAsia="仿宋"/>
          <w:sz w:val="28"/>
          <w:szCs w:val="28"/>
        </w:rPr>
        <w:fldChar w:fldCharType="end"/>
      </w:r>
      <w:r>
        <w:fldChar w:fldCharType="end"/>
      </w:r>
    </w:p>
    <w:p>
      <w:pPr>
        <w:pStyle w:val="12"/>
        <w:rPr>
          <w:rFonts w:ascii="仿宋" w:eastAsia="仿宋" w:cs="Arial"/>
          <w:sz w:val="28"/>
          <w:szCs w:val="28"/>
        </w:rPr>
      </w:pPr>
      <w:r>
        <w:fldChar w:fldCharType="begin"/>
      </w:r>
      <w:r>
        <w:instrText xml:space="preserve">Hyperlink \l "_Toc15396607"</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_Toc15396607 \h </w:instrText>
      </w:r>
      <w:r>
        <w:rPr>
          <w:rFonts w:ascii="仿宋" w:eastAsia="仿宋"/>
          <w:sz w:val="28"/>
          <w:szCs w:val="28"/>
        </w:rPr>
        <w:fldChar w:fldCharType="separate"/>
      </w:r>
      <w:r>
        <w:rPr>
          <w:rFonts w:ascii="仿宋" w:eastAsia="仿宋"/>
          <w:sz w:val="28"/>
          <w:szCs w:val="28"/>
        </w:rPr>
        <w:t>6</w:t>
      </w:r>
      <w:r>
        <w:rPr>
          <w:rFonts w:ascii="仿宋" w:eastAsia="仿宋"/>
          <w:sz w:val="28"/>
          <w:szCs w:val="28"/>
        </w:rPr>
        <w:fldChar w:fldCharType="end"/>
      </w:r>
      <w:r>
        <w:fldChar w:fldCharType="end"/>
      </w:r>
    </w:p>
    <w:p>
      <w:pPr>
        <w:pStyle w:val="12"/>
        <w:rPr>
          <w:rFonts w:ascii="仿宋" w:eastAsia="仿宋" w:cs="Arial"/>
          <w:sz w:val="28"/>
          <w:szCs w:val="28"/>
        </w:rPr>
      </w:pPr>
      <w:r>
        <w:fldChar w:fldCharType="begin"/>
      </w:r>
      <w:r>
        <w:instrText xml:space="preserve">Hyperlink \l "_Toc15396608"</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_Toc15396608 \h </w:instrText>
      </w:r>
      <w:r>
        <w:rPr>
          <w:rFonts w:ascii="仿宋" w:eastAsia="仿宋"/>
          <w:sz w:val="28"/>
          <w:szCs w:val="28"/>
        </w:rPr>
        <w:fldChar w:fldCharType="separate"/>
      </w:r>
      <w:r>
        <w:rPr>
          <w:rFonts w:ascii="仿宋" w:eastAsia="仿宋"/>
          <w:sz w:val="28"/>
          <w:szCs w:val="28"/>
        </w:rPr>
        <w:t>8</w:t>
      </w:r>
      <w:r>
        <w:rPr>
          <w:rFonts w:ascii="仿宋" w:eastAsia="仿宋"/>
          <w:sz w:val="28"/>
          <w:szCs w:val="28"/>
        </w:rPr>
        <w:fldChar w:fldCharType="end"/>
      </w:r>
      <w:r>
        <w:fldChar w:fldCharType="end"/>
      </w:r>
    </w:p>
    <w:p>
      <w:pPr>
        <w:pStyle w:val="12"/>
        <w:rPr>
          <w:rFonts w:ascii="仿宋" w:eastAsia="仿宋" w:cs="Arial"/>
          <w:sz w:val="28"/>
          <w:szCs w:val="28"/>
        </w:rPr>
      </w:pPr>
      <w:r>
        <w:fldChar w:fldCharType="begin"/>
      </w:r>
      <w:r>
        <w:instrText xml:space="preserve">Hyperlink \l "_Toc15396609"</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_Toc15396609 \h </w:instrText>
      </w:r>
      <w:r>
        <w:rPr>
          <w:rFonts w:ascii="仿宋" w:eastAsia="仿宋"/>
          <w:sz w:val="28"/>
          <w:szCs w:val="28"/>
        </w:rPr>
        <w:fldChar w:fldCharType="separate"/>
      </w:r>
      <w:r>
        <w:rPr>
          <w:rFonts w:ascii="仿宋" w:eastAsia="仿宋"/>
          <w:sz w:val="28"/>
          <w:szCs w:val="28"/>
        </w:rPr>
        <w:t>8</w:t>
      </w:r>
      <w:r>
        <w:rPr>
          <w:rFonts w:ascii="仿宋" w:eastAsia="仿宋"/>
          <w:sz w:val="28"/>
          <w:szCs w:val="28"/>
        </w:rPr>
        <w:fldChar w:fldCharType="end"/>
      </w:r>
      <w:r>
        <w:fldChar w:fldCharType="end"/>
      </w:r>
    </w:p>
    <w:p>
      <w:pPr>
        <w:pStyle w:val="12"/>
        <w:rPr>
          <w:rFonts w:ascii="仿宋" w:eastAsia="仿宋" w:cs="Arial"/>
          <w:sz w:val="28"/>
          <w:szCs w:val="28"/>
        </w:rPr>
      </w:pPr>
      <w:r>
        <w:fldChar w:fldCharType="begin"/>
      </w:r>
      <w:r>
        <w:instrText xml:space="preserve">Hyperlink \l "_Toc15396610"</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_Toc15396610 \h </w:instrText>
      </w:r>
      <w:r>
        <w:rPr>
          <w:rFonts w:ascii="仿宋" w:eastAsia="仿宋"/>
          <w:sz w:val="28"/>
          <w:szCs w:val="28"/>
        </w:rPr>
        <w:fldChar w:fldCharType="separate"/>
      </w:r>
      <w:r>
        <w:rPr>
          <w:rFonts w:ascii="仿宋" w:eastAsia="仿宋"/>
          <w:sz w:val="28"/>
          <w:szCs w:val="28"/>
        </w:rPr>
        <w:t>10</w:t>
      </w:r>
      <w:r>
        <w:rPr>
          <w:rFonts w:ascii="仿宋" w:eastAsia="仿宋"/>
          <w:sz w:val="28"/>
          <w:szCs w:val="28"/>
        </w:rPr>
        <w:fldChar w:fldCharType="end"/>
      </w:r>
      <w:r>
        <w:fldChar w:fldCharType="end"/>
      </w:r>
    </w:p>
    <w:p>
      <w:pPr>
        <w:pStyle w:val="12"/>
        <w:rPr>
          <w:rFonts w:ascii="仿宋" w:eastAsia="仿宋" w:cs="Arial"/>
          <w:sz w:val="28"/>
          <w:szCs w:val="28"/>
        </w:rPr>
      </w:pPr>
      <w:r>
        <w:fldChar w:fldCharType="begin"/>
      </w:r>
      <w:r>
        <w:instrText xml:space="preserve">Hyperlink \l "_Toc15396611"</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_Toc15396611 \h </w:instrText>
      </w:r>
      <w:r>
        <w:rPr>
          <w:rFonts w:ascii="仿宋" w:eastAsia="仿宋"/>
          <w:sz w:val="28"/>
          <w:szCs w:val="28"/>
        </w:rPr>
        <w:fldChar w:fldCharType="separate"/>
      </w:r>
      <w:r>
        <w:rPr>
          <w:rFonts w:ascii="仿宋" w:eastAsia="仿宋"/>
          <w:sz w:val="28"/>
          <w:szCs w:val="28"/>
        </w:rPr>
        <w:t>10</w:t>
      </w:r>
      <w:r>
        <w:rPr>
          <w:rFonts w:ascii="仿宋" w:eastAsia="仿宋"/>
          <w:sz w:val="28"/>
          <w:szCs w:val="28"/>
        </w:rPr>
        <w:fldChar w:fldCharType="end"/>
      </w:r>
      <w:r>
        <w:fldChar w:fldCharType="end"/>
      </w:r>
    </w:p>
    <w:p>
      <w:pPr>
        <w:pStyle w:val="12"/>
        <w:rPr>
          <w:rFonts w:ascii="仿宋" w:eastAsia="仿宋" w:cs="Arial"/>
          <w:sz w:val="28"/>
          <w:szCs w:val="28"/>
        </w:rPr>
      </w:pPr>
      <w:r>
        <w:fldChar w:fldCharType="begin"/>
      </w:r>
      <w:r>
        <w:instrText xml:space="preserve">Hyperlink \l "_Toc15396612"</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_Toc15396612 \h </w:instrText>
      </w:r>
      <w:r>
        <w:rPr>
          <w:rFonts w:ascii="仿宋" w:eastAsia="仿宋"/>
          <w:sz w:val="28"/>
          <w:szCs w:val="28"/>
        </w:rPr>
        <w:fldChar w:fldCharType="separate"/>
      </w:r>
      <w:r>
        <w:rPr>
          <w:rFonts w:ascii="仿宋" w:eastAsia="仿宋"/>
          <w:sz w:val="28"/>
          <w:szCs w:val="28"/>
        </w:rPr>
        <w:t>14</w:t>
      </w:r>
      <w:r>
        <w:rPr>
          <w:rFonts w:ascii="仿宋" w:eastAsia="仿宋"/>
          <w:sz w:val="28"/>
          <w:szCs w:val="28"/>
        </w:rPr>
        <w:fldChar w:fldCharType="end"/>
      </w:r>
      <w:r>
        <w:fldChar w:fldCharType="end"/>
      </w:r>
    </w:p>
    <w:p>
      <w:pPr>
        <w:pStyle w:val="11"/>
        <w:rPr>
          <w:rFonts w:cs="Arial"/>
        </w:rPr>
      </w:pPr>
      <w:r>
        <w:fldChar w:fldCharType="begin"/>
      </w:r>
      <w:r>
        <w:instrText xml:space="preserve">Hyperlink \l "_Toc15396613"</w:instrText>
      </w:r>
      <w:r>
        <w:fldChar w:fldCharType="separate"/>
      </w:r>
      <w:r>
        <w:rPr>
          <w:rFonts w:hint="eastAsia"/>
          <w:bCs/>
          <w:kern w:val="44"/>
        </w:rPr>
        <w:t>第三部分</w:t>
      </w:r>
      <w:r>
        <w:rPr>
          <w:rFonts w:hint="eastAsia"/>
        </w:rPr>
        <w:t xml:space="preserve"> 名</w:t>
      </w:r>
      <w:r>
        <w:rPr>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1"/>
        <w:rPr>
          <w:rFonts w:cs="Arial"/>
        </w:rPr>
      </w:pPr>
      <w:r>
        <w:fldChar w:fldCharType="begin"/>
      </w:r>
      <w:r>
        <w:instrText xml:space="preserve">Hyperlink \l "_Toc15396614"</w:instrText>
      </w:r>
      <w:r>
        <w:fldChar w:fldCharType="separate"/>
      </w:r>
      <w:r>
        <w:rPr>
          <w:rFonts w:hint="eastAsia"/>
        </w:rPr>
        <w:t>第</w:t>
      </w:r>
      <w:r>
        <w:rPr>
          <w:rFonts w:hint="eastAsia"/>
          <w:bCs/>
          <w:kern w:val="44"/>
        </w:rPr>
        <w:t>四部分附件</w:t>
      </w:r>
      <w:r>
        <w:tab/>
      </w:r>
      <w:r>
        <w:fldChar w:fldCharType="begin"/>
      </w:r>
      <w:r>
        <w:instrText xml:space="preserve"> PAGEREF _Toc15396614 \h </w:instrText>
      </w:r>
      <w:r>
        <w:fldChar w:fldCharType="separate"/>
      </w:r>
      <w:r>
        <w:t>19</w:t>
      </w:r>
      <w:r>
        <w:fldChar w:fldCharType="end"/>
      </w:r>
      <w:r>
        <w:fldChar w:fldCharType="end"/>
      </w:r>
    </w:p>
    <w:p>
      <w:pPr>
        <w:pStyle w:val="12"/>
        <w:rPr>
          <w:rFonts w:ascii="仿宋" w:eastAsia="仿宋" w:cs="Arial"/>
          <w:sz w:val="28"/>
          <w:szCs w:val="28"/>
        </w:rPr>
      </w:pPr>
      <w:r>
        <w:fldChar w:fldCharType="begin"/>
      </w:r>
      <w:r>
        <w:instrText xml:space="preserve">Hyperlink \l "_Toc15396615"</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_Toc15396615 \h </w:instrText>
      </w:r>
      <w:r>
        <w:rPr>
          <w:rFonts w:ascii="仿宋" w:eastAsia="仿宋"/>
          <w:sz w:val="28"/>
          <w:szCs w:val="28"/>
        </w:rPr>
        <w:fldChar w:fldCharType="separate"/>
      </w:r>
      <w:r>
        <w:rPr>
          <w:rFonts w:ascii="仿宋" w:eastAsia="仿宋"/>
          <w:sz w:val="28"/>
          <w:szCs w:val="28"/>
        </w:rPr>
        <w:t>19</w:t>
      </w:r>
      <w:r>
        <w:rPr>
          <w:rFonts w:ascii="仿宋" w:eastAsia="仿宋"/>
          <w:sz w:val="28"/>
          <w:szCs w:val="28"/>
        </w:rPr>
        <w:fldChar w:fldCharType="end"/>
      </w:r>
      <w:r>
        <w:fldChar w:fldCharType="end"/>
      </w:r>
    </w:p>
    <w:p>
      <w:pPr>
        <w:pStyle w:val="12"/>
        <w:rPr>
          <w:rFonts w:ascii="仿宋" w:eastAsia="仿宋" w:cs="Arial"/>
          <w:sz w:val="28"/>
          <w:szCs w:val="28"/>
        </w:rPr>
      </w:pPr>
      <w:r>
        <w:fldChar w:fldCharType="begin"/>
      </w:r>
      <w:r>
        <w:instrText xml:space="preserve">Hyperlink \l "_Toc15396617"</w:instrText>
      </w:r>
      <w:r>
        <w:fldChar w:fldCharType="separate"/>
      </w:r>
      <w:r>
        <w:rPr>
          <w:rFonts w:hint="eastAsia" w:ascii="仿宋" w:eastAsia="仿宋"/>
          <w:kern w:val="44"/>
          <w:sz w:val="28"/>
          <w:szCs w:val="28"/>
        </w:rPr>
        <w:t>附件</w:t>
      </w:r>
      <w:r>
        <w:rPr>
          <w:rFonts w:ascii="仿宋" w:eastAsia="仿宋"/>
          <w:kern w:val="44"/>
          <w:sz w:val="28"/>
          <w:szCs w:val="28"/>
        </w:rPr>
        <w:t>2</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_Toc15396617 \h </w:instrText>
      </w:r>
      <w:r>
        <w:rPr>
          <w:rFonts w:ascii="仿宋" w:eastAsia="仿宋"/>
          <w:sz w:val="28"/>
          <w:szCs w:val="28"/>
        </w:rPr>
        <w:fldChar w:fldCharType="separate"/>
      </w:r>
      <w:r>
        <w:rPr>
          <w:rFonts w:ascii="仿宋" w:eastAsia="仿宋"/>
          <w:sz w:val="28"/>
          <w:szCs w:val="28"/>
        </w:rPr>
        <w:t>21</w:t>
      </w:r>
      <w:r>
        <w:rPr>
          <w:rFonts w:ascii="仿宋" w:eastAsia="仿宋"/>
          <w:sz w:val="28"/>
          <w:szCs w:val="28"/>
        </w:rPr>
        <w:fldChar w:fldCharType="end"/>
      </w:r>
      <w:r>
        <w:fldChar w:fldCharType="end"/>
      </w:r>
    </w:p>
    <w:p>
      <w:pPr>
        <w:pStyle w:val="11"/>
        <w:rPr>
          <w:rFonts w:cs="Arial"/>
        </w:rPr>
      </w:pPr>
      <w:r>
        <w:fldChar w:fldCharType="begin"/>
      </w:r>
      <w:r>
        <w:instrText xml:space="preserve">Hyperlink \l "_Toc15396618"</w:instrText>
      </w:r>
      <w:r>
        <w:fldChar w:fldCharType="separate"/>
      </w:r>
      <w:r>
        <w:rPr>
          <w:rFonts w:hint="eastAsia"/>
        </w:rPr>
        <w:t>第</w:t>
      </w:r>
      <w:r>
        <w:rPr>
          <w:rFonts w:hint="eastAsia"/>
          <w:bCs/>
          <w:kern w:val="44"/>
        </w:rPr>
        <w:t>五部分附表</w:t>
      </w:r>
      <w:r>
        <w:tab/>
      </w:r>
      <w:r>
        <w:fldChar w:fldCharType="begin"/>
      </w:r>
      <w:r>
        <w:instrText xml:space="preserve"> PAGEREF _Toc15396618 \h </w:instrText>
      </w:r>
      <w:r>
        <w:fldChar w:fldCharType="separate"/>
      </w:r>
      <w:r>
        <w:t>22</w:t>
      </w:r>
      <w:r>
        <w:fldChar w:fldCharType="end"/>
      </w:r>
      <w:r>
        <w:fldChar w:fldCharType="end"/>
      </w:r>
    </w:p>
    <w:p>
      <w:pPr>
        <w:pStyle w:val="12"/>
        <w:rPr>
          <w:rFonts w:ascii="仿宋" w:eastAsia="仿宋" w:cs="Arial"/>
          <w:sz w:val="28"/>
          <w:szCs w:val="28"/>
        </w:rPr>
      </w:pPr>
      <w:r>
        <w:rPr>
          <w:rFonts w:hint="eastAsia" w:ascii="仿宋" w:eastAsia="仿宋"/>
          <w:sz w:val="28"/>
          <w:szCs w:val="28"/>
        </w:rPr>
        <w:t>一、</w:t>
      </w:r>
      <w:r>
        <w:fldChar w:fldCharType="begin"/>
      </w:r>
      <w:r>
        <w:instrText xml:space="preserve">Hyperlink \l "_Toc15396619"</w:instrText>
      </w:r>
      <w:r>
        <w:fldChar w:fldCharType="separate"/>
      </w:r>
      <w:r>
        <w:rPr>
          <w:rFonts w:hint="eastAsia" w:ascii="仿宋" w:eastAsia="仿宋"/>
          <w:sz w:val="28"/>
          <w:szCs w:val="28"/>
        </w:rPr>
        <w:t>收入支出决算总表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_Toc15396619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fldChar w:fldCharType="end"/>
      </w:r>
    </w:p>
    <w:p>
      <w:pPr>
        <w:pStyle w:val="12"/>
        <w:rPr>
          <w:rFonts w:ascii="仿宋" w:eastAsia="仿宋" w:cs="Arial"/>
          <w:sz w:val="28"/>
          <w:szCs w:val="28"/>
        </w:rPr>
      </w:pPr>
      <w:r>
        <w:rPr>
          <w:rFonts w:hint="eastAsia" w:ascii="仿宋" w:eastAsia="仿宋"/>
          <w:sz w:val="28"/>
          <w:szCs w:val="28"/>
        </w:rPr>
        <w:t>二、</w:t>
      </w:r>
      <w:r>
        <w:fldChar w:fldCharType="begin"/>
      </w:r>
      <w:r>
        <w:instrText xml:space="preserve">Hyperlink \l "_Toc15396620"</w:instrText>
      </w:r>
      <w:r>
        <w:fldChar w:fldCharType="separate"/>
      </w:r>
      <w:r>
        <w:rPr>
          <w:rFonts w:hint="eastAsia" w:ascii="仿宋" w:eastAsia="仿宋"/>
          <w:sz w:val="28"/>
          <w:szCs w:val="28"/>
        </w:rPr>
        <w:t>收入总表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_Toc15396620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fldChar w:fldCharType="end"/>
      </w:r>
    </w:p>
    <w:p>
      <w:pPr>
        <w:pStyle w:val="12"/>
        <w:rPr>
          <w:rFonts w:ascii="仿宋" w:eastAsia="仿宋" w:cs="Arial"/>
          <w:sz w:val="28"/>
          <w:szCs w:val="28"/>
        </w:rPr>
      </w:pPr>
      <w:r>
        <w:rPr>
          <w:rFonts w:hint="eastAsia" w:ascii="仿宋" w:eastAsia="仿宋"/>
          <w:sz w:val="28"/>
          <w:szCs w:val="28"/>
        </w:rPr>
        <w:t>三、</w:t>
      </w:r>
      <w:r>
        <w:fldChar w:fldCharType="begin"/>
      </w:r>
      <w:r>
        <w:instrText xml:space="preserve">Hyperlink \l "_Toc15396621"</w:instrText>
      </w:r>
      <w:r>
        <w:fldChar w:fldCharType="separate"/>
      </w:r>
      <w:r>
        <w:rPr>
          <w:rFonts w:hint="eastAsia" w:ascii="仿宋" w:eastAsia="仿宋"/>
          <w:sz w:val="28"/>
          <w:szCs w:val="28"/>
        </w:rPr>
        <w:t>支出总表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_Toc15396621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fldChar w:fldCharType="end"/>
      </w:r>
    </w:p>
    <w:p>
      <w:pPr>
        <w:pStyle w:val="12"/>
        <w:rPr>
          <w:rFonts w:ascii="仿宋" w:eastAsia="仿宋" w:cs="Arial"/>
          <w:sz w:val="28"/>
          <w:szCs w:val="28"/>
        </w:rPr>
      </w:pPr>
      <w:r>
        <w:rPr>
          <w:rFonts w:hint="eastAsia" w:ascii="仿宋" w:eastAsia="仿宋"/>
          <w:sz w:val="28"/>
          <w:szCs w:val="28"/>
        </w:rPr>
        <w:t>四、</w:t>
      </w:r>
      <w:r>
        <w:fldChar w:fldCharType="begin"/>
      </w:r>
      <w:r>
        <w:instrText xml:space="preserve">Hyperlink \l "_Toc15396622"</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_Toc15396622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fldChar w:fldCharType="end"/>
      </w:r>
    </w:p>
    <w:p>
      <w:pPr>
        <w:pStyle w:val="12"/>
        <w:rPr>
          <w:rFonts w:ascii="仿宋" w:eastAsia="仿宋"/>
          <w:sz w:val="28"/>
          <w:szCs w:val="28"/>
        </w:rPr>
      </w:pPr>
      <w:r>
        <w:rPr>
          <w:rFonts w:hint="eastAsia" w:ascii="仿宋" w:eastAsia="仿宋"/>
          <w:sz w:val="28"/>
          <w:szCs w:val="28"/>
        </w:rPr>
        <w:t>五、</w:t>
      </w:r>
      <w:r>
        <w:fldChar w:fldCharType="begin"/>
      </w:r>
      <w:r>
        <w:instrText xml:space="preserve">Hyperlink \l "_Toc15396623"</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_Toc15396623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fldChar w:fldCharType="end"/>
      </w:r>
    </w:p>
    <w:p>
      <w:pPr>
        <w:pStyle w:val="12"/>
        <w:rPr>
          <w:rFonts w:ascii="仿宋" w:eastAsia="仿宋" w:cs="Arial"/>
          <w:sz w:val="28"/>
          <w:szCs w:val="28"/>
        </w:rPr>
      </w:pPr>
      <w:r>
        <w:rPr>
          <w:rFonts w:hint="eastAsia" w:ascii="仿宋" w:eastAsia="仿宋"/>
          <w:sz w:val="28"/>
          <w:szCs w:val="28"/>
        </w:rPr>
        <w:t>六、</w:t>
      </w:r>
      <w:r>
        <w:fldChar w:fldCharType="begin"/>
      </w:r>
      <w:r>
        <w:instrText xml:space="preserve">Hyperlink \l "_Toc15396624"</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_Toc15396624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fldChar w:fldCharType="end"/>
      </w:r>
    </w:p>
    <w:p>
      <w:pPr>
        <w:pStyle w:val="12"/>
        <w:rPr>
          <w:rFonts w:ascii="仿宋" w:eastAsia="仿宋" w:cs="Arial"/>
          <w:sz w:val="28"/>
          <w:szCs w:val="28"/>
        </w:rPr>
      </w:pPr>
      <w:r>
        <w:rPr>
          <w:rFonts w:hint="eastAsia" w:ascii="仿宋" w:eastAsia="仿宋"/>
          <w:sz w:val="28"/>
          <w:szCs w:val="28"/>
        </w:rPr>
        <w:t>七、</w:t>
      </w:r>
      <w:r>
        <w:fldChar w:fldCharType="begin"/>
      </w:r>
      <w:r>
        <w:instrText xml:space="preserve">Hyperlink \l "_Toc15396625"</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_Toc15396625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fldChar w:fldCharType="end"/>
      </w:r>
    </w:p>
    <w:p>
      <w:pPr>
        <w:pStyle w:val="12"/>
        <w:rPr>
          <w:rFonts w:ascii="仿宋" w:eastAsia="仿宋" w:cs="Arial"/>
          <w:sz w:val="28"/>
          <w:szCs w:val="28"/>
        </w:rPr>
      </w:pPr>
      <w:r>
        <w:rPr>
          <w:rFonts w:hint="eastAsia" w:ascii="仿宋" w:eastAsia="仿宋"/>
          <w:sz w:val="28"/>
          <w:szCs w:val="28"/>
        </w:rPr>
        <w:t>八、</w:t>
      </w:r>
      <w:r>
        <w:fldChar w:fldCharType="begin"/>
      </w:r>
      <w:r>
        <w:instrText xml:space="preserve">Hyperlink \l "_Toc15396626"</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_Toc15396626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fldChar w:fldCharType="end"/>
      </w:r>
    </w:p>
    <w:p>
      <w:pPr>
        <w:pStyle w:val="12"/>
        <w:rPr>
          <w:rFonts w:ascii="仿宋" w:eastAsia="仿宋" w:cs="Arial"/>
          <w:sz w:val="28"/>
          <w:szCs w:val="28"/>
        </w:rPr>
      </w:pPr>
      <w:r>
        <w:rPr>
          <w:rFonts w:hint="eastAsia" w:ascii="仿宋" w:eastAsia="仿宋"/>
          <w:sz w:val="28"/>
          <w:szCs w:val="28"/>
        </w:rPr>
        <w:t>九、</w:t>
      </w:r>
      <w:r>
        <w:fldChar w:fldCharType="begin"/>
      </w:r>
      <w:r>
        <w:instrText xml:space="preserve">Hyperlink \l "_Toc15396627"</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_Toc15396627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fldChar w:fldCharType="end"/>
      </w:r>
    </w:p>
    <w:p>
      <w:pPr>
        <w:pStyle w:val="12"/>
        <w:rPr>
          <w:rFonts w:ascii="仿宋" w:eastAsia="仿宋" w:cs="Arial"/>
          <w:sz w:val="28"/>
          <w:szCs w:val="28"/>
        </w:rPr>
      </w:pPr>
      <w:r>
        <w:rPr>
          <w:rFonts w:hint="eastAsia" w:ascii="仿宋" w:eastAsia="仿宋"/>
          <w:sz w:val="28"/>
          <w:szCs w:val="28"/>
        </w:rPr>
        <w:t>十、</w:t>
      </w:r>
      <w:r>
        <w:fldChar w:fldCharType="begin"/>
      </w:r>
      <w:r>
        <w:instrText xml:space="preserve">Hyperlink \l "_Toc15396628"</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_Toc15396628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fldChar w:fldCharType="end"/>
      </w:r>
    </w:p>
    <w:p>
      <w:pPr>
        <w:pStyle w:val="12"/>
        <w:rPr>
          <w:rFonts w:ascii="仿宋" w:eastAsia="仿宋" w:cs="Arial"/>
          <w:sz w:val="28"/>
          <w:szCs w:val="28"/>
        </w:rPr>
      </w:pPr>
      <w:r>
        <w:rPr>
          <w:rFonts w:hint="eastAsia" w:ascii="仿宋" w:eastAsia="仿宋"/>
          <w:sz w:val="28"/>
          <w:szCs w:val="28"/>
        </w:rPr>
        <w:t>十一、</w:t>
      </w:r>
      <w:r>
        <w:fldChar w:fldCharType="begin"/>
      </w:r>
      <w:r>
        <w:instrText xml:space="preserve">Hyperlink \l "_Toc15396629"</w:instrText>
      </w:r>
      <w:r>
        <w:fldChar w:fldCharType="separate"/>
      </w:r>
      <w:r>
        <w:rPr>
          <w:rFonts w:hint="eastAsia" w:ascii="仿宋" w:eastAsia="仿宋"/>
          <w:sz w:val="28"/>
          <w:szCs w:val="28"/>
        </w:rPr>
        <w:t>政府性基金预算财政拨款收入支出决算表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_Toc15396629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fldChar w:fldCharType="end"/>
      </w:r>
    </w:p>
    <w:p>
      <w:pPr>
        <w:pStyle w:val="12"/>
        <w:rPr>
          <w:rFonts w:ascii="仿宋" w:eastAsia="仿宋" w:cs="Arial"/>
          <w:sz w:val="28"/>
          <w:szCs w:val="28"/>
        </w:rPr>
      </w:pPr>
      <w:r>
        <w:rPr>
          <w:rFonts w:hint="eastAsia" w:ascii="仿宋" w:eastAsia="仿宋"/>
          <w:sz w:val="28"/>
          <w:szCs w:val="28"/>
        </w:rPr>
        <w:t>十二、</w:t>
      </w:r>
      <w:r>
        <w:fldChar w:fldCharType="begin"/>
      </w:r>
      <w:r>
        <w:instrText xml:space="preserve">Hyperlink \l "_Toc15396630"</w:instrText>
      </w:r>
      <w:r>
        <w:fldChar w:fldCharType="separate"/>
      </w:r>
      <w:r>
        <w:rPr>
          <w:rFonts w:hint="eastAsia" w:ascii="仿宋" w:eastAsia="仿宋"/>
          <w:sz w:val="28"/>
          <w:szCs w:val="28"/>
        </w:rPr>
        <w:t>政府性基金预算财政拨款“三公”经费支出决算表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_Toc15396630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fldChar w:fldCharType="end"/>
      </w:r>
    </w:p>
    <w:p>
      <w:pPr>
        <w:pStyle w:val="12"/>
        <w:rPr>
          <w:rFonts w:ascii="仿宋" w:eastAsia="仿宋" w:cs="Arial"/>
          <w:sz w:val="24"/>
        </w:rPr>
      </w:pPr>
      <w:r>
        <w:rPr>
          <w:rFonts w:hint="eastAsia" w:ascii="仿宋" w:eastAsia="仿宋"/>
          <w:sz w:val="28"/>
          <w:szCs w:val="28"/>
        </w:rPr>
        <w:t>十三、</w:t>
      </w:r>
      <w:r>
        <w:fldChar w:fldCharType="begin"/>
      </w:r>
      <w:r>
        <w:instrText xml:space="preserve">Hyperlink \l "_Toc15396631"</w:instrText>
      </w:r>
      <w:r>
        <w:fldChar w:fldCharType="separate"/>
      </w:r>
      <w:r>
        <w:rPr>
          <w:rFonts w:hint="eastAsia" w:ascii="仿宋" w:eastAsia="仿宋"/>
          <w:sz w:val="28"/>
          <w:szCs w:val="28"/>
        </w:rPr>
        <w:t>国有资本经营预算支出决算表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_Toc15396631 \h </w:instrText>
      </w:r>
      <w:r>
        <w:rPr>
          <w:rFonts w:ascii="仿宋" w:eastAsia="仿宋"/>
          <w:sz w:val="28"/>
          <w:szCs w:val="28"/>
        </w:rPr>
        <w:fldChar w:fldCharType="separate"/>
      </w:r>
      <w:r>
        <w:rPr>
          <w:rFonts w:ascii="仿宋" w:eastAsia="仿宋"/>
          <w:sz w:val="28"/>
          <w:szCs w:val="28"/>
        </w:rPr>
        <w:t>22</w:t>
      </w:r>
      <w:r>
        <w:rPr>
          <w:rFonts w:ascii="仿宋" w:eastAsia="仿宋"/>
          <w:sz w:val="28"/>
          <w:szCs w:val="28"/>
        </w:rPr>
        <w:fldChar w:fldCharType="end"/>
      </w:r>
      <w:r>
        <w:fldChar w:fldCharType="end"/>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2"/>
        <w:jc w:val="center"/>
        <w:rPr>
          <w:rStyle w:val="20"/>
          <w:rFonts w:ascii="黑体" w:eastAsia="黑体"/>
          <w:b/>
          <w:bCs w:val="0"/>
        </w:rPr>
      </w:pPr>
      <w:r>
        <w:rPr>
          <w:rFonts w:hint="eastAsia" w:ascii="黑体" w:eastAsia="黑体"/>
          <w:b w:val="0"/>
        </w:rPr>
        <w:t xml:space="preserve">第一部分 </w:t>
      </w:r>
      <w:r>
        <w:rPr>
          <w:rStyle w:val="20"/>
          <w:rFonts w:hint="eastAsia" w:ascii="黑体" w:eastAsia="黑体"/>
          <w:b w:val="0"/>
          <w:bCs w:val="0"/>
        </w:rPr>
        <w:t>部门概况</w:t>
      </w:r>
      <w:bookmarkEnd w:id="12"/>
      <w:bookmarkEnd w:id="13"/>
    </w:p>
    <w:p>
      <w:pPr>
        <w:widowControl/>
        <w:jc w:val="left"/>
        <w:rPr>
          <w:rFonts w:ascii="黑体" w:eastAsia="黑体"/>
          <w:color w:val="000000"/>
          <w:sz w:val="32"/>
          <w:szCs w:val="32"/>
        </w:rPr>
      </w:pPr>
    </w:p>
    <w:p>
      <w:pPr>
        <w:pStyle w:val="3"/>
        <w:numPr>
          <w:ilvl w:val="0"/>
          <w:numId w:val="1"/>
        </w:numPr>
        <w:rPr>
          <w:rStyle w:val="21"/>
          <w:rFonts w:ascii="黑体" w:eastAsia="黑体"/>
          <w:b w:val="0"/>
          <w:bCs w:val="0"/>
        </w:rPr>
      </w:pPr>
      <w:bookmarkStart w:id="14" w:name="_Toc15377197"/>
      <w:bookmarkStart w:id="15" w:name="_Toc15396600"/>
      <w:r>
        <w:rPr>
          <w:rFonts w:hint="eastAsia" w:ascii="黑体" w:eastAsia="黑体"/>
          <w:b w:val="0"/>
          <w:color w:val="000000"/>
        </w:rPr>
        <w:t>基</w:t>
      </w:r>
      <w:r>
        <w:rPr>
          <w:rStyle w:val="21"/>
          <w:rFonts w:hint="eastAsia" w:ascii="黑体" w:eastAsia="黑体"/>
          <w:b w:val="0"/>
          <w:bCs w:val="0"/>
        </w:rPr>
        <w:t>本职能及主要工作</w:t>
      </w:r>
      <w:bookmarkEnd w:id="14"/>
      <w:bookmarkEnd w:id="15"/>
    </w:p>
    <w:p>
      <w:pPr>
        <w:pStyle w:val="5"/>
        <w:adjustRightInd w:val="0"/>
        <w:snapToGrid w:val="0"/>
        <w:spacing w:before="180" w:beforeLines="0" w:line="600" w:lineRule="exact"/>
        <w:ind w:firstLine="662" w:firstLineChars="209"/>
        <w:outlineLvl w:val="2"/>
        <w:rPr>
          <w:rFonts w:ascii="仿宋" w:eastAsia="仿宋"/>
          <w:bCs/>
          <w:color w:val="000000"/>
          <w:sz w:val="32"/>
          <w:szCs w:val="32"/>
        </w:rPr>
      </w:pPr>
      <w:bookmarkStart w:id="16" w:name="_Toc15377198"/>
      <w:bookmarkStart w:id="17" w:name="_Toc15378445"/>
      <w:r>
        <w:rPr>
          <w:rFonts w:hint="eastAsia" w:ascii="仿宋" w:eastAsia="仿宋"/>
          <w:bCs/>
          <w:color w:val="000000"/>
          <w:sz w:val="32"/>
          <w:szCs w:val="32"/>
        </w:rPr>
        <w:t>（一）主要职能。（职能参照省政府批准的三定方案）</w:t>
      </w:r>
      <w:bookmarkEnd w:id="16"/>
      <w:bookmarkEnd w:id="17"/>
    </w:p>
    <w:p>
      <w:pPr>
        <w:ind w:firstLine="945" w:firstLineChars="298"/>
        <w:rPr>
          <w:rFonts w:ascii="仿宋" w:eastAsia="仿宋" w:cs="宋体"/>
          <w:color w:val="000000"/>
          <w:kern w:val="0"/>
          <w:sz w:val="32"/>
          <w:szCs w:val="32"/>
        </w:rPr>
      </w:pPr>
      <w:bookmarkStart w:id="18" w:name="_Toc15377199"/>
      <w:bookmarkStart w:id="19" w:name="_Toc15378446"/>
      <w:r>
        <w:rPr>
          <w:rFonts w:hint="eastAsia" w:ascii="仿宋" w:eastAsia="仿宋" w:cs="宋体"/>
          <w:color w:val="000000"/>
          <w:kern w:val="0"/>
          <w:sz w:val="32"/>
          <w:szCs w:val="32"/>
        </w:rPr>
        <w:t>1、贯彻执行国家有关旅游工作的方针、政策和法律、法规，参与制定地方旅游行业有关政策和规章制度。负责本系统、本部门依法行政工作，落实行政执法责任制，制度旅游发展的地方标准和行业规范并组织实施。</w:t>
      </w:r>
    </w:p>
    <w:p>
      <w:pPr>
        <w:ind w:firstLine="945" w:firstLineChars="298"/>
        <w:rPr>
          <w:rFonts w:ascii="仿宋" w:eastAsia="仿宋" w:cs="宋体"/>
          <w:color w:val="000000"/>
          <w:kern w:val="0"/>
          <w:sz w:val="32"/>
          <w:szCs w:val="32"/>
        </w:rPr>
      </w:pPr>
      <w:r>
        <w:rPr>
          <w:rFonts w:hint="eastAsia" w:ascii="仿宋" w:eastAsia="仿宋" w:cs="宋体"/>
          <w:color w:val="000000"/>
          <w:kern w:val="0"/>
          <w:sz w:val="32"/>
          <w:szCs w:val="32"/>
        </w:rPr>
        <w:t>2、制度并组织实施全县旅游产业发展总体规划、旅游专项规划和年度计划，对全县旅游规划进行监督管理。</w:t>
      </w:r>
    </w:p>
    <w:p>
      <w:pPr>
        <w:ind w:firstLine="945" w:firstLineChars="298"/>
        <w:rPr>
          <w:rFonts w:ascii="仿宋" w:eastAsia="仿宋" w:cs="宋体"/>
          <w:color w:val="000000"/>
          <w:kern w:val="0"/>
          <w:sz w:val="32"/>
          <w:szCs w:val="32"/>
        </w:rPr>
      </w:pPr>
      <w:r>
        <w:rPr>
          <w:rFonts w:hint="eastAsia" w:ascii="仿宋" w:eastAsia="仿宋" w:cs="宋体"/>
          <w:color w:val="000000"/>
          <w:kern w:val="0"/>
          <w:sz w:val="32"/>
          <w:szCs w:val="32"/>
        </w:rPr>
        <w:t>3、研究拟定培育旅游支柱产业的战略措施，并指导实施；协调有关部门培育和完善全县旅游市场，组织旅游资源的普查，组织、指导重要旅游产品的开发。</w:t>
      </w:r>
    </w:p>
    <w:p>
      <w:pPr>
        <w:ind w:firstLine="945" w:firstLineChars="298"/>
        <w:rPr>
          <w:rFonts w:ascii="仿宋" w:eastAsia="仿宋" w:cs="宋体"/>
          <w:color w:val="000000"/>
          <w:kern w:val="0"/>
          <w:sz w:val="32"/>
          <w:szCs w:val="32"/>
        </w:rPr>
      </w:pPr>
      <w:r>
        <w:rPr>
          <w:rFonts w:hint="eastAsia" w:ascii="仿宋" w:eastAsia="仿宋" w:cs="宋体"/>
          <w:color w:val="000000"/>
          <w:kern w:val="0"/>
          <w:sz w:val="32"/>
          <w:szCs w:val="32"/>
        </w:rPr>
        <w:t>4、会同有关部门指导旅游资源开发、重大旅游项目规划建设、旅游安全、旅游应急救援、假日旅游等工作。</w:t>
      </w:r>
    </w:p>
    <w:p>
      <w:pPr>
        <w:ind w:firstLine="945" w:firstLineChars="298"/>
        <w:rPr>
          <w:rFonts w:ascii="仿宋" w:eastAsia="仿宋" w:cs="宋体"/>
          <w:color w:val="000000"/>
          <w:kern w:val="0"/>
          <w:sz w:val="32"/>
          <w:szCs w:val="32"/>
        </w:rPr>
      </w:pPr>
      <w:r>
        <w:rPr>
          <w:rFonts w:hint="eastAsia" w:ascii="仿宋" w:eastAsia="仿宋" w:cs="宋体"/>
          <w:color w:val="000000"/>
          <w:kern w:val="0"/>
          <w:sz w:val="32"/>
          <w:szCs w:val="32"/>
        </w:rPr>
        <w:t>5、制定全县国内旅游、入境旅游和处境旅游市场的开发战略并组织实施，组织九寨沟县旅游整体形象的对外宣传和重大推广活动。</w:t>
      </w:r>
    </w:p>
    <w:p>
      <w:pPr>
        <w:ind w:firstLine="945" w:firstLineChars="298"/>
        <w:rPr>
          <w:rFonts w:ascii="仿宋" w:eastAsia="仿宋" w:cs="宋体"/>
          <w:color w:val="000000"/>
          <w:kern w:val="0"/>
          <w:sz w:val="32"/>
          <w:szCs w:val="32"/>
        </w:rPr>
      </w:pPr>
      <w:r>
        <w:rPr>
          <w:rFonts w:hint="eastAsia" w:ascii="仿宋" w:eastAsia="仿宋" w:cs="宋体"/>
          <w:color w:val="000000"/>
          <w:kern w:val="0"/>
          <w:sz w:val="32"/>
          <w:szCs w:val="32"/>
        </w:rPr>
        <w:t>6、负责全县旅行社的监督管理，监督旅游市场秩</w:t>
      </w:r>
    </w:p>
    <w:p>
      <w:pPr>
        <w:ind w:firstLine="636"/>
        <w:rPr>
          <w:rFonts w:ascii="仿宋" w:eastAsia="仿宋" w:cs="宋体"/>
          <w:color w:val="000000"/>
          <w:kern w:val="0"/>
          <w:sz w:val="32"/>
          <w:szCs w:val="32"/>
        </w:rPr>
      </w:pPr>
      <w:r>
        <w:rPr>
          <w:rFonts w:hint="eastAsia" w:ascii="仿宋" w:eastAsia="仿宋" w:cs="宋体"/>
          <w:color w:val="000000"/>
          <w:kern w:val="0"/>
          <w:sz w:val="32"/>
          <w:szCs w:val="32"/>
        </w:rPr>
        <w:t>序、旅游服务质量，监督旅游投诉处理、维护旅游者和旅游经营者合法权益，指导旅游行业精神文明建设、诚信体系建设和廉政建设。</w:t>
      </w:r>
    </w:p>
    <w:p>
      <w:pPr>
        <w:ind w:firstLine="945" w:firstLineChars="298"/>
        <w:rPr>
          <w:rFonts w:ascii="仿宋" w:eastAsia="仿宋" w:cs="宋体"/>
          <w:color w:val="000000"/>
          <w:kern w:val="0"/>
          <w:sz w:val="32"/>
          <w:szCs w:val="32"/>
        </w:rPr>
      </w:pPr>
      <w:r>
        <w:rPr>
          <w:rFonts w:hint="eastAsia" w:ascii="仿宋" w:eastAsia="仿宋" w:cs="宋体"/>
          <w:color w:val="000000"/>
          <w:kern w:val="0"/>
          <w:sz w:val="32"/>
          <w:szCs w:val="32"/>
        </w:rPr>
        <w:t>7、负责审核、申报经营国内旅游业务的旅行社（公司）；负责向上级行政主管部门推荐星级饭店的评审工作；参与我县星级饭店的评定和复核工作。</w:t>
      </w:r>
    </w:p>
    <w:p>
      <w:pPr>
        <w:ind w:firstLine="945" w:firstLineChars="298"/>
        <w:rPr>
          <w:rFonts w:ascii="仿宋" w:eastAsia="仿宋" w:cs="宋体"/>
          <w:color w:val="000000"/>
          <w:kern w:val="0"/>
          <w:sz w:val="32"/>
          <w:szCs w:val="32"/>
        </w:rPr>
      </w:pPr>
      <w:r>
        <w:rPr>
          <w:rFonts w:hint="eastAsia" w:ascii="仿宋" w:eastAsia="仿宋" w:cs="宋体"/>
          <w:color w:val="000000"/>
          <w:kern w:val="0"/>
          <w:sz w:val="32"/>
          <w:szCs w:val="32"/>
        </w:rPr>
        <w:t>8、参与旅游市场价格检查工作；参加重大旅游交通安全事故的救援处理；指导旅游娱乐工作和旅游行业精神文明建设和廉政建设。</w:t>
      </w:r>
    </w:p>
    <w:p>
      <w:pPr>
        <w:ind w:firstLine="945" w:firstLineChars="298"/>
        <w:rPr>
          <w:rFonts w:ascii="仿宋" w:eastAsia="仿宋" w:cs="宋体"/>
          <w:color w:val="000000"/>
          <w:kern w:val="0"/>
          <w:sz w:val="32"/>
          <w:szCs w:val="32"/>
        </w:rPr>
      </w:pPr>
      <w:r>
        <w:rPr>
          <w:rFonts w:hint="eastAsia" w:ascii="仿宋" w:eastAsia="仿宋" w:cs="宋体"/>
          <w:color w:val="000000"/>
          <w:kern w:val="0"/>
          <w:sz w:val="32"/>
          <w:szCs w:val="32"/>
        </w:rPr>
        <w:t>9、会同有关部门推进旅游体制和机制改革工作，指导重点旅游企业发展、旅游新业态的规划和开发以及招商引资工作。</w:t>
      </w:r>
    </w:p>
    <w:p>
      <w:pPr>
        <w:ind w:firstLine="786" w:firstLineChars="248"/>
        <w:rPr>
          <w:rFonts w:ascii="仿宋" w:eastAsia="仿宋" w:cs="宋体"/>
          <w:color w:val="000000"/>
          <w:kern w:val="0"/>
          <w:sz w:val="32"/>
          <w:szCs w:val="32"/>
        </w:rPr>
      </w:pPr>
      <w:r>
        <w:rPr>
          <w:rFonts w:hint="eastAsia" w:ascii="仿宋" w:eastAsia="仿宋" w:cs="宋体"/>
          <w:color w:val="000000"/>
          <w:kern w:val="0"/>
          <w:sz w:val="32"/>
          <w:szCs w:val="32"/>
        </w:rPr>
        <w:t>10、监测旅游经济运行，负责旅游信息化建设、旅游统计和行业信息发布。</w:t>
      </w:r>
    </w:p>
    <w:p>
      <w:pPr>
        <w:ind w:firstLine="786" w:firstLineChars="248"/>
        <w:rPr>
          <w:rFonts w:ascii="仿宋" w:eastAsia="仿宋" w:cs="宋体"/>
          <w:color w:val="000000"/>
          <w:kern w:val="0"/>
          <w:sz w:val="32"/>
          <w:szCs w:val="32"/>
        </w:rPr>
      </w:pPr>
      <w:r>
        <w:rPr>
          <w:rFonts w:hint="eastAsia" w:ascii="仿宋" w:eastAsia="仿宋" w:cs="宋体"/>
          <w:color w:val="000000"/>
          <w:kern w:val="0"/>
          <w:sz w:val="32"/>
          <w:szCs w:val="32"/>
        </w:rPr>
        <w:t>11、制定并组织实施旅游人才规划，指导旅游教育工作，会同有关部门拟定旅游从业人员职业资格标准和登记标准并组织实施。管理机关编制和干部人事。</w:t>
      </w:r>
    </w:p>
    <w:p>
      <w:pPr>
        <w:ind w:firstLine="786" w:firstLineChars="248"/>
        <w:rPr>
          <w:rFonts w:ascii="仿宋" w:eastAsia="仿宋" w:cs="宋体"/>
          <w:color w:val="000000"/>
          <w:kern w:val="0"/>
          <w:sz w:val="32"/>
          <w:szCs w:val="32"/>
        </w:rPr>
      </w:pPr>
      <w:r>
        <w:rPr>
          <w:rFonts w:hint="eastAsia" w:ascii="仿宋" w:eastAsia="仿宋" w:cs="宋体"/>
          <w:color w:val="000000"/>
          <w:kern w:val="0"/>
          <w:sz w:val="32"/>
          <w:szCs w:val="32"/>
        </w:rPr>
        <w:t>12、承担县政府公布的有关行政审批事项。</w:t>
      </w:r>
    </w:p>
    <w:p>
      <w:pPr>
        <w:pStyle w:val="5"/>
        <w:adjustRightInd w:val="0"/>
        <w:snapToGrid w:val="0"/>
        <w:spacing w:before="180" w:beforeLines="0" w:line="600" w:lineRule="exact"/>
        <w:ind w:firstLine="476" w:firstLineChars="150"/>
        <w:outlineLvl w:val="2"/>
        <w:rPr>
          <w:rFonts w:ascii="仿宋" w:eastAsia="仿宋"/>
          <w:bCs/>
          <w:color w:val="000000"/>
          <w:sz w:val="32"/>
          <w:szCs w:val="32"/>
        </w:rPr>
      </w:pPr>
      <w:r>
        <w:rPr>
          <w:rFonts w:hint="eastAsia" w:ascii="仿宋" w:eastAsia="仿宋"/>
          <w:bCs/>
          <w:color w:val="000000"/>
          <w:sz w:val="32"/>
          <w:szCs w:val="32"/>
        </w:rPr>
        <w:t>（二）、</w:t>
      </w:r>
      <w:r>
        <w:rPr>
          <w:rFonts w:ascii="仿宋" w:eastAsia="仿宋"/>
          <w:bCs/>
          <w:color w:val="000000"/>
          <w:sz w:val="32"/>
          <w:szCs w:val="32"/>
        </w:rPr>
        <w:t>201</w:t>
      </w:r>
      <w:r>
        <w:rPr>
          <w:rFonts w:hint="eastAsia" w:ascii="仿宋" w:eastAsia="仿宋"/>
          <w:bCs/>
          <w:color w:val="000000"/>
          <w:sz w:val="32"/>
          <w:szCs w:val="32"/>
        </w:rPr>
        <w:t>8年重点工作完成情况</w:t>
      </w:r>
      <w:bookmarkEnd w:id="18"/>
      <w:bookmarkEnd w:id="19"/>
    </w:p>
    <w:p>
      <w:pPr>
        <w:spacing w:line="576" w:lineRule="exact"/>
        <w:ind w:firstLine="634" w:firstLineChars="200"/>
        <w:rPr>
          <w:rFonts w:ascii="仿宋" w:eastAsia="仿宋"/>
          <w:color w:val="000000"/>
          <w:sz w:val="32"/>
          <w:szCs w:val="32"/>
          <w:shd w:val="clear" w:color="auto" w:fill="FFFFFF"/>
        </w:rPr>
      </w:pPr>
      <w:r>
        <w:rPr>
          <w:rFonts w:ascii="仿宋" w:eastAsia="仿宋"/>
          <w:color w:val="000000"/>
          <w:sz w:val="32"/>
          <w:szCs w:val="32"/>
          <w:shd w:val="clear" w:color="auto" w:fill="FFFFFF"/>
        </w:rPr>
        <w:t>2018年在县委、县政府的坚强领导下，紧紧围绕</w:t>
      </w:r>
      <w:r>
        <w:rPr>
          <w:rFonts w:ascii="仿宋" w:eastAsia="仿宋"/>
          <w:color w:val="000000"/>
          <w:sz w:val="32"/>
          <w:szCs w:val="32"/>
          <w:shd w:val="clear" w:color="auto" w:fill="FBFBFB"/>
        </w:rPr>
        <w:t>“</w:t>
      </w:r>
      <w:r>
        <w:rPr>
          <w:rFonts w:ascii="仿宋" w:eastAsia="仿宋"/>
          <w:color w:val="000000"/>
          <w:sz w:val="32"/>
          <w:szCs w:val="32"/>
          <w:shd w:val="clear" w:color="auto" w:fill="FFFFFF"/>
        </w:rPr>
        <w:t>四个年建设”总体任务，发扬九寨精神，全力抓好灾后重建，以改革创新为动力，以全域旅游战略为路径，以品质化发展为保证，以智慧化服务为抓手，以惠民强县为根本，现将2018年工作总结如下：</w:t>
      </w:r>
    </w:p>
    <w:p>
      <w:pPr>
        <w:spacing w:line="576" w:lineRule="exact"/>
        <w:ind w:firstLine="634" w:firstLineChars="200"/>
        <w:rPr>
          <w:rFonts w:ascii="仿宋" w:eastAsia="仿宋"/>
          <w:color w:val="000000"/>
          <w:sz w:val="32"/>
          <w:szCs w:val="32"/>
        </w:rPr>
      </w:pPr>
      <w:r>
        <w:rPr>
          <w:rFonts w:hint="eastAsia" w:ascii="仿宋" w:eastAsia="仿宋"/>
          <w:color w:val="000000"/>
          <w:sz w:val="32"/>
          <w:szCs w:val="32"/>
        </w:rPr>
        <w:t>1</w:t>
      </w:r>
      <w:r>
        <w:rPr>
          <w:rFonts w:ascii="仿宋" w:eastAsia="仿宋"/>
          <w:color w:val="000000"/>
          <w:sz w:val="32"/>
          <w:szCs w:val="32"/>
        </w:rPr>
        <w:t>、聚焦“重建攻坚年”，扎实推进项目建设工作</w:t>
      </w:r>
    </w:p>
    <w:p>
      <w:pPr>
        <w:spacing w:line="576" w:lineRule="exact"/>
        <w:ind w:firstLine="634" w:firstLineChars="200"/>
        <w:rPr>
          <w:rFonts w:ascii="仿宋" w:eastAsia="仿宋"/>
          <w:sz w:val="32"/>
          <w:szCs w:val="32"/>
        </w:rPr>
      </w:pPr>
      <w:r>
        <w:rPr>
          <w:rFonts w:ascii="仿宋" w:eastAsia="仿宋"/>
          <w:sz w:val="32"/>
          <w:szCs w:val="32"/>
        </w:rPr>
        <w:t>（</w:t>
      </w:r>
      <w:r>
        <w:rPr>
          <w:rFonts w:hint="eastAsia" w:ascii="仿宋" w:eastAsia="仿宋"/>
          <w:sz w:val="32"/>
          <w:szCs w:val="32"/>
        </w:rPr>
        <w:t>1</w:t>
      </w:r>
      <w:r>
        <w:rPr>
          <w:rFonts w:ascii="仿宋" w:eastAsia="仿宋"/>
          <w:sz w:val="32"/>
          <w:szCs w:val="32"/>
        </w:rPr>
        <w:t>）扎实推进灾后重建项目。2018年，聚焦重建攻坚年，紧紧围绕“全域发展·绿色崛起”总体思路，</w:t>
      </w:r>
      <w:r>
        <w:rPr>
          <w:rFonts w:ascii="仿宋" w:eastAsia="仿宋"/>
          <w:color w:val="000000"/>
          <w:sz w:val="32"/>
          <w:szCs w:val="32"/>
        </w:rPr>
        <w:t>充分利用九寨丰富的生态资源，积极串联沟内沟外，深度开发中查沟、神仙池、甘海子、九寨云顶4大生态旅游度假区，有效辐射勿角、白河、罗依、上四寨等区域生态文化景点，</w:t>
      </w:r>
      <w:r>
        <w:rPr>
          <w:rFonts w:ascii="仿宋" w:eastAsia="仿宋"/>
          <w:bCs/>
          <w:sz w:val="32"/>
          <w:szCs w:val="32"/>
        </w:rPr>
        <w:t>紧盯</w:t>
      </w:r>
      <w:r>
        <w:rPr>
          <w:rFonts w:ascii="仿宋" w:eastAsia="仿宋"/>
          <w:sz w:val="32"/>
          <w:szCs w:val="32"/>
        </w:rPr>
        <w:t>省、州、县灾后重建任务</w:t>
      </w:r>
      <w:r>
        <w:rPr>
          <w:rFonts w:ascii="仿宋" w:eastAsia="仿宋"/>
          <w:bCs/>
          <w:sz w:val="32"/>
          <w:szCs w:val="32"/>
        </w:rPr>
        <w:t>，编制专项方案、完善工作机制、实行项目专班、建立沟通联系机制，</w:t>
      </w:r>
      <w:r>
        <w:rPr>
          <w:rFonts w:ascii="仿宋" w:eastAsia="仿宋"/>
          <w:sz w:val="32"/>
          <w:szCs w:val="32"/>
        </w:rPr>
        <w:t>加强招商引资力度，更加注重生态环境保护。</w:t>
      </w:r>
      <w:r>
        <w:rPr>
          <w:rFonts w:ascii="仿宋" w:eastAsia="仿宋"/>
          <w:bCs/>
          <w:sz w:val="32"/>
          <w:szCs w:val="32"/>
        </w:rPr>
        <w:t>结合旅游产业自身属性，反复酝酿及仔细论证产业前景和市场定位。严把规划设计质量关、严把要件办理程序关、严格项目建设程序关，对标生态红线和国家相关政策要求，严控廉政风险，奋力推进项目建设。</w:t>
      </w:r>
      <w:r>
        <w:rPr>
          <w:rFonts w:hint="eastAsia" w:ascii="仿宋" w:eastAsia="仿宋"/>
          <w:sz w:val="32"/>
          <w:szCs w:val="32"/>
          <w:lang w:eastAsia="zh-CN"/>
        </w:rPr>
        <w:t>截至目前</w:t>
      </w:r>
      <w:r>
        <w:rPr>
          <w:rFonts w:ascii="仿宋" w:eastAsia="仿宋"/>
          <w:sz w:val="32"/>
          <w:szCs w:val="32"/>
        </w:rPr>
        <w:t>，甘海子生态文化旅游区建设项目、神仙池生态文化旅游区建设项目、勿角民族生态旅游试验区建设项目、特色民宿及自驾营地建设等规划内项目均已开工建设，</w:t>
      </w:r>
      <w:r>
        <w:rPr>
          <w:rFonts w:ascii="仿宋" w:eastAsia="仿宋"/>
          <w:bCs/>
          <w:sz w:val="32"/>
          <w:szCs w:val="32"/>
        </w:rPr>
        <w:t>累计</w:t>
      </w:r>
      <w:r>
        <w:rPr>
          <w:rFonts w:ascii="仿宋" w:eastAsia="仿宋"/>
          <w:sz w:val="32"/>
          <w:szCs w:val="32"/>
        </w:rPr>
        <w:t>完成投资3843.68万元，累计支付资金为1958.3701万元；</w:t>
      </w:r>
      <w:r>
        <w:rPr>
          <w:rFonts w:ascii="仿宋" w:eastAsia="仿宋"/>
          <w:bCs/>
          <w:sz w:val="32"/>
          <w:szCs w:val="32"/>
        </w:rPr>
        <w:t>九寨鲁能·胜地建设项目、九寨永乐·温泉谷项目、九寨光谷国际旅游度假区项目等规划外项目按计划加紧推进。</w:t>
      </w:r>
    </w:p>
    <w:p>
      <w:pPr>
        <w:spacing w:line="576" w:lineRule="exact"/>
        <w:ind w:firstLine="634" w:firstLineChars="200"/>
        <w:rPr>
          <w:rFonts w:ascii="仿宋" w:eastAsia="仿宋"/>
          <w:sz w:val="32"/>
          <w:szCs w:val="32"/>
        </w:rPr>
      </w:pPr>
      <w:r>
        <w:rPr>
          <w:rFonts w:ascii="仿宋" w:eastAsia="仿宋"/>
          <w:sz w:val="32"/>
          <w:szCs w:val="32"/>
        </w:rPr>
        <w:t>（</w:t>
      </w:r>
      <w:r>
        <w:rPr>
          <w:rFonts w:hint="eastAsia" w:ascii="仿宋" w:eastAsia="仿宋"/>
          <w:sz w:val="32"/>
          <w:szCs w:val="32"/>
        </w:rPr>
        <w:t>2</w:t>
      </w:r>
      <w:r>
        <w:rPr>
          <w:rFonts w:ascii="仿宋" w:eastAsia="仿宋"/>
          <w:sz w:val="32"/>
          <w:szCs w:val="32"/>
        </w:rPr>
        <w:t>） 强化招商，吸引投资。结合“一主两核三带”绿色发展新布局，前后邀请成都新希望集团、驴妈妈集团、四川魅力川西旅游开发有限公司等10余家旅游开发企业进行现场考察调研，洽谈项目合作开发事宜。目前，已与驴妈妈集团签订战略合作框架协议，与九寨鲁能公司、保华乡村旅游公司签订合作开发框架协议，达成社会主体融资意向2240万元，与九寨万豪旅游发展有限公司达成融资意向3340万元。</w:t>
      </w:r>
    </w:p>
    <w:p>
      <w:pPr>
        <w:pBdr>
          <w:bottom w:val="single" w:color="FFFFFF" w:sz="6" w:space="0"/>
        </w:pBdr>
        <w:tabs>
          <w:tab w:val="left" w:pos="6695"/>
          <w:tab w:val="left" w:pos="6725"/>
        </w:tabs>
        <w:topLinePunct/>
        <w:adjustRightInd w:val="0"/>
        <w:spacing w:line="576" w:lineRule="exact"/>
        <w:ind w:firstLine="634" w:firstLineChars="200"/>
        <w:textAlignment w:val="top"/>
        <w:rPr>
          <w:rFonts w:ascii="仿宋" w:eastAsia="仿宋"/>
          <w:color w:val="000000"/>
          <w:sz w:val="32"/>
          <w:szCs w:val="32"/>
        </w:rPr>
      </w:pPr>
      <w:r>
        <w:rPr>
          <w:rFonts w:hint="eastAsia" w:ascii="仿宋" w:eastAsia="仿宋"/>
          <w:color w:val="000000"/>
          <w:sz w:val="32"/>
          <w:szCs w:val="32"/>
        </w:rPr>
        <w:t>2</w:t>
      </w:r>
      <w:r>
        <w:rPr>
          <w:rFonts w:ascii="仿宋" w:eastAsia="仿宋"/>
          <w:color w:val="000000"/>
          <w:sz w:val="32"/>
          <w:szCs w:val="32"/>
        </w:rPr>
        <w:t>、聚焦“脱贫</w:t>
      </w:r>
      <w:r>
        <w:rPr>
          <w:rFonts w:hint="eastAsia" w:ascii="仿宋" w:eastAsia="仿宋"/>
          <w:color w:val="000000"/>
          <w:sz w:val="32"/>
          <w:szCs w:val="32"/>
        </w:rPr>
        <w:t>奔康</w:t>
      </w:r>
      <w:r>
        <w:rPr>
          <w:rFonts w:ascii="仿宋" w:eastAsia="仿宋"/>
          <w:color w:val="000000"/>
          <w:sz w:val="32"/>
          <w:szCs w:val="32"/>
        </w:rPr>
        <w:t>年”，扎实推进旅游扶贫工作</w:t>
      </w:r>
    </w:p>
    <w:p>
      <w:pPr>
        <w:pBdr>
          <w:bottom w:val="single" w:color="FFFFFF" w:sz="6" w:space="0"/>
        </w:pBdr>
        <w:tabs>
          <w:tab w:val="left" w:pos="6695"/>
          <w:tab w:val="left" w:pos="6725"/>
        </w:tabs>
        <w:topLinePunct/>
        <w:adjustRightInd w:val="0"/>
        <w:spacing w:line="576" w:lineRule="exact"/>
        <w:ind w:firstLine="634" w:firstLineChars="200"/>
        <w:textAlignment w:val="top"/>
        <w:rPr>
          <w:rFonts w:ascii="仿宋" w:eastAsia="仿宋"/>
          <w:color w:val="000000"/>
          <w:sz w:val="32"/>
          <w:szCs w:val="32"/>
        </w:rPr>
      </w:pPr>
      <w:r>
        <w:rPr>
          <w:rFonts w:ascii="仿宋" w:eastAsia="仿宋"/>
          <w:sz w:val="32"/>
          <w:szCs w:val="32"/>
        </w:rPr>
        <w:t>（</w:t>
      </w:r>
      <w:r>
        <w:rPr>
          <w:rFonts w:hint="eastAsia" w:ascii="仿宋" w:eastAsia="仿宋"/>
          <w:sz w:val="32"/>
          <w:szCs w:val="32"/>
        </w:rPr>
        <w:t>1</w:t>
      </w:r>
      <w:r>
        <w:rPr>
          <w:rFonts w:ascii="仿宋" w:eastAsia="仿宋"/>
          <w:sz w:val="32"/>
          <w:szCs w:val="32"/>
        </w:rPr>
        <w:t>）以全民共享发展为宗旨，深入推进旅游扶贫。</w:t>
      </w:r>
      <w:r>
        <w:rPr>
          <w:rFonts w:ascii="仿宋" w:eastAsia="仿宋"/>
          <w:b/>
          <w:color w:val="000000"/>
          <w:sz w:val="32"/>
          <w:szCs w:val="32"/>
        </w:rPr>
        <w:t>一是</w:t>
      </w:r>
      <w:r>
        <w:rPr>
          <w:rFonts w:ascii="仿宋" w:eastAsia="仿宋"/>
          <w:sz w:val="32"/>
          <w:szCs w:val="32"/>
        </w:rPr>
        <w:t>以创建国家旅游扶贫示范区为契机，整合使用省级旅游扶贫专项资金1378.96万元，落实旅游扶贫项目4大类、12个，</w:t>
      </w:r>
      <w:r>
        <w:rPr>
          <w:rFonts w:ascii="仿宋" w:eastAsia="仿宋"/>
          <w:kern w:val="0"/>
          <w:sz w:val="32"/>
          <w:szCs w:val="32"/>
        </w:rPr>
        <w:t>全面</w:t>
      </w:r>
      <w:r>
        <w:rPr>
          <w:rFonts w:ascii="仿宋" w:eastAsia="仿宋"/>
          <w:sz w:val="32"/>
          <w:szCs w:val="32"/>
        </w:rPr>
        <w:t>提升完善全县旅游基础服务设施，高标准打造景观景点，综合治理人居环境，发挥旅游业促农增收的积极作用；</w:t>
      </w:r>
      <w:r>
        <w:rPr>
          <w:rFonts w:ascii="仿宋" w:eastAsia="仿宋"/>
          <w:b/>
          <w:sz w:val="32"/>
          <w:szCs w:val="32"/>
        </w:rPr>
        <w:t>二是</w:t>
      </w:r>
      <w:r>
        <w:rPr>
          <w:rFonts w:ascii="仿宋" w:eastAsia="仿宋"/>
          <w:sz w:val="32"/>
          <w:szCs w:val="32"/>
        </w:rPr>
        <w:t>整合县级涉农整合资金</w:t>
      </w:r>
      <w:r>
        <w:rPr>
          <w:rFonts w:ascii="仿宋" w:eastAsia="仿宋"/>
          <w:color w:val="000000"/>
          <w:sz w:val="32"/>
          <w:szCs w:val="32"/>
        </w:rPr>
        <w:t>135.5</w:t>
      </w:r>
      <w:r>
        <w:rPr>
          <w:rFonts w:ascii="仿宋" w:eastAsia="仿宋"/>
          <w:sz w:val="32"/>
          <w:szCs w:val="32"/>
        </w:rPr>
        <w:t>万元，</w:t>
      </w:r>
      <w:r>
        <w:rPr>
          <w:rFonts w:ascii="仿宋" w:eastAsia="仿宋"/>
          <w:sz w:val="32"/>
          <w:szCs w:val="32"/>
          <w:lang w:val="zh-CN"/>
        </w:rPr>
        <w:t>在草地乡上草地村</w:t>
      </w:r>
      <w:r>
        <w:rPr>
          <w:rFonts w:ascii="仿宋" w:eastAsia="仿宋"/>
          <w:sz w:val="32"/>
          <w:szCs w:val="32"/>
        </w:rPr>
        <w:t>以民办公助方式推进</w:t>
      </w:r>
      <w:r>
        <w:rPr>
          <w:rFonts w:ascii="仿宋" w:eastAsia="仿宋"/>
          <w:sz w:val="32"/>
          <w:szCs w:val="32"/>
          <w:lang w:val="zh-CN"/>
        </w:rPr>
        <w:t>上草地村</w:t>
      </w:r>
      <w:r>
        <w:rPr>
          <w:rFonts w:ascii="仿宋" w:eastAsia="仿宋"/>
          <w:sz w:val="32"/>
          <w:szCs w:val="32"/>
        </w:rPr>
        <w:t>2018年村寨配套景观基础设施建设项目，实施栈道铺设、观景台、休闲亭建设等旅游基础设施建设工程。</w:t>
      </w:r>
      <w:r>
        <w:rPr>
          <w:rFonts w:ascii="仿宋" w:eastAsia="仿宋"/>
          <w:color w:val="000000"/>
          <w:sz w:val="32"/>
          <w:szCs w:val="32"/>
        </w:rPr>
        <w:t>目前已完成</w:t>
      </w:r>
      <w:r>
        <w:rPr>
          <w:rFonts w:ascii="仿宋" w:eastAsia="仿宋"/>
          <w:color w:val="000000"/>
          <w:kern w:val="0"/>
          <w:sz w:val="32"/>
          <w:szCs w:val="32"/>
        </w:rPr>
        <w:t>了总工程量的98%，</w:t>
      </w:r>
      <w:r>
        <w:rPr>
          <w:rFonts w:ascii="仿宋" w:eastAsia="仿宋"/>
          <w:color w:val="000000"/>
          <w:sz w:val="32"/>
          <w:szCs w:val="32"/>
        </w:rPr>
        <w:t>完成资金支付80万元。</w:t>
      </w:r>
    </w:p>
    <w:p>
      <w:pPr>
        <w:pBdr>
          <w:bottom w:val="single" w:color="FFFFFF" w:sz="6" w:space="11"/>
        </w:pBdr>
        <w:tabs>
          <w:tab w:val="left" w:pos="6695"/>
          <w:tab w:val="left" w:pos="6725"/>
        </w:tabs>
        <w:topLinePunct/>
        <w:adjustRightInd w:val="0"/>
        <w:spacing w:line="576" w:lineRule="exact"/>
        <w:ind w:firstLine="622" w:firstLineChars="196"/>
        <w:textAlignment w:val="top"/>
        <w:rPr>
          <w:rFonts w:ascii="仿宋" w:eastAsia="仿宋"/>
          <w:color w:val="000000"/>
          <w:sz w:val="32"/>
          <w:szCs w:val="32"/>
        </w:rPr>
      </w:pPr>
      <w:r>
        <w:rPr>
          <w:rFonts w:ascii="仿宋" w:eastAsia="仿宋"/>
          <w:sz w:val="32"/>
          <w:szCs w:val="32"/>
        </w:rPr>
        <w:t>（</w:t>
      </w:r>
      <w:r>
        <w:rPr>
          <w:rFonts w:hint="eastAsia" w:ascii="仿宋" w:eastAsia="仿宋"/>
          <w:sz w:val="32"/>
          <w:szCs w:val="32"/>
        </w:rPr>
        <w:t>2</w:t>
      </w:r>
      <w:r>
        <w:rPr>
          <w:rFonts w:ascii="仿宋" w:eastAsia="仿宋"/>
          <w:sz w:val="32"/>
          <w:szCs w:val="32"/>
        </w:rPr>
        <w:t>）创新乡村发展模式，助推旅游产业扶贫。</w:t>
      </w:r>
      <w:r>
        <w:rPr>
          <w:rFonts w:ascii="仿宋" w:eastAsia="仿宋"/>
          <w:b/>
          <w:color w:val="000000"/>
          <w:sz w:val="32"/>
          <w:szCs w:val="32"/>
        </w:rPr>
        <w:t>一是确定农旅融合示范园区。</w:t>
      </w:r>
      <w:r>
        <w:rPr>
          <w:rFonts w:ascii="仿宋" w:eastAsia="仿宋"/>
          <w:color w:val="000000"/>
          <w:sz w:val="32"/>
          <w:szCs w:val="32"/>
        </w:rPr>
        <w:t>结合县农水局2000万元项目资金，确定了罗依乡河坝—罗依坝村、白河乡太平村、马家乡苗州村、黑河乡达舍口村、永丰乡双龙村5个农旅融合示范园为九寨沟县现代农业产业融合示范园区项目；配合县农水局编制完成《休闲农业和乡村旅游发展组2018年度乡村振兴工作实施方案》，并拟定了园区配套设施建设计划；着手打造大录乡油菜大地景观基地和陵江乡七里村甜樱桃采摘园，同时完善游步道、观景台、旅游厕所、标识标牌等旅游配套设施；</w:t>
      </w:r>
      <w:r>
        <w:rPr>
          <w:rFonts w:ascii="仿宋" w:eastAsia="仿宋"/>
          <w:b/>
          <w:color w:val="000000"/>
          <w:sz w:val="32"/>
          <w:szCs w:val="32"/>
        </w:rPr>
        <w:t>二是培育发展旅游服务产品。</w:t>
      </w:r>
      <w:r>
        <w:rPr>
          <w:rFonts w:ascii="仿宋" w:eastAsia="仿宋"/>
          <w:color w:val="000000"/>
          <w:sz w:val="32"/>
          <w:szCs w:val="32"/>
        </w:rPr>
        <w:t>在旅游沿线注重从规划、政策、资金和服务方面入手，抓典型旅游扶贫村寨景点化建设，现已建成初具规模的“自驾游营地”一处，即：罗依乡“九寨庄园营地”；成功培育星级农家乐/乡村酒店32家、发展乡村特色业态17家积极参与和组织地方民俗文化展演展示，构架全域漫游体系，创造助农增收新格局；为积极打造旅游服务质量品牌，确定了四川广旺能源发展（集团）有限责任公司九寨度假村为全省旅游服务质量示范单位补助项目实施点，以开展震后接待的标准化建设、从业人员素质培训、管理和服务的标准化、特色化、精细化建设等工作为重点；5座旅游厕所改建项目，目前已完成4座，1座正进入工程扫尾施工阶段。</w:t>
      </w:r>
    </w:p>
    <w:p>
      <w:pPr>
        <w:pBdr>
          <w:bottom w:val="single" w:color="FFFFFF" w:sz="6" w:space="11"/>
        </w:pBdr>
        <w:tabs>
          <w:tab w:val="left" w:pos="6695"/>
          <w:tab w:val="left" w:pos="6725"/>
        </w:tabs>
        <w:topLinePunct/>
        <w:adjustRightInd w:val="0"/>
        <w:spacing w:line="576" w:lineRule="exact"/>
        <w:ind w:firstLine="634" w:firstLineChars="200"/>
        <w:textAlignment w:val="top"/>
        <w:rPr>
          <w:rFonts w:ascii="仿宋" w:eastAsia="仿宋"/>
          <w:sz w:val="32"/>
          <w:szCs w:val="32"/>
        </w:rPr>
      </w:pPr>
      <w:r>
        <w:rPr>
          <w:rFonts w:ascii="仿宋" w:eastAsia="仿宋"/>
          <w:sz w:val="32"/>
          <w:szCs w:val="32"/>
        </w:rPr>
        <w:t>（</w:t>
      </w:r>
      <w:r>
        <w:rPr>
          <w:rFonts w:hint="eastAsia" w:ascii="仿宋" w:eastAsia="仿宋"/>
          <w:sz w:val="32"/>
          <w:szCs w:val="32"/>
        </w:rPr>
        <w:t>3</w:t>
      </w:r>
      <w:r>
        <w:rPr>
          <w:rFonts w:ascii="仿宋" w:eastAsia="仿宋"/>
          <w:sz w:val="32"/>
          <w:szCs w:val="32"/>
        </w:rPr>
        <w:t>）全面统筹推进对口帮扶工作。</w:t>
      </w:r>
      <w:r>
        <w:rPr>
          <w:rFonts w:ascii="仿宋" w:eastAsia="仿宋"/>
          <w:bCs/>
          <w:color w:val="000000"/>
          <w:sz w:val="32"/>
          <w:szCs w:val="32"/>
        </w:rPr>
        <w:t>按照邛崃援建九寨沟县5+1贫困村旅游基础设施建设项目要求，全面统筹使用</w:t>
      </w:r>
      <w:r>
        <w:rPr>
          <w:rFonts w:ascii="仿宋" w:eastAsia="仿宋"/>
          <w:color w:val="000000"/>
          <w:sz w:val="32"/>
          <w:szCs w:val="32"/>
        </w:rPr>
        <w:t>邛崃工商联“5+1”对口帮扶项目资金120万元。目前，所有项目建设内容全部完工。</w:t>
      </w:r>
    </w:p>
    <w:p>
      <w:pPr>
        <w:pBdr>
          <w:bottom w:val="single" w:color="FFFFFF" w:sz="6" w:space="11"/>
        </w:pBdr>
        <w:tabs>
          <w:tab w:val="left" w:pos="6695"/>
          <w:tab w:val="left" w:pos="6725"/>
        </w:tabs>
        <w:topLinePunct/>
        <w:adjustRightInd w:val="0"/>
        <w:spacing w:line="576" w:lineRule="exact"/>
        <w:ind w:firstLine="634" w:firstLineChars="200"/>
        <w:textAlignment w:val="top"/>
        <w:rPr>
          <w:rFonts w:ascii="仿宋" w:eastAsia="仿宋"/>
          <w:color w:val="000000"/>
          <w:sz w:val="32"/>
          <w:szCs w:val="32"/>
        </w:rPr>
      </w:pPr>
      <w:r>
        <w:rPr>
          <w:rFonts w:hint="eastAsia" w:ascii="仿宋" w:eastAsia="仿宋"/>
          <w:color w:val="000000"/>
          <w:sz w:val="32"/>
          <w:szCs w:val="32"/>
        </w:rPr>
        <w:t>3</w:t>
      </w:r>
      <w:r>
        <w:rPr>
          <w:rFonts w:ascii="仿宋" w:eastAsia="仿宋"/>
          <w:color w:val="000000"/>
          <w:sz w:val="32"/>
          <w:szCs w:val="32"/>
        </w:rPr>
        <w:t>、聚焦“平安建设年”，规范旅游市场</w:t>
      </w:r>
    </w:p>
    <w:p>
      <w:pPr>
        <w:pBdr>
          <w:bottom w:val="single" w:color="FFFFFF" w:sz="6" w:space="11"/>
        </w:pBdr>
        <w:tabs>
          <w:tab w:val="left" w:pos="6695"/>
          <w:tab w:val="left" w:pos="6725"/>
        </w:tabs>
        <w:topLinePunct/>
        <w:adjustRightInd w:val="0"/>
        <w:spacing w:line="576" w:lineRule="exact"/>
        <w:ind w:firstLine="634" w:firstLineChars="200"/>
        <w:textAlignment w:val="top"/>
        <w:rPr>
          <w:rFonts w:ascii="仿宋" w:eastAsia="仿宋"/>
          <w:color w:val="000000"/>
          <w:sz w:val="32"/>
          <w:szCs w:val="32"/>
          <w:shd w:val="clear" w:color="auto" w:fill="FFFFFF"/>
        </w:rPr>
      </w:pPr>
      <w:r>
        <w:rPr>
          <w:rFonts w:ascii="仿宋" w:eastAsia="仿宋"/>
          <w:color w:val="000000"/>
          <w:sz w:val="32"/>
          <w:szCs w:val="32"/>
          <w:shd w:val="clear" w:color="auto" w:fill="FFFFFF"/>
        </w:rPr>
        <w:t>（</w:t>
      </w:r>
      <w:r>
        <w:rPr>
          <w:rFonts w:hint="eastAsia" w:ascii="仿宋" w:eastAsia="仿宋"/>
          <w:color w:val="000000"/>
          <w:sz w:val="32"/>
          <w:szCs w:val="32"/>
          <w:shd w:val="clear" w:color="auto" w:fill="FFFFFF"/>
        </w:rPr>
        <w:t>1</w:t>
      </w:r>
      <w:r>
        <w:rPr>
          <w:rFonts w:ascii="仿宋" w:eastAsia="仿宋"/>
          <w:color w:val="000000"/>
          <w:sz w:val="32"/>
          <w:szCs w:val="32"/>
          <w:shd w:val="clear" w:color="auto" w:fill="FFFFFF"/>
        </w:rPr>
        <w:t>）旅游接待情况。2018年我县共接待游客23.45万人次，同比减少95.12%，实现旅游收入1.71亿元，同比减少97.18%。</w:t>
      </w:r>
    </w:p>
    <w:p>
      <w:pPr>
        <w:pBdr>
          <w:bottom w:val="single" w:color="FFFFFF" w:sz="6" w:space="11"/>
        </w:pBdr>
        <w:tabs>
          <w:tab w:val="left" w:pos="6695"/>
          <w:tab w:val="left" w:pos="6725"/>
        </w:tabs>
        <w:topLinePunct/>
        <w:adjustRightInd w:val="0"/>
        <w:spacing w:line="576" w:lineRule="exact"/>
        <w:ind w:firstLine="634" w:firstLineChars="200"/>
        <w:textAlignment w:val="top"/>
        <w:rPr>
          <w:rFonts w:ascii="仿宋" w:eastAsia="仿宋"/>
          <w:color w:val="000000"/>
          <w:sz w:val="32"/>
          <w:szCs w:val="32"/>
        </w:rPr>
      </w:pPr>
      <w:r>
        <w:rPr>
          <w:rFonts w:ascii="仿宋" w:eastAsia="仿宋"/>
          <w:bCs/>
          <w:color w:val="000000"/>
          <w:sz w:val="32"/>
          <w:szCs w:val="32"/>
        </w:rPr>
        <w:t>（</w:t>
      </w:r>
      <w:r>
        <w:rPr>
          <w:rFonts w:hint="eastAsia" w:ascii="仿宋" w:eastAsia="仿宋"/>
          <w:bCs/>
          <w:color w:val="000000"/>
          <w:sz w:val="32"/>
          <w:szCs w:val="32"/>
        </w:rPr>
        <w:t>2</w:t>
      </w:r>
      <w:r>
        <w:rPr>
          <w:rFonts w:ascii="仿宋" w:eastAsia="仿宋"/>
          <w:bCs/>
          <w:color w:val="000000"/>
          <w:sz w:val="32"/>
          <w:szCs w:val="32"/>
        </w:rPr>
        <w:t>）注重规范管理，全力提升服务质量。</w:t>
      </w:r>
      <w:r>
        <w:rPr>
          <w:rFonts w:ascii="仿宋" w:eastAsia="仿宋"/>
          <w:b/>
          <w:bCs/>
          <w:color w:val="000000"/>
          <w:sz w:val="32"/>
          <w:szCs w:val="32"/>
        </w:rPr>
        <w:t>一是</w:t>
      </w:r>
      <w:r>
        <w:rPr>
          <w:rFonts w:ascii="仿宋" w:eastAsia="仿宋"/>
          <w:b/>
          <w:color w:val="000000"/>
          <w:kern w:val="0"/>
          <w:sz w:val="32"/>
          <w:szCs w:val="32"/>
        </w:rPr>
        <w:t>严正行政许可，认真落实酒店开业检查。</w:t>
      </w:r>
      <w:r>
        <w:rPr>
          <w:rFonts w:ascii="仿宋" w:eastAsia="仿宋"/>
          <w:sz w:val="32"/>
          <w:szCs w:val="32"/>
        </w:rPr>
        <w:t>严格按照《九寨沟县涉旅经营主体年度开业基本条件》执行开业申报制，联合涉旅部门对宾馆饭店进行开业检查，提高市场准入门槛，对不符合安全生产条件的一律不予营业。在景区开园期间共检查宾馆饭店45家，准予开业40家，检查藏家乐9家，准予开业7家；</w:t>
      </w:r>
      <w:r>
        <w:rPr>
          <w:rFonts w:ascii="仿宋" w:eastAsia="仿宋"/>
          <w:b/>
          <w:sz w:val="32"/>
          <w:szCs w:val="32"/>
        </w:rPr>
        <w:t>二是</w:t>
      </w:r>
      <w:r>
        <w:rPr>
          <w:rFonts w:ascii="仿宋" w:eastAsia="仿宋"/>
          <w:b/>
          <w:color w:val="000000"/>
          <w:sz w:val="32"/>
          <w:szCs w:val="32"/>
        </w:rPr>
        <w:t>加强对旅游企业的管理，鼓励酒店标准化建设。</w:t>
      </w:r>
      <w:r>
        <w:rPr>
          <w:rFonts w:ascii="仿宋" w:eastAsia="仿宋"/>
          <w:color w:val="000000"/>
          <w:sz w:val="32"/>
          <w:szCs w:val="32"/>
          <w:shd w:val="clear" w:color="auto" w:fill="FFFFFF"/>
        </w:rPr>
        <w:t>星宇国际大酒店</w:t>
      </w:r>
      <w:r>
        <w:rPr>
          <w:rFonts w:ascii="仿宋" w:eastAsia="仿宋"/>
          <w:color w:val="000000"/>
          <w:sz w:val="32"/>
          <w:szCs w:val="32"/>
        </w:rPr>
        <w:t>申报“金鼎级”文化主题饭店，经省星评委专家评定后达“金鼎级”文化主题饭店标准；</w:t>
      </w:r>
      <w:r>
        <w:rPr>
          <w:rFonts w:ascii="仿宋" w:eastAsia="仿宋"/>
          <w:color w:val="000000"/>
          <w:sz w:val="32"/>
          <w:szCs w:val="32"/>
          <w:shd w:val="clear" w:color="auto" w:fill="FFFFFF"/>
        </w:rPr>
        <w:t>千鹤国际大酒店进行了酒店提档升级改造，投资金额8500万元，预计明年5月底能完成改造；</w:t>
      </w:r>
      <w:r>
        <w:rPr>
          <w:rFonts w:ascii="仿宋" w:eastAsia="仿宋"/>
          <w:b/>
          <w:color w:val="000000"/>
          <w:sz w:val="32"/>
          <w:szCs w:val="32"/>
          <w:shd w:val="clear" w:color="auto" w:fill="FFFFFF"/>
        </w:rPr>
        <w:t>三是</w:t>
      </w:r>
      <w:r>
        <w:rPr>
          <w:rFonts w:ascii="仿宋" w:eastAsia="仿宋"/>
          <w:b/>
          <w:bCs/>
          <w:color w:val="000000"/>
          <w:sz w:val="32"/>
          <w:szCs w:val="32"/>
        </w:rPr>
        <w:t>推进旅行社核准备案工作，加强行业监督管理。</w:t>
      </w:r>
      <w:r>
        <w:rPr>
          <w:rFonts w:ascii="仿宋" w:eastAsia="仿宋"/>
          <w:color w:val="000000"/>
          <w:kern w:val="0"/>
          <w:sz w:val="32"/>
          <w:szCs w:val="32"/>
        </w:rPr>
        <w:t>2018年撤销旅行社分社2家，新增旅行社2家，其中总社1家，分社1家，新增服务网点1家；</w:t>
      </w:r>
      <w:r>
        <w:rPr>
          <w:rFonts w:ascii="仿宋" w:eastAsia="仿宋"/>
          <w:b/>
          <w:color w:val="000000"/>
          <w:kern w:val="0"/>
          <w:sz w:val="32"/>
          <w:szCs w:val="32"/>
        </w:rPr>
        <w:t>四是</w:t>
      </w:r>
      <w:r>
        <w:rPr>
          <w:rFonts w:ascii="仿宋" w:eastAsia="仿宋"/>
          <w:b/>
          <w:bCs/>
          <w:sz w:val="32"/>
          <w:szCs w:val="32"/>
        </w:rPr>
        <w:t>加大专业培训力度，狠抓人才队伍建设。</w:t>
      </w:r>
      <w:r>
        <w:rPr>
          <w:rFonts w:ascii="仿宋" w:eastAsia="仿宋"/>
          <w:bCs/>
          <w:sz w:val="32"/>
          <w:szCs w:val="32"/>
        </w:rPr>
        <w:t>为着力提升旅游市场软实力，</w:t>
      </w:r>
      <w:r>
        <w:rPr>
          <w:rFonts w:ascii="仿宋" w:eastAsia="仿宋"/>
          <w:sz w:val="32"/>
          <w:szCs w:val="32"/>
        </w:rPr>
        <w:t>按照“分层次、分类别、全方位、全覆盖”的要求，通过各类专题培训、考察学习、经验交流等旅游人才培训途径，开展旅游管理、旅游扶贫、乡村旅游开发等人员培训20余次、培训人数700余人次；选派</w:t>
      </w:r>
      <w:r>
        <w:rPr>
          <w:rFonts w:hint="eastAsia" w:ascii="仿宋" w:eastAsia="仿宋"/>
          <w:sz w:val="32"/>
          <w:szCs w:val="32"/>
        </w:rPr>
        <w:t>3</w:t>
      </w:r>
      <w:r>
        <w:rPr>
          <w:rFonts w:ascii="仿宋" w:eastAsia="仿宋"/>
          <w:sz w:val="32"/>
          <w:szCs w:val="32"/>
        </w:rPr>
        <w:t>名乡村旅游致富带头人参加了由省旅发委组织的赴台湾学习交流；积极对接</w:t>
      </w:r>
      <w:r>
        <w:rPr>
          <w:rFonts w:ascii="仿宋" w:eastAsia="仿宋"/>
          <w:color w:val="000000"/>
          <w:sz w:val="32"/>
          <w:szCs w:val="32"/>
          <w:shd w:val="clear" w:color="auto" w:fill="FFFFFF"/>
        </w:rPr>
        <w:t>visa集团开展旅游行业培训工作，制定了《九寨沟县全域旅游人才培训提升三年规划（2018-2020）》；</w:t>
      </w:r>
      <w:r>
        <w:rPr>
          <w:rFonts w:ascii="仿宋" w:eastAsia="仿宋"/>
          <w:b/>
          <w:color w:val="000000"/>
          <w:sz w:val="32"/>
          <w:szCs w:val="32"/>
          <w:shd w:val="clear" w:color="auto" w:fill="FFFFFF"/>
        </w:rPr>
        <w:t>五是</w:t>
      </w:r>
      <w:r>
        <w:rPr>
          <w:rFonts w:ascii="仿宋" w:eastAsia="仿宋"/>
          <w:b/>
          <w:color w:val="000000"/>
          <w:sz w:val="32"/>
          <w:szCs w:val="32"/>
        </w:rPr>
        <w:t>加强宾馆饭店安全生产，切实提高安全保障。</w:t>
      </w:r>
      <w:r>
        <w:rPr>
          <w:rFonts w:ascii="仿宋" w:eastAsia="仿宋"/>
          <w:bCs/>
          <w:color w:val="000000"/>
          <w:sz w:val="32"/>
          <w:szCs w:val="32"/>
        </w:rPr>
        <w:t>按照平安建设年和“秋风行动”工作要求安排，认真开展对酒店的安全生产检查工作。目前检查出安全隐患537条，经复查整改537条。</w:t>
      </w:r>
    </w:p>
    <w:p>
      <w:pPr>
        <w:pBdr>
          <w:bottom w:val="single" w:color="FFFFFF" w:sz="6" w:space="11"/>
        </w:pBdr>
        <w:tabs>
          <w:tab w:val="left" w:pos="6695"/>
          <w:tab w:val="left" w:pos="6725"/>
        </w:tabs>
        <w:topLinePunct/>
        <w:adjustRightInd w:val="0"/>
        <w:spacing w:line="576" w:lineRule="exact"/>
        <w:ind w:firstLine="634" w:firstLineChars="200"/>
        <w:textAlignment w:val="top"/>
        <w:rPr>
          <w:rFonts w:ascii="仿宋" w:eastAsia="仿宋"/>
          <w:color w:val="000000"/>
          <w:sz w:val="32"/>
          <w:szCs w:val="32"/>
        </w:rPr>
      </w:pPr>
      <w:r>
        <w:rPr>
          <w:rFonts w:ascii="仿宋" w:eastAsia="仿宋"/>
          <w:color w:val="000000"/>
          <w:sz w:val="32"/>
          <w:szCs w:val="32"/>
        </w:rPr>
        <w:t>（</w:t>
      </w:r>
      <w:r>
        <w:rPr>
          <w:rFonts w:hint="eastAsia" w:ascii="仿宋" w:eastAsia="仿宋"/>
          <w:color w:val="000000"/>
          <w:sz w:val="32"/>
          <w:szCs w:val="32"/>
        </w:rPr>
        <w:t>3</w:t>
      </w:r>
      <w:r>
        <w:rPr>
          <w:rFonts w:ascii="仿宋" w:eastAsia="仿宋"/>
          <w:color w:val="000000"/>
          <w:sz w:val="32"/>
          <w:szCs w:val="32"/>
        </w:rPr>
        <w:t>）加大宣传营销力度，着力提升旅游形象。</w:t>
      </w:r>
      <w:r>
        <w:rPr>
          <w:rFonts w:ascii="仿宋" w:eastAsia="仿宋"/>
          <w:b/>
          <w:color w:val="000000"/>
          <w:sz w:val="32"/>
          <w:szCs w:val="32"/>
        </w:rPr>
        <w:t>一是积极参与各项推介活动。</w:t>
      </w:r>
      <w:r>
        <w:rPr>
          <w:rFonts w:ascii="仿宋" w:eastAsia="仿宋"/>
          <w:color w:val="000000"/>
          <w:sz w:val="32"/>
          <w:szCs w:val="32"/>
        </w:rPr>
        <w:t>赴邛崃参加2018年四川花卉（果类）生态旅游节分会场暨第8届成都（邛崃）采茶节；</w:t>
      </w:r>
      <w:r>
        <w:rPr>
          <w:rFonts w:ascii="仿宋" w:eastAsia="仿宋"/>
          <w:bCs/>
          <w:color w:val="000000"/>
          <w:sz w:val="32"/>
          <w:szCs w:val="32"/>
        </w:rPr>
        <w:t>赴香港、澳门参加香港第32届国际旅游展暨开展“熊猫走世界-美丽四川”九寨沟震后专题营销活动；围绕“全域旅游，美好生活”主题，组织开展“中国旅游日”宣传活动；积极参加第五届四川国际旅游交易博览会和第十七届中国西部国际博览会；参加“爱上嘉善”全域旅游杭州</w:t>
      </w:r>
      <w:r>
        <w:rPr>
          <w:rFonts w:ascii="仿宋" w:eastAsia="仿宋"/>
          <w:sz w:val="32"/>
          <w:szCs w:val="32"/>
        </w:rPr>
        <w:t>推介会暨友好县旅游协作项目签约仪式活动；</w:t>
      </w:r>
      <w:r>
        <w:rPr>
          <w:rFonts w:ascii="仿宋" w:eastAsia="仿宋"/>
          <w:b/>
          <w:sz w:val="32"/>
          <w:szCs w:val="32"/>
        </w:rPr>
        <w:t>二是深化开放合作。</w:t>
      </w:r>
      <w:r>
        <w:rPr>
          <w:rFonts w:ascii="仿宋" w:eastAsia="仿宋"/>
          <w:sz w:val="32"/>
          <w:szCs w:val="32"/>
        </w:rPr>
        <w:t>结合东西部扶贫协作工作，与浙江省嘉善县开展两地结对打造干部职工疗休养基地工作，借助嘉善旅发委在杭州举办大型旅游推介会平台，积极参与旅游产品推介、旅游商品展示、特色地方文化表演等活动，为提振市场信心打好基础。</w:t>
      </w:r>
    </w:p>
    <w:p>
      <w:pPr>
        <w:pBdr>
          <w:bottom w:val="single" w:color="FFFFFF" w:sz="6" w:space="11"/>
        </w:pBdr>
        <w:tabs>
          <w:tab w:val="left" w:pos="6695"/>
          <w:tab w:val="left" w:pos="6725"/>
        </w:tabs>
        <w:topLinePunct/>
        <w:adjustRightInd w:val="0"/>
        <w:spacing w:line="576" w:lineRule="exact"/>
        <w:ind w:firstLine="634" w:firstLineChars="200"/>
        <w:textAlignment w:val="top"/>
        <w:rPr>
          <w:rFonts w:ascii="仿宋" w:eastAsia="仿宋"/>
          <w:color w:val="000000"/>
          <w:sz w:val="32"/>
          <w:szCs w:val="32"/>
        </w:rPr>
      </w:pPr>
      <w:r>
        <w:rPr>
          <w:rFonts w:ascii="仿宋" w:eastAsia="仿宋"/>
          <w:color w:val="000000"/>
          <w:sz w:val="32"/>
          <w:szCs w:val="32"/>
        </w:rPr>
        <w:t>（</w:t>
      </w:r>
      <w:r>
        <w:rPr>
          <w:rFonts w:hint="eastAsia" w:ascii="仿宋" w:eastAsia="仿宋"/>
          <w:color w:val="000000"/>
          <w:sz w:val="32"/>
          <w:szCs w:val="32"/>
        </w:rPr>
        <w:t>4</w:t>
      </w:r>
      <w:r>
        <w:rPr>
          <w:rFonts w:ascii="仿宋" w:eastAsia="仿宋"/>
          <w:color w:val="000000"/>
          <w:sz w:val="32"/>
          <w:szCs w:val="32"/>
        </w:rPr>
        <w:t>）强化旅游咨询服务。自景区开园来，在节假日期间在弓杠岭、双河乡设置旅游服务咨询点和劝返点，</w:t>
      </w:r>
      <w:r>
        <w:rPr>
          <w:rFonts w:hint="eastAsia" w:ascii="仿宋" w:eastAsia="仿宋"/>
          <w:color w:val="000000"/>
          <w:sz w:val="32"/>
          <w:szCs w:val="32"/>
          <w:lang w:eastAsia="zh-CN"/>
        </w:rPr>
        <w:t>截至目前</w:t>
      </w:r>
      <w:r>
        <w:rPr>
          <w:rFonts w:ascii="仿宋" w:eastAsia="仿宋"/>
          <w:color w:val="000000"/>
          <w:sz w:val="32"/>
          <w:szCs w:val="32"/>
        </w:rPr>
        <w:t>共受理游客来访约220人次、电话咨询5000余次，发放宣传资料共4000余份。</w:t>
      </w:r>
    </w:p>
    <w:p>
      <w:pPr>
        <w:pStyle w:val="3"/>
        <w:rPr>
          <w:rStyle w:val="21"/>
          <w:rFonts w:ascii="仿宋" w:eastAsia="仿宋"/>
          <w:b w:val="0"/>
          <w:bCs w:val="0"/>
        </w:rPr>
      </w:pPr>
      <w:bookmarkStart w:id="20" w:name="_Toc15377200"/>
      <w:bookmarkStart w:id="21" w:name="_Toc15396601"/>
      <w:r>
        <w:rPr>
          <w:rFonts w:hint="eastAsia" w:ascii="仿宋" w:eastAsia="仿宋"/>
          <w:b w:val="0"/>
          <w:color w:val="000000"/>
        </w:rPr>
        <w:t>二、机</w:t>
      </w:r>
      <w:r>
        <w:rPr>
          <w:rStyle w:val="21"/>
          <w:rFonts w:hint="eastAsia" w:ascii="仿宋" w:eastAsia="仿宋"/>
          <w:b w:val="0"/>
          <w:bCs w:val="0"/>
        </w:rPr>
        <w:t>构设置</w:t>
      </w:r>
      <w:bookmarkEnd w:id="20"/>
      <w:bookmarkEnd w:id="21"/>
    </w:p>
    <w:p>
      <w:pPr>
        <w:ind w:firstLine="636"/>
        <w:rPr>
          <w:rFonts w:ascii="仿宋" w:eastAsia="仿宋" w:cs="宋体"/>
          <w:color w:val="000000"/>
          <w:kern w:val="0"/>
          <w:sz w:val="32"/>
          <w:szCs w:val="32"/>
        </w:rPr>
      </w:pPr>
      <w:r>
        <w:rPr>
          <w:rFonts w:hint="eastAsia" w:ascii="仿宋" w:eastAsia="仿宋"/>
          <w:sz w:val="32"/>
          <w:szCs w:val="32"/>
          <w:shd w:val="clear" w:color="auto" w:fill="FFFFFF"/>
        </w:rPr>
        <w:t>旅游发展局</w:t>
      </w:r>
      <w:r>
        <w:rPr>
          <w:rFonts w:hint="eastAsia" w:ascii="仿宋" w:eastAsia="仿宋" w:cs="宋体"/>
          <w:color w:val="000000"/>
          <w:kern w:val="0"/>
          <w:sz w:val="32"/>
          <w:szCs w:val="32"/>
        </w:rPr>
        <w:t>下设直属管理单位1个:县旅游市场综合执法局，为财政全额拨款参照公务发管理正科级事业单位（执法局经费单独核算），事业编制36名，设局长1名（正科级）、副局长2名（副科级），股级领导职数6名。另外：旅游发展局下设3个股级事业单位：旅游信息咨询中心，编制10个；乡村旅游管理办公室，编制19个；县旅游网络服务管理中心，编制4个。</w:t>
      </w:r>
    </w:p>
    <w:p>
      <w:pPr>
        <w:ind w:firstLine="636"/>
        <w:rPr>
          <w:rFonts w:ascii="仿宋" w:eastAsia="仿宋" w:cs="宋体"/>
          <w:color w:val="000000"/>
          <w:kern w:val="0"/>
          <w:sz w:val="32"/>
          <w:szCs w:val="32"/>
        </w:rPr>
      </w:pPr>
      <w:r>
        <w:rPr>
          <w:rFonts w:hint="eastAsia" w:ascii="仿宋" w:eastAsia="仿宋" w:cs="宋体"/>
          <w:color w:val="000000"/>
          <w:kern w:val="0"/>
          <w:sz w:val="32"/>
          <w:szCs w:val="32"/>
        </w:rPr>
        <w:t>内设四个设机构：办公室、质量规范统计教育培训股、规划开发监督股、政策法规股。行政编制10名，其中局长1名，副局长3名；纪检、监察局派驻纪检组长1名，股级领导职数4名，机关工勤人员编制2名。</w:t>
      </w:r>
    </w:p>
    <w:p>
      <w:pPr>
        <w:pStyle w:val="5"/>
        <w:adjustRightInd w:val="0"/>
        <w:snapToGrid w:val="0"/>
        <w:spacing w:before="180" w:beforeLines="0" w:line="600" w:lineRule="exact"/>
        <w:ind w:firstLine="662" w:firstLineChars="209"/>
        <w:rPr>
          <w:rFonts w:ascii="仿宋" w:eastAsia="仿宋"/>
          <w:color w:val="000000"/>
          <w:sz w:val="32"/>
          <w:szCs w:val="32"/>
        </w:rPr>
      </w:pPr>
      <w:r>
        <w:rPr>
          <w:rFonts w:hint="eastAsia" w:ascii="仿宋" w:eastAsia="仿宋"/>
          <w:color w:val="000000"/>
          <w:sz w:val="32"/>
          <w:szCs w:val="32"/>
        </w:rPr>
        <w:t>纳入2018年度部门决算编制范围的二级预算单位包括：</w:t>
      </w:r>
    </w:p>
    <w:p>
      <w:pPr>
        <w:pStyle w:val="5"/>
        <w:adjustRightInd w:val="0"/>
        <w:snapToGrid w:val="0"/>
        <w:spacing w:before="180" w:beforeLines="0" w:line="600" w:lineRule="exact"/>
        <w:outlineLvl w:val="2"/>
        <w:rPr>
          <w:rFonts w:ascii="仿宋" w:eastAsia="仿宋"/>
          <w:color w:val="000000"/>
          <w:sz w:val="32"/>
          <w:szCs w:val="32"/>
        </w:rPr>
      </w:pPr>
      <w:r>
        <w:rPr>
          <w:rFonts w:hint="eastAsia" w:ascii="仿宋" w:eastAsia="仿宋"/>
          <w:color w:val="000000"/>
          <w:sz w:val="32"/>
          <w:szCs w:val="32"/>
        </w:rPr>
        <w:t>九寨沟县乡村旅游咨询中心</w:t>
      </w:r>
    </w:p>
    <w:p>
      <w:pPr>
        <w:widowControl/>
        <w:jc w:val="left"/>
        <w:rPr>
          <w:rFonts w:ascii="仿宋" w:eastAsia="仿宋"/>
          <w:color w:val="000000"/>
          <w:kern w:val="0"/>
          <w:sz w:val="32"/>
          <w:szCs w:val="32"/>
        </w:rPr>
      </w:pPr>
      <w:r>
        <w:rPr>
          <w:rFonts w:ascii="仿宋" w:eastAsia="仿宋"/>
          <w:color w:val="000000"/>
          <w:sz w:val="32"/>
          <w:szCs w:val="32"/>
        </w:rPr>
        <w:br w:type="page"/>
      </w:r>
    </w:p>
    <w:p>
      <w:pPr>
        <w:pStyle w:val="2"/>
        <w:ind w:right="440"/>
        <w:jc w:val="right"/>
        <w:rPr>
          <w:rStyle w:val="20"/>
          <w:rFonts w:ascii="黑体" w:eastAsia="黑体"/>
          <w:b w:val="0"/>
          <w:bCs w:val="0"/>
        </w:rPr>
      </w:pPr>
      <w:bookmarkStart w:id="22" w:name="_Toc15396602"/>
      <w:bookmarkStart w:id="23" w:name="_Toc15377204"/>
      <w:r>
        <w:rPr>
          <w:rFonts w:hint="eastAsia" w:ascii="黑体" w:eastAsia="黑体"/>
          <w:b w:val="0"/>
          <w:color w:val="000000"/>
        </w:rPr>
        <w:t>第二部分</w:t>
      </w:r>
      <w:r>
        <w:rPr>
          <w:rStyle w:val="20"/>
          <w:rFonts w:hint="eastAsia" w:ascii="黑体" w:eastAsia="黑体"/>
          <w:b w:val="0"/>
          <w:bCs w:val="0"/>
        </w:rPr>
        <w:t>2018年度部门决算情况说明</w:t>
      </w:r>
      <w:bookmarkEnd w:id="22"/>
      <w:bookmarkEnd w:id="23"/>
    </w:p>
    <w:p/>
    <w:p>
      <w:pPr>
        <w:pStyle w:val="27"/>
        <w:numPr>
          <w:ilvl w:val="0"/>
          <w:numId w:val="2"/>
        </w:numPr>
        <w:tabs>
          <w:tab w:val="left" w:pos="720"/>
        </w:tabs>
        <w:spacing w:line="600" w:lineRule="exact"/>
        <w:ind w:firstLineChars="0"/>
        <w:outlineLvl w:val="1"/>
        <w:rPr>
          <w:rStyle w:val="21"/>
          <w:rFonts w:ascii="黑体" w:eastAsia="黑体"/>
          <w:b w:val="0"/>
        </w:rPr>
      </w:pPr>
      <w:bookmarkStart w:id="24" w:name="_Toc15377205"/>
      <w:bookmarkStart w:id="25" w:name="_Toc15396603"/>
      <w:r>
        <w:rPr>
          <w:rFonts w:hint="eastAsia" w:ascii="黑体" w:eastAsia="黑体"/>
          <w:color w:val="000000"/>
          <w:sz w:val="32"/>
          <w:szCs w:val="32"/>
        </w:rPr>
        <w:t>收</w:t>
      </w:r>
      <w:r>
        <w:rPr>
          <w:rStyle w:val="21"/>
          <w:rFonts w:hint="eastAsia" w:ascii="黑体" w:eastAsia="黑体"/>
          <w:b w:val="0"/>
        </w:rPr>
        <w:t>入支出决算总体情况说明</w:t>
      </w:r>
      <w:bookmarkEnd w:id="24"/>
      <w:bookmarkEnd w:id="25"/>
    </w:p>
    <w:p>
      <w:pPr>
        <w:spacing w:line="600" w:lineRule="exact"/>
        <w:ind w:firstLine="634" w:firstLineChars="200"/>
        <w:rPr>
          <w:rFonts w:ascii="仿宋" w:eastAsia="仿宋"/>
          <w:color w:val="000000"/>
          <w:sz w:val="32"/>
          <w:szCs w:val="32"/>
        </w:rPr>
      </w:pPr>
      <w:r>
        <w:rPr>
          <w:rFonts w:hint="eastAsia" w:ascii="仿宋" w:eastAsia="仿宋"/>
          <w:color w:val="000000"/>
          <w:sz w:val="32"/>
          <w:szCs w:val="32"/>
        </w:rPr>
        <w:t>2018年度收入总计3129.96万元，与上年相比，收入增加2416.07万元，增长338.44%；2018年支出总计1817.69    万元，与2017年相比，支出增加1045.66、支出增长135.44</w:t>
      </w:r>
      <w:r>
        <w:rPr>
          <w:rFonts w:ascii="仿宋" w:eastAsia="仿宋"/>
          <w:color w:val="000000"/>
          <w:sz w:val="32"/>
          <w:szCs w:val="32"/>
        </w:rPr>
        <w:t>%</w:t>
      </w:r>
      <w:r>
        <w:rPr>
          <w:rFonts w:hint="eastAsia" w:ascii="仿宋" w:eastAsia="仿宋"/>
          <w:color w:val="000000"/>
          <w:sz w:val="32"/>
          <w:szCs w:val="32"/>
        </w:rPr>
        <w:t>。主要变动原因是增加灾后恢复重建项目。</w:t>
      </w:r>
    </w:p>
    <w:p>
      <w:pPr>
        <w:pStyle w:val="27"/>
        <w:numPr>
          <w:ilvl w:val="0"/>
          <w:numId w:val="2"/>
        </w:numPr>
        <w:tabs>
          <w:tab w:val="left" w:pos="720"/>
        </w:tabs>
        <w:spacing w:line="600" w:lineRule="exact"/>
        <w:ind w:firstLineChars="0"/>
        <w:outlineLvl w:val="1"/>
        <w:rPr>
          <w:rStyle w:val="21"/>
          <w:rFonts w:ascii="黑体" w:eastAsia="黑体"/>
          <w:b w:val="0"/>
        </w:rPr>
      </w:pPr>
      <w:bookmarkStart w:id="26" w:name="_Toc15377206"/>
      <w:bookmarkStart w:id="27" w:name="_Toc15396604"/>
      <w:r>
        <w:rPr>
          <w:rFonts w:hint="eastAsia" w:ascii="黑体" w:eastAsia="黑体"/>
          <w:color w:val="000000"/>
          <w:sz w:val="32"/>
          <w:szCs w:val="32"/>
        </w:rPr>
        <w:t>收</w:t>
      </w:r>
      <w:r>
        <w:rPr>
          <w:rStyle w:val="21"/>
          <w:rFonts w:hint="eastAsia" w:ascii="黑体" w:eastAsia="黑体"/>
          <w:b w:val="0"/>
        </w:rPr>
        <w:t>入决算情况说明</w:t>
      </w:r>
      <w:bookmarkEnd w:id="26"/>
      <w:bookmarkEnd w:id="27"/>
    </w:p>
    <w:p>
      <w:pPr>
        <w:spacing w:line="600" w:lineRule="exact"/>
        <w:ind w:firstLine="634" w:firstLineChars="200"/>
        <w:outlineLvl w:val="1"/>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8年本年收入合计3129.96万元，其中：一般公共预算财政拨款收入2618.21万元，占83.65</w:t>
      </w:r>
      <w:r>
        <w:rPr>
          <w:rFonts w:ascii="仿宋" w:eastAsia="仿宋"/>
          <w:color w:val="000000"/>
          <w:sz w:val="32"/>
          <w:szCs w:val="32"/>
        </w:rPr>
        <w:t>%</w:t>
      </w:r>
      <w:r>
        <w:rPr>
          <w:rFonts w:hint="eastAsia" w:ascii="仿宋" w:eastAsia="仿宋"/>
          <w:color w:val="000000"/>
          <w:sz w:val="32"/>
          <w:szCs w:val="32"/>
        </w:rPr>
        <w:t>；政府性基金预算财政拨款收入511.75万元，占16.35</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r>
        <w:rPr>
          <w:rFonts w:ascii="仿宋" w:eastAsia="仿宋"/>
          <w:color w:val="000000"/>
          <w:sz w:val="32"/>
          <w:szCs w:val="32"/>
        </w:rPr>
        <w:t>%</w:t>
      </w:r>
      <w:r>
        <w:rPr>
          <w:rFonts w:hint="eastAsia" w:ascii="仿宋" w:eastAsia="仿宋"/>
          <w:color w:val="000000"/>
          <w:sz w:val="32"/>
          <w:szCs w:val="32"/>
        </w:rPr>
        <w:t>。</w:t>
      </w:r>
    </w:p>
    <w:p>
      <w:pPr>
        <w:pStyle w:val="27"/>
        <w:numPr>
          <w:ilvl w:val="0"/>
          <w:numId w:val="2"/>
        </w:numPr>
        <w:tabs>
          <w:tab w:val="left" w:pos="720"/>
        </w:tabs>
        <w:spacing w:line="600" w:lineRule="exact"/>
        <w:ind w:firstLineChars="0"/>
        <w:outlineLvl w:val="1"/>
        <w:rPr>
          <w:rStyle w:val="21"/>
          <w:rFonts w:ascii="黑体" w:eastAsia="黑体"/>
          <w:b w:val="0"/>
        </w:rPr>
      </w:pPr>
      <w:bookmarkStart w:id="28" w:name="_Toc15377207"/>
      <w:bookmarkStart w:id="29" w:name="_Toc15396605"/>
      <w:r>
        <w:rPr>
          <w:rFonts w:hint="eastAsia" w:ascii="黑体" w:eastAsia="黑体"/>
          <w:color w:val="000000"/>
          <w:sz w:val="32"/>
          <w:szCs w:val="32"/>
        </w:rPr>
        <w:t>支</w:t>
      </w:r>
      <w:r>
        <w:rPr>
          <w:rStyle w:val="21"/>
          <w:rFonts w:hint="eastAsia" w:ascii="黑体" w:eastAsia="黑体"/>
          <w:b w:val="0"/>
        </w:rPr>
        <w:t>出决算情况说明</w:t>
      </w:r>
      <w:bookmarkEnd w:id="28"/>
      <w:bookmarkEnd w:id="29"/>
    </w:p>
    <w:p>
      <w:pPr>
        <w:spacing w:line="600" w:lineRule="exact"/>
        <w:ind w:firstLine="640"/>
        <w:rPr>
          <w:rFonts w:ascii="仿宋" w:eastAsia="仿宋"/>
          <w:color w:val="000000"/>
          <w:sz w:val="32"/>
          <w:szCs w:val="32"/>
          <w:shd w:val="pct10" w:color="auto" w:fill="FFFFFF"/>
        </w:rPr>
      </w:pPr>
      <w:r>
        <w:rPr>
          <w:rFonts w:ascii="仿宋" w:eastAsia="仿宋"/>
          <w:color w:val="000000"/>
          <w:sz w:val="32"/>
          <w:szCs w:val="32"/>
        </w:rPr>
        <w:t>201</w:t>
      </w:r>
      <w:r>
        <w:rPr>
          <w:rFonts w:hint="eastAsia" w:ascii="仿宋" w:eastAsia="仿宋"/>
          <w:color w:val="000000"/>
          <w:sz w:val="32"/>
          <w:szCs w:val="32"/>
        </w:rPr>
        <w:t>8年本年支出合计1817.69万元，其中：基本支出221.11万元，占12.16</w:t>
      </w:r>
      <w:r>
        <w:rPr>
          <w:rFonts w:ascii="仿宋" w:eastAsia="仿宋"/>
          <w:color w:val="000000"/>
          <w:sz w:val="32"/>
          <w:szCs w:val="32"/>
        </w:rPr>
        <w:t>%</w:t>
      </w:r>
      <w:r>
        <w:rPr>
          <w:rFonts w:hint="eastAsia" w:ascii="仿宋" w:eastAsia="仿宋"/>
          <w:color w:val="000000"/>
          <w:sz w:val="32"/>
          <w:szCs w:val="32"/>
        </w:rPr>
        <w:t>；项目支出1596.58万元，占87.84</w:t>
      </w:r>
      <w:r>
        <w:rPr>
          <w:rFonts w:ascii="仿宋" w:eastAsia="仿宋"/>
          <w:color w:val="000000"/>
          <w:sz w:val="32"/>
          <w:szCs w:val="32"/>
        </w:rPr>
        <w:t>%</w:t>
      </w:r>
      <w:r>
        <w:rPr>
          <w:rFonts w:hint="eastAsia" w:ascii="仿宋" w:eastAsia="仿宋"/>
          <w:color w:val="000000"/>
          <w:sz w:val="32"/>
          <w:szCs w:val="32"/>
        </w:rPr>
        <w:t>；上缴上级支出0万元，占0</w:t>
      </w:r>
      <w:r>
        <w:rPr>
          <w:rFonts w:ascii="仿宋" w:eastAsia="仿宋"/>
          <w:color w:val="000000"/>
          <w:sz w:val="32"/>
          <w:szCs w:val="32"/>
        </w:rPr>
        <w:t>%</w:t>
      </w:r>
      <w:r>
        <w:rPr>
          <w:rFonts w:hint="eastAsia" w:ascii="仿宋" w:eastAsia="仿宋"/>
          <w:color w:val="000000"/>
          <w:sz w:val="32"/>
          <w:szCs w:val="32"/>
        </w:rPr>
        <w:t>；经营支出0万元，占0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34" w:firstLineChars="200"/>
        <w:outlineLvl w:val="1"/>
        <w:rPr>
          <w:rStyle w:val="21"/>
          <w:rFonts w:ascii="黑体" w:eastAsia="黑体"/>
          <w:b w:val="0"/>
        </w:rPr>
      </w:pPr>
      <w:bookmarkStart w:id="30" w:name="_Toc15377208"/>
      <w:bookmarkStart w:id="31" w:name="_Toc15396606"/>
      <w:r>
        <w:rPr>
          <w:rFonts w:hint="eastAsia" w:ascii="黑体" w:eastAsia="黑体"/>
          <w:color w:val="000000"/>
          <w:sz w:val="32"/>
          <w:szCs w:val="32"/>
        </w:rPr>
        <w:t>四、财</w:t>
      </w:r>
      <w:r>
        <w:rPr>
          <w:rStyle w:val="21"/>
          <w:rFonts w:hint="eastAsia" w:ascii="黑体" w:eastAsia="黑体"/>
          <w:b w:val="0"/>
        </w:rPr>
        <w:t>政拨款收入支出决算总体情况说明</w:t>
      </w:r>
      <w:bookmarkEnd w:id="30"/>
      <w:bookmarkEnd w:id="31"/>
    </w:p>
    <w:p>
      <w:pPr>
        <w:spacing w:line="600" w:lineRule="exact"/>
        <w:ind w:firstLine="634" w:firstLineChars="20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8年财政拨款收支总计3191.83万元，与</w:t>
      </w:r>
      <w:r>
        <w:rPr>
          <w:rFonts w:ascii="仿宋" w:eastAsia="仿宋"/>
          <w:color w:val="000000"/>
          <w:sz w:val="32"/>
          <w:szCs w:val="32"/>
        </w:rPr>
        <w:t>201</w:t>
      </w:r>
      <w:r>
        <w:rPr>
          <w:rFonts w:hint="eastAsia" w:ascii="仿宋" w:eastAsia="仿宋"/>
          <w:color w:val="000000"/>
          <w:sz w:val="32"/>
          <w:szCs w:val="32"/>
        </w:rPr>
        <w:t>7年相比，财政拨款收入支总计各增加2339.01万元，增长274.26</w:t>
      </w:r>
      <w:r>
        <w:rPr>
          <w:rFonts w:ascii="仿宋" w:eastAsia="仿宋"/>
          <w:color w:val="000000"/>
          <w:sz w:val="32"/>
          <w:szCs w:val="32"/>
        </w:rPr>
        <w:t>%</w:t>
      </w:r>
      <w:r>
        <w:rPr>
          <w:rFonts w:hint="eastAsia" w:ascii="仿宋" w:eastAsia="仿宋"/>
          <w:color w:val="000000"/>
          <w:sz w:val="32"/>
          <w:szCs w:val="32"/>
        </w:rPr>
        <w:t>。主要变动原因是增加灾后恢复重建项目。</w:t>
      </w:r>
    </w:p>
    <w:p>
      <w:pPr>
        <w:spacing w:line="600" w:lineRule="exact"/>
        <w:ind w:firstLine="634" w:firstLineChars="200"/>
        <w:outlineLvl w:val="1"/>
        <w:rPr>
          <w:rStyle w:val="21"/>
          <w:rFonts w:ascii="黑体" w:eastAsia="黑体"/>
          <w:b w:val="0"/>
        </w:rPr>
      </w:pPr>
      <w:bookmarkStart w:id="32" w:name="_Toc15377209"/>
      <w:bookmarkStart w:id="33" w:name="_Toc15396607"/>
      <w:r>
        <w:rPr>
          <w:rFonts w:hint="eastAsia" w:ascii="黑体" w:eastAsia="黑体"/>
          <w:color w:val="000000"/>
          <w:sz w:val="32"/>
          <w:szCs w:val="32"/>
        </w:rPr>
        <w:t>五、</w:t>
      </w:r>
      <w:r>
        <w:rPr>
          <w:rFonts w:hint="eastAsia" w:ascii="黑体" w:eastAsia="黑体"/>
          <w:b/>
          <w:color w:val="000000"/>
          <w:sz w:val="32"/>
          <w:szCs w:val="32"/>
        </w:rPr>
        <w:t>一</w:t>
      </w:r>
      <w:r>
        <w:rPr>
          <w:rStyle w:val="21"/>
          <w:rFonts w:hint="eastAsia" w:ascii="黑体" w:eastAsia="黑体"/>
          <w:b w:val="0"/>
        </w:rPr>
        <w:t>般公共预算财政拨款支出决算情况说明</w:t>
      </w:r>
      <w:bookmarkEnd w:id="32"/>
      <w:bookmarkEnd w:id="33"/>
    </w:p>
    <w:p>
      <w:pPr>
        <w:spacing w:line="600" w:lineRule="exact"/>
        <w:ind w:firstLine="634"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pacing w:line="600" w:lineRule="exact"/>
        <w:ind w:firstLine="634" w:firstLineChars="20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8年一般公共预算财政拨款支出1597.69万元，占本年支出合计的87.90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7年相比，一般公共预算财政拨款增加825.67万元，增长106.95</w:t>
      </w:r>
      <w:r>
        <w:rPr>
          <w:rFonts w:ascii="仿宋" w:eastAsia="仿宋"/>
          <w:color w:val="000000"/>
          <w:sz w:val="32"/>
          <w:szCs w:val="32"/>
        </w:rPr>
        <w:t>%</w:t>
      </w:r>
      <w:r>
        <w:rPr>
          <w:rFonts w:hint="eastAsia" w:ascii="仿宋" w:eastAsia="仿宋"/>
          <w:color w:val="000000"/>
          <w:sz w:val="32"/>
          <w:szCs w:val="32"/>
        </w:rPr>
        <w:t>。主要变动原因是受8.8地震影响，灾后恢复重建项目支出增加。</w:t>
      </w:r>
    </w:p>
    <w:p>
      <w:pPr>
        <w:spacing w:line="600" w:lineRule="exact"/>
        <w:ind w:firstLine="634" w:firstLineChars="200"/>
        <w:outlineLvl w:val="2"/>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8年一般公共预算财政拨款支出1597.69万元，主要用于以下方面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支出7.39万元，占0.46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教育支出（类）</w:t>
      </w:r>
      <w:r>
        <w:rPr>
          <w:rFonts w:hint="eastAsia" w:ascii="仿宋" w:eastAsia="仿宋"/>
          <w:color w:val="000000"/>
          <w:sz w:val="32"/>
          <w:szCs w:val="32"/>
        </w:rPr>
        <w:t>0万元，占0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科学技术（类）</w:t>
      </w:r>
      <w:r>
        <w:rPr>
          <w:rFonts w:hint="eastAsia" w:ascii="仿宋" w:eastAsia="仿宋"/>
          <w:color w:val="000000"/>
          <w:sz w:val="32"/>
          <w:szCs w:val="32"/>
        </w:rPr>
        <w:t>支出0万元，占0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支出8.41万元，占0.53</w:t>
      </w:r>
      <w:r>
        <w:rPr>
          <w:rFonts w:ascii="仿宋" w:eastAsia="仿宋"/>
          <w:color w:val="000000"/>
          <w:sz w:val="32"/>
          <w:szCs w:val="32"/>
        </w:rPr>
        <w:t>%</w:t>
      </w:r>
      <w:r>
        <w:rPr>
          <w:rFonts w:hint="eastAsia" w:ascii="仿宋" w:eastAsia="仿宋"/>
          <w:color w:val="000000"/>
          <w:sz w:val="32"/>
          <w:szCs w:val="32"/>
        </w:rPr>
        <w:t>；医疗卫生支出31.59万元，占1.98</w:t>
      </w:r>
      <w:r>
        <w:rPr>
          <w:rFonts w:ascii="仿宋" w:eastAsia="仿宋"/>
          <w:color w:val="000000"/>
          <w:sz w:val="32"/>
          <w:szCs w:val="32"/>
        </w:rPr>
        <w:t>%</w:t>
      </w:r>
      <w:r>
        <w:rPr>
          <w:rFonts w:hint="eastAsia" w:ascii="仿宋" w:eastAsia="仿宋"/>
          <w:color w:val="000000"/>
          <w:sz w:val="32"/>
          <w:szCs w:val="32"/>
        </w:rPr>
        <w:t>；住房保障支出10.82万元，占0.68</w:t>
      </w:r>
      <w:r>
        <w:rPr>
          <w:rFonts w:ascii="仿宋" w:eastAsia="仿宋"/>
          <w:color w:val="000000"/>
          <w:sz w:val="32"/>
          <w:szCs w:val="32"/>
        </w:rPr>
        <w:t>%</w:t>
      </w:r>
      <w:r>
        <w:rPr>
          <w:rFonts w:hint="eastAsia" w:ascii="仿宋" w:eastAsia="仿宋"/>
          <w:color w:val="000000"/>
          <w:sz w:val="32"/>
          <w:szCs w:val="32"/>
        </w:rPr>
        <w:t>；农林水支出479.61万元，占30.02</w:t>
      </w:r>
      <w:r>
        <w:rPr>
          <w:rFonts w:ascii="仿宋" w:eastAsia="仿宋"/>
          <w:color w:val="000000"/>
          <w:sz w:val="32"/>
          <w:szCs w:val="32"/>
        </w:rPr>
        <w:t>%</w:t>
      </w:r>
      <w:r>
        <w:rPr>
          <w:rFonts w:hint="eastAsia" w:ascii="仿宋" w:eastAsia="仿宋"/>
          <w:color w:val="000000"/>
          <w:sz w:val="32"/>
          <w:szCs w:val="32"/>
        </w:rPr>
        <w:t>；商业服务业等支出1059.87万元，占66.33</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34" w:firstLineChars="200"/>
        <w:outlineLvl w:val="2"/>
        <w:rPr>
          <w:rFonts w:ascii="仿宋" w:eastAsia="仿宋"/>
          <w:b/>
          <w:color w:val="000000"/>
          <w:sz w:val="32"/>
          <w:szCs w:val="32"/>
        </w:rPr>
      </w:pPr>
      <w:bookmarkStart w:id="36" w:name="_Toc15377212"/>
      <w:r>
        <w:rPr>
          <w:rFonts w:hint="eastAsia" w:ascii="仿宋" w:eastAsia="仿宋"/>
          <w:b/>
          <w:color w:val="000000"/>
          <w:sz w:val="32"/>
          <w:szCs w:val="32"/>
        </w:rPr>
        <w:t>（三）一般公共预算财政拨款支出决算具体情况</w:t>
      </w:r>
      <w:bookmarkEnd w:id="36"/>
    </w:p>
    <w:p>
      <w:pPr>
        <w:spacing w:line="600" w:lineRule="exact"/>
        <w:ind w:firstLine="634" w:firstLineChars="200"/>
        <w:outlineLvl w:val="2"/>
        <w:rPr>
          <w:rFonts w:ascii="仿宋" w:eastAsia="仿宋"/>
          <w:color w:val="FF0000"/>
          <w:sz w:val="32"/>
          <w:szCs w:val="32"/>
        </w:rPr>
      </w:pPr>
      <w:bookmarkStart w:id="37" w:name="_Toc15377213"/>
      <w:bookmarkStart w:id="38" w:name="_Toc15377444"/>
      <w:bookmarkStart w:id="39" w:name="_Toc15378460"/>
      <w:r>
        <w:rPr>
          <w:rFonts w:hint="eastAsia" w:ascii="仿宋" w:eastAsia="仿宋"/>
          <w:b/>
          <w:color w:val="000000"/>
          <w:sz w:val="32"/>
          <w:szCs w:val="32"/>
        </w:rPr>
        <w:t>2018年一般公共预算支出决算数为1597.69万元</w:t>
      </w:r>
      <w:r>
        <w:rPr>
          <w:rFonts w:hint="eastAsia" w:ascii="仿宋" w:eastAsia="仿宋"/>
          <w:color w:val="000000"/>
          <w:sz w:val="32"/>
          <w:szCs w:val="32"/>
        </w:rPr>
        <w:t>，</w:t>
      </w:r>
      <w:r>
        <w:rPr>
          <w:rStyle w:val="18"/>
          <w:rFonts w:hint="eastAsia" w:ascii="仿宋" w:eastAsia="仿宋"/>
          <w:bCs/>
          <w:color w:val="000000"/>
          <w:sz w:val="32"/>
          <w:szCs w:val="32"/>
        </w:rPr>
        <w:t>完成预算100</w:t>
      </w:r>
      <w:r>
        <w:rPr>
          <w:rStyle w:val="18"/>
          <w:rFonts w:ascii="仿宋" w:eastAsia="仿宋"/>
          <w:bCs/>
          <w:color w:val="000000"/>
          <w:sz w:val="32"/>
          <w:szCs w:val="32"/>
        </w:rPr>
        <w:t>%</w:t>
      </w:r>
      <w:r>
        <w:rPr>
          <w:rStyle w:val="18"/>
          <w:rFonts w:hint="eastAsia" w:ascii="仿宋" w:eastAsia="仿宋"/>
          <w:bCs/>
          <w:color w:val="000000"/>
          <w:sz w:val="32"/>
          <w:szCs w:val="32"/>
        </w:rPr>
        <w:t>。其中：</w:t>
      </w:r>
      <w:bookmarkEnd w:id="37"/>
      <w:bookmarkEnd w:id="38"/>
      <w:bookmarkEnd w:id="39"/>
    </w:p>
    <w:p>
      <w:pPr>
        <w:spacing w:line="600" w:lineRule="exact"/>
        <w:ind w:firstLine="634" w:firstLineChars="200"/>
        <w:rPr>
          <w:rFonts w:ascii="仿宋" w:eastAsia="仿宋"/>
          <w:b/>
          <w:color w:val="000000"/>
          <w:sz w:val="32"/>
          <w:szCs w:val="32"/>
        </w:rPr>
      </w:pPr>
      <w:r>
        <w:rPr>
          <w:rStyle w:val="18"/>
          <w:rFonts w:ascii="仿宋" w:eastAsia="仿宋"/>
          <w:bCs/>
          <w:color w:val="000000"/>
          <w:sz w:val="32"/>
          <w:szCs w:val="32"/>
        </w:rPr>
        <w:t>1.</w:t>
      </w:r>
      <w:r>
        <w:rPr>
          <w:rStyle w:val="18"/>
          <w:rFonts w:hint="eastAsia" w:ascii="仿宋" w:eastAsia="仿宋"/>
          <w:bCs/>
          <w:color w:val="000000"/>
          <w:sz w:val="32"/>
          <w:szCs w:val="32"/>
        </w:rPr>
        <w:t>一般公共服务支出（201）组织事务（32）其他组织事务支出（99）</w:t>
      </w:r>
      <w:r>
        <w:rPr>
          <w:rStyle w:val="18"/>
          <w:rFonts w:ascii="仿宋" w:eastAsia="仿宋"/>
          <w:bCs/>
          <w:color w:val="000000"/>
          <w:sz w:val="32"/>
          <w:szCs w:val="32"/>
        </w:rPr>
        <w:t>:</w:t>
      </w:r>
      <w:r>
        <w:rPr>
          <w:rStyle w:val="18"/>
          <w:rFonts w:hint="eastAsia" w:ascii="仿宋" w:eastAsia="仿宋"/>
          <w:b w:val="0"/>
          <w:bCs/>
          <w:color w:val="000000"/>
          <w:sz w:val="32"/>
          <w:szCs w:val="32"/>
        </w:rPr>
        <w:t>支出决算为7.39万元，完成预算100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spacing w:line="600" w:lineRule="exact"/>
        <w:ind w:firstLine="634" w:firstLineChars="200"/>
        <w:rPr>
          <w:rFonts w:ascii="仿宋" w:eastAsia="仿宋"/>
          <w:b/>
          <w:color w:val="000000"/>
          <w:sz w:val="32"/>
          <w:szCs w:val="32"/>
        </w:rPr>
      </w:pPr>
      <w:r>
        <w:rPr>
          <w:rStyle w:val="18"/>
          <w:rFonts w:hint="eastAsia" w:ascii="仿宋" w:eastAsia="仿宋"/>
          <w:bCs/>
          <w:color w:val="000000"/>
          <w:sz w:val="32"/>
          <w:szCs w:val="32"/>
        </w:rPr>
        <w:t>2</w:t>
      </w:r>
      <w:r>
        <w:rPr>
          <w:rStyle w:val="18"/>
          <w:rFonts w:ascii="仿宋" w:eastAsia="仿宋"/>
          <w:bCs/>
          <w:color w:val="000000"/>
          <w:sz w:val="32"/>
          <w:szCs w:val="32"/>
        </w:rPr>
        <w:t>.</w:t>
      </w:r>
      <w:r>
        <w:rPr>
          <w:rStyle w:val="18"/>
          <w:rFonts w:hint="eastAsia" w:ascii="仿宋" w:eastAsia="仿宋"/>
          <w:bCs/>
          <w:sz w:val="32"/>
          <w:szCs w:val="32"/>
        </w:rPr>
        <w:t>社会保障和就业支出（208）行政事业单位离退休（05）机关事业单位基本养老保险缴费支出（05）</w:t>
      </w:r>
      <w:r>
        <w:rPr>
          <w:rStyle w:val="18"/>
          <w:rFonts w:ascii="仿宋" w:eastAsia="仿宋"/>
          <w:bCs/>
          <w:color w:val="000000"/>
          <w:sz w:val="32"/>
          <w:szCs w:val="32"/>
        </w:rPr>
        <w:t>:</w:t>
      </w:r>
      <w:r>
        <w:rPr>
          <w:rStyle w:val="18"/>
          <w:rFonts w:hint="eastAsia" w:ascii="仿宋" w:eastAsia="仿宋"/>
          <w:b w:val="0"/>
          <w:bCs/>
          <w:color w:val="000000"/>
          <w:sz w:val="32"/>
          <w:szCs w:val="32"/>
        </w:rPr>
        <w:t>支出决算为8.41万元，完成预算100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spacing w:line="600" w:lineRule="exact"/>
        <w:ind w:firstLine="634" w:firstLineChars="200"/>
        <w:rPr>
          <w:rStyle w:val="18"/>
          <w:rFonts w:ascii="仿宋" w:eastAsia="仿宋"/>
          <w:color w:val="000000"/>
          <w:sz w:val="32"/>
          <w:szCs w:val="32"/>
        </w:rPr>
      </w:pPr>
      <w:r>
        <w:rPr>
          <w:rStyle w:val="18"/>
          <w:rFonts w:hint="eastAsia" w:ascii="仿宋" w:eastAsia="仿宋"/>
          <w:bCs/>
          <w:color w:val="000000"/>
          <w:sz w:val="32"/>
          <w:szCs w:val="32"/>
        </w:rPr>
        <w:t>3</w:t>
      </w:r>
      <w:r>
        <w:rPr>
          <w:rStyle w:val="18"/>
          <w:rFonts w:ascii="仿宋" w:eastAsia="仿宋"/>
          <w:bCs/>
          <w:color w:val="000000"/>
          <w:sz w:val="32"/>
          <w:szCs w:val="32"/>
        </w:rPr>
        <w:t>.</w:t>
      </w:r>
      <w:r>
        <w:rPr>
          <w:rStyle w:val="18"/>
          <w:rFonts w:hint="eastAsia" w:ascii="仿宋" w:eastAsia="仿宋"/>
          <w:bCs/>
          <w:sz w:val="32"/>
          <w:szCs w:val="32"/>
        </w:rPr>
        <w:t>医疗卫生与计划生育支出（210）行政事业单位医疗（11）行政单位医疗（01）</w:t>
      </w:r>
      <w:r>
        <w:rPr>
          <w:rStyle w:val="18"/>
          <w:rFonts w:ascii="仿宋" w:eastAsia="仿宋"/>
          <w:bCs/>
          <w:color w:val="000000"/>
          <w:sz w:val="32"/>
          <w:szCs w:val="32"/>
        </w:rPr>
        <w:t>:</w:t>
      </w:r>
      <w:r>
        <w:rPr>
          <w:rStyle w:val="18"/>
          <w:rFonts w:hint="eastAsia" w:ascii="仿宋" w:eastAsia="仿宋"/>
          <w:b w:val="0"/>
          <w:bCs/>
          <w:color w:val="000000"/>
          <w:sz w:val="32"/>
          <w:szCs w:val="32"/>
        </w:rPr>
        <w:t>支出决算为25.49万元，完成预算100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r>
        <w:rPr>
          <w:rStyle w:val="18"/>
          <w:rFonts w:hint="eastAsia" w:ascii="仿宋" w:eastAsia="仿宋"/>
          <w:bCs/>
          <w:sz w:val="32"/>
          <w:szCs w:val="32"/>
        </w:rPr>
        <w:t>医疗卫生与计划生育支出（210）行政事业单位医疗（11）公务员医疗补助（03）</w:t>
      </w:r>
      <w:r>
        <w:rPr>
          <w:rStyle w:val="18"/>
          <w:rFonts w:ascii="仿宋" w:eastAsia="仿宋"/>
          <w:bCs/>
          <w:color w:val="000000"/>
          <w:sz w:val="32"/>
          <w:szCs w:val="32"/>
        </w:rPr>
        <w:t>:</w:t>
      </w:r>
      <w:r>
        <w:rPr>
          <w:rStyle w:val="18"/>
          <w:rFonts w:hint="eastAsia" w:ascii="仿宋" w:eastAsia="仿宋"/>
          <w:b w:val="0"/>
          <w:bCs/>
          <w:color w:val="000000"/>
          <w:sz w:val="32"/>
          <w:szCs w:val="32"/>
        </w:rPr>
        <w:t>支出决算为6.1万元，完成预算100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spacing w:line="600" w:lineRule="exact"/>
        <w:ind w:firstLine="634" w:firstLineChars="200"/>
        <w:rPr>
          <w:rStyle w:val="18"/>
          <w:rFonts w:ascii="仿宋" w:eastAsia="仿宋"/>
          <w:b w:val="0"/>
          <w:bCs/>
          <w:color w:val="000000"/>
          <w:sz w:val="32"/>
          <w:szCs w:val="32"/>
        </w:rPr>
      </w:pPr>
      <w:r>
        <w:rPr>
          <w:rStyle w:val="18"/>
          <w:rFonts w:hint="eastAsia" w:ascii="仿宋" w:eastAsia="仿宋"/>
          <w:bCs/>
          <w:color w:val="000000"/>
          <w:sz w:val="32"/>
          <w:szCs w:val="32"/>
        </w:rPr>
        <w:t>4</w:t>
      </w:r>
      <w:r>
        <w:rPr>
          <w:rStyle w:val="18"/>
          <w:rFonts w:ascii="仿宋" w:eastAsia="仿宋"/>
          <w:bCs/>
          <w:color w:val="000000"/>
          <w:sz w:val="32"/>
          <w:szCs w:val="32"/>
        </w:rPr>
        <w:t>.</w:t>
      </w:r>
      <w:r>
        <w:rPr>
          <w:rStyle w:val="18"/>
          <w:rFonts w:hint="eastAsia" w:ascii="仿宋" w:eastAsia="仿宋"/>
          <w:bCs/>
          <w:color w:val="000000"/>
          <w:sz w:val="32"/>
          <w:szCs w:val="32"/>
        </w:rPr>
        <w:t>农林水支出（213）扶贫（05）其他扶贫支出（99）</w:t>
      </w:r>
      <w:r>
        <w:rPr>
          <w:rStyle w:val="18"/>
          <w:rFonts w:ascii="仿宋" w:eastAsia="仿宋"/>
          <w:bCs/>
          <w:color w:val="000000"/>
          <w:sz w:val="32"/>
          <w:szCs w:val="32"/>
        </w:rPr>
        <w:t>:</w:t>
      </w:r>
      <w:r>
        <w:rPr>
          <w:rStyle w:val="18"/>
          <w:rFonts w:hint="eastAsia" w:ascii="仿宋" w:eastAsia="仿宋"/>
          <w:b w:val="0"/>
          <w:bCs/>
          <w:color w:val="000000"/>
          <w:sz w:val="32"/>
          <w:szCs w:val="32"/>
        </w:rPr>
        <w:t>支出决算为479.61万元，完成预算100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spacing w:line="600" w:lineRule="exact"/>
        <w:ind w:firstLine="634" w:firstLineChars="200"/>
        <w:rPr>
          <w:rFonts w:ascii="仿宋" w:eastAsia="仿宋"/>
          <w:b/>
          <w:color w:val="000000"/>
          <w:sz w:val="32"/>
          <w:szCs w:val="32"/>
        </w:rPr>
      </w:pPr>
      <w:r>
        <w:rPr>
          <w:rStyle w:val="18"/>
          <w:rFonts w:hint="eastAsia" w:ascii="仿宋" w:eastAsia="仿宋"/>
          <w:bCs/>
          <w:color w:val="000000"/>
          <w:sz w:val="32"/>
          <w:szCs w:val="32"/>
        </w:rPr>
        <w:t>5</w:t>
      </w:r>
      <w:r>
        <w:rPr>
          <w:rStyle w:val="18"/>
          <w:rFonts w:ascii="仿宋" w:eastAsia="仿宋"/>
          <w:bCs/>
          <w:color w:val="000000"/>
          <w:sz w:val="32"/>
          <w:szCs w:val="32"/>
        </w:rPr>
        <w:t>.</w:t>
      </w:r>
      <w:r>
        <w:rPr>
          <w:rStyle w:val="18"/>
          <w:rFonts w:hint="eastAsia" w:ascii="仿宋" w:eastAsia="仿宋"/>
          <w:bCs/>
          <w:color w:val="000000"/>
          <w:sz w:val="32"/>
          <w:szCs w:val="32"/>
        </w:rPr>
        <w:t>商业服务业等支出（216）旅游业管理和服务支出（05）行政运行（01）</w:t>
      </w:r>
      <w:r>
        <w:rPr>
          <w:rStyle w:val="18"/>
          <w:rFonts w:ascii="仿宋" w:eastAsia="仿宋"/>
          <w:bCs/>
          <w:color w:val="000000"/>
          <w:sz w:val="32"/>
          <w:szCs w:val="32"/>
        </w:rPr>
        <w:t>:</w:t>
      </w:r>
      <w:r>
        <w:rPr>
          <w:rStyle w:val="18"/>
          <w:rFonts w:hint="eastAsia" w:ascii="仿宋" w:eastAsia="仿宋"/>
          <w:b w:val="0"/>
          <w:bCs/>
          <w:color w:val="000000"/>
          <w:sz w:val="32"/>
          <w:szCs w:val="32"/>
        </w:rPr>
        <w:t>支出决算为170.29万元，完成预算100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r>
        <w:rPr>
          <w:rStyle w:val="18"/>
          <w:rFonts w:hint="eastAsia" w:ascii="仿宋" w:eastAsia="仿宋"/>
          <w:bCs/>
          <w:color w:val="000000"/>
          <w:sz w:val="32"/>
          <w:szCs w:val="32"/>
        </w:rPr>
        <w:t>商业服务业等支出（216）旅游业管理和服务支出（05）旅游宣传（04）</w:t>
      </w:r>
      <w:r>
        <w:rPr>
          <w:rStyle w:val="18"/>
          <w:rFonts w:ascii="仿宋" w:eastAsia="仿宋"/>
          <w:bCs/>
          <w:color w:val="000000"/>
          <w:sz w:val="32"/>
          <w:szCs w:val="32"/>
        </w:rPr>
        <w:t>:</w:t>
      </w:r>
      <w:r>
        <w:rPr>
          <w:rStyle w:val="18"/>
          <w:rFonts w:hint="eastAsia" w:ascii="仿宋" w:eastAsia="仿宋"/>
          <w:b w:val="0"/>
          <w:bCs/>
          <w:color w:val="000000"/>
          <w:sz w:val="32"/>
          <w:szCs w:val="32"/>
        </w:rPr>
        <w:t>支出决算为94.3万元，完成预算100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r>
        <w:rPr>
          <w:rStyle w:val="18"/>
          <w:rFonts w:hint="eastAsia" w:ascii="仿宋" w:eastAsia="仿宋"/>
          <w:bCs/>
          <w:color w:val="000000"/>
          <w:sz w:val="32"/>
          <w:szCs w:val="32"/>
        </w:rPr>
        <w:t>商业服务业等支出（216）旅游业管理和服务支出（05）其他旅游业管理和服务支出（99）</w:t>
      </w:r>
      <w:r>
        <w:rPr>
          <w:rStyle w:val="18"/>
          <w:rFonts w:ascii="仿宋" w:eastAsia="仿宋"/>
          <w:bCs/>
          <w:color w:val="000000"/>
          <w:sz w:val="32"/>
          <w:szCs w:val="32"/>
        </w:rPr>
        <w:t>:</w:t>
      </w:r>
      <w:r>
        <w:rPr>
          <w:rStyle w:val="18"/>
          <w:rFonts w:hint="eastAsia" w:ascii="仿宋" w:eastAsia="仿宋"/>
          <w:b w:val="0"/>
          <w:bCs/>
          <w:color w:val="000000"/>
          <w:sz w:val="32"/>
          <w:szCs w:val="32"/>
        </w:rPr>
        <w:t>支出决算为795.28万元，完成预算100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spacing w:line="600" w:lineRule="exact"/>
        <w:ind w:firstLine="634" w:firstLineChars="200"/>
        <w:rPr>
          <w:rStyle w:val="18"/>
          <w:rFonts w:ascii="仿宋" w:eastAsia="仿宋"/>
          <w:b w:val="0"/>
          <w:bCs/>
          <w:color w:val="000000"/>
          <w:sz w:val="32"/>
          <w:szCs w:val="32"/>
        </w:rPr>
      </w:pPr>
      <w:r>
        <w:rPr>
          <w:rStyle w:val="18"/>
          <w:rFonts w:hint="eastAsia" w:ascii="仿宋" w:eastAsia="仿宋"/>
          <w:bCs/>
          <w:color w:val="000000"/>
          <w:sz w:val="32"/>
          <w:szCs w:val="32"/>
        </w:rPr>
        <w:t>6</w:t>
      </w:r>
      <w:r>
        <w:rPr>
          <w:rStyle w:val="18"/>
          <w:rFonts w:ascii="仿宋" w:eastAsia="仿宋"/>
          <w:bCs/>
          <w:color w:val="000000"/>
          <w:sz w:val="32"/>
          <w:szCs w:val="32"/>
        </w:rPr>
        <w:t>.</w:t>
      </w:r>
      <w:r>
        <w:rPr>
          <w:rStyle w:val="18"/>
          <w:rFonts w:hint="eastAsia" w:ascii="仿宋" w:eastAsia="仿宋"/>
          <w:bCs/>
          <w:sz w:val="32"/>
          <w:szCs w:val="32"/>
        </w:rPr>
        <w:t>住房保障支出（221）住房改革支出（02）住房公积金（01）</w:t>
      </w:r>
      <w:r>
        <w:rPr>
          <w:rStyle w:val="18"/>
          <w:rFonts w:ascii="仿宋" w:eastAsia="仿宋"/>
          <w:bCs/>
          <w:color w:val="000000"/>
          <w:sz w:val="32"/>
          <w:szCs w:val="32"/>
        </w:rPr>
        <w:t>:</w:t>
      </w:r>
      <w:r>
        <w:rPr>
          <w:rStyle w:val="18"/>
          <w:rFonts w:hint="eastAsia" w:ascii="仿宋" w:eastAsia="仿宋"/>
          <w:b w:val="0"/>
          <w:bCs/>
          <w:color w:val="000000"/>
          <w:sz w:val="32"/>
          <w:szCs w:val="32"/>
        </w:rPr>
        <w:t>支出决算为10.82万元，完成预算100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p>
    <w:p>
      <w:pPr>
        <w:spacing w:line="600" w:lineRule="exact"/>
        <w:ind w:firstLine="634" w:firstLineChars="200"/>
        <w:rPr>
          <w:rFonts w:ascii="仿宋" w:eastAsia="仿宋"/>
          <w:color w:val="000000"/>
          <w:sz w:val="32"/>
          <w:szCs w:val="32"/>
        </w:rPr>
      </w:pPr>
    </w:p>
    <w:p>
      <w:pPr>
        <w:tabs>
          <w:tab w:val="right" w:pos="8306"/>
        </w:tabs>
        <w:spacing w:line="600" w:lineRule="exact"/>
        <w:ind w:firstLine="640"/>
        <w:outlineLvl w:val="1"/>
        <w:rPr>
          <w:rStyle w:val="21"/>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、一</w:t>
      </w:r>
      <w:r>
        <w:rPr>
          <w:rStyle w:val="21"/>
          <w:rFonts w:hint="eastAsia" w:ascii="黑体" w:eastAsia="黑体"/>
          <w:b w:val="0"/>
        </w:rPr>
        <w:t>般公共预算财政拨款基本支出决算情况说明</w:t>
      </w:r>
      <w:bookmarkEnd w:id="40"/>
      <w:bookmarkEnd w:id="41"/>
      <w:r>
        <w:rPr>
          <w:rStyle w:val="21"/>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8年一般公共预算财政拨款基本支出221.11万元，其中：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人员经费173.61万元，主要包括：基本工资、津贴补贴、奖金、伙食补助费、机关事业单位基本养老保险缴费、职工基本医疗保险缴费、公务员医疗补助缴费、住房公积金、生活补助等。</w:t>
      </w:r>
      <w:r>
        <w:rPr>
          <w:rFonts w:ascii="仿宋" w:eastAsia="仿宋"/>
          <w:color w:val="000000"/>
          <w:sz w:val="32"/>
          <w:szCs w:val="32"/>
        </w:rPr>
        <w:br w:type="textWrapping"/>
      </w:r>
      <w:r>
        <w:rPr>
          <w:rFonts w:hint="eastAsia" w:ascii="仿宋" w:eastAsia="仿宋"/>
          <w:color w:val="000000"/>
          <w:sz w:val="32"/>
          <w:szCs w:val="32"/>
        </w:rPr>
        <w:t>　　公用经费47.51万元，主要包括：办公费、咨询费、手续费、邮电费、差旅费、租赁费、培训费、公务接待费、专用材料费、劳务费、委托业务费、工会经费、公务用车运行维护费、公务用车购置等。</w:t>
      </w:r>
    </w:p>
    <w:p>
      <w:pPr>
        <w:spacing w:line="600" w:lineRule="exact"/>
        <w:ind w:firstLine="640"/>
        <w:rPr>
          <w:rFonts w:ascii="仿宋" w:eastAsia="仿宋"/>
          <w:b/>
          <w:color w:val="FF0000"/>
          <w:sz w:val="32"/>
          <w:szCs w:val="32"/>
        </w:rPr>
      </w:pPr>
    </w:p>
    <w:p>
      <w:pPr>
        <w:spacing w:line="600" w:lineRule="exact"/>
        <w:ind w:firstLine="640"/>
        <w:outlineLvl w:val="1"/>
        <w:rPr>
          <w:rStyle w:val="21"/>
          <w:rFonts w:ascii="黑体" w:eastAsia="黑体"/>
          <w:b w:val="0"/>
        </w:rPr>
      </w:pPr>
      <w:bookmarkStart w:id="42" w:name="_Toc15396609"/>
      <w:bookmarkStart w:id="43" w:name="_Toc15377215"/>
      <w:r>
        <w:rPr>
          <w:rFonts w:hint="eastAsia" w:ascii="黑体" w:eastAsia="黑体"/>
          <w:color w:val="000000"/>
          <w:sz w:val="32"/>
          <w:szCs w:val="32"/>
        </w:rPr>
        <w:t>七、</w:t>
      </w:r>
      <w:r>
        <w:rPr>
          <w:rStyle w:val="21"/>
          <w:rFonts w:hint="eastAsia" w:ascii="黑体" w:eastAsia="黑体"/>
        </w:rPr>
        <w:t>“</w:t>
      </w:r>
      <w:r>
        <w:rPr>
          <w:rStyle w:val="21"/>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8年“三公”经费财政拨款支出决算为19.25万元，完成预算100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ascii="仿宋" w:eastAsia="仿宋"/>
          <w:b/>
          <w:color w:val="000000"/>
          <w:sz w:val="32"/>
          <w:szCs w:val="32"/>
        </w:rPr>
      </w:pPr>
      <w:r>
        <w:rPr>
          <w:rFonts w:hint="eastAsia" w:ascii="仿宋" w:eastAsia="仿宋"/>
          <w:b/>
          <w:color w:val="000000"/>
          <w:sz w:val="32"/>
          <w:szCs w:val="32"/>
        </w:rPr>
        <w:t>（上述“预算”口径为调整预算数，包括政府性基金支出决算情况。）</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8年“三公”经费财政拨款支出决算中，因公出国（境）费支出决算0万元，占0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；公务用车购置及运行维护费支出决算18.51万元，占96.16</w:t>
      </w:r>
      <w:r>
        <w:rPr>
          <w:rFonts w:ascii="仿宋" w:eastAsia="仿宋"/>
          <w:color w:val="000000"/>
          <w:sz w:val="32"/>
          <w:szCs w:val="32"/>
        </w:rPr>
        <w:t>%</w:t>
      </w:r>
      <w:r>
        <w:rPr>
          <w:rFonts w:hint="eastAsia" w:ascii="仿宋" w:eastAsia="仿宋"/>
          <w:color w:val="000000"/>
          <w:sz w:val="32"/>
          <w:szCs w:val="32"/>
        </w:rPr>
        <w:t>；公务接待费支出决算0.74万元，占3.84</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b/>
          <w:color w:val="000000"/>
          <w:sz w:val="32"/>
          <w:szCs w:val="32"/>
        </w:rPr>
      </w:pPr>
      <w:r>
        <w:rPr>
          <w:rFonts w:ascii="仿宋" w:eastAsia="仿宋"/>
          <w:b/>
          <w:color w:val="000000"/>
          <w:sz w:val="32"/>
          <w:szCs w:val="32"/>
        </w:rPr>
        <w:t>1.</w:t>
      </w:r>
      <w:r>
        <w:rPr>
          <w:rFonts w:hint="eastAsia" w:ascii="仿宋" w:eastAsia="仿宋"/>
          <w:b/>
          <w:color w:val="000000"/>
          <w:sz w:val="32"/>
          <w:szCs w:val="32"/>
        </w:rPr>
        <w:t>因公出国（境）经费支出</w:t>
      </w:r>
      <w:r>
        <w:rPr>
          <w:rFonts w:hint="eastAsia" w:ascii="仿宋" w:eastAsia="仿宋"/>
          <w:color w:val="000000"/>
          <w:sz w:val="32"/>
          <w:szCs w:val="32"/>
        </w:rPr>
        <w:t>0万元，</w:t>
      </w:r>
      <w:r>
        <w:rPr>
          <w:rStyle w:val="18"/>
          <w:rFonts w:hint="eastAsia" w:ascii="仿宋" w:eastAsia="仿宋"/>
          <w:b w:val="0"/>
          <w:bCs/>
          <w:color w:val="000000"/>
          <w:sz w:val="32"/>
          <w:szCs w:val="32"/>
        </w:rPr>
        <w:t>完成预算0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r>
        <w:rPr>
          <w:rFonts w:hint="eastAsia" w:ascii="仿宋" w:eastAsia="仿宋"/>
          <w:color w:val="000000"/>
          <w:sz w:val="32"/>
          <w:szCs w:val="32"/>
        </w:rPr>
        <w:t>全年安排因公出国（境）团组0次，出国（境）0人。因公出国（境）支出决算比</w:t>
      </w:r>
      <w:r>
        <w:rPr>
          <w:rFonts w:ascii="仿宋" w:eastAsia="仿宋"/>
          <w:color w:val="000000"/>
          <w:sz w:val="32"/>
          <w:szCs w:val="32"/>
        </w:rPr>
        <w:t>201</w:t>
      </w:r>
      <w:r>
        <w:rPr>
          <w:rFonts w:hint="eastAsia" w:ascii="仿宋" w:eastAsia="仿宋"/>
          <w:color w:val="000000"/>
          <w:sz w:val="32"/>
          <w:szCs w:val="32"/>
        </w:rPr>
        <w:t>7年增加</w:t>
      </w:r>
      <w:r>
        <w:rPr>
          <w:rFonts w:ascii="仿宋" w:eastAsia="仿宋"/>
          <w:color w:val="000000"/>
          <w:sz w:val="32"/>
          <w:szCs w:val="32"/>
        </w:rPr>
        <w:t>/</w:t>
      </w:r>
      <w:r>
        <w:rPr>
          <w:rFonts w:hint="eastAsia" w:ascii="仿宋" w:eastAsia="仿宋"/>
          <w:color w:val="000000"/>
          <w:sz w:val="32"/>
          <w:szCs w:val="32"/>
        </w:rPr>
        <w:t>减少0万元，增长</w:t>
      </w:r>
      <w:r>
        <w:rPr>
          <w:rFonts w:ascii="仿宋" w:eastAsia="仿宋"/>
          <w:color w:val="000000"/>
          <w:sz w:val="32"/>
          <w:szCs w:val="32"/>
        </w:rPr>
        <w:t>/</w:t>
      </w:r>
      <w:r>
        <w:rPr>
          <w:rFonts w:hint="eastAsia" w:ascii="仿宋" w:eastAsia="仿宋"/>
          <w:color w:val="000000"/>
          <w:sz w:val="32"/>
          <w:szCs w:val="32"/>
        </w:rPr>
        <w:t>下降0</w:t>
      </w:r>
      <w:r>
        <w:rPr>
          <w:rFonts w:ascii="仿宋" w:eastAsia="仿宋"/>
          <w:color w:val="000000"/>
          <w:sz w:val="32"/>
          <w:szCs w:val="32"/>
        </w:rPr>
        <w:t>%</w:t>
      </w:r>
      <w:r>
        <w:rPr>
          <w:rFonts w:hint="eastAsia" w:ascii="仿宋" w:eastAsia="仿宋"/>
          <w:color w:val="000000"/>
          <w:sz w:val="32"/>
          <w:szCs w:val="32"/>
        </w:rPr>
        <w:t>。主要原因是无发生。</w:t>
      </w:r>
    </w:p>
    <w:p>
      <w:pPr>
        <w:spacing w:line="600" w:lineRule="exact"/>
        <w:ind w:firstLine="640"/>
        <w:rPr>
          <w:rFonts w:ascii="仿宋" w:eastAsia="仿宋"/>
          <w:b/>
          <w:color w:val="000000"/>
          <w:sz w:val="32"/>
          <w:szCs w:val="32"/>
        </w:rPr>
      </w:pPr>
      <w:r>
        <w:rPr>
          <w:rFonts w:ascii="仿宋" w:eastAsia="仿宋"/>
          <w:b/>
          <w:color w:val="000000"/>
          <w:sz w:val="32"/>
          <w:szCs w:val="32"/>
        </w:rPr>
        <w:t>2.</w:t>
      </w:r>
      <w:r>
        <w:rPr>
          <w:rFonts w:hint="eastAsia" w:ascii="仿宋" w:eastAsia="仿宋"/>
          <w:b/>
          <w:color w:val="000000"/>
          <w:sz w:val="32"/>
          <w:szCs w:val="32"/>
        </w:rPr>
        <w:t>公务用车购置及运行维护费支出</w:t>
      </w:r>
      <w:r>
        <w:rPr>
          <w:rFonts w:hint="eastAsia" w:ascii="仿宋" w:eastAsia="仿宋"/>
          <w:color w:val="000000"/>
          <w:sz w:val="32"/>
          <w:szCs w:val="32"/>
        </w:rPr>
        <w:t>18.51万元,</w:t>
      </w:r>
      <w:r>
        <w:rPr>
          <w:rStyle w:val="18"/>
          <w:rFonts w:hint="eastAsia" w:ascii="仿宋" w:eastAsia="仿宋"/>
          <w:b w:val="0"/>
          <w:bCs/>
          <w:color w:val="000000"/>
          <w:sz w:val="32"/>
          <w:szCs w:val="32"/>
        </w:rPr>
        <w:t>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r>
        <w:rPr>
          <w:rFonts w:hint="eastAsia" w:ascii="仿宋" w:eastAsia="仿宋"/>
          <w:color w:val="000000"/>
          <w:sz w:val="32"/>
          <w:szCs w:val="32"/>
        </w:rPr>
        <w:t>公务用车购置及运行维护费支出决算比</w:t>
      </w:r>
      <w:r>
        <w:rPr>
          <w:rFonts w:ascii="仿宋" w:eastAsia="仿宋"/>
          <w:color w:val="000000"/>
          <w:sz w:val="32"/>
          <w:szCs w:val="32"/>
        </w:rPr>
        <w:t>201</w:t>
      </w:r>
      <w:r>
        <w:rPr>
          <w:rFonts w:hint="eastAsia" w:ascii="仿宋" w:eastAsia="仿宋"/>
          <w:color w:val="000000"/>
          <w:sz w:val="32"/>
          <w:szCs w:val="32"/>
        </w:rPr>
        <w:t>7年减少15.23万元，下降46.16</w:t>
      </w:r>
      <w:r>
        <w:rPr>
          <w:rFonts w:ascii="仿宋" w:eastAsia="仿宋"/>
          <w:color w:val="000000"/>
          <w:sz w:val="32"/>
          <w:szCs w:val="32"/>
        </w:rPr>
        <w:t>%</w:t>
      </w:r>
      <w:r>
        <w:rPr>
          <w:rFonts w:hint="eastAsia" w:ascii="仿宋" w:eastAsia="仿宋"/>
          <w:color w:val="000000"/>
          <w:sz w:val="32"/>
          <w:szCs w:val="32"/>
        </w:rPr>
        <w:t>。主要原因是上年购买公务用车，增大比例。</w:t>
      </w:r>
    </w:p>
    <w:p>
      <w:pPr>
        <w:spacing w:line="600" w:lineRule="exact"/>
        <w:ind w:firstLine="634" w:firstLineChars="200"/>
        <w:rPr>
          <w:rFonts w:ascii="仿宋" w:eastAsia="仿宋"/>
          <w:b/>
          <w:color w:val="000000"/>
          <w:sz w:val="32"/>
          <w:szCs w:val="32"/>
        </w:rPr>
      </w:pPr>
      <w:r>
        <w:rPr>
          <w:rFonts w:hint="eastAsia" w:ascii="仿宋" w:eastAsia="仿宋"/>
          <w:color w:val="000000"/>
          <w:sz w:val="32"/>
          <w:szCs w:val="32"/>
        </w:rPr>
        <w:t>其中：</w:t>
      </w:r>
      <w:r>
        <w:rPr>
          <w:rFonts w:hint="eastAsia" w:ascii="仿宋" w:eastAsia="仿宋"/>
          <w:b/>
          <w:color w:val="000000"/>
          <w:sz w:val="32"/>
          <w:szCs w:val="32"/>
        </w:rPr>
        <w:t>公务用车购置支出</w:t>
      </w:r>
      <w:r>
        <w:rPr>
          <w:rFonts w:hint="eastAsia" w:ascii="仿宋" w:eastAsia="仿宋"/>
          <w:color w:val="000000"/>
          <w:sz w:val="32"/>
          <w:szCs w:val="32"/>
        </w:rPr>
        <w:t>1.54万元。全年按规定更新购置公务用车1.54辆，其中：轿车1辆、金额1.54万元，越野车0辆、金额0万元，载客汽车0辆、金额0万元，主要用于车辆购置税。截至</w:t>
      </w:r>
      <w:r>
        <w:rPr>
          <w:rFonts w:ascii="仿宋" w:eastAsia="仿宋"/>
          <w:color w:val="000000"/>
          <w:sz w:val="32"/>
          <w:szCs w:val="32"/>
        </w:rPr>
        <w:t>201</w:t>
      </w:r>
      <w:r>
        <w:rPr>
          <w:rFonts w:hint="eastAsia" w:ascii="仿宋" w:eastAsia="仿宋"/>
          <w:color w:val="000000"/>
          <w:sz w:val="32"/>
          <w:szCs w:val="32"/>
        </w:rPr>
        <w:t>8年</w:t>
      </w:r>
      <w:r>
        <w:rPr>
          <w:rFonts w:ascii="仿宋" w:eastAsia="仿宋"/>
          <w:color w:val="000000"/>
          <w:sz w:val="32"/>
          <w:szCs w:val="32"/>
        </w:rPr>
        <w:t>12</w:t>
      </w:r>
      <w:r>
        <w:rPr>
          <w:rFonts w:hint="eastAsia" w:ascii="仿宋" w:eastAsia="仿宋"/>
          <w:color w:val="000000"/>
          <w:sz w:val="32"/>
          <w:szCs w:val="32"/>
        </w:rPr>
        <w:t>月底，单位共有公务用车2辆，其中：轿车1辆、越野车1辆、载客汽车0辆。</w:t>
      </w:r>
    </w:p>
    <w:p>
      <w:pPr>
        <w:spacing w:line="600" w:lineRule="exact"/>
        <w:ind w:firstLine="640"/>
        <w:rPr>
          <w:rFonts w:ascii="仿宋" w:eastAsia="仿宋"/>
          <w:color w:val="000000"/>
          <w:sz w:val="32"/>
          <w:szCs w:val="32"/>
        </w:rPr>
      </w:pPr>
      <w:r>
        <w:rPr>
          <w:rFonts w:hint="eastAsia" w:ascii="仿宋" w:eastAsia="仿宋"/>
          <w:b/>
          <w:color w:val="000000"/>
          <w:sz w:val="32"/>
          <w:szCs w:val="32"/>
        </w:rPr>
        <w:t>公务用车运行维护费支出</w:t>
      </w:r>
      <w:r>
        <w:rPr>
          <w:rFonts w:hint="eastAsia" w:ascii="仿宋" w:eastAsia="仿宋"/>
          <w:color w:val="000000"/>
          <w:sz w:val="32"/>
          <w:szCs w:val="32"/>
        </w:rPr>
        <w:t>16.97万元。主要用于灾后重建项目、脱贫攻坚和日常工作等所需的公务用车燃料费、维修费、过路过桥费、保险费等支出。</w:t>
      </w:r>
    </w:p>
    <w:p>
      <w:pPr>
        <w:spacing w:line="600" w:lineRule="exact"/>
        <w:ind w:firstLine="640"/>
        <w:rPr>
          <w:rFonts w:ascii="仿宋" w:eastAsia="仿宋"/>
          <w:color w:val="000000"/>
          <w:sz w:val="32"/>
          <w:szCs w:val="32"/>
        </w:rPr>
      </w:pPr>
      <w:r>
        <w:rPr>
          <w:rFonts w:ascii="仿宋" w:eastAsia="仿宋"/>
          <w:b/>
          <w:color w:val="000000"/>
          <w:sz w:val="32"/>
          <w:szCs w:val="32"/>
        </w:rPr>
        <w:t>3.</w:t>
      </w:r>
      <w:r>
        <w:rPr>
          <w:rFonts w:hint="eastAsia" w:ascii="仿宋" w:eastAsia="仿宋"/>
          <w:b/>
          <w:color w:val="000000"/>
          <w:sz w:val="32"/>
          <w:szCs w:val="32"/>
        </w:rPr>
        <w:t>公务接待费支出</w:t>
      </w:r>
      <w:r>
        <w:rPr>
          <w:rFonts w:hint="eastAsia" w:ascii="仿宋" w:eastAsia="仿宋"/>
          <w:color w:val="000000"/>
          <w:sz w:val="32"/>
          <w:szCs w:val="32"/>
        </w:rPr>
        <w:t>0.74万元，</w:t>
      </w:r>
      <w:r>
        <w:rPr>
          <w:rStyle w:val="18"/>
          <w:rFonts w:hint="eastAsia" w:ascii="仿宋" w:eastAsia="仿宋"/>
          <w:b w:val="0"/>
          <w:bCs/>
          <w:color w:val="000000"/>
          <w:sz w:val="32"/>
          <w:szCs w:val="32"/>
        </w:rPr>
        <w:t>完成预算100</w:t>
      </w:r>
      <w:r>
        <w:rPr>
          <w:rStyle w:val="18"/>
          <w:rFonts w:ascii="仿宋" w:eastAsia="仿宋"/>
          <w:b w:val="0"/>
          <w:bCs/>
          <w:color w:val="000000"/>
          <w:sz w:val="32"/>
          <w:szCs w:val="32"/>
        </w:rPr>
        <w:t>%</w:t>
      </w:r>
      <w:r>
        <w:rPr>
          <w:rStyle w:val="18"/>
          <w:rFonts w:hint="eastAsia" w:ascii="仿宋" w:eastAsia="仿宋"/>
          <w:b w:val="0"/>
          <w:bCs/>
          <w:color w:val="000000"/>
          <w:sz w:val="32"/>
          <w:szCs w:val="32"/>
        </w:rPr>
        <w:t>。</w:t>
      </w:r>
      <w:r>
        <w:rPr>
          <w:rFonts w:hint="eastAsia" w:ascii="仿宋" w:eastAsia="仿宋"/>
          <w:color w:val="000000"/>
          <w:sz w:val="32"/>
          <w:szCs w:val="32"/>
        </w:rPr>
        <w:t>公务接待费支出决算比</w:t>
      </w:r>
      <w:r>
        <w:rPr>
          <w:rFonts w:ascii="仿宋" w:eastAsia="仿宋"/>
          <w:color w:val="000000"/>
          <w:sz w:val="32"/>
          <w:szCs w:val="32"/>
        </w:rPr>
        <w:t>201</w:t>
      </w:r>
      <w:r>
        <w:rPr>
          <w:rFonts w:hint="eastAsia" w:ascii="仿宋" w:eastAsia="仿宋"/>
          <w:color w:val="000000"/>
          <w:sz w:val="32"/>
          <w:szCs w:val="32"/>
        </w:rPr>
        <w:t>7年减少0.02万元，下降3.11</w:t>
      </w:r>
      <w:r>
        <w:rPr>
          <w:rFonts w:ascii="仿宋" w:eastAsia="仿宋"/>
          <w:color w:val="000000"/>
          <w:sz w:val="32"/>
          <w:szCs w:val="32"/>
        </w:rPr>
        <w:t>%</w:t>
      </w:r>
      <w:r>
        <w:rPr>
          <w:rFonts w:hint="eastAsia" w:ascii="仿宋" w:eastAsia="仿宋"/>
          <w:color w:val="000000"/>
          <w:sz w:val="32"/>
          <w:szCs w:val="32"/>
        </w:rPr>
        <w:t>。主要原因是厉行节约。</w:t>
      </w:r>
    </w:p>
    <w:p>
      <w:pPr>
        <w:spacing w:line="600" w:lineRule="exact"/>
        <w:ind w:firstLine="634" w:firstLineChars="200"/>
        <w:rPr>
          <w:rFonts w:ascii="仿宋" w:eastAsia="仿宋"/>
          <w:color w:val="000000"/>
          <w:sz w:val="32"/>
          <w:szCs w:val="32"/>
        </w:rPr>
      </w:pPr>
      <w:r>
        <w:rPr>
          <w:rFonts w:hint="eastAsia" w:ascii="仿宋" w:eastAsia="仿宋"/>
          <w:color w:val="000000"/>
          <w:sz w:val="32"/>
          <w:szCs w:val="32"/>
        </w:rPr>
        <w:t>主要用于执行公务、开展业务活动开支的交通费、住宿费、用餐费等。国内公务接待2批次，21人次（不包括陪同人员），共计支出0.74万元，具体内容包括：（接待具体项目灾后恢复重建专家智力团队一行、金额0.67万元；灾后恢复重建项目评标专家用餐0.06万元）。其中：</w:t>
      </w:r>
    </w:p>
    <w:p>
      <w:pPr>
        <w:spacing w:line="600" w:lineRule="exact"/>
        <w:ind w:firstLine="634" w:firstLineChars="200"/>
        <w:rPr>
          <w:rFonts w:ascii="仿宋" w:eastAsia="仿宋"/>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0万元，外事接待0批次，0人，共计支出0万元。</w:t>
      </w:r>
    </w:p>
    <w:p>
      <w:pPr>
        <w:spacing w:line="600" w:lineRule="exact"/>
        <w:ind w:firstLine="640"/>
        <w:rPr>
          <w:rFonts w:ascii="仿宋" w:eastAsia="仿宋"/>
          <w:color w:val="000000"/>
          <w:sz w:val="32"/>
          <w:szCs w:val="32"/>
        </w:rPr>
      </w:pPr>
      <w:r>
        <w:rPr>
          <w:rFonts w:hint="eastAsia" w:ascii="仿宋" w:eastAsia="仿宋"/>
          <w:b/>
          <w:color w:val="000000"/>
          <w:sz w:val="32"/>
          <w:szCs w:val="32"/>
        </w:rPr>
        <w:t>其他国内公务接待支出0.74</w:t>
      </w:r>
      <w:r>
        <w:rPr>
          <w:rFonts w:hint="eastAsia" w:ascii="仿宋" w:eastAsia="仿宋"/>
          <w:color w:val="000000"/>
          <w:sz w:val="32"/>
          <w:szCs w:val="32"/>
        </w:rPr>
        <w:t>万元，接待具体项目是灾后恢复重建专家智力团队一行、金额0.67万元；灾后恢复重建项目评标专家用0.06万元。</w:t>
      </w:r>
    </w:p>
    <w:p>
      <w:pPr>
        <w:spacing w:line="600" w:lineRule="exact"/>
        <w:ind w:firstLine="640"/>
        <w:outlineLvl w:val="1"/>
        <w:rPr>
          <w:rFonts w:ascii="仿宋" w:eastAsia="仿宋"/>
          <w:color w:val="000000"/>
          <w:sz w:val="32"/>
          <w:szCs w:val="32"/>
        </w:rPr>
      </w:pPr>
      <w:bookmarkStart w:id="46" w:name="_Toc15377218"/>
      <w:bookmarkStart w:id="47" w:name="_Toc15396610"/>
    </w:p>
    <w:p>
      <w:pPr>
        <w:spacing w:line="600" w:lineRule="exact"/>
        <w:ind w:firstLine="640"/>
        <w:outlineLvl w:val="1"/>
        <w:rPr>
          <w:rStyle w:val="21"/>
          <w:rFonts w:ascii="黑体" w:eastAsia="黑体"/>
        </w:rPr>
      </w:pPr>
      <w:r>
        <w:rPr>
          <w:rFonts w:hint="eastAsia" w:ascii="黑体" w:eastAsia="黑体"/>
          <w:color w:val="000000"/>
          <w:sz w:val="32"/>
          <w:szCs w:val="32"/>
        </w:rPr>
        <w:t>八、</w:t>
      </w:r>
      <w:r>
        <w:rPr>
          <w:rStyle w:val="21"/>
          <w:rFonts w:hint="eastAsia" w:ascii="黑体" w:eastAsia="黑体"/>
          <w:b w:val="0"/>
        </w:rPr>
        <w:t>政府性基金预算支出决算情况说明</w:t>
      </w:r>
      <w:bookmarkEnd w:id="46"/>
      <w:bookmarkEnd w:id="47"/>
    </w:p>
    <w:p>
      <w:pPr>
        <w:spacing w:line="600"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8年政府性基金预算拨款支出220万元。</w:t>
      </w:r>
    </w:p>
    <w:p>
      <w:pPr>
        <w:spacing w:line="600" w:lineRule="exact"/>
        <w:ind w:firstLine="640"/>
        <w:rPr>
          <w:rFonts w:ascii="仿宋_GB2312" w:eastAsia="仿宋_GB2312"/>
          <w:color w:val="000000"/>
          <w:sz w:val="32"/>
          <w:szCs w:val="32"/>
        </w:rPr>
      </w:pPr>
    </w:p>
    <w:p>
      <w:pPr>
        <w:numPr>
          <w:ilvl w:val="0"/>
          <w:numId w:val="3"/>
        </w:numPr>
        <w:spacing w:line="600" w:lineRule="exact"/>
        <w:ind w:left="0" w:firstLine="640"/>
        <w:outlineLvl w:val="1"/>
        <w:rPr>
          <w:rStyle w:val="21"/>
          <w:rFonts w:ascii="黑体" w:eastAsia="黑体"/>
          <w:b w:val="0"/>
        </w:rPr>
      </w:pPr>
      <w:bookmarkStart w:id="48" w:name="_Toc15377219"/>
      <w:bookmarkStart w:id="49" w:name="_Toc15396611"/>
      <w:r>
        <w:rPr>
          <w:rStyle w:val="21"/>
          <w:rFonts w:hint="eastAsia" w:ascii="黑体" w:eastAsia="黑体"/>
          <w:b w:val="0"/>
        </w:rPr>
        <w:t>国有资本经营预算支出决算情况说明</w:t>
      </w:r>
      <w:bookmarkEnd w:id="48"/>
      <w:bookmarkEnd w:id="49"/>
    </w:p>
    <w:p>
      <w:pPr>
        <w:spacing w:line="600"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8年国有资本经营预算拨款支出0万元。</w:t>
      </w:r>
    </w:p>
    <w:p>
      <w:pPr>
        <w:pStyle w:val="27"/>
        <w:numPr>
          <w:ilvl w:val="0"/>
          <w:numId w:val="4"/>
        </w:numPr>
        <w:spacing w:line="580" w:lineRule="exact"/>
        <w:ind w:firstLineChars="0"/>
        <w:rPr>
          <w:rStyle w:val="21"/>
          <w:rFonts w:ascii="黑体" w:eastAsia="黑体"/>
          <w:b w:val="0"/>
        </w:rPr>
      </w:pPr>
      <w:r>
        <w:rPr>
          <w:rStyle w:val="21"/>
          <w:rFonts w:hint="eastAsia" w:ascii="黑体" w:eastAsia="黑体"/>
          <w:b w:val="0"/>
        </w:rPr>
        <w:t>预算绩效情况说明</w:t>
      </w:r>
    </w:p>
    <w:p>
      <w:pPr>
        <w:numPr>
          <w:ilvl w:val="0"/>
          <w:numId w:val="5"/>
        </w:numPr>
        <w:spacing w:line="580" w:lineRule="exact"/>
        <w:ind w:left="0" w:firstLine="634"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before="301" w:beforeLines="50" w:line="760" w:lineRule="exact"/>
        <w:ind w:firstLine="476" w:firstLineChars="150"/>
        <w:rPr>
          <w:rFonts w:ascii="仿宋" w:eastAsia="仿宋" w:cs="仿宋"/>
          <w:color w:val="000000"/>
          <w:sz w:val="32"/>
          <w:szCs w:val="32"/>
        </w:rPr>
      </w:pPr>
      <w:r>
        <w:rPr>
          <w:rFonts w:hint="eastAsia" w:ascii="仿宋" w:eastAsia="仿宋" w:cs="仿宋_GB2312"/>
          <w:sz w:val="32"/>
          <w:szCs w:val="32"/>
        </w:rPr>
        <w:t>根据预算</w:t>
      </w:r>
      <w:r>
        <w:rPr>
          <w:rFonts w:hint="eastAsia" w:ascii="仿宋" w:eastAsia="仿宋" w:cs="仿宋_GB2312"/>
          <w:color w:val="000000"/>
          <w:sz w:val="32"/>
          <w:szCs w:val="32"/>
        </w:rPr>
        <w:t>绩效管理要求，本部门（单位）在年初预算编制阶段，组织对</w:t>
      </w:r>
      <w:r>
        <w:rPr>
          <w:rFonts w:hint="eastAsia" w:ascii="仿宋" w:eastAsia="仿宋" w:cs="仿宋"/>
          <w:color w:val="000000"/>
          <w:sz w:val="32"/>
          <w:szCs w:val="32"/>
        </w:rPr>
        <w:t>旅游扶贫项目工程、九寨沟县甘海子生态文化旅游区建设项目（一期）、九寨沟县勿角民族生态旅游试验区建设项目、九寨沟县特色民宿自驾游营地建设、旅游发展基金补助地方项目资金5个</w:t>
      </w:r>
      <w:r>
        <w:rPr>
          <w:rFonts w:hint="eastAsia" w:ascii="仿宋" w:eastAsia="仿宋" w:cs="仿宋_GB2312"/>
          <w:color w:val="000000"/>
          <w:sz w:val="32"/>
          <w:szCs w:val="32"/>
        </w:rPr>
        <w:t>项目开展了预算事前绩效评估，对5个项目编制了绩效目标，预算执行过程中，选取5个项目开展绩效监控，年终执行完毕后，对5个项目开展了绩效目标完成情况梳理填报。</w:t>
      </w:r>
    </w:p>
    <w:p>
      <w:pPr>
        <w:spacing w:line="580" w:lineRule="exact"/>
        <w:ind w:firstLine="634" w:firstLineChars="200"/>
        <w:rPr>
          <w:rFonts w:ascii="仿宋" w:eastAsia="仿宋" w:cs="仿宋_GB2312"/>
          <w:color w:val="000000"/>
          <w:sz w:val="32"/>
          <w:szCs w:val="32"/>
        </w:rPr>
      </w:pPr>
      <w:r>
        <w:rPr>
          <w:rFonts w:hint="eastAsia" w:ascii="仿宋" w:eastAsia="仿宋" w:cs="仿宋_GB2312"/>
          <w:color w:val="000000"/>
          <w:sz w:val="32"/>
          <w:szCs w:val="32"/>
        </w:rPr>
        <w:t>本部门按要求对2018年部门整体支出开展绩效自评，从评价情况来看对预期目标能按期完成，达到了绩效目标要求。</w:t>
      </w:r>
    </w:p>
    <w:p>
      <w:pPr>
        <w:numPr>
          <w:ilvl w:val="0"/>
          <w:numId w:val="5"/>
        </w:numPr>
        <w:spacing w:line="580" w:lineRule="exact"/>
        <w:ind w:left="0" w:firstLine="634" w:firstLineChars="200"/>
        <w:rPr>
          <w:rFonts w:ascii="仿宋_GB2312" w:eastAsia="仿宋_GB2312" w:cs="仿宋_GB2312"/>
          <w:color w:val="000000"/>
          <w:sz w:val="32"/>
          <w:szCs w:val="32"/>
        </w:rPr>
      </w:pPr>
      <w:r>
        <w:rPr>
          <w:rFonts w:hint="eastAsia" w:ascii="仿宋" w:eastAsia="仿宋" w:cs="楷体_GB2312"/>
          <w:b/>
          <w:bCs/>
          <w:color w:val="000000"/>
          <w:sz w:val="32"/>
          <w:szCs w:val="32"/>
        </w:rPr>
        <w:t>项目绩效目标完成情况。</w:t>
      </w:r>
      <w:r>
        <w:rPr>
          <w:rFonts w:hint="eastAsia" w:ascii="楷体_GB2312" w:eastAsia="楷体_GB2312" w:cs="楷体_GB2312"/>
          <w:b/>
          <w:bCs/>
          <w:color w:val="000000"/>
          <w:sz w:val="32"/>
          <w:szCs w:val="32"/>
        </w:rPr>
        <w:br w:type="textWrapping"/>
      </w:r>
      <w:r>
        <w:rPr>
          <w:rFonts w:hint="eastAsia" w:ascii="仿宋" w:eastAsia="仿宋" w:cs="仿宋_GB2312"/>
          <w:color w:val="000000"/>
          <w:sz w:val="32"/>
          <w:szCs w:val="32"/>
        </w:rPr>
        <w:t xml:space="preserve"> 本部门在2018年度部门决算中反映本部门</w:t>
      </w:r>
      <w:r>
        <w:rPr>
          <w:rFonts w:hint="eastAsia" w:ascii="仿宋" w:eastAsia="仿宋" w:cs="仿宋"/>
          <w:color w:val="000000"/>
          <w:sz w:val="32"/>
          <w:szCs w:val="32"/>
        </w:rPr>
        <w:t>乡村旅游提升示范项目、九寨沟县甘海子生态文化旅游区建设项目（一期）、九寨沟县勿角民族生态旅游试验区建设项目、旅游扶贫项目工程、旅游发展基金补助地方项目资金</w:t>
      </w:r>
      <w:r>
        <w:rPr>
          <w:rFonts w:hint="eastAsia" w:ascii="仿宋" w:eastAsia="仿宋" w:cs="仿宋_GB2312"/>
          <w:color w:val="000000"/>
          <w:sz w:val="32"/>
          <w:szCs w:val="32"/>
        </w:rPr>
        <w:t>5个项目绩效目标实际完成情况表。</w:t>
      </w:r>
    </w:p>
    <w:p>
      <w:pPr>
        <w:tabs>
          <w:tab w:val="left" w:pos="312"/>
        </w:tabs>
        <w:spacing w:line="580" w:lineRule="exact"/>
        <w:rPr>
          <w:rFonts w:ascii="仿宋" w:eastAsia="仿宋" w:cs="仿宋_GB2312"/>
          <w:color w:val="000000"/>
          <w:sz w:val="32"/>
          <w:szCs w:val="32"/>
        </w:rPr>
      </w:pPr>
      <w:r>
        <w:rPr>
          <w:rFonts w:hint="eastAsia" w:ascii="仿宋" w:eastAsia="仿宋" w:cs="仿宋"/>
          <w:color w:val="000000"/>
          <w:sz w:val="32"/>
          <w:szCs w:val="32"/>
        </w:rPr>
        <w:t xml:space="preserve">    1.</w:t>
      </w:r>
      <w:r>
        <w:rPr>
          <w:rFonts w:hint="eastAsia" w:ascii="仿宋" w:eastAsia="仿宋" w:cs="仿宋_GB2312"/>
          <w:color w:val="000000"/>
          <w:sz w:val="32"/>
          <w:szCs w:val="32"/>
        </w:rPr>
        <w:t xml:space="preserve"> 旅游扶贫项目绩效目标完成情况综述。</w:t>
      </w:r>
    </w:p>
    <w:p>
      <w:pPr>
        <w:tabs>
          <w:tab w:val="left" w:pos="312"/>
        </w:tabs>
        <w:spacing w:line="580" w:lineRule="exact"/>
        <w:rPr>
          <w:rFonts w:ascii="仿宋" w:eastAsia="仿宋" w:cs="仿宋_GB2312"/>
          <w:color w:val="000000"/>
          <w:sz w:val="32"/>
          <w:szCs w:val="32"/>
        </w:rPr>
      </w:pPr>
      <w:r>
        <w:rPr>
          <w:rFonts w:hint="eastAsia" w:ascii="仿宋" w:eastAsia="仿宋" w:cs="仿宋_GB2312"/>
          <w:color w:val="000000"/>
          <w:sz w:val="32"/>
          <w:szCs w:val="32"/>
        </w:rPr>
        <w:t xml:space="preserve">    项目全年预算数178.96万元，执行数为178.96万元，完成预算的100%。通过项目实施，完成了旅游扶贫基本保障，建成了1个旅游扶贫公益规划项目、1个乡村旅游提升示范项目、创建2个省级旅游扶贫示范村、打造17户乡村民宿达标示范户、开发11个乡村旅游公益性岗位、创建1个省级乡村旅游创客基地新业态示范品牌、建设1个旅游商品研发基地、补助1个全省旅游服务质量示范单位、建设1支旅游应急救援队伍、建设1个旅游应急救援点、举办1届旅游节庆活动。在草地乡上草地村以民办公助方式推进上草地村2018年村寨配套景观基础设施建设项目，实施栈道铺设、观景台、休闲亭建设等旅游基础设施建设工程。</w:t>
      </w:r>
    </w:p>
    <w:p>
      <w:pPr>
        <w:tabs>
          <w:tab w:val="left" w:pos="312"/>
        </w:tabs>
        <w:spacing w:line="580" w:lineRule="exact"/>
        <w:ind w:firstLine="634" w:firstLineChars="200"/>
        <w:rPr>
          <w:rFonts w:ascii="仿宋" w:eastAsia="仿宋" w:cs="仿宋_GB2312"/>
          <w:color w:val="000000"/>
          <w:sz w:val="32"/>
          <w:szCs w:val="32"/>
        </w:rPr>
      </w:pPr>
      <w:r>
        <w:rPr>
          <w:rFonts w:hint="eastAsia" w:ascii="仿宋" w:eastAsia="仿宋" w:cs="仿宋_GB2312"/>
          <w:color w:val="000000"/>
          <w:sz w:val="32"/>
          <w:szCs w:val="32"/>
        </w:rPr>
        <w:t>2.</w:t>
      </w:r>
      <w:r>
        <w:rPr>
          <w:rFonts w:hint="eastAsia" w:ascii="仿宋" w:eastAsia="仿宋" w:cs="宋体"/>
          <w:color w:val="000000"/>
          <w:sz w:val="32"/>
          <w:szCs w:val="32"/>
        </w:rPr>
        <w:t>九寨沟县甘海子生态文化旅游区建设项目（一期）</w:t>
      </w:r>
      <w:r>
        <w:rPr>
          <w:rFonts w:hint="eastAsia" w:ascii="仿宋" w:eastAsia="仿宋" w:cs="仿宋_GB2312"/>
          <w:color w:val="000000"/>
          <w:sz w:val="32"/>
          <w:szCs w:val="32"/>
        </w:rPr>
        <w:t>项目绩效目标完成情况综述。</w:t>
      </w:r>
    </w:p>
    <w:p>
      <w:pPr>
        <w:tabs>
          <w:tab w:val="left" w:pos="312"/>
        </w:tabs>
        <w:spacing w:line="580" w:lineRule="exact"/>
        <w:ind w:firstLine="634" w:firstLineChars="200"/>
        <w:rPr>
          <w:rFonts w:ascii="仿宋" w:eastAsia="仿宋" w:cs="仿宋_GB2312"/>
          <w:color w:val="000000"/>
          <w:sz w:val="32"/>
          <w:szCs w:val="32"/>
        </w:rPr>
      </w:pPr>
      <w:r>
        <w:rPr>
          <w:rFonts w:hint="eastAsia" w:ascii="仿宋" w:eastAsia="仿宋" w:cs="仿宋_GB2312"/>
          <w:color w:val="000000"/>
          <w:sz w:val="32"/>
          <w:szCs w:val="32"/>
        </w:rPr>
        <w:t>项目全年预算数499.66万元，完成预算的,100%。通过项目实施，促进可持续发展的旅游度假区、绿色旅游度假示范区、生态旅游度假示范区、推动全域旅游发展。</w:t>
      </w:r>
    </w:p>
    <w:p>
      <w:pPr>
        <w:tabs>
          <w:tab w:val="left" w:pos="312"/>
        </w:tabs>
        <w:spacing w:line="580" w:lineRule="exact"/>
        <w:ind w:firstLine="634" w:firstLineChars="200"/>
        <w:rPr>
          <w:rFonts w:ascii="仿宋" w:eastAsia="仿宋" w:cs="仿宋_GB2312"/>
          <w:color w:val="000000"/>
          <w:sz w:val="32"/>
          <w:szCs w:val="32"/>
        </w:rPr>
      </w:pPr>
      <w:r>
        <w:rPr>
          <w:rFonts w:hint="eastAsia" w:ascii="仿宋" w:eastAsia="仿宋" w:cs="仿宋_GB2312"/>
          <w:color w:val="000000"/>
          <w:sz w:val="32"/>
          <w:szCs w:val="32"/>
        </w:rPr>
        <w:t>3.九寨沟县勿角民族生态旅游试验区建设项目绩效目标完成情况综述：</w:t>
      </w:r>
    </w:p>
    <w:p>
      <w:pPr>
        <w:tabs>
          <w:tab w:val="left" w:pos="312"/>
        </w:tabs>
        <w:spacing w:line="580" w:lineRule="exact"/>
        <w:ind w:firstLine="634" w:firstLineChars="200"/>
        <w:rPr>
          <w:rFonts w:ascii="仿宋" w:eastAsia="仿宋" w:cs="仿宋_GB2312"/>
          <w:color w:val="000000"/>
          <w:sz w:val="32"/>
          <w:szCs w:val="32"/>
        </w:rPr>
      </w:pPr>
      <w:r>
        <w:rPr>
          <w:rFonts w:hint="eastAsia" w:ascii="仿宋" w:eastAsia="仿宋" w:cs="仿宋_GB2312"/>
          <w:color w:val="000000"/>
          <w:sz w:val="32"/>
          <w:szCs w:val="32"/>
        </w:rPr>
        <w:t>项目全年预算数150万元，执行数为150万元，完成预算的100%。通过项目实施，有效</w:t>
      </w:r>
      <w:r>
        <w:rPr>
          <w:rFonts w:hint="eastAsia" w:ascii="仿宋" w:eastAsia="仿宋"/>
          <w:color w:val="000000"/>
          <w:sz w:val="32"/>
          <w:szCs w:val="32"/>
        </w:rPr>
        <w:t>整治了黑臭水、消减水污染排放总量、保持饮用水源地水质良好</w:t>
      </w:r>
      <w:r>
        <w:rPr>
          <w:rFonts w:hint="eastAsia" w:ascii="仿宋" w:eastAsia="仿宋" w:cs="仿宋_GB2312"/>
          <w:color w:val="000000"/>
          <w:sz w:val="32"/>
          <w:szCs w:val="32"/>
        </w:rPr>
        <w:t>。</w:t>
      </w:r>
    </w:p>
    <w:p>
      <w:pPr>
        <w:tabs>
          <w:tab w:val="left" w:pos="312"/>
        </w:tabs>
        <w:spacing w:line="580" w:lineRule="exact"/>
        <w:ind w:firstLine="634" w:firstLineChars="200"/>
        <w:rPr>
          <w:rFonts w:ascii="仿宋" w:eastAsia="仿宋" w:cs="仿宋_GB2312"/>
          <w:color w:val="000000"/>
          <w:sz w:val="32"/>
          <w:szCs w:val="32"/>
        </w:rPr>
      </w:pPr>
      <w:r>
        <w:rPr>
          <w:rFonts w:hint="eastAsia" w:ascii="仿宋" w:eastAsia="仿宋" w:cs="仿宋_GB2312"/>
          <w:color w:val="000000"/>
          <w:sz w:val="32"/>
          <w:szCs w:val="32"/>
        </w:rPr>
        <w:t>4.</w:t>
      </w:r>
      <w:r>
        <w:rPr>
          <w:rFonts w:hint="eastAsia" w:ascii="仿宋" w:eastAsia="仿宋" w:cs="仿宋"/>
          <w:color w:val="000000"/>
          <w:sz w:val="32"/>
          <w:szCs w:val="32"/>
        </w:rPr>
        <w:t xml:space="preserve"> </w:t>
      </w:r>
      <w:r>
        <w:rPr>
          <w:rFonts w:hint="eastAsia" w:ascii="仿宋" w:eastAsia="仿宋" w:cs="仿宋_GB2312"/>
          <w:color w:val="000000"/>
          <w:sz w:val="32"/>
          <w:szCs w:val="32"/>
        </w:rPr>
        <w:t>九寨沟县民宿自驾游营地建设项目绩效目标完成情况综述：</w:t>
      </w:r>
    </w:p>
    <w:p>
      <w:pPr>
        <w:numPr>
          <w:ilvl w:val="0"/>
          <w:numId w:val="6"/>
        </w:numPr>
        <w:spacing w:line="560" w:lineRule="exact"/>
        <w:ind w:left="0" w:firstLine="634" w:firstLineChars="200"/>
        <w:rPr>
          <w:rFonts w:ascii="仿宋" w:eastAsia="仿宋"/>
          <w:color w:val="000000"/>
          <w:sz w:val="32"/>
          <w:szCs w:val="32"/>
        </w:rPr>
      </w:pPr>
      <w:r>
        <w:rPr>
          <w:rFonts w:hint="eastAsia" w:ascii="仿宋" w:eastAsia="仿宋"/>
          <w:color w:val="000000"/>
          <w:sz w:val="32"/>
          <w:szCs w:val="32"/>
        </w:rPr>
        <w:t>项目基本概况</w:t>
      </w:r>
    </w:p>
    <w:p>
      <w:pPr>
        <w:spacing w:line="576" w:lineRule="exact"/>
        <w:ind w:firstLine="634" w:firstLineChars="200"/>
        <w:rPr>
          <w:rFonts w:ascii="仿宋" w:eastAsia="仿宋"/>
          <w:color w:val="000000"/>
          <w:sz w:val="32"/>
          <w:szCs w:val="32"/>
        </w:rPr>
      </w:pPr>
      <w:r>
        <w:rPr>
          <w:rFonts w:hint="eastAsia" w:ascii="仿宋" w:eastAsia="仿宋" w:cs="仿宋_GB2312"/>
          <w:color w:val="000000"/>
          <w:sz w:val="32"/>
          <w:szCs w:val="32"/>
        </w:rPr>
        <w:t>该项目为“8·8”九寨沟地震灾后重建规划内项目，经九寨沟县发展和改革局立项批复《九寨沟县发展和改革局关于九寨沟县</w:t>
      </w:r>
      <w:r>
        <w:rPr>
          <w:rFonts w:hint="eastAsia" w:ascii="仿宋" w:eastAsia="仿宋" w:cs="仿宋_GB2312"/>
          <w:color w:val="000000"/>
          <w:spacing w:val="-6"/>
          <w:sz w:val="32"/>
          <w:szCs w:val="32"/>
        </w:rPr>
        <w:t>甘海子生态文化旅游区建设项目可行性研究报告的批复（九发行批〔2018〕100号）</w:t>
      </w:r>
      <w:r>
        <w:rPr>
          <w:rFonts w:hint="eastAsia" w:ascii="仿宋" w:eastAsia="仿宋" w:cs="仿宋_GB2312"/>
          <w:color w:val="000000"/>
          <w:sz w:val="32"/>
          <w:szCs w:val="32"/>
        </w:rPr>
        <w:t>》，项目分一二期进行建设，</w:t>
      </w:r>
      <w:r>
        <w:rPr>
          <w:rFonts w:hint="eastAsia" w:ascii="仿宋" w:eastAsia="仿宋" w:cs="仿宋_GB2312"/>
          <w:b/>
          <w:bCs/>
          <w:color w:val="000000"/>
          <w:sz w:val="32"/>
          <w:szCs w:val="32"/>
        </w:rPr>
        <w:t>建设内容：</w:t>
      </w:r>
      <w:r>
        <w:rPr>
          <w:rFonts w:ascii="仿宋" w:eastAsia="仿宋"/>
          <w:color w:val="000000"/>
          <w:sz w:val="32"/>
          <w:szCs w:val="32"/>
        </w:rPr>
        <w:t>维修加固原九寨沟县旅游咨询服务中心2500m</w:t>
      </w:r>
      <w:r>
        <w:rPr>
          <w:rFonts w:eastAsia="仿宋"/>
          <w:color w:val="000000"/>
          <w:sz w:val="32"/>
          <w:szCs w:val="32"/>
        </w:rPr>
        <w:t>²</w:t>
      </w:r>
      <w:r>
        <w:rPr>
          <w:rFonts w:ascii="仿宋" w:eastAsia="仿宋"/>
          <w:color w:val="000000"/>
          <w:sz w:val="32"/>
          <w:szCs w:val="32"/>
        </w:rPr>
        <w:t>及改造生态停车场3000m</w:t>
      </w:r>
      <w:r>
        <w:rPr>
          <w:rFonts w:eastAsia="仿宋"/>
          <w:color w:val="000000"/>
          <w:sz w:val="32"/>
          <w:szCs w:val="32"/>
        </w:rPr>
        <w:t>²</w:t>
      </w:r>
      <w:r>
        <w:rPr>
          <w:rFonts w:ascii="仿宋" w:eastAsia="仿宋"/>
          <w:color w:val="000000"/>
          <w:sz w:val="32"/>
          <w:szCs w:val="32"/>
        </w:rPr>
        <w:t>和配套附属设施建设；新建甘海子游人服务中心2500m</w:t>
      </w:r>
      <w:r>
        <w:rPr>
          <w:rFonts w:eastAsia="仿宋"/>
          <w:color w:val="000000"/>
          <w:sz w:val="32"/>
          <w:szCs w:val="32"/>
        </w:rPr>
        <w:t>²</w:t>
      </w:r>
      <w:r>
        <w:rPr>
          <w:rFonts w:ascii="仿宋" w:eastAsia="仿宋"/>
          <w:color w:val="000000"/>
          <w:sz w:val="32"/>
          <w:szCs w:val="32"/>
        </w:rPr>
        <w:t>、生态停车场、桥梁、环湖漫游步道、观景平台及配套基础设施建设等；甘海子村风貌提升、民宿打造、道路改造等；新建星空露营地、景区驿站等旅游配套设施及设备购置。</w:t>
      </w:r>
    </w:p>
    <w:p>
      <w:pPr>
        <w:numPr>
          <w:ilvl w:val="0"/>
          <w:numId w:val="6"/>
        </w:numPr>
        <w:spacing w:line="560" w:lineRule="exact"/>
        <w:ind w:left="0" w:firstLine="634" w:firstLineChars="200"/>
        <w:rPr>
          <w:rFonts w:ascii="仿宋" w:eastAsia="仿宋"/>
          <w:color w:val="000000"/>
          <w:sz w:val="32"/>
          <w:szCs w:val="32"/>
        </w:rPr>
      </w:pPr>
      <w:r>
        <w:rPr>
          <w:rFonts w:hint="eastAsia" w:ascii="仿宋" w:eastAsia="仿宋"/>
          <w:color w:val="000000"/>
          <w:sz w:val="32"/>
          <w:szCs w:val="32"/>
        </w:rPr>
        <w:t>项目资金使用及管理情况</w:t>
      </w:r>
    </w:p>
    <w:p>
      <w:pPr>
        <w:pStyle w:val="15"/>
        <w:ind w:left="0" w:leftChars="0"/>
        <w:rPr>
          <w:rFonts w:ascii="仿宋" w:eastAsia="仿宋"/>
          <w:sz w:val="32"/>
          <w:szCs w:val="32"/>
        </w:rPr>
      </w:pPr>
      <w:r>
        <w:rPr>
          <w:rFonts w:hint="eastAsia" w:ascii="仿宋" w:eastAsia="仿宋" w:cs="仿宋_GB2312"/>
          <w:color w:val="000000"/>
          <w:sz w:val="32"/>
          <w:szCs w:val="32"/>
        </w:rPr>
        <w:t>项目总投资为6700万元，其中项目（一期）总投资3260万元，资金来源为“8.8”九寨沟地震灾后恢复重建资金，中央专项资金960万元，省级专项资金2300万元。经九寨沟县财政局评审《九寨沟县发展和改革局关于九寨沟县</w:t>
      </w:r>
      <w:r>
        <w:rPr>
          <w:rFonts w:hint="eastAsia" w:ascii="仿宋" w:eastAsia="仿宋" w:cs="仿宋_GB2312"/>
          <w:color w:val="000000"/>
          <w:spacing w:val="-6"/>
          <w:sz w:val="32"/>
          <w:szCs w:val="32"/>
        </w:rPr>
        <w:t>甘海子生态文化</w:t>
      </w:r>
      <w:r>
        <w:rPr>
          <w:rFonts w:hint="eastAsia" w:ascii="仿宋" w:eastAsia="仿宋" w:cs="仿宋_GB2312"/>
          <w:color w:val="00B050"/>
          <w:spacing w:val="-6"/>
          <w:sz w:val="32"/>
          <w:szCs w:val="32"/>
        </w:rPr>
        <w:t>旅</w:t>
      </w:r>
      <w:r>
        <w:rPr>
          <w:rFonts w:hint="eastAsia" w:ascii="仿宋" w:eastAsia="仿宋" w:cs="仿宋_GB2312"/>
          <w:spacing w:val="-6"/>
          <w:sz w:val="32"/>
          <w:szCs w:val="32"/>
        </w:rPr>
        <w:t>游区建设项目（</w:t>
      </w:r>
      <w:r>
        <w:rPr>
          <w:rFonts w:hint="eastAsia" w:ascii="仿宋" w:eastAsia="仿宋" w:cs="仿宋_GB2312"/>
          <w:sz w:val="32"/>
          <w:szCs w:val="32"/>
        </w:rPr>
        <w:t>一期</w:t>
      </w:r>
      <w:r>
        <w:rPr>
          <w:rFonts w:hint="eastAsia" w:ascii="仿宋" w:eastAsia="仿宋" w:cs="仿宋_GB2312"/>
          <w:spacing w:val="-6"/>
          <w:sz w:val="32"/>
          <w:szCs w:val="32"/>
        </w:rPr>
        <w:t>）工程量清单和预算价进行评审的批复（九财投〔2018〕118号）</w:t>
      </w:r>
      <w:r>
        <w:rPr>
          <w:rFonts w:hint="eastAsia" w:ascii="仿宋" w:eastAsia="仿宋" w:cs="仿宋_GB2312"/>
          <w:sz w:val="32"/>
          <w:szCs w:val="32"/>
        </w:rPr>
        <w:t>》，项目招标控制价为2798.598248万元。</w:t>
      </w:r>
    </w:p>
    <w:p>
      <w:pPr>
        <w:tabs>
          <w:tab w:val="left" w:pos="312"/>
        </w:tabs>
        <w:spacing w:line="580" w:lineRule="exact"/>
        <w:ind w:firstLine="634" w:firstLineChars="200"/>
        <w:rPr>
          <w:rFonts w:ascii="仿宋" w:eastAsia="仿宋" w:cs="仿宋_GB2312"/>
          <w:sz w:val="32"/>
          <w:szCs w:val="32"/>
        </w:rPr>
      </w:pPr>
    </w:p>
    <w:p>
      <w:pPr>
        <w:tabs>
          <w:tab w:val="left" w:pos="312"/>
        </w:tabs>
        <w:spacing w:line="580" w:lineRule="exact"/>
        <w:ind w:firstLine="634" w:firstLineChars="200"/>
        <w:rPr>
          <w:rFonts w:ascii="仿宋" w:eastAsia="仿宋" w:cs="仿宋_GB2312"/>
          <w:sz w:val="32"/>
          <w:szCs w:val="32"/>
        </w:rPr>
      </w:pPr>
      <w:r>
        <w:rPr>
          <w:rFonts w:hint="eastAsia" w:ascii="仿宋" w:eastAsia="仿宋" w:cs="仿宋_GB2312"/>
          <w:sz w:val="32"/>
          <w:szCs w:val="32"/>
        </w:rPr>
        <w:t>5.</w:t>
      </w:r>
      <w:r>
        <w:rPr>
          <w:rFonts w:hint="eastAsia" w:ascii="仿宋" w:eastAsia="仿宋" w:cs="宋体"/>
          <w:color w:val="000000"/>
          <w:sz w:val="32"/>
          <w:szCs w:val="32"/>
        </w:rPr>
        <w:t>旅游发展基金补助地方</w:t>
      </w:r>
      <w:r>
        <w:rPr>
          <w:rFonts w:hint="eastAsia" w:ascii="仿宋" w:eastAsia="仿宋" w:cs="仿宋_GB2312"/>
          <w:sz w:val="32"/>
          <w:szCs w:val="32"/>
        </w:rPr>
        <w:t>项目绩效目标完成情况综述。</w:t>
      </w:r>
    </w:p>
    <w:p>
      <w:pPr>
        <w:tabs>
          <w:tab w:val="left" w:pos="312"/>
        </w:tabs>
        <w:spacing w:line="580" w:lineRule="exact"/>
        <w:ind w:firstLine="634" w:firstLineChars="200"/>
        <w:rPr>
          <w:rFonts w:ascii="仿宋" w:eastAsia="仿宋" w:cs="仿宋_GB2312"/>
          <w:sz w:val="32"/>
          <w:szCs w:val="32"/>
        </w:rPr>
      </w:pPr>
      <w:r>
        <w:rPr>
          <w:rFonts w:hint="eastAsia" w:ascii="仿宋" w:eastAsia="仿宋" w:cs="仿宋_GB2312"/>
          <w:sz w:val="32"/>
          <w:szCs w:val="32"/>
        </w:rPr>
        <w:t>项目全年预算数</w:t>
      </w:r>
      <w:r>
        <w:rPr>
          <w:rFonts w:hint="eastAsia" w:ascii="仿宋" w:eastAsia="仿宋" w:cs="仿宋_GB2312"/>
          <w:color w:val="000000"/>
          <w:sz w:val="32"/>
          <w:szCs w:val="32"/>
        </w:rPr>
        <w:t>220万元，执行数为220万元</w:t>
      </w:r>
      <w:r>
        <w:rPr>
          <w:rFonts w:hint="eastAsia" w:ascii="仿宋" w:eastAsia="仿宋" w:cs="仿宋_GB2312"/>
          <w:sz w:val="32"/>
          <w:szCs w:val="32"/>
        </w:rPr>
        <w:t>，完成预算的100%。通过项目实施，完成九寨海子山生态旅游接待区建设，配套保海公路沿线景观、保华旅游+精准扶贫、民宿、种养殖基地等的建设，带动保华乡至项目区的整体乡村旅游的发展和提升，丰富九寨沟县旅游产品内容，实现九寨全域旅游目标；通过该项目的实施，创造就业机会，实现全民共享，带动民族地区脱贫奔康和经济社会协调发展。</w:t>
      </w:r>
    </w:p>
    <w:p>
      <w:pPr>
        <w:tabs>
          <w:tab w:val="left" w:pos="312"/>
        </w:tabs>
        <w:spacing w:line="580" w:lineRule="exact"/>
        <w:rPr>
          <w:rFonts w:ascii="仿宋_GB2312" w:eastAsia="仿宋_GB2312" w:cs="仿宋_GB2312"/>
          <w:sz w:val="32"/>
          <w:szCs w:val="32"/>
        </w:rPr>
      </w:pPr>
    </w:p>
    <w:p>
      <w:pPr>
        <w:tabs>
          <w:tab w:val="left" w:pos="312"/>
        </w:tabs>
        <w:spacing w:line="580" w:lineRule="exact"/>
        <w:rPr>
          <w:rFonts w:ascii="仿宋_GB2312" w:eastAsia="仿宋_GB2312" w:cs="仿宋_GB2312"/>
          <w:sz w:val="32"/>
          <w:szCs w:val="32"/>
        </w:rPr>
      </w:pPr>
    </w:p>
    <w:p>
      <w:pPr>
        <w:tabs>
          <w:tab w:val="left" w:pos="312"/>
        </w:tabs>
        <w:spacing w:line="580" w:lineRule="exact"/>
        <w:rPr>
          <w:rFonts w:ascii="仿宋_GB2312" w:eastAsia="仿宋_GB2312" w:cs="仿宋_GB2312"/>
          <w:sz w:val="32"/>
          <w:szCs w:val="32"/>
        </w:rPr>
      </w:pPr>
    </w:p>
    <w:p>
      <w:pPr>
        <w:tabs>
          <w:tab w:val="left" w:pos="312"/>
        </w:tabs>
        <w:spacing w:line="580" w:lineRule="exact"/>
        <w:rPr>
          <w:rFonts w:ascii="仿宋_GB2312" w:eastAsia="仿宋_GB2312" w:cs="仿宋_GB2312"/>
          <w:sz w:val="32"/>
          <w:szCs w:val="32"/>
        </w:rPr>
      </w:pPr>
    </w:p>
    <w:p>
      <w:pPr>
        <w:tabs>
          <w:tab w:val="left" w:pos="312"/>
        </w:tabs>
        <w:spacing w:line="580" w:lineRule="exact"/>
        <w:rPr>
          <w:rFonts w:ascii="仿宋_GB2312" w:eastAsia="仿宋_GB2312" w:cs="仿宋_GB2312"/>
          <w:sz w:val="32"/>
          <w:szCs w:val="32"/>
        </w:rPr>
      </w:pPr>
    </w:p>
    <w:p>
      <w:pPr>
        <w:tabs>
          <w:tab w:val="left" w:pos="312"/>
        </w:tabs>
        <w:spacing w:line="580" w:lineRule="exact"/>
        <w:rPr>
          <w:rFonts w:ascii="仿宋_GB2312" w:eastAsia="仿宋_GB2312" w:cs="仿宋_GB2312"/>
          <w:sz w:val="32"/>
          <w:szCs w:val="32"/>
        </w:rPr>
      </w:pPr>
    </w:p>
    <w:p>
      <w:pPr>
        <w:tabs>
          <w:tab w:val="left" w:pos="312"/>
        </w:tabs>
        <w:spacing w:line="580" w:lineRule="exact"/>
        <w:rPr>
          <w:rFonts w:ascii="仿宋_GB2312" w:eastAsia="仿宋_GB2312" w:cs="仿宋_GB2312"/>
          <w:sz w:val="32"/>
          <w:szCs w:val="32"/>
        </w:rPr>
      </w:pPr>
    </w:p>
    <w:p>
      <w:pPr>
        <w:tabs>
          <w:tab w:val="left" w:pos="312"/>
        </w:tabs>
        <w:spacing w:line="580" w:lineRule="exact"/>
        <w:rPr>
          <w:rFonts w:ascii="仿宋_GB2312" w:eastAsia="仿宋_GB2312" w:cs="仿宋_GB2312"/>
          <w:sz w:val="32"/>
          <w:szCs w:val="32"/>
        </w:rPr>
      </w:pPr>
    </w:p>
    <w:p>
      <w:pPr>
        <w:tabs>
          <w:tab w:val="left" w:pos="312"/>
        </w:tabs>
        <w:spacing w:line="580" w:lineRule="exact"/>
        <w:rPr>
          <w:rFonts w:ascii="仿宋_GB2312" w:eastAsia="仿宋_GB2312" w:cs="仿宋_GB2312"/>
          <w:sz w:val="32"/>
          <w:szCs w:val="32"/>
        </w:rPr>
      </w:pPr>
    </w:p>
    <w:p>
      <w:pPr>
        <w:rPr>
          <w:rFonts w:ascii="Calibri" w:hAnsi="Calibri"/>
        </w:rPr>
      </w:pPr>
    </w:p>
    <w:tbl>
      <w:tblPr>
        <w:tblStyle w:val="16"/>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Mar>
              <w:top w:w="15" w:type="dxa"/>
              <w:left w:w="15" w:type="dxa"/>
              <w:right w:w="15" w:type="dxa"/>
            </w:tcMar>
            <w:vAlign w:val="center"/>
          </w:tcPr>
          <w:p>
            <w:pPr>
              <w:pStyle w:val="27"/>
              <w:widowControl/>
              <w:ind w:left="4122" w:leftChars="1310" w:hanging="1411" w:hangingChars="395"/>
              <w:textAlignment w:val="center"/>
              <w:rPr>
                <w:rFonts w:ascii="仿宋_GB2312" w:eastAsia="仿宋_GB2312" w:cs="仿宋_GB2312"/>
                <w:color w:val="000000"/>
                <w:sz w:val="36"/>
                <w:szCs w:val="36"/>
              </w:rPr>
            </w:pPr>
            <w:r>
              <w:rPr>
                <w:rFonts w:hint="eastAsia" w:ascii="仿宋_GB2312" w:eastAsia="仿宋_GB2312" w:cs="仿宋_GB2312"/>
                <w:bCs/>
                <w:color w:val="000000"/>
                <w:kern w:val="0"/>
                <w:sz w:val="36"/>
                <w:szCs w:val="36"/>
              </w:rPr>
              <w:t>项目支出绩效目标完成情况表</w:t>
            </w:r>
            <w:r>
              <w:rPr>
                <w:rFonts w:hint="eastAsia" w:ascii="仿宋_GB2312" w:eastAsia="仿宋_GB2312" w:cs="仿宋_GB2312"/>
                <w:b/>
                <w:bCs/>
                <w:color w:val="000000"/>
                <w:kern w:val="0"/>
                <w:sz w:val="36"/>
                <w:szCs w:val="36"/>
              </w:rPr>
              <w:br w:type="textWrapping"/>
            </w:r>
            <w:r>
              <w:rPr>
                <w:rFonts w:hint="eastAsia" w:ascii="仿宋_GB2312" w:eastAsia="仿宋_GB2312" w:cs="仿宋_GB2312"/>
                <w:color w:val="000000"/>
                <w:kern w:val="0"/>
                <w:sz w:val="36"/>
                <w:szCs w:val="36"/>
              </w:rPr>
              <w:t>(2018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b/>
                <w:color w:val="000000"/>
                <w:sz w:val="24"/>
              </w:rPr>
            </w:pPr>
            <w:r>
              <w:rPr>
                <w:rFonts w:hint="eastAsia" w:ascii="仿宋_GB2312" w:eastAsia="仿宋_GB2312" w:cs="仿宋_GB2312"/>
                <w:b/>
                <w:color w:val="000000"/>
                <w:sz w:val="24"/>
              </w:rPr>
              <w:t>九寨沟县甘海子生态文化旅游区建设项目（一期）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九寨沟县旅游发展局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499.66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499.66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499.66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499.66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办结项目前期要件手续；完成项目招投标，项目开工建设。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办结规定要件16个，完成项目招投标，项目于2018年11月8日开工。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办结可研、设计、地勘、施工图审查、勘察等17个前期要件手续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17个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16个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休闲旅游度假目的地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办结可研、设计、地勘、施工图审查、勘察等17个前期要件手续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17个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rPr>
              <w:t>项目总投资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rPr>
              <w:t>750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仿宋_GB2312"/>
                <w:sz w:val="24"/>
              </w:rPr>
            </w:pPr>
            <w:r>
              <w:rPr>
                <w:rFonts w:hint="eastAsia" w:ascii="仿宋_GB2312" w:eastAsia="仿宋_GB2312" w:cs="仿宋_GB2312"/>
              </w:rPr>
              <w:t>499.6609</w:t>
            </w:r>
          </w:p>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rPr>
              <w:t>可持续发展的旅游度假区、绿色旅游度假示范区、生态旅游度假示范区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rPr>
              <w:t>推动全域旅游发展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90%</w:t>
            </w:r>
          </w:p>
        </w:tc>
      </w:tr>
    </w:tbl>
    <w:p>
      <w:pPr>
        <w:rPr>
          <w:rFonts w:ascii="Calibri" w:hAnsi="Calibri"/>
        </w:rPr>
      </w:pPr>
    </w:p>
    <w:tbl>
      <w:tblPr>
        <w:tblStyle w:val="16"/>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Mar>
              <w:top w:w="15" w:type="dxa"/>
              <w:left w:w="15" w:type="dxa"/>
              <w:right w:w="15" w:type="dxa"/>
            </w:tcMar>
            <w:vAlign w:val="center"/>
          </w:tcPr>
          <w:p>
            <w:pPr>
              <w:pStyle w:val="27"/>
              <w:widowControl/>
              <w:ind w:firstLine="0" w:firstLineChars="0"/>
              <w:jc w:val="center"/>
              <w:textAlignment w:val="center"/>
              <w:rPr>
                <w:rFonts w:ascii="仿宋_GB2312" w:eastAsia="仿宋_GB2312" w:cs="仿宋_GB2312"/>
                <w:color w:val="000000"/>
                <w:sz w:val="36"/>
                <w:szCs w:val="36"/>
              </w:rPr>
            </w:pPr>
            <w:r>
              <w:rPr>
                <w:rFonts w:hint="eastAsia" w:ascii="仿宋_GB2312" w:eastAsia="仿宋_GB2312" w:cs="仿宋_GB2312"/>
                <w:bCs/>
                <w:color w:val="000000"/>
                <w:kern w:val="0"/>
                <w:sz w:val="36"/>
                <w:szCs w:val="36"/>
              </w:rPr>
              <w:t>项目支出绩效目标完成情况表</w:t>
            </w:r>
            <w:r>
              <w:rPr>
                <w:rFonts w:hint="eastAsia" w:ascii="仿宋_GB2312" w:eastAsia="仿宋_GB2312" w:cs="仿宋_GB2312"/>
                <w:b/>
                <w:bCs/>
                <w:color w:val="000000"/>
                <w:kern w:val="0"/>
                <w:sz w:val="36"/>
                <w:szCs w:val="36"/>
              </w:rPr>
              <w:br w:type="textWrapping"/>
            </w:r>
            <w:r>
              <w:rPr>
                <w:rFonts w:hint="eastAsia" w:ascii="仿宋_GB2312" w:eastAsia="仿宋_GB2312" w:cs="仿宋_GB2312"/>
                <w:color w:val="000000"/>
                <w:kern w:val="0"/>
                <w:sz w:val="36"/>
                <w:szCs w:val="36"/>
              </w:rPr>
              <w:t>(2018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b/>
                <w:color w:val="000000"/>
                <w:sz w:val="24"/>
              </w:rPr>
            </w:pPr>
            <w:r>
              <w:rPr>
                <w:rFonts w:hint="eastAsia" w:ascii="仿宋_GB2312" w:eastAsia="仿宋_GB2312" w:cs="仿宋_GB2312"/>
                <w:b/>
                <w:color w:val="000000"/>
                <w:sz w:val="24"/>
              </w:rPr>
              <w:t>九寨沟县勿角民族生态旅游试验区建设项目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九寨沟县旅游发展局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150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150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9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办结项目前期要件手续；完成项目招投标，项目开工建设。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办结规定要件17个，完成项目招投标，项目于2018年10月开工。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办结可研、设计、勘察、财评、招投标、施工许可等17个前期要件手续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17个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17个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四川地区绿色奔康的典范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办结可研、设计、勘察、财评、招投标、施工许可等17个前期要件手续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17个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9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rPr>
              <w:t>项目总投资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rPr>
              <w:t>150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rPr>
              <w:t>大力实施黑臭水整治、消减水污染排放总量、保持饮用水源地水质良好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90%</w:t>
            </w:r>
          </w:p>
        </w:tc>
      </w:tr>
    </w:tbl>
    <w:p>
      <w:pPr>
        <w:rPr>
          <w:rFonts w:ascii="Calibri" w:hAnsi="Calibri"/>
        </w:rPr>
      </w:pPr>
    </w:p>
    <w:tbl>
      <w:tblPr>
        <w:tblStyle w:val="16"/>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51"/>
        <w:gridCol w:w="1316"/>
        <w:gridCol w:w="243"/>
        <w:gridCol w:w="782"/>
        <w:gridCol w:w="210"/>
        <w:gridCol w:w="2182"/>
        <w:gridCol w:w="1078"/>
        <w:gridCol w:w="1316"/>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10"/>
            <w:tcMar>
              <w:top w:w="15" w:type="dxa"/>
              <w:left w:w="15" w:type="dxa"/>
              <w:right w:w="15" w:type="dxa"/>
            </w:tcMar>
            <w:vAlign w:val="center"/>
          </w:tcPr>
          <w:p>
            <w:pPr>
              <w:pStyle w:val="27"/>
              <w:widowControl/>
              <w:ind w:left="4122" w:leftChars="1310" w:hanging="1411" w:hangingChars="395"/>
              <w:textAlignment w:val="center"/>
              <w:rPr>
                <w:rFonts w:ascii="仿宋_GB2312" w:eastAsia="仿宋_GB2312" w:cs="仿宋_GB2312"/>
                <w:bCs/>
                <w:color w:val="000000"/>
                <w:kern w:val="0"/>
                <w:sz w:val="36"/>
                <w:szCs w:val="36"/>
              </w:rPr>
            </w:pPr>
          </w:p>
          <w:p>
            <w:pPr>
              <w:pStyle w:val="27"/>
              <w:widowControl/>
              <w:ind w:left="4122" w:leftChars="1310" w:hanging="1411" w:hangingChars="395"/>
              <w:textAlignment w:val="center"/>
              <w:rPr>
                <w:rFonts w:ascii="仿宋_GB2312" w:eastAsia="仿宋_GB2312" w:cs="仿宋_GB2312"/>
                <w:bCs/>
                <w:color w:val="000000"/>
                <w:kern w:val="0"/>
                <w:sz w:val="36"/>
                <w:szCs w:val="36"/>
              </w:rPr>
            </w:pPr>
          </w:p>
          <w:p>
            <w:pPr>
              <w:pStyle w:val="27"/>
              <w:widowControl/>
              <w:ind w:left="4122" w:leftChars="1310" w:hanging="1411" w:hangingChars="395"/>
              <w:textAlignment w:val="center"/>
              <w:rPr>
                <w:rFonts w:ascii="仿宋_GB2312" w:eastAsia="仿宋_GB2312" w:cs="仿宋_GB2312"/>
                <w:bCs/>
                <w:color w:val="000000"/>
                <w:kern w:val="0"/>
                <w:sz w:val="36"/>
                <w:szCs w:val="36"/>
              </w:rPr>
            </w:pPr>
          </w:p>
          <w:p>
            <w:pPr>
              <w:pStyle w:val="27"/>
              <w:widowControl/>
              <w:ind w:left="4122" w:leftChars="1310" w:hanging="1411" w:hangingChars="395"/>
              <w:textAlignment w:val="center"/>
              <w:rPr>
                <w:rFonts w:ascii="仿宋_GB2312" w:eastAsia="仿宋_GB2312" w:cs="仿宋_GB2312"/>
                <w:color w:val="000000"/>
                <w:sz w:val="36"/>
                <w:szCs w:val="36"/>
              </w:rPr>
            </w:pPr>
            <w:r>
              <w:rPr>
                <w:rFonts w:hint="eastAsia" w:ascii="仿宋_GB2312" w:eastAsia="仿宋_GB2312" w:cs="仿宋_GB2312"/>
                <w:bCs/>
                <w:color w:val="000000"/>
                <w:kern w:val="0"/>
                <w:sz w:val="36"/>
                <w:szCs w:val="36"/>
              </w:rPr>
              <w:t>项目支出绩效目标完成情况表</w:t>
            </w:r>
            <w:r>
              <w:rPr>
                <w:rFonts w:hint="eastAsia" w:ascii="仿宋_GB2312" w:eastAsia="仿宋_GB2312" w:cs="仿宋_GB2312"/>
                <w:b/>
                <w:bCs/>
                <w:color w:val="000000"/>
                <w:kern w:val="0"/>
                <w:sz w:val="36"/>
                <w:szCs w:val="36"/>
              </w:rPr>
              <w:br w:type="textWrapping"/>
            </w:r>
            <w:r>
              <w:rPr>
                <w:rFonts w:hint="eastAsia" w:ascii="仿宋_GB2312" w:eastAsia="仿宋_GB2312" w:cs="仿宋_GB2312"/>
                <w:color w:val="000000"/>
                <w:kern w:val="0"/>
                <w:sz w:val="36"/>
                <w:szCs w:val="36"/>
              </w:rPr>
              <w:t>(2018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17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b/>
                <w:color w:val="000000"/>
                <w:sz w:val="24"/>
              </w:rPr>
            </w:pPr>
            <w:r>
              <w:rPr>
                <w:rFonts w:hint="eastAsia" w:ascii="仿宋_GB2312" w:eastAsia="仿宋_GB2312" w:cs="仿宋_GB2312"/>
                <w:b/>
                <w:color w:val="000000"/>
                <w:sz w:val="24"/>
              </w:rPr>
              <w:t>旅游扶贫项目工程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九寨沟县旅游发展局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178.96</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178.96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178.96</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178.96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0</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5862"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370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5862"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目标1：力争完成1个旅游扶贫公益规划项目、1个乡村旅游提升示范项目、创建2个省级旅游扶贫示范村、打造17户乡村民宿达标示范户、开发11个乡村旅游公益性岗位、创建1个省级乡村旅游创客基地新业态示范品牌、建设1个旅游商品研发基地、补助1个全省旅游服务质量示范单位、建设1支旅游应急救援队伍、建设1个旅游应急救援点、举办1届旅游节庆活动。    目标2：在草地乡上草地村以民办公助方式推进上草地村2018年村寨配套景观基础设施建设项目，实施栈道铺设、观景台、休闲亭建设等旅游基础设施建设工程。</w:t>
            </w:r>
          </w:p>
        </w:tc>
        <w:tc>
          <w:tcPr>
            <w:tcW w:w="370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已完成计划。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支持贫困地区编制旅游规划数量、支持贫困村创建旅游扶贫示范村数量、支持贫困户建设乡村民宿达标户数量、支持贫困村开发乡村旅游接待服务公益性岗位数量、支持贫困地区创建旅游新业态品牌数量、支持贫困地区创建旅游服务质量示范单位数量、支持阿坝州旅游业灾后重建项目、支持贫困县建设旅游应急救援队伍和救援点项目数量</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37个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34个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质量指标</w:t>
            </w: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支持贫困地区编制旅游规划数量、支持贫困村创建旅游扶贫示范村数量、支持贫困户建设乡村民宿达标户数量、支持贫困村开发乡村旅游接待服务公益性岗位数量、支持贫困地区创建旅游新业态品牌数量、支持贫困地区创建旅游服务质量示范单位数量、支持阿坝州旅游业灾后重建项目、支持贫困县建设旅游应急救援队伍和救援点项目数量</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98.13%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仿宋_GB2312" w:eastAsia="仿宋_GB2312" w:cs="仿宋_GB2312"/>
                <w:color w:val="000000"/>
              </w:rPr>
            </w:pPr>
            <w:r>
              <w:rPr>
                <w:rFonts w:hint="eastAsia" w:ascii="仿宋_GB2312" w:eastAsia="仿宋_GB2312" w:cs="仿宋_GB2312"/>
                <w:color w:val="000000"/>
                <w:sz w:val="24"/>
              </w:rPr>
              <w:t>支持贫困地区编制旅游规划数量、支持贫困村创建旅游扶贫示范村数量、支持贫困户建设乡村民宿达标户数量、支持贫困村开发乡村旅游接待服务公益性岗位数量、支持贫困地区创建旅游新业态品牌数量、支持贫困地区创建旅游服务质量示范单位数量、支持阿坝州旅游业灾后重建项目、支持贫困县建设旅游应急救援队伍和救援点项目数量</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88.88%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仿宋_GB2312" w:eastAsia="仿宋_GB2312" w:cs="仿宋_GB2312"/>
                <w:color w:val="000000"/>
              </w:rPr>
            </w:pP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B05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B05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B05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B05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B05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B05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B05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B05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可持续影响指标</w:t>
            </w: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旅游基础设施持续使用年限（≧**年）</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3年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B05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B05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4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满意度指标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服务对象满意度指标</w:t>
            </w:r>
          </w:p>
        </w:tc>
        <w:tc>
          <w:tcPr>
            <w:tcW w:w="34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参与旅游扶贫项目贫困群众满意度、旅游扶贫重点村居民满意度（≧**%）</w:t>
            </w:r>
          </w:p>
        </w:tc>
        <w:tc>
          <w:tcPr>
            <w:tcW w:w="131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10"/>
            <w:tcMar>
              <w:top w:w="15" w:type="dxa"/>
              <w:left w:w="15" w:type="dxa"/>
              <w:right w:w="15" w:type="dxa"/>
            </w:tcMar>
            <w:vAlign w:val="center"/>
          </w:tcPr>
          <w:p>
            <w:pPr>
              <w:pStyle w:val="27"/>
              <w:widowControl/>
              <w:ind w:left="4122" w:leftChars="1310" w:hanging="1411" w:hangingChars="395"/>
              <w:textAlignment w:val="center"/>
              <w:rPr>
                <w:rFonts w:ascii="仿宋_GB2312" w:eastAsia="仿宋_GB2312" w:cs="仿宋_GB2312"/>
                <w:bCs/>
                <w:color w:val="000000"/>
                <w:kern w:val="0"/>
                <w:sz w:val="36"/>
                <w:szCs w:val="36"/>
              </w:rPr>
            </w:pPr>
          </w:p>
          <w:p>
            <w:pPr>
              <w:pStyle w:val="27"/>
              <w:widowControl/>
              <w:ind w:left="4122" w:leftChars="1310" w:hanging="1411" w:hangingChars="395"/>
              <w:textAlignment w:val="center"/>
              <w:rPr>
                <w:rFonts w:ascii="仿宋_GB2312" w:eastAsia="仿宋_GB2312" w:cs="仿宋_GB2312"/>
                <w:bCs/>
                <w:color w:val="000000"/>
                <w:kern w:val="0"/>
                <w:sz w:val="36"/>
                <w:szCs w:val="36"/>
              </w:rPr>
            </w:pPr>
          </w:p>
          <w:p>
            <w:pPr>
              <w:pStyle w:val="27"/>
              <w:widowControl/>
              <w:ind w:left="4122" w:leftChars="1310" w:hanging="1411" w:hangingChars="395"/>
              <w:textAlignment w:val="center"/>
              <w:rPr>
                <w:rFonts w:ascii="仿宋_GB2312" w:eastAsia="仿宋_GB2312" w:cs="仿宋_GB2312"/>
                <w:bCs/>
                <w:color w:val="000000"/>
                <w:kern w:val="0"/>
                <w:sz w:val="36"/>
                <w:szCs w:val="36"/>
              </w:rPr>
            </w:pPr>
          </w:p>
          <w:p>
            <w:pPr>
              <w:pStyle w:val="27"/>
              <w:widowControl/>
              <w:ind w:left="4122" w:leftChars="1310" w:hanging="1411" w:hangingChars="395"/>
              <w:textAlignment w:val="center"/>
              <w:rPr>
                <w:rFonts w:ascii="仿宋_GB2312" w:eastAsia="仿宋_GB2312" w:cs="仿宋_GB2312"/>
                <w:bCs/>
                <w:color w:val="000000"/>
                <w:kern w:val="0"/>
                <w:sz w:val="36"/>
                <w:szCs w:val="36"/>
              </w:rPr>
            </w:pPr>
          </w:p>
          <w:p>
            <w:pPr>
              <w:pStyle w:val="27"/>
              <w:widowControl/>
              <w:ind w:firstLine="0" w:firstLineChars="0"/>
              <w:textAlignment w:val="center"/>
              <w:rPr>
                <w:rFonts w:ascii="仿宋_GB2312" w:eastAsia="仿宋_GB2312" w:cs="仿宋_GB2312"/>
                <w:bCs/>
                <w:color w:val="000000"/>
                <w:kern w:val="0"/>
                <w:sz w:val="36"/>
                <w:szCs w:val="36"/>
              </w:rPr>
            </w:pPr>
          </w:p>
          <w:p>
            <w:pPr>
              <w:pStyle w:val="27"/>
              <w:widowControl/>
              <w:ind w:firstLine="0" w:firstLineChars="0"/>
              <w:textAlignment w:val="center"/>
              <w:rPr>
                <w:rFonts w:ascii="仿宋_GB2312" w:eastAsia="仿宋_GB2312" w:cs="仿宋_GB2312"/>
                <w:bCs/>
                <w:color w:val="000000"/>
                <w:kern w:val="0"/>
                <w:sz w:val="36"/>
                <w:szCs w:val="36"/>
              </w:rPr>
            </w:pPr>
          </w:p>
          <w:p>
            <w:pPr>
              <w:pStyle w:val="27"/>
              <w:widowControl/>
              <w:ind w:left="4122" w:leftChars="1310" w:hanging="1411" w:hangingChars="395"/>
              <w:textAlignment w:val="center"/>
              <w:rPr>
                <w:rFonts w:ascii="仿宋_GB2312" w:eastAsia="仿宋_GB2312" w:cs="仿宋_GB2312"/>
                <w:color w:val="000000"/>
                <w:sz w:val="36"/>
                <w:szCs w:val="36"/>
              </w:rPr>
            </w:pPr>
            <w:r>
              <w:rPr>
                <w:rFonts w:hint="eastAsia" w:ascii="仿宋_GB2312" w:eastAsia="仿宋_GB2312" w:cs="仿宋_GB2312"/>
                <w:bCs/>
                <w:color w:val="000000"/>
                <w:kern w:val="0"/>
                <w:sz w:val="36"/>
                <w:szCs w:val="36"/>
              </w:rPr>
              <w:t>项目支出绩效目标完成情况表</w:t>
            </w:r>
            <w:r>
              <w:rPr>
                <w:rFonts w:hint="eastAsia" w:ascii="仿宋_GB2312" w:eastAsia="仿宋_GB2312" w:cs="仿宋_GB2312"/>
                <w:b/>
                <w:bCs/>
                <w:color w:val="000000"/>
                <w:kern w:val="0"/>
                <w:sz w:val="36"/>
                <w:szCs w:val="36"/>
              </w:rPr>
              <w:br w:type="textWrapping"/>
            </w:r>
            <w:r>
              <w:rPr>
                <w:rFonts w:hint="eastAsia" w:ascii="仿宋_GB2312" w:eastAsia="仿宋_GB2312" w:cs="仿宋_GB2312"/>
                <w:color w:val="000000"/>
                <w:kern w:val="0"/>
                <w:sz w:val="36"/>
                <w:szCs w:val="36"/>
              </w:rPr>
              <w:t>(2018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17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b/>
                <w:color w:val="000000"/>
                <w:sz w:val="24"/>
              </w:rPr>
            </w:pPr>
            <w:r>
              <w:rPr>
                <w:rFonts w:hint="eastAsia" w:ascii="仿宋_GB2312" w:eastAsia="仿宋_GB2312" w:cs="仿宋_GB2312"/>
                <w:b/>
                <w:color w:val="000000"/>
                <w:sz w:val="24"/>
              </w:rPr>
              <w:t>九寨沟民宿自驾游营地方项目资金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九寨沟县旅游发展局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441"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3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470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53.6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441"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23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470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441"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234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441"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4733"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24" w:hRule="atLeast"/>
        </w:trPr>
        <w:tc>
          <w:tcPr>
            <w:tcW w:w="441"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4733"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0"/>
                <w:szCs w:val="20"/>
              </w:rPr>
            </w:pPr>
            <w:r>
              <w:rPr>
                <w:rFonts w:hint="eastAsia"/>
                <w:color w:val="000000"/>
                <w:sz w:val="20"/>
                <w:szCs w:val="20"/>
              </w:rPr>
              <w:br w:type="textWrapping"/>
            </w:r>
            <w:r>
              <w:rPr>
                <w:rFonts w:hint="eastAsia" w:ascii="仿宋_GB2312" w:eastAsia="仿宋_GB2312" w:cs="仿宋_GB2312"/>
                <w:color w:val="000000"/>
                <w:sz w:val="24"/>
              </w:rPr>
              <w:t>办结项目前期要件手续；完成项目招投标，项目开工建设。</w:t>
            </w:r>
          </w:p>
          <w:p>
            <w:pPr>
              <w:widowControl/>
              <w:textAlignment w:val="center"/>
              <w:rPr>
                <w:rFonts w:ascii="仿宋_GB2312" w:eastAsia="仿宋_GB2312" w:cs="仿宋_GB2312"/>
                <w:color w:val="000000"/>
                <w:sz w:val="24"/>
              </w:rPr>
            </w:pP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办结规定要件12个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1"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9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441"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9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一办结项目前期要件手续；完成项目招投标，项目开工建设。</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办结规定要件12个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办结规定要件12个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41"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9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质量指标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办结项目前期要件手续；完成项目招投标，项目开工建设。</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办结规定要件12个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办结规定要件12个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1"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9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 </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1"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项目完成指标</w:t>
            </w:r>
          </w:p>
        </w:tc>
        <w:tc>
          <w:tcPr>
            <w:tcW w:w="9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rPr>
              <w:t xml:space="preserve"> </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仿宋_GB2312"/>
                <w:color w:val="000000"/>
                <w:sz w:val="24"/>
              </w:rPr>
            </w:pPr>
            <w:r>
              <w:rPr>
                <w:rFonts w:hint="eastAsia" w:ascii="仿宋_GB2312" w:eastAsia="仿宋_GB2312" w:cs="仿宋_GB2312"/>
                <w:color w:val="000000"/>
              </w:rPr>
              <w:t xml:space="preserve"> </w:t>
            </w:r>
          </w:p>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1"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9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1"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9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仿宋_GB2312"/>
                <w:color w:val="000000"/>
                <w:sz w:val="24"/>
              </w:rPr>
            </w:pPr>
            <w:r>
              <w:rPr>
                <w:rFonts w:hint="eastAsia" w:ascii="仿宋_GB2312" w:eastAsia="仿宋_GB2312" w:cs="仿宋_GB2312"/>
                <w:color w:val="000000"/>
              </w:rPr>
              <w:t>经济效益</w:t>
            </w:r>
            <w:r>
              <w:rPr>
                <w:rFonts w:hint="eastAsia" w:ascii="仿宋_GB2312" w:eastAsia="仿宋_GB2312" w:cs="仿宋_GB2312"/>
                <w:color w:val="000000"/>
              </w:rPr>
              <w:br w:type="textWrapping"/>
            </w:r>
            <w:r>
              <w:rPr>
                <w:rFonts w:hint="eastAsia" w:ascii="仿宋_GB2312" w:eastAsia="仿宋_GB2312" w:cs="仿宋_GB2312"/>
                <w:color w:val="000000"/>
              </w:rPr>
              <w:t>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 </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1"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9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rPr>
              <w:t>可持续发展的旅游度假区、绿色旅游度假示范区、生态旅游度假示范区</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41"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效益指标</w:t>
            </w:r>
          </w:p>
        </w:tc>
        <w:tc>
          <w:tcPr>
            <w:tcW w:w="9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rPr>
            </w:pPr>
            <w:r>
              <w:rPr>
                <w:rFonts w:hint="eastAsia" w:ascii="仿宋_GB2312" w:eastAsia="仿宋_GB2312" w:cs="仿宋_GB2312"/>
                <w:color w:val="000000"/>
              </w:rPr>
              <w:t>旅游发展模式转变意识</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改善、较广、落实</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 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441"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9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可持续影响指标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rPr>
              <w:t>推动全域旅游发展</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1" w:hRule="atLeast"/>
        </w:trPr>
        <w:tc>
          <w:tcPr>
            <w:tcW w:w="441"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w:t>
            </w:r>
          </w:p>
        </w:tc>
        <w:tc>
          <w:tcPr>
            <w:tcW w:w="9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8" w:hRule="atLeast"/>
        </w:trPr>
        <w:tc>
          <w:tcPr>
            <w:tcW w:w="441" w:type="dxa"/>
            <w:gridSpan w:val="2"/>
            <w:vMerge w:val="continue"/>
            <w:tcBorders>
              <w:top w:val="single" w:color="000000" w:sz="4" w:space="0"/>
              <w:left w:val="single" w:color="000000" w:sz="4" w:space="0"/>
              <w:bottom w:val="single" w:color="000000" w:sz="4" w:space="0"/>
              <w:right w:val="single" w:color="000000" w:sz="4" w:space="0"/>
            </w:tcBorders>
            <w:vAlign w:val="center"/>
          </w:tcPr>
          <w:p/>
        </w:tc>
        <w:tc>
          <w:tcPr>
            <w:tcW w:w="15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满意度指标</w:t>
            </w:r>
          </w:p>
        </w:tc>
        <w:tc>
          <w:tcPr>
            <w:tcW w:w="9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服务对象满意度指标</w:t>
            </w:r>
          </w:p>
        </w:tc>
        <w:tc>
          <w:tcPr>
            <w:tcW w:w="21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群众满意度</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90%</w:t>
            </w:r>
          </w:p>
        </w:tc>
      </w:tr>
    </w:tbl>
    <w:p>
      <w:pPr>
        <w:rPr>
          <w:rFonts w:ascii="Calibri" w:hAnsi="Calibri"/>
          <w:color w:val="000000"/>
        </w:rPr>
      </w:pPr>
    </w:p>
    <w:tbl>
      <w:tblPr>
        <w:tblStyle w:val="16"/>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Mar>
              <w:top w:w="15" w:type="dxa"/>
              <w:left w:w="15" w:type="dxa"/>
              <w:right w:w="15" w:type="dxa"/>
            </w:tcMar>
            <w:vAlign w:val="center"/>
          </w:tcPr>
          <w:p>
            <w:pPr>
              <w:pStyle w:val="27"/>
              <w:widowControl/>
              <w:ind w:firstLine="0" w:firstLineChars="0"/>
              <w:textAlignment w:val="center"/>
              <w:rPr>
                <w:rFonts w:ascii="仿宋_GB2312" w:eastAsia="仿宋_GB2312" w:cs="仿宋_GB2312"/>
                <w:bCs/>
                <w:color w:val="000000"/>
                <w:kern w:val="0"/>
                <w:sz w:val="36"/>
                <w:szCs w:val="36"/>
              </w:rPr>
            </w:pPr>
          </w:p>
          <w:p>
            <w:pPr>
              <w:pStyle w:val="27"/>
              <w:widowControl/>
              <w:ind w:firstLine="0" w:firstLineChars="0"/>
              <w:textAlignment w:val="center"/>
              <w:rPr>
                <w:rFonts w:ascii="仿宋_GB2312" w:eastAsia="仿宋_GB2312" w:cs="仿宋_GB2312"/>
                <w:bCs/>
                <w:color w:val="000000"/>
                <w:kern w:val="0"/>
                <w:sz w:val="36"/>
                <w:szCs w:val="36"/>
              </w:rPr>
            </w:pPr>
          </w:p>
          <w:p>
            <w:pPr>
              <w:pStyle w:val="27"/>
              <w:widowControl/>
              <w:ind w:left="4122" w:leftChars="1310" w:hanging="1411" w:hangingChars="395"/>
              <w:textAlignment w:val="center"/>
              <w:rPr>
                <w:rFonts w:ascii="仿宋_GB2312" w:eastAsia="仿宋_GB2312" w:cs="仿宋_GB2312"/>
                <w:bCs/>
                <w:color w:val="000000"/>
                <w:kern w:val="0"/>
                <w:sz w:val="36"/>
                <w:szCs w:val="36"/>
              </w:rPr>
            </w:pPr>
          </w:p>
          <w:p>
            <w:pPr>
              <w:pStyle w:val="27"/>
              <w:widowControl/>
              <w:ind w:left="4122" w:leftChars="1310" w:hanging="1411" w:hangingChars="395"/>
              <w:textAlignment w:val="center"/>
              <w:rPr>
                <w:rFonts w:ascii="仿宋_GB2312" w:eastAsia="仿宋_GB2312" w:cs="仿宋_GB2312"/>
                <w:bCs/>
                <w:color w:val="000000"/>
                <w:kern w:val="0"/>
                <w:sz w:val="36"/>
                <w:szCs w:val="36"/>
              </w:rPr>
            </w:pPr>
          </w:p>
          <w:p>
            <w:pPr>
              <w:pStyle w:val="27"/>
              <w:widowControl/>
              <w:ind w:left="4122" w:leftChars="1310" w:hanging="1411" w:hangingChars="395"/>
              <w:textAlignment w:val="center"/>
              <w:rPr>
                <w:rFonts w:ascii="仿宋_GB2312" w:eastAsia="仿宋_GB2312" w:cs="仿宋_GB2312"/>
                <w:bCs/>
                <w:color w:val="000000"/>
                <w:kern w:val="0"/>
                <w:sz w:val="36"/>
                <w:szCs w:val="36"/>
              </w:rPr>
            </w:pPr>
          </w:p>
          <w:p>
            <w:pPr>
              <w:pStyle w:val="27"/>
              <w:widowControl/>
              <w:ind w:left="4122" w:leftChars="1310" w:hanging="1411" w:hangingChars="395"/>
              <w:textAlignment w:val="center"/>
              <w:rPr>
                <w:rFonts w:ascii="仿宋_GB2312" w:eastAsia="仿宋_GB2312" w:cs="仿宋_GB2312"/>
                <w:bCs/>
                <w:color w:val="000000"/>
                <w:kern w:val="0"/>
                <w:sz w:val="36"/>
                <w:szCs w:val="36"/>
              </w:rPr>
            </w:pPr>
          </w:p>
          <w:p>
            <w:pPr>
              <w:pStyle w:val="27"/>
              <w:widowControl/>
              <w:ind w:left="4122" w:leftChars="1310" w:hanging="1411" w:hangingChars="395"/>
              <w:textAlignment w:val="center"/>
              <w:rPr>
                <w:rFonts w:ascii="仿宋_GB2312" w:eastAsia="仿宋_GB2312" w:cs="仿宋_GB2312"/>
                <w:bCs/>
                <w:color w:val="000000"/>
                <w:kern w:val="0"/>
                <w:sz w:val="36"/>
                <w:szCs w:val="36"/>
              </w:rPr>
            </w:pPr>
          </w:p>
          <w:p>
            <w:pPr>
              <w:pStyle w:val="27"/>
              <w:widowControl/>
              <w:ind w:left="4122" w:leftChars="1310" w:hanging="1411" w:hangingChars="395"/>
              <w:textAlignment w:val="center"/>
              <w:rPr>
                <w:rFonts w:ascii="仿宋_GB2312" w:eastAsia="仿宋_GB2312" w:cs="仿宋_GB2312"/>
                <w:color w:val="000000"/>
                <w:sz w:val="36"/>
                <w:szCs w:val="36"/>
              </w:rPr>
            </w:pPr>
            <w:r>
              <w:rPr>
                <w:rFonts w:hint="eastAsia" w:ascii="仿宋_GB2312" w:eastAsia="仿宋_GB2312" w:cs="仿宋_GB2312"/>
                <w:bCs/>
                <w:color w:val="000000"/>
                <w:kern w:val="0"/>
                <w:sz w:val="36"/>
                <w:szCs w:val="36"/>
              </w:rPr>
              <w:t>项目支出绩效目标完成情况表</w:t>
            </w:r>
            <w:r>
              <w:rPr>
                <w:rFonts w:hint="eastAsia" w:ascii="仿宋_GB2312" w:eastAsia="仿宋_GB2312" w:cs="仿宋_GB2312"/>
                <w:b/>
                <w:bCs/>
                <w:color w:val="000000"/>
                <w:kern w:val="0"/>
                <w:sz w:val="36"/>
                <w:szCs w:val="36"/>
              </w:rPr>
              <w:br w:type="textWrapping"/>
            </w:r>
            <w:r>
              <w:rPr>
                <w:rFonts w:hint="eastAsia" w:ascii="仿宋_GB2312" w:eastAsia="仿宋_GB2312" w:cs="仿宋_GB2312"/>
                <w:color w:val="000000"/>
                <w:kern w:val="0"/>
                <w:sz w:val="36"/>
                <w:szCs w:val="36"/>
              </w:rPr>
              <w:t>(2018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b/>
                <w:color w:val="000000"/>
                <w:sz w:val="24"/>
              </w:rPr>
            </w:pPr>
            <w:r>
              <w:rPr>
                <w:rFonts w:hint="eastAsia" w:ascii="仿宋_GB2312" w:eastAsia="仿宋_GB2312" w:cs="仿宋_GB2312"/>
                <w:b/>
                <w:color w:val="000000"/>
                <w:sz w:val="24"/>
              </w:rPr>
              <w:t>旅游发展基金补助地方项目资金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九寨沟县旅游发展局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220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220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目标1：通过完成九寨海子山生态旅游接待区建设，配套保海公路沿线景观、保华旅游+精准扶贫、民宿、种养殖基地等的建设，带动保华乡至项目区的整体乡村旅游的发展和提升，丰富九寨沟县旅游产品内容，实现九寨全域旅游目标；通过该项目的实施，创造就业机会，实现全民共享，带动民族地区脱贫奔康和经济社会协调发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目标1完成情况：2018年已完成1期工程建设，保华旅游公司已成立，乡村民宿、沿线景观等均已开始实施，带动当地就业超过300人。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一期：悦榕庄酒店、木屋雅舍、游客集散中心、游客接待中心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完成建设并投运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完成建设并投运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世界级休闲旅游度假目的地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按AAAAA级景区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已申报省级旅游度假目的地，因本年度九寨沟景区关闭暂缓继续申报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一期：悦榕庄酒店、木屋雅舍、游客集散中心、游客接待中心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2018年12月前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2018年12月前，一期已基本投运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rPr>
              <w:t>项目总投资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220万元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仿宋_GB2312"/>
                <w:sz w:val="24"/>
              </w:rPr>
            </w:pPr>
            <w:r>
              <w:rPr>
                <w:rFonts w:hint="eastAsia" w:ascii="仿宋_GB2312" w:eastAsia="仿宋_GB2312" w:cs="仿宋_GB2312"/>
              </w:rPr>
              <w:t>220万元</w:t>
            </w:r>
          </w:p>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eastAsia="仿宋_GB2312" w:cs="仿宋_GB2312"/>
                <w:sz w:val="24"/>
              </w:rPr>
            </w:pPr>
            <w:r>
              <w:rPr>
                <w:rFonts w:hint="eastAsia" w:ascii="仿宋_GB2312" w:eastAsia="仿宋_GB2312" w:cs="仿宋_GB2312"/>
              </w:rPr>
              <w:t>经济效益</w:t>
            </w:r>
            <w:r>
              <w:rPr>
                <w:rFonts w:hint="eastAsia" w:ascii="仿宋_GB2312" w:eastAsia="仿宋_GB2312" w:cs="仿宋_GB2312"/>
              </w:rPr>
              <w:br w:type="textWrapping"/>
            </w:r>
            <w:r>
              <w:rPr>
                <w:rFonts w:hint="eastAsia" w:ascii="仿宋_GB2312" w:eastAsia="仿宋_GB2312" w:cs="仿宋_GB2312"/>
              </w:rPr>
              <w:t>指标</w:t>
            </w:r>
          </w:p>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静态回收期15年、总投资回报率69%、内部收益率24%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静态回收期15年、总投资回报率69%、内部收益率24%</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项目因九寨沟地震、泥石流及景区关闭原因，暂时处于停业状态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rPr>
              <w:t>可持续发展的旅游度假区、绿色旅游度假示范区、生态旅游度假示范区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社会效益</w:t>
            </w:r>
          </w:p>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rPr>
            </w:pPr>
            <w:r>
              <w:rPr>
                <w:rFonts w:hint="eastAsia" w:ascii="仿宋_GB2312" w:eastAsia="仿宋_GB2312" w:cs="仿宋_GB2312"/>
              </w:rPr>
              <w:t>旅游发展模式转变意识，旅游项目服务面、辐射面，旅游+精准扶贫示范区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改善、较广、落实</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通过保华旅游的实施，当地村民的旅游发展模式从依靠景区到自主发展民宿等，对全域旅游有了新认识；从景区已延伸至保海路18公里沿线；保华旅游公司已成立，正在推进民宿示范建设，已开工。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rPr>
              <w:t>推动全域旅游发展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90%</w:t>
            </w:r>
          </w:p>
        </w:tc>
      </w:tr>
    </w:tbl>
    <w:p>
      <w:pPr>
        <w:rPr>
          <w:rFonts w:ascii="Calibri" w:hAnsi="Calibri"/>
        </w:rPr>
      </w:pPr>
    </w:p>
    <w:p>
      <w:pPr>
        <w:spacing w:line="580" w:lineRule="exact"/>
        <w:rPr>
          <w:rFonts w:ascii="仿宋_GB2312" w:eastAsia="仿宋_GB2312" w:cs="仿宋_GB2312"/>
          <w:sz w:val="32"/>
          <w:szCs w:val="32"/>
        </w:rPr>
      </w:pPr>
    </w:p>
    <w:p>
      <w:pPr>
        <w:numPr>
          <w:ilvl w:val="0"/>
          <w:numId w:val="5"/>
        </w:numPr>
        <w:spacing w:line="580" w:lineRule="exact"/>
        <w:ind w:left="0" w:firstLine="634"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34" w:firstLineChars="200"/>
        <w:rPr>
          <w:rFonts w:ascii="仿宋" w:eastAsia="仿宋" w:cs="仿宋_GB2312"/>
          <w:sz w:val="32"/>
          <w:szCs w:val="32"/>
        </w:rPr>
      </w:pPr>
      <w:r>
        <w:rPr>
          <w:rFonts w:hint="eastAsia" w:ascii="仿宋" w:eastAsia="仿宋" w:cs="仿宋_GB2312"/>
          <w:sz w:val="32"/>
          <w:szCs w:val="32"/>
        </w:rPr>
        <w:t>本部门按要求对2018年部门整体支出绩效评价情况开展自评，《九寨沟县旅游发展局2018年部门整体支出绩效评价报告》见附件。</w:t>
      </w:r>
    </w:p>
    <w:p>
      <w:pPr>
        <w:spacing w:line="580" w:lineRule="exact"/>
        <w:ind w:firstLine="634" w:firstLineChars="200"/>
        <w:rPr>
          <w:rFonts w:ascii="仿宋" w:eastAsia="仿宋" w:cs="仿宋_GB2312"/>
          <w:sz w:val="32"/>
          <w:szCs w:val="32"/>
        </w:rPr>
      </w:pPr>
      <w:r>
        <w:rPr>
          <w:rFonts w:hint="eastAsia" w:ascii="仿宋" w:eastAsia="仿宋" w:cs="仿宋_GB2312"/>
          <w:sz w:val="32"/>
          <w:szCs w:val="32"/>
        </w:rPr>
        <w:t>本部门自行组织对</w:t>
      </w:r>
      <w:r>
        <w:rPr>
          <w:rFonts w:hint="eastAsia" w:ascii="仿宋" w:eastAsia="仿宋" w:cs="仿宋"/>
          <w:sz w:val="32"/>
          <w:szCs w:val="32"/>
        </w:rPr>
        <w:t>乡村旅游提升示范项目、九寨沟县甘海子生态文化旅游区建设项目（一期）、九寨沟县勿角民族生态旅游试验区建设项目、旅游扶贫项目工程、旅游发展基金补助地方项目资金5</w:t>
      </w:r>
      <w:r>
        <w:rPr>
          <w:rFonts w:hint="eastAsia" w:ascii="仿宋" w:eastAsia="仿宋" w:cs="仿宋_GB2312"/>
          <w:sz w:val="32"/>
          <w:szCs w:val="32"/>
        </w:rPr>
        <w:t>项目开展了绩效评价，《旅游发展局项目2018年绩效评价报告》见附件。</w:t>
      </w:r>
    </w:p>
    <w:p>
      <w:pPr>
        <w:spacing w:line="580" w:lineRule="exact"/>
        <w:jc w:val="center"/>
        <w:rPr>
          <w:rFonts w:ascii="方正小标宋简体" w:eastAsia="方正小标宋简体" w:cs="方正小标宋简体"/>
          <w:sz w:val="44"/>
          <w:szCs w:val="44"/>
        </w:rPr>
      </w:pPr>
    </w:p>
    <w:p>
      <w:pPr>
        <w:spacing w:line="600" w:lineRule="exact"/>
        <w:ind w:firstLine="793" w:firstLineChars="250"/>
        <w:outlineLvl w:val="1"/>
        <w:rPr>
          <w:rStyle w:val="21"/>
          <w:rFonts w:ascii="黑体" w:eastAsia="黑体"/>
        </w:rPr>
      </w:pPr>
      <w:bookmarkStart w:id="50" w:name="_Toc15377221"/>
      <w:bookmarkStart w:id="51" w:name="_Toc15396612"/>
      <w:r>
        <w:rPr>
          <w:rFonts w:hint="eastAsia" w:ascii="黑体" w:eastAsia="黑体"/>
          <w:color w:val="000000"/>
          <w:sz w:val="32"/>
          <w:szCs w:val="32"/>
        </w:rPr>
        <w:t>十</w:t>
      </w:r>
      <w:r>
        <w:rPr>
          <w:rStyle w:val="21"/>
          <w:rFonts w:hint="eastAsia" w:ascii="黑体" w:eastAsia="黑体"/>
        </w:rPr>
        <w:t>一、</w:t>
      </w:r>
      <w:r>
        <w:rPr>
          <w:rStyle w:val="21"/>
          <w:rFonts w:hint="eastAsia" w:ascii="黑体" w:eastAsia="黑体"/>
          <w:b w:val="0"/>
        </w:rPr>
        <w:t>其他重要事项的情况说明</w:t>
      </w:r>
      <w:bookmarkEnd w:id="50"/>
      <w:bookmarkEnd w:id="51"/>
    </w:p>
    <w:p>
      <w:pPr>
        <w:spacing w:line="600" w:lineRule="exact"/>
        <w:ind w:firstLine="634"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34" w:firstLineChars="20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8年，我局机关运行经费支47.51万元，比</w:t>
      </w:r>
      <w:r>
        <w:rPr>
          <w:rFonts w:ascii="仿宋" w:eastAsia="仿宋"/>
          <w:color w:val="000000"/>
          <w:sz w:val="32"/>
          <w:szCs w:val="32"/>
        </w:rPr>
        <w:t>201</w:t>
      </w:r>
      <w:r>
        <w:rPr>
          <w:rFonts w:hint="eastAsia" w:ascii="仿宋" w:eastAsia="仿宋"/>
          <w:color w:val="000000"/>
          <w:sz w:val="32"/>
          <w:szCs w:val="32"/>
        </w:rPr>
        <w:t>7年减少56.91万元，下降54.5</w:t>
      </w:r>
      <w:r>
        <w:rPr>
          <w:rFonts w:ascii="仿宋" w:eastAsia="仿宋"/>
          <w:color w:val="000000"/>
          <w:sz w:val="32"/>
          <w:szCs w:val="32"/>
        </w:rPr>
        <w:t>%</w:t>
      </w:r>
      <w:r>
        <w:rPr>
          <w:rFonts w:hint="eastAsia" w:ascii="仿宋" w:eastAsia="仿宋"/>
          <w:color w:val="000000"/>
          <w:sz w:val="32"/>
          <w:szCs w:val="32"/>
        </w:rPr>
        <w:t>。主要原因是厉行节约。</w:t>
      </w:r>
    </w:p>
    <w:p>
      <w:pPr>
        <w:spacing w:line="600" w:lineRule="exact"/>
        <w:ind w:firstLine="640"/>
        <w:rPr>
          <w:rFonts w:ascii="仿宋" w:eastAsia="仿宋"/>
          <w:b/>
          <w:color w:val="000000"/>
          <w:sz w:val="32"/>
          <w:szCs w:val="32"/>
        </w:rPr>
      </w:pPr>
      <w:r>
        <w:rPr>
          <w:rFonts w:hint="eastAsia" w:ascii="仿宋" w:eastAsia="仿宋"/>
          <w:b/>
          <w:color w:val="000000"/>
          <w:sz w:val="32"/>
          <w:szCs w:val="32"/>
        </w:rPr>
        <w:t>（数据来源财决</w:t>
      </w:r>
      <w:r>
        <w:rPr>
          <w:rFonts w:ascii="仿宋" w:eastAsia="仿宋"/>
          <w:b/>
          <w:color w:val="000000"/>
          <w:sz w:val="32"/>
          <w:szCs w:val="32"/>
        </w:rPr>
        <w:t>CS05</w:t>
      </w:r>
      <w:r>
        <w:rPr>
          <w:rFonts w:hint="eastAsia" w:ascii="仿宋" w:eastAsia="仿宋"/>
          <w:b/>
          <w:color w:val="000000"/>
          <w:sz w:val="32"/>
          <w:szCs w:val="32"/>
        </w:rPr>
        <w:t>表）</w:t>
      </w:r>
    </w:p>
    <w:p>
      <w:pPr>
        <w:autoSpaceDE w:val="0"/>
        <w:autoSpaceDN w:val="0"/>
        <w:adjustRightInd w:val="0"/>
        <w:spacing w:line="600" w:lineRule="exact"/>
        <w:ind w:firstLine="634"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34" w:firstLineChars="20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8年，我局政府采购支出总额0万元，其中：政府采购货物支出0万元、政府采购工程支出0万元、政府采购服务支出0万元。0。授予中小企业合同金额0万元，占政府采购支出总额的0</w:t>
      </w:r>
      <w:r>
        <w:rPr>
          <w:rFonts w:ascii="仿宋" w:eastAsia="仿宋"/>
          <w:color w:val="000000"/>
          <w:sz w:val="32"/>
          <w:szCs w:val="32"/>
        </w:rPr>
        <w:t>%</w:t>
      </w:r>
      <w:r>
        <w:rPr>
          <w:rFonts w:hint="eastAsia" w:ascii="仿宋" w:eastAsia="仿宋"/>
          <w:color w:val="000000"/>
          <w:sz w:val="32"/>
          <w:szCs w:val="32"/>
        </w:rPr>
        <w:t>，其中：授予小微企业合同金额0万元，占政府采购支出总额的0</w:t>
      </w:r>
      <w:r>
        <w:rPr>
          <w:rFonts w:ascii="仿宋" w:eastAsia="仿宋"/>
          <w:color w:val="000000"/>
          <w:sz w:val="32"/>
          <w:szCs w:val="32"/>
        </w:rPr>
        <w:t>%</w:t>
      </w:r>
      <w:r>
        <w:rPr>
          <w:rFonts w:hint="eastAsia" w:ascii="仿宋" w:eastAsia="仿宋"/>
          <w:color w:val="000000"/>
          <w:sz w:val="32"/>
          <w:szCs w:val="32"/>
        </w:rPr>
        <w:t>。</w:t>
      </w:r>
    </w:p>
    <w:p>
      <w:pPr>
        <w:autoSpaceDE w:val="0"/>
        <w:autoSpaceDN w:val="0"/>
        <w:adjustRightInd w:val="0"/>
        <w:spacing w:line="600" w:lineRule="exact"/>
        <w:ind w:firstLine="634" w:firstLineChars="200"/>
        <w:jc w:val="left"/>
        <w:outlineLvl w:val="2"/>
        <w:rPr>
          <w:rFonts w:ascii="仿宋" w:eastAsia="仿宋"/>
          <w:b/>
          <w:color w:val="000000"/>
          <w:sz w:val="32"/>
          <w:szCs w:val="32"/>
        </w:rPr>
      </w:pPr>
      <w:r>
        <w:rPr>
          <w:rFonts w:hint="eastAsia" w:ascii="仿宋" w:eastAsia="仿宋"/>
          <w:b/>
          <w:color w:val="000000"/>
          <w:sz w:val="32"/>
          <w:szCs w:val="32"/>
        </w:rPr>
        <w:t>（数据来源财决</w:t>
      </w:r>
      <w:r>
        <w:rPr>
          <w:rFonts w:ascii="仿宋" w:eastAsia="仿宋"/>
          <w:b/>
          <w:color w:val="000000"/>
          <w:sz w:val="32"/>
          <w:szCs w:val="32"/>
        </w:rPr>
        <w:t>CS06</w:t>
      </w:r>
      <w:r>
        <w:rPr>
          <w:rFonts w:hint="eastAsia" w:ascii="仿宋" w:eastAsia="仿宋"/>
          <w:b/>
          <w:color w:val="000000"/>
          <w:sz w:val="32"/>
          <w:szCs w:val="32"/>
        </w:rPr>
        <w:t>表）</w:t>
      </w:r>
    </w:p>
    <w:p>
      <w:pPr>
        <w:autoSpaceDE w:val="0"/>
        <w:autoSpaceDN w:val="0"/>
        <w:adjustRightInd w:val="0"/>
        <w:spacing w:line="600" w:lineRule="exact"/>
        <w:ind w:firstLine="634"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autoSpaceDE w:val="0"/>
        <w:autoSpaceDN w:val="0"/>
        <w:adjustRightInd w:val="0"/>
        <w:spacing w:line="600" w:lineRule="exact"/>
        <w:ind w:firstLine="634" w:firstLineChars="200"/>
        <w:jc w:val="left"/>
        <w:rPr>
          <w:rFonts w:ascii="仿宋_GB2312" w:eastAsia="仿宋_GB2312"/>
          <w:color w:val="000000"/>
          <w:sz w:val="32"/>
          <w:szCs w:val="32"/>
        </w:rPr>
      </w:pPr>
      <w:r>
        <w:rPr>
          <w:rFonts w:hint="eastAsia" w:ascii="仿宋" w:eastAsia="仿宋"/>
          <w:color w:val="000000"/>
          <w:sz w:val="32"/>
          <w:szCs w:val="32"/>
        </w:rPr>
        <w:t>截至</w:t>
      </w:r>
      <w:r>
        <w:rPr>
          <w:rFonts w:ascii="仿宋" w:eastAsia="仿宋"/>
          <w:color w:val="000000"/>
          <w:sz w:val="32"/>
          <w:szCs w:val="32"/>
        </w:rPr>
        <w:t>201</w:t>
      </w:r>
      <w:r>
        <w:rPr>
          <w:rFonts w:hint="eastAsia" w:ascii="仿宋" w:eastAsia="仿宋"/>
          <w:color w:val="000000"/>
          <w:sz w:val="32"/>
          <w:szCs w:val="32"/>
        </w:rPr>
        <w:t>8年</w:t>
      </w:r>
      <w:r>
        <w:rPr>
          <w:rFonts w:ascii="仿宋" w:eastAsia="仿宋"/>
          <w:color w:val="000000"/>
          <w:sz w:val="32"/>
          <w:szCs w:val="32"/>
        </w:rPr>
        <w:t>12</w:t>
      </w:r>
      <w:r>
        <w:rPr>
          <w:rFonts w:hint="eastAsia" w:ascii="仿宋" w:eastAsia="仿宋"/>
          <w:color w:val="000000"/>
          <w:sz w:val="32"/>
          <w:szCs w:val="32"/>
        </w:rPr>
        <w:t>月</w:t>
      </w:r>
      <w:r>
        <w:rPr>
          <w:rFonts w:ascii="仿宋" w:eastAsia="仿宋"/>
          <w:color w:val="000000"/>
          <w:sz w:val="32"/>
          <w:szCs w:val="32"/>
        </w:rPr>
        <w:t>31</w:t>
      </w:r>
      <w:r>
        <w:rPr>
          <w:rFonts w:hint="eastAsia" w:ascii="仿宋" w:eastAsia="仿宋"/>
          <w:color w:val="000000"/>
          <w:sz w:val="32"/>
          <w:szCs w:val="32"/>
        </w:rPr>
        <w:t>日，旅游发展局共有车辆2辆，其中：部级领导干部用车0辆、一般公务用车1辆、一般执法执勤用车0辆、特种专业技术用车0辆、其他用车0辆，单价</w:t>
      </w:r>
      <w:r>
        <w:rPr>
          <w:rFonts w:ascii="仿宋" w:eastAsia="仿宋"/>
          <w:color w:val="000000"/>
          <w:sz w:val="32"/>
          <w:szCs w:val="32"/>
        </w:rPr>
        <w:t>50</w:t>
      </w:r>
      <w:r>
        <w:rPr>
          <w:rFonts w:hint="eastAsia" w:ascii="仿宋" w:eastAsia="仿宋"/>
          <w:color w:val="000000"/>
          <w:sz w:val="32"/>
          <w:szCs w:val="32"/>
        </w:rPr>
        <w:t>万元以上通用设备0台（套），单价</w:t>
      </w:r>
      <w:r>
        <w:rPr>
          <w:rFonts w:ascii="仿宋" w:eastAsia="仿宋"/>
          <w:color w:val="000000"/>
          <w:sz w:val="32"/>
          <w:szCs w:val="32"/>
        </w:rPr>
        <w:t>100</w:t>
      </w:r>
      <w:r>
        <w:rPr>
          <w:rFonts w:hint="eastAsia" w:ascii="仿宋" w:eastAsia="仿宋"/>
          <w:color w:val="000000"/>
          <w:sz w:val="32"/>
          <w:szCs w:val="32"/>
        </w:rPr>
        <w:t>万元以上专用设备0台（套）。</w:t>
      </w:r>
    </w:p>
    <w:p>
      <w:pPr>
        <w:autoSpaceDE w:val="0"/>
        <w:autoSpaceDN w:val="0"/>
        <w:adjustRightInd w:val="0"/>
        <w:spacing w:line="600" w:lineRule="exact"/>
        <w:ind w:firstLine="634" w:firstLineChars="200"/>
        <w:jc w:val="left"/>
        <w:outlineLvl w:val="2"/>
        <w:rPr>
          <w:rFonts w:ascii="仿宋" w:eastAsia="仿宋"/>
          <w:b/>
          <w:color w:val="000000"/>
          <w:sz w:val="32"/>
          <w:szCs w:val="32"/>
        </w:rPr>
      </w:pPr>
      <w:r>
        <w:rPr>
          <w:rFonts w:hint="eastAsia" w:ascii="仿宋" w:eastAsia="仿宋"/>
          <w:b/>
          <w:color w:val="000000"/>
          <w:sz w:val="32"/>
          <w:szCs w:val="32"/>
        </w:rPr>
        <w:t>（数据来源财决</w:t>
      </w:r>
      <w:r>
        <w:rPr>
          <w:rFonts w:ascii="仿宋" w:eastAsia="仿宋"/>
          <w:b/>
          <w:color w:val="000000"/>
          <w:sz w:val="32"/>
          <w:szCs w:val="32"/>
        </w:rPr>
        <w:t>CS05</w:t>
      </w:r>
      <w:r>
        <w:rPr>
          <w:rFonts w:hint="eastAsia" w:ascii="仿宋" w:eastAsia="仿宋"/>
          <w:b/>
          <w:color w:val="000000"/>
          <w:sz w:val="32"/>
          <w:szCs w:val="32"/>
        </w:rPr>
        <w:t>表，按部门决算报表填报数据罗列车辆情况。）</w:t>
      </w:r>
    </w:p>
    <w:p>
      <w:pPr>
        <w:spacing w:line="600" w:lineRule="atLeast"/>
        <w:ind w:firstLine="634"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7"/>
        </w:numPr>
        <w:spacing w:line="600" w:lineRule="exact"/>
        <w:ind w:left="0" w:firstLine="656" w:firstLineChars="150"/>
        <w:jc w:val="center"/>
        <w:outlineLvl w:val="0"/>
        <w:rPr>
          <w:rStyle w:val="20"/>
          <w:rFonts w:ascii="黑体" w:eastAsia="黑体"/>
          <w:b w:val="0"/>
        </w:rPr>
      </w:pPr>
      <w:bookmarkStart w:id="55" w:name="_Toc15396613"/>
      <w:bookmarkStart w:id="56" w:name="_Toc15377225"/>
      <w:r>
        <w:rPr>
          <w:rFonts w:hint="eastAsia" w:ascii="黑体" w:eastAsia="黑体"/>
          <w:b/>
          <w:color w:val="000000"/>
          <w:sz w:val="44"/>
          <w:szCs w:val="44"/>
        </w:rPr>
        <w:t>名</w:t>
      </w:r>
      <w:r>
        <w:rPr>
          <w:rStyle w:val="20"/>
          <w:rFonts w:hint="eastAsia" w:ascii="黑体" w:eastAsia="黑体"/>
          <w:b w:val="0"/>
        </w:rPr>
        <w:t>词解释</w:t>
      </w:r>
      <w:bookmarkEnd w:id="55"/>
      <w:bookmarkEnd w:id="56"/>
    </w:p>
    <w:p>
      <w:pPr>
        <w:spacing w:line="600" w:lineRule="exact"/>
        <w:jc w:val="left"/>
        <w:rPr>
          <w:rFonts w:ascii="宋体"/>
          <w:b/>
          <w:color w:val="000000"/>
          <w:sz w:val="44"/>
          <w:szCs w:val="44"/>
        </w:rPr>
      </w:pPr>
    </w:p>
    <w:p>
      <w:pPr>
        <w:pStyle w:val="26"/>
        <w:spacing w:line="560" w:lineRule="exact"/>
        <w:ind w:firstLine="634" w:firstLineChars="200"/>
        <w:rPr>
          <w:sz w:val="32"/>
          <w:szCs w:val="32"/>
        </w:rPr>
      </w:pPr>
      <w:r>
        <w:rPr>
          <w:sz w:val="32"/>
          <w:szCs w:val="32"/>
        </w:rPr>
        <w:t>1.</w:t>
      </w:r>
      <w:r>
        <w:rPr>
          <w:rFonts w:hint="eastAsia"/>
          <w:sz w:val="32"/>
          <w:szCs w:val="32"/>
        </w:rPr>
        <w:t>财政拨款收入：指单位从同级财政部门取得的财政预算资金。</w:t>
      </w:r>
    </w:p>
    <w:p>
      <w:pPr>
        <w:pStyle w:val="26"/>
        <w:spacing w:line="560" w:lineRule="exact"/>
        <w:ind w:firstLine="634" w:firstLineChars="200"/>
        <w:rPr>
          <w:sz w:val="32"/>
          <w:szCs w:val="32"/>
        </w:rPr>
      </w:pPr>
      <w:r>
        <w:rPr>
          <w:sz w:val="32"/>
          <w:szCs w:val="32"/>
        </w:rPr>
        <w:t>2.</w:t>
      </w:r>
      <w:r>
        <w:rPr>
          <w:rFonts w:hint="eastAsia"/>
          <w:sz w:val="32"/>
          <w:szCs w:val="32"/>
        </w:rPr>
        <w:t>事业收入：指事业单位开展专业业务活动及辅助活动取得的收入。如…（二级预算单位事业收入情况）等。</w:t>
      </w:r>
    </w:p>
    <w:p>
      <w:pPr>
        <w:pStyle w:val="26"/>
        <w:spacing w:line="560" w:lineRule="exact"/>
        <w:ind w:firstLine="634" w:firstLineChars="200"/>
        <w:rPr>
          <w:sz w:val="32"/>
          <w:szCs w:val="32"/>
        </w:rPr>
      </w:pPr>
      <w:r>
        <w:rPr>
          <w:sz w:val="32"/>
          <w:szCs w:val="32"/>
        </w:rPr>
        <w:t>3.</w:t>
      </w:r>
      <w:r>
        <w:rPr>
          <w:rFonts w:hint="eastAsia"/>
          <w:sz w:val="32"/>
          <w:szCs w:val="32"/>
        </w:rPr>
        <w:t>经营收入：指事业单位在专业业务活动及其辅助活动之外开展非独立核算经营活动取得的收入。如…（二级预算单位经营收入情况）等。</w:t>
      </w:r>
    </w:p>
    <w:p>
      <w:pPr>
        <w:pStyle w:val="26"/>
        <w:spacing w:line="560" w:lineRule="exact"/>
        <w:ind w:firstLine="634" w:firstLineChars="200"/>
        <w:rPr>
          <w:sz w:val="32"/>
          <w:szCs w:val="32"/>
        </w:rPr>
      </w:pPr>
      <w:r>
        <w:rPr>
          <w:sz w:val="32"/>
          <w:szCs w:val="32"/>
        </w:rPr>
        <w:t>4.</w:t>
      </w:r>
      <w:r>
        <w:rPr>
          <w:rFonts w:hint="eastAsia"/>
          <w:sz w:val="32"/>
          <w:szCs w:val="32"/>
        </w:rPr>
        <w:t>其他收入：指单位取得的除上述收入以外的各项收入。主要是…（收入类型）等。</w:t>
      </w:r>
    </w:p>
    <w:p>
      <w:pPr>
        <w:pStyle w:val="26"/>
        <w:spacing w:line="560" w:lineRule="exact"/>
        <w:ind w:firstLine="634" w:firstLineChars="200"/>
        <w:rPr>
          <w:sz w:val="32"/>
          <w:szCs w:val="32"/>
        </w:rPr>
      </w:pPr>
      <w:r>
        <w:rPr>
          <w:sz w:val="32"/>
          <w:szCs w:val="32"/>
        </w:rPr>
        <w:t>5.</w:t>
      </w:r>
      <w:r>
        <w:rPr>
          <w:rFonts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6"/>
        <w:spacing w:line="560" w:lineRule="exact"/>
        <w:ind w:firstLine="634" w:firstLineChars="200"/>
        <w:rPr>
          <w:sz w:val="32"/>
          <w:szCs w:val="32"/>
        </w:rPr>
      </w:pPr>
      <w:r>
        <w:rPr>
          <w:sz w:val="32"/>
          <w:szCs w:val="32"/>
        </w:rPr>
        <w:t>6.</w:t>
      </w:r>
      <w:r>
        <w:rPr>
          <w:rFonts w:hint="eastAsia"/>
          <w:sz w:val="32"/>
          <w:szCs w:val="32"/>
        </w:rPr>
        <w:t>年初结转和结余：指以前年度尚未完成、结转到本年按有关规定继续使用的资金。</w:t>
      </w:r>
    </w:p>
    <w:p>
      <w:pPr>
        <w:pStyle w:val="26"/>
        <w:spacing w:line="560" w:lineRule="exact"/>
        <w:ind w:firstLine="634" w:firstLineChars="200"/>
        <w:rPr>
          <w:sz w:val="32"/>
          <w:szCs w:val="32"/>
        </w:rPr>
      </w:pPr>
      <w:r>
        <w:rPr>
          <w:sz w:val="32"/>
          <w:szCs w:val="32"/>
        </w:rPr>
        <w:t>7.</w:t>
      </w:r>
      <w:r>
        <w:rPr>
          <w:rFonts w:hint="eastAsia"/>
          <w:sz w:val="32"/>
          <w:szCs w:val="32"/>
        </w:rPr>
        <w:t>结余分配：指事业单位按照事业单位会计制度的规定从非财政补助结余中分配的事业基金和职工福利基金等。</w:t>
      </w:r>
    </w:p>
    <w:p>
      <w:pPr>
        <w:pStyle w:val="26"/>
        <w:spacing w:line="560" w:lineRule="exact"/>
        <w:ind w:firstLine="634" w:firstLineChars="200"/>
        <w:rPr>
          <w:sz w:val="32"/>
          <w:szCs w:val="32"/>
        </w:rPr>
      </w:pPr>
      <w:r>
        <w:rPr>
          <w:sz w:val="32"/>
          <w:szCs w:val="32"/>
        </w:rPr>
        <w:t>8</w:t>
      </w:r>
      <w:r>
        <w:rPr>
          <w:rFonts w:hint="eastAsia"/>
          <w:sz w:val="32"/>
          <w:szCs w:val="32"/>
        </w:rPr>
        <w:t>、年末结转和结余：指单位按有关规定结转到下年或以后年度继续使用的资金。</w:t>
      </w:r>
    </w:p>
    <w:p>
      <w:pPr>
        <w:ind w:firstLine="634" w:firstLineChars="200"/>
        <w:rPr>
          <w:rFonts w:ascii="仿宋" w:eastAsia="仿宋"/>
          <w:color w:val="000000"/>
          <w:sz w:val="32"/>
          <w:szCs w:val="32"/>
        </w:rPr>
      </w:pPr>
      <w:r>
        <w:rPr>
          <w:rFonts w:ascii="仿宋" w:eastAsia="仿宋"/>
          <w:color w:val="000000"/>
          <w:sz w:val="32"/>
          <w:szCs w:val="32"/>
        </w:rPr>
        <w:t>9.</w:t>
      </w:r>
      <w:r>
        <w:rPr>
          <w:rStyle w:val="18"/>
          <w:rFonts w:hint="eastAsia" w:ascii="仿宋" w:eastAsia="仿宋"/>
          <w:b w:val="0"/>
          <w:color w:val="000000"/>
          <w:sz w:val="32"/>
          <w:szCs w:val="32"/>
        </w:rPr>
        <w:t>一般公共服务支出（201）组织事务（32）其他组织事务支出（99）</w:t>
      </w:r>
      <w:r>
        <w:rPr>
          <w:rFonts w:hint="eastAsia" w:ascii="仿宋" w:eastAsia="仿宋"/>
          <w:color w:val="000000"/>
          <w:sz w:val="32"/>
          <w:szCs w:val="32"/>
        </w:rPr>
        <w:t>：指其他组织事务支出。</w:t>
      </w:r>
    </w:p>
    <w:p>
      <w:pPr>
        <w:ind w:firstLine="634" w:firstLineChars="200"/>
        <w:rPr>
          <w:rFonts w:ascii="仿宋" w:eastAsia="仿宋"/>
          <w:color w:val="000000"/>
          <w:sz w:val="32"/>
          <w:szCs w:val="32"/>
        </w:rPr>
      </w:pPr>
      <w:r>
        <w:rPr>
          <w:rFonts w:ascii="仿宋" w:eastAsia="仿宋"/>
          <w:color w:val="000000"/>
          <w:sz w:val="32"/>
          <w:szCs w:val="32"/>
        </w:rPr>
        <w:t>10..</w:t>
      </w:r>
      <w:r>
        <w:rPr>
          <w:rStyle w:val="18"/>
          <w:rFonts w:hint="eastAsia" w:ascii="仿宋" w:eastAsia="仿宋"/>
          <w:b w:val="0"/>
          <w:sz w:val="32"/>
          <w:szCs w:val="32"/>
        </w:rPr>
        <w:t>社会保障和就业支出（208）行政事业单位离退休（05）机关事业单位基本养老保险缴费支出（05）</w:t>
      </w:r>
      <w:r>
        <w:rPr>
          <w:rFonts w:hint="eastAsia" w:ascii="仿宋" w:eastAsia="仿宋"/>
          <w:color w:val="000000"/>
          <w:sz w:val="32"/>
          <w:szCs w:val="32"/>
        </w:rPr>
        <w:t>：指机关事业单位基本养老保险缴费支出。</w:t>
      </w:r>
    </w:p>
    <w:p>
      <w:pPr>
        <w:ind w:firstLine="634" w:firstLineChars="200"/>
        <w:rPr>
          <w:rFonts w:ascii="仿宋" w:eastAsia="仿宋"/>
          <w:color w:val="000000"/>
          <w:sz w:val="32"/>
          <w:szCs w:val="32"/>
        </w:rPr>
      </w:pPr>
      <w:r>
        <w:rPr>
          <w:rFonts w:ascii="仿宋" w:eastAsia="仿宋"/>
          <w:color w:val="000000"/>
          <w:sz w:val="32"/>
          <w:szCs w:val="32"/>
        </w:rPr>
        <w:t>1</w:t>
      </w:r>
      <w:r>
        <w:rPr>
          <w:rFonts w:hint="eastAsia" w:ascii="仿宋" w:eastAsia="仿宋"/>
          <w:color w:val="000000"/>
          <w:sz w:val="32"/>
          <w:szCs w:val="32"/>
        </w:rPr>
        <w:t>1</w:t>
      </w:r>
      <w:r>
        <w:rPr>
          <w:rFonts w:ascii="仿宋" w:eastAsia="仿宋"/>
          <w:color w:val="000000"/>
          <w:sz w:val="32"/>
          <w:szCs w:val="32"/>
        </w:rPr>
        <w:t>.</w:t>
      </w:r>
      <w:r>
        <w:rPr>
          <w:rStyle w:val="18"/>
          <w:rFonts w:hint="eastAsia" w:ascii="仿宋" w:eastAsia="仿宋"/>
          <w:b w:val="0"/>
          <w:sz w:val="32"/>
          <w:szCs w:val="32"/>
        </w:rPr>
        <w:t>医疗卫生与计划生育支出（210）行政事业单位医疗（11）行政单位医疗（01）</w:t>
      </w:r>
      <w:r>
        <w:rPr>
          <w:rFonts w:hint="eastAsia" w:ascii="仿宋" w:eastAsia="仿宋"/>
          <w:color w:val="000000"/>
          <w:sz w:val="32"/>
          <w:szCs w:val="32"/>
        </w:rPr>
        <w:t>：指事业单位医疗支出；</w:t>
      </w:r>
      <w:r>
        <w:rPr>
          <w:rStyle w:val="18"/>
          <w:rFonts w:hint="eastAsia" w:ascii="仿宋" w:eastAsia="仿宋"/>
          <w:b w:val="0"/>
          <w:sz w:val="32"/>
          <w:szCs w:val="32"/>
        </w:rPr>
        <w:t>医疗卫生与计划生育支出（210）行政事业单位医疗（11）公务员医疗补助（03）：指公务员医疗补助</w:t>
      </w:r>
      <w:r>
        <w:rPr>
          <w:rFonts w:hint="eastAsia" w:ascii="仿宋" w:eastAsia="仿宋"/>
          <w:color w:val="000000"/>
          <w:sz w:val="32"/>
          <w:szCs w:val="32"/>
        </w:rPr>
        <w:t>。</w:t>
      </w:r>
    </w:p>
    <w:p>
      <w:pPr>
        <w:ind w:firstLine="634" w:firstLineChars="200"/>
        <w:rPr>
          <w:rFonts w:ascii="仿宋" w:eastAsia="仿宋"/>
          <w:color w:val="000000"/>
          <w:sz w:val="32"/>
          <w:szCs w:val="32"/>
        </w:rPr>
      </w:pPr>
      <w:r>
        <w:rPr>
          <w:rFonts w:ascii="仿宋" w:eastAsia="仿宋"/>
          <w:color w:val="000000"/>
          <w:sz w:val="32"/>
          <w:szCs w:val="32"/>
        </w:rPr>
        <w:t>1</w:t>
      </w:r>
      <w:r>
        <w:rPr>
          <w:rFonts w:hint="eastAsia" w:ascii="仿宋" w:eastAsia="仿宋"/>
          <w:color w:val="000000"/>
          <w:sz w:val="32"/>
          <w:szCs w:val="32"/>
        </w:rPr>
        <w:t>2</w:t>
      </w:r>
      <w:r>
        <w:rPr>
          <w:rFonts w:ascii="仿宋" w:eastAsia="仿宋"/>
          <w:color w:val="000000"/>
          <w:sz w:val="32"/>
          <w:szCs w:val="32"/>
        </w:rPr>
        <w:t>.</w:t>
      </w:r>
      <w:r>
        <w:rPr>
          <w:rStyle w:val="18"/>
          <w:rFonts w:hint="eastAsia" w:ascii="仿宋" w:eastAsia="仿宋"/>
          <w:b w:val="0"/>
          <w:color w:val="000000"/>
          <w:sz w:val="32"/>
          <w:szCs w:val="32"/>
        </w:rPr>
        <w:t>农林水支出（213）扶贫（05）其他扶贫支出（99）</w:t>
      </w:r>
      <w:r>
        <w:rPr>
          <w:rFonts w:hint="eastAsia" w:ascii="仿宋" w:eastAsia="仿宋"/>
          <w:color w:val="000000"/>
          <w:sz w:val="32"/>
          <w:szCs w:val="32"/>
        </w:rPr>
        <w:t>：指其他扶贫支出。</w:t>
      </w:r>
    </w:p>
    <w:p>
      <w:pPr>
        <w:ind w:firstLine="634" w:firstLineChars="200"/>
        <w:rPr>
          <w:rFonts w:ascii="仿宋" w:eastAsia="仿宋"/>
          <w:color w:val="000000"/>
          <w:sz w:val="32"/>
          <w:szCs w:val="32"/>
        </w:rPr>
      </w:pPr>
      <w:r>
        <w:rPr>
          <w:rFonts w:hint="eastAsia" w:ascii="仿宋" w:eastAsia="仿宋"/>
          <w:color w:val="000000"/>
          <w:sz w:val="32"/>
          <w:szCs w:val="32"/>
        </w:rPr>
        <w:t>13</w:t>
      </w:r>
      <w:r>
        <w:rPr>
          <w:rFonts w:ascii="仿宋" w:eastAsia="仿宋"/>
          <w:color w:val="000000"/>
          <w:sz w:val="32"/>
          <w:szCs w:val="32"/>
        </w:rPr>
        <w:t>.</w:t>
      </w:r>
      <w:r>
        <w:rPr>
          <w:rStyle w:val="18"/>
          <w:rFonts w:hint="eastAsia" w:ascii="仿宋" w:eastAsia="仿宋"/>
          <w:b w:val="0"/>
          <w:color w:val="000000"/>
          <w:sz w:val="32"/>
          <w:szCs w:val="32"/>
        </w:rPr>
        <w:t>商业服务业等支出（216）旅游业管理和服务支出（05）行政运行（01）</w:t>
      </w:r>
      <w:r>
        <w:rPr>
          <w:rFonts w:hint="eastAsia" w:ascii="仿宋" w:eastAsia="仿宋"/>
          <w:color w:val="000000"/>
          <w:sz w:val="32"/>
          <w:szCs w:val="32"/>
        </w:rPr>
        <w:t>：指行政运行；</w:t>
      </w:r>
      <w:r>
        <w:rPr>
          <w:rStyle w:val="18"/>
          <w:rFonts w:hint="eastAsia" w:ascii="仿宋" w:eastAsia="仿宋"/>
          <w:b w:val="0"/>
          <w:color w:val="000000"/>
          <w:sz w:val="32"/>
          <w:szCs w:val="32"/>
        </w:rPr>
        <w:t>商业服务业等支出（216）旅游业管理和服务支出（05）旅游宣传（04）：指旅游宣传费；商业服务业等支出（216）旅游业管理和服务支出（05）其他旅游业管理和服务支出（99）：指其他旅游业管理和服务支出</w:t>
      </w:r>
      <w:r>
        <w:rPr>
          <w:rFonts w:hint="eastAsia" w:ascii="仿宋" w:eastAsia="仿宋"/>
          <w:color w:val="000000"/>
          <w:sz w:val="32"/>
          <w:szCs w:val="32"/>
        </w:rPr>
        <w:t>。</w:t>
      </w:r>
    </w:p>
    <w:p>
      <w:pPr>
        <w:ind w:firstLine="634" w:firstLineChars="200"/>
        <w:rPr>
          <w:rFonts w:ascii="仿宋" w:eastAsia="仿宋"/>
          <w:color w:val="000000"/>
          <w:sz w:val="32"/>
          <w:szCs w:val="32"/>
        </w:rPr>
      </w:pPr>
      <w:r>
        <w:rPr>
          <w:rFonts w:hint="eastAsia" w:ascii="仿宋" w:eastAsia="仿宋"/>
          <w:color w:val="000000"/>
          <w:sz w:val="32"/>
          <w:szCs w:val="32"/>
        </w:rPr>
        <w:t>14</w:t>
      </w:r>
      <w:r>
        <w:rPr>
          <w:rFonts w:ascii="仿宋" w:eastAsia="仿宋"/>
          <w:color w:val="000000"/>
          <w:sz w:val="32"/>
          <w:szCs w:val="32"/>
        </w:rPr>
        <w:t>.</w:t>
      </w:r>
      <w:r>
        <w:rPr>
          <w:rStyle w:val="18"/>
          <w:rFonts w:hint="eastAsia" w:ascii="仿宋" w:eastAsia="仿宋"/>
          <w:b w:val="0"/>
          <w:sz w:val="32"/>
          <w:szCs w:val="32"/>
        </w:rPr>
        <w:t>住房保障支出（221）住房改革支出（02）住房公积金（01）</w:t>
      </w:r>
      <w:r>
        <w:rPr>
          <w:rFonts w:hint="eastAsia" w:ascii="仿宋" w:eastAsia="仿宋"/>
          <w:color w:val="000000"/>
          <w:sz w:val="32"/>
          <w:szCs w:val="32"/>
        </w:rPr>
        <w:t>：指职工住房公积金。</w:t>
      </w:r>
    </w:p>
    <w:p>
      <w:pPr>
        <w:ind w:firstLine="634" w:firstLineChars="200"/>
        <w:rPr>
          <w:rFonts w:ascii="仿宋" w:eastAsia="仿宋"/>
          <w:color w:val="000000"/>
          <w:sz w:val="32"/>
          <w:szCs w:val="32"/>
        </w:rPr>
      </w:pPr>
      <w:r>
        <w:rPr>
          <w:rFonts w:hint="eastAsia" w:ascii="仿宋" w:eastAsia="仿宋"/>
          <w:color w:val="000000"/>
          <w:sz w:val="32"/>
          <w:szCs w:val="32"/>
        </w:rPr>
        <w:t>15</w:t>
      </w:r>
      <w:r>
        <w:rPr>
          <w:rFonts w:ascii="仿宋" w:eastAsia="仿宋"/>
          <w:color w:val="000000"/>
          <w:sz w:val="32"/>
          <w:szCs w:val="32"/>
        </w:rPr>
        <w:t>.</w:t>
      </w:r>
      <w:r>
        <w:rPr>
          <w:rFonts w:hint="eastAsia" w:ascii="仿宋" w:eastAsia="仿宋"/>
          <w:color w:val="000000"/>
          <w:sz w:val="32"/>
          <w:szCs w:val="32"/>
        </w:rPr>
        <w:t>基本支出：指为保障机构正常运转、完成日常工作任务而发生的人员支出和公用支出。</w:t>
      </w:r>
    </w:p>
    <w:p>
      <w:pPr>
        <w:ind w:firstLine="634" w:firstLineChars="200"/>
        <w:rPr>
          <w:rFonts w:ascii="仿宋" w:eastAsia="仿宋"/>
          <w:color w:val="000000"/>
          <w:sz w:val="32"/>
          <w:szCs w:val="32"/>
        </w:rPr>
      </w:pPr>
      <w:r>
        <w:rPr>
          <w:rFonts w:hint="eastAsia" w:ascii="仿宋" w:eastAsia="仿宋"/>
          <w:color w:val="000000"/>
          <w:sz w:val="32"/>
          <w:szCs w:val="32"/>
        </w:rPr>
        <w:t>16</w:t>
      </w:r>
      <w:r>
        <w:rPr>
          <w:rFonts w:ascii="仿宋" w:eastAsia="仿宋"/>
          <w:color w:val="000000"/>
          <w:sz w:val="32"/>
          <w:szCs w:val="32"/>
        </w:rPr>
        <w:t>.</w:t>
      </w:r>
      <w:r>
        <w:rPr>
          <w:rFonts w:hint="eastAsia" w:ascii="仿宋" w:eastAsia="仿宋"/>
          <w:color w:val="000000"/>
          <w:sz w:val="32"/>
          <w:szCs w:val="32"/>
        </w:rPr>
        <w:t>项目支出：指在基本支出之外为完成特定行政任务和事业发展目标所发生的支出。</w:t>
      </w:r>
    </w:p>
    <w:p>
      <w:pPr>
        <w:ind w:firstLine="634" w:firstLineChars="200"/>
        <w:rPr>
          <w:rFonts w:ascii="仿宋" w:eastAsia="仿宋"/>
          <w:color w:val="000000"/>
          <w:sz w:val="32"/>
          <w:szCs w:val="32"/>
        </w:rPr>
      </w:pPr>
      <w:r>
        <w:rPr>
          <w:rFonts w:hint="eastAsia" w:ascii="仿宋" w:eastAsia="仿宋"/>
          <w:color w:val="000000"/>
          <w:sz w:val="32"/>
          <w:szCs w:val="32"/>
        </w:rPr>
        <w:t>17</w:t>
      </w:r>
      <w:r>
        <w:rPr>
          <w:rFonts w:ascii="仿宋" w:eastAsia="仿宋"/>
          <w:color w:val="000000"/>
          <w:sz w:val="32"/>
          <w:szCs w:val="32"/>
        </w:rPr>
        <w:t>.</w:t>
      </w:r>
      <w:r>
        <w:rPr>
          <w:rFonts w:hint="eastAsia" w:ascii="仿宋" w:eastAsia="仿宋"/>
          <w:color w:val="000000"/>
          <w:sz w:val="32"/>
          <w:szCs w:val="32"/>
        </w:rPr>
        <w:t>经营支出：指事业单位在专业业务活动及其辅助活动之外开展非独立核算经营活动发生的支出。</w:t>
      </w:r>
    </w:p>
    <w:p>
      <w:pPr>
        <w:pStyle w:val="26"/>
        <w:spacing w:line="560" w:lineRule="exact"/>
        <w:ind w:firstLine="634" w:firstLineChars="200"/>
        <w:rPr>
          <w:sz w:val="32"/>
          <w:szCs w:val="32"/>
        </w:rPr>
      </w:pPr>
      <w:r>
        <w:rPr>
          <w:rFonts w:hint="eastAsia"/>
          <w:sz w:val="32"/>
          <w:szCs w:val="32"/>
        </w:rPr>
        <w:t>18</w:t>
      </w:r>
      <w:r>
        <w:rPr>
          <w:sz w:val="32"/>
          <w:szCs w:val="32"/>
        </w:rPr>
        <w:t>.</w:t>
      </w:r>
      <w:r>
        <w:rPr>
          <w:rFonts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34" w:firstLineChars="200"/>
        <w:rPr>
          <w:sz w:val="32"/>
          <w:szCs w:val="32"/>
        </w:rPr>
      </w:pPr>
      <w:r>
        <w:rPr>
          <w:rFonts w:hint="eastAsia"/>
          <w:sz w:val="32"/>
          <w:szCs w:val="32"/>
        </w:rPr>
        <w:t>19</w:t>
      </w:r>
      <w:r>
        <w:rPr>
          <w:sz w:val="32"/>
          <w:szCs w:val="32"/>
        </w:rPr>
        <w:t>.</w:t>
      </w:r>
      <w:r>
        <w:rPr>
          <w:rFonts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96614"/>
      <w:bookmarkStart w:id="58"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rPr>
          <w:rFonts w:ascii="黑体" w:eastAsia="黑体"/>
          <w:color w:val="000000"/>
          <w:sz w:val="44"/>
          <w:szCs w:val="44"/>
        </w:rPr>
      </w:pPr>
    </w:p>
    <w:p>
      <w:pPr>
        <w:spacing w:line="600" w:lineRule="exact"/>
        <w:jc w:val="center"/>
        <w:outlineLvl w:val="0"/>
        <w:rPr>
          <w:rFonts w:ascii="黑体" w:eastAsia="黑体"/>
          <w:sz w:val="44"/>
          <w:szCs w:val="44"/>
        </w:rPr>
      </w:pPr>
    </w:p>
    <w:p>
      <w:pPr>
        <w:spacing w:line="600" w:lineRule="exact"/>
        <w:jc w:val="center"/>
        <w:outlineLvl w:val="0"/>
        <w:rPr>
          <w:rFonts w:ascii="黑体" w:eastAsia="黑体"/>
          <w:sz w:val="44"/>
          <w:szCs w:val="44"/>
        </w:rPr>
      </w:pPr>
    </w:p>
    <w:p>
      <w:pPr>
        <w:spacing w:line="600" w:lineRule="exact"/>
        <w:jc w:val="center"/>
        <w:outlineLvl w:val="0"/>
        <w:rPr>
          <w:rFonts w:ascii="黑体" w:eastAsia="黑体"/>
          <w:sz w:val="44"/>
          <w:szCs w:val="44"/>
        </w:rPr>
      </w:pPr>
    </w:p>
    <w:p>
      <w:pPr>
        <w:spacing w:line="600" w:lineRule="exact"/>
        <w:jc w:val="center"/>
        <w:outlineLvl w:val="0"/>
        <w:rPr>
          <w:rFonts w:ascii="黑体" w:eastAsia="黑体"/>
          <w:sz w:val="44"/>
          <w:szCs w:val="44"/>
        </w:rPr>
      </w:pPr>
    </w:p>
    <w:p>
      <w:pPr>
        <w:spacing w:line="600" w:lineRule="exact"/>
        <w:jc w:val="center"/>
        <w:outlineLvl w:val="0"/>
        <w:rPr>
          <w:rFonts w:ascii="黑体" w:eastAsia="黑体"/>
          <w:sz w:val="44"/>
          <w:szCs w:val="44"/>
        </w:rPr>
      </w:pPr>
    </w:p>
    <w:p>
      <w:pPr>
        <w:spacing w:line="600" w:lineRule="exact"/>
        <w:jc w:val="center"/>
        <w:outlineLvl w:val="0"/>
        <w:rPr>
          <w:rStyle w:val="20"/>
          <w:rFonts w:ascii="黑体" w:eastAsia="黑体"/>
          <w:b w:val="0"/>
        </w:rPr>
      </w:pPr>
      <w:r>
        <w:rPr>
          <w:rFonts w:hint="eastAsia" w:ascii="黑体" w:eastAsia="黑体"/>
          <w:sz w:val="44"/>
          <w:szCs w:val="44"/>
        </w:rPr>
        <w:t>第</w:t>
      </w:r>
      <w:r>
        <w:rPr>
          <w:rStyle w:val="20"/>
          <w:rFonts w:hint="eastAsia" w:ascii="黑体" w:eastAsia="黑体"/>
          <w:b w:val="0"/>
        </w:rPr>
        <w:t>四部分 附件</w:t>
      </w:r>
      <w:bookmarkEnd w:id="57"/>
    </w:p>
    <w:p>
      <w:pPr>
        <w:pStyle w:val="3"/>
        <w:rPr>
          <w:rFonts w:ascii="宋体" w:eastAsia="宋体" w:cs="黑体"/>
        </w:rPr>
      </w:pPr>
      <w:bookmarkStart w:id="59" w:name="_Toc15396615"/>
      <w:r>
        <w:rPr>
          <w:rStyle w:val="20"/>
          <w:rFonts w:hint="eastAsia" w:ascii="仿宋" w:eastAsia="仿宋"/>
          <w:b w:val="0"/>
          <w:bCs w:val="0"/>
          <w:sz w:val="32"/>
          <w:szCs w:val="32"/>
        </w:rPr>
        <w:t>附件1</w:t>
      </w:r>
      <w:bookmarkEnd w:id="59"/>
    </w:p>
    <w:p>
      <w:pPr>
        <w:spacing w:line="800" w:lineRule="exact"/>
        <w:jc w:val="center"/>
        <w:rPr>
          <w:rFonts w:ascii="仿宋_GB2312" w:eastAsia="仿宋_GB2312" w:cs="仿宋_GB2312"/>
          <w:bCs/>
          <w:sz w:val="46"/>
          <w:szCs w:val="46"/>
        </w:rPr>
      </w:pPr>
      <w:r>
        <w:rPr>
          <w:rFonts w:hint="eastAsia" w:ascii="仿宋_GB2312" w:eastAsia="仿宋_GB2312" w:cs="仿宋_GB2312"/>
          <w:bCs/>
          <w:sz w:val="46"/>
          <w:szCs w:val="46"/>
        </w:rPr>
        <w:t>九寨沟县</w:t>
      </w:r>
      <w:r>
        <w:rPr>
          <w:rFonts w:hint="eastAsia" w:ascii="仿宋_GB2312" w:eastAsia="仿宋_GB2312" w:cs="仿宋_GB2312"/>
          <w:bCs/>
          <w:sz w:val="46"/>
          <w:szCs w:val="46"/>
          <w:u w:val="single"/>
        </w:rPr>
        <w:t>2018</w:t>
      </w:r>
      <w:r>
        <w:rPr>
          <w:rFonts w:hint="eastAsia" w:ascii="仿宋_GB2312" w:eastAsia="仿宋_GB2312" w:cs="仿宋_GB2312"/>
          <w:bCs/>
          <w:sz w:val="46"/>
          <w:szCs w:val="46"/>
        </w:rPr>
        <w:t>年度部门整体支出</w:t>
      </w:r>
    </w:p>
    <w:p>
      <w:pPr>
        <w:spacing w:line="800" w:lineRule="exact"/>
        <w:jc w:val="center"/>
        <w:rPr>
          <w:rFonts w:ascii="仿宋_GB2312" w:eastAsia="仿宋_GB2312" w:cs="仿宋_GB2312"/>
          <w:bCs/>
          <w:sz w:val="46"/>
          <w:szCs w:val="46"/>
        </w:rPr>
      </w:pPr>
      <w:r>
        <w:rPr>
          <w:rFonts w:hint="eastAsia" w:ascii="仿宋_GB2312" w:eastAsia="仿宋_GB2312" w:cs="仿宋_GB2312"/>
          <w:bCs/>
          <w:sz w:val="46"/>
          <w:szCs w:val="46"/>
        </w:rPr>
        <w:t>绩效评价自评报告</w:t>
      </w:r>
    </w:p>
    <w:p>
      <w:pPr>
        <w:rPr>
          <w:rFonts w:ascii="仿宋_GB2312" w:eastAsia="仿宋_GB2312" w:cs="仿宋_GB2312"/>
          <w:b/>
          <w:sz w:val="32"/>
        </w:rPr>
      </w:pPr>
    </w:p>
    <w:p>
      <w:pPr>
        <w:rPr>
          <w:rFonts w:ascii="仿宋_GB2312" w:eastAsia="仿宋_GB2312" w:cs="仿宋_GB2312"/>
          <w:b/>
          <w:sz w:val="32"/>
        </w:rPr>
      </w:pPr>
    </w:p>
    <w:p>
      <w:pPr>
        <w:rPr>
          <w:rFonts w:ascii="仿宋_GB2312" w:eastAsia="仿宋_GB2312" w:cs="仿宋_GB2312"/>
          <w:b/>
          <w:sz w:val="32"/>
        </w:rPr>
      </w:pPr>
    </w:p>
    <w:p>
      <w:pPr>
        <w:spacing w:before="301" w:beforeLines="50" w:line="348" w:lineRule="auto"/>
        <w:ind w:firstLine="476" w:firstLineChars="150"/>
        <w:rPr>
          <w:rFonts w:ascii="仿宋_GB2312" w:eastAsia="仿宋_GB2312" w:cs="仿宋_GB2312"/>
          <w:sz w:val="32"/>
          <w:szCs w:val="32"/>
          <w:u w:val="single"/>
        </w:rPr>
      </w:pPr>
      <w:r>
        <w:rPr>
          <w:rFonts w:hint="eastAsia" w:ascii="仿宋_GB2312" w:eastAsia="仿宋_GB2312" w:cs="仿宋_GB2312"/>
          <w:sz w:val="32"/>
          <w:szCs w:val="32"/>
        </w:rPr>
        <w:t>部门(单位)名称：</w:t>
      </w:r>
      <w:r>
        <w:rPr>
          <w:rFonts w:hint="eastAsia" w:ascii="仿宋_GB2312" w:eastAsia="仿宋_GB2312" w:cs="仿宋_GB2312"/>
          <w:sz w:val="32"/>
          <w:szCs w:val="32"/>
          <w:u w:val="single"/>
        </w:rPr>
        <w:t xml:space="preserve"> 九寨沟县旅游发展局                </w:t>
      </w:r>
    </w:p>
    <w:p>
      <w:pPr>
        <w:spacing w:before="301" w:beforeLines="50" w:line="348" w:lineRule="auto"/>
        <w:ind w:firstLine="476" w:firstLineChars="150"/>
        <w:rPr>
          <w:rFonts w:ascii="仿宋_GB2312" w:eastAsia="仿宋_GB2312" w:cs="仿宋_GB2312"/>
          <w:spacing w:val="20"/>
          <w:sz w:val="32"/>
          <w:szCs w:val="32"/>
        </w:rPr>
      </w:pPr>
      <w:r>
        <w:rPr>
          <w:rFonts w:hint="eastAsia" w:ascii="仿宋_GB2312" w:eastAsia="仿宋_GB2312" w:cs="仿宋_GB2312"/>
          <w:sz w:val="32"/>
          <w:szCs w:val="32"/>
        </w:rPr>
        <w:t>预</w:t>
      </w:r>
      <w:r>
        <w:rPr>
          <w:rFonts w:hint="eastAsia" w:ascii="仿宋_GB2312" w:eastAsia="仿宋_GB2312" w:cs="仿宋_GB2312"/>
          <w:spacing w:val="30"/>
          <w:sz w:val="32"/>
          <w:szCs w:val="32"/>
        </w:rPr>
        <w:t xml:space="preserve"> 算 编 码：</w:t>
      </w:r>
      <w:r>
        <w:rPr>
          <w:rFonts w:hint="eastAsia" w:ascii="仿宋_GB2312" w:eastAsia="仿宋_GB2312" w:cs="仿宋_GB2312"/>
          <w:spacing w:val="20"/>
          <w:sz w:val="32"/>
          <w:szCs w:val="32"/>
          <w:u w:val="single"/>
        </w:rPr>
        <w:t xml:space="preserve">   150101                         </w:t>
      </w:r>
    </w:p>
    <w:p>
      <w:pPr>
        <w:spacing w:before="301" w:beforeLines="50" w:line="348" w:lineRule="auto"/>
        <w:ind w:firstLine="476" w:firstLineChars="150"/>
        <w:rPr>
          <w:rFonts w:ascii="仿宋_GB2312" w:eastAsia="仿宋_GB2312" w:cs="仿宋_GB2312"/>
          <w:sz w:val="32"/>
          <w:szCs w:val="32"/>
        </w:rPr>
      </w:pPr>
      <w:r>
        <w:rPr>
          <w:rFonts w:hint="eastAsia" w:ascii="仿宋_GB2312" w:eastAsia="仿宋_GB2312" w:cs="仿宋_GB2312"/>
          <w:sz w:val="32"/>
          <w:szCs w:val="32"/>
        </w:rPr>
        <w:t>评价方式：部门（单位）绩效自评</w:t>
      </w:r>
    </w:p>
    <w:p>
      <w:pPr>
        <w:spacing w:before="301" w:beforeLines="50" w:line="348" w:lineRule="auto"/>
        <w:ind w:firstLine="476" w:firstLineChars="150"/>
        <w:rPr>
          <w:rFonts w:ascii="仿宋_GB2312" w:eastAsia="仿宋_GB2312" w:cs="仿宋_GB2312"/>
          <w:sz w:val="32"/>
          <w:szCs w:val="32"/>
        </w:rPr>
      </w:pPr>
      <w:r>
        <w:rPr>
          <w:rFonts w:hint="eastAsia" w:ascii="仿宋_GB2312" w:eastAsia="仿宋_GB2312" w:cs="仿宋_GB2312"/>
          <w:sz w:val="32"/>
          <w:szCs w:val="32"/>
        </w:rPr>
        <w:t xml:space="preserve">评价机构：部门（单位）评价组   </w:t>
      </w:r>
    </w:p>
    <w:p>
      <w:pPr>
        <w:spacing w:line="720" w:lineRule="exact"/>
        <w:ind w:firstLine="2188" w:firstLineChars="690"/>
        <w:rPr>
          <w:rFonts w:ascii="仿宋_GB2312" w:eastAsia="仿宋_GB2312" w:cs="仿宋_GB2312"/>
          <w:sz w:val="32"/>
        </w:rPr>
      </w:pPr>
    </w:p>
    <w:p>
      <w:pPr>
        <w:spacing w:line="720" w:lineRule="exact"/>
        <w:rPr>
          <w:rFonts w:ascii="宋体" w:cs="宋体"/>
          <w:sz w:val="32"/>
        </w:rPr>
      </w:pPr>
    </w:p>
    <w:p>
      <w:pPr>
        <w:spacing w:line="348" w:lineRule="auto"/>
        <w:jc w:val="center"/>
        <w:rPr>
          <w:rFonts w:ascii="宋体" w:cs="宋体"/>
          <w:sz w:val="32"/>
        </w:rPr>
      </w:pPr>
      <w:r>
        <w:rPr>
          <w:rFonts w:hint="eastAsia" w:ascii="宋体" w:cs="宋体"/>
          <w:sz w:val="32"/>
        </w:rPr>
        <w:t>报告日期：2019年6月27日</w:t>
      </w:r>
    </w:p>
    <w:p>
      <w:pPr>
        <w:autoSpaceDN w:val="0"/>
        <w:jc w:val="center"/>
        <w:textAlignment w:val="center"/>
        <w:rPr>
          <w:rFonts w:ascii="宋体" w:cs="宋体"/>
          <w:sz w:val="32"/>
          <w:szCs w:val="32"/>
        </w:rPr>
      </w:pPr>
      <w:r>
        <w:rPr>
          <w:rFonts w:hint="eastAsia" w:ascii="宋体" w:cs="宋体"/>
          <w:sz w:val="32"/>
        </w:rPr>
        <w:t>九寨沟县财政</w:t>
      </w:r>
      <w:r>
        <w:rPr>
          <w:rFonts w:hint="eastAsia" w:ascii="宋体" w:cs="宋体"/>
          <w:sz w:val="32"/>
          <w:szCs w:val="32"/>
        </w:rPr>
        <w:t>局（制）</w:t>
      </w:r>
    </w:p>
    <w:p>
      <w:pPr>
        <w:rPr>
          <w:rFonts w:ascii="宋体"/>
          <w:sz w:val="32"/>
          <w:szCs w:val="32"/>
        </w:rPr>
        <w:sectPr>
          <w:headerReference r:id="rId3" w:type="default"/>
          <w:footerReference r:id="rId4" w:type="default"/>
          <w:pgSz w:w="11906" w:h="16838"/>
          <w:pgMar w:top="1588" w:right="1588" w:bottom="1588" w:left="1588" w:header="851" w:footer="992" w:gutter="0"/>
          <w:pgNumType w:start="1"/>
          <w:cols w:space="720" w:num="1"/>
          <w:titlePg/>
          <w:docGrid w:type="linesAndChars" w:linePitch="602" w:charSpace="-782"/>
        </w:sectPr>
      </w:pPr>
    </w:p>
    <w:tbl>
      <w:tblPr>
        <w:tblStyle w:val="16"/>
        <w:tblW w:w="85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
        <w:gridCol w:w="1082"/>
        <w:gridCol w:w="1230"/>
        <w:gridCol w:w="726"/>
        <w:gridCol w:w="617"/>
        <w:gridCol w:w="597"/>
        <w:gridCol w:w="843"/>
        <w:gridCol w:w="955"/>
        <w:gridCol w:w="778"/>
        <w:gridCol w:w="10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16" w:type="dxa"/>
            <w:gridSpan w:val="10"/>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联系人</w:t>
            </w:r>
          </w:p>
        </w:tc>
        <w:tc>
          <w:tcPr>
            <w:tcW w:w="3655" w:type="dxa"/>
            <w:gridSpan w:val="4"/>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 xml:space="preserve">财务室 </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联络电话</w:t>
            </w:r>
          </w:p>
        </w:tc>
        <w:tc>
          <w:tcPr>
            <w:tcW w:w="2749"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0837-7775595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人员编制</w:t>
            </w:r>
          </w:p>
        </w:tc>
        <w:tc>
          <w:tcPr>
            <w:tcW w:w="3655" w:type="dxa"/>
            <w:gridSpan w:val="4"/>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45</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实有人数</w:t>
            </w:r>
          </w:p>
        </w:tc>
        <w:tc>
          <w:tcPr>
            <w:tcW w:w="2749"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职能职责概述</w:t>
            </w:r>
          </w:p>
        </w:tc>
        <w:tc>
          <w:tcPr>
            <w:tcW w:w="7844" w:type="dxa"/>
            <w:gridSpan w:val="9"/>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ind w:firstLine="636"/>
              <w:rPr>
                <w:rFonts w:ascii="仿宋_GB2312" w:eastAsia="仿宋_GB2312" w:cs="仿宋_GB2312"/>
                <w:color w:val="000000"/>
                <w:kern w:val="0"/>
                <w:sz w:val="24"/>
              </w:rPr>
            </w:pPr>
            <w:r>
              <w:rPr>
                <w:rFonts w:hint="eastAsia" w:ascii="仿宋_GB2312" w:eastAsia="仿宋_GB2312" w:cs="仿宋_GB2312"/>
                <w:color w:val="000000"/>
                <w:kern w:val="0"/>
                <w:sz w:val="24"/>
              </w:rPr>
              <w:t>（一）、贯彻执行国家有关旅游工作的方针、政策和法律、法规，参与制定地方旅游行业有关政策和规章制度。负责本系统、本部门依法行政工作，落实行政执法责任制，制度旅游发展的地方标准和行业规范并组织实施。</w:t>
            </w:r>
          </w:p>
          <w:p>
            <w:pPr>
              <w:ind w:firstLine="636"/>
              <w:rPr>
                <w:rFonts w:ascii="仿宋_GB2312" w:eastAsia="仿宋_GB2312" w:cs="仿宋_GB2312"/>
                <w:color w:val="000000"/>
                <w:kern w:val="0"/>
                <w:sz w:val="24"/>
              </w:rPr>
            </w:pPr>
            <w:r>
              <w:rPr>
                <w:rFonts w:hint="eastAsia" w:ascii="仿宋_GB2312" w:eastAsia="仿宋_GB2312" w:cs="仿宋_GB2312"/>
                <w:color w:val="000000"/>
                <w:kern w:val="0"/>
                <w:sz w:val="24"/>
              </w:rPr>
              <w:t>（二）、制度并组织实施全县旅游产业发展总体规划、旅游专项规划和年度计划，对全县旅游规划进行监督管理。</w:t>
            </w:r>
          </w:p>
          <w:p>
            <w:pPr>
              <w:ind w:firstLine="636"/>
              <w:rPr>
                <w:rFonts w:ascii="仿宋_GB2312" w:eastAsia="仿宋_GB2312" w:cs="仿宋_GB2312"/>
                <w:color w:val="000000"/>
                <w:kern w:val="0"/>
                <w:sz w:val="24"/>
              </w:rPr>
            </w:pPr>
            <w:r>
              <w:rPr>
                <w:rFonts w:hint="eastAsia" w:ascii="仿宋_GB2312" w:eastAsia="仿宋_GB2312" w:cs="仿宋_GB2312"/>
                <w:color w:val="000000"/>
                <w:kern w:val="0"/>
                <w:sz w:val="24"/>
              </w:rPr>
              <w:t>（三）、研究拟定培育旅游支柱产业的战略措施，并指导实施；协调有关部门培育和完善全县旅游市场，组织旅游资源的普查，组织、指导重要旅游产品的开发。</w:t>
            </w:r>
          </w:p>
          <w:p>
            <w:pPr>
              <w:ind w:firstLine="636"/>
              <w:rPr>
                <w:rFonts w:ascii="仿宋_GB2312" w:eastAsia="仿宋_GB2312" w:cs="仿宋_GB2312"/>
                <w:color w:val="000000"/>
                <w:kern w:val="0"/>
                <w:sz w:val="24"/>
              </w:rPr>
            </w:pPr>
            <w:r>
              <w:rPr>
                <w:rFonts w:hint="eastAsia" w:ascii="仿宋_GB2312" w:eastAsia="仿宋_GB2312" w:cs="仿宋_GB2312"/>
                <w:color w:val="000000"/>
                <w:kern w:val="0"/>
                <w:sz w:val="24"/>
              </w:rPr>
              <w:t>（四）、会同有关部门指导旅游资源开发、重大旅游项目规划建设、旅游安全、旅游应急救援、假日旅游等工作。</w:t>
            </w:r>
          </w:p>
          <w:p>
            <w:pPr>
              <w:ind w:firstLine="636"/>
              <w:rPr>
                <w:rFonts w:ascii="仿宋_GB2312" w:eastAsia="仿宋_GB2312" w:cs="仿宋_GB2312"/>
                <w:color w:val="000000"/>
                <w:kern w:val="0"/>
                <w:sz w:val="24"/>
              </w:rPr>
            </w:pPr>
            <w:r>
              <w:rPr>
                <w:rFonts w:hint="eastAsia" w:ascii="仿宋_GB2312" w:eastAsia="仿宋_GB2312" w:cs="仿宋_GB2312"/>
                <w:color w:val="000000"/>
                <w:kern w:val="0"/>
                <w:sz w:val="24"/>
              </w:rPr>
              <w:t>（五）、制定全县国内旅游、入境旅游和处境旅游市场的开发战略并组织实施，组织九寨沟县旅游整体形象的对外宣传和重大推广活动。</w:t>
            </w:r>
          </w:p>
          <w:p>
            <w:pPr>
              <w:ind w:firstLine="636"/>
              <w:rPr>
                <w:rFonts w:ascii="仿宋_GB2312" w:eastAsia="仿宋_GB2312" w:cs="仿宋_GB2312"/>
                <w:color w:val="000000"/>
                <w:kern w:val="0"/>
                <w:sz w:val="24"/>
              </w:rPr>
            </w:pPr>
            <w:r>
              <w:rPr>
                <w:rFonts w:hint="eastAsia" w:ascii="仿宋_GB2312" w:eastAsia="仿宋_GB2312" w:cs="仿宋_GB2312"/>
                <w:color w:val="000000"/>
                <w:kern w:val="0"/>
                <w:sz w:val="24"/>
              </w:rPr>
              <w:t>（六）、负责全县旅行社的监督管理，监督旅游市场秩</w:t>
            </w:r>
          </w:p>
          <w:p>
            <w:pPr>
              <w:ind w:firstLine="636"/>
              <w:rPr>
                <w:rFonts w:ascii="仿宋_GB2312" w:eastAsia="仿宋_GB2312" w:cs="仿宋_GB2312"/>
                <w:color w:val="000000"/>
                <w:kern w:val="0"/>
                <w:sz w:val="24"/>
              </w:rPr>
            </w:pPr>
            <w:r>
              <w:rPr>
                <w:rFonts w:hint="eastAsia" w:ascii="仿宋_GB2312" w:eastAsia="仿宋_GB2312" w:cs="仿宋_GB2312"/>
                <w:color w:val="000000"/>
                <w:kern w:val="0"/>
                <w:sz w:val="24"/>
              </w:rPr>
              <w:t>序、旅游服务质量，监督旅游投诉处理、维护旅游者和旅游经营者合法权益，指导旅游行业精神文明建设、诚信体系建设和廉政建设。</w:t>
            </w:r>
          </w:p>
          <w:p>
            <w:pPr>
              <w:ind w:firstLine="636"/>
              <w:rPr>
                <w:rFonts w:ascii="仿宋_GB2312" w:eastAsia="仿宋_GB2312" w:cs="仿宋_GB2312"/>
                <w:color w:val="000000"/>
                <w:kern w:val="0"/>
                <w:sz w:val="24"/>
              </w:rPr>
            </w:pPr>
            <w:r>
              <w:rPr>
                <w:rFonts w:hint="eastAsia" w:ascii="仿宋_GB2312" w:eastAsia="仿宋_GB2312" w:cs="仿宋_GB2312"/>
                <w:color w:val="000000"/>
                <w:kern w:val="0"/>
                <w:sz w:val="24"/>
              </w:rPr>
              <w:t>（七）、负责审核、申报经营国内旅游业务的旅行社（公司）；负责向上级行政主管部门推荐星级饭店的评审工作；参与我县星级饭店的评定和复核工作。</w:t>
            </w:r>
          </w:p>
          <w:p>
            <w:pPr>
              <w:ind w:firstLine="636"/>
              <w:rPr>
                <w:rFonts w:ascii="仿宋_GB2312" w:eastAsia="仿宋_GB2312" w:cs="仿宋_GB2312"/>
                <w:color w:val="000000"/>
                <w:kern w:val="0"/>
                <w:sz w:val="24"/>
              </w:rPr>
            </w:pPr>
            <w:r>
              <w:rPr>
                <w:rFonts w:hint="eastAsia" w:ascii="仿宋_GB2312" w:eastAsia="仿宋_GB2312" w:cs="仿宋_GB2312"/>
                <w:color w:val="000000"/>
                <w:kern w:val="0"/>
                <w:sz w:val="24"/>
              </w:rPr>
              <w:t>（八）、参与旅游市场价格检查工作；参加重大旅游交通安全事故的救援处理；指导旅游娱乐工作和旅游行业精神文明建设和廉政建设。</w:t>
            </w:r>
          </w:p>
          <w:p>
            <w:pPr>
              <w:ind w:firstLine="636"/>
              <w:rPr>
                <w:rFonts w:ascii="仿宋_GB2312" w:eastAsia="仿宋_GB2312" w:cs="仿宋_GB2312"/>
                <w:color w:val="000000"/>
                <w:kern w:val="0"/>
                <w:sz w:val="24"/>
              </w:rPr>
            </w:pPr>
            <w:r>
              <w:rPr>
                <w:rFonts w:hint="eastAsia" w:ascii="仿宋_GB2312" w:eastAsia="仿宋_GB2312" w:cs="仿宋_GB2312"/>
                <w:color w:val="000000"/>
                <w:kern w:val="0"/>
                <w:sz w:val="24"/>
              </w:rPr>
              <w:t>（九）、会同有关部门推进旅游体制和机制改革工作，指导重点旅游企业发展、旅游新业态的规划和开发以及招商引资工作。</w:t>
            </w:r>
          </w:p>
          <w:p>
            <w:pPr>
              <w:ind w:firstLine="636"/>
              <w:rPr>
                <w:rFonts w:ascii="仿宋_GB2312" w:eastAsia="仿宋_GB2312" w:cs="仿宋_GB2312"/>
                <w:color w:val="000000"/>
                <w:kern w:val="0"/>
                <w:sz w:val="24"/>
              </w:rPr>
            </w:pPr>
            <w:r>
              <w:rPr>
                <w:rFonts w:hint="eastAsia" w:ascii="仿宋_GB2312" w:eastAsia="仿宋_GB2312" w:cs="仿宋_GB2312"/>
                <w:color w:val="000000"/>
                <w:kern w:val="0"/>
                <w:sz w:val="24"/>
              </w:rPr>
              <w:t>（十）监测旅游经济运行，负责旅游信息化建设、旅游统计和行业信息发布。</w:t>
            </w:r>
          </w:p>
          <w:p>
            <w:pPr>
              <w:ind w:firstLine="636"/>
              <w:rPr>
                <w:rFonts w:ascii="仿宋_GB2312" w:eastAsia="仿宋_GB2312" w:cs="仿宋_GB2312"/>
                <w:color w:val="000000"/>
                <w:kern w:val="0"/>
                <w:sz w:val="24"/>
              </w:rPr>
            </w:pPr>
            <w:r>
              <w:rPr>
                <w:rFonts w:hint="eastAsia" w:ascii="仿宋_GB2312" w:eastAsia="仿宋_GB2312" w:cs="仿宋_GB2312"/>
                <w:color w:val="000000"/>
                <w:kern w:val="0"/>
                <w:sz w:val="24"/>
              </w:rPr>
              <w:t>（十一）、制定并组织实施旅游人才规划，指导旅游教育工作，会同有关部门拟定旅游从业人员职业资格标准和登记标准并组织实施。管理机关编制和干部人事。</w:t>
            </w:r>
          </w:p>
          <w:p>
            <w:pPr>
              <w:autoSpaceDN w:val="0"/>
              <w:spacing w:line="320" w:lineRule="exact"/>
              <w:ind w:firstLine="480" w:firstLineChars="200"/>
              <w:textAlignment w:val="center"/>
              <w:rPr>
                <w:rFonts w:asci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4"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年度主要</w:t>
            </w:r>
          </w:p>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工作内容</w:t>
            </w:r>
          </w:p>
        </w:tc>
        <w:tc>
          <w:tcPr>
            <w:tcW w:w="7844" w:type="dxa"/>
            <w:gridSpan w:val="9"/>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color w:val="000000"/>
                <w:kern w:val="0"/>
                <w:sz w:val="24"/>
              </w:rPr>
              <w:t>2018年扎实推进灾后重建项目，强化招商，吸引投资，扎实推进旅游扶贫工作，创新乡村发展模式，助推旅游产业扶贫，规范旅游市场等。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pacing w:val="-6"/>
                <w:sz w:val="24"/>
              </w:rPr>
            </w:pPr>
            <w:r>
              <w:rPr>
                <w:rFonts w:hint="eastAsia" w:ascii="仿宋_GB2312" w:eastAsia="仿宋_GB2312" w:cs="仿宋_GB2312"/>
                <w:spacing w:val="-6"/>
                <w:sz w:val="24"/>
              </w:rPr>
              <w:t>年度部门（单位）总体运行情况及取得的成绩</w:t>
            </w:r>
          </w:p>
        </w:tc>
        <w:tc>
          <w:tcPr>
            <w:tcW w:w="7844" w:type="dxa"/>
            <w:gridSpan w:val="9"/>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widowControl/>
              <w:spacing w:line="220" w:lineRule="atLeast"/>
              <w:ind w:right="-197" w:rightChars="-94" w:firstLine="600" w:firstLineChars="250"/>
              <w:rPr>
                <w:rFonts w:ascii="仿宋_GB2312" w:eastAsia="仿宋_GB2312" w:cs="仿宋_GB2312"/>
                <w:kern w:val="0"/>
                <w:sz w:val="24"/>
              </w:rPr>
            </w:pPr>
            <w:r>
              <w:rPr>
                <w:rFonts w:hint="eastAsia" w:ascii="仿宋_GB2312" w:eastAsia="仿宋_GB2312" w:cs="仿宋_GB2312"/>
                <w:kern w:val="0"/>
                <w:sz w:val="24"/>
              </w:rPr>
              <w:t>预算管理方面较好，本着厉行节俭、只减不增的原则，严格执行“三公”经费标准和审批制度与程序，公用经费、三公经费都得到了有效控制。</w:t>
            </w:r>
          </w:p>
          <w:p>
            <w:pPr>
              <w:widowControl/>
              <w:rPr>
                <w:rFonts w:ascii="仿宋_GB2312" w:eastAsia="仿宋_GB2312" w:cs="仿宋_GB2312"/>
                <w:kern w:val="0"/>
                <w:sz w:val="24"/>
              </w:rPr>
            </w:pPr>
            <w:r>
              <w:rPr>
                <w:rFonts w:hint="eastAsia" w:ascii="仿宋_GB2312" w:eastAsia="仿宋_GB2312" w:cs="仿宋_GB2312"/>
                <w:kern w:val="0"/>
                <w:sz w:val="24"/>
              </w:rPr>
              <w:t>我单位建立健全了财政收支管理、预算管理、资产管理制度等一系列内部控制制度，制度执行总体有效。</w:t>
            </w:r>
          </w:p>
          <w:p>
            <w:pPr>
              <w:spacing w:line="576" w:lineRule="exact"/>
              <w:ind w:firstLine="480" w:firstLineChars="200"/>
              <w:rPr>
                <w:rFonts w:ascii="仿宋_GB2312" w:eastAsia="仿宋_GB2312" w:cs="仿宋_GB2312"/>
                <w:kern w:val="0"/>
                <w:sz w:val="24"/>
              </w:rPr>
            </w:pPr>
            <w:r>
              <w:rPr>
                <w:rFonts w:hint="eastAsia" w:ascii="仿宋_GB2312" w:eastAsia="仿宋_GB2312" w:cs="仿宋_GB2312"/>
                <w:kern w:val="0"/>
                <w:sz w:val="24"/>
              </w:rPr>
              <w:t>2018年在县委、县政府的坚强领导下，紧紧围绕“四个年建设”总体任务，发扬九寨精神，全力抓好灾后重建，以改革创新为动力，以全域旅游战略为路径，以品质化发展为保证，以智慧化服务为抓手，以惠民强县为根本，现将2018年工作总结如下：</w:t>
            </w:r>
          </w:p>
          <w:p>
            <w:pPr>
              <w:spacing w:line="576" w:lineRule="exact"/>
              <w:ind w:firstLine="480" w:firstLineChars="200"/>
              <w:rPr>
                <w:rFonts w:ascii="仿宋_GB2312" w:eastAsia="仿宋_GB2312" w:cs="仿宋_GB2312"/>
                <w:kern w:val="0"/>
                <w:sz w:val="24"/>
              </w:rPr>
            </w:pPr>
            <w:r>
              <w:rPr>
                <w:rFonts w:hint="eastAsia" w:ascii="仿宋_GB2312" w:eastAsia="仿宋_GB2312" w:cs="仿宋_GB2312"/>
                <w:kern w:val="0"/>
                <w:sz w:val="24"/>
              </w:rPr>
              <w:t>一、聚焦“重建攻坚年”，扎实推进项目建设工作</w:t>
            </w:r>
          </w:p>
          <w:p>
            <w:pPr>
              <w:spacing w:line="576" w:lineRule="exact"/>
              <w:ind w:firstLine="480" w:firstLineChars="200"/>
              <w:rPr>
                <w:rFonts w:ascii="仿宋_GB2312" w:eastAsia="仿宋_GB2312" w:cs="仿宋_GB2312"/>
                <w:kern w:val="0"/>
                <w:sz w:val="24"/>
              </w:rPr>
            </w:pPr>
            <w:r>
              <w:rPr>
                <w:rFonts w:hint="eastAsia" w:ascii="仿宋_GB2312" w:eastAsia="仿宋_GB2312" w:cs="仿宋_GB2312"/>
                <w:kern w:val="0"/>
                <w:sz w:val="24"/>
              </w:rPr>
              <w:t>（一）扎实推进灾后重建项目。2018年，聚焦重建攻坚年，紧紧围绕“全域发展·绿色崛起”总体思路，充分利用九寨丰富的生态资源，积极串联沟内沟外，深度开发中查沟、神仙池、甘海子、九寨云顶4大生态旅游度假区，有效辐射勿角、白河、罗依、上四寨等区域生态文化景点，紧盯省、州、县灾后重建任务，编制专项方案、完善工作机制、实行项目专班、建立沟通联系机制，加强招商引资力度，更加注重生态环境保护。结合旅游产业自身属性，反复酝酿及仔细论证产业前景和市场定位。严把规划设计质量关、严把要件办理程序关、严格项目建设程序关，对标生态红线和国家相关政策要求，严控廉政风险，奋力推进项目建设。</w:t>
            </w:r>
            <w:r>
              <w:rPr>
                <w:rFonts w:hint="eastAsia" w:ascii="仿宋_GB2312" w:eastAsia="仿宋_GB2312" w:cs="仿宋_GB2312"/>
                <w:kern w:val="0"/>
                <w:sz w:val="24"/>
                <w:lang w:eastAsia="zh-CN"/>
              </w:rPr>
              <w:t>截至目前</w:t>
            </w:r>
            <w:r>
              <w:rPr>
                <w:rFonts w:hint="eastAsia" w:ascii="仿宋_GB2312" w:eastAsia="仿宋_GB2312" w:cs="仿宋_GB2312"/>
                <w:kern w:val="0"/>
                <w:sz w:val="24"/>
              </w:rPr>
              <w:t>，甘海子生态文化旅游区建设项目、神仙池生态文化旅游区建设项目、勿角民族生态旅游试验区建设项目、特色民宿及自驾营地建设等规划内项目均已开工建设，累计完成投资3843.68万元，累计支付资金为1958.3701万元；九寨鲁能·胜地建设项目、九寨永乐·温泉谷项目、九寨光谷国际旅游度假区项目等规划外项目按计划加紧推进。</w:t>
            </w:r>
          </w:p>
          <w:p>
            <w:pPr>
              <w:spacing w:line="576" w:lineRule="exact"/>
              <w:ind w:firstLine="480" w:firstLineChars="200"/>
              <w:rPr>
                <w:rFonts w:ascii="仿宋_GB2312" w:eastAsia="仿宋_GB2312" w:cs="仿宋_GB2312"/>
                <w:kern w:val="0"/>
                <w:sz w:val="24"/>
              </w:rPr>
            </w:pPr>
            <w:r>
              <w:rPr>
                <w:rFonts w:hint="eastAsia" w:ascii="仿宋_GB2312" w:eastAsia="仿宋_GB2312" w:cs="仿宋_GB2312"/>
                <w:kern w:val="0"/>
                <w:sz w:val="24"/>
              </w:rPr>
              <w:t>（二） 强化招商，吸引投资。结合“一主两核三带”绿色发展新布局，前后邀请成都新希望集团、驴妈妈集团、四川魅力川西旅游开发有限公司等10余家旅游开发企业进行现场考察调研，洽谈项目合作开发事宜。目前，已与驴妈妈集团签订战略合作框架协议，与九寨鲁能公司、保华乡村旅游公司签订合作开发框架协议，达成社会主体融资意向2240万元，与九寨万豪旅游发展有限公司达成融资意向3340万元。</w:t>
            </w:r>
          </w:p>
          <w:p>
            <w:pPr>
              <w:pBdr>
                <w:bottom w:val="single" w:color="FFFFFF" w:sz="6" w:space="0"/>
              </w:pBdr>
              <w:tabs>
                <w:tab w:val="left" w:pos="6695"/>
                <w:tab w:val="left" w:pos="6725"/>
              </w:tabs>
              <w:topLinePunct/>
              <w:adjustRightInd w:val="0"/>
              <w:spacing w:line="576" w:lineRule="exact"/>
              <w:ind w:firstLine="480" w:firstLineChars="200"/>
              <w:textAlignment w:val="top"/>
              <w:rPr>
                <w:rFonts w:ascii="仿宋_GB2312" w:eastAsia="仿宋_GB2312" w:cs="仿宋_GB2312"/>
                <w:kern w:val="0"/>
                <w:sz w:val="24"/>
              </w:rPr>
            </w:pPr>
            <w:r>
              <w:rPr>
                <w:rFonts w:hint="eastAsia" w:ascii="仿宋_GB2312" w:eastAsia="仿宋_GB2312" w:cs="仿宋_GB2312"/>
                <w:kern w:val="0"/>
                <w:sz w:val="24"/>
              </w:rPr>
              <w:t>二、聚焦“脱贫奔康年”，扎实推进旅游扶贫工作</w:t>
            </w:r>
          </w:p>
          <w:p>
            <w:pPr>
              <w:pBdr>
                <w:bottom w:val="single" w:color="FFFFFF" w:sz="6" w:space="0"/>
              </w:pBdr>
              <w:tabs>
                <w:tab w:val="left" w:pos="6695"/>
                <w:tab w:val="left" w:pos="6725"/>
              </w:tabs>
              <w:topLinePunct/>
              <w:adjustRightInd w:val="0"/>
              <w:spacing w:line="576" w:lineRule="exact"/>
              <w:ind w:firstLine="480" w:firstLineChars="200"/>
              <w:textAlignment w:val="top"/>
              <w:rPr>
                <w:rFonts w:ascii="仿宋_GB2312" w:eastAsia="仿宋_GB2312" w:cs="仿宋_GB2312"/>
                <w:kern w:val="0"/>
                <w:sz w:val="24"/>
              </w:rPr>
            </w:pPr>
            <w:r>
              <w:rPr>
                <w:rFonts w:hint="eastAsia" w:ascii="仿宋_GB2312" w:eastAsia="仿宋_GB2312" w:cs="仿宋_GB2312"/>
                <w:kern w:val="0"/>
                <w:sz w:val="24"/>
              </w:rPr>
              <w:t>（一）以全民共享发展为宗旨，深入推进旅游扶贫。一是以创建国家旅游扶贫示范区为契机，整合使用省级旅游扶贫专项资金1378.96万元，落实旅游扶贫项目4大类、12个，全面提升完善全县旅游基础服务设施，高标准打造景观景点，综合治理人居环境，发挥旅游业促农增收的积极作用；二是整合县级涉农整合资金135.5万元，在草地乡上草地村以民办公助方式推进上草地村2018年村寨配套景观基础设施建设项目，实施栈道铺设、观景台、休闲亭建设等旅游基础设施建设工程。目前已完成了总工程量的98%，完成资金支付80万元。</w:t>
            </w:r>
          </w:p>
          <w:p>
            <w:pPr>
              <w:pBdr>
                <w:bottom w:val="single" w:color="FFFFFF" w:sz="6" w:space="11"/>
              </w:pBdr>
              <w:tabs>
                <w:tab w:val="left" w:pos="6695"/>
                <w:tab w:val="left" w:pos="6725"/>
              </w:tabs>
              <w:topLinePunct/>
              <w:adjustRightInd w:val="0"/>
              <w:spacing w:line="576" w:lineRule="exact"/>
              <w:ind w:firstLine="470" w:firstLineChars="196"/>
              <w:textAlignment w:val="top"/>
              <w:rPr>
                <w:rFonts w:ascii="仿宋_GB2312" w:eastAsia="仿宋_GB2312" w:cs="仿宋_GB2312"/>
                <w:kern w:val="0"/>
                <w:sz w:val="24"/>
              </w:rPr>
            </w:pPr>
            <w:r>
              <w:rPr>
                <w:rFonts w:hint="eastAsia" w:ascii="仿宋_GB2312" w:eastAsia="仿宋_GB2312" w:cs="仿宋_GB2312"/>
                <w:kern w:val="0"/>
                <w:sz w:val="24"/>
              </w:rPr>
              <w:t>（二）创新乡村发展模式，助推旅游产业扶贫。一是确定农旅融合示范园区。结合县农水局2000万元项目资金，确定了罗依乡河坝—罗依坝村、白河乡太平村、马家乡苗州村、黑河乡达舍口村、永丰乡双龙村5个农旅融合示范园为九寨沟县现代农业产业融合示范园区项目；配合县农水局编制完成《休闲农业和乡村旅游发展组2018年度乡村振兴工作实施方案》，并拟定了园区配套设施建设计划；着手打造大录乡油菜大地景观基地和陵江乡七里村甜樱桃采摘园，同时完善游步道、观景台、旅游厕所、标识标牌等旅游配套设施；二是培育发展旅游服务产品。在旅游沿线注重从规划、政策、资金和服务方面入手，抓典型旅游扶贫村寨景点化建设，现已建成初具规模的“自驾游营地”一处，即：罗依乡“九寨庄园营地”；成功培育星级农家乐/乡村酒店32家、发展乡村特色业态17家积极参与和组织地方民俗文化展演展示，构架全域漫游体系，创造助农增收新格局；为积极打造旅游服务质量品牌，确定了四川广旺能源发展（集团）有限责任公司九寨度假村为全省旅游服务质量示范单位补助项目实施点，以开展震后接待的标准化建设、从业人员素质培训、管理和服务的标准化、特色化、精细化建设等工作为重点；5座旅游厕所改建项目，目前已完成4座，1座正进入工程扫尾施工阶段。</w:t>
            </w:r>
          </w:p>
          <w:p>
            <w:pPr>
              <w:pBdr>
                <w:bottom w:val="single" w:color="FFFFFF" w:sz="6" w:space="11"/>
              </w:pBdr>
              <w:tabs>
                <w:tab w:val="left" w:pos="6695"/>
                <w:tab w:val="left" w:pos="6725"/>
              </w:tabs>
              <w:topLinePunct/>
              <w:adjustRightInd w:val="0"/>
              <w:spacing w:line="576" w:lineRule="exact"/>
              <w:ind w:firstLine="480" w:firstLineChars="200"/>
              <w:textAlignment w:val="top"/>
              <w:rPr>
                <w:rFonts w:ascii="仿宋_GB2312" w:eastAsia="仿宋_GB2312" w:cs="仿宋_GB2312"/>
                <w:kern w:val="0"/>
                <w:sz w:val="24"/>
              </w:rPr>
            </w:pPr>
            <w:r>
              <w:rPr>
                <w:rFonts w:hint="eastAsia" w:ascii="仿宋_GB2312" w:eastAsia="仿宋_GB2312" w:cs="仿宋_GB2312"/>
                <w:kern w:val="0"/>
                <w:sz w:val="24"/>
              </w:rPr>
              <w:t>（三）全面统筹推进对口帮扶工作。按照邛崃援建九寨沟县5+1贫困村旅游基础设施建设项目要求，全面统筹使用邛崃工商联“5+1”对口帮扶项目资金120万元。目前，所有项目建设内容全部完工。</w:t>
            </w:r>
          </w:p>
          <w:p>
            <w:pPr>
              <w:pBdr>
                <w:bottom w:val="single" w:color="FFFFFF" w:sz="6" w:space="11"/>
              </w:pBdr>
              <w:tabs>
                <w:tab w:val="left" w:pos="6695"/>
                <w:tab w:val="left" w:pos="6725"/>
              </w:tabs>
              <w:topLinePunct/>
              <w:adjustRightInd w:val="0"/>
              <w:spacing w:line="576" w:lineRule="exact"/>
              <w:ind w:firstLine="480" w:firstLineChars="200"/>
              <w:textAlignment w:val="top"/>
              <w:rPr>
                <w:rFonts w:ascii="仿宋_GB2312" w:eastAsia="仿宋_GB2312" w:cs="仿宋_GB2312"/>
                <w:kern w:val="0"/>
                <w:sz w:val="24"/>
              </w:rPr>
            </w:pPr>
            <w:r>
              <w:rPr>
                <w:rFonts w:hint="eastAsia" w:ascii="仿宋_GB2312" w:eastAsia="仿宋_GB2312" w:cs="仿宋_GB2312"/>
                <w:kern w:val="0"/>
                <w:sz w:val="24"/>
              </w:rPr>
              <w:t>三、聚焦“平安建设年”，规范旅游市场</w:t>
            </w:r>
          </w:p>
          <w:p>
            <w:pPr>
              <w:pBdr>
                <w:bottom w:val="single" w:color="FFFFFF" w:sz="6" w:space="11"/>
              </w:pBdr>
              <w:tabs>
                <w:tab w:val="left" w:pos="6695"/>
                <w:tab w:val="left" w:pos="6725"/>
              </w:tabs>
              <w:topLinePunct/>
              <w:adjustRightInd w:val="0"/>
              <w:spacing w:line="576" w:lineRule="exact"/>
              <w:ind w:firstLine="480" w:firstLineChars="200"/>
              <w:textAlignment w:val="top"/>
              <w:rPr>
                <w:rFonts w:ascii="仿宋_GB2312" w:eastAsia="仿宋_GB2312" w:cs="仿宋_GB2312"/>
                <w:kern w:val="0"/>
                <w:sz w:val="24"/>
              </w:rPr>
            </w:pPr>
            <w:r>
              <w:rPr>
                <w:rFonts w:hint="eastAsia" w:ascii="仿宋_GB2312" w:eastAsia="仿宋_GB2312" w:cs="仿宋_GB2312"/>
                <w:kern w:val="0"/>
                <w:sz w:val="24"/>
              </w:rPr>
              <w:t>（一）旅游接待情况。2018年我县共接待游客23.45万人次，同比减少95.12%，实现旅游收入1.71亿元，同比减少97.18%。</w:t>
            </w:r>
          </w:p>
          <w:p>
            <w:pPr>
              <w:pBdr>
                <w:bottom w:val="single" w:color="FFFFFF" w:sz="6" w:space="11"/>
              </w:pBdr>
              <w:tabs>
                <w:tab w:val="left" w:pos="6695"/>
                <w:tab w:val="left" w:pos="6725"/>
              </w:tabs>
              <w:topLinePunct/>
              <w:adjustRightInd w:val="0"/>
              <w:spacing w:line="576" w:lineRule="exact"/>
              <w:ind w:firstLine="480" w:firstLineChars="200"/>
              <w:textAlignment w:val="top"/>
              <w:rPr>
                <w:rFonts w:ascii="仿宋_GB2312" w:eastAsia="仿宋_GB2312" w:cs="仿宋_GB2312"/>
                <w:kern w:val="0"/>
                <w:sz w:val="24"/>
              </w:rPr>
            </w:pPr>
            <w:r>
              <w:rPr>
                <w:rFonts w:hint="eastAsia" w:ascii="仿宋_GB2312" w:eastAsia="仿宋_GB2312" w:cs="仿宋_GB2312"/>
                <w:kern w:val="0"/>
                <w:sz w:val="24"/>
              </w:rPr>
              <w:t>（二）注重规范管理，全力提升服务质量。一是严正行政许可，认真落实酒店开业检查。严格按照《九寨沟县涉旅经营主体年度开业基本条件》执行开业申报制，联合涉旅部门对宾馆饭店进行开业检查，提高市场准入门槛，对不符合安全生产条件的一律不予营业。在景区开园期间共检查宾馆饭店45家，准予开业40家，检查藏家乐9家，准予开业7家；二是加强对旅游企业的管理，鼓励酒店标准化建设。星宇国际大酒店申报“金鼎级”文化主题饭店，经省星评委专家评定后达“金鼎级”文化主题饭店标准；千鹤国际大酒店进行了酒店提档升级改造，投资金额8500万元，预计明年5月底能完成改造；三是推进旅行社核准备案工作，加强行业监督管理。2018年撤销旅行社分社2家，新增旅行社2家，其中总社1家，分社1家，新增服务网点1家；四是加大专业培训力度，狠抓人才队伍建设。为着力提升旅游市场软实力，按照“分层次、分类别、全方位、全覆盖”的要求，通过各类专题培训、考察学习、经验交流等旅游人才培训途径，开展旅游管理、旅游扶贫、乡村旅游开发等人员培训20余次、培训人数700余人次；选派3名乡村旅游致富带头人参加了由省旅发委组织的赴台湾学习交流；积极对接visa集团开展旅游行业培训工作，制定了《九寨沟县全域旅游人才培训提升三年规划（2018-2020）》；五是加强宾馆饭店安全生产，切实提高安全保障。按照平安建设年和“秋风行动”工作要求安排，认真开展对酒店的安全生产检查工作。目前检查出安全隐患537条，经复查整改537条。</w:t>
            </w:r>
          </w:p>
          <w:p>
            <w:pPr>
              <w:pBdr>
                <w:bottom w:val="single" w:color="FFFFFF" w:sz="6" w:space="11"/>
              </w:pBdr>
              <w:tabs>
                <w:tab w:val="left" w:pos="6695"/>
                <w:tab w:val="left" w:pos="6725"/>
              </w:tabs>
              <w:topLinePunct/>
              <w:adjustRightInd w:val="0"/>
              <w:spacing w:line="576" w:lineRule="exact"/>
              <w:ind w:firstLine="480" w:firstLineChars="200"/>
              <w:textAlignment w:val="top"/>
              <w:rPr>
                <w:rFonts w:ascii="仿宋_GB2312" w:eastAsia="仿宋_GB2312" w:cs="仿宋_GB2312"/>
                <w:kern w:val="0"/>
                <w:sz w:val="24"/>
              </w:rPr>
            </w:pPr>
            <w:r>
              <w:rPr>
                <w:rFonts w:hint="eastAsia" w:ascii="仿宋_GB2312" w:eastAsia="仿宋_GB2312" w:cs="仿宋_GB2312"/>
                <w:kern w:val="0"/>
                <w:sz w:val="24"/>
              </w:rPr>
              <w:t>（三）加大宣传营销力度，着力提升旅游形象。一是积极参与各项推介活动。赴邛崃参加2018年四川花卉（果类）生态旅游节分会场暨第8届成都（邛崃）采茶节；赴香港、澳门参加香港第32届国际旅游展暨开展“熊猫走世界-美丽四川”九寨沟震后专题营销活动；围绕“全域旅游，美好生活”主题，组织开展“中国旅游日”宣传活动；积极参加第五届四川国际旅游交易博览会和第十七届中国西部国际博览会；参加“爱上嘉善”全域旅游杭州推介会暨友好县旅游协作项目签约仪式活动；二是深化开放合作。结合东西部扶贫协作工作，与浙江省嘉善县开展两地结对打造干部职工疗休养基地工作，借助嘉善旅发委在杭州举办大型旅游推介会平台，积极参与旅游产品推介、旅游商品展示、特色地方文化表演等活动，为提振市场信心打好基础。</w:t>
            </w:r>
          </w:p>
          <w:p>
            <w:pPr>
              <w:pBdr>
                <w:bottom w:val="single" w:color="FFFFFF" w:sz="6" w:space="11"/>
              </w:pBdr>
              <w:tabs>
                <w:tab w:val="left" w:pos="6695"/>
                <w:tab w:val="left" w:pos="6725"/>
              </w:tabs>
              <w:topLinePunct/>
              <w:adjustRightInd w:val="0"/>
              <w:spacing w:line="576" w:lineRule="exact"/>
              <w:ind w:firstLine="480" w:firstLineChars="200"/>
              <w:textAlignment w:val="top"/>
              <w:rPr>
                <w:rFonts w:ascii="仿宋_GB2312" w:eastAsia="仿宋_GB2312" w:cs="仿宋_GB2312"/>
                <w:kern w:val="0"/>
                <w:sz w:val="24"/>
              </w:rPr>
            </w:pPr>
            <w:r>
              <w:rPr>
                <w:rFonts w:hint="eastAsia" w:ascii="仿宋_GB2312" w:eastAsia="仿宋_GB2312" w:cs="仿宋_GB2312"/>
                <w:kern w:val="0"/>
                <w:sz w:val="24"/>
              </w:rPr>
              <w:t>（四）强化旅游咨询服务。自景区开园来，在节假日期间在弓杠岭、双河乡设置旅游服务咨询点和劝返点，</w:t>
            </w:r>
            <w:r>
              <w:rPr>
                <w:rFonts w:hint="eastAsia" w:ascii="仿宋_GB2312" w:eastAsia="仿宋_GB2312" w:cs="仿宋_GB2312"/>
                <w:kern w:val="0"/>
                <w:sz w:val="24"/>
                <w:lang w:eastAsia="zh-CN"/>
              </w:rPr>
              <w:t>截至目前</w:t>
            </w:r>
            <w:r>
              <w:rPr>
                <w:rFonts w:hint="eastAsia" w:ascii="仿宋_GB2312" w:eastAsia="仿宋_GB2312" w:cs="仿宋_GB2312"/>
                <w:kern w:val="0"/>
                <w:sz w:val="24"/>
              </w:rPr>
              <w:t xml:space="preserve">共受理游客来访约220人次、电话咨询5000余次，发放宣传资料共4000余份。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16" w:type="dxa"/>
            <w:gridSpan w:val="10"/>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16" w:type="dxa"/>
            <w:gridSpan w:val="10"/>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b/>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机构名称</w:t>
            </w:r>
          </w:p>
        </w:tc>
        <w:tc>
          <w:tcPr>
            <w:tcW w:w="1082" w:type="dxa"/>
            <w:vMerge w:val="restart"/>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收入合计</w:t>
            </w:r>
          </w:p>
        </w:tc>
        <w:tc>
          <w:tcPr>
            <w:tcW w:w="6762" w:type="dxa"/>
            <w:gridSpan w:val="8"/>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tc>
        <w:tc>
          <w:tcPr>
            <w:tcW w:w="1230"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上年结转</w:t>
            </w:r>
          </w:p>
        </w:tc>
        <w:tc>
          <w:tcPr>
            <w:tcW w:w="1940"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公共财</w:t>
            </w:r>
          </w:p>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政拨款</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政府基金拨款</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纳入专户管理的非税收入拨款</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其他</w:t>
            </w:r>
          </w:p>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2"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局机关及二级机构汇总</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3191.83</w:t>
            </w:r>
          </w:p>
        </w:tc>
        <w:tc>
          <w:tcPr>
            <w:tcW w:w="1230"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61.87</w:t>
            </w:r>
          </w:p>
        </w:tc>
        <w:tc>
          <w:tcPr>
            <w:tcW w:w="1940"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2618.21</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511.75</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0</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rPr>
                <w:rFonts w:ascii="仿宋_GB2312" w:eastAsia="仿宋_GB2312" w:cs="仿宋_GB2312"/>
                <w:sz w:val="24"/>
              </w:rPr>
            </w:pPr>
            <w:r>
              <w:rPr>
                <w:rFonts w:hint="eastAsia" w:ascii="仿宋_GB2312" w:eastAsia="仿宋_GB2312" w:cs="仿宋_GB2312"/>
                <w:sz w:val="24"/>
              </w:rPr>
              <w:t>1、局机关</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3191.83</w:t>
            </w:r>
          </w:p>
        </w:tc>
        <w:tc>
          <w:tcPr>
            <w:tcW w:w="1230"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61.87</w:t>
            </w:r>
          </w:p>
        </w:tc>
        <w:tc>
          <w:tcPr>
            <w:tcW w:w="1940"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2618.21</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511.75</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0</w:t>
            </w: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rPr>
                <w:rFonts w:ascii="仿宋_GB2312" w:eastAsia="仿宋_GB2312" w:cs="仿宋_GB2312"/>
                <w:sz w:val="24"/>
              </w:rPr>
            </w:pPr>
            <w:r>
              <w:rPr>
                <w:rFonts w:hint="eastAsia" w:ascii="仿宋_GB2312" w:eastAsia="仿宋_GB2312" w:cs="仿宋_GB2312"/>
                <w:sz w:val="24"/>
              </w:rPr>
              <w:t>2、二级机构1</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p>
        </w:tc>
        <w:tc>
          <w:tcPr>
            <w:tcW w:w="1230"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p>
        </w:tc>
        <w:tc>
          <w:tcPr>
            <w:tcW w:w="1940"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rPr>
                <w:rFonts w:ascii="仿宋_GB2312" w:eastAsia="仿宋_GB2312" w:cs="仿宋_GB2312"/>
                <w:sz w:val="24"/>
              </w:rPr>
            </w:pPr>
            <w:r>
              <w:rPr>
                <w:rFonts w:hint="eastAsia" w:ascii="仿宋_GB2312" w:eastAsia="仿宋_GB2312" w:cs="仿宋_GB2312"/>
                <w:sz w:val="24"/>
              </w:rPr>
              <w:t>3、二级机构2</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p>
        </w:tc>
        <w:tc>
          <w:tcPr>
            <w:tcW w:w="1230"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p>
        </w:tc>
        <w:tc>
          <w:tcPr>
            <w:tcW w:w="1940"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p>
        </w:tc>
        <w:tc>
          <w:tcPr>
            <w:tcW w:w="843"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8516" w:type="dxa"/>
            <w:gridSpan w:val="10"/>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b/>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napToGrid w:val="0"/>
              <w:spacing w:line="320" w:lineRule="exact"/>
              <w:jc w:val="center"/>
              <w:rPr>
                <w:rFonts w:ascii="仿宋_GB2312" w:eastAsia="仿宋_GB2312" w:cs="仿宋_GB2312"/>
                <w:sz w:val="24"/>
              </w:rPr>
            </w:pPr>
            <w:r>
              <w:rPr>
                <w:rFonts w:hint="eastAsia" w:ascii="仿宋_GB2312" w:eastAsia="仿宋_GB2312" w:cs="仿宋_GB2312"/>
                <w:sz w:val="24"/>
              </w:rPr>
              <w:t>机构名称</w:t>
            </w:r>
          </w:p>
        </w:tc>
        <w:tc>
          <w:tcPr>
            <w:tcW w:w="1082" w:type="dxa"/>
            <w:vMerge w:val="restart"/>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支出合计</w:t>
            </w:r>
          </w:p>
        </w:tc>
        <w:tc>
          <w:tcPr>
            <w:tcW w:w="4968" w:type="dxa"/>
            <w:gridSpan w:val="6"/>
            <w:tcBorders>
              <w:top w:val="single" w:color="000000" w:sz="4" w:space="0"/>
              <w:left w:val="single" w:color="auto" w:sz="4" w:space="0"/>
              <w:bottom w:val="single" w:color="auto"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其中：</w:t>
            </w:r>
          </w:p>
        </w:tc>
        <w:tc>
          <w:tcPr>
            <w:tcW w:w="1794" w:type="dxa"/>
            <w:gridSpan w:val="2"/>
            <w:tcBorders>
              <w:top w:val="single" w:color="000000" w:sz="4" w:space="0"/>
              <w:left w:val="single" w:color="auto" w:sz="4" w:space="0"/>
              <w:bottom w:val="single" w:color="auto"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tc>
        <w:tc>
          <w:tcPr>
            <w:tcW w:w="1230" w:type="dxa"/>
            <w:vMerge w:val="restart"/>
            <w:tcBorders>
              <w:top w:val="single" w:color="auto"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基本支出</w:t>
            </w:r>
          </w:p>
        </w:tc>
        <w:tc>
          <w:tcPr>
            <w:tcW w:w="2783" w:type="dxa"/>
            <w:gridSpan w:val="4"/>
            <w:tcBorders>
              <w:top w:val="single" w:color="auto"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其中：</w:t>
            </w:r>
          </w:p>
        </w:tc>
        <w:tc>
          <w:tcPr>
            <w:tcW w:w="955" w:type="dxa"/>
            <w:vMerge w:val="restart"/>
            <w:tcBorders>
              <w:top w:val="single" w:color="auto"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项目支出</w:t>
            </w:r>
          </w:p>
        </w:tc>
        <w:tc>
          <w:tcPr>
            <w:tcW w:w="778" w:type="dxa"/>
            <w:vMerge w:val="restart"/>
            <w:tcBorders>
              <w:top w:val="single" w:color="auto" w:sz="4" w:space="0"/>
              <w:left w:val="single" w:color="auto"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当年结余</w:t>
            </w:r>
          </w:p>
        </w:tc>
        <w:tc>
          <w:tcPr>
            <w:tcW w:w="1016" w:type="dxa"/>
            <w:vMerge w:val="restart"/>
            <w:tcBorders>
              <w:top w:val="single" w:color="auto"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tc>
        <w:tc>
          <w:tcPr>
            <w:tcW w:w="1230" w:type="dxa"/>
            <w:vMerge w:val="continue"/>
            <w:tcBorders>
              <w:top w:val="single" w:color="auto" w:sz="4" w:space="0"/>
              <w:left w:val="single" w:color="auto" w:sz="4" w:space="0"/>
              <w:bottom w:val="single" w:color="000000" w:sz="4" w:space="0"/>
              <w:right w:val="single" w:color="000000" w:sz="4" w:space="0"/>
            </w:tcBorders>
            <w:shd w:val="clear" w:color="auto" w:fill="auto"/>
            <w:tcMar>
              <w:left w:w="15" w:type="dxa"/>
              <w:right w:w="15" w:type="dxa"/>
            </w:tcMar>
            <w:vAlign w:val="center"/>
          </w:tc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人员支出</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公用支出</w:t>
            </w:r>
          </w:p>
        </w:tc>
        <w:tc>
          <w:tcPr>
            <w:tcW w:w="955" w:type="dxa"/>
            <w:vMerge w:val="continue"/>
            <w:tcBorders>
              <w:top w:val="single" w:color="auto" w:sz="4" w:space="0"/>
              <w:left w:val="single" w:color="000000" w:sz="4" w:space="0"/>
              <w:bottom w:val="single" w:color="000000" w:sz="4" w:space="0"/>
              <w:right w:val="single" w:color="auto" w:sz="4" w:space="0"/>
            </w:tcBorders>
            <w:shd w:val="clear" w:color="auto" w:fill="auto"/>
            <w:tcMar>
              <w:left w:w="15" w:type="dxa"/>
              <w:right w:w="15" w:type="dxa"/>
            </w:tcMar>
            <w:vAlign w:val="center"/>
          </w:tcPr>
          <w:p/>
        </w:tc>
        <w:tc>
          <w:tcPr>
            <w:tcW w:w="778" w:type="dxa"/>
            <w:vMerge w:val="continue"/>
            <w:tcBorders>
              <w:top w:val="single" w:color="auto" w:sz="4" w:space="0"/>
              <w:left w:val="single" w:color="auto" w:sz="4" w:space="0"/>
              <w:bottom w:val="single" w:color="000000" w:sz="4" w:space="0"/>
              <w:right w:val="single" w:color="auto" w:sz="4" w:space="0"/>
            </w:tcBorders>
            <w:shd w:val="clear" w:color="auto" w:fill="auto"/>
            <w:tcMar>
              <w:left w:w="15" w:type="dxa"/>
              <w:right w:w="15" w:type="dxa"/>
            </w:tcMar>
            <w:vAlign w:val="center"/>
          </w:tcPr>
          <w:p/>
        </w:tc>
        <w:tc>
          <w:tcPr>
            <w:tcW w:w="1016" w:type="dxa"/>
            <w:vMerge w:val="continue"/>
            <w:tcBorders>
              <w:top w:val="single" w:color="auto" w:sz="4" w:space="0"/>
              <w:left w:val="single" w:color="auto" w:sz="4" w:space="0"/>
              <w:bottom w:val="single" w:color="000000" w:sz="4" w:space="0"/>
              <w:right w:val="single" w:color="000000" w:sz="4" w:space="0"/>
            </w:tcBorders>
            <w:shd w:val="clear" w:color="auto" w:fill="auto"/>
            <w:tcMar>
              <w:left w:w="15" w:type="dxa"/>
              <w:right w:w="15" w:type="dxa"/>
            </w:tcMar>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7"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jc w:val="left"/>
              <w:rPr>
                <w:rFonts w:ascii="仿宋_GB2312" w:eastAsia="仿宋_GB2312" w:cs="仿宋_GB2312"/>
                <w:sz w:val="24"/>
              </w:rPr>
            </w:pPr>
            <w:r>
              <w:rPr>
                <w:rFonts w:hint="eastAsia" w:ascii="仿宋_GB2312" w:eastAsia="仿宋_GB2312" w:cs="仿宋_GB2312"/>
                <w:sz w:val="24"/>
              </w:rPr>
              <w:t>局机关及二级机构汇总</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6715.25</w:t>
            </w:r>
          </w:p>
        </w:tc>
        <w:tc>
          <w:tcPr>
            <w:tcW w:w="1230"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671.53</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516.21</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155.32</w:t>
            </w:r>
          </w:p>
        </w:tc>
        <w:tc>
          <w:tcPr>
            <w:tcW w:w="955"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1596.58</w:t>
            </w:r>
          </w:p>
        </w:tc>
        <w:tc>
          <w:tcPr>
            <w:tcW w:w="778"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016"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jc w:val="left"/>
              <w:rPr>
                <w:rFonts w:ascii="仿宋_GB2312" w:eastAsia="仿宋_GB2312" w:cs="仿宋_GB2312"/>
                <w:sz w:val="24"/>
              </w:rPr>
            </w:pPr>
            <w:r>
              <w:rPr>
                <w:rFonts w:hint="eastAsia" w:ascii="仿宋_GB2312" w:eastAsia="仿宋_GB2312" w:cs="仿宋_GB2312"/>
                <w:sz w:val="24"/>
              </w:rPr>
              <w:t>1、局机关</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6715.25</w:t>
            </w:r>
          </w:p>
        </w:tc>
        <w:tc>
          <w:tcPr>
            <w:tcW w:w="1230"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671.53</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516.21</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155.32</w:t>
            </w:r>
          </w:p>
        </w:tc>
        <w:tc>
          <w:tcPr>
            <w:tcW w:w="955"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1596.58</w:t>
            </w:r>
          </w:p>
        </w:tc>
        <w:tc>
          <w:tcPr>
            <w:tcW w:w="778"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016"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jc w:val="left"/>
              <w:rPr>
                <w:rFonts w:ascii="仿宋_GB2312" w:eastAsia="仿宋_GB2312" w:cs="仿宋_GB2312"/>
                <w:sz w:val="24"/>
              </w:rPr>
            </w:pPr>
            <w:r>
              <w:rPr>
                <w:rFonts w:hint="eastAsia" w:ascii="仿宋_GB2312" w:eastAsia="仿宋_GB2312" w:cs="仿宋_GB2312"/>
                <w:sz w:val="24"/>
              </w:rPr>
              <w:t>2、二级机构1</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230"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778"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016"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jc w:val="left"/>
              <w:rPr>
                <w:rFonts w:ascii="仿宋_GB2312" w:eastAsia="仿宋_GB2312" w:cs="仿宋_GB2312"/>
                <w:sz w:val="24"/>
              </w:rPr>
            </w:pPr>
            <w:r>
              <w:rPr>
                <w:rFonts w:hint="eastAsia" w:ascii="仿宋_GB2312" w:eastAsia="仿宋_GB2312" w:cs="仿宋_GB2312"/>
                <w:sz w:val="24"/>
              </w:rPr>
              <w:t>3、二级机构2</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230"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955"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778"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016"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jc w:val="center"/>
              <w:rPr>
                <w:rFonts w:ascii="仿宋_GB2312" w:eastAsia="仿宋_GB2312" w:cs="仿宋_GB2312"/>
                <w:sz w:val="24"/>
              </w:rPr>
            </w:pPr>
            <w:r>
              <w:rPr>
                <w:rFonts w:hint="eastAsia" w:ascii="仿宋_GB2312" w:eastAsia="仿宋_GB2312" w:cs="仿宋_GB2312"/>
                <w:sz w:val="24"/>
              </w:rPr>
              <w:t>机构名称</w:t>
            </w:r>
          </w:p>
        </w:tc>
        <w:tc>
          <w:tcPr>
            <w:tcW w:w="1082" w:type="dxa"/>
            <w:vMerge w:val="restart"/>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三公经费</w:t>
            </w:r>
          </w:p>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合计</w:t>
            </w:r>
          </w:p>
        </w:tc>
        <w:tc>
          <w:tcPr>
            <w:tcW w:w="6762" w:type="dxa"/>
            <w:gridSpan w:val="8"/>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tc>
        <w:tc>
          <w:tcPr>
            <w:tcW w:w="1230"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公务接待费</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公务用车运维费</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公务用车购置费</w:t>
            </w:r>
          </w:p>
        </w:tc>
        <w:tc>
          <w:tcPr>
            <w:tcW w:w="2749"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jc w:val="left"/>
              <w:rPr>
                <w:rFonts w:ascii="仿宋_GB2312" w:eastAsia="仿宋_GB2312" w:cs="仿宋_GB2312"/>
                <w:sz w:val="24"/>
              </w:rPr>
            </w:pPr>
            <w:r>
              <w:rPr>
                <w:rFonts w:hint="eastAsia" w:ascii="仿宋_GB2312" w:eastAsia="仿宋_GB2312" w:cs="仿宋_GB2312"/>
                <w:sz w:val="24"/>
              </w:rPr>
              <w:t>局机关及二级机构汇总</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19.24</w:t>
            </w:r>
          </w:p>
        </w:tc>
        <w:tc>
          <w:tcPr>
            <w:tcW w:w="1230"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0.744</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18.5</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1.54</w:t>
            </w:r>
          </w:p>
        </w:tc>
        <w:tc>
          <w:tcPr>
            <w:tcW w:w="2749"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jc w:val="left"/>
              <w:rPr>
                <w:rFonts w:ascii="仿宋_GB2312" w:eastAsia="仿宋_GB2312" w:cs="仿宋_GB2312"/>
                <w:sz w:val="24"/>
              </w:rPr>
            </w:pPr>
            <w:r>
              <w:rPr>
                <w:rFonts w:hint="eastAsia" w:ascii="仿宋_GB2312" w:eastAsia="仿宋_GB2312" w:cs="仿宋_GB2312"/>
                <w:sz w:val="24"/>
              </w:rPr>
              <w:t>1、局机关</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19.24</w:t>
            </w:r>
          </w:p>
        </w:tc>
        <w:tc>
          <w:tcPr>
            <w:tcW w:w="1230"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0.744</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18.5</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1.54</w:t>
            </w:r>
          </w:p>
        </w:tc>
        <w:tc>
          <w:tcPr>
            <w:tcW w:w="2749"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jc w:val="left"/>
              <w:rPr>
                <w:rFonts w:ascii="仿宋_GB2312" w:eastAsia="仿宋_GB2312" w:cs="仿宋_GB2312"/>
                <w:sz w:val="24"/>
              </w:rPr>
            </w:pPr>
            <w:r>
              <w:rPr>
                <w:rFonts w:hint="eastAsia" w:ascii="仿宋_GB2312" w:eastAsia="仿宋_GB2312" w:cs="仿宋_GB2312"/>
                <w:sz w:val="24"/>
              </w:rPr>
              <w:t>2、二级机构1</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230"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2749"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jc w:val="left"/>
              <w:rPr>
                <w:rFonts w:ascii="仿宋_GB2312" w:eastAsia="仿宋_GB2312" w:cs="仿宋_GB2312"/>
                <w:sz w:val="24"/>
              </w:rPr>
            </w:pPr>
            <w:r>
              <w:rPr>
                <w:rFonts w:hint="eastAsia" w:ascii="仿宋_GB2312" w:eastAsia="仿宋_GB2312" w:cs="仿宋_GB2312"/>
                <w:sz w:val="24"/>
              </w:rPr>
              <w:t>3、二级机构2</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230" w:type="dxa"/>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2749"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jc w:val="center"/>
              <w:rPr>
                <w:rFonts w:ascii="仿宋_GB2312" w:eastAsia="仿宋_GB2312" w:cs="仿宋_GB2312"/>
                <w:sz w:val="24"/>
              </w:rPr>
            </w:pPr>
            <w:r>
              <w:rPr>
                <w:rFonts w:hint="eastAsia" w:ascii="仿宋_GB2312" w:eastAsia="仿宋_GB2312" w:cs="仿宋_GB2312"/>
                <w:sz w:val="24"/>
              </w:rPr>
              <w:t>机构名称</w:t>
            </w:r>
          </w:p>
        </w:tc>
        <w:tc>
          <w:tcPr>
            <w:tcW w:w="1082" w:type="dxa"/>
            <w:vMerge w:val="restart"/>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固定资产</w:t>
            </w:r>
          </w:p>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合计</w:t>
            </w:r>
          </w:p>
        </w:tc>
        <w:tc>
          <w:tcPr>
            <w:tcW w:w="5746" w:type="dxa"/>
            <w:gridSpan w:val="7"/>
            <w:tcBorders>
              <w:top w:val="single" w:color="000000" w:sz="4" w:space="0"/>
              <w:left w:val="single" w:color="auto"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其中：</w:t>
            </w:r>
          </w:p>
        </w:tc>
        <w:tc>
          <w:tcPr>
            <w:tcW w:w="1016" w:type="dxa"/>
            <w:vMerge w:val="restart"/>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tc>
        <w:tc>
          <w:tcPr>
            <w:tcW w:w="2573" w:type="dxa"/>
            <w:gridSpan w:val="3"/>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在用固定资产</w:t>
            </w:r>
          </w:p>
        </w:tc>
        <w:tc>
          <w:tcPr>
            <w:tcW w:w="3173" w:type="dxa"/>
            <w:gridSpan w:val="4"/>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出租固定资产</w:t>
            </w:r>
          </w:p>
        </w:tc>
        <w:tc>
          <w:tcPr>
            <w:tcW w:w="1016" w:type="dxa"/>
            <w:vMerge w:val="continue"/>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5"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jc w:val="left"/>
              <w:rPr>
                <w:rFonts w:ascii="仿宋_GB2312" w:eastAsia="仿宋_GB2312" w:cs="仿宋_GB2312"/>
                <w:sz w:val="24"/>
              </w:rPr>
            </w:pPr>
            <w:r>
              <w:rPr>
                <w:rFonts w:hint="eastAsia" w:ascii="仿宋_GB2312" w:eastAsia="仿宋_GB2312" w:cs="仿宋_GB2312"/>
                <w:sz w:val="24"/>
              </w:rPr>
              <w:t>局机关及二级机构汇总</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220.99</w:t>
            </w:r>
          </w:p>
        </w:tc>
        <w:tc>
          <w:tcPr>
            <w:tcW w:w="2573" w:type="dxa"/>
            <w:gridSpan w:val="3"/>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220.99</w:t>
            </w:r>
          </w:p>
        </w:tc>
        <w:tc>
          <w:tcPr>
            <w:tcW w:w="3173" w:type="dxa"/>
            <w:gridSpan w:val="4"/>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jc w:val="left"/>
              <w:rPr>
                <w:rFonts w:ascii="仿宋_GB2312" w:eastAsia="仿宋_GB2312" w:cs="仿宋_GB2312"/>
                <w:sz w:val="24"/>
              </w:rPr>
            </w:pPr>
            <w:r>
              <w:rPr>
                <w:rFonts w:hint="eastAsia" w:ascii="仿宋_GB2312" w:eastAsia="仿宋_GB2312" w:cs="仿宋_GB2312"/>
                <w:sz w:val="24"/>
              </w:rPr>
              <w:t>1、局机关</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p>
            <w:pPr>
              <w:autoSpaceDN w:val="0"/>
              <w:spacing w:line="320" w:lineRule="exact"/>
              <w:jc w:val="center"/>
              <w:textAlignment w:val="center"/>
              <w:rPr>
                <w:rFonts w:ascii="仿宋_GB2312" w:eastAsia="仿宋_GB2312" w:cs="仿宋_GB2312"/>
                <w:sz w:val="24"/>
              </w:rPr>
            </w:pPr>
          </w:p>
          <w:p>
            <w:pPr>
              <w:autoSpaceDN w:val="0"/>
              <w:spacing w:line="320" w:lineRule="exact"/>
              <w:jc w:val="center"/>
              <w:textAlignment w:val="center"/>
              <w:rPr>
                <w:rFonts w:ascii="仿宋_GB2312" w:eastAsia="仿宋_GB2312" w:cs="仿宋_GB2312"/>
                <w:sz w:val="24"/>
              </w:rPr>
            </w:pPr>
          </w:p>
          <w:p>
            <w:pPr>
              <w:autoSpaceDN w:val="0"/>
              <w:spacing w:line="320" w:lineRule="exact"/>
              <w:jc w:val="center"/>
              <w:textAlignment w:val="center"/>
              <w:rPr>
                <w:rFonts w:ascii="仿宋_GB2312" w:eastAsia="仿宋_GB2312" w:cs="仿宋_GB2312"/>
                <w:sz w:val="24"/>
              </w:rPr>
            </w:pPr>
          </w:p>
          <w:p>
            <w:pPr>
              <w:autoSpaceDN w:val="0"/>
              <w:spacing w:line="320" w:lineRule="exact"/>
              <w:jc w:val="center"/>
              <w:textAlignment w:val="center"/>
              <w:rPr>
                <w:rFonts w:ascii="仿宋_GB2312" w:eastAsia="仿宋_GB2312" w:cs="仿宋_GB2312"/>
                <w:sz w:val="24"/>
              </w:rPr>
            </w:pPr>
          </w:p>
        </w:tc>
        <w:tc>
          <w:tcPr>
            <w:tcW w:w="2573" w:type="dxa"/>
            <w:gridSpan w:val="3"/>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3173" w:type="dxa"/>
            <w:gridSpan w:val="4"/>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jc w:val="left"/>
              <w:rPr>
                <w:rFonts w:ascii="仿宋_GB2312" w:eastAsia="仿宋_GB2312" w:cs="仿宋_GB2312"/>
                <w:sz w:val="24"/>
              </w:rPr>
            </w:pPr>
            <w:r>
              <w:rPr>
                <w:rFonts w:hint="eastAsia" w:ascii="仿宋_GB2312" w:eastAsia="仿宋_GB2312" w:cs="仿宋_GB2312"/>
                <w:sz w:val="24"/>
              </w:rPr>
              <w:t>2、二级机构1</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p>
            <w:pPr>
              <w:autoSpaceDN w:val="0"/>
              <w:spacing w:line="320" w:lineRule="exact"/>
              <w:jc w:val="center"/>
              <w:textAlignment w:val="center"/>
              <w:rPr>
                <w:rFonts w:ascii="仿宋_GB2312" w:eastAsia="仿宋_GB2312" w:cs="仿宋_GB2312"/>
                <w:sz w:val="24"/>
              </w:rPr>
            </w:pPr>
          </w:p>
          <w:p>
            <w:pPr>
              <w:autoSpaceDN w:val="0"/>
              <w:spacing w:line="320" w:lineRule="exact"/>
              <w:jc w:val="center"/>
              <w:textAlignment w:val="center"/>
              <w:rPr>
                <w:rFonts w:ascii="仿宋_GB2312" w:eastAsia="仿宋_GB2312" w:cs="仿宋_GB2312"/>
                <w:sz w:val="24"/>
              </w:rPr>
            </w:pPr>
          </w:p>
          <w:p>
            <w:pPr>
              <w:autoSpaceDN w:val="0"/>
              <w:spacing w:line="320" w:lineRule="exact"/>
              <w:jc w:val="center"/>
              <w:textAlignment w:val="center"/>
              <w:rPr>
                <w:rFonts w:ascii="仿宋_GB2312" w:eastAsia="仿宋_GB2312" w:cs="仿宋_GB2312"/>
                <w:sz w:val="24"/>
              </w:rPr>
            </w:pPr>
          </w:p>
          <w:p>
            <w:pPr>
              <w:autoSpaceDN w:val="0"/>
              <w:spacing w:line="320" w:lineRule="exact"/>
              <w:jc w:val="center"/>
              <w:textAlignment w:val="center"/>
              <w:rPr>
                <w:rFonts w:ascii="仿宋_GB2312" w:eastAsia="仿宋_GB2312" w:cs="仿宋_GB2312"/>
                <w:sz w:val="24"/>
              </w:rPr>
            </w:pPr>
          </w:p>
          <w:p>
            <w:pPr>
              <w:autoSpaceDN w:val="0"/>
              <w:spacing w:line="320" w:lineRule="exact"/>
              <w:jc w:val="center"/>
              <w:textAlignment w:val="center"/>
              <w:rPr>
                <w:rFonts w:ascii="仿宋_GB2312" w:eastAsia="仿宋_GB2312" w:cs="仿宋_GB2312"/>
                <w:sz w:val="24"/>
              </w:rPr>
            </w:pPr>
          </w:p>
          <w:p>
            <w:pPr>
              <w:autoSpaceDN w:val="0"/>
              <w:spacing w:line="320" w:lineRule="exact"/>
              <w:jc w:val="center"/>
              <w:textAlignment w:val="center"/>
              <w:rPr>
                <w:rFonts w:ascii="仿宋_GB2312" w:eastAsia="仿宋_GB2312" w:cs="仿宋_GB2312"/>
                <w:sz w:val="24"/>
              </w:rPr>
            </w:pPr>
          </w:p>
        </w:tc>
        <w:tc>
          <w:tcPr>
            <w:tcW w:w="2573" w:type="dxa"/>
            <w:gridSpan w:val="3"/>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3173" w:type="dxa"/>
            <w:gridSpan w:val="4"/>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jc w:val="left"/>
              <w:rPr>
                <w:rFonts w:ascii="仿宋_GB2312" w:eastAsia="仿宋_GB2312" w:cs="仿宋_GB2312"/>
                <w:sz w:val="24"/>
              </w:rPr>
            </w:pPr>
            <w:r>
              <w:rPr>
                <w:rFonts w:hint="eastAsia" w:ascii="仿宋_GB2312" w:eastAsia="仿宋_GB2312" w:cs="仿宋_GB2312"/>
                <w:sz w:val="24"/>
              </w:rPr>
              <w:t>3、二级机构2</w:t>
            </w:r>
          </w:p>
        </w:tc>
        <w:tc>
          <w:tcPr>
            <w:tcW w:w="1082" w:type="dxa"/>
            <w:tcBorders>
              <w:top w:val="single" w:color="000000" w:sz="4" w:space="0"/>
              <w:left w:val="single" w:color="000000" w:sz="4" w:space="0"/>
              <w:bottom w:val="single" w:color="000000" w:sz="4" w:space="0"/>
              <w:right w:val="single" w:color="auto"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p>
            <w:pPr>
              <w:autoSpaceDN w:val="0"/>
              <w:spacing w:line="320" w:lineRule="exact"/>
              <w:jc w:val="center"/>
              <w:textAlignment w:val="center"/>
              <w:rPr>
                <w:rFonts w:ascii="仿宋_GB2312" w:eastAsia="仿宋_GB2312" w:cs="仿宋_GB2312"/>
                <w:sz w:val="24"/>
              </w:rPr>
            </w:pPr>
          </w:p>
          <w:p>
            <w:pPr>
              <w:autoSpaceDN w:val="0"/>
              <w:spacing w:line="320" w:lineRule="exact"/>
              <w:jc w:val="center"/>
              <w:textAlignment w:val="center"/>
              <w:rPr>
                <w:rFonts w:ascii="仿宋_GB2312" w:eastAsia="仿宋_GB2312" w:cs="仿宋_GB2312"/>
                <w:sz w:val="24"/>
              </w:rPr>
            </w:pPr>
          </w:p>
          <w:p>
            <w:pPr>
              <w:autoSpaceDN w:val="0"/>
              <w:spacing w:line="320" w:lineRule="exact"/>
              <w:textAlignment w:val="center"/>
              <w:rPr>
                <w:rFonts w:ascii="仿宋_GB2312" w:eastAsia="仿宋_GB2312" w:cs="仿宋_GB2312"/>
                <w:sz w:val="24"/>
              </w:rPr>
            </w:pPr>
          </w:p>
        </w:tc>
        <w:tc>
          <w:tcPr>
            <w:tcW w:w="2573" w:type="dxa"/>
            <w:gridSpan w:val="3"/>
            <w:tcBorders>
              <w:top w:val="single" w:color="000000" w:sz="4" w:space="0"/>
              <w:left w:val="single" w:color="auto"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3173" w:type="dxa"/>
            <w:gridSpan w:val="4"/>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516" w:type="dxa"/>
            <w:gridSpan w:val="10"/>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整体支出绩效定性目标及实施计划完成情况</w:t>
            </w:r>
          </w:p>
        </w:tc>
        <w:tc>
          <w:tcPr>
            <w:tcW w:w="3038"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预期目标</w:t>
            </w:r>
          </w:p>
        </w:tc>
        <w:tc>
          <w:tcPr>
            <w:tcW w:w="4806" w:type="dxa"/>
            <w:gridSpan w:val="6"/>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2"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3038"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目标1：扎实推进灾后重建</w:t>
            </w:r>
          </w:p>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目标2：强化招商，吸引投资</w:t>
            </w:r>
          </w:p>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目标3：扎实推进旅游扶贫工作</w:t>
            </w:r>
          </w:p>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目标4：旅游宣传、培训及规范旅游市场</w:t>
            </w:r>
          </w:p>
        </w:tc>
        <w:tc>
          <w:tcPr>
            <w:tcW w:w="4806" w:type="dxa"/>
            <w:gridSpan w:val="6"/>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目标1：灾后重建项目已经开工。</w:t>
            </w:r>
          </w:p>
          <w:p>
            <w:pPr>
              <w:autoSpaceDN w:val="0"/>
              <w:spacing w:line="320" w:lineRule="exact"/>
              <w:textAlignment w:val="center"/>
              <w:rPr>
                <w:rFonts w:ascii="仿宋_GB2312" w:eastAsia="仿宋_GB2312" w:cs="仿宋_GB2312"/>
                <w:kern w:val="0"/>
                <w:sz w:val="24"/>
              </w:rPr>
            </w:pPr>
            <w:r>
              <w:rPr>
                <w:rFonts w:hint="eastAsia" w:ascii="仿宋_GB2312" w:eastAsia="仿宋_GB2312" w:cs="仿宋_GB2312"/>
                <w:sz w:val="24"/>
              </w:rPr>
              <w:t>目标2：</w:t>
            </w:r>
            <w:r>
              <w:rPr>
                <w:rFonts w:hint="eastAsia" w:ascii="仿宋_GB2312" w:eastAsia="仿宋_GB2312" w:cs="仿宋_GB2312"/>
                <w:kern w:val="0"/>
                <w:sz w:val="24"/>
              </w:rPr>
              <w:t>前后邀请成都新希望集团、驴妈妈集团、四川魅力川西旅游开发有限公司等10余家旅游开发企业进行现场考察调研，洽谈项目合作开发事宜。</w:t>
            </w:r>
          </w:p>
          <w:p>
            <w:pPr>
              <w:autoSpaceDN w:val="0"/>
              <w:spacing w:line="320" w:lineRule="exact"/>
              <w:textAlignment w:val="center"/>
              <w:rPr>
                <w:rFonts w:ascii="仿宋_GB2312" w:eastAsia="仿宋_GB2312" w:cs="仿宋_GB2312"/>
                <w:kern w:val="0"/>
                <w:sz w:val="24"/>
              </w:rPr>
            </w:pPr>
            <w:r>
              <w:rPr>
                <w:rFonts w:hint="eastAsia" w:ascii="仿宋_GB2312" w:eastAsia="仿宋_GB2312" w:cs="仿宋_GB2312"/>
                <w:sz w:val="24"/>
              </w:rPr>
              <w:t>目标3</w:t>
            </w:r>
            <w:r>
              <w:rPr>
                <w:rFonts w:hint="eastAsia" w:ascii="仿宋_GB2312" w:eastAsia="仿宋_GB2312" w:cs="仿宋_GB2312"/>
                <w:kern w:val="0"/>
                <w:sz w:val="24"/>
              </w:rPr>
              <w:t>：落实旅游扶贫项目4大类12个。全面提升完善旅游服务基础设施，高标准打造旅游景观景点。</w:t>
            </w:r>
          </w:p>
          <w:p>
            <w:pPr>
              <w:autoSpaceDN w:val="0"/>
              <w:spacing w:line="320" w:lineRule="exact"/>
              <w:textAlignment w:val="center"/>
              <w:rPr>
                <w:rFonts w:ascii="仿宋_GB2312" w:eastAsia="仿宋_GB2312" w:cs="仿宋_GB2312"/>
                <w:kern w:val="0"/>
                <w:sz w:val="24"/>
              </w:rPr>
            </w:pPr>
            <w:r>
              <w:rPr>
                <w:rFonts w:hint="eastAsia" w:ascii="仿宋_GB2312" w:eastAsia="仿宋_GB2312" w:cs="仿宋_GB2312"/>
                <w:kern w:val="0"/>
                <w:sz w:val="24"/>
              </w:rPr>
              <w:t>目标4:开展旅游管理、乡村旅游开发，对接visa集团开展旅游行业培训工作，制定《九寨沟县全域旅游人才培训提升三年规划（2018-2020）。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整体支出</w:t>
            </w:r>
          </w:p>
          <w:p>
            <w:pPr>
              <w:autoSpaceDN w:val="0"/>
              <w:spacing w:line="320" w:lineRule="exact"/>
              <w:jc w:val="center"/>
              <w:textAlignment w:val="center"/>
              <w:rPr>
                <w:rFonts w:ascii="仿宋_GB2312" w:eastAsia="仿宋_GB2312" w:cs="仿宋_GB2312"/>
                <w:sz w:val="24"/>
              </w:rPr>
            </w:pPr>
            <w:r>
              <w:rPr>
                <w:rFonts w:hint="eastAsia" w:ascii="仿宋_GB2312" w:eastAsia="仿宋_GB2312" w:cs="仿宋_GB2312"/>
                <w:sz w:val="24"/>
              </w:rPr>
              <w:t>绩效定量目标及实施计划完成情况</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评价内容</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绩效目标</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产出目标</w:t>
            </w:r>
          </w:p>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（部门工作实绩，包含上级部门和市委市政府布置的重点工作、实事任务等，根据部门实际进行调整细化）</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质量指标</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目标1：扎实推进灾后重建</w:t>
            </w:r>
          </w:p>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目标2：强化招商，吸引投资</w:t>
            </w:r>
          </w:p>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目标3：扎实推进旅游扶贫工作</w:t>
            </w:r>
          </w:p>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目标4：旅游宣传、培训及规范旅游市场</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spacing w:line="576" w:lineRule="exact"/>
              <w:rPr>
                <w:rFonts w:ascii="仿宋_GB2312" w:eastAsia="仿宋_GB2312" w:cs="仿宋_GB2312"/>
                <w:kern w:val="0"/>
                <w:sz w:val="24"/>
              </w:rPr>
            </w:pPr>
            <w:r>
              <w:rPr>
                <w:rFonts w:hint="eastAsia" w:ascii="仿宋_GB2312" w:eastAsia="仿宋_GB2312" w:cs="仿宋_GB2312"/>
                <w:kern w:val="0"/>
                <w:sz w:val="24"/>
              </w:rPr>
              <w:t>目标1：灾后重建项目：甘海子生态文化旅游区建设项目、神仙池生态文化旅游区建设项目、勿角民族生态旅游试验区建设项目、特色民宿及自驾营地建设等规划内项目均已开工建设 。</w:t>
            </w:r>
          </w:p>
          <w:p>
            <w:pPr>
              <w:spacing w:line="576" w:lineRule="exact"/>
              <w:rPr>
                <w:rFonts w:ascii="仿宋_GB2312" w:eastAsia="仿宋_GB2312" w:cs="仿宋_GB2312"/>
                <w:kern w:val="0"/>
                <w:sz w:val="24"/>
              </w:rPr>
            </w:pPr>
            <w:r>
              <w:rPr>
                <w:rFonts w:hint="eastAsia" w:ascii="仿宋_GB2312" w:eastAsia="仿宋_GB2312" w:cs="仿宋_GB2312"/>
                <w:kern w:val="0"/>
                <w:sz w:val="24"/>
              </w:rPr>
              <w:t>目标2：已与驴妈妈集团签订战略合作框架协议，与九寨鲁能公司、保华乡村旅游公司签订合作开发框架协议。</w:t>
            </w:r>
          </w:p>
          <w:p>
            <w:pPr>
              <w:spacing w:line="576" w:lineRule="exact"/>
              <w:rPr>
                <w:rFonts w:ascii="仿宋_GB2312" w:eastAsia="仿宋_GB2312" w:cs="仿宋_GB2312"/>
                <w:kern w:val="0"/>
                <w:sz w:val="24"/>
              </w:rPr>
            </w:pPr>
            <w:r>
              <w:rPr>
                <w:rFonts w:hint="eastAsia" w:ascii="仿宋_GB2312" w:eastAsia="仿宋_GB2312" w:cs="仿宋_GB2312"/>
                <w:kern w:val="0"/>
                <w:sz w:val="24"/>
              </w:rPr>
              <w:t>目标3：全面提升完善全县旅游基础服务设施，高标准打造景观景点，综合治理人居环境，发挥旅游业促农增收的积极作用；在草地乡上草地村以民办公助方式推进上草地村2018年村寨配套景观基础设施建设项目，实施栈道铺设、观景台、休闲亭建设等旅游基础设施建设工程。</w:t>
            </w:r>
          </w:p>
          <w:p>
            <w:pPr>
              <w:pBdr>
                <w:bottom w:val="single" w:color="FFFFFF" w:sz="6" w:space="11"/>
              </w:pBdr>
              <w:tabs>
                <w:tab w:val="left" w:pos="6695"/>
                <w:tab w:val="left" w:pos="6725"/>
              </w:tabs>
              <w:topLinePunct/>
              <w:adjustRightInd w:val="0"/>
              <w:spacing w:line="576" w:lineRule="exact"/>
              <w:textAlignment w:val="top"/>
              <w:rPr>
                <w:rFonts w:ascii="仿宋_GB2312" w:eastAsia="仿宋_GB2312" w:cs="仿宋_GB2312"/>
                <w:kern w:val="0"/>
                <w:sz w:val="24"/>
              </w:rPr>
            </w:pPr>
            <w:r>
              <w:rPr>
                <w:rFonts w:hint="eastAsia" w:ascii="仿宋_GB2312" w:eastAsia="仿宋_GB2312" w:cs="仿宋_GB2312"/>
                <w:kern w:val="0"/>
                <w:sz w:val="24"/>
              </w:rPr>
              <w:t xml:space="preserve">目标4：成功培育星级农家乐/乡村酒店32家、发展乡村特色业态17家。确定了四川广旺能源发展（集团）有限责任公司九寨度假村为全省旅游服务质量示范单位补助项目实施点，以开展震后接待的标准化建设、从业人员素质培训、管理和服务的标准化、特色化、精细化建设等工作为重点； </w:t>
            </w:r>
          </w:p>
          <w:p>
            <w:pPr>
              <w:pBdr>
                <w:bottom w:val="single" w:color="FFFFFF" w:sz="6" w:space="11"/>
              </w:pBdr>
              <w:tabs>
                <w:tab w:val="left" w:pos="6695"/>
                <w:tab w:val="left" w:pos="6725"/>
              </w:tabs>
              <w:topLinePunct/>
              <w:adjustRightInd w:val="0"/>
              <w:spacing w:line="576" w:lineRule="exact"/>
              <w:ind w:firstLine="480" w:firstLineChars="200"/>
              <w:textAlignment w:val="top"/>
              <w:rPr>
                <w:rFonts w:ascii="仿宋_GB2312" w:eastAsia="仿宋_GB2312" w:cs="仿宋_GB2312"/>
                <w:kern w:val="0"/>
                <w:sz w:val="24"/>
              </w:rPr>
            </w:pPr>
            <w:r>
              <w:rPr>
                <w:rFonts w:hint="eastAsia" w:ascii="仿宋_GB2312" w:eastAsia="仿宋_GB2312" w:cs="仿宋_GB2312"/>
                <w:kern w:val="0"/>
                <w:sz w:val="24"/>
              </w:rPr>
              <w:t>全面统筹推进对口帮扶工作。按照邛崃援建九寨沟县5+1贫困村旅游基础设施建设项目要求，全面统筹使用邛崃工商联“5+1”对口帮扶项目资金120万元。目前，所有项目建设内容全部完工。</w:t>
            </w:r>
          </w:p>
          <w:p>
            <w:pPr>
              <w:pBdr>
                <w:bottom w:val="single" w:color="FFFFFF" w:sz="6" w:space="11"/>
              </w:pBdr>
              <w:tabs>
                <w:tab w:val="left" w:pos="6695"/>
                <w:tab w:val="left" w:pos="6725"/>
              </w:tabs>
              <w:topLinePunct/>
              <w:adjustRightInd w:val="0"/>
              <w:spacing w:line="576" w:lineRule="exact"/>
              <w:ind w:firstLine="480" w:firstLineChars="200"/>
              <w:textAlignment w:val="top"/>
              <w:rPr>
                <w:rFonts w:ascii="仿宋_GB2312" w:eastAsia="仿宋_GB2312" w:cs="仿宋_GB2312"/>
                <w:kern w:val="0"/>
                <w:sz w:val="24"/>
              </w:rPr>
            </w:pPr>
            <w:r>
              <w:rPr>
                <w:rFonts w:hint="eastAsia" w:ascii="仿宋_GB2312" w:eastAsia="仿宋_GB2312" w:cs="仿宋_GB2312"/>
                <w:kern w:val="0"/>
                <w:sz w:val="24"/>
              </w:rPr>
              <w:t>（一）旅游接待情况。2018年我县共接待游客23.45万人次，同比减少95.12%，实现旅游收入1.71亿元，同比减少97.18%。</w:t>
            </w:r>
          </w:p>
          <w:p>
            <w:pPr>
              <w:pBdr>
                <w:bottom w:val="single" w:color="FFFFFF" w:sz="6" w:space="11"/>
              </w:pBdr>
              <w:tabs>
                <w:tab w:val="left" w:pos="6695"/>
                <w:tab w:val="left" w:pos="6725"/>
              </w:tabs>
              <w:topLinePunct/>
              <w:adjustRightInd w:val="0"/>
              <w:spacing w:line="576" w:lineRule="exact"/>
              <w:ind w:firstLine="480" w:firstLineChars="200"/>
              <w:textAlignment w:val="top"/>
              <w:rPr>
                <w:rFonts w:ascii="仿宋_GB2312" w:eastAsia="仿宋_GB2312" w:cs="仿宋_GB2312"/>
                <w:kern w:val="0"/>
                <w:sz w:val="24"/>
              </w:rPr>
            </w:pPr>
            <w:r>
              <w:rPr>
                <w:rFonts w:hint="eastAsia" w:ascii="仿宋_GB2312" w:eastAsia="仿宋_GB2312" w:cs="仿宋_GB2312"/>
                <w:kern w:val="0"/>
                <w:sz w:val="24"/>
              </w:rPr>
              <w:t>（二）注重规范管理，全力提升服务质量。在景区开园期间共检查宾馆饭店45家，准予开业40家，检查藏家乐9家，准予开业7家；加强对旅游企业的管理，鼓励酒店标准化建设。星宇国际大酒店申报“金鼎级”文化主题饭店，经省星评委专家评定后达“金鼎级”文化主题饭店标准；千鹤国际大酒店进行了酒店提档升级改造，投资金额8500万元，预计明年5月底能完成改造； 2018年撤销旅行社分社2家，新增旅行社2家，其中总社1家，分社1家，新增服务网点1家；开展旅游管理、旅游扶贫、乡村旅游开发等人员培训20余次、培训人数700余人次；选派3名乡村旅游致富带头人参加了由省旅发委组织的赴台湾学习交流；检查出安全隐患537条，经复查整改537条。</w:t>
            </w:r>
          </w:p>
          <w:p>
            <w:pPr>
              <w:pBdr>
                <w:bottom w:val="single" w:color="FFFFFF" w:sz="6" w:space="11"/>
              </w:pBdr>
              <w:tabs>
                <w:tab w:val="left" w:pos="6695"/>
                <w:tab w:val="left" w:pos="6725"/>
              </w:tabs>
              <w:topLinePunct/>
              <w:adjustRightInd w:val="0"/>
              <w:spacing w:line="576" w:lineRule="exact"/>
              <w:ind w:firstLine="480" w:firstLineChars="200"/>
              <w:textAlignment w:val="top"/>
              <w:rPr>
                <w:rFonts w:ascii="仿宋_GB2312" w:eastAsia="仿宋_GB2312" w:cs="仿宋_GB2312"/>
                <w:kern w:val="0"/>
                <w:sz w:val="24"/>
              </w:rPr>
            </w:pPr>
            <w:r>
              <w:rPr>
                <w:rFonts w:hint="eastAsia" w:ascii="仿宋_GB2312" w:eastAsia="仿宋_GB2312" w:cs="仿宋_GB2312"/>
                <w:kern w:val="0"/>
                <w:sz w:val="24"/>
              </w:rPr>
              <w:t>（三）加大宣传营销力度，着力提升旅游形象。一是积极参与各项推介活动。赴邛崃参加2018年四川花卉（果类）生态旅游节分会场暨第8届成都（邛崃）采茶节；赴香港、澳门参加香港第32届国际旅游展暨开展“熊猫走世界-美丽四川”九寨沟震后专题营销活动；围绕“全域旅游，美好生活”主题，组织开展“中国旅游日”宣传活动；积极参加第五届四川国际旅游交易博览会和第十七届中国西部国际博览会；参加“爱上嘉善”全域旅游杭州推介会暨友好县旅游协作项目签约仪式活动；二是深化开放合作。结合东西部扶贫协作工作，与浙江省嘉善县开展两地结对打造干部职工疗休养基地工作，借助嘉善旅发委在杭州举办大型旅游推介会平台，积极参与旅游产品推介、旅游商品展示、特色地方文化表演等活动，为提振市场信心打好基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数量指标</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指标1：推进灾后重建项目</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b/>
                <w:sz w:val="24"/>
              </w:rPr>
            </w:pPr>
            <w:r>
              <w:rPr>
                <w:rFonts w:hint="eastAsia" w:ascii="仿宋_GB2312" w:eastAsia="仿宋_GB2312" w:cs="仿宋_GB2312"/>
                <w:kern w:val="0"/>
                <w:sz w:val="24"/>
              </w:rPr>
              <w:t>累计完成投资3843.68万元，累计支付资金为1958.3701万元。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1"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p>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指标2:招商引资</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spacing w:line="576" w:lineRule="exact"/>
              <w:rPr>
                <w:rFonts w:ascii="仿宋_GB2312" w:eastAsia="仿宋_GB2312" w:cs="仿宋_GB2312"/>
                <w:kern w:val="0"/>
                <w:sz w:val="24"/>
              </w:rPr>
            </w:pPr>
            <w:r>
              <w:rPr>
                <w:rFonts w:hint="eastAsia" w:ascii="仿宋_GB2312" w:eastAsia="仿宋_GB2312" w:cs="仿宋_GB2312"/>
                <w:kern w:val="0"/>
                <w:sz w:val="24"/>
              </w:rPr>
              <w:t>达成社会主体融资意向2240万元，与九寨万豪旅游发展有限公司达成融资意向3340万元。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8"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 xml:space="preserve">指标3：旅游扶贫 </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b/>
                <w:sz w:val="24"/>
              </w:rPr>
            </w:pPr>
            <w:r>
              <w:rPr>
                <w:rFonts w:hint="eastAsia" w:ascii="仿宋_GB2312" w:eastAsia="仿宋_GB2312" w:cs="仿宋_GB2312"/>
                <w:kern w:val="0"/>
                <w:sz w:val="24"/>
              </w:rPr>
              <w:t>整合使用省级旅游扶贫专项资金1378.96万元，落实旅游扶贫项目4大类、12个。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指标4：旅游宣传、培训、规范旅游市场</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pBdr>
                <w:bottom w:val="single" w:color="FFFFFF" w:sz="6" w:space="11"/>
              </w:pBdr>
              <w:tabs>
                <w:tab w:val="left" w:pos="6695"/>
                <w:tab w:val="left" w:pos="6725"/>
              </w:tabs>
              <w:topLinePunct/>
              <w:adjustRightInd w:val="0"/>
              <w:spacing w:line="576" w:lineRule="exact"/>
              <w:textAlignment w:val="top"/>
              <w:rPr>
                <w:rFonts w:ascii="仿宋_GB2312" w:eastAsia="仿宋_GB2312" w:cs="仿宋_GB2312"/>
                <w:kern w:val="0"/>
                <w:sz w:val="24"/>
              </w:rPr>
            </w:pPr>
            <w:r>
              <w:rPr>
                <w:rFonts w:hint="eastAsia" w:ascii="仿宋_GB2312" w:eastAsia="仿宋_GB2312" w:cs="仿宋_GB2312"/>
                <w:kern w:val="0"/>
                <w:sz w:val="24"/>
              </w:rPr>
              <w:t>成功培育星级农家乐/乡村酒店32家、发展乡村特色业态17家，在景区开园期间共检查宾馆饭店45家，准予开业40家，检查藏家乐9家，准予开业7家。、乡村旅游开发等人员培训20余次、培训人数700余人次；选派3名乡村旅游致富带头人参加了由省旅发委组织的赴台湾学习交流；目前检查出安全隐患537条，经复查整改537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color w:val="000000"/>
                <w:sz w:val="24"/>
              </w:rPr>
            </w:pPr>
            <w:r>
              <w:rPr>
                <w:rFonts w:hint="eastAsia" w:ascii="仿宋_GB2312" w:eastAsia="仿宋_GB2312" w:cs="仿宋_GB2312"/>
                <w:color w:val="000000"/>
                <w:sz w:val="24"/>
              </w:rPr>
              <w:t>指标1：推进灾后重建项目</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textAlignment w:val="center"/>
              <w:rPr>
                <w:rFonts w:ascii="仿宋_GB2312" w:eastAsia="仿宋_GB2312" w:cs="仿宋_GB2312"/>
                <w:b/>
                <w:color w:val="000000"/>
                <w:sz w:val="24"/>
              </w:rPr>
            </w:pPr>
            <w:r>
              <w:rPr>
                <w:rFonts w:hint="eastAsia" w:ascii="仿宋_GB2312" w:eastAsia="仿宋_GB2312" w:cs="仿宋_GB2312"/>
                <w:color w:val="000000"/>
                <w:kern w:val="0"/>
                <w:sz w:val="24"/>
              </w:rPr>
              <w:t>按工程进度正常进行，完成前期要件办理。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指标2:招商引资</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kern w:val="0"/>
                <w:sz w:val="24"/>
              </w:rPr>
            </w:pPr>
            <w:r>
              <w:rPr>
                <w:rFonts w:hint="eastAsia" w:ascii="仿宋_GB2312" w:eastAsia="仿宋_GB2312" w:cs="仿宋_GB2312"/>
                <w:kern w:val="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color w:val="FF0000"/>
                <w:sz w:val="24"/>
              </w:rPr>
            </w:pPr>
            <w:r>
              <w:rPr>
                <w:rFonts w:hint="eastAsia" w:ascii="仿宋_GB2312" w:eastAsia="仿宋_GB2312" w:cs="仿宋_GB2312"/>
                <w:sz w:val="24"/>
              </w:rPr>
              <w:t>指标3：旅游扶贫</w:t>
            </w:r>
          </w:p>
          <w:p>
            <w:pPr>
              <w:autoSpaceDN w:val="0"/>
              <w:spacing w:line="320" w:lineRule="exact"/>
              <w:jc w:val="left"/>
              <w:textAlignment w:val="center"/>
              <w:rPr>
                <w:rFonts w:ascii="仿宋_GB2312" w:eastAsia="仿宋_GB2312" w:cs="仿宋_GB2312"/>
                <w:color w:val="FF0000"/>
                <w:sz w:val="24"/>
              </w:rPr>
            </w:pP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576" w:lineRule="exact"/>
              <w:rPr>
                <w:rFonts w:ascii="仿宋_GB2312" w:eastAsia="仿宋_GB2312" w:cs="仿宋_GB2312"/>
                <w:kern w:val="0"/>
                <w:sz w:val="24"/>
              </w:rPr>
            </w:pPr>
            <w:r>
              <w:rPr>
                <w:rFonts w:hint="eastAsia" w:ascii="仿宋_GB2312" w:eastAsia="仿宋_GB2312" w:cs="仿宋_GB2312"/>
                <w:kern w:val="0"/>
                <w:sz w:val="24"/>
              </w:rPr>
              <w:t>目前已完成了总工程量的98%，完成资金支付80万元。整合县级涉农整合资金135.5万元，在草地乡上草地村以民办公助方式推进上草地村2018年村寨配套景观基础设施建设项目。</w:t>
            </w:r>
          </w:p>
          <w:p>
            <w:pPr>
              <w:autoSpaceDN w:val="0"/>
              <w:spacing w:line="320" w:lineRule="exact"/>
              <w:jc w:val="center"/>
              <w:textAlignment w:val="center"/>
              <w:rPr>
                <w:rFonts w:ascii="仿宋_GB2312" w:eastAsia="仿宋_GB2312" w:cs="仿宋_GB2312"/>
                <w:b/>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指标4：旅游宣传、培训、规范旅游市场</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pBdr>
                <w:bottom w:val="single" w:color="FFFFFF" w:sz="6" w:space="11"/>
              </w:pBdr>
              <w:tabs>
                <w:tab w:val="left" w:pos="6695"/>
                <w:tab w:val="left" w:pos="6725"/>
              </w:tabs>
              <w:topLinePunct/>
              <w:adjustRightInd w:val="0"/>
              <w:spacing w:line="576" w:lineRule="exact"/>
              <w:textAlignment w:val="top"/>
              <w:rPr>
                <w:rFonts w:ascii="仿宋_GB2312" w:eastAsia="仿宋_GB2312" w:cs="仿宋_GB2312"/>
                <w:kern w:val="0"/>
                <w:sz w:val="24"/>
              </w:rPr>
            </w:pPr>
            <w:r>
              <w:rPr>
                <w:rFonts w:hint="eastAsia" w:ascii="仿宋_GB2312" w:eastAsia="仿宋_GB2312" w:cs="仿宋_GB2312"/>
                <w:kern w:val="0"/>
                <w:sz w:val="24"/>
              </w:rPr>
              <w:t>5座旅游厕所改建项目，目前已完成4座，1座正进入工程扫尾施工阶段。</w:t>
            </w:r>
          </w:p>
          <w:p>
            <w:pPr>
              <w:autoSpaceDN w:val="0"/>
              <w:spacing w:line="320" w:lineRule="exact"/>
              <w:textAlignment w:val="center"/>
              <w:rPr>
                <w:rFonts w:ascii="仿宋_GB2312" w:eastAsia="仿宋_GB2312" w:cs="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color w:val="000000"/>
                <w:sz w:val="24"/>
              </w:rPr>
            </w:pPr>
            <w:r>
              <w:rPr>
                <w:rFonts w:hint="eastAsia" w:ascii="仿宋_GB2312" w:eastAsia="仿宋_GB2312" w:cs="仿宋_GB2312"/>
                <w:color w:val="000000"/>
                <w:sz w:val="24"/>
              </w:rPr>
              <w:t>指标</w:t>
            </w:r>
            <w:r>
              <w:rPr>
                <w:rFonts w:hint="eastAsia" w:ascii="仿宋_GB2312" w:eastAsia="仿宋_GB2312" w:cs="仿宋_GB2312"/>
                <w:sz w:val="24"/>
              </w:rPr>
              <w:t>1：推进灾后重建项目</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b/>
                <w:color w:val="FF0000"/>
                <w:sz w:val="24"/>
              </w:rPr>
            </w:pPr>
            <w:r>
              <w:rPr>
                <w:rFonts w:hint="eastAsia" w:ascii="仿宋_GB2312" w:eastAsia="仿宋_GB2312" w:cs="仿宋_GB2312"/>
                <w:kern w:val="0"/>
                <w:sz w:val="24"/>
              </w:rPr>
              <w:t>累计完成投资3843.68万元，累计支付资金为1958.3701万元。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指标2:招商引资</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b/>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color w:val="FF0000"/>
                <w:sz w:val="24"/>
              </w:rPr>
            </w:pPr>
            <w:r>
              <w:rPr>
                <w:rFonts w:hint="eastAsia" w:ascii="仿宋_GB2312" w:eastAsia="仿宋_GB2312" w:cs="仿宋_GB2312"/>
                <w:sz w:val="24"/>
              </w:rPr>
              <w:t>指标3：旅游扶贫</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b/>
                <w:color w:val="FF0000"/>
                <w:sz w:val="24"/>
              </w:rPr>
            </w:pPr>
            <w:r>
              <w:rPr>
                <w:rFonts w:hint="eastAsia" w:ascii="仿宋_GB2312" w:eastAsia="仿宋_GB2312" w:cs="仿宋_GB2312"/>
                <w:kern w:val="0"/>
                <w:sz w:val="24"/>
              </w:rPr>
              <w:t>整合使用省级旅游扶贫专项资金1378.96万元，全面统筹使用邛崃工商联“5+1”对口帮扶项目资金120万元。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textAlignment w:val="center"/>
              <w:rPr>
                <w:rFonts w:ascii="仿宋_GB2312" w:eastAsia="仿宋_GB2312" w:cs="仿宋_GB2312"/>
                <w:sz w:val="24"/>
              </w:rPr>
            </w:pPr>
            <w:r>
              <w:rPr>
                <w:rFonts w:hint="eastAsia" w:ascii="仿宋_GB2312" w:eastAsia="仿宋_GB2312" w:cs="仿宋_GB2312"/>
                <w:sz w:val="24"/>
              </w:rPr>
              <w:t>指标2:招商引资</w:t>
            </w:r>
          </w:p>
          <w:p>
            <w:pPr>
              <w:autoSpaceDN w:val="0"/>
              <w:spacing w:line="320" w:lineRule="exact"/>
              <w:jc w:val="left"/>
              <w:textAlignment w:val="center"/>
              <w:rPr>
                <w:rFonts w:ascii="仿宋_GB2312" w:eastAsia="仿宋_GB2312" w:cs="仿宋_GB2312"/>
                <w:sz w:val="24"/>
              </w:rPr>
            </w:pP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b/>
                <w:sz w:val="24"/>
              </w:rPr>
            </w:pPr>
            <w:r>
              <w:rPr>
                <w:rFonts w:hint="eastAsia" w:ascii="仿宋_GB2312" w:eastAsia="仿宋_GB2312" w:cs="仿宋_GB2312"/>
                <w:b/>
                <w:sz w:val="24"/>
              </w:rPr>
              <w:t>已见成效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指标3：旅游扶贫</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b/>
                <w:sz w:val="24"/>
              </w:rPr>
            </w:pPr>
            <w:r>
              <w:rPr>
                <w:rFonts w:hint="eastAsia" w:ascii="仿宋_GB2312" w:eastAsia="仿宋_GB2312" w:cs="仿宋_GB2312"/>
                <w:b/>
                <w:sz w:val="24"/>
              </w:rPr>
              <w:t>已见成效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指标4：旅游宣传、培训、规范旅游市场</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b/>
                <w:sz w:val="24"/>
              </w:rPr>
            </w:pPr>
            <w:r>
              <w:rPr>
                <w:rFonts w:hint="eastAsia" w:ascii="仿宋_GB2312" w:eastAsia="仿宋_GB2312" w:cs="仿宋_GB2312"/>
                <w:b/>
                <w:sz w:val="24"/>
              </w:rPr>
              <w:t>已见成效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经济效益</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指标1：人民生活水平提高</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b/>
                <w:sz w:val="24"/>
              </w:rPr>
            </w:pPr>
            <w:r>
              <w:rPr>
                <w:rFonts w:hint="eastAsia" w:ascii="仿宋_GB2312" w:eastAsia="仿宋_GB2312" w:cs="仿宋_GB2312"/>
                <w:b/>
                <w:sz w:val="24"/>
              </w:rPr>
              <w:t>已见成效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生态效益</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指标1……</w:t>
            </w: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tc>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社会公众或服务对象满意度</w:t>
            </w:r>
          </w:p>
        </w:tc>
        <w:tc>
          <w:tcPr>
            <w:tcW w:w="1343"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sz w:val="24"/>
              </w:rPr>
            </w:pPr>
            <w:r>
              <w:rPr>
                <w:rFonts w:hint="eastAsia" w:ascii="仿宋_GB2312" w:eastAsia="仿宋_GB2312" w:cs="仿宋_GB2312"/>
                <w:sz w:val="24"/>
              </w:rPr>
              <w:t>指标1：脱贫攻坚群众满意度</w:t>
            </w:r>
          </w:p>
          <w:p>
            <w:pPr>
              <w:autoSpaceDN w:val="0"/>
              <w:spacing w:line="320" w:lineRule="exact"/>
              <w:jc w:val="left"/>
              <w:textAlignment w:val="center"/>
              <w:rPr>
                <w:rFonts w:ascii="仿宋_GB2312" w:eastAsia="仿宋_GB2312" w:cs="仿宋_GB2312"/>
                <w:sz w:val="24"/>
              </w:rPr>
            </w:pPr>
          </w:p>
        </w:tc>
        <w:tc>
          <w:tcPr>
            <w:tcW w:w="4189" w:type="dxa"/>
            <w:gridSpan w:val="5"/>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b/>
                <w:sz w:val="24"/>
              </w:rPr>
            </w:pPr>
            <w:r>
              <w:rPr>
                <w:rFonts w:hint="eastAsia" w:ascii="仿宋_GB2312" w:eastAsia="仿宋_GB2312" w:cs="仿宋_GB2312"/>
                <w:b/>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2" w:hRule="atLeast"/>
          <w:jc w:val="center"/>
        </w:trPr>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绩效自评综合得分</w:t>
            </w:r>
          </w:p>
        </w:tc>
        <w:tc>
          <w:tcPr>
            <w:tcW w:w="6762" w:type="dxa"/>
            <w:gridSpan w:val="8"/>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98.5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评价等次</w:t>
            </w:r>
          </w:p>
        </w:tc>
        <w:tc>
          <w:tcPr>
            <w:tcW w:w="6762" w:type="dxa"/>
            <w:gridSpan w:val="8"/>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textAlignment w:val="center"/>
              <w:rPr>
                <w:rFonts w:ascii="仿宋_GB2312" w:eastAsia="仿宋_GB2312" w:cs="仿宋_GB2312"/>
                <w:color w:val="FF0000"/>
                <w:sz w:val="24"/>
              </w:rPr>
            </w:pPr>
          </w:p>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8516" w:type="dxa"/>
            <w:gridSpan w:val="10"/>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p>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姓  名</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职务/职称</w:t>
            </w:r>
          </w:p>
        </w:tc>
        <w:tc>
          <w:tcPr>
            <w:tcW w:w="2783" w:type="dxa"/>
            <w:gridSpan w:val="4"/>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单  位</w:t>
            </w:r>
          </w:p>
        </w:tc>
        <w:tc>
          <w:tcPr>
            <w:tcW w:w="2749"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ind w:firstLine="240" w:firstLineChars="100"/>
              <w:textAlignment w:val="center"/>
              <w:rPr>
                <w:rFonts w:ascii="仿宋_GB2312" w:eastAsia="仿宋_GB2312" w:cs="仿宋_GB2312"/>
                <w:color w:val="000000"/>
                <w:sz w:val="24"/>
              </w:rPr>
            </w:pPr>
            <w:r>
              <w:rPr>
                <w:rFonts w:hint="eastAsia" w:ascii="仿宋_GB2312" w:eastAsia="仿宋_GB2312" w:cs="仿宋_GB2312"/>
                <w:color w:val="000000"/>
                <w:sz w:val="24"/>
              </w:rPr>
              <w:t>蔡宏</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 副局长</w:t>
            </w:r>
          </w:p>
        </w:tc>
        <w:tc>
          <w:tcPr>
            <w:tcW w:w="2783" w:type="dxa"/>
            <w:gridSpan w:val="4"/>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原旅游发展局</w:t>
            </w:r>
          </w:p>
        </w:tc>
        <w:tc>
          <w:tcPr>
            <w:tcW w:w="2749"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欧娅</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副局长 </w:t>
            </w:r>
          </w:p>
        </w:tc>
        <w:tc>
          <w:tcPr>
            <w:tcW w:w="2783" w:type="dxa"/>
            <w:gridSpan w:val="4"/>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jc w:val="center"/>
              <w:rPr>
                <w:rFonts w:ascii="仿宋_GB2312" w:eastAsia="仿宋_GB2312" w:cs="仿宋_GB2312"/>
                <w:color w:val="000000"/>
              </w:rPr>
            </w:pPr>
            <w:r>
              <w:rPr>
                <w:rFonts w:hint="eastAsia" w:ascii="仿宋_GB2312" w:eastAsia="仿宋_GB2312" w:cs="仿宋_GB2312"/>
                <w:color w:val="000000"/>
                <w:sz w:val="24"/>
              </w:rPr>
              <w:t>原旅游发展局</w:t>
            </w:r>
          </w:p>
        </w:tc>
        <w:tc>
          <w:tcPr>
            <w:tcW w:w="2749"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p>
          <w:p>
            <w:pPr>
              <w:autoSpaceDN w:val="0"/>
              <w:spacing w:line="320" w:lineRule="exact"/>
              <w:textAlignment w:val="center"/>
              <w:rPr>
                <w:rFonts w:asci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赵富楠 </w:t>
            </w:r>
          </w:p>
        </w:tc>
        <w:tc>
          <w:tcPr>
            <w:tcW w:w="2312" w:type="dxa"/>
            <w:gridSpan w:val="2"/>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 办公室副主任</w:t>
            </w:r>
          </w:p>
        </w:tc>
        <w:tc>
          <w:tcPr>
            <w:tcW w:w="2783" w:type="dxa"/>
            <w:gridSpan w:val="4"/>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tcPr>
          <w:p>
            <w:pPr>
              <w:jc w:val="center"/>
              <w:rPr>
                <w:rFonts w:ascii="仿宋_GB2312" w:eastAsia="仿宋_GB2312" w:cs="仿宋_GB2312"/>
                <w:color w:val="000000"/>
              </w:rPr>
            </w:pPr>
            <w:r>
              <w:rPr>
                <w:rFonts w:hint="eastAsia" w:ascii="仿宋_GB2312" w:eastAsia="仿宋_GB2312" w:cs="仿宋_GB2312"/>
                <w:color w:val="000000"/>
                <w:sz w:val="24"/>
              </w:rPr>
              <w:t>原旅游发展局</w:t>
            </w:r>
          </w:p>
        </w:tc>
        <w:tc>
          <w:tcPr>
            <w:tcW w:w="2749" w:type="dxa"/>
            <w:gridSpan w:val="3"/>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center"/>
              <w:textAlignment w:val="center"/>
              <w:rPr>
                <w:rFonts w:asci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59" w:hRule="atLeast"/>
          <w:jc w:val="center"/>
        </w:trPr>
        <w:tc>
          <w:tcPr>
            <w:tcW w:w="8516" w:type="dxa"/>
            <w:gridSpan w:val="10"/>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color w:val="000000"/>
                <w:sz w:val="24"/>
              </w:rPr>
            </w:pPr>
            <w:r>
              <w:rPr>
                <w:rFonts w:hint="eastAsia" w:ascii="仿宋_GB2312" w:eastAsia="仿宋_GB2312" w:cs="仿宋_GB2312"/>
                <w:color w:val="000000"/>
                <w:sz w:val="24"/>
              </w:rPr>
              <w:t>评价组组长（签字）：</w:t>
            </w:r>
          </w:p>
          <w:p>
            <w:pPr>
              <w:autoSpaceDN w:val="0"/>
              <w:spacing w:line="320" w:lineRule="exact"/>
              <w:jc w:val="left"/>
              <w:textAlignment w:val="center"/>
              <w:rPr>
                <w:rFonts w:ascii="仿宋_GB2312" w:eastAsia="仿宋_GB2312" w:cs="仿宋_GB2312"/>
                <w:color w:val="000000"/>
                <w:sz w:val="24"/>
              </w:rPr>
            </w:pPr>
          </w:p>
          <w:p>
            <w:pPr>
              <w:autoSpaceDN w:val="0"/>
              <w:spacing w:line="320" w:lineRule="exact"/>
              <w:jc w:val="left"/>
              <w:textAlignment w:val="center"/>
              <w:rPr>
                <w:rFonts w:ascii="仿宋_GB2312" w:eastAsia="仿宋_GB2312" w:cs="仿宋_GB2312"/>
                <w:color w:val="000000"/>
                <w:sz w:val="24"/>
              </w:rPr>
            </w:pPr>
          </w:p>
          <w:p>
            <w:pPr>
              <w:autoSpaceDN w:val="0"/>
              <w:spacing w:line="320" w:lineRule="exact"/>
              <w:jc w:val="left"/>
              <w:textAlignment w:val="center"/>
              <w:rPr>
                <w:rFonts w:ascii="仿宋_GB2312" w:eastAsia="仿宋_GB2312" w:cs="仿宋_GB2312"/>
                <w:color w:val="000000"/>
                <w:sz w:val="24"/>
              </w:rPr>
            </w:pPr>
          </w:p>
          <w:p>
            <w:pPr>
              <w:autoSpaceDN w:val="0"/>
              <w:spacing w:line="320" w:lineRule="exact"/>
              <w:jc w:val="left"/>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3" w:hRule="atLeast"/>
          <w:jc w:val="center"/>
        </w:trPr>
        <w:tc>
          <w:tcPr>
            <w:tcW w:w="8516" w:type="dxa"/>
            <w:gridSpan w:val="10"/>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autoSpaceDN w:val="0"/>
              <w:spacing w:line="320" w:lineRule="exact"/>
              <w:jc w:val="left"/>
              <w:textAlignment w:val="center"/>
              <w:rPr>
                <w:rFonts w:ascii="仿宋_GB2312" w:eastAsia="仿宋_GB2312" w:cs="仿宋_GB2312"/>
                <w:color w:val="000000"/>
                <w:sz w:val="24"/>
              </w:rPr>
            </w:pPr>
            <w:r>
              <w:rPr>
                <w:rFonts w:hint="eastAsia" w:ascii="仿宋_GB2312" w:eastAsia="仿宋_GB2312" w:cs="仿宋_GB2312"/>
                <w:color w:val="000000"/>
                <w:sz w:val="24"/>
              </w:rPr>
              <w:t>部门（单位）意见：</w:t>
            </w:r>
          </w:p>
          <w:p>
            <w:pPr>
              <w:autoSpaceDN w:val="0"/>
              <w:spacing w:line="320" w:lineRule="exact"/>
              <w:jc w:val="left"/>
              <w:textAlignment w:val="center"/>
              <w:rPr>
                <w:rFonts w:ascii="仿宋_GB2312" w:eastAsia="仿宋_GB2312" w:cs="仿宋_GB2312"/>
                <w:color w:val="000000"/>
                <w:sz w:val="24"/>
              </w:rPr>
            </w:pPr>
          </w:p>
          <w:p>
            <w:pPr>
              <w:autoSpaceDN w:val="0"/>
              <w:spacing w:line="320" w:lineRule="exact"/>
              <w:jc w:val="left"/>
              <w:textAlignment w:val="center"/>
              <w:rPr>
                <w:rFonts w:ascii="仿宋_GB2312" w:eastAsia="仿宋_GB2312" w:cs="仿宋_GB2312"/>
                <w:color w:val="000000"/>
                <w:sz w:val="24"/>
              </w:rPr>
            </w:pPr>
          </w:p>
          <w:p>
            <w:pPr>
              <w:autoSpaceDN w:val="0"/>
              <w:spacing w:line="320" w:lineRule="exact"/>
              <w:jc w:val="left"/>
              <w:textAlignment w:val="center"/>
              <w:rPr>
                <w:rFonts w:ascii="仿宋_GB2312" w:eastAsia="仿宋_GB2312" w:cs="仿宋_GB2312"/>
                <w:color w:val="000000"/>
                <w:sz w:val="24"/>
              </w:rPr>
            </w:pPr>
          </w:p>
          <w:p>
            <w:pPr>
              <w:autoSpaceDN w:val="0"/>
              <w:spacing w:line="320" w:lineRule="exact"/>
              <w:jc w:val="left"/>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                                      部门（单位）负责人（签章）：</w:t>
            </w:r>
          </w:p>
          <w:p>
            <w:pPr>
              <w:autoSpaceDN w:val="0"/>
              <w:spacing w:line="320" w:lineRule="exact"/>
              <w:jc w:val="left"/>
              <w:textAlignment w:val="center"/>
              <w:rPr>
                <w:rFonts w:ascii="仿宋_GB2312" w:eastAsia="仿宋_GB2312" w:cs="仿宋_GB2312"/>
                <w:color w:val="000000"/>
                <w:sz w:val="24"/>
              </w:rPr>
            </w:pPr>
            <w:r>
              <w:rPr>
                <w:rFonts w:hint="eastAsia" w:asci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4" w:hRule="atLeast"/>
          <w:jc w:val="center"/>
        </w:trPr>
        <w:tc>
          <w:tcPr>
            <w:tcW w:w="8516" w:type="dxa"/>
            <w:gridSpan w:val="10"/>
            <w:tcBorders>
              <w:top w:val="single" w:color="000000" w:sz="4" w:space="0"/>
              <w:left w:val="single" w:color="000000" w:sz="4" w:space="0"/>
              <w:bottom w:val="single" w:color="000000" w:sz="4" w:space="0"/>
              <w:right w:val="single" w:color="000000" w:sz="4" w:space="0"/>
            </w:tcBorders>
            <w:shd w:val="clear" w:color="auto" w:fill="auto"/>
            <w:tcMar>
              <w:left w:w="15" w:type="dxa"/>
              <w:right w:w="15" w:type="dxa"/>
            </w:tcMar>
            <w:vAlign w:val="center"/>
          </w:tcPr>
          <w:p>
            <w:pPr>
              <w:spacing w:line="320" w:lineRule="exact"/>
              <w:rPr>
                <w:rFonts w:ascii="仿宋_GB2312" w:eastAsia="仿宋_GB2312" w:cs="仿宋_GB2312"/>
                <w:sz w:val="24"/>
              </w:rPr>
            </w:pPr>
            <w:r>
              <w:rPr>
                <w:rFonts w:hint="eastAsia" w:ascii="仿宋_GB2312" w:eastAsia="仿宋_GB2312" w:cs="仿宋_GB2312"/>
                <w:sz w:val="24"/>
              </w:rPr>
              <w:t>财政部门归口业务股室意见：</w:t>
            </w:r>
          </w:p>
          <w:p>
            <w:pPr>
              <w:spacing w:line="320" w:lineRule="exact"/>
              <w:rPr>
                <w:rFonts w:ascii="仿宋_GB2312" w:eastAsia="仿宋_GB2312" w:cs="仿宋_GB2312"/>
                <w:sz w:val="24"/>
              </w:rPr>
            </w:pPr>
          </w:p>
          <w:p>
            <w:pPr>
              <w:spacing w:line="320" w:lineRule="exact"/>
              <w:rPr>
                <w:rFonts w:ascii="仿宋_GB2312" w:eastAsia="仿宋_GB2312" w:cs="仿宋_GB2312"/>
                <w:sz w:val="24"/>
              </w:rPr>
            </w:pPr>
          </w:p>
          <w:p>
            <w:pPr>
              <w:spacing w:line="320" w:lineRule="exact"/>
              <w:rPr>
                <w:rFonts w:ascii="仿宋_GB2312" w:eastAsia="仿宋_GB2312" w:cs="仿宋_GB2312"/>
                <w:sz w:val="24"/>
              </w:rPr>
            </w:pPr>
            <w:r>
              <w:rPr>
                <w:rFonts w:hint="eastAsia" w:ascii="仿宋_GB2312" w:eastAsia="仿宋_GB2312" w:cs="仿宋_GB2312"/>
                <w:sz w:val="24"/>
              </w:rPr>
              <w:t xml:space="preserve">                                财政部门归口业务股室负责人（签章）：</w:t>
            </w:r>
          </w:p>
          <w:p>
            <w:pPr>
              <w:autoSpaceDN w:val="0"/>
              <w:spacing w:line="320" w:lineRule="exact"/>
              <w:jc w:val="left"/>
              <w:textAlignment w:val="center"/>
              <w:rPr>
                <w:rFonts w:ascii="仿宋_GB2312" w:eastAsia="仿宋_GB2312" w:cs="仿宋_GB2312"/>
                <w:color w:val="000000"/>
                <w:sz w:val="24"/>
              </w:rPr>
            </w:pPr>
            <w:r>
              <w:rPr>
                <w:rFonts w:hint="eastAsia" w:ascii="仿宋_GB2312" w:eastAsia="仿宋_GB2312" w:cs="仿宋_GB2312"/>
                <w:sz w:val="24"/>
              </w:rPr>
              <w:t xml:space="preserve">                                                       年    月   日</w:t>
            </w:r>
          </w:p>
        </w:tc>
      </w:tr>
    </w:tbl>
    <w:p>
      <w:pPr>
        <w:spacing w:line="580" w:lineRule="exact"/>
        <w:ind w:firstLine="640" w:firstLineChars="200"/>
        <w:rPr>
          <w:rFonts w:ascii="仿宋_GB2312" w:eastAsia="仿宋_GB2312" w:cs="仿宋_GB2312"/>
          <w:color w:val="7030A0"/>
          <w:sz w:val="32"/>
          <w:szCs w:val="32"/>
        </w:rPr>
      </w:pPr>
    </w:p>
    <w:tbl>
      <w:tblPr>
        <w:tblStyle w:val="1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Borders>
              <w:top w:val="single" w:color="auto" w:sz="4" w:space="0"/>
              <w:left w:val="single" w:color="auto" w:sz="4" w:space="0"/>
              <w:bottom w:val="single" w:color="auto" w:sz="4" w:space="0"/>
              <w:right w:val="single" w:color="auto" w:sz="4" w:space="0"/>
            </w:tcBorders>
            <w:shd w:val="clear" w:color="auto" w:fill="auto"/>
          </w:tcPr>
          <w:p>
            <w:pPr>
              <w:widowControl/>
              <w:spacing w:line="220" w:lineRule="atLeast"/>
              <w:ind w:right="-197" w:rightChars="-94" w:firstLine="646" w:firstLineChars="202"/>
              <w:jc w:val="center"/>
              <w:rPr>
                <w:rFonts w:ascii="仿宋" w:eastAsia="仿宋" w:cs="仿宋_GB2312"/>
                <w:sz w:val="32"/>
                <w:szCs w:val="32"/>
              </w:rPr>
            </w:pPr>
            <w:r>
              <w:rPr>
                <w:rFonts w:hint="eastAsia" w:ascii="仿宋" w:eastAsia="仿宋" w:cs="仿宋_GB2312"/>
                <w:sz w:val="32"/>
                <w:szCs w:val="32"/>
              </w:rPr>
              <w:t>五、评价报告综述（文字部分）</w:t>
            </w:r>
          </w:p>
          <w:p>
            <w:pPr>
              <w:pStyle w:val="13"/>
              <w:adjustRightInd w:val="0"/>
              <w:snapToGrid w:val="0"/>
              <w:spacing w:before="94" w:beforeLines="30" w:afterAutospacing="1" w:line="220" w:lineRule="atLeast"/>
              <w:ind w:right="-197" w:rightChars="-94" w:firstLine="646" w:firstLineChars="202"/>
              <w:rPr>
                <w:rFonts w:ascii="仿宋" w:eastAsia="仿宋" w:cs="仿宋_GB2312"/>
                <w:kern w:val="2"/>
                <w:sz w:val="32"/>
                <w:szCs w:val="32"/>
              </w:rPr>
            </w:pPr>
            <w:r>
              <w:rPr>
                <w:rFonts w:ascii="仿宋" w:eastAsia="仿宋" w:cs="仿宋_GB2312"/>
                <w:kern w:val="2"/>
                <w:sz w:val="32"/>
                <w:szCs w:val="32"/>
              </w:rPr>
              <w:t>一、部门概况</w:t>
            </w:r>
          </w:p>
          <w:p>
            <w:pPr>
              <w:pStyle w:val="13"/>
              <w:adjustRightInd w:val="0"/>
              <w:snapToGrid w:val="0"/>
              <w:spacing w:before="94" w:beforeLines="30" w:afterAutospacing="1" w:line="220" w:lineRule="atLeast"/>
              <w:ind w:right="-197" w:rightChars="-94" w:firstLine="646" w:firstLineChars="202"/>
              <w:rPr>
                <w:rFonts w:ascii="仿宋" w:eastAsia="仿宋" w:cs="仿宋_GB2312"/>
                <w:kern w:val="2"/>
                <w:sz w:val="32"/>
                <w:szCs w:val="32"/>
              </w:rPr>
            </w:pPr>
            <w:r>
              <w:rPr>
                <w:rFonts w:ascii="仿宋" w:eastAsia="仿宋" w:cs="仿宋_GB2312"/>
                <w:kern w:val="2"/>
                <w:sz w:val="32"/>
                <w:szCs w:val="32"/>
              </w:rPr>
              <w:t>　旅游发展局下设直属管理单位1个:县旅游市场综合执法局，为财政全额拨款参照公务发管理正科级事业单位（执法局经费单独核算），事业编制36名，设局长1名（正科级）、副局长2名（副科级），股级领导职数6名。另外：旅游发展局下设3个股级事业单位：旅游信息咨询中心，编制10个；乡村旅游管理办公室，编制19个；县旅游网络服务管理中心，编制4个。</w:t>
            </w:r>
          </w:p>
          <w:p>
            <w:pPr>
              <w:pStyle w:val="13"/>
              <w:adjustRightInd w:val="0"/>
              <w:snapToGrid w:val="0"/>
              <w:spacing w:before="94" w:beforeLines="30" w:afterAutospacing="1" w:line="220" w:lineRule="atLeast"/>
              <w:ind w:right="-197" w:rightChars="-94" w:firstLine="646" w:firstLineChars="202"/>
              <w:rPr>
                <w:rFonts w:ascii="仿宋" w:eastAsia="仿宋" w:cs="仿宋_GB2312"/>
                <w:kern w:val="2"/>
                <w:sz w:val="32"/>
                <w:szCs w:val="32"/>
              </w:rPr>
            </w:pPr>
            <w:r>
              <w:rPr>
                <w:rFonts w:ascii="仿宋" w:eastAsia="仿宋" w:cs="仿宋_GB2312"/>
                <w:kern w:val="2"/>
                <w:sz w:val="32"/>
                <w:szCs w:val="32"/>
              </w:rPr>
              <w:t>内设四个设机构：办公室、质量规范统计教育培训股、规划开发监督股、政策法规股。行政编制10名，其中局长1名，副局长3名；纪检、监察局派驻纪检组长1名，股级领导职数4名，机关工勤人员编制2名。</w:t>
            </w:r>
          </w:p>
          <w:p>
            <w:pPr>
              <w:pStyle w:val="13"/>
              <w:adjustRightInd w:val="0"/>
              <w:snapToGrid w:val="0"/>
              <w:spacing w:before="94" w:beforeLines="30" w:afterAutospacing="1" w:line="220" w:lineRule="atLeast"/>
              <w:ind w:right="-197" w:rightChars="-94" w:firstLine="646" w:firstLineChars="202"/>
              <w:rPr>
                <w:rFonts w:ascii="仿宋" w:eastAsia="仿宋" w:cs="仿宋_GB2312"/>
                <w:kern w:val="2"/>
                <w:sz w:val="32"/>
                <w:szCs w:val="32"/>
              </w:rPr>
            </w:pPr>
            <w:r>
              <w:rPr>
                <w:rFonts w:ascii="仿宋" w:eastAsia="仿宋" w:cs="仿宋_GB2312"/>
                <w:kern w:val="2"/>
                <w:sz w:val="32"/>
                <w:szCs w:val="32"/>
              </w:rPr>
              <w:t>部门整体支出规模、使用方向和主要内容、涉及范围</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1、组织相关行政执法部门开展旅游发展，开展旅游市场的专项整治活动；整顿和规范旅游市场秩序。</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2、协调公安、规划建设、国土、工商、物价、质监、食品药品监管、安全、卫生、文化、交通、劳动保障、宗教、旅游、环境保护等行政管理部门行使行政执法权，对违法违规涉旅企业、旅游个体经营者及旅游从业人员依法进行检查和处罚。</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3、负责全县旅游服务质量监督管理，完善旅游企业服务质量监督体系；认真查处各类旅游投诉案件，依据有关法规对涉案的违规经营者和从业人员给予处罚。</w:t>
            </w:r>
          </w:p>
          <w:p>
            <w:pPr>
              <w:pStyle w:val="13"/>
              <w:adjustRightInd w:val="0"/>
              <w:snapToGrid w:val="0"/>
              <w:spacing w:before="94" w:beforeLines="30" w:afterAutospacing="1" w:line="220" w:lineRule="atLeast"/>
              <w:ind w:right="-197" w:rightChars="-94" w:firstLine="646" w:firstLineChars="202"/>
              <w:rPr>
                <w:rFonts w:ascii="仿宋" w:eastAsia="仿宋" w:cs="仿宋_GB2312"/>
                <w:kern w:val="2"/>
                <w:sz w:val="32"/>
                <w:szCs w:val="32"/>
              </w:rPr>
            </w:pPr>
            <w:r>
              <w:rPr>
                <w:rFonts w:ascii="仿宋" w:eastAsia="仿宋" w:cs="仿宋_GB2312"/>
                <w:kern w:val="2"/>
                <w:sz w:val="32"/>
                <w:szCs w:val="32"/>
              </w:rPr>
              <w:t>4、针对全县旅游市场的变化，开展旅游执法调研，提出完善管理和综合治理的意见；宣传和执行国家、省、州的政策和法律法规。</w:t>
            </w:r>
          </w:p>
          <w:p>
            <w:pPr>
              <w:pStyle w:val="13"/>
              <w:adjustRightInd w:val="0"/>
              <w:snapToGrid w:val="0"/>
              <w:spacing w:before="94" w:beforeLines="30" w:afterAutospacing="1" w:line="220" w:lineRule="atLeast"/>
              <w:ind w:right="-197" w:rightChars="-94"/>
              <w:rPr>
                <w:rFonts w:ascii="仿宋" w:eastAsia="仿宋" w:cs="仿宋_GB2312"/>
                <w:kern w:val="2"/>
                <w:sz w:val="32"/>
                <w:szCs w:val="32"/>
              </w:rPr>
            </w:pPr>
            <w:r>
              <w:rPr>
                <w:rFonts w:ascii="仿宋" w:eastAsia="仿宋" w:cs="仿宋_GB2312"/>
                <w:kern w:val="2"/>
                <w:sz w:val="32"/>
                <w:szCs w:val="32"/>
              </w:rPr>
              <w:t>二、部门整体支出管理及使用情况</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旅游发展局2018年财政拨款收支总预算426.56万元。收入包括：本年一般公共预算拨款收入426.56万元、上年结转一般公共预算拨款收入0万元；支出包括：商业服务业等支出310.96万元、社会保障和就业支出59.18万元、医疗卫生与计划生育支出26.06万元、住房保障支出30.36万元。</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三、一般公共预算当年拨款情况说明</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（一）一般公共预算当年拨款规模变化情况</w:t>
            </w:r>
          </w:p>
          <w:p>
            <w:pPr>
              <w:widowControl/>
              <w:spacing w:line="220" w:lineRule="atLeast"/>
              <w:ind w:right="-197" w:rightChars="-94" w:firstLine="960" w:firstLineChars="300"/>
              <w:jc w:val="left"/>
              <w:rPr>
                <w:rFonts w:ascii="仿宋" w:eastAsia="仿宋" w:cs="仿宋_GB2312"/>
                <w:sz w:val="32"/>
                <w:szCs w:val="32"/>
              </w:rPr>
            </w:pPr>
            <w:r>
              <w:rPr>
                <w:rFonts w:hint="eastAsia" w:ascii="仿宋" w:eastAsia="仿宋" w:cs="仿宋_GB2312"/>
                <w:sz w:val="32"/>
                <w:szCs w:val="32"/>
              </w:rPr>
              <w:t>旅游发展局2018年一般公共预算当年拨款426.56万元，比2017年预算数减少30.12万元。主要是部门实施养老保险制度后，增加养老保险和职业年金支出, 商业服务等支出（类）旅游业管理与服务支出（款）行政运行（项）有所减少。</w:t>
            </w:r>
          </w:p>
          <w:p>
            <w:pPr>
              <w:widowControl/>
              <w:spacing w:line="220" w:lineRule="atLeast"/>
              <w:ind w:right="-197" w:rightChars="-94" w:firstLine="966" w:firstLineChars="302"/>
              <w:jc w:val="left"/>
              <w:rPr>
                <w:rFonts w:ascii="仿宋" w:eastAsia="仿宋" w:cs="仿宋_GB2312"/>
                <w:sz w:val="32"/>
                <w:szCs w:val="32"/>
              </w:rPr>
            </w:pPr>
            <w:r>
              <w:rPr>
                <w:rFonts w:hint="eastAsia" w:ascii="仿宋" w:eastAsia="仿宋" w:cs="仿宋_GB2312"/>
                <w:sz w:val="32"/>
                <w:szCs w:val="32"/>
              </w:rPr>
              <w:t>（二）一般公共预算当年拨款结构情况</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商业服务等支出310.96万元，占72.37%；社会保障和就业支出59.18万元，占13.87%；医疗卫生与计划生育支出26.06万元，占6.11%；住房保障支出30.36万元，占7.12%。</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（三）一般公共预算当年拨款具体使用情况</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1.商业服务等支出（216）旅游业管理与服务支出（05）行政运行（01）:2018年预算数为310.96万元，主要用于：单位正常运转的基本支出，包括基本工资、津贴补贴等人员经费以及办公费、印刷费、水电费等日常公用经费。</w:t>
            </w:r>
          </w:p>
          <w:p>
            <w:pPr>
              <w:widowControl/>
              <w:spacing w:line="220" w:lineRule="atLeast"/>
              <w:ind w:right="-197" w:rightChars="-94" w:firstLine="806" w:firstLineChars="252"/>
              <w:jc w:val="left"/>
              <w:rPr>
                <w:rFonts w:ascii="仿宋" w:eastAsia="仿宋" w:cs="仿宋_GB2312"/>
                <w:sz w:val="32"/>
                <w:szCs w:val="32"/>
              </w:rPr>
            </w:pPr>
            <w:r>
              <w:rPr>
                <w:rFonts w:hint="eastAsia" w:ascii="仿宋" w:eastAsia="仿宋" w:cs="仿宋_GB2312"/>
                <w:sz w:val="32"/>
                <w:szCs w:val="32"/>
              </w:rPr>
              <w:t>2.医疗卫生与计划生育（210）行政事业单位医疗（11）公务员医疗补助（03）:2018年预算数为26.06万元，主要用于：单位集中缴纳公务员和事业人员医疗补助支出。</w:t>
            </w:r>
          </w:p>
          <w:p>
            <w:pPr>
              <w:widowControl/>
              <w:spacing w:line="220" w:lineRule="atLeast"/>
              <w:ind w:right="-197" w:rightChars="-94" w:firstLine="800" w:firstLineChars="250"/>
              <w:jc w:val="left"/>
              <w:rPr>
                <w:rFonts w:ascii="仿宋" w:eastAsia="仿宋" w:cs="仿宋_GB2312"/>
                <w:sz w:val="32"/>
                <w:szCs w:val="32"/>
              </w:rPr>
            </w:pPr>
            <w:r>
              <w:rPr>
                <w:rFonts w:hint="eastAsia" w:ascii="仿宋" w:eastAsia="仿宋" w:cs="仿宋_GB2312"/>
                <w:sz w:val="32"/>
                <w:szCs w:val="32"/>
              </w:rPr>
              <w:t xml:space="preserve"> 3.住房保障（221）住房改革支出（02）住房公积金（01）:2018年预算数为30.36万元，主要用于：部门按人力资源和社会保障部、财政部规定的基本工资和津贴补贴以及规定比例为职工缴纳的住房公积金支出。 </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xml:space="preserve">　4.社会保障和就业（208）行政事业单位离退休（05）事业单位离退休（05）:2018年预算数为59.18万元，主要用于：实施养老保险制度后，部门按规定由单位缴纳的基本养老保险费支出。 </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四、一般公共预算基本支出情况说明</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旅游发展局2018年一般公共预算基本支出426.56万元，其中：</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人员经费388.48万元，主要包括：基本工资、津贴补贴、奖金、社会保险缴费、绩效工资、机关事业单位基本养老保险缴费、职业年金缴费、其他工资福利支出、、住房公积金、其他对个人和家庭的补助支出。</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公用经费38.08万元，主要包括：办公费、印刷费、手续费、水费、电费、邮电费、差旅费、维修（护）费、会议费、培训费、劳务费、工会经费、福利费、其他交通费、其他商品和服务支出。</w:t>
            </w:r>
          </w:p>
          <w:p>
            <w:pPr>
              <w:widowControl/>
              <w:spacing w:line="220" w:lineRule="atLeast"/>
              <w:ind w:right="-197" w:rightChars="-94" w:firstLine="960" w:firstLineChars="300"/>
              <w:jc w:val="left"/>
              <w:rPr>
                <w:rFonts w:ascii="仿宋" w:eastAsia="仿宋" w:cs="仿宋_GB2312"/>
                <w:sz w:val="32"/>
                <w:szCs w:val="32"/>
              </w:rPr>
            </w:pPr>
            <w:r>
              <w:rPr>
                <w:rFonts w:hint="eastAsia" w:ascii="仿宋" w:eastAsia="仿宋" w:cs="仿宋_GB2312"/>
                <w:sz w:val="32"/>
                <w:szCs w:val="32"/>
              </w:rPr>
              <w:t>五、“三公”经费财政拨款预算安排情况说明</w:t>
            </w:r>
          </w:p>
          <w:p>
            <w:pPr>
              <w:widowControl/>
              <w:spacing w:line="220" w:lineRule="atLeast"/>
              <w:ind w:right="-197" w:rightChars="-94"/>
              <w:jc w:val="left"/>
              <w:rPr>
                <w:rFonts w:ascii="仿宋" w:eastAsia="仿宋" w:cs="仿宋_GB2312"/>
                <w:sz w:val="32"/>
                <w:szCs w:val="32"/>
              </w:rPr>
            </w:pPr>
            <w:r>
              <w:rPr>
                <w:rFonts w:hint="eastAsia" w:ascii="仿宋" w:eastAsia="仿宋" w:cs="仿宋_GB2312"/>
                <w:sz w:val="32"/>
                <w:szCs w:val="32"/>
              </w:rPr>
              <w:t>（一）因公出国（境）经费较2017年预算增长0%。主要原因是未发生因工出国（境）。</w:t>
            </w:r>
          </w:p>
          <w:p>
            <w:pPr>
              <w:widowControl/>
              <w:spacing w:line="220" w:lineRule="atLeast"/>
              <w:ind w:right="-197" w:rightChars="-94"/>
              <w:jc w:val="left"/>
              <w:rPr>
                <w:rFonts w:ascii="仿宋" w:eastAsia="仿宋" w:cs="仿宋_GB2312"/>
                <w:sz w:val="32"/>
                <w:szCs w:val="32"/>
              </w:rPr>
            </w:pPr>
            <w:r>
              <w:rPr>
                <w:rFonts w:hint="eastAsia" w:ascii="仿宋" w:eastAsia="仿宋" w:cs="仿宋_GB2312"/>
                <w:sz w:val="32"/>
                <w:szCs w:val="32"/>
              </w:rPr>
              <w:t>（二）公务接待费与2017年预算增加3.06%。主要原因是2017年九寨沟县“8.8”地震，公务接待费计划用于执行公务、考察调研、检查指导等公务活动开支的交通费、住宿费、用餐费等。</w:t>
            </w:r>
          </w:p>
          <w:p>
            <w:pPr>
              <w:widowControl/>
              <w:spacing w:line="220" w:lineRule="atLeast"/>
              <w:ind w:right="-197" w:rightChars="-94"/>
              <w:jc w:val="left"/>
              <w:rPr>
                <w:rFonts w:ascii="仿宋" w:eastAsia="仿宋" w:cs="仿宋_GB2312"/>
                <w:sz w:val="32"/>
                <w:szCs w:val="32"/>
              </w:rPr>
            </w:pPr>
            <w:r>
              <w:rPr>
                <w:rFonts w:hint="eastAsia" w:ascii="仿宋" w:eastAsia="仿宋" w:cs="仿宋_GB2312"/>
                <w:sz w:val="32"/>
                <w:szCs w:val="32"/>
              </w:rPr>
              <w:t>（三）公务用车购置及运行维护费比上年减少50%。主要原因是进一步规范了公务用车管理。</w:t>
            </w:r>
          </w:p>
          <w:p>
            <w:pPr>
              <w:widowControl/>
              <w:spacing w:line="220" w:lineRule="atLeast"/>
              <w:ind w:right="-197" w:rightChars="-94" w:firstLine="640" w:firstLineChars="200"/>
              <w:jc w:val="left"/>
              <w:rPr>
                <w:rFonts w:ascii="仿宋" w:eastAsia="仿宋" w:cs="仿宋_GB2312"/>
                <w:sz w:val="32"/>
                <w:szCs w:val="32"/>
              </w:rPr>
            </w:pPr>
            <w:r>
              <w:rPr>
                <w:rFonts w:hint="eastAsia" w:ascii="仿宋" w:eastAsia="仿宋" w:cs="仿宋_GB2312"/>
                <w:sz w:val="32"/>
                <w:szCs w:val="32"/>
              </w:rPr>
              <w:t>单位现有公务用车2辆，其中：轿车1辆、执法用车1辆。</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2018年未安排公务用车购置费。</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2018年安排公务用车运行维护费6万元，用于2辆公务用车公务用车燃油、过路（桥）、维修、保险等方面支出，主要保障机关单位发展改革工作调研、脱贫攻坚、灾后重建项目检查等工作开展。</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六、政府性基金预算支出情况说明</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旅游发展局2018年没有使用政府性基金预算拨款安排的支出。</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七、其他重要事项的情况说明</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（一）机关运行经费</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2018年，旅游发展局机关单位的机关运行经费财政拨款预算为38.08万元，比2017年预算增加6.46万元，增长20.43%。</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（二）政府采购情况</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2018年，旅游发展局安排政府采购预算0万元，财政没有安排政府采购预算。</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（三）国有资产占有使用情况</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截至2017年底，旅游发展局所属各预算单位共有车辆2辆，其中，轿车1辆、执法用车1辆。单位价值200万元以上大型设备0台（套）。</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2018年部门预算未安排购置车辆及单位价值200万元以上大型设备。</w:t>
            </w:r>
          </w:p>
          <w:p>
            <w:pPr>
              <w:widowControl/>
              <w:spacing w:line="220" w:lineRule="atLeast"/>
              <w:ind w:right="-197" w:rightChars="-94" w:firstLine="1126" w:firstLineChars="352"/>
              <w:jc w:val="left"/>
              <w:rPr>
                <w:rFonts w:ascii="仿宋" w:eastAsia="仿宋" w:cs="仿宋_GB2312"/>
                <w:sz w:val="32"/>
                <w:szCs w:val="32"/>
              </w:rPr>
            </w:pPr>
            <w:r>
              <w:rPr>
                <w:rFonts w:hint="eastAsia" w:ascii="仿宋" w:eastAsia="仿宋" w:cs="仿宋_GB2312"/>
                <w:sz w:val="32"/>
                <w:szCs w:val="32"/>
              </w:rPr>
              <w:t>八、部门整体支出绩效情况</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xml:space="preserve">本单位履职效益情况良好，对各项支出严格按照预算额度进行控制，本年预算配置方面，财政供养人员控制在预算编制以内，编制内在职人员控制率小于100%， </w:t>
            </w:r>
            <w:r>
              <w:rPr>
                <w:rFonts w:hint="eastAsia" w:ascii="仿宋" w:eastAsia="仿宋" w:cs="仿宋_GB2312"/>
                <w:sz w:val="32"/>
                <w:szCs w:val="32"/>
                <w:lang w:eastAsia="zh-CN"/>
              </w:rPr>
              <w:t>“三公”经费</w:t>
            </w:r>
            <w:bookmarkStart w:id="75" w:name="_GoBack"/>
            <w:bookmarkEnd w:id="75"/>
            <w:r>
              <w:rPr>
                <w:rFonts w:hint="eastAsia" w:ascii="仿宋" w:eastAsia="仿宋" w:cs="仿宋_GB2312"/>
                <w:sz w:val="32"/>
                <w:szCs w:val="32"/>
              </w:rPr>
              <w:t>控制较好。</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预算管理方面较好，本着厉行节俭、只减不增的原则，严格执行“三公”经费标准和审批制度与程序，公用经费、三公经费都得到了有效控制。</w:t>
            </w:r>
          </w:p>
          <w:p>
            <w:pPr>
              <w:widowControl/>
              <w:shd w:val="clear" w:color="auto" w:fill="FFFFFF"/>
              <w:spacing w:line="220" w:lineRule="atLeast"/>
              <w:ind w:right="-197" w:rightChars="-94" w:firstLine="646" w:firstLineChars="202"/>
              <w:jc w:val="left"/>
              <w:rPr>
                <w:rFonts w:ascii="仿宋" w:eastAsia="仿宋" w:cs="仿宋_GB2312"/>
                <w:sz w:val="32"/>
                <w:szCs w:val="32"/>
                <w:shd w:val="clear" w:color="auto" w:fill="FFFFFF"/>
              </w:rPr>
            </w:pPr>
            <w:r>
              <w:rPr>
                <w:rFonts w:hint="eastAsia" w:ascii="仿宋" w:eastAsia="仿宋" w:cs="仿宋_GB2312"/>
                <w:sz w:val="32"/>
                <w:szCs w:val="32"/>
                <w:shd w:val="clear" w:color="auto" w:fill="FFFFFF"/>
              </w:rPr>
              <w:t>我单位建立健全了财政收支管理、预算管理、资产管理制度等一系列内部控制制度，制度执行总体有效。</w:t>
            </w:r>
          </w:p>
          <w:p>
            <w:pPr>
              <w:widowControl/>
              <w:shd w:val="clear" w:color="auto" w:fill="FFFFFF"/>
              <w:spacing w:line="220" w:lineRule="atLeast"/>
              <w:ind w:right="-197" w:rightChars="-94" w:firstLine="646" w:firstLineChars="202"/>
              <w:jc w:val="left"/>
              <w:rPr>
                <w:rFonts w:ascii="仿宋" w:eastAsia="仿宋" w:cs="仿宋_GB2312"/>
                <w:sz w:val="32"/>
                <w:szCs w:val="32"/>
                <w:shd w:val="clear" w:color="auto" w:fill="FFFFFF"/>
              </w:rPr>
            </w:pPr>
            <w:r>
              <w:rPr>
                <w:rFonts w:hint="eastAsia" w:ascii="仿宋" w:eastAsia="仿宋" w:cs="仿宋_GB2312"/>
                <w:sz w:val="32"/>
                <w:szCs w:val="32"/>
                <w:shd w:val="clear" w:color="auto" w:fill="FFFFFF"/>
              </w:rPr>
              <w:t>根据部门整体支出绩效评价指标体系，我单位2018年度评分为98.5分。</w:t>
            </w:r>
          </w:p>
          <w:p>
            <w:pPr>
              <w:widowControl/>
              <w:spacing w:line="220" w:lineRule="atLeast"/>
              <w:ind w:right="-197" w:rightChars="-94" w:firstLine="646" w:firstLineChars="202"/>
              <w:jc w:val="left"/>
              <w:outlineLvl w:val="0"/>
              <w:rPr>
                <w:rFonts w:ascii="仿宋" w:eastAsia="仿宋" w:cs="仿宋_GB2312"/>
                <w:sz w:val="32"/>
                <w:szCs w:val="32"/>
              </w:rPr>
            </w:pPr>
            <w:r>
              <w:rPr>
                <w:rFonts w:hint="eastAsia" w:ascii="仿宋" w:eastAsia="仿宋" w:cs="仿宋_GB2312"/>
                <w:sz w:val="32"/>
                <w:szCs w:val="32"/>
              </w:rPr>
              <w:t>九、存在的主要问题</w:t>
            </w:r>
            <w:r>
              <w:rPr>
                <w:rFonts w:hint="eastAsia" w:ascii="仿宋" w:eastAsia="仿宋" w:cs="仿宋_GB2312"/>
                <w:sz w:val="32"/>
                <w:szCs w:val="32"/>
              </w:rPr>
              <w:tab/>
            </w:r>
          </w:p>
          <w:p>
            <w:pPr>
              <w:widowControl/>
              <w:spacing w:line="220" w:lineRule="atLeast"/>
              <w:ind w:right="-197" w:rightChars="-94" w:firstLine="646" w:firstLineChars="202"/>
              <w:jc w:val="left"/>
              <w:outlineLvl w:val="0"/>
              <w:rPr>
                <w:rFonts w:ascii="仿宋" w:eastAsia="仿宋" w:cs="仿宋_GB2312"/>
                <w:sz w:val="32"/>
                <w:szCs w:val="32"/>
              </w:rPr>
            </w:pPr>
            <w:r>
              <w:rPr>
                <w:rFonts w:hint="eastAsia" w:ascii="仿宋" w:eastAsia="仿宋" w:cs="仿宋_GB2312"/>
                <w:sz w:val="32"/>
                <w:szCs w:val="32"/>
              </w:rPr>
              <w:t>通过前述对我单位整体支出情况的分析，反映出目前在整体支出的预算编制、执行和管理过程中，依然存在一些问题和不足：</w:t>
            </w:r>
          </w:p>
          <w:p>
            <w:pPr>
              <w:widowControl/>
              <w:spacing w:line="220" w:lineRule="atLeast"/>
              <w:ind w:left="485" w:right="-197" w:rightChars="-94"/>
              <w:jc w:val="left"/>
              <w:outlineLvl w:val="0"/>
              <w:rPr>
                <w:rFonts w:ascii="仿宋" w:eastAsia="仿宋" w:cs="仿宋_GB2312"/>
                <w:sz w:val="32"/>
                <w:szCs w:val="32"/>
              </w:rPr>
            </w:pPr>
            <w:r>
              <w:rPr>
                <w:rFonts w:hint="eastAsia" w:ascii="仿宋" w:eastAsia="仿宋" w:cs="仿宋_GB2312"/>
                <w:sz w:val="32"/>
                <w:szCs w:val="32"/>
              </w:rPr>
              <w:t>项目资金结余多,原因是部分灾后重建项目推进缓慢，另外地震后资产被盗较多。</w:t>
            </w:r>
          </w:p>
          <w:p>
            <w:pPr>
              <w:widowControl/>
              <w:spacing w:line="220" w:lineRule="atLeast"/>
              <w:ind w:right="-197" w:rightChars="-94" w:firstLine="646" w:firstLineChars="202"/>
              <w:jc w:val="left"/>
              <w:outlineLvl w:val="0"/>
              <w:rPr>
                <w:rFonts w:ascii="仿宋" w:eastAsia="仿宋" w:cs="仿宋_GB2312"/>
                <w:sz w:val="32"/>
                <w:szCs w:val="32"/>
              </w:rPr>
            </w:pPr>
            <w:r>
              <w:rPr>
                <w:rFonts w:hint="eastAsia" w:ascii="仿宋" w:eastAsia="仿宋" w:cs="仿宋_GB2312"/>
                <w:sz w:val="32"/>
                <w:szCs w:val="32"/>
              </w:rPr>
              <w:t>十、改进措施和建议</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 xml:space="preserve">1、遵循预算管理办法，对于年度无法预计的临时追加的相关工作所需费用和结余资金确保资金严格按照预算专项资金使用程序申报及使用，按照预算项目和使用用途执行。 </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2、预算财务分析常态化。定期做好支出预算财务分析，及时对费用预算执行情况进行通报和预警，定期对执行情况进行检查，做好部门整体支出预算评价工作。</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3、加强公务卡管理，及时结算费用，提高公务卡使用率。</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4、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p>
            <w:pPr>
              <w:widowControl/>
              <w:spacing w:line="220" w:lineRule="atLeast"/>
              <w:ind w:right="-197" w:rightChars="-94" w:firstLine="646" w:firstLineChars="202"/>
              <w:jc w:val="left"/>
              <w:rPr>
                <w:rFonts w:ascii="仿宋" w:eastAsia="仿宋" w:cs="仿宋_GB2312"/>
                <w:sz w:val="32"/>
                <w:szCs w:val="32"/>
              </w:rPr>
            </w:pPr>
            <w:r>
              <w:rPr>
                <w:rFonts w:hint="eastAsia" w:ascii="仿宋" w:eastAsia="仿宋" w:cs="仿宋_GB2312"/>
                <w:sz w:val="32"/>
                <w:szCs w:val="32"/>
              </w:rPr>
              <w:t>5、针对指标文下达工作，尽早计划和开展年度专项的申报，加强报批工作的沟通和跟踪，及时落实项目专项的报批进度和指标文的下达，尽早取得资金的拨付，保障项目资金的投入进度，发挥资金的使用效益。</w:t>
            </w:r>
          </w:p>
          <w:p>
            <w:pPr>
              <w:widowControl/>
              <w:spacing w:line="220" w:lineRule="atLeast"/>
              <w:ind w:right="-197" w:rightChars="-94" w:firstLine="646" w:firstLineChars="202"/>
              <w:jc w:val="left"/>
              <w:rPr>
                <w:rFonts w:ascii="仿宋_GB2312" w:eastAsia="仿宋_GB2312" w:cs="仿宋_GB2312"/>
                <w:sz w:val="24"/>
              </w:rPr>
            </w:pPr>
            <w:r>
              <w:rPr>
                <w:rFonts w:hint="eastAsia" w:ascii="仿宋" w:eastAsia="仿宋" w:cs="仿宋_GB2312"/>
                <w:sz w:val="32"/>
                <w:szCs w:val="32"/>
              </w:rPr>
              <w:t>6、在项目资金及时到位的前提下，加快项目实施进度的推进，加强项目开展进度的跟踪，开展项目绩效评价，确保项目绩效目标的完成。</w:t>
            </w:r>
          </w:p>
        </w:tc>
      </w:tr>
    </w:tbl>
    <w:p>
      <w:pPr>
        <w:pStyle w:val="3"/>
        <w:rPr>
          <w:rStyle w:val="20"/>
          <w:rFonts w:ascii="仿宋" w:eastAsia="仿宋"/>
          <w:b w:val="0"/>
          <w:bCs w:val="0"/>
          <w:sz w:val="32"/>
          <w:szCs w:val="32"/>
        </w:rPr>
      </w:pPr>
      <w:r>
        <w:rPr>
          <w:rFonts w:ascii="仿宋_GB2312" w:eastAsia="仿宋_GB2312" w:cs="仿宋_GB2312"/>
          <w:color w:val="7030A0"/>
        </w:rPr>
        <w:br w:type="page"/>
      </w:r>
      <w:bookmarkStart w:id="60" w:name="_Toc15396617"/>
      <w:r>
        <w:rPr>
          <w:rStyle w:val="20"/>
          <w:rFonts w:hint="eastAsia" w:ascii="仿宋" w:eastAsia="仿宋"/>
          <w:b w:val="0"/>
          <w:bCs w:val="0"/>
          <w:sz w:val="32"/>
          <w:szCs w:val="32"/>
        </w:rPr>
        <w:t>附件2</w:t>
      </w:r>
      <w:bookmarkEnd w:id="60"/>
      <w:r>
        <w:rPr>
          <w:rStyle w:val="20"/>
          <w:rFonts w:hint="eastAsia" w:ascii="仿宋" w:eastAsia="仿宋"/>
          <w:b w:val="0"/>
          <w:bCs w:val="0"/>
          <w:sz w:val="32"/>
          <w:szCs w:val="32"/>
        </w:rPr>
        <w:t>-1</w:t>
      </w:r>
    </w:p>
    <w:p>
      <w:pPr>
        <w:widowControl/>
        <w:jc w:val="left"/>
        <w:rPr>
          <w:rFonts w:ascii="仿宋_GB2312" w:eastAsia="仿宋_GB2312" w:cs="仿宋_GB2312"/>
          <w:color w:val="7030A0"/>
          <w:sz w:val="32"/>
          <w:szCs w:val="32"/>
        </w:rPr>
      </w:pPr>
    </w:p>
    <w:p>
      <w:pPr>
        <w:jc w:val="center"/>
        <w:rPr>
          <w:rFonts w:ascii="方正小标宋简体" w:eastAsia="方正小标宋简体" w:cs="方正小标宋简体"/>
          <w:b/>
          <w:bCs/>
          <w:sz w:val="44"/>
          <w:szCs w:val="44"/>
        </w:rPr>
      </w:pPr>
      <w:bookmarkStart w:id="61" w:name="_Toc15396618"/>
      <w:r>
        <w:rPr>
          <w:rFonts w:hint="eastAsia" w:ascii="方正小标宋简体" w:eastAsia="方正小标宋简体" w:cs="方正小标宋简体"/>
          <w:b/>
          <w:bCs/>
          <w:sz w:val="44"/>
          <w:szCs w:val="44"/>
        </w:rPr>
        <w:t>2018年度旅游扶贫项目</w:t>
      </w:r>
    </w:p>
    <w:p>
      <w:pPr>
        <w:jc w:val="center"/>
        <w:rPr>
          <w:rFonts w:ascii="方正小标宋简体" w:eastAsia="方正小标宋简体" w:cs="方正小标宋简体"/>
          <w:b/>
          <w:bCs/>
          <w:sz w:val="44"/>
          <w:szCs w:val="44"/>
        </w:rPr>
      </w:pPr>
      <w:r>
        <w:rPr>
          <w:rFonts w:hint="eastAsia" w:ascii="方正小标宋简体" w:eastAsia="方正小标宋简体" w:cs="方正小标宋简体"/>
          <w:b/>
          <w:bCs/>
          <w:sz w:val="44"/>
          <w:szCs w:val="44"/>
        </w:rPr>
        <w:t>绩效自评报告</w:t>
      </w:r>
    </w:p>
    <w:p>
      <w:pPr>
        <w:pStyle w:val="15"/>
        <w:spacing w:line="500" w:lineRule="exact"/>
        <w:ind w:left="0" w:leftChars="0" w:firstLine="0" w:firstLineChars="0"/>
        <w:rPr>
          <w:rFonts w:ascii="黑体" w:eastAsia="黑体" w:cs="黑体"/>
          <w:b/>
          <w:bCs/>
          <w:sz w:val="32"/>
          <w:szCs w:val="32"/>
        </w:rPr>
      </w:pPr>
      <w:r>
        <w:rPr>
          <w:rFonts w:hint="eastAsia" w:ascii="黑体" w:eastAsia="黑体" w:cs="黑体"/>
          <w:b/>
          <w:bCs/>
          <w:sz w:val="32"/>
          <w:szCs w:val="32"/>
        </w:rPr>
        <w:t xml:space="preserve">  一、绩效目标投入情况分析</w:t>
      </w:r>
    </w:p>
    <w:p>
      <w:pPr>
        <w:pStyle w:val="15"/>
        <w:spacing w:line="500" w:lineRule="exact"/>
        <w:ind w:left="0" w:leftChars="0"/>
        <w:rPr>
          <w:rFonts w:ascii="仿宋" w:eastAsia="仿宋" w:cs="仿宋"/>
          <w:b/>
          <w:bCs/>
          <w:sz w:val="32"/>
          <w:szCs w:val="32"/>
        </w:rPr>
      </w:pPr>
      <w:r>
        <w:rPr>
          <w:rFonts w:hint="eastAsia" w:ascii="仿宋" w:eastAsia="仿宋" w:cs="仿宋"/>
          <w:b/>
          <w:bCs/>
          <w:sz w:val="32"/>
          <w:szCs w:val="32"/>
        </w:rPr>
        <w:t>1、项目资金到位情况分析</w:t>
      </w:r>
    </w:p>
    <w:p>
      <w:pPr>
        <w:pStyle w:val="15"/>
        <w:spacing w:line="500" w:lineRule="exact"/>
        <w:ind w:left="0" w:leftChars="0"/>
        <w:rPr>
          <w:rFonts w:ascii="仿宋" w:eastAsia="仿宋" w:cs="仿宋"/>
          <w:sz w:val="32"/>
          <w:szCs w:val="32"/>
        </w:rPr>
      </w:pPr>
      <w:r>
        <w:rPr>
          <w:rFonts w:hint="eastAsia" w:ascii="仿宋" w:eastAsia="仿宋" w:cs="仿宋"/>
          <w:sz w:val="32"/>
          <w:szCs w:val="32"/>
        </w:rPr>
        <w:t>2018年旅游扶贫项目实际投入资金1514.46万元并于当年及时到位，并且严格按照项目资金使用办法使用。</w:t>
      </w:r>
    </w:p>
    <w:p>
      <w:pPr>
        <w:pStyle w:val="15"/>
        <w:spacing w:line="500" w:lineRule="exact"/>
        <w:ind w:left="0" w:leftChars="0"/>
        <w:rPr>
          <w:rFonts w:ascii="仿宋" w:eastAsia="仿宋" w:cs="仿宋"/>
          <w:b/>
          <w:bCs/>
          <w:sz w:val="32"/>
          <w:szCs w:val="32"/>
        </w:rPr>
      </w:pPr>
      <w:r>
        <w:rPr>
          <w:rFonts w:hint="eastAsia" w:ascii="仿宋" w:eastAsia="仿宋" w:cs="仿宋"/>
          <w:b/>
          <w:bCs/>
          <w:sz w:val="32"/>
          <w:szCs w:val="32"/>
        </w:rPr>
        <w:t>2、项目资金执行情况分析</w:t>
      </w:r>
    </w:p>
    <w:p>
      <w:pPr>
        <w:pStyle w:val="15"/>
        <w:spacing w:line="500" w:lineRule="exact"/>
        <w:ind w:left="0" w:leftChars="0"/>
        <w:rPr>
          <w:rFonts w:ascii="仿宋" w:eastAsia="仿宋" w:cs="仿宋"/>
          <w:sz w:val="32"/>
          <w:szCs w:val="32"/>
        </w:rPr>
      </w:pPr>
      <w:r>
        <w:rPr>
          <w:rFonts w:hint="eastAsia" w:ascii="仿宋" w:eastAsia="仿宋" w:cs="仿宋"/>
          <w:sz w:val="32"/>
          <w:szCs w:val="32"/>
        </w:rPr>
        <w:t>为确保我县旅游扶贫专项2018年度各项重点工作任务的圆满完成，2018年旅游扶贫资金1514.4万元，其中：中央资金0万元、省级资金1378.96万元、县级涉农整合资金135.5万元。共分别用于13个旅游扶贫项目，其中，省级旅游扶贫专项12个，下达资金1378.96万元，县级涉农整合资金项目1个，下达资金135.5万元。完成率100%。</w:t>
      </w:r>
    </w:p>
    <w:p>
      <w:pPr>
        <w:pStyle w:val="15"/>
        <w:spacing w:line="500" w:lineRule="exact"/>
        <w:ind w:left="0" w:leftChars="0"/>
        <w:rPr>
          <w:rFonts w:ascii="仿宋" w:eastAsia="仿宋" w:cs="仿宋"/>
          <w:b/>
          <w:bCs/>
          <w:sz w:val="32"/>
          <w:szCs w:val="32"/>
        </w:rPr>
      </w:pPr>
      <w:r>
        <w:rPr>
          <w:rFonts w:hint="eastAsia" w:ascii="仿宋" w:eastAsia="仿宋" w:cs="仿宋"/>
          <w:b/>
          <w:bCs/>
          <w:sz w:val="32"/>
          <w:szCs w:val="32"/>
        </w:rPr>
        <w:t>3、项目资金管理情况分析</w:t>
      </w:r>
    </w:p>
    <w:p>
      <w:pPr>
        <w:pStyle w:val="15"/>
        <w:spacing w:line="500" w:lineRule="exact"/>
        <w:ind w:left="0" w:leftChars="0"/>
        <w:rPr>
          <w:rFonts w:ascii="仿宋" w:eastAsia="仿宋" w:cs="仿宋"/>
          <w:sz w:val="32"/>
          <w:szCs w:val="32"/>
        </w:rPr>
      </w:pPr>
      <w:r>
        <w:rPr>
          <w:rFonts w:hint="eastAsia" w:ascii="仿宋" w:eastAsia="仿宋" w:cs="仿宋"/>
          <w:sz w:val="32"/>
          <w:szCs w:val="32"/>
        </w:rPr>
        <w:t>旅游扶贫专项工作办公室严格按照单位财务制度和预算支出范围使用。按照项目计划和实际工作情况开支，做到了专款专用，经费均按照有关文件、通知精神执行。</w:t>
      </w:r>
    </w:p>
    <w:p>
      <w:pPr>
        <w:pStyle w:val="15"/>
        <w:spacing w:line="500" w:lineRule="exact"/>
        <w:ind w:left="0" w:leftChars="0"/>
        <w:rPr>
          <w:rFonts w:ascii="仿宋" w:eastAsia="仿宋" w:cs="仿宋"/>
          <w:b/>
          <w:bCs/>
          <w:sz w:val="32"/>
          <w:szCs w:val="32"/>
        </w:rPr>
      </w:pPr>
      <w:r>
        <w:rPr>
          <w:rFonts w:hint="eastAsia" w:ascii="仿宋" w:eastAsia="仿宋" w:cs="仿宋"/>
          <w:b/>
          <w:bCs/>
          <w:sz w:val="32"/>
          <w:szCs w:val="32"/>
        </w:rPr>
        <w:t>（二）、绩效目标完成情况分析</w:t>
      </w:r>
    </w:p>
    <w:p>
      <w:pPr>
        <w:spacing w:line="500" w:lineRule="exact"/>
        <w:ind w:firstLine="640" w:firstLineChars="200"/>
        <w:rPr>
          <w:rFonts w:ascii="仿宋" w:eastAsia="仿宋" w:cs="仿宋"/>
          <w:sz w:val="32"/>
          <w:szCs w:val="32"/>
        </w:rPr>
      </w:pPr>
      <w:r>
        <w:rPr>
          <w:rFonts w:hint="eastAsia" w:ascii="仿宋" w:eastAsia="仿宋" w:cs="仿宋"/>
          <w:sz w:val="32"/>
          <w:szCs w:val="32"/>
        </w:rPr>
        <w:t>1、已完成绩效:</w:t>
      </w:r>
    </w:p>
    <w:p>
      <w:pPr>
        <w:spacing w:line="500" w:lineRule="exact"/>
        <w:ind w:firstLine="640" w:firstLineChars="200"/>
        <w:rPr>
          <w:rFonts w:ascii="仿宋" w:eastAsia="仿宋" w:cs="仿宋"/>
          <w:sz w:val="32"/>
          <w:szCs w:val="32"/>
        </w:rPr>
      </w:pPr>
      <w:r>
        <w:rPr>
          <w:rFonts w:hint="eastAsia" w:ascii="仿宋" w:eastAsia="仿宋" w:cs="仿宋"/>
          <w:sz w:val="32"/>
          <w:szCs w:val="32"/>
        </w:rPr>
        <w:t>①旅游扶贫公益规划项目（补助资金5万元）。聘请四川省规划设计院对漳扎镇牙屯村旅游资源、产业要素及乡村旅游发展势头，开展科学规划设计；2018年8月底已完成规划设计并严格按照县级项目资金支付程序完成补助资金支付工作。</w:t>
      </w:r>
    </w:p>
    <w:p>
      <w:pPr>
        <w:spacing w:line="500" w:lineRule="exact"/>
        <w:ind w:firstLine="640" w:firstLineChars="200"/>
        <w:rPr>
          <w:rFonts w:ascii="仿宋" w:eastAsia="仿宋" w:cs="仿宋"/>
          <w:sz w:val="32"/>
          <w:szCs w:val="32"/>
        </w:rPr>
      </w:pPr>
      <w:r>
        <w:rPr>
          <w:rFonts w:hint="eastAsia" w:ascii="仿宋" w:eastAsia="仿宋" w:cs="仿宋"/>
          <w:sz w:val="32"/>
          <w:szCs w:val="32"/>
        </w:rPr>
        <w:t>②乡村旅游提升示范项目（补助资金50万元）。用于大录乡大录村旅游基础服务设施建设。2018年11月底已完成生态停车场、绿化带、乡村旅游服务建设和游客中心设施设备采购工作，2018年12月5日通过了县级验收，12月中旬严格按照县级项目资金支付程序完成了补助资金支付工作。</w:t>
      </w:r>
    </w:p>
    <w:p>
      <w:pPr>
        <w:spacing w:line="500" w:lineRule="exact"/>
        <w:ind w:firstLine="640" w:firstLineChars="200"/>
        <w:rPr>
          <w:rFonts w:ascii="仿宋" w:eastAsia="仿宋" w:cs="仿宋"/>
          <w:sz w:val="32"/>
          <w:szCs w:val="32"/>
        </w:rPr>
      </w:pPr>
      <w:r>
        <w:rPr>
          <w:rFonts w:hint="eastAsia" w:ascii="仿宋" w:eastAsia="仿宋" w:cs="仿宋"/>
          <w:sz w:val="32"/>
          <w:szCs w:val="32"/>
        </w:rPr>
        <w:t>③2018年“四川省旅游扶贫示范村”创建项目（补助资金100万元）。用于郭元乡青龙村和白河乡太平村旅游基础设施提升和民宿打造。2018年10月底郭元乡青龙村已按照创建实施方案完成柴门关栈道和道路加宽、村庄内“六小工程”及旅游基础服务设施等工程；2018年10月底白河乡太平村按照创建实施方案完成了太平村一组、二组、三组磨房维修、旅游基础设施建设及微景观打造，对因“6.25”“7.10”洪涝灾害冲毁的300米景观水渠已协调其他资金进行了修复。2018年11月县旅游扶贫专项工作办公室已对两个村旅游基础服务设施建设工程进行了检查验收；并按照县级财政报账制要求完成资金支付。</w:t>
      </w:r>
    </w:p>
    <w:p>
      <w:pPr>
        <w:spacing w:line="500" w:lineRule="exact"/>
        <w:ind w:firstLine="640" w:firstLineChars="200"/>
        <w:rPr>
          <w:rFonts w:ascii="仿宋" w:eastAsia="仿宋" w:cs="仿宋"/>
          <w:sz w:val="32"/>
          <w:szCs w:val="32"/>
        </w:rPr>
      </w:pPr>
      <w:r>
        <w:rPr>
          <w:rFonts w:hint="eastAsia" w:ascii="仿宋" w:eastAsia="仿宋" w:cs="仿宋"/>
          <w:sz w:val="32"/>
          <w:szCs w:val="32"/>
        </w:rPr>
        <w:t>④乡村民宿达标示范户创建项目（20万元）。结合乡村旅游产业发展实际，在郭元、马家、白河、勿角、陵江等10个乡镇确定了17户贫困户利用自有房屋改造提升客房、卫生间、厨房、庭院等基础设施，加强服务接待能力提档升级，开展乡村民宿达标示范户建设，增加扶贫业态。2018年10月底，17户创建户已完成房屋基础改造、室内外装饰修整等工程，并按照县级财政报账制要求完成资金支付。</w:t>
      </w:r>
    </w:p>
    <w:p>
      <w:pPr>
        <w:spacing w:line="500" w:lineRule="exact"/>
        <w:ind w:firstLine="640" w:firstLineChars="200"/>
        <w:rPr>
          <w:rFonts w:ascii="仿宋" w:eastAsia="仿宋" w:cs="仿宋"/>
          <w:sz w:val="32"/>
          <w:szCs w:val="32"/>
        </w:rPr>
      </w:pPr>
      <w:r>
        <w:rPr>
          <w:rFonts w:hint="eastAsia" w:ascii="仿宋" w:eastAsia="仿宋" w:cs="仿宋"/>
          <w:sz w:val="32"/>
          <w:szCs w:val="32"/>
        </w:rPr>
        <w:t>⑤2018年旅游扶贫“公益性岗位”补助项目（补助资金3.96万元）。在勿角乡英各村、勿角乡甲勿村、罗依乡大寨村、漳扎镇牙屯村、草地乡上草地村、白河乡太平村6个贫困村选择符合条件的建档立卡贫困户，开发了乡村旅游公益性岗位11个（补助标准300元/人/月）。目前，各乡每季度均按照工作开展情况予以考评，年底已完成2018年度资金拨付。</w:t>
      </w:r>
    </w:p>
    <w:p>
      <w:pPr>
        <w:spacing w:line="500" w:lineRule="exact"/>
        <w:ind w:firstLine="640" w:firstLineChars="200"/>
        <w:rPr>
          <w:rFonts w:ascii="仿宋" w:eastAsia="仿宋" w:cs="仿宋"/>
          <w:sz w:val="32"/>
          <w:szCs w:val="32"/>
        </w:rPr>
      </w:pPr>
      <w:r>
        <w:rPr>
          <w:rFonts w:hint="eastAsia" w:ascii="仿宋" w:eastAsia="仿宋" w:cs="仿宋"/>
          <w:sz w:val="32"/>
          <w:szCs w:val="32"/>
        </w:rPr>
        <w:t>⑥2018年旅游业灾后恢复重建项目（补助资金1000万元）。一是甘海子生态文化旅游区建设项目、九寨沟县勿角民族生态旅游试验区建设项目、九寨沟县特色民宿及自驾营地项目均已完成2018年建设任务，已完成700万元资金支付。二是根据九寨沟县“8•8”地震灾后恢复重建委员会办公室第14次例会决定，将“全域旅游配套基础设施建设项目”纳入漳扎镇国际生态旅游魅力小镇建设内容，由县城乡规划建设和住房保障局负责项目实施；目前支付71.34万元，支付进度缓慢。</w:t>
      </w:r>
    </w:p>
    <w:p>
      <w:pPr>
        <w:spacing w:line="500" w:lineRule="exact"/>
        <w:ind w:firstLine="640" w:firstLineChars="200"/>
        <w:rPr>
          <w:rFonts w:ascii="仿宋" w:eastAsia="仿宋" w:cs="仿宋"/>
          <w:sz w:val="32"/>
          <w:szCs w:val="32"/>
        </w:rPr>
      </w:pPr>
      <w:r>
        <w:rPr>
          <w:rFonts w:hint="eastAsia" w:ascii="仿宋" w:eastAsia="仿宋" w:cs="仿宋"/>
          <w:sz w:val="32"/>
          <w:szCs w:val="32"/>
        </w:rPr>
        <w:t>⑦九寨沟县乡村旅游创客基地新业态示范品牌（补助资金20万元）。由于受九寨沟景区闭园的影响，我局已将该项目前期确定的漳扎镇天堂口“全国乡村旅游创客示范基地”实施点改为罗依乡“九寨庄园”。罗依乡人民政府牵头组织九寨沟县罗依农业科技有限公司按照实施方案，完成创客示范基地基础设施建设和乡村旅游设施设备采购；于11月26日通过了县级验收，完成资金支付。</w:t>
      </w:r>
    </w:p>
    <w:p>
      <w:pPr>
        <w:spacing w:line="500" w:lineRule="exact"/>
        <w:ind w:firstLine="640" w:firstLineChars="200"/>
        <w:rPr>
          <w:rFonts w:ascii="仿宋" w:eastAsia="仿宋" w:cs="仿宋"/>
          <w:sz w:val="32"/>
          <w:szCs w:val="32"/>
        </w:rPr>
      </w:pPr>
      <w:r>
        <w:rPr>
          <w:rFonts w:hint="eastAsia" w:ascii="仿宋" w:eastAsia="仿宋" w:cs="仿宋"/>
          <w:sz w:val="32"/>
          <w:szCs w:val="32"/>
        </w:rPr>
        <w:t>⑧全省旅游服务质量示范单位奖补项目（补助资金10万元）。于年初确定了四川广旺能源发展（集团）有限责任公司九寨度假村为全省旅游服务质量示范单位补助项目实施点。该酒店自投资金69.8万元对照省旅发委下发的《全省旅游服务质量示范单位创建项目参考标准》完成了酒店改造和旅游服务质量提升工作；于2018年10月29日通过了县旅发局旅游扶贫工作专项办公室、县旅发局质管股、县旅游执法局酒店管理股的综合评定，现已完成资金支付。</w:t>
      </w:r>
    </w:p>
    <w:p>
      <w:pPr>
        <w:spacing w:line="500" w:lineRule="exact"/>
        <w:ind w:firstLine="640" w:firstLineChars="200"/>
        <w:rPr>
          <w:rFonts w:ascii="仿宋" w:eastAsia="仿宋" w:cs="仿宋"/>
          <w:sz w:val="32"/>
          <w:szCs w:val="32"/>
        </w:rPr>
      </w:pPr>
      <w:r>
        <w:rPr>
          <w:rFonts w:hint="eastAsia" w:ascii="仿宋" w:eastAsia="仿宋" w:cs="仿宋"/>
          <w:sz w:val="32"/>
          <w:szCs w:val="32"/>
        </w:rPr>
        <w:t>⑨九寨沟县旅游应急救援点（补助资金10万元）。确定了县旅游市场综合执法局酒店管理股为经办股室，依托九寨沟星宇国家大酒店建立一处旅游应急救援点，按照应急救援队伍装备配备标准，及时补充、更新部分装备器材，同时建立装备物资保障机制，着力夯实旅游应急救援基础。10月24日接受了省旅发委副主任杨健同志的检查指导，11月中旬完成了物资采购，12月13日通过了县级检查验收，完成资金拨付。</w:t>
      </w:r>
    </w:p>
    <w:p>
      <w:pPr>
        <w:spacing w:line="500" w:lineRule="exact"/>
        <w:ind w:firstLine="640" w:firstLineChars="200"/>
        <w:rPr>
          <w:rFonts w:ascii="仿宋" w:eastAsia="仿宋" w:cs="仿宋"/>
          <w:sz w:val="32"/>
          <w:szCs w:val="32"/>
        </w:rPr>
      </w:pPr>
      <w:r>
        <w:rPr>
          <w:rFonts w:hint="eastAsia" w:ascii="仿宋" w:eastAsia="仿宋" w:cs="仿宋"/>
          <w:sz w:val="32"/>
          <w:szCs w:val="32"/>
        </w:rPr>
        <w:t>⑩九寨沟县旅游应急救援队伍（补助资金10万元）。确定了县旅游市场综合执法局执法监督股为经办股室，整合各种旅游应急救援力量的基础上，通过招募人员、现场演练等程序，现已确定了2支共40人的应急救援队伍，并建立完善联席会议、信息互通、业务咨询等工作制度。10月24日接受了省旅发委副主任杨健同志的检查指导，11月中旬完成了物资采购，12月13日通过了县级检查验收，完成资金拨付。</w:t>
      </w:r>
    </w:p>
    <w:p>
      <w:pPr>
        <w:spacing w:line="500" w:lineRule="exact"/>
        <w:ind w:firstLine="640" w:firstLineChars="200"/>
        <w:rPr>
          <w:rFonts w:ascii="仿宋" w:eastAsia="仿宋" w:cs="仿宋"/>
          <w:sz w:val="32"/>
          <w:szCs w:val="32"/>
        </w:rPr>
      </w:pPr>
      <w:r>
        <w:rPr>
          <w:rFonts w:hint="eastAsia" w:ascii="仿宋" w:eastAsia="仿宋" w:cs="仿宋"/>
          <w:sz w:val="32"/>
          <w:szCs w:val="32"/>
        </w:rPr>
        <w:t>⑾县级涉农整合资金项目（补助资金135.5万元）：在草地乡上草地村以民办公助方式推进上草地村微景观栈道铺设、观景台、休闲亭等旅游基础设施建设工程。目前，该项目已全部完成，并通过县级验收；于12月5日完成了资金支付。</w:t>
      </w:r>
    </w:p>
    <w:p>
      <w:pPr>
        <w:spacing w:line="500" w:lineRule="exact"/>
        <w:ind w:firstLine="640" w:firstLineChars="200"/>
        <w:rPr>
          <w:rFonts w:ascii="仿宋" w:eastAsia="仿宋" w:cs="仿宋"/>
          <w:sz w:val="32"/>
          <w:szCs w:val="32"/>
        </w:rPr>
      </w:pPr>
      <w:r>
        <w:rPr>
          <w:rFonts w:hint="eastAsia" w:ascii="仿宋" w:eastAsia="仿宋" w:cs="仿宋"/>
          <w:sz w:val="32"/>
          <w:szCs w:val="32"/>
        </w:rPr>
        <w:t>2、效益指标完成情况分析</w:t>
      </w:r>
    </w:p>
    <w:p>
      <w:pPr>
        <w:pBdr>
          <w:bottom w:val="single" w:color="FFFFFF" w:sz="6" w:space="11"/>
        </w:pBdr>
        <w:tabs>
          <w:tab w:val="left" w:pos="6695"/>
          <w:tab w:val="left" w:pos="6725"/>
        </w:tabs>
        <w:topLinePunct/>
        <w:adjustRightInd w:val="0"/>
        <w:spacing w:line="500" w:lineRule="exact"/>
        <w:ind w:firstLine="640" w:firstLineChars="200"/>
        <w:textAlignment w:val="top"/>
        <w:rPr>
          <w:rFonts w:ascii="仿宋" w:eastAsia="仿宋" w:cs="仿宋"/>
          <w:sz w:val="32"/>
          <w:szCs w:val="32"/>
        </w:rPr>
      </w:pPr>
      <w:r>
        <w:rPr>
          <w:rFonts w:hint="eastAsia" w:ascii="仿宋" w:eastAsia="仿宋" w:cs="仿宋"/>
          <w:sz w:val="32"/>
          <w:szCs w:val="32"/>
        </w:rPr>
        <w:t>一是全面巩固省级旅游扶贫示范区创建成果，不断提升完善旅游基础服务设施，高标准打造景观（点），实施旅游厕所新（改）建、生态停车场建设、村寨风貌改造、乡村道路硬化、标识标牌增设、供水排污设施建设、人居环境综合治理等工程；认真按照“拓景扩容、多点多极、全域发展，建设世界休闲度假旅游目的地”目标，改善村容寨貌进一步丰富乡村旅游产业和文化内涵，带动当地乡村旅游的发展，以产业发展带动乡村旅游发展。二是根据各乡（镇）特色旅游资源和区位优势，成功将白河乡太平村、郭元乡青龙村创建为“四川省旅游扶贫示范村”（目前全县共成功创建示范村6个）；着力完善了贫困村“1+4+N”的村级基础服务设施建设和21户乡村民宿达标示范户“三改一整”建设工程； 三是开发旅游扶贫公益性岗位11名，使得贫困群众通过参与旅游产业发展逐步摆脱贫困，增强自信自尊自立，进一步鼓励引导贫困户不等不靠、自力更生；四是大力推进旅游规划扶贫公益行动，推进2个旅游扶贫公益规划试点村（大录乡大录村、漳扎镇牙屯村）建设工作，不断放大旅游扶贫示范效应。</w:t>
      </w:r>
    </w:p>
    <w:p>
      <w:pPr>
        <w:pBdr>
          <w:bottom w:val="single" w:color="FFFFFF" w:sz="6" w:space="11"/>
        </w:pBdr>
        <w:tabs>
          <w:tab w:val="left" w:pos="6695"/>
          <w:tab w:val="left" w:pos="6725"/>
        </w:tabs>
        <w:topLinePunct/>
        <w:adjustRightInd w:val="0"/>
        <w:spacing w:line="500" w:lineRule="exact"/>
        <w:ind w:firstLine="640" w:firstLineChars="200"/>
        <w:textAlignment w:val="top"/>
        <w:rPr>
          <w:rFonts w:ascii="仿宋" w:eastAsia="仿宋" w:cs="仿宋"/>
          <w:sz w:val="32"/>
          <w:szCs w:val="32"/>
        </w:rPr>
      </w:pPr>
      <w:r>
        <w:rPr>
          <w:rFonts w:hint="eastAsia" w:ascii="仿宋" w:eastAsia="仿宋" w:cs="仿宋"/>
          <w:sz w:val="32"/>
          <w:szCs w:val="32"/>
        </w:rPr>
        <w:t>3、满意度指标完成情况分析</w:t>
      </w:r>
    </w:p>
    <w:p>
      <w:pPr>
        <w:pBdr>
          <w:bottom w:val="single" w:color="FFFFFF" w:sz="6" w:space="11"/>
        </w:pBdr>
        <w:tabs>
          <w:tab w:val="left" w:pos="6695"/>
          <w:tab w:val="left" w:pos="6725"/>
        </w:tabs>
        <w:topLinePunct/>
        <w:adjustRightInd w:val="0"/>
        <w:spacing w:line="500" w:lineRule="exact"/>
        <w:ind w:firstLine="640" w:firstLineChars="200"/>
        <w:textAlignment w:val="top"/>
        <w:rPr>
          <w:rFonts w:ascii="仿宋" w:eastAsia="仿宋" w:cs="仿宋"/>
          <w:sz w:val="32"/>
          <w:szCs w:val="32"/>
        </w:rPr>
      </w:pPr>
      <w:r>
        <w:rPr>
          <w:rFonts w:hint="eastAsia" w:ascii="仿宋" w:eastAsia="仿宋" w:cs="仿宋"/>
          <w:sz w:val="32"/>
          <w:szCs w:val="32"/>
        </w:rPr>
        <w:t>2018年度旅游扶贫专项实施后实现了预定的绩效目标，项目依据充分，目标明确，预定目标设置合理，符合要求。绩效目标的实施提高了就业率，推动了旅游业发展，受益人数达到了项目实施地的100%，使群众享受到长期的经济、社会效益。</w:t>
      </w:r>
    </w:p>
    <w:p>
      <w:pPr>
        <w:pBdr>
          <w:bottom w:val="single" w:color="FFFFFF" w:sz="6" w:space="11"/>
        </w:pBdr>
        <w:tabs>
          <w:tab w:val="left" w:pos="6695"/>
          <w:tab w:val="left" w:pos="6725"/>
        </w:tabs>
        <w:topLinePunct/>
        <w:adjustRightInd w:val="0"/>
        <w:spacing w:line="500" w:lineRule="exact"/>
        <w:ind w:firstLine="642" w:firstLineChars="200"/>
        <w:textAlignment w:val="top"/>
        <w:rPr>
          <w:rFonts w:ascii="黑体" w:eastAsia="黑体" w:cs="黑体"/>
          <w:b/>
          <w:bCs/>
          <w:sz w:val="32"/>
          <w:szCs w:val="32"/>
        </w:rPr>
      </w:pPr>
      <w:r>
        <w:rPr>
          <w:rFonts w:hint="eastAsia" w:ascii="黑体" w:eastAsia="黑体" w:cs="黑体"/>
          <w:b/>
          <w:bCs/>
          <w:sz w:val="32"/>
          <w:szCs w:val="32"/>
        </w:rPr>
        <w:t xml:space="preserve">    二</w:t>
      </w:r>
      <w:r>
        <w:rPr>
          <w:rFonts w:hint="eastAsia" w:ascii="仿宋" w:eastAsia="仿宋" w:cs="仿宋"/>
          <w:sz w:val="32"/>
          <w:szCs w:val="32"/>
        </w:rPr>
        <w:t>、</w:t>
      </w:r>
      <w:r>
        <w:rPr>
          <w:rFonts w:hint="eastAsia" w:ascii="黑体" w:eastAsia="黑体" w:cs="黑体"/>
          <w:b/>
          <w:bCs/>
          <w:sz w:val="32"/>
          <w:szCs w:val="32"/>
        </w:rPr>
        <w:t>偏离绩效目标的原因和下一步措施</w:t>
      </w:r>
    </w:p>
    <w:p>
      <w:pPr>
        <w:pBdr>
          <w:bottom w:val="single" w:color="FFFFFF" w:sz="6" w:space="11"/>
        </w:pBdr>
        <w:tabs>
          <w:tab w:val="left" w:pos="6695"/>
          <w:tab w:val="left" w:pos="6725"/>
        </w:tabs>
        <w:topLinePunct/>
        <w:adjustRightInd w:val="0"/>
        <w:spacing w:line="500" w:lineRule="exact"/>
        <w:ind w:firstLine="640" w:firstLineChars="200"/>
        <w:textAlignment w:val="top"/>
        <w:rPr>
          <w:rFonts w:ascii="仿宋" w:eastAsia="仿宋" w:cs="仿宋"/>
          <w:sz w:val="32"/>
          <w:szCs w:val="32"/>
        </w:rPr>
      </w:pPr>
      <w:r>
        <w:rPr>
          <w:rFonts w:hint="eastAsia" w:ascii="仿宋" w:eastAsia="仿宋" w:cs="仿宋"/>
          <w:sz w:val="32"/>
          <w:szCs w:val="32"/>
        </w:rPr>
        <w:t>旅游商品研发基地建设项目被迫暂停；旅游宣传推介工程项目“2018年南国冰雪节旅游节庆活动”无法如期举办。原因：由于九寨沟县连续受到“6.25”“7.10”洪涝灾害的影响，九寨沟景区已于7月1日实行闭园，实施旅游商品研发基地建设项目的三家企业对旅游市场信心不足，没有实际投资，我局无法对其实施补助；景区闭园后，无游客前来我县观光旅游，全县旅游市场停摆，涉旅企业停止营业，节庆活动计划被迫中止。措施：我局已及时将以上两个项目推进情况如实上报省、州旅发委，申请延期实施；同时，我局专门召集三家企业负责人召开了协调会议，三家企业均表示将在旅游市场恢复后，再次启动旅游商品研发基地项目建设工作。按照相关文件要求，我局已将两个项目补助资金共计150万元已交由县财政进行整合使用；待项目重新开展实施时，立即向县财政申请拨付资金。</w:t>
      </w:r>
    </w:p>
    <w:p>
      <w:pPr>
        <w:pBdr>
          <w:bottom w:val="single" w:color="FFFFFF" w:sz="6" w:space="11"/>
        </w:pBdr>
        <w:tabs>
          <w:tab w:val="left" w:pos="6695"/>
          <w:tab w:val="left" w:pos="6725"/>
        </w:tabs>
        <w:topLinePunct/>
        <w:adjustRightInd w:val="0"/>
        <w:spacing w:line="500" w:lineRule="exact"/>
        <w:ind w:firstLine="640" w:firstLineChars="200"/>
        <w:textAlignment w:val="top"/>
        <w:rPr>
          <w:rFonts w:ascii="仿宋" w:eastAsia="仿宋" w:cs="仿宋"/>
          <w:sz w:val="32"/>
          <w:szCs w:val="32"/>
        </w:rPr>
      </w:pPr>
      <w:r>
        <w:rPr>
          <w:rFonts w:hint="eastAsia" w:ascii="仿宋" w:eastAsia="仿宋" w:cs="仿宋"/>
          <w:sz w:val="32"/>
          <w:szCs w:val="32"/>
        </w:rPr>
        <w:t>四、绩效自评结果拟应用和公开情况</w:t>
      </w:r>
    </w:p>
    <w:p>
      <w:pPr>
        <w:pBdr>
          <w:bottom w:val="single" w:color="FFFFFF" w:sz="6" w:space="11"/>
        </w:pBdr>
        <w:tabs>
          <w:tab w:val="left" w:pos="6695"/>
          <w:tab w:val="left" w:pos="6725"/>
        </w:tabs>
        <w:topLinePunct/>
        <w:adjustRightInd w:val="0"/>
        <w:spacing w:line="500" w:lineRule="exact"/>
        <w:ind w:firstLine="640" w:firstLineChars="200"/>
        <w:textAlignment w:val="top"/>
        <w:rPr>
          <w:rFonts w:ascii="仿宋" w:eastAsia="仿宋" w:cs="仿宋"/>
          <w:sz w:val="32"/>
          <w:szCs w:val="32"/>
        </w:rPr>
      </w:pPr>
      <w:r>
        <w:rPr>
          <w:rFonts w:hint="eastAsia" w:ascii="仿宋" w:eastAsia="仿宋" w:cs="仿宋"/>
          <w:sz w:val="32"/>
          <w:szCs w:val="32"/>
        </w:rPr>
        <w:t>（一）对于旅游扶贫专项工作应重点抓示范村，侧重先打造3—5个乡村旅游示范点，邀请实践经验人士给予指导，整合资金侧重于旅游基础服务配套设施，着力提升旅游接待服务能力。</w:t>
      </w:r>
    </w:p>
    <w:p>
      <w:pPr>
        <w:pBdr>
          <w:bottom w:val="single" w:color="FFFFFF" w:sz="6" w:space="11"/>
        </w:pBdr>
        <w:tabs>
          <w:tab w:val="left" w:pos="6695"/>
          <w:tab w:val="left" w:pos="6725"/>
        </w:tabs>
        <w:topLinePunct/>
        <w:adjustRightInd w:val="0"/>
        <w:spacing w:line="500" w:lineRule="exact"/>
        <w:ind w:firstLine="640" w:firstLineChars="200"/>
        <w:textAlignment w:val="top"/>
        <w:rPr>
          <w:rFonts w:ascii="仿宋" w:eastAsia="仿宋" w:cs="仿宋"/>
          <w:sz w:val="32"/>
          <w:szCs w:val="32"/>
        </w:rPr>
      </w:pPr>
      <w:r>
        <w:rPr>
          <w:rFonts w:hint="eastAsia" w:ascii="仿宋" w:eastAsia="仿宋" w:cs="仿宋"/>
          <w:sz w:val="32"/>
          <w:szCs w:val="32"/>
        </w:rPr>
        <w:t>（二）随着乡村旅游的逐步发展，需进一步规划和部署乡村医疗、安全、通信、交通、电力、水力等配套设施。</w:t>
      </w:r>
    </w:p>
    <w:p>
      <w:pPr>
        <w:pBdr>
          <w:bottom w:val="single" w:color="FFFFFF" w:sz="6" w:space="11"/>
        </w:pBdr>
        <w:tabs>
          <w:tab w:val="left" w:pos="6695"/>
          <w:tab w:val="left" w:pos="6725"/>
        </w:tabs>
        <w:topLinePunct/>
        <w:adjustRightInd w:val="0"/>
        <w:spacing w:line="500" w:lineRule="exact"/>
        <w:ind w:firstLine="640" w:firstLineChars="200"/>
        <w:textAlignment w:val="top"/>
        <w:rPr>
          <w:rFonts w:ascii="仿宋" w:eastAsia="仿宋" w:cs="仿宋"/>
          <w:sz w:val="32"/>
          <w:szCs w:val="32"/>
        </w:rPr>
      </w:pPr>
      <w:r>
        <w:rPr>
          <w:rFonts w:hint="eastAsia" w:ascii="仿宋" w:eastAsia="仿宋" w:cs="仿宋"/>
          <w:sz w:val="32"/>
          <w:szCs w:val="32"/>
        </w:rPr>
        <w:t>（三）乡村旅游扶贫工作可延伸的服务和产业空间是非常大的，所以旅游扶贫项目实施力求以点带面，切忌遍地开花，力争在示范点成功收效后再进行复制发展；避免扶贫项目和资金“撒花椒面”式的投入，会导致项目建设面太广、进展缓慢，且扶贫成效不易显现。</w:t>
      </w:r>
    </w:p>
    <w:p>
      <w:pPr>
        <w:pBdr>
          <w:bottom w:val="single" w:color="FFFFFF" w:sz="6" w:space="11"/>
        </w:pBdr>
        <w:tabs>
          <w:tab w:val="left" w:pos="6695"/>
          <w:tab w:val="left" w:pos="6725"/>
        </w:tabs>
        <w:topLinePunct/>
        <w:adjustRightInd w:val="0"/>
        <w:spacing w:line="500" w:lineRule="exact"/>
        <w:ind w:firstLine="640" w:firstLineChars="200"/>
        <w:textAlignment w:val="top"/>
        <w:rPr>
          <w:rFonts w:ascii="仿宋" w:eastAsia="仿宋" w:cs="仿宋"/>
          <w:sz w:val="32"/>
          <w:szCs w:val="32"/>
        </w:rPr>
      </w:pPr>
      <w:r>
        <w:rPr>
          <w:rFonts w:hint="eastAsia" w:ascii="仿宋" w:eastAsia="仿宋" w:cs="仿宋"/>
          <w:sz w:val="32"/>
          <w:szCs w:val="32"/>
        </w:rPr>
        <w:t>（四）希望由政府主导加大旅游产业资金投入和旅游专业人才的培养及引进。</w:t>
      </w:r>
    </w:p>
    <w:p>
      <w:pPr>
        <w:spacing w:line="600" w:lineRule="exact"/>
        <w:jc w:val="center"/>
        <w:outlineLvl w:val="0"/>
        <w:rPr>
          <w:rFonts w:ascii="黑体" w:eastAsia="黑体"/>
          <w:color w:val="000000"/>
          <w:sz w:val="44"/>
          <w:szCs w:val="44"/>
        </w:rPr>
      </w:pPr>
    </w:p>
    <w:p>
      <w:pPr>
        <w:spacing w:line="600" w:lineRule="exact"/>
        <w:jc w:val="left"/>
        <w:outlineLvl w:val="0"/>
        <w:rPr>
          <w:rStyle w:val="20"/>
          <w:rFonts w:ascii="仿宋" w:eastAsia="仿宋"/>
          <w:sz w:val="32"/>
          <w:szCs w:val="32"/>
        </w:rPr>
      </w:pPr>
    </w:p>
    <w:p>
      <w:pPr>
        <w:spacing w:line="600" w:lineRule="exact"/>
        <w:jc w:val="left"/>
        <w:outlineLvl w:val="0"/>
        <w:rPr>
          <w:rFonts w:ascii="黑体" w:eastAsia="黑体"/>
          <w:color w:val="000000"/>
          <w:sz w:val="44"/>
          <w:szCs w:val="44"/>
        </w:rPr>
      </w:pPr>
      <w:r>
        <w:rPr>
          <w:rStyle w:val="20"/>
          <w:rFonts w:hint="eastAsia" w:ascii="仿宋" w:eastAsia="仿宋"/>
          <w:sz w:val="32"/>
          <w:szCs w:val="32"/>
        </w:rPr>
        <w:t>附件2-2</w:t>
      </w:r>
    </w:p>
    <w:p>
      <w:pPr>
        <w:spacing w:before="156" w:beforeLines="50" w:line="348" w:lineRule="auto"/>
        <w:jc w:val="center"/>
        <w:rPr>
          <w:rFonts w:eastAsia="方正小标宋简体"/>
          <w:bCs/>
          <w:sz w:val="44"/>
          <w:szCs w:val="44"/>
        </w:rPr>
      </w:pPr>
    </w:p>
    <w:p>
      <w:pPr>
        <w:spacing w:before="156" w:beforeLines="50" w:line="348" w:lineRule="auto"/>
        <w:jc w:val="center"/>
        <w:rPr>
          <w:rFonts w:eastAsia="方正小标宋简体"/>
          <w:bCs/>
          <w:sz w:val="44"/>
          <w:szCs w:val="44"/>
        </w:rPr>
      </w:pPr>
      <w:r>
        <w:rPr>
          <w:rFonts w:hint="eastAsia" w:eastAsia="方正小标宋简体"/>
          <w:bCs/>
          <w:sz w:val="44"/>
          <w:szCs w:val="44"/>
        </w:rPr>
        <w:t>九寨沟县</w:t>
      </w:r>
      <w:r>
        <w:rPr>
          <w:rFonts w:hint="eastAsia" w:eastAsia="方正小标宋简体"/>
          <w:bCs/>
          <w:sz w:val="44"/>
          <w:szCs w:val="44"/>
          <w:u w:val="single"/>
        </w:rPr>
        <w:t>2018</w:t>
      </w:r>
      <w:r>
        <w:rPr>
          <w:rFonts w:hint="eastAsia" w:eastAsia="方正小标宋简体"/>
          <w:bCs/>
          <w:sz w:val="44"/>
          <w:szCs w:val="44"/>
        </w:rPr>
        <w:t>年度财政项目支出</w:t>
      </w:r>
    </w:p>
    <w:p>
      <w:pPr>
        <w:spacing w:before="156" w:beforeLines="50" w:line="348" w:lineRule="auto"/>
        <w:jc w:val="center"/>
        <w:rPr>
          <w:rFonts w:eastAsia="方正小标宋简体"/>
          <w:bCs/>
          <w:sz w:val="44"/>
          <w:szCs w:val="44"/>
        </w:rPr>
      </w:pPr>
      <w:r>
        <w:rPr>
          <w:rFonts w:hint="eastAsia" w:eastAsia="方正小标宋简体"/>
          <w:bCs/>
          <w:sz w:val="44"/>
          <w:szCs w:val="44"/>
        </w:rPr>
        <w:t>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评价类型：项目实施过程评价□项目完成结果评价□</w:t>
      </w:r>
    </w:p>
    <w:p>
      <w:pPr>
        <w:spacing w:before="156" w:beforeLines="50" w:line="760" w:lineRule="exact"/>
        <w:ind w:firstLine="480" w:firstLineChars="150"/>
        <w:rPr>
          <w:rFonts w:eastAsia="仿宋_GB2312"/>
          <w:spacing w:val="-20"/>
          <w:sz w:val="32"/>
          <w:u w:val="single"/>
        </w:rPr>
      </w:pPr>
      <w:r>
        <w:rPr>
          <w:rFonts w:hint="eastAsia" w:eastAsia="仿宋_GB2312"/>
          <w:sz w:val="32"/>
        </w:rPr>
        <w:t>项目名称：</w:t>
      </w:r>
      <w:r>
        <w:rPr>
          <w:rFonts w:hint="eastAsia" w:eastAsia="仿宋_GB2312"/>
          <w:spacing w:val="-20"/>
          <w:sz w:val="32"/>
        </w:rPr>
        <w:t>九寨沟县甘海子生态文化旅游区建设项目（一期）</w:t>
      </w:r>
    </w:p>
    <w:p>
      <w:pPr>
        <w:spacing w:before="156" w:beforeLines="50" w:line="760" w:lineRule="exact"/>
        <w:ind w:firstLine="480" w:firstLineChars="150"/>
        <w:rPr>
          <w:rFonts w:eastAsia="仿宋_GB2312"/>
          <w:sz w:val="32"/>
        </w:rPr>
      </w:pPr>
      <w:r>
        <w:rPr>
          <w:rFonts w:hint="eastAsia" w:eastAsia="仿宋_GB2312"/>
          <w:sz w:val="32"/>
        </w:rPr>
        <w:t>项目单位：</w:t>
      </w:r>
    </w:p>
    <w:p>
      <w:pPr>
        <w:spacing w:before="156" w:beforeLines="50" w:line="760" w:lineRule="exact"/>
        <w:ind w:firstLine="480" w:firstLineChars="150"/>
        <w:rPr>
          <w:rFonts w:eastAsia="仿宋_GB2312"/>
          <w:sz w:val="32"/>
          <w:u w:val="single"/>
        </w:rPr>
      </w:pPr>
      <w:r>
        <w:rPr>
          <w:rFonts w:hint="eastAsia" w:eastAsia="仿宋_GB2312"/>
          <w:sz w:val="32"/>
        </w:rPr>
        <w:t>主管部门：</w:t>
      </w:r>
    </w:p>
    <w:p>
      <w:pPr>
        <w:spacing w:before="156"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部门（单位）评价组</w:t>
      </w:r>
    </w:p>
    <w:p>
      <w:pPr>
        <w:spacing w:before="156" w:beforeLines="50" w:line="760" w:lineRule="exact"/>
        <w:ind w:firstLine="420" w:firstLineChars="150"/>
        <w:rPr>
          <w:rFonts w:eastAsia="仿宋_GB2312"/>
          <w:sz w:val="28"/>
          <w:szCs w:val="28"/>
        </w:rPr>
      </w:pPr>
    </w:p>
    <w:p>
      <w:pPr>
        <w:spacing w:before="156" w:beforeLines="50" w:line="348" w:lineRule="auto"/>
        <w:ind w:firstLine="420" w:firstLineChars="150"/>
        <w:rPr>
          <w:rFonts w:eastAsia="仿宋_GB2312"/>
          <w:sz w:val="28"/>
          <w:szCs w:val="28"/>
        </w:rPr>
      </w:pPr>
    </w:p>
    <w:p>
      <w:pPr>
        <w:spacing w:before="156" w:beforeLines="50" w:line="120" w:lineRule="exact"/>
        <w:rPr>
          <w:rFonts w:eastAsia="仿宋_GB2312"/>
          <w:sz w:val="28"/>
          <w:szCs w:val="28"/>
        </w:rPr>
      </w:pPr>
    </w:p>
    <w:p>
      <w:pPr>
        <w:spacing w:before="156" w:beforeLines="50" w:line="120" w:lineRule="exact"/>
        <w:ind w:firstLine="420" w:firstLineChars="150"/>
        <w:rPr>
          <w:rFonts w:eastAsia="仿宋_GB2312"/>
          <w:sz w:val="28"/>
          <w:szCs w:val="28"/>
        </w:rPr>
      </w:pPr>
    </w:p>
    <w:p>
      <w:pPr>
        <w:spacing w:before="156"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报告日期：2019年6月29日</w:t>
      </w:r>
    </w:p>
    <w:p>
      <w:pPr>
        <w:spacing w:line="348" w:lineRule="auto"/>
        <w:jc w:val="center"/>
        <w:rPr>
          <w:rFonts w:eastAsia="仿宋_GB2312"/>
          <w:sz w:val="32"/>
        </w:rPr>
      </w:pPr>
      <w:r>
        <w:rPr>
          <w:rFonts w:hint="eastAsia" w:eastAsia="仿宋_GB2312"/>
          <w:sz w:val="32"/>
        </w:rPr>
        <w:t>九寨沟县财政局（制）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1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01"/>
        <w:gridCol w:w="816"/>
        <w:gridCol w:w="1310"/>
        <w:gridCol w:w="1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vAlign w:val="center"/>
          </w:tcPr>
          <w:p>
            <w:pPr>
              <w:jc w:val="center"/>
              <w:rPr>
                <w:rFonts w:eastAsia="仿宋_GB2312"/>
                <w:b/>
                <w:sz w:val="24"/>
              </w:rPr>
            </w:pPr>
            <w:r>
              <w:rPr>
                <w:rFonts w:hint="eastAsia" w:eastAsia="仿宋_GB2312"/>
                <w:b/>
                <w:sz w:val="24"/>
              </w:rPr>
              <w:t>一、项目基本概况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项目负责人</w:t>
            </w:r>
          </w:p>
        </w:tc>
        <w:tc>
          <w:tcPr>
            <w:tcW w:w="3240" w:type="dxa"/>
            <w:gridSpan w:val="6"/>
            <w:vAlign w:val="center"/>
          </w:tcPr>
          <w:p>
            <w:pPr>
              <w:rPr>
                <w:rFonts w:eastAsia="仿宋_GB2312"/>
                <w:sz w:val="24"/>
              </w:rPr>
            </w:pPr>
            <w:r>
              <w:rPr>
                <w:rFonts w:hint="eastAsia" w:eastAsia="仿宋_GB2312"/>
                <w:sz w:val="24"/>
              </w:rPr>
              <w:t>王毅</w:t>
            </w:r>
          </w:p>
        </w:tc>
        <w:tc>
          <w:tcPr>
            <w:tcW w:w="1347" w:type="dxa"/>
            <w:gridSpan w:val="2"/>
            <w:vAlign w:val="center"/>
          </w:tcPr>
          <w:p>
            <w:pPr>
              <w:rPr>
                <w:rFonts w:eastAsia="仿宋_GB2312"/>
                <w:sz w:val="24"/>
              </w:rPr>
            </w:pPr>
            <w:r>
              <w:rPr>
                <w:rFonts w:hint="eastAsia" w:eastAsia="仿宋_GB2312"/>
                <w:sz w:val="24"/>
              </w:rPr>
              <w:t>联系电话</w:t>
            </w:r>
          </w:p>
        </w:tc>
        <w:tc>
          <w:tcPr>
            <w:tcW w:w="3333" w:type="dxa"/>
            <w:gridSpan w:val="4"/>
            <w:vAlign w:val="center"/>
          </w:tcPr>
          <w:p>
            <w:pPr>
              <w:rPr>
                <w:rFonts w:eastAsia="仿宋_GB2312"/>
                <w:sz w:val="24"/>
              </w:rPr>
            </w:pPr>
            <w:r>
              <w:rPr>
                <w:rFonts w:hint="eastAsia" w:eastAsia="仿宋_GB2312"/>
                <w:sz w:val="24"/>
              </w:rPr>
              <w:t>18990400727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项目地址</w:t>
            </w:r>
          </w:p>
        </w:tc>
        <w:tc>
          <w:tcPr>
            <w:tcW w:w="3240" w:type="dxa"/>
            <w:gridSpan w:val="6"/>
            <w:vAlign w:val="center"/>
          </w:tcPr>
          <w:p>
            <w:pPr>
              <w:rPr>
                <w:rFonts w:eastAsia="仿宋_GB2312"/>
                <w:sz w:val="24"/>
              </w:rPr>
            </w:pPr>
            <w:r>
              <w:rPr>
                <w:rFonts w:hint="eastAsia" w:eastAsia="仿宋_GB2312"/>
                <w:sz w:val="24"/>
              </w:rPr>
              <w:t>九寨沟县漳扎镇甘海子村</w:t>
            </w:r>
          </w:p>
        </w:tc>
        <w:tc>
          <w:tcPr>
            <w:tcW w:w="1347" w:type="dxa"/>
            <w:gridSpan w:val="2"/>
            <w:vAlign w:val="center"/>
          </w:tcPr>
          <w:p>
            <w:pPr>
              <w:rPr>
                <w:rFonts w:eastAsia="仿宋_GB2312"/>
                <w:sz w:val="24"/>
              </w:rPr>
            </w:pPr>
            <w:r>
              <w:rPr>
                <w:rFonts w:hint="eastAsia" w:eastAsia="仿宋_GB2312"/>
                <w:sz w:val="24"/>
              </w:rPr>
              <w:t>邮编</w:t>
            </w:r>
          </w:p>
        </w:tc>
        <w:tc>
          <w:tcPr>
            <w:tcW w:w="3333" w:type="dxa"/>
            <w:gridSpan w:val="4"/>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项目起止时间</w:t>
            </w:r>
          </w:p>
        </w:tc>
        <w:tc>
          <w:tcPr>
            <w:tcW w:w="7920" w:type="dxa"/>
            <w:gridSpan w:val="12"/>
            <w:vAlign w:val="center"/>
          </w:tcPr>
          <w:p>
            <w:pPr>
              <w:ind w:firstLine="1190" w:firstLineChars="496"/>
              <w:rPr>
                <w:rFonts w:eastAsia="仿宋_GB2312"/>
                <w:sz w:val="24"/>
              </w:rPr>
            </w:pPr>
            <w:r>
              <w:rPr>
                <w:rFonts w:hint="eastAsia" w:eastAsia="仿宋_GB2312"/>
                <w:sz w:val="24"/>
              </w:rPr>
              <w:t>2018年11月起至2019年8月止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eastAsia="仿宋_GB2312"/>
                <w:sz w:val="24"/>
              </w:rPr>
            </w:pPr>
          </w:p>
        </w:tc>
        <w:tc>
          <w:tcPr>
            <w:tcW w:w="1800" w:type="dxa"/>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2000</w:t>
            </w:r>
          </w:p>
        </w:tc>
        <w:tc>
          <w:tcPr>
            <w:tcW w:w="1548"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816"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496.43</w:t>
            </w:r>
          </w:p>
        </w:tc>
        <w:tc>
          <w:tcPr>
            <w:tcW w:w="1310"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1006" w:type="dxa"/>
            <w:tcBorders>
              <w:bottom w:val="single" w:color="auto" w:sz="4" w:space="0"/>
            </w:tcBorders>
            <w:vAlign w:val="center"/>
          </w:tcPr>
          <w:p>
            <w:pPr>
              <w:jc w:val="center"/>
              <w:rPr>
                <w:rFonts w:eastAsia="仿宋_GB2312"/>
                <w:b/>
                <w:sz w:val="24"/>
              </w:rPr>
            </w:pPr>
            <w:r>
              <w:rPr>
                <w:rFonts w:hint="eastAsia" w:eastAsia="仿宋_GB2312"/>
                <w:b/>
                <w:sz w:val="24"/>
              </w:rPr>
              <w:t>15.3.57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eastAsia="仿宋_GB2312"/>
                <w:spacing w:val="-6"/>
                <w:sz w:val="24"/>
              </w:rPr>
            </w:pPr>
          </w:p>
        </w:tc>
        <w:tc>
          <w:tcPr>
            <w:tcW w:w="1800" w:type="dxa"/>
            <w:tcBorders>
              <w:bottom w:val="single" w:color="auto" w:sz="4" w:space="0"/>
            </w:tcBorders>
            <w:vAlign w:val="center"/>
          </w:tcPr>
          <w:p>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vAlign w:val="center"/>
          </w:tcPr>
          <w:p>
            <w:pPr>
              <w:rPr>
                <w:rFonts w:eastAsia="仿宋_GB2312"/>
                <w:spacing w:val="-6"/>
                <w:sz w:val="24"/>
              </w:rPr>
            </w:pPr>
          </w:p>
        </w:tc>
        <w:tc>
          <w:tcPr>
            <w:tcW w:w="1548" w:type="dxa"/>
            <w:gridSpan w:val="3"/>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816" w:type="dxa"/>
            <w:tcBorders>
              <w:bottom w:val="single" w:color="auto" w:sz="4" w:space="0"/>
            </w:tcBorders>
            <w:vAlign w:val="center"/>
          </w:tcPr>
          <w:p>
            <w:pPr>
              <w:rPr>
                <w:rFonts w:eastAsia="仿宋_GB2312"/>
                <w:spacing w:val="-6"/>
                <w:sz w:val="24"/>
              </w:rPr>
            </w:pPr>
          </w:p>
        </w:tc>
        <w:tc>
          <w:tcPr>
            <w:tcW w:w="1310" w:type="dxa"/>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100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vAlign w:val="center"/>
          </w:tcPr>
          <w:p>
            <w:pPr>
              <w:rPr>
                <w:rFonts w:eastAsia="仿宋_GB2312"/>
                <w:sz w:val="24"/>
              </w:rPr>
            </w:pPr>
            <w:r>
              <w:rPr>
                <w:rFonts w:hint="eastAsia" w:eastAsia="仿宋_GB2312"/>
                <w:sz w:val="24"/>
              </w:rPr>
              <w:t>2000</w:t>
            </w:r>
          </w:p>
        </w:tc>
        <w:tc>
          <w:tcPr>
            <w:tcW w:w="1548" w:type="dxa"/>
            <w:gridSpan w:val="3"/>
            <w:tcBorders>
              <w:bottom w:val="single" w:color="auto" w:sz="4" w:space="0"/>
            </w:tcBorders>
            <w:vAlign w:val="center"/>
          </w:tcPr>
          <w:p>
            <w:pPr>
              <w:rPr>
                <w:rFonts w:eastAsia="仿宋_GB2312"/>
                <w:sz w:val="24"/>
              </w:rPr>
            </w:pPr>
            <w:r>
              <w:rPr>
                <w:rFonts w:hint="eastAsia" w:eastAsia="仿宋_GB2312"/>
                <w:sz w:val="24"/>
              </w:rPr>
              <w:t>省财政</w:t>
            </w:r>
          </w:p>
        </w:tc>
        <w:tc>
          <w:tcPr>
            <w:tcW w:w="816" w:type="dxa"/>
            <w:tcBorders>
              <w:bottom w:val="single" w:color="auto" w:sz="4" w:space="0"/>
            </w:tcBorders>
            <w:vAlign w:val="center"/>
          </w:tcPr>
          <w:p>
            <w:pPr>
              <w:rPr>
                <w:rFonts w:eastAsia="仿宋_GB2312"/>
                <w:sz w:val="24"/>
              </w:rPr>
            </w:pPr>
          </w:p>
        </w:tc>
        <w:tc>
          <w:tcPr>
            <w:tcW w:w="1310" w:type="dxa"/>
            <w:tcBorders>
              <w:bottom w:val="single" w:color="auto" w:sz="4" w:space="0"/>
            </w:tcBorders>
            <w:vAlign w:val="center"/>
          </w:tcPr>
          <w:p>
            <w:pPr>
              <w:rPr>
                <w:rFonts w:eastAsia="仿宋_GB2312"/>
                <w:sz w:val="24"/>
              </w:rPr>
            </w:pPr>
            <w:r>
              <w:rPr>
                <w:rFonts w:hint="eastAsia" w:eastAsia="仿宋_GB2312"/>
                <w:sz w:val="24"/>
              </w:rPr>
              <w:t>省财政</w:t>
            </w:r>
          </w:p>
        </w:tc>
        <w:tc>
          <w:tcPr>
            <w:tcW w:w="100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州财政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州财政</w:t>
            </w:r>
          </w:p>
        </w:tc>
        <w:tc>
          <w:tcPr>
            <w:tcW w:w="720" w:type="dxa"/>
            <w:gridSpan w:val="3"/>
            <w:tcBorders>
              <w:bottom w:val="single" w:color="auto" w:sz="4" w:space="0"/>
            </w:tcBorders>
            <w:vAlign w:val="center"/>
          </w:tcPr>
          <w:p>
            <w:pPr>
              <w:rPr>
                <w:rFonts w:eastAsia="仿宋_GB2312"/>
                <w:sz w:val="24"/>
              </w:rPr>
            </w:pPr>
          </w:p>
        </w:tc>
        <w:tc>
          <w:tcPr>
            <w:tcW w:w="1548" w:type="dxa"/>
            <w:gridSpan w:val="3"/>
            <w:tcBorders>
              <w:bottom w:val="single" w:color="auto" w:sz="4" w:space="0"/>
            </w:tcBorders>
            <w:vAlign w:val="center"/>
          </w:tcPr>
          <w:p>
            <w:pPr>
              <w:rPr>
                <w:rFonts w:eastAsia="仿宋_GB2312"/>
                <w:sz w:val="24"/>
              </w:rPr>
            </w:pPr>
            <w:r>
              <w:rPr>
                <w:rFonts w:hint="eastAsia" w:eastAsia="仿宋_GB2312"/>
                <w:sz w:val="24"/>
              </w:rPr>
              <w:t>州财政</w:t>
            </w:r>
          </w:p>
        </w:tc>
        <w:tc>
          <w:tcPr>
            <w:tcW w:w="816" w:type="dxa"/>
            <w:tcBorders>
              <w:bottom w:val="single" w:color="auto" w:sz="4" w:space="0"/>
            </w:tcBorders>
            <w:vAlign w:val="center"/>
          </w:tcPr>
          <w:p>
            <w:pPr>
              <w:rPr>
                <w:rFonts w:eastAsia="仿宋_GB2312"/>
                <w:sz w:val="24"/>
              </w:rPr>
            </w:pPr>
          </w:p>
        </w:tc>
        <w:tc>
          <w:tcPr>
            <w:tcW w:w="1310" w:type="dxa"/>
            <w:tcBorders>
              <w:bottom w:val="single" w:color="auto" w:sz="4" w:space="0"/>
            </w:tcBorders>
            <w:vAlign w:val="center"/>
          </w:tcPr>
          <w:p>
            <w:pPr>
              <w:rPr>
                <w:rFonts w:eastAsia="仿宋_GB2312"/>
                <w:sz w:val="24"/>
              </w:rPr>
            </w:pPr>
            <w:r>
              <w:rPr>
                <w:rFonts w:hint="eastAsia" w:eastAsia="仿宋_GB2312"/>
                <w:sz w:val="24"/>
              </w:rPr>
              <w:t>州财政</w:t>
            </w:r>
          </w:p>
        </w:tc>
        <w:tc>
          <w:tcPr>
            <w:tcW w:w="100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县财政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县财政</w:t>
            </w:r>
          </w:p>
        </w:tc>
        <w:tc>
          <w:tcPr>
            <w:tcW w:w="720" w:type="dxa"/>
            <w:gridSpan w:val="3"/>
            <w:tcBorders>
              <w:bottom w:val="single" w:color="auto" w:sz="4" w:space="0"/>
            </w:tcBorders>
            <w:vAlign w:val="center"/>
          </w:tcPr>
          <w:p>
            <w:pPr>
              <w:rPr>
                <w:rFonts w:eastAsia="仿宋_GB2312"/>
                <w:sz w:val="24"/>
              </w:rPr>
            </w:pPr>
          </w:p>
        </w:tc>
        <w:tc>
          <w:tcPr>
            <w:tcW w:w="1548" w:type="dxa"/>
            <w:gridSpan w:val="3"/>
            <w:tcBorders>
              <w:bottom w:val="single" w:color="auto" w:sz="4" w:space="0"/>
            </w:tcBorders>
            <w:vAlign w:val="center"/>
          </w:tcPr>
          <w:p>
            <w:pPr>
              <w:rPr>
                <w:rFonts w:eastAsia="仿宋_GB2312"/>
                <w:sz w:val="24"/>
              </w:rPr>
            </w:pPr>
            <w:r>
              <w:rPr>
                <w:rFonts w:hint="eastAsia" w:eastAsia="仿宋_GB2312"/>
                <w:sz w:val="24"/>
              </w:rPr>
              <w:t>县财政</w:t>
            </w:r>
          </w:p>
        </w:tc>
        <w:tc>
          <w:tcPr>
            <w:tcW w:w="816" w:type="dxa"/>
            <w:tcBorders>
              <w:bottom w:val="single" w:color="auto" w:sz="4" w:space="0"/>
            </w:tcBorders>
            <w:vAlign w:val="center"/>
          </w:tcPr>
          <w:p>
            <w:pPr>
              <w:rPr>
                <w:rFonts w:eastAsia="仿宋_GB2312"/>
                <w:sz w:val="24"/>
              </w:rPr>
            </w:pPr>
          </w:p>
        </w:tc>
        <w:tc>
          <w:tcPr>
            <w:tcW w:w="1310" w:type="dxa"/>
            <w:tcBorders>
              <w:bottom w:val="single" w:color="auto" w:sz="4" w:space="0"/>
            </w:tcBorders>
            <w:vAlign w:val="center"/>
          </w:tcPr>
          <w:p>
            <w:pPr>
              <w:rPr>
                <w:rFonts w:eastAsia="仿宋_GB2312"/>
                <w:sz w:val="24"/>
              </w:rPr>
            </w:pPr>
            <w:r>
              <w:rPr>
                <w:rFonts w:hint="eastAsia" w:eastAsia="仿宋_GB2312"/>
                <w:sz w:val="24"/>
              </w:rPr>
              <w:t>县财政</w:t>
            </w:r>
          </w:p>
        </w:tc>
        <w:tc>
          <w:tcPr>
            <w:tcW w:w="100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vAlign w:val="center"/>
          </w:tcPr>
          <w:p>
            <w:pPr>
              <w:rPr>
                <w:rFonts w:eastAsia="仿宋_GB2312"/>
                <w:sz w:val="24"/>
              </w:rPr>
            </w:pPr>
          </w:p>
        </w:tc>
        <w:tc>
          <w:tcPr>
            <w:tcW w:w="1548" w:type="dxa"/>
            <w:gridSpan w:val="3"/>
            <w:tcBorders>
              <w:bottom w:val="single" w:color="auto" w:sz="4" w:space="0"/>
            </w:tcBorders>
            <w:vAlign w:val="center"/>
          </w:tcPr>
          <w:p>
            <w:pPr>
              <w:rPr>
                <w:rFonts w:eastAsia="仿宋_GB2312"/>
                <w:sz w:val="24"/>
              </w:rPr>
            </w:pPr>
            <w:r>
              <w:rPr>
                <w:rFonts w:hint="eastAsia" w:eastAsia="仿宋_GB2312"/>
                <w:sz w:val="24"/>
              </w:rPr>
              <w:t>其它</w:t>
            </w:r>
          </w:p>
        </w:tc>
        <w:tc>
          <w:tcPr>
            <w:tcW w:w="816" w:type="dxa"/>
            <w:tcBorders>
              <w:bottom w:val="single" w:color="auto" w:sz="4" w:space="0"/>
            </w:tcBorders>
            <w:vAlign w:val="center"/>
          </w:tcPr>
          <w:p>
            <w:pPr>
              <w:rPr>
                <w:rFonts w:eastAsia="仿宋_GB2312"/>
                <w:sz w:val="24"/>
              </w:rPr>
            </w:pPr>
          </w:p>
        </w:tc>
        <w:tc>
          <w:tcPr>
            <w:tcW w:w="1310" w:type="dxa"/>
            <w:tcBorders>
              <w:bottom w:val="single" w:color="auto" w:sz="4" w:space="0"/>
            </w:tcBorders>
            <w:vAlign w:val="center"/>
          </w:tcPr>
          <w:p>
            <w:pPr>
              <w:rPr>
                <w:rFonts w:eastAsia="仿宋_GB2312"/>
                <w:sz w:val="24"/>
              </w:rPr>
            </w:pPr>
            <w:r>
              <w:rPr>
                <w:rFonts w:hint="eastAsia" w:eastAsia="仿宋_GB2312"/>
                <w:sz w:val="24"/>
              </w:rPr>
              <w:t>其它</w:t>
            </w:r>
          </w:p>
        </w:tc>
        <w:tc>
          <w:tcPr>
            <w:tcW w:w="100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实际支出数</w:t>
            </w:r>
          </w:p>
        </w:tc>
        <w:tc>
          <w:tcPr>
            <w:tcW w:w="2246" w:type="dxa"/>
            <w:gridSpan w:val="5"/>
            <w:tcBorders>
              <w:bottom w:val="single" w:color="auto" w:sz="4" w:space="0"/>
            </w:tcBorders>
            <w:vAlign w:val="center"/>
          </w:tcPr>
          <w:p>
            <w:pPr>
              <w:jc w:val="center"/>
              <w:rPr>
                <w:rFonts w:eastAsia="仿宋_GB2312"/>
                <w:sz w:val="24"/>
              </w:rPr>
            </w:pPr>
            <w:r>
              <w:rPr>
                <w:rFonts w:hint="eastAsia" w:eastAsia="仿宋_GB2312"/>
                <w:sz w:val="24"/>
              </w:rPr>
              <w:t>会计凭证号</w:t>
            </w:r>
          </w:p>
        </w:tc>
        <w:tc>
          <w:tcPr>
            <w:tcW w:w="3132" w:type="dxa"/>
            <w:gridSpan w:val="3"/>
            <w:tcBorders>
              <w:bottom w:val="single" w:color="auto" w:sz="4" w:space="0"/>
            </w:tcBorders>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支付地灾报告</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3.8万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支付地形测绘报告</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9.5万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支付可研报告费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10.8万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支付风险评估费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4.8万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支付水文调查报告费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8.6万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支付地勘费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17.6万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支付方案设计费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69.5万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支付20%采购费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7.58万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支付施工图审查费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4.95万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支付水土保持编制费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8.1万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支付弓杠岭自然保护区管理补偿费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69.21万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支付工程量清单和预算费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5.978万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支付监理费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7.53万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支付保护区许可费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11.55万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支付水土保持费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69.3万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支付工程进度预付</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250万</w:t>
            </w:r>
          </w:p>
        </w:tc>
        <w:tc>
          <w:tcPr>
            <w:tcW w:w="2246" w:type="dxa"/>
            <w:gridSpan w:val="5"/>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b/>
                <w:sz w:val="24"/>
              </w:rPr>
            </w:pPr>
            <w:r>
              <w:rPr>
                <w:rFonts w:hint="eastAsia" w:eastAsia="仿宋_GB2312"/>
                <w:sz w:val="24"/>
              </w:rPr>
              <w:t>支出合计</w:t>
            </w:r>
          </w:p>
        </w:tc>
        <w:tc>
          <w:tcPr>
            <w:tcW w:w="1822" w:type="dxa"/>
            <w:gridSpan w:val="2"/>
            <w:tcBorders>
              <w:bottom w:val="single" w:color="auto" w:sz="4" w:space="0"/>
            </w:tcBorders>
            <w:vAlign w:val="center"/>
          </w:tcPr>
          <w:p>
            <w:pPr>
              <w:jc w:val="center"/>
              <w:rPr>
                <w:rFonts w:eastAsia="仿宋_GB2312"/>
                <w:b/>
                <w:sz w:val="24"/>
              </w:rPr>
            </w:pPr>
            <w:r>
              <w:rPr>
                <w:rFonts w:hint="eastAsia" w:eastAsia="仿宋_GB2312"/>
                <w:b/>
                <w:sz w:val="24"/>
              </w:rPr>
              <w:t>496.43万</w:t>
            </w:r>
          </w:p>
        </w:tc>
        <w:tc>
          <w:tcPr>
            <w:tcW w:w="2246" w:type="dxa"/>
            <w:gridSpan w:val="5"/>
            <w:tcBorders>
              <w:bottom w:val="single" w:color="auto" w:sz="4" w:space="0"/>
            </w:tcBorders>
            <w:vAlign w:val="center"/>
          </w:tcPr>
          <w:p>
            <w:pPr>
              <w:jc w:val="center"/>
              <w:rPr>
                <w:rFonts w:eastAsia="仿宋_GB2312"/>
                <w:b/>
                <w:sz w:val="24"/>
              </w:rPr>
            </w:pPr>
          </w:p>
        </w:tc>
        <w:tc>
          <w:tcPr>
            <w:tcW w:w="3132"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4977" w:type="dxa"/>
            <w:gridSpan w:val="10"/>
            <w:tcBorders>
              <w:bottom w:val="single" w:color="auto" w:sz="4" w:space="0"/>
            </w:tcBorders>
            <w:vAlign w:val="center"/>
          </w:tcPr>
          <w:p>
            <w:pPr>
              <w:spacing w:line="400" w:lineRule="exact"/>
              <w:jc w:val="center"/>
              <w:rPr>
                <w:rFonts w:eastAsia="仿宋_GB2312"/>
                <w:sz w:val="24"/>
              </w:rPr>
            </w:pPr>
            <w:r>
              <w:rPr>
                <w:rFonts w:hint="eastAsia" w:eastAsia="仿宋_GB2312"/>
                <w:sz w:val="24"/>
              </w:rPr>
              <w:t>预期目标</w:t>
            </w:r>
          </w:p>
        </w:tc>
        <w:tc>
          <w:tcPr>
            <w:tcW w:w="3132" w:type="dxa"/>
            <w:gridSpan w:val="3"/>
            <w:tcBorders>
              <w:bottom w:val="single" w:color="auto" w:sz="4" w:space="0"/>
            </w:tcBorders>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vAlign w:val="center"/>
          </w:tcPr>
          <w:p/>
        </w:tc>
        <w:tc>
          <w:tcPr>
            <w:tcW w:w="4977" w:type="dxa"/>
            <w:gridSpan w:val="10"/>
            <w:tcBorders>
              <w:bottom w:val="single" w:color="auto" w:sz="4" w:space="0"/>
            </w:tcBorders>
            <w:vAlign w:val="center"/>
          </w:tcPr>
          <w:p>
            <w:pPr>
              <w:jc w:val="center"/>
              <w:rPr>
                <w:rFonts w:eastAsia="仿宋_GB2312"/>
                <w:b/>
                <w:sz w:val="24"/>
              </w:rPr>
            </w:pPr>
            <w:r>
              <w:rPr>
                <w:rFonts w:hint="eastAsia" w:eastAsia="仿宋_GB2312"/>
                <w:b/>
                <w:sz w:val="24"/>
              </w:rPr>
              <w:t>办结项目前期要件手续；完成项目招投标，项目开工建设。</w:t>
            </w:r>
          </w:p>
        </w:tc>
        <w:tc>
          <w:tcPr>
            <w:tcW w:w="3132" w:type="dxa"/>
            <w:gridSpan w:val="3"/>
            <w:tcBorders>
              <w:bottom w:val="single" w:color="auto" w:sz="4" w:space="0"/>
            </w:tcBorders>
            <w:vAlign w:val="center"/>
          </w:tcPr>
          <w:p>
            <w:pPr>
              <w:jc w:val="center"/>
              <w:rPr>
                <w:rFonts w:ascii="宋体" w:cs="宋体"/>
                <w:color w:val="000000"/>
                <w:sz w:val="20"/>
                <w:szCs w:val="20"/>
              </w:rPr>
            </w:pPr>
            <w:r>
              <w:rPr>
                <w:rFonts w:hint="eastAsia"/>
                <w:color w:val="000000"/>
                <w:sz w:val="20"/>
                <w:szCs w:val="20"/>
              </w:rPr>
              <w:t>办结规定要件16个，完成项目招投标，项目于2018年11月8日开工。</w:t>
            </w:r>
          </w:p>
          <w:p>
            <w:pPr>
              <w:spacing w:line="400" w:lineRule="exact"/>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vAlign w:val="center"/>
          </w:tcPr>
          <w:p>
            <w:pPr>
              <w:jc w:val="center"/>
              <w:rPr>
                <w:rFonts w:eastAsia="仿宋_GB2312"/>
                <w:sz w:val="24"/>
              </w:rPr>
            </w:pPr>
            <w:r>
              <w:rPr>
                <w:rFonts w:hint="eastAsia" w:eastAsia="仿宋_GB2312"/>
                <w:sz w:val="24"/>
              </w:rPr>
              <w:t>一级指标</w:t>
            </w:r>
          </w:p>
        </w:tc>
        <w:tc>
          <w:tcPr>
            <w:tcW w:w="182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二级指标</w:t>
            </w:r>
          </w:p>
        </w:tc>
        <w:tc>
          <w:tcPr>
            <w:tcW w:w="126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指标内容</w:t>
            </w:r>
          </w:p>
        </w:tc>
        <w:tc>
          <w:tcPr>
            <w:tcW w:w="986"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指标（目标）值</w:t>
            </w:r>
          </w:p>
        </w:tc>
        <w:tc>
          <w:tcPr>
            <w:tcW w:w="3132" w:type="dxa"/>
            <w:gridSpan w:val="3"/>
            <w:tcBorders>
              <w:bottom w:val="single" w:color="auto" w:sz="4" w:space="0"/>
            </w:tcBorders>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jc w:val="center"/>
        </w:trPr>
        <w:tc>
          <w:tcPr>
            <w:tcW w:w="1473" w:type="dxa"/>
            <w:vMerge w:val="continue"/>
            <w:vAlign w:val="center"/>
          </w:tcPr>
          <w:p/>
        </w:tc>
        <w:tc>
          <w:tcPr>
            <w:tcW w:w="909" w:type="dxa"/>
            <w:gridSpan w:val="3"/>
            <w:vMerge w:val="restart"/>
            <w:vAlign w:val="center"/>
          </w:tcPr>
          <w:p>
            <w:pPr>
              <w:jc w:val="center"/>
              <w:rPr>
                <w:rFonts w:eastAsia="仿宋_GB2312"/>
                <w:sz w:val="24"/>
              </w:rPr>
            </w:pPr>
            <w:r>
              <w:rPr>
                <w:rFonts w:hint="eastAsia" w:eastAsia="仿宋_GB2312"/>
                <w:sz w:val="24"/>
              </w:rPr>
              <w:t>项目产出指标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数量指标</w:t>
            </w:r>
          </w:p>
        </w:tc>
        <w:tc>
          <w:tcPr>
            <w:tcW w:w="126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17个要件</w:t>
            </w:r>
          </w:p>
        </w:tc>
        <w:tc>
          <w:tcPr>
            <w:tcW w:w="986" w:type="dxa"/>
            <w:gridSpan w:val="2"/>
            <w:tcBorders>
              <w:bottom w:val="single" w:color="auto" w:sz="4" w:space="0"/>
            </w:tcBorders>
            <w:vAlign w:val="center"/>
          </w:tcPr>
          <w:p>
            <w:pPr>
              <w:jc w:val="center"/>
              <w:rPr>
                <w:rFonts w:eastAsia="仿宋_GB2312"/>
                <w:sz w:val="24"/>
              </w:rPr>
            </w:pPr>
            <w:r>
              <w:rPr>
                <w:rFonts w:hint="eastAsia" w:eastAsia="仿宋_GB2312"/>
                <w:sz w:val="24"/>
              </w:rPr>
              <w:t>17个</w:t>
            </w:r>
          </w:p>
        </w:tc>
        <w:tc>
          <w:tcPr>
            <w:tcW w:w="3132" w:type="dxa"/>
            <w:gridSpan w:val="3"/>
            <w:tcBorders>
              <w:bottom w:val="single" w:color="auto" w:sz="4" w:space="0"/>
            </w:tcBorders>
            <w:vAlign w:val="center"/>
          </w:tcPr>
          <w:p>
            <w:pPr>
              <w:jc w:val="center"/>
              <w:rPr>
                <w:rFonts w:ascii="宋体" w:cs="宋体"/>
                <w:color w:val="000000"/>
                <w:sz w:val="20"/>
                <w:szCs w:val="20"/>
              </w:rPr>
            </w:pPr>
            <w:r>
              <w:rPr>
                <w:rFonts w:hint="eastAsia"/>
                <w:color w:val="000000"/>
                <w:sz w:val="20"/>
                <w:szCs w:val="20"/>
              </w:rPr>
              <w:t>办结16个，环评报告批复手续需要逐级上报，审批程序繁杂。将于2019年4月1日前取得环评批复手续。</w:t>
            </w:r>
          </w:p>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continue"/>
            <w:vAlign w:val="center"/>
          </w:tc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986" w:type="dxa"/>
            <w:gridSpan w:val="2"/>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质量指标</w:t>
            </w:r>
          </w:p>
        </w:tc>
        <w:tc>
          <w:tcPr>
            <w:tcW w:w="1260" w:type="dxa"/>
            <w:gridSpan w:val="3"/>
            <w:tcBorders>
              <w:bottom w:val="single" w:color="auto" w:sz="4" w:space="0"/>
            </w:tcBorders>
            <w:vAlign w:val="center"/>
          </w:tcPr>
          <w:p>
            <w:pPr>
              <w:jc w:val="center"/>
              <w:rPr>
                <w:rFonts w:ascii="宋体" w:cs="宋体"/>
                <w:color w:val="000000"/>
                <w:sz w:val="20"/>
                <w:szCs w:val="20"/>
              </w:rPr>
            </w:pPr>
            <w:r>
              <w:rPr>
                <w:rFonts w:hint="eastAsia"/>
                <w:color w:val="000000"/>
                <w:sz w:val="20"/>
                <w:szCs w:val="20"/>
              </w:rPr>
              <w:t>休闲旅游度假目的地</w:t>
            </w:r>
          </w:p>
          <w:p>
            <w:pPr>
              <w:spacing w:line="360" w:lineRule="exact"/>
              <w:jc w:val="center"/>
              <w:rPr>
                <w:rFonts w:eastAsia="仿宋_GB2312"/>
                <w:sz w:val="24"/>
              </w:rPr>
            </w:pPr>
          </w:p>
        </w:tc>
        <w:tc>
          <w:tcPr>
            <w:tcW w:w="986" w:type="dxa"/>
            <w:gridSpan w:val="2"/>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continue"/>
            <w:vAlign w:val="center"/>
          </w:tc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986" w:type="dxa"/>
            <w:gridSpan w:val="2"/>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时效指标</w:t>
            </w:r>
          </w:p>
        </w:tc>
        <w:tc>
          <w:tcPr>
            <w:tcW w:w="1260" w:type="dxa"/>
            <w:gridSpan w:val="3"/>
            <w:tcBorders>
              <w:bottom w:val="single" w:color="auto" w:sz="4" w:space="0"/>
            </w:tcBorders>
            <w:vAlign w:val="center"/>
          </w:tcPr>
          <w:tbl>
            <w:tblPr>
              <w:tblStyle w:val="16"/>
              <w:tblW w:w="32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220"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rPr>
                      <w:rFonts w:ascii="宋体" w:cs="宋体"/>
                      <w:color w:val="000000"/>
                      <w:kern w:val="0"/>
                      <w:sz w:val="20"/>
                      <w:szCs w:val="20"/>
                    </w:rPr>
                  </w:pPr>
                  <w:r>
                    <w:rPr>
                      <w:rFonts w:hint="eastAsia" w:ascii="宋体" w:cs="宋体"/>
                      <w:color w:val="000000"/>
                      <w:kern w:val="0"/>
                      <w:sz w:val="20"/>
                      <w:szCs w:val="20"/>
                    </w:rPr>
                    <w:t>办结可研、设计、地勘、施工图审查、勘察等17个前期要件手续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220" w:type="dxa"/>
                  <w:vMerge w:val="continue"/>
                  <w:tcBorders>
                    <w:top w:val="single" w:color="auto" w:sz="4" w:space="0"/>
                    <w:left w:val="single" w:color="auto" w:sz="4" w:space="0"/>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220" w:type="dxa"/>
                  <w:vMerge w:val="continue"/>
                  <w:tcBorders>
                    <w:top w:val="single" w:color="auto" w:sz="4" w:space="0"/>
                    <w:left w:val="single" w:color="auto" w:sz="4" w:space="0"/>
                    <w:bottom w:val="single" w:color="000000" w:sz="4" w:space="0"/>
                    <w:right w:val="single" w:color="000000" w:sz="4" w:space="0"/>
                  </w:tcBorders>
                  <w:vAlign w:val="center"/>
                </w:tcPr>
                <w:p/>
              </w:tc>
            </w:tr>
          </w:tbl>
          <w:p>
            <w:pPr>
              <w:spacing w:line="360" w:lineRule="exact"/>
              <w:jc w:val="center"/>
              <w:rPr>
                <w:rFonts w:eastAsia="仿宋_GB2312"/>
                <w:sz w:val="24"/>
              </w:rPr>
            </w:pPr>
          </w:p>
        </w:tc>
        <w:tc>
          <w:tcPr>
            <w:tcW w:w="986" w:type="dxa"/>
            <w:gridSpan w:val="2"/>
            <w:tcBorders>
              <w:bottom w:val="single" w:color="auto" w:sz="4" w:space="0"/>
            </w:tcBorders>
            <w:vAlign w:val="center"/>
          </w:tcPr>
          <w:p>
            <w:pPr>
              <w:jc w:val="center"/>
              <w:rPr>
                <w:rFonts w:eastAsia="仿宋_GB2312"/>
                <w:sz w:val="24"/>
              </w:rPr>
            </w:pPr>
            <w:r>
              <w:rPr>
                <w:rFonts w:hint="eastAsia" w:eastAsia="仿宋_GB2312"/>
                <w:sz w:val="24"/>
              </w:rPr>
              <w:t>17</w:t>
            </w:r>
          </w:p>
        </w:tc>
        <w:tc>
          <w:tcPr>
            <w:tcW w:w="3132" w:type="dxa"/>
            <w:gridSpan w:val="3"/>
            <w:tcBorders>
              <w:bottom w:val="single" w:color="auto" w:sz="4" w:space="0"/>
            </w:tcBorders>
            <w:vAlign w:val="center"/>
          </w:tcPr>
          <w:p>
            <w:pPr>
              <w:jc w:val="center"/>
              <w:rPr>
                <w:rFonts w:ascii="宋体" w:cs="宋体"/>
                <w:color w:val="000000"/>
                <w:sz w:val="20"/>
                <w:szCs w:val="20"/>
              </w:rPr>
            </w:pPr>
            <w:r>
              <w:rPr>
                <w:rFonts w:hint="eastAsia"/>
                <w:color w:val="000000"/>
                <w:sz w:val="11"/>
                <w:szCs w:val="11"/>
              </w:rPr>
              <w:t>办结16个，环评报告批复手续需要逐级上报，审批程序繁杂。将于</w:t>
            </w:r>
            <w:r>
              <w:rPr>
                <w:rFonts w:hint="eastAsia"/>
                <w:color w:val="000000"/>
                <w:sz w:val="20"/>
                <w:szCs w:val="20"/>
              </w:rPr>
              <w:t>2019年4月1日前取得环评批复手续。</w:t>
            </w:r>
          </w:p>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continue"/>
            <w:vAlign w:val="center"/>
          </w:tc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986" w:type="dxa"/>
            <w:gridSpan w:val="2"/>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jc w:val="center"/>
        </w:trPr>
        <w:tc>
          <w:tcPr>
            <w:tcW w:w="1473" w:type="dxa"/>
            <w:vMerge w:val="continue"/>
            <w:vAlign w:val="center"/>
          </w:tcPr>
          <w:p/>
        </w:tc>
        <w:tc>
          <w:tcPr>
            <w:tcW w:w="909" w:type="dxa"/>
            <w:gridSpan w:val="3"/>
            <w:vMerge w:val="continue"/>
            <w:vAlign w:val="center"/>
          </w:tcPr>
          <w:p/>
        </w:tc>
        <w:tc>
          <w:tcPr>
            <w:tcW w:w="1822" w:type="dxa"/>
            <w:gridSpan w:val="2"/>
            <w:vAlign w:val="center"/>
          </w:tcPr>
          <w:p>
            <w:pPr>
              <w:spacing w:line="360" w:lineRule="exact"/>
              <w:jc w:val="center"/>
              <w:rPr>
                <w:rFonts w:eastAsia="仿宋_GB2312"/>
                <w:sz w:val="24"/>
              </w:rPr>
            </w:pPr>
            <w:r>
              <w:rPr>
                <w:rFonts w:hint="eastAsia" w:eastAsia="仿宋_GB2312"/>
                <w:sz w:val="24"/>
              </w:rPr>
              <w:t>成本指标</w:t>
            </w:r>
          </w:p>
        </w:tc>
        <w:tc>
          <w:tcPr>
            <w:tcW w:w="1260" w:type="dxa"/>
            <w:gridSpan w:val="3"/>
            <w:tcBorders>
              <w:bottom w:val="single" w:color="auto" w:sz="4" w:space="0"/>
            </w:tcBorders>
            <w:vAlign w:val="center"/>
          </w:tcPr>
          <w:p>
            <w:pPr>
              <w:spacing w:line="360" w:lineRule="exact"/>
              <w:rPr>
                <w:rFonts w:eastAsia="仿宋_GB2312"/>
                <w:sz w:val="24"/>
              </w:rPr>
            </w:pPr>
            <w:r>
              <w:rPr>
                <w:rFonts w:hint="eastAsia" w:eastAsia="仿宋_GB2312"/>
                <w:sz w:val="24"/>
              </w:rPr>
              <w:t>2000</w:t>
            </w:r>
          </w:p>
        </w:tc>
        <w:tc>
          <w:tcPr>
            <w:tcW w:w="986" w:type="dxa"/>
            <w:gridSpan w:val="2"/>
            <w:tcBorders>
              <w:bottom w:val="single" w:color="auto" w:sz="4" w:space="0"/>
            </w:tcBorders>
            <w:vAlign w:val="center"/>
          </w:tcPr>
          <w:p>
            <w:pPr>
              <w:rPr>
                <w:rFonts w:eastAsia="仿宋_GB2312"/>
                <w:sz w:val="24"/>
              </w:rPr>
            </w:pPr>
            <w:r>
              <w:rPr>
                <w:rFonts w:hint="eastAsia" w:eastAsia="仿宋_GB2312"/>
                <w:sz w:val="24"/>
              </w:rPr>
              <w:t>496.43</w:t>
            </w:r>
          </w:p>
        </w:tc>
        <w:tc>
          <w:tcPr>
            <w:tcW w:w="3132" w:type="dxa"/>
            <w:gridSpan w:val="3"/>
            <w:tcBorders>
              <w:bottom w:val="single" w:color="auto" w:sz="4" w:space="0"/>
            </w:tcBorders>
            <w:vAlign w:val="center"/>
          </w:tcPr>
          <w:p>
            <w:pPr>
              <w:jc w:val="center"/>
              <w:rPr>
                <w:rFonts w:ascii="宋体" w:cs="宋体"/>
                <w:color w:val="000000"/>
                <w:sz w:val="20"/>
                <w:szCs w:val="20"/>
              </w:rPr>
            </w:pPr>
            <w:r>
              <w:rPr>
                <w:rFonts w:hint="eastAsia"/>
                <w:color w:val="000000"/>
                <w:sz w:val="20"/>
                <w:szCs w:val="20"/>
              </w:rPr>
              <w:t>加快项目建设</w:t>
            </w:r>
          </w:p>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restart"/>
            <w:vAlign w:val="center"/>
          </w:tcPr>
          <w:p>
            <w:pPr>
              <w:jc w:val="center"/>
              <w:rPr>
                <w:rFonts w:eastAsia="仿宋_GB2312"/>
                <w:sz w:val="24"/>
              </w:rPr>
            </w:pPr>
            <w:r>
              <w:rPr>
                <w:rFonts w:hint="eastAsia" w:eastAsia="仿宋_GB2312"/>
                <w:sz w:val="24"/>
              </w:rPr>
              <w:t>项目效益指标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986" w:type="dxa"/>
            <w:gridSpan w:val="2"/>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continue"/>
            <w:vAlign w:val="center"/>
          </w:tc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986" w:type="dxa"/>
            <w:gridSpan w:val="2"/>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986" w:type="dxa"/>
            <w:gridSpan w:val="2"/>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continue"/>
            <w:vAlign w:val="center"/>
          </w:tc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986" w:type="dxa"/>
            <w:gridSpan w:val="2"/>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jc w:val="center"/>
              <w:rPr>
                <w:rFonts w:ascii="宋体" w:cs="宋体"/>
                <w:sz w:val="24"/>
              </w:rPr>
            </w:pPr>
            <w:r>
              <w:rPr>
                <w:rFonts w:hint="eastAsia"/>
              </w:rPr>
              <w:t>可持续发展的旅游度假区</w:t>
            </w:r>
          </w:p>
          <w:p>
            <w:pPr>
              <w:spacing w:line="360" w:lineRule="exact"/>
              <w:jc w:val="center"/>
              <w:rPr>
                <w:rFonts w:eastAsia="仿宋_GB2312"/>
                <w:sz w:val="24"/>
              </w:rPr>
            </w:pPr>
          </w:p>
        </w:tc>
        <w:tc>
          <w:tcPr>
            <w:tcW w:w="986" w:type="dxa"/>
            <w:gridSpan w:val="2"/>
            <w:tcBorders>
              <w:bottom w:val="single" w:color="auto" w:sz="4" w:space="0"/>
            </w:tcBorders>
            <w:vAlign w:val="center"/>
          </w:tcPr>
          <w:p>
            <w:pPr>
              <w:jc w:val="center"/>
              <w:rPr>
                <w:rFonts w:ascii="宋体" w:cs="宋体"/>
                <w:sz w:val="24"/>
              </w:rPr>
            </w:pPr>
            <w:r>
              <w:rPr>
                <w:rFonts w:hint="eastAsia"/>
              </w:rPr>
              <w:t>长期</w:t>
            </w:r>
          </w:p>
          <w:p>
            <w:pPr>
              <w:jc w:val="center"/>
              <w:rPr>
                <w:rFonts w:eastAsia="仿宋_GB2312"/>
                <w:sz w:val="24"/>
              </w:rPr>
            </w:pPr>
          </w:p>
        </w:tc>
        <w:tc>
          <w:tcPr>
            <w:tcW w:w="3132" w:type="dxa"/>
            <w:gridSpan w:val="3"/>
            <w:tcBorders>
              <w:bottom w:val="single" w:color="auto" w:sz="4" w:space="0"/>
            </w:tcBorders>
            <w:vAlign w:val="center"/>
          </w:tcPr>
          <w:p>
            <w:pPr>
              <w:jc w:val="center"/>
              <w:rPr>
                <w:rFonts w:ascii="宋体" w:cs="宋体"/>
                <w:sz w:val="24"/>
              </w:rPr>
            </w:pPr>
            <w:r>
              <w:rPr>
                <w:rFonts w:hint="eastAsia"/>
              </w:rPr>
              <w:t>长期</w:t>
            </w:r>
          </w:p>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continue"/>
            <w:vAlign w:val="center"/>
          </w:tcPr>
          <w:p/>
        </w:tc>
        <w:tc>
          <w:tcPr>
            <w:tcW w:w="1260" w:type="dxa"/>
            <w:gridSpan w:val="3"/>
            <w:tcBorders>
              <w:bottom w:val="single" w:color="auto" w:sz="4" w:space="0"/>
            </w:tcBorders>
            <w:vAlign w:val="center"/>
          </w:tcPr>
          <w:p>
            <w:pPr>
              <w:jc w:val="center"/>
              <w:rPr>
                <w:rFonts w:ascii="宋体" w:cs="宋体"/>
                <w:sz w:val="24"/>
              </w:rPr>
            </w:pPr>
            <w:r>
              <w:rPr>
                <w:rFonts w:hint="eastAsia"/>
              </w:rPr>
              <w:t>绿色旅游度假示范区</w:t>
            </w:r>
          </w:p>
          <w:p>
            <w:pPr>
              <w:spacing w:line="360" w:lineRule="exact"/>
              <w:jc w:val="center"/>
              <w:rPr>
                <w:rFonts w:eastAsia="仿宋_GB2312"/>
                <w:sz w:val="24"/>
              </w:rPr>
            </w:pPr>
          </w:p>
        </w:tc>
        <w:tc>
          <w:tcPr>
            <w:tcW w:w="986" w:type="dxa"/>
            <w:gridSpan w:val="2"/>
            <w:tcBorders>
              <w:bottom w:val="single" w:color="auto" w:sz="4" w:space="0"/>
            </w:tcBorders>
            <w:vAlign w:val="center"/>
          </w:tcPr>
          <w:p>
            <w:pPr>
              <w:jc w:val="center"/>
              <w:rPr>
                <w:rFonts w:ascii="宋体" w:cs="宋体"/>
                <w:sz w:val="24"/>
              </w:rPr>
            </w:pPr>
            <w:r>
              <w:rPr>
                <w:rFonts w:hint="eastAsia"/>
              </w:rPr>
              <w:t>长期</w:t>
            </w:r>
          </w:p>
          <w:p>
            <w:pPr>
              <w:jc w:val="center"/>
              <w:rPr>
                <w:rFonts w:eastAsia="仿宋_GB2312"/>
                <w:sz w:val="24"/>
              </w:rPr>
            </w:pPr>
          </w:p>
        </w:tc>
        <w:tc>
          <w:tcPr>
            <w:tcW w:w="3132" w:type="dxa"/>
            <w:gridSpan w:val="3"/>
            <w:tcBorders>
              <w:bottom w:val="single" w:color="auto" w:sz="4" w:space="0"/>
            </w:tcBorders>
            <w:vAlign w:val="center"/>
          </w:tcPr>
          <w:p>
            <w:pPr>
              <w:jc w:val="center"/>
              <w:rPr>
                <w:rFonts w:ascii="宋体" w:cs="宋体"/>
                <w:sz w:val="24"/>
              </w:rPr>
            </w:pPr>
            <w:r>
              <w:rPr>
                <w:rFonts w:hint="eastAsia"/>
              </w:rPr>
              <w:t>长期</w:t>
            </w:r>
          </w:p>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服务对象满意度指标</w:t>
            </w:r>
          </w:p>
        </w:tc>
        <w:tc>
          <w:tcPr>
            <w:tcW w:w="1260" w:type="dxa"/>
            <w:gridSpan w:val="3"/>
            <w:tcBorders>
              <w:bottom w:val="single" w:color="auto" w:sz="4" w:space="0"/>
            </w:tcBorders>
            <w:vAlign w:val="center"/>
          </w:tcPr>
          <w:p>
            <w:pPr>
              <w:jc w:val="center"/>
              <w:rPr>
                <w:rFonts w:ascii="宋体" w:cs="宋体"/>
                <w:color w:val="000000"/>
                <w:sz w:val="20"/>
                <w:szCs w:val="20"/>
              </w:rPr>
            </w:pPr>
            <w:r>
              <w:rPr>
                <w:rFonts w:hint="eastAsia"/>
                <w:color w:val="000000"/>
                <w:sz w:val="20"/>
                <w:szCs w:val="20"/>
              </w:rPr>
              <w:t>群众满意度</w:t>
            </w:r>
          </w:p>
        </w:tc>
        <w:tc>
          <w:tcPr>
            <w:tcW w:w="986" w:type="dxa"/>
            <w:gridSpan w:val="2"/>
            <w:tcBorders>
              <w:bottom w:val="single" w:color="auto" w:sz="4" w:space="0"/>
            </w:tcBorders>
            <w:vAlign w:val="center"/>
          </w:tcPr>
          <w:p>
            <w:pPr>
              <w:jc w:val="center"/>
              <w:rPr>
                <w:rFonts w:ascii="宋体" w:cs="宋体"/>
                <w:color w:val="000000"/>
                <w:sz w:val="20"/>
                <w:szCs w:val="20"/>
              </w:rPr>
            </w:pPr>
            <w:r>
              <w:rPr>
                <w:rFonts w:hint="eastAsia"/>
                <w:color w:val="000000"/>
                <w:sz w:val="20"/>
                <w:szCs w:val="20"/>
              </w:rPr>
              <w:t>&gt;=90%</w:t>
            </w:r>
          </w:p>
        </w:tc>
        <w:tc>
          <w:tcPr>
            <w:tcW w:w="3132" w:type="dxa"/>
            <w:gridSpan w:val="3"/>
            <w:tcBorders>
              <w:bottom w:val="single" w:color="auto" w:sz="4" w:space="0"/>
            </w:tcBorders>
            <w:vAlign w:val="center"/>
          </w:tcPr>
          <w:p>
            <w:pPr>
              <w:jc w:val="center"/>
              <w:rPr>
                <w:rFonts w:ascii="宋体" w:cs="宋体"/>
                <w:color w:val="000000"/>
                <w:sz w:val="20"/>
                <w:szCs w:val="20"/>
              </w:rPr>
            </w:pPr>
            <w:r>
              <w:rPr>
                <w:rFonts w:hint="eastAsia"/>
                <w:color w:val="000000"/>
                <w:sz w:val="20"/>
                <w:szCs w:val="20"/>
              </w:rPr>
              <w:t>&gt;=90%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continue"/>
            <w:vAlign w:val="center"/>
          </w:tc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986" w:type="dxa"/>
            <w:gridSpan w:val="2"/>
            <w:tcBorders>
              <w:bottom w:val="single" w:color="auto" w:sz="4" w:space="0"/>
            </w:tcBorders>
            <w:vAlign w:val="center"/>
          </w:tcPr>
          <w:p>
            <w:pPr>
              <w:jc w:val="center"/>
              <w:rPr>
                <w:rFonts w:eastAsia="仿宋_GB2312"/>
                <w:sz w:val="24"/>
              </w:rPr>
            </w:pPr>
          </w:p>
        </w:tc>
        <w:tc>
          <w:tcPr>
            <w:tcW w:w="313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bCs/>
                <w:sz w:val="24"/>
              </w:rPr>
              <w:t>绩效自评综合得分</w:t>
            </w:r>
          </w:p>
        </w:tc>
        <w:tc>
          <w:tcPr>
            <w:tcW w:w="7200" w:type="dxa"/>
            <w:gridSpan w:val="10"/>
            <w:tcBorders>
              <w:bottom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bCs/>
                <w:sz w:val="24"/>
              </w:rPr>
            </w:pPr>
            <w:r>
              <w:rPr>
                <w:rFonts w:hint="eastAsia" w:eastAsia="仿宋_GB2312"/>
                <w:bCs/>
                <w:sz w:val="24"/>
              </w:rPr>
              <w:t>评价等次</w:t>
            </w:r>
          </w:p>
        </w:tc>
        <w:tc>
          <w:tcPr>
            <w:tcW w:w="7200" w:type="dxa"/>
            <w:gridSpan w:val="10"/>
            <w:tcBorders>
              <w:bottom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eastAsia="仿宋_GB2312"/>
                <w:sz w:val="24"/>
              </w:rPr>
            </w:pPr>
            <w:r>
              <w:rPr>
                <w:rFonts w:hint="eastAsia" w:eastAsia="仿宋_GB2312"/>
                <w:sz w:val="24"/>
              </w:rPr>
              <w:t>姓名</w:t>
            </w:r>
          </w:p>
        </w:tc>
        <w:tc>
          <w:tcPr>
            <w:tcW w:w="2332" w:type="dxa"/>
            <w:gridSpan w:val="4"/>
            <w:vAlign w:val="center"/>
          </w:tcPr>
          <w:p>
            <w:pPr>
              <w:jc w:val="center"/>
              <w:rPr>
                <w:rFonts w:eastAsia="仿宋_GB2312"/>
                <w:sz w:val="24"/>
              </w:rPr>
            </w:pPr>
            <w:r>
              <w:rPr>
                <w:rFonts w:hint="eastAsia" w:eastAsia="仿宋_GB2312"/>
                <w:sz w:val="24"/>
              </w:rPr>
              <w:t>职称/职务</w:t>
            </w:r>
          </w:p>
        </w:tc>
        <w:tc>
          <w:tcPr>
            <w:tcW w:w="1854" w:type="dxa"/>
            <w:gridSpan w:val="4"/>
            <w:vAlign w:val="center"/>
          </w:tcPr>
          <w:p>
            <w:pPr>
              <w:jc w:val="center"/>
              <w:rPr>
                <w:rFonts w:eastAsia="仿宋_GB2312"/>
                <w:sz w:val="24"/>
              </w:rPr>
            </w:pPr>
            <w:r>
              <w:rPr>
                <w:rFonts w:hint="eastAsia" w:eastAsia="仿宋_GB2312"/>
                <w:sz w:val="24"/>
              </w:rPr>
              <w:t>单位</w:t>
            </w:r>
          </w:p>
        </w:tc>
        <w:tc>
          <w:tcPr>
            <w:tcW w:w="3132" w:type="dxa"/>
            <w:gridSpan w:val="3"/>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854" w:type="dxa"/>
            <w:gridSpan w:val="4"/>
            <w:vAlign w:val="center"/>
          </w:tcPr>
          <w:p>
            <w:pPr>
              <w:rPr>
                <w:rFonts w:eastAsia="仿宋_GB2312"/>
                <w:sz w:val="24"/>
              </w:rPr>
            </w:pPr>
          </w:p>
        </w:tc>
        <w:tc>
          <w:tcPr>
            <w:tcW w:w="3132"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854" w:type="dxa"/>
            <w:gridSpan w:val="4"/>
            <w:vAlign w:val="center"/>
          </w:tcPr>
          <w:p>
            <w:pPr>
              <w:rPr>
                <w:rFonts w:eastAsia="仿宋_GB2312"/>
                <w:sz w:val="24"/>
              </w:rPr>
            </w:pPr>
          </w:p>
        </w:tc>
        <w:tc>
          <w:tcPr>
            <w:tcW w:w="3132"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854" w:type="dxa"/>
            <w:gridSpan w:val="4"/>
            <w:vAlign w:val="center"/>
          </w:tcPr>
          <w:p>
            <w:pPr>
              <w:rPr>
                <w:rFonts w:eastAsia="仿宋_GB2312"/>
                <w:sz w:val="24"/>
              </w:rPr>
            </w:pPr>
          </w:p>
        </w:tc>
        <w:tc>
          <w:tcPr>
            <w:tcW w:w="3132"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vAlign w:val="center"/>
          </w:tcPr>
          <w:p>
            <w:pPr>
              <w:spacing w:line="440" w:lineRule="exact"/>
              <w:rPr>
                <w:rFonts w:eastAsia="仿宋_GB2312"/>
                <w:sz w:val="24"/>
              </w:rPr>
            </w:pPr>
            <w:r>
              <w:rPr>
                <w:rFonts w:hint="eastAsia" w:eastAsia="仿宋_GB2312"/>
                <w:sz w:val="24"/>
              </w:rPr>
              <w:t>评价组组长（签字）：</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项目单位负责人（签章）：</w:t>
            </w:r>
          </w:p>
          <w:p>
            <w:pPr>
              <w:spacing w:line="440" w:lineRule="exact"/>
              <w:rPr>
                <w:sz w:val="24"/>
              </w:rPr>
            </w:pPr>
            <w:r>
              <w:rPr>
                <w:rFonts w:hint="eastAsia" w:eastAsia="仿宋_GB2312"/>
                <w:sz w:val="24"/>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主管部门负责人（签章）：</w:t>
            </w:r>
          </w:p>
          <w:p>
            <w:pPr>
              <w:spacing w:line="440" w:lineRule="exact"/>
              <w:rPr>
                <w:sz w:val="24"/>
              </w:rPr>
            </w:pPr>
            <w:r>
              <w:rPr>
                <w:rFonts w:hint="eastAsia" w:eastAsia="仿宋_GB2312"/>
                <w:sz w:val="24"/>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财政部门归口业务股室意见：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财政部门归口业务股室负责人（签章）：</w:t>
            </w:r>
          </w:p>
          <w:p>
            <w:pPr>
              <w:spacing w:line="440" w:lineRule="exact"/>
              <w:rPr>
                <w:rFonts w:eastAsia="仿宋_GB2312"/>
                <w:sz w:val="24"/>
              </w:rPr>
            </w:pPr>
            <w:r>
              <w:rPr>
                <w:rFonts w:hint="eastAsia" w:eastAsia="仿宋_GB2312"/>
                <w:sz w:val="24"/>
              </w:rPr>
              <w:t>年月日</w:t>
            </w:r>
          </w:p>
        </w:tc>
      </w:tr>
    </w:tbl>
    <w:p>
      <w:pPr>
        <w:rPr>
          <w:rFonts w:eastAsia="仿宋_GB2312" w:cs="仿宋_GB2312"/>
          <w:bCs/>
          <w:sz w:val="28"/>
          <w:szCs w:val="28"/>
        </w:rPr>
      </w:pPr>
    </w:p>
    <w:p>
      <w:pPr>
        <w:rPr>
          <w:rFonts w:eastAsia="仿宋_GB2312" w:cs="仿宋_GB2312"/>
          <w:bCs/>
          <w:sz w:val="28"/>
          <w:szCs w:val="28"/>
        </w:rPr>
      </w:pPr>
    </w:p>
    <w:tbl>
      <w:tblPr>
        <w:tblStyle w:val="1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tcPr>
          <w:p>
            <w:pPr>
              <w:jc w:val="center"/>
              <w:rPr>
                <w:rFonts w:ascii="仿宋" w:eastAsia="仿宋"/>
                <w:b/>
                <w:bCs/>
                <w:sz w:val="32"/>
                <w:szCs w:val="32"/>
              </w:rPr>
            </w:pPr>
            <w:r>
              <w:rPr>
                <w:rFonts w:hint="eastAsia" w:ascii="仿宋" w:eastAsia="仿宋"/>
                <w:b/>
                <w:bCs/>
                <w:sz w:val="32"/>
                <w:szCs w:val="32"/>
              </w:rPr>
              <w:t>五、评价报告综述（文字部分）</w:t>
            </w:r>
          </w:p>
          <w:p>
            <w:pPr>
              <w:spacing w:line="440" w:lineRule="exact"/>
              <w:ind w:firstLine="640" w:firstLineChars="200"/>
              <w:rPr>
                <w:rFonts w:ascii="仿宋" w:eastAsia="仿宋"/>
                <w:sz w:val="32"/>
                <w:szCs w:val="32"/>
              </w:rPr>
            </w:pPr>
          </w:p>
          <w:p>
            <w:pPr>
              <w:numPr>
                <w:ilvl w:val="0"/>
                <w:numId w:val="6"/>
              </w:numPr>
              <w:spacing w:line="560" w:lineRule="exact"/>
              <w:ind w:left="0" w:firstLine="640" w:firstLineChars="200"/>
              <w:rPr>
                <w:rFonts w:ascii="仿宋" w:eastAsia="仿宋"/>
                <w:sz w:val="32"/>
                <w:szCs w:val="32"/>
              </w:rPr>
            </w:pPr>
            <w:r>
              <w:rPr>
                <w:rFonts w:hint="eastAsia" w:ascii="仿宋" w:eastAsia="仿宋"/>
                <w:sz w:val="32"/>
                <w:szCs w:val="32"/>
              </w:rPr>
              <w:t>项目基本概况</w:t>
            </w:r>
          </w:p>
          <w:p>
            <w:pPr>
              <w:spacing w:line="576" w:lineRule="exact"/>
              <w:ind w:firstLine="640" w:firstLineChars="200"/>
              <w:rPr>
                <w:rFonts w:ascii="仿宋" w:eastAsia="仿宋"/>
                <w:sz w:val="32"/>
                <w:szCs w:val="32"/>
              </w:rPr>
            </w:pPr>
            <w:r>
              <w:rPr>
                <w:rFonts w:hint="eastAsia" w:ascii="仿宋" w:eastAsia="仿宋" w:cs="仿宋_GB2312"/>
                <w:sz w:val="32"/>
                <w:szCs w:val="32"/>
              </w:rPr>
              <w:t>该项目为“8·8”九寨沟地震灾后重建规划内项目，经九寨沟县发展和改革局立项批复《九寨沟县发展和改革局关于九寨沟县</w:t>
            </w:r>
            <w:r>
              <w:rPr>
                <w:rFonts w:hint="eastAsia" w:ascii="仿宋" w:eastAsia="仿宋" w:cs="仿宋_GB2312"/>
                <w:spacing w:val="-6"/>
                <w:sz w:val="32"/>
                <w:szCs w:val="32"/>
              </w:rPr>
              <w:t>甘海子生态文化旅游区建设项目可行性研究报告的批复（九发行批〔2018〕100号）</w:t>
            </w:r>
            <w:r>
              <w:rPr>
                <w:rFonts w:hint="eastAsia" w:ascii="仿宋" w:eastAsia="仿宋" w:cs="仿宋_GB2312"/>
                <w:sz w:val="32"/>
                <w:szCs w:val="32"/>
              </w:rPr>
              <w:t>》，项目分一二期进行建设，</w:t>
            </w:r>
            <w:r>
              <w:rPr>
                <w:rFonts w:hint="eastAsia" w:ascii="仿宋" w:eastAsia="仿宋" w:cs="仿宋_GB2312"/>
                <w:b/>
                <w:bCs/>
                <w:sz w:val="32"/>
                <w:szCs w:val="32"/>
              </w:rPr>
              <w:t>建设内容：</w:t>
            </w:r>
            <w:r>
              <w:rPr>
                <w:rFonts w:ascii="仿宋" w:eastAsia="仿宋"/>
                <w:sz w:val="32"/>
                <w:szCs w:val="32"/>
              </w:rPr>
              <w:t>维修加固原九寨沟县旅游咨询服务中心2500m</w:t>
            </w:r>
            <w:r>
              <w:rPr>
                <w:rFonts w:eastAsia="仿宋"/>
                <w:sz w:val="32"/>
                <w:szCs w:val="32"/>
              </w:rPr>
              <w:t>²</w:t>
            </w:r>
            <w:r>
              <w:rPr>
                <w:rFonts w:ascii="仿宋" w:eastAsia="仿宋"/>
                <w:sz w:val="32"/>
                <w:szCs w:val="32"/>
              </w:rPr>
              <w:t>及改造生态停车场3000m</w:t>
            </w:r>
            <w:r>
              <w:rPr>
                <w:rFonts w:eastAsia="仿宋"/>
                <w:sz w:val="32"/>
                <w:szCs w:val="32"/>
              </w:rPr>
              <w:t>²</w:t>
            </w:r>
            <w:r>
              <w:rPr>
                <w:rFonts w:ascii="仿宋" w:eastAsia="仿宋"/>
                <w:sz w:val="32"/>
                <w:szCs w:val="32"/>
              </w:rPr>
              <w:t>和配套附属设施建设；新建甘海子游人服务中心2500m</w:t>
            </w:r>
            <w:r>
              <w:rPr>
                <w:rFonts w:eastAsia="仿宋"/>
                <w:sz w:val="32"/>
                <w:szCs w:val="32"/>
              </w:rPr>
              <w:t>²</w:t>
            </w:r>
            <w:r>
              <w:rPr>
                <w:rFonts w:ascii="仿宋" w:eastAsia="仿宋"/>
                <w:sz w:val="32"/>
                <w:szCs w:val="32"/>
              </w:rPr>
              <w:t>、生态停车场、桥梁、环湖漫游步道、观景平台及配套基础设施建设等；甘海子村风貌提升、民宿打造、道路改造等；新建星空露营地、景区驿站等旅游配套设施及设备购置。</w:t>
            </w:r>
          </w:p>
          <w:p>
            <w:pPr>
              <w:numPr>
                <w:ilvl w:val="0"/>
                <w:numId w:val="6"/>
              </w:numPr>
              <w:spacing w:line="560" w:lineRule="exact"/>
              <w:ind w:left="0" w:firstLine="640" w:firstLineChars="200"/>
              <w:rPr>
                <w:rFonts w:ascii="仿宋" w:eastAsia="仿宋"/>
                <w:sz w:val="32"/>
                <w:szCs w:val="32"/>
              </w:rPr>
            </w:pPr>
            <w:r>
              <w:rPr>
                <w:rFonts w:hint="eastAsia" w:ascii="仿宋" w:eastAsia="仿宋"/>
                <w:sz w:val="32"/>
                <w:szCs w:val="32"/>
              </w:rPr>
              <w:t>项目资金使用及管理情况</w:t>
            </w:r>
          </w:p>
          <w:p>
            <w:pPr>
              <w:pStyle w:val="15"/>
              <w:ind w:left="0" w:leftChars="0"/>
              <w:rPr>
                <w:rFonts w:ascii="仿宋" w:eastAsia="仿宋"/>
                <w:sz w:val="32"/>
                <w:szCs w:val="32"/>
              </w:rPr>
            </w:pPr>
            <w:r>
              <w:rPr>
                <w:rFonts w:hint="eastAsia" w:ascii="仿宋" w:eastAsia="仿宋" w:cs="仿宋_GB2312"/>
                <w:sz w:val="32"/>
                <w:szCs w:val="32"/>
              </w:rPr>
              <w:t>项目总投资为6700万元，其中项目（一期）总投资3260万元，资金来源为“8.8”九寨沟地震灾后恢复重建资金，中央专项资金960万元，省级专项资金2300万元。经九寨沟县财政局评审《九寨沟县发展和改革局关于九寨沟县</w:t>
            </w:r>
            <w:r>
              <w:rPr>
                <w:rFonts w:hint="eastAsia" w:ascii="仿宋" w:eastAsia="仿宋" w:cs="仿宋_GB2312"/>
                <w:spacing w:val="-6"/>
                <w:sz w:val="32"/>
                <w:szCs w:val="32"/>
              </w:rPr>
              <w:t>甘海子生态文化旅游区建设项目（</w:t>
            </w:r>
            <w:r>
              <w:rPr>
                <w:rFonts w:hint="eastAsia" w:ascii="仿宋" w:eastAsia="仿宋" w:cs="仿宋_GB2312"/>
                <w:sz w:val="32"/>
                <w:szCs w:val="32"/>
              </w:rPr>
              <w:t>一期</w:t>
            </w:r>
            <w:r>
              <w:rPr>
                <w:rFonts w:hint="eastAsia" w:ascii="仿宋" w:eastAsia="仿宋" w:cs="仿宋_GB2312"/>
                <w:spacing w:val="-6"/>
                <w:sz w:val="32"/>
                <w:szCs w:val="32"/>
              </w:rPr>
              <w:t>）工程量清单和预算价进行评审的批复（九财投〔2018〕118号）</w:t>
            </w:r>
            <w:r>
              <w:rPr>
                <w:rFonts w:hint="eastAsia" w:ascii="仿宋" w:eastAsia="仿宋" w:cs="仿宋_GB2312"/>
                <w:sz w:val="32"/>
                <w:szCs w:val="32"/>
              </w:rPr>
              <w:t>》，项目招标控制价为2798.598248万元。</w:t>
            </w:r>
          </w:p>
          <w:p>
            <w:pPr>
              <w:numPr>
                <w:ilvl w:val="0"/>
                <w:numId w:val="6"/>
              </w:numPr>
              <w:spacing w:line="560" w:lineRule="exact"/>
              <w:ind w:left="0" w:firstLine="640" w:firstLineChars="200"/>
              <w:rPr>
                <w:rFonts w:ascii="仿宋" w:eastAsia="仿宋"/>
                <w:sz w:val="32"/>
                <w:szCs w:val="32"/>
              </w:rPr>
            </w:pPr>
            <w:r>
              <w:rPr>
                <w:rFonts w:hint="eastAsia" w:ascii="仿宋" w:eastAsia="仿宋"/>
                <w:sz w:val="32"/>
                <w:szCs w:val="32"/>
              </w:rPr>
              <w:t>项目组织实施情况</w:t>
            </w:r>
          </w:p>
          <w:p>
            <w:pPr>
              <w:spacing w:line="536" w:lineRule="exact"/>
              <w:ind w:firstLine="640" w:firstLineChars="200"/>
              <w:rPr>
                <w:rFonts w:ascii="仿宋" w:eastAsia="仿宋" w:cs="仿宋_GB2312"/>
                <w:sz w:val="32"/>
                <w:szCs w:val="32"/>
              </w:rPr>
            </w:pPr>
            <w:r>
              <w:rPr>
                <w:rFonts w:hint="eastAsia" w:ascii="仿宋" w:eastAsia="仿宋" w:cs="仿宋_GB2312"/>
                <w:sz w:val="32"/>
                <w:szCs w:val="32"/>
              </w:rPr>
              <w:t>项目建议采用委托组织、公开招标方式。在国家和省指定媒介发布招标公告。招标文件发售之日5日前，上报相应审批部门备案，确定中标人之日起15日内即向相应发改部门提交招投标情况的书面报告，接受行政主管监督部门对招投标活动的监督，确定中标人后，中标通知书与签订合同报相应发改部门备案。2018年10月18日，经公开招投标，四川鸿鑫鼎盛建筑工程有限公司中标，中标价为2659.897718万元。该项目目前处于施工建设阶段，待项目竣工验收后才能进行验收分析。</w:t>
            </w:r>
          </w:p>
          <w:tbl>
            <w:tblPr>
              <w:tblStyle w:val="16"/>
              <w:tblpPr w:leftFromText="180" w:rightFromText="180" w:vertAnchor="text" w:horzAnchor="page" w:tblpX="-59" w:tblpY="1256"/>
              <w:tblOverlap w:val="never"/>
              <w:tblW w:w="93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75"/>
              <w:gridCol w:w="1070"/>
              <w:gridCol w:w="1071"/>
              <w:gridCol w:w="863"/>
              <w:gridCol w:w="864"/>
              <w:gridCol w:w="874"/>
              <w:gridCol w:w="875"/>
              <w:gridCol w:w="729"/>
              <w:gridCol w:w="843"/>
              <w:gridCol w:w="7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4" w:hRule="atLeast"/>
              </w:trPr>
              <w:tc>
                <w:tcPr>
                  <w:tcW w:w="1375" w:type="dxa"/>
                  <w:vMerge w:val="restart"/>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项目名称</w:t>
                  </w:r>
                </w:p>
              </w:tc>
              <w:tc>
                <w:tcPr>
                  <w:tcW w:w="2141" w:type="dxa"/>
                  <w:gridSpan w:val="2"/>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招标范围</w:t>
                  </w:r>
                </w:p>
              </w:tc>
              <w:tc>
                <w:tcPr>
                  <w:tcW w:w="1727" w:type="dxa"/>
                  <w:gridSpan w:val="2"/>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招标组织形式</w:t>
                  </w:r>
                </w:p>
              </w:tc>
              <w:tc>
                <w:tcPr>
                  <w:tcW w:w="1749" w:type="dxa"/>
                  <w:gridSpan w:val="2"/>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招标方式</w:t>
                  </w:r>
                </w:p>
              </w:tc>
              <w:tc>
                <w:tcPr>
                  <w:tcW w:w="729"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不采用招标方式</w:t>
                  </w:r>
                </w:p>
              </w:tc>
              <w:tc>
                <w:tcPr>
                  <w:tcW w:w="843"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招标估算金额（万元）</w:t>
                  </w:r>
                </w:p>
              </w:tc>
              <w:tc>
                <w:tcPr>
                  <w:tcW w:w="742"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4" w:hRule="atLeast"/>
              </w:trPr>
              <w:tc>
                <w:tcPr>
                  <w:tcW w:w="1375" w:type="dxa"/>
                  <w:vMerge w:val="continue"/>
                  <w:tcBorders>
                    <w:top w:val="single" w:color="000000" w:sz="4" w:space="0"/>
                    <w:left w:val="single" w:color="000000" w:sz="4" w:space="0"/>
                    <w:bottom w:val="single" w:color="000000" w:sz="4" w:space="0"/>
                    <w:right w:val="single" w:color="000000" w:sz="4" w:space="0"/>
                  </w:tcBorders>
                  <w:vAlign w:val="center"/>
                </w:tcPr>
                <w:p/>
              </w:tc>
              <w:tc>
                <w:tcPr>
                  <w:tcW w:w="1070"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全部招标</w:t>
                  </w:r>
                </w:p>
              </w:tc>
              <w:tc>
                <w:tcPr>
                  <w:tcW w:w="1071"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部分招标</w:t>
                  </w:r>
                </w:p>
              </w:tc>
              <w:tc>
                <w:tcPr>
                  <w:tcW w:w="863"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委托</w:t>
                  </w:r>
                </w:p>
                <w:p>
                  <w:pPr>
                    <w:pStyle w:val="30"/>
                    <w:jc w:val="both"/>
                    <w:rPr>
                      <w:rFonts w:ascii="仿宋" w:eastAsia="仿宋"/>
                      <w:sz w:val="32"/>
                      <w:szCs w:val="32"/>
                    </w:rPr>
                  </w:pPr>
                  <w:r>
                    <w:rPr>
                      <w:rFonts w:hint="eastAsia" w:ascii="仿宋" w:eastAsia="仿宋"/>
                      <w:sz w:val="32"/>
                      <w:szCs w:val="32"/>
                    </w:rPr>
                    <w:t>招标</w:t>
                  </w:r>
                </w:p>
              </w:tc>
              <w:tc>
                <w:tcPr>
                  <w:tcW w:w="864"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自行</w:t>
                  </w:r>
                </w:p>
                <w:p>
                  <w:pPr>
                    <w:pStyle w:val="30"/>
                    <w:jc w:val="both"/>
                    <w:rPr>
                      <w:rFonts w:ascii="仿宋" w:eastAsia="仿宋"/>
                      <w:sz w:val="32"/>
                      <w:szCs w:val="32"/>
                    </w:rPr>
                  </w:pPr>
                  <w:r>
                    <w:rPr>
                      <w:rFonts w:hint="eastAsia" w:ascii="仿宋" w:eastAsia="仿宋"/>
                      <w:sz w:val="32"/>
                      <w:szCs w:val="32"/>
                    </w:rPr>
                    <w:t>招标</w:t>
                  </w:r>
                </w:p>
              </w:tc>
              <w:tc>
                <w:tcPr>
                  <w:tcW w:w="874"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公开招标</w:t>
                  </w:r>
                </w:p>
              </w:tc>
              <w:tc>
                <w:tcPr>
                  <w:tcW w:w="875"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邀请招标</w:t>
                  </w:r>
                </w:p>
              </w:tc>
              <w:tc>
                <w:tcPr>
                  <w:tcW w:w="729"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843"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742"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375"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设计</w:t>
                  </w:r>
                </w:p>
              </w:tc>
              <w:tc>
                <w:tcPr>
                  <w:tcW w:w="1070"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w:t>
                  </w:r>
                </w:p>
              </w:tc>
              <w:tc>
                <w:tcPr>
                  <w:tcW w:w="1071"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863"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w:t>
                  </w:r>
                </w:p>
              </w:tc>
              <w:tc>
                <w:tcPr>
                  <w:tcW w:w="864"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874"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w:t>
                  </w:r>
                </w:p>
              </w:tc>
              <w:tc>
                <w:tcPr>
                  <w:tcW w:w="875"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729"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843"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742"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375"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施工</w:t>
                  </w:r>
                </w:p>
              </w:tc>
              <w:tc>
                <w:tcPr>
                  <w:tcW w:w="1070"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w:t>
                  </w:r>
                </w:p>
              </w:tc>
              <w:tc>
                <w:tcPr>
                  <w:tcW w:w="1071"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863"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w:t>
                  </w:r>
                </w:p>
              </w:tc>
              <w:tc>
                <w:tcPr>
                  <w:tcW w:w="864"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874"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w:t>
                  </w:r>
                </w:p>
              </w:tc>
              <w:tc>
                <w:tcPr>
                  <w:tcW w:w="875"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729"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843"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742"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375"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监理</w:t>
                  </w:r>
                </w:p>
              </w:tc>
              <w:tc>
                <w:tcPr>
                  <w:tcW w:w="1070"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w:t>
                  </w:r>
                </w:p>
              </w:tc>
              <w:tc>
                <w:tcPr>
                  <w:tcW w:w="1071"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863"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w:t>
                  </w:r>
                </w:p>
              </w:tc>
              <w:tc>
                <w:tcPr>
                  <w:tcW w:w="864"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874"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w:t>
                  </w:r>
                </w:p>
              </w:tc>
              <w:tc>
                <w:tcPr>
                  <w:tcW w:w="875"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729"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843"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742"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375"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设备采购</w:t>
                  </w:r>
                </w:p>
              </w:tc>
              <w:tc>
                <w:tcPr>
                  <w:tcW w:w="1070"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w:t>
                  </w:r>
                </w:p>
              </w:tc>
              <w:tc>
                <w:tcPr>
                  <w:tcW w:w="1071"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863"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w:t>
                  </w:r>
                </w:p>
              </w:tc>
              <w:tc>
                <w:tcPr>
                  <w:tcW w:w="864"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874"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r>
                    <w:rPr>
                      <w:rFonts w:hint="eastAsia" w:ascii="仿宋" w:eastAsia="仿宋"/>
                      <w:sz w:val="32"/>
                      <w:szCs w:val="32"/>
                    </w:rPr>
                    <w:t>√</w:t>
                  </w:r>
                </w:p>
              </w:tc>
              <w:tc>
                <w:tcPr>
                  <w:tcW w:w="875"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729"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843"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c>
                <w:tcPr>
                  <w:tcW w:w="742" w:type="dxa"/>
                  <w:tcBorders>
                    <w:top w:val="single" w:color="000000" w:sz="4" w:space="0"/>
                    <w:left w:val="single" w:color="000000" w:sz="4" w:space="0"/>
                    <w:bottom w:val="single" w:color="000000" w:sz="4" w:space="0"/>
                    <w:right w:val="single" w:color="000000" w:sz="4" w:space="0"/>
                  </w:tcBorders>
                  <w:vAlign w:val="center"/>
                </w:tcPr>
                <w:p>
                  <w:pPr>
                    <w:pStyle w:val="30"/>
                    <w:jc w:val="both"/>
                    <w:rPr>
                      <w:rFonts w:ascii="仿宋" w:eastAsia="仿宋"/>
                      <w:sz w:val="32"/>
                      <w:szCs w:val="32"/>
                    </w:rPr>
                  </w:pPr>
                </w:p>
              </w:tc>
            </w:tr>
          </w:tbl>
          <w:p>
            <w:pPr>
              <w:ind w:firstLine="3533" w:firstLineChars="1100"/>
              <w:rPr>
                <w:rFonts w:ascii="仿宋" w:eastAsia="仿宋"/>
                <w:sz w:val="32"/>
                <w:szCs w:val="32"/>
              </w:rPr>
            </w:pPr>
            <w:r>
              <w:rPr>
                <w:rFonts w:hint="eastAsia" w:ascii="仿宋" w:eastAsia="仿宋"/>
                <w:b/>
                <w:bCs/>
                <w:sz w:val="32"/>
                <w:szCs w:val="32"/>
              </w:rPr>
              <w:t>招标基本情况表</w:t>
            </w:r>
          </w:p>
          <w:p>
            <w:pPr>
              <w:pStyle w:val="15"/>
              <w:ind w:left="840" w:leftChars="400" w:firstLine="0" w:firstLineChars="0"/>
              <w:rPr>
                <w:rFonts w:ascii="仿宋" w:eastAsia="仿宋"/>
                <w:sz w:val="32"/>
                <w:szCs w:val="32"/>
              </w:rPr>
            </w:pPr>
          </w:p>
          <w:p>
            <w:pPr>
              <w:pStyle w:val="14"/>
              <w:spacing w:after="0"/>
              <w:ind w:firstLine="640" w:firstLineChars="200"/>
              <w:rPr>
                <w:rFonts w:ascii="仿宋" w:eastAsia="仿宋" w:cs="仿宋_GB2312"/>
                <w:sz w:val="32"/>
                <w:szCs w:val="32"/>
              </w:rPr>
            </w:pPr>
            <w:r>
              <w:rPr>
                <w:rFonts w:hint="eastAsia" w:ascii="仿宋" w:eastAsia="仿宋" w:cs="仿宋_GB2312"/>
                <w:bCs/>
                <w:sz w:val="32"/>
                <w:szCs w:val="32"/>
              </w:rPr>
              <w:t>根据本项目的特点，由相关业务人员组成项目管理小组，具体负责项目建设日常事务。项目建设严格按照国家有关规定，工程项目实行招投标制、工程监理制，项目管理实行目标责任制，项目资金实行专人、专户、专账、封闭管理使用。具体项目实行业主负责制，按照九寨沟县灾后重建项目管理办法和国家现行技术规范要求，进行组织施工。在施工过程中，</w:t>
            </w:r>
            <w:r>
              <w:rPr>
                <w:rFonts w:hint="eastAsia" w:ascii="仿宋" w:eastAsia="仿宋" w:cs="仿宋_GB2312"/>
                <w:sz w:val="32"/>
                <w:szCs w:val="32"/>
              </w:rPr>
              <w:t>严格实行合同管理制，对项目实施中的勘察设计、施工、设备供应，材料采购和工程监理都依法</w:t>
            </w:r>
            <w:r>
              <w:rPr>
                <w:rFonts w:hint="eastAsia" w:ascii="仿宋" w:eastAsia="仿宋" w:cs="仿宋_GB2312"/>
                <w:sz w:val="32"/>
                <w:szCs w:val="32"/>
                <w:lang w:eastAsia="zh-CN"/>
              </w:rPr>
              <w:t>签订合同</w:t>
            </w:r>
            <w:r>
              <w:rPr>
                <w:rFonts w:hint="eastAsia" w:ascii="仿宋" w:eastAsia="仿宋" w:cs="仿宋_GB2312"/>
                <w:sz w:val="32"/>
                <w:szCs w:val="32"/>
              </w:rPr>
              <w:t>，依据合同管理工程。在施工承包合同、监理合同中明确规定有关工期、进度、进度违约金等条款，控制对投资的投放速度，控制对物资的供应。依据规划、控制和协调等管理职能手段，在工程的准备及实施的全过程中，对工程进度进行控制。根据倒排工期编制合理的项目进度计划，定期收集反映实际进度的有关数据，同时进行现场实地检查。资金管理严格把关，资金存入专业银行的工程专户，保证专款专用，不得挪作</w:t>
            </w:r>
            <w:r>
              <w:rPr>
                <w:rFonts w:hint="eastAsia" w:ascii="仿宋" w:eastAsia="仿宋" w:cs="仿宋_GB2312"/>
                <w:sz w:val="32"/>
                <w:szCs w:val="32"/>
                <w:lang w:val="en-US" w:eastAsia="zh-CN"/>
              </w:rPr>
              <w:t>他</w:t>
            </w:r>
            <w:r>
              <w:rPr>
                <w:rFonts w:hint="eastAsia" w:ascii="仿宋" w:eastAsia="仿宋" w:cs="仿宋_GB2312"/>
                <w:sz w:val="32"/>
                <w:szCs w:val="32"/>
              </w:rPr>
              <w:t>用，资金实行工程进度与质量监督验收合格签字把关，法人签字付款的管理制度。</w:t>
            </w:r>
          </w:p>
          <w:p>
            <w:pPr>
              <w:spacing w:line="560" w:lineRule="exact"/>
              <w:ind w:firstLine="640" w:firstLineChars="200"/>
              <w:rPr>
                <w:rFonts w:ascii="仿宋" w:eastAsia="仿宋"/>
                <w:sz w:val="32"/>
                <w:szCs w:val="32"/>
              </w:rPr>
            </w:pPr>
            <w:r>
              <w:rPr>
                <w:rFonts w:hint="eastAsia" w:ascii="仿宋" w:eastAsia="仿宋"/>
                <w:sz w:val="32"/>
                <w:szCs w:val="32"/>
              </w:rPr>
              <w:t>（四）综合评价情况及评价结论：</w:t>
            </w:r>
          </w:p>
          <w:p>
            <w:pPr>
              <w:spacing w:line="560" w:lineRule="exact"/>
              <w:ind w:firstLine="640" w:firstLineChars="200"/>
              <w:rPr>
                <w:rFonts w:ascii="仿宋" w:eastAsia="仿宋"/>
                <w:sz w:val="32"/>
                <w:szCs w:val="32"/>
              </w:rPr>
            </w:pPr>
            <w:r>
              <w:rPr>
                <w:rFonts w:hint="eastAsia" w:ascii="仿宋" w:eastAsia="仿宋"/>
                <w:sz w:val="32"/>
                <w:szCs w:val="32"/>
              </w:rPr>
              <w:t>该项目（一期）总投资预算3260万元，其中设备采购预算40万元（大写：肆拾万元整），土建维修部分预算2800万元（大写：贰仟捌佰万元整），最终</w:t>
            </w:r>
            <w:r>
              <w:rPr>
                <w:rFonts w:hint="eastAsia" w:ascii="仿宋" w:eastAsia="仿宋" w:cs="仿宋_GB2312"/>
                <w:bCs/>
                <w:sz w:val="32"/>
                <w:szCs w:val="32"/>
              </w:rPr>
              <w:t>设备采购部分中标价格为37.9万元，土建部分中标价格为2659.89772万元，有效控制了投资成本，节约了142.2万元。目前已完成设备采购招标，中标单位已在加紧生产设备，土建部门已完成招标，目前正在准备前期工作已于2018年11月8日正式进场施工。本项目建设将有效提升和改善九寨沟漳扎镇甘海子村旅游接待能力，增强服务功能和服务质量，满足社会发展需求，创造良好的经济效益，实现九寨沟全域旅游的发展规划，同时解决甘海子村群众就业问题。</w:t>
            </w:r>
          </w:p>
          <w:p>
            <w:pPr>
              <w:ind w:firstLine="640" w:firstLineChars="200"/>
              <w:rPr>
                <w:rFonts w:ascii="仿宋" w:eastAsia="仿宋"/>
                <w:sz w:val="32"/>
                <w:szCs w:val="32"/>
              </w:rPr>
            </w:pPr>
            <w:r>
              <w:rPr>
                <w:rFonts w:hint="eastAsia" w:ascii="仿宋" w:eastAsia="仿宋"/>
                <w:sz w:val="32"/>
                <w:szCs w:val="32"/>
              </w:rPr>
              <w:t>（五）项目主要绩效情况分析：完成项目前期要件17个。</w:t>
            </w:r>
          </w:p>
        </w:tc>
      </w:tr>
    </w:tbl>
    <w:p>
      <w:pPr>
        <w:spacing w:before="156" w:beforeLines="50" w:line="348" w:lineRule="auto"/>
        <w:jc w:val="left"/>
        <w:rPr>
          <w:rFonts w:eastAsia="方正小标宋简体"/>
          <w:bCs/>
          <w:sz w:val="44"/>
          <w:szCs w:val="44"/>
        </w:rPr>
      </w:pPr>
      <w:r>
        <w:rPr>
          <w:rStyle w:val="20"/>
          <w:rFonts w:hint="eastAsia" w:ascii="仿宋" w:eastAsia="仿宋"/>
          <w:sz w:val="32"/>
          <w:szCs w:val="32"/>
        </w:rPr>
        <w:t>附件2-3</w:t>
      </w:r>
      <w:r>
        <w:rPr>
          <w:rFonts w:hint="eastAsia" w:eastAsia="方正小标宋简体"/>
          <w:bCs/>
          <w:sz w:val="44"/>
          <w:szCs w:val="44"/>
        </w:rPr>
        <w:t xml:space="preserve"> </w:t>
      </w:r>
    </w:p>
    <w:p>
      <w:pPr>
        <w:spacing w:before="156" w:beforeLines="50" w:line="348" w:lineRule="auto"/>
        <w:jc w:val="center"/>
        <w:rPr>
          <w:rFonts w:eastAsia="方正小标宋简体"/>
          <w:bCs/>
          <w:sz w:val="44"/>
          <w:szCs w:val="44"/>
        </w:rPr>
      </w:pPr>
      <w:r>
        <w:rPr>
          <w:rFonts w:hint="eastAsia" w:eastAsia="方正小标宋简体"/>
          <w:bCs/>
          <w:sz w:val="44"/>
          <w:szCs w:val="44"/>
        </w:rPr>
        <w:t>九寨沟县</w:t>
      </w:r>
      <w:r>
        <w:rPr>
          <w:rFonts w:hint="eastAsia" w:eastAsia="方正小标宋简体"/>
          <w:bCs/>
          <w:sz w:val="44"/>
          <w:szCs w:val="44"/>
          <w:u w:val="single"/>
        </w:rPr>
        <w:t>2018</w:t>
      </w:r>
      <w:r>
        <w:rPr>
          <w:rFonts w:hint="eastAsia" w:eastAsia="方正小标宋简体"/>
          <w:bCs/>
          <w:sz w:val="44"/>
          <w:szCs w:val="44"/>
        </w:rPr>
        <w:t>年度财政项目支出</w:t>
      </w:r>
    </w:p>
    <w:p>
      <w:pPr>
        <w:spacing w:before="156" w:beforeLines="50" w:line="348" w:lineRule="auto"/>
        <w:jc w:val="center"/>
        <w:rPr>
          <w:rFonts w:eastAsia="方正小标宋简体"/>
          <w:bCs/>
          <w:sz w:val="44"/>
          <w:szCs w:val="44"/>
        </w:rPr>
      </w:pPr>
      <w:r>
        <w:rPr>
          <w:rFonts w:hint="eastAsia" w:eastAsia="方正小标宋简体"/>
          <w:bCs/>
          <w:sz w:val="44"/>
          <w:szCs w:val="44"/>
        </w:rPr>
        <w:t>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评价类型：项目实施过程评价□项目完成结果评价□</w:t>
      </w:r>
    </w:p>
    <w:p>
      <w:pPr>
        <w:spacing w:before="156" w:beforeLines="50" w:line="760" w:lineRule="exact"/>
        <w:ind w:firstLine="480" w:firstLineChars="150"/>
        <w:rPr>
          <w:rFonts w:eastAsia="仿宋_GB2312"/>
          <w:sz w:val="32"/>
          <w:u w:val="single"/>
        </w:rPr>
      </w:pPr>
      <w:r>
        <w:rPr>
          <w:rFonts w:hint="eastAsia" w:eastAsia="仿宋_GB2312"/>
          <w:sz w:val="32"/>
        </w:rPr>
        <w:t>项目名称：</w:t>
      </w:r>
      <w:r>
        <w:rPr>
          <w:rFonts w:hint="eastAsia" w:eastAsia="仿宋_GB2312"/>
          <w:sz w:val="32"/>
          <w:szCs w:val="32"/>
        </w:rPr>
        <w:t>勿角民族生态试验区建设</w:t>
      </w:r>
    </w:p>
    <w:p>
      <w:pPr>
        <w:spacing w:before="156" w:beforeLines="50" w:line="760" w:lineRule="exact"/>
        <w:ind w:firstLine="480" w:firstLineChars="150"/>
        <w:rPr>
          <w:rFonts w:eastAsia="仿宋_GB2312"/>
          <w:sz w:val="32"/>
        </w:rPr>
      </w:pPr>
      <w:r>
        <w:rPr>
          <w:rFonts w:hint="eastAsia" w:eastAsia="仿宋_GB2312"/>
          <w:sz w:val="32"/>
        </w:rPr>
        <w:t>项目单位：九寨县文化体育和旅游局</w:t>
      </w:r>
    </w:p>
    <w:p>
      <w:pPr>
        <w:spacing w:before="156" w:beforeLines="50" w:line="760" w:lineRule="exact"/>
        <w:ind w:firstLine="480" w:firstLineChars="150"/>
        <w:rPr>
          <w:rFonts w:eastAsia="仿宋_GB2312"/>
          <w:sz w:val="32"/>
          <w:u w:val="single"/>
        </w:rPr>
      </w:pPr>
      <w:r>
        <w:rPr>
          <w:rFonts w:hint="eastAsia" w:eastAsia="仿宋_GB2312"/>
          <w:sz w:val="32"/>
        </w:rPr>
        <w:t>主管部门：住建局</w:t>
      </w:r>
    </w:p>
    <w:p>
      <w:pPr>
        <w:spacing w:before="156"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部门（单位）评价组</w:t>
      </w:r>
    </w:p>
    <w:p>
      <w:pPr>
        <w:spacing w:before="156" w:beforeLines="50" w:line="760" w:lineRule="exact"/>
        <w:ind w:firstLine="420" w:firstLineChars="150"/>
        <w:rPr>
          <w:rFonts w:eastAsia="仿宋_GB2312"/>
          <w:sz w:val="28"/>
          <w:szCs w:val="28"/>
        </w:rPr>
      </w:pPr>
    </w:p>
    <w:p>
      <w:pPr>
        <w:spacing w:before="156" w:beforeLines="50" w:line="348" w:lineRule="auto"/>
        <w:ind w:firstLine="420" w:firstLineChars="150"/>
        <w:rPr>
          <w:rFonts w:eastAsia="仿宋_GB2312"/>
          <w:sz w:val="28"/>
          <w:szCs w:val="28"/>
        </w:rPr>
      </w:pPr>
    </w:p>
    <w:p>
      <w:pPr>
        <w:spacing w:before="156" w:beforeLines="50" w:line="120" w:lineRule="exact"/>
        <w:rPr>
          <w:rFonts w:eastAsia="仿宋_GB2312"/>
          <w:sz w:val="28"/>
          <w:szCs w:val="28"/>
        </w:rPr>
      </w:pPr>
    </w:p>
    <w:p>
      <w:pPr>
        <w:spacing w:before="156" w:beforeLines="50" w:line="120" w:lineRule="exact"/>
        <w:ind w:firstLine="420" w:firstLineChars="150"/>
        <w:rPr>
          <w:rFonts w:eastAsia="仿宋_GB2312"/>
          <w:sz w:val="28"/>
          <w:szCs w:val="28"/>
        </w:rPr>
      </w:pPr>
    </w:p>
    <w:p>
      <w:pPr>
        <w:spacing w:before="156"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报告日期：2019年6月28日</w:t>
      </w:r>
    </w:p>
    <w:p>
      <w:pPr>
        <w:spacing w:line="348" w:lineRule="auto"/>
        <w:jc w:val="center"/>
        <w:rPr>
          <w:rFonts w:eastAsia="仿宋_GB2312"/>
          <w:sz w:val="32"/>
        </w:rPr>
      </w:pPr>
      <w:r>
        <w:rPr>
          <w:rFonts w:hint="eastAsia" w:eastAsia="仿宋_GB2312"/>
          <w:sz w:val="32"/>
        </w:rPr>
        <w:t>九寨沟县财政局（制）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1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896"/>
        <w:gridCol w:w="1134"/>
        <w:gridCol w:w="1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vAlign w:val="center"/>
          </w:tcPr>
          <w:p>
            <w:pPr>
              <w:jc w:val="center"/>
              <w:rPr>
                <w:rFonts w:eastAsia="仿宋_GB2312"/>
                <w:b/>
                <w:sz w:val="24"/>
              </w:rPr>
            </w:pPr>
            <w:r>
              <w:rPr>
                <w:rFonts w:hint="eastAsia" w:eastAsia="仿宋_GB2312"/>
                <w:b/>
                <w:sz w:val="24"/>
              </w:rPr>
              <w:t>一、项目基本概况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项目负责人</w:t>
            </w:r>
          </w:p>
        </w:tc>
        <w:tc>
          <w:tcPr>
            <w:tcW w:w="3240" w:type="dxa"/>
            <w:gridSpan w:val="6"/>
            <w:vAlign w:val="center"/>
          </w:tcPr>
          <w:p>
            <w:pPr>
              <w:rPr>
                <w:rFonts w:eastAsia="仿宋_GB2312"/>
                <w:sz w:val="24"/>
              </w:rPr>
            </w:pPr>
            <w:r>
              <w:rPr>
                <w:rFonts w:hint="eastAsia" w:eastAsia="仿宋_GB2312"/>
                <w:sz w:val="24"/>
              </w:rPr>
              <w:t>王毅</w:t>
            </w:r>
          </w:p>
        </w:tc>
        <w:tc>
          <w:tcPr>
            <w:tcW w:w="1347" w:type="dxa"/>
            <w:gridSpan w:val="2"/>
            <w:vAlign w:val="center"/>
          </w:tcPr>
          <w:p>
            <w:pPr>
              <w:rPr>
                <w:rFonts w:eastAsia="仿宋_GB2312"/>
                <w:sz w:val="24"/>
              </w:rPr>
            </w:pPr>
            <w:r>
              <w:rPr>
                <w:rFonts w:hint="eastAsia" w:eastAsia="仿宋_GB2312"/>
                <w:sz w:val="24"/>
              </w:rPr>
              <w:t>联系电话</w:t>
            </w:r>
          </w:p>
        </w:tc>
        <w:tc>
          <w:tcPr>
            <w:tcW w:w="3333" w:type="dxa"/>
            <w:gridSpan w:val="4"/>
            <w:vAlign w:val="center"/>
          </w:tcPr>
          <w:p>
            <w:pPr>
              <w:rPr>
                <w:rFonts w:eastAsia="仿宋_GB2312"/>
                <w:sz w:val="24"/>
              </w:rPr>
            </w:pPr>
            <w:r>
              <w:rPr>
                <w:rFonts w:hint="eastAsia" w:eastAsia="仿宋_GB2312"/>
                <w:sz w:val="24"/>
              </w:rPr>
              <w:t>18990400727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项目地址</w:t>
            </w:r>
          </w:p>
        </w:tc>
        <w:tc>
          <w:tcPr>
            <w:tcW w:w="3240" w:type="dxa"/>
            <w:gridSpan w:val="6"/>
            <w:vAlign w:val="center"/>
          </w:tcPr>
          <w:p>
            <w:pPr>
              <w:rPr>
                <w:rFonts w:eastAsia="仿宋_GB2312"/>
                <w:sz w:val="24"/>
              </w:rPr>
            </w:pPr>
            <w:r>
              <w:rPr>
                <w:rFonts w:hint="eastAsia" w:eastAsia="仿宋_GB2312"/>
                <w:sz w:val="24"/>
              </w:rPr>
              <w:t>九寨沟县勿角乡</w:t>
            </w:r>
          </w:p>
        </w:tc>
        <w:tc>
          <w:tcPr>
            <w:tcW w:w="1347" w:type="dxa"/>
            <w:gridSpan w:val="2"/>
            <w:vAlign w:val="center"/>
          </w:tcPr>
          <w:p>
            <w:pPr>
              <w:rPr>
                <w:rFonts w:eastAsia="仿宋_GB2312"/>
                <w:sz w:val="24"/>
              </w:rPr>
            </w:pPr>
            <w:r>
              <w:rPr>
                <w:rFonts w:hint="eastAsia" w:eastAsia="仿宋_GB2312"/>
                <w:sz w:val="24"/>
              </w:rPr>
              <w:t>邮编</w:t>
            </w:r>
          </w:p>
        </w:tc>
        <w:tc>
          <w:tcPr>
            <w:tcW w:w="3333" w:type="dxa"/>
            <w:gridSpan w:val="4"/>
            <w:vAlign w:val="center"/>
          </w:tcPr>
          <w:p>
            <w:pPr>
              <w:rPr>
                <w:rFonts w:eastAsia="仿宋_GB2312"/>
                <w:sz w:val="24"/>
              </w:rPr>
            </w:pPr>
            <w:r>
              <w:rPr>
                <w:rFonts w:hint="eastAsia" w:eastAsia="仿宋_GB2312"/>
                <w:sz w:val="24"/>
              </w:rPr>
              <w:t>623400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项目起止时间</w:t>
            </w:r>
          </w:p>
        </w:tc>
        <w:tc>
          <w:tcPr>
            <w:tcW w:w="7920" w:type="dxa"/>
            <w:gridSpan w:val="12"/>
            <w:vAlign w:val="center"/>
          </w:tcPr>
          <w:p>
            <w:pPr>
              <w:ind w:firstLine="1190" w:firstLineChars="496"/>
              <w:rPr>
                <w:rFonts w:eastAsia="仿宋_GB2312"/>
                <w:sz w:val="24"/>
              </w:rPr>
            </w:pPr>
            <w:r>
              <w:rPr>
                <w:rFonts w:hint="eastAsia" w:eastAsia="仿宋_GB2312"/>
                <w:sz w:val="24"/>
              </w:rPr>
              <w:t>年月起至年月止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eastAsia="仿宋_GB2312"/>
                <w:sz w:val="24"/>
              </w:rPr>
            </w:pPr>
          </w:p>
        </w:tc>
        <w:tc>
          <w:tcPr>
            <w:tcW w:w="1800" w:type="dxa"/>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1290</w:t>
            </w:r>
          </w:p>
        </w:tc>
        <w:tc>
          <w:tcPr>
            <w:tcW w:w="1644"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896"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684.09</w:t>
            </w:r>
          </w:p>
        </w:tc>
        <w:tc>
          <w:tcPr>
            <w:tcW w:w="1134"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1006" w:type="dxa"/>
            <w:tcBorders>
              <w:bottom w:val="single" w:color="auto" w:sz="4" w:space="0"/>
            </w:tcBorders>
            <w:vAlign w:val="center"/>
          </w:tcPr>
          <w:p>
            <w:pPr>
              <w:jc w:val="center"/>
              <w:rPr>
                <w:rFonts w:eastAsia="仿宋_GB2312"/>
                <w:b/>
                <w:sz w:val="24"/>
              </w:rPr>
            </w:pPr>
            <w:r>
              <w:rPr>
                <w:rFonts w:hint="eastAsia" w:eastAsia="仿宋_GB2312"/>
                <w:b/>
                <w:sz w:val="24"/>
              </w:rPr>
              <w:t>605.91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eastAsia="仿宋_GB2312"/>
                <w:spacing w:val="-6"/>
                <w:sz w:val="24"/>
              </w:rPr>
            </w:pPr>
          </w:p>
        </w:tc>
        <w:tc>
          <w:tcPr>
            <w:tcW w:w="1800" w:type="dxa"/>
            <w:tcBorders>
              <w:bottom w:val="single" w:color="auto" w:sz="4" w:space="0"/>
            </w:tcBorders>
            <w:vAlign w:val="center"/>
          </w:tcPr>
          <w:p>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vAlign w:val="center"/>
          </w:tcPr>
          <w:p>
            <w:pPr>
              <w:rPr>
                <w:rFonts w:eastAsia="仿宋_GB2312"/>
                <w:spacing w:val="-6"/>
                <w:sz w:val="24"/>
              </w:rPr>
            </w:pPr>
            <w:r>
              <w:rPr>
                <w:rFonts w:hint="eastAsia" w:eastAsia="仿宋_GB2312"/>
                <w:spacing w:val="-6"/>
                <w:sz w:val="24"/>
              </w:rPr>
              <w:t>290</w:t>
            </w:r>
          </w:p>
        </w:tc>
        <w:tc>
          <w:tcPr>
            <w:tcW w:w="1644" w:type="dxa"/>
            <w:gridSpan w:val="3"/>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896" w:type="dxa"/>
            <w:tcBorders>
              <w:bottom w:val="single" w:color="auto" w:sz="4" w:space="0"/>
            </w:tcBorders>
            <w:vAlign w:val="center"/>
          </w:tcPr>
          <w:p>
            <w:pPr>
              <w:rPr>
                <w:rFonts w:eastAsia="仿宋_GB2312"/>
                <w:spacing w:val="-6"/>
                <w:sz w:val="24"/>
              </w:rPr>
            </w:pPr>
          </w:p>
        </w:tc>
        <w:tc>
          <w:tcPr>
            <w:tcW w:w="1134" w:type="dxa"/>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100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vAlign w:val="center"/>
          </w:tcPr>
          <w:p>
            <w:pPr>
              <w:rPr>
                <w:rFonts w:eastAsia="仿宋_GB2312"/>
                <w:sz w:val="24"/>
              </w:rPr>
            </w:pPr>
            <w:r>
              <w:rPr>
                <w:rFonts w:hint="eastAsia" w:eastAsia="仿宋_GB2312"/>
                <w:sz w:val="24"/>
              </w:rPr>
              <w:t>1000</w:t>
            </w: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省财政</w:t>
            </w:r>
          </w:p>
        </w:tc>
        <w:tc>
          <w:tcPr>
            <w:tcW w:w="896" w:type="dxa"/>
            <w:tcBorders>
              <w:bottom w:val="single" w:color="auto" w:sz="4" w:space="0"/>
            </w:tcBorders>
            <w:vAlign w:val="center"/>
          </w:tcPr>
          <w:p>
            <w:pPr>
              <w:rPr>
                <w:rFonts w:eastAsia="仿宋_GB2312"/>
                <w:sz w:val="24"/>
              </w:rPr>
            </w:pPr>
          </w:p>
        </w:tc>
        <w:tc>
          <w:tcPr>
            <w:tcW w:w="1134" w:type="dxa"/>
            <w:tcBorders>
              <w:bottom w:val="single" w:color="auto" w:sz="4" w:space="0"/>
            </w:tcBorders>
            <w:vAlign w:val="center"/>
          </w:tcPr>
          <w:p>
            <w:pPr>
              <w:rPr>
                <w:rFonts w:eastAsia="仿宋_GB2312"/>
                <w:sz w:val="24"/>
              </w:rPr>
            </w:pPr>
            <w:r>
              <w:rPr>
                <w:rFonts w:hint="eastAsia" w:eastAsia="仿宋_GB2312"/>
                <w:sz w:val="24"/>
              </w:rPr>
              <w:t>省财政</w:t>
            </w:r>
          </w:p>
        </w:tc>
        <w:tc>
          <w:tcPr>
            <w:tcW w:w="100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州财政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州财政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州财政</w:t>
            </w:r>
          </w:p>
        </w:tc>
        <w:tc>
          <w:tcPr>
            <w:tcW w:w="896" w:type="dxa"/>
            <w:tcBorders>
              <w:bottom w:val="single" w:color="auto" w:sz="4" w:space="0"/>
            </w:tcBorders>
            <w:vAlign w:val="center"/>
          </w:tcPr>
          <w:p>
            <w:pPr>
              <w:rPr>
                <w:rFonts w:eastAsia="仿宋_GB2312"/>
                <w:sz w:val="24"/>
              </w:rPr>
            </w:pPr>
          </w:p>
        </w:tc>
        <w:tc>
          <w:tcPr>
            <w:tcW w:w="1134" w:type="dxa"/>
            <w:tcBorders>
              <w:bottom w:val="single" w:color="auto" w:sz="4" w:space="0"/>
            </w:tcBorders>
            <w:vAlign w:val="center"/>
          </w:tcPr>
          <w:p>
            <w:pPr>
              <w:rPr>
                <w:rFonts w:eastAsia="仿宋_GB2312"/>
                <w:sz w:val="24"/>
              </w:rPr>
            </w:pPr>
            <w:r>
              <w:rPr>
                <w:rFonts w:hint="eastAsia" w:eastAsia="仿宋_GB2312"/>
                <w:sz w:val="24"/>
              </w:rPr>
              <w:t>州财政</w:t>
            </w:r>
          </w:p>
        </w:tc>
        <w:tc>
          <w:tcPr>
            <w:tcW w:w="100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县财政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县财政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县财政</w:t>
            </w:r>
          </w:p>
        </w:tc>
        <w:tc>
          <w:tcPr>
            <w:tcW w:w="896" w:type="dxa"/>
            <w:tcBorders>
              <w:bottom w:val="single" w:color="auto" w:sz="4" w:space="0"/>
            </w:tcBorders>
            <w:vAlign w:val="center"/>
          </w:tcPr>
          <w:p>
            <w:pPr>
              <w:rPr>
                <w:rFonts w:eastAsia="仿宋_GB2312"/>
                <w:sz w:val="24"/>
              </w:rPr>
            </w:pPr>
          </w:p>
        </w:tc>
        <w:tc>
          <w:tcPr>
            <w:tcW w:w="1134" w:type="dxa"/>
            <w:tcBorders>
              <w:bottom w:val="single" w:color="auto" w:sz="4" w:space="0"/>
            </w:tcBorders>
            <w:vAlign w:val="center"/>
          </w:tcPr>
          <w:p>
            <w:pPr>
              <w:rPr>
                <w:rFonts w:eastAsia="仿宋_GB2312"/>
                <w:sz w:val="24"/>
              </w:rPr>
            </w:pPr>
            <w:r>
              <w:rPr>
                <w:rFonts w:hint="eastAsia" w:eastAsia="仿宋_GB2312"/>
                <w:sz w:val="24"/>
              </w:rPr>
              <w:t>县财政</w:t>
            </w:r>
          </w:p>
        </w:tc>
        <w:tc>
          <w:tcPr>
            <w:tcW w:w="100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其它</w:t>
            </w:r>
          </w:p>
        </w:tc>
        <w:tc>
          <w:tcPr>
            <w:tcW w:w="896" w:type="dxa"/>
            <w:tcBorders>
              <w:bottom w:val="single" w:color="auto" w:sz="4" w:space="0"/>
            </w:tcBorders>
            <w:vAlign w:val="center"/>
          </w:tcPr>
          <w:p>
            <w:pPr>
              <w:rPr>
                <w:rFonts w:eastAsia="仿宋_GB2312"/>
                <w:sz w:val="24"/>
              </w:rPr>
            </w:pPr>
          </w:p>
        </w:tc>
        <w:tc>
          <w:tcPr>
            <w:tcW w:w="1134" w:type="dxa"/>
            <w:tcBorders>
              <w:bottom w:val="single" w:color="auto" w:sz="4" w:space="0"/>
            </w:tcBorders>
            <w:vAlign w:val="center"/>
          </w:tcPr>
          <w:p>
            <w:pPr>
              <w:rPr>
                <w:rFonts w:eastAsia="仿宋_GB2312"/>
                <w:sz w:val="24"/>
              </w:rPr>
            </w:pPr>
            <w:r>
              <w:rPr>
                <w:rFonts w:hint="eastAsia" w:eastAsia="仿宋_GB2312"/>
                <w:sz w:val="24"/>
              </w:rPr>
              <w:t>其它</w:t>
            </w:r>
          </w:p>
        </w:tc>
        <w:tc>
          <w:tcPr>
            <w:tcW w:w="100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实际支出数</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会计凭证号</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支付规划编制费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19万</w:t>
            </w: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付大熊猫国家公园生态环境影响评价报告</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11.25万</w:t>
            </w: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付环境影响评价报费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6.5万</w:t>
            </w: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支付可研编制费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9.9</w:t>
            </w: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支付设计费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57.2</w:t>
            </w: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支付水文计算报告费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3.5</w:t>
            </w: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支付地灾报告费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12.6</w:t>
            </w: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支付社会风险评估费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4万</w:t>
            </w: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支付地形图测绘费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22万</w:t>
            </w: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支付施工图纸审查费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9.5万</w:t>
            </w: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支付工程量清单及控价编制费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9.93万</w:t>
            </w: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支付水土保持方案费</w:t>
            </w:r>
          </w:p>
        </w:tc>
        <w:tc>
          <w:tcPr>
            <w:tcW w:w="1822" w:type="dxa"/>
            <w:gridSpan w:val="2"/>
            <w:tcBorders>
              <w:bottom w:val="single" w:color="auto" w:sz="4" w:space="0"/>
            </w:tcBorders>
            <w:vAlign w:val="center"/>
          </w:tcPr>
          <w:p>
            <w:pPr>
              <w:jc w:val="center"/>
              <w:rPr>
                <w:rFonts w:eastAsia="仿宋_GB2312"/>
                <w:b/>
                <w:sz w:val="24"/>
              </w:rPr>
            </w:pPr>
            <w:r>
              <w:rPr>
                <w:rFonts w:hint="eastAsia" w:eastAsia="仿宋_GB2312"/>
                <w:b/>
                <w:sz w:val="24"/>
              </w:rPr>
              <w:t>7万</w:t>
            </w:r>
          </w:p>
        </w:tc>
        <w:tc>
          <w:tcPr>
            <w:tcW w:w="2342" w:type="dxa"/>
            <w:gridSpan w:val="5"/>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支付项目勘察费</w:t>
            </w:r>
          </w:p>
        </w:tc>
        <w:tc>
          <w:tcPr>
            <w:tcW w:w="1822" w:type="dxa"/>
            <w:gridSpan w:val="2"/>
            <w:tcBorders>
              <w:bottom w:val="single" w:color="auto" w:sz="4" w:space="0"/>
            </w:tcBorders>
            <w:vAlign w:val="center"/>
          </w:tcPr>
          <w:p>
            <w:pPr>
              <w:jc w:val="center"/>
              <w:rPr>
                <w:rFonts w:eastAsia="仿宋_GB2312"/>
                <w:b/>
                <w:sz w:val="24"/>
              </w:rPr>
            </w:pPr>
            <w:r>
              <w:rPr>
                <w:rFonts w:hint="eastAsia" w:eastAsia="仿宋_GB2312"/>
                <w:b/>
                <w:sz w:val="24"/>
              </w:rPr>
              <w:t>27.12万</w:t>
            </w:r>
          </w:p>
        </w:tc>
        <w:tc>
          <w:tcPr>
            <w:tcW w:w="2342" w:type="dxa"/>
            <w:gridSpan w:val="5"/>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支付30%监理费</w:t>
            </w:r>
          </w:p>
        </w:tc>
        <w:tc>
          <w:tcPr>
            <w:tcW w:w="1822" w:type="dxa"/>
            <w:gridSpan w:val="2"/>
            <w:tcBorders>
              <w:bottom w:val="single" w:color="auto" w:sz="4" w:space="0"/>
            </w:tcBorders>
            <w:vAlign w:val="center"/>
          </w:tcPr>
          <w:p>
            <w:pPr>
              <w:jc w:val="center"/>
              <w:rPr>
                <w:rFonts w:eastAsia="仿宋_GB2312"/>
                <w:b/>
                <w:sz w:val="24"/>
              </w:rPr>
            </w:pPr>
            <w:r>
              <w:rPr>
                <w:rFonts w:hint="eastAsia" w:eastAsia="仿宋_GB2312"/>
                <w:b/>
                <w:sz w:val="24"/>
              </w:rPr>
              <w:t>15.87万</w:t>
            </w:r>
          </w:p>
        </w:tc>
        <w:tc>
          <w:tcPr>
            <w:tcW w:w="2342" w:type="dxa"/>
            <w:gridSpan w:val="5"/>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付一体化厕所预付款</w:t>
            </w:r>
          </w:p>
        </w:tc>
        <w:tc>
          <w:tcPr>
            <w:tcW w:w="1822" w:type="dxa"/>
            <w:gridSpan w:val="2"/>
            <w:tcBorders>
              <w:bottom w:val="single" w:color="auto" w:sz="4" w:space="0"/>
            </w:tcBorders>
            <w:vAlign w:val="center"/>
          </w:tcPr>
          <w:p>
            <w:pPr>
              <w:jc w:val="center"/>
              <w:rPr>
                <w:rFonts w:eastAsia="仿宋_GB2312"/>
                <w:b/>
                <w:sz w:val="24"/>
              </w:rPr>
            </w:pPr>
            <w:r>
              <w:rPr>
                <w:rFonts w:hint="eastAsia" w:eastAsia="仿宋_GB2312"/>
                <w:b/>
                <w:sz w:val="24"/>
              </w:rPr>
              <w:t>73.8万</w:t>
            </w:r>
          </w:p>
        </w:tc>
        <w:tc>
          <w:tcPr>
            <w:tcW w:w="2342" w:type="dxa"/>
            <w:gridSpan w:val="5"/>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支付水土保持补偿费</w:t>
            </w:r>
          </w:p>
        </w:tc>
        <w:tc>
          <w:tcPr>
            <w:tcW w:w="1822" w:type="dxa"/>
            <w:gridSpan w:val="2"/>
            <w:tcBorders>
              <w:bottom w:val="single" w:color="auto" w:sz="4" w:space="0"/>
            </w:tcBorders>
            <w:vAlign w:val="center"/>
          </w:tcPr>
          <w:p>
            <w:pPr>
              <w:jc w:val="center"/>
              <w:rPr>
                <w:rFonts w:eastAsia="仿宋_GB2312"/>
                <w:b/>
                <w:sz w:val="24"/>
              </w:rPr>
            </w:pPr>
            <w:r>
              <w:rPr>
                <w:rFonts w:hint="eastAsia" w:eastAsia="仿宋_GB2312"/>
                <w:b/>
                <w:sz w:val="24"/>
              </w:rPr>
              <w:t>3.952万</w:t>
            </w:r>
          </w:p>
        </w:tc>
        <w:tc>
          <w:tcPr>
            <w:tcW w:w="2342" w:type="dxa"/>
            <w:gridSpan w:val="5"/>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支付工程预付款</w:t>
            </w:r>
          </w:p>
        </w:tc>
        <w:tc>
          <w:tcPr>
            <w:tcW w:w="1822" w:type="dxa"/>
            <w:gridSpan w:val="2"/>
            <w:tcBorders>
              <w:bottom w:val="single" w:color="auto" w:sz="4" w:space="0"/>
            </w:tcBorders>
            <w:vAlign w:val="center"/>
          </w:tcPr>
          <w:p>
            <w:pPr>
              <w:jc w:val="center"/>
              <w:rPr>
                <w:rFonts w:eastAsia="仿宋_GB2312"/>
                <w:b/>
                <w:sz w:val="24"/>
              </w:rPr>
            </w:pPr>
            <w:r>
              <w:rPr>
                <w:rFonts w:hint="eastAsia" w:eastAsia="仿宋_GB2312"/>
                <w:b/>
                <w:sz w:val="24"/>
              </w:rPr>
              <w:t>362.37万</w:t>
            </w:r>
          </w:p>
        </w:tc>
        <w:tc>
          <w:tcPr>
            <w:tcW w:w="2342" w:type="dxa"/>
            <w:gridSpan w:val="5"/>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sz w:val="24"/>
              </w:rPr>
              <w:t>支出合计：684.09万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p>
            <w:pPr>
              <w:jc w:val="center"/>
              <w:rPr>
                <w:rFonts w:eastAsia="仿宋_GB2312"/>
                <w:b/>
                <w:sz w:val="24"/>
              </w:rPr>
            </w:pPr>
            <w:r>
              <w:rPr>
                <w:rFonts w:hint="eastAsia" w:eastAsia="仿宋_GB2312"/>
                <w:sz w:val="24"/>
              </w:rPr>
              <w:t>项目绩效定性目标及实施计划完成情况</w:t>
            </w:r>
          </w:p>
        </w:tc>
        <w:tc>
          <w:tcPr>
            <w:tcW w:w="5073" w:type="dxa"/>
            <w:gridSpan w:val="10"/>
            <w:tcBorders>
              <w:bottom w:val="single" w:color="auto" w:sz="4" w:space="0"/>
            </w:tcBorders>
            <w:vAlign w:val="center"/>
          </w:tcPr>
          <w:p>
            <w:pPr>
              <w:spacing w:line="400" w:lineRule="exact"/>
              <w:jc w:val="center"/>
              <w:rPr>
                <w:rFonts w:eastAsia="仿宋_GB2312"/>
                <w:sz w:val="24"/>
              </w:rPr>
            </w:pPr>
            <w:r>
              <w:rPr>
                <w:rFonts w:hint="eastAsia" w:eastAsia="仿宋_GB2312"/>
                <w:sz w:val="24"/>
              </w:rPr>
              <w:t>预期目标</w:t>
            </w:r>
          </w:p>
        </w:tc>
        <w:tc>
          <w:tcPr>
            <w:tcW w:w="3036" w:type="dxa"/>
            <w:gridSpan w:val="3"/>
            <w:tcBorders>
              <w:bottom w:val="single" w:color="auto" w:sz="4" w:space="0"/>
            </w:tcBorders>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vAlign w:val="center"/>
          </w:tcPr>
          <w:p/>
        </w:tc>
        <w:tc>
          <w:tcPr>
            <w:tcW w:w="5073" w:type="dxa"/>
            <w:gridSpan w:val="10"/>
            <w:tcBorders>
              <w:bottom w:val="single" w:color="auto" w:sz="4" w:space="0"/>
            </w:tcBorders>
            <w:vAlign w:val="center"/>
          </w:tcPr>
          <w:p>
            <w:pPr>
              <w:jc w:val="center"/>
              <w:rPr>
                <w:rFonts w:eastAsia="仿宋_GB2312"/>
                <w:sz w:val="24"/>
              </w:rPr>
            </w:pPr>
            <w:r>
              <w:rPr>
                <w:rFonts w:hint="eastAsia" w:eastAsia="仿宋_GB2312"/>
                <w:sz w:val="24"/>
              </w:rPr>
              <w:t>办结项目前期要件手续；完成项目招投标，项目开工建设。</w:t>
            </w:r>
          </w:p>
        </w:tc>
        <w:tc>
          <w:tcPr>
            <w:tcW w:w="3036" w:type="dxa"/>
            <w:gridSpan w:val="3"/>
            <w:tcBorders>
              <w:bottom w:val="single" w:color="auto" w:sz="4" w:space="0"/>
            </w:tcBorders>
            <w:vAlign w:val="center"/>
          </w:tcPr>
          <w:p>
            <w:pPr>
              <w:spacing w:line="400" w:lineRule="exact"/>
              <w:jc w:val="center"/>
              <w:rPr>
                <w:rFonts w:eastAsia="仿宋_GB2312"/>
                <w:sz w:val="24"/>
              </w:rPr>
            </w:pPr>
            <w:r>
              <w:rPr>
                <w:rFonts w:hint="eastAsia" w:eastAsia="仿宋_GB2312"/>
                <w:sz w:val="24"/>
              </w:rPr>
              <w:t>办结规定要件17个，完成项目招投标，项目于2018年10月开工。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tcBorders>
              <w:bottom w:val="single" w:color="auto" w:sz="4" w:space="0"/>
            </w:tcBorders>
            <w:vAlign w:val="center"/>
          </w:tcPr>
          <w:p>
            <w:pPr>
              <w:jc w:val="center"/>
              <w:rPr>
                <w:rFonts w:eastAsia="仿宋_GB2312"/>
                <w:b/>
                <w:sz w:val="24"/>
              </w:rPr>
            </w:pPr>
          </w:p>
          <w:p>
            <w:pPr>
              <w:jc w:val="center"/>
              <w:rPr>
                <w:rFonts w:eastAsia="仿宋_GB2312"/>
                <w:b/>
                <w:sz w:val="24"/>
              </w:rPr>
            </w:pPr>
            <w:r>
              <w:rPr>
                <w:rFonts w:hint="eastAsia" w:eastAsia="仿宋_GB2312"/>
                <w:sz w:val="24"/>
              </w:rPr>
              <w:t>项目绩效定量目标（指标）及完成情况</w:t>
            </w:r>
          </w:p>
        </w:tc>
        <w:tc>
          <w:tcPr>
            <w:tcW w:w="909" w:type="dxa"/>
            <w:gridSpan w:val="3"/>
            <w:vAlign w:val="center"/>
          </w:tcPr>
          <w:p>
            <w:pPr>
              <w:jc w:val="center"/>
              <w:rPr>
                <w:rFonts w:eastAsia="仿宋_GB2312"/>
                <w:sz w:val="24"/>
              </w:rPr>
            </w:pPr>
            <w:r>
              <w:rPr>
                <w:rFonts w:hint="eastAsia" w:eastAsia="仿宋_GB2312"/>
                <w:sz w:val="24"/>
              </w:rPr>
              <w:t>一级指标</w:t>
            </w:r>
          </w:p>
        </w:tc>
        <w:tc>
          <w:tcPr>
            <w:tcW w:w="182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二级指标</w:t>
            </w:r>
          </w:p>
        </w:tc>
        <w:tc>
          <w:tcPr>
            <w:tcW w:w="126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指标内容</w:t>
            </w:r>
          </w:p>
        </w:tc>
        <w:tc>
          <w:tcPr>
            <w:tcW w:w="108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指标（目标）值</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restart"/>
            <w:vAlign w:val="center"/>
          </w:tcPr>
          <w:p>
            <w:pPr>
              <w:jc w:val="center"/>
              <w:rPr>
                <w:rFonts w:eastAsia="仿宋_GB2312"/>
                <w:sz w:val="24"/>
              </w:rPr>
            </w:pPr>
            <w:r>
              <w:rPr>
                <w:rFonts w:hint="eastAsia" w:eastAsia="仿宋_GB2312"/>
                <w:sz w:val="24"/>
              </w:rPr>
              <w:t>项目产出指标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数量指标</w:t>
            </w:r>
          </w:p>
        </w:tc>
        <w:tc>
          <w:tcPr>
            <w:tcW w:w="126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17个前期要件</w:t>
            </w: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17个</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continue"/>
            <w:vAlign w:val="center"/>
          </w:tc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exact"/>
          <w:jc w:val="center"/>
        </w:trPr>
        <w:tc>
          <w:tcPr>
            <w:tcW w:w="1473" w:type="dxa"/>
            <w:vMerge w:val="continue"/>
            <w:vAlign w:val="center"/>
          </w:tcPr>
          <w:p/>
        </w:tc>
        <w:tc>
          <w:tcPr>
            <w:tcW w:w="909" w:type="dxa"/>
            <w:gridSpan w:val="3"/>
            <w:vMerge w:val="continue"/>
            <w:vAlign w:val="center"/>
          </w:tcPr>
          <w:p/>
        </w:tc>
        <w:tc>
          <w:tcPr>
            <w:tcW w:w="1822" w:type="dxa"/>
            <w:gridSpan w:val="2"/>
            <w:vAlign w:val="center"/>
          </w:tcPr>
          <w:p>
            <w:pPr>
              <w:spacing w:line="360" w:lineRule="exact"/>
              <w:jc w:val="center"/>
              <w:rPr>
                <w:rFonts w:eastAsia="仿宋_GB2312"/>
                <w:sz w:val="24"/>
              </w:rPr>
            </w:pPr>
            <w:r>
              <w:rPr>
                <w:rFonts w:hint="eastAsia" w:eastAsia="仿宋_GB2312"/>
                <w:sz w:val="24"/>
              </w:rPr>
              <w:t>质量指标</w:t>
            </w:r>
          </w:p>
        </w:tc>
        <w:tc>
          <w:tcPr>
            <w:tcW w:w="126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Cs w:val="21"/>
              </w:rPr>
              <w:t>四川地区绿色奔康</w:t>
            </w:r>
            <w:r>
              <w:rPr>
                <w:rFonts w:hint="eastAsia" w:eastAsia="仿宋_GB2312"/>
                <w:sz w:val="24"/>
              </w:rPr>
              <w:t>的典范</w:t>
            </w: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1473" w:type="dxa"/>
            <w:vMerge w:val="continue"/>
            <w:vAlign w:val="center"/>
          </w:tcPr>
          <w:p/>
        </w:tc>
        <w:tc>
          <w:tcPr>
            <w:tcW w:w="909" w:type="dxa"/>
            <w:gridSpan w:val="3"/>
            <w:vMerge w:val="continue"/>
            <w:vAlign w:val="center"/>
          </w:tcPr>
          <w:p/>
        </w:tc>
        <w:tc>
          <w:tcPr>
            <w:tcW w:w="1822" w:type="dxa"/>
            <w:gridSpan w:val="2"/>
            <w:vAlign w:val="center"/>
          </w:tcPr>
          <w:p>
            <w:pPr>
              <w:spacing w:line="360" w:lineRule="exact"/>
              <w:jc w:val="center"/>
              <w:rPr>
                <w:rFonts w:eastAsia="仿宋_GB2312"/>
                <w:sz w:val="24"/>
              </w:rPr>
            </w:pPr>
            <w:r>
              <w:rPr>
                <w:rFonts w:hint="eastAsia" w:eastAsia="仿宋_GB2312"/>
                <w:sz w:val="24"/>
              </w:rPr>
              <w:t>时效指标</w:t>
            </w:r>
          </w:p>
        </w:tc>
        <w:tc>
          <w:tcPr>
            <w:tcW w:w="126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17个前期要件</w:t>
            </w: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17</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成本指标</w:t>
            </w:r>
          </w:p>
        </w:tc>
        <w:tc>
          <w:tcPr>
            <w:tcW w:w="126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1290万元</w:t>
            </w: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684.09</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continue"/>
            <w:vAlign w:val="center"/>
          </w:tc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restart"/>
            <w:vAlign w:val="center"/>
          </w:tcPr>
          <w:p>
            <w:pPr>
              <w:jc w:val="center"/>
              <w:rPr>
                <w:rFonts w:eastAsia="仿宋_GB2312"/>
                <w:sz w:val="24"/>
              </w:rPr>
            </w:pPr>
            <w:r>
              <w:rPr>
                <w:rFonts w:hint="eastAsia" w:eastAsia="仿宋_GB2312"/>
                <w:sz w:val="24"/>
              </w:rPr>
              <w:t>项目效益指标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长期</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continue"/>
            <w:vAlign w:val="center"/>
          </w:tc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长期</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continue"/>
            <w:vAlign w:val="center"/>
          </w:tc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jc w:val="center"/>
              <w:rPr>
                <w:rFonts w:ascii="宋体" w:cs="宋体"/>
                <w:color w:val="000000"/>
                <w:sz w:val="20"/>
                <w:szCs w:val="20"/>
              </w:rPr>
            </w:pPr>
            <w:r>
              <w:rPr>
                <w:rFonts w:hint="eastAsia"/>
                <w:color w:val="000000"/>
                <w:sz w:val="20"/>
                <w:szCs w:val="20"/>
              </w:rPr>
              <w:t>大力实施黑臭水整治</w:t>
            </w:r>
          </w:p>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长期</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continue"/>
            <w:vAlign w:val="center"/>
          </w:tcPr>
          <w:p/>
        </w:tc>
        <w:tc>
          <w:tcPr>
            <w:tcW w:w="1260" w:type="dxa"/>
            <w:gridSpan w:val="3"/>
            <w:tcBorders>
              <w:bottom w:val="single" w:color="auto" w:sz="4" w:space="0"/>
            </w:tcBorders>
            <w:vAlign w:val="center"/>
          </w:tcPr>
          <w:p>
            <w:pPr>
              <w:jc w:val="center"/>
              <w:rPr>
                <w:rFonts w:ascii="宋体" w:cs="宋体"/>
                <w:color w:val="000000"/>
                <w:sz w:val="20"/>
                <w:szCs w:val="20"/>
              </w:rPr>
            </w:pPr>
            <w:r>
              <w:rPr>
                <w:rFonts w:hint="eastAsia"/>
                <w:color w:val="000000"/>
                <w:sz w:val="20"/>
                <w:szCs w:val="20"/>
              </w:rPr>
              <w:t>消减水污染排放总量</w:t>
            </w:r>
          </w:p>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长期</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continue"/>
            <w:vAlign w:val="center"/>
          </w:tcPr>
          <w:p/>
        </w:tc>
        <w:tc>
          <w:tcPr>
            <w:tcW w:w="1260" w:type="dxa"/>
            <w:gridSpan w:val="3"/>
            <w:tcBorders>
              <w:bottom w:val="single" w:color="auto" w:sz="4" w:space="0"/>
            </w:tcBorders>
            <w:vAlign w:val="center"/>
          </w:tcPr>
          <w:p>
            <w:pPr>
              <w:jc w:val="center"/>
              <w:rPr>
                <w:rFonts w:ascii="宋体" w:cs="宋体"/>
                <w:color w:val="000000"/>
                <w:sz w:val="20"/>
                <w:szCs w:val="20"/>
              </w:rPr>
            </w:pPr>
            <w:r>
              <w:rPr>
                <w:rFonts w:hint="eastAsia"/>
                <w:color w:val="000000"/>
                <w:sz w:val="20"/>
                <w:szCs w:val="20"/>
              </w:rPr>
              <w:t>保持饮用水源地水质良好</w:t>
            </w:r>
          </w:p>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长期</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服务对象满意度指标</w:t>
            </w:r>
          </w:p>
        </w:tc>
        <w:tc>
          <w:tcPr>
            <w:tcW w:w="1260" w:type="dxa"/>
            <w:gridSpan w:val="3"/>
            <w:tcBorders>
              <w:bottom w:val="single" w:color="auto" w:sz="4" w:space="0"/>
            </w:tcBorders>
            <w:vAlign w:val="center"/>
          </w:tcPr>
          <w:p>
            <w:pPr>
              <w:jc w:val="center"/>
              <w:rPr>
                <w:rFonts w:ascii="宋体" w:cs="宋体"/>
                <w:color w:val="000000"/>
                <w:sz w:val="20"/>
                <w:szCs w:val="20"/>
              </w:rPr>
            </w:pPr>
            <w:r>
              <w:rPr>
                <w:rFonts w:hint="eastAsia"/>
                <w:color w:val="000000"/>
                <w:sz w:val="20"/>
                <w:szCs w:val="20"/>
              </w:rPr>
              <w:t>群众满意度</w:t>
            </w:r>
          </w:p>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ascii="宋体" w:cs="宋体"/>
                <w:color w:val="000000"/>
                <w:sz w:val="20"/>
                <w:szCs w:val="20"/>
              </w:rPr>
            </w:pPr>
            <w:r>
              <w:rPr>
                <w:rFonts w:hint="eastAsia"/>
                <w:color w:val="000000"/>
                <w:sz w:val="20"/>
                <w:szCs w:val="20"/>
              </w:rPr>
              <w:t>&gt;=90%</w:t>
            </w:r>
          </w:p>
          <w:p>
            <w:pPr>
              <w:jc w:val="center"/>
              <w:rPr>
                <w:rFonts w:eastAsia="仿宋_GB2312"/>
                <w:sz w:val="24"/>
              </w:rPr>
            </w:pPr>
          </w:p>
        </w:tc>
        <w:tc>
          <w:tcPr>
            <w:tcW w:w="3036" w:type="dxa"/>
            <w:gridSpan w:val="3"/>
            <w:tcBorders>
              <w:bottom w:val="single" w:color="auto" w:sz="4" w:space="0"/>
            </w:tcBorders>
            <w:vAlign w:val="center"/>
          </w:tcPr>
          <w:p>
            <w:pPr>
              <w:jc w:val="center"/>
              <w:rPr>
                <w:rFonts w:ascii="宋体" w:cs="宋体"/>
                <w:color w:val="000000"/>
                <w:sz w:val="20"/>
                <w:szCs w:val="20"/>
              </w:rPr>
            </w:pPr>
            <w:r>
              <w:rPr>
                <w:rFonts w:hint="eastAsia"/>
                <w:color w:val="000000"/>
                <w:sz w:val="20"/>
                <w:szCs w:val="20"/>
              </w:rPr>
              <w:t>&gt;=90%</w:t>
            </w:r>
          </w:p>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tc>
        <w:tc>
          <w:tcPr>
            <w:tcW w:w="909" w:type="dxa"/>
            <w:gridSpan w:val="3"/>
            <w:vMerge w:val="continue"/>
            <w:vAlign w:val="center"/>
          </w:tcPr>
          <w:p/>
        </w:tc>
        <w:tc>
          <w:tcPr>
            <w:tcW w:w="1822" w:type="dxa"/>
            <w:gridSpan w:val="2"/>
            <w:vMerge w:val="continue"/>
            <w:vAlign w:val="center"/>
          </w:tc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bCs/>
                <w:sz w:val="24"/>
              </w:rPr>
              <w:t>绩效自评综合得分</w:t>
            </w:r>
          </w:p>
        </w:tc>
        <w:tc>
          <w:tcPr>
            <w:tcW w:w="7200" w:type="dxa"/>
            <w:gridSpan w:val="10"/>
            <w:tcBorders>
              <w:bottom w:val="single" w:color="auto" w:sz="4" w:space="0"/>
            </w:tcBorders>
            <w:vAlign w:val="center"/>
          </w:tcPr>
          <w:p>
            <w:pPr>
              <w:rPr>
                <w:rFonts w:eastAsia="仿宋_GB2312"/>
                <w:sz w:val="24"/>
              </w:rPr>
            </w:pPr>
            <w:r>
              <w:rPr>
                <w:rFonts w:hint="eastAsia" w:eastAsia="仿宋_GB2312"/>
                <w:sz w:val="24"/>
              </w:rPr>
              <w:t>92分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tcBorders>
              <w:bottom w:val="single" w:color="auto" w:sz="4" w:space="0"/>
            </w:tcBorders>
            <w:vAlign w:val="center"/>
          </w:tcPr>
          <w:p>
            <w:pPr>
              <w:jc w:val="center"/>
              <w:rPr>
                <w:rFonts w:eastAsia="仿宋_GB2312"/>
                <w:bCs/>
                <w:sz w:val="24"/>
              </w:rPr>
            </w:pPr>
            <w:r>
              <w:rPr>
                <w:rFonts w:hint="eastAsia" w:eastAsia="仿宋_GB2312"/>
                <w:bCs/>
                <w:sz w:val="24"/>
              </w:rPr>
              <w:t>评价等次  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eastAsia="仿宋_GB2312"/>
                <w:b/>
                <w:sz w:val="24"/>
              </w:rPr>
            </w:pPr>
            <w:r>
              <w:rPr>
                <w:rFonts w:hint="eastAsia" w:eastAsia="仿宋_GB2312"/>
                <w:b/>
                <w:sz w:val="24"/>
              </w:rPr>
              <w:t>四、评价人员</w:t>
            </w:r>
          </w:p>
        </w:tc>
        <w:tc>
          <w:tcPr>
            <w:tcW w:w="2332" w:type="dxa"/>
            <w:gridSpan w:val="4"/>
            <w:vAlign w:val="center"/>
          </w:tcPr>
          <w:p>
            <w:pPr>
              <w:jc w:val="center"/>
              <w:rPr>
                <w:rFonts w:eastAsia="仿宋_GB2312"/>
                <w:sz w:val="24"/>
              </w:rPr>
            </w:pPr>
            <w:r>
              <w:rPr>
                <w:rFonts w:hint="eastAsia" w:eastAsia="仿宋_GB2312"/>
                <w:sz w:val="24"/>
              </w:rPr>
              <w:t>职称/职务</w:t>
            </w:r>
          </w:p>
        </w:tc>
        <w:tc>
          <w:tcPr>
            <w:tcW w:w="1950" w:type="dxa"/>
            <w:gridSpan w:val="4"/>
            <w:vAlign w:val="center"/>
          </w:tcPr>
          <w:p>
            <w:pPr>
              <w:jc w:val="center"/>
              <w:rPr>
                <w:rFonts w:eastAsia="仿宋_GB2312"/>
                <w:sz w:val="24"/>
              </w:rPr>
            </w:pPr>
            <w:r>
              <w:rPr>
                <w:rFonts w:hint="eastAsia" w:eastAsia="仿宋_GB2312"/>
                <w:sz w:val="24"/>
              </w:rPr>
              <w:t>单位</w:t>
            </w:r>
          </w:p>
        </w:tc>
        <w:tc>
          <w:tcPr>
            <w:tcW w:w="3036" w:type="dxa"/>
            <w:gridSpan w:val="3"/>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eastAsia="仿宋_GB2312"/>
                <w:sz w:val="24"/>
              </w:rPr>
            </w:pPr>
            <w:r>
              <w:rPr>
                <w:rFonts w:hint="eastAsia" w:eastAsia="仿宋_GB2312"/>
                <w:sz w:val="24"/>
              </w:rPr>
              <w:t>蔡宏</w:t>
            </w:r>
          </w:p>
        </w:tc>
        <w:tc>
          <w:tcPr>
            <w:tcW w:w="2332" w:type="dxa"/>
            <w:gridSpan w:val="4"/>
            <w:vAlign w:val="center"/>
          </w:tcPr>
          <w:p>
            <w:pPr>
              <w:rPr>
                <w:rFonts w:eastAsia="仿宋_GB2312"/>
                <w:sz w:val="24"/>
              </w:rPr>
            </w:pPr>
            <w:r>
              <w:rPr>
                <w:rFonts w:hint="eastAsia" w:eastAsia="仿宋_GB2312"/>
                <w:sz w:val="24"/>
              </w:rPr>
              <w:t>副局长</w:t>
            </w:r>
          </w:p>
        </w:tc>
        <w:tc>
          <w:tcPr>
            <w:tcW w:w="1950" w:type="dxa"/>
            <w:gridSpan w:val="4"/>
            <w:vAlign w:val="center"/>
          </w:tcPr>
          <w:p>
            <w:pPr>
              <w:rPr>
                <w:rFonts w:eastAsia="仿宋_GB2312"/>
                <w:sz w:val="24"/>
              </w:rPr>
            </w:pPr>
            <w:r>
              <w:rPr>
                <w:rFonts w:hint="eastAsia" w:eastAsia="仿宋_GB2312"/>
                <w:sz w:val="24"/>
              </w:rPr>
              <w:t>原旅游发展局</w:t>
            </w: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ind w:firstLine="600" w:firstLineChars="250"/>
              <w:rPr>
                <w:rFonts w:eastAsia="仿宋_GB2312"/>
                <w:sz w:val="24"/>
              </w:rPr>
            </w:pPr>
            <w:r>
              <w:rPr>
                <w:rFonts w:hint="eastAsia" w:eastAsia="仿宋_GB2312"/>
                <w:sz w:val="24"/>
              </w:rPr>
              <w:t>杨五生</w:t>
            </w:r>
          </w:p>
        </w:tc>
        <w:tc>
          <w:tcPr>
            <w:tcW w:w="2332" w:type="dxa"/>
            <w:gridSpan w:val="4"/>
            <w:vAlign w:val="center"/>
          </w:tcPr>
          <w:p>
            <w:pPr>
              <w:rPr>
                <w:rFonts w:eastAsia="仿宋_GB2312"/>
                <w:sz w:val="24"/>
              </w:rPr>
            </w:pPr>
            <w:r>
              <w:rPr>
                <w:rFonts w:hint="eastAsia" w:eastAsia="仿宋_GB2312"/>
                <w:sz w:val="24"/>
              </w:rPr>
              <w:t>职工</w:t>
            </w:r>
          </w:p>
        </w:tc>
        <w:tc>
          <w:tcPr>
            <w:tcW w:w="1950" w:type="dxa"/>
            <w:gridSpan w:val="4"/>
            <w:vAlign w:val="center"/>
          </w:tcPr>
          <w:p>
            <w:pPr>
              <w:rPr>
                <w:rFonts w:eastAsia="仿宋_GB2312"/>
                <w:sz w:val="24"/>
              </w:rPr>
            </w:pPr>
            <w:r>
              <w:rPr>
                <w:rFonts w:hint="eastAsia" w:eastAsia="仿宋_GB2312"/>
                <w:sz w:val="24"/>
              </w:rPr>
              <w:t>原旅游发展局</w:t>
            </w: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p>
            <w:pPr>
              <w:rPr>
                <w:rFonts w:eastAsia="仿宋_GB2312"/>
                <w:sz w:val="24"/>
              </w:rPr>
            </w:pPr>
          </w:p>
          <w:p>
            <w:pPr>
              <w:rPr>
                <w:rFonts w:eastAsia="仿宋_GB2312"/>
                <w:sz w:val="24"/>
              </w:rPr>
            </w:pPr>
          </w:p>
        </w:tc>
        <w:tc>
          <w:tcPr>
            <w:tcW w:w="2332" w:type="dxa"/>
            <w:gridSpan w:val="4"/>
            <w:vAlign w:val="center"/>
          </w:tcPr>
          <w:p>
            <w:pPr>
              <w:rPr>
                <w:rFonts w:eastAsia="仿宋_GB2312"/>
                <w:sz w:val="24"/>
              </w:rPr>
            </w:pPr>
          </w:p>
        </w:tc>
        <w:tc>
          <w:tcPr>
            <w:tcW w:w="1950" w:type="dxa"/>
            <w:gridSpan w:val="4"/>
            <w:vAlign w:val="center"/>
          </w:tcPr>
          <w:p>
            <w:pPr>
              <w:rPr>
                <w:rFonts w:eastAsia="仿宋_GB2312"/>
                <w:sz w:val="24"/>
              </w:rPr>
            </w:pP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p>
        </w:tc>
        <w:tc>
          <w:tcPr>
            <w:tcW w:w="2332" w:type="dxa"/>
            <w:gridSpan w:val="4"/>
            <w:vAlign w:val="center"/>
          </w:tcPr>
          <w:p>
            <w:pPr>
              <w:rPr>
                <w:rFonts w:eastAsia="仿宋_GB2312"/>
                <w:sz w:val="24"/>
              </w:rPr>
            </w:pPr>
          </w:p>
        </w:tc>
        <w:tc>
          <w:tcPr>
            <w:tcW w:w="1950" w:type="dxa"/>
            <w:gridSpan w:val="4"/>
            <w:vAlign w:val="center"/>
          </w:tcPr>
          <w:p>
            <w:pPr>
              <w:rPr>
                <w:rFonts w:eastAsia="仿宋_GB2312"/>
                <w:sz w:val="24"/>
              </w:rPr>
            </w:pP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vAlign w:val="center"/>
          </w:tcPr>
          <w:p>
            <w:pPr>
              <w:spacing w:line="440" w:lineRule="exact"/>
              <w:rPr>
                <w:rFonts w:eastAsia="仿宋_GB2312"/>
                <w:sz w:val="24"/>
              </w:rPr>
            </w:pPr>
            <w:r>
              <w:rPr>
                <w:rFonts w:hint="eastAsia" w:eastAsia="仿宋_GB2312"/>
                <w:sz w:val="24"/>
              </w:rPr>
              <w:t>评价组组长（签字）：</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项目单位负责人（签章）：</w:t>
            </w:r>
          </w:p>
          <w:p>
            <w:pPr>
              <w:spacing w:line="440" w:lineRule="exact"/>
              <w:rPr>
                <w:sz w:val="24"/>
              </w:rPr>
            </w:pPr>
            <w:r>
              <w:rPr>
                <w:rFonts w:hint="eastAsia" w:eastAsia="仿宋_GB2312"/>
                <w:sz w:val="24"/>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主管部门负责人（签章）：</w:t>
            </w:r>
          </w:p>
          <w:p>
            <w:pPr>
              <w:spacing w:line="440" w:lineRule="exact"/>
              <w:rPr>
                <w:sz w:val="24"/>
              </w:rPr>
            </w:pPr>
            <w:r>
              <w:rPr>
                <w:rFonts w:hint="eastAsia" w:eastAsia="仿宋_GB2312"/>
                <w:sz w:val="24"/>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财政部门归口业务股室意见：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财政部门归口业务股室负责人（签章）：</w:t>
            </w:r>
          </w:p>
          <w:p>
            <w:pPr>
              <w:spacing w:line="440" w:lineRule="exact"/>
              <w:rPr>
                <w:rFonts w:eastAsia="仿宋_GB2312"/>
                <w:sz w:val="24"/>
              </w:rPr>
            </w:pPr>
            <w:r>
              <w:rPr>
                <w:rFonts w:hint="eastAsia" w:eastAsia="仿宋_GB2312"/>
                <w:sz w:val="24"/>
              </w:rPr>
              <w:t>年月日</w:t>
            </w:r>
          </w:p>
        </w:tc>
      </w:tr>
    </w:tbl>
    <w:p>
      <w:pPr>
        <w:rPr>
          <w:rFonts w:eastAsia="仿宋_GB2312" w:cs="仿宋_GB2312"/>
          <w:bCs/>
          <w:sz w:val="28"/>
          <w:szCs w:val="28"/>
        </w:rPr>
      </w:pPr>
    </w:p>
    <w:tbl>
      <w:tblPr>
        <w:tblStyle w:val="1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tcPr>
          <w:p>
            <w:pPr>
              <w:jc w:val="center"/>
              <w:rPr>
                <w:rFonts w:eastAsia="仿宋_GB2312"/>
                <w:b/>
                <w:bCs/>
                <w:sz w:val="28"/>
                <w:szCs w:val="28"/>
              </w:rPr>
            </w:pPr>
            <w:r>
              <w:rPr>
                <w:rFonts w:hint="eastAsia" w:eastAsia="仿宋_GB2312"/>
                <w:b/>
                <w:bCs/>
                <w:sz w:val="28"/>
                <w:szCs w:val="28"/>
              </w:rPr>
              <w:t>五、评价报告综述（文字部分）</w:t>
            </w:r>
          </w:p>
          <w:p>
            <w:pPr>
              <w:spacing w:line="440" w:lineRule="exact"/>
              <w:ind w:firstLine="420" w:firstLineChars="200"/>
              <w:rPr>
                <w:rFonts w:eastAsia="仿宋_GB2312"/>
                <w:szCs w:val="32"/>
              </w:rPr>
            </w:pPr>
          </w:p>
          <w:p>
            <w:pPr>
              <w:pStyle w:val="31"/>
              <w:numPr>
                <w:ilvl w:val="0"/>
                <w:numId w:val="8"/>
              </w:numPr>
              <w:spacing w:line="560" w:lineRule="exact"/>
              <w:ind w:firstLineChars="0"/>
              <w:rPr>
                <w:rFonts w:eastAsia="仿宋_GB2312"/>
                <w:sz w:val="30"/>
                <w:szCs w:val="30"/>
              </w:rPr>
            </w:pPr>
            <w:r>
              <w:rPr>
                <w:rFonts w:hint="eastAsia" w:eastAsia="仿宋_GB2312"/>
                <w:sz w:val="30"/>
                <w:szCs w:val="30"/>
              </w:rPr>
              <w:t>项目基本概况</w:t>
            </w:r>
          </w:p>
          <w:p>
            <w:pPr>
              <w:spacing w:line="576" w:lineRule="exact"/>
              <w:ind w:firstLine="640" w:firstLineChars="200"/>
              <w:rPr>
                <w:rFonts w:ascii="仿宋" w:eastAsia="仿宋"/>
              </w:rPr>
            </w:pPr>
            <w:r>
              <w:rPr>
                <w:rFonts w:hint="eastAsia" w:ascii="仿宋" w:eastAsia="仿宋"/>
                <w:sz w:val="32"/>
                <w:szCs w:val="32"/>
              </w:rPr>
              <w:t>该</w:t>
            </w:r>
            <w:r>
              <w:rPr>
                <w:rFonts w:ascii="仿宋" w:eastAsia="仿宋"/>
                <w:sz w:val="32"/>
                <w:szCs w:val="32"/>
              </w:rPr>
              <w:t>项目为“8·8”九寨沟地震灾后重建规划内项目，总投资为5400万元，其中中省专项资金1000万元，2017年旅游发展基金补助地方项目资金290万元，</w:t>
            </w:r>
            <w:r>
              <w:rPr>
                <w:rFonts w:hint="eastAsia" w:ascii="仿宋" w:eastAsia="仿宋"/>
                <w:sz w:val="32"/>
                <w:szCs w:val="32"/>
              </w:rPr>
              <w:t>其余社会主体筹资（文旅投公司正筹措资金）。项目于2018年10月8日进场，建设工期截止于2019年10月。正在推进游客中心建设及景区内配套设施。</w:t>
            </w:r>
          </w:p>
          <w:p>
            <w:pPr>
              <w:spacing w:line="576" w:lineRule="exact"/>
              <w:ind w:firstLine="640" w:firstLineChars="200"/>
              <w:rPr>
                <w:rFonts w:ascii="仿宋" w:eastAsia="仿宋"/>
              </w:rPr>
            </w:pPr>
            <w:r>
              <w:rPr>
                <w:rFonts w:ascii="仿宋" w:eastAsia="仿宋"/>
                <w:sz w:val="32"/>
                <w:szCs w:val="32"/>
              </w:rPr>
              <w:t>建设内容及规模：新建游客中心及地下停车场建筑面积为9546.23平方米；游客中心广场5552.28平方米；景区内植被修复8000平方米；景观桥3座；观景平台6处；标识标牌、垃圾处理设施、坐凳等配套设施；A级旅游厕所1个；新建栈道、游步道5千米；生态环保厕所5个；庇护所5处；新建管线系统等。</w:t>
            </w:r>
            <w:r>
              <w:rPr>
                <w:rFonts w:hint="eastAsia" w:ascii="仿宋" w:eastAsia="仿宋"/>
                <w:sz w:val="32"/>
                <w:szCs w:val="32"/>
              </w:rPr>
              <w:t>项目业主原九寨沟县旅游发展局（目前正变更业主为九寨沟县文旅投公司）。</w:t>
            </w:r>
          </w:p>
          <w:p>
            <w:pPr>
              <w:pStyle w:val="31"/>
              <w:numPr>
                <w:ilvl w:val="0"/>
                <w:numId w:val="8"/>
              </w:numPr>
              <w:spacing w:line="560" w:lineRule="exact"/>
              <w:ind w:firstLineChars="0"/>
              <w:rPr>
                <w:rFonts w:eastAsia="仿宋_GB2312"/>
                <w:sz w:val="30"/>
                <w:szCs w:val="30"/>
              </w:rPr>
            </w:pPr>
            <w:r>
              <w:rPr>
                <w:rFonts w:hint="eastAsia" w:eastAsia="仿宋_GB2312"/>
                <w:sz w:val="30"/>
                <w:szCs w:val="30"/>
              </w:rPr>
              <w:t>项目资金使用及管理情况</w:t>
            </w:r>
          </w:p>
          <w:p>
            <w:pPr>
              <w:ind w:firstLine="640" w:firstLineChars="200"/>
              <w:rPr>
                <w:rFonts w:ascii="仿宋" w:eastAsia="仿宋"/>
                <w:szCs w:val="32"/>
              </w:rPr>
            </w:pPr>
            <w:r>
              <w:rPr>
                <w:rFonts w:hint="eastAsia" w:ascii="仿宋" w:eastAsia="仿宋"/>
                <w:sz w:val="32"/>
                <w:szCs w:val="32"/>
              </w:rPr>
              <w:t>（1）、2018年4月8日，收到2017年旅发展基金补助地方项目资金290万元用于九寨沟县8.8灾后重建项目勿角民族生态试验区建设补助。</w:t>
            </w:r>
          </w:p>
          <w:p>
            <w:pPr>
              <w:ind w:firstLine="640" w:firstLineChars="200"/>
              <w:rPr>
                <w:rFonts w:ascii="仿宋" w:eastAsia="仿宋"/>
                <w:szCs w:val="32"/>
              </w:rPr>
            </w:pPr>
            <w:r>
              <w:rPr>
                <w:rFonts w:hint="eastAsia" w:ascii="仿宋" w:eastAsia="仿宋"/>
                <w:sz w:val="32"/>
                <w:szCs w:val="32"/>
              </w:rPr>
              <w:t>（2）、2018年10月22日，收到2018年省级旅游发展专项资金分配到九寨沟县8.8灾后重建项目勿角民族生态试验区建设补助850万元。</w:t>
            </w:r>
          </w:p>
          <w:p>
            <w:pPr>
              <w:ind w:firstLine="636"/>
              <w:rPr>
                <w:rFonts w:ascii="仿宋" w:eastAsia="仿宋"/>
                <w:szCs w:val="32"/>
              </w:rPr>
            </w:pPr>
            <w:r>
              <w:rPr>
                <w:rFonts w:hint="eastAsia" w:ascii="仿宋" w:eastAsia="仿宋"/>
                <w:sz w:val="32"/>
                <w:szCs w:val="32"/>
              </w:rPr>
              <w:t>（3）、2018年9月10日，收到2018年第三批省级省级财政扶贫资金分配到8.8灾后重建项目勿角民族生态试验区建设补助150万元。</w:t>
            </w:r>
          </w:p>
          <w:p>
            <w:pPr>
              <w:pStyle w:val="15"/>
              <w:spacing w:line="500" w:lineRule="exact"/>
              <w:ind w:left="0" w:leftChars="0"/>
              <w:rPr>
                <w:rFonts w:ascii="仿宋" w:eastAsia="仿宋"/>
                <w:szCs w:val="32"/>
              </w:rPr>
            </w:pPr>
            <w:r>
              <w:rPr>
                <w:rFonts w:hint="eastAsia" w:ascii="仿宋" w:eastAsia="仿宋"/>
                <w:sz w:val="32"/>
                <w:szCs w:val="32"/>
              </w:rPr>
              <w:t>旅游扶贫专项工作办公室严格按照单位财务制度和预算支出范围使用。按照项目计划和实际工作情况开支，做到了专款专用，经费均按照有关文件、通知精神执行。</w:t>
            </w:r>
          </w:p>
          <w:p>
            <w:pPr>
              <w:pStyle w:val="31"/>
              <w:numPr>
                <w:ilvl w:val="0"/>
                <w:numId w:val="8"/>
              </w:numPr>
              <w:spacing w:line="560" w:lineRule="exact"/>
              <w:ind w:firstLineChars="0"/>
              <w:rPr>
                <w:rFonts w:eastAsia="仿宋_GB2312"/>
                <w:sz w:val="30"/>
                <w:szCs w:val="30"/>
              </w:rPr>
            </w:pPr>
            <w:r>
              <w:rPr>
                <w:rFonts w:hint="eastAsia" w:eastAsia="仿宋_GB2312"/>
                <w:sz w:val="30"/>
                <w:szCs w:val="30"/>
              </w:rPr>
              <w:t>项目组织实施情况</w:t>
            </w:r>
          </w:p>
          <w:p>
            <w:pPr>
              <w:pStyle w:val="31"/>
              <w:spacing w:line="560" w:lineRule="exact"/>
              <w:ind w:left="1680" w:firstLine="0" w:firstLineChars="0"/>
              <w:rPr>
                <w:rFonts w:ascii="仿宋" w:eastAsia="仿宋"/>
                <w:szCs w:val="32"/>
              </w:rPr>
            </w:pPr>
            <w:r>
              <w:rPr>
                <w:rFonts w:hint="eastAsia" w:ascii="仿宋" w:eastAsia="仿宋"/>
                <w:sz w:val="32"/>
                <w:szCs w:val="32"/>
              </w:rPr>
              <w:t>2018年度完成项目前期要件办理。</w:t>
            </w:r>
          </w:p>
          <w:p>
            <w:pPr>
              <w:pStyle w:val="31"/>
              <w:numPr>
                <w:ilvl w:val="0"/>
                <w:numId w:val="8"/>
              </w:numPr>
              <w:spacing w:line="560" w:lineRule="exact"/>
              <w:ind w:firstLineChars="0"/>
              <w:rPr>
                <w:rFonts w:eastAsia="仿宋_GB2312"/>
                <w:sz w:val="30"/>
                <w:szCs w:val="30"/>
              </w:rPr>
            </w:pPr>
            <w:r>
              <w:rPr>
                <w:rFonts w:hint="eastAsia" w:eastAsia="仿宋_GB2312"/>
                <w:sz w:val="30"/>
                <w:szCs w:val="30"/>
              </w:rPr>
              <w:t>综合评价情况及评价结论</w:t>
            </w:r>
          </w:p>
          <w:p>
            <w:pPr>
              <w:pStyle w:val="31"/>
              <w:spacing w:line="560" w:lineRule="exact"/>
              <w:ind w:left="1680" w:firstLine="0" w:firstLineChars="0"/>
              <w:rPr>
                <w:rFonts w:ascii="仿宋" w:eastAsia="仿宋"/>
                <w:szCs w:val="32"/>
              </w:rPr>
            </w:pPr>
            <w:r>
              <w:rPr>
                <w:rFonts w:hint="eastAsia" w:ascii="仿宋" w:eastAsia="仿宋"/>
                <w:sz w:val="32"/>
                <w:szCs w:val="32"/>
              </w:rPr>
              <w:t>完成2018年度目标计划，办理完项目要件，为项目开工做准备。</w:t>
            </w:r>
          </w:p>
          <w:p>
            <w:pPr>
              <w:pStyle w:val="31"/>
              <w:numPr>
                <w:ilvl w:val="0"/>
                <w:numId w:val="8"/>
              </w:numPr>
              <w:spacing w:line="560" w:lineRule="exact"/>
              <w:ind w:firstLineChars="0"/>
              <w:rPr>
                <w:rFonts w:eastAsia="仿宋_GB2312"/>
                <w:sz w:val="30"/>
                <w:szCs w:val="30"/>
              </w:rPr>
            </w:pPr>
            <w:r>
              <w:rPr>
                <w:rFonts w:hint="eastAsia" w:eastAsia="仿宋_GB2312"/>
                <w:sz w:val="30"/>
                <w:szCs w:val="30"/>
              </w:rPr>
              <w:t>项目主要绩效情况分析</w:t>
            </w:r>
          </w:p>
          <w:p>
            <w:pPr>
              <w:pStyle w:val="31"/>
              <w:spacing w:line="560" w:lineRule="exact"/>
              <w:ind w:left="1680" w:firstLine="0" w:firstLineChars="0"/>
              <w:jc w:val="left"/>
              <w:rPr>
                <w:rFonts w:ascii="仿宋" w:eastAsia="仿宋"/>
                <w:szCs w:val="32"/>
              </w:rPr>
            </w:pPr>
            <w:r>
              <w:rPr>
                <w:rFonts w:hint="eastAsia" w:ascii="仿宋" w:eastAsia="仿宋"/>
                <w:sz w:val="32"/>
                <w:szCs w:val="32"/>
              </w:rPr>
              <w:t>该项目严格按照8.8灾后重建项目管理办法和程序进行。</w:t>
            </w:r>
          </w:p>
          <w:p>
            <w:pPr>
              <w:rPr>
                <w:rFonts w:eastAsia="楷体_GB2312"/>
                <w:bCs/>
                <w:sz w:val="28"/>
                <w:szCs w:val="28"/>
              </w:rPr>
            </w:pPr>
          </w:p>
          <w:p>
            <w:pPr>
              <w:rPr>
                <w:rFonts w:eastAsia="楷体_GB2312"/>
                <w:sz w:val="28"/>
                <w:szCs w:val="28"/>
              </w:rPr>
            </w:pPr>
          </w:p>
          <w:p>
            <w:pPr>
              <w:rPr>
                <w:rFonts w:eastAsia="楷体_GB2312"/>
                <w:sz w:val="28"/>
                <w:szCs w:val="28"/>
              </w:rPr>
            </w:pPr>
          </w:p>
          <w:p>
            <w:pPr>
              <w:rPr>
                <w:rFonts w:eastAsia="楷体_GB2312"/>
                <w:sz w:val="28"/>
                <w:szCs w:val="28"/>
              </w:rPr>
            </w:pPr>
          </w:p>
          <w:p>
            <w:pPr>
              <w:rPr>
                <w:rFonts w:eastAsia="楷体_GB2312"/>
                <w:sz w:val="28"/>
                <w:szCs w:val="28"/>
              </w:rPr>
            </w:pPr>
          </w:p>
          <w:p>
            <w:pPr>
              <w:rPr>
                <w:rFonts w:eastAsia="楷体_GB2312"/>
                <w:sz w:val="28"/>
                <w:szCs w:val="28"/>
              </w:rPr>
            </w:pPr>
          </w:p>
          <w:p>
            <w:pPr>
              <w:tabs>
                <w:tab w:val="left" w:pos="8025"/>
              </w:tabs>
              <w:rPr>
                <w:rFonts w:eastAsia="楷体_GB2312"/>
                <w:sz w:val="28"/>
                <w:szCs w:val="28"/>
              </w:rPr>
            </w:pPr>
          </w:p>
        </w:tc>
      </w:tr>
    </w:tbl>
    <w:p>
      <w:pPr>
        <w:spacing w:before="156" w:beforeLines="50" w:line="348" w:lineRule="auto"/>
        <w:jc w:val="center"/>
        <w:rPr>
          <w:rFonts w:eastAsia="方正小标宋简体"/>
          <w:bCs/>
          <w:sz w:val="44"/>
          <w:szCs w:val="44"/>
        </w:rPr>
      </w:pPr>
    </w:p>
    <w:p>
      <w:pPr>
        <w:spacing w:before="156" w:beforeLines="50" w:line="348" w:lineRule="auto"/>
        <w:jc w:val="left"/>
        <w:rPr>
          <w:rFonts w:eastAsia="方正小标宋简体"/>
          <w:bCs/>
          <w:sz w:val="44"/>
          <w:szCs w:val="44"/>
        </w:rPr>
      </w:pPr>
      <w:r>
        <w:rPr>
          <w:rStyle w:val="20"/>
          <w:rFonts w:hint="eastAsia" w:ascii="仿宋" w:eastAsia="仿宋"/>
          <w:sz w:val="32"/>
          <w:szCs w:val="32"/>
        </w:rPr>
        <w:t>附件2-4</w:t>
      </w:r>
    </w:p>
    <w:p>
      <w:pPr>
        <w:spacing w:before="156" w:beforeLines="50" w:line="348" w:lineRule="auto"/>
        <w:jc w:val="center"/>
        <w:rPr>
          <w:rFonts w:eastAsia="方正小标宋简体"/>
          <w:bCs/>
          <w:sz w:val="44"/>
          <w:szCs w:val="44"/>
        </w:rPr>
      </w:pPr>
      <w:r>
        <w:rPr>
          <w:rFonts w:hint="eastAsia" w:eastAsia="方正小标宋简体"/>
          <w:bCs/>
          <w:sz w:val="44"/>
          <w:szCs w:val="44"/>
        </w:rPr>
        <w:t>九寨沟县</w:t>
      </w:r>
      <w:r>
        <w:rPr>
          <w:rFonts w:hint="eastAsia" w:eastAsia="方正小标宋简体"/>
          <w:bCs/>
          <w:sz w:val="44"/>
          <w:szCs w:val="44"/>
          <w:u w:val="single"/>
        </w:rPr>
        <w:t>2018</w:t>
      </w:r>
      <w:r>
        <w:rPr>
          <w:rFonts w:hint="eastAsia" w:eastAsia="方正小标宋简体"/>
          <w:bCs/>
          <w:sz w:val="44"/>
          <w:szCs w:val="44"/>
        </w:rPr>
        <w:t>年度财政项目支出</w:t>
      </w:r>
    </w:p>
    <w:p>
      <w:pPr>
        <w:spacing w:before="156" w:beforeLines="50" w:line="348" w:lineRule="auto"/>
        <w:jc w:val="center"/>
        <w:rPr>
          <w:rFonts w:eastAsia="方正小标宋简体"/>
          <w:bCs/>
          <w:sz w:val="44"/>
          <w:szCs w:val="44"/>
        </w:rPr>
      </w:pPr>
      <w:r>
        <w:rPr>
          <w:rFonts w:hint="eastAsia" w:eastAsia="方正小标宋简体"/>
          <w:bCs/>
          <w:sz w:val="44"/>
          <w:szCs w:val="44"/>
        </w:rPr>
        <w:t>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w:t>
      </w:r>
    </w:p>
    <w:p>
      <w:pPr>
        <w:spacing w:before="156" w:beforeLines="50" w:line="760" w:lineRule="exact"/>
        <w:ind w:firstLine="480" w:firstLineChars="150"/>
        <w:rPr>
          <w:rFonts w:eastAsia="仿宋_GB2312"/>
          <w:sz w:val="32"/>
          <w:u w:val="single"/>
        </w:rPr>
      </w:pPr>
      <w:r>
        <w:rPr>
          <w:rFonts w:hint="eastAsia" w:eastAsia="仿宋_GB2312"/>
          <w:sz w:val="32"/>
        </w:rPr>
        <w:t>项目名称： 九寨沟县特色民宿自驾游营地建设</w:t>
      </w:r>
    </w:p>
    <w:p>
      <w:pPr>
        <w:spacing w:before="156" w:beforeLines="50" w:line="760" w:lineRule="exact"/>
        <w:ind w:firstLine="480" w:firstLineChars="150"/>
        <w:rPr>
          <w:rFonts w:eastAsia="仿宋_GB2312"/>
          <w:sz w:val="32"/>
        </w:rPr>
      </w:pPr>
      <w:r>
        <w:rPr>
          <w:rFonts w:hint="eastAsia" w:eastAsia="仿宋_GB2312"/>
          <w:sz w:val="32"/>
        </w:rPr>
        <w:t>项目单位：九寨沟县文旅投资开发有限公司</w:t>
      </w:r>
    </w:p>
    <w:p>
      <w:pPr>
        <w:spacing w:before="156" w:beforeLines="50" w:line="760" w:lineRule="exact"/>
        <w:ind w:firstLine="480" w:firstLineChars="150"/>
        <w:rPr>
          <w:rFonts w:eastAsia="仿宋_GB2312"/>
          <w:sz w:val="32"/>
          <w:u w:val="single"/>
        </w:rPr>
      </w:pPr>
      <w:r>
        <w:rPr>
          <w:rFonts w:hint="eastAsia" w:eastAsia="仿宋_GB2312"/>
          <w:sz w:val="32"/>
        </w:rPr>
        <w:t>主管部门：九寨沟县文化体育和旅游局</w:t>
      </w:r>
    </w:p>
    <w:p>
      <w:pPr>
        <w:spacing w:before="156"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部门（单位）评价组</w:t>
      </w:r>
    </w:p>
    <w:p>
      <w:pPr>
        <w:spacing w:before="156" w:beforeLines="50" w:line="760" w:lineRule="exact"/>
        <w:ind w:firstLine="420" w:firstLineChars="150"/>
        <w:rPr>
          <w:rFonts w:eastAsia="仿宋_GB2312"/>
          <w:sz w:val="28"/>
          <w:szCs w:val="28"/>
        </w:rPr>
      </w:pPr>
    </w:p>
    <w:p>
      <w:pPr>
        <w:spacing w:before="156" w:beforeLines="50" w:line="348" w:lineRule="auto"/>
        <w:ind w:firstLine="420" w:firstLineChars="150"/>
        <w:rPr>
          <w:rFonts w:eastAsia="仿宋_GB2312"/>
          <w:sz w:val="28"/>
          <w:szCs w:val="28"/>
        </w:rPr>
      </w:pPr>
    </w:p>
    <w:p>
      <w:pPr>
        <w:spacing w:before="156" w:beforeLines="50" w:line="120" w:lineRule="exact"/>
        <w:rPr>
          <w:rFonts w:eastAsia="仿宋_GB2312"/>
          <w:sz w:val="28"/>
          <w:szCs w:val="28"/>
        </w:rPr>
      </w:pPr>
    </w:p>
    <w:p>
      <w:pPr>
        <w:spacing w:before="156" w:beforeLines="50" w:line="120" w:lineRule="exact"/>
        <w:ind w:firstLine="420" w:firstLineChars="150"/>
        <w:rPr>
          <w:rFonts w:eastAsia="仿宋_GB2312"/>
          <w:sz w:val="28"/>
          <w:szCs w:val="28"/>
        </w:rPr>
      </w:pPr>
    </w:p>
    <w:p>
      <w:pPr>
        <w:spacing w:before="156"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报告日期：2019年6月28日</w:t>
      </w:r>
    </w:p>
    <w:p>
      <w:pPr>
        <w:spacing w:line="348" w:lineRule="auto"/>
        <w:jc w:val="center"/>
        <w:rPr>
          <w:rFonts w:eastAsia="仿宋_GB2312"/>
          <w:sz w:val="32"/>
        </w:rPr>
      </w:pPr>
      <w:r>
        <w:rPr>
          <w:rFonts w:hint="eastAsia" w:eastAsia="仿宋_GB2312"/>
          <w:sz w:val="32"/>
        </w:rPr>
        <w:t>九寨沟县财政局（制）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16"/>
        <w:tblW w:w="95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189"/>
        <w:gridCol w:w="599"/>
        <w:gridCol w:w="782"/>
        <w:gridCol w:w="1130"/>
        <w:gridCol w:w="22"/>
        <w:gridCol w:w="389"/>
        <w:gridCol w:w="306"/>
        <w:gridCol w:w="560"/>
        <w:gridCol w:w="782"/>
        <w:gridCol w:w="59"/>
        <w:gridCol w:w="954"/>
        <w:gridCol w:w="1447"/>
        <w:gridCol w:w="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546" w:type="dxa"/>
            <w:gridSpan w:val="14"/>
            <w:vAlign w:val="center"/>
          </w:tcPr>
          <w:p>
            <w:pPr>
              <w:jc w:val="center"/>
              <w:rPr>
                <w:rFonts w:eastAsia="仿宋_GB2312"/>
                <w:b/>
                <w:sz w:val="24"/>
              </w:rPr>
            </w:pPr>
            <w:r>
              <w:rPr>
                <w:rFonts w:hint="eastAsia" w:eastAsia="仿宋_GB2312"/>
                <w:b/>
                <w:sz w:val="24"/>
              </w:rPr>
              <w:t>一、项目基本概况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56" w:type="dxa"/>
            <w:gridSpan w:val="2"/>
            <w:vAlign w:val="center"/>
          </w:tcPr>
          <w:p>
            <w:pPr>
              <w:rPr>
                <w:rFonts w:eastAsia="仿宋_GB2312"/>
                <w:sz w:val="24"/>
              </w:rPr>
            </w:pPr>
            <w:r>
              <w:rPr>
                <w:rFonts w:hint="eastAsia" w:eastAsia="仿宋_GB2312"/>
                <w:sz w:val="24"/>
              </w:rPr>
              <w:t>项目负责人</w:t>
            </w:r>
          </w:p>
        </w:tc>
        <w:tc>
          <w:tcPr>
            <w:tcW w:w="3228" w:type="dxa"/>
            <w:gridSpan w:val="6"/>
            <w:vAlign w:val="center"/>
          </w:tcPr>
          <w:p>
            <w:pPr>
              <w:rPr>
                <w:rFonts w:eastAsia="仿宋_GB2312"/>
                <w:sz w:val="24"/>
              </w:rPr>
            </w:pPr>
            <w:r>
              <w:rPr>
                <w:rFonts w:hint="eastAsia" w:eastAsia="仿宋_GB2312"/>
                <w:sz w:val="24"/>
              </w:rPr>
              <w:t>张良军</w:t>
            </w:r>
          </w:p>
        </w:tc>
        <w:tc>
          <w:tcPr>
            <w:tcW w:w="1342" w:type="dxa"/>
            <w:gridSpan w:val="2"/>
            <w:vAlign w:val="center"/>
          </w:tcPr>
          <w:p>
            <w:pPr>
              <w:rPr>
                <w:rFonts w:eastAsia="仿宋_GB2312"/>
                <w:sz w:val="24"/>
              </w:rPr>
            </w:pPr>
            <w:r>
              <w:rPr>
                <w:rFonts w:hint="eastAsia" w:eastAsia="仿宋_GB2312"/>
                <w:sz w:val="24"/>
              </w:rPr>
              <w:t>联系电话</w:t>
            </w:r>
          </w:p>
        </w:tc>
        <w:tc>
          <w:tcPr>
            <w:tcW w:w="3320" w:type="dxa"/>
            <w:gridSpan w:val="4"/>
            <w:vAlign w:val="center"/>
          </w:tcPr>
          <w:p>
            <w:pPr>
              <w:rPr>
                <w:rFonts w:eastAsia="仿宋_GB2312"/>
                <w:sz w:val="24"/>
              </w:rPr>
            </w:pPr>
            <w:r>
              <w:rPr>
                <w:rFonts w:hint="eastAsia" w:eastAsia="仿宋_GB2312"/>
                <w:sz w:val="24"/>
              </w:rPr>
              <w:t>15378375151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56" w:type="dxa"/>
            <w:gridSpan w:val="2"/>
            <w:vAlign w:val="center"/>
          </w:tcPr>
          <w:p>
            <w:pPr>
              <w:rPr>
                <w:rFonts w:eastAsia="仿宋_GB2312"/>
                <w:sz w:val="24"/>
              </w:rPr>
            </w:pPr>
            <w:r>
              <w:rPr>
                <w:rFonts w:hint="eastAsia" w:eastAsia="仿宋_GB2312"/>
                <w:sz w:val="24"/>
              </w:rPr>
              <w:t>项目地址</w:t>
            </w:r>
          </w:p>
        </w:tc>
        <w:tc>
          <w:tcPr>
            <w:tcW w:w="3228" w:type="dxa"/>
            <w:gridSpan w:val="6"/>
            <w:vAlign w:val="center"/>
          </w:tcPr>
          <w:p>
            <w:pPr>
              <w:rPr>
                <w:rFonts w:eastAsia="仿宋_GB2312"/>
                <w:sz w:val="24"/>
              </w:rPr>
            </w:pPr>
            <w:r>
              <w:rPr>
                <w:rFonts w:hint="eastAsia" w:eastAsia="仿宋_GB2312"/>
                <w:sz w:val="24"/>
              </w:rPr>
              <w:t>九寨沟县</w:t>
            </w:r>
          </w:p>
        </w:tc>
        <w:tc>
          <w:tcPr>
            <w:tcW w:w="1342" w:type="dxa"/>
            <w:gridSpan w:val="2"/>
            <w:vAlign w:val="center"/>
          </w:tcPr>
          <w:p>
            <w:pPr>
              <w:rPr>
                <w:rFonts w:eastAsia="仿宋_GB2312"/>
                <w:sz w:val="24"/>
              </w:rPr>
            </w:pPr>
            <w:r>
              <w:rPr>
                <w:rFonts w:hint="eastAsia" w:eastAsia="仿宋_GB2312"/>
                <w:sz w:val="24"/>
              </w:rPr>
              <w:t>邮编</w:t>
            </w:r>
          </w:p>
        </w:tc>
        <w:tc>
          <w:tcPr>
            <w:tcW w:w="3320" w:type="dxa"/>
            <w:gridSpan w:val="4"/>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56" w:type="dxa"/>
            <w:gridSpan w:val="2"/>
            <w:vAlign w:val="center"/>
          </w:tcPr>
          <w:p>
            <w:pPr>
              <w:rPr>
                <w:rFonts w:eastAsia="仿宋_GB2312"/>
                <w:sz w:val="24"/>
              </w:rPr>
            </w:pPr>
            <w:r>
              <w:rPr>
                <w:rFonts w:hint="eastAsia" w:eastAsia="仿宋_GB2312"/>
                <w:sz w:val="24"/>
              </w:rPr>
              <w:t>项目起止时间</w:t>
            </w:r>
          </w:p>
        </w:tc>
        <w:tc>
          <w:tcPr>
            <w:tcW w:w="7890" w:type="dxa"/>
            <w:gridSpan w:val="12"/>
            <w:vAlign w:val="center"/>
          </w:tcPr>
          <w:p>
            <w:pPr>
              <w:ind w:firstLine="1190" w:firstLineChars="496"/>
              <w:rPr>
                <w:rFonts w:eastAsia="仿宋_GB2312"/>
                <w:sz w:val="24"/>
              </w:rPr>
            </w:pPr>
            <w:r>
              <w:rPr>
                <w:rFonts w:hint="eastAsia" w:eastAsia="仿宋_GB2312"/>
                <w:sz w:val="24"/>
              </w:rPr>
              <w:t>2018年10起至2020年8月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656"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1381" w:type="dxa"/>
            <w:gridSpan w:val="2"/>
            <w:tcBorders>
              <w:bottom w:val="single" w:color="auto" w:sz="4" w:space="0"/>
            </w:tcBorders>
            <w:vAlign w:val="center"/>
          </w:tcPr>
          <w:p>
            <w:pPr>
              <w:spacing w:line="360" w:lineRule="exact"/>
              <w:jc w:val="center"/>
              <w:rPr>
                <w:rFonts w:eastAsia="仿宋_GB2312"/>
                <w:sz w:val="24"/>
              </w:rPr>
            </w:pPr>
          </w:p>
        </w:tc>
        <w:tc>
          <w:tcPr>
            <w:tcW w:w="1130" w:type="dxa"/>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17"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470</w:t>
            </w:r>
          </w:p>
        </w:tc>
        <w:tc>
          <w:tcPr>
            <w:tcW w:w="1401"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954"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53.60</w:t>
            </w:r>
          </w:p>
        </w:tc>
        <w:tc>
          <w:tcPr>
            <w:tcW w:w="1447"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861" w:type="dxa"/>
            <w:tcBorders>
              <w:bottom w:val="single" w:color="auto" w:sz="4" w:space="0"/>
            </w:tcBorders>
            <w:vAlign w:val="center"/>
          </w:tcPr>
          <w:p>
            <w:pPr>
              <w:jc w:val="center"/>
              <w:rPr>
                <w:rFonts w:eastAsia="仿宋_GB2312"/>
                <w:b/>
                <w:sz w:val="24"/>
              </w:rPr>
            </w:pPr>
            <w:r>
              <w:rPr>
                <w:rFonts w:hint="eastAsia" w:eastAsia="仿宋_GB2312"/>
                <w:b/>
                <w:sz w:val="24"/>
              </w:rPr>
              <w:t>416.4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656" w:type="dxa"/>
            <w:gridSpan w:val="2"/>
            <w:tcBorders>
              <w:bottom w:val="single" w:color="auto" w:sz="4" w:space="0"/>
            </w:tcBorders>
            <w:vAlign w:val="center"/>
          </w:tcPr>
          <w:p>
            <w:pPr>
              <w:rPr>
                <w:rFonts w:eastAsia="仿宋_GB2312"/>
                <w:spacing w:val="-10"/>
                <w:sz w:val="24"/>
              </w:rPr>
            </w:pPr>
            <w:r>
              <w:rPr>
                <w:rFonts w:hint="eastAsia" w:eastAsia="仿宋_GB2312"/>
                <w:spacing w:val="-10"/>
                <w:sz w:val="24"/>
              </w:rPr>
              <w:t>其中：中央财政</w:t>
            </w:r>
          </w:p>
        </w:tc>
        <w:tc>
          <w:tcPr>
            <w:tcW w:w="1381" w:type="dxa"/>
            <w:gridSpan w:val="2"/>
            <w:tcBorders>
              <w:bottom w:val="single" w:color="auto" w:sz="4" w:space="0"/>
            </w:tcBorders>
            <w:vAlign w:val="center"/>
          </w:tcPr>
          <w:p>
            <w:pPr>
              <w:rPr>
                <w:rFonts w:eastAsia="仿宋_GB2312"/>
                <w:spacing w:val="-6"/>
                <w:sz w:val="24"/>
              </w:rPr>
            </w:pPr>
          </w:p>
        </w:tc>
        <w:tc>
          <w:tcPr>
            <w:tcW w:w="1130" w:type="dxa"/>
            <w:tcBorders>
              <w:bottom w:val="single" w:color="auto" w:sz="4" w:space="0"/>
            </w:tcBorders>
            <w:vAlign w:val="center"/>
          </w:tcPr>
          <w:p>
            <w:pPr>
              <w:rPr>
                <w:rFonts w:eastAsia="仿宋_GB2312"/>
                <w:spacing w:val="-6"/>
                <w:sz w:val="24"/>
              </w:rPr>
            </w:pPr>
            <w:r>
              <w:rPr>
                <w:rFonts w:hint="eastAsia" w:eastAsia="仿宋_GB2312"/>
                <w:spacing w:val="-6"/>
                <w:sz w:val="24"/>
              </w:rPr>
              <w:t>其中：中央财政</w:t>
            </w:r>
          </w:p>
        </w:tc>
        <w:tc>
          <w:tcPr>
            <w:tcW w:w="717" w:type="dxa"/>
            <w:gridSpan w:val="3"/>
            <w:tcBorders>
              <w:bottom w:val="single" w:color="auto" w:sz="4" w:space="0"/>
            </w:tcBorders>
            <w:vAlign w:val="center"/>
          </w:tcPr>
          <w:p>
            <w:pPr>
              <w:rPr>
                <w:rFonts w:eastAsia="仿宋_GB2312"/>
                <w:spacing w:val="-6"/>
                <w:sz w:val="24"/>
              </w:rPr>
            </w:pPr>
          </w:p>
        </w:tc>
        <w:tc>
          <w:tcPr>
            <w:tcW w:w="1401" w:type="dxa"/>
            <w:gridSpan w:val="3"/>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954" w:type="dxa"/>
            <w:tcBorders>
              <w:bottom w:val="single" w:color="auto" w:sz="4" w:space="0"/>
            </w:tcBorders>
            <w:vAlign w:val="center"/>
          </w:tcPr>
          <w:p>
            <w:pPr>
              <w:rPr>
                <w:rFonts w:eastAsia="仿宋_GB2312"/>
                <w:spacing w:val="-6"/>
                <w:sz w:val="24"/>
              </w:rPr>
            </w:pPr>
          </w:p>
        </w:tc>
        <w:tc>
          <w:tcPr>
            <w:tcW w:w="1447" w:type="dxa"/>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861"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656" w:type="dxa"/>
            <w:gridSpan w:val="2"/>
            <w:tcBorders>
              <w:bottom w:val="single" w:color="auto" w:sz="4" w:space="0"/>
            </w:tcBorders>
            <w:vAlign w:val="center"/>
          </w:tcPr>
          <w:p>
            <w:pPr>
              <w:rPr>
                <w:rFonts w:eastAsia="仿宋_GB2312"/>
                <w:sz w:val="24"/>
              </w:rPr>
            </w:pPr>
            <w:r>
              <w:rPr>
                <w:rFonts w:hint="eastAsia" w:eastAsia="仿宋_GB2312"/>
                <w:sz w:val="24"/>
              </w:rPr>
              <w:t>省财政</w:t>
            </w:r>
          </w:p>
        </w:tc>
        <w:tc>
          <w:tcPr>
            <w:tcW w:w="1381" w:type="dxa"/>
            <w:gridSpan w:val="2"/>
            <w:tcBorders>
              <w:bottom w:val="single" w:color="auto" w:sz="4" w:space="0"/>
            </w:tcBorders>
            <w:vAlign w:val="center"/>
          </w:tcPr>
          <w:p>
            <w:pPr>
              <w:rPr>
                <w:rFonts w:eastAsia="仿宋_GB2312"/>
                <w:sz w:val="24"/>
              </w:rPr>
            </w:pPr>
          </w:p>
        </w:tc>
        <w:tc>
          <w:tcPr>
            <w:tcW w:w="1130" w:type="dxa"/>
            <w:tcBorders>
              <w:bottom w:val="single" w:color="auto" w:sz="4" w:space="0"/>
            </w:tcBorders>
            <w:vAlign w:val="center"/>
          </w:tcPr>
          <w:p>
            <w:pPr>
              <w:rPr>
                <w:rFonts w:eastAsia="仿宋_GB2312"/>
                <w:sz w:val="24"/>
              </w:rPr>
            </w:pPr>
            <w:r>
              <w:rPr>
                <w:rFonts w:hint="eastAsia" w:eastAsia="仿宋_GB2312"/>
                <w:sz w:val="24"/>
              </w:rPr>
              <w:t>省财政</w:t>
            </w:r>
          </w:p>
        </w:tc>
        <w:tc>
          <w:tcPr>
            <w:tcW w:w="717" w:type="dxa"/>
            <w:gridSpan w:val="3"/>
            <w:tcBorders>
              <w:bottom w:val="single" w:color="auto" w:sz="4" w:space="0"/>
            </w:tcBorders>
            <w:vAlign w:val="center"/>
          </w:tcPr>
          <w:p>
            <w:pPr>
              <w:rPr>
                <w:rFonts w:eastAsia="仿宋_GB2312"/>
                <w:sz w:val="24"/>
              </w:rPr>
            </w:pPr>
            <w:r>
              <w:rPr>
                <w:rFonts w:hint="eastAsia" w:eastAsia="仿宋_GB2312"/>
                <w:sz w:val="24"/>
              </w:rPr>
              <w:t>470</w:t>
            </w:r>
          </w:p>
        </w:tc>
        <w:tc>
          <w:tcPr>
            <w:tcW w:w="1401" w:type="dxa"/>
            <w:gridSpan w:val="3"/>
            <w:tcBorders>
              <w:bottom w:val="single" w:color="auto" w:sz="4" w:space="0"/>
            </w:tcBorders>
            <w:vAlign w:val="center"/>
          </w:tcPr>
          <w:p>
            <w:pPr>
              <w:rPr>
                <w:rFonts w:eastAsia="仿宋_GB2312"/>
                <w:sz w:val="24"/>
              </w:rPr>
            </w:pPr>
            <w:r>
              <w:rPr>
                <w:rFonts w:hint="eastAsia" w:eastAsia="仿宋_GB2312"/>
                <w:sz w:val="24"/>
              </w:rPr>
              <w:t>省财政</w:t>
            </w:r>
          </w:p>
        </w:tc>
        <w:tc>
          <w:tcPr>
            <w:tcW w:w="954" w:type="dxa"/>
            <w:tcBorders>
              <w:bottom w:val="single" w:color="auto" w:sz="4" w:space="0"/>
            </w:tcBorders>
            <w:vAlign w:val="center"/>
          </w:tcPr>
          <w:p>
            <w:pPr>
              <w:rPr>
                <w:rFonts w:eastAsia="仿宋_GB2312"/>
                <w:sz w:val="24"/>
              </w:rPr>
            </w:pPr>
          </w:p>
        </w:tc>
        <w:tc>
          <w:tcPr>
            <w:tcW w:w="1447" w:type="dxa"/>
            <w:tcBorders>
              <w:bottom w:val="single" w:color="auto" w:sz="4" w:space="0"/>
            </w:tcBorders>
            <w:vAlign w:val="center"/>
          </w:tcPr>
          <w:p>
            <w:pPr>
              <w:rPr>
                <w:rFonts w:eastAsia="仿宋_GB2312"/>
                <w:sz w:val="24"/>
              </w:rPr>
            </w:pPr>
            <w:r>
              <w:rPr>
                <w:rFonts w:hint="eastAsia" w:eastAsia="仿宋_GB2312"/>
                <w:sz w:val="24"/>
              </w:rPr>
              <w:t>省财政</w:t>
            </w:r>
          </w:p>
        </w:tc>
        <w:tc>
          <w:tcPr>
            <w:tcW w:w="861"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656" w:type="dxa"/>
            <w:gridSpan w:val="2"/>
            <w:tcBorders>
              <w:bottom w:val="single" w:color="auto" w:sz="4" w:space="0"/>
            </w:tcBorders>
            <w:vAlign w:val="center"/>
          </w:tcPr>
          <w:p>
            <w:pPr>
              <w:rPr>
                <w:rFonts w:eastAsia="仿宋_GB2312"/>
                <w:sz w:val="24"/>
              </w:rPr>
            </w:pPr>
            <w:r>
              <w:rPr>
                <w:rFonts w:hint="eastAsia" w:eastAsia="仿宋_GB2312"/>
                <w:sz w:val="24"/>
              </w:rPr>
              <w:t>州财政</w:t>
            </w:r>
          </w:p>
        </w:tc>
        <w:tc>
          <w:tcPr>
            <w:tcW w:w="1381" w:type="dxa"/>
            <w:gridSpan w:val="2"/>
            <w:tcBorders>
              <w:bottom w:val="single" w:color="auto" w:sz="4" w:space="0"/>
            </w:tcBorders>
            <w:vAlign w:val="center"/>
          </w:tcPr>
          <w:p>
            <w:pPr>
              <w:rPr>
                <w:rFonts w:eastAsia="仿宋_GB2312"/>
                <w:sz w:val="24"/>
              </w:rPr>
            </w:pPr>
          </w:p>
        </w:tc>
        <w:tc>
          <w:tcPr>
            <w:tcW w:w="1130" w:type="dxa"/>
            <w:tcBorders>
              <w:bottom w:val="single" w:color="auto" w:sz="4" w:space="0"/>
            </w:tcBorders>
            <w:vAlign w:val="center"/>
          </w:tcPr>
          <w:p>
            <w:pPr>
              <w:rPr>
                <w:rFonts w:eastAsia="仿宋_GB2312"/>
                <w:sz w:val="24"/>
              </w:rPr>
            </w:pPr>
            <w:r>
              <w:rPr>
                <w:rFonts w:hint="eastAsia" w:eastAsia="仿宋_GB2312"/>
                <w:sz w:val="24"/>
              </w:rPr>
              <w:t>州财政</w:t>
            </w:r>
          </w:p>
        </w:tc>
        <w:tc>
          <w:tcPr>
            <w:tcW w:w="717" w:type="dxa"/>
            <w:gridSpan w:val="3"/>
            <w:tcBorders>
              <w:bottom w:val="single" w:color="auto" w:sz="4" w:space="0"/>
            </w:tcBorders>
            <w:vAlign w:val="center"/>
          </w:tcPr>
          <w:p>
            <w:pPr>
              <w:rPr>
                <w:rFonts w:eastAsia="仿宋_GB2312"/>
                <w:sz w:val="24"/>
              </w:rPr>
            </w:pPr>
          </w:p>
        </w:tc>
        <w:tc>
          <w:tcPr>
            <w:tcW w:w="1401" w:type="dxa"/>
            <w:gridSpan w:val="3"/>
            <w:tcBorders>
              <w:bottom w:val="single" w:color="auto" w:sz="4" w:space="0"/>
            </w:tcBorders>
            <w:vAlign w:val="center"/>
          </w:tcPr>
          <w:p>
            <w:pPr>
              <w:rPr>
                <w:rFonts w:eastAsia="仿宋_GB2312"/>
                <w:sz w:val="24"/>
              </w:rPr>
            </w:pPr>
            <w:r>
              <w:rPr>
                <w:rFonts w:hint="eastAsia" w:eastAsia="仿宋_GB2312"/>
                <w:sz w:val="24"/>
              </w:rPr>
              <w:t>州财政</w:t>
            </w:r>
          </w:p>
        </w:tc>
        <w:tc>
          <w:tcPr>
            <w:tcW w:w="954" w:type="dxa"/>
            <w:tcBorders>
              <w:bottom w:val="single" w:color="auto" w:sz="4" w:space="0"/>
            </w:tcBorders>
            <w:vAlign w:val="center"/>
          </w:tcPr>
          <w:p>
            <w:pPr>
              <w:rPr>
                <w:rFonts w:eastAsia="仿宋_GB2312"/>
                <w:sz w:val="24"/>
              </w:rPr>
            </w:pPr>
          </w:p>
        </w:tc>
        <w:tc>
          <w:tcPr>
            <w:tcW w:w="1447" w:type="dxa"/>
            <w:tcBorders>
              <w:bottom w:val="single" w:color="auto" w:sz="4" w:space="0"/>
            </w:tcBorders>
            <w:vAlign w:val="center"/>
          </w:tcPr>
          <w:p>
            <w:pPr>
              <w:rPr>
                <w:rFonts w:eastAsia="仿宋_GB2312"/>
                <w:sz w:val="24"/>
              </w:rPr>
            </w:pPr>
            <w:r>
              <w:rPr>
                <w:rFonts w:hint="eastAsia" w:eastAsia="仿宋_GB2312"/>
                <w:sz w:val="24"/>
              </w:rPr>
              <w:t>州财政</w:t>
            </w:r>
          </w:p>
        </w:tc>
        <w:tc>
          <w:tcPr>
            <w:tcW w:w="861"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656" w:type="dxa"/>
            <w:gridSpan w:val="2"/>
            <w:tcBorders>
              <w:bottom w:val="single" w:color="auto" w:sz="4" w:space="0"/>
            </w:tcBorders>
            <w:vAlign w:val="center"/>
          </w:tcPr>
          <w:p>
            <w:pPr>
              <w:rPr>
                <w:rFonts w:eastAsia="仿宋_GB2312"/>
                <w:sz w:val="24"/>
              </w:rPr>
            </w:pPr>
            <w:r>
              <w:rPr>
                <w:rFonts w:hint="eastAsia" w:eastAsia="仿宋_GB2312"/>
                <w:sz w:val="24"/>
              </w:rPr>
              <w:t>县财政</w:t>
            </w:r>
          </w:p>
        </w:tc>
        <w:tc>
          <w:tcPr>
            <w:tcW w:w="1381" w:type="dxa"/>
            <w:gridSpan w:val="2"/>
            <w:tcBorders>
              <w:bottom w:val="single" w:color="auto" w:sz="4" w:space="0"/>
            </w:tcBorders>
            <w:vAlign w:val="center"/>
          </w:tcPr>
          <w:p>
            <w:pPr>
              <w:rPr>
                <w:rFonts w:eastAsia="仿宋_GB2312"/>
                <w:sz w:val="24"/>
              </w:rPr>
            </w:pPr>
          </w:p>
        </w:tc>
        <w:tc>
          <w:tcPr>
            <w:tcW w:w="1130" w:type="dxa"/>
            <w:tcBorders>
              <w:bottom w:val="single" w:color="auto" w:sz="4" w:space="0"/>
            </w:tcBorders>
            <w:vAlign w:val="center"/>
          </w:tcPr>
          <w:p>
            <w:pPr>
              <w:rPr>
                <w:rFonts w:eastAsia="仿宋_GB2312"/>
                <w:sz w:val="24"/>
              </w:rPr>
            </w:pPr>
            <w:r>
              <w:rPr>
                <w:rFonts w:hint="eastAsia" w:eastAsia="仿宋_GB2312"/>
                <w:sz w:val="24"/>
              </w:rPr>
              <w:t>县财政</w:t>
            </w:r>
          </w:p>
        </w:tc>
        <w:tc>
          <w:tcPr>
            <w:tcW w:w="717" w:type="dxa"/>
            <w:gridSpan w:val="3"/>
            <w:tcBorders>
              <w:bottom w:val="single" w:color="auto" w:sz="4" w:space="0"/>
            </w:tcBorders>
            <w:vAlign w:val="center"/>
          </w:tcPr>
          <w:p>
            <w:pPr>
              <w:rPr>
                <w:rFonts w:eastAsia="仿宋_GB2312"/>
                <w:sz w:val="24"/>
              </w:rPr>
            </w:pPr>
          </w:p>
        </w:tc>
        <w:tc>
          <w:tcPr>
            <w:tcW w:w="1401" w:type="dxa"/>
            <w:gridSpan w:val="3"/>
            <w:tcBorders>
              <w:bottom w:val="single" w:color="auto" w:sz="4" w:space="0"/>
            </w:tcBorders>
            <w:vAlign w:val="center"/>
          </w:tcPr>
          <w:p>
            <w:pPr>
              <w:rPr>
                <w:rFonts w:eastAsia="仿宋_GB2312"/>
                <w:sz w:val="24"/>
              </w:rPr>
            </w:pPr>
            <w:r>
              <w:rPr>
                <w:rFonts w:hint="eastAsia" w:eastAsia="仿宋_GB2312"/>
                <w:sz w:val="24"/>
              </w:rPr>
              <w:t>县财政</w:t>
            </w:r>
          </w:p>
        </w:tc>
        <w:tc>
          <w:tcPr>
            <w:tcW w:w="954" w:type="dxa"/>
            <w:tcBorders>
              <w:bottom w:val="single" w:color="auto" w:sz="4" w:space="0"/>
            </w:tcBorders>
            <w:vAlign w:val="center"/>
          </w:tcPr>
          <w:p>
            <w:pPr>
              <w:rPr>
                <w:rFonts w:eastAsia="仿宋_GB2312"/>
                <w:sz w:val="24"/>
              </w:rPr>
            </w:pPr>
          </w:p>
        </w:tc>
        <w:tc>
          <w:tcPr>
            <w:tcW w:w="1447" w:type="dxa"/>
            <w:tcBorders>
              <w:bottom w:val="single" w:color="auto" w:sz="4" w:space="0"/>
            </w:tcBorders>
            <w:vAlign w:val="center"/>
          </w:tcPr>
          <w:p>
            <w:pPr>
              <w:rPr>
                <w:rFonts w:eastAsia="仿宋_GB2312"/>
                <w:sz w:val="24"/>
              </w:rPr>
            </w:pPr>
            <w:r>
              <w:rPr>
                <w:rFonts w:hint="eastAsia" w:eastAsia="仿宋_GB2312"/>
                <w:sz w:val="24"/>
              </w:rPr>
              <w:t>县财政</w:t>
            </w:r>
          </w:p>
        </w:tc>
        <w:tc>
          <w:tcPr>
            <w:tcW w:w="861"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656" w:type="dxa"/>
            <w:gridSpan w:val="2"/>
            <w:tcBorders>
              <w:bottom w:val="single" w:color="auto" w:sz="4" w:space="0"/>
            </w:tcBorders>
            <w:vAlign w:val="center"/>
          </w:tcPr>
          <w:p>
            <w:pPr>
              <w:rPr>
                <w:rFonts w:eastAsia="仿宋_GB2312"/>
                <w:sz w:val="24"/>
              </w:rPr>
            </w:pPr>
            <w:r>
              <w:rPr>
                <w:rFonts w:hint="eastAsia" w:eastAsia="仿宋_GB2312"/>
                <w:sz w:val="24"/>
              </w:rPr>
              <w:t>其它</w:t>
            </w:r>
          </w:p>
        </w:tc>
        <w:tc>
          <w:tcPr>
            <w:tcW w:w="1381" w:type="dxa"/>
            <w:gridSpan w:val="2"/>
            <w:tcBorders>
              <w:bottom w:val="single" w:color="auto" w:sz="4" w:space="0"/>
            </w:tcBorders>
            <w:vAlign w:val="center"/>
          </w:tcPr>
          <w:p>
            <w:pPr>
              <w:rPr>
                <w:rFonts w:eastAsia="仿宋_GB2312"/>
                <w:sz w:val="24"/>
              </w:rPr>
            </w:pPr>
          </w:p>
        </w:tc>
        <w:tc>
          <w:tcPr>
            <w:tcW w:w="1130" w:type="dxa"/>
            <w:tcBorders>
              <w:bottom w:val="single" w:color="auto" w:sz="4" w:space="0"/>
            </w:tcBorders>
            <w:vAlign w:val="center"/>
          </w:tcPr>
          <w:p>
            <w:pPr>
              <w:rPr>
                <w:rFonts w:eastAsia="仿宋_GB2312"/>
                <w:sz w:val="24"/>
              </w:rPr>
            </w:pPr>
            <w:r>
              <w:rPr>
                <w:rFonts w:hint="eastAsia" w:eastAsia="仿宋_GB2312"/>
                <w:sz w:val="24"/>
              </w:rPr>
              <w:t>其它</w:t>
            </w:r>
          </w:p>
        </w:tc>
        <w:tc>
          <w:tcPr>
            <w:tcW w:w="717" w:type="dxa"/>
            <w:gridSpan w:val="3"/>
            <w:tcBorders>
              <w:bottom w:val="single" w:color="auto" w:sz="4" w:space="0"/>
            </w:tcBorders>
            <w:vAlign w:val="center"/>
          </w:tcPr>
          <w:p>
            <w:pPr>
              <w:rPr>
                <w:rFonts w:eastAsia="仿宋_GB2312"/>
                <w:sz w:val="24"/>
              </w:rPr>
            </w:pPr>
          </w:p>
        </w:tc>
        <w:tc>
          <w:tcPr>
            <w:tcW w:w="1401" w:type="dxa"/>
            <w:gridSpan w:val="3"/>
            <w:tcBorders>
              <w:bottom w:val="single" w:color="auto" w:sz="4" w:space="0"/>
            </w:tcBorders>
            <w:vAlign w:val="center"/>
          </w:tcPr>
          <w:p>
            <w:pPr>
              <w:rPr>
                <w:rFonts w:eastAsia="仿宋_GB2312"/>
                <w:sz w:val="24"/>
              </w:rPr>
            </w:pPr>
            <w:r>
              <w:rPr>
                <w:rFonts w:hint="eastAsia" w:eastAsia="仿宋_GB2312"/>
                <w:sz w:val="24"/>
              </w:rPr>
              <w:t>其它</w:t>
            </w:r>
          </w:p>
        </w:tc>
        <w:tc>
          <w:tcPr>
            <w:tcW w:w="954" w:type="dxa"/>
            <w:tcBorders>
              <w:bottom w:val="single" w:color="auto" w:sz="4" w:space="0"/>
            </w:tcBorders>
            <w:vAlign w:val="center"/>
          </w:tcPr>
          <w:p>
            <w:pPr>
              <w:rPr>
                <w:rFonts w:eastAsia="仿宋_GB2312"/>
                <w:sz w:val="24"/>
              </w:rPr>
            </w:pPr>
          </w:p>
        </w:tc>
        <w:tc>
          <w:tcPr>
            <w:tcW w:w="1447" w:type="dxa"/>
            <w:tcBorders>
              <w:bottom w:val="single" w:color="auto" w:sz="4" w:space="0"/>
            </w:tcBorders>
            <w:vAlign w:val="center"/>
          </w:tcPr>
          <w:p>
            <w:pPr>
              <w:rPr>
                <w:rFonts w:eastAsia="仿宋_GB2312"/>
                <w:sz w:val="24"/>
              </w:rPr>
            </w:pPr>
            <w:r>
              <w:rPr>
                <w:rFonts w:hint="eastAsia" w:eastAsia="仿宋_GB2312"/>
                <w:sz w:val="24"/>
              </w:rPr>
              <w:t>其它</w:t>
            </w:r>
          </w:p>
        </w:tc>
        <w:tc>
          <w:tcPr>
            <w:tcW w:w="861"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9546" w:type="dxa"/>
            <w:gridSpan w:val="14"/>
            <w:tcBorders>
              <w:bottom w:val="single" w:color="auto" w:sz="4" w:space="0"/>
            </w:tcBorders>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037" w:type="dxa"/>
            <w:gridSpan w:val="4"/>
            <w:tcBorders>
              <w:bottom w:val="single" w:color="auto" w:sz="4" w:space="0"/>
            </w:tcBorders>
            <w:vAlign w:val="center"/>
          </w:tcPr>
          <w:p>
            <w:pPr>
              <w:spacing w:line="400" w:lineRule="exact"/>
              <w:jc w:val="left"/>
              <w:rPr>
                <w:rFonts w:eastAsia="仿宋_GB2312"/>
                <w:sz w:val="24"/>
              </w:rPr>
            </w:pPr>
            <w:r>
              <w:rPr>
                <w:rFonts w:hint="eastAsia" w:eastAsia="仿宋_GB2312"/>
                <w:sz w:val="24"/>
              </w:rPr>
              <w:t>支出内容</w:t>
            </w:r>
          </w:p>
        </w:tc>
        <w:tc>
          <w:tcPr>
            <w:tcW w:w="1152" w:type="dxa"/>
            <w:gridSpan w:val="2"/>
            <w:tcBorders>
              <w:bottom w:val="single" w:color="auto" w:sz="4" w:space="0"/>
            </w:tcBorders>
            <w:vAlign w:val="center"/>
          </w:tcPr>
          <w:p>
            <w:pPr>
              <w:jc w:val="center"/>
              <w:rPr>
                <w:rFonts w:eastAsia="仿宋_GB2312"/>
                <w:sz w:val="24"/>
              </w:rPr>
            </w:pPr>
            <w:r>
              <w:rPr>
                <w:rFonts w:hint="eastAsia" w:eastAsia="仿宋_GB2312"/>
                <w:sz w:val="24"/>
              </w:rPr>
              <w:t>实际支出数</w:t>
            </w:r>
          </w:p>
        </w:tc>
        <w:tc>
          <w:tcPr>
            <w:tcW w:w="2096" w:type="dxa"/>
            <w:gridSpan w:val="5"/>
            <w:tcBorders>
              <w:bottom w:val="single" w:color="auto" w:sz="4" w:space="0"/>
            </w:tcBorders>
            <w:vAlign w:val="center"/>
          </w:tcPr>
          <w:p>
            <w:pPr>
              <w:jc w:val="center"/>
              <w:rPr>
                <w:rFonts w:eastAsia="仿宋_GB2312"/>
                <w:sz w:val="24"/>
              </w:rPr>
            </w:pPr>
            <w:r>
              <w:rPr>
                <w:rFonts w:hint="eastAsia" w:eastAsia="仿宋_GB2312"/>
                <w:sz w:val="24"/>
              </w:rPr>
              <w:t>会计凭证号</w:t>
            </w:r>
          </w:p>
        </w:tc>
        <w:tc>
          <w:tcPr>
            <w:tcW w:w="3262" w:type="dxa"/>
            <w:gridSpan w:val="3"/>
            <w:tcBorders>
              <w:bottom w:val="single" w:color="auto" w:sz="4" w:space="0"/>
            </w:tcBorders>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037" w:type="dxa"/>
            <w:gridSpan w:val="4"/>
            <w:tcBorders>
              <w:bottom w:val="single" w:color="auto" w:sz="4" w:space="0"/>
            </w:tcBorders>
            <w:vAlign w:val="center"/>
          </w:tcPr>
          <w:p>
            <w:pPr>
              <w:jc w:val="left"/>
              <w:rPr>
                <w:rFonts w:eastAsia="仿宋_GB2312"/>
                <w:sz w:val="24"/>
              </w:rPr>
            </w:pPr>
            <w:r>
              <w:rPr>
                <w:rFonts w:hint="eastAsia" w:eastAsia="仿宋_GB2312"/>
                <w:sz w:val="24"/>
              </w:rPr>
              <w:t>支付可研报告编制费</w:t>
            </w:r>
          </w:p>
        </w:tc>
        <w:tc>
          <w:tcPr>
            <w:tcW w:w="1152" w:type="dxa"/>
            <w:gridSpan w:val="2"/>
            <w:tcBorders>
              <w:bottom w:val="single" w:color="auto" w:sz="4" w:space="0"/>
            </w:tcBorders>
            <w:vAlign w:val="center"/>
          </w:tcPr>
          <w:p>
            <w:pPr>
              <w:jc w:val="center"/>
              <w:rPr>
                <w:rFonts w:eastAsia="仿宋_GB2312"/>
                <w:sz w:val="24"/>
              </w:rPr>
            </w:pPr>
            <w:r>
              <w:rPr>
                <w:rFonts w:hint="eastAsia" w:eastAsia="仿宋_GB2312"/>
                <w:sz w:val="24"/>
              </w:rPr>
              <w:t>7.5万</w:t>
            </w:r>
          </w:p>
        </w:tc>
        <w:tc>
          <w:tcPr>
            <w:tcW w:w="2096" w:type="dxa"/>
            <w:gridSpan w:val="5"/>
            <w:tcBorders>
              <w:bottom w:val="single" w:color="auto" w:sz="4" w:space="0"/>
            </w:tcBorders>
            <w:vAlign w:val="center"/>
          </w:tcPr>
          <w:p>
            <w:pPr>
              <w:jc w:val="center"/>
              <w:rPr>
                <w:rFonts w:eastAsia="仿宋_GB2312"/>
                <w:sz w:val="24"/>
              </w:rPr>
            </w:pPr>
            <w:r>
              <w:rPr>
                <w:rFonts w:hint="eastAsia" w:eastAsia="仿宋_GB2312"/>
                <w:sz w:val="24"/>
              </w:rPr>
              <w:t>001</w:t>
            </w:r>
          </w:p>
        </w:tc>
        <w:tc>
          <w:tcPr>
            <w:tcW w:w="326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037" w:type="dxa"/>
            <w:gridSpan w:val="4"/>
            <w:tcBorders>
              <w:bottom w:val="single" w:color="auto" w:sz="4" w:space="0"/>
            </w:tcBorders>
            <w:vAlign w:val="center"/>
          </w:tcPr>
          <w:p>
            <w:pPr>
              <w:jc w:val="left"/>
              <w:rPr>
                <w:rFonts w:eastAsia="仿宋_GB2312"/>
                <w:sz w:val="24"/>
              </w:rPr>
            </w:pPr>
            <w:r>
              <w:rPr>
                <w:rFonts w:hint="eastAsia" w:eastAsia="仿宋_GB2312"/>
                <w:sz w:val="24"/>
              </w:rPr>
              <w:t>支付工程设计费</w:t>
            </w:r>
          </w:p>
        </w:tc>
        <w:tc>
          <w:tcPr>
            <w:tcW w:w="1152" w:type="dxa"/>
            <w:gridSpan w:val="2"/>
            <w:tcBorders>
              <w:bottom w:val="single" w:color="auto" w:sz="4" w:space="0"/>
            </w:tcBorders>
            <w:vAlign w:val="center"/>
          </w:tcPr>
          <w:p>
            <w:pPr>
              <w:jc w:val="center"/>
              <w:rPr>
                <w:rFonts w:eastAsia="仿宋_GB2312"/>
                <w:sz w:val="24"/>
              </w:rPr>
            </w:pPr>
            <w:r>
              <w:rPr>
                <w:rFonts w:hint="eastAsia" w:eastAsia="仿宋_GB2312"/>
                <w:sz w:val="24"/>
              </w:rPr>
              <w:t>9.688万</w:t>
            </w:r>
          </w:p>
        </w:tc>
        <w:tc>
          <w:tcPr>
            <w:tcW w:w="2096" w:type="dxa"/>
            <w:gridSpan w:val="5"/>
            <w:tcBorders>
              <w:bottom w:val="single" w:color="auto" w:sz="4" w:space="0"/>
            </w:tcBorders>
            <w:vAlign w:val="center"/>
          </w:tcPr>
          <w:p>
            <w:pPr>
              <w:jc w:val="center"/>
              <w:rPr>
                <w:rFonts w:eastAsia="仿宋_GB2312"/>
                <w:sz w:val="24"/>
              </w:rPr>
            </w:pPr>
            <w:r>
              <w:rPr>
                <w:rFonts w:hint="eastAsia" w:eastAsia="仿宋_GB2312"/>
                <w:sz w:val="24"/>
              </w:rPr>
              <w:t>002</w:t>
            </w:r>
          </w:p>
        </w:tc>
        <w:tc>
          <w:tcPr>
            <w:tcW w:w="326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037" w:type="dxa"/>
            <w:gridSpan w:val="4"/>
            <w:tcBorders>
              <w:bottom w:val="single" w:color="auto" w:sz="4" w:space="0"/>
            </w:tcBorders>
            <w:vAlign w:val="center"/>
          </w:tcPr>
          <w:p>
            <w:pPr>
              <w:jc w:val="left"/>
              <w:rPr>
                <w:rFonts w:eastAsia="仿宋_GB2312"/>
                <w:sz w:val="24"/>
              </w:rPr>
            </w:pPr>
            <w:r>
              <w:rPr>
                <w:rFonts w:hint="eastAsia" w:eastAsia="仿宋_GB2312"/>
                <w:sz w:val="24"/>
              </w:rPr>
              <w:t>支付施工图纸设计文件及审查费</w:t>
            </w:r>
          </w:p>
        </w:tc>
        <w:tc>
          <w:tcPr>
            <w:tcW w:w="1152" w:type="dxa"/>
            <w:gridSpan w:val="2"/>
            <w:tcBorders>
              <w:bottom w:val="single" w:color="auto" w:sz="4" w:space="0"/>
            </w:tcBorders>
            <w:vAlign w:val="center"/>
          </w:tcPr>
          <w:p>
            <w:pPr>
              <w:jc w:val="center"/>
              <w:rPr>
                <w:rFonts w:eastAsia="仿宋_GB2312"/>
                <w:sz w:val="24"/>
              </w:rPr>
            </w:pPr>
            <w:r>
              <w:rPr>
                <w:rFonts w:hint="eastAsia" w:eastAsia="仿宋_GB2312"/>
                <w:sz w:val="24"/>
              </w:rPr>
              <w:t>1.6万</w:t>
            </w:r>
          </w:p>
        </w:tc>
        <w:tc>
          <w:tcPr>
            <w:tcW w:w="2096" w:type="dxa"/>
            <w:gridSpan w:val="5"/>
            <w:tcBorders>
              <w:bottom w:val="single" w:color="auto" w:sz="4" w:space="0"/>
            </w:tcBorders>
            <w:vAlign w:val="center"/>
          </w:tcPr>
          <w:p>
            <w:pPr>
              <w:jc w:val="center"/>
              <w:rPr>
                <w:rFonts w:eastAsia="仿宋_GB2312"/>
                <w:sz w:val="24"/>
              </w:rPr>
            </w:pPr>
            <w:r>
              <w:rPr>
                <w:rFonts w:hint="eastAsia" w:eastAsia="仿宋_GB2312"/>
                <w:sz w:val="24"/>
              </w:rPr>
              <w:t>003</w:t>
            </w:r>
          </w:p>
        </w:tc>
        <w:tc>
          <w:tcPr>
            <w:tcW w:w="326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037" w:type="dxa"/>
            <w:gridSpan w:val="4"/>
            <w:tcBorders>
              <w:bottom w:val="single" w:color="auto" w:sz="4" w:space="0"/>
            </w:tcBorders>
            <w:vAlign w:val="center"/>
          </w:tcPr>
          <w:p>
            <w:pPr>
              <w:rPr>
                <w:rFonts w:eastAsia="仿宋_GB2312"/>
                <w:sz w:val="24"/>
              </w:rPr>
            </w:pPr>
            <w:r>
              <w:rPr>
                <w:rFonts w:hint="eastAsia" w:eastAsia="仿宋_GB2312"/>
                <w:sz w:val="24"/>
              </w:rPr>
              <w:t>支付生态环评价报告</w:t>
            </w:r>
          </w:p>
        </w:tc>
        <w:tc>
          <w:tcPr>
            <w:tcW w:w="1152" w:type="dxa"/>
            <w:gridSpan w:val="2"/>
            <w:tcBorders>
              <w:bottom w:val="single" w:color="auto" w:sz="4" w:space="0"/>
            </w:tcBorders>
            <w:vAlign w:val="center"/>
          </w:tcPr>
          <w:p>
            <w:pPr>
              <w:jc w:val="center"/>
              <w:rPr>
                <w:rFonts w:eastAsia="仿宋_GB2312"/>
                <w:sz w:val="24"/>
              </w:rPr>
            </w:pPr>
            <w:r>
              <w:rPr>
                <w:rFonts w:hint="eastAsia" w:eastAsia="仿宋_GB2312"/>
                <w:sz w:val="24"/>
              </w:rPr>
              <w:t>4.8</w:t>
            </w:r>
          </w:p>
        </w:tc>
        <w:tc>
          <w:tcPr>
            <w:tcW w:w="2096" w:type="dxa"/>
            <w:gridSpan w:val="5"/>
            <w:tcBorders>
              <w:bottom w:val="single" w:color="auto" w:sz="4" w:space="0"/>
            </w:tcBorders>
            <w:vAlign w:val="center"/>
          </w:tcPr>
          <w:p>
            <w:pPr>
              <w:jc w:val="center"/>
              <w:rPr>
                <w:rFonts w:eastAsia="仿宋_GB2312"/>
                <w:sz w:val="24"/>
              </w:rPr>
            </w:pPr>
            <w:r>
              <w:rPr>
                <w:rFonts w:hint="eastAsia" w:eastAsia="仿宋_GB2312"/>
                <w:sz w:val="24"/>
              </w:rPr>
              <w:t>004</w:t>
            </w:r>
          </w:p>
        </w:tc>
        <w:tc>
          <w:tcPr>
            <w:tcW w:w="326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037" w:type="dxa"/>
            <w:gridSpan w:val="4"/>
            <w:tcBorders>
              <w:bottom w:val="single" w:color="auto" w:sz="4" w:space="0"/>
            </w:tcBorders>
            <w:vAlign w:val="center"/>
          </w:tcPr>
          <w:p>
            <w:pPr>
              <w:rPr>
                <w:rFonts w:eastAsia="仿宋_GB2312"/>
                <w:sz w:val="24"/>
              </w:rPr>
            </w:pPr>
            <w:r>
              <w:rPr>
                <w:rFonts w:hint="eastAsia" w:eastAsia="仿宋_GB2312"/>
                <w:sz w:val="24"/>
              </w:rPr>
              <w:t>付地质灾害危险性评估费</w:t>
            </w:r>
          </w:p>
        </w:tc>
        <w:tc>
          <w:tcPr>
            <w:tcW w:w="1152" w:type="dxa"/>
            <w:gridSpan w:val="2"/>
            <w:tcBorders>
              <w:bottom w:val="single" w:color="auto" w:sz="4" w:space="0"/>
            </w:tcBorders>
            <w:vAlign w:val="center"/>
          </w:tcPr>
          <w:p>
            <w:pPr>
              <w:jc w:val="center"/>
              <w:rPr>
                <w:rFonts w:eastAsia="仿宋_GB2312"/>
                <w:sz w:val="24"/>
              </w:rPr>
            </w:pPr>
            <w:r>
              <w:rPr>
                <w:rFonts w:hint="eastAsia" w:eastAsia="仿宋_GB2312"/>
                <w:sz w:val="24"/>
              </w:rPr>
              <w:t>8</w:t>
            </w:r>
          </w:p>
        </w:tc>
        <w:tc>
          <w:tcPr>
            <w:tcW w:w="2096" w:type="dxa"/>
            <w:gridSpan w:val="5"/>
            <w:tcBorders>
              <w:bottom w:val="single" w:color="auto" w:sz="4" w:space="0"/>
            </w:tcBorders>
            <w:vAlign w:val="center"/>
          </w:tcPr>
          <w:p>
            <w:pPr>
              <w:jc w:val="center"/>
              <w:rPr>
                <w:rFonts w:eastAsia="仿宋_GB2312"/>
                <w:sz w:val="24"/>
              </w:rPr>
            </w:pPr>
            <w:r>
              <w:rPr>
                <w:rFonts w:hint="eastAsia" w:eastAsia="仿宋_GB2312"/>
                <w:sz w:val="24"/>
              </w:rPr>
              <w:t>005</w:t>
            </w:r>
          </w:p>
        </w:tc>
        <w:tc>
          <w:tcPr>
            <w:tcW w:w="326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037" w:type="dxa"/>
            <w:gridSpan w:val="4"/>
            <w:tcBorders>
              <w:bottom w:val="single" w:color="auto" w:sz="4" w:space="0"/>
            </w:tcBorders>
            <w:vAlign w:val="center"/>
          </w:tcPr>
          <w:p>
            <w:pPr>
              <w:jc w:val="center"/>
              <w:rPr>
                <w:rFonts w:eastAsia="仿宋_GB2312"/>
                <w:b/>
                <w:sz w:val="24"/>
              </w:rPr>
            </w:pPr>
            <w:r>
              <w:rPr>
                <w:rFonts w:hint="eastAsia" w:eastAsia="仿宋_GB2312"/>
                <w:sz w:val="24"/>
              </w:rPr>
              <w:t>支出合计</w:t>
            </w:r>
          </w:p>
        </w:tc>
        <w:tc>
          <w:tcPr>
            <w:tcW w:w="1152" w:type="dxa"/>
            <w:gridSpan w:val="2"/>
            <w:tcBorders>
              <w:bottom w:val="single" w:color="auto" w:sz="4" w:space="0"/>
            </w:tcBorders>
            <w:vAlign w:val="center"/>
          </w:tcPr>
          <w:p>
            <w:pPr>
              <w:jc w:val="center"/>
              <w:rPr>
                <w:rFonts w:eastAsia="仿宋_GB2312"/>
                <w:b/>
                <w:sz w:val="24"/>
              </w:rPr>
            </w:pPr>
            <w:r>
              <w:rPr>
                <w:rFonts w:hint="eastAsia" w:eastAsia="仿宋_GB2312"/>
                <w:b/>
                <w:sz w:val="24"/>
              </w:rPr>
              <w:t>53.6万</w:t>
            </w:r>
          </w:p>
        </w:tc>
        <w:tc>
          <w:tcPr>
            <w:tcW w:w="2096" w:type="dxa"/>
            <w:gridSpan w:val="5"/>
            <w:tcBorders>
              <w:bottom w:val="single" w:color="auto" w:sz="4" w:space="0"/>
            </w:tcBorders>
            <w:vAlign w:val="center"/>
          </w:tcPr>
          <w:p>
            <w:pPr>
              <w:jc w:val="center"/>
              <w:rPr>
                <w:rFonts w:eastAsia="仿宋_GB2312"/>
                <w:b/>
                <w:sz w:val="24"/>
              </w:rPr>
            </w:pPr>
          </w:p>
        </w:tc>
        <w:tc>
          <w:tcPr>
            <w:tcW w:w="3262"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jc w:val="center"/>
        </w:trPr>
        <w:tc>
          <w:tcPr>
            <w:tcW w:w="9546" w:type="dxa"/>
            <w:gridSpan w:val="14"/>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1467" w:type="dxa"/>
            <w:vMerge w:val="restart"/>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4817" w:type="dxa"/>
            <w:gridSpan w:val="10"/>
            <w:tcBorders>
              <w:bottom w:val="single" w:color="auto" w:sz="4" w:space="0"/>
            </w:tcBorders>
            <w:vAlign w:val="center"/>
          </w:tcPr>
          <w:p>
            <w:pPr>
              <w:spacing w:line="400" w:lineRule="exact"/>
              <w:jc w:val="center"/>
              <w:rPr>
                <w:rFonts w:eastAsia="仿宋_GB2312"/>
                <w:sz w:val="24"/>
              </w:rPr>
            </w:pPr>
            <w:r>
              <w:rPr>
                <w:rFonts w:hint="eastAsia" w:eastAsia="仿宋_GB2312"/>
                <w:sz w:val="24"/>
              </w:rPr>
              <w:t>预期目标</w:t>
            </w:r>
          </w:p>
        </w:tc>
        <w:tc>
          <w:tcPr>
            <w:tcW w:w="3262" w:type="dxa"/>
            <w:gridSpan w:val="3"/>
            <w:tcBorders>
              <w:bottom w:val="single" w:color="auto" w:sz="4" w:space="0"/>
            </w:tcBorders>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jc w:val="center"/>
        </w:trPr>
        <w:tc>
          <w:tcPr>
            <w:tcW w:w="1467" w:type="dxa"/>
            <w:vMerge w:val="continue"/>
            <w:tcBorders>
              <w:bottom w:val="single" w:color="auto" w:sz="4" w:space="0"/>
            </w:tcBorders>
            <w:vAlign w:val="center"/>
          </w:tcPr>
          <w:p/>
        </w:tc>
        <w:tc>
          <w:tcPr>
            <w:tcW w:w="4817" w:type="dxa"/>
            <w:gridSpan w:val="10"/>
            <w:tcBorders>
              <w:bottom w:val="single" w:color="auto" w:sz="4" w:space="0"/>
            </w:tcBorders>
            <w:vAlign w:val="center"/>
          </w:tcPr>
          <w:p>
            <w:pPr>
              <w:jc w:val="center"/>
              <w:rPr>
                <w:rFonts w:eastAsia="仿宋_GB2312"/>
                <w:b/>
                <w:sz w:val="24"/>
              </w:rPr>
            </w:pPr>
            <w:r>
              <w:rPr>
                <w:rFonts w:hint="eastAsia" w:eastAsia="仿宋_GB2312"/>
                <w:sz w:val="24"/>
              </w:rPr>
              <w:t>办结项目前期要件手续；完成项目招投标，项目开工建设</w:t>
            </w:r>
          </w:p>
        </w:tc>
        <w:tc>
          <w:tcPr>
            <w:tcW w:w="3262" w:type="dxa"/>
            <w:gridSpan w:val="3"/>
            <w:tcBorders>
              <w:bottom w:val="single" w:color="auto" w:sz="4" w:space="0"/>
            </w:tcBorders>
            <w:vAlign w:val="center"/>
          </w:tcPr>
          <w:p>
            <w:pPr>
              <w:spacing w:line="400" w:lineRule="exact"/>
              <w:jc w:val="center"/>
              <w:rPr>
                <w:rFonts w:eastAsia="仿宋_GB2312"/>
                <w:sz w:val="24"/>
              </w:rPr>
            </w:pPr>
            <w:r>
              <w:rPr>
                <w:rFonts w:hint="eastAsia" w:eastAsia="仿宋_GB2312"/>
                <w:sz w:val="24"/>
              </w:rPr>
              <w:t>办结规定要件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exact"/>
          <w:jc w:val="center"/>
        </w:trPr>
        <w:tc>
          <w:tcPr>
            <w:tcW w:w="1467" w:type="dxa"/>
            <w:vMerge w:val="restart"/>
            <w:vAlign w:val="center"/>
          </w:tcPr>
          <w:p>
            <w:pPr>
              <w:jc w:val="center"/>
              <w:rPr>
                <w:rFonts w:eastAsia="仿宋_GB2312"/>
                <w:sz w:val="24"/>
              </w:rPr>
            </w:pPr>
            <w:r>
              <w:rPr>
                <w:rFonts w:hint="eastAsia" w:eastAsia="仿宋_GB2312"/>
                <w:sz w:val="24"/>
              </w:rPr>
              <w:t>项目绩效定量目标（指标）及完成情况</w:t>
            </w:r>
          </w:p>
        </w:tc>
        <w:tc>
          <w:tcPr>
            <w:tcW w:w="1569" w:type="dxa"/>
            <w:gridSpan w:val="3"/>
            <w:vAlign w:val="center"/>
          </w:tcPr>
          <w:p>
            <w:pPr>
              <w:jc w:val="center"/>
              <w:rPr>
                <w:rFonts w:eastAsia="仿宋_GB2312"/>
                <w:sz w:val="24"/>
              </w:rPr>
            </w:pPr>
            <w:r>
              <w:rPr>
                <w:rFonts w:hint="eastAsia" w:eastAsia="仿宋_GB2312"/>
                <w:sz w:val="24"/>
              </w:rPr>
              <w:t>一级指标</w:t>
            </w:r>
          </w:p>
        </w:tc>
        <w:tc>
          <w:tcPr>
            <w:tcW w:w="115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二级指标</w:t>
            </w:r>
          </w:p>
        </w:tc>
        <w:tc>
          <w:tcPr>
            <w:tcW w:w="1255"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指标内容</w:t>
            </w:r>
          </w:p>
        </w:tc>
        <w:tc>
          <w:tcPr>
            <w:tcW w:w="841"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指标（目标）值</w:t>
            </w:r>
          </w:p>
        </w:tc>
        <w:tc>
          <w:tcPr>
            <w:tcW w:w="3262" w:type="dxa"/>
            <w:gridSpan w:val="3"/>
            <w:tcBorders>
              <w:bottom w:val="single" w:color="auto" w:sz="4" w:space="0"/>
            </w:tcBorders>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1467" w:type="dxa"/>
            <w:vMerge w:val="continue"/>
            <w:vAlign w:val="center"/>
          </w:tcPr>
          <w:p/>
        </w:tc>
        <w:tc>
          <w:tcPr>
            <w:tcW w:w="1569" w:type="dxa"/>
            <w:gridSpan w:val="3"/>
            <w:vMerge w:val="restart"/>
            <w:vAlign w:val="center"/>
          </w:tcPr>
          <w:p>
            <w:pPr>
              <w:jc w:val="center"/>
              <w:rPr>
                <w:rFonts w:eastAsia="仿宋_GB2312"/>
                <w:sz w:val="24"/>
              </w:rPr>
            </w:pPr>
            <w:r>
              <w:rPr>
                <w:rFonts w:hint="eastAsia" w:eastAsia="仿宋_GB2312"/>
                <w:sz w:val="24"/>
              </w:rPr>
              <w:t>项目产出指标</w:t>
            </w:r>
          </w:p>
        </w:tc>
        <w:tc>
          <w:tcPr>
            <w:tcW w:w="1152" w:type="dxa"/>
            <w:gridSpan w:val="2"/>
            <w:vMerge w:val="restart"/>
            <w:vAlign w:val="center"/>
          </w:tcPr>
          <w:p>
            <w:pPr>
              <w:spacing w:line="360" w:lineRule="exact"/>
              <w:jc w:val="center"/>
              <w:rPr>
                <w:rFonts w:eastAsia="仿宋_GB2312"/>
                <w:sz w:val="24"/>
              </w:rPr>
            </w:pPr>
            <w:r>
              <w:rPr>
                <w:rFonts w:hint="eastAsia" w:eastAsia="仿宋_GB2312"/>
                <w:sz w:val="24"/>
              </w:rPr>
              <w:t>数量指标</w:t>
            </w:r>
          </w:p>
        </w:tc>
        <w:tc>
          <w:tcPr>
            <w:tcW w:w="1255"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前期要件</w:t>
            </w:r>
          </w:p>
        </w:tc>
        <w:tc>
          <w:tcPr>
            <w:tcW w:w="841" w:type="dxa"/>
            <w:gridSpan w:val="2"/>
            <w:tcBorders>
              <w:bottom w:val="single" w:color="auto" w:sz="4" w:space="0"/>
            </w:tcBorders>
            <w:vAlign w:val="center"/>
          </w:tcPr>
          <w:p>
            <w:pPr>
              <w:jc w:val="center"/>
              <w:rPr>
                <w:rFonts w:eastAsia="仿宋_GB2312"/>
                <w:sz w:val="24"/>
              </w:rPr>
            </w:pPr>
            <w:r>
              <w:rPr>
                <w:rFonts w:hint="eastAsia" w:eastAsia="仿宋_GB2312"/>
                <w:sz w:val="24"/>
              </w:rPr>
              <w:t>100</w:t>
            </w:r>
          </w:p>
        </w:tc>
        <w:tc>
          <w:tcPr>
            <w:tcW w:w="3262"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1467" w:type="dxa"/>
            <w:vMerge w:val="continue"/>
            <w:vAlign w:val="center"/>
          </w:tcPr>
          <w:p/>
        </w:tc>
        <w:tc>
          <w:tcPr>
            <w:tcW w:w="1569" w:type="dxa"/>
            <w:gridSpan w:val="3"/>
            <w:vMerge w:val="continue"/>
            <w:vAlign w:val="center"/>
          </w:tcPr>
          <w:p/>
        </w:tc>
        <w:tc>
          <w:tcPr>
            <w:tcW w:w="1152" w:type="dxa"/>
            <w:gridSpan w:val="2"/>
            <w:vMerge w:val="continue"/>
            <w:vAlign w:val="center"/>
          </w:tcPr>
          <w:p/>
        </w:tc>
        <w:tc>
          <w:tcPr>
            <w:tcW w:w="1255" w:type="dxa"/>
            <w:gridSpan w:val="3"/>
            <w:tcBorders>
              <w:bottom w:val="single" w:color="auto" w:sz="4" w:space="0"/>
            </w:tcBorders>
            <w:vAlign w:val="center"/>
          </w:tcPr>
          <w:p>
            <w:pPr>
              <w:spacing w:line="360" w:lineRule="exact"/>
              <w:jc w:val="center"/>
              <w:rPr>
                <w:rFonts w:eastAsia="仿宋_GB2312"/>
                <w:sz w:val="24"/>
              </w:rPr>
            </w:pPr>
          </w:p>
        </w:tc>
        <w:tc>
          <w:tcPr>
            <w:tcW w:w="841" w:type="dxa"/>
            <w:gridSpan w:val="2"/>
            <w:tcBorders>
              <w:bottom w:val="single" w:color="auto" w:sz="4" w:space="0"/>
            </w:tcBorders>
            <w:vAlign w:val="center"/>
          </w:tcPr>
          <w:p>
            <w:pPr>
              <w:jc w:val="center"/>
              <w:rPr>
                <w:rFonts w:eastAsia="仿宋_GB2312"/>
                <w:sz w:val="24"/>
              </w:rPr>
            </w:pPr>
          </w:p>
        </w:tc>
        <w:tc>
          <w:tcPr>
            <w:tcW w:w="326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1467" w:type="dxa"/>
            <w:vMerge w:val="continue"/>
            <w:vAlign w:val="center"/>
          </w:tcPr>
          <w:p/>
        </w:tc>
        <w:tc>
          <w:tcPr>
            <w:tcW w:w="1569" w:type="dxa"/>
            <w:gridSpan w:val="3"/>
            <w:vMerge w:val="continue"/>
            <w:vAlign w:val="center"/>
          </w:tcPr>
          <w:p/>
        </w:tc>
        <w:tc>
          <w:tcPr>
            <w:tcW w:w="1152" w:type="dxa"/>
            <w:gridSpan w:val="2"/>
            <w:vMerge w:val="restart"/>
            <w:vAlign w:val="center"/>
          </w:tcPr>
          <w:p>
            <w:pPr>
              <w:spacing w:line="360" w:lineRule="exact"/>
              <w:jc w:val="center"/>
              <w:rPr>
                <w:rFonts w:eastAsia="仿宋_GB2312"/>
                <w:sz w:val="24"/>
              </w:rPr>
            </w:pPr>
            <w:r>
              <w:rPr>
                <w:rFonts w:hint="eastAsia" w:eastAsia="仿宋_GB2312"/>
                <w:sz w:val="24"/>
              </w:rPr>
              <w:t>质量指标</w:t>
            </w:r>
          </w:p>
        </w:tc>
        <w:tc>
          <w:tcPr>
            <w:tcW w:w="1255"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前期要件</w:t>
            </w:r>
          </w:p>
        </w:tc>
        <w:tc>
          <w:tcPr>
            <w:tcW w:w="841" w:type="dxa"/>
            <w:gridSpan w:val="2"/>
            <w:tcBorders>
              <w:bottom w:val="single" w:color="auto" w:sz="4" w:space="0"/>
            </w:tcBorders>
            <w:vAlign w:val="center"/>
          </w:tcPr>
          <w:p>
            <w:pPr>
              <w:jc w:val="center"/>
              <w:rPr>
                <w:rFonts w:eastAsia="仿宋_GB2312"/>
                <w:sz w:val="24"/>
              </w:rPr>
            </w:pPr>
            <w:r>
              <w:rPr>
                <w:rFonts w:hint="eastAsia" w:eastAsia="仿宋_GB2312"/>
                <w:sz w:val="24"/>
              </w:rPr>
              <w:t>100</w:t>
            </w:r>
          </w:p>
        </w:tc>
        <w:tc>
          <w:tcPr>
            <w:tcW w:w="3262"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1467" w:type="dxa"/>
            <w:vMerge w:val="continue"/>
            <w:vAlign w:val="center"/>
          </w:tcPr>
          <w:p/>
        </w:tc>
        <w:tc>
          <w:tcPr>
            <w:tcW w:w="1569" w:type="dxa"/>
            <w:gridSpan w:val="3"/>
            <w:vMerge w:val="continue"/>
            <w:vAlign w:val="center"/>
          </w:tcPr>
          <w:p/>
        </w:tc>
        <w:tc>
          <w:tcPr>
            <w:tcW w:w="1152" w:type="dxa"/>
            <w:gridSpan w:val="2"/>
            <w:vMerge w:val="continue"/>
            <w:vAlign w:val="center"/>
          </w:tcPr>
          <w:p/>
        </w:tc>
        <w:tc>
          <w:tcPr>
            <w:tcW w:w="1255" w:type="dxa"/>
            <w:gridSpan w:val="3"/>
            <w:tcBorders>
              <w:bottom w:val="single" w:color="auto" w:sz="4" w:space="0"/>
            </w:tcBorders>
            <w:vAlign w:val="center"/>
          </w:tcPr>
          <w:p>
            <w:pPr>
              <w:spacing w:line="360" w:lineRule="exact"/>
              <w:jc w:val="center"/>
              <w:rPr>
                <w:rFonts w:eastAsia="仿宋_GB2312"/>
                <w:sz w:val="24"/>
              </w:rPr>
            </w:pPr>
          </w:p>
        </w:tc>
        <w:tc>
          <w:tcPr>
            <w:tcW w:w="841" w:type="dxa"/>
            <w:gridSpan w:val="2"/>
            <w:tcBorders>
              <w:bottom w:val="single" w:color="auto" w:sz="4" w:space="0"/>
            </w:tcBorders>
            <w:vAlign w:val="center"/>
          </w:tcPr>
          <w:p>
            <w:pPr>
              <w:jc w:val="center"/>
              <w:rPr>
                <w:rFonts w:eastAsia="仿宋_GB2312"/>
                <w:sz w:val="24"/>
              </w:rPr>
            </w:pPr>
          </w:p>
        </w:tc>
        <w:tc>
          <w:tcPr>
            <w:tcW w:w="326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1467" w:type="dxa"/>
            <w:vMerge w:val="continue"/>
            <w:vAlign w:val="center"/>
          </w:tcPr>
          <w:p/>
        </w:tc>
        <w:tc>
          <w:tcPr>
            <w:tcW w:w="1569" w:type="dxa"/>
            <w:gridSpan w:val="3"/>
            <w:vMerge w:val="continue"/>
            <w:vAlign w:val="center"/>
          </w:tcPr>
          <w:p/>
        </w:tc>
        <w:tc>
          <w:tcPr>
            <w:tcW w:w="1152" w:type="dxa"/>
            <w:gridSpan w:val="2"/>
            <w:vMerge w:val="restart"/>
            <w:vAlign w:val="center"/>
          </w:tcPr>
          <w:p>
            <w:pPr>
              <w:spacing w:line="360" w:lineRule="exact"/>
              <w:jc w:val="center"/>
              <w:rPr>
                <w:rFonts w:eastAsia="仿宋_GB2312"/>
                <w:sz w:val="24"/>
              </w:rPr>
            </w:pPr>
            <w:r>
              <w:rPr>
                <w:rFonts w:hint="eastAsia" w:eastAsia="仿宋_GB2312"/>
                <w:sz w:val="24"/>
              </w:rPr>
              <w:t>时效指标</w:t>
            </w:r>
          </w:p>
        </w:tc>
        <w:tc>
          <w:tcPr>
            <w:tcW w:w="1255"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前期要件</w:t>
            </w:r>
          </w:p>
        </w:tc>
        <w:tc>
          <w:tcPr>
            <w:tcW w:w="841" w:type="dxa"/>
            <w:gridSpan w:val="2"/>
            <w:tcBorders>
              <w:bottom w:val="single" w:color="auto" w:sz="4" w:space="0"/>
            </w:tcBorders>
            <w:vAlign w:val="center"/>
          </w:tcPr>
          <w:p>
            <w:pPr>
              <w:jc w:val="center"/>
              <w:rPr>
                <w:rFonts w:eastAsia="仿宋_GB2312"/>
                <w:sz w:val="24"/>
              </w:rPr>
            </w:pPr>
            <w:r>
              <w:rPr>
                <w:rFonts w:hint="eastAsia" w:eastAsia="仿宋_GB2312"/>
                <w:sz w:val="24"/>
              </w:rPr>
              <w:t>100</w:t>
            </w:r>
          </w:p>
        </w:tc>
        <w:tc>
          <w:tcPr>
            <w:tcW w:w="3262" w:type="dxa"/>
            <w:gridSpan w:val="3"/>
            <w:tcBorders>
              <w:bottom w:val="single" w:color="auto" w:sz="4" w:space="0"/>
            </w:tcBorders>
            <w:vAlign w:val="center"/>
          </w:tcPr>
          <w:p>
            <w:pPr>
              <w:jc w:val="center"/>
              <w:rPr>
                <w:rFonts w:eastAsia="仿宋_GB2312"/>
                <w:sz w:val="24"/>
              </w:rPr>
            </w:pPr>
            <w:r>
              <w:rPr>
                <w:rFonts w:hint="eastAsia" w:eastAsia="仿宋_GB2312"/>
                <w:sz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1467" w:type="dxa"/>
            <w:vMerge w:val="continue"/>
            <w:vAlign w:val="center"/>
          </w:tcPr>
          <w:p/>
        </w:tc>
        <w:tc>
          <w:tcPr>
            <w:tcW w:w="1569" w:type="dxa"/>
            <w:gridSpan w:val="3"/>
            <w:vMerge w:val="continue"/>
            <w:vAlign w:val="center"/>
          </w:tcPr>
          <w:p/>
        </w:tc>
        <w:tc>
          <w:tcPr>
            <w:tcW w:w="1152" w:type="dxa"/>
            <w:gridSpan w:val="2"/>
            <w:vMerge w:val="continue"/>
            <w:vAlign w:val="center"/>
          </w:tcPr>
          <w:p/>
        </w:tc>
        <w:tc>
          <w:tcPr>
            <w:tcW w:w="1255" w:type="dxa"/>
            <w:gridSpan w:val="3"/>
            <w:tcBorders>
              <w:bottom w:val="single" w:color="auto" w:sz="4" w:space="0"/>
            </w:tcBorders>
            <w:vAlign w:val="center"/>
          </w:tcPr>
          <w:p>
            <w:pPr>
              <w:spacing w:line="360" w:lineRule="exact"/>
              <w:jc w:val="center"/>
              <w:rPr>
                <w:rFonts w:eastAsia="仿宋_GB2312"/>
                <w:sz w:val="24"/>
              </w:rPr>
            </w:pPr>
          </w:p>
        </w:tc>
        <w:tc>
          <w:tcPr>
            <w:tcW w:w="841" w:type="dxa"/>
            <w:gridSpan w:val="2"/>
            <w:tcBorders>
              <w:bottom w:val="single" w:color="auto" w:sz="4" w:space="0"/>
            </w:tcBorders>
            <w:vAlign w:val="center"/>
          </w:tcPr>
          <w:p>
            <w:pPr>
              <w:jc w:val="center"/>
              <w:rPr>
                <w:rFonts w:eastAsia="仿宋_GB2312"/>
                <w:sz w:val="24"/>
              </w:rPr>
            </w:pPr>
          </w:p>
        </w:tc>
        <w:tc>
          <w:tcPr>
            <w:tcW w:w="326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exact"/>
          <w:jc w:val="center"/>
        </w:trPr>
        <w:tc>
          <w:tcPr>
            <w:tcW w:w="1467" w:type="dxa"/>
            <w:vMerge w:val="continue"/>
            <w:vAlign w:val="center"/>
          </w:tcPr>
          <w:p/>
        </w:tc>
        <w:tc>
          <w:tcPr>
            <w:tcW w:w="1569" w:type="dxa"/>
            <w:gridSpan w:val="3"/>
            <w:vMerge w:val="continue"/>
            <w:vAlign w:val="center"/>
          </w:tcPr>
          <w:p/>
        </w:tc>
        <w:tc>
          <w:tcPr>
            <w:tcW w:w="1152" w:type="dxa"/>
            <w:gridSpan w:val="2"/>
            <w:vMerge w:val="restart"/>
            <w:vAlign w:val="center"/>
          </w:tcPr>
          <w:p>
            <w:pPr>
              <w:spacing w:line="360" w:lineRule="exact"/>
              <w:jc w:val="center"/>
              <w:rPr>
                <w:rFonts w:eastAsia="仿宋_GB2312"/>
                <w:sz w:val="24"/>
              </w:rPr>
            </w:pPr>
            <w:r>
              <w:rPr>
                <w:rFonts w:hint="eastAsia" w:eastAsia="仿宋_GB2312"/>
                <w:sz w:val="24"/>
              </w:rPr>
              <w:t>成本指标</w:t>
            </w:r>
          </w:p>
        </w:tc>
        <w:tc>
          <w:tcPr>
            <w:tcW w:w="1255"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扶贫资金统筹资金</w:t>
            </w:r>
          </w:p>
        </w:tc>
        <w:tc>
          <w:tcPr>
            <w:tcW w:w="841" w:type="dxa"/>
            <w:gridSpan w:val="2"/>
            <w:tcBorders>
              <w:bottom w:val="single" w:color="auto" w:sz="4" w:space="0"/>
            </w:tcBorders>
            <w:vAlign w:val="center"/>
          </w:tcPr>
          <w:p>
            <w:pPr>
              <w:jc w:val="center"/>
              <w:rPr>
                <w:rFonts w:eastAsia="仿宋_GB2312"/>
                <w:sz w:val="24"/>
              </w:rPr>
            </w:pPr>
            <w:r>
              <w:rPr>
                <w:rFonts w:hint="eastAsia" w:eastAsia="仿宋_GB2312"/>
                <w:sz w:val="24"/>
              </w:rPr>
              <w:t>200</w:t>
            </w:r>
          </w:p>
        </w:tc>
        <w:tc>
          <w:tcPr>
            <w:tcW w:w="3262" w:type="dxa"/>
            <w:gridSpan w:val="3"/>
            <w:tcBorders>
              <w:bottom w:val="single" w:color="auto" w:sz="4" w:space="0"/>
            </w:tcBorders>
            <w:vAlign w:val="center"/>
          </w:tcPr>
          <w:p>
            <w:pPr>
              <w:jc w:val="center"/>
              <w:rPr>
                <w:rFonts w:eastAsia="仿宋_GB2312"/>
                <w:sz w:val="24"/>
              </w:rPr>
            </w:pPr>
            <w:r>
              <w:rPr>
                <w:rFonts w:hint="eastAsia" w:eastAsia="仿宋_GB2312"/>
                <w:sz w:val="24"/>
              </w:rPr>
              <w:t>26.8%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1467" w:type="dxa"/>
            <w:vMerge w:val="continue"/>
            <w:vAlign w:val="center"/>
          </w:tcPr>
          <w:p/>
        </w:tc>
        <w:tc>
          <w:tcPr>
            <w:tcW w:w="1569" w:type="dxa"/>
            <w:gridSpan w:val="3"/>
            <w:vMerge w:val="continue"/>
            <w:vAlign w:val="center"/>
          </w:tcPr>
          <w:p/>
        </w:tc>
        <w:tc>
          <w:tcPr>
            <w:tcW w:w="1152" w:type="dxa"/>
            <w:gridSpan w:val="2"/>
            <w:vMerge w:val="continue"/>
            <w:vAlign w:val="center"/>
          </w:tcPr>
          <w:p/>
        </w:tc>
        <w:tc>
          <w:tcPr>
            <w:tcW w:w="1255"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预算调整</w:t>
            </w:r>
          </w:p>
        </w:tc>
        <w:tc>
          <w:tcPr>
            <w:tcW w:w="841" w:type="dxa"/>
            <w:gridSpan w:val="2"/>
            <w:tcBorders>
              <w:bottom w:val="single" w:color="auto" w:sz="4" w:space="0"/>
            </w:tcBorders>
            <w:vAlign w:val="center"/>
          </w:tcPr>
          <w:p>
            <w:pPr>
              <w:jc w:val="center"/>
              <w:rPr>
                <w:rFonts w:eastAsia="仿宋_GB2312"/>
                <w:sz w:val="24"/>
              </w:rPr>
            </w:pPr>
            <w:r>
              <w:rPr>
                <w:rFonts w:hint="eastAsia" w:eastAsia="仿宋_GB2312"/>
                <w:sz w:val="24"/>
              </w:rPr>
              <w:t>270</w:t>
            </w:r>
          </w:p>
        </w:tc>
        <w:tc>
          <w:tcPr>
            <w:tcW w:w="3262" w:type="dxa"/>
            <w:gridSpan w:val="3"/>
            <w:tcBorders>
              <w:bottom w:val="single" w:color="auto" w:sz="4" w:space="0"/>
            </w:tcBorders>
            <w:vAlign w:val="center"/>
          </w:tcPr>
          <w:p>
            <w:pPr>
              <w:jc w:val="center"/>
              <w:rPr>
                <w:rFonts w:eastAsia="仿宋_GB2312"/>
                <w:sz w:val="24"/>
              </w:rPr>
            </w:pPr>
            <w:r>
              <w:rPr>
                <w:rFonts w:hint="eastAsia" w:eastAsia="仿宋_GB2312"/>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1467" w:type="dxa"/>
            <w:vMerge w:val="continue"/>
            <w:vAlign w:val="center"/>
          </w:tcPr>
          <w:p/>
        </w:tc>
        <w:tc>
          <w:tcPr>
            <w:tcW w:w="1569" w:type="dxa"/>
            <w:gridSpan w:val="3"/>
            <w:vMerge w:val="restart"/>
            <w:vAlign w:val="center"/>
          </w:tcPr>
          <w:p>
            <w:pPr>
              <w:jc w:val="center"/>
              <w:rPr>
                <w:rFonts w:eastAsia="仿宋_GB2312"/>
                <w:sz w:val="24"/>
              </w:rPr>
            </w:pPr>
            <w:r>
              <w:rPr>
                <w:rFonts w:hint="eastAsia" w:eastAsia="仿宋_GB2312"/>
                <w:sz w:val="24"/>
              </w:rPr>
              <w:t>项目效益指标</w:t>
            </w:r>
          </w:p>
        </w:tc>
        <w:tc>
          <w:tcPr>
            <w:tcW w:w="1152" w:type="dxa"/>
            <w:gridSpan w:val="2"/>
            <w:vMerge w:val="restart"/>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55"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投入使用</w:t>
            </w:r>
          </w:p>
        </w:tc>
        <w:tc>
          <w:tcPr>
            <w:tcW w:w="841" w:type="dxa"/>
            <w:gridSpan w:val="2"/>
            <w:tcBorders>
              <w:bottom w:val="single" w:color="auto" w:sz="4" w:space="0"/>
            </w:tcBorders>
            <w:vAlign w:val="center"/>
          </w:tcPr>
          <w:p>
            <w:pPr>
              <w:jc w:val="center"/>
              <w:rPr>
                <w:rFonts w:eastAsia="仿宋_GB2312"/>
                <w:sz w:val="24"/>
              </w:rPr>
            </w:pPr>
          </w:p>
        </w:tc>
        <w:tc>
          <w:tcPr>
            <w:tcW w:w="3262" w:type="dxa"/>
            <w:gridSpan w:val="3"/>
            <w:tcBorders>
              <w:bottom w:val="single" w:color="auto" w:sz="4" w:space="0"/>
            </w:tcBorders>
            <w:vAlign w:val="center"/>
          </w:tcPr>
          <w:p>
            <w:pPr>
              <w:jc w:val="center"/>
              <w:rPr>
                <w:rFonts w:eastAsia="仿宋_GB2312"/>
                <w:sz w:val="24"/>
              </w:rPr>
            </w:pPr>
            <w:r>
              <w:rPr>
                <w:rFonts w:hint="eastAsia" w:eastAsia="仿宋_GB2312"/>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1467" w:type="dxa"/>
            <w:vMerge w:val="continue"/>
            <w:vAlign w:val="center"/>
          </w:tcPr>
          <w:p/>
        </w:tc>
        <w:tc>
          <w:tcPr>
            <w:tcW w:w="1569" w:type="dxa"/>
            <w:gridSpan w:val="3"/>
            <w:vMerge w:val="continue"/>
            <w:vAlign w:val="center"/>
          </w:tcPr>
          <w:p/>
        </w:tc>
        <w:tc>
          <w:tcPr>
            <w:tcW w:w="1152" w:type="dxa"/>
            <w:gridSpan w:val="2"/>
            <w:vMerge w:val="continue"/>
            <w:vAlign w:val="center"/>
          </w:tcPr>
          <w:p/>
        </w:tc>
        <w:tc>
          <w:tcPr>
            <w:tcW w:w="1255" w:type="dxa"/>
            <w:gridSpan w:val="3"/>
            <w:tcBorders>
              <w:bottom w:val="single" w:color="auto" w:sz="4" w:space="0"/>
            </w:tcBorders>
            <w:vAlign w:val="center"/>
          </w:tcPr>
          <w:p>
            <w:pPr>
              <w:spacing w:line="360" w:lineRule="exact"/>
              <w:jc w:val="center"/>
              <w:rPr>
                <w:rFonts w:eastAsia="仿宋_GB2312"/>
                <w:sz w:val="24"/>
              </w:rPr>
            </w:pPr>
          </w:p>
        </w:tc>
        <w:tc>
          <w:tcPr>
            <w:tcW w:w="841" w:type="dxa"/>
            <w:gridSpan w:val="2"/>
            <w:tcBorders>
              <w:bottom w:val="single" w:color="auto" w:sz="4" w:space="0"/>
            </w:tcBorders>
            <w:vAlign w:val="center"/>
          </w:tcPr>
          <w:p>
            <w:pPr>
              <w:jc w:val="center"/>
              <w:rPr>
                <w:rFonts w:eastAsia="仿宋_GB2312"/>
                <w:sz w:val="24"/>
              </w:rPr>
            </w:pPr>
          </w:p>
        </w:tc>
        <w:tc>
          <w:tcPr>
            <w:tcW w:w="326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jc w:val="center"/>
        </w:trPr>
        <w:tc>
          <w:tcPr>
            <w:tcW w:w="1467" w:type="dxa"/>
            <w:vMerge w:val="continue"/>
            <w:vAlign w:val="center"/>
          </w:tcPr>
          <w:p/>
        </w:tc>
        <w:tc>
          <w:tcPr>
            <w:tcW w:w="1569" w:type="dxa"/>
            <w:gridSpan w:val="3"/>
            <w:vMerge w:val="continue"/>
            <w:vAlign w:val="center"/>
          </w:tcPr>
          <w:p/>
        </w:tc>
        <w:tc>
          <w:tcPr>
            <w:tcW w:w="1152" w:type="dxa"/>
            <w:gridSpan w:val="2"/>
            <w:vMerge w:val="restart"/>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55"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提供旅游服务水平</w:t>
            </w:r>
          </w:p>
        </w:tc>
        <w:tc>
          <w:tcPr>
            <w:tcW w:w="841" w:type="dxa"/>
            <w:gridSpan w:val="2"/>
            <w:tcBorders>
              <w:bottom w:val="single" w:color="auto" w:sz="4" w:space="0"/>
            </w:tcBorders>
            <w:vAlign w:val="center"/>
          </w:tcPr>
          <w:p>
            <w:pPr>
              <w:jc w:val="center"/>
              <w:rPr>
                <w:rFonts w:eastAsia="仿宋_GB2312"/>
                <w:sz w:val="24"/>
              </w:rPr>
            </w:pPr>
          </w:p>
        </w:tc>
        <w:tc>
          <w:tcPr>
            <w:tcW w:w="3262" w:type="dxa"/>
            <w:gridSpan w:val="3"/>
            <w:tcBorders>
              <w:bottom w:val="single" w:color="auto" w:sz="4" w:space="0"/>
            </w:tcBorders>
            <w:vAlign w:val="center"/>
          </w:tcPr>
          <w:p>
            <w:pPr>
              <w:jc w:val="center"/>
              <w:rPr>
                <w:rFonts w:eastAsia="仿宋_GB2312"/>
                <w:sz w:val="24"/>
              </w:rPr>
            </w:pPr>
            <w:r>
              <w:rPr>
                <w:rFonts w:hint="eastAsia" w:eastAsia="仿宋_GB2312"/>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1467" w:type="dxa"/>
            <w:vMerge w:val="continue"/>
            <w:vAlign w:val="center"/>
          </w:tcPr>
          <w:p/>
        </w:tc>
        <w:tc>
          <w:tcPr>
            <w:tcW w:w="1569" w:type="dxa"/>
            <w:gridSpan w:val="3"/>
            <w:vMerge w:val="continue"/>
            <w:vAlign w:val="center"/>
          </w:tcPr>
          <w:p/>
        </w:tc>
        <w:tc>
          <w:tcPr>
            <w:tcW w:w="1152" w:type="dxa"/>
            <w:gridSpan w:val="2"/>
            <w:vMerge w:val="continue"/>
            <w:vAlign w:val="center"/>
          </w:tcPr>
          <w:p/>
        </w:tc>
        <w:tc>
          <w:tcPr>
            <w:tcW w:w="1255" w:type="dxa"/>
            <w:gridSpan w:val="3"/>
            <w:tcBorders>
              <w:bottom w:val="single" w:color="auto" w:sz="4" w:space="0"/>
            </w:tcBorders>
            <w:vAlign w:val="center"/>
          </w:tcPr>
          <w:p>
            <w:pPr>
              <w:spacing w:line="360" w:lineRule="exact"/>
              <w:jc w:val="center"/>
              <w:rPr>
                <w:rFonts w:eastAsia="仿宋_GB2312"/>
                <w:sz w:val="24"/>
              </w:rPr>
            </w:pPr>
          </w:p>
        </w:tc>
        <w:tc>
          <w:tcPr>
            <w:tcW w:w="841" w:type="dxa"/>
            <w:gridSpan w:val="2"/>
            <w:tcBorders>
              <w:bottom w:val="single" w:color="auto" w:sz="4" w:space="0"/>
            </w:tcBorders>
            <w:vAlign w:val="center"/>
          </w:tcPr>
          <w:p>
            <w:pPr>
              <w:jc w:val="center"/>
              <w:rPr>
                <w:rFonts w:eastAsia="仿宋_GB2312"/>
                <w:sz w:val="24"/>
              </w:rPr>
            </w:pPr>
          </w:p>
        </w:tc>
        <w:tc>
          <w:tcPr>
            <w:tcW w:w="326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1467" w:type="dxa"/>
            <w:vMerge w:val="continue"/>
            <w:vAlign w:val="center"/>
          </w:tcPr>
          <w:p/>
        </w:tc>
        <w:tc>
          <w:tcPr>
            <w:tcW w:w="1569" w:type="dxa"/>
            <w:gridSpan w:val="3"/>
            <w:vMerge w:val="continue"/>
            <w:vAlign w:val="center"/>
          </w:tcPr>
          <w:p/>
        </w:tc>
        <w:tc>
          <w:tcPr>
            <w:tcW w:w="1152" w:type="dxa"/>
            <w:gridSpan w:val="2"/>
            <w:vMerge w:val="restart"/>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55"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生态环保</w:t>
            </w:r>
          </w:p>
        </w:tc>
        <w:tc>
          <w:tcPr>
            <w:tcW w:w="841" w:type="dxa"/>
            <w:gridSpan w:val="2"/>
            <w:tcBorders>
              <w:bottom w:val="single" w:color="auto" w:sz="4" w:space="0"/>
            </w:tcBorders>
            <w:vAlign w:val="center"/>
          </w:tcPr>
          <w:p>
            <w:pPr>
              <w:jc w:val="center"/>
              <w:rPr>
                <w:rFonts w:eastAsia="仿宋_GB2312"/>
                <w:sz w:val="24"/>
              </w:rPr>
            </w:pPr>
          </w:p>
        </w:tc>
        <w:tc>
          <w:tcPr>
            <w:tcW w:w="3262" w:type="dxa"/>
            <w:gridSpan w:val="3"/>
            <w:tcBorders>
              <w:bottom w:val="single" w:color="auto" w:sz="4" w:space="0"/>
            </w:tcBorders>
            <w:vAlign w:val="center"/>
          </w:tcPr>
          <w:p>
            <w:pPr>
              <w:jc w:val="center"/>
              <w:rPr>
                <w:rFonts w:eastAsia="仿宋_GB2312"/>
                <w:sz w:val="24"/>
              </w:rPr>
            </w:pPr>
            <w:r>
              <w:rPr>
                <w:rFonts w:hint="eastAsia" w:eastAsia="仿宋_GB2312"/>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1467" w:type="dxa"/>
            <w:vMerge w:val="continue"/>
            <w:vAlign w:val="center"/>
          </w:tcPr>
          <w:p/>
        </w:tc>
        <w:tc>
          <w:tcPr>
            <w:tcW w:w="1569" w:type="dxa"/>
            <w:gridSpan w:val="3"/>
            <w:vMerge w:val="continue"/>
            <w:vAlign w:val="center"/>
          </w:tcPr>
          <w:p/>
        </w:tc>
        <w:tc>
          <w:tcPr>
            <w:tcW w:w="1152" w:type="dxa"/>
            <w:gridSpan w:val="2"/>
            <w:vMerge w:val="continue"/>
            <w:vAlign w:val="center"/>
          </w:tcPr>
          <w:p/>
        </w:tc>
        <w:tc>
          <w:tcPr>
            <w:tcW w:w="1255" w:type="dxa"/>
            <w:gridSpan w:val="3"/>
            <w:tcBorders>
              <w:bottom w:val="single" w:color="auto" w:sz="4" w:space="0"/>
            </w:tcBorders>
            <w:vAlign w:val="center"/>
          </w:tcPr>
          <w:p>
            <w:pPr>
              <w:spacing w:line="360" w:lineRule="exact"/>
              <w:jc w:val="center"/>
              <w:rPr>
                <w:rFonts w:eastAsia="仿宋_GB2312"/>
                <w:sz w:val="24"/>
              </w:rPr>
            </w:pPr>
          </w:p>
        </w:tc>
        <w:tc>
          <w:tcPr>
            <w:tcW w:w="841" w:type="dxa"/>
            <w:gridSpan w:val="2"/>
            <w:tcBorders>
              <w:bottom w:val="single" w:color="auto" w:sz="4" w:space="0"/>
            </w:tcBorders>
            <w:vAlign w:val="center"/>
          </w:tcPr>
          <w:p>
            <w:pPr>
              <w:jc w:val="center"/>
              <w:rPr>
                <w:rFonts w:eastAsia="仿宋_GB2312"/>
                <w:sz w:val="24"/>
              </w:rPr>
            </w:pPr>
          </w:p>
        </w:tc>
        <w:tc>
          <w:tcPr>
            <w:tcW w:w="326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exact"/>
          <w:jc w:val="center"/>
        </w:trPr>
        <w:tc>
          <w:tcPr>
            <w:tcW w:w="1467" w:type="dxa"/>
            <w:vMerge w:val="continue"/>
            <w:vAlign w:val="center"/>
          </w:tcPr>
          <w:p/>
        </w:tc>
        <w:tc>
          <w:tcPr>
            <w:tcW w:w="1569" w:type="dxa"/>
            <w:gridSpan w:val="3"/>
            <w:vMerge w:val="continue"/>
            <w:vAlign w:val="center"/>
          </w:tcPr>
          <w:p/>
        </w:tc>
        <w:tc>
          <w:tcPr>
            <w:tcW w:w="1152" w:type="dxa"/>
            <w:gridSpan w:val="2"/>
            <w:vMerge w:val="restart"/>
            <w:vAlign w:val="center"/>
          </w:tcPr>
          <w:p>
            <w:pPr>
              <w:spacing w:line="360" w:lineRule="exact"/>
              <w:jc w:val="center"/>
              <w:rPr>
                <w:rFonts w:eastAsia="仿宋_GB2312"/>
                <w:sz w:val="24"/>
              </w:rPr>
            </w:pPr>
            <w:r>
              <w:rPr>
                <w:rFonts w:hint="eastAsia" w:eastAsia="仿宋_GB2312"/>
                <w:sz w:val="24"/>
              </w:rPr>
              <w:t>服务对象满意度指标</w:t>
            </w:r>
          </w:p>
        </w:tc>
        <w:tc>
          <w:tcPr>
            <w:tcW w:w="1255"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游客和群众满意度</w:t>
            </w:r>
          </w:p>
        </w:tc>
        <w:tc>
          <w:tcPr>
            <w:tcW w:w="841" w:type="dxa"/>
            <w:gridSpan w:val="2"/>
            <w:tcBorders>
              <w:bottom w:val="single" w:color="auto" w:sz="4" w:space="0"/>
            </w:tcBorders>
            <w:vAlign w:val="center"/>
          </w:tcPr>
          <w:p>
            <w:pPr>
              <w:jc w:val="center"/>
              <w:rPr>
                <w:rFonts w:eastAsia="仿宋_GB2312"/>
                <w:sz w:val="24"/>
              </w:rPr>
            </w:pPr>
          </w:p>
        </w:tc>
        <w:tc>
          <w:tcPr>
            <w:tcW w:w="3262" w:type="dxa"/>
            <w:gridSpan w:val="3"/>
            <w:tcBorders>
              <w:bottom w:val="single" w:color="auto" w:sz="4" w:space="0"/>
            </w:tcBorders>
            <w:vAlign w:val="center"/>
          </w:tcPr>
          <w:p>
            <w:pPr>
              <w:jc w:val="center"/>
              <w:rPr>
                <w:rFonts w:eastAsia="仿宋_GB2312"/>
                <w:sz w:val="24"/>
              </w:rPr>
            </w:pPr>
            <w:r>
              <w:rPr>
                <w:rFonts w:hint="eastAsia" w:eastAsia="仿宋_GB2312"/>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1467" w:type="dxa"/>
            <w:vMerge w:val="continue"/>
            <w:vAlign w:val="center"/>
          </w:tcPr>
          <w:p/>
        </w:tc>
        <w:tc>
          <w:tcPr>
            <w:tcW w:w="1569" w:type="dxa"/>
            <w:gridSpan w:val="3"/>
            <w:vMerge w:val="continue"/>
            <w:vAlign w:val="center"/>
          </w:tcPr>
          <w:p/>
        </w:tc>
        <w:tc>
          <w:tcPr>
            <w:tcW w:w="1152" w:type="dxa"/>
            <w:gridSpan w:val="2"/>
            <w:vMerge w:val="continue"/>
            <w:vAlign w:val="center"/>
          </w:tcPr>
          <w:p/>
        </w:tc>
        <w:tc>
          <w:tcPr>
            <w:tcW w:w="1255" w:type="dxa"/>
            <w:gridSpan w:val="3"/>
            <w:tcBorders>
              <w:bottom w:val="single" w:color="auto" w:sz="4" w:space="0"/>
            </w:tcBorders>
            <w:vAlign w:val="center"/>
          </w:tcPr>
          <w:p>
            <w:pPr>
              <w:spacing w:line="360" w:lineRule="exact"/>
              <w:jc w:val="center"/>
              <w:rPr>
                <w:rFonts w:eastAsia="仿宋_GB2312"/>
                <w:sz w:val="24"/>
              </w:rPr>
            </w:pPr>
          </w:p>
        </w:tc>
        <w:tc>
          <w:tcPr>
            <w:tcW w:w="841" w:type="dxa"/>
            <w:gridSpan w:val="2"/>
            <w:tcBorders>
              <w:bottom w:val="single" w:color="auto" w:sz="4" w:space="0"/>
            </w:tcBorders>
            <w:vAlign w:val="center"/>
          </w:tcPr>
          <w:p>
            <w:pPr>
              <w:jc w:val="center"/>
              <w:rPr>
                <w:rFonts w:eastAsia="仿宋_GB2312"/>
                <w:sz w:val="24"/>
              </w:rPr>
            </w:pPr>
          </w:p>
        </w:tc>
        <w:tc>
          <w:tcPr>
            <w:tcW w:w="3262"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3037" w:type="dxa"/>
            <w:gridSpan w:val="4"/>
            <w:tcBorders>
              <w:bottom w:val="single" w:color="auto" w:sz="4" w:space="0"/>
            </w:tcBorders>
            <w:vAlign w:val="center"/>
          </w:tcPr>
          <w:p>
            <w:pPr>
              <w:jc w:val="center"/>
              <w:rPr>
                <w:rFonts w:eastAsia="仿宋_GB2312"/>
                <w:sz w:val="24"/>
              </w:rPr>
            </w:pPr>
            <w:r>
              <w:rPr>
                <w:rFonts w:hint="eastAsia" w:eastAsia="仿宋_GB2312"/>
                <w:bCs/>
                <w:sz w:val="24"/>
              </w:rPr>
              <w:t>绩效自评综合得分</w:t>
            </w:r>
          </w:p>
        </w:tc>
        <w:tc>
          <w:tcPr>
            <w:tcW w:w="6509" w:type="dxa"/>
            <w:gridSpan w:val="10"/>
            <w:tcBorders>
              <w:bottom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3037" w:type="dxa"/>
            <w:gridSpan w:val="4"/>
            <w:tcBorders>
              <w:bottom w:val="single" w:color="auto" w:sz="4" w:space="0"/>
            </w:tcBorders>
            <w:vAlign w:val="center"/>
          </w:tcPr>
          <w:p>
            <w:pPr>
              <w:jc w:val="center"/>
              <w:rPr>
                <w:rFonts w:eastAsia="仿宋_GB2312"/>
                <w:bCs/>
                <w:sz w:val="24"/>
              </w:rPr>
            </w:pPr>
            <w:r>
              <w:rPr>
                <w:rFonts w:hint="eastAsia" w:eastAsia="仿宋_GB2312"/>
                <w:bCs/>
                <w:sz w:val="24"/>
              </w:rPr>
              <w:t>评价等次</w:t>
            </w:r>
          </w:p>
        </w:tc>
        <w:tc>
          <w:tcPr>
            <w:tcW w:w="6509" w:type="dxa"/>
            <w:gridSpan w:val="10"/>
            <w:tcBorders>
              <w:bottom w:val="single" w:color="auto" w:sz="4" w:space="0"/>
            </w:tcBorders>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exact"/>
          <w:jc w:val="center"/>
        </w:trPr>
        <w:tc>
          <w:tcPr>
            <w:tcW w:w="9546" w:type="dxa"/>
            <w:gridSpan w:val="14"/>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2255" w:type="dxa"/>
            <w:gridSpan w:val="3"/>
            <w:vAlign w:val="center"/>
          </w:tcPr>
          <w:p>
            <w:pPr>
              <w:jc w:val="center"/>
              <w:rPr>
                <w:rFonts w:eastAsia="仿宋_GB2312"/>
                <w:sz w:val="24"/>
              </w:rPr>
            </w:pPr>
            <w:r>
              <w:rPr>
                <w:rFonts w:hint="eastAsia" w:eastAsia="仿宋_GB2312"/>
                <w:sz w:val="24"/>
              </w:rPr>
              <w:t>姓名</w:t>
            </w:r>
          </w:p>
        </w:tc>
        <w:tc>
          <w:tcPr>
            <w:tcW w:w="2323" w:type="dxa"/>
            <w:gridSpan w:val="4"/>
            <w:vAlign w:val="center"/>
          </w:tcPr>
          <w:p>
            <w:pPr>
              <w:jc w:val="center"/>
              <w:rPr>
                <w:rFonts w:eastAsia="仿宋_GB2312"/>
                <w:sz w:val="24"/>
              </w:rPr>
            </w:pPr>
            <w:r>
              <w:rPr>
                <w:rFonts w:hint="eastAsia" w:eastAsia="仿宋_GB2312"/>
                <w:sz w:val="24"/>
              </w:rPr>
              <w:t>职称/职务</w:t>
            </w:r>
          </w:p>
        </w:tc>
        <w:tc>
          <w:tcPr>
            <w:tcW w:w="1706" w:type="dxa"/>
            <w:gridSpan w:val="4"/>
            <w:vAlign w:val="center"/>
          </w:tcPr>
          <w:p>
            <w:pPr>
              <w:jc w:val="center"/>
              <w:rPr>
                <w:rFonts w:eastAsia="仿宋_GB2312"/>
                <w:sz w:val="24"/>
              </w:rPr>
            </w:pPr>
            <w:r>
              <w:rPr>
                <w:rFonts w:hint="eastAsia" w:eastAsia="仿宋_GB2312"/>
                <w:sz w:val="24"/>
              </w:rPr>
              <w:t>单位</w:t>
            </w:r>
          </w:p>
        </w:tc>
        <w:tc>
          <w:tcPr>
            <w:tcW w:w="3262" w:type="dxa"/>
            <w:gridSpan w:val="3"/>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2255" w:type="dxa"/>
            <w:gridSpan w:val="3"/>
            <w:vAlign w:val="center"/>
          </w:tcPr>
          <w:p>
            <w:pPr>
              <w:rPr>
                <w:rFonts w:eastAsia="仿宋_GB2312"/>
                <w:sz w:val="24"/>
              </w:rPr>
            </w:pPr>
          </w:p>
        </w:tc>
        <w:tc>
          <w:tcPr>
            <w:tcW w:w="2323" w:type="dxa"/>
            <w:gridSpan w:val="4"/>
            <w:vAlign w:val="center"/>
          </w:tcPr>
          <w:p>
            <w:pPr>
              <w:rPr>
                <w:rFonts w:eastAsia="仿宋_GB2312"/>
                <w:sz w:val="24"/>
              </w:rPr>
            </w:pPr>
          </w:p>
        </w:tc>
        <w:tc>
          <w:tcPr>
            <w:tcW w:w="1706" w:type="dxa"/>
            <w:gridSpan w:val="4"/>
            <w:vAlign w:val="center"/>
          </w:tcPr>
          <w:p>
            <w:pPr>
              <w:rPr>
                <w:rFonts w:eastAsia="仿宋_GB2312"/>
                <w:sz w:val="24"/>
              </w:rPr>
            </w:pPr>
          </w:p>
        </w:tc>
        <w:tc>
          <w:tcPr>
            <w:tcW w:w="3262"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2255" w:type="dxa"/>
            <w:gridSpan w:val="3"/>
            <w:vAlign w:val="center"/>
          </w:tcPr>
          <w:p>
            <w:pPr>
              <w:rPr>
                <w:rFonts w:eastAsia="仿宋_GB2312"/>
                <w:sz w:val="24"/>
              </w:rPr>
            </w:pPr>
          </w:p>
        </w:tc>
        <w:tc>
          <w:tcPr>
            <w:tcW w:w="2323" w:type="dxa"/>
            <w:gridSpan w:val="4"/>
            <w:vAlign w:val="center"/>
          </w:tcPr>
          <w:p>
            <w:pPr>
              <w:rPr>
                <w:rFonts w:eastAsia="仿宋_GB2312"/>
                <w:sz w:val="24"/>
              </w:rPr>
            </w:pPr>
          </w:p>
        </w:tc>
        <w:tc>
          <w:tcPr>
            <w:tcW w:w="1706" w:type="dxa"/>
            <w:gridSpan w:val="4"/>
            <w:vAlign w:val="center"/>
          </w:tcPr>
          <w:p>
            <w:pPr>
              <w:rPr>
                <w:rFonts w:eastAsia="仿宋_GB2312"/>
                <w:sz w:val="24"/>
              </w:rPr>
            </w:pPr>
          </w:p>
        </w:tc>
        <w:tc>
          <w:tcPr>
            <w:tcW w:w="3262"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2255" w:type="dxa"/>
            <w:gridSpan w:val="3"/>
            <w:vAlign w:val="center"/>
          </w:tcPr>
          <w:p>
            <w:pPr>
              <w:rPr>
                <w:rFonts w:eastAsia="仿宋_GB2312"/>
                <w:sz w:val="24"/>
              </w:rPr>
            </w:pPr>
          </w:p>
        </w:tc>
        <w:tc>
          <w:tcPr>
            <w:tcW w:w="2323" w:type="dxa"/>
            <w:gridSpan w:val="4"/>
            <w:vAlign w:val="center"/>
          </w:tcPr>
          <w:p>
            <w:pPr>
              <w:rPr>
                <w:rFonts w:eastAsia="仿宋_GB2312"/>
                <w:sz w:val="24"/>
              </w:rPr>
            </w:pPr>
          </w:p>
        </w:tc>
        <w:tc>
          <w:tcPr>
            <w:tcW w:w="1706" w:type="dxa"/>
            <w:gridSpan w:val="4"/>
            <w:vAlign w:val="center"/>
          </w:tcPr>
          <w:p>
            <w:pPr>
              <w:rPr>
                <w:rFonts w:eastAsia="仿宋_GB2312"/>
                <w:sz w:val="24"/>
              </w:rPr>
            </w:pPr>
          </w:p>
        </w:tc>
        <w:tc>
          <w:tcPr>
            <w:tcW w:w="3262"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exact"/>
          <w:jc w:val="center"/>
        </w:trPr>
        <w:tc>
          <w:tcPr>
            <w:tcW w:w="9546" w:type="dxa"/>
            <w:gridSpan w:val="14"/>
            <w:vAlign w:val="center"/>
          </w:tcPr>
          <w:p>
            <w:pPr>
              <w:spacing w:line="440" w:lineRule="exact"/>
              <w:rPr>
                <w:rFonts w:eastAsia="仿宋_GB2312"/>
                <w:sz w:val="24"/>
              </w:rPr>
            </w:pPr>
            <w:r>
              <w:rPr>
                <w:rFonts w:hint="eastAsia" w:eastAsia="仿宋_GB2312"/>
                <w:sz w:val="24"/>
              </w:rPr>
              <w:t>评价组组长（签字）：</w:t>
            </w:r>
          </w:p>
          <w:p>
            <w:pPr>
              <w:spacing w:line="440" w:lineRule="exact"/>
              <w:rPr>
                <w:rFonts w:eastAsia="仿宋_GB2312"/>
                <w:sz w:val="24"/>
              </w:rPr>
            </w:pPr>
            <w:r>
              <w:rPr>
                <w:rFonts w:hint="eastAsia" w:eastAsia="仿宋_GB2312"/>
                <w:sz w:val="24"/>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exact"/>
          <w:jc w:val="center"/>
        </w:trPr>
        <w:tc>
          <w:tcPr>
            <w:tcW w:w="9546" w:type="dxa"/>
            <w:gridSpan w:val="14"/>
            <w:tcBorders>
              <w:bottom w:val="single" w:color="auto" w:sz="4" w:space="0"/>
            </w:tcBorders>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r>
              <w:rPr>
                <w:rFonts w:hint="eastAsia" w:eastAsia="仿宋_GB2312"/>
                <w:sz w:val="24"/>
              </w:rPr>
              <w:t>项目单位负责人（签章）：</w:t>
            </w:r>
          </w:p>
          <w:p>
            <w:pPr>
              <w:spacing w:line="440" w:lineRule="exact"/>
              <w:rPr>
                <w:sz w:val="24"/>
              </w:rPr>
            </w:pPr>
            <w:r>
              <w:rPr>
                <w:rFonts w:hint="eastAsia" w:eastAsia="仿宋_GB2312"/>
                <w:sz w:val="24"/>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exact"/>
          <w:jc w:val="center"/>
        </w:trPr>
        <w:tc>
          <w:tcPr>
            <w:tcW w:w="9546" w:type="dxa"/>
            <w:gridSpan w:val="14"/>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r>
              <w:rPr>
                <w:rFonts w:hint="eastAsia" w:eastAsia="仿宋_GB2312"/>
                <w:sz w:val="24"/>
              </w:rPr>
              <w:t>主管部门负责人（签章）：</w:t>
            </w:r>
          </w:p>
          <w:p>
            <w:pPr>
              <w:spacing w:line="440" w:lineRule="exact"/>
              <w:rPr>
                <w:sz w:val="24"/>
              </w:rPr>
            </w:pPr>
            <w:r>
              <w:rPr>
                <w:rFonts w:hint="eastAsia" w:eastAsia="仿宋_GB2312"/>
                <w:sz w:val="24"/>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exact"/>
          <w:jc w:val="center"/>
        </w:trPr>
        <w:tc>
          <w:tcPr>
            <w:tcW w:w="9546" w:type="dxa"/>
            <w:gridSpan w:val="14"/>
            <w:tcBorders>
              <w:bottom w:val="single" w:color="auto" w:sz="4" w:space="0"/>
            </w:tcBorders>
          </w:tcPr>
          <w:p>
            <w:pPr>
              <w:spacing w:line="440" w:lineRule="exact"/>
              <w:rPr>
                <w:rFonts w:eastAsia="仿宋_GB2312"/>
                <w:sz w:val="24"/>
              </w:rPr>
            </w:pPr>
            <w:r>
              <w:rPr>
                <w:rFonts w:hint="eastAsia" w:eastAsia="仿宋_GB2312"/>
                <w:sz w:val="24"/>
              </w:rPr>
              <w:t>财政部门归口业务股室意见：</w:t>
            </w:r>
          </w:p>
          <w:p>
            <w:pPr>
              <w:spacing w:line="440" w:lineRule="exact"/>
              <w:rPr>
                <w:rFonts w:eastAsia="仿宋_GB2312"/>
                <w:sz w:val="24"/>
              </w:rPr>
            </w:pPr>
            <w:r>
              <w:rPr>
                <w:rFonts w:hint="eastAsia" w:eastAsia="仿宋_GB2312"/>
                <w:sz w:val="24"/>
              </w:rPr>
              <w:t>财政部门归口业务股室负责人（签章）：</w:t>
            </w:r>
          </w:p>
          <w:p>
            <w:pPr>
              <w:spacing w:line="440" w:lineRule="exact"/>
              <w:rPr>
                <w:rFonts w:eastAsia="仿宋_GB2312"/>
                <w:sz w:val="24"/>
              </w:rPr>
            </w:pPr>
            <w:r>
              <w:rPr>
                <w:rFonts w:hint="eastAsia" w:eastAsia="仿宋_GB2312"/>
                <w:sz w:val="24"/>
              </w:rPr>
              <w:t>年月日</w:t>
            </w:r>
          </w:p>
        </w:tc>
      </w:tr>
    </w:tbl>
    <w:p>
      <w:pPr>
        <w:rPr>
          <w:rFonts w:eastAsia="仿宋_GB2312" w:cs="仿宋_GB2312"/>
          <w:bCs/>
          <w:sz w:val="28"/>
          <w:szCs w:val="28"/>
        </w:rPr>
      </w:pPr>
    </w:p>
    <w:tbl>
      <w:tblPr>
        <w:tblStyle w:val="1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tcPr>
          <w:p>
            <w:pPr>
              <w:jc w:val="center"/>
              <w:rPr>
                <w:rFonts w:ascii="仿宋" w:eastAsia="仿宋"/>
                <w:b/>
                <w:bCs/>
                <w:sz w:val="32"/>
                <w:szCs w:val="32"/>
              </w:rPr>
            </w:pPr>
            <w:r>
              <w:rPr>
                <w:rFonts w:hint="eastAsia" w:ascii="仿宋" w:eastAsia="仿宋"/>
                <w:b/>
                <w:bCs/>
                <w:sz w:val="32"/>
                <w:szCs w:val="32"/>
              </w:rPr>
              <w:t>五、评价报告综述（文字部分）</w:t>
            </w:r>
          </w:p>
          <w:p>
            <w:pPr>
              <w:spacing w:line="440" w:lineRule="exact"/>
              <w:ind w:firstLine="640" w:firstLineChars="200"/>
              <w:rPr>
                <w:rFonts w:ascii="仿宋" w:eastAsia="仿宋"/>
                <w:sz w:val="32"/>
                <w:szCs w:val="32"/>
              </w:rPr>
            </w:pPr>
          </w:p>
          <w:p>
            <w:pPr>
              <w:numPr>
                <w:ilvl w:val="0"/>
                <w:numId w:val="9"/>
              </w:numPr>
              <w:spacing w:line="560" w:lineRule="exact"/>
              <w:ind w:left="0" w:firstLine="640" w:firstLineChars="200"/>
              <w:rPr>
                <w:rFonts w:ascii="仿宋" w:eastAsia="仿宋"/>
                <w:sz w:val="32"/>
                <w:szCs w:val="32"/>
              </w:rPr>
            </w:pPr>
            <w:r>
              <w:rPr>
                <w:rFonts w:hint="eastAsia" w:ascii="仿宋" w:eastAsia="仿宋"/>
                <w:sz w:val="32"/>
                <w:szCs w:val="32"/>
              </w:rPr>
              <w:t>项目基本概况</w:t>
            </w:r>
          </w:p>
          <w:p>
            <w:pPr>
              <w:spacing w:line="560" w:lineRule="exact"/>
              <w:ind w:firstLine="640" w:firstLineChars="200"/>
              <w:rPr>
                <w:rFonts w:ascii="仿宋" w:eastAsia="仿宋"/>
                <w:sz w:val="32"/>
                <w:szCs w:val="32"/>
              </w:rPr>
            </w:pPr>
            <w:r>
              <w:rPr>
                <w:rFonts w:hint="eastAsia" w:ascii="仿宋" w:eastAsia="仿宋"/>
                <w:sz w:val="32"/>
                <w:szCs w:val="32"/>
              </w:rPr>
              <w:t>项目立项总投资3200万元，其中：中央投资240万元该、省级投资720万元、社会主体筹资2240万元。主要建设内容为：建设特色民宿50户，并建设村内道路2030M、标示标牌5个、停车场1个（1950</w:t>
            </w:r>
            <w:r>
              <w:rPr>
                <w:rFonts w:hint="eastAsia" w:ascii="仿宋" w:eastAsia="仿宋" w:cs="宋体"/>
                <w:sz w:val="32"/>
                <w:szCs w:val="32"/>
              </w:rPr>
              <w:t>㎡</w:t>
            </w:r>
            <w:r>
              <w:rPr>
                <w:rFonts w:hint="eastAsia" w:ascii="仿宋" w:eastAsia="仿宋"/>
                <w:sz w:val="32"/>
                <w:szCs w:val="32"/>
              </w:rPr>
              <w:t>）、给水管道600M、污水管720M、强电管网300M、弱电管网300M、新建自驾营地2个，营地内新建AA级旅游公共厕所2座，共计建筑面积260</w:t>
            </w:r>
            <w:r>
              <w:rPr>
                <w:rFonts w:hint="eastAsia" w:ascii="仿宋" w:eastAsia="仿宋" w:cs="宋体"/>
                <w:sz w:val="32"/>
                <w:szCs w:val="32"/>
              </w:rPr>
              <w:t>㎡</w:t>
            </w:r>
            <w:r>
              <w:rPr>
                <w:rFonts w:hint="eastAsia" w:ascii="仿宋" w:eastAsia="仿宋"/>
                <w:sz w:val="32"/>
                <w:szCs w:val="32"/>
              </w:rPr>
              <w:t>、建设营地内道路877M、营地内草坪绿化23631㎡、停车场1个（1620㎡）以及两营地的给水、污水、雨水、强电、弱电等管网工程。</w:t>
            </w:r>
          </w:p>
          <w:p>
            <w:pPr>
              <w:numPr>
                <w:ilvl w:val="0"/>
                <w:numId w:val="9"/>
              </w:numPr>
              <w:spacing w:line="560" w:lineRule="exact"/>
              <w:ind w:left="0" w:firstLine="640" w:firstLineChars="200"/>
              <w:rPr>
                <w:rFonts w:ascii="仿宋" w:eastAsia="仿宋"/>
                <w:sz w:val="32"/>
                <w:szCs w:val="32"/>
              </w:rPr>
            </w:pPr>
            <w:r>
              <w:rPr>
                <w:rFonts w:hint="eastAsia" w:ascii="仿宋" w:eastAsia="仿宋"/>
                <w:sz w:val="32"/>
                <w:szCs w:val="32"/>
              </w:rPr>
              <w:t>项目资金使用及管理情况</w:t>
            </w:r>
          </w:p>
          <w:p>
            <w:pPr>
              <w:pStyle w:val="15"/>
              <w:spacing w:line="560" w:lineRule="exact"/>
              <w:ind w:left="0" w:leftChars="0"/>
              <w:jc w:val="left"/>
              <w:rPr>
                <w:rFonts w:ascii="仿宋" w:eastAsia="仿宋"/>
                <w:sz w:val="32"/>
                <w:szCs w:val="32"/>
              </w:rPr>
            </w:pPr>
            <w:r>
              <w:rPr>
                <w:rFonts w:hint="eastAsia" w:ascii="仿宋" w:eastAsia="仿宋"/>
                <w:sz w:val="32"/>
                <w:szCs w:val="32"/>
              </w:rPr>
              <w:t>中、省投资部分已到位资金470万元，目前</w:t>
            </w:r>
            <w:r>
              <w:rPr>
                <w:rFonts w:ascii="仿宋" w:eastAsia="仿宋"/>
                <w:sz w:val="32"/>
                <w:szCs w:val="32"/>
              </w:rPr>
              <w:t>累计完成投资</w:t>
            </w:r>
            <w:r>
              <w:rPr>
                <w:rFonts w:hint="eastAsia" w:ascii="仿宋" w:eastAsia="仿宋"/>
                <w:sz w:val="32"/>
                <w:szCs w:val="32"/>
              </w:rPr>
              <w:t>73</w:t>
            </w:r>
            <w:r>
              <w:rPr>
                <w:rFonts w:ascii="仿宋" w:eastAsia="仿宋"/>
                <w:sz w:val="32"/>
                <w:szCs w:val="32"/>
              </w:rPr>
              <w:t>万元，累计支付资金</w:t>
            </w:r>
            <w:r>
              <w:rPr>
                <w:rFonts w:hint="eastAsia" w:ascii="仿宋" w:eastAsia="仿宋"/>
                <w:sz w:val="32"/>
                <w:szCs w:val="32"/>
              </w:rPr>
              <w:t>53.604</w:t>
            </w:r>
            <w:r>
              <w:rPr>
                <w:rFonts w:ascii="仿宋" w:eastAsia="仿宋"/>
                <w:sz w:val="32"/>
                <w:szCs w:val="32"/>
              </w:rPr>
              <w:t>万元。</w:t>
            </w:r>
          </w:p>
          <w:p>
            <w:pPr>
              <w:numPr>
                <w:ilvl w:val="0"/>
                <w:numId w:val="9"/>
              </w:numPr>
              <w:spacing w:line="560" w:lineRule="exact"/>
              <w:ind w:left="0" w:firstLine="640" w:firstLineChars="200"/>
              <w:rPr>
                <w:rFonts w:ascii="仿宋" w:eastAsia="仿宋"/>
                <w:sz w:val="32"/>
                <w:szCs w:val="32"/>
              </w:rPr>
            </w:pPr>
            <w:r>
              <w:rPr>
                <w:rFonts w:hint="eastAsia" w:ascii="仿宋" w:eastAsia="仿宋"/>
                <w:sz w:val="32"/>
                <w:szCs w:val="32"/>
              </w:rPr>
              <w:t>项目组织实施情况</w:t>
            </w:r>
          </w:p>
          <w:p>
            <w:pPr>
              <w:pStyle w:val="15"/>
              <w:spacing w:line="560" w:lineRule="exact"/>
              <w:ind w:left="0" w:leftChars="0"/>
              <w:jc w:val="left"/>
              <w:rPr>
                <w:rFonts w:ascii="仿宋" w:eastAsia="仿宋"/>
                <w:sz w:val="32"/>
                <w:szCs w:val="32"/>
              </w:rPr>
            </w:pPr>
            <w:r>
              <w:rPr>
                <w:rFonts w:hint="eastAsia" w:ascii="仿宋" w:eastAsia="仿宋"/>
                <w:sz w:val="32"/>
                <w:szCs w:val="32"/>
              </w:rPr>
              <w:t>项目目前正按照相关规定，有序推进，已完成挂网招投标工作。</w:t>
            </w:r>
          </w:p>
          <w:p>
            <w:pPr>
              <w:spacing w:line="560" w:lineRule="exact"/>
              <w:ind w:firstLine="640" w:firstLineChars="200"/>
              <w:rPr>
                <w:rFonts w:ascii="仿宋" w:eastAsia="仿宋"/>
                <w:sz w:val="32"/>
                <w:szCs w:val="32"/>
              </w:rPr>
            </w:pPr>
            <w:r>
              <w:rPr>
                <w:rFonts w:hint="eastAsia" w:ascii="仿宋" w:eastAsia="仿宋"/>
                <w:sz w:val="32"/>
                <w:szCs w:val="32"/>
              </w:rPr>
              <w:t>（四）综合评价情况及评价结论</w:t>
            </w:r>
          </w:p>
          <w:p>
            <w:pPr>
              <w:spacing w:line="560" w:lineRule="exact"/>
              <w:ind w:firstLine="640" w:firstLineChars="200"/>
              <w:rPr>
                <w:rFonts w:ascii="仿宋" w:eastAsia="仿宋"/>
                <w:sz w:val="32"/>
                <w:szCs w:val="32"/>
              </w:rPr>
            </w:pPr>
            <w:r>
              <w:rPr>
                <w:rFonts w:hint="eastAsia" w:ascii="仿宋" w:eastAsia="仿宋"/>
                <w:sz w:val="32"/>
                <w:szCs w:val="32"/>
              </w:rPr>
              <w:t>（五）项目主要绩效情况分析</w:t>
            </w:r>
          </w:p>
          <w:p>
            <w:pPr>
              <w:pStyle w:val="15"/>
              <w:rPr>
                <w:rFonts w:ascii="仿宋" w:eastAsia="仿宋"/>
                <w:sz w:val="32"/>
                <w:szCs w:val="32"/>
              </w:rPr>
            </w:pPr>
            <w:r>
              <w:rPr>
                <w:rFonts w:hint="eastAsia" w:ascii="仿宋" w:eastAsia="仿宋"/>
                <w:sz w:val="32"/>
                <w:szCs w:val="32"/>
              </w:rPr>
              <w:t>项目建成后将有助于我县的全域旅游发展，提升旅游接待能力，增加旅游景点。</w:t>
            </w:r>
          </w:p>
          <w:p>
            <w:pPr>
              <w:spacing w:line="560" w:lineRule="exact"/>
              <w:ind w:firstLine="640" w:firstLineChars="200"/>
              <w:rPr>
                <w:rFonts w:ascii="仿宋" w:eastAsia="仿宋"/>
                <w:sz w:val="32"/>
                <w:szCs w:val="32"/>
              </w:rPr>
            </w:pPr>
            <w:r>
              <w:rPr>
                <w:rFonts w:hint="eastAsia" w:ascii="仿宋" w:eastAsia="仿宋"/>
                <w:sz w:val="32"/>
                <w:szCs w:val="32"/>
              </w:rPr>
              <w:t>（六）主要经验及做法、存在问题和建议</w:t>
            </w:r>
          </w:p>
          <w:p>
            <w:pPr>
              <w:spacing w:line="560" w:lineRule="exact"/>
              <w:ind w:firstLine="560" w:firstLineChars="200"/>
              <w:rPr>
                <w:rFonts w:eastAsia="楷体_GB2312"/>
                <w:bCs/>
                <w:sz w:val="28"/>
                <w:szCs w:val="28"/>
              </w:rPr>
            </w:pPr>
          </w:p>
        </w:tc>
      </w:tr>
    </w:tbl>
    <w:p>
      <w:pPr>
        <w:jc w:val="center"/>
        <w:rPr>
          <w:rFonts w:ascii="仿宋_GB2312" w:hAnsi="仿宋_GB2312"/>
          <w:bCs/>
          <w:sz w:val="36"/>
          <w:szCs w:val="44"/>
        </w:rPr>
      </w:pPr>
    </w:p>
    <w:p>
      <w:pPr>
        <w:spacing w:before="156" w:beforeLines="50" w:line="348" w:lineRule="auto"/>
        <w:jc w:val="left"/>
        <w:rPr>
          <w:rFonts w:eastAsia="方正小标宋简体"/>
          <w:bCs/>
          <w:sz w:val="44"/>
          <w:szCs w:val="44"/>
        </w:rPr>
      </w:pPr>
      <w:r>
        <w:rPr>
          <w:rStyle w:val="20"/>
          <w:rFonts w:hint="eastAsia" w:ascii="仿宋" w:eastAsia="仿宋"/>
          <w:sz w:val="32"/>
          <w:szCs w:val="32"/>
        </w:rPr>
        <w:t>附件</w:t>
      </w:r>
      <w:r>
        <w:rPr>
          <w:rStyle w:val="20"/>
          <w:rFonts w:hint="eastAsia" w:ascii="仿宋" w:eastAsia="仿宋"/>
          <w:b w:val="0"/>
          <w:sz w:val="32"/>
          <w:szCs w:val="32"/>
        </w:rPr>
        <w:t>2-5</w:t>
      </w:r>
    </w:p>
    <w:p>
      <w:pPr>
        <w:jc w:val="center"/>
        <w:rPr>
          <w:rFonts w:ascii="仿宋_GB2312" w:hAnsi="仿宋_GB2312"/>
          <w:bCs/>
          <w:sz w:val="36"/>
          <w:szCs w:val="44"/>
        </w:rPr>
      </w:pPr>
    </w:p>
    <w:p>
      <w:pPr>
        <w:jc w:val="center"/>
        <w:rPr>
          <w:rFonts w:ascii="Arial" w:hAnsi="Arial" w:cs="Arial"/>
          <w:b/>
          <w:sz w:val="36"/>
          <w:szCs w:val="44"/>
        </w:rPr>
      </w:pPr>
      <w:r>
        <w:rPr>
          <w:rFonts w:hint="eastAsia" w:ascii="仿宋_GB2312" w:hAnsi="仿宋_GB2312"/>
          <w:b/>
          <w:bCs/>
          <w:sz w:val="36"/>
          <w:szCs w:val="44"/>
        </w:rPr>
        <w:t>九寨沟县旅游发展</w:t>
      </w:r>
      <w:r>
        <w:rPr>
          <w:rFonts w:hint="eastAsia" w:ascii="Arial" w:hAnsi="Arial" w:cs="Arial"/>
          <w:b/>
          <w:sz w:val="36"/>
          <w:szCs w:val="44"/>
        </w:rPr>
        <w:t>专项资金</w:t>
      </w:r>
    </w:p>
    <w:p>
      <w:pPr>
        <w:jc w:val="center"/>
        <w:rPr>
          <w:rFonts w:ascii="Arial" w:hAnsi="Arial" w:cs="Arial"/>
          <w:b/>
          <w:sz w:val="36"/>
          <w:szCs w:val="44"/>
        </w:rPr>
      </w:pPr>
      <w:r>
        <w:rPr>
          <w:rFonts w:hint="eastAsia" w:ascii="Arial" w:hAnsi="Arial" w:cs="Arial"/>
          <w:b/>
          <w:sz w:val="36"/>
          <w:szCs w:val="44"/>
        </w:rPr>
        <w:t>2018年度绩效自评报告</w:t>
      </w:r>
    </w:p>
    <w:p>
      <w:pPr>
        <w:rPr>
          <w:rFonts w:ascii="仿宋_GB2312" w:hAnsi="仿宋_GB2312"/>
          <w:szCs w:val="32"/>
        </w:rPr>
      </w:pPr>
    </w:p>
    <w:p>
      <w:pPr>
        <w:ind w:firstLine="640" w:firstLineChars="200"/>
        <w:rPr>
          <w:rFonts w:ascii="仿宋" w:eastAsia="仿宋" w:cs="黑体"/>
          <w:bCs/>
          <w:sz w:val="32"/>
          <w:szCs w:val="32"/>
        </w:rPr>
      </w:pPr>
      <w:r>
        <w:rPr>
          <w:rFonts w:hint="eastAsia" w:ascii="仿宋" w:eastAsia="仿宋" w:cs="黑体"/>
          <w:bCs/>
          <w:sz w:val="32"/>
          <w:szCs w:val="32"/>
        </w:rPr>
        <w:t>一、绩效目标分解下达情况</w:t>
      </w:r>
    </w:p>
    <w:p>
      <w:pPr>
        <w:ind w:firstLine="640" w:firstLineChars="200"/>
        <w:outlineLvl w:val="0"/>
        <w:rPr>
          <w:rFonts w:ascii="仿宋" w:eastAsia="仿宋"/>
          <w:sz w:val="32"/>
          <w:szCs w:val="32"/>
        </w:rPr>
      </w:pPr>
      <w:r>
        <w:rPr>
          <w:rFonts w:hint="eastAsia" w:ascii="仿宋" w:eastAsia="仿宋"/>
          <w:sz w:val="32"/>
          <w:szCs w:val="32"/>
        </w:rPr>
        <w:t>（一）省级下达中央和省专项资金预算和绩效目标情况。</w:t>
      </w:r>
    </w:p>
    <w:p>
      <w:pPr>
        <w:tabs>
          <w:tab w:val="left" w:pos="7080"/>
        </w:tabs>
        <w:ind w:firstLine="640" w:firstLineChars="200"/>
        <w:outlineLvl w:val="0"/>
        <w:rPr>
          <w:rFonts w:ascii="仿宋" w:eastAsia="仿宋"/>
          <w:sz w:val="32"/>
          <w:szCs w:val="32"/>
        </w:rPr>
      </w:pPr>
      <w:r>
        <w:rPr>
          <w:rFonts w:hint="eastAsia" w:ascii="仿宋" w:eastAsia="仿宋"/>
          <w:sz w:val="32"/>
          <w:szCs w:val="32"/>
        </w:rPr>
        <w:t>（二）市</w:t>
      </w:r>
      <w:r>
        <w:rPr>
          <w:rFonts w:ascii="仿宋" w:eastAsia="仿宋"/>
          <w:sz w:val="32"/>
          <w:szCs w:val="32"/>
        </w:rPr>
        <w:t>内</w:t>
      </w:r>
      <w:r>
        <w:rPr>
          <w:rFonts w:hint="eastAsia" w:ascii="仿宋" w:eastAsia="仿宋"/>
          <w:sz w:val="32"/>
          <w:szCs w:val="32"/>
        </w:rPr>
        <w:t>分解下达预算和绩效目标情况。</w:t>
      </w:r>
      <w:r>
        <w:rPr>
          <w:rFonts w:ascii="仿宋" w:eastAsia="仿宋"/>
          <w:sz w:val="32"/>
          <w:szCs w:val="32"/>
        </w:rPr>
        <w:tab/>
      </w:r>
    </w:p>
    <w:p>
      <w:pPr>
        <w:ind w:firstLine="640" w:firstLineChars="200"/>
        <w:rPr>
          <w:rFonts w:ascii="仿宋" w:eastAsia="仿宋" w:cs="黑体"/>
          <w:bCs/>
          <w:sz w:val="32"/>
          <w:szCs w:val="32"/>
        </w:rPr>
      </w:pPr>
      <w:r>
        <w:rPr>
          <w:rFonts w:hint="eastAsia" w:ascii="仿宋" w:eastAsia="仿宋" w:cs="黑体"/>
          <w:bCs/>
          <w:sz w:val="32"/>
          <w:szCs w:val="32"/>
        </w:rPr>
        <w:t>二、绩效目标完成情况分析</w:t>
      </w:r>
    </w:p>
    <w:p>
      <w:pPr>
        <w:ind w:firstLine="642" w:firstLineChars="200"/>
        <w:outlineLvl w:val="0"/>
        <w:rPr>
          <w:rFonts w:ascii="仿宋" w:eastAsia="仿宋" w:cs="楷体_GB2312"/>
          <w:b/>
          <w:bCs/>
          <w:sz w:val="32"/>
          <w:szCs w:val="32"/>
        </w:rPr>
      </w:pPr>
      <w:r>
        <w:rPr>
          <w:rFonts w:hint="eastAsia" w:ascii="仿宋" w:eastAsia="仿宋" w:cs="楷体_GB2312"/>
          <w:b/>
          <w:bCs/>
          <w:sz w:val="32"/>
          <w:szCs w:val="32"/>
        </w:rPr>
        <w:t>（一）资金投入情况分析。</w:t>
      </w:r>
    </w:p>
    <w:p>
      <w:pPr>
        <w:ind w:firstLine="640" w:firstLineChars="200"/>
        <w:rPr>
          <w:rFonts w:ascii="仿宋" w:eastAsia="仿宋"/>
          <w:sz w:val="32"/>
          <w:szCs w:val="32"/>
        </w:rPr>
      </w:pPr>
      <w:r>
        <w:rPr>
          <w:rFonts w:hint="eastAsia" w:ascii="仿宋" w:eastAsia="仿宋"/>
          <w:sz w:val="32"/>
          <w:szCs w:val="32"/>
        </w:rPr>
        <w:t>1.项目资金到位情况分析。</w:t>
      </w:r>
    </w:p>
    <w:p>
      <w:pPr>
        <w:ind w:firstLine="640" w:firstLineChars="200"/>
        <w:rPr>
          <w:rFonts w:ascii="仿宋" w:eastAsia="仿宋"/>
          <w:sz w:val="32"/>
          <w:szCs w:val="32"/>
        </w:rPr>
      </w:pPr>
      <w:r>
        <w:rPr>
          <w:rFonts w:hint="eastAsia" w:ascii="仿宋" w:eastAsia="仿宋"/>
          <w:sz w:val="32"/>
          <w:szCs w:val="32"/>
        </w:rPr>
        <w:t>2018年旅游发展基金补助地方项目资金总共有2361.75万元，分别如下：</w:t>
      </w:r>
    </w:p>
    <w:p>
      <w:pPr>
        <w:ind w:firstLine="640" w:firstLineChars="200"/>
        <w:rPr>
          <w:rFonts w:ascii="仿宋" w:eastAsia="仿宋"/>
          <w:sz w:val="32"/>
          <w:szCs w:val="32"/>
        </w:rPr>
      </w:pPr>
      <w:r>
        <w:rPr>
          <w:rFonts w:hint="eastAsia" w:ascii="仿宋" w:eastAsia="仿宋"/>
          <w:sz w:val="32"/>
          <w:szCs w:val="32"/>
        </w:rPr>
        <w:t>（1）、2018年4月8日，收到2017年旅发展基金补助地方项目资金510万元，其中290万元用于九寨沟县8.8灾后重建项目勿角民族生态试验区建设补助；剩下220万元，用于九寨海子山生态旅游接待区项目的贷款利息，该资金已经支付完。</w:t>
      </w:r>
    </w:p>
    <w:p>
      <w:pPr>
        <w:ind w:firstLine="640" w:firstLineChars="200"/>
        <w:rPr>
          <w:rFonts w:ascii="仿宋" w:eastAsia="仿宋"/>
          <w:sz w:val="32"/>
          <w:szCs w:val="32"/>
        </w:rPr>
      </w:pPr>
      <w:r>
        <w:rPr>
          <w:rFonts w:hint="eastAsia" w:ascii="仿宋" w:eastAsia="仿宋"/>
          <w:sz w:val="32"/>
          <w:szCs w:val="32"/>
        </w:rPr>
        <w:t>（2）、2018年6月6日，收到2017年旅游发展基金补助地方项目资金1.75万元。</w:t>
      </w:r>
    </w:p>
    <w:p>
      <w:pPr>
        <w:ind w:firstLine="640" w:firstLineChars="200"/>
        <w:rPr>
          <w:rFonts w:ascii="仿宋" w:eastAsia="仿宋"/>
          <w:sz w:val="32"/>
          <w:szCs w:val="32"/>
        </w:rPr>
      </w:pPr>
      <w:r>
        <w:rPr>
          <w:rFonts w:hint="eastAsia" w:ascii="仿宋" w:eastAsia="仿宋"/>
          <w:sz w:val="32"/>
          <w:szCs w:val="32"/>
        </w:rPr>
        <w:t>（3）、2018年10月22日，收到2018年省级旅游发展专项资金1800万元，分配到九寨沟县全域旅游配套基础设施建设补助200万元</w:t>
      </w:r>
      <w:r>
        <w:rPr>
          <w:rFonts w:hint="eastAsia" w:ascii="仿宋" w:eastAsia="仿宋"/>
          <w:color w:val="000000"/>
          <w:sz w:val="32"/>
          <w:szCs w:val="32"/>
        </w:rPr>
        <w:t>；</w:t>
      </w:r>
      <w:r>
        <w:rPr>
          <w:rFonts w:hint="eastAsia" w:ascii="仿宋" w:eastAsia="仿宋"/>
          <w:sz w:val="32"/>
          <w:szCs w:val="32"/>
        </w:rPr>
        <w:t>分配到甘海子生态文化旅游区建设补助750万元；分配到九寨沟县8.8灾后重建项目勿角民族生态试验区建设补助850万元。</w:t>
      </w:r>
    </w:p>
    <w:p>
      <w:pPr>
        <w:spacing w:line="500" w:lineRule="exact"/>
        <w:ind w:firstLine="640" w:firstLineChars="200"/>
        <w:rPr>
          <w:rFonts w:ascii="仿宋" w:eastAsia="仿宋"/>
          <w:sz w:val="32"/>
          <w:szCs w:val="32"/>
        </w:rPr>
      </w:pPr>
      <w:r>
        <w:rPr>
          <w:rFonts w:hint="eastAsia" w:ascii="仿宋" w:eastAsia="仿宋"/>
          <w:sz w:val="32"/>
          <w:szCs w:val="32"/>
        </w:rPr>
        <w:t>（4）、2018年5月21日，收到2018年省级旅游发展专项资金（第二批），补助资金50万元，用于大录乡大录村旅游基础服务设施建设。</w:t>
      </w:r>
    </w:p>
    <w:p>
      <w:pPr>
        <w:ind w:firstLine="640" w:firstLineChars="200"/>
        <w:rPr>
          <w:rFonts w:ascii="仿宋" w:eastAsia="仿宋"/>
          <w:sz w:val="32"/>
          <w:szCs w:val="32"/>
        </w:rPr>
      </w:pPr>
      <w:r>
        <w:rPr>
          <w:rFonts w:hint="eastAsia" w:ascii="仿宋" w:eastAsia="仿宋"/>
          <w:sz w:val="32"/>
          <w:szCs w:val="32"/>
        </w:rPr>
        <w:t>2.项目资金执行情况分析。</w:t>
      </w:r>
    </w:p>
    <w:p>
      <w:pPr>
        <w:ind w:firstLine="640" w:firstLineChars="200"/>
        <w:rPr>
          <w:rFonts w:ascii="仿宋" w:eastAsia="仿宋"/>
          <w:sz w:val="32"/>
          <w:szCs w:val="32"/>
        </w:rPr>
      </w:pPr>
      <w:r>
        <w:rPr>
          <w:rFonts w:hint="eastAsia" w:ascii="仿宋" w:eastAsia="仿宋"/>
          <w:sz w:val="32"/>
          <w:szCs w:val="32"/>
        </w:rPr>
        <w:t>（1）、2017年旅发展基金补助地方项目资金510万元，其中290万元用于九寨沟县8.8灾后重建项目勿角民族生态试验区建设补助，目前此项目正在实施阶段，该笔资金暂未使用，按项目工期安排，2019年年底用完工并支付；剩下220万元，用于九寨海子山生态旅游接待区项目的贷款利息，该资金已全部支付完。</w:t>
      </w:r>
    </w:p>
    <w:p>
      <w:pPr>
        <w:ind w:firstLine="640" w:firstLineChars="200"/>
        <w:rPr>
          <w:rFonts w:ascii="仿宋" w:eastAsia="仿宋"/>
          <w:sz w:val="32"/>
          <w:szCs w:val="32"/>
        </w:rPr>
      </w:pPr>
      <w:r>
        <w:rPr>
          <w:rFonts w:hint="eastAsia" w:ascii="仿宋" w:eastAsia="仿宋"/>
          <w:sz w:val="32"/>
          <w:szCs w:val="32"/>
        </w:rPr>
        <w:t>（2）、2018年6月，根据《九寨沟县财政局关于下达2017年旅游发展基金补助地方旅游厕所项目资金的通知》（九财行【2018】131号）文件，将2017年旅游发展基金补助地方旅游厕所项目资金1.75万元下达给我局实施旅游厕所新（改）建项目。2017年，我县新建旅游厕所1座，改建“第三卫生间”1座。按照旅游厕所建设要求，2017年旅游厕所统一由县住建局牵头实施，现已完成工程建设及资金支付。因此我局暂未安排使用，为避免旅游厕所新（改）建项目补助资金重复使用，恳请县财政局将2017年旅游发展基金补助地方旅游厕所项目资金1.75万元统筹整合，另行分配用于全县旅游厕所建设。</w:t>
      </w:r>
    </w:p>
    <w:p>
      <w:pPr>
        <w:ind w:firstLine="640" w:firstLineChars="200"/>
        <w:rPr>
          <w:rFonts w:ascii="仿宋" w:eastAsia="仿宋"/>
          <w:sz w:val="32"/>
          <w:szCs w:val="32"/>
        </w:rPr>
      </w:pPr>
      <w:r>
        <w:rPr>
          <w:rFonts w:hint="eastAsia" w:ascii="仿宋" w:eastAsia="仿宋"/>
          <w:sz w:val="32"/>
          <w:szCs w:val="32"/>
        </w:rPr>
        <w:t>（3）、2018年省级旅游发展专项资金1800万元，分配到九寨沟县全域旅游配套基础设施建设补助200万元</w:t>
      </w:r>
      <w:r>
        <w:rPr>
          <w:rFonts w:hint="eastAsia" w:ascii="仿宋" w:eastAsia="仿宋"/>
          <w:color w:val="000000"/>
          <w:sz w:val="32"/>
          <w:szCs w:val="32"/>
        </w:rPr>
        <w:t>，该项目完成投资193.8万元，完成支付58.14万元（从2130599-其他扶贫资金中支付）</w:t>
      </w:r>
      <w:r>
        <w:rPr>
          <w:rFonts w:hint="eastAsia" w:ascii="仿宋" w:eastAsia="仿宋"/>
          <w:sz w:val="32"/>
          <w:szCs w:val="32"/>
        </w:rPr>
        <w:t>按项目工期安排2019年年底用完工并支付；</w:t>
      </w:r>
      <w:r>
        <w:rPr>
          <w:rFonts w:hint="eastAsia" w:ascii="仿宋" w:eastAsia="仿宋"/>
          <w:color w:val="000000"/>
          <w:sz w:val="32"/>
          <w:szCs w:val="32"/>
        </w:rPr>
        <w:t>分配到甘海子生态文化</w:t>
      </w:r>
      <w:r>
        <w:rPr>
          <w:rFonts w:hint="eastAsia" w:ascii="仿宋" w:eastAsia="仿宋"/>
          <w:sz w:val="32"/>
          <w:szCs w:val="32"/>
        </w:rPr>
        <w:t>旅游区建设补助750万元，剩余529.582万元按项目工期安排2019年年底用完工并支付；分配到勿角民族生态旅游试验区建设项目850万元，剩余304.45万元按项目工期安排2019年年底用完工并支付。</w:t>
      </w:r>
    </w:p>
    <w:p>
      <w:pPr>
        <w:spacing w:line="500" w:lineRule="exact"/>
        <w:ind w:firstLine="640" w:firstLineChars="200"/>
        <w:rPr>
          <w:rFonts w:ascii="仿宋" w:eastAsia="仿宋"/>
          <w:sz w:val="32"/>
          <w:szCs w:val="32"/>
        </w:rPr>
      </w:pPr>
      <w:r>
        <w:rPr>
          <w:rFonts w:hint="eastAsia" w:ascii="仿宋" w:eastAsia="仿宋"/>
          <w:sz w:val="32"/>
          <w:szCs w:val="32"/>
        </w:rPr>
        <w:t>（4）、2018年省级旅游发展专项资金（第二批），补助资金50万元，用于大录乡大录村旅游基础服务设施建设。2018年11月底已完成生态停车场、绿化带、乡村旅游服务建设和游客中心设施设备采购工作，2018年12月5日通过了县级验收，12月中旬严格按照县级项目资金支付程序完成了补助资金支付工作。</w:t>
      </w:r>
    </w:p>
    <w:p>
      <w:pPr>
        <w:ind w:firstLine="640" w:firstLineChars="200"/>
        <w:rPr>
          <w:rFonts w:ascii="仿宋" w:eastAsia="仿宋"/>
          <w:sz w:val="32"/>
          <w:szCs w:val="32"/>
        </w:rPr>
      </w:pPr>
      <w:r>
        <w:rPr>
          <w:rFonts w:hint="eastAsia" w:ascii="仿宋" w:eastAsia="仿宋"/>
          <w:sz w:val="32"/>
          <w:szCs w:val="32"/>
        </w:rPr>
        <w:t>3.项目资金管理情况分析。</w:t>
      </w:r>
    </w:p>
    <w:p>
      <w:pPr>
        <w:pStyle w:val="15"/>
        <w:spacing w:line="500" w:lineRule="exact"/>
        <w:ind w:left="0" w:leftChars="0"/>
        <w:rPr>
          <w:rFonts w:ascii="仿宋" w:eastAsia="仿宋" w:cs="Times New Roman"/>
          <w:sz w:val="32"/>
          <w:szCs w:val="32"/>
        </w:rPr>
      </w:pPr>
      <w:r>
        <w:rPr>
          <w:rFonts w:hint="eastAsia" w:ascii="仿宋" w:eastAsia="仿宋" w:cs="Times New Roman"/>
          <w:sz w:val="32"/>
          <w:szCs w:val="32"/>
        </w:rPr>
        <w:t>旅游专项资金全部严格按照单位财务制度和预算支出范围使用。按照项目计划和实际工作情况开支，做到了专款专用，经费均按照有关文件、通知精神执行。</w:t>
      </w:r>
    </w:p>
    <w:p>
      <w:pPr>
        <w:ind w:firstLine="642" w:firstLineChars="200"/>
        <w:outlineLvl w:val="0"/>
        <w:rPr>
          <w:rFonts w:ascii="仿宋" w:eastAsia="仿宋"/>
          <w:sz w:val="32"/>
          <w:szCs w:val="32"/>
        </w:rPr>
      </w:pPr>
      <w:r>
        <w:rPr>
          <w:rFonts w:hint="eastAsia" w:ascii="仿宋" w:eastAsia="仿宋" w:cs="楷体_GB2312"/>
          <w:b/>
          <w:bCs/>
          <w:sz w:val="32"/>
          <w:szCs w:val="32"/>
        </w:rPr>
        <w:t>（二）绩效目标完成情况分析。</w:t>
      </w:r>
      <w:r>
        <w:rPr>
          <w:rFonts w:hint="eastAsia" w:ascii="仿宋" w:eastAsia="仿宋"/>
          <w:sz w:val="32"/>
          <w:szCs w:val="32"/>
        </w:rPr>
        <w:t>（根据年初绩效目标及指标逐项分析）</w:t>
      </w:r>
    </w:p>
    <w:p>
      <w:pPr>
        <w:ind w:firstLine="640" w:firstLineChars="200"/>
        <w:rPr>
          <w:rFonts w:ascii="仿宋" w:eastAsia="仿宋"/>
          <w:sz w:val="32"/>
          <w:szCs w:val="32"/>
        </w:rPr>
      </w:pPr>
      <w:r>
        <w:rPr>
          <w:rFonts w:hint="eastAsia" w:ascii="仿宋" w:eastAsia="仿宋"/>
          <w:sz w:val="32"/>
          <w:szCs w:val="32"/>
        </w:rPr>
        <w:t>2017年旅发展基金补助地方项目资金220万元，用于九寨海子山生态旅游接待区项目的贷款利息，该资金已全部支付完。</w:t>
      </w:r>
    </w:p>
    <w:p>
      <w:pPr>
        <w:ind w:firstLine="640" w:firstLineChars="200"/>
        <w:rPr>
          <w:rFonts w:ascii="仿宋" w:eastAsia="仿宋"/>
          <w:sz w:val="32"/>
          <w:szCs w:val="32"/>
        </w:rPr>
      </w:pPr>
      <w:r>
        <w:rPr>
          <w:rFonts w:hint="eastAsia" w:ascii="仿宋" w:eastAsia="仿宋"/>
          <w:sz w:val="32"/>
          <w:szCs w:val="32"/>
        </w:rPr>
        <w:t>1.产出指标完成情况分析。</w:t>
      </w:r>
    </w:p>
    <w:p>
      <w:pPr>
        <w:ind w:firstLine="640" w:firstLineChars="200"/>
        <w:rPr>
          <w:rFonts w:ascii="仿宋" w:eastAsia="仿宋"/>
          <w:sz w:val="32"/>
          <w:szCs w:val="32"/>
        </w:rPr>
      </w:pPr>
      <w:r>
        <w:rPr>
          <w:rFonts w:hint="eastAsia" w:ascii="仿宋" w:eastAsia="仿宋"/>
          <w:sz w:val="32"/>
          <w:szCs w:val="32"/>
        </w:rPr>
        <w:t>（1）数量指标。</w:t>
      </w:r>
    </w:p>
    <w:p>
      <w:pPr>
        <w:ind w:firstLine="640" w:firstLineChars="200"/>
        <w:rPr>
          <w:rFonts w:ascii="仿宋" w:eastAsia="仿宋"/>
          <w:sz w:val="32"/>
          <w:szCs w:val="32"/>
        </w:rPr>
      </w:pPr>
      <w:r>
        <w:rPr>
          <w:rFonts w:hint="eastAsia" w:ascii="仿宋" w:eastAsia="仿宋"/>
          <w:sz w:val="32"/>
          <w:szCs w:val="32"/>
        </w:rPr>
        <w:t>指标：一期：悦榕庄酒店、木屋雅舍、游客集散中心、游客接待中心，目前完成建设并投运。</w:t>
      </w:r>
    </w:p>
    <w:p>
      <w:pPr>
        <w:ind w:firstLine="640" w:firstLineChars="200"/>
        <w:rPr>
          <w:rFonts w:ascii="仿宋" w:eastAsia="仿宋"/>
          <w:sz w:val="32"/>
          <w:szCs w:val="32"/>
        </w:rPr>
      </w:pPr>
      <w:r>
        <w:rPr>
          <w:rFonts w:hint="eastAsia" w:ascii="仿宋" w:eastAsia="仿宋"/>
          <w:sz w:val="32"/>
          <w:szCs w:val="32"/>
        </w:rPr>
        <w:t>（2）质量指标。</w:t>
      </w:r>
    </w:p>
    <w:p>
      <w:pPr>
        <w:rPr>
          <w:rFonts w:ascii="仿宋" w:eastAsia="仿宋" w:cs="宋体"/>
          <w:kern w:val="0"/>
          <w:sz w:val="32"/>
          <w:szCs w:val="32"/>
        </w:rPr>
      </w:pPr>
      <w:r>
        <w:rPr>
          <w:rFonts w:hint="eastAsia" w:ascii="仿宋" w:eastAsia="仿宋"/>
          <w:sz w:val="32"/>
          <w:szCs w:val="32"/>
        </w:rPr>
        <w:t>指标1：世界级休闲旅游度假目的地，预期指标值是按AAAAA级景区，实际完成指标值已申报省级旅游度假目的地，因本年度九寨沟景区关闭暂缓继续申报。</w:t>
      </w:r>
    </w:p>
    <w:p>
      <w:pPr>
        <w:ind w:firstLine="640" w:firstLineChars="200"/>
        <w:rPr>
          <w:rFonts w:ascii="仿宋" w:eastAsia="仿宋"/>
          <w:sz w:val="32"/>
          <w:szCs w:val="32"/>
        </w:rPr>
      </w:pPr>
      <w:r>
        <w:rPr>
          <w:rFonts w:hint="eastAsia" w:ascii="仿宋" w:eastAsia="仿宋"/>
          <w:sz w:val="32"/>
          <w:szCs w:val="32"/>
        </w:rPr>
        <w:t>（3）时效指标。</w:t>
      </w:r>
    </w:p>
    <w:p>
      <w:pPr>
        <w:ind w:firstLine="640" w:firstLineChars="200"/>
        <w:rPr>
          <w:rFonts w:ascii="仿宋" w:eastAsia="仿宋"/>
          <w:sz w:val="32"/>
          <w:szCs w:val="32"/>
        </w:rPr>
      </w:pPr>
      <w:r>
        <w:rPr>
          <w:rFonts w:hint="eastAsia" w:ascii="仿宋" w:eastAsia="仿宋"/>
          <w:sz w:val="32"/>
          <w:szCs w:val="32"/>
        </w:rPr>
        <w:t>指标1：一期：悦榕庄酒店、木屋雅舍、游客集散中心、游客接待中心，已完成预期指标值。</w:t>
      </w:r>
    </w:p>
    <w:p>
      <w:pPr>
        <w:ind w:firstLine="640" w:firstLineChars="200"/>
        <w:rPr>
          <w:rFonts w:ascii="仿宋" w:eastAsia="仿宋"/>
          <w:sz w:val="32"/>
          <w:szCs w:val="32"/>
        </w:rPr>
      </w:pPr>
      <w:r>
        <w:rPr>
          <w:rFonts w:hint="eastAsia" w:ascii="仿宋" w:eastAsia="仿宋"/>
          <w:sz w:val="32"/>
          <w:szCs w:val="32"/>
        </w:rPr>
        <w:t>（4）成本指标。</w:t>
      </w:r>
    </w:p>
    <w:p>
      <w:pPr>
        <w:ind w:firstLine="640" w:firstLineChars="200"/>
        <w:rPr>
          <w:rFonts w:ascii="仿宋" w:eastAsia="仿宋"/>
          <w:sz w:val="32"/>
          <w:szCs w:val="32"/>
        </w:rPr>
      </w:pPr>
      <w:r>
        <w:rPr>
          <w:rFonts w:hint="eastAsia" w:ascii="仿宋" w:eastAsia="仿宋"/>
          <w:sz w:val="32"/>
          <w:szCs w:val="32"/>
        </w:rPr>
        <w:t>指标1：项目总投资，预期完成31.5亿元，实际完成大于等于18亿元。</w:t>
      </w:r>
    </w:p>
    <w:p>
      <w:pPr>
        <w:ind w:firstLine="640" w:firstLineChars="200"/>
        <w:rPr>
          <w:rFonts w:ascii="仿宋" w:eastAsia="仿宋"/>
          <w:sz w:val="32"/>
          <w:szCs w:val="32"/>
        </w:rPr>
      </w:pPr>
      <w:r>
        <w:rPr>
          <w:rFonts w:hint="eastAsia" w:ascii="仿宋" w:eastAsia="仿宋"/>
          <w:sz w:val="32"/>
          <w:szCs w:val="32"/>
        </w:rPr>
        <w:t>2.效益指标完成情况分析。</w:t>
      </w:r>
    </w:p>
    <w:p>
      <w:pPr>
        <w:ind w:firstLine="640" w:firstLineChars="200"/>
        <w:rPr>
          <w:rFonts w:ascii="仿宋" w:eastAsia="仿宋"/>
          <w:sz w:val="32"/>
          <w:szCs w:val="32"/>
        </w:rPr>
      </w:pPr>
      <w:r>
        <w:rPr>
          <w:rFonts w:hint="eastAsia" w:ascii="仿宋" w:eastAsia="仿宋"/>
          <w:sz w:val="32"/>
          <w:szCs w:val="32"/>
        </w:rPr>
        <w:t>（1）经济效益。</w:t>
      </w:r>
    </w:p>
    <w:p>
      <w:pPr>
        <w:ind w:firstLine="640" w:firstLineChars="200"/>
        <w:rPr>
          <w:rFonts w:ascii="仿宋" w:eastAsia="仿宋"/>
          <w:sz w:val="32"/>
          <w:szCs w:val="32"/>
        </w:rPr>
      </w:pPr>
      <w:r>
        <w:rPr>
          <w:rFonts w:hint="eastAsia" w:ascii="仿宋" w:eastAsia="仿宋"/>
          <w:sz w:val="32"/>
          <w:szCs w:val="32"/>
        </w:rPr>
        <w:t>指标1：静态回收期15年、总投资回报率69%、内部收益率24%，项目因九寨沟地震、泥石流及景区关闭原因，暂时处于停业状态。</w:t>
      </w:r>
    </w:p>
    <w:p>
      <w:pPr>
        <w:ind w:firstLine="640" w:firstLineChars="200"/>
        <w:rPr>
          <w:rFonts w:ascii="仿宋" w:eastAsia="仿宋"/>
          <w:sz w:val="32"/>
          <w:szCs w:val="32"/>
        </w:rPr>
      </w:pPr>
      <w:r>
        <w:rPr>
          <w:rFonts w:hint="eastAsia" w:ascii="仿宋" w:eastAsia="仿宋"/>
          <w:sz w:val="32"/>
          <w:szCs w:val="32"/>
        </w:rPr>
        <w:t>（2）社会效益。</w:t>
      </w:r>
    </w:p>
    <w:p>
      <w:pPr>
        <w:ind w:firstLine="640" w:firstLineChars="200"/>
        <w:rPr>
          <w:rFonts w:ascii="仿宋" w:eastAsia="仿宋"/>
          <w:sz w:val="32"/>
          <w:szCs w:val="32"/>
        </w:rPr>
      </w:pPr>
      <w:r>
        <w:rPr>
          <w:rFonts w:hint="eastAsia" w:ascii="仿宋" w:eastAsia="仿宋"/>
          <w:sz w:val="32"/>
          <w:szCs w:val="32"/>
        </w:rPr>
        <w:t>通过保华旅游的实施，当地村民的旅游发展模式从依靠景区到自主发展民宿等，对全域旅游有了新认识，从景区已延伸至保海路18公里沿线，保华旅游公司已成立，正在推进民宿示范建设，已开工。</w:t>
      </w:r>
    </w:p>
    <w:p>
      <w:pPr>
        <w:ind w:firstLine="640" w:firstLineChars="200"/>
        <w:rPr>
          <w:rFonts w:ascii="仿宋" w:eastAsia="仿宋"/>
          <w:sz w:val="32"/>
          <w:szCs w:val="32"/>
        </w:rPr>
      </w:pPr>
      <w:r>
        <w:rPr>
          <w:rFonts w:hint="eastAsia" w:ascii="仿宋" w:eastAsia="仿宋"/>
          <w:sz w:val="32"/>
          <w:szCs w:val="32"/>
        </w:rPr>
        <w:t>（3）生态效益。</w:t>
      </w:r>
    </w:p>
    <w:p>
      <w:pPr>
        <w:ind w:firstLine="800" w:firstLineChars="250"/>
        <w:rPr>
          <w:rFonts w:ascii="仿宋" w:eastAsia="仿宋"/>
          <w:sz w:val="32"/>
          <w:szCs w:val="32"/>
        </w:rPr>
      </w:pPr>
      <w:r>
        <w:rPr>
          <w:rFonts w:hint="eastAsia" w:ascii="仿宋" w:eastAsia="仿宋"/>
          <w:sz w:val="32"/>
          <w:szCs w:val="32"/>
        </w:rPr>
        <w:t>将长期实施可以持续发展的旅游度假区、绿色旅游度假示范区和生态旅游示范区。</w:t>
      </w:r>
    </w:p>
    <w:p>
      <w:pPr>
        <w:ind w:firstLine="640" w:firstLineChars="200"/>
        <w:rPr>
          <w:rFonts w:ascii="仿宋" w:eastAsia="仿宋"/>
          <w:sz w:val="32"/>
          <w:szCs w:val="32"/>
        </w:rPr>
      </w:pPr>
      <w:r>
        <w:rPr>
          <w:rFonts w:hint="eastAsia" w:ascii="仿宋" w:eastAsia="仿宋"/>
          <w:sz w:val="32"/>
          <w:szCs w:val="32"/>
        </w:rPr>
        <w:t>（4）可持续影响。</w:t>
      </w:r>
    </w:p>
    <w:p>
      <w:pPr>
        <w:ind w:firstLine="800" w:firstLineChars="250"/>
        <w:rPr>
          <w:rFonts w:ascii="仿宋" w:eastAsia="仿宋"/>
          <w:sz w:val="32"/>
          <w:szCs w:val="32"/>
        </w:rPr>
      </w:pPr>
      <w:r>
        <w:rPr>
          <w:rFonts w:hint="eastAsia" w:ascii="仿宋" w:eastAsia="仿宋"/>
          <w:sz w:val="32"/>
          <w:szCs w:val="32"/>
        </w:rPr>
        <w:t>将长期推动全域旅游发展。</w:t>
      </w:r>
    </w:p>
    <w:p>
      <w:pPr>
        <w:ind w:firstLine="640" w:firstLineChars="200"/>
        <w:rPr>
          <w:rFonts w:ascii="仿宋" w:eastAsia="仿宋"/>
          <w:sz w:val="32"/>
          <w:szCs w:val="32"/>
        </w:rPr>
      </w:pPr>
      <w:r>
        <w:rPr>
          <w:rFonts w:hint="eastAsia" w:ascii="仿宋" w:eastAsia="仿宋"/>
          <w:sz w:val="32"/>
          <w:szCs w:val="32"/>
        </w:rPr>
        <w:t>3.满意度指标完成情况分析。</w:t>
      </w:r>
    </w:p>
    <w:p>
      <w:pPr>
        <w:ind w:firstLine="640" w:firstLineChars="200"/>
        <w:rPr>
          <w:rFonts w:ascii="仿宋" w:eastAsia="仿宋"/>
          <w:sz w:val="32"/>
          <w:szCs w:val="32"/>
        </w:rPr>
      </w:pPr>
      <w:r>
        <w:rPr>
          <w:rFonts w:hint="eastAsia" w:ascii="仿宋" w:eastAsia="仿宋"/>
          <w:sz w:val="32"/>
          <w:szCs w:val="32"/>
        </w:rPr>
        <w:t xml:space="preserve">  基础设施建设群众和旅游度假目的地客人满意度大于等于90%。</w:t>
      </w:r>
    </w:p>
    <w:p>
      <w:pPr>
        <w:ind w:firstLine="640" w:firstLineChars="200"/>
        <w:rPr>
          <w:rFonts w:ascii="仿宋" w:eastAsia="仿宋" w:cs="黑体"/>
          <w:bCs/>
          <w:sz w:val="32"/>
          <w:szCs w:val="32"/>
        </w:rPr>
      </w:pPr>
      <w:r>
        <w:rPr>
          <w:rFonts w:hint="eastAsia" w:ascii="仿宋" w:eastAsia="仿宋" w:cs="黑体"/>
          <w:bCs/>
          <w:sz w:val="32"/>
          <w:szCs w:val="32"/>
        </w:rPr>
        <w:t>三、偏离绩效目标的原因和下一步改进措施</w:t>
      </w:r>
    </w:p>
    <w:p>
      <w:pPr>
        <w:pStyle w:val="15"/>
        <w:spacing w:line="500" w:lineRule="exact"/>
        <w:ind w:left="0" w:leftChars="0"/>
        <w:rPr>
          <w:rFonts w:ascii="仿宋" w:eastAsia="仿宋" w:cs="Times New Roman"/>
          <w:sz w:val="32"/>
          <w:szCs w:val="32"/>
        </w:rPr>
      </w:pPr>
      <w:r>
        <w:rPr>
          <w:rFonts w:hint="eastAsia" w:ascii="仿宋" w:eastAsia="仿宋" w:cs="Times New Roman"/>
          <w:sz w:val="32"/>
          <w:szCs w:val="32"/>
        </w:rPr>
        <w:t>1、2017年旅游发展基金补助地方项目资金1.75万元。下一步将对接县财政局将2017年旅游发展基金补助地方旅游厕所项目资金1.75万元统筹整合，另行分配用于全县旅游厕所建设；</w:t>
      </w:r>
    </w:p>
    <w:p>
      <w:pPr>
        <w:ind w:firstLine="640" w:firstLineChars="200"/>
        <w:rPr>
          <w:rFonts w:ascii="仿宋" w:eastAsia="仿宋"/>
          <w:sz w:val="32"/>
          <w:szCs w:val="32"/>
        </w:rPr>
      </w:pPr>
      <w:r>
        <w:rPr>
          <w:rFonts w:hint="eastAsia" w:ascii="仿宋" w:eastAsia="仿宋"/>
          <w:sz w:val="32"/>
          <w:szCs w:val="32"/>
        </w:rPr>
        <w:t>3、九寨沟县全域旅游配套基础设施建设项目目前按施工计划有序推进，按项目工期安排2019年年底用完工并支付。</w:t>
      </w:r>
    </w:p>
    <w:p>
      <w:pPr>
        <w:ind w:firstLine="640" w:firstLineChars="200"/>
        <w:rPr>
          <w:rFonts w:ascii="仿宋" w:eastAsia="仿宋"/>
          <w:sz w:val="32"/>
          <w:szCs w:val="32"/>
        </w:rPr>
      </w:pPr>
      <w:r>
        <w:rPr>
          <w:rFonts w:hint="eastAsia" w:ascii="仿宋" w:eastAsia="仿宋"/>
          <w:sz w:val="32"/>
          <w:szCs w:val="32"/>
        </w:rPr>
        <w:t>4、甘海子生态文化旅游区建设分 一、二期进行建设，一期施工时间是2018.11—2019.8；二期是2020年8月完工；按项目进度拨付资金。</w:t>
      </w:r>
    </w:p>
    <w:p>
      <w:pPr>
        <w:ind w:firstLine="640" w:firstLineChars="200"/>
        <w:rPr>
          <w:rFonts w:ascii="仿宋" w:eastAsia="仿宋"/>
          <w:sz w:val="32"/>
          <w:szCs w:val="32"/>
        </w:rPr>
      </w:pPr>
      <w:r>
        <w:rPr>
          <w:rFonts w:hint="eastAsia" w:ascii="仿宋" w:eastAsia="仿宋"/>
          <w:sz w:val="32"/>
          <w:szCs w:val="32"/>
        </w:rPr>
        <w:t>现已办理前期要件16个，已完成施工监理招投标等；正在积极协调解决项目建设用地涉及九寨天堂土地问题、“三通一平”电缆敷设和变压器安装、与川九路指挥部协调解决从甘海子口至甲蕃古城口段的骑游道（3米宽骑游道+2米宽绿化带）建设、咨询中心需增项消防设计等问题；按程序上报县级相关部门审批工程变更手续；尽快与川九路指挥部协调沟通骑游道建设事宜；紧盯目标任务，倒排工期，压实责任，加强督查和协调沟通，及时处理项目建设过程中出现的问题；加强项目建设监管，确保按时保质完成重建任务；</w:t>
      </w:r>
    </w:p>
    <w:p>
      <w:pPr>
        <w:ind w:firstLine="640" w:firstLineChars="200"/>
        <w:rPr>
          <w:rFonts w:ascii="仿宋" w:eastAsia="仿宋"/>
          <w:sz w:val="32"/>
          <w:szCs w:val="32"/>
        </w:rPr>
      </w:pPr>
      <w:r>
        <w:rPr>
          <w:rFonts w:hint="eastAsia" w:ascii="仿宋" w:eastAsia="仿宋"/>
          <w:sz w:val="32"/>
          <w:szCs w:val="32"/>
        </w:rPr>
        <w:t>5、甘海子生态文化旅游区建设分 一、二期进行建设，一期施工时间是2018.11—2019.8；二期是2020年8月完工；按项目进度拨付资金。</w:t>
      </w:r>
    </w:p>
    <w:p>
      <w:pPr>
        <w:ind w:firstLine="640" w:firstLineChars="200"/>
        <w:rPr>
          <w:rFonts w:ascii="仿宋" w:eastAsia="仿宋"/>
          <w:sz w:val="32"/>
          <w:szCs w:val="32"/>
        </w:rPr>
      </w:pPr>
      <w:r>
        <w:rPr>
          <w:rFonts w:hint="eastAsia" w:ascii="仿宋" w:eastAsia="仿宋"/>
          <w:sz w:val="32"/>
          <w:szCs w:val="32"/>
        </w:rPr>
        <w:t>5、勿角民族生态旅游试验区建设项目850万元，剩余304.45万元，已完成全部前期要件办理，施工监理招投标等，目前按施工计划有序推进。</w:t>
      </w:r>
    </w:p>
    <w:p>
      <w:pPr>
        <w:spacing w:line="600" w:lineRule="exact"/>
        <w:outlineLvl w:val="0"/>
        <w:rPr>
          <w:rFonts w:ascii="仿宋" w:eastAsia="仿宋"/>
          <w:color w:val="000000"/>
          <w:sz w:val="32"/>
          <w:szCs w:val="32"/>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20"/>
          <w:rFonts w:ascii="黑体" w:eastAsia="黑体"/>
          <w:b w:val="0"/>
        </w:rPr>
      </w:pPr>
      <w:r>
        <w:rPr>
          <w:rFonts w:hint="eastAsia" w:ascii="黑体" w:eastAsia="黑体"/>
          <w:color w:val="000000"/>
          <w:sz w:val="44"/>
          <w:szCs w:val="44"/>
        </w:rPr>
        <w:t>第</w:t>
      </w:r>
      <w:r>
        <w:rPr>
          <w:rStyle w:val="20"/>
          <w:rFonts w:hint="eastAsia" w:ascii="黑体" w:eastAsia="黑体"/>
          <w:b w:val="0"/>
        </w:rPr>
        <w:t>五部分 附表</w:t>
      </w:r>
      <w:bookmarkEnd w:id="58"/>
      <w:bookmarkEnd w:id="61"/>
    </w:p>
    <w:p>
      <w:pPr>
        <w:spacing w:line="600" w:lineRule="exact"/>
        <w:jc w:val="center"/>
        <w:outlineLvl w:val="0"/>
        <w:rPr>
          <w:rFonts w:ascii="仿宋" w:eastAsia="仿宋"/>
          <w:b/>
          <w:color w:val="000000"/>
          <w:sz w:val="44"/>
          <w:szCs w:val="44"/>
        </w:rPr>
      </w:pPr>
    </w:p>
    <w:p>
      <w:pPr>
        <w:pStyle w:val="3"/>
        <w:rPr>
          <w:rFonts w:ascii="仿宋" w:eastAsia="仿宋"/>
          <w:color w:val="000000"/>
        </w:rPr>
      </w:pPr>
      <w:bookmarkStart w:id="62" w:name="_Toc15396619"/>
      <w:r>
        <w:rPr>
          <w:rFonts w:hint="eastAsia" w:ascii="仿宋" w:eastAsia="仿宋"/>
          <w:b w:val="0"/>
          <w:color w:val="000000"/>
        </w:rPr>
        <w:t>一、收</w:t>
      </w:r>
      <w:r>
        <w:rPr>
          <w:rStyle w:val="21"/>
          <w:rFonts w:hint="eastAsia" w:ascii="仿宋" w:eastAsia="仿宋"/>
          <w:b w:val="0"/>
          <w:bCs w:val="0"/>
        </w:rPr>
        <w:t>入支出决算总表</w:t>
      </w:r>
      <w:bookmarkEnd w:id="62"/>
    </w:p>
    <w:p>
      <w:pPr>
        <w:pStyle w:val="3"/>
        <w:rPr>
          <w:rFonts w:ascii="仿宋" w:eastAsia="仿宋"/>
          <w:color w:val="000000"/>
        </w:rPr>
      </w:pPr>
      <w:bookmarkStart w:id="63" w:name="_Toc15396620"/>
      <w:r>
        <w:rPr>
          <w:rFonts w:hint="eastAsia" w:ascii="仿宋" w:eastAsia="仿宋"/>
          <w:b w:val="0"/>
          <w:color w:val="000000"/>
        </w:rPr>
        <w:t>二、收</w:t>
      </w:r>
      <w:r>
        <w:rPr>
          <w:rStyle w:val="21"/>
          <w:rFonts w:hint="eastAsia" w:ascii="仿宋" w:eastAsia="仿宋"/>
          <w:b w:val="0"/>
          <w:bCs w:val="0"/>
        </w:rPr>
        <w:t>入总表</w:t>
      </w:r>
      <w:bookmarkEnd w:id="63"/>
    </w:p>
    <w:p>
      <w:pPr>
        <w:pStyle w:val="3"/>
        <w:rPr>
          <w:rFonts w:ascii="仿宋" w:eastAsia="仿宋"/>
          <w:color w:val="000000"/>
        </w:rPr>
      </w:pPr>
      <w:bookmarkStart w:id="64" w:name="_Toc15396621"/>
      <w:r>
        <w:rPr>
          <w:rStyle w:val="21"/>
          <w:rFonts w:hint="eastAsia" w:ascii="仿宋" w:eastAsia="仿宋"/>
          <w:b w:val="0"/>
          <w:bCs w:val="0"/>
        </w:rPr>
        <w:t>三、</w:t>
      </w:r>
      <w:r>
        <w:rPr>
          <w:rFonts w:hint="eastAsia" w:ascii="仿宋" w:eastAsia="仿宋"/>
          <w:b w:val="0"/>
          <w:color w:val="000000"/>
        </w:rPr>
        <w:t>支</w:t>
      </w:r>
      <w:r>
        <w:rPr>
          <w:rStyle w:val="21"/>
          <w:rFonts w:hint="eastAsia" w:ascii="仿宋" w:eastAsia="仿宋"/>
          <w:b w:val="0"/>
          <w:bCs w:val="0"/>
        </w:rPr>
        <w:t>出总表</w:t>
      </w:r>
      <w:bookmarkEnd w:id="64"/>
    </w:p>
    <w:p>
      <w:pPr>
        <w:pStyle w:val="3"/>
        <w:rPr>
          <w:rFonts w:ascii="仿宋" w:eastAsia="仿宋"/>
          <w:b w:val="0"/>
          <w:color w:val="000000"/>
        </w:rPr>
      </w:pPr>
      <w:bookmarkStart w:id="65" w:name="_Toc15396622"/>
      <w:r>
        <w:rPr>
          <w:rStyle w:val="21"/>
          <w:rFonts w:hint="eastAsia" w:ascii="仿宋" w:eastAsia="仿宋"/>
          <w:b w:val="0"/>
          <w:bCs w:val="0"/>
        </w:rPr>
        <w:t>四、</w:t>
      </w:r>
      <w:r>
        <w:rPr>
          <w:rFonts w:hint="eastAsia" w:ascii="仿宋" w:eastAsia="仿宋"/>
          <w:b w:val="0"/>
          <w:color w:val="000000"/>
        </w:rPr>
        <w:t>财</w:t>
      </w:r>
      <w:r>
        <w:rPr>
          <w:rStyle w:val="21"/>
          <w:rFonts w:hint="eastAsia" w:ascii="仿宋" w:eastAsia="仿宋"/>
          <w:b w:val="0"/>
          <w:bCs w:val="0"/>
        </w:rPr>
        <w:t>政拨款收入支出决算总表</w:t>
      </w:r>
      <w:bookmarkEnd w:id="65"/>
    </w:p>
    <w:p>
      <w:pPr>
        <w:pStyle w:val="3"/>
        <w:rPr>
          <w:rFonts w:ascii="仿宋" w:eastAsia="仿宋"/>
          <w:color w:val="000000"/>
        </w:rPr>
      </w:pPr>
      <w:bookmarkStart w:id="66" w:name="_Toc15396623"/>
      <w:r>
        <w:rPr>
          <w:rStyle w:val="21"/>
          <w:rFonts w:hint="eastAsia" w:ascii="仿宋" w:eastAsia="仿宋"/>
          <w:b w:val="0"/>
          <w:bCs w:val="0"/>
        </w:rPr>
        <w:t>五、</w:t>
      </w:r>
      <w:r>
        <w:rPr>
          <w:rFonts w:hint="eastAsia" w:ascii="仿宋" w:eastAsia="仿宋"/>
          <w:b w:val="0"/>
          <w:color w:val="000000"/>
        </w:rPr>
        <w:t>财</w:t>
      </w:r>
      <w:r>
        <w:rPr>
          <w:rStyle w:val="21"/>
          <w:rFonts w:hint="eastAsia" w:ascii="仿宋" w:eastAsia="仿宋"/>
          <w:b w:val="0"/>
          <w:bCs w:val="0"/>
        </w:rPr>
        <w:t>政拨款支出决算明细表（政府经济分类科目）</w:t>
      </w:r>
      <w:bookmarkEnd w:id="66"/>
    </w:p>
    <w:p>
      <w:pPr>
        <w:pStyle w:val="3"/>
        <w:rPr>
          <w:rFonts w:ascii="仿宋" w:eastAsia="仿宋"/>
          <w:color w:val="000000"/>
        </w:rPr>
      </w:pPr>
      <w:bookmarkStart w:id="67" w:name="_Toc15396624"/>
      <w:r>
        <w:rPr>
          <w:rStyle w:val="21"/>
          <w:rFonts w:hint="eastAsia" w:ascii="仿宋" w:eastAsia="仿宋"/>
          <w:b w:val="0"/>
          <w:bCs w:val="0"/>
        </w:rPr>
        <w:t>六、</w:t>
      </w:r>
      <w:r>
        <w:rPr>
          <w:rFonts w:hint="eastAsia" w:ascii="仿宋" w:eastAsia="仿宋"/>
          <w:b w:val="0"/>
          <w:color w:val="000000"/>
        </w:rPr>
        <w:t>一</w:t>
      </w:r>
      <w:r>
        <w:rPr>
          <w:rStyle w:val="21"/>
          <w:rFonts w:hint="eastAsia" w:ascii="仿宋" w:eastAsia="仿宋"/>
          <w:b w:val="0"/>
          <w:bCs w:val="0"/>
        </w:rPr>
        <w:t>般公共预算财政拨款支出决算表</w:t>
      </w:r>
      <w:bookmarkEnd w:id="67"/>
    </w:p>
    <w:p>
      <w:pPr>
        <w:pStyle w:val="3"/>
        <w:rPr>
          <w:rFonts w:ascii="仿宋" w:eastAsia="仿宋"/>
          <w:color w:val="000000"/>
        </w:rPr>
      </w:pPr>
      <w:bookmarkStart w:id="68" w:name="_Toc15396625"/>
      <w:r>
        <w:rPr>
          <w:rStyle w:val="21"/>
          <w:rFonts w:hint="eastAsia" w:ascii="仿宋" w:eastAsia="仿宋"/>
          <w:b w:val="0"/>
          <w:bCs w:val="0"/>
        </w:rPr>
        <w:t>七、</w:t>
      </w:r>
      <w:r>
        <w:rPr>
          <w:rFonts w:hint="eastAsia" w:ascii="仿宋" w:eastAsia="仿宋"/>
          <w:b w:val="0"/>
          <w:color w:val="000000"/>
        </w:rPr>
        <w:t>一</w:t>
      </w:r>
      <w:r>
        <w:rPr>
          <w:rStyle w:val="21"/>
          <w:rFonts w:hint="eastAsia" w:ascii="仿宋" w:eastAsia="仿宋"/>
          <w:b w:val="0"/>
          <w:bCs w:val="0"/>
        </w:rPr>
        <w:t>般公共预算财政拨款支出决算明细表</w:t>
      </w:r>
      <w:bookmarkEnd w:id="68"/>
    </w:p>
    <w:p>
      <w:pPr>
        <w:pStyle w:val="3"/>
        <w:rPr>
          <w:rFonts w:ascii="仿宋" w:eastAsia="仿宋"/>
          <w:color w:val="000000"/>
        </w:rPr>
      </w:pPr>
      <w:bookmarkStart w:id="69" w:name="_Toc15396626"/>
      <w:r>
        <w:rPr>
          <w:rStyle w:val="21"/>
          <w:rFonts w:hint="eastAsia" w:ascii="仿宋" w:eastAsia="仿宋"/>
          <w:b w:val="0"/>
          <w:bCs w:val="0"/>
        </w:rPr>
        <w:t>八、</w:t>
      </w:r>
      <w:r>
        <w:rPr>
          <w:rFonts w:hint="eastAsia" w:ascii="仿宋" w:eastAsia="仿宋"/>
          <w:b w:val="0"/>
          <w:color w:val="000000"/>
        </w:rPr>
        <w:t>一</w:t>
      </w:r>
      <w:r>
        <w:rPr>
          <w:rStyle w:val="21"/>
          <w:rFonts w:hint="eastAsia" w:ascii="仿宋" w:eastAsia="仿宋"/>
          <w:b w:val="0"/>
          <w:bCs w:val="0"/>
        </w:rPr>
        <w:t>般公共预算财政拨款基本支出决算表</w:t>
      </w:r>
      <w:bookmarkEnd w:id="69"/>
    </w:p>
    <w:p>
      <w:pPr>
        <w:pStyle w:val="3"/>
        <w:rPr>
          <w:rFonts w:ascii="仿宋" w:eastAsia="仿宋"/>
          <w:color w:val="000000"/>
        </w:rPr>
      </w:pPr>
      <w:bookmarkStart w:id="70" w:name="_Toc15396627"/>
      <w:r>
        <w:rPr>
          <w:rStyle w:val="21"/>
          <w:rFonts w:hint="eastAsia" w:ascii="仿宋" w:eastAsia="仿宋"/>
          <w:b w:val="0"/>
          <w:bCs w:val="0"/>
        </w:rPr>
        <w:t>九、</w:t>
      </w:r>
      <w:r>
        <w:rPr>
          <w:rFonts w:hint="eastAsia" w:ascii="仿宋" w:eastAsia="仿宋"/>
          <w:b w:val="0"/>
          <w:color w:val="000000"/>
        </w:rPr>
        <w:t>一</w:t>
      </w:r>
      <w:r>
        <w:rPr>
          <w:rStyle w:val="21"/>
          <w:rFonts w:hint="eastAsia" w:ascii="仿宋" w:eastAsia="仿宋"/>
          <w:b w:val="0"/>
          <w:bCs w:val="0"/>
        </w:rPr>
        <w:t>般公共预算财政拨款项目支出决算表</w:t>
      </w:r>
      <w:bookmarkEnd w:id="70"/>
    </w:p>
    <w:p>
      <w:pPr>
        <w:pStyle w:val="3"/>
        <w:rPr>
          <w:rFonts w:ascii="仿宋" w:eastAsia="仿宋"/>
          <w:color w:val="000000"/>
        </w:rPr>
      </w:pPr>
      <w:bookmarkStart w:id="71" w:name="_Toc15396628"/>
      <w:r>
        <w:rPr>
          <w:rStyle w:val="21"/>
          <w:rFonts w:hint="eastAsia" w:ascii="仿宋" w:eastAsia="仿宋"/>
          <w:b w:val="0"/>
          <w:bCs w:val="0"/>
        </w:rPr>
        <w:t>十、</w:t>
      </w:r>
      <w:r>
        <w:rPr>
          <w:rFonts w:hint="eastAsia" w:ascii="仿宋" w:eastAsia="仿宋"/>
          <w:b w:val="0"/>
          <w:color w:val="000000"/>
        </w:rPr>
        <w:t>一</w:t>
      </w:r>
      <w:r>
        <w:rPr>
          <w:rStyle w:val="21"/>
          <w:rFonts w:hint="eastAsia" w:ascii="仿宋" w:eastAsia="仿宋"/>
          <w:b w:val="0"/>
          <w:bCs w:val="0"/>
        </w:rPr>
        <w:t>般公共预算财政拨款“三公”经费支出决算表</w:t>
      </w:r>
      <w:bookmarkEnd w:id="71"/>
    </w:p>
    <w:p>
      <w:pPr>
        <w:pStyle w:val="3"/>
        <w:rPr>
          <w:rFonts w:ascii="仿宋" w:eastAsia="仿宋"/>
          <w:color w:val="000000"/>
        </w:rPr>
      </w:pPr>
      <w:bookmarkStart w:id="72" w:name="_Toc15396629"/>
      <w:r>
        <w:rPr>
          <w:rStyle w:val="21"/>
          <w:rFonts w:hint="eastAsia" w:ascii="仿宋" w:eastAsia="仿宋"/>
          <w:b w:val="0"/>
          <w:bCs w:val="0"/>
        </w:rPr>
        <w:t>十一、</w:t>
      </w:r>
      <w:r>
        <w:rPr>
          <w:rFonts w:hint="eastAsia" w:ascii="仿宋" w:eastAsia="仿宋"/>
          <w:b w:val="0"/>
          <w:color w:val="000000"/>
        </w:rPr>
        <w:t>政</w:t>
      </w:r>
      <w:r>
        <w:rPr>
          <w:rStyle w:val="21"/>
          <w:rFonts w:hint="eastAsia" w:ascii="仿宋" w:eastAsia="仿宋"/>
          <w:b w:val="0"/>
          <w:bCs w:val="0"/>
        </w:rPr>
        <w:t>府性基金预算财政拨款收入支出决算表</w:t>
      </w:r>
      <w:bookmarkEnd w:id="72"/>
    </w:p>
    <w:p>
      <w:pPr>
        <w:pStyle w:val="3"/>
        <w:rPr>
          <w:rFonts w:ascii="仿宋" w:eastAsia="仿宋"/>
          <w:color w:val="000000"/>
        </w:rPr>
      </w:pPr>
      <w:bookmarkStart w:id="73" w:name="_Toc15396630"/>
      <w:r>
        <w:rPr>
          <w:rStyle w:val="21"/>
          <w:rFonts w:hint="eastAsia" w:ascii="仿宋" w:eastAsia="仿宋"/>
          <w:b w:val="0"/>
          <w:bCs w:val="0"/>
        </w:rPr>
        <w:t>十二、</w:t>
      </w:r>
      <w:r>
        <w:rPr>
          <w:rFonts w:hint="eastAsia" w:ascii="仿宋" w:eastAsia="仿宋"/>
          <w:b w:val="0"/>
          <w:color w:val="000000"/>
        </w:rPr>
        <w:t>政</w:t>
      </w:r>
      <w:r>
        <w:rPr>
          <w:rStyle w:val="21"/>
          <w:rFonts w:hint="eastAsia" w:ascii="仿宋" w:eastAsia="仿宋"/>
          <w:b w:val="0"/>
          <w:bCs w:val="0"/>
        </w:rPr>
        <w:t>府性基金预算财政拨款“三公”经费支出决算表</w:t>
      </w:r>
      <w:bookmarkEnd w:id="73"/>
    </w:p>
    <w:p>
      <w:pPr>
        <w:pStyle w:val="3"/>
        <w:rPr>
          <w:rFonts w:ascii="仿宋" w:eastAsia="仿宋"/>
          <w:color w:val="000000"/>
        </w:rPr>
      </w:pPr>
      <w:bookmarkStart w:id="74" w:name="_Toc15396631"/>
      <w:r>
        <w:rPr>
          <w:rStyle w:val="21"/>
          <w:rFonts w:hint="eastAsia" w:ascii="仿宋" w:eastAsia="仿宋"/>
          <w:b w:val="0"/>
          <w:bCs w:val="0"/>
        </w:rPr>
        <w:t>十三、</w:t>
      </w:r>
      <w:r>
        <w:rPr>
          <w:rFonts w:hint="eastAsia" w:ascii="仿宋" w:eastAsia="仿宋"/>
          <w:b w:val="0"/>
          <w:color w:val="000000"/>
        </w:rPr>
        <w:t>国</w:t>
      </w:r>
      <w:r>
        <w:rPr>
          <w:rStyle w:val="21"/>
          <w:rFonts w:hint="eastAsia" w:ascii="仿宋" w:eastAsia="仿宋"/>
          <w:b w:val="0"/>
          <w:bCs w:val="0"/>
        </w:rPr>
        <w:t>有资本经营预算支出决算表</w:t>
      </w:r>
      <w:bookmarkEnd w:id="74"/>
    </w:p>
    <w:sectPr>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A00002BF" w:usb1="38CF7CFA" w:usb2="00082016" w:usb3="00000000" w:csb0="00040001" w:csb1="00000000"/>
  </w:font>
  <w:font w:name="方正小标宋简体">
    <w:altName w:val="方正小标宋_GBK"/>
    <w:panose1 w:val="02010601030101010101"/>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27</w:t>
    </w:r>
    <w:r>
      <w:rPr>
        <w:lang w:val="zh-CN"/>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9D86CD"/>
    <w:multiLevelType w:val="singleLevel"/>
    <w:tmpl w:val="949D86CD"/>
    <w:lvl w:ilvl="0" w:tentative="0">
      <w:start w:val="1"/>
      <w:numFmt w:val="chineseCounting"/>
      <w:suff w:val="nothing"/>
      <w:lvlText w:val="（%1）"/>
      <w:lvlJc w:val="left"/>
      <w:pPr>
        <w:tabs>
          <w:tab w:val="left" w:pos="0"/>
        </w:tabs>
        <w:ind w:left="0" w:firstLine="0"/>
      </w:pPr>
      <w:rPr>
        <w:rFonts w:hint="eastAsia"/>
      </w:rPr>
    </w:lvl>
  </w:abstractNum>
  <w:abstractNum w:abstractNumId="1">
    <w:nsid w:val="ACBFC978"/>
    <w:multiLevelType w:val="singleLevel"/>
    <w:tmpl w:val="ACBFC978"/>
    <w:lvl w:ilvl="0" w:tentative="0">
      <w:start w:val="1"/>
      <w:numFmt w:val="chineseCounting"/>
      <w:suff w:val="nothing"/>
      <w:lvlText w:val="（%1）"/>
      <w:lvlJc w:val="left"/>
      <w:pPr>
        <w:tabs>
          <w:tab w:val="left" w:pos="0"/>
        </w:tabs>
        <w:ind w:left="0" w:firstLine="0"/>
      </w:pPr>
      <w:rPr>
        <w:rFonts w:hint="eastAsia"/>
      </w:rPr>
    </w:lvl>
  </w:abstractNum>
  <w:abstractNum w:abstractNumId="2">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3">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4">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66AD5181"/>
    <w:multiLevelType w:val="multilevel"/>
    <w:tmpl w:val="66AD5181"/>
    <w:lvl w:ilvl="0" w:tentative="0">
      <w:start w:val="1"/>
      <w:numFmt w:val="japaneseCounting"/>
      <w:lvlText w:val="%1、"/>
      <w:lvlJc w:val="left"/>
      <w:pPr>
        <w:tabs>
          <w:tab w:val="left" w:pos="0"/>
        </w:tabs>
        <w:ind w:left="1440" w:hanging="720"/>
      </w:pPr>
      <w:rPr>
        <w:rFonts w:hint="default" w:cs="Times New Roman"/>
        <w:color w:val="000000"/>
      </w:rPr>
    </w:lvl>
    <w:lvl w:ilvl="1" w:tentative="0">
      <w:start w:val="1"/>
      <w:numFmt w:val="lowerLetter"/>
      <w:lvlText w:val="%2)"/>
      <w:lvlJc w:val="left"/>
      <w:pPr>
        <w:tabs>
          <w:tab w:val="left" w:pos="0"/>
        </w:tabs>
        <w:ind w:left="1560" w:hanging="420"/>
      </w:pPr>
    </w:lvl>
    <w:lvl w:ilvl="2" w:tentative="0">
      <w:start w:val="1"/>
      <w:numFmt w:val="lowerRoman"/>
      <w:lvlText w:val="%3."/>
      <w:lvlJc w:val="right"/>
      <w:pPr>
        <w:tabs>
          <w:tab w:val="left" w:pos="0"/>
        </w:tabs>
        <w:ind w:left="1980" w:hanging="420"/>
      </w:pPr>
    </w:lvl>
    <w:lvl w:ilvl="3" w:tentative="0">
      <w:start w:val="1"/>
      <w:numFmt w:val="decimal"/>
      <w:lvlText w:val="%4."/>
      <w:lvlJc w:val="left"/>
      <w:pPr>
        <w:tabs>
          <w:tab w:val="left" w:pos="0"/>
        </w:tabs>
        <w:ind w:left="2400" w:hanging="420"/>
      </w:pPr>
    </w:lvl>
    <w:lvl w:ilvl="4" w:tentative="0">
      <w:start w:val="1"/>
      <w:numFmt w:val="lowerLetter"/>
      <w:lvlText w:val="%5)"/>
      <w:lvlJc w:val="left"/>
      <w:pPr>
        <w:tabs>
          <w:tab w:val="left" w:pos="0"/>
        </w:tabs>
        <w:ind w:left="2820" w:hanging="420"/>
      </w:pPr>
    </w:lvl>
    <w:lvl w:ilvl="5" w:tentative="0">
      <w:start w:val="1"/>
      <w:numFmt w:val="lowerRoman"/>
      <w:lvlText w:val="%6."/>
      <w:lvlJc w:val="right"/>
      <w:pPr>
        <w:tabs>
          <w:tab w:val="left" w:pos="0"/>
        </w:tabs>
        <w:ind w:left="3240" w:hanging="420"/>
      </w:pPr>
    </w:lvl>
    <w:lvl w:ilvl="6" w:tentative="0">
      <w:start w:val="1"/>
      <w:numFmt w:val="decimal"/>
      <w:lvlText w:val="%7."/>
      <w:lvlJc w:val="left"/>
      <w:pPr>
        <w:tabs>
          <w:tab w:val="left" w:pos="0"/>
        </w:tabs>
        <w:ind w:left="3660" w:hanging="420"/>
      </w:pPr>
    </w:lvl>
    <w:lvl w:ilvl="7" w:tentative="0">
      <w:start w:val="1"/>
      <w:numFmt w:val="lowerLetter"/>
      <w:lvlText w:val="%8)"/>
      <w:lvlJc w:val="left"/>
      <w:pPr>
        <w:tabs>
          <w:tab w:val="left" w:pos="0"/>
        </w:tabs>
        <w:ind w:left="4080" w:hanging="420"/>
      </w:pPr>
    </w:lvl>
    <w:lvl w:ilvl="8" w:tentative="0">
      <w:start w:val="1"/>
      <w:numFmt w:val="lowerRoman"/>
      <w:lvlText w:val="%9."/>
      <w:lvlJc w:val="right"/>
      <w:pPr>
        <w:tabs>
          <w:tab w:val="left" w:pos="0"/>
        </w:tabs>
        <w:ind w:left="4500" w:hanging="420"/>
      </w:pPr>
    </w:lvl>
  </w:abstractNum>
  <w:abstractNum w:abstractNumId="7">
    <w:nsid w:val="795F05A6"/>
    <w:multiLevelType w:val="multilevel"/>
    <w:tmpl w:val="795F05A6"/>
    <w:lvl w:ilvl="0" w:tentative="0">
      <w:start w:val="1"/>
      <w:numFmt w:val="japaneseCounting"/>
      <w:lvlText w:val="（%1）"/>
      <w:lvlJc w:val="left"/>
      <w:pPr>
        <w:tabs>
          <w:tab w:val="left" w:pos="0"/>
        </w:tabs>
        <w:ind w:left="1680" w:hanging="1080"/>
      </w:pPr>
      <w:rPr>
        <w:rFonts w:hint="default"/>
      </w:rPr>
    </w:lvl>
    <w:lvl w:ilvl="1" w:tentative="0">
      <w:start w:val="1"/>
      <w:numFmt w:val="lowerLetter"/>
      <w:lvlText w:val="%2)"/>
      <w:lvlJc w:val="left"/>
      <w:pPr>
        <w:tabs>
          <w:tab w:val="left" w:pos="0"/>
        </w:tabs>
        <w:ind w:left="1440" w:hanging="420"/>
      </w:pPr>
    </w:lvl>
    <w:lvl w:ilvl="2" w:tentative="0">
      <w:start w:val="1"/>
      <w:numFmt w:val="lowerRoman"/>
      <w:lvlText w:val="%3."/>
      <w:lvlJc w:val="right"/>
      <w:pPr>
        <w:tabs>
          <w:tab w:val="left" w:pos="0"/>
        </w:tabs>
        <w:ind w:left="1860" w:hanging="420"/>
      </w:pPr>
    </w:lvl>
    <w:lvl w:ilvl="3" w:tentative="0">
      <w:start w:val="1"/>
      <w:numFmt w:val="decimal"/>
      <w:lvlText w:val="%4."/>
      <w:lvlJc w:val="left"/>
      <w:pPr>
        <w:tabs>
          <w:tab w:val="left" w:pos="0"/>
        </w:tabs>
        <w:ind w:left="2280" w:hanging="420"/>
      </w:pPr>
    </w:lvl>
    <w:lvl w:ilvl="4" w:tentative="0">
      <w:start w:val="1"/>
      <w:numFmt w:val="lowerLetter"/>
      <w:lvlText w:val="%5)"/>
      <w:lvlJc w:val="left"/>
      <w:pPr>
        <w:tabs>
          <w:tab w:val="left" w:pos="0"/>
        </w:tabs>
        <w:ind w:left="2700" w:hanging="420"/>
      </w:pPr>
    </w:lvl>
    <w:lvl w:ilvl="5" w:tentative="0">
      <w:start w:val="1"/>
      <w:numFmt w:val="lowerRoman"/>
      <w:lvlText w:val="%6."/>
      <w:lvlJc w:val="right"/>
      <w:pPr>
        <w:tabs>
          <w:tab w:val="left" w:pos="0"/>
        </w:tabs>
        <w:ind w:left="3120" w:hanging="420"/>
      </w:pPr>
    </w:lvl>
    <w:lvl w:ilvl="6" w:tentative="0">
      <w:start w:val="1"/>
      <w:numFmt w:val="decimal"/>
      <w:lvlText w:val="%7."/>
      <w:lvlJc w:val="left"/>
      <w:pPr>
        <w:tabs>
          <w:tab w:val="left" w:pos="0"/>
        </w:tabs>
        <w:ind w:left="3540" w:hanging="420"/>
      </w:pPr>
    </w:lvl>
    <w:lvl w:ilvl="7" w:tentative="0">
      <w:start w:val="1"/>
      <w:numFmt w:val="lowerLetter"/>
      <w:lvlText w:val="%8)"/>
      <w:lvlJc w:val="left"/>
      <w:pPr>
        <w:tabs>
          <w:tab w:val="left" w:pos="0"/>
        </w:tabs>
        <w:ind w:left="3960" w:hanging="420"/>
      </w:pPr>
    </w:lvl>
    <w:lvl w:ilvl="8" w:tentative="0">
      <w:start w:val="1"/>
      <w:numFmt w:val="lowerRoman"/>
      <w:lvlText w:val="%9."/>
      <w:lvlJc w:val="right"/>
      <w:pPr>
        <w:tabs>
          <w:tab w:val="left" w:pos="0"/>
        </w:tabs>
        <w:ind w:left="4380" w:hanging="420"/>
      </w:pPr>
    </w:lvl>
  </w:abstractNum>
  <w:abstractNum w:abstractNumId="8">
    <w:nsid w:val="7BE31337"/>
    <w:multiLevelType w:val="multilevel"/>
    <w:tmpl w:val="7BE31337"/>
    <w:lvl w:ilvl="0" w:tentative="0">
      <w:start w:val="1"/>
      <w:numFmt w:val="japaneseCounting"/>
      <w:lvlText w:val="%1、"/>
      <w:lvlJc w:val="left"/>
      <w:pPr>
        <w:tabs>
          <w:tab w:val="left" w:pos="0"/>
        </w:tabs>
        <w:ind w:left="672" w:hanging="672"/>
      </w:pPr>
      <w:rPr>
        <w:rFonts w:hint="default"/>
        <w:color w:val="000000"/>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8"/>
  </w:num>
  <w:num w:numId="2">
    <w:abstractNumId w:val="6"/>
  </w:num>
  <w:num w:numId="3">
    <w:abstractNumId w:val="2"/>
  </w:num>
  <w:num w:numId="4">
    <w:abstractNumId w:val="5"/>
  </w:num>
  <w:num w:numId="5">
    <w:abstractNumId w:val="4"/>
  </w:num>
  <w:num w:numId="6">
    <w:abstractNumId w:val="0"/>
  </w:num>
  <w:num w:numId="7">
    <w:abstractNumId w:val="3"/>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YWUyOWU2M2QzMjI0YTY5MzJhMDM0YzZiNDY0YzA3M2MifQ=="/>
  </w:docVars>
  <w:rsids>
    <w:rsidRoot w:val="00000000"/>
    <w:rsid w:val="204E76CA"/>
    <w:rsid w:val="E5D1B2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Body Text Indent"/>
    <w:basedOn w:val="1"/>
    <w:qFormat/>
    <w:uiPriority w:val="0"/>
    <w:pPr>
      <w:spacing w:after="120"/>
      <w:ind w:left="200" w:leftChars="200"/>
    </w:p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0"/>
    <w:pPr>
      <w:widowControl/>
      <w:jc w:val="left"/>
    </w:pPr>
    <w:rPr>
      <w:rFonts w:ascii="微软雅黑" w:hAnsi="微软雅黑"/>
      <w:kern w:val="0"/>
      <w:sz w:val="24"/>
    </w:rPr>
  </w:style>
  <w:style w:type="paragraph" w:styleId="14">
    <w:name w:val="Body Text First Indent"/>
    <w:basedOn w:val="5"/>
    <w:qFormat/>
    <w:uiPriority w:val="0"/>
    <w:pPr>
      <w:spacing w:before="30" w:beforeLines="0" w:after="120"/>
      <w:ind w:firstLine="100" w:firstLineChars="100"/>
    </w:pPr>
    <w:rPr>
      <w:rFonts w:ascii="Times New Roman" w:hAnsi="Times New Roman" w:eastAsia="宋体"/>
      <w:kern w:val="2"/>
      <w:sz w:val="21"/>
    </w:rPr>
  </w:style>
  <w:style w:type="paragraph" w:styleId="15">
    <w:name w:val="Body Text First Indent 2"/>
    <w:basedOn w:val="6"/>
    <w:qFormat/>
    <w:uiPriority w:val="0"/>
    <w:pPr>
      <w:ind w:firstLine="200" w:firstLineChars="200"/>
    </w:pPr>
    <w:rPr>
      <w:rFonts w:ascii="Calibri" w:hAnsi="Calibri" w:eastAsia="宋体" w:cs="Arial"/>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heading 1 Char"/>
    <w:basedOn w:val="17"/>
    <w:link w:val="2"/>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7"/>
    <w:link w:val="3"/>
    <w:qFormat/>
    <w:uiPriority w:val="0"/>
    <w:rPr>
      <w:rFonts w:ascii="Cambria" w:hAnsi="Cambria" w:eastAsia="宋体" w:cs="Times New Roman"/>
      <w:b/>
      <w:bCs/>
      <w:kern w:val="2"/>
      <w:sz w:val="32"/>
      <w:szCs w:val="32"/>
      <w:lang w:val="en-US" w:eastAsia="zh-CN" w:bidi="ar-SA"/>
    </w:rPr>
  </w:style>
  <w:style w:type="character" w:customStyle="1" w:styleId="22">
    <w:name w:val="Header Char"/>
    <w:basedOn w:val="17"/>
    <w:qFormat/>
    <w:uiPriority w:val="0"/>
    <w:rPr>
      <w:rFonts w:ascii="Times New Roman" w:hAnsi="Times New Roman"/>
      <w:sz w:val="18"/>
      <w:szCs w:val="18"/>
    </w:rPr>
  </w:style>
  <w:style w:type="character" w:customStyle="1" w:styleId="23">
    <w:name w:val="Footer Char"/>
    <w:basedOn w:val="17"/>
    <w:qFormat/>
    <w:uiPriority w:val="0"/>
    <w:rPr>
      <w:rFonts w:ascii="Times New Roman" w:hAnsi="Times New Roman"/>
      <w:sz w:val="18"/>
      <w:szCs w:val="18"/>
    </w:rPr>
  </w:style>
  <w:style w:type="character" w:customStyle="1" w:styleId="24">
    <w:name w:val="页脚 Char"/>
    <w:qFormat/>
    <w:uiPriority w:val="0"/>
    <w:rPr>
      <w:sz w:val="18"/>
    </w:rPr>
  </w:style>
  <w:style w:type="character" w:customStyle="1" w:styleId="25">
    <w:name w:val="Body Text Char"/>
    <w:basedOn w:val="17"/>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7">
    <w:name w:val="列出段落1"/>
    <w:basedOn w:val="1"/>
    <w:uiPriority w:val="0"/>
    <w:pPr>
      <w:ind w:firstLine="200" w:firstLineChars="200"/>
    </w:pPr>
  </w:style>
  <w:style w:type="paragraph" w:customStyle="1" w:styleId="28">
    <w:name w:val="TOC 标题1"/>
    <w:basedOn w:val="2"/>
    <w:next w:val="1"/>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9">
    <w:name w:val="列出段落2"/>
    <w:basedOn w:val="1"/>
    <w:qFormat/>
    <w:uiPriority w:val="0"/>
    <w:pPr>
      <w:ind w:firstLine="200" w:firstLineChars="200"/>
    </w:pPr>
  </w:style>
  <w:style w:type="paragraph" w:customStyle="1" w:styleId="30">
    <w:name w:val="表中齐小"/>
    <w:basedOn w:val="1"/>
    <w:uiPriority w:val="0"/>
    <w:pPr>
      <w:widowControl/>
      <w:jc w:val="center"/>
    </w:pPr>
    <w:rPr>
      <w:rFonts w:ascii="宋体" w:cs="宋体"/>
      <w:szCs w:val="21"/>
    </w:rPr>
  </w:style>
  <w:style w:type="paragraph" w:customStyle="1" w:styleId="31">
    <w:name w:val="List Paragraph"/>
    <w:basedOn w:val="1"/>
    <w:uiPriority w:val="0"/>
    <w:pPr>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92</Pages>
  <Words>33351</Words>
  <Characters>36053</Characters>
  <Lines>3232</Lines>
  <Paragraphs>1426</Paragraphs>
  <TotalTime>93</TotalTime>
  <ScaleCrop>false</ScaleCrop>
  <LinksUpToDate>false</LinksUpToDate>
  <CharactersWithSpaces>36517</CharactersWithSpaces>
  <Application>WPS Office_11.1.0.11691_F1E327BC-269C-435d-A152-05C5408002CA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2019-09-23T15:53:00Z</dcterms:created>
  <dc:creator>张彬茜</dc:creator>
  <cp:lastModifiedBy>user</cp:lastModifiedBy>
  <cp:lastPrinted>2019-08-01T08:48:00Z</cp:lastPrinted>
  <dcterms:modified xsi:type="dcterms:W3CDTF">2024-12-17T11:10:24Z</dcterms:modified>
  <dc:title>四川省***</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9B8BB2D1ED8E45F78B5DA9E151AD776B_12</vt:lpwstr>
  </property>
</Properties>
</file>