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jc w:val="center"/>
      </w:pPr>
      <w:r>
        <w:rPr>
          <w:sz w:val="42"/>
          <w:szCs w:val="42"/>
        </w:rPr>
        <w:t>2022年度</w:t>
      </w:r>
    </w:p>
    <w:p>
      <w:pPr>
        <w:pStyle w:val="8"/>
        <w:keepNext w:val="0"/>
        <w:keepLines w:val="0"/>
        <w:widowControl/>
        <w:suppressLineNumbers w:val="0"/>
        <w:jc w:val="center"/>
      </w:pPr>
      <w:r>
        <w:rPr>
          <w:sz w:val="42"/>
          <w:szCs w:val="42"/>
        </w:rPr>
        <w:t>中共四川省阿坝州九寨沟县档案馆部门决算</w:t>
      </w:r>
    </w:p>
    <w:p>
      <w:pPr>
        <w:pStyle w:val="8"/>
        <w:keepNext w:val="0"/>
        <w:keepLines w:val="0"/>
        <w:widowControl/>
        <w:suppressLineNumbers w:val="0"/>
        <w:jc w:val="center"/>
      </w:pPr>
      <w:r>
        <w:rPr>
          <w:sz w:val="42"/>
          <w:szCs w:val="42"/>
        </w:rPr>
        <w:t>(部门公开)</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已经保密审查、内容审定，同意对外公开</w:t>
      </w:r>
    </w:p>
    <w:p>
      <w:pPr>
        <w:pStyle w:val="8"/>
        <w:keepNext w:val="0"/>
        <w:keepLines w:val="0"/>
        <w:widowControl/>
        <w:suppressLineNumbers w:val="0"/>
      </w:pPr>
      <w:r>
        <w:t> </w:t>
      </w:r>
    </w:p>
    <w:p>
      <w:pPr>
        <w:pStyle w:val="8"/>
        <w:keepNext w:val="0"/>
        <w:keepLines w:val="0"/>
        <w:widowControl/>
        <w:suppressLineNumbers w:val="0"/>
      </w:pPr>
      <w:r>
        <w:t> </w:t>
      </w:r>
    </w:p>
    <w:p>
      <w:pPr>
        <w:pStyle w:val="8"/>
        <w:keepNext w:val="0"/>
        <w:keepLines w:val="0"/>
        <w:widowControl/>
        <w:suppressLineNumbers w:val="0"/>
        <w:jc w:val="center"/>
      </w:pPr>
      <w:r>
        <w:t> </w:t>
      </w:r>
    </w:p>
    <w:p>
      <w:pPr>
        <w:pStyle w:val="8"/>
        <w:keepNext w:val="0"/>
        <w:keepLines w:val="0"/>
        <w:widowControl/>
        <w:suppressLineNumbers w:val="0"/>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br w:type="textWrapping"/>
      </w:r>
      <w:r>
        <w:t>目录</w:t>
      </w:r>
    </w:p>
    <w:p>
      <w:pPr>
        <w:pStyle w:val="8"/>
        <w:keepNext w:val="0"/>
        <w:keepLines w:val="0"/>
        <w:widowControl/>
        <w:suppressLineNumbers w:val="0"/>
        <w:jc w:val="center"/>
      </w:pPr>
      <w:r>
        <w:t> </w:t>
      </w:r>
    </w:p>
    <w:p>
      <w:pPr>
        <w:pStyle w:val="8"/>
        <w:keepNext w:val="0"/>
        <w:keepLines w:val="0"/>
        <w:widowControl/>
        <w:suppressLineNumbers w:val="0"/>
        <w:jc w:val="center"/>
      </w:pPr>
      <w:r>
        <w:t>公开时间：2023年8月25日</w:t>
      </w:r>
    </w:p>
    <w:p>
      <w:pPr>
        <w:pStyle w:val="8"/>
        <w:keepNext w:val="0"/>
        <w:keepLines w:val="0"/>
        <w:widowControl/>
        <w:suppressLineNumbers w:val="0"/>
      </w:pPr>
      <w:r>
        <w:t> </w:t>
      </w:r>
    </w:p>
    <w:p>
      <w:pPr>
        <w:pStyle w:val="8"/>
        <w:keepNext w:val="0"/>
        <w:keepLines w:val="0"/>
        <w:widowControl/>
        <w:suppressLineNumbers w:val="0"/>
        <w:jc w:val="left"/>
      </w:pPr>
      <w:r>
        <w:t>第一部分 部门概况</w:t>
      </w:r>
    </w:p>
    <w:p>
      <w:pPr>
        <w:pStyle w:val="8"/>
        <w:keepNext w:val="0"/>
        <w:keepLines w:val="0"/>
        <w:widowControl/>
        <w:suppressLineNumbers w:val="0"/>
        <w:ind w:left="420"/>
        <w:jc w:val="left"/>
        <w:rPr>
          <w:rFonts w:hint="default" w:eastAsia="宋体"/>
          <w:lang w:val="en-US" w:eastAsia="zh-CN"/>
        </w:rPr>
      </w:pPr>
      <w:r>
        <w:t>一、基本职能及主要工作</w:t>
      </w:r>
      <w:r>
        <w:rPr>
          <w:rFonts w:hint="eastAsia"/>
          <w:lang w:val="en-US" w:eastAsia="zh-CN"/>
        </w:rPr>
        <w:t xml:space="preserve"> ...................................................................................3                                              </w:t>
      </w:r>
    </w:p>
    <w:p>
      <w:pPr>
        <w:pStyle w:val="8"/>
        <w:keepNext w:val="0"/>
        <w:keepLines w:val="0"/>
        <w:widowControl/>
        <w:suppressLineNumbers w:val="0"/>
        <w:ind w:left="420"/>
        <w:jc w:val="left"/>
      </w:pPr>
      <w:r>
        <w:t>二、机构设置</w:t>
      </w:r>
      <w:r>
        <w:rPr>
          <w:rFonts w:hint="eastAsia"/>
          <w:lang w:val="en-US" w:eastAsia="zh-CN"/>
        </w:rPr>
        <w:t xml:space="preserve"> .......................................................................................................3 </w:t>
      </w:r>
    </w:p>
    <w:p>
      <w:pPr>
        <w:pStyle w:val="8"/>
        <w:keepNext w:val="0"/>
        <w:keepLines w:val="0"/>
        <w:widowControl/>
        <w:suppressLineNumbers w:val="0"/>
        <w:jc w:val="left"/>
      </w:pPr>
      <w:r>
        <w:t>第二部分 2022年度部门决算情况说明</w:t>
      </w:r>
    </w:p>
    <w:p>
      <w:pPr>
        <w:pStyle w:val="8"/>
        <w:keepNext w:val="0"/>
        <w:keepLines w:val="0"/>
        <w:widowControl/>
        <w:suppressLineNumbers w:val="0"/>
        <w:ind w:left="420"/>
        <w:jc w:val="left"/>
      </w:pPr>
      <w:r>
        <w:t>一、收入支出决算总体情况说明</w:t>
      </w:r>
      <w:r>
        <w:rPr>
          <w:rFonts w:hint="eastAsia"/>
          <w:lang w:val="en-US" w:eastAsia="zh-CN"/>
        </w:rPr>
        <w:t xml:space="preserve"> ......................................................................4</w:t>
      </w:r>
    </w:p>
    <w:p>
      <w:pPr>
        <w:pStyle w:val="8"/>
        <w:keepNext w:val="0"/>
        <w:keepLines w:val="0"/>
        <w:widowControl/>
        <w:suppressLineNumbers w:val="0"/>
        <w:ind w:left="420"/>
        <w:jc w:val="left"/>
      </w:pPr>
      <w:r>
        <w:t>二、收入决算情况说明</w:t>
      </w:r>
      <w:r>
        <w:rPr>
          <w:rFonts w:hint="eastAsia"/>
          <w:lang w:val="en-US" w:eastAsia="zh-CN"/>
        </w:rPr>
        <w:t xml:space="preserve"> .......................................................................................5 </w:t>
      </w:r>
    </w:p>
    <w:p>
      <w:pPr>
        <w:pStyle w:val="8"/>
        <w:keepNext w:val="0"/>
        <w:keepLines w:val="0"/>
        <w:widowControl/>
        <w:suppressLineNumbers w:val="0"/>
        <w:ind w:left="420"/>
        <w:jc w:val="left"/>
        <w:rPr>
          <w:rFonts w:hint="eastAsia"/>
          <w:lang w:val="en-US" w:eastAsia="zh-CN"/>
        </w:rPr>
      </w:pPr>
      <w:r>
        <w:t>三、支出决算情况说明</w:t>
      </w:r>
      <w:r>
        <w:rPr>
          <w:rFonts w:hint="eastAsia"/>
          <w:lang w:val="en-US" w:eastAsia="zh-CN"/>
        </w:rPr>
        <w:t xml:space="preserve"> .......................................................................................5</w:t>
      </w:r>
    </w:p>
    <w:p>
      <w:pPr>
        <w:pStyle w:val="8"/>
        <w:keepNext w:val="0"/>
        <w:keepLines w:val="0"/>
        <w:widowControl/>
        <w:suppressLineNumbers w:val="0"/>
        <w:ind w:left="420"/>
        <w:jc w:val="left"/>
      </w:pPr>
      <w:r>
        <w:t>四、财政拨款收入支出决算总体情况说明</w:t>
      </w:r>
      <w:r>
        <w:rPr>
          <w:rFonts w:hint="eastAsia"/>
          <w:lang w:val="en-US" w:eastAsia="zh-CN"/>
        </w:rPr>
        <w:t xml:space="preserve"> ........................................................6 </w:t>
      </w:r>
    </w:p>
    <w:p>
      <w:pPr>
        <w:pStyle w:val="8"/>
        <w:keepNext w:val="0"/>
        <w:keepLines w:val="0"/>
        <w:widowControl/>
        <w:suppressLineNumbers w:val="0"/>
        <w:ind w:left="420"/>
        <w:jc w:val="left"/>
      </w:pPr>
      <w:r>
        <w:t>五、一般公共预算财政拨款支出决算情况说明</w:t>
      </w:r>
      <w:r>
        <w:rPr>
          <w:rFonts w:hint="eastAsia"/>
          <w:lang w:val="en-US" w:eastAsia="zh-CN"/>
        </w:rPr>
        <w:t xml:space="preserve"> ...............................................6</w:t>
      </w:r>
    </w:p>
    <w:p>
      <w:pPr>
        <w:pStyle w:val="8"/>
        <w:keepNext w:val="0"/>
        <w:keepLines w:val="0"/>
        <w:widowControl/>
        <w:suppressLineNumbers w:val="0"/>
        <w:ind w:left="420"/>
        <w:jc w:val="left"/>
      </w:pPr>
      <w:r>
        <w:t>六、一般公共预算财政拨款基本支出决算情况说明</w:t>
      </w:r>
      <w:r>
        <w:rPr>
          <w:rFonts w:hint="eastAsia"/>
          <w:lang w:val="en-US" w:eastAsia="zh-CN"/>
        </w:rPr>
        <w:t xml:space="preserve">..........................................8 </w:t>
      </w:r>
    </w:p>
    <w:p>
      <w:pPr>
        <w:pStyle w:val="8"/>
        <w:keepNext w:val="0"/>
        <w:keepLines w:val="0"/>
        <w:widowControl/>
        <w:suppressLineNumbers w:val="0"/>
        <w:ind w:left="420"/>
        <w:jc w:val="left"/>
      </w:pPr>
      <w:r>
        <w:t>七、财政拨款“三公”经费支出决算情况说明</w:t>
      </w:r>
      <w:r>
        <w:rPr>
          <w:rFonts w:hint="eastAsia"/>
          <w:lang w:val="en-US" w:eastAsia="zh-CN"/>
        </w:rPr>
        <w:t xml:space="preserve"> .....................................................8</w:t>
      </w:r>
    </w:p>
    <w:p>
      <w:pPr>
        <w:pStyle w:val="8"/>
        <w:keepNext w:val="0"/>
        <w:keepLines w:val="0"/>
        <w:widowControl/>
        <w:suppressLineNumbers w:val="0"/>
        <w:ind w:left="420"/>
        <w:jc w:val="left"/>
      </w:pPr>
      <w:r>
        <w:t>八、政府性基金预算支出决算情况说明</w:t>
      </w:r>
      <w:r>
        <w:rPr>
          <w:rFonts w:hint="eastAsia"/>
          <w:lang w:val="en-US" w:eastAsia="zh-CN"/>
        </w:rPr>
        <w:t xml:space="preserve"> ..........................................................10 </w:t>
      </w:r>
    </w:p>
    <w:p>
      <w:pPr>
        <w:pStyle w:val="8"/>
        <w:keepNext w:val="0"/>
        <w:keepLines w:val="0"/>
        <w:widowControl/>
        <w:suppressLineNumbers w:val="0"/>
        <w:jc w:val="left"/>
        <w:rPr>
          <w:rFonts w:hint="default"/>
          <w:lang w:val="en-US"/>
        </w:rPr>
      </w:pPr>
      <w:r>
        <w:t>       九、国有资本经营预算支出决算情况说明</w:t>
      </w:r>
      <w:r>
        <w:rPr>
          <w:rFonts w:hint="eastAsia"/>
          <w:lang w:val="en-US" w:eastAsia="zh-CN"/>
        </w:rPr>
        <w:t xml:space="preserve"> .....................................................10</w:t>
      </w:r>
    </w:p>
    <w:p>
      <w:pPr>
        <w:pStyle w:val="8"/>
        <w:keepNext w:val="0"/>
        <w:keepLines w:val="0"/>
        <w:widowControl/>
        <w:suppressLineNumbers w:val="0"/>
        <w:jc w:val="left"/>
        <w:rPr>
          <w:rFonts w:hint="default"/>
          <w:lang w:val="en-US"/>
        </w:rPr>
      </w:pPr>
      <w:r>
        <w:t>       十、其他重要事项的情况说明 </w:t>
      </w:r>
      <w:r>
        <w:rPr>
          <w:rFonts w:hint="eastAsia"/>
          <w:lang w:val="en-US" w:eastAsia="zh-CN"/>
        </w:rPr>
        <w:t xml:space="preserve"> .......................................................................10</w:t>
      </w:r>
    </w:p>
    <w:p>
      <w:pPr>
        <w:pStyle w:val="8"/>
        <w:keepNext w:val="0"/>
        <w:keepLines w:val="0"/>
        <w:widowControl/>
        <w:suppressLineNumbers w:val="0"/>
        <w:jc w:val="left"/>
      </w:pPr>
      <w:r>
        <w:t>第三部分 名词解释</w:t>
      </w:r>
      <w:r>
        <w:rPr>
          <w:rFonts w:hint="eastAsia"/>
          <w:lang w:val="en-US" w:eastAsia="zh-CN"/>
        </w:rPr>
        <w:t xml:space="preserve"> .................................................................................................11 </w:t>
      </w:r>
    </w:p>
    <w:p>
      <w:pPr>
        <w:pStyle w:val="8"/>
        <w:keepNext w:val="0"/>
        <w:keepLines w:val="0"/>
        <w:widowControl/>
        <w:suppressLineNumbers w:val="0"/>
        <w:jc w:val="left"/>
      </w:pPr>
      <w:r>
        <w:t>第四部分 附件</w:t>
      </w:r>
      <w:r>
        <w:rPr>
          <w:rFonts w:hint="eastAsia"/>
          <w:lang w:val="en-US" w:eastAsia="zh-CN"/>
        </w:rPr>
        <w:t xml:space="preserve"> .........................................................................................................14 </w:t>
      </w:r>
    </w:p>
    <w:p>
      <w:pPr>
        <w:pStyle w:val="8"/>
        <w:keepNext w:val="0"/>
        <w:keepLines w:val="0"/>
        <w:widowControl/>
        <w:suppressLineNumbers w:val="0"/>
        <w:jc w:val="left"/>
      </w:pPr>
      <w:r>
        <w:t>第五部分 附表</w:t>
      </w:r>
      <w:r>
        <w:rPr>
          <w:rFonts w:hint="eastAsia"/>
          <w:lang w:val="en-US" w:eastAsia="zh-CN"/>
        </w:rPr>
        <w:t xml:space="preserve"> </w:t>
      </w:r>
    </w:p>
    <w:p>
      <w:pPr>
        <w:pStyle w:val="8"/>
        <w:keepNext w:val="0"/>
        <w:keepLines w:val="0"/>
        <w:widowControl/>
        <w:suppressLineNumbers w:val="0"/>
        <w:jc w:val="left"/>
        <w:rPr>
          <w:rFonts w:hint="default"/>
          <w:lang w:val="en-US"/>
        </w:rPr>
      </w:pPr>
      <w:r>
        <w:t>一、收入支出决算总表</w:t>
      </w:r>
      <w:r>
        <w:rPr>
          <w:rFonts w:hint="eastAsia"/>
          <w:lang w:val="en-US" w:eastAsia="zh-CN"/>
        </w:rPr>
        <w:t>.............................................................................................19</w:t>
      </w:r>
    </w:p>
    <w:p>
      <w:pPr>
        <w:pStyle w:val="8"/>
        <w:keepNext w:val="0"/>
        <w:keepLines w:val="0"/>
        <w:widowControl/>
        <w:suppressLineNumbers w:val="0"/>
        <w:ind w:left="420"/>
        <w:jc w:val="left"/>
      </w:pPr>
      <w:r>
        <w:t>二、收入决算表</w:t>
      </w:r>
      <w:r>
        <w:rPr>
          <w:rFonts w:hint="eastAsia"/>
          <w:lang w:val="en-US" w:eastAsia="zh-CN"/>
        </w:rPr>
        <w:t xml:space="preserve"> .....................</w:t>
      </w:r>
      <w:bookmarkStart w:id="6" w:name="_GoBack"/>
      <w:bookmarkEnd w:id="6"/>
      <w:r>
        <w:rPr>
          <w:rFonts w:hint="eastAsia"/>
          <w:lang w:val="en-US" w:eastAsia="zh-CN"/>
        </w:rPr>
        <w:t xml:space="preserve">............................................................................19 </w:t>
      </w:r>
    </w:p>
    <w:p>
      <w:pPr>
        <w:pStyle w:val="8"/>
        <w:keepNext w:val="0"/>
        <w:keepLines w:val="0"/>
        <w:widowControl/>
        <w:suppressLineNumbers w:val="0"/>
        <w:ind w:left="420"/>
        <w:jc w:val="left"/>
        <w:rPr>
          <w:rFonts w:hint="default"/>
          <w:lang w:val="en-US"/>
        </w:rPr>
      </w:pPr>
      <w:r>
        <w:t>三、支出决算表</w:t>
      </w:r>
      <w:r>
        <w:rPr>
          <w:rFonts w:hint="eastAsia"/>
          <w:lang w:val="en-US" w:eastAsia="zh-CN"/>
        </w:rPr>
        <w:t xml:space="preserve"> .................................................................................................19</w:t>
      </w:r>
    </w:p>
    <w:p>
      <w:pPr>
        <w:pStyle w:val="8"/>
        <w:keepNext w:val="0"/>
        <w:keepLines w:val="0"/>
        <w:widowControl/>
        <w:suppressLineNumbers w:val="0"/>
        <w:ind w:left="420"/>
        <w:jc w:val="left"/>
        <w:rPr>
          <w:rFonts w:hint="eastAsia"/>
          <w:lang w:val="en-US" w:eastAsia="zh-CN"/>
        </w:rPr>
      </w:pPr>
      <w:r>
        <w:t>四、财政拨款收入支出决算总表</w:t>
      </w:r>
      <w:r>
        <w:rPr>
          <w:rFonts w:hint="eastAsia"/>
          <w:lang w:val="en-US" w:eastAsia="zh-CN"/>
        </w:rPr>
        <w:t xml:space="preserve"> .....................................................................19</w:t>
      </w:r>
    </w:p>
    <w:p>
      <w:pPr>
        <w:pStyle w:val="8"/>
        <w:keepNext w:val="0"/>
        <w:keepLines w:val="0"/>
        <w:widowControl/>
        <w:suppressLineNumbers w:val="0"/>
        <w:ind w:left="420"/>
        <w:jc w:val="left"/>
      </w:pPr>
      <w:r>
        <w:t>五、财政拨款支出决算明细表</w:t>
      </w:r>
      <w:r>
        <w:rPr>
          <w:rFonts w:hint="eastAsia"/>
          <w:lang w:val="en-US" w:eastAsia="zh-CN"/>
        </w:rPr>
        <w:t xml:space="preserve"> ..........................................................................19 </w:t>
      </w:r>
    </w:p>
    <w:p>
      <w:pPr>
        <w:pStyle w:val="8"/>
        <w:keepNext w:val="0"/>
        <w:keepLines w:val="0"/>
        <w:widowControl/>
        <w:suppressLineNumbers w:val="0"/>
        <w:ind w:left="420"/>
        <w:jc w:val="left"/>
      </w:pPr>
      <w:r>
        <w:t>六、一般公共预算财政拨款支出决算表</w:t>
      </w:r>
      <w:r>
        <w:rPr>
          <w:rFonts w:hint="eastAsia"/>
          <w:lang w:val="en-US" w:eastAsia="zh-CN"/>
        </w:rPr>
        <w:t xml:space="preserve"> .........................................................19 </w:t>
      </w:r>
    </w:p>
    <w:p>
      <w:pPr>
        <w:pStyle w:val="8"/>
        <w:keepNext w:val="0"/>
        <w:keepLines w:val="0"/>
        <w:widowControl/>
        <w:suppressLineNumbers w:val="0"/>
        <w:ind w:left="420"/>
        <w:jc w:val="left"/>
      </w:pPr>
      <w:r>
        <w:t>七、一般公共预算财政拨款支出决算明细表</w:t>
      </w:r>
      <w:r>
        <w:rPr>
          <w:rFonts w:hint="eastAsia"/>
          <w:lang w:val="en-US" w:eastAsia="zh-CN"/>
        </w:rPr>
        <w:t xml:space="preserve"> ................................................19 </w:t>
      </w:r>
    </w:p>
    <w:p>
      <w:pPr>
        <w:pStyle w:val="8"/>
        <w:keepNext w:val="0"/>
        <w:keepLines w:val="0"/>
        <w:widowControl/>
        <w:suppressLineNumbers w:val="0"/>
        <w:ind w:left="420"/>
        <w:jc w:val="left"/>
      </w:pPr>
      <w:r>
        <w:t>八、一般公共预算财政拨款基本支出决算表</w:t>
      </w:r>
      <w:r>
        <w:rPr>
          <w:rFonts w:hint="eastAsia"/>
          <w:lang w:val="en-US" w:eastAsia="zh-CN"/>
        </w:rPr>
        <w:t xml:space="preserve"> .................................................19 </w:t>
      </w:r>
    </w:p>
    <w:p>
      <w:pPr>
        <w:pStyle w:val="8"/>
        <w:keepNext w:val="0"/>
        <w:keepLines w:val="0"/>
        <w:widowControl/>
        <w:suppressLineNumbers w:val="0"/>
        <w:ind w:left="420"/>
        <w:jc w:val="left"/>
        <w:rPr>
          <w:rFonts w:hint="default"/>
          <w:lang w:val="en-US"/>
        </w:rPr>
      </w:pPr>
      <w:r>
        <w:t>九、一般公共预算财政拨款项目支出决算表</w:t>
      </w:r>
      <w:r>
        <w:rPr>
          <w:rFonts w:hint="eastAsia"/>
          <w:lang w:val="en-US" w:eastAsia="zh-CN"/>
        </w:rPr>
        <w:t xml:space="preserve"> .................................................19</w:t>
      </w:r>
    </w:p>
    <w:p>
      <w:pPr>
        <w:pStyle w:val="8"/>
        <w:keepNext w:val="0"/>
        <w:keepLines w:val="0"/>
        <w:widowControl/>
        <w:suppressLineNumbers w:val="0"/>
        <w:ind w:left="420"/>
        <w:jc w:val="left"/>
      </w:pPr>
      <w:r>
        <w:t>十、政府性基金预算财政拨款收入支出决算表</w:t>
      </w:r>
      <w:r>
        <w:rPr>
          <w:rFonts w:hint="eastAsia"/>
          <w:lang w:val="en-US" w:eastAsia="zh-CN"/>
        </w:rPr>
        <w:t xml:space="preserve"> ..............................................19 </w:t>
      </w:r>
    </w:p>
    <w:p>
      <w:pPr>
        <w:pStyle w:val="8"/>
        <w:keepNext w:val="0"/>
        <w:keepLines w:val="0"/>
        <w:widowControl/>
        <w:suppressLineNumbers w:val="0"/>
        <w:ind w:left="420"/>
        <w:jc w:val="left"/>
        <w:rPr>
          <w:rFonts w:hint="default"/>
          <w:lang w:val="en-US"/>
        </w:rPr>
      </w:pPr>
      <w:r>
        <w:t>十一、国有资本经营预算财政拨款收入支出决算表</w:t>
      </w:r>
      <w:r>
        <w:rPr>
          <w:rFonts w:hint="eastAsia"/>
          <w:lang w:val="en-US" w:eastAsia="zh-CN"/>
        </w:rPr>
        <w:t xml:space="preserve"> ......................................19</w:t>
      </w:r>
    </w:p>
    <w:p>
      <w:pPr>
        <w:pStyle w:val="8"/>
        <w:keepNext w:val="0"/>
        <w:keepLines w:val="0"/>
        <w:widowControl/>
        <w:suppressLineNumbers w:val="0"/>
        <w:ind w:left="420"/>
        <w:jc w:val="left"/>
      </w:pPr>
      <w:r>
        <w:t>十二、国有资本经营预算财政拨款支出决算表</w:t>
      </w:r>
      <w:r>
        <w:rPr>
          <w:rFonts w:hint="eastAsia"/>
          <w:lang w:val="en-US" w:eastAsia="zh-CN"/>
        </w:rPr>
        <w:t xml:space="preserve"> ..............................................19 </w:t>
      </w:r>
    </w:p>
    <w:p>
      <w:pPr>
        <w:pStyle w:val="8"/>
        <w:keepNext w:val="0"/>
        <w:keepLines w:val="0"/>
        <w:widowControl/>
        <w:suppressLineNumbers w:val="0"/>
        <w:ind w:left="420"/>
        <w:jc w:val="left"/>
      </w:pPr>
      <w:r>
        <w:t>十三、财政拨款“三公”经费支出决算表</w:t>
      </w:r>
      <w:r>
        <w:rPr>
          <w:rFonts w:hint="eastAsia"/>
          <w:lang w:val="en-US" w:eastAsia="zh-CN"/>
        </w:rPr>
        <w:t xml:space="preserve"> ...........................................................19 </w:t>
      </w:r>
    </w:p>
    <w:p>
      <w:pPr>
        <w:pStyle w:val="8"/>
        <w:keepNext w:val="0"/>
        <w:keepLines w:val="0"/>
        <w:widowControl/>
        <w:suppressLineNumbers w:val="0"/>
      </w:pPr>
      <w:r>
        <w:t> </w:t>
      </w:r>
    </w:p>
    <w:p>
      <w:pPr>
        <w:pStyle w:val="8"/>
        <w:keepNext w:val="0"/>
        <w:keepLines w:val="0"/>
        <w:widowControl/>
        <w:suppressLineNumbers w:val="0"/>
        <w:jc w:val="left"/>
      </w:pPr>
      <w:r>
        <w:t> </w:t>
      </w:r>
    </w:p>
    <w:p>
      <w:pPr>
        <w:pStyle w:val="2"/>
        <w:keepNext w:val="0"/>
        <w:keepLines w:val="0"/>
        <w:widowControl/>
        <w:suppressLineNumbers w:val="0"/>
        <w:jc w:val="center"/>
      </w:pPr>
      <w:r>
        <w:t>第一部分 部门概况</w:t>
      </w:r>
    </w:p>
    <w:p>
      <w:pPr>
        <w:pStyle w:val="8"/>
        <w:keepNext w:val="0"/>
        <w:keepLines w:val="0"/>
        <w:widowControl/>
        <w:suppressLineNumbers w:val="0"/>
        <w:jc w:val="left"/>
      </w:pPr>
      <w:r>
        <w:t> </w:t>
      </w:r>
    </w:p>
    <w:p>
      <w:pPr>
        <w:pStyle w:val="3"/>
        <w:keepNext w:val="0"/>
        <w:keepLines w:val="0"/>
        <w:widowControl/>
        <w:suppressLineNumbers w:val="0"/>
      </w:pPr>
      <w:r>
        <w:t>一、基本职能及主要工作</w:t>
      </w:r>
    </w:p>
    <w:p>
      <w:pPr>
        <w:pStyle w:val="4"/>
        <w:adjustRightInd w:val="0"/>
        <w:snapToGrid w:val="0"/>
        <w:spacing w:before="93" w:line="600" w:lineRule="exact"/>
        <w:ind w:firstLine="588" w:firstLineChars="210"/>
        <w:outlineLvl w:val="2"/>
        <w:rPr>
          <w:rFonts w:ascii="仿宋" w:hAnsi="仿宋" w:eastAsia="仿宋"/>
          <w:bCs/>
          <w:color w:val="000000"/>
          <w:sz w:val="32"/>
          <w:szCs w:val="32"/>
        </w:rPr>
      </w:pPr>
      <w:r>
        <w:t>（一）主要职能。</w:t>
      </w:r>
      <w:bookmarkStart w:id="0" w:name="_Toc15377198"/>
      <w:bookmarkStart w:id="1" w:name="_Toc15378445"/>
    </w:p>
    <w:bookmarkEnd w:id="0"/>
    <w:bookmarkEnd w:id="1"/>
    <w:p>
      <w:pPr>
        <w:ind w:firstLine="640" w:firstLineChars="200"/>
        <w:rPr>
          <w:rFonts w:ascii="仿宋" w:eastAsia="仿宋" w:cs="仿宋"/>
          <w:kern w:val="2"/>
          <w:sz w:val="32"/>
          <w:szCs w:val="32"/>
          <w:lang w:val="en-US"/>
        </w:rPr>
      </w:pPr>
      <w:bookmarkStart w:id="2" w:name="_Toc79163854"/>
      <w:bookmarkStart w:id="3" w:name="_Toc15377199"/>
      <w:bookmarkStart w:id="4" w:name="_Toc79163604"/>
      <w:bookmarkStart w:id="5" w:name="_Toc15378446"/>
      <w:r>
        <w:rPr>
          <w:rFonts w:ascii="仿宋" w:eastAsia="仿宋" w:cs="仿宋"/>
          <w:sz w:val="32"/>
          <w:szCs w:val="32"/>
        </w:rPr>
        <w:t>九寨沟县档案馆是</w:t>
      </w:r>
      <w:r>
        <w:rPr>
          <w:rFonts w:hint="eastAsia" w:ascii="仿宋" w:eastAsia="仿宋" w:cs="仿宋"/>
          <w:sz w:val="32"/>
          <w:szCs w:val="32"/>
        </w:rPr>
        <w:t>县委直属</w:t>
      </w:r>
      <w:r>
        <w:rPr>
          <w:rFonts w:ascii="仿宋" w:eastAsia="仿宋" w:cs="仿宋"/>
          <w:sz w:val="32"/>
          <w:szCs w:val="32"/>
        </w:rPr>
        <w:t>参公管理的事业单位，</w:t>
      </w:r>
      <w:r>
        <w:rPr>
          <w:rFonts w:hint="eastAsia" w:ascii="仿宋" w:eastAsia="仿宋" w:cs="仿宋"/>
          <w:sz w:val="32"/>
          <w:szCs w:val="32"/>
        </w:rPr>
        <w:t>其主要职责是：</w:t>
      </w:r>
      <w:r>
        <w:rPr>
          <w:rFonts w:ascii="仿宋" w:eastAsia="仿宋" w:cs="仿宋"/>
          <w:sz w:val="32"/>
          <w:szCs w:val="32"/>
        </w:rPr>
        <w:t>对全县的档案事业实行统筹规划，组织协调。县档案馆依照国家有关规定，负责接收、收集、整理、保管和提供利用分管范围内的档案。</w:t>
      </w:r>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pPr>
      <w:r>
        <w:rPr>
          <w:rFonts w:ascii="仿宋_GB2312" w:hAnsi="宋体" w:eastAsia="仿宋_GB2312" w:cs="Times New Roman"/>
          <w:kern w:val="0"/>
          <w:sz w:val="28"/>
          <w:szCs w:val="24"/>
          <w:lang w:val="en-US" w:eastAsia="zh-CN" w:bidi="ar-SA"/>
        </w:rPr>
        <w:t>（二</w:t>
      </w:r>
      <w:r>
        <w:rPr>
          <w:rFonts w:hint="eastAsia" w:ascii="仿宋_GB2312" w:hAnsi="宋体" w:eastAsia="仿宋_GB2312" w:cs="Times New Roman"/>
          <w:kern w:val="0"/>
          <w:sz w:val="28"/>
          <w:szCs w:val="24"/>
          <w:lang w:val="en-US" w:eastAsia="zh-CN" w:bidi="ar-SA"/>
        </w:rPr>
        <w:t>）</w:t>
      </w:r>
      <w:r>
        <w:rPr>
          <w:rFonts w:hint="eastAsia" w:ascii="仿宋" w:eastAsia="仿宋" w:cs="仿宋"/>
          <w:kern w:val="2"/>
          <w:sz w:val="32"/>
          <w:szCs w:val="32"/>
          <w:lang w:val="en-US"/>
        </w:rPr>
        <w:t>2022年重点工作完成情况</w:t>
      </w:r>
      <w:r>
        <w:rPr>
          <w:rFonts w:hint="eastAsia" w:ascii="仿宋" w:hAnsi="仿宋" w:eastAsia="仿宋"/>
          <w:bCs/>
          <w:color w:val="000000"/>
          <w:sz w:val="32"/>
          <w:szCs w:val="32"/>
          <w:lang w:eastAsia="zh-CN"/>
        </w:rPr>
        <w:t>：</w:t>
      </w:r>
      <w:r>
        <w:rPr>
          <w:rFonts w:hint="eastAsia" w:ascii="仿宋" w:eastAsia="仿宋" w:cs="仿宋"/>
          <w:kern w:val="2"/>
          <w:sz w:val="32"/>
          <w:szCs w:val="32"/>
          <w:lang w:val="en-US"/>
        </w:rPr>
        <w:t>1、深入档案法治宣传，推进依法治档。</w:t>
      </w:r>
      <w:r>
        <w:rPr>
          <w:rFonts w:hint="eastAsia" w:ascii="仿宋" w:eastAsia="仿宋" w:cs="仿宋"/>
          <w:kern w:val="2"/>
          <w:sz w:val="32"/>
          <w:szCs w:val="32"/>
          <w:lang w:val="en-US" w:eastAsia="zh-CN"/>
        </w:rPr>
        <w:t>结合州档案局“三年执法检查”行动，对</w:t>
      </w:r>
      <w:r>
        <w:rPr>
          <w:rFonts w:hint="eastAsia" w:ascii="仿宋" w:eastAsia="仿宋" w:cs="仿宋"/>
          <w:kern w:val="2"/>
          <w:sz w:val="32"/>
          <w:szCs w:val="32"/>
          <w:lang w:val="en-US"/>
        </w:rPr>
        <w:t>全县</w:t>
      </w:r>
      <w:r>
        <w:rPr>
          <w:rFonts w:hint="eastAsia" w:ascii="仿宋" w:eastAsia="仿宋" w:cs="仿宋"/>
          <w:kern w:val="2"/>
          <w:sz w:val="32"/>
          <w:szCs w:val="32"/>
          <w:lang w:val="en-US" w:eastAsia="zh-CN"/>
        </w:rPr>
        <w:t>22</w:t>
      </w:r>
      <w:r>
        <w:rPr>
          <w:rFonts w:hint="eastAsia" w:ascii="仿宋" w:eastAsia="仿宋" w:cs="仿宋"/>
          <w:kern w:val="2"/>
          <w:sz w:val="32"/>
          <w:szCs w:val="32"/>
          <w:lang w:val="en-US"/>
        </w:rPr>
        <w:t>个乡镇、县级部门开展了档案行政执法检查；2、</w:t>
      </w:r>
      <w:r>
        <w:rPr>
          <w:rFonts w:hint="eastAsia" w:ascii="仿宋" w:eastAsia="仿宋" w:cs="仿宋"/>
          <w:kern w:val="2"/>
          <w:sz w:val="32"/>
          <w:szCs w:val="32"/>
          <w:lang w:val="en-US" w:eastAsia="zh-CN"/>
        </w:rPr>
        <w:t>围绕乡村振兴、重大建设项目管理和新冠肺炎疫情防控等重点工作开展档案业务指导。定期深入对各重大建设项目单位开展专项档案业务指导，促进重大建设项目档案管理的规范化。完成了农投公司特色农产品产业、加工、水利基础设施项目，生态环境局排污管网项目，城投公司水厂、供水管网项目及九寨沟景区湿地保护修复项目等30个重大建设项目档案初验；</w:t>
      </w:r>
      <w:r>
        <w:rPr>
          <w:rFonts w:hint="eastAsia" w:ascii="仿宋" w:eastAsia="仿宋" w:cs="仿宋"/>
          <w:kern w:val="2"/>
          <w:sz w:val="32"/>
          <w:szCs w:val="32"/>
          <w:lang w:val="en-US"/>
        </w:rPr>
        <w:t>3、</w:t>
      </w:r>
      <w:r>
        <w:rPr>
          <w:rFonts w:hint="eastAsia" w:ascii="仿宋" w:eastAsia="仿宋" w:cs="仿宋"/>
          <w:kern w:val="2"/>
          <w:sz w:val="32"/>
          <w:szCs w:val="32"/>
          <w:lang w:val="en-US" w:eastAsia="zh-CN"/>
        </w:rPr>
        <w:t>进一步完善了部分乡（镇）</w:t>
      </w:r>
      <w:r>
        <w:rPr>
          <w:rFonts w:hint="eastAsia" w:ascii="仿宋" w:eastAsia="仿宋" w:cs="仿宋"/>
          <w:kern w:val="2"/>
          <w:sz w:val="32"/>
          <w:szCs w:val="32"/>
          <w:lang w:val="en-US"/>
        </w:rPr>
        <w:t>精准扶贫</w:t>
      </w:r>
      <w:r>
        <w:rPr>
          <w:rFonts w:hint="eastAsia" w:ascii="仿宋" w:eastAsia="仿宋" w:cs="仿宋"/>
          <w:kern w:val="2"/>
          <w:sz w:val="32"/>
          <w:szCs w:val="32"/>
          <w:lang w:val="en-US" w:eastAsia="zh-CN"/>
        </w:rPr>
        <w:t>档案的移交进馆工作，确保了进馆档案整理规范、资料全面。</w:t>
      </w:r>
      <w:r>
        <w:rPr>
          <w:rFonts w:hint="eastAsia" w:ascii="仿宋" w:eastAsia="仿宋" w:cs="仿宋"/>
          <w:kern w:val="2"/>
          <w:sz w:val="32"/>
          <w:szCs w:val="32"/>
          <w:lang w:val="en-US"/>
        </w:rPr>
        <w:t xml:space="preserve">加强民生档案、特色档案的进馆工作，有效丰富了馆藏资源；4、围绕重要事项节点，做好档案查阅利用工作。为领导决策、低保救助、工龄认定、婚姻认证、房产交易、落实待遇、解决纠纷等方面提供了有力的原始证据。  </w:t>
      </w:r>
    </w:p>
    <w:p>
      <w:pPr>
        <w:pStyle w:val="3"/>
        <w:keepNext w:val="0"/>
        <w:keepLines w:val="0"/>
        <w:widowControl/>
        <w:suppressLineNumbers w:val="0"/>
      </w:pPr>
      <w:r>
        <w:t>二、机构设置</w:t>
      </w:r>
    </w:p>
    <w:p>
      <w:pPr>
        <w:ind w:firstLine="640" w:firstLineChars="200"/>
        <w:rPr>
          <w:rFonts w:hint="eastAsia" w:ascii="仿宋_GB2312" w:eastAsia="仿宋_GB2312"/>
          <w:kern w:val="0"/>
          <w:sz w:val="32"/>
          <w:szCs w:val="32"/>
        </w:rPr>
      </w:pPr>
      <w:r>
        <w:rPr>
          <w:rFonts w:hint="eastAsia" w:ascii="仿宋_GB2312" w:eastAsia="仿宋_GB2312"/>
          <w:kern w:val="0"/>
          <w:sz w:val="32"/>
          <w:szCs w:val="32"/>
        </w:rPr>
        <w:t>中共四川省阿坝州九寨沟县档案馆</w:t>
      </w:r>
      <w:r>
        <w:rPr>
          <w:rFonts w:hint="eastAsia" w:ascii="仿宋_GB2312" w:eastAsia="仿宋_GB2312"/>
          <w:kern w:val="0"/>
          <w:sz w:val="32"/>
          <w:szCs w:val="32"/>
          <w:lang w:eastAsia="zh-CN"/>
        </w:rPr>
        <w:t>是</w:t>
      </w:r>
      <w:r>
        <w:rPr>
          <w:rFonts w:hint="eastAsia" w:ascii="仿宋_GB2312" w:eastAsia="仿宋_GB2312"/>
          <w:kern w:val="0"/>
          <w:sz w:val="32"/>
          <w:szCs w:val="32"/>
        </w:rPr>
        <w:t>参照公务员法管理的事业单位</w:t>
      </w:r>
      <w:r>
        <w:rPr>
          <w:rFonts w:hint="eastAsia" w:ascii="仿宋_GB2312" w:eastAsia="仿宋_GB2312"/>
          <w:kern w:val="0"/>
          <w:sz w:val="32"/>
          <w:szCs w:val="32"/>
          <w:lang w:eastAsia="zh-CN"/>
        </w:rPr>
        <w:t>，</w:t>
      </w:r>
      <w:r>
        <w:rPr>
          <w:rFonts w:hint="eastAsia" w:ascii="仿宋_GB2312" w:eastAsia="仿宋_GB2312"/>
          <w:kern w:val="0"/>
          <w:sz w:val="32"/>
          <w:szCs w:val="32"/>
        </w:rPr>
        <w:t>属一级预算单位，无下属二级单位。</w:t>
      </w:r>
    </w:p>
    <w:p>
      <w:pPr>
        <w:ind w:firstLine="640" w:firstLineChars="200"/>
        <w:rPr>
          <w:rFonts w:hint="eastAsia" w:ascii="仿宋_GB2312" w:eastAsia="仿宋_GB2312"/>
          <w:kern w:val="0"/>
          <w:sz w:val="32"/>
          <w:szCs w:val="32"/>
        </w:rPr>
      </w:pPr>
      <w:r>
        <w:rPr>
          <w:rFonts w:hint="eastAsia" w:ascii="仿宋_GB2312" w:eastAsia="仿宋_GB2312"/>
          <w:kern w:val="0"/>
          <w:sz w:val="32"/>
          <w:szCs w:val="32"/>
        </w:rPr>
        <w:t>截止202</w:t>
      </w:r>
      <w:r>
        <w:rPr>
          <w:rFonts w:hint="eastAsia" w:ascii="仿宋_GB2312" w:eastAsia="仿宋_GB2312"/>
          <w:kern w:val="0"/>
          <w:sz w:val="32"/>
          <w:szCs w:val="32"/>
          <w:lang w:val="en-US" w:eastAsia="zh-CN"/>
        </w:rPr>
        <w:t>2</w:t>
      </w:r>
      <w:r>
        <w:rPr>
          <w:rFonts w:hint="eastAsia" w:ascii="仿宋_GB2312" w:eastAsia="仿宋_GB2312"/>
          <w:kern w:val="0"/>
          <w:sz w:val="32"/>
          <w:szCs w:val="32"/>
        </w:rPr>
        <w:t>年底在职人员总数10名，其中：参照公务员法管理的事业人员10名；退休人员5人；无编外长期聘用的人员。</w:t>
      </w:r>
    </w:p>
    <w:p>
      <w:pPr>
        <w:ind w:firstLine="420" w:firstLineChars="200"/>
      </w:pPr>
      <w:r>
        <w:t> </w:t>
      </w:r>
    </w:p>
    <w:p>
      <w:pPr>
        <w:pStyle w:val="2"/>
        <w:keepNext w:val="0"/>
        <w:keepLines w:val="0"/>
        <w:widowControl/>
        <w:suppressLineNumbers w:val="0"/>
        <w:jc w:val="center"/>
      </w:pPr>
      <w:r>
        <w:t>第二部分 2022年度部门决算情况说明</w:t>
      </w:r>
    </w:p>
    <w:p>
      <w:pPr>
        <w:pStyle w:val="8"/>
        <w:keepNext w:val="0"/>
        <w:keepLines w:val="0"/>
        <w:widowControl/>
        <w:suppressLineNumbers w:val="0"/>
      </w:pPr>
      <w:r>
        <w:t> </w:t>
      </w:r>
    </w:p>
    <w:p>
      <w:pPr>
        <w:pStyle w:val="3"/>
        <w:keepNext w:val="0"/>
        <w:keepLines w:val="0"/>
        <w:widowControl/>
        <w:suppressLineNumbers w:val="0"/>
      </w:pPr>
      <w:r>
        <w:t>一、收入支出决算总体情况说明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2022年度收、支总计242.18万元。与2021年相比，收、支总计各增加17.47万元，增长7.77%。主要变动原因是各类精准扶贫档案收集、整理、归档任务数量多、规范指导力度大，任务紧，工作推进实际需要。</w:t>
      </w:r>
    </w:p>
    <w:p>
      <w:pPr>
        <w:pStyle w:val="3"/>
        <w:keepNext w:val="0"/>
        <w:keepLines w:val="0"/>
        <w:widowControl/>
        <w:suppressLineNumbers w:val="0"/>
      </w:pPr>
      <w:r>
        <w:t>二、收入决算情况说明</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本年收入合计206.96万元，其中：一般公共预算财政拨款收入206.96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r>
        <w:t> </w:t>
      </w:r>
    </w:p>
    <w:p>
      <w:pPr>
        <w:pStyle w:val="3"/>
        <w:keepNext w:val="0"/>
        <w:keepLines w:val="0"/>
        <w:widowControl/>
        <w:suppressLineNumbers w:val="0"/>
      </w:pPr>
      <w:r>
        <w:t>三、支出决算情况说明</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2022年本年支出合计242.18万元，其中：基本支出232.99万元，占96.21%；项目支出9.19万元，占3.79%；上缴上级支出0.00万元，占0.00%；经营支出0.00万元，占经营支出0.00万元，占 0.00%；对附属单位补助支出0.00万元，占0.00%。</w:t>
      </w:r>
    </w:p>
    <w:p>
      <w:pPr>
        <w:pStyle w:val="3"/>
        <w:keepNext w:val="0"/>
        <w:keepLines w:val="0"/>
        <w:widowControl/>
        <w:suppressLineNumbers w:val="0"/>
      </w:pPr>
      <w: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财政拨款收、支总计242.18万元。与2021年相比，财政拨款收、支总计各增加17.47万元，增长7.77%。主要变动原因是各类精准扶贫档案收集、整理、归档任务数量多、规范指导力度大，任务紧，工作推进实际需要。</w:t>
      </w:r>
    </w:p>
    <w:p>
      <w:pPr>
        <w:pStyle w:val="3"/>
        <w:keepNext w:val="0"/>
        <w:keepLines w:val="0"/>
        <w:widowControl/>
        <w:suppressLineNumbers w:val="0"/>
      </w:pPr>
      <w:r>
        <w:t>五、一般公共预算财政拨款支出决算情况说明</w:t>
      </w:r>
    </w:p>
    <w:p>
      <w:pPr>
        <w:pStyle w:val="4"/>
        <w:adjustRightInd w:val="0"/>
        <w:snapToGrid w:val="0"/>
        <w:spacing w:before="93" w:line="600" w:lineRule="exact"/>
        <w:ind w:firstLine="588" w:firstLineChars="210"/>
        <w:outlineLvl w:val="2"/>
      </w:pPr>
      <w: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一般公共预算财政拨款支出242.18万元，占本年支出合计的100.00%。与2021年相比，一般公共预算财政拨款支出增加17.47万元，增长7.77%。主要变动原因是各类精准扶贫档案收集、整理、归档任务数量多、规范指导力度大，任务紧，工作推进实际需要。</w:t>
      </w:r>
      <w:r>
        <w:t> </w:t>
      </w:r>
    </w:p>
    <w:p>
      <w:pPr>
        <w:pStyle w:val="4"/>
        <w:adjustRightInd w:val="0"/>
        <w:snapToGrid w:val="0"/>
        <w:spacing w:before="93" w:line="600" w:lineRule="exact"/>
        <w:ind w:firstLine="588" w:firstLineChars="210"/>
        <w:outlineLvl w:val="2"/>
      </w:pPr>
      <w:r>
        <w:t>（二）一般公共预算财政拨款支出决算结构情况</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一般公共预算财政拨款支出242.18万元，主要用于以下方面:一般公共服务（类）支出188.62万元，占77.88%；教育支出（类）0.00万元，占0.00%；科学技术（类）支出0.00万元，占0.00%；文化旅游体育与传媒（类）支出0.00万元，占0.00%；社会保障和就业（类）支出26.80万元，占11.07%；卫生健康支出11.24万元，占4.64%；住房保障支出15.51万元，占6.40%。 </w:t>
      </w:r>
    </w:p>
    <w:p>
      <w:pPr>
        <w:pStyle w:val="4"/>
        <w:adjustRightInd w:val="0"/>
        <w:snapToGrid w:val="0"/>
        <w:spacing w:before="93" w:line="600" w:lineRule="exact"/>
        <w:ind w:firstLine="588" w:firstLineChars="210"/>
        <w:outlineLvl w:val="2"/>
      </w:pPr>
      <w:r>
        <w:t>（三）一般公共预算财政拨款支出决算具体情况</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2022年一般公共预算支出决算数为242.18，完成预算100.00%。其中：</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1.一般公共服务（类）</w:t>
      </w:r>
      <w:r>
        <w:rPr>
          <w:rFonts w:hint="eastAsia" w:ascii="仿宋" w:eastAsia="仿宋" w:cs="仿宋"/>
          <w:kern w:val="2"/>
          <w:sz w:val="32"/>
          <w:szCs w:val="32"/>
          <w:lang w:val="en-US" w:eastAsia="zh-CN" w:bidi="ar-SA"/>
        </w:rPr>
        <w:t>201</w:t>
      </w:r>
      <w:r>
        <w:rPr>
          <w:rFonts w:hint="eastAsia" w:ascii="仿宋" w:hAnsi="Calibri" w:eastAsia="仿宋" w:cs="仿宋"/>
          <w:kern w:val="2"/>
          <w:sz w:val="32"/>
          <w:szCs w:val="32"/>
          <w:lang w:val="en-US" w:eastAsia="zh-CN" w:bidi="ar-SA"/>
        </w:rPr>
        <w:t>（款）</w:t>
      </w:r>
      <w:r>
        <w:rPr>
          <w:rFonts w:hint="eastAsia" w:ascii="仿宋" w:eastAsia="仿宋" w:cs="仿宋"/>
          <w:kern w:val="2"/>
          <w:sz w:val="32"/>
          <w:szCs w:val="32"/>
          <w:lang w:val="en-US" w:eastAsia="zh-CN" w:bidi="ar-SA"/>
        </w:rPr>
        <w:t>26</w:t>
      </w:r>
      <w:r>
        <w:rPr>
          <w:rFonts w:hint="eastAsia" w:ascii="仿宋" w:hAnsi="Calibri" w:eastAsia="仿宋" w:cs="仿宋"/>
          <w:kern w:val="2"/>
          <w:sz w:val="32"/>
          <w:szCs w:val="32"/>
          <w:lang w:val="en-US" w:eastAsia="zh-CN" w:bidi="ar-SA"/>
        </w:rPr>
        <w:t>（项）</w:t>
      </w:r>
      <w:r>
        <w:rPr>
          <w:rFonts w:hint="eastAsia" w:ascii="仿宋" w:eastAsia="仿宋" w:cs="仿宋"/>
          <w:kern w:val="2"/>
          <w:sz w:val="32"/>
          <w:szCs w:val="32"/>
          <w:lang w:val="en-US" w:eastAsia="zh-CN" w:bidi="ar-SA"/>
        </w:rPr>
        <w:t>01</w:t>
      </w:r>
      <w:r>
        <w:rPr>
          <w:rFonts w:hint="eastAsia" w:ascii="仿宋" w:hAnsi="Calibri" w:eastAsia="仿宋" w:cs="仿宋"/>
          <w:kern w:val="2"/>
          <w:sz w:val="32"/>
          <w:szCs w:val="32"/>
          <w:lang w:val="en-US" w:eastAsia="zh-CN" w:bidi="ar-SA"/>
        </w:rPr>
        <w:t>: 支出决算为</w:t>
      </w:r>
      <w:r>
        <w:rPr>
          <w:rFonts w:hint="eastAsia" w:ascii="仿宋" w:eastAsia="仿宋" w:cs="仿宋"/>
          <w:kern w:val="2"/>
          <w:sz w:val="32"/>
          <w:szCs w:val="32"/>
          <w:lang w:val="en-US" w:eastAsia="zh-CN" w:bidi="ar-SA"/>
        </w:rPr>
        <w:t>179.44</w:t>
      </w:r>
      <w:r>
        <w:rPr>
          <w:rFonts w:hint="eastAsia" w:ascii="仿宋" w:hAnsi="Calibri" w:eastAsia="仿宋" w:cs="仿宋"/>
          <w:kern w:val="2"/>
          <w:sz w:val="32"/>
          <w:szCs w:val="32"/>
          <w:lang w:val="en-US" w:eastAsia="zh-CN" w:bidi="ar-SA"/>
        </w:rPr>
        <w:t>万元，完成预算</w:t>
      </w:r>
      <w:r>
        <w:rPr>
          <w:rFonts w:hint="eastAsia" w:ascii="仿宋" w:eastAsia="仿宋" w:cs="仿宋"/>
          <w:kern w:val="2"/>
          <w:sz w:val="32"/>
          <w:szCs w:val="32"/>
          <w:lang w:val="en-US" w:eastAsia="zh-CN" w:bidi="ar-SA"/>
        </w:rPr>
        <w:t>100</w:t>
      </w:r>
      <w:r>
        <w:rPr>
          <w:rFonts w:hint="eastAsia" w:ascii="仿宋" w:hAnsi="Calibri" w:eastAsia="仿宋" w:cs="仿宋"/>
          <w:kern w:val="2"/>
          <w:sz w:val="32"/>
          <w:szCs w:val="32"/>
          <w:lang w:val="en-US" w:eastAsia="zh-CN" w:bidi="ar-SA"/>
        </w:rPr>
        <w:t>%</w:t>
      </w:r>
      <w:r>
        <w:rPr>
          <w:rFonts w:hint="eastAsia" w:ascii="仿宋" w:eastAsia="仿宋" w:cs="仿宋"/>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 一般公共服务（类）201（款）26（项）04:</w:t>
      </w:r>
      <w:r>
        <w:rPr>
          <w:rFonts w:hint="eastAsia" w:ascii="仿宋" w:eastAsia="仿宋" w:cs="仿宋"/>
          <w:kern w:val="2"/>
          <w:sz w:val="32"/>
          <w:szCs w:val="32"/>
          <w:lang w:val="en-US" w:eastAsia="zh-CN" w:bidi="ar-SA"/>
        </w:rPr>
        <w:t>档案馆</w:t>
      </w:r>
      <w:r>
        <w:rPr>
          <w:rFonts w:hint="eastAsia" w:ascii="仿宋" w:hAnsi="Calibri" w:eastAsia="仿宋" w:cs="仿宋"/>
          <w:kern w:val="2"/>
          <w:sz w:val="32"/>
          <w:szCs w:val="32"/>
          <w:lang w:val="en-US" w:eastAsia="zh-CN" w:bidi="ar-SA"/>
        </w:rPr>
        <w:t>支出决算为5.69万元，完成预算100%，决算数等于预算数。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 xml:space="preserve">3. 一般公共服务（类）201（款）26（项）99: </w:t>
      </w:r>
      <w:r>
        <w:rPr>
          <w:rFonts w:hint="eastAsia" w:ascii="仿宋" w:eastAsia="仿宋" w:cs="仿宋"/>
          <w:kern w:val="2"/>
          <w:sz w:val="32"/>
          <w:szCs w:val="32"/>
          <w:lang w:val="en-US" w:eastAsia="zh-CN" w:bidi="ar-SA"/>
        </w:rPr>
        <w:t>其他档案事务</w:t>
      </w:r>
      <w:r>
        <w:rPr>
          <w:rFonts w:hint="eastAsia" w:ascii="仿宋" w:hAnsi="Calibri" w:eastAsia="仿宋" w:cs="仿宋"/>
          <w:kern w:val="2"/>
          <w:sz w:val="32"/>
          <w:szCs w:val="32"/>
          <w:lang w:val="en-US" w:eastAsia="zh-CN" w:bidi="ar-SA"/>
        </w:rPr>
        <w:t>支出决算为3.5万元，完成预算100%，决算数等于预算数。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4. 社会保障和就业（类）208（款）05（项）05:</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机关事业单位基本养老保险缴费支出决算为17.87元，完成预算100%，决算数等于预算数。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5. 社会保障和就业（类）208（款）05（项）06:</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机关事业单位基本职业年金缴费支出决算为8.93万元，完成预算100%。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6. 医疗卫生与计划生育（</w:t>
      </w:r>
      <w:r>
        <w:rPr>
          <w:rFonts w:hint="eastAsia" w:ascii="仿宋" w:eastAsia="仿宋" w:cs="仿宋"/>
          <w:kern w:val="2"/>
          <w:sz w:val="32"/>
          <w:szCs w:val="32"/>
          <w:lang w:val="en-US" w:eastAsia="zh-CN" w:bidi="ar-SA"/>
        </w:rPr>
        <w:t>类</w:t>
      </w:r>
      <w:r>
        <w:rPr>
          <w:rFonts w:hint="eastAsia" w:ascii="仿宋" w:hAnsi="Calibri" w:eastAsia="仿宋" w:cs="仿宋"/>
          <w:kern w:val="2"/>
          <w:sz w:val="32"/>
          <w:szCs w:val="32"/>
          <w:lang w:val="en-US" w:eastAsia="zh-CN" w:bidi="ar-SA"/>
        </w:rPr>
        <w:t>）210（</w:t>
      </w:r>
      <w:r>
        <w:rPr>
          <w:rFonts w:hint="eastAsia" w:ascii="仿宋" w:eastAsia="仿宋" w:cs="仿宋"/>
          <w:kern w:val="2"/>
          <w:sz w:val="32"/>
          <w:szCs w:val="32"/>
          <w:lang w:val="en-US" w:eastAsia="zh-CN" w:bidi="ar-SA"/>
        </w:rPr>
        <w:t>款</w:t>
      </w:r>
      <w:r>
        <w:rPr>
          <w:rFonts w:hint="eastAsia" w:ascii="仿宋" w:hAnsi="Calibri" w:eastAsia="仿宋" w:cs="仿宋"/>
          <w:kern w:val="2"/>
          <w:sz w:val="32"/>
          <w:szCs w:val="32"/>
          <w:lang w:val="en-US" w:eastAsia="zh-CN" w:bidi="ar-SA"/>
        </w:rPr>
        <w:t>）11（</w:t>
      </w:r>
      <w:r>
        <w:rPr>
          <w:rFonts w:hint="eastAsia" w:ascii="仿宋" w:eastAsia="仿宋" w:cs="仿宋"/>
          <w:kern w:val="2"/>
          <w:sz w:val="32"/>
          <w:szCs w:val="32"/>
          <w:lang w:val="en-US" w:eastAsia="zh-CN" w:bidi="ar-SA"/>
        </w:rPr>
        <w:t>项</w:t>
      </w:r>
      <w:r>
        <w:rPr>
          <w:rFonts w:hint="eastAsia" w:ascii="仿宋" w:hAnsi="Calibri" w:eastAsia="仿宋" w:cs="仿宋"/>
          <w:kern w:val="2"/>
          <w:sz w:val="32"/>
          <w:szCs w:val="32"/>
          <w:lang w:val="en-US" w:eastAsia="zh-CN" w:bidi="ar-SA"/>
        </w:rPr>
        <w:t>）01: 行政单位医疗支出决算为8.49万元，完成预算100%。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7. 医疗卫生与计划生育（</w:t>
      </w:r>
      <w:r>
        <w:rPr>
          <w:rFonts w:hint="eastAsia" w:ascii="仿宋" w:eastAsia="仿宋" w:cs="仿宋"/>
          <w:kern w:val="2"/>
          <w:sz w:val="32"/>
          <w:szCs w:val="32"/>
          <w:lang w:val="en-US" w:eastAsia="zh-CN" w:bidi="ar-SA"/>
        </w:rPr>
        <w:t>类</w:t>
      </w:r>
      <w:r>
        <w:rPr>
          <w:rFonts w:hint="eastAsia" w:ascii="仿宋" w:hAnsi="Calibri" w:eastAsia="仿宋" w:cs="仿宋"/>
          <w:kern w:val="2"/>
          <w:sz w:val="32"/>
          <w:szCs w:val="32"/>
          <w:lang w:val="en-US" w:eastAsia="zh-CN" w:bidi="ar-SA"/>
        </w:rPr>
        <w:t>）210（</w:t>
      </w:r>
      <w:r>
        <w:rPr>
          <w:rFonts w:hint="eastAsia" w:ascii="仿宋" w:eastAsia="仿宋" w:cs="仿宋"/>
          <w:kern w:val="2"/>
          <w:sz w:val="32"/>
          <w:szCs w:val="32"/>
          <w:lang w:val="en-US" w:eastAsia="zh-CN" w:bidi="ar-SA"/>
        </w:rPr>
        <w:t>款</w:t>
      </w:r>
      <w:r>
        <w:rPr>
          <w:rFonts w:hint="eastAsia" w:ascii="仿宋" w:hAnsi="Calibri" w:eastAsia="仿宋" w:cs="仿宋"/>
          <w:kern w:val="2"/>
          <w:sz w:val="32"/>
          <w:szCs w:val="32"/>
          <w:lang w:val="en-US" w:eastAsia="zh-CN" w:bidi="ar-SA"/>
        </w:rPr>
        <w:t>）11（</w:t>
      </w:r>
      <w:r>
        <w:rPr>
          <w:rFonts w:hint="eastAsia" w:ascii="仿宋" w:eastAsia="仿宋" w:cs="仿宋"/>
          <w:kern w:val="2"/>
          <w:sz w:val="32"/>
          <w:szCs w:val="32"/>
          <w:lang w:val="en-US" w:eastAsia="zh-CN" w:bidi="ar-SA"/>
        </w:rPr>
        <w:t>项</w:t>
      </w:r>
      <w:r>
        <w:rPr>
          <w:rFonts w:hint="eastAsia" w:ascii="仿宋" w:hAnsi="Calibri" w:eastAsia="仿宋" w:cs="仿宋"/>
          <w:kern w:val="2"/>
          <w:sz w:val="32"/>
          <w:szCs w:val="32"/>
          <w:lang w:val="en-US" w:eastAsia="zh-CN" w:bidi="ar-SA"/>
        </w:rPr>
        <w:t>）</w:t>
      </w:r>
      <w:r>
        <w:rPr>
          <w:rFonts w:hint="eastAsia" w:ascii="仿宋" w:eastAsia="仿宋" w:cs="仿宋"/>
          <w:kern w:val="2"/>
          <w:sz w:val="32"/>
          <w:szCs w:val="32"/>
          <w:lang w:val="en-US" w:eastAsia="zh-CN" w:bidi="ar-SA"/>
        </w:rPr>
        <w:t>03</w:t>
      </w:r>
      <w:r>
        <w:rPr>
          <w:rFonts w:hint="eastAsia" w:ascii="仿宋" w:hAnsi="Calibri" w:eastAsia="仿宋" w:cs="仿宋"/>
          <w:kern w:val="2"/>
          <w:sz w:val="32"/>
          <w:szCs w:val="32"/>
          <w:lang w:val="en-US" w:eastAsia="zh-CN" w:bidi="ar-SA"/>
        </w:rPr>
        <w:t>：公务员医疗补助支出决算为2.75万元，完成预算100%。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8. 住房保障支出（</w:t>
      </w:r>
      <w:r>
        <w:rPr>
          <w:rFonts w:hint="eastAsia" w:ascii="仿宋" w:eastAsia="仿宋" w:cs="仿宋"/>
          <w:kern w:val="2"/>
          <w:sz w:val="32"/>
          <w:szCs w:val="32"/>
          <w:lang w:val="en-US" w:eastAsia="zh-CN" w:bidi="ar-SA"/>
        </w:rPr>
        <w:t>类</w:t>
      </w:r>
      <w:r>
        <w:rPr>
          <w:rFonts w:hint="eastAsia" w:ascii="仿宋" w:hAnsi="Calibri" w:eastAsia="仿宋" w:cs="仿宋"/>
          <w:kern w:val="2"/>
          <w:sz w:val="32"/>
          <w:szCs w:val="32"/>
          <w:lang w:val="en-US" w:eastAsia="zh-CN" w:bidi="ar-SA"/>
        </w:rPr>
        <w:t>）221（</w:t>
      </w:r>
      <w:r>
        <w:rPr>
          <w:rFonts w:hint="eastAsia" w:ascii="仿宋" w:eastAsia="仿宋" w:cs="仿宋"/>
          <w:kern w:val="2"/>
          <w:sz w:val="32"/>
          <w:szCs w:val="32"/>
          <w:lang w:val="en-US" w:eastAsia="zh-CN" w:bidi="ar-SA"/>
        </w:rPr>
        <w:t>款</w:t>
      </w:r>
      <w:r>
        <w:rPr>
          <w:rFonts w:hint="eastAsia" w:ascii="仿宋" w:hAnsi="Calibri" w:eastAsia="仿宋" w:cs="仿宋"/>
          <w:kern w:val="2"/>
          <w:sz w:val="32"/>
          <w:szCs w:val="32"/>
          <w:lang w:val="en-US" w:eastAsia="zh-CN" w:bidi="ar-SA"/>
        </w:rPr>
        <w:t>）02（</w:t>
      </w:r>
      <w:r>
        <w:rPr>
          <w:rFonts w:hint="eastAsia" w:ascii="仿宋" w:eastAsia="仿宋" w:cs="仿宋"/>
          <w:kern w:val="2"/>
          <w:sz w:val="32"/>
          <w:szCs w:val="32"/>
          <w:lang w:val="en-US" w:eastAsia="zh-CN" w:bidi="ar-SA"/>
        </w:rPr>
        <w:t>项</w:t>
      </w:r>
      <w:r>
        <w:rPr>
          <w:rFonts w:hint="eastAsia" w:ascii="仿宋" w:hAnsi="Calibri" w:eastAsia="仿宋" w:cs="仿宋"/>
          <w:kern w:val="2"/>
          <w:sz w:val="32"/>
          <w:szCs w:val="32"/>
          <w:lang w:val="en-US" w:eastAsia="zh-CN" w:bidi="ar-SA"/>
        </w:rPr>
        <w:t>）01: 住房公积金支出决算为15.51万元，完成预算100%，决算数等于预算数。</w:t>
      </w:r>
    </w:p>
    <w:p>
      <w:pPr>
        <w:pStyle w:val="3"/>
        <w:keepNext w:val="0"/>
        <w:keepLines w:val="0"/>
        <w:widowControl/>
        <w:suppressLineNumbers w:val="0"/>
      </w:pPr>
      <w:r>
        <w:t>六、</w:t>
      </w:r>
      <w:r>
        <w:rPr>
          <w:sz w:val="32"/>
          <w:szCs w:val="32"/>
        </w:rPr>
        <w:t>一般公共预算财政拨款基本支出决算情况说明 </w:t>
      </w:r>
      <w:r>
        <w:t>  </w:t>
      </w:r>
    </w:p>
    <w:p>
      <w:pPr>
        <w:pStyle w:val="8"/>
        <w:keepNext w:val="0"/>
        <w:keepLines w:val="0"/>
        <w:widowControl/>
        <w:suppressLineNumbers w:val="0"/>
        <w:ind w:firstLine="640" w:firstLineChars="20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2022年一般公共预算财政拨款基本支出232.99万元，其中：</w:t>
      </w:r>
    </w:p>
    <w:p>
      <w:pPr>
        <w:pStyle w:val="8"/>
        <w:keepNext w:val="0"/>
        <w:keepLines w:val="0"/>
        <w:widowControl/>
        <w:suppressLineNumbers w:val="0"/>
        <w:ind w:firstLine="640" w:firstLineChars="20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人员经费217.56万元，主要包括：基本工资、津贴补贴、奖金、伙食补助费、绩效工资、机关事业单位基本养老保险缴费、职业年金缴费、其他社会保障缴费、其他工资福利支出、退休费、生活补助、医疗费补助、奖励金、住房公积金、其他对个人和家庭的补助支出等。</w:t>
      </w:r>
    </w:p>
    <w:p>
      <w:pPr>
        <w:pStyle w:val="8"/>
        <w:keepNext w:val="0"/>
        <w:keepLines w:val="0"/>
        <w:widowControl/>
        <w:suppressLineNumbers w:val="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　　公用经费15.43万元，主要包括：办公费、印刷费、邮电费、差旅费、维修（护）费、培训费、公务接待费、劳务费、委托业务费、工会经费、福利费、其他交通费、税金及附加费用、其他商品和服务支出、办公设备购置、专用设备购置、信息网络及软件购置更新、其他资本性支出等。</w:t>
      </w:r>
    </w:p>
    <w:p>
      <w:pPr>
        <w:pStyle w:val="8"/>
        <w:keepNext w:val="0"/>
        <w:keepLines w:val="0"/>
        <w:widowControl/>
        <w:suppressLineNumbers w:val="0"/>
      </w:pPr>
      <w:r>
        <w:t> </w:t>
      </w:r>
    </w:p>
    <w:p>
      <w:pPr>
        <w:pStyle w:val="3"/>
        <w:keepNext w:val="0"/>
        <w:keepLines w:val="0"/>
        <w:widowControl/>
        <w:suppressLineNumbers w:val="0"/>
      </w:pPr>
      <w:r>
        <w:t>七、“三公”经费财政拨款支出决算情况说明</w:t>
      </w:r>
    </w:p>
    <w:p>
      <w:pPr>
        <w:pStyle w:val="4"/>
        <w:adjustRightInd w:val="0"/>
        <w:snapToGrid w:val="0"/>
        <w:spacing w:before="93" w:line="600" w:lineRule="exact"/>
        <w:ind w:firstLine="588" w:firstLineChars="210"/>
        <w:outlineLvl w:val="2"/>
      </w:pPr>
      <w:r>
        <w:t>（一）“三公”经费财政拨款支出决算总体情况说明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2022年“三公”经费财政拨款支出决算为0.17万元，完成预算100.00%，决算数等于预算数。</w:t>
      </w:r>
    </w:p>
    <w:p>
      <w:pPr>
        <w:pStyle w:val="4"/>
        <w:adjustRightInd w:val="0"/>
        <w:snapToGrid w:val="0"/>
        <w:spacing w:before="93" w:line="600" w:lineRule="exact"/>
        <w:ind w:firstLine="588" w:firstLineChars="210"/>
        <w:outlineLvl w:val="2"/>
      </w:pPr>
      <w:r>
        <w:t>（二）“三公”经费财政拨款支出决算具体情况说明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2022年“三公”经费财政拨款支出决算中，因公出国（境）费支出决算0.00万元，占0.00%；公务用车购置及运行维护费支出决算0.00万元，占0.00%；公务接待费支出决算0.17万元，占100.00%。具体情况如下：</w:t>
      </w:r>
    </w:p>
    <w:p>
      <w:pPr>
        <w:pStyle w:val="8"/>
        <w:keepNext w:val="0"/>
        <w:keepLines w:val="0"/>
        <w:widowControl/>
        <w:suppressLineNumbers w:val="0"/>
        <w:ind w:firstLine="640" w:firstLineChars="20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1.因公出国（境）经费支出0.00万元，完成预算0.00%。全年安排因公出国（境）团组0次，出国（境）0人</w:t>
      </w:r>
    </w:p>
    <w:p>
      <w:pPr>
        <w:pStyle w:val="8"/>
        <w:keepNext w:val="0"/>
        <w:keepLines w:val="0"/>
        <w:widowControl/>
        <w:suppressLineNumbers w:val="0"/>
        <w:ind w:firstLine="640" w:firstLineChars="20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2.公务用车购置及运行维护费支出0.00万元,完成预算0.00%。由于我单位无公车，公务用车购置及运行维护费无。</w:t>
      </w:r>
    </w:p>
    <w:p>
      <w:pPr>
        <w:pStyle w:val="8"/>
        <w:keepNext w:val="0"/>
        <w:keepLines w:val="0"/>
        <w:widowControl/>
        <w:suppressLineNumbers w:val="0"/>
        <w:ind w:firstLine="640" w:firstLineChars="200"/>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3.公务接待费支出0.17万元，完成预算100%。无外事接待支出。公务接待费支出决算数与2021年决算数相等。其中：国内公务接待支出0.17万元，主要用于主要用于上级机关抵达我县视察考核工作时的接待、用餐费等。国内公务接待4批次，24人次（不包括陪同人员），共计支出0.17万元，具体内容包括：2022年7月5日，阿坝州档案馆副馆长杨跃珍一行，开展“综合督导”工作，我方接待支出550.00元餐费；2022年7月11日，阿坝州档案馆副馆长杨跃珍一行，开展精准脱贫档案接收进馆检查工作，我方接待支出473.00元餐费；2022年7月12日，阿坝州档案馆副馆长杨跃珍一行，开展第三批档案行政执法检查工作，我方接待支出263.00元餐费；2022年7月12日，阿坝州档案馆副馆长杨跃珍一行，开展精准脱贫档案接收进馆检查工作，我方接待，支出393.00元餐费。</w:t>
      </w:r>
    </w:p>
    <w:p>
      <w:pPr>
        <w:pStyle w:val="3"/>
        <w:keepNext w:val="0"/>
        <w:keepLines w:val="0"/>
        <w:widowControl/>
        <w:suppressLineNumbers w:val="0"/>
      </w:pPr>
      <w:r>
        <w:t>八、政府性基金预算支出决算情况说明</w:t>
      </w:r>
    </w:p>
    <w:p>
      <w:pPr>
        <w:pStyle w:val="8"/>
        <w:keepNext w:val="0"/>
        <w:keepLines w:val="0"/>
        <w:widowControl/>
        <w:suppressLineNumbers w:val="0"/>
        <w:ind w:firstLine="640" w:firstLineChars="200"/>
      </w:pPr>
      <w:r>
        <w:rPr>
          <w:rFonts w:hint="eastAsia" w:ascii="仿宋" w:hAnsi="Calibri" w:eastAsia="仿宋" w:cs="仿宋"/>
          <w:kern w:val="2"/>
          <w:sz w:val="32"/>
          <w:szCs w:val="32"/>
          <w:lang w:val="en-US" w:eastAsia="zh-CN" w:bidi="ar-SA"/>
        </w:rPr>
        <w:t>2022年政府性基金预算财政拨款支出0.00万元。</w:t>
      </w:r>
      <w:r>
        <w:t> </w:t>
      </w:r>
    </w:p>
    <w:p>
      <w:pPr>
        <w:pStyle w:val="3"/>
        <w:keepNext w:val="0"/>
        <w:keepLines w:val="0"/>
        <w:widowControl/>
        <w:suppressLineNumbers w:val="0"/>
      </w:pPr>
      <w:r>
        <w:t>九、国有资本经营预算支出决算情况说明</w:t>
      </w:r>
    </w:p>
    <w:p>
      <w:pPr>
        <w:pStyle w:val="8"/>
        <w:keepNext w:val="0"/>
        <w:keepLines w:val="0"/>
        <w:widowControl/>
        <w:suppressLineNumbers w:val="0"/>
        <w:ind w:firstLine="640" w:firstLineChars="200"/>
      </w:pPr>
      <w:r>
        <w:rPr>
          <w:rFonts w:hint="eastAsia" w:ascii="仿宋" w:hAnsi="Calibri" w:eastAsia="仿宋" w:cs="仿宋"/>
          <w:kern w:val="2"/>
          <w:sz w:val="32"/>
          <w:szCs w:val="32"/>
          <w:lang w:val="en-US" w:eastAsia="zh-CN" w:bidi="ar-SA"/>
        </w:rPr>
        <w:t>2022年国有资本经营预算财政拨款支出0.00万元。</w:t>
      </w:r>
      <w:r>
        <w:t> </w:t>
      </w:r>
    </w:p>
    <w:p>
      <w:pPr>
        <w:pStyle w:val="3"/>
        <w:keepNext w:val="0"/>
        <w:keepLines w:val="0"/>
        <w:widowControl/>
        <w:suppressLineNumbers w:val="0"/>
      </w:pPr>
      <w:r>
        <w:t>十、其他重要事项的情况说明</w:t>
      </w:r>
    </w:p>
    <w:p>
      <w:pPr>
        <w:pStyle w:val="4"/>
        <w:adjustRightInd w:val="0"/>
        <w:snapToGrid w:val="0"/>
        <w:spacing w:before="93" w:line="600" w:lineRule="exact"/>
        <w:ind w:firstLine="588" w:firstLineChars="210"/>
        <w:outlineLvl w:val="2"/>
      </w:pPr>
      <w:r>
        <w:t>（一）机关运行经费支出情况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bidi="ar-SA"/>
        </w:rPr>
        <w:t>2</w:t>
      </w:r>
      <w:r>
        <w:rPr>
          <w:rFonts w:hint="eastAsia" w:ascii="仿宋" w:hAnsi="Calibri" w:eastAsia="仿宋" w:cs="仿宋"/>
          <w:kern w:val="2"/>
          <w:sz w:val="32"/>
          <w:szCs w:val="32"/>
          <w:lang w:val="en-US" w:eastAsia="zh-CN" w:bidi="ar-SA"/>
        </w:rPr>
        <w:t>022年，中共四川省阿坝州九寨沟县档案馆机关运行经费支出15.43万元，比2021年增加4.95万元，增长47.28%。主要原因是各类精准扶贫档案收集、整理、归档任务数量多、规范指导力度大，任务重，工作推进实际需要。</w:t>
      </w:r>
    </w:p>
    <w:p>
      <w:pPr>
        <w:pStyle w:val="4"/>
        <w:adjustRightInd w:val="0"/>
        <w:snapToGrid w:val="0"/>
        <w:spacing w:before="93" w:line="600" w:lineRule="exact"/>
        <w:ind w:firstLine="588" w:firstLineChars="210"/>
        <w:outlineLvl w:val="2"/>
      </w:pPr>
      <w:r>
        <w:t>（二）政府采购支出情况</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2022年，中共四川省阿坝州九寨沟县档案馆政府采购支出总额4.92万元，其中：政府采购货物支出4.92万元、政府采购工程支出0.00万元、政府采购服务支出0.00万元。主要用于档案查询利用服务平台的基础建设经费支出。授予中小企业合同金额4.92万元，占政府采购支出总额的100.00%，其中：授予小微企业合同金额4.92万元，占政府采购支出总额的100.00%。</w:t>
      </w:r>
    </w:p>
    <w:p>
      <w:pPr>
        <w:pStyle w:val="4"/>
        <w:adjustRightInd w:val="0"/>
        <w:snapToGrid w:val="0"/>
        <w:spacing w:before="93" w:line="600" w:lineRule="exact"/>
        <w:ind w:firstLine="588" w:firstLineChars="210"/>
        <w:outlineLvl w:val="2"/>
      </w:pPr>
      <w:r>
        <w:t>（三）国有资产占有使用情况</w:t>
      </w:r>
    </w:p>
    <w:p>
      <w:pPr>
        <w:pStyle w:val="8"/>
        <w:keepNext w:val="0"/>
        <w:keepLines w:val="0"/>
        <w:widowControl/>
        <w:suppressLineNumbers w:val="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截至2022年12月31日，中共四川省阿坝州九寨沟县档案馆共有车辆0辆，其中：主要领导干部用车0辆、机要通信用车0辆、应急保障用车0辆、其他用车0辆。单价100万元（含）以上设备（不含车辆）0台（套）。</w:t>
      </w:r>
    </w:p>
    <w:p>
      <w:pPr>
        <w:pStyle w:val="4"/>
        <w:adjustRightInd w:val="0"/>
        <w:snapToGrid w:val="0"/>
        <w:spacing w:before="93" w:line="600" w:lineRule="exact"/>
        <w:ind w:firstLine="588" w:firstLineChars="210"/>
        <w:outlineLvl w:val="2"/>
      </w:pPr>
      <w:r>
        <w:t>（四）预算绩效管理情况</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根据预算绩效管理要求，本部门组织对2022年度一般公共预算全面开展绩效自评，形成本部门整体（含部门预算项目）绩效自评报告，其中</w:t>
      </w:r>
      <w:r>
        <w:rPr>
          <w:rFonts w:hint="eastAsia" w:ascii="仿宋" w:eastAsia="仿宋" w:cs="仿宋"/>
          <w:kern w:val="2"/>
          <w:sz w:val="32"/>
          <w:szCs w:val="32"/>
          <w:lang w:val="en-US" w:eastAsia="zh-CN" w:bidi="ar-SA"/>
        </w:rPr>
        <w:t>档案馆</w:t>
      </w:r>
      <w:r>
        <w:rPr>
          <w:rFonts w:hint="eastAsia" w:ascii="仿宋" w:hAnsi="Calibri" w:eastAsia="仿宋" w:cs="仿宋"/>
          <w:kern w:val="2"/>
          <w:sz w:val="32"/>
          <w:szCs w:val="32"/>
          <w:lang w:val="en-US" w:eastAsia="zh-CN" w:bidi="ar-SA"/>
        </w:rPr>
        <w:t>部门整体绩效自评得分为95分</w:t>
      </w:r>
      <w:r>
        <w:rPr>
          <w:rFonts w:hint="eastAsia" w:ascii="仿宋" w:eastAsia="仿宋" w:cs="仿宋"/>
          <w:kern w:val="2"/>
          <w:sz w:val="32"/>
          <w:szCs w:val="32"/>
          <w:lang w:val="en-US" w:eastAsia="zh-CN" w:bidi="ar-SA"/>
        </w:rPr>
        <w:t>，</w:t>
      </w:r>
      <w:r>
        <w:rPr>
          <w:rFonts w:hint="eastAsia" w:ascii="仿宋" w:hAnsi="Calibri" w:eastAsia="仿宋" w:cs="仿宋"/>
          <w:kern w:val="2"/>
          <w:sz w:val="32"/>
          <w:szCs w:val="32"/>
          <w:lang w:val="en-US" w:eastAsia="zh-CN" w:bidi="ar-SA"/>
        </w:rPr>
        <w:t>绩效自评报告详见附件。</w:t>
      </w:r>
    </w:p>
    <w:p>
      <w:pPr>
        <w:pStyle w:val="8"/>
        <w:keepNext w:val="0"/>
        <w:keepLines w:val="0"/>
        <w:widowControl/>
        <w:suppressLineNumbers w:val="0"/>
        <w:jc w:val="left"/>
        <w:rPr>
          <w:rFonts w:hint="eastAsia" w:ascii="宋体" w:hAnsi="宋体" w:eastAsia="宋体" w:cs="宋体"/>
          <w:b/>
          <w:bCs/>
          <w:kern w:val="44"/>
          <w:sz w:val="48"/>
          <w:szCs w:val="48"/>
          <w:lang w:val="en-US" w:eastAsia="zh-CN" w:bidi="ar"/>
        </w:rPr>
      </w:pPr>
      <w:r>
        <w:rPr>
          <w:rFonts w:hint="eastAsia" w:ascii="仿宋" w:hAnsi="Calibri" w:eastAsia="仿宋" w:cs="仿宋"/>
          <w:kern w:val="2"/>
          <w:sz w:val="32"/>
          <w:szCs w:val="32"/>
          <w:lang w:val="en-US" w:eastAsia="zh-CN" w:bidi="ar-SA"/>
        </w:rPr>
        <w:t> </w:t>
      </w:r>
    </w:p>
    <w:p>
      <w:pPr>
        <w:pStyle w:val="8"/>
        <w:keepNext w:val="0"/>
        <w:keepLines w:val="0"/>
        <w:widowControl/>
        <w:suppressLineNumbers w:val="0"/>
        <w:jc w:val="cente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第三部分 名词解释</w:t>
      </w:r>
    </w:p>
    <w:p>
      <w:pPr>
        <w:pStyle w:val="8"/>
        <w:keepNext w:val="0"/>
        <w:keepLines w:val="0"/>
        <w:widowControl/>
        <w:suppressLineNumbers w:val="0"/>
        <w:jc w:val="left"/>
      </w:pPr>
      <w:r>
        <w:t> </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1.财政拨款收入：指单位从同级财政部门取得的财政预算资金。</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2.事业收入：指事业单位开展专业业务活动及辅助活动取得的收入。</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3.年初结转和结余：指以前年度尚未完成、结转到本年按有关规定继续使用的资金。</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4.年末结转和结余：指单位按有关规定结转到下年或以后年度继续使用的资金。</w:t>
      </w:r>
    </w:p>
    <w:p>
      <w:pPr>
        <w:pStyle w:val="8"/>
        <w:keepNext w:val="0"/>
        <w:keepLines w:val="0"/>
        <w:widowControl/>
        <w:suppressLineNumbers w:val="0"/>
        <w:ind w:firstLine="640" w:firstLineChars="200"/>
        <w:jc w:val="left"/>
        <w:rPr>
          <w:rFonts w:hint="eastAsia" w:ascii="仿宋" w:hAnsi="Calibri" w:eastAsia="仿宋" w:cs="仿宋"/>
          <w:kern w:val="2"/>
          <w:sz w:val="32"/>
          <w:szCs w:val="32"/>
          <w:lang w:val="en-US" w:eastAsia="zh-CN" w:bidi="ar-SA"/>
        </w:rPr>
      </w:pPr>
      <w:r>
        <w:rPr>
          <w:rFonts w:hint="eastAsia" w:ascii="仿宋" w:hAnsi="Calibri" w:eastAsia="仿宋" w:cs="仿宋"/>
          <w:kern w:val="2"/>
          <w:sz w:val="32"/>
          <w:szCs w:val="32"/>
          <w:lang w:val="en-US" w:eastAsia="zh-CN" w:bidi="ar-SA"/>
        </w:rPr>
        <w:t>5.结余分配：指事业单位按照会计制度规定缴纳的所得税、提取的专用结余以及转入非财政拨款结余的金额等。</w:t>
      </w:r>
    </w:p>
    <w:p>
      <w:pPr>
        <w:ind w:firstLine="640" w:firstLineChars="200"/>
        <w:rPr>
          <w:rFonts w:ascii="仿宋_GB2312" w:eastAsia="仿宋_GB2312"/>
          <w:color w:val="000000"/>
          <w:sz w:val="32"/>
          <w:szCs w:val="32"/>
        </w:rPr>
      </w:pPr>
      <w:r>
        <w:rPr>
          <w:rFonts w:hint="eastAsia" w:ascii="仿宋" w:hAnsi="Calibri" w:eastAsia="仿宋" w:cs="仿宋"/>
          <w:kern w:val="2"/>
          <w:sz w:val="32"/>
          <w:szCs w:val="32"/>
          <w:lang w:val="en-US" w:eastAsia="zh-CN" w:bidi="ar-SA"/>
        </w:rPr>
        <w:t>6.</w:t>
      </w:r>
      <w:r>
        <w:rPr>
          <w:rFonts w:hint="eastAsia" w:ascii="仿宋_GB2312" w:eastAsia="仿宋_GB2312"/>
          <w:sz w:val="32"/>
          <w:szCs w:val="32"/>
        </w:rPr>
        <w:t>一般公共服务（</w:t>
      </w:r>
      <w:r>
        <w:rPr>
          <w:rFonts w:hint="eastAsia" w:ascii="仿宋_GB2312" w:eastAsia="仿宋_GB2312"/>
          <w:sz w:val="32"/>
          <w:szCs w:val="32"/>
          <w:lang w:eastAsia="zh-CN"/>
        </w:rPr>
        <w:t>类</w:t>
      </w:r>
      <w:r>
        <w:rPr>
          <w:rFonts w:hint="eastAsia" w:ascii="仿宋_GB2312" w:eastAsia="仿宋_GB2312"/>
          <w:sz w:val="32"/>
          <w:szCs w:val="32"/>
        </w:rPr>
        <w:t>）201（</w:t>
      </w:r>
      <w:r>
        <w:rPr>
          <w:rFonts w:hint="eastAsia" w:ascii="仿宋_GB2312" w:eastAsia="仿宋_GB2312"/>
          <w:sz w:val="32"/>
          <w:szCs w:val="32"/>
          <w:lang w:eastAsia="zh-CN"/>
        </w:rPr>
        <w:t>款</w:t>
      </w:r>
      <w:r>
        <w:rPr>
          <w:rFonts w:hint="eastAsia" w:ascii="仿宋_GB2312" w:eastAsia="仿宋_GB2312"/>
          <w:sz w:val="32"/>
          <w:szCs w:val="32"/>
        </w:rPr>
        <w:t>）26（</w:t>
      </w:r>
      <w:r>
        <w:rPr>
          <w:rFonts w:hint="eastAsia" w:ascii="仿宋_GB2312" w:eastAsia="仿宋_GB2312"/>
          <w:sz w:val="32"/>
          <w:szCs w:val="32"/>
          <w:lang w:eastAsia="zh-CN"/>
        </w:rPr>
        <w:t>项</w:t>
      </w:r>
      <w:r>
        <w:rPr>
          <w:rFonts w:hint="eastAsia" w:ascii="仿宋_GB2312" w:eastAsia="仿宋_GB2312"/>
          <w:sz w:val="32"/>
          <w:szCs w:val="32"/>
        </w:rPr>
        <w:t>）01：</w:t>
      </w:r>
      <w:r>
        <w:rPr>
          <w:rFonts w:hint="eastAsia" w:ascii="仿宋_GB2312" w:eastAsia="仿宋_GB2312"/>
          <w:color w:val="000000"/>
          <w:sz w:val="32"/>
          <w:szCs w:val="32"/>
        </w:rPr>
        <w:t>指</w:t>
      </w:r>
      <w:r>
        <w:rPr>
          <w:rFonts w:hint="eastAsia" w:ascii="仿宋_GB2312" w:eastAsia="仿宋_GB2312"/>
          <w:sz w:val="32"/>
          <w:szCs w:val="32"/>
        </w:rPr>
        <w:t>行政运行经费开支；档案馆（</w:t>
      </w:r>
      <w:r>
        <w:rPr>
          <w:rFonts w:hint="eastAsia" w:ascii="仿宋_GB2312" w:eastAsia="仿宋_GB2312"/>
          <w:sz w:val="32"/>
          <w:szCs w:val="32"/>
          <w:lang w:eastAsia="zh-CN"/>
        </w:rPr>
        <w:t>类</w:t>
      </w:r>
      <w:r>
        <w:rPr>
          <w:rFonts w:hint="eastAsia" w:ascii="仿宋_GB2312" w:eastAsia="仿宋_GB2312"/>
          <w:sz w:val="32"/>
          <w:szCs w:val="32"/>
        </w:rPr>
        <w:t>）201（</w:t>
      </w:r>
      <w:r>
        <w:rPr>
          <w:rFonts w:hint="eastAsia" w:ascii="仿宋_GB2312" w:eastAsia="仿宋_GB2312"/>
          <w:sz w:val="32"/>
          <w:szCs w:val="32"/>
          <w:lang w:eastAsia="zh-CN"/>
        </w:rPr>
        <w:t>款</w:t>
      </w:r>
      <w:r>
        <w:rPr>
          <w:rFonts w:hint="eastAsia" w:ascii="仿宋_GB2312" w:eastAsia="仿宋_GB2312"/>
          <w:sz w:val="32"/>
          <w:szCs w:val="32"/>
        </w:rPr>
        <w:t>）26（</w:t>
      </w:r>
      <w:r>
        <w:rPr>
          <w:rFonts w:hint="eastAsia" w:ascii="仿宋_GB2312" w:eastAsia="仿宋_GB2312"/>
          <w:sz w:val="32"/>
          <w:szCs w:val="32"/>
          <w:lang w:eastAsia="zh-CN"/>
        </w:rPr>
        <w:t>项</w:t>
      </w:r>
      <w:r>
        <w:rPr>
          <w:rFonts w:hint="eastAsia" w:ascii="仿宋_GB2312" w:eastAsia="仿宋_GB2312"/>
          <w:sz w:val="32"/>
          <w:szCs w:val="32"/>
        </w:rPr>
        <w:t>）04</w:t>
      </w:r>
      <w:r>
        <w:rPr>
          <w:rFonts w:hint="eastAsia" w:ascii="仿宋_GB2312" w:eastAsia="仿宋_GB2312"/>
          <w:sz w:val="32"/>
          <w:szCs w:val="32"/>
          <w:lang w:eastAsia="zh-CN"/>
        </w:rPr>
        <w:t>：</w:t>
      </w:r>
      <w:r>
        <w:rPr>
          <w:rFonts w:hint="eastAsia" w:ascii="仿宋_GB2312" w:eastAsia="仿宋_GB2312"/>
          <w:sz w:val="32"/>
          <w:szCs w:val="32"/>
        </w:rPr>
        <w:t>指档案馆相关支出</w:t>
      </w:r>
      <w:r>
        <w:rPr>
          <w:rFonts w:hint="eastAsia" w:ascii="仿宋_GB2312" w:eastAsia="仿宋_GB2312"/>
          <w:color w:val="000000"/>
          <w:sz w:val="32"/>
          <w:szCs w:val="32"/>
        </w:rPr>
        <w:t>。</w:t>
      </w:r>
    </w:p>
    <w:p>
      <w:pPr>
        <w:pStyle w:val="8"/>
        <w:keepNext w:val="0"/>
        <w:keepLines w:val="0"/>
        <w:widowControl/>
        <w:suppressLineNumbers w:val="0"/>
        <w:ind w:firstLine="640" w:firstLineChars="200"/>
        <w:jc w:val="left"/>
        <w:rPr>
          <w:rFonts w:hint="eastAsia" w:ascii="仿宋_GB2312" w:eastAsia="仿宋_GB2312"/>
          <w:sz w:val="32"/>
          <w:szCs w:val="32"/>
        </w:rPr>
      </w:pPr>
      <w:r>
        <w:rPr>
          <w:rFonts w:hint="eastAsia" w:ascii="仿宋" w:hAnsi="Calibri" w:eastAsia="仿宋" w:cs="仿宋"/>
          <w:kern w:val="2"/>
          <w:sz w:val="32"/>
          <w:szCs w:val="32"/>
          <w:lang w:val="en-US" w:eastAsia="zh-CN" w:bidi="ar-SA"/>
        </w:rPr>
        <w:t>7.</w:t>
      </w:r>
      <w:r>
        <w:rPr>
          <w:rFonts w:hint="eastAsia" w:ascii="仿宋_GB2312" w:eastAsia="仿宋_GB2312"/>
          <w:sz w:val="32"/>
          <w:szCs w:val="32"/>
        </w:rPr>
        <w:t>社会保障和就业（</w:t>
      </w:r>
      <w:r>
        <w:rPr>
          <w:rFonts w:hint="eastAsia" w:ascii="仿宋_GB2312" w:eastAsia="仿宋_GB2312"/>
          <w:sz w:val="32"/>
          <w:szCs w:val="32"/>
          <w:lang w:eastAsia="zh-CN"/>
        </w:rPr>
        <w:t>类</w:t>
      </w:r>
      <w:r>
        <w:rPr>
          <w:rFonts w:hint="eastAsia" w:ascii="仿宋_GB2312" w:eastAsia="仿宋_GB2312"/>
          <w:sz w:val="32"/>
          <w:szCs w:val="32"/>
        </w:rPr>
        <w:t>）208（</w:t>
      </w:r>
      <w:r>
        <w:rPr>
          <w:rFonts w:hint="eastAsia" w:ascii="仿宋_GB2312" w:eastAsia="仿宋_GB2312"/>
          <w:sz w:val="32"/>
          <w:szCs w:val="32"/>
          <w:lang w:eastAsia="zh-CN"/>
        </w:rPr>
        <w:t>款</w:t>
      </w:r>
      <w:r>
        <w:rPr>
          <w:rFonts w:hint="eastAsia" w:ascii="仿宋_GB2312" w:eastAsia="仿宋_GB2312"/>
          <w:sz w:val="32"/>
          <w:szCs w:val="32"/>
        </w:rPr>
        <w:t>）</w:t>
      </w:r>
      <w:r>
        <w:rPr>
          <w:rFonts w:hint="eastAsia" w:ascii="仿宋_GB2312" w:eastAsia="仿宋_GB2312"/>
          <w:sz w:val="32"/>
          <w:szCs w:val="32"/>
          <w:lang w:val="en-US" w:eastAsia="zh-CN"/>
        </w:rPr>
        <w:t>05</w:t>
      </w:r>
      <w:r>
        <w:rPr>
          <w:rFonts w:hint="eastAsia" w:ascii="仿宋_GB2312" w:eastAsia="仿宋_GB2312"/>
          <w:sz w:val="32"/>
          <w:szCs w:val="32"/>
          <w:lang w:eastAsia="zh-CN"/>
        </w:rPr>
        <w:t>（项））</w:t>
      </w:r>
      <w:r>
        <w:rPr>
          <w:rFonts w:hint="eastAsia" w:ascii="仿宋_GB2312" w:eastAsia="仿宋_GB2312"/>
          <w:sz w:val="32"/>
          <w:szCs w:val="32"/>
        </w:rPr>
        <w:t>05：指机关事业单位实施养老保险制度由单位缴纳的基本养老保险费支出；</w:t>
      </w:r>
    </w:p>
    <w:p>
      <w:pPr>
        <w:pStyle w:val="8"/>
        <w:keepNext w:val="0"/>
        <w:keepLines w:val="0"/>
        <w:widowControl/>
        <w:suppressLineNumbers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机关事业单位基本职业年金缴费支出（</w:t>
      </w:r>
      <w:r>
        <w:rPr>
          <w:rFonts w:hint="eastAsia" w:ascii="仿宋_GB2312" w:eastAsia="仿宋_GB2312"/>
          <w:sz w:val="32"/>
          <w:szCs w:val="32"/>
          <w:lang w:eastAsia="zh-CN"/>
        </w:rPr>
        <w:t>类</w:t>
      </w:r>
      <w:r>
        <w:rPr>
          <w:rFonts w:hint="eastAsia" w:ascii="仿宋_GB2312" w:eastAsia="仿宋_GB2312"/>
          <w:sz w:val="32"/>
          <w:szCs w:val="32"/>
        </w:rPr>
        <w:t>）208（</w:t>
      </w:r>
      <w:r>
        <w:rPr>
          <w:rFonts w:hint="eastAsia" w:ascii="仿宋_GB2312" w:eastAsia="仿宋_GB2312"/>
          <w:sz w:val="32"/>
          <w:szCs w:val="32"/>
          <w:lang w:eastAsia="zh-CN"/>
        </w:rPr>
        <w:t>款</w:t>
      </w:r>
      <w:r>
        <w:rPr>
          <w:rFonts w:hint="eastAsia" w:ascii="仿宋_GB2312" w:eastAsia="仿宋_GB2312"/>
          <w:sz w:val="32"/>
          <w:szCs w:val="32"/>
        </w:rPr>
        <w:t>）</w:t>
      </w:r>
      <w:r>
        <w:rPr>
          <w:rFonts w:hint="eastAsia" w:ascii="仿宋_GB2312" w:eastAsia="仿宋_GB2312"/>
          <w:sz w:val="32"/>
          <w:szCs w:val="32"/>
          <w:lang w:val="en-US" w:eastAsia="zh-CN"/>
        </w:rPr>
        <w:t>05</w:t>
      </w:r>
      <w:r>
        <w:rPr>
          <w:rFonts w:hint="eastAsia" w:ascii="仿宋_GB2312" w:eastAsia="仿宋_GB2312"/>
          <w:sz w:val="32"/>
          <w:szCs w:val="32"/>
          <w:lang w:eastAsia="zh-CN"/>
        </w:rPr>
        <w:t>（项））</w:t>
      </w:r>
      <w:r>
        <w:rPr>
          <w:rFonts w:hint="eastAsia" w:ascii="仿宋_GB2312" w:eastAsia="仿宋_GB2312"/>
          <w:sz w:val="32"/>
          <w:szCs w:val="32"/>
        </w:rPr>
        <w:t>06</w:t>
      </w:r>
      <w:r>
        <w:rPr>
          <w:rFonts w:hint="eastAsia" w:ascii="仿宋_GB2312" w:eastAsia="仿宋_GB2312"/>
          <w:sz w:val="32"/>
          <w:szCs w:val="32"/>
          <w:lang w:eastAsia="zh-CN"/>
        </w:rPr>
        <w:t>：</w:t>
      </w:r>
      <w:r>
        <w:rPr>
          <w:rFonts w:hint="eastAsia" w:ascii="仿宋_GB2312" w:eastAsia="仿宋_GB2312"/>
          <w:sz w:val="32"/>
          <w:szCs w:val="32"/>
        </w:rPr>
        <w:t>指机关事业单位实施养老保险制度由单位缴纳的职业年金费用支出。</w:t>
      </w:r>
    </w:p>
    <w:p>
      <w:pPr>
        <w:ind w:firstLine="480" w:firstLineChars="150"/>
        <w:rPr>
          <w:rFonts w:ascii="仿宋_GB2312" w:eastAsia="仿宋_GB2312"/>
          <w:sz w:val="32"/>
          <w:szCs w:val="32"/>
        </w:rPr>
      </w:pPr>
      <w:r>
        <w:rPr>
          <w:rFonts w:hint="eastAsia" w:ascii="仿宋" w:hAnsi="Calibri" w:eastAsia="仿宋" w:cs="仿宋"/>
          <w:kern w:val="2"/>
          <w:sz w:val="32"/>
          <w:szCs w:val="32"/>
          <w:lang w:val="en-US" w:eastAsia="zh-CN" w:bidi="ar-SA"/>
        </w:rPr>
        <w:t>9.</w:t>
      </w:r>
      <w:r>
        <w:rPr>
          <w:rFonts w:hint="eastAsia" w:ascii="仿宋_GB2312" w:eastAsia="仿宋_GB2312"/>
          <w:sz w:val="32"/>
          <w:szCs w:val="32"/>
        </w:rPr>
        <w:t>住房保障支出（</w:t>
      </w:r>
      <w:r>
        <w:rPr>
          <w:rFonts w:hint="eastAsia" w:ascii="仿宋_GB2312" w:eastAsia="仿宋_GB2312"/>
          <w:sz w:val="32"/>
          <w:szCs w:val="32"/>
          <w:lang w:eastAsia="zh-CN"/>
        </w:rPr>
        <w:t>类</w:t>
      </w:r>
      <w:r>
        <w:rPr>
          <w:rFonts w:hint="eastAsia" w:ascii="仿宋_GB2312" w:eastAsia="仿宋_GB2312"/>
          <w:sz w:val="32"/>
          <w:szCs w:val="32"/>
        </w:rPr>
        <w:t>）221（</w:t>
      </w:r>
      <w:r>
        <w:rPr>
          <w:rFonts w:hint="eastAsia" w:ascii="仿宋_GB2312" w:eastAsia="仿宋_GB2312"/>
          <w:sz w:val="32"/>
          <w:szCs w:val="32"/>
          <w:lang w:eastAsia="zh-CN"/>
        </w:rPr>
        <w:t>款</w:t>
      </w:r>
      <w:r>
        <w:rPr>
          <w:rFonts w:hint="eastAsia" w:ascii="仿宋_GB2312" w:eastAsia="仿宋_GB2312"/>
          <w:sz w:val="32"/>
          <w:szCs w:val="32"/>
        </w:rPr>
        <w:t>）02（</w:t>
      </w:r>
      <w:r>
        <w:rPr>
          <w:rFonts w:hint="eastAsia" w:ascii="仿宋_GB2312" w:eastAsia="仿宋_GB2312"/>
          <w:sz w:val="32"/>
          <w:szCs w:val="32"/>
          <w:lang w:eastAsia="zh-CN"/>
        </w:rPr>
        <w:t>项</w:t>
      </w:r>
      <w:r>
        <w:rPr>
          <w:rFonts w:hint="eastAsia" w:ascii="仿宋_GB2312" w:eastAsia="仿宋_GB2312"/>
          <w:sz w:val="32"/>
          <w:szCs w:val="32"/>
        </w:rPr>
        <w:t>）01：指行政事业单位按人社部、财政部规定的基本工资、津补贴以及规定比例为职工缴纳的住房公积金。</w:t>
      </w:r>
    </w:p>
    <w:p>
      <w:pPr>
        <w:ind w:firstLine="640" w:firstLineChars="200"/>
        <w:rPr>
          <w:rFonts w:ascii="仿宋_GB2312" w:eastAsia="仿宋_GB2312"/>
          <w:sz w:val="32"/>
          <w:szCs w:val="32"/>
        </w:rPr>
      </w:pPr>
      <w:r>
        <w:rPr>
          <w:rFonts w:hint="eastAsia" w:ascii="仿宋" w:hAnsi="Calibri" w:eastAsia="仿宋" w:cs="仿宋"/>
          <w:kern w:val="2"/>
          <w:sz w:val="32"/>
          <w:szCs w:val="32"/>
          <w:lang w:val="en-US" w:eastAsia="zh-CN" w:bidi="ar-SA"/>
        </w:rPr>
        <w:t>10.</w:t>
      </w:r>
      <w:r>
        <w:rPr>
          <w:rFonts w:hint="eastAsia" w:ascii="仿宋_GB2312" w:eastAsia="仿宋_GB2312"/>
          <w:sz w:val="32"/>
          <w:szCs w:val="32"/>
        </w:rPr>
        <w:t>医疗卫生与计划生育（</w:t>
      </w:r>
      <w:r>
        <w:rPr>
          <w:rFonts w:hint="eastAsia" w:ascii="仿宋_GB2312" w:eastAsia="仿宋_GB2312"/>
          <w:sz w:val="32"/>
          <w:szCs w:val="32"/>
          <w:lang w:eastAsia="zh-CN"/>
        </w:rPr>
        <w:t>类</w:t>
      </w:r>
      <w:r>
        <w:rPr>
          <w:rFonts w:hint="eastAsia" w:ascii="仿宋_GB2312" w:eastAsia="仿宋_GB2312"/>
          <w:sz w:val="32"/>
          <w:szCs w:val="32"/>
        </w:rPr>
        <w:t>）210（</w:t>
      </w:r>
      <w:r>
        <w:rPr>
          <w:rFonts w:hint="eastAsia" w:ascii="仿宋_GB2312" w:eastAsia="仿宋_GB2312"/>
          <w:sz w:val="32"/>
          <w:szCs w:val="32"/>
          <w:lang w:eastAsia="zh-CN"/>
        </w:rPr>
        <w:t>款</w:t>
      </w:r>
      <w:r>
        <w:rPr>
          <w:rFonts w:hint="eastAsia" w:ascii="仿宋_GB2312" w:eastAsia="仿宋_GB2312"/>
          <w:sz w:val="32"/>
          <w:szCs w:val="32"/>
        </w:rPr>
        <w:t>）11（</w:t>
      </w:r>
      <w:r>
        <w:rPr>
          <w:rFonts w:hint="eastAsia" w:ascii="仿宋_GB2312" w:eastAsia="仿宋_GB2312"/>
          <w:sz w:val="32"/>
          <w:szCs w:val="32"/>
          <w:lang w:eastAsia="zh-CN"/>
        </w:rPr>
        <w:t>项</w:t>
      </w:r>
      <w:r>
        <w:rPr>
          <w:rFonts w:hint="eastAsia" w:ascii="仿宋_GB2312" w:eastAsia="仿宋_GB2312"/>
          <w:sz w:val="32"/>
          <w:szCs w:val="32"/>
        </w:rPr>
        <w:t>）</w:t>
      </w:r>
      <w:r>
        <w:rPr>
          <w:rFonts w:hint="eastAsia" w:ascii="仿宋_GB2312" w:eastAsia="仿宋_GB2312"/>
          <w:sz w:val="32"/>
          <w:szCs w:val="32"/>
          <w:lang w:val="en-US" w:eastAsia="zh-CN"/>
        </w:rPr>
        <w:t>01</w:t>
      </w:r>
      <w:r>
        <w:rPr>
          <w:rFonts w:hint="eastAsia" w:ascii="仿宋_GB2312" w:eastAsia="仿宋_GB2312"/>
          <w:sz w:val="32"/>
          <w:szCs w:val="32"/>
        </w:rPr>
        <w:t>：指行政单位基本医疗保险缴纳的经费。</w:t>
      </w:r>
    </w:p>
    <w:p>
      <w:pPr>
        <w:ind w:firstLine="640" w:firstLineChars="200"/>
        <w:rPr>
          <w:rFonts w:ascii="仿宋_GB2312" w:eastAsia="仿宋_GB2312"/>
          <w:color w:val="000000"/>
          <w:sz w:val="32"/>
          <w:szCs w:val="32"/>
        </w:rPr>
      </w:pPr>
      <w:r>
        <w:rPr>
          <w:rFonts w:hint="eastAsia" w:ascii="仿宋" w:hAnsi="Calibri" w:eastAsia="仿宋" w:cs="仿宋"/>
          <w:kern w:val="2"/>
          <w:sz w:val="32"/>
          <w:szCs w:val="32"/>
          <w:lang w:val="en-US" w:eastAsia="zh-CN" w:bidi="ar-SA"/>
        </w:rPr>
        <w:t>11.</w:t>
      </w:r>
      <w:r>
        <w:rPr>
          <w:rFonts w:hint="eastAsia" w:ascii="仿宋_GB2312" w:eastAsia="仿宋_GB2312"/>
          <w:color w:val="000000"/>
          <w:sz w:val="32"/>
          <w:szCs w:val="32"/>
        </w:rPr>
        <w:t>基本支出：指为保障机构正常运转、完成日常工作任务而发生的人员支出和公用支出。</w:t>
      </w:r>
    </w:p>
    <w:p>
      <w:pPr>
        <w:pStyle w:val="8"/>
        <w:keepNext w:val="0"/>
        <w:keepLines w:val="0"/>
        <w:widowControl/>
        <w:suppressLineNumbers w:val="0"/>
        <w:ind w:firstLine="640" w:firstLineChars="200"/>
        <w:jc w:val="left"/>
        <w:rPr>
          <w:rFonts w:hint="eastAsia" w:ascii="仿宋_GB2312" w:eastAsia="仿宋_GB2312"/>
          <w:color w:val="000000"/>
          <w:sz w:val="32"/>
          <w:szCs w:val="32"/>
        </w:rPr>
      </w:pPr>
      <w:r>
        <w:rPr>
          <w:rFonts w:hint="eastAsia" w:ascii="仿宋" w:hAnsi="Calibri" w:eastAsia="仿宋" w:cs="仿宋"/>
          <w:kern w:val="2"/>
          <w:sz w:val="32"/>
          <w:szCs w:val="32"/>
          <w:lang w:val="en-US" w:eastAsia="zh-CN" w:bidi="ar-SA"/>
        </w:rPr>
        <w:t>12.</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 w:hAnsi="Calibri" w:eastAsia="仿宋" w:cs="仿宋"/>
          <w:kern w:val="2"/>
          <w:sz w:val="32"/>
          <w:szCs w:val="32"/>
          <w:lang w:val="en-US" w:eastAsia="zh-CN" w:bidi="ar-SA"/>
        </w:rPr>
        <w:t>13.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spacing w:line="560" w:lineRule="exact"/>
        <w:ind w:firstLine="640" w:firstLineChars="200"/>
        <w:rPr>
          <w:rFonts w:ascii="仿宋_GB2312" w:eastAsia="仿宋_GB2312" w:cs="黑体"/>
          <w:sz w:val="32"/>
          <w:szCs w:val="32"/>
        </w:rPr>
      </w:pPr>
      <w:r>
        <w:rPr>
          <w:rFonts w:hint="eastAsia" w:ascii="仿宋" w:hAnsi="Calibri" w:eastAsia="仿宋" w:cs="仿宋"/>
          <w:kern w:val="2"/>
          <w:sz w:val="32"/>
          <w:szCs w:val="32"/>
          <w:lang w:val="en-US" w:eastAsia="zh-CN" w:bidi="ar-SA"/>
        </w:rPr>
        <w:t>14.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keepNext w:val="0"/>
        <w:keepLines w:val="0"/>
        <w:widowControl/>
        <w:suppressLineNumbers w:val="0"/>
        <w:jc w:val="center"/>
        <w:rPr>
          <w:rStyle w:val="11"/>
          <w:sz w:val="39"/>
          <w:szCs w:val="39"/>
        </w:rPr>
      </w:pPr>
    </w:p>
    <w:p>
      <w:pPr>
        <w:pStyle w:val="8"/>
        <w:keepNext w:val="0"/>
        <w:keepLines w:val="0"/>
        <w:widowControl/>
        <w:suppressLineNumbers w:val="0"/>
        <w:jc w:val="center"/>
        <w:rPr>
          <w:rStyle w:val="11"/>
          <w:sz w:val="39"/>
          <w:szCs w:val="39"/>
        </w:rPr>
      </w:pPr>
    </w:p>
    <w:p>
      <w:pPr>
        <w:pStyle w:val="8"/>
        <w:keepNext w:val="0"/>
        <w:keepLines w:val="0"/>
        <w:widowControl/>
        <w:suppressLineNumbers w:val="0"/>
        <w:jc w:val="center"/>
        <w:rPr>
          <w:rStyle w:val="11"/>
          <w:sz w:val="39"/>
          <w:szCs w:val="39"/>
        </w:rPr>
      </w:pPr>
    </w:p>
    <w:p>
      <w:pPr>
        <w:pStyle w:val="8"/>
        <w:keepNext w:val="0"/>
        <w:keepLines w:val="0"/>
        <w:widowControl/>
        <w:suppressLineNumbers w:val="0"/>
        <w:jc w:val="center"/>
        <w:rPr>
          <w:rStyle w:val="11"/>
          <w:sz w:val="39"/>
          <w:szCs w:val="39"/>
        </w:rPr>
      </w:pPr>
    </w:p>
    <w:p>
      <w:pPr>
        <w:pStyle w:val="8"/>
        <w:keepNext w:val="0"/>
        <w:keepLines w:val="0"/>
        <w:widowControl/>
        <w:suppressLineNumbers w:val="0"/>
        <w:jc w:val="center"/>
      </w:pPr>
      <w:r>
        <w:rPr>
          <w:rStyle w:val="11"/>
          <w:sz w:val="39"/>
          <w:szCs w:val="39"/>
        </w:rPr>
        <w:t>第四部分 附件</w:t>
      </w:r>
    </w:p>
    <w:p>
      <w:pPr>
        <w:pStyle w:val="8"/>
        <w:keepNext w:val="0"/>
        <w:keepLines w:val="0"/>
        <w:widowControl/>
        <w:suppressLineNumbers w:val="0"/>
        <w:jc w:val="left"/>
      </w:pPr>
      <w:r>
        <w:t>附件</w:t>
      </w:r>
    </w:p>
    <w:p>
      <w:pPr>
        <w:pStyle w:val="8"/>
        <w:keepNext w:val="0"/>
        <w:keepLines w:val="0"/>
        <w:widowControl/>
        <w:suppressLineNumbers w:val="0"/>
        <w:jc w:val="center"/>
      </w:pPr>
      <w:r>
        <w:rPr>
          <w:sz w:val="39"/>
          <w:szCs w:val="39"/>
        </w:rPr>
        <w:t>2022年</w:t>
      </w:r>
      <w:r>
        <w:rPr>
          <w:rFonts w:hint="eastAsia"/>
          <w:sz w:val="39"/>
          <w:szCs w:val="39"/>
          <w:lang w:eastAsia="zh-CN"/>
        </w:rPr>
        <w:t>档案馆</w:t>
      </w:r>
      <w:r>
        <w:rPr>
          <w:sz w:val="39"/>
          <w:szCs w:val="39"/>
        </w:rPr>
        <w:t>部门整体绩效评价报告</w:t>
      </w:r>
    </w:p>
    <w:p>
      <w:pPr>
        <w:pStyle w:val="8"/>
        <w:keepNext w:val="0"/>
        <w:keepLines w:val="0"/>
        <w:widowControl/>
        <w:suppressLineNumbers w:val="0"/>
        <w:jc w:val="left"/>
        <w:rPr>
          <w:rFonts w:hint="eastAsia" w:ascii="黑体" w:hAnsi="宋体" w:eastAsia="黑体" w:cs="宋体"/>
          <w:color w:val="000000"/>
          <w:kern w:val="0"/>
          <w:sz w:val="32"/>
          <w:szCs w:val="32"/>
          <w:shd w:val="clear" w:color="auto" w:fill="FFFFFF"/>
          <w:lang w:val="en-US" w:eastAsia="zh-CN" w:bidi="ar-SA"/>
        </w:rPr>
      </w:pPr>
    </w:p>
    <w:p>
      <w:pPr>
        <w:pStyle w:val="8"/>
        <w:keepNext w:val="0"/>
        <w:keepLines w:val="0"/>
        <w:widowControl/>
        <w:suppressLineNumbers w:val="0"/>
        <w:jc w:val="left"/>
        <w:rPr>
          <w:rFonts w:hint="eastAsia" w:ascii="黑体" w:hAnsi="宋体" w:eastAsia="黑体" w:cs="宋体"/>
          <w:color w:val="000000"/>
          <w:kern w:val="0"/>
          <w:sz w:val="32"/>
          <w:szCs w:val="32"/>
          <w:shd w:val="clear" w:color="auto" w:fill="FFFFFF"/>
          <w:lang w:val="en-US" w:eastAsia="zh-CN" w:bidi="ar-SA"/>
        </w:rPr>
      </w:pPr>
      <w:r>
        <w:rPr>
          <w:rFonts w:hint="eastAsia" w:ascii="黑体" w:hAnsi="宋体" w:eastAsia="黑体" w:cs="宋体"/>
          <w:color w:val="000000"/>
          <w:kern w:val="0"/>
          <w:sz w:val="32"/>
          <w:szCs w:val="32"/>
          <w:shd w:val="clear" w:color="auto" w:fill="FFFFFF"/>
          <w:lang w:val="en-US" w:eastAsia="zh-CN" w:bidi="ar-SA"/>
        </w:rPr>
        <w:t>一、部门（单位）基本情况</w:t>
      </w:r>
    </w:p>
    <w:p>
      <w:pPr>
        <w:ind w:firstLine="640" w:firstLineChars="200"/>
        <w:rPr>
          <w:rFonts w:hint="eastAsia" w:ascii="仿宋_GB2312" w:eastAsia="仿宋_GB2312"/>
          <w:sz w:val="32"/>
          <w:szCs w:val="32"/>
        </w:rPr>
      </w:pPr>
      <w:r>
        <w:rPr>
          <w:rFonts w:hint="eastAsia" w:ascii="仿宋_GB2312" w:eastAsia="仿宋_GB2312"/>
          <w:sz w:val="32"/>
          <w:szCs w:val="32"/>
        </w:rPr>
        <w:t>（一）机构组成。九寨沟县档案馆是九寨沟县委参照公务员管理的事业单位。无下属二级决算单位。内设办公室、保管利用股与业务技术股</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（二）机构职能和人员概况。县档案馆依照国家有关规定，负责接收、收集、整理、保管和提供利用分管范围内的档案。截止202</w:t>
      </w:r>
      <w:r>
        <w:rPr>
          <w:rFonts w:hint="eastAsia" w:ascii="仿宋_GB2312" w:eastAsia="仿宋_GB2312"/>
          <w:sz w:val="32"/>
          <w:szCs w:val="32"/>
          <w:lang w:val="en-US" w:eastAsia="zh-CN"/>
        </w:rPr>
        <w:t>2</w:t>
      </w:r>
      <w:r>
        <w:rPr>
          <w:rFonts w:hint="eastAsia" w:ascii="仿宋_GB2312" w:eastAsia="仿宋_GB2312"/>
          <w:sz w:val="32"/>
          <w:szCs w:val="32"/>
        </w:rPr>
        <w:t>年12月有在职职工10人。</w:t>
      </w:r>
    </w:p>
    <w:p>
      <w:pPr>
        <w:ind w:firstLine="640" w:firstLineChars="200"/>
        <w:rPr>
          <w:rFonts w:hint="eastAsia" w:ascii="仿宋" w:eastAsia="仿宋" w:cs="仿宋"/>
          <w:kern w:val="2"/>
          <w:sz w:val="32"/>
          <w:szCs w:val="32"/>
          <w:lang w:val="en-US" w:eastAsia="zh-CN"/>
        </w:rPr>
      </w:pPr>
      <w:r>
        <w:rPr>
          <w:rFonts w:hint="eastAsia" w:ascii="仿宋_GB2312" w:eastAsia="仿宋_GB2312"/>
          <w:sz w:val="32"/>
          <w:szCs w:val="32"/>
        </w:rPr>
        <w:t>（三）年度主要工作任务。</w:t>
      </w:r>
      <w:r>
        <w:rPr>
          <w:rFonts w:hint="eastAsia" w:ascii="仿宋" w:eastAsia="仿宋" w:cs="仿宋"/>
          <w:kern w:val="2"/>
          <w:sz w:val="32"/>
          <w:szCs w:val="32"/>
          <w:lang w:val="en-US"/>
        </w:rPr>
        <w:t>1、</w:t>
      </w:r>
      <w:r>
        <w:rPr>
          <w:rFonts w:hint="eastAsia" w:ascii="仿宋_GB2312" w:eastAsia="仿宋_GB2312"/>
          <w:sz w:val="32"/>
          <w:szCs w:val="32"/>
          <w:lang w:val="en-US" w:eastAsia="zh-CN"/>
        </w:rPr>
        <w:t>2022年，我馆</w:t>
      </w:r>
      <w:r>
        <w:rPr>
          <w:rFonts w:hint="eastAsia" w:ascii="仿宋" w:eastAsia="仿宋" w:cs="仿宋"/>
          <w:kern w:val="2"/>
          <w:sz w:val="32"/>
          <w:szCs w:val="32"/>
          <w:lang w:val="en-US" w:eastAsia="zh-CN"/>
        </w:rPr>
        <w:t>结合州档案局“三年执法检查”行动，</w:t>
      </w:r>
      <w:r>
        <w:rPr>
          <w:rFonts w:hint="eastAsia" w:ascii="仿宋_GB2312" w:eastAsia="仿宋_GB2312"/>
          <w:sz w:val="32"/>
          <w:szCs w:val="32"/>
        </w:rPr>
        <w:t>进一步加强对乡镇（社区）、机关和企事业单位档案工作的业务指导，全面开展档案执法检查</w:t>
      </w:r>
      <w:r>
        <w:rPr>
          <w:rFonts w:hint="eastAsia" w:ascii="仿宋" w:eastAsia="仿宋" w:cs="仿宋"/>
          <w:kern w:val="2"/>
          <w:sz w:val="32"/>
          <w:szCs w:val="32"/>
          <w:lang w:val="en-US"/>
        </w:rPr>
        <w:t>，推进依法治档；2、</w:t>
      </w:r>
      <w:r>
        <w:rPr>
          <w:rFonts w:hint="eastAsia" w:ascii="仿宋" w:eastAsia="仿宋" w:cs="仿宋"/>
          <w:kern w:val="2"/>
          <w:sz w:val="32"/>
          <w:szCs w:val="32"/>
          <w:lang w:val="en-US" w:eastAsia="zh-CN"/>
        </w:rPr>
        <w:t>围绕乡村振兴、重大建设项目管理和新冠肺炎疫情防控等重点工作开展档案业务指导，促进重大建设项目档案管理的规范化；</w:t>
      </w:r>
      <w:r>
        <w:rPr>
          <w:rFonts w:hint="eastAsia" w:ascii="仿宋" w:eastAsia="仿宋" w:cs="仿宋"/>
          <w:kern w:val="2"/>
          <w:sz w:val="32"/>
          <w:szCs w:val="32"/>
          <w:lang w:val="en-US"/>
        </w:rPr>
        <w:t>3、</w:t>
      </w:r>
      <w:r>
        <w:rPr>
          <w:rFonts w:hint="eastAsia" w:ascii="仿宋" w:eastAsia="仿宋" w:cs="仿宋"/>
          <w:kern w:val="2"/>
          <w:sz w:val="32"/>
          <w:szCs w:val="32"/>
          <w:lang w:val="en-US" w:eastAsia="zh-CN"/>
        </w:rPr>
        <w:t>进一步完善了部分乡（镇）</w:t>
      </w:r>
      <w:r>
        <w:rPr>
          <w:rFonts w:hint="eastAsia" w:ascii="仿宋" w:eastAsia="仿宋" w:cs="仿宋"/>
          <w:kern w:val="2"/>
          <w:sz w:val="32"/>
          <w:szCs w:val="32"/>
          <w:lang w:val="en-US"/>
        </w:rPr>
        <w:t>精准扶贫</w:t>
      </w:r>
      <w:r>
        <w:rPr>
          <w:rFonts w:hint="eastAsia" w:ascii="仿宋" w:eastAsia="仿宋" w:cs="仿宋"/>
          <w:kern w:val="2"/>
          <w:sz w:val="32"/>
          <w:szCs w:val="32"/>
          <w:lang w:val="en-US" w:eastAsia="zh-CN"/>
        </w:rPr>
        <w:t>档案的移交进馆工作，确保了进馆档案整理规范、资料全面。</w:t>
      </w:r>
    </w:p>
    <w:p>
      <w:pPr>
        <w:ind w:firstLine="640" w:firstLineChars="200"/>
      </w:pPr>
      <w:r>
        <w:rPr>
          <w:rFonts w:hint="eastAsia" w:ascii="仿宋_GB2312" w:eastAsia="仿宋_GB2312"/>
          <w:sz w:val="32"/>
          <w:szCs w:val="32"/>
        </w:rPr>
        <w:t>（四）部门整体支出绩效目标。从预算绩效目标设立到指标体系设置强化全过程绩效管理，切实将绩效管理贯穿于每个环节，及时发现并纠正预算管理过程中存在的问题，促使资金预期绩效目标得以实现。</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ascii="仿宋_GB2312" w:eastAsia="仿宋_GB2312"/>
          <w:color w:val="000000"/>
          <w:sz w:val="32"/>
          <w:szCs w:val="32"/>
        </w:rPr>
      </w:pPr>
      <w:r>
        <w:rPr>
          <w:rFonts w:hint="eastAsia" w:ascii="仿宋_GB2312" w:hAnsi="宋体" w:eastAsia="仿宋_GB2312" w:cs="宋体"/>
          <w:color w:val="000000"/>
          <w:kern w:val="0"/>
          <w:sz w:val="32"/>
          <w:szCs w:val="32"/>
          <w:shd w:val="clear" w:color="auto" w:fill="FFFFFF"/>
          <w:lang w:val="zh-CN"/>
        </w:rPr>
        <w:t>（一）部门财政资金收入情况。</w:t>
      </w:r>
      <w:r>
        <w:rPr>
          <w:rFonts w:hint="eastAsia" w:ascii="仿宋_GB2312" w:eastAsia="仿宋_GB2312"/>
          <w:color w:val="000000"/>
          <w:sz w:val="32"/>
          <w:szCs w:val="32"/>
        </w:rPr>
        <w:t>九寨沟县档案馆经费安排支出主要用于保障该部门机构正常运转、完成日常工作任务以及承担档案事业发展相关工作。202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年度收入总计</w:t>
      </w:r>
      <w:r>
        <w:rPr>
          <w:rFonts w:hint="eastAsia" w:ascii="仿宋_GB2312" w:eastAsia="仿宋_GB2312"/>
          <w:color w:val="000000"/>
          <w:sz w:val="32"/>
          <w:szCs w:val="32"/>
          <w:lang w:val="en-US" w:eastAsia="zh-CN"/>
        </w:rPr>
        <w:t>206.96</w:t>
      </w:r>
      <w:r>
        <w:rPr>
          <w:rFonts w:hint="eastAsia" w:ascii="仿宋_GB2312" w:eastAsia="仿宋_GB2312"/>
          <w:color w:val="000000"/>
          <w:sz w:val="32"/>
          <w:szCs w:val="32"/>
        </w:rPr>
        <w:t>万元。加上年初结转</w:t>
      </w:r>
      <w:r>
        <w:rPr>
          <w:rFonts w:hint="eastAsia" w:ascii="仿宋_GB2312" w:eastAsia="仿宋_GB2312"/>
          <w:color w:val="000000"/>
          <w:sz w:val="32"/>
          <w:szCs w:val="32"/>
          <w:lang w:val="en-US" w:eastAsia="zh-CN"/>
        </w:rPr>
        <w:t>35.22</w:t>
      </w:r>
      <w:r>
        <w:rPr>
          <w:rFonts w:hint="eastAsia" w:ascii="仿宋_GB2312" w:eastAsia="仿宋_GB2312"/>
          <w:color w:val="000000"/>
          <w:sz w:val="32"/>
          <w:szCs w:val="32"/>
        </w:rPr>
        <w:t>万元，总收入2</w:t>
      </w:r>
      <w:r>
        <w:rPr>
          <w:rFonts w:hint="eastAsia" w:ascii="仿宋_GB2312" w:eastAsia="仿宋_GB2312"/>
          <w:color w:val="000000"/>
          <w:sz w:val="32"/>
          <w:szCs w:val="32"/>
          <w:lang w:val="en-US" w:eastAsia="zh-CN"/>
        </w:rPr>
        <w:t>42.18</w:t>
      </w:r>
      <w:r>
        <w:rPr>
          <w:rFonts w:hint="eastAsia" w:ascii="仿宋_GB2312" w:eastAsia="仿宋_GB2312"/>
          <w:color w:val="000000"/>
          <w:sz w:val="32"/>
          <w:szCs w:val="32"/>
        </w:rPr>
        <w:t>万元。无其他收入。</w:t>
      </w:r>
    </w:p>
    <w:p>
      <w:pPr>
        <w:spacing w:line="560" w:lineRule="exact"/>
        <w:ind w:firstLine="640" w:firstLineChars="200"/>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（二）部门财政资金支出情况。</w:t>
      </w:r>
      <w:r>
        <w:rPr>
          <w:rFonts w:hint="eastAsia" w:ascii="仿宋_GB2312" w:eastAsia="仿宋_GB2312"/>
          <w:color w:val="000000"/>
          <w:sz w:val="32"/>
          <w:szCs w:val="32"/>
        </w:rPr>
        <w:t>依据《预算法》，严格执行预算管理，能及时合理合规分配各项资金，不擅自改变预算资金用途；做到了严格执行经费预算，不超出经费</w:t>
      </w:r>
      <w:r>
        <w:rPr>
          <w:rFonts w:hint="eastAsia" w:ascii="仿宋_GB2312" w:eastAsia="仿宋_GB2312"/>
          <w:color w:val="000000"/>
          <w:sz w:val="32"/>
          <w:szCs w:val="32"/>
          <w:lang w:eastAsia="zh-CN"/>
        </w:rPr>
        <w:t>各项</w:t>
      </w:r>
      <w:r>
        <w:rPr>
          <w:rFonts w:hint="eastAsia" w:ascii="仿宋_GB2312" w:eastAsia="仿宋_GB2312"/>
          <w:color w:val="000000"/>
          <w:sz w:val="32"/>
          <w:szCs w:val="32"/>
        </w:rPr>
        <w:t>指标。单位本年度实际支出的一般公共预算财政拨款2</w:t>
      </w:r>
      <w:r>
        <w:rPr>
          <w:rFonts w:hint="eastAsia" w:ascii="仿宋_GB2312" w:eastAsia="仿宋_GB2312"/>
          <w:color w:val="000000"/>
          <w:sz w:val="32"/>
          <w:szCs w:val="32"/>
          <w:lang w:val="en-US" w:eastAsia="zh-CN"/>
        </w:rPr>
        <w:t>42.18</w:t>
      </w:r>
      <w:r>
        <w:rPr>
          <w:rFonts w:hint="eastAsia" w:ascii="仿宋_GB2312" w:eastAsia="仿宋_GB2312"/>
          <w:color w:val="000000"/>
          <w:sz w:val="32"/>
          <w:szCs w:val="32"/>
        </w:rPr>
        <w:t>万元，其中专项经费</w:t>
      </w:r>
      <w:r>
        <w:rPr>
          <w:rFonts w:hint="eastAsia" w:ascii="仿宋_GB2312" w:eastAsia="仿宋_GB2312"/>
          <w:color w:val="000000"/>
          <w:sz w:val="32"/>
          <w:szCs w:val="32"/>
          <w:lang w:val="en-US" w:eastAsia="zh-CN"/>
        </w:rPr>
        <w:t>9.19</w:t>
      </w:r>
      <w:r>
        <w:rPr>
          <w:rFonts w:hint="eastAsia" w:ascii="仿宋_GB2312" w:eastAsia="仿宋_GB2312"/>
          <w:color w:val="000000"/>
          <w:sz w:val="32"/>
          <w:szCs w:val="32"/>
        </w:rPr>
        <w:t>万元，用于档案抢救保护及精准扶贫整理指导专项工作开展。</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（一）部门预算项目绩效管理。</w:t>
      </w:r>
    </w:p>
    <w:p>
      <w:pPr>
        <w:widowControl/>
        <w:adjustRightInd w:val="0"/>
        <w:snapToGrid w:val="0"/>
        <w:spacing w:line="580" w:lineRule="exact"/>
        <w:ind w:firstLine="750" w:firstLineChars="250"/>
        <w:contextualSpacing/>
        <w:jc w:val="left"/>
        <w:rPr>
          <w:rFonts w:ascii="楷体" w:hAnsi="楷体" w:eastAsia="楷体" w:cs="宋体"/>
          <w:color w:val="000000"/>
          <w:kern w:val="0"/>
          <w:sz w:val="30"/>
          <w:szCs w:val="30"/>
          <w:lang w:val="zh-CN"/>
        </w:rPr>
      </w:pPr>
      <w:r>
        <w:rPr>
          <w:rFonts w:hint="eastAsia" w:ascii="楷体" w:hAnsi="楷体" w:eastAsia="楷体" w:cs="宋体"/>
          <w:color w:val="000000"/>
          <w:kern w:val="0"/>
          <w:sz w:val="30"/>
          <w:szCs w:val="30"/>
          <w:lang w:val="zh-CN"/>
        </w:rPr>
        <w:t>1、绩效目标制定和完成情况。</w:t>
      </w:r>
    </w:p>
    <w:p>
      <w:pPr>
        <w:widowControl/>
        <w:adjustRightInd w:val="0"/>
        <w:snapToGrid w:val="0"/>
        <w:spacing w:line="580" w:lineRule="exact"/>
        <w:ind w:firstLine="640" w:firstLineChars="200"/>
        <w:contextualSpacing/>
        <w:jc w:val="left"/>
        <w:rPr>
          <w:rFonts w:ascii="仿宋_GB2312" w:eastAsia="仿宋_GB2312"/>
          <w:color w:val="000000"/>
          <w:sz w:val="32"/>
          <w:szCs w:val="32"/>
        </w:rPr>
      </w:pPr>
      <w:r>
        <w:rPr>
          <w:rFonts w:hint="eastAsia" w:ascii="仿宋_GB2312" w:eastAsia="仿宋_GB2312"/>
          <w:color w:val="000000"/>
          <w:sz w:val="32"/>
          <w:szCs w:val="32"/>
        </w:rPr>
        <w:t>绩效目标是预算编制的前提和基础,按照“费随事定”的原则，本部门按要求对202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年部门整体支出开展绩效自评，从项目完成、项目效益、满意度等方面设置了绩效指标。由于我馆无专项预算项目，因此未组织开展项目支出绩效评价。</w:t>
      </w:r>
    </w:p>
    <w:p>
      <w:pPr>
        <w:widowControl/>
        <w:adjustRightInd w:val="0"/>
        <w:snapToGrid w:val="0"/>
        <w:spacing w:line="580" w:lineRule="exact"/>
        <w:ind w:firstLine="640" w:firstLineChars="200"/>
        <w:contextualSpacing/>
        <w:jc w:val="left"/>
        <w:rPr>
          <w:rFonts w:ascii="仿宋_GB2312" w:eastAsia="仿宋_GB2312"/>
          <w:color w:val="000000"/>
          <w:sz w:val="32"/>
          <w:szCs w:val="32"/>
        </w:rPr>
      </w:pPr>
      <w:r>
        <w:rPr>
          <w:rFonts w:hint="eastAsia" w:ascii="仿宋_GB2312" w:eastAsia="仿宋_GB2312"/>
          <w:color w:val="000000"/>
          <w:sz w:val="32"/>
          <w:szCs w:val="32"/>
        </w:rPr>
        <w:t>从整体情况来看，我馆严格按照年初预算进行部门整体支出管控。在支出过程中，能严格遵守各项规章制度，“三公经费”逐年下降。所有项目都详细制定了方案，严格按方案组织实施，并加强了监督。我馆圆满完成了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年度各项工作，单位基本职能工作目标全面完成。</w:t>
      </w:r>
    </w:p>
    <w:p>
      <w:pPr>
        <w:widowControl/>
        <w:adjustRightInd w:val="0"/>
        <w:snapToGrid w:val="0"/>
        <w:spacing w:line="580" w:lineRule="exact"/>
        <w:ind w:firstLine="750" w:firstLineChars="250"/>
        <w:contextualSpacing/>
        <w:jc w:val="left"/>
        <w:rPr>
          <w:rFonts w:ascii="楷体" w:hAnsi="楷体" w:eastAsia="楷体" w:cs="宋体"/>
          <w:color w:val="000000"/>
          <w:kern w:val="0"/>
          <w:sz w:val="30"/>
          <w:szCs w:val="30"/>
          <w:lang w:val="zh-CN"/>
        </w:rPr>
      </w:pPr>
      <w:r>
        <w:rPr>
          <w:rFonts w:hint="eastAsia" w:ascii="楷体" w:hAnsi="楷体" w:eastAsia="楷体" w:cs="宋体"/>
          <w:color w:val="000000"/>
          <w:kern w:val="0"/>
          <w:sz w:val="30"/>
          <w:szCs w:val="30"/>
          <w:lang w:val="zh-CN"/>
        </w:rPr>
        <w:t>2、预算编制情况。</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县财政局部门预算编制通知和有关要求，及时准确高质量完成了单位部门预算编报工作。部门整体绩效目标能完整、合理反映部门年度职责履行情况，项目编制明确、量化。无转移支付及专项转移支付分地区分项目的情况。</w:t>
      </w:r>
    </w:p>
    <w:p>
      <w:pPr>
        <w:widowControl/>
        <w:adjustRightInd w:val="0"/>
        <w:snapToGrid w:val="0"/>
        <w:spacing w:line="580" w:lineRule="exact"/>
        <w:ind w:firstLine="750" w:firstLineChars="250"/>
        <w:contextualSpacing/>
        <w:jc w:val="left"/>
        <w:rPr>
          <w:rFonts w:ascii="楷体" w:hAnsi="楷体" w:eastAsia="楷体" w:cs="宋体"/>
          <w:color w:val="000000"/>
          <w:kern w:val="0"/>
          <w:sz w:val="30"/>
          <w:szCs w:val="30"/>
          <w:lang w:val="zh-CN"/>
        </w:rPr>
      </w:pPr>
      <w:r>
        <w:rPr>
          <w:rFonts w:hint="eastAsia" w:ascii="楷体" w:hAnsi="楷体" w:eastAsia="楷体" w:cs="宋体"/>
          <w:color w:val="000000"/>
          <w:kern w:val="0"/>
          <w:sz w:val="30"/>
          <w:szCs w:val="30"/>
          <w:lang w:val="zh-CN"/>
        </w:rPr>
        <w:t>3、支出控制及动态管理情况。</w:t>
      </w:r>
      <w:r>
        <w:rPr>
          <w:rFonts w:ascii="楷体" w:hAnsi="楷体" w:eastAsia="楷体" w:cs="宋体"/>
          <w:color w:val="000000"/>
          <w:kern w:val="0"/>
          <w:sz w:val="30"/>
          <w:szCs w:val="30"/>
          <w:lang w:val="zh-CN"/>
        </w:rPr>
        <w:tab/>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按照县财政局要求，依据《预算法》，严格执行预算管理，能及时合理合规分配各项资金，不擅自改变预算资金用途；做到了严格执行“三公经费”预算，不超出“三公经费”指标。</w:t>
      </w:r>
    </w:p>
    <w:p>
      <w:pPr>
        <w:widowControl/>
        <w:adjustRightInd w:val="0"/>
        <w:snapToGrid w:val="0"/>
        <w:spacing w:line="580" w:lineRule="exact"/>
        <w:ind w:firstLine="600" w:firstLineChars="200"/>
        <w:contextualSpacing/>
        <w:jc w:val="left"/>
        <w:rPr>
          <w:rFonts w:ascii="楷体" w:hAnsi="楷体" w:eastAsia="楷体" w:cs="宋体"/>
          <w:color w:val="000000"/>
          <w:kern w:val="0"/>
          <w:sz w:val="30"/>
          <w:szCs w:val="30"/>
          <w:lang w:val="zh-CN"/>
        </w:rPr>
      </w:pPr>
      <w:r>
        <w:rPr>
          <w:rFonts w:hint="eastAsia" w:ascii="楷体" w:hAnsi="楷体" w:eastAsia="楷体" w:cs="宋体"/>
          <w:color w:val="000000"/>
          <w:kern w:val="0"/>
          <w:sz w:val="30"/>
          <w:szCs w:val="30"/>
          <w:lang w:val="zh-CN"/>
        </w:rPr>
        <w:t>4、预算管理完成情况。</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馆严格按照统一预算编制范围、标准编制本部门整体预算。从预算绩效目标设立到指标体系设置强化全过程绩效管理，确实将绩效管理贯穿于每个环节，及时发现并纠正预算管理过程中存在的问题，促使资金预期绩效目标得以实现。在预算执行中始终谨遵定额标准编制，无超支、列支、混支现象。无违规发放工资、奖金、津补贴等问题。在预算调剂中能按照程序调剂。无任何违规记录发生。</w:t>
      </w:r>
      <w:r>
        <w:rPr>
          <w:rFonts w:ascii="仿宋_GB2312" w:eastAsia="仿宋_GB2312"/>
          <w:color w:val="000000"/>
          <w:sz w:val="32"/>
          <w:szCs w:val="32"/>
        </w:rPr>
        <w:t xml:space="preserve">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馆高度重视财务管理工作，严格按照财经纪律和各项规章制度办事。按照县财政局要求及时准确公开了单位的预算、决算信息，及时公开了绩效自评报告等材料；依法自觉接受财政监督检查，对检查中存在的问题立即有效整改。通过立改立行，我馆进一步规范财政资金的管理，强化了财政支出绩效理念，提升了部门责任意识，提高资金使用效益，不断促进档案事业健康稳步的发展。</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ind w:firstLine="640" w:firstLineChars="200"/>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（一）评价结论。</w:t>
      </w:r>
      <w:r>
        <w:rPr>
          <w:rFonts w:hint="eastAsia" w:ascii="仿宋_GB2312" w:eastAsia="仿宋_GB2312"/>
          <w:color w:val="000000"/>
          <w:sz w:val="32"/>
          <w:szCs w:val="32"/>
        </w:rPr>
        <w:t>我馆20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年部门预算和专项预算使用管理绩效情况良好。</w:t>
      </w:r>
    </w:p>
    <w:p>
      <w:pPr>
        <w:ind w:firstLine="640" w:firstLineChars="200"/>
        <w:jc w:val="left"/>
        <w:rPr>
          <w:rFonts w:ascii="仿宋_GB2312" w:eastAsia="仿宋_GB2312"/>
          <w:color w:val="000000"/>
          <w:sz w:val="32"/>
          <w:szCs w:val="32"/>
        </w:rPr>
      </w:pPr>
      <w:r>
        <w:rPr>
          <w:rFonts w:hint="eastAsia" w:ascii="仿宋_GB2312" w:hAnsi="宋体" w:eastAsia="仿宋_GB2312" w:cs="宋体"/>
          <w:color w:val="000000"/>
          <w:kern w:val="0"/>
          <w:sz w:val="32"/>
          <w:szCs w:val="32"/>
          <w:shd w:val="clear" w:color="auto" w:fill="FFFFFF"/>
          <w:lang w:val="zh-CN"/>
        </w:rPr>
        <w:t>（二）存在问题。</w:t>
      </w:r>
      <w:r>
        <w:rPr>
          <w:rFonts w:hint="eastAsia" w:ascii="仿宋_GB2312" w:eastAsia="仿宋_GB2312"/>
          <w:color w:val="000000"/>
          <w:sz w:val="32"/>
          <w:szCs w:val="32"/>
        </w:rPr>
        <w:t>由于预算绩效管理工作的专业性、复杂性等特点，工作人员的业务水平不能满足要求，业务素质急需提高，从而提高财务工作质量。</w:t>
      </w:r>
    </w:p>
    <w:p>
      <w:pPr>
        <w:widowControl/>
        <w:adjustRightInd w:val="0"/>
        <w:snapToGrid w:val="0"/>
        <w:spacing w:line="480" w:lineRule="exact"/>
        <w:ind w:firstLine="720"/>
        <w:jc w:val="left"/>
        <w:rPr>
          <w:rFonts w:ascii="仿宋_GB2312" w:eastAsia="仿宋_GB2312"/>
          <w:color w:val="000000"/>
          <w:sz w:val="32"/>
          <w:szCs w:val="32"/>
        </w:rPr>
      </w:pPr>
      <w:r>
        <w:rPr>
          <w:rFonts w:hint="eastAsia" w:ascii="仿宋_GB2312" w:hAnsi="宋体" w:eastAsia="仿宋_GB2312" w:cs="宋体"/>
          <w:color w:val="000000"/>
          <w:kern w:val="0"/>
          <w:sz w:val="32"/>
          <w:szCs w:val="32"/>
          <w:shd w:val="clear" w:color="auto" w:fill="FFFFFF"/>
          <w:lang w:val="zh-CN"/>
        </w:rPr>
        <w:t>（三）改进建议。</w:t>
      </w:r>
      <w:r>
        <w:rPr>
          <w:rFonts w:hint="eastAsia" w:ascii="仿宋_GB2312" w:eastAsia="仿宋_GB2312"/>
          <w:color w:val="000000"/>
          <w:sz w:val="32"/>
          <w:szCs w:val="32"/>
        </w:rPr>
        <w:t>组织工作人员进行系统学习，进一步加强绩效自评工作，在工作中能够搭建交流平台和老师咨询，不断提高业务能力。</w:t>
      </w: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jc w:val="center"/>
      </w:pPr>
      <w:r>
        <w:t> </w:t>
      </w:r>
    </w:p>
    <w:p>
      <w:pPr>
        <w:pStyle w:val="8"/>
        <w:keepNext w:val="0"/>
        <w:keepLines w:val="0"/>
        <w:widowControl/>
        <w:suppressLineNumbers w:val="0"/>
      </w:pPr>
    </w:p>
    <w:p>
      <w:pPr>
        <w:widowControl/>
        <w:adjustRightInd w:val="0"/>
        <w:snapToGrid w:val="0"/>
        <w:spacing w:line="580" w:lineRule="exact"/>
        <w:ind w:firstLine="640" w:firstLineChars="200"/>
        <w:contextualSpacing/>
        <w:jc w:val="left"/>
        <w:rPr>
          <w:rFonts w:hint="eastAsia"/>
          <w:lang w:eastAsia="zh-CN"/>
        </w:rPr>
      </w:pPr>
      <w:r>
        <w:rPr>
          <w:rFonts w:hint="eastAsia" w:ascii="黑体" w:hAnsi="宋体" w:eastAsia="黑体" w:cs="宋体"/>
          <w:color w:val="000000"/>
          <w:kern w:val="0"/>
          <w:sz w:val="32"/>
          <w:szCs w:val="32"/>
          <w:shd w:val="clear" w:color="auto" w:fill="FFFFFF"/>
        </w:rPr>
        <w:t>附表</w:t>
      </w:r>
      <w:r>
        <w:rPr>
          <w:rFonts w:hint="eastAsia" w:ascii="黑体" w:hAnsi="宋体" w:eastAsia="黑体" w:cs="宋体"/>
          <w:color w:val="000000"/>
          <w:kern w:val="0"/>
          <w:sz w:val="32"/>
          <w:szCs w:val="32"/>
          <w:shd w:val="clear" w:color="auto" w:fill="FFFFFF"/>
          <w:lang w:eastAsia="zh-CN"/>
        </w:rPr>
        <w:t>（无内容）</w:t>
      </w:r>
    </w:p>
    <w:p>
      <w:pPr>
        <w:pStyle w:val="8"/>
        <w:keepNext w:val="0"/>
        <w:keepLines w:val="0"/>
        <w:widowControl/>
        <w:suppressLineNumbers w:val="0"/>
        <w:rPr>
          <w:rFonts w:hint="eastAsia"/>
          <w:lang w:eastAsia="zh-CN"/>
        </w:rPr>
      </w:pPr>
    </w:p>
    <w:tbl>
      <w:tblPr>
        <w:tblStyle w:val="9"/>
        <w:tblW w:w="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12"/>
        <w:gridCol w:w="998"/>
        <w:gridCol w:w="1419"/>
        <w:gridCol w:w="1036"/>
        <w:gridCol w:w="1075"/>
        <w:gridCol w:w="208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trPr>
        <w:tc>
          <w:tcPr>
            <w:tcW w:w="9570" w:type="dxa"/>
            <w:gridSpan w:val="6"/>
            <w:shd w:val="clear" w:color="auto" w:fill="auto"/>
            <w:noWrap/>
            <w:vAlign w:val="center"/>
          </w:tcPr>
          <w:p>
            <w:pPr>
              <w:pStyle w:val="8"/>
              <w:keepNext w:val="0"/>
              <w:keepLines w:val="0"/>
              <w:widowControl/>
              <w:suppressLineNumbers w:val="0"/>
              <w:jc w:val="center"/>
            </w:pPr>
            <w:r>
              <w:rPr>
                <w:rStyle w:val="11"/>
              </w:rPr>
              <w:t>2022年100万元以上（含）特定目标类部门预算项目绩效目标自评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6" w:hRule="atLeast"/>
          <w:tblCellSpacing w:w="0" w:type="dxa"/>
        </w:trPr>
        <w:tc>
          <w:tcPr>
            <w:tcW w:w="3120" w:type="dxa"/>
            <w:gridSpan w:val="2"/>
            <w:shd w:val="clear" w:color="auto" w:fill="auto"/>
            <w:noWrap/>
            <w:vAlign w:val="center"/>
          </w:tcPr>
          <w:p>
            <w:pPr>
              <w:pStyle w:val="8"/>
              <w:keepNext w:val="0"/>
              <w:keepLines w:val="0"/>
              <w:widowControl/>
              <w:suppressLineNumbers w:val="0"/>
              <w:jc w:val="center"/>
            </w:pPr>
            <w:r>
              <w:t>主管部门及代码</w:t>
            </w:r>
          </w:p>
        </w:tc>
        <w:tc>
          <w:tcPr>
            <w:tcW w:w="2820" w:type="dxa"/>
            <w:gridSpan w:val="2"/>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实施单位</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3120" w:type="dxa"/>
            <w:gridSpan w:val="2"/>
            <w:vMerge w:val="restart"/>
            <w:shd w:val="clear" w:color="auto" w:fill="auto"/>
            <w:noWrap/>
            <w:vAlign w:val="center"/>
          </w:tcPr>
          <w:p>
            <w:pPr>
              <w:pStyle w:val="8"/>
              <w:keepNext w:val="0"/>
              <w:keepLines w:val="0"/>
              <w:widowControl/>
              <w:suppressLineNumbers w:val="0"/>
              <w:jc w:val="center"/>
            </w:pPr>
            <w:r>
              <w:t>项目预算</w:t>
            </w:r>
          </w:p>
          <w:p>
            <w:pPr>
              <w:pStyle w:val="8"/>
              <w:keepNext w:val="0"/>
              <w:keepLines w:val="0"/>
              <w:widowControl/>
              <w:suppressLineNumbers w:val="0"/>
              <w:jc w:val="center"/>
            </w:pPr>
            <w:r>
              <w:t>执行情况</w:t>
            </w:r>
          </w:p>
          <w:p>
            <w:pPr>
              <w:pStyle w:val="8"/>
              <w:keepNext w:val="0"/>
              <w:keepLines w:val="0"/>
              <w:widowControl/>
              <w:suppressLineNumbers w:val="0"/>
              <w:jc w:val="center"/>
            </w:pPr>
            <w:r>
              <w:t>（万元）</w:t>
            </w:r>
          </w:p>
        </w:tc>
        <w:tc>
          <w:tcPr>
            <w:tcW w:w="1635" w:type="dxa"/>
            <w:shd w:val="clear" w:color="auto" w:fill="auto"/>
            <w:noWrap/>
            <w:vAlign w:val="center"/>
          </w:tcPr>
          <w:p>
            <w:pPr>
              <w:pStyle w:val="8"/>
              <w:keepNext w:val="0"/>
              <w:keepLines w:val="0"/>
              <w:widowControl/>
              <w:suppressLineNumbers w:val="0"/>
              <w:jc w:val="center"/>
            </w:pPr>
            <w:r>
              <w:t> 预算数：</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执行数：</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blCellSpacing w:w="0" w:type="dxa"/>
        </w:trPr>
        <w:tc>
          <w:tcPr>
            <w:tcW w:w="3120" w:type="dxa"/>
            <w:gridSpan w:val="2"/>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3120" w:type="dxa"/>
            <w:gridSpan w:val="2"/>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其他资金</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其他资金</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1" w:hRule="atLeast"/>
          <w:tblCellSpacing w:w="0" w:type="dxa"/>
        </w:trPr>
        <w:tc>
          <w:tcPr>
            <w:tcW w:w="1980" w:type="dxa"/>
            <w:vMerge w:val="restart"/>
            <w:shd w:val="clear" w:color="auto" w:fill="auto"/>
            <w:noWrap/>
            <w:vAlign w:val="center"/>
          </w:tcPr>
          <w:p>
            <w:pPr>
              <w:pStyle w:val="8"/>
              <w:keepNext w:val="0"/>
              <w:keepLines w:val="0"/>
              <w:widowControl/>
              <w:suppressLineNumbers w:val="0"/>
              <w:jc w:val="center"/>
            </w:pPr>
            <w:r>
              <w:t>年度总体目标</w:t>
            </w:r>
          </w:p>
          <w:p>
            <w:pPr>
              <w:pStyle w:val="8"/>
              <w:keepNext w:val="0"/>
              <w:keepLines w:val="0"/>
              <w:widowControl/>
              <w:suppressLineNumbers w:val="0"/>
              <w:jc w:val="center"/>
            </w:pPr>
            <w:r>
              <w:t>完成情况</w:t>
            </w:r>
          </w:p>
        </w:tc>
        <w:tc>
          <w:tcPr>
            <w:tcW w:w="3960" w:type="dxa"/>
            <w:gridSpan w:val="3"/>
            <w:shd w:val="clear" w:color="auto" w:fill="auto"/>
            <w:noWrap/>
            <w:vAlign w:val="center"/>
          </w:tcPr>
          <w:p>
            <w:pPr>
              <w:pStyle w:val="8"/>
              <w:keepNext w:val="0"/>
              <w:keepLines w:val="0"/>
              <w:widowControl/>
              <w:suppressLineNumbers w:val="0"/>
              <w:jc w:val="center"/>
            </w:pPr>
            <w:r>
              <w:t>预期目标</w:t>
            </w:r>
          </w:p>
        </w:tc>
        <w:tc>
          <w:tcPr>
            <w:tcW w:w="3630" w:type="dxa"/>
            <w:gridSpan w:val="2"/>
            <w:shd w:val="clear" w:color="auto" w:fill="auto"/>
            <w:noWrap/>
            <w:vAlign w:val="center"/>
          </w:tcPr>
          <w:p>
            <w:pPr>
              <w:pStyle w:val="8"/>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5" w:hRule="atLeast"/>
          <w:tblCellSpacing w:w="0" w:type="dxa"/>
        </w:trPr>
        <w:tc>
          <w:tcPr>
            <w:tcW w:w="1980" w:type="dxa"/>
            <w:vMerge w:val="continue"/>
            <w:shd w:val="clear" w:color="auto" w:fill="auto"/>
            <w:noWrap/>
            <w:vAlign w:val="center"/>
          </w:tcPr>
          <w:p>
            <w:pPr>
              <w:rPr>
                <w:rFonts w:hint="eastAsia" w:ascii="宋体"/>
                <w:sz w:val="24"/>
                <w:szCs w:val="24"/>
              </w:rPr>
            </w:pPr>
          </w:p>
        </w:tc>
        <w:tc>
          <w:tcPr>
            <w:tcW w:w="3960" w:type="dxa"/>
            <w:gridSpan w:val="3"/>
            <w:shd w:val="clear" w:color="auto" w:fill="auto"/>
            <w:noWrap/>
            <w:vAlign w:val="center"/>
          </w:tcPr>
          <w:p>
            <w:pPr>
              <w:pStyle w:val="8"/>
              <w:keepNext w:val="0"/>
              <w:keepLines w:val="0"/>
              <w:widowControl/>
              <w:suppressLineNumbers w:val="0"/>
              <w:jc w:val="center"/>
            </w:pPr>
            <w:r>
              <w:t> </w:t>
            </w:r>
          </w:p>
        </w:tc>
        <w:tc>
          <w:tcPr>
            <w:tcW w:w="3630" w:type="dxa"/>
            <w:gridSpan w:val="2"/>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blCellSpacing w:w="0" w:type="dxa"/>
        </w:trPr>
        <w:tc>
          <w:tcPr>
            <w:tcW w:w="1980" w:type="dxa"/>
            <w:vMerge w:val="restart"/>
            <w:shd w:val="clear" w:color="auto" w:fill="auto"/>
            <w:noWrap/>
            <w:vAlign w:val="center"/>
          </w:tcPr>
          <w:p>
            <w:pPr>
              <w:pStyle w:val="8"/>
              <w:keepNext w:val="0"/>
              <w:keepLines w:val="0"/>
              <w:widowControl/>
              <w:suppressLineNumbers w:val="0"/>
              <w:jc w:val="center"/>
            </w:pPr>
            <w:r>
              <w:t>年度绩效指标完成情况</w:t>
            </w:r>
          </w:p>
        </w:tc>
        <w:tc>
          <w:tcPr>
            <w:tcW w:w="1140" w:type="dxa"/>
            <w:shd w:val="clear" w:color="auto" w:fill="auto"/>
            <w:noWrap/>
            <w:vAlign w:val="center"/>
          </w:tcPr>
          <w:p>
            <w:pPr>
              <w:pStyle w:val="8"/>
              <w:keepNext w:val="0"/>
              <w:keepLines w:val="0"/>
              <w:widowControl/>
              <w:suppressLineNumbers w:val="0"/>
              <w:jc w:val="center"/>
            </w:pPr>
            <w:r>
              <w:t>一级</w:t>
            </w:r>
          </w:p>
          <w:p>
            <w:pPr>
              <w:pStyle w:val="8"/>
              <w:keepNext w:val="0"/>
              <w:keepLines w:val="0"/>
              <w:widowControl/>
              <w:suppressLineNumbers w:val="0"/>
              <w:jc w:val="center"/>
            </w:pPr>
            <w:r>
              <w:t>指标</w:t>
            </w:r>
          </w:p>
        </w:tc>
        <w:tc>
          <w:tcPr>
            <w:tcW w:w="1635" w:type="dxa"/>
            <w:shd w:val="clear" w:color="auto" w:fill="auto"/>
            <w:noWrap/>
            <w:vAlign w:val="center"/>
          </w:tcPr>
          <w:p>
            <w:pPr>
              <w:pStyle w:val="8"/>
              <w:keepNext w:val="0"/>
              <w:keepLines w:val="0"/>
              <w:widowControl/>
              <w:suppressLineNumbers w:val="0"/>
              <w:jc w:val="center"/>
            </w:pPr>
            <w:r>
              <w:t>二级</w:t>
            </w:r>
          </w:p>
          <w:p>
            <w:pPr>
              <w:pStyle w:val="8"/>
              <w:keepNext w:val="0"/>
              <w:keepLines w:val="0"/>
              <w:widowControl/>
              <w:suppressLineNumbers w:val="0"/>
              <w:jc w:val="center"/>
            </w:pPr>
            <w:r>
              <w:t>指标</w:t>
            </w:r>
          </w:p>
        </w:tc>
        <w:tc>
          <w:tcPr>
            <w:tcW w:w="1185" w:type="dxa"/>
            <w:shd w:val="clear" w:color="auto" w:fill="auto"/>
            <w:noWrap/>
            <w:vAlign w:val="center"/>
          </w:tcPr>
          <w:p>
            <w:pPr>
              <w:pStyle w:val="8"/>
              <w:keepNext w:val="0"/>
              <w:keepLines w:val="0"/>
              <w:widowControl/>
              <w:suppressLineNumbers w:val="0"/>
              <w:jc w:val="center"/>
            </w:pPr>
            <w:r>
              <w:t>三级</w:t>
            </w:r>
          </w:p>
          <w:p>
            <w:pPr>
              <w:pStyle w:val="8"/>
              <w:keepNext w:val="0"/>
              <w:keepLines w:val="0"/>
              <w:widowControl/>
              <w:suppressLineNumbers w:val="0"/>
              <w:jc w:val="center"/>
            </w:pPr>
            <w:r>
              <w:t>指标</w:t>
            </w:r>
          </w:p>
        </w:tc>
        <w:tc>
          <w:tcPr>
            <w:tcW w:w="1230" w:type="dxa"/>
            <w:shd w:val="clear" w:color="auto" w:fill="auto"/>
            <w:noWrap/>
            <w:vAlign w:val="center"/>
          </w:tcPr>
          <w:p>
            <w:pPr>
              <w:pStyle w:val="8"/>
              <w:keepNext w:val="0"/>
              <w:keepLines w:val="0"/>
              <w:widowControl/>
              <w:suppressLineNumbers w:val="0"/>
              <w:jc w:val="center"/>
            </w:pPr>
            <w:r>
              <w:t>预期指标值</w:t>
            </w:r>
          </w:p>
        </w:tc>
        <w:tc>
          <w:tcPr>
            <w:tcW w:w="2415" w:type="dxa"/>
            <w:shd w:val="clear" w:color="auto" w:fill="auto"/>
            <w:noWrap/>
            <w:vAlign w:val="center"/>
          </w:tcPr>
          <w:p>
            <w:pPr>
              <w:pStyle w:val="8"/>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restart"/>
            <w:shd w:val="clear" w:color="auto" w:fill="auto"/>
            <w:noWrap/>
            <w:vAlign w:val="center"/>
          </w:tcPr>
          <w:p>
            <w:pPr>
              <w:pStyle w:val="8"/>
              <w:keepNext w:val="0"/>
              <w:keepLines w:val="0"/>
              <w:widowControl/>
              <w:suppressLineNumbers w:val="0"/>
              <w:jc w:val="center"/>
            </w:pPr>
            <w:r>
              <w:t>完成</w:t>
            </w:r>
          </w:p>
          <w:p>
            <w:pPr>
              <w:pStyle w:val="8"/>
              <w:keepNext w:val="0"/>
              <w:keepLines w:val="0"/>
              <w:widowControl/>
              <w:suppressLineNumbers w:val="0"/>
              <w:jc w:val="center"/>
            </w:pPr>
            <w:r>
              <w:t>指标</w:t>
            </w:r>
          </w:p>
        </w:tc>
        <w:tc>
          <w:tcPr>
            <w:tcW w:w="1635" w:type="dxa"/>
            <w:shd w:val="clear" w:color="auto" w:fill="auto"/>
            <w:noWrap/>
            <w:vAlign w:val="center"/>
          </w:tcPr>
          <w:p>
            <w:pPr>
              <w:pStyle w:val="8"/>
              <w:keepNext w:val="0"/>
              <w:keepLines w:val="0"/>
              <w:widowControl/>
              <w:suppressLineNumbers w:val="0"/>
              <w:jc w:val="center"/>
            </w:pPr>
            <w:r>
              <w:t>数量指标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质量指标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时效指标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成本指标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restart"/>
            <w:shd w:val="clear" w:color="auto" w:fill="auto"/>
            <w:noWrap/>
            <w:vAlign w:val="center"/>
          </w:tcPr>
          <w:p>
            <w:pPr>
              <w:pStyle w:val="8"/>
              <w:keepNext w:val="0"/>
              <w:keepLines w:val="0"/>
              <w:widowControl/>
              <w:suppressLineNumbers w:val="0"/>
              <w:jc w:val="center"/>
            </w:pPr>
            <w:r>
              <w:t>效益</w:t>
            </w:r>
          </w:p>
          <w:p>
            <w:pPr>
              <w:pStyle w:val="8"/>
              <w:keepNext w:val="0"/>
              <w:keepLines w:val="0"/>
              <w:widowControl/>
              <w:suppressLineNumbers w:val="0"/>
              <w:jc w:val="center"/>
            </w:pPr>
            <w:r>
              <w:t>指标</w:t>
            </w:r>
          </w:p>
        </w:tc>
        <w:tc>
          <w:tcPr>
            <w:tcW w:w="1635" w:type="dxa"/>
            <w:shd w:val="clear" w:color="auto" w:fill="auto"/>
            <w:noWrap/>
            <w:vAlign w:val="center"/>
          </w:tcPr>
          <w:p>
            <w:pPr>
              <w:pStyle w:val="8"/>
              <w:keepNext w:val="0"/>
              <w:keepLines w:val="0"/>
              <w:widowControl/>
              <w:suppressLineNumbers w:val="0"/>
              <w:jc w:val="center"/>
            </w:pPr>
            <w:r>
              <w:t>经济效益指标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社会效益指标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ind w:left="423"/>
              <w:jc w:val="both"/>
            </w:pPr>
            <w:r>
              <w:t>生态效益指标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vMerge w:val="continue"/>
            <w:shd w:val="clear" w:color="auto" w:fill="auto"/>
            <w:noWrap/>
            <w:vAlign w:val="center"/>
          </w:tcPr>
          <w:p>
            <w:pPr>
              <w:rPr>
                <w:rFonts w:hint="eastAsia" w:ascii="宋体"/>
                <w:sz w:val="24"/>
                <w:szCs w:val="24"/>
              </w:rPr>
            </w:pPr>
          </w:p>
        </w:tc>
        <w:tc>
          <w:tcPr>
            <w:tcW w:w="1635" w:type="dxa"/>
            <w:shd w:val="clear" w:color="auto" w:fill="auto"/>
            <w:noWrap/>
            <w:vAlign w:val="center"/>
          </w:tcPr>
          <w:p>
            <w:pPr>
              <w:pStyle w:val="8"/>
              <w:keepNext w:val="0"/>
              <w:keepLines w:val="0"/>
              <w:widowControl/>
              <w:suppressLineNumbers w:val="0"/>
              <w:jc w:val="center"/>
            </w:pPr>
            <w:r>
              <w:t>可持续影响指标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5" w:hRule="atLeast"/>
          <w:tblCellSpacing w:w="0" w:type="dxa"/>
        </w:trPr>
        <w:tc>
          <w:tcPr>
            <w:tcW w:w="1980" w:type="dxa"/>
            <w:vMerge w:val="continue"/>
            <w:shd w:val="clear" w:color="auto" w:fill="auto"/>
            <w:noWrap/>
            <w:vAlign w:val="center"/>
          </w:tcPr>
          <w:p>
            <w:pPr>
              <w:rPr>
                <w:rFonts w:hint="eastAsia" w:ascii="宋体"/>
                <w:sz w:val="24"/>
                <w:szCs w:val="24"/>
              </w:rPr>
            </w:pPr>
          </w:p>
        </w:tc>
        <w:tc>
          <w:tcPr>
            <w:tcW w:w="1140" w:type="dxa"/>
            <w:shd w:val="clear" w:color="auto" w:fill="auto"/>
            <w:noWrap/>
            <w:vAlign w:val="center"/>
          </w:tcPr>
          <w:p>
            <w:pPr>
              <w:pStyle w:val="8"/>
              <w:keepNext w:val="0"/>
              <w:keepLines w:val="0"/>
              <w:widowControl/>
              <w:suppressLineNumbers w:val="0"/>
              <w:jc w:val="center"/>
            </w:pPr>
            <w:r>
              <w:t>满意</w:t>
            </w:r>
          </w:p>
          <w:p>
            <w:pPr>
              <w:pStyle w:val="8"/>
              <w:keepNext w:val="0"/>
              <w:keepLines w:val="0"/>
              <w:widowControl/>
              <w:suppressLineNumbers w:val="0"/>
              <w:jc w:val="center"/>
            </w:pPr>
            <w:r>
              <w:t>度指标</w:t>
            </w:r>
          </w:p>
        </w:tc>
        <w:tc>
          <w:tcPr>
            <w:tcW w:w="1635" w:type="dxa"/>
            <w:shd w:val="clear" w:color="auto" w:fill="auto"/>
            <w:noWrap/>
            <w:vAlign w:val="center"/>
          </w:tcPr>
          <w:p>
            <w:pPr>
              <w:pStyle w:val="8"/>
              <w:keepNext w:val="0"/>
              <w:keepLines w:val="0"/>
              <w:widowControl/>
              <w:suppressLineNumbers w:val="0"/>
              <w:jc w:val="center"/>
            </w:pPr>
            <w:r>
              <w:t>满意度</w:t>
            </w:r>
          </w:p>
          <w:p>
            <w:pPr>
              <w:pStyle w:val="8"/>
              <w:keepNext w:val="0"/>
              <w:keepLines w:val="0"/>
              <w:widowControl/>
              <w:suppressLineNumbers w:val="0"/>
              <w:jc w:val="center"/>
            </w:pPr>
            <w:r>
              <w:t>指标</w:t>
            </w:r>
          </w:p>
        </w:tc>
        <w:tc>
          <w:tcPr>
            <w:tcW w:w="1185" w:type="dxa"/>
            <w:shd w:val="clear" w:color="auto" w:fill="auto"/>
            <w:noWrap/>
            <w:vAlign w:val="center"/>
          </w:tcPr>
          <w:p>
            <w:pPr>
              <w:pStyle w:val="8"/>
              <w:keepNext w:val="0"/>
              <w:keepLines w:val="0"/>
              <w:widowControl/>
              <w:suppressLineNumbers w:val="0"/>
              <w:jc w:val="center"/>
            </w:pPr>
            <w:r>
              <w:t> </w:t>
            </w:r>
          </w:p>
        </w:tc>
        <w:tc>
          <w:tcPr>
            <w:tcW w:w="1230" w:type="dxa"/>
            <w:shd w:val="clear" w:color="auto" w:fill="auto"/>
            <w:noWrap/>
            <w:vAlign w:val="center"/>
          </w:tcPr>
          <w:p>
            <w:pPr>
              <w:pStyle w:val="8"/>
              <w:keepNext w:val="0"/>
              <w:keepLines w:val="0"/>
              <w:widowControl/>
              <w:suppressLineNumbers w:val="0"/>
              <w:jc w:val="center"/>
            </w:pPr>
            <w:r>
              <w:t> </w:t>
            </w:r>
          </w:p>
        </w:tc>
        <w:tc>
          <w:tcPr>
            <w:tcW w:w="2415" w:type="dxa"/>
            <w:shd w:val="clear" w:color="auto" w:fill="auto"/>
            <w:noWrap/>
            <w:vAlign w:val="center"/>
          </w:tcPr>
          <w:p>
            <w:pPr>
              <w:pStyle w:val="8"/>
              <w:keepNext w:val="0"/>
              <w:keepLines w:val="0"/>
              <w:widowControl/>
              <w:suppressLineNumbers w:val="0"/>
              <w:jc w:val="center"/>
            </w:pPr>
            <w:r>
              <w:t> </w:t>
            </w:r>
          </w:p>
        </w:tc>
      </w:tr>
    </w:tbl>
    <w:p>
      <w:pPr>
        <w:pStyle w:val="8"/>
        <w:keepNext w:val="0"/>
        <w:keepLines w:val="0"/>
        <w:widowControl/>
        <w:suppressLineNumbers w:val="0"/>
        <w:jc w:val="left"/>
      </w:pPr>
      <w:r>
        <w:t>（注：有两个及以上100万元以上（含）特定目标类部门预算项目的，需分别开展绩效目标自评并填写附表）</w:t>
      </w:r>
    </w:p>
    <w:p>
      <w:pPr>
        <w:pStyle w:val="8"/>
        <w:keepNext w:val="0"/>
        <w:keepLines w:val="0"/>
        <w:widowControl/>
        <w:suppressLineNumbers w:val="0"/>
      </w:pPr>
      <w:r>
        <w:t> </w:t>
      </w:r>
    </w:p>
    <w:p>
      <w:pPr>
        <w:pStyle w:val="8"/>
        <w:keepNext w:val="0"/>
        <w:keepLines w:val="0"/>
        <w:widowControl/>
        <w:suppressLineNumbers w:val="0"/>
      </w:pPr>
      <w:r>
        <w:t> </w:t>
      </w:r>
    </w:p>
    <w:p>
      <w:pPr>
        <w:pStyle w:val="8"/>
        <w:keepNext w:val="0"/>
        <w:keepLines w:val="0"/>
        <w:widowControl/>
        <w:suppressLineNumbers w:val="0"/>
        <w:jc w:val="left"/>
      </w:pPr>
      <w:r>
        <w:t> </w:t>
      </w:r>
    </w:p>
    <w:p>
      <w:pPr>
        <w:pStyle w:val="8"/>
        <w:keepNext w:val="0"/>
        <w:keepLines w:val="0"/>
        <w:widowControl/>
        <w:suppressLineNumbers w:val="0"/>
        <w:jc w:val="center"/>
      </w:pPr>
      <w:r>
        <w:rPr>
          <w:rStyle w:val="11"/>
          <w:sz w:val="39"/>
          <w:szCs w:val="39"/>
        </w:rPr>
        <w:t>第五部分 附表</w:t>
      </w:r>
    </w:p>
    <w:p>
      <w:pPr>
        <w:pStyle w:val="3"/>
        <w:keepNext w:val="0"/>
        <w:keepLines w:val="0"/>
        <w:widowControl/>
        <w:suppressLineNumbers w:val="0"/>
      </w:pPr>
      <w:r>
        <w:t>一、收入支出决算总表</w:t>
      </w:r>
    </w:p>
    <w:p>
      <w:pPr>
        <w:pStyle w:val="3"/>
        <w:keepNext w:val="0"/>
        <w:keepLines w:val="0"/>
        <w:widowControl/>
        <w:suppressLineNumbers w:val="0"/>
      </w:pPr>
      <w:r>
        <w:t>二、收入决算表</w:t>
      </w:r>
    </w:p>
    <w:p>
      <w:pPr>
        <w:pStyle w:val="3"/>
        <w:keepNext w:val="0"/>
        <w:keepLines w:val="0"/>
        <w:widowControl/>
        <w:suppressLineNumbers w:val="0"/>
      </w:pPr>
      <w:r>
        <w:t>三、支出决算表</w:t>
      </w:r>
    </w:p>
    <w:p>
      <w:pPr>
        <w:pStyle w:val="3"/>
        <w:keepNext w:val="0"/>
        <w:keepLines w:val="0"/>
        <w:widowControl/>
        <w:suppressLineNumbers w:val="0"/>
      </w:pPr>
      <w:r>
        <w:t>四、财政拨款收入支出决算总表</w:t>
      </w:r>
    </w:p>
    <w:p>
      <w:pPr>
        <w:pStyle w:val="3"/>
        <w:keepNext w:val="0"/>
        <w:keepLines w:val="0"/>
        <w:widowControl/>
        <w:suppressLineNumbers w:val="0"/>
      </w:pPr>
      <w:r>
        <w:t>五、财政拨款支出决算明细表</w:t>
      </w:r>
    </w:p>
    <w:p>
      <w:pPr>
        <w:pStyle w:val="3"/>
        <w:keepNext w:val="0"/>
        <w:keepLines w:val="0"/>
        <w:widowControl/>
        <w:suppressLineNumbers w:val="0"/>
      </w:pPr>
      <w:r>
        <w:t>六、一般公共预算财政拨款支出决算表</w:t>
      </w:r>
    </w:p>
    <w:p>
      <w:pPr>
        <w:pStyle w:val="3"/>
        <w:keepNext w:val="0"/>
        <w:keepLines w:val="0"/>
        <w:widowControl/>
        <w:suppressLineNumbers w:val="0"/>
      </w:pPr>
      <w:r>
        <w:t>七、一般公共预算财政拨款支出决算明细表</w:t>
      </w:r>
    </w:p>
    <w:p>
      <w:pPr>
        <w:pStyle w:val="3"/>
        <w:keepNext w:val="0"/>
        <w:keepLines w:val="0"/>
        <w:widowControl/>
        <w:suppressLineNumbers w:val="0"/>
      </w:pPr>
      <w:r>
        <w:t>八、一般公共预算财政拨款基本支出决算表</w:t>
      </w:r>
    </w:p>
    <w:p>
      <w:pPr>
        <w:pStyle w:val="3"/>
        <w:keepNext w:val="0"/>
        <w:keepLines w:val="0"/>
        <w:widowControl/>
        <w:suppressLineNumbers w:val="0"/>
      </w:pPr>
      <w:r>
        <w:t>九、一般公共预算财政拨款项目支出决算表</w:t>
      </w:r>
    </w:p>
    <w:p>
      <w:pPr>
        <w:pStyle w:val="3"/>
        <w:keepNext w:val="0"/>
        <w:keepLines w:val="0"/>
        <w:widowControl/>
        <w:suppressLineNumbers w:val="0"/>
      </w:pPr>
      <w:r>
        <w:t>十、政府性基金预算财政拨款收入支出决算表</w:t>
      </w:r>
    </w:p>
    <w:p>
      <w:pPr>
        <w:pStyle w:val="3"/>
        <w:keepNext w:val="0"/>
        <w:keepLines w:val="0"/>
        <w:widowControl/>
        <w:suppressLineNumbers w:val="0"/>
      </w:pPr>
      <w:r>
        <w:t>十一、国有资本经营预算财政拨款收入支出决算表</w:t>
      </w:r>
    </w:p>
    <w:p>
      <w:pPr>
        <w:pStyle w:val="3"/>
        <w:keepNext w:val="0"/>
        <w:keepLines w:val="0"/>
        <w:widowControl/>
        <w:suppressLineNumbers w:val="0"/>
      </w:pPr>
      <w:r>
        <w:t>十二、国有资本经营预算财政拨款支出决算表</w:t>
      </w:r>
    </w:p>
    <w:p>
      <w:pPr>
        <w:pStyle w:val="3"/>
        <w:keepNext w:val="0"/>
        <w:keepLines w:val="0"/>
        <w:widowControl/>
        <w:suppressLineNumbers w:val="0"/>
      </w:pPr>
      <w:r>
        <w:t>十三、财政拨款“三公”经费支出决算表</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94D25"/>
    <w:rsid w:val="00285085"/>
    <w:rsid w:val="0116143F"/>
    <w:rsid w:val="02F76DEB"/>
    <w:rsid w:val="04B47A25"/>
    <w:rsid w:val="0617661D"/>
    <w:rsid w:val="07295663"/>
    <w:rsid w:val="0768220B"/>
    <w:rsid w:val="084E5940"/>
    <w:rsid w:val="086D0535"/>
    <w:rsid w:val="098F7FDA"/>
    <w:rsid w:val="0A66650B"/>
    <w:rsid w:val="0A875314"/>
    <w:rsid w:val="0CB94D25"/>
    <w:rsid w:val="0E097BF3"/>
    <w:rsid w:val="10D57F58"/>
    <w:rsid w:val="12F35614"/>
    <w:rsid w:val="14F15F89"/>
    <w:rsid w:val="16F80F2C"/>
    <w:rsid w:val="1BB33767"/>
    <w:rsid w:val="1DD55EB7"/>
    <w:rsid w:val="1E28155C"/>
    <w:rsid w:val="1E8727C3"/>
    <w:rsid w:val="1EC26E64"/>
    <w:rsid w:val="1FA22A97"/>
    <w:rsid w:val="1FA5039A"/>
    <w:rsid w:val="1FB97650"/>
    <w:rsid w:val="228346F3"/>
    <w:rsid w:val="236478D2"/>
    <w:rsid w:val="24E57F07"/>
    <w:rsid w:val="251778B3"/>
    <w:rsid w:val="25E46E6E"/>
    <w:rsid w:val="25F53506"/>
    <w:rsid w:val="26CB7E8E"/>
    <w:rsid w:val="26CF4EC4"/>
    <w:rsid w:val="28F51132"/>
    <w:rsid w:val="29917061"/>
    <w:rsid w:val="2ECB1464"/>
    <w:rsid w:val="2F9D5493"/>
    <w:rsid w:val="33B31C15"/>
    <w:rsid w:val="34A02734"/>
    <w:rsid w:val="34A06D5B"/>
    <w:rsid w:val="350F00A3"/>
    <w:rsid w:val="35A83B1E"/>
    <w:rsid w:val="361C4818"/>
    <w:rsid w:val="36214578"/>
    <w:rsid w:val="37BD53AB"/>
    <w:rsid w:val="396B1203"/>
    <w:rsid w:val="39985D32"/>
    <w:rsid w:val="3BD12EDC"/>
    <w:rsid w:val="3DFB283E"/>
    <w:rsid w:val="41742EE3"/>
    <w:rsid w:val="4408358F"/>
    <w:rsid w:val="44290050"/>
    <w:rsid w:val="44305F71"/>
    <w:rsid w:val="46624791"/>
    <w:rsid w:val="470E6AC4"/>
    <w:rsid w:val="4BF362A8"/>
    <w:rsid w:val="4D2F7FB8"/>
    <w:rsid w:val="520133F3"/>
    <w:rsid w:val="529A10E7"/>
    <w:rsid w:val="535514C4"/>
    <w:rsid w:val="564D33C4"/>
    <w:rsid w:val="5B872CAE"/>
    <w:rsid w:val="5E6D7496"/>
    <w:rsid w:val="5FD501C7"/>
    <w:rsid w:val="5FE72325"/>
    <w:rsid w:val="616A66CF"/>
    <w:rsid w:val="61BE6A7A"/>
    <w:rsid w:val="631A2E2B"/>
    <w:rsid w:val="63EC07AF"/>
    <w:rsid w:val="658E76EA"/>
    <w:rsid w:val="65B26BBC"/>
    <w:rsid w:val="678E680B"/>
    <w:rsid w:val="679722C0"/>
    <w:rsid w:val="69467559"/>
    <w:rsid w:val="6A3B3D8A"/>
    <w:rsid w:val="6AF27161"/>
    <w:rsid w:val="6B1856E6"/>
    <w:rsid w:val="6B8C3A28"/>
    <w:rsid w:val="6BF07EAC"/>
    <w:rsid w:val="6C184383"/>
    <w:rsid w:val="71145A91"/>
    <w:rsid w:val="75BF1F75"/>
    <w:rsid w:val="774C0A76"/>
    <w:rsid w:val="78A80698"/>
    <w:rsid w:val="7A153BEB"/>
    <w:rsid w:val="7AA51BCA"/>
    <w:rsid w:val="7F695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widowControl/>
      <w:adjustRightInd w:val="0"/>
      <w:snapToGrid w:val="0"/>
      <w:spacing w:line="360" w:lineRule="auto"/>
    </w:pPr>
    <w:rPr>
      <w:rFonts w:ascii="仿宋_GB2312" w:hAnsi="宋体" w:eastAsia="仿宋_GB2312"/>
      <w:kern w:val="0"/>
      <w:sz w:val="28"/>
    </w:rPr>
  </w:style>
  <w:style w:type="paragraph" w:styleId="5">
    <w:name w:val="Balloon Text"/>
    <w:basedOn w:val="1"/>
    <w:link w:val="12"/>
    <w:semiHidden/>
    <w:unhideWhenUsed/>
    <w:qFormat/>
    <w:uiPriority w:val="99"/>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批注框文本 Char"/>
    <w:basedOn w:val="10"/>
    <w:link w:val="5"/>
    <w:semiHidden/>
    <w:qFormat/>
    <w:locked/>
    <w:uiPriority w:val="99"/>
    <w:rPr>
      <w:sz w:val="18"/>
      <w:szCs w:val="18"/>
    </w:rPr>
  </w:style>
  <w:style w:type="paragraph" w:customStyle="1" w:styleId="13">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6748</Words>
  <Characters>9261</Characters>
  <Lines>0</Lines>
  <Paragraphs>0</Paragraphs>
  <TotalTime>11</TotalTime>
  <ScaleCrop>false</ScaleCrop>
  <LinksUpToDate>false</LinksUpToDate>
  <CharactersWithSpaces>9478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2023-09-20T09:46:00Z</dcterms:created>
  <dc:creator>Administrator</dc:creator>
  <cp:lastModifiedBy>Administrator</cp:lastModifiedBy>
  <dcterms:modified xsi:type="dcterms:W3CDTF">2023-09-25T08:26:47Z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7DD4311508264D249D3F5B619C7C5289</vt:lpwstr>
  </property>
</Properties>
</file>