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
          <w:sz w:val="44"/>
          <w:szCs w:val="44"/>
          <w:shd w:val="clear" w:color="auto" w:fill="FFFFFF"/>
        </w:rPr>
      </w:pPr>
      <w:r>
        <w:rPr>
          <w:rFonts w:hint="eastAsia" w:ascii="方正小标宋简体" w:eastAsia="方正小标宋简体"/>
          <w:b/>
          <w:sz w:val="44"/>
          <w:szCs w:val="44"/>
          <w:shd w:val="clear" w:color="auto" w:fill="FFFFFF"/>
        </w:rPr>
        <w:t>九寨沟县</w:t>
      </w:r>
      <w:r>
        <w:rPr>
          <w:rFonts w:ascii="方正小标宋简体" w:eastAsia="方正小标宋简体"/>
          <w:b/>
          <w:sz w:val="44"/>
          <w:szCs w:val="44"/>
          <w:shd w:val="clear" w:color="auto" w:fill="FFFFFF"/>
        </w:rPr>
        <w:t>应急管理局</w:t>
      </w:r>
    </w:p>
    <w:p>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hint="eastAsia" w:ascii="方正小标宋简体" w:eastAsia="方正小标宋简体"/>
          <w:b/>
          <w:sz w:val="44"/>
          <w:szCs w:val="44"/>
          <w:shd w:val="clear" w:color="auto" w:fill="FFFFFF"/>
        </w:rPr>
        <w:t>2</w:t>
      </w:r>
      <w:r>
        <w:rPr>
          <w:rFonts w:hint="eastAsia" w:ascii="方正小标宋简体" w:eastAsia="方正小标宋简体"/>
          <w:b/>
          <w:sz w:val="44"/>
          <w:szCs w:val="44"/>
          <w:shd w:val="clear" w:color="auto" w:fill="FFFFFF"/>
          <w:lang w:val="en-US" w:eastAsia="zh-CN"/>
        </w:rPr>
        <w:t>6</w:t>
      </w:r>
      <w:r>
        <w:rPr>
          <w:rFonts w:hint="eastAsia" w:ascii="方正小标宋简体" w:eastAsia="方正小标宋简体"/>
          <w:b/>
          <w:sz w:val="44"/>
          <w:szCs w:val="44"/>
          <w:shd w:val="clear" w:color="auto" w:fill="FFFFFF"/>
        </w:rPr>
        <w:t>年部门预算编制说明</w:t>
      </w:r>
    </w:p>
    <w:p>
      <w:pPr>
        <w:rPr>
          <w:rFonts w:ascii="仿宋_GB2312" w:eastAsia="仿宋_GB2312"/>
          <w:b/>
          <w:sz w:val="32"/>
          <w:szCs w:val="32"/>
          <w:shd w:val="clear" w:color="auto" w:fill="FFFFFF"/>
        </w:rPr>
      </w:pP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一、基本职能及主要工作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eastAsia="仿宋_GB2312"/>
          <w:b/>
          <w:bCs/>
          <w:sz w:val="32"/>
          <w:szCs w:val="32"/>
        </w:rPr>
      </w:pPr>
      <w:r>
        <w:rPr>
          <w:rFonts w:hint="eastAsia" w:eastAsia="仿宋_GB2312"/>
          <w:b/>
          <w:bCs/>
          <w:sz w:val="32"/>
          <w:szCs w:val="32"/>
        </w:rPr>
        <w:t>（一）</w:t>
      </w:r>
      <w:r>
        <w:rPr>
          <w:rFonts w:eastAsia="仿宋_GB2312"/>
          <w:b/>
          <w:bCs/>
          <w:sz w:val="32"/>
          <w:szCs w:val="32"/>
        </w:rPr>
        <w:t>九寨沟县应急管理局只能简介</w:t>
      </w:r>
    </w:p>
    <w:p>
      <w:pPr>
        <w:keepNext w:val="0"/>
        <w:keepLines w:val="0"/>
        <w:pageBreakBefore w:val="0"/>
        <w:widowControl w:val="0"/>
        <w:kinsoku/>
        <w:wordWrap/>
        <w:overflowPunct/>
        <w:topLinePunct w:val="0"/>
        <w:autoSpaceDE/>
        <w:autoSpaceDN/>
        <w:adjustRightInd w:val="0"/>
        <w:snapToGrid w:val="0"/>
        <w:spacing w:line="576" w:lineRule="exact"/>
        <w:ind w:firstLine="640" w:firstLineChars="200"/>
        <w:rPr>
          <w:rFonts w:eastAsia="仿宋_GB2312"/>
          <w:sz w:val="32"/>
          <w:szCs w:val="32"/>
        </w:rPr>
      </w:pPr>
      <w:r>
        <w:rPr>
          <w:rFonts w:eastAsia="仿宋_GB2312"/>
          <w:sz w:val="32"/>
          <w:szCs w:val="32"/>
        </w:rPr>
        <w:t>九寨沟县应急管理局</w:t>
      </w:r>
      <w:r>
        <w:rPr>
          <w:rFonts w:hint="eastAsia" w:eastAsia="仿宋_GB2312"/>
          <w:sz w:val="32"/>
          <w:szCs w:val="32"/>
        </w:rPr>
        <w:t>负责应急管理</w:t>
      </w:r>
      <w:r>
        <w:rPr>
          <w:rFonts w:eastAsia="仿宋_GB2312"/>
          <w:sz w:val="32"/>
          <w:szCs w:val="32"/>
        </w:rPr>
        <w:t>全面</w:t>
      </w:r>
      <w:r>
        <w:rPr>
          <w:rFonts w:hint="eastAsia" w:eastAsia="仿宋_GB2312"/>
          <w:sz w:val="32"/>
          <w:szCs w:val="32"/>
        </w:rPr>
        <w:t>工作，组织和指导各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w:t>
      </w:r>
      <w:r>
        <w:rPr>
          <w:rFonts w:hint="eastAsia" w:eastAsia="仿宋_GB2312"/>
          <w:sz w:val="32"/>
          <w:szCs w:val="32"/>
          <w:lang w:eastAsia="zh-CN"/>
        </w:rPr>
        <w:t>县</w:t>
      </w:r>
      <w:r>
        <w:rPr>
          <w:rFonts w:hint="eastAsia" w:eastAsia="仿宋_GB2312"/>
          <w:sz w:val="32"/>
          <w:szCs w:val="32"/>
        </w:rPr>
        <w:t>级各部门（单位）应对安全生产类、自然灾害类等突发事件和综合防灾减灾救灾工作。负责安全生产综合监督管理和工矿商贸安全生产监督管理工作。牵头建立统一的应急管理信息系统，负责信息传输渠道的规划和布局，建立监测预警和灾情报告制度，健全自然灾害信息资源获取和共享机制，依法统一发布灾情。统一协调指挥各类应急专业队伍，建立应急协调联动机制，推进指挥平台对接。提请衔接解放军和武警部队参与应急救援工作。按照国家、省</w:t>
      </w:r>
      <w:r>
        <w:rPr>
          <w:rFonts w:hint="eastAsia" w:eastAsia="仿宋_GB2312"/>
          <w:sz w:val="32"/>
          <w:szCs w:val="32"/>
          <w:lang w:eastAsia="zh-CN"/>
        </w:rPr>
        <w:t>、州</w:t>
      </w:r>
      <w:r>
        <w:rPr>
          <w:rFonts w:hint="eastAsia" w:eastAsia="仿宋_GB2312"/>
          <w:sz w:val="32"/>
          <w:szCs w:val="32"/>
        </w:rPr>
        <w:t>相关政策和规定负责消防、森林和草原火灾扑救、抗洪抢险、地震和地质灾害救援、生产安全事故救援等专业应急救援力量建设，依法依规统筹指导各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）及社会应急救援力量和应急保障能力建设。承担非煤矿山、危险化学品、非药品类易制毒化学品和烟花爆竹等生产经营单位安全生产准入管理责任。</w:t>
      </w:r>
    </w:p>
    <w:p>
      <w:pPr>
        <w:ind w:firstLine="469" w:firstLineChars="146"/>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（二）202</w:t>
      </w:r>
      <w:r>
        <w:rPr>
          <w:rFonts w:hint="eastAsia" w:ascii="仿宋_GB2312" w:eastAsia="仿宋_GB2312"/>
          <w:b/>
          <w:sz w:val="32"/>
          <w:szCs w:val="32"/>
          <w:shd w:val="clear" w:color="auto" w:fill="FFFFFF"/>
          <w:lang w:val="en-US" w:eastAsia="zh-CN"/>
        </w:rPr>
        <w:t>6</w:t>
      </w:r>
      <w:r>
        <w:rPr>
          <w:rFonts w:hint="eastAsia" w:ascii="仿宋_GB2312" w:eastAsia="仿宋_GB2312"/>
          <w:b/>
          <w:sz w:val="32"/>
          <w:szCs w:val="32"/>
          <w:shd w:val="clear" w:color="auto" w:fill="FFFFFF"/>
        </w:rPr>
        <w:t>年重点工作</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安全生产领域。一是强化跟踪问效，确保任务落地。聚焦2026年安全生产重点任务，建立并细化工作台账，对各项任务进展实行动态跟踪调度，精准掌握工作推进节奏。督促推进安全生产治本攻坚三年行动的巩固与提升工作。二是加大隐患排查，实现动态清零。督促各行业监管部门履行监管职责，指导企业加快构建常态化自查自纠机制，将隐患排查融入日常生产经营流程。同时，加大重大事故隐患判断标准的学习宣贯力度，深入推进重大事故隐患动态清零行动，从源头减少安全风险。三是持续固本强基，健全共治体系。坚持源头治理、事前预防与本质提升相结合，进一步发挥安办的议事协调作用，清晰衔接“建、防、查、治、救”各环节责任链条，从指挥协调、督查督办、促进职责履行等关键环节入手，健全多元共治的安全生产责任体系。</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森林草原防灭火领域。一是加强宣传教育，营造浓厚氛围。坚持正面宣传引导与反面案例警示相结合，通过典型事故分析、防灭火技能讲解等内容，引导干部群众增强忧患意识，时刻绷紧防灭火之弦，营造“人人懂防灭火、人人参与防灭火”的浓厚工作氛围。二是突出火源管控，严守安全底线。严格执行省、州、县三级“防火令”要求，规范野外用火审批报备流程，对符合规定的野外用火，严格落实现场安全管控措施，明确用火责任人、监护措施及应急处置方案。坚决守住“火不入林草、野外安全用火不离人”的底线，从源头杜绝人为火源引发的森林草原火灾。三是开展隐患查治，严厉打击违规行为。聚焦森林草原重点目标（如自然保护区、风景名胜区）、重要设施（如输配电线路、加油站、天然气站），扎实开展火灾风险隐患排查整治工作，建立隐患清单并实行销号管理。督促公安部门、林草部门及各乡镇加大执法力度，对违规野外用火行为“斗真斗硬”，形成有力震慑，坚决遏制人为火情火灾的发生。四是做好应急准备，提升处置能力。严格落实森林草原突发火情信息报告制度，确保火情信息第一时间上报、第一时间处置。指导并督促各相关单位及时补充、检修防灭火物资装备，保障装备处于良好战备状态；督促各扑救队伍加强日常训练，时刻保持战备状态，确保一旦发生突发火情，能够快速响应、科学扑救，实现“打早、打小、打了”的目标。​</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3.防灾减灾救灾领域。一是完善责任体系，强化统一指挥。进一步优化“一办双设”运行机制，细化各部门职责分工，明确工作衔接流程，避免责任交叉或空白。动态调整各级防汛抗旱责任人名单，针对责任人开展专题培训，提升履职能力，确保责任落实无死角、全覆盖。二是聚焦风险防控，深化隐患治理。持续推进防灾减灾工程建设，重点开展主要支流和中小河流治理、山洪沟防治、病险水库（水电站）除险加固等工作。常态化开展风险隐患排查，建立动态更新的风险数据库，对排查出的隐患实行分类管理、限期整改。完善跨部门信息共享与应急联动响应机制，拓宽预警信息发布渠道，提高预警信息覆盖面与时效性。研究建立面向景区、乡镇的精细化预警预报模型，全面提升监测预警精准度，实现风险精准防控。三是加强应急能力建设，做好抢险准备。根据区域灾害特点与实际需求，继续补充、更新防汛抗旱等防灾减灾物资装备，优化物资储备布局，确保物资能够快速调配至受灾区域。加强专业应急救援队伍建设，配齐配强救援装备，结合常见灾害类型组织开展针对性实战演练，提升队伍抢险救援实战能力。指导并支持乡镇、村（社区）加强基层应急力量建设，配备基础应急装备，开展基层应急人员培训，提升灾害先期处置能力，筑牢防灾减灾救灾“最后一公里”防线。</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二、部门预算单位构成</w:t>
      </w:r>
    </w:p>
    <w:p>
      <w:pPr>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rPr>
        <w:t>九寨沟县应急管理局是政府管理的行政单位，是县级一级预算单位，单位下设</w:t>
      </w:r>
      <w:r>
        <w:rPr>
          <w:rFonts w:hint="eastAsia" w:ascii="仿宋_GB2312" w:eastAsia="仿宋_GB2312"/>
          <w:sz w:val="32"/>
          <w:szCs w:val="32"/>
          <w:lang w:val="en-US" w:eastAsia="zh-CN"/>
        </w:rPr>
        <w:t>1</w:t>
      </w:r>
      <w:r>
        <w:rPr>
          <w:rFonts w:hint="eastAsia" w:ascii="仿宋_GB2312" w:eastAsia="仿宋_GB2312"/>
          <w:sz w:val="32"/>
          <w:szCs w:val="32"/>
          <w:lang w:val="zh-CN"/>
        </w:rPr>
        <w:t>个机构，其中：防震减灾事务中心为正科级参公事业单位；单位内设办公室、应急管理股，安全监管股、防灭火管理股、安全生产执法大队5个股室。单位核定编制数共计</w:t>
      </w:r>
      <w:r>
        <w:rPr>
          <w:rFonts w:hint="eastAsia" w:ascii="仿宋_GB2312" w:eastAsia="仿宋_GB2312"/>
          <w:sz w:val="32"/>
          <w:szCs w:val="32"/>
          <w:lang w:val="en-US" w:eastAsia="zh-CN"/>
        </w:rPr>
        <w:t>36</w:t>
      </w:r>
      <w:r>
        <w:rPr>
          <w:rFonts w:hint="eastAsia" w:ascii="仿宋_GB2312" w:eastAsia="仿宋_GB2312"/>
          <w:sz w:val="32"/>
          <w:szCs w:val="32"/>
          <w:lang w:val="zh-CN"/>
        </w:rPr>
        <w:t>名，其中：行政编制5名，机关工勤人员编制1名；应急管理综合行政执法大队参公事业编制21名；防震减灾事务中心参公事业编制9名。202</w:t>
      </w:r>
      <w:r>
        <w:rPr>
          <w:rFonts w:hint="eastAsia" w:ascii="仿宋_GB2312" w:eastAsia="仿宋_GB2312"/>
          <w:sz w:val="32"/>
          <w:szCs w:val="32"/>
          <w:lang w:val="en-US" w:eastAsia="zh-CN"/>
        </w:rPr>
        <w:t>6</w:t>
      </w:r>
      <w:r>
        <w:rPr>
          <w:rFonts w:hint="eastAsia" w:ascii="仿宋_GB2312" w:eastAsia="仿宋_GB2312"/>
          <w:sz w:val="32"/>
          <w:szCs w:val="32"/>
          <w:lang w:val="zh-CN"/>
        </w:rPr>
        <w:t>年</w:t>
      </w:r>
      <w:r>
        <w:rPr>
          <w:rFonts w:hint="eastAsia" w:ascii="仿宋_GB2312" w:eastAsia="仿宋_GB2312"/>
          <w:sz w:val="32"/>
          <w:szCs w:val="32"/>
          <w:lang w:val="en-US" w:eastAsia="zh-CN"/>
        </w:rPr>
        <w:t>初</w:t>
      </w:r>
      <w:r>
        <w:rPr>
          <w:rFonts w:hint="eastAsia" w:ascii="仿宋_GB2312" w:eastAsia="仿宋_GB2312"/>
          <w:sz w:val="32"/>
          <w:szCs w:val="32"/>
          <w:lang w:val="zh-CN"/>
        </w:rPr>
        <w:t>单位实际在职人数31人，其中：行政在职人数5人、参公在职人数2</w:t>
      </w:r>
      <w:r>
        <w:rPr>
          <w:rFonts w:hint="eastAsia" w:ascii="仿宋_GB2312" w:eastAsia="仿宋_GB2312"/>
          <w:sz w:val="32"/>
          <w:szCs w:val="32"/>
          <w:lang w:val="en-US" w:eastAsia="zh-CN"/>
        </w:rPr>
        <w:t>5</w:t>
      </w:r>
      <w:r>
        <w:rPr>
          <w:rFonts w:hint="eastAsia" w:ascii="仿宋_GB2312" w:eastAsia="仿宋_GB2312"/>
          <w:sz w:val="32"/>
          <w:szCs w:val="32"/>
          <w:lang w:val="zh-CN"/>
        </w:rPr>
        <w:t>人、工勤在职人数</w:t>
      </w:r>
      <w:r>
        <w:rPr>
          <w:rFonts w:hint="eastAsia" w:ascii="仿宋_GB2312" w:eastAsia="仿宋_GB2312"/>
          <w:sz w:val="32"/>
          <w:szCs w:val="32"/>
          <w:lang w:val="en-US" w:eastAsia="zh-CN"/>
        </w:rPr>
        <w:t>1</w:t>
      </w:r>
      <w:r>
        <w:rPr>
          <w:rFonts w:hint="eastAsia" w:ascii="仿宋_GB2312" w:eastAsia="仿宋_GB2312"/>
          <w:sz w:val="32"/>
          <w:szCs w:val="32"/>
          <w:lang w:val="zh-CN"/>
        </w:rPr>
        <w:t>人。退休10人。</w:t>
      </w:r>
    </w:p>
    <w:p>
      <w:pPr>
        <w:ind w:firstLine="675"/>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三、收支预算情况说明</w:t>
      </w:r>
    </w:p>
    <w:p>
      <w:pPr>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　　按照综合预算的原则，县</w:t>
      </w:r>
      <w:r>
        <w:rPr>
          <w:rFonts w:ascii="仿宋_GB2312" w:eastAsia="仿宋_GB2312"/>
          <w:sz w:val="32"/>
          <w:szCs w:val="32"/>
          <w:shd w:val="clear" w:color="auto" w:fill="FFFFFF"/>
        </w:rPr>
        <w:t>应急管理局</w:t>
      </w:r>
      <w:r>
        <w:rPr>
          <w:rFonts w:hint="eastAsia" w:ascii="仿宋_GB2312" w:eastAsia="仿宋_GB2312"/>
          <w:sz w:val="32"/>
          <w:szCs w:val="32"/>
          <w:shd w:val="clear" w:color="auto" w:fill="FFFFFF"/>
        </w:rPr>
        <w:t>所有收入和支出均纳入部门预算管理。收入包括：一般公共预算财政拨款收入；支出包括：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支出、社会保障和就业支出、</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支出、住房保障支出</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县应急管理局202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年收</w:t>
      </w:r>
      <w:r>
        <w:rPr>
          <w:rFonts w:hint="eastAsia" w:ascii="仿宋_GB2312" w:eastAsia="仿宋_GB2312"/>
          <w:sz w:val="32"/>
          <w:szCs w:val="32"/>
          <w:shd w:val="clear" w:color="auto" w:fill="FFFFFF"/>
          <w:lang w:val="en-US" w:eastAsia="zh-CN"/>
        </w:rPr>
        <w:t>入</w:t>
      </w:r>
      <w:r>
        <w:rPr>
          <w:rFonts w:hint="eastAsia" w:ascii="仿宋_GB2312" w:eastAsia="仿宋_GB2312"/>
          <w:sz w:val="32"/>
          <w:szCs w:val="32"/>
          <w:shd w:val="clear" w:color="auto" w:fill="FFFFFF"/>
        </w:rPr>
        <w:t>总预算</w:t>
      </w:r>
      <w:r>
        <w:rPr>
          <w:rFonts w:hint="eastAsia" w:ascii="仿宋_GB2312" w:eastAsia="仿宋_GB2312"/>
          <w:color w:val="auto"/>
          <w:sz w:val="32"/>
          <w:szCs w:val="32"/>
          <w:shd w:val="clear" w:color="auto" w:fill="FFFFFF"/>
          <w:lang w:val="en-US" w:eastAsia="zh-CN"/>
        </w:rPr>
        <w:t>716.27</w:t>
      </w:r>
      <w:r>
        <w:rPr>
          <w:rFonts w:hint="eastAsia" w:ascii="仿宋_GB2312" w:eastAsia="仿宋_GB2312"/>
          <w:color w:val="auto"/>
          <w:sz w:val="32"/>
          <w:szCs w:val="32"/>
          <w:shd w:val="clear" w:color="auto" w:fill="FFFFFF"/>
        </w:rPr>
        <w:t>万元。</w:t>
      </w:r>
      <w:r>
        <w:rPr>
          <w:rFonts w:hint="eastAsia" w:ascii="仿宋_GB2312" w:eastAsia="仿宋_GB2312"/>
          <w:sz w:val="32"/>
          <w:szCs w:val="32"/>
          <w:shd w:val="clear" w:color="auto" w:fill="FFFFFF"/>
        </w:rPr>
        <w:t>支</w:t>
      </w:r>
      <w:r>
        <w:rPr>
          <w:rFonts w:hint="eastAsia" w:ascii="仿宋_GB2312" w:eastAsia="仿宋_GB2312"/>
          <w:sz w:val="32"/>
          <w:szCs w:val="32"/>
          <w:shd w:val="clear" w:color="auto" w:fill="FFFFFF"/>
          <w:lang w:val="en-US" w:eastAsia="zh-CN"/>
        </w:rPr>
        <w:t>出总预算716.27万元。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（一）收入预算情况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年收入预算</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万元，其中：一般公共预算财政拨款收入</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hint="eastAsia" w:ascii="仿宋_GB2312" w:eastAsia="仿宋_GB2312"/>
          <w:b/>
          <w:sz w:val="32"/>
          <w:szCs w:val="32"/>
          <w:shd w:val="clear" w:color="auto" w:fill="FFFFFF"/>
          <w:lang w:val="en-US" w:eastAsia="zh-CN"/>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（二）支出预算情况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年支出预算</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万元，其中：基本支出</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ascii="仿宋_GB2312" w:eastAsia="仿宋_GB2312"/>
          <w:sz w:val="32"/>
          <w:szCs w:val="32"/>
          <w:shd w:val="clear" w:color="auto" w:fill="FFFFFF"/>
        </w:rPr>
        <w:t>%；项目支出</w:t>
      </w:r>
      <w:r>
        <w:rPr>
          <w:rFonts w:hint="eastAsia" w:ascii="仿宋_GB2312" w:eastAsia="仿宋_GB2312"/>
          <w:sz w:val="32"/>
          <w:szCs w:val="32"/>
          <w:shd w:val="clear" w:color="auto" w:fill="FFFFFF"/>
          <w:lang w:val="en-US" w:eastAsia="zh-CN"/>
        </w:rPr>
        <w:t>0</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四、财政拨款收支预算情况说明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年财政拨款收支总预算</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万元。收入包括：本年一般公共预算财政拨款收入</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val="en-US" w:eastAsia="zh-CN"/>
        </w:rPr>
        <w:t>107.84</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40.97</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57.57</w:t>
      </w:r>
      <w:r>
        <w:rPr>
          <w:rFonts w:hint="eastAsia" w:ascii="仿宋_GB2312" w:eastAsia="仿宋_GB2312"/>
          <w:sz w:val="32"/>
          <w:szCs w:val="32"/>
          <w:shd w:val="clear" w:color="auto" w:fill="FFFFFF"/>
        </w:rPr>
        <w:t>万元、</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509.88万</w:t>
      </w:r>
      <w:r>
        <w:rPr>
          <w:rFonts w:hint="eastAsia" w:ascii="仿宋_GB2312" w:eastAsia="仿宋_GB2312"/>
          <w:sz w:val="32"/>
          <w:szCs w:val="32"/>
          <w:shd w:val="clear" w:color="auto" w:fill="FFFFFF"/>
        </w:rPr>
        <w:t>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五、一般公共预算当年拨款情况说明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（一）一般公共预算当年拨款规模变化情况</w:t>
      </w:r>
    </w:p>
    <w:p>
      <w:pPr>
        <w:ind w:firstLine="705"/>
        <w:rPr>
          <w:rFonts w:hint="default" w:ascii="仿宋_GB2312" w:eastAsia="仿宋_GB2312"/>
          <w:sz w:val="32"/>
          <w:szCs w:val="32"/>
          <w:shd w:val="clear" w:color="auto" w:fill="FFFFFF"/>
          <w:lang w:val="en-US"/>
        </w:rPr>
      </w:pPr>
      <w:r>
        <w:rPr>
          <w:rFonts w:hint="eastAsia" w:ascii="仿宋_GB2312" w:eastAsia="仿宋_GB2312"/>
          <w:sz w:val="32"/>
          <w:szCs w:val="32"/>
          <w:shd w:val="clear" w:color="auto" w:fill="FFFFFF"/>
        </w:rPr>
        <w:t>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年一般公共预算当年拨款</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万元，比</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减少123.43</w:t>
      </w:r>
      <w:r>
        <w:rPr>
          <w:rFonts w:hint="eastAsia" w:ascii="仿宋_GB2312" w:eastAsia="仿宋_GB2312"/>
          <w:sz w:val="32"/>
          <w:szCs w:val="32"/>
          <w:shd w:val="clear" w:color="auto" w:fill="FFFFFF"/>
        </w:rPr>
        <w:t>万元。主要是本年度</w:t>
      </w:r>
      <w:r>
        <w:rPr>
          <w:rFonts w:hint="eastAsia" w:ascii="仿宋_GB2312" w:eastAsia="仿宋_GB2312"/>
          <w:sz w:val="32"/>
          <w:szCs w:val="32"/>
          <w:shd w:val="clear" w:color="auto" w:fill="FFFFFF"/>
          <w:lang w:val="en-US" w:eastAsia="zh-CN"/>
        </w:rPr>
        <w:t>事业机构九寨沟县消防救援事务中心单独编制部门预算，所以减少了人员经费及公用经费</w:t>
      </w:r>
      <w:r>
        <w:rPr>
          <w:rFonts w:hint="eastAsia" w:ascii="仿宋_GB2312" w:eastAsia="仿宋_GB2312"/>
          <w:sz w:val="32"/>
          <w:szCs w:val="32"/>
          <w:shd w:val="clear" w:color="auto" w:fill="FFFFFF"/>
        </w:rPr>
        <w:t>。</w:t>
      </w:r>
    </w:p>
    <w:p>
      <w:pPr>
        <w:ind w:firstLine="472" w:firstLineChars="147"/>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（二）一般公共预算当年拨款结构情况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509.88</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71.19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107.84</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15.06</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40.97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5.71%</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57.57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8.04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numPr>
          <w:ilvl w:val="0"/>
          <w:numId w:val="1"/>
        </w:numPr>
        <w:ind w:left="640" w:leftChars="0" w:firstLine="0" w:firstLineChars="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一般公共预算当年拨款具体使用情况</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（款）机关事业单位基本养老保险缴费支出（项）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69.47</w:t>
      </w:r>
      <w:r>
        <w:rPr>
          <w:rFonts w:hint="eastAsia" w:ascii="仿宋_GB2312" w:eastAsia="仿宋_GB2312"/>
          <w:sz w:val="32"/>
          <w:szCs w:val="32"/>
          <w:shd w:val="clear" w:color="auto" w:fill="FFFFFF"/>
        </w:rPr>
        <w:t>万元，主要用于：实施养老保险制度后，部门按规定由单位缴纳的基本养老保险费支出。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38.37</w:t>
      </w:r>
      <w:r>
        <w:rPr>
          <w:rFonts w:hint="eastAsia" w:ascii="仿宋_GB2312" w:eastAsia="仿宋_GB2312"/>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33.58</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行政</w:t>
      </w:r>
      <w:r>
        <w:rPr>
          <w:rFonts w:hint="eastAsia" w:ascii="仿宋_GB2312" w:eastAsia="仿宋_GB2312"/>
          <w:sz w:val="32"/>
          <w:szCs w:val="32"/>
          <w:shd w:val="clear" w:color="auto" w:fill="FFFFFF"/>
        </w:rPr>
        <w:t>基本医疗保险缴费支出。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w:t>
      </w:r>
      <w:r>
        <w:rPr>
          <w:rFonts w:ascii="仿宋_GB2312" w:eastAsia="仿宋_GB2312"/>
          <w:sz w:val="32"/>
          <w:szCs w:val="32"/>
          <w:shd w:val="clear" w:color="auto" w:fill="FFFFFF"/>
        </w:rPr>
        <w:t>医疗</w:t>
      </w:r>
      <w:r>
        <w:rPr>
          <w:rFonts w:hint="eastAsia" w:ascii="仿宋_GB2312" w:eastAsia="仿宋_GB2312"/>
          <w:sz w:val="32"/>
          <w:szCs w:val="32"/>
          <w:shd w:val="clear" w:color="auto" w:fill="FFFFFF"/>
        </w:rPr>
        <w:t>（款）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7.4</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职工补充</w:t>
      </w:r>
      <w:r>
        <w:rPr>
          <w:rFonts w:hint="eastAsia" w:ascii="仿宋_GB2312" w:eastAsia="仿宋_GB2312"/>
          <w:sz w:val="32"/>
          <w:szCs w:val="32"/>
          <w:shd w:val="clear" w:color="auto" w:fill="FFFFFF"/>
        </w:rPr>
        <w:t>医疗保险缴费支出</w:t>
      </w:r>
      <w:r>
        <w:rPr>
          <w:rFonts w:ascii="仿宋_GB2312" w:eastAsia="仿宋_GB2312"/>
          <w:sz w:val="32"/>
          <w:szCs w:val="32"/>
          <w:shd w:val="clear" w:color="auto" w:fill="FFFFFF"/>
        </w:rPr>
        <w:t>。</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57.57</w:t>
      </w:r>
      <w:r>
        <w:rPr>
          <w:rFonts w:hint="eastAsia" w:ascii="仿宋_GB2312" w:eastAsia="仿宋_GB2312"/>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sz w:val="32"/>
          <w:szCs w:val="32"/>
          <w:shd w:val="clear" w:color="auto" w:fill="FFFFFF"/>
        </w:rPr>
        <w:t xml:space="preserve"> </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509.88</w:t>
      </w:r>
      <w:r>
        <w:rPr>
          <w:rFonts w:hint="eastAsia" w:ascii="仿宋_GB2312" w:eastAsia="仿宋_GB2312"/>
          <w:sz w:val="32"/>
          <w:szCs w:val="32"/>
          <w:shd w:val="clear" w:color="auto" w:fill="FFFFFF"/>
        </w:rPr>
        <w:t>万元，主要用于：本单位正常运转的基本支出，包括基本工资、津贴补贴等人员经费以及办公费、印刷费、水电费等日常公用经费。</w:t>
      </w:r>
    </w:p>
    <w:p>
      <w:pPr>
        <w:rPr>
          <w:rFonts w:ascii="仿宋_GB2312" w:eastAsia="仿宋_GB2312"/>
          <w:b/>
          <w:color w:val="FF0000"/>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b/>
          <w:color w:val="auto"/>
          <w:sz w:val="32"/>
          <w:szCs w:val="32"/>
          <w:shd w:val="clear" w:color="auto" w:fill="FFFFFF"/>
        </w:rPr>
        <w:t>六、一般公共预算基本支出情况说明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年一般公共预算基本支出</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万元，其中：</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sz w:val="32"/>
          <w:szCs w:val="32"/>
          <w:shd w:val="clear" w:color="auto" w:fill="FFFFFF"/>
        </w:rPr>
        <w:t>人员经费</w:t>
      </w:r>
      <w:r>
        <w:rPr>
          <w:rFonts w:hint="eastAsia" w:ascii="仿宋_GB2312" w:eastAsia="仿宋_GB2312"/>
          <w:sz w:val="32"/>
          <w:szCs w:val="32"/>
          <w:shd w:val="clear" w:color="auto" w:fill="FFFFFF"/>
          <w:lang w:val="en-US" w:eastAsia="zh-CN"/>
        </w:rPr>
        <w:t>642.65</w:t>
      </w:r>
      <w:r>
        <w:rPr>
          <w:rFonts w:hint="eastAsia" w:ascii="仿宋_GB2312" w:eastAsia="仿宋_GB2312"/>
          <w:sz w:val="32"/>
          <w:szCs w:val="32"/>
          <w:shd w:val="clear" w:color="auto" w:fill="FFFFFF"/>
        </w:rPr>
        <w:t>万元，主要包括：基本工资、津贴补贴、奖金、机关事业单位基本养老保险缴费、</w:t>
      </w:r>
      <w:r>
        <w:rPr>
          <w:rFonts w:hint="eastAsia" w:ascii="仿宋_GB2312" w:eastAsia="仿宋_GB2312"/>
          <w:sz w:val="32"/>
          <w:szCs w:val="32"/>
          <w:shd w:val="clear" w:color="auto" w:fill="FFFFFF"/>
          <w:lang w:val="en-US" w:eastAsia="zh-CN"/>
        </w:rPr>
        <w:t>职业年金缴费、职工基本医疗保险缴费、公务员医疗补助缴费、其他</w:t>
      </w:r>
      <w:r>
        <w:rPr>
          <w:rFonts w:hint="eastAsia" w:ascii="仿宋_GB2312" w:eastAsia="仿宋_GB2312"/>
          <w:sz w:val="32"/>
          <w:szCs w:val="32"/>
          <w:shd w:val="clear" w:color="auto" w:fill="FFFFFF"/>
        </w:rPr>
        <w:t>社会保险缴费、住房公积金、生活补助等。</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公用经费</w:t>
      </w:r>
      <w:r>
        <w:rPr>
          <w:rFonts w:hint="eastAsia" w:ascii="仿宋_GB2312" w:eastAsia="仿宋_GB2312"/>
          <w:sz w:val="32"/>
          <w:szCs w:val="32"/>
          <w:shd w:val="clear" w:color="auto" w:fill="FFFFFF"/>
          <w:lang w:val="en-US" w:eastAsia="zh-CN"/>
        </w:rPr>
        <w:t>73.63</w:t>
      </w:r>
      <w:r>
        <w:rPr>
          <w:rFonts w:hint="eastAsia" w:ascii="仿宋_GB2312" w:eastAsia="仿宋_GB2312"/>
          <w:sz w:val="32"/>
          <w:szCs w:val="32"/>
          <w:shd w:val="clear" w:color="auto" w:fill="FFFFFF"/>
        </w:rPr>
        <w:t>万元，主要包括：办公费、</w:t>
      </w:r>
      <w:r>
        <w:rPr>
          <w:rFonts w:hint="eastAsia" w:ascii="仿宋_GB2312" w:eastAsia="仿宋_GB2312"/>
          <w:sz w:val="32"/>
          <w:szCs w:val="32"/>
          <w:shd w:val="clear" w:color="auto" w:fill="FFFFFF"/>
          <w:lang w:val="en-US" w:eastAsia="zh-CN"/>
        </w:rPr>
        <w:t>水费、电费、</w:t>
      </w:r>
      <w:r>
        <w:rPr>
          <w:rFonts w:hint="eastAsia" w:ascii="仿宋_GB2312" w:eastAsia="仿宋_GB2312"/>
          <w:sz w:val="32"/>
          <w:szCs w:val="32"/>
          <w:shd w:val="clear" w:color="auto" w:fill="FFFFFF"/>
        </w:rPr>
        <w:t>邮电费、差旅费、工会经费、公务用车运行维护费、其他商品和服务支出</w:t>
      </w:r>
      <w:bookmarkStart w:id="0" w:name="_GoBack"/>
      <w:bookmarkEnd w:id="0"/>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七、“三公”经费财政拨款预算安排情况说明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年“三公”经费财政拨款预算数</w:t>
      </w:r>
      <w:r>
        <w:rPr>
          <w:rFonts w:hint="eastAsia" w:ascii="仿宋_GB2312" w:eastAsia="仿宋_GB2312"/>
          <w:sz w:val="32"/>
          <w:szCs w:val="32"/>
          <w:shd w:val="clear" w:color="auto" w:fill="FFFFFF"/>
          <w:lang w:val="en-US" w:eastAsia="zh-CN"/>
        </w:rPr>
        <w:t>16</w:t>
      </w:r>
      <w:r>
        <w:rPr>
          <w:rFonts w:hint="eastAsia" w:ascii="仿宋_GB2312" w:eastAsia="仿宋_GB2312"/>
          <w:sz w:val="32"/>
          <w:szCs w:val="32"/>
          <w:shd w:val="clear" w:color="auto" w:fill="FFFFFF"/>
        </w:rPr>
        <w:t>万元，其中：因公出国（境）经费</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万元，公务接待费</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16</w:t>
      </w:r>
      <w:r>
        <w:rPr>
          <w:rFonts w:hint="eastAsia" w:ascii="仿宋_GB2312" w:eastAsia="仿宋_GB2312"/>
          <w:sz w:val="32"/>
          <w:szCs w:val="32"/>
          <w:shd w:val="clear" w:color="auto" w:fill="FFFFFF"/>
        </w:rPr>
        <w:t>万元。</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年未安排因公出国（境）经费。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（二）</w:t>
      </w:r>
      <w:r>
        <w:rPr>
          <w:rFonts w:hint="eastAsia" w:ascii="仿宋_GB2312" w:eastAsia="仿宋_GB2312"/>
          <w:sz w:val="32"/>
          <w:szCs w:val="32"/>
          <w:shd w:val="clear" w:color="auto" w:fill="FFFFFF"/>
          <w:lang w:val="en-US" w:eastAsia="zh-CN"/>
        </w:rPr>
        <w:t>2026年未安排公务接待费用</w:t>
      </w:r>
      <w:r>
        <w:rPr>
          <w:rFonts w:hint="eastAsia" w:ascii="仿宋_GB2312" w:eastAsia="仿宋_GB2312"/>
          <w:sz w:val="32"/>
          <w:szCs w:val="32"/>
          <w:shd w:val="clear" w:color="auto" w:fill="FFFFFF"/>
        </w:rPr>
        <w:t>。</w:t>
      </w:r>
    </w:p>
    <w:p>
      <w:pPr>
        <w:ind w:firstLine="645"/>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（三）</w:t>
      </w:r>
      <w:r>
        <w:rPr>
          <w:rFonts w:hint="eastAsia" w:ascii="仿宋_GB2312" w:eastAsia="仿宋_GB2312"/>
          <w:sz w:val="32"/>
          <w:szCs w:val="32"/>
          <w:shd w:val="clear" w:color="auto" w:fill="FFFFFF"/>
          <w:lang w:val="en-US" w:eastAsia="zh-CN"/>
        </w:rPr>
        <w:t>2026年</w:t>
      </w:r>
      <w:r>
        <w:rPr>
          <w:rFonts w:hint="eastAsia" w:ascii="仿宋_GB2312" w:eastAsia="仿宋_GB2312"/>
          <w:sz w:val="32"/>
          <w:szCs w:val="32"/>
          <w:shd w:val="clear" w:color="auto" w:fill="FFFFFF"/>
        </w:rPr>
        <w:t>公务用车运行维护费</w:t>
      </w:r>
      <w:r>
        <w:rPr>
          <w:rFonts w:hint="eastAsia" w:ascii="仿宋_GB2312" w:eastAsia="仿宋_GB2312"/>
          <w:sz w:val="32"/>
          <w:szCs w:val="32"/>
          <w:shd w:val="clear" w:color="auto" w:fill="FFFFFF"/>
          <w:lang w:val="en-US" w:eastAsia="zh-CN"/>
        </w:rPr>
        <w:t>较</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增加10万元</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原因是本年度增加公务用车运行维护费。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单位现有公务用车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w:t>
      </w:r>
      <w:r>
        <w:rPr>
          <w:rFonts w:ascii="仿宋_GB2312" w:eastAsia="仿宋_GB2312"/>
          <w:sz w:val="32"/>
          <w:szCs w:val="32"/>
          <w:shd w:val="clear" w:color="auto" w:fill="FFFFFF"/>
        </w:rPr>
        <w:t>越野</w:t>
      </w:r>
      <w:r>
        <w:rPr>
          <w:rFonts w:hint="eastAsia" w:ascii="仿宋_GB2312" w:eastAsia="仿宋_GB2312"/>
          <w:sz w:val="32"/>
          <w:szCs w:val="32"/>
          <w:shd w:val="clear" w:color="auto" w:fill="FFFFFF"/>
        </w:rPr>
        <w:t>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年未安排公务用车购置费。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年安排公务用车运行维护费</w:t>
      </w:r>
      <w:r>
        <w:rPr>
          <w:rFonts w:hint="eastAsia" w:ascii="仿宋_GB2312" w:eastAsia="仿宋_GB2312"/>
          <w:sz w:val="32"/>
          <w:szCs w:val="32"/>
          <w:shd w:val="clear" w:color="auto" w:fill="FFFFFF"/>
          <w:lang w:val="en-US" w:eastAsia="zh-CN"/>
        </w:rPr>
        <w:t>16</w:t>
      </w:r>
      <w:r>
        <w:rPr>
          <w:rFonts w:hint="eastAsia" w:ascii="仿宋_GB2312" w:eastAsia="仿宋_GB2312"/>
          <w:sz w:val="32"/>
          <w:szCs w:val="32"/>
          <w:shd w:val="clear" w:color="auto" w:fill="FFFFFF"/>
        </w:rPr>
        <w:t>万元，用于</w:t>
      </w:r>
      <w:r>
        <w:rPr>
          <w:rFonts w:hint="eastAsia" w:ascii="仿宋_GB2312" w:eastAsia="仿宋_GB2312"/>
          <w:sz w:val="32"/>
          <w:szCs w:val="32"/>
          <w:shd w:val="clear" w:color="auto" w:fill="FFFFFF"/>
          <w:lang w:val="en-US" w:eastAsia="zh-CN"/>
        </w:rPr>
        <w:t>应急保障</w:t>
      </w:r>
      <w:r>
        <w:rPr>
          <w:rFonts w:hint="eastAsia" w:ascii="仿宋_GB2312" w:eastAsia="仿宋_GB2312"/>
          <w:sz w:val="32"/>
          <w:szCs w:val="32"/>
          <w:shd w:val="clear" w:color="auto" w:fill="FFFFFF"/>
        </w:rPr>
        <w:t>用车燃油、过路（桥）、维修、保险等方面支出，主要保障本单位的</w:t>
      </w:r>
      <w:r>
        <w:rPr>
          <w:rFonts w:ascii="仿宋_GB2312" w:eastAsia="仿宋_GB2312"/>
          <w:sz w:val="32"/>
          <w:szCs w:val="32"/>
          <w:shd w:val="clear" w:color="auto" w:fill="FFFFFF"/>
        </w:rPr>
        <w:t>安全监管</w:t>
      </w:r>
      <w:r>
        <w:rPr>
          <w:rFonts w:hint="eastAsia" w:ascii="仿宋_GB2312" w:eastAsia="仿宋_GB2312"/>
          <w:sz w:val="32"/>
          <w:szCs w:val="32"/>
          <w:shd w:val="clear" w:color="auto" w:fill="FFFFFF"/>
        </w:rPr>
        <w:t>执法、工作调研、脱贫攻坚</w:t>
      </w:r>
      <w:r>
        <w:rPr>
          <w:rFonts w:ascii="仿宋_GB2312" w:eastAsia="仿宋_GB2312"/>
          <w:sz w:val="32"/>
          <w:szCs w:val="32"/>
          <w:shd w:val="clear" w:color="auto" w:fill="FFFFFF"/>
        </w:rPr>
        <w:t>、应急抢险</w:t>
      </w:r>
      <w:r>
        <w:rPr>
          <w:rFonts w:hint="eastAsia" w:ascii="仿宋_GB2312" w:eastAsia="仿宋_GB2312"/>
          <w:sz w:val="32"/>
          <w:szCs w:val="32"/>
          <w:shd w:val="clear" w:color="auto" w:fill="FFFFFF"/>
        </w:rPr>
        <w:t>等工作开展。</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八、政府性基金预算支出情况说明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年没有使用政府性基金预算拨款安排的支出。</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九、目标绩效情况</w:t>
      </w:r>
    </w:p>
    <w:p>
      <w:pPr>
        <w:ind w:firstLine="66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年县应急管理局所有资金均按要求实行绩效目标管理，涉及一般公共预算当年拨款</w:t>
      </w:r>
      <w:r>
        <w:rPr>
          <w:rFonts w:hint="eastAsia" w:ascii="仿宋_GB2312" w:eastAsia="仿宋_GB2312"/>
          <w:sz w:val="32"/>
          <w:szCs w:val="32"/>
          <w:shd w:val="clear" w:color="auto" w:fill="FFFFFF"/>
          <w:lang w:val="en-US" w:eastAsia="zh-CN"/>
        </w:rPr>
        <w:t>716.27</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val="en-US" w:eastAsia="zh-CN"/>
        </w:rPr>
        <w:t>。</w:t>
      </w:r>
    </w:p>
    <w:p>
      <w:pPr>
        <w:numPr>
          <w:ilvl w:val="0"/>
          <w:numId w:val="2"/>
        </w:numPr>
        <w:ind w:firstLine="660"/>
        <w:rPr>
          <w:rFonts w:hint="eastAsia"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支出绩效定量目标情况</w:t>
      </w:r>
    </w:p>
    <w:p>
      <w:pPr>
        <w:spacing w:line="560" w:lineRule="exact"/>
        <w:ind w:firstLine="640" w:firstLineChars="200"/>
        <w:rPr>
          <w:rFonts w:hint="eastAsia" w:ascii="仿宋_GB2312" w:eastAsia="仿宋_GB2312"/>
          <w:b w:val="0"/>
          <w:bCs/>
          <w:sz w:val="32"/>
          <w:szCs w:val="32"/>
          <w:shd w:val="clear" w:color="auto" w:fill="FFFFFF"/>
        </w:rPr>
      </w:pPr>
      <w:r>
        <w:rPr>
          <w:rFonts w:hint="eastAsia" w:ascii="仿宋_GB2312" w:eastAsia="仿宋_GB2312"/>
          <w:b w:val="0"/>
          <w:bCs/>
          <w:sz w:val="32"/>
          <w:szCs w:val="32"/>
          <w:shd w:val="clear" w:color="auto" w:fill="FFFFFF"/>
        </w:rPr>
        <w:t>县应急管理局围绕安全生产、森林草原防灭火、防灾减灾救灾，以系统化、精准化、常态化的工作思路，压实责任、强化举措，全面筑牢安全防线，切实保障人民群众生命财产安全与社会稳定发展。​</w:t>
      </w:r>
    </w:p>
    <w:p>
      <w:pPr>
        <w:spacing w:line="560" w:lineRule="exact"/>
        <w:ind w:firstLine="643" w:firstLineChars="20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（二）目标实现的效益</w:t>
      </w:r>
    </w:p>
    <w:p>
      <w:pPr>
        <w:spacing w:line="560" w:lineRule="exact"/>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一是提高了安全监管能力和水平，达到“零事故”的目标；二是</w:t>
      </w:r>
      <w:r>
        <w:rPr>
          <w:rFonts w:ascii="仿宋_GB2312" w:eastAsia="仿宋_GB2312"/>
          <w:sz w:val="32"/>
          <w:szCs w:val="32"/>
          <w:shd w:val="clear" w:color="auto" w:fill="FFFFFF"/>
        </w:rPr>
        <w:t>提高了应急救援抢险</w:t>
      </w:r>
      <w:r>
        <w:rPr>
          <w:rFonts w:hint="eastAsia" w:ascii="仿宋_GB2312" w:eastAsia="仿宋_GB2312"/>
          <w:sz w:val="32"/>
          <w:szCs w:val="32"/>
          <w:shd w:val="clear" w:color="auto" w:fill="FFFFFF"/>
        </w:rPr>
        <w:t>能力和水平</w:t>
      </w:r>
      <w:r>
        <w:rPr>
          <w:rFonts w:ascii="仿宋_GB2312" w:eastAsia="仿宋_GB2312"/>
          <w:sz w:val="32"/>
          <w:szCs w:val="32"/>
          <w:shd w:val="clear" w:color="auto" w:fill="FFFFFF"/>
        </w:rPr>
        <w:t>，达到第一时间赶往现场，立即组织开展救援</w:t>
      </w:r>
      <w:r>
        <w:rPr>
          <w:rFonts w:hint="eastAsia" w:ascii="仿宋_GB2312" w:eastAsia="仿宋_GB2312"/>
          <w:sz w:val="32"/>
          <w:szCs w:val="32"/>
          <w:shd w:val="clear" w:color="auto" w:fill="FFFFFF"/>
        </w:rPr>
        <w:t>；三是企业及群众满意度达9</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w:t>
      </w:r>
    </w:p>
    <w:p>
      <w:pPr>
        <w:ind w:firstLine="66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十、其他重要事项的情况说明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（一）机关运行经费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年，县应急管理局的机关运行经费财政拨款预算为</w:t>
      </w:r>
      <w:r>
        <w:rPr>
          <w:rFonts w:hint="eastAsia" w:ascii="仿宋_GB2312" w:eastAsia="仿宋_GB2312"/>
          <w:sz w:val="32"/>
          <w:szCs w:val="32"/>
          <w:shd w:val="clear" w:color="auto" w:fill="FFFFFF"/>
          <w:lang w:val="en-US" w:eastAsia="zh-CN"/>
        </w:rPr>
        <w:t>73.63</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（二）政府采购情况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年，县应急管理局</w:t>
      </w:r>
      <w:r>
        <w:rPr>
          <w:rFonts w:ascii="仿宋_GB2312" w:eastAsia="仿宋_GB2312"/>
          <w:sz w:val="32"/>
          <w:szCs w:val="32"/>
          <w:shd w:val="clear" w:color="auto" w:fill="FFFFFF"/>
        </w:rPr>
        <w:t>无</w:t>
      </w:r>
      <w:r>
        <w:rPr>
          <w:rFonts w:hint="eastAsia" w:ascii="仿宋_GB2312" w:eastAsia="仿宋_GB2312"/>
          <w:sz w:val="32"/>
          <w:szCs w:val="32"/>
          <w:shd w:val="clear" w:color="auto" w:fill="FFFFFF"/>
        </w:rPr>
        <w:t>安排政府采购预算。</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（三）国有资产占有使用情况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截至</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年底，县应急管理局共有车辆</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w:t>
      </w:r>
      <w:r>
        <w:rPr>
          <w:rFonts w:hint="eastAsia" w:ascii="仿宋_GB2312" w:eastAsia="仿宋_GB2312"/>
          <w:sz w:val="32"/>
          <w:szCs w:val="32"/>
          <w:shd w:val="clear" w:color="auto" w:fill="FFFFFF"/>
          <w:lang w:val="en-US" w:eastAsia="zh-CN"/>
        </w:rPr>
        <w:t>应急保障</w:t>
      </w:r>
      <w:r>
        <w:rPr>
          <w:rFonts w:hint="eastAsia" w:ascii="仿宋_GB2312" w:eastAsia="仿宋_GB2312"/>
          <w:sz w:val="32"/>
          <w:szCs w:val="32"/>
          <w:shd w:val="clear" w:color="auto" w:fill="FFFFFF"/>
        </w:rPr>
        <w:t>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台（套）。</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十一、名词解释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一般公共预算拨款收入：指县级财政当年拨付的资金。</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2.</w:t>
      </w:r>
      <w:r>
        <w:t xml:space="preserve">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（款）行政运行（项）：指部门用于保障机构正常运行、开展日常工作的基本支出。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（款）机关事业单位基本养老保险缴费支出（项）：指部门实施养老保险制度由单位缴纳的养老保险费的支出。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缴费支出（项）：指部门实施养老保险制度由单位缴纳的养老保险费的支出。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单位医疗（项）：指</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单位用于缴纳单位基本医疗保险支出。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（项）：指</w:t>
      </w:r>
      <w:r>
        <w:rPr>
          <w:rFonts w:ascii="仿宋_GB2312" w:eastAsia="仿宋_GB2312"/>
          <w:sz w:val="32"/>
          <w:szCs w:val="32"/>
          <w:shd w:val="clear" w:color="auto" w:fill="FFFFFF"/>
        </w:rPr>
        <w:t>行政事业</w:t>
      </w:r>
      <w:r>
        <w:rPr>
          <w:rFonts w:hint="eastAsia" w:ascii="仿宋_GB2312" w:eastAsia="仿宋_GB2312"/>
          <w:sz w:val="32"/>
          <w:szCs w:val="32"/>
          <w:shd w:val="clear" w:color="auto" w:fill="FFFFFF"/>
        </w:rPr>
        <w:t>单位用于缴纳单位</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基本支出：指为保证机构正常运转，完成日常工作任务而发生的人员支出和公用支出。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三公”经费：纳入财政局预决算管理的“三公”经费，是指部门用财政拨款安排的因公出国（境）费、公务用车购置及运行费、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6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pStyle w:val="6"/>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附：1、2026年部门预算公开报表</w:t>
      </w:r>
    </w:p>
    <w:p>
      <w:pPr>
        <w:numPr>
          <w:ilvl w:val="0"/>
          <w:numId w:val="0"/>
        </w:numPr>
        <w:ind w:firstLine="960" w:firstLineChars="30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2、2026年部门预算项目绩效目标表13表</w:t>
      </w:r>
    </w:p>
    <w:p>
      <w:pPr>
        <w:numPr>
          <w:ilvl w:val="0"/>
          <w:numId w:val="0"/>
        </w:numPr>
        <w:ind w:firstLine="960" w:firstLineChars="30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3、</w:t>
      </w:r>
      <w:r>
        <w:rPr>
          <w:rFonts w:hint="default" w:ascii="仿宋_GB2312" w:eastAsia="仿宋_GB2312"/>
          <w:sz w:val="32"/>
          <w:szCs w:val="32"/>
          <w:shd w:val="clear" w:color="auto" w:fill="FFFFFF"/>
          <w:lang w:val="en-US" w:eastAsia="zh-CN"/>
        </w:rPr>
        <w:t>202</w:t>
      </w:r>
      <w:r>
        <w:rPr>
          <w:rFonts w:hint="eastAsia" w:ascii="仿宋_GB2312" w:eastAsia="仿宋_GB2312"/>
          <w:sz w:val="32"/>
          <w:szCs w:val="32"/>
          <w:shd w:val="clear" w:color="auto" w:fill="FFFFFF"/>
          <w:lang w:val="en-US" w:eastAsia="zh-CN"/>
        </w:rPr>
        <w:t>6</w:t>
      </w:r>
      <w:r>
        <w:rPr>
          <w:rFonts w:hint="default" w:ascii="仿宋_GB2312" w:eastAsia="仿宋_GB2312"/>
          <w:sz w:val="32"/>
          <w:szCs w:val="32"/>
          <w:shd w:val="clear" w:color="auto" w:fill="FFFFFF"/>
          <w:lang w:val="en-US" w:eastAsia="zh-CN"/>
        </w:rPr>
        <w:t>年部门整体目标填报表14表</w:t>
      </w:r>
    </w:p>
    <w:p>
      <w:pPr>
        <w:pStyle w:val="6"/>
        <w:rPr>
          <w:rFonts w:hint="eastAsia" w:ascii="仿宋_GB2312" w:eastAsia="仿宋_GB2312"/>
          <w:sz w:val="32"/>
          <w:szCs w:val="32"/>
          <w:shd w:val="clear" w:color="auto" w:fill="FFFFFF"/>
          <w:lang w:val="en-US" w:eastAsia="zh-CN"/>
        </w:rPr>
      </w:pPr>
    </w:p>
    <w:p>
      <w:pPr>
        <w:ind w:firstLine="675"/>
        <w:rPr>
          <w:rFonts w:ascii="仿宋_GB2312" w:eastAsia="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C0040"/>
    <w:multiLevelType w:val="singleLevel"/>
    <w:tmpl w:val="8B5C0040"/>
    <w:lvl w:ilvl="0" w:tentative="0">
      <w:start w:val="3"/>
      <w:numFmt w:val="chineseCounting"/>
      <w:suff w:val="nothing"/>
      <w:lvlText w:val="（%1）"/>
      <w:lvlJc w:val="left"/>
      <w:pPr>
        <w:ind w:left="640" w:leftChars="0" w:firstLine="0" w:firstLineChars="0"/>
      </w:pPr>
      <w:rPr>
        <w:rFonts w:hint="eastAsia"/>
      </w:rPr>
    </w:lvl>
  </w:abstractNum>
  <w:abstractNum w:abstractNumId="1">
    <w:nsid w:val="F272B465"/>
    <w:multiLevelType w:val="singleLevel"/>
    <w:tmpl w:val="F272B46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4"/>
  </w:compat>
  <w:rsids>
    <w:rsidRoot w:val="00000000"/>
    <w:rsid w:val="00BB32A2"/>
    <w:rsid w:val="01B429E0"/>
    <w:rsid w:val="02740502"/>
    <w:rsid w:val="05FE3224"/>
    <w:rsid w:val="07812EDD"/>
    <w:rsid w:val="07B768F4"/>
    <w:rsid w:val="0841299C"/>
    <w:rsid w:val="085E758E"/>
    <w:rsid w:val="0A1B6B81"/>
    <w:rsid w:val="0A581373"/>
    <w:rsid w:val="0B4A32CE"/>
    <w:rsid w:val="0C7C15C8"/>
    <w:rsid w:val="0C925C1E"/>
    <w:rsid w:val="0E1911D7"/>
    <w:rsid w:val="10344F55"/>
    <w:rsid w:val="10C334A7"/>
    <w:rsid w:val="116A6FB5"/>
    <w:rsid w:val="11941D73"/>
    <w:rsid w:val="11C86DC0"/>
    <w:rsid w:val="11C9030C"/>
    <w:rsid w:val="11F020CE"/>
    <w:rsid w:val="14244738"/>
    <w:rsid w:val="18D532CA"/>
    <w:rsid w:val="1A2C555A"/>
    <w:rsid w:val="1A591910"/>
    <w:rsid w:val="1D94589E"/>
    <w:rsid w:val="1D945956"/>
    <w:rsid w:val="1ED34E9A"/>
    <w:rsid w:val="20870277"/>
    <w:rsid w:val="212D614D"/>
    <w:rsid w:val="221D484D"/>
    <w:rsid w:val="24EF21A0"/>
    <w:rsid w:val="253620F8"/>
    <w:rsid w:val="26A56B2A"/>
    <w:rsid w:val="28136EE0"/>
    <w:rsid w:val="284A4F24"/>
    <w:rsid w:val="29DD05A3"/>
    <w:rsid w:val="2A4E1B9A"/>
    <w:rsid w:val="2AF834BE"/>
    <w:rsid w:val="2B2B0FFF"/>
    <w:rsid w:val="2B783ADE"/>
    <w:rsid w:val="31D53DA1"/>
    <w:rsid w:val="32E36E9E"/>
    <w:rsid w:val="33197502"/>
    <w:rsid w:val="3390456D"/>
    <w:rsid w:val="35B15A62"/>
    <w:rsid w:val="35DD5E46"/>
    <w:rsid w:val="35DE74D1"/>
    <w:rsid w:val="380454DC"/>
    <w:rsid w:val="3A792FEF"/>
    <w:rsid w:val="3B037383"/>
    <w:rsid w:val="3EEB3A83"/>
    <w:rsid w:val="3EF32A40"/>
    <w:rsid w:val="4099795A"/>
    <w:rsid w:val="4156302F"/>
    <w:rsid w:val="42907ADB"/>
    <w:rsid w:val="438D0F5E"/>
    <w:rsid w:val="44DB619E"/>
    <w:rsid w:val="46ED53A7"/>
    <w:rsid w:val="47CD49CF"/>
    <w:rsid w:val="481C14B3"/>
    <w:rsid w:val="4A660845"/>
    <w:rsid w:val="4B3D55DD"/>
    <w:rsid w:val="4B7562A5"/>
    <w:rsid w:val="4CF45279"/>
    <w:rsid w:val="4F5217D1"/>
    <w:rsid w:val="506D63AB"/>
    <w:rsid w:val="50AE4767"/>
    <w:rsid w:val="50E64DD2"/>
    <w:rsid w:val="50EA7DF2"/>
    <w:rsid w:val="51777247"/>
    <w:rsid w:val="52BB48C4"/>
    <w:rsid w:val="571B64B6"/>
    <w:rsid w:val="572C29F0"/>
    <w:rsid w:val="585C3F13"/>
    <w:rsid w:val="592116E7"/>
    <w:rsid w:val="59455016"/>
    <w:rsid w:val="5A7F3AE7"/>
    <w:rsid w:val="5A881F02"/>
    <w:rsid w:val="5AEA7943"/>
    <w:rsid w:val="5B2420FB"/>
    <w:rsid w:val="5BD921D6"/>
    <w:rsid w:val="5D026336"/>
    <w:rsid w:val="5D064810"/>
    <w:rsid w:val="5D34621B"/>
    <w:rsid w:val="5D943C7B"/>
    <w:rsid w:val="5E734F66"/>
    <w:rsid w:val="5F3840A2"/>
    <w:rsid w:val="5F664B68"/>
    <w:rsid w:val="608800E8"/>
    <w:rsid w:val="62125B0A"/>
    <w:rsid w:val="62430476"/>
    <w:rsid w:val="627D2E22"/>
    <w:rsid w:val="64D55717"/>
    <w:rsid w:val="65F60D73"/>
    <w:rsid w:val="667D4655"/>
    <w:rsid w:val="66D13F16"/>
    <w:rsid w:val="67824E97"/>
    <w:rsid w:val="67CF68B8"/>
    <w:rsid w:val="67E872AD"/>
    <w:rsid w:val="692D2A56"/>
    <w:rsid w:val="6A8B3DF3"/>
    <w:rsid w:val="6C964F88"/>
    <w:rsid w:val="6D45249F"/>
    <w:rsid w:val="6F5B3618"/>
    <w:rsid w:val="703D2979"/>
    <w:rsid w:val="70BC35E5"/>
    <w:rsid w:val="70E6313E"/>
    <w:rsid w:val="738B5FC3"/>
    <w:rsid w:val="73F76DC2"/>
    <w:rsid w:val="74366CB4"/>
    <w:rsid w:val="7530557A"/>
    <w:rsid w:val="756F10BA"/>
    <w:rsid w:val="77605E8D"/>
    <w:rsid w:val="7788070F"/>
    <w:rsid w:val="79343A68"/>
    <w:rsid w:val="79D53706"/>
    <w:rsid w:val="7BC77E69"/>
    <w:rsid w:val="7D917E52"/>
    <w:rsid w:val="7DBF0201"/>
    <w:rsid w:val="7E797781"/>
    <w:rsid w:val="7FD823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pPr>
  </w:style>
  <w:style w:type="paragraph" w:styleId="3">
    <w:name w:val="Body Text Indent"/>
    <w:basedOn w:val="1"/>
    <w:next w:val="2"/>
    <w:qFormat/>
    <w:uiPriority w:val="0"/>
    <w:pPr>
      <w:spacing w:after="120"/>
      <w:ind w:left="4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character" w:styleId="9">
    <w:name w:val="Strong"/>
    <w:basedOn w:val="8"/>
    <w:uiPriority w:val="0"/>
    <w:rPr>
      <w:rFonts w:cs="Times New Roman"/>
      <w:b/>
      <w:bCs/>
    </w:rPr>
  </w:style>
  <w:style w:type="character" w:customStyle="1" w:styleId="10">
    <w:name w:val="apple-converted-space"/>
    <w:basedOn w:val="8"/>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4801</Words>
  <Characters>5108</Characters>
  <Lines>235</Lines>
  <Paragraphs>83</Paragraphs>
  <TotalTime>17</TotalTime>
  <ScaleCrop>false</ScaleCrop>
  <LinksUpToDate>false</LinksUpToDate>
  <CharactersWithSpaces>5188</CharactersWithSpaces>
  <Application>WPS Office_11.8.2.9015_F1E327BC-269C-435d-A152-05C5408002CA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lenve</cp:lastModifiedBy>
  <dcterms:modified xsi:type="dcterms:W3CDTF">2026-03-25T03:44:17Z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