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2CB5F">
      <w:pPr>
        <w:jc w:val="both"/>
        <w:rPr>
          <w:rFonts w:hint="eastAsia" w:ascii="方正黑体_GBK" w:hAnsi="方正黑体_GBK" w:eastAsia="方正黑体_GBK" w:cs="方正黑体_GBK"/>
          <w:sz w:val="32"/>
          <w:szCs w:val="32"/>
          <w:highlight w:val="none"/>
          <w:lang w:eastAsia="zh-Hans"/>
        </w:rPr>
      </w:pPr>
    </w:p>
    <w:p w14:paraId="2E9BE53E">
      <w:pPr>
        <w:jc w:val="both"/>
        <w:rPr>
          <w:rFonts w:ascii="方正小标宋简体" w:hAnsi="黑体" w:eastAsia="方正小标宋简体"/>
          <w:sz w:val="84"/>
          <w:szCs w:val="84"/>
          <w:highlight w:val="none"/>
        </w:rPr>
      </w:pPr>
    </w:p>
    <w:p w14:paraId="22A47D8E">
      <w:pPr>
        <w:jc w:val="both"/>
        <w:rPr>
          <w:rFonts w:ascii="方正小标宋简体" w:hAnsi="黑体" w:eastAsia="方正小标宋简体"/>
          <w:sz w:val="84"/>
          <w:szCs w:val="84"/>
          <w:highlight w:val="none"/>
        </w:rPr>
      </w:pPr>
    </w:p>
    <w:p w14:paraId="1AFD3A82">
      <w:pPr>
        <w:jc w:val="center"/>
        <w:rPr>
          <w:rFonts w:hint="eastAsia" w:ascii="方正小标宋简体" w:hAnsi="黑体" w:eastAsia="方正小标宋简体"/>
          <w:sz w:val="84"/>
          <w:szCs w:val="84"/>
          <w:highlight w:val="none"/>
          <w:lang w:val="en-US" w:eastAsia="zh-Hans"/>
        </w:rPr>
      </w:pPr>
      <w:bookmarkStart w:id="0" w:name="_GoBack"/>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eastAsia="zh-CN"/>
        </w:rPr>
        <w:t>融媒体中心</w:t>
      </w:r>
      <w:r>
        <w:rPr>
          <w:rFonts w:hint="eastAsia" w:ascii="方正小标宋简体" w:hAnsi="黑体" w:eastAsia="方正小标宋简体"/>
          <w:sz w:val="84"/>
          <w:szCs w:val="84"/>
          <w:highlight w:val="none"/>
          <w:lang w:val="en-US" w:eastAsia="zh-CN"/>
        </w:rPr>
        <w:t>2024</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p>
    <w:p w14:paraId="2395DF31">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预算</w:t>
      </w:r>
      <w:bookmarkEnd w:id="0"/>
    </w:p>
    <w:p w14:paraId="2CB295A0">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14:paraId="55214C55">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14:paraId="3F365008">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融媒体中心</w:t>
      </w:r>
      <w:r>
        <w:rPr>
          <w:rFonts w:hint="eastAsia" w:ascii="黑体" w:hAnsi="黑体" w:eastAsia="黑体"/>
          <w:sz w:val="32"/>
          <w:szCs w:val="32"/>
          <w:highlight w:val="none"/>
        </w:rPr>
        <w:t>概况</w:t>
      </w:r>
    </w:p>
    <w:p w14:paraId="54F8979B">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eastAsia="zh-CN"/>
        </w:rPr>
        <w:t>融媒体中心</w:t>
      </w:r>
      <w:r>
        <w:rPr>
          <w:rFonts w:hint="eastAsia" w:ascii="仿宋_GB2312" w:hAnsi="仿宋" w:eastAsia="仿宋_GB2312"/>
          <w:sz w:val="32"/>
          <w:szCs w:val="32"/>
          <w:highlight w:val="none"/>
        </w:rPr>
        <w:t>职能简介</w:t>
      </w:r>
    </w:p>
    <w:p w14:paraId="6FE9180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eastAsia="zh-CN"/>
        </w:rPr>
        <w:t>融媒体中心</w:t>
      </w: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rPr>
        <w:t>年重点工作</w:t>
      </w:r>
    </w:p>
    <w:p w14:paraId="0E62117A">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融媒体中心</w:t>
      </w:r>
      <w:r>
        <w:rPr>
          <w:rFonts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预算表</w:t>
      </w:r>
    </w:p>
    <w:p w14:paraId="19DE0FEB">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14:paraId="78B9811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收入总表</w:t>
      </w:r>
    </w:p>
    <w:p w14:paraId="615BB1A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14:paraId="223FE4D3">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14:paraId="6D62BA1C">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78CBAAA4">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14:paraId="2F0E2C54">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14:paraId="3C134B9A">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14:paraId="184FD5FC">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14:paraId="0046C82B">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14:paraId="645C4CBC">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14:paraId="03866C1E">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14:paraId="72A2608A">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预算项目绩效目标表</w:t>
      </w:r>
    </w:p>
    <w:p w14:paraId="0C142225">
      <w:pPr>
        <w:jc w:val="both"/>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eastAsia="zh-CN"/>
        </w:rPr>
        <w:t>四</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4</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lang w:eastAsia="zh-CN"/>
        </w:rPr>
        <w:t>整体支出</w:t>
      </w:r>
      <w:r>
        <w:rPr>
          <w:rFonts w:hint="eastAsia" w:ascii="仿宋_GB2312" w:hAnsi="仿宋" w:eastAsia="仿宋_GB2312"/>
          <w:sz w:val="32"/>
          <w:szCs w:val="32"/>
          <w:highlight w:val="none"/>
        </w:rPr>
        <w:t>绩效</w:t>
      </w:r>
      <w:r>
        <w:rPr>
          <w:rFonts w:hint="eastAsia" w:ascii="仿宋_GB2312" w:hAnsi="仿宋" w:eastAsia="仿宋_GB2312"/>
          <w:sz w:val="32"/>
          <w:szCs w:val="32"/>
          <w:highlight w:val="none"/>
          <w:lang w:eastAsia="zh-CN"/>
        </w:rPr>
        <w:t>申报</w:t>
      </w:r>
      <w:r>
        <w:rPr>
          <w:rFonts w:hint="eastAsia" w:ascii="仿宋_GB2312" w:hAnsi="仿宋" w:eastAsia="仿宋_GB2312"/>
          <w:sz w:val="32"/>
          <w:szCs w:val="32"/>
          <w:highlight w:val="none"/>
        </w:rPr>
        <w:t>表</w:t>
      </w:r>
    </w:p>
    <w:p w14:paraId="1BE70AB6">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融媒体中心</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预算情况说明</w:t>
      </w:r>
    </w:p>
    <w:p w14:paraId="47BC8C79">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14:paraId="544E4B93">
      <w:pPr>
        <w:rPr>
          <w:rFonts w:ascii="方正小标宋简体" w:hAnsi="黑体" w:eastAsia="方正小标宋简体"/>
          <w:sz w:val="44"/>
          <w:szCs w:val="44"/>
          <w:highlight w:val="none"/>
        </w:rPr>
      </w:pPr>
      <w:r>
        <w:rPr>
          <w:rFonts w:hint="eastAsia" w:ascii="黑体" w:hAnsi="黑体" w:eastAsia="黑体"/>
          <w:sz w:val="32"/>
          <w:szCs w:val="32"/>
          <w:highlight w:val="none"/>
        </w:rPr>
        <w:br w:type="page"/>
      </w:r>
    </w:p>
    <w:p w14:paraId="44541497">
      <w:pPr>
        <w:numPr>
          <w:ilvl w:val="0"/>
          <w:numId w:val="1"/>
        </w:num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 </w:t>
      </w:r>
      <w:r>
        <w:rPr>
          <w:rFonts w:hint="eastAsia" w:ascii="方正小标宋简体" w:hAnsi="黑体" w:eastAsia="方正小标宋简体"/>
          <w:sz w:val="44"/>
          <w:szCs w:val="44"/>
          <w:highlight w:val="none"/>
          <w:lang w:eastAsia="zh-CN"/>
        </w:rPr>
        <w:t>融媒体中心</w:t>
      </w:r>
      <w:r>
        <w:rPr>
          <w:rFonts w:hint="eastAsia" w:ascii="方正小标宋简体" w:hAnsi="黑体" w:eastAsia="方正小标宋简体"/>
          <w:sz w:val="44"/>
          <w:szCs w:val="44"/>
          <w:highlight w:val="none"/>
        </w:rPr>
        <w:t>概况</w:t>
      </w:r>
    </w:p>
    <w:p w14:paraId="435D3CC9">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w:t>
      </w:r>
      <w:r>
        <w:rPr>
          <w:rFonts w:hint="eastAsia" w:ascii="黑体" w:hAnsi="黑体" w:eastAsia="黑体"/>
          <w:sz w:val="32"/>
          <w:szCs w:val="32"/>
          <w:highlight w:val="none"/>
          <w:lang w:eastAsia="zh-CN"/>
        </w:rPr>
        <w:t>融媒体中心</w:t>
      </w:r>
      <w:r>
        <w:rPr>
          <w:rFonts w:hint="eastAsia" w:ascii="黑体" w:hAnsi="黑体" w:eastAsia="黑体"/>
          <w:sz w:val="32"/>
          <w:szCs w:val="32"/>
          <w:highlight w:val="none"/>
        </w:rPr>
        <w:t>职能</w:t>
      </w:r>
      <w:r>
        <w:rPr>
          <w:rFonts w:ascii="黑体" w:hAnsi="黑体" w:eastAsia="黑体"/>
          <w:sz w:val="32"/>
          <w:szCs w:val="32"/>
          <w:highlight w:val="none"/>
        </w:rPr>
        <w:t>简介</w:t>
      </w:r>
    </w:p>
    <w:p w14:paraId="76844E73">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ascii="仿宋_GB2312" w:hAnsi="仿宋" w:eastAsia="仿宋_GB2312"/>
          <w:sz w:val="32"/>
          <w:szCs w:val="32"/>
          <w:highlight w:val="none"/>
        </w:rPr>
      </w:pPr>
      <w:r>
        <w:rPr>
          <w:rFonts w:hint="eastAsia" w:ascii="仿宋_GB2312" w:eastAsia="仿宋_GB2312"/>
          <w:b w:val="0"/>
          <w:bCs w:val="0"/>
          <w:sz w:val="32"/>
          <w:szCs w:val="32"/>
        </w:rPr>
        <w:t>九寨沟县</w:t>
      </w:r>
      <w:r>
        <w:rPr>
          <w:rFonts w:hint="eastAsia" w:ascii="仿宋_GB2312" w:eastAsia="仿宋_GB2312"/>
          <w:b w:val="0"/>
          <w:bCs w:val="0"/>
          <w:sz w:val="32"/>
          <w:szCs w:val="32"/>
          <w:lang w:eastAsia="zh-CN"/>
        </w:rPr>
        <w:t>融媒体中心</w:t>
      </w:r>
      <w:r>
        <w:rPr>
          <w:rFonts w:hint="eastAsia" w:ascii="仿宋_GB2312" w:eastAsia="仿宋_GB2312"/>
          <w:sz w:val="32"/>
          <w:szCs w:val="32"/>
          <w:shd w:val="clear" w:color="auto" w:fill="FFFFFF"/>
          <w:lang w:eastAsia="zh-CN"/>
        </w:rPr>
        <w:t>于</w:t>
      </w:r>
      <w:r>
        <w:rPr>
          <w:rFonts w:hint="eastAsia" w:ascii="仿宋_GB2312" w:eastAsia="仿宋_GB2312"/>
          <w:sz w:val="32"/>
          <w:szCs w:val="32"/>
          <w:shd w:val="clear" w:color="auto" w:fill="FFFFFF"/>
          <w:lang w:val="en-US" w:eastAsia="zh-CN"/>
        </w:rPr>
        <w:t>2020年7月在</w:t>
      </w:r>
      <w:r>
        <w:rPr>
          <w:rFonts w:hint="default" w:ascii="Times New Roman" w:hAnsi="Times New Roman" w:eastAsia="仿宋_GB2312" w:cs="Times New Roman"/>
          <w:sz w:val="32"/>
          <w:szCs w:val="32"/>
          <w:lang w:eastAsia="zh-CN"/>
        </w:rPr>
        <w:t>以习近平总书记关于媒体融合发展重要论述精神为指导，</w:t>
      </w:r>
      <w:r>
        <w:rPr>
          <w:rFonts w:hint="default" w:ascii="Times New Roman" w:hAnsi="Times New Roman" w:eastAsia="仿宋_GB2312" w:cs="Times New Roman"/>
          <w:sz w:val="32"/>
          <w:szCs w:val="32"/>
        </w:rPr>
        <w:t>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互联网</w:t>
      </w:r>
      <w:r>
        <w:rPr>
          <w:rFonts w:hint="default" w:ascii="Times New Roman" w:hAnsi="Times New Roman" w:eastAsia="仿宋_GB2312" w:cs="Times New Roman"/>
          <w:sz w:val="32"/>
          <w:szCs w:val="32"/>
          <w:lang w:val="en-US" w:eastAsia="zh-CN"/>
        </w:rPr>
        <w:t>+宣传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思维为导向，先进技术为支撑，建立符合媒体融合趋势的体制机制为保障</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整合九寨沟县广播电视台、县委宣传部新闻中心、九寨沟官方网站、微信公众号、微博、APP等传统和新型媒体资源，打造九寨“一次采集、多次生产、多元发布、多级放大、多渠道融合、多平台互动”的新型主流媒体</w:t>
      </w:r>
      <w:r>
        <w:rPr>
          <w:rFonts w:hint="eastAsia" w:ascii="Times New Roman" w:hAnsi="Times New Roman" w:eastAsia="仿宋_GB2312" w:cs="Times New Roman"/>
          <w:sz w:val="32"/>
          <w:szCs w:val="32"/>
          <w:lang w:eastAsia="zh-CN"/>
        </w:rPr>
        <w:t>。</w:t>
      </w:r>
      <w:r>
        <w:rPr>
          <w:rFonts w:hint="eastAsia" w:ascii="仿宋_GB2312" w:eastAsia="仿宋_GB2312"/>
          <w:sz w:val="32"/>
          <w:szCs w:val="32"/>
          <w:shd w:val="clear" w:color="auto" w:fill="FFFFFF"/>
          <w:lang w:eastAsia="zh-CN"/>
        </w:rPr>
        <w:t>我单位</w:t>
      </w:r>
      <w:r>
        <w:rPr>
          <w:rFonts w:hint="eastAsia" w:ascii="仿宋_GB2312" w:eastAsia="仿宋_GB2312"/>
          <w:b w:val="0"/>
          <w:bCs w:val="0"/>
          <w:sz w:val="32"/>
          <w:szCs w:val="32"/>
        </w:rPr>
        <w:t>为县</w:t>
      </w:r>
      <w:r>
        <w:rPr>
          <w:rFonts w:hint="eastAsia" w:ascii="仿宋_GB2312" w:eastAsia="仿宋_GB2312"/>
          <w:b w:val="0"/>
          <w:bCs w:val="0"/>
          <w:sz w:val="32"/>
          <w:szCs w:val="32"/>
          <w:lang w:eastAsia="zh-CN"/>
        </w:rPr>
        <w:t>委直属全额</w:t>
      </w:r>
      <w:r>
        <w:rPr>
          <w:rFonts w:hint="eastAsia" w:ascii="仿宋_GB2312" w:eastAsia="仿宋_GB2312"/>
          <w:b w:val="0"/>
          <w:bCs w:val="0"/>
          <w:sz w:val="32"/>
          <w:szCs w:val="32"/>
        </w:rPr>
        <w:t>拨款</w:t>
      </w:r>
      <w:r>
        <w:rPr>
          <w:rFonts w:hint="eastAsia" w:ascii="仿宋_GB2312" w:eastAsia="仿宋_GB2312"/>
          <w:b w:val="0"/>
          <w:bCs w:val="0"/>
          <w:sz w:val="32"/>
          <w:szCs w:val="32"/>
          <w:lang w:eastAsia="zh-CN"/>
        </w:rPr>
        <w:t>公益一类正科级</w:t>
      </w:r>
      <w:r>
        <w:rPr>
          <w:rFonts w:hint="eastAsia" w:ascii="仿宋_GB2312" w:eastAsia="仿宋_GB2312"/>
          <w:b w:val="0"/>
          <w:bCs w:val="0"/>
          <w:sz w:val="32"/>
          <w:szCs w:val="32"/>
        </w:rPr>
        <w:t>事业单位</w:t>
      </w:r>
      <w:r>
        <w:rPr>
          <w:rFonts w:hint="eastAsia" w:ascii="仿宋_GB2312" w:eastAsia="仿宋_GB2312"/>
          <w:b w:val="0"/>
          <w:bCs w:val="0"/>
          <w:sz w:val="32"/>
          <w:szCs w:val="32"/>
          <w:lang w:eastAsia="zh-CN"/>
        </w:rPr>
        <w:t>，</w:t>
      </w:r>
      <w:r>
        <w:rPr>
          <w:rFonts w:hint="default" w:ascii="Times New Roman" w:hAnsi="Times New Roman" w:eastAsia="仿宋_GB2312" w:cs="Times New Roman"/>
          <w:sz w:val="32"/>
          <w:szCs w:val="32"/>
        </w:rPr>
        <w:t>由县委宣传部领导、管理</w:t>
      </w:r>
      <w:r>
        <w:rPr>
          <w:rFonts w:hint="eastAsia" w:ascii="Times New Roman" w:hAnsi="Times New Roman" w:eastAsia="仿宋_GB2312" w:cs="Times New Roman"/>
          <w:sz w:val="32"/>
          <w:szCs w:val="32"/>
          <w:lang w:eastAsia="zh-CN"/>
        </w:rPr>
        <w:t>。主要工作为</w:t>
      </w:r>
      <w:r>
        <w:rPr>
          <w:rFonts w:hint="default" w:ascii="Times New Roman" w:hAnsi="Times New Roman" w:eastAsia="仿宋_GB2312" w:cs="Times New Roman"/>
          <w:color w:val="000000"/>
          <w:kern w:val="0"/>
          <w:sz w:val="32"/>
          <w:szCs w:val="32"/>
        </w:rPr>
        <w:t>强化宣传阵地，增强引导能力，壮大主流舆论，维护文</w:t>
      </w:r>
      <w:r>
        <w:rPr>
          <w:rFonts w:hint="default" w:ascii="Times New Roman" w:hAnsi="Times New Roman" w:eastAsia="仿宋_GB2312" w:cs="Times New Roman"/>
          <w:color w:val="000000"/>
          <w:sz w:val="32"/>
          <w:szCs w:val="32"/>
        </w:rPr>
        <w:t>化安全和意识形态安全</w:t>
      </w:r>
      <w:r>
        <w:rPr>
          <w:rFonts w:hint="default" w:ascii="Times New Roman" w:hAnsi="Times New Roman" w:eastAsia="仿宋_GB2312" w:cs="Times New Roman"/>
          <w:color w:val="000000"/>
          <w:sz w:val="32"/>
          <w:szCs w:val="32"/>
          <w:lang w:eastAsia="zh-CN"/>
        </w:rPr>
        <w:t>，提升宣传水平，扩大</w:t>
      </w:r>
      <w:r>
        <w:rPr>
          <w:rFonts w:hint="eastAsia" w:ascii="Times New Roman" w:hAnsi="Times New Roman" w:eastAsia="仿宋_GB2312" w:cs="Times New Roman"/>
          <w:color w:val="000000"/>
          <w:sz w:val="32"/>
          <w:szCs w:val="32"/>
          <w:lang w:eastAsia="zh-CN"/>
        </w:rPr>
        <w:t>本县</w:t>
      </w:r>
      <w:r>
        <w:rPr>
          <w:rFonts w:hint="default" w:ascii="Times New Roman" w:hAnsi="Times New Roman" w:eastAsia="仿宋_GB2312" w:cs="Times New Roman"/>
          <w:color w:val="000000"/>
          <w:sz w:val="32"/>
          <w:szCs w:val="32"/>
          <w:lang w:eastAsia="zh-CN"/>
        </w:rPr>
        <w:t>对外的知晓度、美誉度。</w:t>
      </w:r>
    </w:p>
    <w:p w14:paraId="61315861">
      <w:pPr>
        <w:numPr>
          <w:ilvl w:val="0"/>
          <w:numId w:val="2"/>
        </w:numPr>
        <w:ind w:left="-430" w:leftChars="0" w:firstLine="640" w:firstLineChars="0"/>
        <w:jc w:val="both"/>
        <w:rPr>
          <w:rFonts w:hint="eastAsia" w:ascii="黑体" w:hAnsi="黑体" w:eastAsia="黑体"/>
          <w:sz w:val="32"/>
          <w:szCs w:val="32"/>
          <w:highlight w:val="none"/>
        </w:rPr>
      </w:pPr>
      <w:r>
        <w:rPr>
          <w:rFonts w:hint="eastAsia" w:ascii="黑体" w:hAnsi="黑体" w:eastAsia="黑体"/>
          <w:sz w:val="32"/>
          <w:szCs w:val="32"/>
          <w:highlight w:val="none"/>
          <w:lang w:eastAsia="zh-CN"/>
        </w:rPr>
        <w:t>融媒体中心</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年重点工作</w:t>
      </w:r>
    </w:p>
    <w:p w14:paraId="4F7304A5">
      <w:pPr>
        <w:pStyle w:val="3"/>
        <w:spacing w:after="0" w:line="560" w:lineRule="exact"/>
        <w:ind w:left="0" w:leftChars="0" w:firstLine="315" w:firstLineChars="150"/>
        <w:rPr>
          <w:rFonts w:ascii="仿宋" w:eastAsia="仿宋" w:cs="仿宋_GB2312"/>
          <w:bCs/>
          <w:kern w:val="0"/>
          <w:sz w:val="32"/>
          <w:szCs w:val="32"/>
        </w:rPr>
      </w:pPr>
      <w:r>
        <w:rPr>
          <w:rFonts w:hint="eastAsia"/>
          <w:lang w:val="en-US" w:eastAsia="zh-CN"/>
        </w:rPr>
        <w:t xml:space="preserve"> </w:t>
      </w:r>
      <w:r>
        <w:rPr>
          <w:rFonts w:hint="eastAsia" w:ascii="仿宋" w:eastAsia="仿宋" w:cs="仿宋_GB2312"/>
          <w:bCs/>
          <w:kern w:val="0"/>
          <w:sz w:val="32"/>
          <w:szCs w:val="32"/>
        </w:rPr>
        <w:t>（一）牢牢把握正确舆论导向，加强宣传工作。</w:t>
      </w:r>
    </w:p>
    <w:p w14:paraId="1FE07E65">
      <w:pPr>
        <w:pStyle w:val="3"/>
        <w:spacing w:after="0" w:line="560" w:lineRule="exact"/>
        <w:ind w:left="0" w:leftChars="0" w:firstLine="640" w:firstLineChars="200"/>
        <w:rPr>
          <w:rFonts w:ascii="仿宋" w:eastAsia="仿宋" w:cs="仿宋_GB2312"/>
          <w:bCs/>
          <w:sz w:val="32"/>
          <w:szCs w:val="32"/>
        </w:rPr>
      </w:pPr>
      <w:r>
        <w:rPr>
          <w:rFonts w:hint="eastAsia" w:ascii="仿宋" w:eastAsia="仿宋" w:cs="仿宋_GB2312"/>
          <w:bCs/>
          <w:sz w:val="32"/>
          <w:szCs w:val="32"/>
        </w:rPr>
        <w:t>加强政治素养，提升专业能力，积极学习领会各级会议精神，学深悟透相关精神要求。中心将继续按照中央、省、州、县宣传工作要求，把宣传贯彻落实党的二十大精神作为当前及今后一段时间的</w:t>
      </w:r>
      <w:r>
        <w:rPr>
          <w:rFonts w:ascii="仿宋" w:eastAsia="仿宋" w:cs="仿宋_GB2312"/>
          <w:bCs/>
          <w:sz w:val="32"/>
          <w:szCs w:val="32"/>
        </w:rPr>
        <w:t>工作</w:t>
      </w:r>
      <w:r>
        <w:rPr>
          <w:rFonts w:hint="eastAsia" w:ascii="仿宋" w:eastAsia="仿宋" w:cs="仿宋_GB2312"/>
          <w:bCs/>
          <w:sz w:val="32"/>
          <w:szCs w:val="32"/>
        </w:rPr>
        <w:t>重点，深入挖掘报道全县重点工作典型做法和工作成效，持续营造我县各项重点工作的良好舆论氛围；加大外宣策划对接，加强与上级媒体沟通，加强与四川观察，学习强国等平台的联系，加大外宣稿件上送力度；在保证时政新闻的同时，对关系提升百姓健康幸福的民生类新闻进行深度挖掘报道，做出好新闻好专题；发挥融媒体优势，打造集聚九寨特色、九寨速度、九寨质量和九寨内容的移动宣传平台；继续做好党的二十大精神宣传、经济、民生实事类宣传工作，提升市民关注度，同时把新闻、专题、广播、新媒体等各类节目做优做精，争取在省州节目评选中创优，取得好成绩；改进重大突发事件宣传报道，加大舆论监督力度，切实提高舆论引导水平。</w:t>
      </w:r>
    </w:p>
    <w:p w14:paraId="3D6B40A0">
      <w:pPr>
        <w:pStyle w:val="3"/>
        <w:spacing w:after="0" w:line="560" w:lineRule="exact"/>
        <w:ind w:left="0" w:leftChars="0" w:firstLine="480" w:firstLineChars="150"/>
        <w:rPr>
          <w:rFonts w:ascii="仿宋" w:eastAsia="仿宋" w:cs="仿宋_GB2312"/>
          <w:bCs/>
          <w:kern w:val="0"/>
          <w:sz w:val="32"/>
          <w:szCs w:val="32"/>
        </w:rPr>
      </w:pPr>
      <w:r>
        <w:rPr>
          <w:rFonts w:hint="eastAsia" w:ascii="仿宋" w:eastAsia="仿宋" w:cs="仿宋_GB2312"/>
          <w:bCs/>
          <w:kern w:val="0"/>
          <w:sz w:val="32"/>
          <w:szCs w:val="32"/>
        </w:rPr>
        <w:t>（二）加强业务培训，提升总体宣传队伍素养。采取“以老带新”传帮带的方式，加强对新招考人员岗位业务技能培训，使其尽快适应工作环境，充实宣传人才队伍。</w:t>
      </w:r>
    </w:p>
    <w:p w14:paraId="6DC4CAEB">
      <w:pPr>
        <w:pStyle w:val="3"/>
        <w:spacing w:after="0" w:line="560" w:lineRule="exact"/>
        <w:ind w:left="0" w:leftChars="0" w:firstLine="480" w:firstLineChars="150"/>
        <w:rPr>
          <w:rFonts w:ascii="仿宋" w:eastAsia="仿宋" w:cs="仿宋_GB2312"/>
          <w:bCs/>
          <w:kern w:val="0"/>
          <w:sz w:val="32"/>
          <w:szCs w:val="32"/>
        </w:rPr>
      </w:pPr>
      <w:r>
        <w:rPr>
          <w:rFonts w:hint="eastAsia" w:ascii="仿宋" w:eastAsia="仿宋" w:cs="仿宋_GB2312"/>
          <w:bCs/>
          <w:kern w:val="0"/>
          <w:sz w:val="32"/>
          <w:szCs w:val="32"/>
        </w:rPr>
        <w:t>（三）加大与上级和兄弟县媒体的交流合作，扩大对外宣传力度。</w:t>
      </w:r>
    </w:p>
    <w:p w14:paraId="7DFB22E1">
      <w:pPr>
        <w:pStyle w:val="3"/>
        <w:spacing w:after="0" w:line="560" w:lineRule="exact"/>
        <w:ind w:left="0" w:leftChars="0" w:firstLine="480" w:firstLineChars="150"/>
        <w:rPr>
          <w:rFonts w:ascii="仿宋" w:eastAsia="仿宋" w:cs="仿宋_GB2312"/>
          <w:bCs/>
          <w:kern w:val="0"/>
          <w:sz w:val="32"/>
          <w:szCs w:val="32"/>
        </w:rPr>
      </w:pPr>
      <w:r>
        <w:rPr>
          <w:rFonts w:hint="eastAsia" w:ascii="仿宋" w:eastAsia="仿宋" w:cs="仿宋_GB2312"/>
          <w:bCs/>
          <w:kern w:val="0"/>
          <w:sz w:val="32"/>
          <w:szCs w:val="32"/>
        </w:rPr>
        <w:t>（四）做大做强“世界九寨APP”，加大影院促销力度，搞好有线电视服务，增加融媒体中心的造血功能。</w:t>
      </w:r>
    </w:p>
    <w:p w14:paraId="7193843B">
      <w:pPr>
        <w:pStyle w:val="3"/>
        <w:spacing w:after="0" w:line="560" w:lineRule="exact"/>
        <w:ind w:left="0" w:leftChars="0" w:firstLine="480" w:firstLineChars="150"/>
        <w:rPr>
          <w:rFonts w:ascii="仿宋" w:eastAsia="仿宋" w:cs="仿宋_GB2312"/>
          <w:bCs/>
          <w:sz w:val="32"/>
          <w:szCs w:val="32"/>
        </w:rPr>
      </w:pPr>
      <w:r>
        <w:rPr>
          <w:rFonts w:hint="eastAsia" w:ascii="仿宋" w:eastAsia="仿宋" w:cs="仿宋_GB2312"/>
          <w:bCs/>
          <w:kern w:val="0"/>
          <w:sz w:val="32"/>
          <w:szCs w:val="32"/>
        </w:rPr>
        <w:t>（五）加强帮扶工作。</w:t>
      </w:r>
      <w:r>
        <w:rPr>
          <w:rFonts w:hint="eastAsia" w:ascii="仿宋" w:eastAsia="仿宋" w:cs="仿宋_GB2312"/>
          <w:bCs/>
          <w:sz w:val="32"/>
          <w:szCs w:val="32"/>
        </w:rPr>
        <w:t>运用媒体优势，对帮扶村水沟村村民进行种养殖业、手工纺织业等培训，定期入户开展帮扶，巩固脱贫成效，防止返贫。</w:t>
      </w:r>
    </w:p>
    <w:p w14:paraId="1D869D00">
      <w:pPr>
        <w:spacing w:line="560" w:lineRule="exact"/>
        <w:ind w:firstLine="480" w:firstLineChars="150"/>
        <w:jc w:val="left"/>
        <w:rPr>
          <w:rFonts w:ascii="仿宋" w:eastAsia="仿宋" w:cs="仿宋_GB2312"/>
          <w:bCs/>
          <w:sz w:val="32"/>
          <w:szCs w:val="32"/>
        </w:rPr>
      </w:pPr>
      <w:r>
        <w:rPr>
          <w:rFonts w:hint="eastAsia" w:ascii="仿宋" w:eastAsia="仿宋" w:cs="仿宋_GB2312"/>
          <w:bCs/>
          <w:kern w:val="0"/>
          <w:sz w:val="32"/>
          <w:szCs w:val="32"/>
        </w:rPr>
        <w:t>（六）增添措施、优化服务、拓展有线电视用户，强化广播电视安全播出、强化线路维修维护。</w:t>
      </w:r>
      <w:r>
        <w:rPr>
          <w:rFonts w:hint="eastAsia" w:ascii="仿宋" w:eastAsia="仿宋" w:cs="仿宋_GB2312"/>
          <w:bCs/>
          <w:sz w:val="32"/>
          <w:szCs w:val="32"/>
        </w:rPr>
        <w:t>修订完善广播电视安全播出规章制度，完善安全播出监测体系，使广播电视安全播出工作更加规范，服务更加优质高效。</w:t>
      </w:r>
    </w:p>
    <w:p w14:paraId="76DE2DCC">
      <w:pPr>
        <w:spacing w:line="560" w:lineRule="exact"/>
        <w:ind w:firstLine="480" w:firstLineChars="150"/>
        <w:jc w:val="left"/>
        <w:rPr>
          <w:rFonts w:hint="eastAsia" w:ascii="仿宋" w:eastAsia="仿宋" w:cs="仿宋_GB2312"/>
          <w:bCs/>
          <w:sz w:val="32"/>
          <w:szCs w:val="32"/>
        </w:rPr>
      </w:pPr>
      <w:r>
        <w:rPr>
          <w:rFonts w:hint="eastAsia" w:ascii="仿宋" w:eastAsia="仿宋" w:cs="仿宋_GB2312"/>
          <w:bCs/>
          <w:kern w:val="0"/>
          <w:sz w:val="32"/>
          <w:szCs w:val="32"/>
        </w:rPr>
        <w:t>（七）积极向上争取，多渠道解决资金缺乏问题，提升融媒体“采、编、播、发”功能</w:t>
      </w:r>
      <w:r>
        <w:rPr>
          <w:rFonts w:ascii="仿宋" w:eastAsia="仿宋" w:cs="仿宋_GB2312"/>
          <w:bCs/>
          <w:kern w:val="0"/>
          <w:sz w:val="32"/>
          <w:szCs w:val="32"/>
        </w:rPr>
        <w:t>。</w:t>
      </w:r>
      <w:r>
        <w:rPr>
          <w:rFonts w:hint="eastAsia" w:ascii="仿宋" w:eastAsia="仿宋" w:cs="仿宋_GB2312"/>
          <w:bCs/>
          <w:sz w:val="32"/>
          <w:szCs w:val="32"/>
        </w:rPr>
        <w:t>积极参加县级融媒体中心从业人员专业能力培训班，对中心职工开展培训，提升专业技术能力，更好完成上级安排的工作任务。</w:t>
      </w:r>
    </w:p>
    <w:p w14:paraId="2DA21F93">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第二部分  </w:t>
      </w:r>
      <w:r>
        <w:rPr>
          <w:rFonts w:hint="eastAsia" w:ascii="方正小标宋简体" w:hAnsi="黑体" w:eastAsia="方正小标宋简体"/>
          <w:sz w:val="44"/>
          <w:szCs w:val="44"/>
          <w:highlight w:val="none"/>
          <w:lang w:eastAsia="zh-CN"/>
        </w:rPr>
        <w:t>融媒体中心</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预算表</w:t>
      </w:r>
    </w:p>
    <w:p w14:paraId="2536D77B">
      <w:pPr>
        <w:jc w:val="both"/>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14:paraId="676C9259">
      <w:pPr>
        <w:pStyle w:val="2"/>
        <w:ind w:left="420" w:leftChars="200" w:firstLine="0" w:firstLineChars="0"/>
        <w:rPr>
          <w:rFonts w:ascii="方正小标宋简体" w:hAnsi="黑体" w:eastAsia="方正小标宋简体"/>
          <w:sz w:val="44"/>
          <w:szCs w:val="44"/>
          <w:highlight w:val="none"/>
        </w:rPr>
      </w:pPr>
      <w:r>
        <w:rPr>
          <w:rFonts w:ascii="方正小标宋简体" w:hAnsi="黑体" w:eastAsia="方正小标宋简体"/>
          <w:sz w:val="44"/>
          <w:szCs w:val="44"/>
          <w:highlight w:val="none"/>
        </w:rPr>
        <w:object>
          <v:shape id="_x0000_i1025" o:spt="75" type="#_x0000_t75" style="height:465.15pt;width:414.7pt;" o:ole="t" filled="f" o:preferrelative="t" stroked="f" coordsize="21600,21600">
            <v:path/>
            <v:fill on="f" focussize="0,0"/>
            <v:stroke on="f"/>
            <v:imagedata r:id="rId6" o:title=""/>
            <o:lock v:ext="edit" aspectratio="f"/>
            <w10:wrap type="none"/>
            <w10:anchorlock/>
          </v:shape>
          <o:OLEObject Type="Embed" ProgID="Excel.Sheet.12" ShapeID="_x0000_i1025" DrawAspect="Content" ObjectID="_1468075725" r:id="rId5">
            <o:LockedField>false</o:LockedField>
          </o:OLEObject>
        </w:object>
      </w:r>
    </w:p>
    <w:tbl>
      <w:tblPr>
        <w:tblStyle w:val="7"/>
        <w:tblW w:w="258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0"/>
        <w:gridCol w:w="2001"/>
        <w:gridCol w:w="1947"/>
        <w:gridCol w:w="1966"/>
        <w:gridCol w:w="1964"/>
        <w:gridCol w:w="1966"/>
        <w:gridCol w:w="1964"/>
        <w:gridCol w:w="1964"/>
        <w:gridCol w:w="1964"/>
        <w:gridCol w:w="1964"/>
        <w:gridCol w:w="1964"/>
        <w:gridCol w:w="1964"/>
        <w:gridCol w:w="1964"/>
        <w:gridCol w:w="1969"/>
      </w:tblGrid>
      <w:tr w14:paraId="02A5F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6C3E8E">
            <w:pPr>
              <w:rPr>
                <w:rFonts w:hint="eastAsia" w:ascii="宋体" w:hAnsi="宋体" w:eastAsia="宋体" w:cs="宋体"/>
                <w:i w:val="0"/>
                <w:iCs w:val="0"/>
                <w:color w:val="000000"/>
                <w:sz w:val="18"/>
                <w:szCs w:val="18"/>
                <w:u w:val="none"/>
              </w:rPr>
            </w:pPr>
          </w:p>
        </w:tc>
        <w:tc>
          <w:tcPr>
            <w:tcW w:w="200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79D9CB">
            <w:pPr>
              <w:rPr>
                <w:rFonts w:hint="eastAsia" w:ascii="宋体" w:hAnsi="宋体" w:eastAsia="宋体" w:cs="宋体"/>
                <w:i w:val="0"/>
                <w:iCs w:val="0"/>
                <w:color w:val="000000"/>
                <w:sz w:val="22"/>
                <w:szCs w:val="22"/>
                <w:u w:val="none"/>
              </w:rPr>
            </w:pPr>
          </w:p>
        </w:tc>
        <w:tc>
          <w:tcPr>
            <w:tcW w:w="194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8038009">
            <w:pPr>
              <w:rPr>
                <w:rFonts w:hint="eastAsia" w:ascii="宋体" w:hAnsi="宋体" w:eastAsia="宋体" w:cs="宋体"/>
                <w:i w:val="0"/>
                <w:iCs w:val="0"/>
                <w:color w:val="000000"/>
                <w:sz w:val="18"/>
                <w:szCs w:val="18"/>
                <w:u w:val="none"/>
              </w:rPr>
            </w:pPr>
          </w:p>
        </w:tc>
        <w:tc>
          <w:tcPr>
            <w:tcW w:w="196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09940B5">
            <w:pPr>
              <w:rPr>
                <w:rFonts w:hint="eastAsia" w:ascii="宋体" w:hAnsi="宋体" w:eastAsia="宋体" w:cs="宋体"/>
                <w:i w:val="0"/>
                <w:iCs w:val="0"/>
                <w:color w:val="000000"/>
                <w:sz w:val="18"/>
                <w:szCs w:val="18"/>
                <w:u w:val="none"/>
              </w:rPr>
            </w:pPr>
          </w:p>
        </w:tc>
        <w:tc>
          <w:tcPr>
            <w:tcW w:w="19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442A043">
            <w:pPr>
              <w:rPr>
                <w:rFonts w:hint="eastAsia" w:ascii="宋体" w:hAnsi="宋体" w:eastAsia="宋体" w:cs="宋体"/>
                <w:i w:val="0"/>
                <w:iCs w:val="0"/>
                <w:color w:val="000000"/>
                <w:sz w:val="18"/>
                <w:szCs w:val="18"/>
                <w:u w:val="none"/>
              </w:rPr>
            </w:pPr>
          </w:p>
        </w:tc>
        <w:tc>
          <w:tcPr>
            <w:tcW w:w="196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E5B45BC">
            <w:pPr>
              <w:rPr>
                <w:rFonts w:hint="eastAsia" w:ascii="宋体" w:hAnsi="宋体" w:eastAsia="宋体" w:cs="宋体"/>
                <w:i w:val="0"/>
                <w:iCs w:val="0"/>
                <w:color w:val="000000"/>
                <w:sz w:val="18"/>
                <w:szCs w:val="18"/>
                <w:u w:val="none"/>
              </w:rPr>
            </w:pPr>
          </w:p>
        </w:tc>
        <w:tc>
          <w:tcPr>
            <w:tcW w:w="19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B0555F1">
            <w:pPr>
              <w:rPr>
                <w:rFonts w:hint="eastAsia" w:ascii="宋体" w:hAnsi="宋体" w:eastAsia="宋体" w:cs="宋体"/>
                <w:i w:val="0"/>
                <w:iCs w:val="0"/>
                <w:color w:val="000000"/>
                <w:sz w:val="18"/>
                <w:szCs w:val="18"/>
                <w:u w:val="none"/>
              </w:rPr>
            </w:pPr>
          </w:p>
        </w:tc>
        <w:tc>
          <w:tcPr>
            <w:tcW w:w="19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08E8715">
            <w:pPr>
              <w:rPr>
                <w:rFonts w:hint="eastAsia" w:ascii="宋体" w:hAnsi="宋体" w:eastAsia="宋体" w:cs="宋体"/>
                <w:i w:val="0"/>
                <w:iCs w:val="0"/>
                <w:color w:val="000000"/>
                <w:sz w:val="18"/>
                <w:szCs w:val="18"/>
                <w:u w:val="none"/>
              </w:rPr>
            </w:pPr>
          </w:p>
        </w:tc>
        <w:tc>
          <w:tcPr>
            <w:tcW w:w="19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9F33ED2">
            <w:pPr>
              <w:rPr>
                <w:rFonts w:hint="eastAsia" w:ascii="宋体" w:hAnsi="宋体" w:eastAsia="宋体" w:cs="宋体"/>
                <w:i w:val="0"/>
                <w:iCs w:val="0"/>
                <w:color w:val="000000"/>
                <w:sz w:val="18"/>
                <w:szCs w:val="18"/>
                <w:u w:val="none"/>
              </w:rPr>
            </w:pPr>
          </w:p>
        </w:tc>
        <w:tc>
          <w:tcPr>
            <w:tcW w:w="19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CC499B7">
            <w:pPr>
              <w:rPr>
                <w:rFonts w:hint="eastAsia" w:ascii="宋体" w:hAnsi="宋体" w:eastAsia="宋体" w:cs="宋体"/>
                <w:i w:val="0"/>
                <w:iCs w:val="0"/>
                <w:color w:val="000000"/>
                <w:sz w:val="18"/>
                <w:szCs w:val="18"/>
                <w:u w:val="none"/>
              </w:rPr>
            </w:pPr>
          </w:p>
        </w:tc>
        <w:tc>
          <w:tcPr>
            <w:tcW w:w="19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ED21EA3">
            <w:pPr>
              <w:rPr>
                <w:rFonts w:hint="eastAsia" w:ascii="宋体" w:hAnsi="宋体" w:eastAsia="宋体" w:cs="宋体"/>
                <w:i w:val="0"/>
                <w:iCs w:val="0"/>
                <w:color w:val="000000"/>
                <w:sz w:val="18"/>
                <w:szCs w:val="18"/>
                <w:u w:val="none"/>
              </w:rPr>
            </w:pPr>
          </w:p>
        </w:tc>
        <w:tc>
          <w:tcPr>
            <w:tcW w:w="19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E257407">
            <w:pPr>
              <w:rPr>
                <w:rFonts w:hint="eastAsia" w:ascii="宋体" w:hAnsi="宋体" w:eastAsia="宋体" w:cs="宋体"/>
                <w:i w:val="0"/>
                <w:iCs w:val="0"/>
                <w:color w:val="000000"/>
                <w:sz w:val="18"/>
                <w:szCs w:val="18"/>
                <w:u w:val="none"/>
              </w:rPr>
            </w:pPr>
          </w:p>
        </w:tc>
        <w:tc>
          <w:tcPr>
            <w:tcW w:w="19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7510DF0">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586C8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3C56D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C4B804E">
            <w:pPr>
              <w:rPr>
                <w:rFonts w:hint="eastAsia" w:ascii="宋体" w:hAnsi="宋体" w:eastAsia="宋体" w:cs="宋体"/>
                <w:i w:val="0"/>
                <w:iCs w:val="0"/>
                <w:color w:val="000000"/>
                <w:sz w:val="18"/>
                <w:szCs w:val="18"/>
                <w:u w:val="none"/>
              </w:rPr>
            </w:pPr>
          </w:p>
        </w:tc>
        <w:tc>
          <w:tcPr>
            <w:tcW w:w="25561" w:type="dxa"/>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EFDE6A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r>
    </w:tbl>
    <w:p w14:paraId="14E534E0"/>
    <w:p w14:paraId="2B846729">
      <w:pPr>
        <w:rPr>
          <w:rFonts w:hint="default" w:ascii="仿宋_GB2312" w:hAnsi="黑体" w:eastAsia="仿宋_GB2312"/>
          <w:sz w:val="32"/>
          <w:szCs w:val="32"/>
          <w:highlight w:val="none"/>
          <w:lang w:eastAsia="zh-Hans"/>
        </w:rPr>
        <w:sectPr>
          <w:footerReference r:id="rId3" w:type="default"/>
          <w:pgSz w:w="11906" w:h="16838"/>
          <w:pgMar w:top="1440" w:right="1800" w:bottom="1440" w:left="1800" w:header="851" w:footer="992" w:gutter="0"/>
          <w:cols w:space="425" w:num="1"/>
          <w:docGrid w:type="lines" w:linePitch="312" w:charSpace="0"/>
        </w:sectPr>
      </w:pPr>
    </w:p>
    <w:p w14:paraId="14A42E97">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收入总表</w:t>
      </w:r>
    </w:p>
    <w:p w14:paraId="2A2FF669">
      <w:pPr>
        <w:pStyle w:val="2"/>
        <w:rPr>
          <w:rFonts w:hint="default"/>
          <w:lang w:eastAsia="zh-Hans"/>
        </w:rPr>
      </w:pPr>
      <w:r>
        <w:rPr>
          <w:rFonts w:ascii="方正小标宋简体" w:hAnsi="黑体" w:eastAsia="方正小标宋简体"/>
          <w:sz w:val="44"/>
          <w:szCs w:val="44"/>
          <w:highlight w:val="none"/>
        </w:rPr>
        <w:object>
          <v:shape id="_x0000_i1026" o:spt="75" type="#_x0000_t75" style="height:121.45pt;width:414.8pt;" o:ole="t" filled="f" o:preferrelative="t" stroked="f" coordsize="21600,21600">
            <v:path/>
            <v:fill on="f" focussize="0,0"/>
            <v:stroke on="f"/>
            <v:imagedata r:id="rId8" o:title=""/>
            <o:lock v:ext="edit" aspectratio="f"/>
            <w10:wrap type="none"/>
            <w10:anchorlock/>
          </v:shape>
          <o:OLEObject Type="Embed" ProgID="Excel.Sheet.12" ShapeID="_x0000_i1026" DrawAspect="Content" ObjectID="_1468075726" r:id="rId7">
            <o:LockedField>false</o:LockedField>
          </o:OLEObject>
        </w:object>
      </w:r>
    </w:p>
    <w:p w14:paraId="2CE8F971">
      <w:pPr>
        <w:rPr>
          <w:rFonts w:hint="default" w:ascii="仿宋_GB2312" w:hAnsi="黑体" w:eastAsia="仿宋_GB2312"/>
          <w:sz w:val="32"/>
          <w:szCs w:val="32"/>
          <w:highlight w:val="none"/>
          <w:lang w:eastAsia="zh-Hans"/>
        </w:rPr>
      </w:pPr>
    </w:p>
    <w:p w14:paraId="73990930">
      <w:pPr>
        <w:numPr>
          <w:ilvl w:val="0"/>
          <w:numId w:val="2"/>
        </w:numPr>
        <w:ind w:left="-430" w:leftChars="0" w:firstLine="640" w:firstLineChars="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14:paraId="348B1DBB">
      <w:pPr>
        <w:pStyle w:val="2"/>
        <w:numPr>
          <w:ilvl w:val="0"/>
          <w:numId w:val="0"/>
        </w:numPr>
        <w:ind w:leftChars="200"/>
        <w:rPr>
          <w:rFonts w:hint="default" w:ascii="仿宋_GB2312" w:hAnsi="黑体" w:eastAsia="仿宋_GB2312"/>
          <w:sz w:val="32"/>
          <w:szCs w:val="32"/>
          <w:highlight w:val="none"/>
          <w:lang w:eastAsia="zh-Hans"/>
        </w:rPr>
      </w:pPr>
      <w:r>
        <w:rPr>
          <w:rFonts w:ascii="方正小标宋简体" w:hAnsi="黑体" w:eastAsia="方正小标宋简体"/>
          <w:sz w:val="44"/>
          <w:szCs w:val="44"/>
          <w:highlight w:val="none"/>
        </w:rPr>
        <w:object>
          <v:shape id="_x0000_i1027" o:spt="75" type="#_x0000_t75" style="height:179.2pt;width:415.05pt;" o:ole="t" filled="f" o:preferrelative="t" stroked="f" coordsize="21600,21600">
            <v:path/>
            <v:fill on="f" focussize="0,0"/>
            <v:stroke on="f"/>
            <v:imagedata r:id="rId10" o:title=""/>
            <o:lock v:ext="edit" aspectratio="f"/>
            <w10:wrap type="none"/>
            <w10:anchorlock/>
          </v:shape>
          <o:OLEObject Type="Embed" ProgID="Excel.Sheet.12" ShapeID="_x0000_i1027" DrawAspect="Content" ObjectID="_1468075727" r:id="rId9">
            <o:LockedField>false</o:LockedField>
          </o:OLEObject>
        </w:object>
      </w:r>
      <w:r>
        <w:rPr>
          <w:rFonts w:hint="default" w:ascii="仿宋_GB2312" w:hAnsi="黑体" w:eastAsia="仿宋_GB2312"/>
          <w:sz w:val="32"/>
          <w:szCs w:val="32"/>
          <w:highlight w:val="none"/>
          <w:lang w:eastAsia="zh-Hans"/>
        </w:rPr>
        <w:br w:type="page"/>
      </w:r>
    </w:p>
    <w:p w14:paraId="553F5DDF">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14:paraId="4A07FE29">
      <w:pPr>
        <w:pStyle w:val="2"/>
        <w:rPr>
          <w:rFonts w:hint="default"/>
          <w:lang w:eastAsia="zh-Hans"/>
        </w:rPr>
      </w:pPr>
    </w:p>
    <w:p w14:paraId="7AD5A941">
      <w:pPr>
        <w:pStyle w:val="2"/>
        <w:ind w:left="0" w:leftChars="0" w:firstLine="0" w:firstLineChars="0"/>
        <w:rPr>
          <w:rFonts w:hint="default" w:ascii="仿宋_GB2312" w:hAnsi="黑体" w:eastAsia="仿宋_GB2312"/>
          <w:sz w:val="32"/>
          <w:szCs w:val="32"/>
          <w:highlight w:val="none"/>
          <w:lang w:eastAsia="zh-Hans"/>
        </w:rPr>
      </w:pPr>
      <w:r>
        <w:rPr>
          <w:rFonts w:ascii="方正小标宋简体" w:hAnsi="黑体" w:eastAsia="方正小标宋简体"/>
          <w:sz w:val="44"/>
          <w:szCs w:val="44"/>
          <w:highlight w:val="none"/>
        </w:rPr>
        <w:object>
          <v:shape id="_x0000_i1028" o:spt="75" type="#_x0000_t75" style="height:434.35pt;width:415.15pt;" o:ole="t" filled="f" o:preferrelative="t" stroked="f" coordsize="21600,21600">
            <v:path/>
            <v:fill on="f" focussize="0,0"/>
            <v:stroke on="f"/>
            <v:imagedata r:id="rId12" o:title=""/>
            <o:lock v:ext="edit" aspectratio="f"/>
            <w10:wrap type="none"/>
            <w10:anchorlock/>
          </v:shape>
          <o:OLEObject Type="Embed" ProgID="Excel.Sheet.12" ShapeID="_x0000_i1028" DrawAspect="Content" ObjectID="_1468075728" r:id="rId11">
            <o:LockedField>false</o:LockedField>
          </o:OLEObject>
        </w:object>
      </w:r>
    </w:p>
    <w:p w14:paraId="1BB86EC6">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14:paraId="57E320B9">
      <w:pPr>
        <w:pStyle w:val="2"/>
        <w:rPr>
          <w:rFonts w:hint="default" w:ascii="仿宋_GB2312" w:hAnsi="黑体" w:eastAsia="仿宋_GB2312"/>
          <w:sz w:val="32"/>
          <w:szCs w:val="32"/>
          <w:highlight w:val="none"/>
          <w:lang w:eastAsia="zh-Hans"/>
        </w:rPr>
      </w:pPr>
      <w:r>
        <w:rPr>
          <w:rFonts w:ascii="方正小标宋简体" w:hAnsi="黑体" w:eastAsia="方正小标宋简体"/>
          <w:sz w:val="44"/>
          <w:szCs w:val="44"/>
          <w:highlight w:val="none"/>
        </w:rPr>
        <w:object>
          <v:shape id="_x0000_i1029" o:spt="75" type="#_x0000_t75" style="height:514.9pt;width:415.05pt;" o:ole="t" filled="f" o:preferrelative="t" stroked="f" coordsize="21600,21600">
            <v:path/>
            <v:fill on="f" focussize="0,0"/>
            <v:stroke on="f"/>
            <v:imagedata r:id="rId14" o:title=""/>
            <o:lock v:ext="edit" aspectratio="f"/>
            <w10:wrap type="none"/>
            <w10:anchorlock/>
          </v:shape>
          <o:OLEObject Type="Embed" ProgID="Excel.Sheet.12" ShapeID="_x0000_i1029" DrawAspect="Content" ObjectID="_1468075729" r:id="rId13">
            <o:LockedField>false</o:LockedField>
          </o:OLEObject>
        </w:object>
      </w:r>
    </w:p>
    <w:p w14:paraId="035CBF3E">
      <w:pPr>
        <w:numPr>
          <w:ilvl w:val="0"/>
          <w:numId w:val="3"/>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14:paraId="3CB129DA">
      <w:pPr>
        <w:pStyle w:val="2"/>
        <w:numPr>
          <w:ilvl w:val="0"/>
          <w:numId w:val="0"/>
        </w:numPr>
        <w:ind w:leftChars="400"/>
        <w:rPr>
          <w:rFonts w:hint="default"/>
          <w:lang w:eastAsia="zh-Hans"/>
        </w:rPr>
      </w:pPr>
      <w:r>
        <w:rPr>
          <w:rFonts w:ascii="方正小标宋简体" w:hAnsi="黑体" w:eastAsia="方正小标宋简体"/>
          <w:sz w:val="44"/>
          <w:szCs w:val="44"/>
          <w:highlight w:val="none"/>
        </w:rPr>
        <w:object>
          <v:shape id="_x0000_i1030" o:spt="75" type="#_x0000_t75" style="height:194.6pt;width:415.05pt;" o:ole="t" filled="f" o:preferrelative="t" stroked="f" coordsize="21600,21600">
            <v:path/>
            <v:fill on="f" focussize="0,0"/>
            <v:stroke on="f"/>
            <v:imagedata r:id="rId16" o:title=""/>
            <o:lock v:ext="edit" aspectratio="f"/>
            <w10:wrap type="none"/>
            <w10:anchorlock/>
          </v:shape>
          <o:OLEObject Type="Embed" ProgID="Excel.Sheet.12" ShapeID="_x0000_i1030" DrawAspect="Content" ObjectID="_1468075730" r:id="rId15">
            <o:LockedField>false</o:LockedField>
          </o:OLEObject>
        </w:object>
      </w:r>
    </w:p>
    <w:p w14:paraId="6C14DF70">
      <w:pPr>
        <w:jc w:val="both"/>
        <w:rPr>
          <w:rFonts w:hint="default"/>
          <w:lang w:eastAsia="zh-Hans"/>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14:paraId="2EB6274A">
      <w:pPr>
        <w:pStyle w:val="2"/>
        <w:ind w:left="0" w:leftChars="0" w:firstLine="0" w:firstLineChars="0"/>
      </w:pPr>
      <w:r>
        <w:rPr>
          <w:rFonts w:ascii="方正小标宋简体" w:hAnsi="黑体" w:eastAsia="方正小标宋简体"/>
          <w:sz w:val="44"/>
          <w:szCs w:val="44"/>
          <w:highlight w:val="none"/>
        </w:rPr>
        <w:object>
          <v:shape id="_x0000_i1031" o:spt="75" type="#_x0000_t75" style="height:619.9pt;width:415.15pt;" o:ole="t" filled="f" o:preferrelative="t" stroked="f" coordsize="21600,21600">
            <v:path/>
            <v:fill on="f" focussize="0,0"/>
            <v:stroke on="f"/>
            <v:imagedata r:id="rId18" o:title=""/>
            <o:lock v:ext="edit" aspectratio="f"/>
            <w10:wrap type="none"/>
            <w10:anchorlock/>
          </v:shape>
          <o:OLEObject Type="Embed" ProgID="Excel.Sheet.12" ShapeID="_x0000_i1031" DrawAspect="Content" ObjectID="_1468075731" r:id="rId17">
            <o:LockedField>false</o:LockedField>
          </o:OLEObject>
        </w:object>
      </w:r>
    </w:p>
    <w:p w14:paraId="056A7ABF">
      <w:pPr>
        <w:jc w:val="both"/>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14:paraId="5AFB95EA">
      <w:pPr>
        <w:pStyle w:val="2"/>
      </w:pPr>
      <w:r>
        <w:rPr>
          <w:rFonts w:ascii="方正小标宋简体" w:hAnsi="黑体" w:eastAsia="方正小标宋简体"/>
          <w:sz w:val="44"/>
          <w:szCs w:val="44"/>
          <w:highlight w:val="none"/>
        </w:rPr>
        <w:object>
          <v:shape id="_x0000_i1032" o:spt="75" type="#_x0000_t75" style="height:136.4pt;width:415.05pt;" o:ole="t" filled="f" o:preferrelative="t" stroked="f" coordsize="21600,21600">
            <v:path/>
            <v:fill on="f" focussize="0,0"/>
            <v:stroke on="f"/>
            <v:imagedata r:id="rId20" o:title=""/>
            <o:lock v:ext="edit" aspectratio="f"/>
            <w10:wrap type="none"/>
            <w10:anchorlock/>
          </v:shape>
          <o:OLEObject Type="Embed" ProgID="Excel.Sheet.12" ShapeID="_x0000_i1032" DrawAspect="Content" ObjectID="_1468075732" r:id="rId19">
            <o:LockedField>false</o:LockedField>
          </o:OLEObject>
        </w:object>
      </w:r>
    </w:p>
    <w:p w14:paraId="06C37011">
      <w:pPr>
        <w:pStyle w:val="2"/>
        <w:ind w:left="0" w:leftChars="0" w:firstLine="0" w:firstLineChars="0"/>
      </w:pPr>
    </w:p>
    <w:p w14:paraId="223AF99A">
      <w:pPr>
        <w:jc w:val="both"/>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14:paraId="5928F302"/>
    <w:p w14:paraId="2670CB2B">
      <w:pPr>
        <w:pStyle w:val="2"/>
      </w:pPr>
      <w:r>
        <w:object>
          <v:shape id="_x0000_i1033" o:spt="75" type="#_x0000_t75" style="height:119.9pt;width:415.2pt;" o:ole="t" filled="f" o:preferrelative="t" stroked="f" coordsize="21600,21600">
            <v:path/>
            <v:fill on="f" focussize="0,0"/>
            <v:stroke on="f"/>
            <v:imagedata r:id="rId22" o:title=""/>
            <o:lock v:ext="edit" aspectratio="f"/>
            <w10:wrap type="none"/>
            <w10:anchorlock/>
          </v:shape>
          <o:OLEObject Type="Embed" ProgID="Excel.Sheet.12" ShapeID="_x0000_i1033" DrawAspect="Content" ObjectID="_1468075733" r:id="rId21">
            <o:LockedField>false</o:LockedField>
          </o:OLEObject>
        </w:object>
      </w:r>
    </w:p>
    <w:p w14:paraId="32CEE48A"/>
    <w:p w14:paraId="0448A7F9">
      <w:pPr>
        <w:jc w:val="both"/>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14:paraId="67EC15D3"/>
    <w:p w14:paraId="2447F466">
      <w:pPr>
        <w:pStyle w:val="2"/>
      </w:pPr>
      <w:r>
        <w:rPr>
          <w:rFonts w:ascii="方正小标宋简体" w:hAnsi="黑体" w:eastAsia="方正小标宋简体"/>
          <w:sz w:val="44"/>
          <w:szCs w:val="44"/>
          <w:highlight w:val="none"/>
        </w:rPr>
        <w:object>
          <v:shape id="_x0000_i1034" o:spt="75" type="#_x0000_t75" style="height:157.85pt;width:414.9pt;" o:ole="t" filled="f" o:preferrelative="t" stroked="f" coordsize="21600,21600">
            <v:path/>
            <v:fill on="f" focussize="0,0"/>
            <v:stroke on="f"/>
            <v:imagedata r:id="rId24" o:title=""/>
            <o:lock v:ext="edit" aspectratio="f"/>
            <w10:wrap type="none"/>
            <w10:anchorlock/>
          </v:shape>
          <o:OLEObject Type="Embed" ProgID="Excel.Sheet.12" ShapeID="_x0000_i1034" DrawAspect="Content" ObjectID="_1468075734" r:id="rId23">
            <o:LockedField>false</o:LockedField>
          </o:OLEObject>
        </w:object>
      </w:r>
    </w:p>
    <w:p w14:paraId="148FDA90"/>
    <w:p w14:paraId="609A4689">
      <w:pPr>
        <w:jc w:val="both"/>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14:paraId="74C6F93A"/>
    <w:p w14:paraId="787C8FE6">
      <w:pPr>
        <w:pStyle w:val="2"/>
      </w:pPr>
      <w:r>
        <w:rPr>
          <w:rFonts w:ascii="方正小标宋简体" w:hAnsi="黑体" w:eastAsia="方正小标宋简体"/>
          <w:sz w:val="44"/>
          <w:szCs w:val="44"/>
          <w:highlight w:val="none"/>
        </w:rPr>
        <w:object>
          <v:shape id="_x0000_i1035" o:spt="75" type="#_x0000_t75" style="height:103.2pt;width:414.65pt;" o:ole="t" filled="f" o:preferrelative="t" stroked="f" coordsize="21600,21600">
            <v:path/>
            <v:fill on="f" focussize="0,0"/>
            <v:stroke on="f"/>
            <v:imagedata r:id="rId26" o:title=""/>
            <o:lock v:ext="edit" aspectratio="f"/>
            <w10:wrap type="none"/>
            <w10:anchorlock/>
          </v:shape>
          <o:OLEObject Type="Embed" ProgID="Excel.Sheet.12" ShapeID="_x0000_i1035" DrawAspect="Content" ObjectID="_1468075735" r:id="rId25">
            <o:LockedField>false</o:LockedField>
          </o:OLEObject>
        </w:object>
      </w:r>
    </w:p>
    <w:p w14:paraId="250517C0">
      <w:pPr>
        <w:jc w:val="both"/>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14:paraId="7AA03B5A">
      <w:pPr>
        <w:pStyle w:val="2"/>
      </w:pPr>
      <w:r>
        <w:rPr>
          <w:rFonts w:ascii="方正小标宋简体" w:hAnsi="黑体" w:eastAsia="方正小标宋简体"/>
          <w:sz w:val="44"/>
          <w:szCs w:val="44"/>
          <w:highlight w:val="none"/>
        </w:rPr>
        <w:object>
          <v:shape id="_x0000_i1036" o:spt="75" type="#_x0000_t75" style="height:131.55pt;width:415.15pt;" o:ole="t" filled="f" o:preferrelative="t" stroked="f" coordsize="21600,21600">
            <v:path/>
            <v:fill on="f" focussize="0,0"/>
            <v:stroke on="f"/>
            <v:imagedata r:id="rId28" o:title=""/>
            <o:lock v:ext="edit" aspectratio="f"/>
            <w10:wrap type="none"/>
            <w10:anchorlock/>
          </v:shape>
          <o:OLEObject Type="Embed" ProgID="Excel.Sheet.12" ShapeID="_x0000_i1036" DrawAspect="Content" ObjectID="_1468075736" r:id="rId27">
            <o:LockedField>false</o:LockedField>
          </o:OLEObject>
        </w:object>
      </w:r>
    </w:p>
    <w:p w14:paraId="69741EA2">
      <w:pPr>
        <w:jc w:val="both"/>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预算项目绩效目标表</w:t>
      </w:r>
    </w:p>
    <w:tbl>
      <w:tblPr>
        <w:tblStyle w:val="7"/>
        <w:tblW w:w="11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8"/>
        <w:gridCol w:w="966"/>
        <w:gridCol w:w="803"/>
        <w:gridCol w:w="993"/>
        <w:gridCol w:w="939"/>
        <w:gridCol w:w="939"/>
        <w:gridCol w:w="1281"/>
        <w:gridCol w:w="939"/>
        <w:gridCol w:w="759"/>
        <w:gridCol w:w="939"/>
        <w:gridCol w:w="578"/>
        <w:gridCol w:w="1121"/>
      </w:tblGrid>
      <w:tr w14:paraId="17FD2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485"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0752849A">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部门预算项目绩效目标表（2024年度）</w:t>
            </w:r>
          </w:p>
        </w:tc>
      </w:tr>
      <w:tr w14:paraId="07B8E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145" w:type="dxa"/>
            <w:gridSpan w:val="4"/>
            <w:tcBorders>
              <w:top w:val="single" w:color="FFFFFF" w:sz="4" w:space="0"/>
              <w:left w:val="single" w:color="FFFFFF" w:sz="4" w:space="0"/>
              <w:bottom w:val="nil"/>
              <w:right w:val="single" w:color="FFFFFF" w:sz="4" w:space="0"/>
            </w:tcBorders>
            <w:shd w:val="clear" w:color="auto" w:fill="auto"/>
            <w:vAlign w:val="center"/>
          </w:tcPr>
          <w:p w14:paraId="174AF947">
            <w:pPr>
              <w:rPr>
                <w:rFonts w:hint="eastAsia" w:ascii="宋体" w:hAnsi="宋体" w:eastAsia="宋体" w:cs="宋体"/>
                <w:i w:val="0"/>
                <w:iCs w:val="0"/>
                <w:color w:val="000000"/>
                <w:sz w:val="22"/>
                <w:szCs w:val="22"/>
                <w:u w:val="none"/>
              </w:rPr>
            </w:pPr>
          </w:p>
        </w:tc>
        <w:tc>
          <w:tcPr>
            <w:tcW w:w="892" w:type="dxa"/>
            <w:tcBorders>
              <w:top w:val="single" w:color="FFFFFF" w:sz="4" w:space="0"/>
              <w:left w:val="single" w:color="FFFFFF" w:sz="4" w:space="0"/>
              <w:bottom w:val="nil"/>
              <w:right w:val="single" w:color="FFFFFF" w:sz="4" w:space="0"/>
            </w:tcBorders>
            <w:shd w:val="clear" w:color="auto" w:fill="auto"/>
            <w:vAlign w:val="center"/>
          </w:tcPr>
          <w:p w14:paraId="03D084B4">
            <w:pPr>
              <w:rPr>
                <w:rFonts w:hint="eastAsia" w:ascii="宋体" w:hAnsi="宋体" w:eastAsia="宋体" w:cs="宋体"/>
                <w:i w:val="0"/>
                <w:iCs w:val="0"/>
                <w:color w:val="000000"/>
                <w:sz w:val="22"/>
                <w:szCs w:val="22"/>
                <w:u w:val="none"/>
              </w:rPr>
            </w:pPr>
          </w:p>
        </w:tc>
        <w:tc>
          <w:tcPr>
            <w:tcW w:w="902" w:type="dxa"/>
            <w:tcBorders>
              <w:top w:val="single" w:color="FFFFFF" w:sz="4" w:space="0"/>
              <w:left w:val="single" w:color="FFFFFF" w:sz="4" w:space="0"/>
              <w:bottom w:val="nil"/>
              <w:right w:val="single" w:color="FFFFFF" w:sz="4" w:space="0"/>
            </w:tcBorders>
            <w:shd w:val="clear" w:color="auto" w:fill="auto"/>
            <w:vAlign w:val="center"/>
          </w:tcPr>
          <w:p w14:paraId="402A07EC">
            <w:pPr>
              <w:rPr>
                <w:rFonts w:hint="eastAsia" w:ascii="宋体" w:hAnsi="宋体" w:eastAsia="宋体" w:cs="宋体"/>
                <w:i w:val="0"/>
                <w:iCs w:val="0"/>
                <w:color w:val="000000"/>
                <w:sz w:val="22"/>
                <w:szCs w:val="22"/>
                <w:u w:val="none"/>
              </w:rPr>
            </w:pPr>
          </w:p>
        </w:tc>
        <w:tc>
          <w:tcPr>
            <w:tcW w:w="1059" w:type="dxa"/>
            <w:tcBorders>
              <w:top w:val="single" w:color="FFFFFF" w:sz="4" w:space="0"/>
              <w:left w:val="single" w:color="FFFFFF" w:sz="4" w:space="0"/>
              <w:bottom w:val="nil"/>
              <w:right w:val="single" w:color="FFFFFF" w:sz="4" w:space="0"/>
            </w:tcBorders>
            <w:shd w:val="clear" w:color="auto" w:fill="auto"/>
            <w:vAlign w:val="center"/>
          </w:tcPr>
          <w:p w14:paraId="249E0CDA">
            <w:pPr>
              <w:rPr>
                <w:rFonts w:hint="eastAsia" w:ascii="宋体" w:hAnsi="宋体" w:eastAsia="宋体" w:cs="宋体"/>
                <w:i w:val="0"/>
                <w:iCs w:val="0"/>
                <w:color w:val="000000"/>
                <w:sz w:val="22"/>
                <w:szCs w:val="22"/>
                <w:u w:val="none"/>
              </w:rPr>
            </w:pPr>
          </w:p>
        </w:tc>
        <w:tc>
          <w:tcPr>
            <w:tcW w:w="570" w:type="dxa"/>
            <w:tcBorders>
              <w:top w:val="single" w:color="FFFFFF" w:sz="4" w:space="0"/>
              <w:left w:val="single" w:color="FFFFFF" w:sz="4" w:space="0"/>
              <w:bottom w:val="nil"/>
              <w:right w:val="single" w:color="FFFFFF" w:sz="4" w:space="0"/>
            </w:tcBorders>
            <w:shd w:val="clear" w:color="auto" w:fill="auto"/>
            <w:vAlign w:val="center"/>
          </w:tcPr>
          <w:p w14:paraId="5777DDBD">
            <w:pPr>
              <w:rPr>
                <w:rFonts w:hint="eastAsia" w:ascii="宋体" w:hAnsi="宋体" w:eastAsia="宋体" w:cs="宋体"/>
                <w:i w:val="0"/>
                <w:iCs w:val="0"/>
                <w:color w:val="000000"/>
                <w:sz w:val="22"/>
                <w:szCs w:val="22"/>
                <w:u w:val="none"/>
              </w:rPr>
            </w:pPr>
          </w:p>
        </w:tc>
        <w:tc>
          <w:tcPr>
            <w:tcW w:w="682" w:type="dxa"/>
            <w:tcBorders>
              <w:top w:val="single" w:color="FFFFFF" w:sz="4" w:space="0"/>
              <w:left w:val="single" w:color="FFFFFF" w:sz="4" w:space="0"/>
              <w:bottom w:val="nil"/>
              <w:right w:val="single" w:color="FFFFFF" w:sz="4" w:space="0"/>
            </w:tcBorders>
            <w:shd w:val="clear" w:color="auto" w:fill="auto"/>
            <w:vAlign w:val="center"/>
          </w:tcPr>
          <w:p w14:paraId="3AD17513">
            <w:pPr>
              <w:rPr>
                <w:rFonts w:hint="eastAsia" w:ascii="宋体" w:hAnsi="宋体" w:eastAsia="宋体" w:cs="宋体"/>
                <w:i w:val="0"/>
                <w:iCs w:val="0"/>
                <w:color w:val="000000"/>
                <w:sz w:val="22"/>
                <w:szCs w:val="22"/>
                <w:u w:val="none"/>
              </w:rPr>
            </w:pPr>
          </w:p>
        </w:tc>
        <w:tc>
          <w:tcPr>
            <w:tcW w:w="2235" w:type="dxa"/>
            <w:gridSpan w:val="3"/>
            <w:tcBorders>
              <w:top w:val="single" w:color="FFFFFF" w:sz="4" w:space="0"/>
              <w:left w:val="single" w:color="FFFFFF" w:sz="4" w:space="0"/>
              <w:bottom w:val="nil"/>
              <w:right w:val="single" w:color="FFFFFF" w:sz="4" w:space="0"/>
            </w:tcBorders>
            <w:shd w:val="clear" w:color="auto" w:fill="auto"/>
            <w:vAlign w:val="center"/>
          </w:tcPr>
          <w:p w14:paraId="7F5393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22B3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77CC7F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10A3B3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00D92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51F598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08117D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D80D2E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A57BC3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8C8510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3F6E2F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67825B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C2504A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D0F59C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r>
      <w:tr w14:paraId="78DAF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3C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506-融媒体中心部门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A5AC">
            <w:pPr>
              <w:rPr>
                <w:rFonts w:hint="eastAsia" w:ascii="宋体" w:hAnsi="宋体" w:eastAsia="宋体" w:cs="宋体"/>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8F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24.98</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B3D9">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079B6">
            <w:pPr>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0EC8">
            <w:pPr>
              <w:rPr>
                <w:rFonts w:hint="eastAsia" w:ascii="宋体" w:hAnsi="宋体" w:eastAsia="宋体" w:cs="宋体"/>
                <w:i w:val="0"/>
                <w:iCs w:val="0"/>
                <w:color w:val="000000"/>
                <w:sz w:val="18"/>
                <w:szCs w:val="18"/>
                <w:u w:val="none"/>
              </w:rPr>
            </w:pP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E86A3">
            <w:pPr>
              <w:rPr>
                <w:rFonts w:hint="eastAsia" w:ascii="宋体" w:hAnsi="宋体" w:eastAsia="宋体" w:cs="宋体"/>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FF35">
            <w:pPr>
              <w:rPr>
                <w:rFonts w:hint="eastAsia" w:ascii="宋体" w:hAnsi="宋体" w:eastAsia="宋体" w:cs="宋体"/>
                <w:i w:val="0"/>
                <w:iCs w:val="0"/>
                <w:color w:val="000000"/>
                <w:sz w:val="18"/>
                <w:szCs w:val="18"/>
                <w:u w:val="none"/>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CF4C">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EAB5">
            <w:pPr>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CFC8">
            <w:pPr>
              <w:rPr>
                <w:rFonts w:hint="eastAsia" w:ascii="宋体" w:hAnsi="宋体" w:eastAsia="宋体" w:cs="宋体"/>
                <w:i w:val="0"/>
                <w:iCs w:val="0"/>
                <w:color w:val="000000"/>
                <w:sz w:val="18"/>
                <w:szCs w:val="18"/>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95FA">
            <w:pPr>
              <w:rPr>
                <w:rFonts w:hint="eastAsia" w:ascii="宋体" w:hAnsi="宋体" w:eastAsia="宋体" w:cs="宋体"/>
                <w:i w:val="0"/>
                <w:iCs w:val="0"/>
                <w:color w:val="000000"/>
                <w:sz w:val="18"/>
                <w:szCs w:val="18"/>
                <w:u w:val="none"/>
              </w:rPr>
            </w:pPr>
          </w:p>
        </w:tc>
      </w:tr>
      <w:tr w14:paraId="6A377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596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506001-融媒体中心</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857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工会经费和福利费</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827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9.68</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7CA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01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1F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E9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科目调整次数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CB3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D5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8C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21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EF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9106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9E377">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98223">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BA91B">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DC6B5">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76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40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04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预算编制准确率（计算方法为：∣（执行数-预算数）/预算数∣）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1E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F6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DB6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E3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07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C9B5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7D87C">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5B676">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6C1FF">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E39A5">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04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2CB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65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Dialog . plain" w:hAnsi="Dialog . plain" w:eastAsia="Dialog . plain" w:cs="Dialog . plain"/>
                <w:i w:val="0"/>
                <w:iCs w:val="0"/>
                <w:color w:val="000000"/>
                <w:kern w:val="0"/>
                <w:sz w:val="18"/>
                <w:szCs w:val="18"/>
                <w:u w:val="none"/>
                <w:lang w:val="en-US" w:eastAsia="zh-CN" w:bidi="ar"/>
              </w:rPr>
              <w:t>“三公”经费</w:t>
            </w:r>
            <w:r>
              <w:rPr>
                <w:rFonts w:ascii="Dialog . plain" w:hAnsi="Dialog . plain" w:eastAsia="Dialog . plain" w:cs="Dialog . plain"/>
                <w:i w:val="0"/>
                <w:iCs w:val="0"/>
                <w:color w:val="000000"/>
                <w:kern w:val="0"/>
                <w:sz w:val="18"/>
                <w:szCs w:val="18"/>
                <w:u w:val="none"/>
                <w:lang w:val="en-US" w:eastAsia="zh-CN" w:bidi="ar"/>
              </w:rPr>
              <w:t>控制率[计算方法为：（三公经费实际支出数/预算安排数]×100%）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5E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C0A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AB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C5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EA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F28B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B4811">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84E51">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17D45">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54C21">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E2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91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45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运转保障率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B3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44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52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27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64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19FB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ED4BD">
            <w:pPr>
              <w:jc w:val="left"/>
              <w:rPr>
                <w:rFonts w:hint="eastAsia" w:ascii="宋体" w:hAnsi="宋体" w:eastAsia="宋体" w:cs="宋体"/>
                <w:i w:val="0"/>
                <w:iCs w:val="0"/>
                <w:color w:val="000000"/>
                <w:sz w:val="18"/>
                <w:szCs w:val="18"/>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10B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邮电费</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7CDF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0599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2C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28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9D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科目调整次数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FE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AC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B1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D6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D5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5C6DE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242C3">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C9382">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61FD5">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78A2E">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60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AA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07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Dialog . plain" w:hAnsi="Dialog . plain" w:eastAsia="Dialog . plain" w:cs="Dialog . plain"/>
                <w:i w:val="0"/>
                <w:iCs w:val="0"/>
                <w:color w:val="000000"/>
                <w:kern w:val="0"/>
                <w:sz w:val="18"/>
                <w:szCs w:val="18"/>
                <w:u w:val="none"/>
                <w:lang w:val="en-US" w:eastAsia="zh-CN" w:bidi="ar"/>
              </w:rPr>
              <w:t>“三公”经费</w:t>
            </w:r>
            <w:r>
              <w:rPr>
                <w:rFonts w:ascii="Dialog . plain" w:hAnsi="Dialog . plain" w:eastAsia="Dialog . plain" w:cs="Dialog . plain"/>
                <w:i w:val="0"/>
                <w:iCs w:val="0"/>
                <w:color w:val="000000"/>
                <w:kern w:val="0"/>
                <w:sz w:val="18"/>
                <w:szCs w:val="18"/>
                <w:u w:val="none"/>
                <w:lang w:val="en-US" w:eastAsia="zh-CN" w:bidi="ar"/>
              </w:rPr>
              <w:t>控制率[计算方法为：（三公经费实际支出数/预算安排数]×100%）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5C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90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90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05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05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15EE9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8AA5C">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2D4F7">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18242">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12E94">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35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EEE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9F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预算编制准确率（计算方法为：∣（执行数-预算数）/预算数∣）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03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B6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D5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0D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7B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9D1E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46D31">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57450">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238F9">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6D658">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EC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D7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1A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运转保障率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77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D4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42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80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B3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7514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0BB4A">
            <w:pPr>
              <w:jc w:val="left"/>
              <w:rPr>
                <w:rFonts w:hint="eastAsia" w:ascii="宋体" w:hAnsi="宋体" w:eastAsia="宋体" w:cs="宋体"/>
                <w:i w:val="0"/>
                <w:iCs w:val="0"/>
                <w:color w:val="000000"/>
                <w:sz w:val="18"/>
                <w:szCs w:val="18"/>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5D4E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会议和培训费</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F5D5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8D5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6D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A9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61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预算编制准确率（计算方法为：∣（执行数-预算数）/预算数∣）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B5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AC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2C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66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4A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D9A7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2C8A9">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8C907">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E3EBC">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039A1">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E2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3E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2E4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科目调整次数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2F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D02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A5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77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08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131D7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E9AC6">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FE542">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88116">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3DE4F">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987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F1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E8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运转保障率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6EE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61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F2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FC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2C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4F37C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1F2D6">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EE7C4">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0F4B1">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C4CDF">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89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4A4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A4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Dialog . plain" w:hAnsi="Dialog . plain" w:eastAsia="Dialog . plain" w:cs="Dialog . plain"/>
                <w:i w:val="0"/>
                <w:iCs w:val="0"/>
                <w:color w:val="000000"/>
                <w:kern w:val="0"/>
                <w:sz w:val="18"/>
                <w:szCs w:val="18"/>
                <w:u w:val="none"/>
                <w:lang w:val="en-US" w:eastAsia="zh-CN" w:bidi="ar"/>
              </w:rPr>
              <w:t>“三公”经费</w:t>
            </w:r>
            <w:r>
              <w:rPr>
                <w:rFonts w:ascii="Dialog . plain" w:hAnsi="Dialog . plain" w:eastAsia="Dialog . plain" w:cs="Dialog . plain"/>
                <w:i w:val="0"/>
                <w:iCs w:val="0"/>
                <w:color w:val="000000"/>
                <w:kern w:val="0"/>
                <w:sz w:val="18"/>
                <w:szCs w:val="18"/>
                <w:u w:val="none"/>
                <w:lang w:val="en-US" w:eastAsia="zh-CN" w:bidi="ar"/>
              </w:rPr>
              <w:t>控制率[计算方法为：（三公经费实际支出数/预算安排数]×100%）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52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98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E0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2BB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1D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6FD16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6E4A1">
            <w:pPr>
              <w:jc w:val="left"/>
              <w:rPr>
                <w:rFonts w:hint="eastAsia" w:ascii="宋体" w:hAnsi="宋体" w:eastAsia="宋体" w:cs="宋体"/>
                <w:i w:val="0"/>
                <w:iCs w:val="0"/>
                <w:color w:val="000000"/>
                <w:sz w:val="18"/>
                <w:szCs w:val="18"/>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837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办公印刷和接待费</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624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ED4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4E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A8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F5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科目调整次数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5F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E6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BA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9A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A2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08F07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C5B95">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9F6BC">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23201">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9DD96">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C1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BD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82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运转保障率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EB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BDB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8A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01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55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A0E8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57D8F">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F8419">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21CFB">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FA57C">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11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85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A7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Dialog . plain" w:hAnsi="Dialog . plain" w:eastAsia="Dialog . plain" w:cs="Dialog . plain"/>
                <w:i w:val="0"/>
                <w:iCs w:val="0"/>
                <w:color w:val="000000"/>
                <w:kern w:val="0"/>
                <w:sz w:val="18"/>
                <w:szCs w:val="18"/>
                <w:u w:val="none"/>
                <w:lang w:val="en-US" w:eastAsia="zh-CN" w:bidi="ar"/>
              </w:rPr>
              <w:t>“三公”经费</w:t>
            </w:r>
            <w:r>
              <w:rPr>
                <w:rFonts w:ascii="Dialog . plain" w:hAnsi="Dialog . plain" w:eastAsia="Dialog . plain" w:cs="Dialog . plain"/>
                <w:i w:val="0"/>
                <w:iCs w:val="0"/>
                <w:color w:val="000000"/>
                <w:kern w:val="0"/>
                <w:sz w:val="18"/>
                <w:szCs w:val="18"/>
                <w:u w:val="none"/>
                <w:lang w:val="en-US" w:eastAsia="zh-CN" w:bidi="ar"/>
              </w:rPr>
              <w:t>控制率[计算方法为：（三公经费实际支出数/预算安排数]×100%）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5D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06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42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B8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5C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0D81B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D99CC">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8361E">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68ACD">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8E7A1">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2B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B2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B43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预算编制准确率（计算方法为：∣（执行数-预算数）/预算数∣）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9E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C8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FB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9A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5FB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B8B1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41E58">
            <w:pPr>
              <w:jc w:val="left"/>
              <w:rPr>
                <w:rFonts w:hint="eastAsia" w:ascii="宋体" w:hAnsi="宋体" w:eastAsia="宋体" w:cs="宋体"/>
                <w:i w:val="0"/>
                <w:iCs w:val="0"/>
                <w:color w:val="000000"/>
                <w:sz w:val="18"/>
                <w:szCs w:val="18"/>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1B3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差旅费</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FFF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3.92</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C850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D4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F9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AE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预算编制准确率（计算方法为：∣（执行数-预算数）/预算数∣）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29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2F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30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79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B4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0467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FB3A6">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0174A">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87FB4">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0FD21">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A1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88A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DF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运转保障率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44A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027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A5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E5D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13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13B5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158E5">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A5703">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BC36A">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A9615">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C7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32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34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Dialog . plain" w:hAnsi="Dialog . plain" w:eastAsia="Dialog . plain" w:cs="Dialog . plain"/>
                <w:i w:val="0"/>
                <w:iCs w:val="0"/>
                <w:color w:val="000000"/>
                <w:kern w:val="0"/>
                <w:sz w:val="18"/>
                <w:szCs w:val="18"/>
                <w:u w:val="none"/>
                <w:lang w:val="en-US" w:eastAsia="zh-CN" w:bidi="ar"/>
              </w:rPr>
              <w:t>“三公”经费</w:t>
            </w:r>
            <w:r>
              <w:rPr>
                <w:rFonts w:ascii="Dialog . plain" w:hAnsi="Dialog . plain" w:eastAsia="Dialog . plain" w:cs="Dialog . plain"/>
                <w:i w:val="0"/>
                <w:iCs w:val="0"/>
                <w:color w:val="000000"/>
                <w:kern w:val="0"/>
                <w:sz w:val="18"/>
                <w:szCs w:val="18"/>
                <w:u w:val="none"/>
                <w:lang w:val="en-US" w:eastAsia="zh-CN" w:bidi="ar"/>
              </w:rPr>
              <w:t>控制率[计算方法为：（三公经费实际支出数/预算安排数]×100%）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88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BD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709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A2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3C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651F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7070A">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D4C48">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FE12C">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A5DF5">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46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E8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24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科目调整次数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7F5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16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74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CC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F2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0D25B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7D7DC">
            <w:pPr>
              <w:jc w:val="left"/>
              <w:rPr>
                <w:rFonts w:hint="eastAsia" w:ascii="宋体" w:hAnsi="宋体" w:eastAsia="宋体" w:cs="宋体"/>
                <w:i w:val="0"/>
                <w:iCs w:val="0"/>
                <w:color w:val="000000"/>
                <w:sz w:val="18"/>
                <w:szCs w:val="18"/>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AC1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其他交通费用</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C59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40A0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7B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65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A9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运转保障率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E0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93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22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44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97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65B3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E6305">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84DF1">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E4F14">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318D4">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FF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2E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F5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预算编制准确率（计算方法为：∣（执行数-预算数）/预算数∣）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7D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67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19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F8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A3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776C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0E86F">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704B1">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433C8">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0652D">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B4F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A1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44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Dialog . plain" w:hAnsi="Dialog . plain" w:eastAsia="Dialog . plain" w:cs="Dialog . plain"/>
                <w:i w:val="0"/>
                <w:iCs w:val="0"/>
                <w:color w:val="000000"/>
                <w:kern w:val="0"/>
                <w:sz w:val="18"/>
                <w:szCs w:val="18"/>
                <w:u w:val="none"/>
                <w:lang w:val="en-US" w:eastAsia="zh-CN" w:bidi="ar"/>
              </w:rPr>
              <w:t>“三公”经费</w:t>
            </w:r>
            <w:r>
              <w:rPr>
                <w:rFonts w:ascii="Dialog . plain" w:hAnsi="Dialog . plain" w:eastAsia="Dialog . plain" w:cs="Dialog . plain"/>
                <w:i w:val="0"/>
                <w:iCs w:val="0"/>
                <w:color w:val="000000"/>
                <w:kern w:val="0"/>
                <w:sz w:val="18"/>
                <w:szCs w:val="18"/>
                <w:u w:val="none"/>
                <w:lang w:val="en-US" w:eastAsia="zh-CN" w:bidi="ar"/>
              </w:rPr>
              <w:t>控制率[计算方法为：（三公经费实际支出数/预算安排数]×100%）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87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CE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E3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34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B0E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5F452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CDA8B">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3CE76">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F008A">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F7179">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7A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D0A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36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科目调整次数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1D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B6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8F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40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D4A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059EB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6EE02">
            <w:pPr>
              <w:jc w:val="left"/>
              <w:rPr>
                <w:rFonts w:hint="eastAsia" w:ascii="宋体" w:hAnsi="宋体" w:eastAsia="宋体" w:cs="宋体"/>
                <w:i w:val="0"/>
                <w:iCs w:val="0"/>
                <w:color w:val="000000"/>
                <w:sz w:val="18"/>
                <w:szCs w:val="18"/>
                <w:u w:val="none"/>
              </w:rPr>
            </w:pP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808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水电费</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17F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5F6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22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36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A2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Dialog . plain" w:hAnsi="Dialog . plain" w:eastAsia="Dialog . plain" w:cs="Dialog . plain"/>
                <w:i w:val="0"/>
                <w:iCs w:val="0"/>
                <w:color w:val="000000"/>
                <w:kern w:val="0"/>
                <w:sz w:val="18"/>
                <w:szCs w:val="18"/>
                <w:u w:val="none"/>
                <w:lang w:val="en-US" w:eastAsia="zh-CN" w:bidi="ar"/>
              </w:rPr>
              <w:t>“三公”经费</w:t>
            </w:r>
            <w:r>
              <w:rPr>
                <w:rFonts w:ascii="Dialog . plain" w:hAnsi="Dialog . plain" w:eastAsia="Dialog . plain" w:cs="Dialog . plain"/>
                <w:i w:val="0"/>
                <w:iCs w:val="0"/>
                <w:color w:val="000000"/>
                <w:kern w:val="0"/>
                <w:sz w:val="18"/>
                <w:szCs w:val="18"/>
                <w:u w:val="none"/>
                <w:lang w:val="en-US" w:eastAsia="zh-CN" w:bidi="ar"/>
              </w:rPr>
              <w:t>控制率[计算方法为：（三公经费实际支出数/预算安排数]×100%）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04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4D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B8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42B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F8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46BF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42B9B">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0AE15">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A091F">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55AD8">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C7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D8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03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预算编制准确率（计算方法为：∣（执行数-预算数）/预算数∣）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CE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CCE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93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981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BF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677AC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31F9F">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068D1">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348CA">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64FEF">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31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31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22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运转保障率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E9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6D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D1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F95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0A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5CC5F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3DF4B">
            <w:pPr>
              <w:jc w:val="left"/>
              <w:rPr>
                <w:rFonts w:hint="eastAsia" w:ascii="宋体" w:hAnsi="宋体" w:eastAsia="宋体" w:cs="宋体"/>
                <w:i w:val="0"/>
                <w:iCs w:val="0"/>
                <w:color w:val="000000"/>
                <w:sz w:val="18"/>
                <w:szCs w:val="18"/>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D52F6">
            <w:pPr>
              <w:jc w:val="left"/>
              <w:rPr>
                <w:rFonts w:hint="eastAsia" w:ascii="宋体" w:hAnsi="宋体" w:eastAsia="宋体" w:cs="宋体"/>
                <w:i w:val="0"/>
                <w:iCs w:val="0"/>
                <w:color w:val="000000"/>
                <w:sz w:val="18"/>
                <w:szCs w:val="18"/>
                <w:u w:val="none"/>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F7C3F">
            <w:pPr>
              <w:jc w:val="right"/>
              <w:rPr>
                <w:rFonts w:hint="eastAsia" w:ascii="宋体" w:hAnsi="宋体" w:eastAsia="宋体" w:cs="宋体"/>
                <w:i w:val="0"/>
                <w:iCs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62237">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20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8D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59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科目调整次数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E7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59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DA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28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4B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bl>
    <w:p w14:paraId="3A6E6617"/>
    <w:p w14:paraId="2B2E33F4">
      <w:pPr>
        <w:pStyle w:val="2"/>
      </w:pPr>
    </w:p>
    <w:p w14:paraId="4D58ECE3"/>
    <w:p w14:paraId="23159EE8">
      <w:pPr>
        <w:pStyle w:val="2"/>
      </w:pPr>
    </w:p>
    <w:p w14:paraId="096D28B2"/>
    <w:p w14:paraId="10C282BD">
      <w:pPr>
        <w:pStyle w:val="2"/>
      </w:pPr>
    </w:p>
    <w:p w14:paraId="26EC322D">
      <w:pPr>
        <w:numPr>
          <w:ilvl w:val="0"/>
          <w:numId w:val="4"/>
        </w:num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4</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lang w:eastAsia="zh-CN"/>
        </w:rPr>
        <w:t>整体支出</w:t>
      </w:r>
      <w:r>
        <w:rPr>
          <w:rFonts w:hint="eastAsia" w:ascii="仿宋_GB2312" w:hAnsi="仿宋" w:eastAsia="仿宋_GB2312"/>
          <w:sz w:val="32"/>
          <w:szCs w:val="32"/>
          <w:highlight w:val="none"/>
        </w:rPr>
        <w:t>绩效</w:t>
      </w:r>
      <w:r>
        <w:rPr>
          <w:rFonts w:hint="eastAsia" w:ascii="仿宋_GB2312" w:hAnsi="仿宋" w:eastAsia="仿宋_GB2312"/>
          <w:sz w:val="32"/>
          <w:szCs w:val="32"/>
          <w:highlight w:val="none"/>
          <w:lang w:eastAsia="zh-CN"/>
        </w:rPr>
        <w:t>申报</w:t>
      </w:r>
      <w:r>
        <w:rPr>
          <w:rFonts w:hint="eastAsia" w:ascii="仿宋_GB2312" w:hAnsi="仿宋" w:eastAsia="仿宋_GB2312"/>
          <w:sz w:val="32"/>
          <w:szCs w:val="32"/>
          <w:highlight w:val="none"/>
        </w:rPr>
        <w:t>表</w:t>
      </w:r>
    </w:p>
    <w:tbl>
      <w:tblPr>
        <w:tblStyle w:val="7"/>
        <w:tblW w:w="132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2"/>
        <w:gridCol w:w="1170"/>
        <w:gridCol w:w="1027"/>
        <w:gridCol w:w="1060"/>
        <w:gridCol w:w="742"/>
        <w:gridCol w:w="1990"/>
        <w:gridCol w:w="1552"/>
        <w:gridCol w:w="1782"/>
        <w:gridCol w:w="1622"/>
        <w:gridCol w:w="2174"/>
      </w:tblGrid>
      <w:tr w14:paraId="4D239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50" w:type="dxa"/>
            <w:tcBorders>
              <w:top w:val="nil"/>
              <w:left w:val="nil"/>
              <w:bottom w:val="single" w:color="000000" w:sz="4" w:space="0"/>
              <w:right w:val="nil"/>
            </w:tcBorders>
            <w:shd w:val="clear" w:color="auto" w:fill="auto"/>
            <w:noWrap/>
            <w:vAlign w:val="bottom"/>
          </w:tcPr>
          <w:p w14:paraId="1BE4BAD9">
            <w:pPr>
              <w:keepNext w:val="0"/>
              <w:keepLines w:val="0"/>
              <w:widowControl/>
              <w:suppressLineNumbers w:val="0"/>
              <w:jc w:val="left"/>
              <w:textAlignment w:val="bottom"/>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取数时点：</w:t>
            </w:r>
          </w:p>
        </w:tc>
        <w:tc>
          <w:tcPr>
            <w:tcW w:w="11946" w:type="dxa"/>
            <w:gridSpan w:val="9"/>
            <w:tcBorders>
              <w:top w:val="nil"/>
              <w:left w:val="nil"/>
              <w:bottom w:val="single" w:color="000000" w:sz="4" w:space="0"/>
              <w:right w:val="single" w:color="000000" w:sz="4" w:space="0"/>
            </w:tcBorders>
            <w:shd w:val="clear" w:color="auto" w:fill="auto"/>
            <w:noWrap/>
            <w:vAlign w:val="bottom"/>
          </w:tcPr>
          <w:p w14:paraId="319A52D3">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二上审核数</w:t>
            </w:r>
          </w:p>
        </w:tc>
      </w:tr>
      <w:tr w14:paraId="549F5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1780" w:type="dxa"/>
            <w:gridSpan w:val="10"/>
            <w:tcBorders>
              <w:top w:val="nil"/>
              <w:left w:val="single" w:color="000000" w:sz="4" w:space="0"/>
              <w:bottom w:val="nil"/>
              <w:right w:val="single" w:color="000000" w:sz="4" w:space="0"/>
            </w:tcBorders>
            <w:shd w:val="clear" w:color="auto" w:fill="FFFFFF"/>
            <w:vAlign w:val="center"/>
          </w:tcPr>
          <w:p w14:paraId="451DC138">
            <w:pPr>
              <w:keepNext w:val="0"/>
              <w:keepLines w:val="0"/>
              <w:widowControl/>
              <w:suppressLineNumbers w:val="0"/>
              <w:jc w:val="center"/>
              <w:textAlignment w:val="center"/>
              <w:rPr>
                <w:rFonts w:ascii="微软雅黑" w:hAnsi="微软雅黑" w:eastAsia="微软雅黑" w:cs="微软雅黑"/>
                <w:b/>
                <w:bCs/>
                <w:i w:val="0"/>
                <w:iCs w:val="0"/>
                <w:color w:val="808080"/>
                <w:sz w:val="32"/>
                <w:szCs w:val="32"/>
                <w:u w:val="none"/>
              </w:rPr>
            </w:pPr>
            <w:r>
              <w:rPr>
                <w:rFonts w:hint="eastAsia" w:ascii="微软雅黑" w:hAnsi="微软雅黑" w:eastAsia="微软雅黑" w:cs="微软雅黑"/>
                <w:b/>
                <w:bCs/>
                <w:i w:val="0"/>
                <w:iCs w:val="0"/>
                <w:color w:val="808080"/>
                <w:kern w:val="0"/>
                <w:sz w:val="32"/>
                <w:szCs w:val="32"/>
                <w:u w:val="none"/>
                <w:lang w:val="en-US" w:eastAsia="zh-CN" w:bidi="ar"/>
              </w:rPr>
              <w:t>部门（单位）整体支出绩效目标申报表</w:t>
            </w:r>
          </w:p>
        </w:tc>
      </w:tr>
      <w:tr w14:paraId="41D7A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10"/>
            <w:tcBorders>
              <w:top w:val="nil"/>
              <w:left w:val="single" w:color="000000" w:sz="4" w:space="0"/>
              <w:bottom w:val="nil"/>
              <w:right w:val="single" w:color="000000" w:sz="4" w:space="0"/>
            </w:tcBorders>
            <w:shd w:val="clear" w:color="auto" w:fill="auto"/>
            <w:noWrap/>
            <w:vAlign w:val="center"/>
          </w:tcPr>
          <w:p w14:paraId="59BFA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预算年度:2024</w:t>
            </w:r>
          </w:p>
        </w:tc>
      </w:tr>
      <w:tr w14:paraId="209D8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50" w:type="dxa"/>
            <w:tcBorders>
              <w:top w:val="nil"/>
              <w:left w:val="single" w:color="000000" w:sz="4" w:space="0"/>
              <w:bottom w:val="single" w:color="000000" w:sz="4" w:space="0"/>
              <w:right w:val="nil"/>
            </w:tcBorders>
            <w:shd w:val="clear" w:color="auto" w:fill="FFFFFF"/>
            <w:vAlign w:val="center"/>
          </w:tcPr>
          <w:p w14:paraId="745ECB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预算（单位）名称：</w:t>
            </w:r>
          </w:p>
        </w:tc>
        <w:tc>
          <w:tcPr>
            <w:tcW w:w="9313" w:type="dxa"/>
            <w:gridSpan w:val="7"/>
            <w:tcBorders>
              <w:top w:val="nil"/>
              <w:left w:val="nil"/>
              <w:bottom w:val="single" w:color="000000" w:sz="4" w:space="0"/>
              <w:right w:val="nil"/>
            </w:tcBorders>
            <w:shd w:val="clear" w:color="auto" w:fill="FFFFFF"/>
            <w:vAlign w:val="center"/>
          </w:tcPr>
          <w:p w14:paraId="0C57BC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506-融媒体中心部门</w:t>
            </w:r>
          </w:p>
        </w:tc>
        <w:tc>
          <w:tcPr>
            <w:tcW w:w="2633" w:type="dxa"/>
            <w:gridSpan w:val="2"/>
            <w:tcBorders>
              <w:top w:val="nil"/>
              <w:left w:val="nil"/>
              <w:bottom w:val="single" w:color="000000" w:sz="4" w:space="0"/>
              <w:right w:val="single" w:color="000000" w:sz="4" w:space="0"/>
            </w:tcBorders>
            <w:shd w:val="clear" w:color="auto" w:fill="FFFFFF"/>
            <w:vAlign w:val="center"/>
          </w:tcPr>
          <w:p w14:paraId="108B9146">
            <w:pPr>
              <w:keepNext w:val="0"/>
              <w:keepLines w:val="0"/>
              <w:widowControl/>
              <w:suppressLineNumbers w:val="0"/>
              <w:jc w:val="right"/>
              <w:textAlignment w:val="center"/>
              <w:rPr>
                <w:rFonts w:hint="eastAsia" w:ascii="宋体" w:hAnsi="宋体" w:eastAsia="宋体" w:cs="宋体"/>
                <w:b/>
                <w:bCs/>
                <w:i w:val="0"/>
                <w:iCs w:val="0"/>
                <w:color w:val="FF0000"/>
                <w:sz w:val="22"/>
                <w:szCs w:val="22"/>
                <w:u w:val="none"/>
              </w:rPr>
            </w:pPr>
            <w:r>
              <w:rPr>
                <w:rFonts w:hint="eastAsia" w:ascii="宋体" w:hAnsi="宋体" w:eastAsia="宋体" w:cs="宋体"/>
                <w:b/>
                <w:bCs/>
                <w:i w:val="0"/>
                <w:iCs w:val="0"/>
                <w:color w:val="FF0000"/>
                <w:kern w:val="0"/>
                <w:sz w:val="22"/>
                <w:szCs w:val="22"/>
                <w:u w:val="none"/>
                <w:lang w:val="en-US" w:eastAsia="zh-CN" w:bidi="ar"/>
              </w:rPr>
              <w:t>状态：绩效处审核已审</w:t>
            </w:r>
          </w:p>
        </w:tc>
      </w:tr>
      <w:tr w14:paraId="46232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1350" w:type="dxa"/>
            <w:vMerge w:val="restart"/>
            <w:tcBorders>
              <w:top w:val="nil"/>
              <w:left w:val="single" w:color="000000" w:sz="4" w:space="0"/>
              <w:bottom w:val="single" w:color="000000" w:sz="4" w:space="0"/>
              <w:right w:val="single" w:color="000000" w:sz="4" w:space="0"/>
            </w:tcBorders>
            <w:shd w:val="clear" w:color="auto" w:fill="auto"/>
            <w:vAlign w:val="center"/>
          </w:tcPr>
          <w:p w14:paraId="51EC71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总体资金情况（元）</w:t>
            </w:r>
          </w:p>
        </w:tc>
        <w:tc>
          <w:tcPr>
            <w:tcW w:w="1667" w:type="dxa"/>
            <w:vMerge w:val="restart"/>
            <w:tcBorders>
              <w:top w:val="nil"/>
              <w:left w:val="single" w:color="000000" w:sz="4" w:space="0"/>
              <w:bottom w:val="single" w:color="000000" w:sz="4" w:space="0"/>
              <w:right w:val="single" w:color="000000" w:sz="4" w:space="0"/>
            </w:tcBorders>
            <w:shd w:val="clear" w:color="auto" w:fill="FFFFFF"/>
            <w:vAlign w:val="center"/>
          </w:tcPr>
          <w:p w14:paraId="24A90A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预算支出总额</w:t>
            </w:r>
          </w:p>
        </w:tc>
        <w:tc>
          <w:tcPr>
            <w:tcW w:w="5347" w:type="dxa"/>
            <w:gridSpan w:val="4"/>
            <w:tcBorders>
              <w:top w:val="nil"/>
              <w:left w:val="single" w:color="000000" w:sz="4" w:space="0"/>
              <w:bottom w:val="single" w:color="000000" w:sz="4" w:space="0"/>
              <w:right w:val="single" w:color="000000" w:sz="4" w:space="0"/>
            </w:tcBorders>
            <w:shd w:val="clear" w:color="auto" w:fill="FFFFFF"/>
            <w:vAlign w:val="center"/>
          </w:tcPr>
          <w:p w14:paraId="7EF074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4932" w:type="dxa"/>
            <w:gridSpan w:val="4"/>
            <w:tcBorders>
              <w:top w:val="nil"/>
              <w:left w:val="single" w:color="000000" w:sz="4" w:space="0"/>
              <w:bottom w:val="single" w:color="000000" w:sz="4" w:space="0"/>
              <w:right w:val="single" w:color="000000" w:sz="4" w:space="0"/>
            </w:tcBorders>
            <w:shd w:val="clear" w:color="auto" w:fill="auto"/>
            <w:vAlign w:val="center"/>
          </w:tcPr>
          <w:p w14:paraId="5E240D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00A3C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1350" w:type="dxa"/>
            <w:vMerge w:val="continue"/>
            <w:tcBorders>
              <w:top w:val="nil"/>
              <w:left w:val="single" w:color="000000" w:sz="4" w:space="0"/>
              <w:bottom w:val="single" w:color="000000" w:sz="4" w:space="0"/>
              <w:right w:val="single" w:color="000000" w:sz="4" w:space="0"/>
            </w:tcBorders>
            <w:shd w:val="clear" w:color="auto" w:fill="auto"/>
            <w:vAlign w:val="center"/>
          </w:tcPr>
          <w:p w14:paraId="74A28F0D">
            <w:pPr>
              <w:jc w:val="center"/>
              <w:rPr>
                <w:rFonts w:hint="eastAsia" w:ascii="宋体" w:hAnsi="宋体" w:eastAsia="宋体" w:cs="宋体"/>
                <w:i w:val="0"/>
                <w:iCs w:val="0"/>
                <w:color w:val="000000"/>
                <w:sz w:val="22"/>
                <w:szCs w:val="22"/>
                <w:u w:val="none"/>
              </w:rPr>
            </w:pPr>
          </w:p>
        </w:tc>
        <w:tc>
          <w:tcPr>
            <w:tcW w:w="1667" w:type="dxa"/>
            <w:vMerge w:val="continue"/>
            <w:tcBorders>
              <w:top w:val="nil"/>
              <w:left w:val="single" w:color="000000" w:sz="4" w:space="0"/>
              <w:bottom w:val="single" w:color="000000" w:sz="4" w:space="0"/>
              <w:right w:val="single" w:color="000000" w:sz="4" w:space="0"/>
            </w:tcBorders>
            <w:shd w:val="clear" w:color="auto" w:fill="FFFFFF"/>
            <w:vAlign w:val="center"/>
          </w:tcPr>
          <w:p w14:paraId="0E066F87">
            <w:pPr>
              <w:jc w:val="center"/>
              <w:rPr>
                <w:rFonts w:hint="eastAsia" w:ascii="宋体" w:hAnsi="宋体" w:eastAsia="宋体" w:cs="宋体"/>
                <w:b/>
                <w:bCs/>
                <w:i w:val="0"/>
                <w:iCs w:val="0"/>
                <w:color w:val="000000"/>
                <w:sz w:val="22"/>
                <w:szCs w:val="22"/>
                <w:u w:val="none"/>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A2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1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2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专户资金</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3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单位资金</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6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7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1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专户资金</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66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单位资金</w:t>
            </w:r>
          </w:p>
        </w:tc>
      </w:tr>
      <w:tr w14:paraId="40196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50" w:type="dxa"/>
            <w:vMerge w:val="continue"/>
            <w:tcBorders>
              <w:top w:val="nil"/>
              <w:left w:val="single" w:color="000000" w:sz="4" w:space="0"/>
              <w:bottom w:val="single" w:color="000000" w:sz="4" w:space="0"/>
              <w:right w:val="single" w:color="000000" w:sz="4" w:space="0"/>
            </w:tcBorders>
            <w:shd w:val="clear" w:color="auto" w:fill="auto"/>
            <w:vAlign w:val="center"/>
          </w:tcPr>
          <w:p w14:paraId="2715DBA8">
            <w:pPr>
              <w:jc w:val="center"/>
              <w:rPr>
                <w:rFonts w:hint="eastAsia" w:ascii="宋体" w:hAnsi="宋体" w:eastAsia="宋体" w:cs="宋体"/>
                <w:i w:val="0"/>
                <w:iCs w:val="0"/>
                <w:color w:val="000000"/>
                <w:sz w:val="22"/>
                <w:szCs w:val="22"/>
                <w:u w:val="none"/>
              </w:rPr>
            </w:pPr>
          </w:p>
        </w:tc>
        <w:tc>
          <w:tcPr>
            <w:tcW w:w="16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F6E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5538884.75 </w:t>
            </w:r>
          </w:p>
        </w:tc>
        <w:tc>
          <w:tcPr>
            <w:tcW w:w="1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3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5538884.75 </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03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5538884.75 </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9B83">
            <w:pPr>
              <w:jc w:val="right"/>
              <w:rPr>
                <w:rFonts w:hint="eastAsia" w:ascii="宋体" w:hAnsi="宋体" w:eastAsia="宋体" w:cs="宋体"/>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13F20">
            <w:pPr>
              <w:jc w:val="right"/>
              <w:rPr>
                <w:rFonts w:hint="eastAsia" w:ascii="宋体" w:hAnsi="宋体" w:eastAsia="宋体" w:cs="宋体"/>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319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566F">
            <w:pPr>
              <w:jc w:val="right"/>
              <w:rPr>
                <w:rFonts w:hint="eastAsia" w:ascii="宋体" w:hAnsi="宋体" w:eastAsia="宋体" w:cs="宋体"/>
                <w:i w:val="0"/>
                <w:iCs w:val="0"/>
                <w:color w:val="000000"/>
                <w:sz w:val="22"/>
                <w:szCs w:val="22"/>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F456">
            <w:pPr>
              <w:jc w:val="right"/>
              <w:rPr>
                <w:rFonts w:hint="eastAsia" w:ascii="宋体" w:hAnsi="宋体" w:eastAsia="宋体" w:cs="宋体"/>
                <w:i w:val="0"/>
                <w:iCs w:val="0"/>
                <w:color w:val="000000"/>
                <w:sz w:val="22"/>
                <w:szCs w:val="22"/>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514B">
            <w:pPr>
              <w:jc w:val="right"/>
              <w:rPr>
                <w:rFonts w:hint="eastAsia" w:ascii="宋体" w:hAnsi="宋体" w:eastAsia="宋体" w:cs="宋体"/>
                <w:i w:val="0"/>
                <w:iCs w:val="0"/>
                <w:color w:val="000000"/>
                <w:sz w:val="22"/>
                <w:szCs w:val="22"/>
                <w:u w:val="none"/>
              </w:rPr>
            </w:pPr>
          </w:p>
        </w:tc>
      </w:tr>
      <w:tr w14:paraId="14163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50" w:type="dxa"/>
            <w:tcBorders>
              <w:top w:val="single" w:color="000000" w:sz="4" w:space="0"/>
              <w:left w:val="single" w:color="000000" w:sz="4" w:space="0"/>
              <w:bottom w:val="single" w:color="000000" w:sz="4" w:space="0"/>
              <w:right w:val="nil"/>
            </w:tcBorders>
            <w:shd w:val="clear" w:color="auto" w:fill="auto"/>
            <w:vAlign w:val="center"/>
          </w:tcPr>
          <w:p w14:paraId="0D504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整体绩效目标</w:t>
            </w:r>
          </w:p>
        </w:tc>
        <w:tc>
          <w:tcPr>
            <w:tcW w:w="11946" w:type="dxa"/>
            <w:gridSpan w:val="9"/>
            <w:tcBorders>
              <w:top w:val="single" w:color="000000" w:sz="4" w:space="0"/>
              <w:left w:val="single" w:color="000000" w:sz="4" w:space="0"/>
              <w:bottom w:val="single" w:color="000000" w:sz="4" w:space="0"/>
              <w:right w:val="single" w:color="000000" w:sz="4" w:space="0"/>
            </w:tcBorders>
            <w:shd w:val="clear" w:color="auto" w:fill="auto"/>
            <w:vAlign w:val="top"/>
          </w:tcPr>
          <w:p w14:paraId="41EE3CAA">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保障全年基本人员类正常运转，全年新闻宣传工作正常运行，完成年初目标。加强事业建设，做好安全播出工作。 </w:t>
            </w:r>
          </w:p>
        </w:tc>
      </w:tr>
      <w:tr w14:paraId="693D3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08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年度主要任务</w:t>
            </w:r>
          </w:p>
        </w:tc>
        <w:tc>
          <w:tcPr>
            <w:tcW w:w="5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7FE5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任务名称</w:t>
            </w:r>
          </w:p>
        </w:tc>
        <w:tc>
          <w:tcPr>
            <w:tcW w:w="63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8C3F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主要内容</w:t>
            </w:r>
          </w:p>
        </w:tc>
      </w:tr>
      <w:tr w14:paraId="2E801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93128">
            <w:pPr>
              <w:jc w:val="center"/>
              <w:rPr>
                <w:rFonts w:hint="eastAsia" w:ascii="宋体" w:hAnsi="宋体" w:eastAsia="宋体" w:cs="宋体"/>
                <w:i w:val="0"/>
                <w:iCs w:val="0"/>
                <w:color w:val="000000"/>
                <w:sz w:val="22"/>
                <w:szCs w:val="22"/>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8FC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稳步推进事业建设，夯实安全播出管理</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A9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加强对广播电视设备维修维护升级，确保全年安全播出无事故</w:t>
            </w:r>
          </w:p>
        </w:tc>
      </w:tr>
      <w:tr w14:paraId="04324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10320">
            <w:pPr>
              <w:jc w:val="center"/>
              <w:rPr>
                <w:rFonts w:hint="eastAsia" w:ascii="宋体" w:hAnsi="宋体" w:eastAsia="宋体" w:cs="宋体"/>
                <w:i w:val="0"/>
                <w:iCs w:val="0"/>
                <w:color w:val="000000"/>
                <w:sz w:val="22"/>
                <w:szCs w:val="22"/>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F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保障人员正常运转</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68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保障全年基本人员类正常运转，每月工资保险等按时发放、转账等</w:t>
            </w:r>
          </w:p>
        </w:tc>
      </w:tr>
      <w:tr w14:paraId="3A5E0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9BAE8">
            <w:pPr>
              <w:jc w:val="center"/>
              <w:rPr>
                <w:rFonts w:hint="eastAsia" w:ascii="宋体" w:hAnsi="宋体" w:eastAsia="宋体" w:cs="宋体"/>
                <w:i w:val="0"/>
                <w:iCs w:val="0"/>
                <w:color w:val="000000"/>
                <w:sz w:val="22"/>
                <w:szCs w:val="22"/>
                <w:u w:val="none"/>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41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完成单位日常宣传工作目标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A80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计划在中央级媒体发布新闻80余条次，在省级媒体发布新闻60余条次，在州级媒体发布新闻80余条次，本级媒体发送新闻600余条。</w:t>
            </w:r>
          </w:p>
        </w:tc>
      </w:tr>
      <w:tr w14:paraId="761EB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AC2B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整</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体</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绩</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效</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情</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况</w:t>
            </w:r>
          </w:p>
        </w:tc>
        <w:tc>
          <w:tcPr>
            <w:tcW w:w="11946"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50F3EC9E">
            <w:pPr>
              <w:keepNext w:val="0"/>
              <w:keepLines w:val="0"/>
              <w:widowControl/>
              <w:suppressLineNumbers w:val="0"/>
              <w:jc w:val="center"/>
              <w:textAlignment w:val="center"/>
              <w:rPr>
                <w:rFonts w:hint="eastAsia" w:ascii="微软雅黑" w:hAnsi="微软雅黑" w:eastAsia="微软雅黑" w:cs="微软雅黑"/>
                <w:b/>
                <w:bCs/>
                <w:i w:val="0"/>
                <w:iCs w:val="0"/>
                <w:color w:val="808080"/>
                <w:sz w:val="28"/>
                <w:szCs w:val="28"/>
                <w:u w:val="none"/>
              </w:rPr>
            </w:pPr>
            <w:r>
              <w:rPr>
                <w:rFonts w:hint="eastAsia" w:ascii="微软雅黑" w:hAnsi="微软雅黑" w:eastAsia="微软雅黑" w:cs="微软雅黑"/>
                <w:b/>
                <w:bCs/>
                <w:i w:val="0"/>
                <w:iCs w:val="0"/>
                <w:color w:val="808080"/>
                <w:kern w:val="0"/>
                <w:sz w:val="28"/>
                <w:szCs w:val="28"/>
                <w:u w:val="none"/>
                <w:lang w:val="en-US" w:eastAsia="zh-CN" w:bidi="ar"/>
              </w:rPr>
              <w:t>年度绩效指标</w:t>
            </w:r>
          </w:p>
        </w:tc>
      </w:tr>
      <w:tr w14:paraId="25CD2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47E78">
            <w:pPr>
              <w:jc w:val="center"/>
              <w:rPr>
                <w:rFonts w:hint="eastAsia" w:ascii="宋体" w:hAnsi="宋体" w:eastAsia="宋体" w:cs="宋体"/>
                <w:b/>
                <w:bCs/>
                <w:i w:val="0"/>
                <w:iCs w:val="0"/>
                <w:color w:val="000000"/>
                <w:sz w:val="22"/>
                <w:szCs w:val="22"/>
                <w:u w:val="none"/>
              </w:rPr>
            </w:pPr>
          </w:p>
        </w:tc>
        <w:tc>
          <w:tcPr>
            <w:tcW w:w="3116" w:type="dxa"/>
            <w:gridSpan w:val="2"/>
            <w:tcBorders>
              <w:top w:val="single" w:color="000000" w:sz="4" w:space="0"/>
              <w:left w:val="single" w:color="000000" w:sz="4" w:space="0"/>
              <w:bottom w:val="nil"/>
              <w:right w:val="single" w:color="000000" w:sz="4" w:space="0"/>
            </w:tcBorders>
            <w:shd w:val="clear" w:color="auto" w:fill="auto"/>
            <w:vAlign w:val="center"/>
          </w:tcPr>
          <w:p w14:paraId="7E7623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二级指标</w:t>
            </w:r>
          </w:p>
        </w:tc>
        <w:tc>
          <w:tcPr>
            <w:tcW w:w="3898" w:type="dxa"/>
            <w:gridSpan w:val="3"/>
            <w:tcBorders>
              <w:top w:val="single" w:color="000000" w:sz="4" w:space="0"/>
              <w:left w:val="single" w:color="000000" w:sz="4" w:space="0"/>
              <w:bottom w:val="nil"/>
              <w:right w:val="single" w:color="000000" w:sz="4" w:space="0"/>
            </w:tcBorders>
            <w:shd w:val="clear" w:color="auto" w:fill="auto"/>
            <w:vAlign w:val="center"/>
          </w:tcPr>
          <w:p w14:paraId="52CD71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三级指标</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AE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绩效指标性质</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F6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绩效指标值</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A40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绩效度量单位</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33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权重</w:t>
            </w:r>
          </w:p>
        </w:tc>
      </w:tr>
      <w:tr w14:paraId="50708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71F41">
            <w:pPr>
              <w:jc w:val="center"/>
              <w:rPr>
                <w:rFonts w:hint="eastAsia" w:ascii="宋体" w:hAnsi="宋体" w:eastAsia="宋体" w:cs="宋体"/>
                <w:b/>
                <w:bCs/>
                <w:i w:val="0"/>
                <w:iCs w:val="0"/>
                <w:color w:val="000000"/>
                <w:sz w:val="22"/>
                <w:szCs w:val="22"/>
                <w:u w:val="none"/>
              </w:rPr>
            </w:pPr>
          </w:p>
        </w:tc>
        <w:tc>
          <w:tcPr>
            <w:tcW w:w="3116" w:type="dxa"/>
            <w:gridSpan w:val="2"/>
            <w:vMerge w:val="restart"/>
            <w:tcBorders>
              <w:top w:val="single" w:color="000000" w:sz="4" w:space="0"/>
              <w:left w:val="single" w:color="000000" w:sz="4" w:space="0"/>
              <w:bottom w:val="single" w:color="000000" w:sz="4" w:space="0"/>
              <w:right w:val="nil"/>
            </w:tcBorders>
            <w:shd w:val="clear" w:color="auto" w:fill="auto"/>
            <w:vAlign w:val="center"/>
          </w:tcPr>
          <w:p w14:paraId="433BC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38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2E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各级媒体发布新闻指标条数</w:t>
            </w:r>
          </w:p>
        </w:tc>
        <w:tc>
          <w:tcPr>
            <w:tcW w:w="1066" w:type="dxa"/>
            <w:tcBorders>
              <w:top w:val="single" w:color="000000" w:sz="4" w:space="0"/>
              <w:left w:val="nil"/>
              <w:bottom w:val="single" w:color="000000" w:sz="4" w:space="0"/>
              <w:right w:val="single" w:color="000000" w:sz="4" w:space="0"/>
            </w:tcBorders>
            <w:shd w:val="clear" w:color="auto" w:fill="auto"/>
            <w:vAlign w:val="center"/>
          </w:tcPr>
          <w:p w14:paraId="6736C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D8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CA9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8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15FD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7A007">
            <w:pPr>
              <w:jc w:val="center"/>
              <w:rPr>
                <w:rFonts w:hint="eastAsia" w:ascii="宋体" w:hAnsi="宋体" w:eastAsia="宋体" w:cs="宋体"/>
                <w:b/>
                <w:bCs/>
                <w:i w:val="0"/>
                <w:iCs w:val="0"/>
                <w:color w:val="000000"/>
                <w:sz w:val="22"/>
                <w:szCs w:val="22"/>
                <w:u w:val="none"/>
              </w:rPr>
            </w:pPr>
          </w:p>
        </w:tc>
        <w:tc>
          <w:tcPr>
            <w:tcW w:w="3116" w:type="dxa"/>
            <w:gridSpan w:val="2"/>
            <w:vMerge w:val="continue"/>
            <w:tcBorders>
              <w:top w:val="single" w:color="000000" w:sz="4" w:space="0"/>
              <w:left w:val="single" w:color="000000" w:sz="4" w:space="0"/>
              <w:bottom w:val="single" w:color="000000" w:sz="4" w:space="0"/>
              <w:right w:val="nil"/>
            </w:tcBorders>
            <w:shd w:val="clear" w:color="auto" w:fill="auto"/>
            <w:vAlign w:val="center"/>
          </w:tcPr>
          <w:p w14:paraId="28E91F41">
            <w:pPr>
              <w:rPr>
                <w:rFonts w:hint="eastAsia" w:ascii="宋体" w:hAnsi="宋体" w:eastAsia="宋体" w:cs="宋体"/>
                <w:i w:val="0"/>
                <w:iCs w:val="0"/>
                <w:color w:val="000000"/>
                <w:sz w:val="22"/>
                <w:szCs w:val="22"/>
                <w:u w:val="none"/>
              </w:rPr>
            </w:pPr>
          </w:p>
        </w:tc>
        <w:tc>
          <w:tcPr>
            <w:tcW w:w="38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08CA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全年工资发放人数</w:t>
            </w:r>
          </w:p>
        </w:tc>
        <w:tc>
          <w:tcPr>
            <w:tcW w:w="1066" w:type="dxa"/>
            <w:tcBorders>
              <w:top w:val="single" w:color="000000" w:sz="4" w:space="0"/>
              <w:left w:val="nil"/>
              <w:bottom w:val="single" w:color="000000" w:sz="4" w:space="0"/>
              <w:right w:val="single" w:color="000000" w:sz="4" w:space="0"/>
            </w:tcBorders>
            <w:shd w:val="clear" w:color="auto" w:fill="auto"/>
            <w:vAlign w:val="center"/>
          </w:tcPr>
          <w:p w14:paraId="79AD6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E9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7A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FE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56655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36857">
            <w:pPr>
              <w:jc w:val="center"/>
              <w:rPr>
                <w:rFonts w:hint="eastAsia" w:ascii="宋体" w:hAnsi="宋体" w:eastAsia="宋体" w:cs="宋体"/>
                <w:b/>
                <w:bCs/>
                <w:i w:val="0"/>
                <w:iCs w:val="0"/>
                <w:color w:val="000000"/>
                <w:sz w:val="22"/>
                <w:szCs w:val="22"/>
                <w:u w:val="none"/>
              </w:rPr>
            </w:pPr>
          </w:p>
        </w:tc>
        <w:tc>
          <w:tcPr>
            <w:tcW w:w="1667" w:type="dxa"/>
            <w:tcBorders>
              <w:top w:val="single" w:color="000000" w:sz="4" w:space="0"/>
              <w:left w:val="single" w:color="000000" w:sz="4" w:space="0"/>
              <w:bottom w:val="single" w:color="000000" w:sz="4" w:space="0"/>
              <w:right w:val="nil"/>
            </w:tcBorders>
            <w:shd w:val="clear" w:color="auto" w:fill="auto"/>
            <w:vAlign w:val="center"/>
          </w:tcPr>
          <w:p w14:paraId="4DE03F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449" w:type="dxa"/>
            <w:tcBorders>
              <w:top w:val="single" w:color="000000" w:sz="4" w:space="0"/>
              <w:left w:val="nil"/>
              <w:bottom w:val="single" w:color="000000" w:sz="4" w:space="0"/>
              <w:right w:val="nil"/>
            </w:tcBorders>
            <w:shd w:val="clear" w:color="auto" w:fill="auto"/>
            <w:vAlign w:val="center"/>
          </w:tcPr>
          <w:p w14:paraId="226CADE0">
            <w:pPr>
              <w:rPr>
                <w:rFonts w:hint="eastAsia" w:ascii="宋体" w:hAnsi="宋体" w:eastAsia="宋体" w:cs="宋体"/>
                <w:i w:val="0"/>
                <w:iCs w:val="0"/>
                <w:color w:val="000000"/>
                <w:sz w:val="22"/>
                <w:szCs w:val="22"/>
                <w:u w:val="none"/>
              </w:rPr>
            </w:pPr>
          </w:p>
        </w:tc>
        <w:tc>
          <w:tcPr>
            <w:tcW w:w="38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215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全年各类设备正常运转</w:t>
            </w:r>
          </w:p>
        </w:tc>
        <w:tc>
          <w:tcPr>
            <w:tcW w:w="1066" w:type="dxa"/>
            <w:tcBorders>
              <w:top w:val="single" w:color="000000" w:sz="4" w:space="0"/>
              <w:left w:val="nil"/>
              <w:bottom w:val="single" w:color="000000" w:sz="4" w:space="0"/>
              <w:right w:val="single" w:color="000000" w:sz="4" w:space="0"/>
            </w:tcBorders>
            <w:shd w:val="clear" w:color="auto" w:fill="auto"/>
            <w:vAlign w:val="center"/>
          </w:tcPr>
          <w:p w14:paraId="74436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DF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1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7B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2A4A8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DF36B">
            <w:pPr>
              <w:jc w:val="center"/>
              <w:rPr>
                <w:rFonts w:hint="eastAsia" w:ascii="宋体" w:hAnsi="宋体" w:eastAsia="宋体" w:cs="宋体"/>
                <w:b/>
                <w:bCs/>
                <w:i w:val="0"/>
                <w:iCs w:val="0"/>
                <w:color w:val="000000"/>
                <w:sz w:val="22"/>
                <w:szCs w:val="22"/>
                <w:u w:val="none"/>
              </w:rPr>
            </w:pPr>
          </w:p>
        </w:tc>
        <w:tc>
          <w:tcPr>
            <w:tcW w:w="1667" w:type="dxa"/>
            <w:tcBorders>
              <w:top w:val="single" w:color="000000" w:sz="4" w:space="0"/>
              <w:left w:val="single" w:color="000000" w:sz="4" w:space="0"/>
              <w:bottom w:val="single" w:color="000000" w:sz="4" w:space="0"/>
              <w:right w:val="nil"/>
            </w:tcBorders>
            <w:shd w:val="clear" w:color="auto" w:fill="auto"/>
            <w:vAlign w:val="center"/>
          </w:tcPr>
          <w:p w14:paraId="13BF0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449" w:type="dxa"/>
            <w:tcBorders>
              <w:top w:val="single" w:color="000000" w:sz="4" w:space="0"/>
              <w:left w:val="nil"/>
              <w:bottom w:val="single" w:color="000000" w:sz="4" w:space="0"/>
              <w:right w:val="nil"/>
            </w:tcBorders>
            <w:shd w:val="clear" w:color="auto" w:fill="auto"/>
            <w:vAlign w:val="center"/>
          </w:tcPr>
          <w:p w14:paraId="0EBD3292">
            <w:pPr>
              <w:rPr>
                <w:rFonts w:hint="eastAsia" w:ascii="宋体" w:hAnsi="宋体" w:eastAsia="宋体" w:cs="宋体"/>
                <w:i w:val="0"/>
                <w:iCs w:val="0"/>
                <w:color w:val="000000"/>
                <w:sz w:val="22"/>
                <w:szCs w:val="22"/>
                <w:u w:val="none"/>
              </w:rPr>
            </w:pPr>
          </w:p>
        </w:tc>
        <w:tc>
          <w:tcPr>
            <w:tcW w:w="38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F855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对外塑造九寨沟县良好形象丰富群众文娱生活</w:t>
            </w:r>
          </w:p>
        </w:tc>
        <w:tc>
          <w:tcPr>
            <w:tcW w:w="1066" w:type="dxa"/>
            <w:tcBorders>
              <w:top w:val="single" w:color="000000" w:sz="4" w:space="0"/>
              <w:left w:val="nil"/>
              <w:bottom w:val="single" w:color="000000" w:sz="4" w:space="0"/>
              <w:right w:val="single" w:color="000000" w:sz="4" w:space="0"/>
            </w:tcBorders>
            <w:shd w:val="clear" w:color="auto" w:fill="auto"/>
            <w:vAlign w:val="center"/>
          </w:tcPr>
          <w:p w14:paraId="26AAA5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9D8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积极</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F4339">
            <w:pPr>
              <w:jc w:val="left"/>
              <w:rPr>
                <w:rFonts w:hint="eastAsia" w:ascii="宋体" w:hAnsi="宋体" w:eastAsia="宋体" w:cs="宋体"/>
                <w:i w:val="0"/>
                <w:iCs w:val="0"/>
                <w:color w:val="000000"/>
                <w:sz w:val="22"/>
                <w:szCs w:val="22"/>
                <w:u w:val="none"/>
              </w:rPr>
            </w:pP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74B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44A40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05BB9">
            <w:pPr>
              <w:jc w:val="center"/>
              <w:rPr>
                <w:rFonts w:hint="eastAsia" w:ascii="宋体" w:hAnsi="宋体" w:eastAsia="宋体" w:cs="宋体"/>
                <w:b/>
                <w:bCs/>
                <w:i w:val="0"/>
                <w:iCs w:val="0"/>
                <w:color w:val="000000"/>
                <w:sz w:val="22"/>
                <w:szCs w:val="22"/>
                <w:u w:val="none"/>
              </w:rPr>
            </w:pPr>
          </w:p>
        </w:tc>
        <w:tc>
          <w:tcPr>
            <w:tcW w:w="1667" w:type="dxa"/>
            <w:tcBorders>
              <w:top w:val="single" w:color="000000" w:sz="4" w:space="0"/>
              <w:left w:val="single" w:color="000000" w:sz="4" w:space="0"/>
              <w:bottom w:val="single" w:color="000000" w:sz="4" w:space="0"/>
              <w:right w:val="nil"/>
            </w:tcBorders>
            <w:shd w:val="clear" w:color="auto" w:fill="auto"/>
            <w:vAlign w:val="center"/>
          </w:tcPr>
          <w:p w14:paraId="4512BC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449" w:type="dxa"/>
            <w:tcBorders>
              <w:top w:val="single" w:color="000000" w:sz="4" w:space="0"/>
              <w:left w:val="nil"/>
              <w:bottom w:val="single" w:color="000000" w:sz="4" w:space="0"/>
              <w:right w:val="nil"/>
            </w:tcBorders>
            <w:shd w:val="clear" w:color="auto" w:fill="auto"/>
            <w:vAlign w:val="center"/>
          </w:tcPr>
          <w:p w14:paraId="760CDBFF">
            <w:pPr>
              <w:rPr>
                <w:rFonts w:hint="eastAsia" w:ascii="宋体" w:hAnsi="宋体" w:eastAsia="宋体" w:cs="宋体"/>
                <w:i w:val="0"/>
                <w:iCs w:val="0"/>
                <w:color w:val="000000"/>
                <w:sz w:val="22"/>
                <w:szCs w:val="22"/>
                <w:u w:val="none"/>
              </w:rPr>
            </w:pPr>
          </w:p>
        </w:tc>
        <w:tc>
          <w:tcPr>
            <w:tcW w:w="38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9708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群众收听收看电视广播节目满意度</w:t>
            </w:r>
          </w:p>
        </w:tc>
        <w:tc>
          <w:tcPr>
            <w:tcW w:w="1066" w:type="dxa"/>
            <w:tcBorders>
              <w:top w:val="single" w:color="000000" w:sz="4" w:space="0"/>
              <w:left w:val="nil"/>
              <w:bottom w:val="single" w:color="000000" w:sz="4" w:space="0"/>
              <w:right w:val="single" w:color="000000" w:sz="4" w:space="0"/>
            </w:tcBorders>
            <w:shd w:val="clear" w:color="auto" w:fill="auto"/>
            <w:vAlign w:val="center"/>
          </w:tcPr>
          <w:p w14:paraId="4174E2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E9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3D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A4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4E2E1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D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其他说明</w:t>
            </w:r>
          </w:p>
        </w:tc>
        <w:tc>
          <w:tcPr>
            <w:tcW w:w="11946" w:type="dxa"/>
            <w:gridSpan w:val="9"/>
            <w:tcBorders>
              <w:top w:val="nil"/>
              <w:left w:val="single" w:color="000000" w:sz="4" w:space="0"/>
              <w:bottom w:val="single" w:color="000000" w:sz="4" w:space="0"/>
              <w:right w:val="single" w:color="000000" w:sz="4" w:space="0"/>
            </w:tcBorders>
            <w:shd w:val="clear" w:color="auto" w:fill="auto"/>
            <w:vAlign w:val="top"/>
          </w:tcPr>
          <w:p w14:paraId="2C38153A">
            <w:pPr>
              <w:jc w:val="left"/>
              <w:rPr>
                <w:rFonts w:hint="eastAsia" w:ascii="宋体" w:hAnsi="宋体" w:eastAsia="宋体" w:cs="宋体"/>
                <w:i w:val="0"/>
                <w:iCs w:val="0"/>
                <w:color w:val="000000"/>
                <w:sz w:val="22"/>
                <w:szCs w:val="22"/>
                <w:u w:val="none"/>
              </w:rPr>
            </w:pPr>
          </w:p>
        </w:tc>
      </w:tr>
    </w:tbl>
    <w:p w14:paraId="43FC81DE">
      <w:pPr>
        <w:pStyle w:val="2"/>
        <w:numPr>
          <w:ilvl w:val="0"/>
          <w:numId w:val="0"/>
        </w:numPr>
        <w:ind w:leftChars="400"/>
      </w:pPr>
    </w:p>
    <w:p w14:paraId="00903B3D">
      <w:pPr>
        <w:rPr>
          <w:rFonts w:hint="eastAsia"/>
          <w:lang w:eastAsia="zh-CN"/>
        </w:rPr>
      </w:pPr>
    </w:p>
    <w:p w14:paraId="492B8178">
      <w:pPr>
        <w:pStyle w:val="2"/>
        <w:rPr>
          <w:rFonts w:hint="eastAsia"/>
          <w:lang w:eastAsia="zh-CN"/>
        </w:rPr>
        <w:sectPr>
          <w:pgSz w:w="16838" w:h="11906" w:orient="landscape"/>
          <w:pgMar w:top="1803" w:right="1440" w:bottom="1803" w:left="1440" w:header="851" w:footer="992" w:gutter="0"/>
          <w:cols w:space="0" w:num="1"/>
          <w:rtlGutter w:val="0"/>
          <w:docGrid w:type="lines" w:linePitch="319" w:charSpace="0"/>
        </w:sectPr>
      </w:pPr>
    </w:p>
    <w:p w14:paraId="4FF24FC9">
      <w:pPr>
        <w:pStyle w:val="2"/>
        <w:rPr>
          <w:rFonts w:hint="eastAsia"/>
          <w:lang w:eastAsia="zh-CN"/>
        </w:rPr>
      </w:pPr>
    </w:p>
    <w:p w14:paraId="1A9BF837">
      <w:pPr>
        <w:numPr>
          <w:ilvl w:val="0"/>
          <w:numId w:val="0"/>
        </w:numPr>
        <w:ind w:leftChars="0"/>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lang w:eastAsia="zh-CN"/>
        </w:rPr>
        <w:t>第三部分</w:t>
      </w:r>
      <w:r>
        <w:rPr>
          <w:rFonts w:hint="eastAsia" w:ascii="方正小标宋简体" w:hAnsi="黑体" w:eastAsia="方正小标宋简体"/>
          <w:sz w:val="44"/>
          <w:szCs w:val="44"/>
          <w:highlight w:val="none"/>
          <w:lang w:val="en-US" w:eastAsia="zh-CN"/>
        </w:rPr>
        <w:t xml:space="preserve">  </w:t>
      </w:r>
      <w:r>
        <w:rPr>
          <w:rFonts w:hint="eastAsia" w:ascii="方正小标宋简体" w:hAnsi="黑体" w:eastAsia="方正小标宋简体"/>
          <w:sz w:val="44"/>
          <w:szCs w:val="44"/>
          <w:highlight w:val="none"/>
        </w:rPr>
        <w:t xml:space="preserve"> </w:t>
      </w:r>
      <w:r>
        <w:rPr>
          <w:rFonts w:hint="eastAsia" w:ascii="方正小标宋简体" w:hAnsi="黑体" w:eastAsia="方正小标宋简体"/>
          <w:sz w:val="44"/>
          <w:szCs w:val="44"/>
          <w:highlight w:val="none"/>
          <w:lang w:eastAsia="zh-CN"/>
        </w:rPr>
        <w:t>融媒体中心2024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w:t>
      </w:r>
      <w:r>
        <w:rPr>
          <w:rFonts w:hint="eastAsia" w:ascii="方正小标宋简体" w:hAnsi="黑体" w:eastAsia="方正小标宋简体"/>
          <w:sz w:val="44"/>
          <w:szCs w:val="44"/>
          <w:highlight w:val="none"/>
        </w:rPr>
        <w:t>情况说明</w:t>
      </w:r>
    </w:p>
    <w:p w14:paraId="6F68D28D">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一、收支预算情况说明</w:t>
      </w:r>
    </w:p>
    <w:p w14:paraId="7AE61914">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w:t>
      </w:r>
      <w:r>
        <w:rPr>
          <w:rFonts w:hint="eastAsia" w:ascii="仿宋_GB2312" w:hAnsi="黑体" w:eastAsia="仿宋_GB2312"/>
          <w:sz w:val="32"/>
          <w:szCs w:val="32"/>
          <w:highlight w:val="none"/>
          <w:lang w:eastAsia="zh-CN"/>
        </w:rPr>
        <w:t>融媒体中心</w:t>
      </w:r>
      <w:r>
        <w:rPr>
          <w:rFonts w:hint="eastAsia" w:ascii="仿宋_GB2312" w:hAnsi="黑体" w:eastAsia="仿宋_GB2312"/>
          <w:sz w:val="32"/>
          <w:szCs w:val="32"/>
          <w:highlight w:val="none"/>
        </w:rPr>
        <w:t>所有收入和支出均纳入</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预算管理。</w:t>
      </w:r>
      <w:r>
        <w:rPr>
          <w:rFonts w:hint="eastAsia" w:ascii="仿宋_GB2312" w:eastAsia="仿宋_GB2312"/>
          <w:sz w:val="32"/>
          <w:szCs w:val="32"/>
          <w:shd w:val="clear" w:color="auto" w:fill="FFFFFF"/>
        </w:rPr>
        <w:t>收入包括：一般公共预算拨款收入；支出包括：一般公共服务支出、教育支出、社会保障和就业支出、医疗卫生与计划生育支出、住房保障支出。</w:t>
      </w:r>
      <w:r>
        <w:rPr>
          <w:rFonts w:hint="eastAsia" w:ascii="仿宋_GB2312" w:hAnsi="黑体" w:eastAsia="仿宋_GB2312"/>
          <w:sz w:val="32"/>
          <w:szCs w:val="32"/>
          <w:highlight w:val="none"/>
          <w:lang w:eastAsia="zh-CN"/>
        </w:rPr>
        <w:t>融媒体中心2024</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530.69</w:t>
      </w:r>
      <w:r>
        <w:rPr>
          <w:rFonts w:hint="eastAsia" w:ascii="仿宋_GB2312" w:hAnsi="黑体" w:eastAsia="仿宋_GB2312"/>
          <w:sz w:val="32"/>
          <w:szCs w:val="32"/>
          <w:highlight w:val="none"/>
        </w:rPr>
        <w:t>万元，比</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年收支预算总数增加</w:t>
      </w:r>
      <w:r>
        <w:rPr>
          <w:rFonts w:hint="eastAsia" w:ascii="仿宋_GB2312" w:hAnsi="黑体" w:eastAsia="仿宋_GB2312"/>
          <w:sz w:val="32"/>
          <w:szCs w:val="32"/>
          <w:highlight w:val="none"/>
          <w:lang w:val="en-US" w:eastAsia="zh-CN"/>
        </w:rPr>
        <w:t>124.18</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eastAsia="zh-CN"/>
        </w:rPr>
        <w:t>将目标绩效支出纳入预算管理</w:t>
      </w:r>
      <w:r>
        <w:rPr>
          <w:rFonts w:hint="eastAsia" w:ascii="仿宋_GB2312" w:hAnsi="黑体" w:eastAsia="仿宋_GB2312"/>
          <w:sz w:val="32"/>
          <w:szCs w:val="32"/>
          <w:highlight w:val="none"/>
        </w:rPr>
        <w:t>。</w:t>
      </w:r>
    </w:p>
    <w:p w14:paraId="2DB89820">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14:paraId="64792A4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融媒体中心2024</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530.69</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530.69</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w:t>
      </w:r>
    </w:p>
    <w:p w14:paraId="2E791D60">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14:paraId="0558C55B">
      <w:pPr>
        <w:ind w:firstLine="640" w:firstLineChars="200"/>
        <w:jc w:val="both"/>
        <w:rPr>
          <w:rFonts w:hint="eastAsia" w:ascii="仿宋_GB2312" w:hAnsi="黑体" w:eastAsia="仿宋_GB2312"/>
          <w:sz w:val="32"/>
          <w:szCs w:val="32"/>
          <w:highlight w:val="none"/>
          <w:lang w:val="en-US" w:eastAsia="zh-CN"/>
        </w:rPr>
        <w:sectPr>
          <w:pgSz w:w="11906" w:h="16838"/>
          <w:pgMar w:top="1440" w:right="1803" w:bottom="1440" w:left="1803" w:header="851" w:footer="992" w:gutter="0"/>
          <w:cols w:space="0" w:num="1"/>
          <w:rtlGutter w:val="0"/>
          <w:docGrid w:type="lines" w:linePitch="319" w:charSpace="0"/>
        </w:sectPr>
      </w:pPr>
      <w:r>
        <w:rPr>
          <w:rFonts w:hint="eastAsia" w:ascii="仿宋_GB2312" w:hAnsi="黑体" w:eastAsia="仿宋_GB2312"/>
          <w:sz w:val="32"/>
          <w:szCs w:val="32"/>
          <w:highlight w:val="none"/>
          <w:lang w:eastAsia="zh-CN"/>
        </w:rPr>
        <w:t>融媒体中心2024</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530.69</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530.69</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0</w:t>
      </w:r>
    </w:p>
    <w:p w14:paraId="5EB49BA8">
      <w:pPr>
        <w:jc w:val="both"/>
        <w:rPr>
          <w:rFonts w:ascii="仿宋_GB2312" w:hAnsi="黑体" w:eastAsia="仿宋_GB2312"/>
          <w:sz w:val="32"/>
          <w:szCs w:val="32"/>
          <w:highlight w:val="none"/>
        </w:rPr>
      </w:pP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14:paraId="71264392">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14:paraId="470C4AAF">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融媒体中心2024</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530.69</w:t>
      </w:r>
      <w:r>
        <w:rPr>
          <w:rFonts w:hint="eastAsia" w:ascii="仿宋_GB2312" w:hAnsi="黑体" w:eastAsia="仿宋_GB2312"/>
          <w:sz w:val="32"/>
          <w:szCs w:val="32"/>
          <w:highlight w:val="none"/>
        </w:rPr>
        <w:t>万元，比</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年财政拨款收支预算总数增</w:t>
      </w:r>
      <w:r>
        <w:rPr>
          <w:rFonts w:hint="eastAsia" w:ascii="仿宋_GB2312" w:hAnsi="黑体" w:eastAsia="仿宋_GB2312"/>
          <w:sz w:val="32"/>
          <w:szCs w:val="32"/>
          <w:highlight w:val="none"/>
          <w:lang w:val="en-US" w:eastAsia="zh-CN"/>
        </w:rPr>
        <w:t>加124.18</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eastAsia="zh-CN"/>
        </w:rPr>
        <w:t>将目标绩效支出纳入预算管理</w:t>
      </w:r>
      <w:r>
        <w:rPr>
          <w:rFonts w:hint="eastAsia" w:ascii="仿宋_GB2312" w:hAnsi="黑体" w:eastAsia="仿宋_GB2312"/>
          <w:sz w:val="32"/>
          <w:szCs w:val="32"/>
          <w:highlight w:val="none"/>
        </w:rPr>
        <w:t>。</w:t>
      </w:r>
    </w:p>
    <w:p w14:paraId="405FD75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530.69</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支出包括：</w:t>
      </w:r>
      <w:r>
        <w:rPr>
          <w:rFonts w:hint="eastAsia" w:ascii="仿宋_GB2312" w:eastAsia="仿宋_GB2312"/>
          <w:sz w:val="32"/>
          <w:szCs w:val="32"/>
          <w:shd w:val="clear" w:color="auto" w:fill="FFFFFF"/>
        </w:rPr>
        <w:t>本年一般公共预算拨款收入</w:t>
      </w:r>
      <w:r>
        <w:rPr>
          <w:rFonts w:hint="eastAsia" w:ascii="仿宋_GB2312" w:hAnsi="黑体" w:eastAsia="仿宋_GB2312"/>
          <w:sz w:val="32"/>
          <w:szCs w:val="32"/>
          <w:highlight w:val="none"/>
          <w:lang w:val="en-US" w:eastAsia="zh-CN"/>
        </w:rPr>
        <w:t>530.69</w:t>
      </w:r>
      <w:r>
        <w:rPr>
          <w:rFonts w:hint="eastAsia" w:ascii="仿宋_GB2312" w:eastAsia="仿宋_GB2312"/>
          <w:sz w:val="32"/>
          <w:szCs w:val="32"/>
          <w:shd w:val="clear" w:color="auto" w:fill="FFFFFF"/>
        </w:rPr>
        <w:t>万元、支出包括：</w:t>
      </w:r>
      <w:r>
        <w:rPr>
          <w:rFonts w:hint="eastAsia" w:ascii="仿宋_GB2312" w:eastAsia="仿宋_GB2312"/>
          <w:sz w:val="32"/>
          <w:szCs w:val="32"/>
          <w:shd w:val="clear" w:color="auto" w:fill="FFFFFF"/>
          <w:lang w:eastAsia="zh-CN"/>
        </w:rPr>
        <w:t>文化旅游体育与传媒</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370.62</w:t>
      </w:r>
      <w:r>
        <w:rPr>
          <w:rFonts w:hint="eastAsia" w:ascii="仿宋_GB2312" w:eastAsia="仿宋_GB2312"/>
          <w:sz w:val="32"/>
          <w:szCs w:val="32"/>
          <w:shd w:val="clear" w:color="auto" w:fill="FFFFFF"/>
        </w:rPr>
        <w:t>万元、社会保障和就业支出</w:t>
      </w:r>
      <w:r>
        <w:rPr>
          <w:rFonts w:hint="eastAsia" w:ascii="仿宋_GB2312" w:eastAsia="仿宋_GB2312"/>
          <w:sz w:val="32"/>
          <w:szCs w:val="32"/>
          <w:shd w:val="clear" w:color="auto" w:fill="FFFFFF"/>
          <w:lang w:val="en-US" w:eastAsia="zh-CN"/>
        </w:rPr>
        <w:t>83.40万元，</w:t>
      </w:r>
      <w:r>
        <w:rPr>
          <w:rFonts w:hint="eastAsia" w:ascii="仿宋_GB2312" w:eastAsia="仿宋_GB2312"/>
          <w:sz w:val="32"/>
          <w:szCs w:val="32"/>
          <w:shd w:val="clear" w:color="auto" w:fill="FFFFFF"/>
        </w:rPr>
        <w:t>卫生</w:t>
      </w:r>
      <w:r>
        <w:rPr>
          <w:rFonts w:hint="eastAsia" w:ascii="仿宋_GB2312" w:eastAsia="仿宋_GB2312"/>
          <w:sz w:val="32"/>
          <w:szCs w:val="32"/>
          <w:shd w:val="clear" w:color="auto" w:fill="FFFFFF"/>
          <w:lang w:eastAsia="zh-CN"/>
        </w:rPr>
        <w:t>健康</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32.20</w:t>
      </w:r>
      <w:r>
        <w:rPr>
          <w:rFonts w:hint="eastAsia" w:ascii="仿宋_GB2312" w:eastAsia="仿宋_GB2312"/>
          <w:sz w:val="32"/>
          <w:szCs w:val="32"/>
          <w:shd w:val="clear" w:color="auto" w:fill="FFFFFF"/>
        </w:rPr>
        <w:t>万元、住房保障支出</w:t>
      </w:r>
      <w:r>
        <w:rPr>
          <w:rFonts w:hint="eastAsia" w:ascii="仿宋_GB2312" w:eastAsia="仿宋_GB2312"/>
          <w:sz w:val="32"/>
          <w:szCs w:val="32"/>
          <w:shd w:val="clear" w:color="auto" w:fill="FFFFFF"/>
          <w:lang w:val="en-US" w:eastAsia="zh-CN"/>
        </w:rPr>
        <w:t>44.46</w:t>
      </w:r>
      <w:r>
        <w:rPr>
          <w:rFonts w:hint="eastAsia" w:ascii="仿宋_GB2312" w:eastAsia="仿宋_GB2312"/>
          <w:sz w:val="32"/>
          <w:szCs w:val="32"/>
          <w:shd w:val="clear" w:color="auto" w:fill="FFFFFF"/>
        </w:rPr>
        <w:t>万元</w:t>
      </w:r>
      <w:r>
        <w:rPr>
          <w:rFonts w:hint="eastAsia" w:ascii="仿宋_GB2312" w:hAnsi="黑体" w:eastAsia="仿宋_GB2312"/>
          <w:sz w:val="32"/>
          <w:szCs w:val="32"/>
          <w:highlight w:val="none"/>
        </w:rPr>
        <w:t>。</w:t>
      </w:r>
    </w:p>
    <w:p w14:paraId="7DBBF768">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14:paraId="0FC61506">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14:paraId="0075C37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融媒体中心2024</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530.69</w:t>
      </w:r>
      <w:r>
        <w:rPr>
          <w:rFonts w:hint="eastAsia" w:ascii="仿宋_GB2312" w:hAnsi="黑体" w:eastAsia="仿宋_GB2312"/>
          <w:sz w:val="32"/>
          <w:szCs w:val="32"/>
          <w:highlight w:val="none"/>
        </w:rPr>
        <w:t>万元，比</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年财政拨款收支预算总数增</w:t>
      </w:r>
      <w:r>
        <w:rPr>
          <w:rFonts w:hint="eastAsia" w:ascii="仿宋_GB2312" w:hAnsi="黑体" w:eastAsia="仿宋_GB2312"/>
          <w:sz w:val="32"/>
          <w:szCs w:val="32"/>
          <w:highlight w:val="none"/>
          <w:lang w:val="en-US" w:eastAsia="zh-CN"/>
        </w:rPr>
        <w:t>加124.18</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eastAsia="zh-CN"/>
        </w:rPr>
        <w:t>将目标绩效支出纳入预算管理</w:t>
      </w:r>
      <w:r>
        <w:rPr>
          <w:rFonts w:hint="eastAsia" w:ascii="仿宋_GB2312" w:hAnsi="黑体" w:eastAsia="仿宋_GB2312"/>
          <w:sz w:val="32"/>
          <w:szCs w:val="32"/>
          <w:highlight w:val="none"/>
        </w:rPr>
        <w:t>。</w:t>
      </w:r>
    </w:p>
    <w:p w14:paraId="0F374F7E">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14:paraId="5C84628D">
      <w:pPr>
        <w:ind w:firstLine="640" w:firstLineChars="200"/>
        <w:jc w:val="both"/>
        <w:rPr>
          <w:rFonts w:ascii="仿宋_GB2312" w:hAnsi="黑体" w:eastAsia="仿宋_GB2312"/>
          <w:sz w:val="32"/>
          <w:szCs w:val="32"/>
          <w:highlight w:val="none"/>
        </w:rPr>
      </w:pPr>
      <w:r>
        <w:rPr>
          <w:rFonts w:hint="eastAsia" w:ascii="仿宋_GB2312" w:eastAsia="仿宋_GB2312"/>
          <w:sz w:val="32"/>
          <w:szCs w:val="32"/>
          <w:shd w:val="clear" w:color="auto" w:fill="FFFFFF"/>
          <w:lang w:eastAsia="zh-CN"/>
        </w:rPr>
        <w:t>文化旅游体育与传媒</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370.62</w:t>
      </w:r>
      <w:r>
        <w:rPr>
          <w:rFonts w:hint="eastAsia" w:ascii="仿宋_GB2312" w:eastAsia="仿宋_GB2312"/>
          <w:sz w:val="32"/>
          <w:szCs w:val="32"/>
          <w:shd w:val="clear" w:color="auto" w:fill="FFFFFF"/>
        </w:rPr>
        <w:t>万元、</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70</w:t>
      </w:r>
      <w:r>
        <w:rPr>
          <w:rFonts w:hint="eastAsia" w:ascii="仿宋_GB2312" w:hAnsi="黑体" w:eastAsia="仿宋_GB2312"/>
          <w:sz w:val="32"/>
          <w:szCs w:val="32"/>
          <w:highlight w:val="none"/>
        </w:rPr>
        <w:t>%；</w:t>
      </w:r>
      <w:r>
        <w:rPr>
          <w:rFonts w:hint="eastAsia" w:ascii="仿宋_GB2312" w:eastAsia="仿宋_GB2312"/>
          <w:sz w:val="32"/>
          <w:szCs w:val="32"/>
          <w:shd w:val="clear" w:color="auto" w:fill="FFFFFF"/>
        </w:rPr>
        <w:t>社会保障和就业支出</w:t>
      </w:r>
      <w:r>
        <w:rPr>
          <w:rFonts w:hint="eastAsia" w:ascii="仿宋_GB2312" w:eastAsia="仿宋_GB2312"/>
          <w:sz w:val="32"/>
          <w:szCs w:val="32"/>
          <w:shd w:val="clear" w:color="auto" w:fill="FFFFFF"/>
          <w:lang w:val="en-US" w:eastAsia="zh-CN"/>
        </w:rPr>
        <w:t>83.40万元，</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16</w:t>
      </w:r>
      <w:r>
        <w:rPr>
          <w:rFonts w:hint="eastAsia" w:ascii="仿宋_GB2312" w:hAnsi="黑体" w:eastAsia="仿宋_GB2312"/>
          <w:sz w:val="32"/>
          <w:szCs w:val="32"/>
          <w:highlight w:val="none"/>
        </w:rPr>
        <w:t>%；</w:t>
      </w:r>
      <w:r>
        <w:rPr>
          <w:rFonts w:hint="eastAsia" w:ascii="仿宋_GB2312" w:eastAsia="仿宋_GB2312"/>
          <w:sz w:val="32"/>
          <w:szCs w:val="32"/>
          <w:shd w:val="clear" w:color="auto" w:fill="FFFFFF"/>
        </w:rPr>
        <w:t>卫生</w:t>
      </w:r>
      <w:r>
        <w:rPr>
          <w:rFonts w:hint="eastAsia" w:ascii="仿宋_GB2312" w:eastAsia="仿宋_GB2312"/>
          <w:sz w:val="32"/>
          <w:szCs w:val="32"/>
          <w:shd w:val="clear" w:color="auto" w:fill="FFFFFF"/>
          <w:lang w:eastAsia="zh-CN"/>
        </w:rPr>
        <w:t>健康</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32.20</w:t>
      </w:r>
      <w:r>
        <w:rPr>
          <w:rFonts w:hint="eastAsia" w:ascii="仿宋_GB2312" w:eastAsia="仿宋_GB2312"/>
          <w:sz w:val="32"/>
          <w:szCs w:val="32"/>
          <w:shd w:val="clear" w:color="auto" w:fill="FFFFFF"/>
        </w:rPr>
        <w:t>万元</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住房保障支出</w:t>
      </w:r>
      <w:r>
        <w:rPr>
          <w:rFonts w:hint="eastAsia" w:ascii="仿宋_GB2312" w:eastAsia="仿宋_GB2312"/>
          <w:sz w:val="32"/>
          <w:szCs w:val="32"/>
          <w:shd w:val="clear" w:color="auto" w:fill="FFFFFF"/>
          <w:lang w:val="en-US" w:eastAsia="zh-CN"/>
        </w:rPr>
        <w:t>44.46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rPr>
        <w:t>%。</w:t>
      </w:r>
    </w:p>
    <w:p w14:paraId="04DFD6DF">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14:paraId="261CD46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1.</w:t>
      </w:r>
      <w:r>
        <w:rPr>
          <w:rFonts w:hint="eastAsia" w:ascii="仿宋_GB2312" w:hAnsi="仿宋_GB2312" w:eastAsia="仿宋_GB2312" w:cs="仿宋_GB2312"/>
          <w:b w:val="0"/>
          <w:bCs w:val="0"/>
          <w:i w:val="0"/>
          <w:caps w:val="0"/>
          <w:color w:val="333333"/>
          <w:spacing w:val="0"/>
          <w:sz w:val="32"/>
          <w:szCs w:val="32"/>
          <w:highlight w:val="none"/>
          <w:shd w:val="clear" w:fill="FFFFFF"/>
        </w:rPr>
        <w:t>文化</w:t>
      </w:r>
      <w:r>
        <w:rPr>
          <w:rFonts w:hint="eastAsia" w:ascii="仿宋_GB2312" w:hAnsi="仿宋_GB2312" w:eastAsia="仿宋_GB2312" w:cs="仿宋_GB2312"/>
          <w:b w:val="0"/>
          <w:bCs w:val="0"/>
          <w:sz w:val="32"/>
          <w:szCs w:val="32"/>
          <w:highlight w:val="none"/>
          <w:shd w:val="clear" w:color="auto" w:fill="FFFFFF"/>
          <w:lang w:eastAsia="zh-CN"/>
        </w:rPr>
        <w:t>旅游体育与传媒</w:t>
      </w:r>
      <w:r>
        <w:rPr>
          <w:rFonts w:hint="eastAsia" w:ascii="仿宋_GB2312" w:hAnsi="仿宋_GB2312" w:eastAsia="仿宋_GB2312" w:cs="仿宋_GB2312"/>
          <w:b w:val="0"/>
          <w:bCs w:val="0"/>
          <w:i w:val="0"/>
          <w:caps w:val="0"/>
          <w:color w:val="333333"/>
          <w:spacing w:val="0"/>
          <w:sz w:val="32"/>
          <w:szCs w:val="32"/>
          <w:highlight w:val="none"/>
          <w:shd w:val="clear" w:fill="FFFFFF"/>
        </w:rPr>
        <w:t>（类）广播电视（款）</w:t>
      </w:r>
      <w:r>
        <w:rPr>
          <w:rFonts w:hint="eastAsia" w:ascii="仿宋_GB2312" w:hAnsi="仿宋_GB2312" w:eastAsia="仿宋_GB2312" w:cs="仿宋_GB2312"/>
          <w:b w:val="0"/>
          <w:bCs w:val="0"/>
          <w:sz w:val="32"/>
          <w:szCs w:val="32"/>
          <w:highlight w:val="none"/>
          <w:shd w:val="clear" w:color="auto" w:fill="FFFFFF"/>
        </w:rPr>
        <w:t>其他新闻广播电视事务</w:t>
      </w:r>
      <w:r>
        <w:rPr>
          <w:rFonts w:hint="eastAsia" w:ascii="仿宋_GB2312" w:eastAsia="仿宋_GB2312"/>
          <w:sz w:val="32"/>
          <w:szCs w:val="32"/>
          <w:shd w:val="clear" w:color="auto" w:fill="FFFFFF"/>
        </w:rPr>
        <w:t>（项）</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2024年预算数</w:t>
      </w:r>
      <w:r>
        <w:rPr>
          <w:rFonts w:hint="eastAsia" w:ascii="仿宋_GB2312" w:eastAsia="仿宋_GB2312"/>
          <w:sz w:val="32"/>
          <w:szCs w:val="32"/>
          <w:shd w:val="clear" w:color="auto" w:fill="FFFFFF"/>
          <w:lang w:val="en-US" w:eastAsia="zh-CN"/>
        </w:rPr>
        <w:t>370.62</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eastAsia="zh-CN"/>
        </w:rPr>
        <w:t>，</w:t>
      </w:r>
      <w:r>
        <w:rPr>
          <w:rFonts w:hint="eastAsia" w:ascii="仿宋_GB2312" w:hAnsi="黑体" w:eastAsia="仿宋_GB2312"/>
          <w:sz w:val="32"/>
          <w:szCs w:val="32"/>
          <w:highlight w:val="none"/>
        </w:rPr>
        <w:t>主要用于：单位正常运转的基本支出，包括基本工资、津贴补贴等人员经费以及办公费、印刷费、水电费等日常公用经费，保障正常运转。</w:t>
      </w:r>
    </w:p>
    <w:p w14:paraId="27F8C196">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.社会保障和就业（类）行政事业单位离退休（款）机关事业单位基本养老保险缴费支出（项）: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53.77</w:t>
      </w:r>
      <w:r>
        <w:rPr>
          <w:rFonts w:hint="eastAsia" w:ascii="仿宋_GB2312" w:eastAsia="仿宋_GB2312"/>
          <w:sz w:val="32"/>
          <w:szCs w:val="32"/>
          <w:shd w:val="clear" w:color="auto" w:fill="FFFFFF"/>
        </w:rPr>
        <w:t>万元，主要用于：实施养老保险制度后，部门按规定由单位缴纳的基本养老保险费支出。</w:t>
      </w:r>
    </w:p>
    <w:p w14:paraId="400DDBB6">
      <w:pPr>
        <w:ind w:firstLine="640" w:firstLineChars="200"/>
        <w:rPr>
          <w:rFonts w:ascii="仿宋_GB2312" w:eastAsia="仿宋_GB2312"/>
          <w:sz w:val="32"/>
          <w:szCs w:val="32"/>
          <w:shd w:val="clear" w:color="auto" w:fill="FFFFFF"/>
        </w:rPr>
      </w:pPr>
      <w:r>
        <w:rPr>
          <w:rFonts w:hint="eastAsia" w:ascii="仿宋_GB2312" w:eastAsia="仿宋_GB2312"/>
          <w:color w:val="333333"/>
          <w:sz w:val="32"/>
          <w:szCs w:val="32"/>
          <w:lang w:val="en-US" w:eastAsia="zh-CN"/>
        </w:rPr>
        <w:t>3</w:t>
      </w:r>
      <w:r>
        <w:rPr>
          <w:rFonts w:hint="eastAsia" w:ascii="仿宋_GB2312" w:eastAsia="仿宋_GB2312"/>
          <w:sz w:val="32"/>
          <w:szCs w:val="32"/>
          <w:shd w:val="clear" w:color="auto" w:fill="FFFFFF"/>
        </w:rPr>
        <w:t>.卫生健康支出（类）行政事业单位医疗（款）事业单位医疗（项）: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w:t>
      </w:r>
      <w:r>
        <w:rPr>
          <w:rFonts w:hint="eastAsia" w:ascii="仿宋_GB2312" w:eastAsia="仿宋_GB2312"/>
          <w:sz w:val="32"/>
          <w:szCs w:val="32"/>
          <w:shd w:val="clear" w:color="auto" w:fill="FFFFFF"/>
          <w:lang w:val="en-US" w:eastAsia="zh-CN"/>
        </w:rPr>
        <w:t>25.93</w:t>
      </w:r>
      <w:r>
        <w:rPr>
          <w:rFonts w:hint="eastAsia" w:ascii="仿宋_GB2312" w:eastAsia="仿宋_GB2312"/>
          <w:sz w:val="32"/>
          <w:szCs w:val="32"/>
          <w:shd w:val="clear" w:color="auto" w:fill="FFFFFF"/>
        </w:rPr>
        <w:t>万元，主要用于单位职工基本医疗保险缴费支出；</w:t>
      </w:r>
    </w:p>
    <w:p w14:paraId="3969B86F">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.卫生健康支出（类）行政事业单位医疗（款）公务员医疗补助（项）：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w:t>
      </w:r>
      <w:r>
        <w:rPr>
          <w:rFonts w:hint="eastAsia" w:ascii="仿宋_GB2312" w:eastAsia="仿宋_GB2312"/>
          <w:sz w:val="32"/>
          <w:szCs w:val="32"/>
          <w:shd w:val="clear" w:color="auto" w:fill="FFFFFF"/>
          <w:lang w:val="en-US" w:eastAsia="zh-CN"/>
        </w:rPr>
        <w:t>6.27</w:t>
      </w:r>
      <w:r>
        <w:rPr>
          <w:rFonts w:hint="eastAsia" w:ascii="仿宋_GB2312" w:eastAsia="仿宋_GB2312"/>
          <w:sz w:val="32"/>
          <w:szCs w:val="32"/>
          <w:shd w:val="clear" w:color="auto" w:fill="FFFFFF"/>
        </w:rPr>
        <w:t>万元，主要用于单位集中缴纳公务员医疗补助支出。</w:t>
      </w:r>
    </w:p>
    <w:p w14:paraId="00BE339D">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.社会保障和就业（类）行政事业单位离退休（款） 机关事业单位职业年金缴费支出（项）：</w:t>
      </w:r>
      <w:r>
        <w:rPr>
          <w:rFonts w:hint="eastAsia" w:ascii="仿宋_GB2312" w:eastAsia="仿宋_GB2312"/>
          <w:sz w:val="32"/>
          <w:szCs w:val="32"/>
          <w:shd w:val="clear" w:color="auto" w:fill="FFFFFF"/>
          <w:lang w:eastAsia="zh-CN"/>
        </w:rPr>
        <w:t>2023</w:t>
      </w:r>
      <w:r>
        <w:rPr>
          <w:rFonts w:hint="eastAsia" w:ascii="仿宋_GB2312" w:eastAsia="仿宋_GB2312"/>
          <w:sz w:val="32"/>
          <w:szCs w:val="32"/>
          <w:shd w:val="clear" w:color="auto" w:fill="FFFFFF"/>
        </w:rPr>
        <w:t>预算数</w:t>
      </w:r>
      <w:r>
        <w:rPr>
          <w:rFonts w:hint="eastAsia" w:ascii="仿宋_GB2312" w:eastAsia="仿宋_GB2312"/>
          <w:sz w:val="32"/>
          <w:szCs w:val="32"/>
          <w:shd w:val="clear" w:color="auto" w:fill="FFFFFF"/>
          <w:lang w:val="en-US" w:eastAsia="zh-CN"/>
        </w:rPr>
        <w:t>29.63</w:t>
      </w:r>
      <w:r>
        <w:rPr>
          <w:rFonts w:hint="eastAsia" w:ascii="仿宋_GB2312" w:eastAsia="仿宋_GB2312"/>
          <w:sz w:val="32"/>
          <w:szCs w:val="32"/>
          <w:shd w:val="clear" w:color="auto" w:fill="FFFFFF"/>
        </w:rPr>
        <w:t>万元，主要用于</w:t>
      </w:r>
      <w:r>
        <w:rPr>
          <w:rFonts w:hint="eastAsia" w:ascii="仿宋_GB2312" w:eastAsia="仿宋_GB2312"/>
          <w:sz w:val="32"/>
          <w:szCs w:val="32"/>
          <w:shd w:val="clear" w:color="auto" w:fill="FFFFFF"/>
          <w:lang w:eastAsia="zh-CN"/>
        </w:rPr>
        <w:t>职业年金单位部分</w:t>
      </w:r>
      <w:r>
        <w:rPr>
          <w:rFonts w:hint="eastAsia" w:ascii="仿宋_GB2312" w:eastAsia="仿宋_GB2312"/>
          <w:sz w:val="32"/>
          <w:szCs w:val="32"/>
          <w:shd w:val="clear" w:color="auto" w:fill="FFFFFF"/>
        </w:rPr>
        <w:t>缴费支出。</w:t>
      </w:r>
    </w:p>
    <w:p w14:paraId="76A79F5C">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7</w:t>
      </w:r>
      <w:r>
        <w:rPr>
          <w:rFonts w:hint="eastAsia" w:ascii="仿宋_GB2312" w:eastAsia="仿宋_GB2312"/>
          <w:sz w:val="32"/>
          <w:szCs w:val="32"/>
          <w:shd w:val="clear" w:color="auto" w:fill="FFFFFF"/>
        </w:rPr>
        <w:t>.住房保障（类）住房改革支出（款）住房公积金（项）:</w:t>
      </w:r>
      <w:r>
        <w:rPr>
          <w:rFonts w:hint="eastAsia" w:ascii="仿宋_GB2312" w:eastAsia="仿宋_GB2312"/>
          <w:sz w:val="32"/>
          <w:szCs w:val="32"/>
          <w:shd w:val="clear" w:color="auto" w:fill="FFFFFF"/>
          <w:lang w:eastAsia="zh-CN"/>
        </w:rPr>
        <w:t>2023</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44.46</w:t>
      </w:r>
      <w:r>
        <w:rPr>
          <w:rFonts w:hint="eastAsia" w:ascii="仿宋_GB2312" w:eastAsia="仿宋_GB2312"/>
          <w:sz w:val="32"/>
          <w:szCs w:val="32"/>
          <w:shd w:val="clear" w:color="auto" w:fill="FFFFFF"/>
        </w:rPr>
        <w:t xml:space="preserve">万元，主要用于：部门按人力资源和社会保障部、财政部规定的基本工资和津贴补贴以及规定比例为职工缴纳的住房公积金支出。 </w:t>
      </w:r>
    </w:p>
    <w:p w14:paraId="34F136E7">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14:paraId="037A9090">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融媒体中心2024</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530.69</w:t>
      </w:r>
      <w:r>
        <w:rPr>
          <w:rFonts w:hint="eastAsia" w:ascii="仿宋_GB2312" w:hAnsi="黑体" w:eastAsia="仿宋_GB2312"/>
          <w:sz w:val="32"/>
          <w:szCs w:val="32"/>
          <w:highlight w:val="none"/>
        </w:rPr>
        <w:t>万元，其中：</w:t>
      </w:r>
    </w:p>
    <w:p w14:paraId="6323C57C">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505.71</w:t>
      </w:r>
      <w:r>
        <w:rPr>
          <w:rFonts w:hint="eastAsia" w:ascii="仿宋_GB2312" w:hAnsi="黑体" w:eastAsia="仿宋_GB2312"/>
          <w:sz w:val="32"/>
          <w:szCs w:val="32"/>
          <w:highlight w:val="none"/>
        </w:rPr>
        <w:t>万元，主要包括：基本工资、津贴补贴、奖金、社会保险缴费、离休费、住房公积金、福利费、工会经费、其他交通费用等支出。</w:t>
      </w:r>
    </w:p>
    <w:p w14:paraId="598D22B5">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24.98</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14:paraId="0281FD19">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14:paraId="6E3F206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融媒体中心2024</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0.49</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0.49</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6FFE93EF">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（一）公务接待费与</w:t>
      </w:r>
      <w:r>
        <w:rPr>
          <w:rFonts w:hint="eastAsia" w:ascii="楷体" w:hAnsi="楷体" w:eastAsia="楷体"/>
          <w:b/>
          <w:sz w:val="32"/>
          <w:szCs w:val="32"/>
          <w:highlight w:val="none"/>
          <w:lang w:eastAsia="zh-CN"/>
        </w:rPr>
        <w:t>2023</w:t>
      </w:r>
      <w:r>
        <w:rPr>
          <w:rFonts w:hint="eastAsia" w:ascii="楷体" w:hAnsi="楷体" w:eastAsia="楷体"/>
          <w:b/>
          <w:sz w:val="32"/>
          <w:szCs w:val="32"/>
          <w:highlight w:val="none"/>
        </w:rPr>
        <w:t>年预算持平。</w:t>
      </w:r>
    </w:p>
    <w:p w14:paraId="2C58B6F8">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无</w:t>
      </w:r>
      <w:r>
        <w:rPr>
          <w:rFonts w:hint="eastAsia" w:ascii="仿宋_GB2312" w:hAnsi="黑体" w:eastAsia="仿宋_GB2312"/>
          <w:sz w:val="32"/>
          <w:szCs w:val="32"/>
          <w:highlight w:val="none"/>
        </w:rPr>
        <w:t>公务接待费</w:t>
      </w:r>
      <w:r>
        <w:rPr>
          <w:rFonts w:hint="eastAsia" w:ascii="仿宋_GB2312" w:hAnsi="黑体" w:eastAsia="仿宋_GB2312"/>
          <w:sz w:val="32"/>
          <w:szCs w:val="32"/>
          <w:highlight w:val="none"/>
          <w:lang w:eastAsia="zh-CN"/>
        </w:rPr>
        <w:t>预算</w:t>
      </w:r>
      <w:r>
        <w:rPr>
          <w:rFonts w:hint="eastAsia" w:ascii="仿宋_GB2312" w:hAnsi="黑体" w:eastAsia="仿宋_GB2312"/>
          <w:sz w:val="32"/>
          <w:szCs w:val="32"/>
          <w:highlight w:val="none"/>
        </w:rPr>
        <w:t>。</w:t>
      </w:r>
    </w:p>
    <w:p w14:paraId="6F896C41">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w:t>
      </w:r>
      <w:r>
        <w:rPr>
          <w:rFonts w:hint="eastAsia" w:ascii="楷体" w:hAnsi="楷体" w:eastAsia="楷体"/>
          <w:b/>
          <w:sz w:val="32"/>
          <w:szCs w:val="32"/>
          <w:highlight w:val="none"/>
          <w:lang w:eastAsia="zh-CN"/>
        </w:rPr>
        <w:t>2023</w:t>
      </w:r>
      <w:r>
        <w:rPr>
          <w:rFonts w:hint="eastAsia" w:ascii="楷体" w:hAnsi="楷体" w:eastAsia="楷体"/>
          <w:b/>
          <w:sz w:val="32"/>
          <w:szCs w:val="32"/>
          <w:highlight w:val="none"/>
        </w:rPr>
        <w:t>年预算持平。</w:t>
      </w:r>
    </w:p>
    <w:p w14:paraId="469F35A7">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辆，其中：</w:t>
      </w:r>
      <w:r>
        <w:rPr>
          <w:rFonts w:hint="eastAsia" w:ascii="仿宋_GB2312" w:eastAsia="仿宋_GB2312"/>
          <w:sz w:val="32"/>
          <w:szCs w:val="32"/>
          <w:shd w:val="clear" w:color="auto" w:fill="FFFFFF"/>
        </w:rPr>
        <w:t>轿车</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辆、越野车</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辆、多功能乘用车</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辆</w:t>
      </w:r>
      <w:r>
        <w:rPr>
          <w:rFonts w:hint="eastAsia" w:ascii="仿宋_GB2312" w:hAnsi="黑体" w:eastAsia="仿宋_GB2312"/>
          <w:sz w:val="32"/>
          <w:szCs w:val="32"/>
          <w:highlight w:val="none"/>
        </w:rPr>
        <w:t>。</w:t>
      </w:r>
    </w:p>
    <w:p w14:paraId="7A6A4DC8">
      <w:pPr>
        <w:ind w:firstLine="420" w:firstLineChars="0"/>
        <w:rPr>
          <w:rFonts w:ascii="仿宋_GB2312" w:hAnsi="黑体" w:eastAsia="仿宋_GB2312"/>
          <w:sz w:val="32"/>
          <w:szCs w:val="32"/>
          <w:highlight w:val="none"/>
        </w:rPr>
      </w:pPr>
      <w:r>
        <w:rPr>
          <w:rFonts w:hint="eastAsia" w:ascii="仿宋_GB2312" w:eastAsia="仿宋_GB2312"/>
          <w:sz w:val="32"/>
          <w:szCs w:val="32"/>
          <w:shd w:val="clear" w:color="auto" w:fill="FFFFFF"/>
          <w:lang w:eastAsia="zh-CN"/>
        </w:rPr>
        <w:t>2023</w:t>
      </w:r>
      <w:r>
        <w:rPr>
          <w:rFonts w:hint="eastAsia" w:ascii="仿宋_GB2312" w:eastAsia="仿宋_GB2312"/>
          <w:sz w:val="32"/>
          <w:szCs w:val="32"/>
          <w:shd w:val="clear" w:color="auto" w:fill="FFFFFF"/>
        </w:rPr>
        <w:t>年安排</w:t>
      </w:r>
      <w:r>
        <w:rPr>
          <w:rFonts w:hint="eastAsia" w:ascii="仿宋_GB2312" w:eastAsia="仿宋_GB2312"/>
          <w:sz w:val="32"/>
          <w:szCs w:val="32"/>
          <w:shd w:val="clear" w:color="auto" w:fill="FFFFFF"/>
          <w:lang w:eastAsia="zh-CN"/>
        </w:rPr>
        <w:t>其他交通费</w:t>
      </w:r>
      <w:r>
        <w:rPr>
          <w:rFonts w:hint="eastAsia" w:ascii="仿宋_GB2312" w:eastAsia="仿宋_GB2312"/>
          <w:sz w:val="32"/>
          <w:szCs w:val="32"/>
          <w:shd w:val="clear" w:color="auto" w:fill="FFFFFF"/>
        </w:rPr>
        <w:t>用于</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辆</w:t>
      </w:r>
      <w:r>
        <w:rPr>
          <w:rFonts w:hint="eastAsia" w:ascii="仿宋_GB2312" w:eastAsia="仿宋_GB2312"/>
          <w:sz w:val="32"/>
          <w:szCs w:val="32"/>
          <w:shd w:val="clear" w:color="auto" w:fill="FFFFFF"/>
          <w:lang w:eastAsia="zh-CN"/>
        </w:rPr>
        <w:t>单位</w:t>
      </w:r>
      <w:r>
        <w:rPr>
          <w:rFonts w:hint="eastAsia" w:ascii="仿宋_GB2312" w:eastAsia="仿宋_GB2312"/>
          <w:sz w:val="32"/>
          <w:szCs w:val="32"/>
          <w:shd w:val="clear" w:color="auto" w:fill="FFFFFF"/>
        </w:rPr>
        <w:t>用车燃油、过路（桥）、维修、保险等方面支出，主要保障</w:t>
      </w:r>
      <w:r>
        <w:rPr>
          <w:rFonts w:hint="eastAsia" w:ascii="仿宋_GB2312" w:eastAsia="仿宋_GB2312"/>
          <w:sz w:val="32"/>
          <w:szCs w:val="32"/>
          <w:shd w:val="clear" w:color="auto" w:fill="FFFFFF"/>
          <w:lang w:eastAsia="zh-CN"/>
        </w:rPr>
        <w:t>宣传</w:t>
      </w:r>
      <w:r>
        <w:rPr>
          <w:rFonts w:hint="eastAsia" w:ascii="仿宋_GB2312" w:eastAsia="仿宋_GB2312"/>
          <w:sz w:val="32"/>
          <w:szCs w:val="32"/>
          <w:shd w:val="clear" w:color="auto" w:fill="FFFFFF"/>
        </w:rPr>
        <w:t>工作</w:t>
      </w:r>
      <w:r>
        <w:rPr>
          <w:rFonts w:hint="eastAsia" w:ascii="仿宋_GB2312" w:eastAsia="仿宋_GB2312"/>
          <w:sz w:val="32"/>
          <w:szCs w:val="32"/>
          <w:shd w:val="clear" w:color="auto" w:fill="FFFFFF"/>
          <w:lang w:eastAsia="zh-CN"/>
        </w:rPr>
        <w:t>任务</w:t>
      </w:r>
      <w:r>
        <w:rPr>
          <w:rFonts w:hint="eastAsia" w:ascii="仿宋_GB2312" w:eastAsia="仿宋_GB2312"/>
          <w:sz w:val="32"/>
          <w:szCs w:val="32"/>
          <w:shd w:val="clear" w:color="auto" w:fill="FFFFFF"/>
        </w:rPr>
        <w:t>开展。</w:t>
      </w:r>
    </w:p>
    <w:p w14:paraId="33795E34">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14:paraId="0A124AE7">
      <w:pPr>
        <w:ind w:firstLine="640" w:firstLineChars="200"/>
        <w:jc w:val="both"/>
        <w:rPr>
          <w:rFonts w:hint="eastAsia" w:ascii="仿宋_GB2312" w:eastAsia="仿宋_GB2312"/>
          <w:sz w:val="32"/>
          <w:szCs w:val="32"/>
          <w:shd w:val="clear" w:color="auto" w:fill="FFFFFF"/>
          <w:lang w:eastAsia="zh-CN"/>
        </w:rPr>
      </w:pPr>
      <w:r>
        <w:rPr>
          <w:rFonts w:hint="eastAsia" w:ascii="仿宋_GB2312" w:eastAsia="仿宋_GB2312"/>
          <w:sz w:val="32"/>
          <w:szCs w:val="32"/>
          <w:shd w:val="clear" w:color="auto" w:fill="FFFFFF"/>
          <w:lang w:eastAsia="zh-CN"/>
        </w:rPr>
        <w:t>融媒体中心2024</w:t>
      </w:r>
      <w:r>
        <w:rPr>
          <w:rFonts w:hint="eastAsia" w:ascii="仿宋_GB2312" w:eastAsia="仿宋_GB2312"/>
          <w:sz w:val="32"/>
          <w:szCs w:val="32"/>
          <w:shd w:val="clear" w:color="auto" w:fill="FFFFFF"/>
        </w:rPr>
        <w:t>年没有使用政府性基金预算拨款安排的支出</w:t>
      </w:r>
      <w:r>
        <w:rPr>
          <w:rFonts w:hint="eastAsia" w:ascii="仿宋_GB2312" w:eastAsia="仿宋_GB2312"/>
          <w:sz w:val="32"/>
          <w:szCs w:val="32"/>
          <w:shd w:val="clear" w:color="auto" w:fill="FFFFFF"/>
          <w:lang w:eastAsia="zh-CN"/>
        </w:rPr>
        <w:t>。</w:t>
      </w:r>
    </w:p>
    <w:p w14:paraId="465C2E00">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14:paraId="48356237">
      <w:pPr>
        <w:pStyle w:val="15"/>
        <w:ind w:left="0" w:leftChars="0" w:firstLine="630" w:firstLineChars="197"/>
        <w:rPr>
          <w:rFonts w:hint="eastAsia" w:eastAsia="宋体"/>
          <w:lang w:val="en-US" w:eastAsia="zh-CN"/>
        </w:rPr>
      </w:pPr>
      <w:r>
        <w:rPr>
          <w:rFonts w:hint="eastAsia" w:ascii="仿宋_GB2312" w:eastAsia="仿宋_GB2312"/>
          <w:sz w:val="32"/>
          <w:szCs w:val="32"/>
          <w:shd w:val="clear" w:color="auto" w:fill="FFFFFF"/>
          <w:lang w:eastAsia="zh-CN"/>
        </w:rPr>
        <w:t>融媒体中心</w:t>
      </w:r>
      <w:r>
        <w:rPr>
          <w:rStyle w:val="10"/>
          <w:rFonts w:hint="eastAsia" w:ascii="仿宋_GB2312" w:hAnsi="ˎ̥" w:eastAsia="仿宋_GB2312"/>
          <w:i w:val="0"/>
          <w:sz w:val="32"/>
          <w:szCs w:val="32"/>
          <w:lang w:eastAsia="zh-CN"/>
        </w:rPr>
        <w:t>2024</w:t>
      </w:r>
      <w:r>
        <w:rPr>
          <w:rStyle w:val="10"/>
          <w:rFonts w:hint="eastAsia" w:ascii="仿宋_GB2312" w:hAnsi="ˎ̥" w:eastAsia="仿宋_GB2312"/>
          <w:i w:val="0"/>
          <w:sz w:val="32"/>
          <w:szCs w:val="32"/>
        </w:rPr>
        <w:t>年没有使用国有资本经营预算安排的支出。</w:t>
      </w:r>
    </w:p>
    <w:p w14:paraId="63C032D1">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14:paraId="4B2F1757">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14:paraId="261970EA">
      <w:pPr>
        <w:ind w:firstLine="640" w:firstLineChars="200"/>
        <w:rPr>
          <w:rFonts w:ascii="仿宋_GB2312" w:eastAsia="仿宋_GB2312"/>
          <w:sz w:val="32"/>
          <w:szCs w:val="32"/>
          <w:shd w:val="clear" w:color="auto" w:fill="FFFFFF"/>
        </w:rPr>
      </w:pPr>
      <w:r>
        <w:rPr>
          <w:rFonts w:hint="eastAsia" w:ascii="仿宋_GB2312" w:hAnsi="ˎ̥" w:eastAsia="仿宋_GB2312"/>
          <w:sz w:val="32"/>
          <w:szCs w:val="32"/>
        </w:rPr>
        <w:t>本部门为事业单位，按规定未使用机关运行的相关科目。</w:t>
      </w:r>
    </w:p>
    <w:p w14:paraId="6BBAFAC4">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14:paraId="7812AFE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融媒体中心</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eastAsia="zh-CN"/>
        </w:rPr>
        <w:t>融媒体中心</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14:paraId="20A88985">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14:paraId="10853999">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年底，</w:t>
      </w:r>
      <w:r>
        <w:rPr>
          <w:rFonts w:hint="eastAsia" w:ascii="仿宋_GB2312" w:hAnsi="黑体" w:eastAsia="仿宋_GB2312"/>
          <w:sz w:val="32"/>
          <w:szCs w:val="32"/>
          <w:highlight w:val="none"/>
          <w:lang w:eastAsia="zh-CN"/>
        </w:rPr>
        <w:t>融媒体中心</w:t>
      </w:r>
      <w:r>
        <w:rPr>
          <w:rFonts w:hint="eastAsia" w:ascii="仿宋_GB2312" w:hAnsi="黑体" w:eastAsia="仿宋_GB2312"/>
          <w:sz w:val="32"/>
          <w:szCs w:val="32"/>
          <w:highlight w:val="none"/>
        </w:rPr>
        <w:t>单位共有车辆</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辆，</w:t>
      </w:r>
      <w:r>
        <w:rPr>
          <w:rFonts w:hint="eastAsia" w:ascii="仿宋_GB2312" w:eastAsia="仿宋_GB2312"/>
          <w:sz w:val="32"/>
          <w:szCs w:val="32"/>
          <w:shd w:val="clear" w:color="auto" w:fill="FFFFFF"/>
        </w:rPr>
        <w:t>轿车</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辆、越野车</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辆、多功能乘用车</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辆</w:t>
      </w:r>
      <w:r>
        <w:rPr>
          <w:rFonts w:hint="eastAsia" w:ascii="仿宋_GB2312" w:hAnsi="黑体" w:eastAsia="仿宋_GB2312"/>
          <w:sz w:val="32"/>
          <w:szCs w:val="32"/>
          <w:highlight w:val="none"/>
        </w:rPr>
        <w:t>。单位价值200万元以上大型设备</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台</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w:t>
      </w:r>
    </w:p>
    <w:p w14:paraId="7A2C2BEA">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w:t>
      </w:r>
      <w:r>
        <w:rPr>
          <w:rFonts w:hint="eastAsia" w:ascii="仿宋_GB2312" w:hAnsi="黑体" w:eastAsia="仿宋_GB2312"/>
          <w:sz w:val="32"/>
          <w:szCs w:val="32"/>
          <w:highlight w:val="none"/>
          <w:lang w:eastAsia="zh-CN"/>
        </w:rPr>
        <w:t>没有</w:t>
      </w:r>
      <w:r>
        <w:rPr>
          <w:rFonts w:hint="eastAsia" w:ascii="仿宋_GB2312" w:hAnsi="黑体" w:eastAsia="仿宋_GB2312"/>
          <w:sz w:val="32"/>
          <w:szCs w:val="32"/>
          <w:highlight w:val="none"/>
        </w:rPr>
        <w:t>安排购置车辆及单位价值200万元以上大型设备。</w:t>
      </w:r>
    </w:p>
    <w:p w14:paraId="47A730EB">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14:paraId="545F2819">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融媒体中心</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530.69</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，为单位整体</w:t>
      </w:r>
      <w:r>
        <w:rPr>
          <w:rFonts w:hint="eastAsia" w:ascii="仿宋_GB2312" w:hAnsi="黑体" w:eastAsia="仿宋_GB2312"/>
          <w:sz w:val="32"/>
          <w:szCs w:val="32"/>
          <w:highlight w:val="none"/>
        </w:rPr>
        <w:t>绩效目标管理。其中：人员类项目</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530.69</w:t>
      </w:r>
      <w:r>
        <w:rPr>
          <w:rFonts w:hint="eastAsia" w:ascii="仿宋_GB2312" w:hAnsi="黑体" w:eastAsia="仿宋_GB2312"/>
          <w:sz w:val="32"/>
          <w:szCs w:val="32"/>
          <w:highlight w:val="none"/>
        </w:rPr>
        <w:t>万元。</w:t>
      </w:r>
    </w:p>
    <w:p w14:paraId="1F9587E2">
      <w:pPr>
        <w:pStyle w:val="2"/>
        <w:numPr>
          <w:ilvl w:val="0"/>
          <w:numId w:val="0"/>
        </w:numPr>
        <w:ind w:leftChars="0"/>
        <w:rPr>
          <w:rFonts w:hint="eastAsia"/>
        </w:rPr>
      </w:pPr>
    </w:p>
    <w:p w14:paraId="4060EA75">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14:paraId="7EEC666D">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14:paraId="331DCC71">
      <w:pPr>
        <w:ind w:firstLine="665"/>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1.一般公共预算拨款收入：指省级财政当年拨付的资金。</w:t>
      </w:r>
    </w:p>
    <w:p w14:paraId="5ECD54E2">
      <w:pPr>
        <w:ind w:firstLine="640" w:firstLineChars="200"/>
        <w:rPr>
          <w:rFonts w:hint="eastAsia" w:ascii="仿宋_GB2312" w:hAnsi="仿宋_GB2312" w:eastAsia="仿宋_GB2312" w:cs="仿宋_GB2312"/>
        </w:rPr>
      </w:pPr>
      <w:r>
        <w:rPr>
          <w:rFonts w:hint="eastAsia" w:ascii="仿宋_GB2312" w:hAnsi="仿宋_GB2312" w:eastAsia="仿宋_GB2312" w:cs="仿宋_GB2312"/>
          <w:sz w:val="32"/>
          <w:szCs w:val="32"/>
          <w:shd w:val="clear" w:color="auto" w:fill="FFFFFF"/>
        </w:rPr>
        <w:t>2.上年结转：指以前年度尚未完成，结转到本年仍按原规定用途继续使用的资金。</w:t>
      </w:r>
    </w:p>
    <w:p w14:paraId="3FF99255">
      <w:pPr>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文化旅游体育与传媒支出：反应政府在文化、</w:t>
      </w:r>
      <w:r>
        <w:rPr>
          <w:rFonts w:hint="eastAsia" w:ascii="仿宋_GB2312" w:hAnsi="仿宋_GB2312" w:eastAsia="仿宋_GB2312" w:cs="仿宋_GB2312"/>
          <w:sz w:val="32"/>
          <w:szCs w:val="32"/>
          <w:highlight w:val="none"/>
          <w:lang w:eastAsia="zh-CN"/>
        </w:rPr>
        <w:t>旅游、</w:t>
      </w:r>
      <w:r>
        <w:rPr>
          <w:rFonts w:hint="eastAsia" w:ascii="仿宋_GB2312" w:hAnsi="仿宋_GB2312" w:eastAsia="仿宋_GB2312" w:cs="仿宋_GB2312"/>
          <w:sz w:val="32"/>
          <w:szCs w:val="32"/>
          <w:highlight w:val="none"/>
        </w:rPr>
        <w:t>文物、体育、广播</w:t>
      </w:r>
      <w:r>
        <w:rPr>
          <w:rFonts w:hint="eastAsia" w:ascii="仿宋_GB2312" w:hAnsi="仿宋_GB2312" w:eastAsia="仿宋_GB2312" w:cs="仿宋_GB2312"/>
          <w:sz w:val="32"/>
          <w:szCs w:val="32"/>
          <w:highlight w:val="none"/>
          <w:lang w:eastAsia="zh-CN"/>
        </w:rPr>
        <w:t>电视</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电影、</w:t>
      </w:r>
      <w:r>
        <w:rPr>
          <w:rFonts w:hint="eastAsia" w:ascii="仿宋_GB2312" w:hAnsi="仿宋_GB2312" w:eastAsia="仿宋_GB2312" w:cs="仿宋_GB2312"/>
          <w:sz w:val="32"/>
          <w:szCs w:val="32"/>
          <w:highlight w:val="none"/>
        </w:rPr>
        <w:t>新闻出版等方面的支出</w:t>
      </w:r>
    </w:p>
    <w:p w14:paraId="49ED1C93">
      <w:pPr>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b w:val="0"/>
          <w:bCs w:val="0"/>
          <w:sz w:val="32"/>
          <w:szCs w:val="32"/>
          <w:highlight w:val="none"/>
          <w:shd w:val="clear" w:color="auto" w:fill="FFFFFF"/>
        </w:rPr>
        <w:t>其他新闻出版广播影视支出</w:t>
      </w:r>
      <w:r>
        <w:rPr>
          <w:rFonts w:hint="eastAsia" w:ascii="仿宋_GB2312" w:hAnsi="仿宋_GB2312" w:eastAsia="仿宋_GB2312" w:cs="仿宋_GB2312"/>
          <w:sz w:val="32"/>
          <w:szCs w:val="32"/>
          <w:highlight w:val="none"/>
        </w:rPr>
        <w:t>：反映</w:t>
      </w:r>
      <w:r>
        <w:rPr>
          <w:rFonts w:hint="eastAsia" w:ascii="仿宋_GB2312" w:hAnsi="仿宋_GB2312" w:eastAsia="仿宋_GB2312" w:cs="仿宋_GB2312"/>
          <w:sz w:val="32"/>
          <w:szCs w:val="32"/>
          <w:highlight w:val="none"/>
          <w:lang w:eastAsia="zh-CN"/>
        </w:rPr>
        <w:t>除上述项目以外其他用于</w:t>
      </w:r>
      <w:r>
        <w:rPr>
          <w:rFonts w:hint="eastAsia" w:ascii="仿宋_GB2312" w:hAnsi="仿宋_GB2312" w:eastAsia="仿宋_GB2312" w:cs="仿宋_GB2312"/>
          <w:b w:val="0"/>
          <w:bCs w:val="0"/>
          <w:sz w:val="32"/>
          <w:szCs w:val="32"/>
          <w:highlight w:val="none"/>
          <w:shd w:val="clear" w:color="auto" w:fill="FFFFFF"/>
        </w:rPr>
        <w:t>新闻出版广播影视</w:t>
      </w:r>
      <w:r>
        <w:rPr>
          <w:rFonts w:hint="eastAsia" w:ascii="仿宋_GB2312" w:hAnsi="仿宋_GB2312" w:eastAsia="仿宋_GB2312" w:cs="仿宋_GB2312"/>
          <w:b w:val="0"/>
          <w:bCs w:val="0"/>
          <w:sz w:val="32"/>
          <w:szCs w:val="32"/>
          <w:highlight w:val="none"/>
          <w:shd w:val="clear" w:color="auto" w:fill="FFFFFF"/>
          <w:lang w:eastAsia="zh-CN"/>
        </w:rPr>
        <w:t>方面的</w:t>
      </w:r>
      <w:r>
        <w:rPr>
          <w:rFonts w:hint="eastAsia" w:ascii="仿宋_GB2312" w:hAnsi="仿宋_GB2312" w:eastAsia="仿宋_GB2312" w:cs="仿宋_GB2312"/>
          <w:b w:val="0"/>
          <w:bCs w:val="0"/>
          <w:sz w:val="32"/>
          <w:szCs w:val="32"/>
          <w:highlight w:val="none"/>
          <w:shd w:val="clear" w:color="auto" w:fill="FFFFFF"/>
        </w:rPr>
        <w:t>支出</w:t>
      </w:r>
    </w:p>
    <w:p w14:paraId="686518EB">
      <w:pPr>
        <w:spacing w:line="580" w:lineRule="exact"/>
        <w:ind w:firstLine="640" w:firstLineChars="200"/>
        <w:rPr>
          <w:rFonts w:hint="eastAsia" w:ascii="仿宋_GB2312" w:hAnsi="仿宋_GB2312" w:eastAsia="仿宋_GB2312" w:cs="仿宋_GB2312"/>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其他广播电视支出：反映</w:t>
      </w:r>
      <w:r>
        <w:rPr>
          <w:rFonts w:hint="eastAsia" w:ascii="仿宋_GB2312" w:hAnsi="仿宋_GB2312" w:eastAsia="仿宋_GB2312" w:cs="仿宋_GB2312"/>
          <w:sz w:val="32"/>
          <w:szCs w:val="32"/>
          <w:highlight w:val="none"/>
          <w:lang w:eastAsia="zh-CN"/>
        </w:rPr>
        <w:t>除上述项目以外其他用于广播电视方面的</w:t>
      </w:r>
      <w:r>
        <w:rPr>
          <w:rFonts w:hint="eastAsia" w:ascii="仿宋_GB2312" w:hAnsi="仿宋_GB2312" w:eastAsia="仿宋_GB2312" w:cs="仿宋_GB2312"/>
          <w:sz w:val="32"/>
          <w:szCs w:val="32"/>
          <w:highlight w:val="none"/>
        </w:rPr>
        <w:t>支出</w:t>
      </w:r>
    </w:p>
    <w:p w14:paraId="5E2A6BB2">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.社会保障和就业（类）行政事业单位离退休（款）机关事业单位基本养老保险缴费支出（项）：指部门实施养老保险制度由单位缴纳的养老保险费的支出。</w:t>
      </w:r>
    </w:p>
    <w:p w14:paraId="09CEFC27">
      <w:pPr>
        <w:ind w:firstLine="640" w:firstLineChars="200"/>
        <w:rPr>
          <w:rFonts w:ascii="仿宋_GB2312" w:eastAsia="仿宋_GB2312"/>
          <w:sz w:val="32"/>
          <w:szCs w:val="32"/>
          <w:shd w:val="clear" w:color="auto" w:fill="FFFFFF"/>
        </w:rPr>
      </w:pPr>
      <w:r>
        <w:rPr>
          <w:rFonts w:hint="eastAsia" w:ascii="仿宋_GB2312" w:eastAsia="仿宋_GB2312"/>
          <w:color w:val="333333"/>
          <w:sz w:val="32"/>
          <w:szCs w:val="32"/>
          <w:lang w:val="en-US" w:eastAsia="zh-CN"/>
        </w:rPr>
        <w:t>7</w:t>
      </w:r>
      <w:r>
        <w:rPr>
          <w:rFonts w:hint="eastAsia" w:ascii="仿宋_GB2312" w:eastAsia="仿宋_GB2312"/>
          <w:sz w:val="32"/>
          <w:szCs w:val="32"/>
          <w:shd w:val="clear" w:color="auto" w:fill="FFFFFF"/>
        </w:rPr>
        <w:t>.卫生健康支出（类）行政事业单位医疗（款）事业单位医疗（项）:主要用于单位职工基本医疗保险缴费支出；</w:t>
      </w:r>
    </w:p>
    <w:p w14:paraId="0DC3C5B0">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.卫生健康支出（类）行政事业单位医疗（款）公务员医疗补助（项）：主要用于单位集中缴纳公务员医疗补助支出。</w:t>
      </w:r>
    </w:p>
    <w:p w14:paraId="428A1503">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9</w:t>
      </w:r>
      <w:r>
        <w:rPr>
          <w:rFonts w:hint="eastAsia" w:ascii="仿宋_GB2312" w:eastAsia="仿宋_GB2312"/>
          <w:sz w:val="32"/>
          <w:szCs w:val="32"/>
          <w:shd w:val="clear" w:color="auto" w:fill="FFFFFF"/>
        </w:rPr>
        <w:t>.卫生健康支出（类）行政事业单位医疗（款）其他行政事业单位医疗支出（项）：主要用于单位临时工基本医疗保险缴费支出。</w:t>
      </w:r>
    </w:p>
    <w:p w14:paraId="0CB81E87">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10</w:t>
      </w:r>
      <w:r>
        <w:rPr>
          <w:rFonts w:hint="eastAsia" w:ascii="仿宋_GB2312" w:eastAsia="仿宋_GB2312"/>
          <w:sz w:val="32"/>
          <w:szCs w:val="32"/>
          <w:shd w:val="clear" w:color="auto" w:fill="FFFFFF"/>
        </w:rPr>
        <w:t>.医疗卫生与计划生育（类）行政事业单位医疗（款）公务员医疗补助（项）：指厅机关及参公管理事业单位用于集中缴纳公务员医疗补助支出。</w:t>
      </w:r>
    </w:p>
    <w:p w14:paraId="2024BDD9">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.住房保障（类）住房改革支出（款）住房公积金（项）：指按照《住房公积金管理条例》的规定，由单位及其在职职工缴存的长期住房储金。</w:t>
      </w:r>
    </w:p>
    <w:p w14:paraId="6B2F34A4">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12</w:t>
      </w:r>
      <w:r>
        <w:rPr>
          <w:rFonts w:hint="eastAsia" w:ascii="仿宋_GB2312" w:eastAsia="仿宋_GB2312"/>
          <w:sz w:val="32"/>
          <w:szCs w:val="32"/>
          <w:shd w:val="clear" w:color="auto" w:fill="FFFFFF"/>
        </w:rPr>
        <w:t>.基本支出：指为保证机构正常运转，完成日常工作任务而发生的人员支出和公用支出。</w:t>
      </w:r>
    </w:p>
    <w:p w14:paraId="16E040F2">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13</w:t>
      </w:r>
      <w:r>
        <w:rPr>
          <w:rFonts w:hint="eastAsia" w:ascii="仿宋_GB2312" w:eastAsia="仿宋_GB2312"/>
          <w:sz w:val="32"/>
          <w:szCs w:val="32"/>
          <w:shd w:val="clear" w:color="auto" w:fill="FFFFFF"/>
        </w:rPr>
        <w:t>.项目支出：指在基本支出之外为完成特定行政任务和事业发展目标所发生的支出。</w:t>
      </w:r>
    </w:p>
    <w:p w14:paraId="5CA13421">
      <w:pPr>
        <w:rPr>
          <w:rFonts w:hint="eastAsia" w:ascii="仿宋_GB2312" w:eastAsia="仿宋_GB2312"/>
          <w:sz w:val="32"/>
          <w:szCs w:val="32"/>
          <w:shd w:val="clear" w:color="auto" w:fill="FFFFFF"/>
          <w:lang w:eastAsia="zh-CN"/>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14</w:t>
      </w:r>
      <w:r>
        <w:rPr>
          <w:rFonts w:hint="eastAsia" w:ascii="仿宋_GB2312" w:eastAsia="仿宋_GB2312"/>
          <w:sz w:val="32"/>
          <w:szCs w:val="32"/>
          <w:shd w:val="clear" w:color="auto" w:fill="FFFFFF"/>
        </w:rPr>
        <w:t>.</w:t>
      </w:r>
      <w:r>
        <w:rPr>
          <w:rFonts w:hint="eastAsia" w:ascii="仿宋_GB2312" w:hAnsi="仿宋_GB2312" w:eastAsia="仿宋_GB2312" w:cs="仿宋_GB2312"/>
          <w:b w:val="0"/>
          <w:bCs w:val="0"/>
          <w:i w:val="0"/>
          <w:caps w:val="0"/>
          <w:color w:val="333333"/>
          <w:spacing w:val="0"/>
          <w:sz w:val="32"/>
          <w:szCs w:val="32"/>
          <w:highlight w:val="none"/>
          <w:shd w:val="clear" w:fill="FFFFFF"/>
        </w:rPr>
        <w:t>文化</w:t>
      </w:r>
      <w:r>
        <w:rPr>
          <w:rFonts w:hint="eastAsia" w:ascii="仿宋_GB2312" w:hAnsi="仿宋_GB2312" w:eastAsia="仿宋_GB2312" w:cs="仿宋_GB2312"/>
          <w:b w:val="0"/>
          <w:bCs w:val="0"/>
          <w:sz w:val="32"/>
          <w:szCs w:val="32"/>
          <w:highlight w:val="none"/>
          <w:shd w:val="clear" w:color="auto" w:fill="FFFFFF"/>
          <w:lang w:eastAsia="zh-CN"/>
        </w:rPr>
        <w:t>旅游体育与传媒</w:t>
      </w:r>
      <w:r>
        <w:rPr>
          <w:rFonts w:hint="eastAsia" w:ascii="仿宋_GB2312" w:hAnsi="仿宋_GB2312" w:eastAsia="仿宋_GB2312" w:cs="仿宋_GB2312"/>
          <w:b w:val="0"/>
          <w:bCs w:val="0"/>
          <w:i w:val="0"/>
          <w:caps w:val="0"/>
          <w:color w:val="333333"/>
          <w:spacing w:val="0"/>
          <w:sz w:val="32"/>
          <w:szCs w:val="32"/>
          <w:highlight w:val="none"/>
          <w:shd w:val="clear" w:fill="FFFFFF"/>
        </w:rPr>
        <w:t>（类）广播电视（款）</w:t>
      </w:r>
      <w:r>
        <w:rPr>
          <w:rFonts w:hint="eastAsia" w:ascii="仿宋_GB2312" w:hAnsi="仿宋_GB2312" w:eastAsia="仿宋_GB2312" w:cs="仿宋_GB2312"/>
          <w:b w:val="0"/>
          <w:bCs w:val="0"/>
          <w:sz w:val="32"/>
          <w:szCs w:val="32"/>
          <w:highlight w:val="none"/>
          <w:shd w:val="clear" w:color="auto" w:fill="FFFFFF"/>
        </w:rPr>
        <w:t>其他新闻广播电视事务</w:t>
      </w:r>
      <w:r>
        <w:rPr>
          <w:rFonts w:hint="eastAsia" w:ascii="仿宋_GB2312" w:eastAsia="仿宋_GB2312"/>
          <w:sz w:val="32"/>
          <w:szCs w:val="32"/>
          <w:shd w:val="clear" w:color="auto" w:fill="FFFFFF"/>
        </w:rPr>
        <w:t>（项）</w:t>
      </w:r>
      <w:r>
        <w:rPr>
          <w:rFonts w:hint="eastAsia" w:ascii="仿宋_GB2312" w:eastAsia="仿宋_GB2312"/>
          <w:sz w:val="32"/>
          <w:szCs w:val="32"/>
          <w:shd w:val="clear" w:color="auto" w:fill="FFFFFF"/>
          <w:lang w:eastAsia="zh-CN"/>
        </w:rPr>
        <w:t>：反映广播电视日常事务支出。</w:t>
      </w:r>
    </w:p>
    <w:p w14:paraId="6A37768A">
      <w:p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15</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14:paraId="2C9B1A8A">
      <w:pPr>
        <w:ind w:firstLine="660"/>
        <w:rPr>
          <w:rFonts w:ascii="仿宋" w:hAnsi="仿宋" w:eastAsia="仿宋"/>
          <w:b/>
          <w:sz w:val="32"/>
          <w:szCs w:val="32"/>
          <w:highlight w:val="none"/>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39972">
    <w:pPr>
      <w:pStyle w:val="5"/>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14:paraId="6F99B4BF">
    <w:pPr>
      <w:pStyle w:val="5"/>
      <w:ind w:right="360" w:firstLine="360"/>
    </w:pPr>
  </w:p>
  <w:p w14:paraId="4B721A63">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A7C397"/>
    <w:multiLevelType w:val="singleLevel"/>
    <w:tmpl w:val="CBA7C397"/>
    <w:lvl w:ilvl="0" w:tentative="0">
      <w:start w:val="14"/>
      <w:numFmt w:val="chineseCounting"/>
      <w:suff w:val="nothing"/>
      <w:lvlText w:val="%1、"/>
      <w:lvlJc w:val="left"/>
      <w:rPr>
        <w:rFonts w:hint="eastAsia"/>
      </w:rPr>
    </w:lvl>
  </w:abstractNum>
  <w:abstractNum w:abstractNumId="1">
    <w:nsid w:val="FF32883E"/>
    <w:multiLevelType w:val="singleLevel"/>
    <w:tmpl w:val="FF32883E"/>
    <w:lvl w:ilvl="0" w:tentative="0">
      <w:start w:val="6"/>
      <w:numFmt w:val="chineseCounting"/>
      <w:suff w:val="nothing"/>
      <w:lvlText w:val="%1、"/>
      <w:lvlJc w:val="left"/>
      <w:rPr>
        <w:rFonts w:hint="eastAsia"/>
      </w:rPr>
    </w:lvl>
  </w:abstractNum>
  <w:abstractNum w:abstractNumId="2">
    <w:nsid w:val="284BDB1A"/>
    <w:multiLevelType w:val="singleLevel"/>
    <w:tmpl w:val="284BDB1A"/>
    <w:lvl w:ilvl="0" w:tentative="0">
      <w:start w:val="2"/>
      <w:numFmt w:val="chineseCounting"/>
      <w:suff w:val="nothing"/>
      <w:lvlText w:val="%1、"/>
      <w:lvlJc w:val="left"/>
      <w:pPr>
        <w:ind w:left="-430"/>
      </w:pPr>
      <w:rPr>
        <w:rFonts w:hint="eastAsia"/>
      </w:rPr>
    </w:lvl>
  </w:abstractNum>
  <w:abstractNum w:abstractNumId="3">
    <w:nsid w:val="45C02CCD"/>
    <w:multiLevelType w:val="singleLevel"/>
    <w:tmpl w:val="45C02CCD"/>
    <w:lvl w:ilvl="0" w:tentative="0">
      <w:start w:val="1"/>
      <w:numFmt w:val="chineseCounting"/>
      <w:suff w:val="space"/>
      <w:lvlText w:val="第%1部分"/>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gxODc5NzVmNzM0YTU4ZDE3MDY3Yjg2MGY3YTc5YTg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2E1504E"/>
    <w:rsid w:val="05876230"/>
    <w:rsid w:val="05FEC680"/>
    <w:rsid w:val="0641530B"/>
    <w:rsid w:val="068E6474"/>
    <w:rsid w:val="0E427960"/>
    <w:rsid w:val="0ECDBE52"/>
    <w:rsid w:val="0FFFB353"/>
    <w:rsid w:val="13B726BE"/>
    <w:rsid w:val="176D963B"/>
    <w:rsid w:val="17F14AC1"/>
    <w:rsid w:val="1B075976"/>
    <w:rsid w:val="1B7F798D"/>
    <w:rsid w:val="1C891162"/>
    <w:rsid w:val="1DCA7AC1"/>
    <w:rsid w:val="1DFF65BF"/>
    <w:rsid w:val="1F0420E1"/>
    <w:rsid w:val="1F3B0AC1"/>
    <w:rsid w:val="1F5E9DB6"/>
    <w:rsid w:val="2117AD81"/>
    <w:rsid w:val="21F75307"/>
    <w:rsid w:val="27FB2020"/>
    <w:rsid w:val="2BEE6E8A"/>
    <w:rsid w:val="2E2F4451"/>
    <w:rsid w:val="2E7ACAF3"/>
    <w:rsid w:val="2EFFE7AD"/>
    <w:rsid w:val="2F866E22"/>
    <w:rsid w:val="2FEDA3F1"/>
    <w:rsid w:val="315C030B"/>
    <w:rsid w:val="320663F6"/>
    <w:rsid w:val="3257C860"/>
    <w:rsid w:val="33FFF3CD"/>
    <w:rsid w:val="34575CC2"/>
    <w:rsid w:val="352A11F6"/>
    <w:rsid w:val="352F7E94"/>
    <w:rsid w:val="35C44469"/>
    <w:rsid w:val="366E1454"/>
    <w:rsid w:val="36816BC3"/>
    <w:rsid w:val="37ED2099"/>
    <w:rsid w:val="37FE0A31"/>
    <w:rsid w:val="39D792D9"/>
    <w:rsid w:val="39FC665F"/>
    <w:rsid w:val="3AFBF1C6"/>
    <w:rsid w:val="3BBFDE14"/>
    <w:rsid w:val="3C2134C6"/>
    <w:rsid w:val="3CB393A4"/>
    <w:rsid w:val="3CFE796A"/>
    <w:rsid w:val="3DF3E130"/>
    <w:rsid w:val="3EED8CAE"/>
    <w:rsid w:val="3EFFEFC0"/>
    <w:rsid w:val="3F172596"/>
    <w:rsid w:val="3FB5E172"/>
    <w:rsid w:val="3FDF2925"/>
    <w:rsid w:val="3FDFA91F"/>
    <w:rsid w:val="3FE1DEFB"/>
    <w:rsid w:val="3FE5F325"/>
    <w:rsid w:val="3FEF3B35"/>
    <w:rsid w:val="3FFADC58"/>
    <w:rsid w:val="43615785"/>
    <w:rsid w:val="47FF5D5C"/>
    <w:rsid w:val="4B3E44B7"/>
    <w:rsid w:val="4DEB2FCB"/>
    <w:rsid w:val="4FDE78CE"/>
    <w:rsid w:val="4FE34AB5"/>
    <w:rsid w:val="4FFFAA23"/>
    <w:rsid w:val="505C7995"/>
    <w:rsid w:val="52A200E3"/>
    <w:rsid w:val="53A88E30"/>
    <w:rsid w:val="53FAD87A"/>
    <w:rsid w:val="541D6E46"/>
    <w:rsid w:val="54FFF2CF"/>
    <w:rsid w:val="567D553A"/>
    <w:rsid w:val="568235E9"/>
    <w:rsid w:val="56DBADA4"/>
    <w:rsid w:val="56FA4D4E"/>
    <w:rsid w:val="579CE624"/>
    <w:rsid w:val="588D50A9"/>
    <w:rsid w:val="591B1ED0"/>
    <w:rsid w:val="5A324C7E"/>
    <w:rsid w:val="5A35532B"/>
    <w:rsid w:val="5A535EF9"/>
    <w:rsid w:val="5A5E3F05"/>
    <w:rsid w:val="5A7BF1E5"/>
    <w:rsid w:val="5BA78D5E"/>
    <w:rsid w:val="5BB87DBA"/>
    <w:rsid w:val="5BE762D4"/>
    <w:rsid w:val="5C7653FC"/>
    <w:rsid w:val="5DDDD882"/>
    <w:rsid w:val="5DE7BCA1"/>
    <w:rsid w:val="5DFFBFAA"/>
    <w:rsid w:val="5EBF52BD"/>
    <w:rsid w:val="5EFFDDE2"/>
    <w:rsid w:val="5F763C0F"/>
    <w:rsid w:val="5F7A982F"/>
    <w:rsid w:val="5FBF1457"/>
    <w:rsid w:val="5FED60AA"/>
    <w:rsid w:val="5FEFF4C2"/>
    <w:rsid w:val="63F385C0"/>
    <w:rsid w:val="63F5FE37"/>
    <w:rsid w:val="647F6670"/>
    <w:rsid w:val="663407B1"/>
    <w:rsid w:val="6643491B"/>
    <w:rsid w:val="67F5B1D0"/>
    <w:rsid w:val="687068E0"/>
    <w:rsid w:val="69A71AE0"/>
    <w:rsid w:val="6A4FC826"/>
    <w:rsid w:val="6ADF4B0D"/>
    <w:rsid w:val="6AF76FF0"/>
    <w:rsid w:val="6B4329A9"/>
    <w:rsid w:val="6B95175B"/>
    <w:rsid w:val="6BDF5376"/>
    <w:rsid w:val="6BE53CCB"/>
    <w:rsid w:val="6C7B5F76"/>
    <w:rsid w:val="6CEF960A"/>
    <w:rsid w:val="6D235CF7"/>
    <w:rsid w:val="6DDE03AF"/>
    <w:rsid w:val="6DFD6765"/>
    <w:rsid w:val="6E7E5440"/>
    <w:rsid w:val="6ED5ABCE"/>
    <w:rsid w:val="6EFF482F"/>
    <w:rsid w:val="6F632200"/>
    <w:rsid w:val="6F6DD354"/>
    <w:rsid w:val="6F850745"/>
    <w:rsid w:val="6FBBC877"/>
    <w:rsid w:val="6FF9921E"/>
    <w:rsid w:val="6FFC7CC5"/>
    <w:rsid w:val="6FFD7550"/>
    <w:rsid w:val="6FFDCB73"/>
    <w:rsid w:val="72AF49AA"/>
    <w:rsid w:val="72DF0FFC"/>
    <w:rsid w:val="72E75F44"/>
    <w:rsid w:val="7396C1D0"/>
    <w:rsid w:val="73EFEF94"/>
    <w:rsid w:val="73F99EB8"/>
    <w:rsid w:val="748DFD08"/>
    <w:rsid w:val="753C9906"/>
    <w:rsid w:val="75B7E1FE"/>
    <w:rsid w:val="75EB6FC1"/>
    <w:rsid w:val="75F06C92"/>
    <w:rsid w:val="75FEC521"/>
    <w:rsid w:val="76FF1A62"/>
    <w:rsid w:val="776E1AB0"/>
    <w:rsid w:val="777ED2E6"/>
    <w:rsid w:val="77D7EAC5"/>
    <w:rsid w:val="77DFF40B"/>
    <w:rsid w:val="77E71F46"/>
    <w:rsid w:val="77FF6978"/>
    <w:rsid w:val="77FF9FAA"/>
    <w:rsid w:val="77FFA2D4"/>
    <w:rsid w:val="780C55CF"/>
    <w:rsid w:val="781B3612"/>
    <w:rsid w:val="78A376CA"/>
    <w:rsid w:val="78FF8B8B"/>
    <w:rsid w:val="79FFA147"/>
    <w:rsid w:val="7A810E2A"/>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1D0102"/>
    <w:rsid w:val="7F455B3D"/>
    <w:rsid w:val="7F4A7735"/>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C1D6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1"/>
    <w:autoRedefine/>
    <w:qFormat/>
    <w:uiPriority w:val="0"/>
    <w:pPr>
      <w:spacing w:before="104" w:beforeLines="0" w:after="104" w:afterLines="0"/>
      <w:ind w:firstLine="0" w:firstLineChars="0"/>
    </w:pPr>
    <w:rPr>
      <w:rFonts w:eastAsia="黑体"/>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420" w:firstLineChars="200"/>
      <w:jc w:val="both"/>
    </w:pPr>
    <w:rPr>
      <w:rFonts w:ascii="Times New Roman" w:hAnsi="Times New Roman" w:eastAsia="宋体" w:cs="Times New Roman"/>
      <w:sz w:val="21"/>
      <w:szCs w:val="22"/>
      <w:lang w:val="en-US" w:eastAsia="zh-CN" w:bidi="ar-SA"/>
    </w:rPr>
  </w:style>
  <w:style w:type="paragraph" w:styleId="3">
    <w:name w:val="Body Text Indent"/>
    <w:basedOn w:val="1"/>
    <w:next w:val="2"/>
    <w:autoRedefine/>
    <w:qFormat/>
    <w:uiPriority w:val="0"/>
    <w:pPr>
      <w:spacing w:after="120"/>
      <w:ind w:left="420" w:leftChars="200"/>
    </w:p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autoRedefine/>
    <w:qFormat/>
    <w:uiPriority w:val="0"/>
  </w:style>
  <w:style w:type="character" w:styleId="10">
    <w:name w:val="Emphasis"/>
    <w:basedOn w:val="8"/>
    <w:autoRedefine/>
    <w:qFormat/>
    <w:uiPriority w:val="0"/>
    <w:rPr>
      <w:i/>
    </w:rPr>
  </w:style>
  <w:style w:type="paragraph" w:styleId="11">
    <w:name w:val="List Paragraph"/>
    <w:basedOn w:val="1"/>
    <w:autoRedefine/>
    <w:qFormat/>
    <w:uiPriority w:val="34"/>
    <w:pPr>
      <w:ind w:firstLine="420" w:firstLineChars="200"/>
    </w:pPr>
  </w:style>
  <w:style w:type="character" w:customStyle="1" w:styleId="12">
    <w:name w:val="页眉 Char"/>
    <w:basedOn w:val="8"/>
    <w:link w:val="6"/>
    <w:autoRedefine/>
    <w:qFormat/>
    <w:uiPriority w:val="99"/>
    <w:rPr>
      <w:sz w:val="18"/>
      <w:szCs w:val="18"/>
    </w:rPr>
  </w:style>
  <w:style w:type="character" w:customStyle="1" w:styleId="13">
    <w:name w:val="页脚 Char"/>
    <w:basedOn w:val="8"/>
    <w:link w:val="5"/>
    <w:autoRedefine/>
    <w:qFormat/>
    <w:uiPriority w:val="99"/>
    <w:rPr>
      <w:sz w:val="18"/>
      <w:szCs w:val="18"/>
    </w:rPr>
  </w:style>
  <w:style w:type="paragraph" w:customStyle="1" w:styleId="14">
    <w:name w:val="Header1"/>
    <w:basedOn w:val="1"/>
    <w:autoRedefine/>
    <w:qFormat/>
    <w:uiPriority w:val="0"/>
    <w:pPr>
      <w:pBdr>
        <w:bottom w:val="single" w:color="000000" w:sz="6" w:space="1"/>
      </w:pBdr>
      <w:tabs>
        <w:tab w:val="right" w:pos="4153"/>
        <w:tab w:val="left" w:leader="underscore" w:pos="8306"/>
      </w:tabs>
      <w:snapToGrid w:val="0"/>
      <w:jc w:val="center"/>
    </w:pPr>
    <w:rPr>
      <w:sz w:val="18"/>
      <w:szCs w:val="18"/>
    </w:rPr>
  </w:style>
  <w:style w:type="paragraph" w:customStyle="1" w:styleId="15">
    <w:name w:val="文档正文"/>
    <w:basedOn w:val="1"/>
    <w:autoRedefine/>
    <w:qFormat/>
    <w:uiPriority w:val="0"/>
    <w:pPr>
      <w:adjustRightInd w:val="0"/>
      <w:spacing w:line="480" w:lineRule="atLeast"/>
      <w:textAlignment w:val="baseline"/>
    </w:pPr>
    <w:rPr>
      <w:rFonts w:ascii="Arial" w:hAnsi="Arial" w:eastAsia="宋体" w:cs="Times New Roman"/>
      <w:kern w:val="0"/>
    </w:rPr>
  </w:style>
  <w:style w:type="character" w:customStyle="1" w:styleId="16">
    <w:name w:val="font61"/>
    <w:basedOn w:val="8"/>
    <w:autoRedefine/>
    <w:qFormat/>
    <w:uiPriority w:val="0"/>
    <w:rPr>
      <w:rFonts w:hint="eastAsia" w:ascii="宋体" w:hAnsi="宋体" w:eastAsia="宋体" w:cs="宋体"/>
      <w:color w:val="000000"/>
      <w:sz w:val="22"/>
      <w:szCs w:val="22"/>
      <w:u w:val="none"/>
    </w:rPr>
  </w:style>
  <w:style w:type="character" w:customStyle="1" w:styleId="17">
    <w:name w:val="font51"/>
    <w:basedOn w:val="8"/>
    <w:autoRedefine/>
    <w:qFormat/>
    <w:uiPriority w:val="0"/>
    <w:rPr>
      <w:rFonts w:hint="eastAsia" w:ascii="宋体" w:hAnsi="宋体" w:eastAsia="宋体" w:cs="宋体"/>
      <w:color w:val="000000"/>
      <w:sz w:val="22"/>
      <w:szCs w:val="22"/>
      <w:u w:val="none"/>
    </w:rPr>
  </w:style>
  <w:style w:type="character" w:customStyle="1" w:styleId="18">
    <w:name w:val="font71"/>
    <w:basedOn w:val="8"/>
    <w:autoRedefine/>
    <w:qFormat/>
    <w:uiPriority w:val="0"/>
    <w:rPr>
      <w:rFonts w:hint="eastAsia" w:ascii="宋体" w:hAnsi="宋体" w:eastAsia="宋体" w:cs="宋体"/>
      <w:color w:val="000000"/>
      <w:sz w:val="22"/>
      <w:szCs w:val="22"/>
      <w:u w:val="none"/>
    </w:rPr>
  </w:style>
  <w:style w:type="character" w:customStyle="1" w:styleId="19">
    <w:name w:val="font81"/>
    <w:basedOn w:val="8"/>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image" Target="media/image12.emf"/><Relationship Id="rId27" Type="http://schemas.openxmlformats.org/officeDocument/2006/relationships/oleObject" Target="embeddings/oleObject12.bin"/><Relationship Id="rId26" Type="http://schemas.openxmlformats.org/officeDocument/2006/relationships/image" Target="media/image11.emf"/><Relationship Id="rId25" Type="http://schemas.openxmlformats.org/officeDocument/2006/relationships/oleObject" Target="embeddings/oleObject11.bin"/><Relationship Id="rId24" Type="http://schemas.openxmlformats.org/officeDocument/2006/relationships/image" Target="media/image10.emf"/><Relationship Id="rId23" Type="http://schemas.openxmlformats.org/officeDocument/2006/relationships/oleObject" Target="embeddings/oleObject10.bin"/><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1673</Words>
  <Characters>1712</Characters>
  <Lines>35</Lines>
  <Paragraphs>9</Paragraphs>
  <TotalTime>11</TotalTime>
  <ScaleCrop>false</ScaleCrop>
  <LinksUpToDate>false</LinksUpToDate>
  <CharactersWithSpaces>1751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长江水</cp:lastModifiedBy>
  <dcterms:modified xsi:type="dcterms:W3CDTF">2025-04-09T03:56:55Z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DD180B5B87BA473EABA298F85F4E0241_13</vt:lpwstr>
  </property>
  <property fmtid="{D5CDD505-2E9C-101B-9397-08002B2CF9AE}" pid="4" name="KSOTemplateDocerSaveRecord">
    <vt:lpwstr>eyJoZGlkIjoiN2FkYzJhY2JjOGViZWM2Mjk3YzI5YTU4YjFhMTQxYWUiLCJ1c2VySWQiOiIyODMxNjg0ODQifQ==</vt:lpwstr>
  </property>
</Properties>
</file>