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193"/>
      <w:bookmarkStart w:id="4" w:name="_Toc15377425"/>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96598"/>
      <w:bookmarkStart w:id="8" w:name="_Toc15306268"/>
      <w:bookmarkStart w:id="9" w:name="_Toc15377194"/>
      <w:bookmarkStart w:id="10" w:name="_Toc15378442"/>
      <w:bookmarkStart w:id="11" w:name="_Toc15377426"/>
      <w:r>
        <w:rPr>
          <w:rFonts w:hint="eastAsia" w:ascii="方正小标宋简体" w:hAnsi="宋体" w:eastAsia="方正小标宋简体"/>
          <w:color w:val="000000"/>
          <w:sz w:val="72"/>
          <w:szCs w:val="72"/>
        </w:rPr>
        <w:t>中共四川省九寨沟县委党校部门决算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
    <w:p>
      <w:pPr>
        <w:pStyle w:val="10"/>
        <w:rPr>
          <w:rFonts w:cstheme="minorBidi"/>
        </w:rPr>
      </w:pPr>
      <w:r>
        <w:fldChar w:fldCharType="begin"/>
      </w:r>
      <w:r>
        <w:instrText xml:space="preserve"> HYPERLINK \l "_Toc15396599" </w:instrText>
      </w:r>
      <w:r>
        <w:fldChar w:fldCharType="separate"/>
      </w:r>
      <w:r>
        <w:rPr>
          <w:rStyle w:val="15"/>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rPr>
          <w:rFonts w:hint="eastAsia"/>
        </w:rPr>
        <w:t>6</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6</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6</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6</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8</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11</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rPr>
        <w:t>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rPr>
        <w:t>2</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rPr>
        <w:t>15</w:t>
      </w:r>
      <w:r>
        <w:rPr>
          <w:rFonts w:hint="eastAsia"/>
        </w:rPr>
        <w:fldChar w:fldCharType="end"/>
      </w:r>
    </w:p>
    <w:p>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0"/>
      </w:pPr>
    </w:p>
    <w:p>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五部分附表</w:t>
      </w:r>
      <w:r>
        <w:tab/>
      </w:r>
      <w:r>
        <w:fldChar w:fldCharType="begin"/>
      </w:r>
      <w:r>
        <w:instrText xml:space="preserve"> PAGEREF _Toc15396618 \h </w:instrText>
      </w:r>
      <w:r>
        <w:fldChar w:fldCharType="separate"/>
      </w:r>
      <w:r>
        <w:t>2</w:t>
      </w:r>
      <w:r>
        <w:rPr>
          <w:rFonts w:hint="eastAsia"/>
        </w:rPr>
        <w:t>0</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rPr>
        <w:t>0</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rPr>
          <w:rStyle w:val="26"/>
          <w:rFonts w:ascii="黑体" w:hAnsi="黑体" w:eastAsia="黑体"/>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bookmarkStart w:id="16" w:name="_Toc15377198"/>
      <w:bookmarkStart w:id="17" w:name="_Toc15378445"/>
    </w:p>
    <w:p>
      <w:pPr>
        <w:pStyle w:val="3"/>
        <w:ind w:firstLine="482" w:firstLineChars="150"/>
        <w:rPr>
          <w:rFonts w:ascii="仿宋" w:hAnsi="仿宋" w:eastAsia="仿宋"/>
          <w:b w:val="0"/>
          <w:bCs w:val="0"/>
        </w:rPr>
      </w:pPr>
      <w:r>
        <w:rPr>
          <w:rFonts w:hint="eastAsia" w:ascii="仿宋" w:hAnsi="仿宋" w:eastAsia="仿宋"/>
          <w:color w:val="000000"/>
        </w:rPr>
        <w:t>（一）主要职能</w:t>
      </w:r>
    </w:p>
    <w:bookmarkEnd w:id="16"/>
    <w:bookmarkEnd w:id="17"/>
    <w:p>
      <w:pPr>
        <w:tabs>
          <w:tab w:val="left" w:pos="720"/>
        </w:tabs>
        <w:ind w:firstLine="627" w:firstLineChars="196"/>
        <w:rPr>
          <w:rFonts w:ascii="仿宋_GB2312" w:hAnsi="Calibri" w:eastAsia="仿宋_GB2312"/>
          <w:bCs/>
          <w:sz w:val="32"/>
          <w:szCs w:val="32"/>
        </w:rPr>
      </w:pPr>
      <w:bookmarkStart w:id="18" w:name="_Toc15378446"/>
      <w:bookmarkStart w:id="19" w:name="_Toc15377199"/>
      <w:r>
        <w:rPr>
          <w:rFonts w:hint="eastAsia" w:ascii="仿宋_GB2312" w:hAnsi="Calibri" w:eastAsia="仿宋_GB2312"/>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pPr>
        <w:tabs>
          <w:tab w:val="left" w:pos="720"/>
        </w:tabs>
        <w:ind w:firstLine="627" w:firstLineChars="196"/>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ind w:firstLine="640" w:firstLineChars="200"/>
        <w:rPr>
          <w:rFonts w:ascii="仿宋_GB2312" w:eastAsia="仿宋_GB2312"/>
          <w:bCs/>
          <w:sz w:val="32"/>
          <w:szCs w:val="32"/>
        </w:rPr>
      </w:pPr>
      <w:r>
        <w:rPr>
          <w:rFonts w:hint="eastAsia" w:ascii="仿宋_GB2312" w:eastAsia="仿宋_GB2312"/>
          <w:color w:val="333333"/>
          <w:sz w:val="32"/>
          <w:szCs w:val="32"/>
        </w:rPr>
        <w:t>根据县委、县政府关于2018年全县工作的总体部署，2018年主要完成的重点工作是:</w:t>
      </w:r>
      <w:r>
        <w:rPr>
          <w:rFonts w:hint="eastAsia" w:ascii="仿宋_GB2312" w:eastAsia="仿宋_GB2312"/>
          <w:bCs/>
          <w:sz w:val="32"/>
          <w:szCs w:val="32"/>
        </w:rPr>
        <w:t>结合单位实际，做好11期1518人次主体班次的培训工作；充分发挥流动党校作用，深入各乡镇开展专题宣讲任务；针对现实重难点问题，开展科学调研，完成2篇高质量课题调研文章；承担中央、省、州、县重大会议精神的宣讲稿及课件制作工作；做好签订的目标责任制工作；同时认真开展安乐乡大寨村精准扶贫和驻村帮扶工作；抓好教师的送培工作，</w:t>
      </w:r>
      <w:r>
        <w:rPr>
          <w:rFonts w:hint="eastAsia" w:ascii="仿宋_GB2312" w:eastAsia="仿宋_GB2312"/>
          <w:sz w:val="32"/>
          <w:szCs w:val="32"/>
        </w:rPr>
        <w:t>2名教师到州委党校跟班学习，1名教师赴省委党校学习，1名教师赴中央党校学习。</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firstLine="800" w:firstLineChars="250"/>
        <w:rPr>
          <w:rFonts w:ascii="仿宋_GB2312" w:hAnsi="仿宋" w:eastAsia="仿宋_GB2312"/>
          <w:sz w:val="32"/>
          <w:szCs w:val="32"/>
        </w:rPr>
      </w:pPr>
      <w:r>
        <w:rPr>
          <w:rFonts w:hint="eastAsia" w:ascii="仿宋_GB2312" w:hAnsi="仿宋" w:eastAsia="仿宋_GB2312"/>
          <w:sz w:val="32"/>
          <w:szCs w:val="32"/>
        </w:rPr>
        <w:t>九寨沟县委党校下属二级单位0个，其中行政单位0个，参照公务员法管理的事业单位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600" w:lineRule="exact"/>
        <w:ind w:firstLine="672" w:firstLineChars="210"/>
        <w:rPr>
          <w:rFonts w:hAnsi="仿宋"/>
          <w:color w:val="000000"/>
          <w:sz w:val="32"/>
          <w:szCs w:val="32"/>
        </w:rPr>
      </w:pPr>
      <w:r>
        <w:rPr>
          <w:rFonts w:hint="eastAsia" w:hAnsi="仿宋"/>
          <w:color w:val="000000"/>
          <w:sz w:val="32"/>
          <w:szCs w:val="32"/>
        </w:rPr>
        <w:t>纳入九寨沟县委党校2018年度部门决算编制范围的二级预算单位：0个。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2"/>
      <w:bookmarkEnd w:id="23"/>
    </w:p>
    <w:p>
      <w:pPr/>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2018年度收、支总计245.28万元、256.71万元。与2017年相比，收、支总计各增加44.73万元、45.37万元，各增长约22%、。主要变动原因是冲销了以往年度财政预拨款。</w:t>
      </w:r>
    </w:p>
    <w:p>
      <w:pPr>
        <w:pStyle w:val="24"/>
        <w:numPr>
          <w:ilvl w:val="0"/>
          <w:numId w:val="1"/>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t>2018年本年收入合计245.28万元，其中：一般公共预算财政拨款收入245.28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640" w:firstLineChars="200"/>
        <w:rPr>
          <w:rFonts w:ascii="仿宋_GB2312" w:eastAsia="仿宋_GB2312"/>
          <w:color w:val="FF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rPr>
        <w:t>2018年本年支出合计256.71万元，其中：基本支出253.53万元，占98.77%；项目支出3.18万元，占1.23%；上缴上级支出0万元，占0%；经营支出0万元，占0%；对附属单位补助支出0万元，占0%。</w:t>
      </w: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sz w:val="32"/>
          <w:szCs w:val="32"/>
        </w:rPr>
        <w:t>2018年财政拨款收、支总计245.28万元、256.71。与2017年相比，财政拨款收、支总计各增加44.73万元、45.37万元，各增长约22%。主要变动原因是冲销了以往年度财政预拨款。</w:t>
      </w:r>
    </w:p>
    <w:p>
      <w:pPr>
        <w:spacing w:line="600" w:lineRule="exact"/>
        <w:ind w:firstLine="800" w:firstLineChars="25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2018年一般公共预算财政拨款支出256.71万元，占本年支出合计的100%。与2017年相比，一般公共预算财政拨款增加44.73万元，增长22%。主要变动原因是冲销了以往年度财政预拨款。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_GB2312" w:hAnsi="仿宋" w:eastAsia="仿宋_GB2312"/>
          <w:color w:val="000000" w:themeColor="text1"/>
          <w:sz w:val="32"/>
          <w:szCs w:val="32"/>
        </w:rPr>
      </w:pPr>
      <w:r>
        <w:rPr>
          <w:rFonts w:hint="eastAsia" w:ascii="仿宋_GB2312" w:hAnsi="仿宋" w:eastAsia="仿宋_GB2312"/>
          <w:color w:val="000000"/>
          <w:sz w:val="32"/>
          <w:szCs w:val="32"/>
        </w:rPr>
        <w:t>2018年一般公共预算财</w:t>
      </w:r>
      <w:r>
        <w:rPr>
          <w:rFonts w:hint="eastAsia" w:ascii="仿宋_GB2312" w:hAnsi="仿宋" w:eastAsia="仿宋_GB2312"/>
          <w:color w:val="000000" w:themeColor="text1"/>
          <w:sz w:val="32"/>
          <w:szCs w:val="32"/>
        </w:rPr>
        <w:t>政拨款支出256.71万元，主要用于以下方面:一般公共服务支出0.48万元，占0.18%；教育支出209.01万元，占81.42%；社会保障和就业支出20.81万元，占8.11%；医疗卫生支出12.10万元，占4.71%；住房保障支出14.32万元，占5.58%。</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_GB2312" w:hAnsi="仿宋" w:eastAsia="仿宋_GB2312"/>
          <w:color w:val="FF0000"/>
          <w:sz w:val="32"/>
          <w:szCs w:val="32"/>
        </w:rPr>
      </w:pPr>
      <w:bookmarkStart w:id="37" w:name="_Toc15377213"/>
      <w:bookmarkStart w:id="38" w:name="_Toc15377444"/>
      <w:bookmarkStart w:id="39" w:name="_Toc15378460"/>
      <w:r>
        <w:rPr>
          <w:rFonts w:hint="eastAsia" w:ascii="仿宋_GB2312" w:hAnsi="仿宋" w:eastAsia="仿宋_GB2312"/>
          <w:b/>
          <w:color w:val="000000" w:themeColor="text1"/>
          <w:sz w:val="32"/>
          <w:szCs w:val="32"/>
        </w:rPr>
        <w:t>2018年一般公共预算支出决算数为256.71</w:t>
      </w:r>
      <w:r>
        <w:rPr>
          <w:rFonts w:hint="eastAsia" w:ascii="仿宋_GB2312" w:hAnsi="仿宋" w:eastAsia="仿宋_GB2312"/>
          <w:color w:val="000000" w:themeColor="text1"/>
          <w:sz w:val="32"/>
          <w:szCs w:val="32"/>
        </w:rPr>
        <w:t>，</w:t>
      </w:r>
      <w:r>
        <w:rPr>
          <w:rStyle w:val="14"/>
          <w:rFonts w:hint="eastAsia" w:ascii="仿宋_GB2312" w:hAnsi="仿宋" w:eastAsia="仿宋_GB2312"/>
          <w:bCs/>
          <w:color w:val="000000" w:themeColor="text1"/>
          <w:sz w:val="32"/>
          <w:szCs w:val="32"/>
        </w:rPr>
        <w:t>完成</w:t>
      </w:r>
      <w:r>
        <w:rPr>
          <w:rStyle w:val="14"/>
          <w:rFonts w:hint="eastAsia" w:ascii="仿宋_GB2312" w:hAnsi="仿宋" w:eastAsia="仿宋_GB2312"/>
          <w:bCs/>
          <w:color w:val="000000"/>
          <w:sz w:val="32"/>
          <w:szCs w:val="32"/>
        </w:rPr>
        <w:t>预算100%。其中：</w:t>
      </w:r>
      <w:bookmarkEnd w:id="37"/>
      <w:bookmarkEnd w:id="38"/>
      <w:bookmarkEnd w:id="39"/>
    </w:p>
    <w:p>
      <w:pPr>
        <w:spacing w:line="600" w:lineRule="exact"/>
        <w:ind w:firstLine="643" w:firstLineChars="200"/>
        <w:rPr>
          <w:rFonts w:ascii="仿宋_GB2312" w:hAnsi="仿宋" w:eastAsia="仿宋_GB2312"/>
          <w:b/>
          <w:color w:val="000000"/>
          <w:sz w:val="32"/>
          <w:szCs w:val="32"/>
        </w:rPr>
      </w:pPr>
      <w:r>
        <w:rPr>
          <w:rStyle w:val="14"/>
          <w:rFonts w:hint="eastAsia" w:ascii="仿宋_GB2312" w:hAnsi="仿宋" w:eastAsia="仿宋_GB2312"/>
          <w:bCs/>
          <w:color w:val="000000"/>
          <w:sz w:val="32"/>
          <w:szCs w:val="32"/>
        </w:rPr>
        <w:t>1.一般公共服务（201）组织事务（32）其他组织事务支出（99）:</w:t>
      </w:r>
      <w:r>
        <w:rPr>
          <w:rStyle w:val="14"/>
          <w:rFonts w:hint="eastAsia" w:ascii="仿宋_GB2312" w:hAnsi="仿宋" w:eastAsia="仿宋_GB2312"/>
          <w:b w:val="0"/>
          <w:bCs/>
          <w:color w:val="000000"/>
          <w:sz w:val="32"/>
          <w:szCs w:val="32"/>
        </w:rPr>
        <w:t>支出决算为0.48万元，完成预算100%，决算等于预算数。</w:t>
      </w:r>
    </w:p>
    <w:p>
      <w:pPr>
        <w:spacing w:line="600" w:lineRule="exact"/>
        <w:ind w:firstLine="643" w:firstLineChars="200"/>
        <w:rPr>
          <w:rFonts w:ascii="仿宋_GB2312" w:hAnsi="仿宋" w:eastAsia="仿宋_GB2312"/>
          <w:b/>
          <w:color w:val="000000"/>
          <w:sz w:val="32"/>
          <w:szCs w:val="32"/>
        </w:rPr>
      </w:pPr>
      <w:r>
        <w:rPr>
          <w:rStyle w:val="14"/>
          <w:rFonts w:hint="eastAsia" w:ascii="仿宋_GB2312" w:hAnsi="仿宋" w:eastAsia="仿宋_GB2312"/>
          <w:bCs/>
          <w:color w:val="000000"/>
          <w:sz w:val="32"/>
          <w:szCs w:val="32"/>
        </w:rPr>
        <w:t>2.教育（205）进修及培训（08）干部教育（02）:</w:t>
      </w:r>
      <w:r>
        <w:rPr>
          <w:rStyle w:val="14"/>
          <w:rFonts w:hint="eastAsia" w:ascii="仿宋_GB2312" w:hAnsi="仿宋" w:eastAsia="仿宋_GB2312"/>
          <w:b w:val="0"/>
          <w:bCs/>
          <w:color w:val="000000"/>
          <w:sz w:val="32"/>
          <w:szCs w:val="32"/>
        </w:rPr>
        <w:t>支出决算为209.01万元，完成预算100%，决算数等于预算。</w:t>
      </w:r>
    </w:p>
    <w:p>
      <w:pPr>
        <w:spacing w:line="600" w:lineRule="exact"/>
        <w:ind w:firstLine="643" w:firstLineChars="200"/>
        <w:rPr>
          <w:rFonts w:ascii="仿宋_GB2312" w:hAnsi="仿宋" w:eastAsia="仿宋_GB2312"/>
          <w:b/>
          <w:color w:val="000000"/>
          <w:sz w:val="32"/>
          <w:szCs w:val="32"/>
        </w:rPr>
      </w:pPr>
      <w:r>
        <w:rPr>
          <w:rStyle w:val="14"/>
          <w:rFonts w:hint="eastAsia" w:ascii="仿宋_GB2312" w:hAnsi="仿宋" w:eastAsia="仿宋_GB2312"/>
          <w:bCs/>
          <w:color w:val="000000"/>
          <w:sz w:val="32"/>
          <w:szCs w:val="32"/>
        </w:rPr>
        <w:t>3.社会保障和就业（208行政事业单位离退休（05）机关事业单位基本养老保险缴费支出（05）:</w:t>
      </w:r>
      <w:r>
        <w:rPr>
          <w:rStyle w:val="14"/>
          <w:rFonts w:hint="eastAsia" w:ascii="仿宋_GB2312" w:hAnsi="仿宋" w:eastAsia="仿宋_GB2312"/>
          <w:b w:val="0"/>
          <w:bCs/>
          <w:color w:val="000000"/>
          <w:sz w:val="32"/>
          <w:szCs w:val="32"/>
        </w:rPr>
        <w:t>支出决算为18.11万元，完成预算100%；</w:t>
      </w:r>
      <w:r>
        <w:rPr>
          <w:rStyle w:val="14"/>
          <w:rFonts w:hint="eastAsia" w:ascii="仿宋_GB2312" w:hAnsi="仿宋" w:eastAsia="仿宋_GB2312"/>
          <w:bCs/>
          <w:color w:val="000000"/>
          <w:sz w:val="32"/>
          <w:szCs w:val="32"/>
        </w:rPr>
        <w:t>社会保障和就业（208）抚恤（08）死亡抚恤（01）：</w:t>
      </w:r>
      <w:r>
        <w:rPr>
          <w:rStyle w:val="14"/>
          <w:rFonts w:hint="eastAsia" w:ascii="仿宋_GB2312" w:hAnsi="仿宋" w:eastAsia="仿宋_GB2312"/>
          <w:b w:val="0"/>
          <w:bCs/>
          <w:color w:val="000000"/>
          <w:sz w:val="32"/>
          <w:szCs w:val="32"/>
        </w:rPr>
        <w:t>支出决算为2.7万元，完成预算100%。决算数等于预算数。</w:t>
      </w:r>
    </w:p>
    <w:p>
      <w:pPr>
        <w:spacing w:line="600" w:lineRule="exact"/>
        <w:ind w:firstLine="643" w:firstLineChars="200"/>
        <w:rPr>
          <w:rFonts w:ascii="仿宋_GB2312" w:hAnsi="仿宋" w:eastAsia="仿宋_GB2312"/>
          <w:b/>
          <w:color w:val="000000"/>
          <w:sz w:val="32"/>
          <w:szCs w:val="32"/>
        </w:rPr>
      </w:pPr>
      <w:r>
        <w:rPr>
          <w:rStyle w:val="14"/>
          <w:rFonts w:hint="eastAsia" w:ascii="仿宋_GB2312" w:hAnsi="仿宋" w:eastAsia="仿宋_GB2312"/>
          <w:bCs/>
          <w:color w:val="000000"/>
          <w:sz w:val="32"/>
          <w:szCs w:val="32"/>
        </w:rPr>
        <w:t>4.医疗卫生与计划生育（210）行政事业单位医疗（11）事业单位医疗（02）:</w:t>
      </w:r>
      <w:r>
        <w:rPr>
          <w:rStyle w:val="14"/>
          <w:rFonts w:hint="eastAsia" w:ascii="仿宋_GB2312" w:hAnsi="仿宋" w:eastAsia="仿宋_GB2312"/>
          <w:b w:val="0"/>
          <w:bCs/>
          <w:color w:val="000000"/>
          <w:sz w:val="32"/>
          <w:szCs w:val="32"/>
        </w:rPr>
        <w:t>支出决算为10.78万元，完成预算100%；</w:t>
      </w:r>
      <w:r>
        <w:rPr>
          <w:rStyle w:val="14"/>
          <w:rFonts w:hint="eastAsia" w:ascii="仿宋_GB2312" w:hAnsi="仿宋" w:eastAsia="仿宋_GB2312"/>
          <w:bCs/>
          <w:color w:val="000000"/>
          <w:sz w:val="32"/>
          <w:szCs w:val="32"/>
        </w:rPr>
        <w:t>.医疗卫生与计划生育（210）行政事业单位医疗（11）其他行政事业单位医疗支出（99）:</w:t>
      </w:r>
      <w:r>
        <w:rPr>
          <w:rStyle w:val="14"/>
          <w:rFonts w:hint="eastAsia" w:ascii="仿宋_GB2312" w:hAnsi="仿宋" w:eastAsia="仿宋_GB2312"/>
          <w:b w:val="0"/>
          <w:bCs/>
          <w:color w:val="000000"/>
          <w:sz w:val="32"/>
          <w:szCs w:val="32"/>
        </w:rPr>
        <w:t>支出决算为1.32万元，完成预算100%。决算数等于预算数。</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w:t>
      </w:r>
      <w:r>
        <w:rPr>
          <w:rFonts w:hint="eastAsia" w:ascii="仿宋_GB2312" w:eastAsia="仿宋_GB2312"/>
          <w:b/>
          <w:color w:val="000000"/>
          <w:sz w:val="32"/>
          <w:szCs w:val="32"/>
        </w:rPr>
        <w:t xml:space="preserve"> 住房保障支出（221）住房改革支出（02）住房公积金</w:t>
      </w:r>
      <w:r>
        <w:rPr>
          <w:rFonts w:hint="eastAsia" w:ascii="仿宋_GB2312" w:hAnsi="仿宋" w:eastAsia="仿宋_GB2312"/>
          <w:b/>
          <w:color w:val="000000"/>
          <w:sz w:val="32"/>
          <w:szCs w:val="32"/>
        </w:rPr>
        <w:t>（01）：</w:t>
      </w:r>
      <w:r>
        <w:rPr>
          <w:rFonts w:hint="eastAsia" w:ascii="仿宋_GB2312" w:hAnsi="仿宋" w:eastAsia="仿宋_GB2312"/>
          <w:color w:val="000000"/>
          <w:sz w:val="32"/>
          <w:szCs w:val="32"/>
        </w:rPr>
        <w:t>支出数为14.32万元，完成预算100%；</w:t>
      </w:r>
      <w:r>
        <w:rPr>
          <w:rStyle w:val="14"/>
          <w:rFonts w:hint="eastAsia" w:ascii="仿宋_GB2312" w:hAnsi="仿宋" w:eastAsia="仿宋_GB2312"/>
          <w:b w:val="0"/>
          <w:bCs/>
          <w:color w:val="000000"/>
          <w:sz w:val="32"/>
          <w:szCs w:val="32"/>
        </w:rPr>
        <w:t>决算数等于预算数。</w:t>
      </w:r>
    </w:p>
    <w:p>
      <w:pPr>
        <w:tabs>
          <w:tab w:val="right" w:pos="8306"/>
        </w:tabs>
        <w:spacing w:line="600" w:lineRule="exact"/>
        <w:ind w:firstLine="630" w:firstLineChars="196"/>
        <w:outlineLvl w:val="1"/>
        <w:rPr>
          <w:rFonts w:ascii="仿宋_GB2312" w:hAnsi="仿宋" w:eastAsia="仿宋_GB2312"/>
          <w:b/>
          <w:color w:val="000000"/>
          <w:sz w:val="32"/>
          <w:szCs w:val="32"/>
        </w:rPr>
      </w:pPr>
      <w:bookmarkStart w:id="40" w:name="_Toc15377214"/>
      <w:bookmarkStart w:id="41" w:name="_Toc15396608"/>
    </w:p>
    <w:p>
      <w:pPr>
        <w:tabs>
          <w:tab w:val="right" w:pos="8306"/>
        </w:tabs>
        <w:spacing w:line="600" w:lineRule="exact"/>
        <w:ind w:firstLine="627" w:firstLineChars="196"/>
        <w:outlineLvl w:val="1"/>
        <w:rPr>
          <w:rStyle w:val="26"/>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2018年一般公共预算财政拨款基本支出253.53万元，其中：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191.99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公用经费61.54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firstLineChars="200"/>
        <w:outlineLvl w:val="1"/>
        <w:rPr>
          <w:rStyle w:val="26"/>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_GB2312" w:hAnsi="仿宋" w:eastAsia="仿宋_GB2312"/>
          <w:b/>
          <w:color w:val="000000"/>
          <w:sz w:val="32"/>
          <w:szCs w:val="32"/>
        </w:rPr>
      </w:pPr>
      <w:bookmarkStart w:id="44" w:name="_Toc15377216"/>
      <w:r>
        <w:rPr>
          <w:rFonts w:hint="eastAsia" w:ascii="仿宋_GB2312" w:hAnsi="仿宋" w:eastAsia="仿宋_GB2312"/>
          <w:b/>
          <w:color w:val="000000"/>
          <w:sz w:val="32"/>
          <w:szCs w:val="32"/>
        </w:rPr>
        <w:t>（一）“三公”经费财政拨款支出决算总体情况说明</w:t>
      </w:r>
      <w:bookmarkEnd w:id="44"/>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2018年“三公”经费财政拨款支出决算为0万元，完成预算0%，决算数与预算数持平。</w:t>
      </w:r>
    </w:p>
    <w:p>
      <w:pPr>
        <w:spacing w:line="600" w:lineRule="exact"/>
        <w:ind w:firstLine="640"/>
        <w:outlineLvl w:val="2"/>
        <w:rPr>
          <w:rFonts w:ascii="仿宋_GB2312" w:hAnsi="仿宋" w:eastAsia="仿宋_GB2312"/>
          <w:b/>
          <w:color w:val="000000"/>
          <w:sz w:val="32"/>
          <w:szCs w:val="32"/>
        </w:rPr>
      </w:pPr>
      <w:bookmarkStart w:id="45" w:name="_Toc15377217"/>
    </w:p>
    <w:p>
      <w:pPr>
        <w:spacing w:line="600" w:lineRule="exact"/>
        <w:ind w:firstLine="640"/>
        <w:outlineLvl w:val="2"/>
        <w:rPr>
          <w:rFonts w:ascii="仿宋_GB2312" w:hAnsi="仿宋" w:eastAsia="仿宋_GB2312"/>
          <w:b/>
          <w:color w:val="000000"/>
          <w:sz w:val="32"/>
          <w:szCs w:val="32"/>
        </w:rPr>
      </w:pPr>
      <w:r>
        <w:rPr>
          <w:rFonts w:hint="eastAsia" w:ascii="仿宋_GB2312" w:hAnsi="仿宋" w:eastAsia="仿宋_GB2312"/>
          <w:b/>
          <w:color w:val="000000"/>
          <w:sz w:val="32"/>
          <w:szCs w:val="32"/>
        </w:rPr>
        <w:t>（二）“三公”经费财政拨款支出决算具体情况说明</w:t>
      </w:r>
      <w:bookmarkEnd w:id="45"/>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2018年“三公”经费财政拨款支出决算中，因公出国（境）费支出决算0万元，占0%；公务用车购置及运行维护费支出决算0万元，占0%；公务接待费支出决算0万元，占0%。具体情况如下：</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全年安排因公出国（境）团组0次，出国（境）0人。因公出国（境）支出决算数与</w:t>
      </w:r>
      <w:r>
        <w:rPr>
          <w:rFonts w:ascii="仿宋_GB2312" w:eastAsia="仿宋_GB2312"/>
          <w:color w:val="000000"/>
          <w:sz w:val="32"/>
          <w:szCs w:val="32"/>
        </w:rPr>
        <w:t>201</w:t>
      </w:r>
      <w:r>
        <w:rPr>
          <w:rFonts w:hint="eastAsia" w:ascii="仿宋_GB2312" w:eastAsia="仿宋_GB2312"/>
          <w:color w:val="000000"/>
          <w:sz w:val="32"/>
          <w:szCs w:val="32"/>
        </w:rPr>
        <w:t>7年持平。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公务用车购置及运行维护费支出决算数与</w:t>
      </w:r>
      <w:r>
        <w:rPr>
          <w:rFonts w:ascii="仿宋_GB2312" w:eastAsia="仿宋_GB2312"/>
          <w:color w:val="000000"/>
          <w:sz w:val="32"/>
          <w:szCs w:val="32"/>
        </w:rPr>
        <w:t>201</w:t>
      </w:r>
      <w:r>
        <w:rPr>
          <w:rFonts w:hint="eastAsia" w:ascii="仿宋_GB2312" w:eastAsia="仿宋_GB2312"/>
          <w:color w:val="000000"/>
          <w:sz w:val="32"/>
          <w:szCs w:val="32"/>
        </w:rPr>
        <w:t>7年持平。</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完成预算0%。</w:t>
      </w:r>
      <w:r>
        <w:rPr>
          <w:rFonts w:hint="eastAsia" w:ascii="仿宋_GB2312" w:eastAsia="仿宋_GB2312"/>
          <w:color w:val="000000"/>
          <w:sz w:val="32"/>
          <w:szCs w:val="32"/>
        </w:rPr>
        <w:t>公务接待费支出决算与</w:t>
      </w:r>
      <w:r>
        <w:rPr>
          <w:rFonts w:ascii="仿宋_GB2312" w:eastAsia="仿宋_GB2312"/>
          <w:color w:val="000000"/>
          <w:sz w:val="32"/>
          <w:szCs w:val="32"/>
        </w:rPr>
        <w:t>201</w:t>
      </w:r>
      <w:r>
        <w:rPr>
          <w:rFonts w:hint="eastAsia" w:ascii="仿宋_GB2312" w:eastAsia="仿宋_GB2312"/>
          <w:color w:val="000000"/>
          <w:sz w:val="32"/>
          <w:szCs w:val="32"/>
        </w:rPr>
        <w:t>7持平。</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w:t>
      </w:r>
    </w:p>
    <w:p>
      <w:pPr>
        <w:spacing w:line="600" w:lineRule="exact"/>
        <w:ind w:firstLine="643" w:firstLineChars="200"/>
        <w:rPr>
          <w:rFonts w:ascii="仿宋_GB2312" w:eastAsia="仿宋_GB2312"/>
          <w:color w:val="000000" w:themeColor="text1"/>
          <w:sz w:val="32"/>
          <w:szCs w:val="32"/>
        </w:rPr>
      </w:pPr>
      <w:r>
        <w:rPr>
          <w:rFonts w:hint="eastAsia" w:ascii="仿宋_GB2312" w:hAnsi="仿宋" w:eastAsia="仿宋_GB2312"/>
          <w:b/>
          <w:color w:val="000000"/>
          <w:sz w:val="32"/>
          <w:szCs w:val="32"/>
        </w:rPr>
        <w:t>外事接待支出</w:t>
      </w:r>
      <w:r>
        <w:rPr>
          <w:rFonts w:hint="eastAsia" w:ascii="仿宋_GB2312" w:hAnsi="仿宋" w:eastAsia="仿宋_GB2312"/>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pPr>
        <w:spacing w:line="600" w:lineRule="exact"/>
        <w:ind w:firstLine="640"/>
        <w:rPr>
          <w:rFonts w:ascii="仿宋_GB2312" w:eastAsia="仿宋_GB2312"/>
          <w:color w:val="000000"/>
          <w:sz w:val="32"/>
          <w:szCs w:val="32"/>
        </w:rPr>
      </w:pPr>
      <w:r>
        <w:rPr>
          <w:rFonts w:hint="eastAsia" w:ascii="仿宋_GB2312" w:hAnsi="仿宋" w:eastAsia="仿宋_GB2312"/>
          <w:b/>
          <w:color w:val="000000"/>
          <w:sz w:val="32"/>
          <w:szCs w:val="32"/>
        </w:rPr>
        <w:t>其他国内公务接待支出</w:t>
      </w:r>
      <w:r>
        <w:rPr>
          <w:rFonts w:hint="eastAsia" w:ascii="仿宋_GB2312" w:hAnsi="仿宋"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p>
    <w:p>
      <w:pPr>
        <w:pStyle w:val="24"/>
        <w:numPr>
          <w:ilvl w:val="0"/>
          <w:numId w:val="2"/>
        </w:numPr>
        <w:spacing w:line="600" w:lineRule="exact"/>
        <w:ind w:firstLineChars="0"/>
        <w:outlineLvl w:val="1"/>
        <w:rPr>
          <w:rStyle w:val="26"/>
          <w:rFonts w:ascii="黑体" w:hAnsi="黑体" w:eastAsia="黑体"/>
        </w:rPr>
      </w:pPr>
      <w:bookmarkStart w:id="46" w:name="_Toc15396610"/>
      <w:bookmarkStart w:id="47" w:name="_Toc15377218"/>
      <w:r>
        <w:rPr>
          <w:rStyle w:val="26"/>
          <w:rFonts w:hint="eastAsia" w:ascii="黑体" w:hAnsi="黑体" w:eastAsia="黑体"/>
          <w:b w:val="0"/>
        </w:rPr>
        <w:t>政府性基金预算支出决算情况说明</w:t>
      </w:r>
      <w:bookmarkEnd w:id="46"/>
      <w:bookmarkEnd w:id="47"/>
    </w:p>
    <w:p>
      <w:pPr>
        <w:pStyle w:val="24"/>
        <w:spacing w:line="600" w:lineRule="exact"/>
        <w:ind w:left="679" w:firstLine="0" w:firstLineChars="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pStyle w:val="24"/>
        <w:numPr>
          <w:ilvl w:val="0"/>
          <w:numId w:val="3"/>
        </w:numPr>
        <w:spacing w:line="600" w:lineRule="exact"/>
        <w:ind w:firstLineChars="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4"/>
        <w:numPr>
          <w:ilvl w:val="0"/>
          <w:numId w:val="4"/>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pPr>
        <w:autoSpaceDN w:val="0"/>
        <w:spacing w:line="580" w:lineRule="exact"/>
        <w:ind w:firstLine="320" w:firstLineChars="10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本部门按要求对2018年部门整体支出开展绩效自评，从评价情况来看完成了2018年重点工作：</w:t>
      </w:r>
      <w:r>
        <w:rPr>
          <w:rFonts w:hint="eastAsia" w:ascii="仿宋_GB2312" w:hAnsi="仿宋_GB2312" w:eastAsia="仿宋_GB2312" w:cs="仿宋_GB2312"/>
          <w:color w:val="000000"/>
          <w:sz w:val="32"/>
          <w:szCs w:val="32"/>
        </w:rPr>
        <w:t>主体培训班11期；2篇调研报告，并在《阿坝发展》发表；各项目标责任制；按照要求完成精准扶贫工作；根据安排完成下乡宣讲，日常事务性工作。总的来看2018年度单位在规定时间内保质保量完成了所有工作任务，并保证了单位良好运行情况。</w:t>
      </w:r>
      <w:r>
        <w:rPr>
          <w:rFonts w:hint="eastAsia" w:ascii="仿宋_GB2312" w:hAnsi="仿宋_GB2312" w:eastAsia="仿宋_GB2312" w:cs="仿宋_GB2312"/>
          <w:sz w:val="32"/>
          <w:szCs w:val="32"/>
        </w:rPr>
        <w:t>本部门还自行组织了0个项目绩效评价。</w:t>
      </w:r>
    </w:p>
    <w:p>
      <w:pPr>
        <w:autoSpaceDN w:val="0"/>
        <w:spacing w:line="580" w:lineRule="exact"/>
        <w:ind w:firstLine="800" w:firstLineChars="250"/>
        <w:jc w:val="left"/>
        <w:textAlignment w:val="center"/>
        <w:rPr>
          <w:rFonts w:ascii="仿宋_GB2312" w:hAnsi="仿宋_GB2312" w:eastAsia="仿宋_GB2312" w:cs="仿宋_GB2312"/>
          <w:sz w:val="32"/>
          <w:szCs w:val="32"/>
        </w:rPr>
      </w:pPr>
      <w:r>
        <w:rPr>
          <w:rFonts w:hint="eastAsia" w:ascii="黑体" w:hAnsi="仿宋_GB2312" w:eastAsia="黑体" w:cs="仿宋_GB2312"/>
          <w:sz w:val="32"/>
          <w:szCs w:val="32"/>
        </w:rPr>
        <w:t>（二）</w:t>
      </w: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本部门在2018年度部门决算中反映0个项目绩效目标实际完成情况。</w:t>
      </w:r>
    </w:p>
    <w:p>
      <w:pPr>
        <w:spacing w:line="580" w:lineRule="exact"/>
        <w:ind w:firstLine="480" w:firstLineChars="150"/>
        <w:rPr>
          <w:rFonts w:ascii="仿宋" w:hAnsi="仿宋" w:eastAsia="仿宋" w:cs="仿宋_GB2312"/>
          <w:sz w:val="32"/>
          <w:szCs w:val="32"/>
        </w:rPr>
      </w:pPr>
      <w:r>
        <w:rPr>
          <w:rFonts w:hint="eastAsia" w:ascii="黑体" w:hAnsi="Calibri" w:eastAsia="黑体"/>
          <w:sz w:val="32"/>
          <w:szCs w:val="32"/>
        </w:rPr>
        <w:t>（三）</w:t>
      </w: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中共</w:t>
      </w:r>
      <w:bookmarkStart w:id="75" w:name="_GoBack"/>
      <w:bookmarkEnd w:id="75"/>
      <w:r>
        <w:rPr>
          <w:rFonts w:hint="eastAsia" w:ascii="仿宋_GB2312" w:hAnsi="仿宋_GB2312" w:eastAsia="仿宋_GB2312" w:cs="仿宋_GB2312"/>
          <w:sz w:val="32"/>
          <w:szCs w:val="32"/>
        </w:rPr>
        <w:t>九寨沟县委党校2018年部门整体支出绩效评价报告》见附件。</w:t>
      </w:r>
    </w:p>
    <w:p>
      <w:pPr>
        <w:spacing w:line="600" w:lineRule="exact"/>
        <w:ind w:firstLine="640" w:firstLineChars="20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8年，九寨沟县委党校机关运行经费支出0万元，比</w:t>
      </w:r>
      <w:r>
        <w:rPr>
          <w:rFonts w:ascii="仿宋_GB2312" w:eastAsia="仿宋_GB2312"/>
          <w:color w:val="000000"/>
          <w:sz w:val="32"/>
          <w:szCs w:val="32"/>
        </w:rPr>
        <w:t>201</w:t>
      </w:r>
      <w:r>
        <w:rPr>
          <w:rFonts w:hint="eastAsia" w:ascii="仿宋_GB2312" w:eastAsia="仿宋_GB2312"/>
          <w:color w:val="000000"/>
          <w:sz w:val="32"/>
          <w:szCs w:val="32"/>
        </w:rPr>
        <w:t>7年减少21.71万元，下降100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主要原因是根据决算报要求不用填列。</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九寨沟县委党校政府采购支出总额9.948万元，其中：政府采购货物支出9.948万元、政府采购工程支出0万元、政府采购服务支出0万元。主要用于提高单位工作效率，提升硬件实力，更好办公。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，其中：授予小微企业合同金额9.948万元，占政府采购支出总额的100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日，九寨沟县委党校共有车辆0辆，其中：部级领导干部用车0辆、一般公务用车0辆、一般执法执勤用车0辆、特种专业技术用车0辆、其他用车0辆，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p>
    <w:p>
      <w:pPr>
        <w:spacing w:line="600" w:lineRule="exact"/>
        <w:ind w:left="660"/>
        <w:outlineLvl w:val="0"/>
        <w:rPr>
          <w:rFonts w:ascii="黑体" w:hAnsi="黑体" w:eastAsia="黑体"/>
          <w:bCs/>
          <w:kern w:val="44"/>
          <w:sz w:val="44"/>
          <w:szCs w:val="44"/>
        </w:rPr>
      </w:pPr>
      <w:bookmarkStart w:id="55" w:name="_Toc15396613"/>
      <w:bookmarkStart w:id="56" w:name="_Toc15377225"/>
    </w:p>
    <w:p>
      <w:pPr>
        <w:numPr>
          <w:ilvl w:val="0"/>
          <w:numId w:val="6"/>
        </w:numPr>
        <w:spacing w:line="600" w:lineRule="exact"/>
        <w:ind w:firstLine="663" w:firstLineChars="150"/>
        <w:jc w:val="center"/>
        <w:outlineLvl w:val="0"/>
        <w:rPr>
          <w:rStyle w:val="25"/>
          <w:rFonts w:ascii="黑体" w:hAnsi="黑体" w:eastAsia="黑体"/>
          <w:b w:val="0"/>
        </w:rPr>
      </w:pPr>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一般公共服务（201）组织事务（32）其他组织事务支出（99）：指指其他党委办公厅（室）及相关机构事务支出，反映除行政运行、一般行政管理事务、机关服务、专项业务、事业运行以外其他用于党委办公厅（室）及相关机构事务支出。</w:t>
      </w:r>
    </w:p>
    <w:p>
      <w:pPr>
        <w:ind w:firstLine="627" w:firstLineChars="196"/>
        <w:rPr>
          <w:rStyle w:val="14"/>
          <w:rFonts w:ascii="仿宋_GB2312" w:eastAsia="仿宋_GB2312"/>
          <w:b w:val="0"/>
          <w:color w:val="000000"/>
          <w:sz w:val="32"/>
          <w:szCs w:val="32"/>
        </w:rPr>
      </w:pP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教育（205）进修及培训（08）干部教育（02）：指</w:t>
      </w:r>
      <w:r>
        <w:rPr>
          <w:rStyle w:val="14"/>
          <w:rFonts w:hint="eastAsia" w:ascii="仿宋_GB2312" w:eastAsia="仿宋_GB2312"/>
          <w:b w:val="0"/>
          <w:color w:val="000000"/>
          <w:sz w:val="32"/>
          <w:szCs w:val="32"/>
        </w:rPr>
        <w:t>指干部教育，反映各级党校、行政学院、社会主义学院、国家会计学院的支出。包括机构运行、招聘师资、举办各类培训班的支出。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社会保障和就业（208）行政事业单位离退休（05）机关事业单位基本养老保险缴费支出（05）：</w:t>
      </w:r>
      <w:r>
        <w:rPr>
          <w:rStyle w:val="14"/>
          <w:rFonts w:hint="eastAsia" w:ascii="仿宋_GB2312" w:eastAsia="仿宋_GB2312"/>
          <w:b w:val="0"/>
          <w:color w:val="000000"/>
          <w:sz w:val="32"/>
          <w:szCs w:val="32"/>
        </w:rPr>
        <w:t>指机关事业单位基本养老保险缴费支出，反映机关事业单位实施养老保险制度由单位缴纳的基本养老保险支出</w:t>
      </w:r>
      <w:r>
        <w:rPr>
          <w:rFonts w:hint="eastAsia" w:ascii="仿宋_GB2312" w:eastAsia="仿宋_GB2312"/>
          <w:color w:val="000000"/>
          <w:sz w:val="32"/>
          <w:szCs w:val="32"/>
        </w:rPr>
        <w:t>。</w:t>
      </w:r>
    </w:p>
    <w:p>
      <w:pPr>
        <w:ind w:firstLine="627" w:firstLineChars="196"/>
        <w:rPr>
          <w:rFonts w:ascii="仿宋_GB2312" w:eastAsia="仿宋_GB2312"/>
          <w:color w:val="000000"/>
          <w:sz w:val="32"/>
          <w:szCs w:val="32"/>
        </w:rPr>
      </w:pPr>
      <w:r>
        <w:rPr>
          <w:rFonts w:hint="eastAsia" w:ascii="仿宋_GB2312" w:eastAsia="仿宋_GB2312"/>
          <w:color w:val="000000"/>
          <w:sz w:val="32"/>
          <w:szCs w:val="32"/>
        </w:rPr>
        <w:t>6. 社会保障和就业（208）抚恤（08）死亡抚恤（01）：指死亡抚恤，反映按规定用于烈士和牺牲、病故人员家属的一次性和定期抚恤金以及丧葬补助费。</w:t>
      </w:r>
    </w:p>
    <w:p>
      <w:pPr>
        <w:ind w:firstLine="640" w:firstLineChars="200"/>
        <w:rPr>
          <w:rFonts w:ascii="仿宋_GB2312" w:eastAsia="仿宋_GB2312"/>
          <w:color w:val="000000"/>
          <w:sz w:val="32"/>
          <w:szCs w:val="32"/>
        </w:rPr>
      </w:pPr>
    </w:p>
    <w:p>
      <w:pPr>
        <w:ind w:firstLine="640" w:firstLineChars="200"/>
        <w:rPr>
          <w:rStyle w:val="14"/>
          <w:rFonts w:ascii="仿宋_GB2312" w:eastAsia="仿宋_GB2312"/>
          <w:b w:val="0"/>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医疗卫生与计划生育（210）行政事业单位医疗（11）事业单位医疗（02）：</w:t>
      </w:r>
      <w:r>
        <w:rPr>
          <w:rStyle w:val="14"/>
          <w:rFonts w:hint="eastAsia" w:ascii="仿宋_GB2312" w:eastAsia="仿宋_GB2312"/>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Style w:val="14"/>
          <w:rFonts w:ascii="仿宋_GB2312" w:eastAsia="仿宋_GB2312"/>
          <w:b w:val="0"/>
          <w:color w:val="000000"/>
          <w:sz w:val="32"/>
          <w:szCs w:val="32"/>
        </w:rPr>
      </w:pPr>
      <w:r>
        <w:rPr>
          <w:rStyle w:val="14"/>
          <w:rFonts w:hint="eastAsia" w:ascii="仿宋_GB2312" w:eastAsia="仿宋_GB2312"/>
          <w:b w:val="0"/>
          <w:color w:val="000000"/>
          <w:sz w:val="32"/>
          <w:szCs w:val="32"/>
        </w:rPr>
        <w:t>8.</w:t>
      </w:r>
      <w:r>
        <w:rPr>
          <w:rFonts w:hint="eastAsia" w:ascii="仿宋_GB2312" w:eastAsia="仿宋_GB2312"/>
          <w:color w:val="000000"/>
          <w:sz w:val="32"/>
          <w:szCs w:val="32"/>
        </w:rPr>
        <w:t xml:space="preserve"> 医疗卫生与计划生育（210）行政事业单位医疗（11）其他行政事业单位医疗支出（99）：指反映除行政单位医疗、事业单位医疗、公务员医疗补助以外的其他用于行政事业单位医疗方面的支出。</w:t>
      </w:r>
    </w:p>
    <w:p>
      <w:pPr>
        <w:ind w:firstLine="627" w:firstLineChars="196"/>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住房保障（221）住房改革支出（02）住房公积金（01）：指住房公积金，反映行政事业单位按人力资源和社会保障部、财政部规定的基本工资和津贴补贴以及规定比例为职工缴纳的住房公积金。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44"/>
          <w:szCs w:val="44"/>
        </w:rPr>
      </w:pPr>
      <w:bookmarkStart w:id="60" w:name="_Toc15396616"/>
      <w:r>
        <w:rPr>
          <w:rFonts w:hint="eastAsia" w:ascii="黑体" w:hAnsi="黑体" w:eastAsia="黑体" w:cs="方正小标宋简体"/>
          <w:sz w:val="44"/>
          <w:szCs w:val="44"/>
        </w:rPr>
        <w:t>中共九寨沟县委党校</w:t>
      </w:r>
    </w:p>
    <w:p>
      <w:pPr>
        <w:spacing w:line="600" w:lineRule="exact"/>
        <w:jc w:val="center"/>
        <w:outlineLvl w:val="0"/>
        <w:rPr>
          <w:rFonts w:ascii="黑体" w:hAnsi="黑体" w:eastAsia="黑体" w:cs="方正小标宋简体"/>
          <w:sz w:val="44"/>
          <w:szCs w:val="44"/>
        </w:rPr>
      </w:pPr>
      <w:r>
        <w:rPr>
          <w:rFonts w:hint="eastAsia" w:ascii="黑体" w:hAnsi="黑体" w:eastAsia="黑体" w:cs="方正小标宋简体"/>
          <w:sz w:val="44"/>
          <w:szCs w:val="44"/>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ind w:firstLine="640" w:firstLineChars="200"/>
        <w:rPr>
          <w:rFonts w:ascii="仿宋_GB2312" w:eastAsia="仿宋_GB2312"/>
          <w:sz w:val="32"/>
          <w:szCs w:val="32"/>
        </w:rPr>
      </w:pPr>
      <w:r>
        <w:rPr>
          <w:rFonts w:ascii="仿宋" w:hAnsi="仿宋" w:eastAsia="仿宋" w:cs="仿宋_GB2312"/>
          <w:sz w:val="32"/>
          <w:szCs w:val="32"/>
        </w:rPr>
        <w:t>（一）机构组成。</w:t>
      </w:r>
      <w:r>
        <w:rPr>
          <w:rFonts w:hint="eastAsia" w:ascii="仿宋_GB2312" w:eastAsia="仿宋_GB2312"/>
          <w:sz w:val="32"/>
          <w:szCs w:val="32"/>
        </w:rPr>
        <w:t>中共九寨沟县委党校是参照公务员管理的事业单位，是县级一级预算单位，单位编制14人，其中参公编制5人，事业专技编制9人。单位有常务副校长1名，副校长1名。内设办公室、教务股、总务股三个股室。</w:t>
      </w:r>
    </w:p>
    <w:p>
      <w:pPr>
        <w:tabs>
          <w:tab w:val="left" w:pos="720"/>
        </w:tabs>
        <w:ind w:firstLine="640" w:firstLineChars="200"/>
        <w:rPr>
          <w:rFonts w:ascii="仿宋_GB2312" w:hAnsi="Calibri" w:eastAsia="仿宋_GB2312"/>
          <w:bCs/>
          <w:sz w:val="32"/>
          <w:szCs w:val="32"/>
        </w:rPr>
      </w:pPr>
      <w:r>
        <w:rPr>
          <w:rFonts w:ascii="仿宋" w:hAnsi="仿宋" w:eastAsia="仿宋" w:cs="仿宋_GB2312"/>
          <w:sz w:val="32"/>
          <w:szCs w:val="32"/>
        </w:rPr>
        <w:t>（二）机构职能。</w:t>
      </w:r>
      <w:r>
        <w:rPr>
          <w:rFonts w:hint="eastAsia" w:ascii="仿宋_GB2312" w:hAnsi="Calibri" w:eastAsia="仿宋_GB2312"/>
          <w:bCs/>
          <w:sz w:val="32"/>
          <w:szCs w:val="32"/>
        </w:rPr>
        <w:t>九寨沟县委党校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pPr>
        <w:tabs>
          <w:tab w:val="left" w:pos="567"/>
        </w:tabs>
        <w:ind w:firstLine="640" w:firstLineChars="200"/>
        <w:rPr>
          <w:rFonts w:ascii="仿宋_GB2312" w:eastAsia="仿宋_GB2312"/>
          <w:sz w:val="32"/>
          <w:szCs w:val="32"/>
        </w:rPr>
      </w:pPr>
      <w:r>
        <w:rPr>
          <w:rFonts w:ascii="仿宋" w:hAnsi="仿宋" w:eastAsia="仿宋" w:cs="仿宋_GB2312"/>
          <w:sz w:val="32"/>
          <w:szCs w:val="32"/>
        </w:rPr>
        <w:t>（三）人员概况。</w:t>
      </w:r>
      <w:r>
        <w:rPr>
          <w:rFonts w:hint="eastAsia" w:ascii="仿宋_GB2312" w:eastAsia="仿宋_GB2312"/>
          <w:sz w:val="32"/>
          <w:szCs w:val="32"/>
        </w:rPr>
        <w:t>学校共在职职工11人，其中5人为参公人员，6人为专技人员。参公人员中正科级实职1人、虚职2人，享受副县级待遇1人，副科级实职1人，享受待遇2人；专技人员中高级讲师1人（专技7级），讲师4人（专技八级1人，专技九级1人，专技十级2人），助理讲师1人（专技十二级）。离休干部1人，退休职工6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r>
        <w:rPr>
          <w:rFonts w:hint="eastAsia" w:ascii="仿宋_GB2312" w:hAnsi="仿宋" w:eastAsia="仿宋_GB2312"/>
          <w:color w:val="000000"/>
          <w:sz w:val="32"/>
          <w:szCs w:val="32"/>
        </w:rPr>
        <w:t>2018年本年收入合计245.28万元，其中：一般公共预算财政拨款收入245.28万元，占100%。</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r>
        <w:rPr>
          <w:rFonts w:hint="eastAsia" w:ascii="仿宋_GB2312" w:hAnsi="黑体" w:eastAsia="仿宋_GB2312" w:cs="黑体"/>
          <w:bCs/>
          <w:sz w:val="28"/>
          <w:szCs w:val="28"/>
        </w:rPr>
        <w:t>九寨沟县委党校2018年度整体支出256.71万元，其中一般公共服务支出0.48万元，占总支出0.18%；教育支出209.01万元，占总支出81.42%；社会保障就业支出20.81万元，占总支8.11%；出医疗卫生与计划生育支出12.09万元，占总支出4.71%；住房保障支出14.32万元，占总支出5.58%。</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pStyle w:val="12"/>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hint="eastAsia" w:ascii="仿宋_GB2312" w:hAnsi="Times New Roman" w:eastAsia="仿宋_GB2312" w:cs="Times New Roman"/>
          <w:color w:val="000000"/>
          <w:sz w:val="32"/>
          <w:szCs w:val="32"/>
        </w:rPr>
        <w:t>1.“三公”经费控制率100%。“三公”经费预算本年列支0万元，经费支出未超标。</w:t>
      </w:r>
    </w:p>
    <w:p>
      <w:pPr>
        <w:pStyle w:val="12"/>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hint="eastAsia" w:ascii="仿宋_GB2312" w:hAnsi="Times New Roman" w:eastAsia="仿宋_GB2312" w:cs="Times New Roman"/>
          <w:color w:val="000000"/>
          <w:sz w:val="32"/>
          <w:szCs w:val="32"/>
        </w:rPr>
        <w:t>2.管理制度进一步健全。2018年我单位制定了财务管理制度和会计核算等管理制度，明确了财务职责，制定了厉行节约制度，管理制度依照有关国家法律法规而制定的，具有合法性、合规性、完整性、同时相关制度得到认真执行。</w:t>
      </w:r>
    </w:p>
    <w:p>
      <w:pPr>
        <w:pStyle w:val="12"/>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hint="eastAsia" w:ascii="仿宋_GB2312" w:hAnsi="Times New Roman" w:eastAsia="仿宋_GB2312" w:cs="Times New Roman"/>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pPr>
        <w:pStyle w:val="12"/>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hint="eastAsia" w:ascii="仿宋_GB2312" w:hAnsi="Times New Roman" w:eastAsia="仿宋_GB2312" w:cs="Times New Roman"/>
          <w:color w:val="000000"/>
          <w:sz w:val="32"/>
          <w:szCs w:val="32"/>
        </w:rPr>
        <w:t>5.预算信息公开性。按照规定的内容、时间公开预算信息，做到基础数据信息和会计资金真实、完整、准确。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1.专项资金安排落实、总投入等情况分析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2018年专项资金主要是财政安排资金3.18万元，一是用于党建工作方面；二是单位遗属生活补贴方面。</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2.专项资金实际使用情况分析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2018年专项资金使用3.18万元，即是党建经费支出0.48万元，遗属生活补助支出2.70万元。</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3.专项资金管理情况分析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2018年度结合单位实际情况，按照资金使用性质和用途，遵守财经制度，实行专款专用。</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我校按要求对2018年部门整体支出绩效评价情况开展自评，从</w:t>
      </w:r>
      <w:r>
        <w:rPr>
          <w:rFonts w:hint="eastAsia" w:ascii="仿宋_GB2312" w:hAns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hAnsi="仿宋_GB2312" w:eastAsia="仿宋_GB2312" w:cs="仿宋_GB2312"/>
          <w:sz w:val="32"/>
          <w:szCs w:val="32"/>
        </w:rPr>
        <w:t>指标进行了综合评价，圆满完成工作任务，实现绩效评价与部门预算的有机结合，促进财政资金的合理分配与有效使用。</w:t>
      </w:r>
      <w:r>
        <w:rPr>
          <w:rFonts w:hint="eastAsia" w:ascii="MS Mincho" w:hAnsi="MS Mincho" w:eastAsia="MS Mincho" w:cs="MS Mincho"/>
          <w:sz w:val="32"/>
          <w:szCs w:val="32"/>
        </w:rPr>
        <w:t>  </w:t>
      </w:r>
    </w:p>
    <w:p>
      <w:pPr>
        <w:spacing w:line="580" w:lineRule="exact"/>
        <w:ind w:firstLine="640" w:firstLineChars="200"/>
        <w:rPr>
          <w:rFonts w:ascii="仿宋" w:hAnsi="仿宋" w:eastAsia="仿宋" w:cs="仿宋_GB2312"/>
          <w:sz w:val="32"/>
          <w:szCs w:val="32"/>
        </w:rPr>
      </w:pPr>
      <w:r>
        <w:rPr>
          <w:rFonts w:hint="eastAsia" w:ascii="MS Mincho" w:hAnsi="MS Mincho" w:eastAsia="MS Mincho" w:cs="MS Mincho"/>
          <w:sz w:val="32"/>
          <w:szCs w:val="32"/>
        </w:rPr>
        <w:t> </w:t>
      </w: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r>
        <w:rPr>
          <w:rFonts w:hint="eastAsia" w:ascii="仿宋_GB2312" w:hAnsi="仿宋_GB2312" w:eastAsia="仿宋_GB2312" w:cs="仿宋_GB2312"/>
          <w:sz w:val="32"/>
          <w:szCs w:val="32"/>
        </w:rPr>
        <w:t>我校按要求对2018年部门整体支出绩效评价情况开展自评，自评结论为优秀。</w:t>
      </w:r>
    </w:p>
    <w:p>
      <w:pPr>
        <w:pStyle w:val="12"/>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 w:hAnsi="仿宋" w:eastAsia="仿宋" w:cs="仿宋_GB2312"/>
          <w:sz w:val="32"/>
          <w:szCs w:val="32"/>
        </w:rPr>
        <w:t>（二）存在问题。</w:t>
      </w:r>
      <w:r>
        <w:rPr>
          <w:rFonts w:hint="eastAsia" w:ascii="仿宋_GB2312" w:hAnsi="Times New Roman" w:eastAsia="仿宋_GB2312" w:cs="Times New Roman"/>
          <w:color w:val="000000"/>
          <w:sz w:val="32"/>
          <w:szCs w:val="32"/>
        </w:rPr>
        <w:t>一是对财务监督管理力度不够；二是</w:t>
      </w:r>
    </w:p>
    <w:p>
      <w:pPr>
        <w:pStyle w:val="12"/>
        <w:shd w:val="clear" w:color="auto" w:fill="FFFFFF"/>
        <w:spacing w:before="0" w:beforeAutospacing="0" w:after="0" w:afterAutospacing="0"/>
        <w:jc w:val="both"/>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制度执行力有待加强。</w:t>
      </w:r>
    </w:p>
    <w:p>
      <w:pPr>
        <w:pStyle w:val="12"/>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 w:hAnsi="仿宋" w:eastAsia="仿宋" w:cs="仿宋_GB2312"/>
          <w:sz w:val="32"/>
          <w:szCs w:val="32"/>
        </w:rPr>
        <w:t>（三）改进建议。</w:t>
      </w:r>
      <w:r>
        <w:rPr>
          <w:rFonts w:hint="eastAsia" w:ascii="仿宋_GB2312" w:hAnsi="仿宋" w:eastAsia="仿宋_GB2312" w:cs="仿宋_GB2312"/>
          <w:sz w:val="32"/>
          <w:szCs w:val="32"/>
        </w:rPr>
        <w:t>一是</w:t>
      </w:r>
      <w:r>
        <w:rPr>
          <w:rFonts w:hint="eastAsia" w:ascii="仿宋_GB2312" w:hAnsi="Times New Roman" w:eastAsia="仿宋_GB2312" w:cs="Times New Roman"/>
          <w:color w:val="000000"/>
          <w:sz w:val="32"/>
          <w:szCs w:val="32"/>
        </w:rPr>
        <w:t>将财务制度落实到位，规范财经纪律，严格控制非生产性开；二是加强对财务监管力度，多组织财务业务培训学习</w:t>
      </w:r>
      <w:r>
        <w:rPr>
          <w:rFonts w:hint="eastAsia" w:ascii="Times New Roman" w:hAnsi="Times New Roman" w:cs="Times New Roman"/>
          <w:color w:val="333333"/>
          <w:sz w:val="21"/>
          <w:szCs w:val="21"/>
        </w:rPr>
        <w:t>。</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5"/>
          <w:rFonts w:ascii="黑体" w:hAnsi="黑体" w:eastAsia="黑体"/>
          <w:b w:val="0"/>
        </w:rPr>
      </w:pPr>
      <w:bookmarkStart w:id="61"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2"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2"/>
    </w:p>
    <w:p>
      <w:pPr>
        <w:pStyle w:val="3"/>
        <w:rPr>
          <w:rFonts w:ascii="仿宋" w:hAnsi="仿宋" w:eastAsia="仿宋"/>
          <w:color w:val="000000"/>
        </w:rPr>
      </w:pPr>
      <w:bookmarkStart w:id="63"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3"/>
    </w:p>
    <w:p>
      <w:pPr>
        <w:pStyle w:val="3"/>
        <w:rPr>
          <w:rFonts w:ascii="仿宋" w:hAnsi="仿宋" w:eastAsia="仿宋"/>
          <w:color w:val="000000"/>
        </w:rPr>
      </w:pPr>
      <w:bookmarkStart w:id="64"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4"/>
    </w:p>
    <w:p>
      <w:pPr>
        <w:pStyle w:val="3"/>
        <w:rPr>
          <w:rFonts w:ascii="仿宋" w:hAnsi="仿宋" w:eastAsia="仿宋"/>
          <w:b w:val="0"/>
          <w:color w:val="000000"/>
        </w:rPr>
      </w:pPr>
      <w:bookmarkStart w:id="65"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5"/>
    </w:p>
    <w:p>
      <w:pPr>
        <w:pStyle w:val="3"/>
        <w:rPr>
          <w:rFonts w:ascii="仿宋" w:hAnsi="仿宋" w:eastAsia="仿宋"/>
          <w:color w:val="000000"/>
        </w:rPr>
      </w:pPr>
      <w:bookmarkStart w:id="66"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6"/>
    </w:p>
    <w:p>
      <w:pPr>
        <w:pStyle w:val="3"/>
        <w:rPr>
          <w:rFonts w:ascii="仿宋" w:hAnsi="仿宋" w:eastAsia="仿宋"/>
          <w:color w:val="000000"/>
        </w:rPr>
      </w:pPr>
      <w:bookmarkStart w:id="67"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7"/>
    </w:p>
    <w:p>
      <w:pPr>
        <w:pStyle w:val="3"/>
        <w:rPr>
          <w:rFonts w:ascii="仿宋" w:hAnsi="仿宋" w:eastAsia="仿宋"/>
          <w:color w:val="000000"/>
        </w:rPr>
      </w:pPr>
      <w:bookmarkStart w:id="68"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8"/>
    </w:p>
    <w:p>
      <w:pPr>
        <w:pStyle w:val="3"/>
        <w:rPr>
          <w:rFonts w:ascii="仿宋" w:hAnsi="仿宋" w:eastAsia="仿宋"/>
          <w:color w:val="000000"/>
        </w:rPr>
      </w:pPr>
      <w:bookmarkStart w:id="69"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9"/>
    </w:p>
    <w:p>
      <w:pPr>
        <w:pStyle w:val="3"/>
        <w:rPr>
          <w:rFonts w:ascii="仿宋" w:hAnsi="仿宋" w:eastAsia="仿宋"/>
          <w:color w:val="000000"/>
        </w:rPr>
      </w:pPr>
      <w:bookmarkStart w:id="70"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0"/>
    </w:p>
    <w:p>
      <w:pPr>
        <w:pStyle w:val="3"/>
        <w:rPr>
          <w:rFonts w:ascii="仿宋" w:hAnsi="仿宋" w:eastAsia="仿宋"/>
          <w:color w:val="000000"/>
        </w:rPr>
      </w:pPr>
      <w:bookmarkStart w:id="71"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1"/>
    </w:p>
    <w:p>
      <w:pPr>
        <w:pStyle w:val="3"/>
        <w:rPr>
          <w:rFonts w:ascii="仿宋" w:hAnsi="仿宋" w:eastAsia="仿宋"/>
          <w:color w:val="000000"/>
        </w:rPr>
      </w:pPr>
      <w:bookmarkStart w:id="72"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2"/>
    </w:p>
    <w:p>
      <w:pPr>
        <w:pStyle w:val="3"/>
        <w:rPr>
          <w:rFonts w:ascii="仿宋" w:hAnsi="仿宋" w:eastAsia="仿宋"/>
          <w:color w:val="000000"/>
        </w:rPr>
      </w:pPr>
      <w:bookmarkStart w:id="73"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3"/>
    </w:p>
    <w:p>
      <w:pPr>
        <w:pStyle w:val="3"/>
        <w:rPr>
          <w:rFonts w:ascii="仿宋" w:hAnsi="仿宋" w:eastAsia="仿宋"/>
          <w:color w:val="000000" w:themeColor="text1"/>
        </w:rPr>
      </w:pPr>
      <w:bookmarkStart w:id="74"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altName w:val="Arial Unicode MS"/>
    <w:panose1 w:val="02010609060101010101"/>
    <w:charset w:val="86"/>
    <w:family w:val="swiss"/>
    <w:pitch w:val="default"/>
    <w:sig w:usb0="00000000" w:usb1="00000000"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黑体">
    <w:panose1 w:val="02010600030101010101"/>
    <w:charset w:val="86"/>
    <w:family w:val="swiss"/>
    <w:pitch w:val="default"/>
    <w:sig w:usb0="00000001" w:usb1="080E0000" w:usb2="00000000" w:usb3="00000000" w:csb0="00040000" w:csb1="00000000"/>
  </w:font>
  <w:font w:name="MS Mincho">
    <w:panose1 w:val="02020609040205080304"/>
    <w:charset w:val="80"/>
    <w:family w:val="swiss"/>
    <w:pitch w:val="default"/>
    <w:sig w:usb0="A00002BF" w:usb1="68C7FCFB" w:usb2="00000010" w:usb3="00000000" w:csb0="4002009F" w:csb1="DFD70000"/>
  </w:font>
  <w:font w:name="Arial">
    <w:panose1 w:val="020B0604020202020204"/>
    <w:charset w:val="00"/>
    <w:family w:val="auto"/>
    <w:pitch w:val="default"/>
    <w:sig w:usb0="00007A87" w:usb1="80000000" w:usb2="00000008" w:usb3="00000000" w:csb0="400001FF" w:csb1="FFFF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5</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960205104">
    <w:nsid w:val="EC0BEF30"/>
    <w:multiLevelType w:val="singleLevel"/>
    <w:tmpl w:val="EC0BEF30"/>
    <w:lvl w:ilvl="0" w:tentative="1">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1257783241">
    <w:nsid w:val="4AF83FC9"/>
    <w:multiLevelType w:val="multilevel"/>
    <w:tmpl w:val="4AF83FC9"/>
    <w:lvl w:ilvl="0" w:tentative="1">
      <w:start w:val="9"/>
      <w:numFmt w:val="japaneseCounting"/>
      <w:lvlText w:val="%1、"/>
      <w:lvlJc w:val="left"/>
      <w:pPr>
        <w:ind w:left="1360" w:hanging="72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19045470">
    <w:nsid w:val="13043F5E"/>
    <w:multiLevelType w:val="multilevel"/>
    <w:tmpl w:val="13043F5E"/>
    <w:lvl w:ilvl="0" w:tentative="1">
      <w:start w:val="8"/>
      <w:numFmt w:val="japaneseCounting"/>
      <w:lvlText w:val="%1、"/>
      <w:lvlJc w:val="left"/>
      <w:pPr>
        <w:ind w:left="1360" w:hanging="720"/>
      </w:pPr>
      <w:rPr>
        <w:rFonts w:hint="default" w:hAnsi="Times New Roman" w:cs="Times New Roman"/>
        <w:b w:val="0"/>
        <w:color w:val="00000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09482763">
    <w:nsid w:val="1272550B"/>
    <w:multiLevelType w:val="multilevel"/>
    <w:tmpl w:val="1272550B"/>
    <w:lvl w:ilvl="0" w:tentative="1">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401876663">
    <w:nsid w:val="17F426B7"/>
    <w:multiLevelType w:val="multilevel"/>
    <w:tmpl w:val="17F426B7"/>
    <w:lvl w:ilvl="0" w:tentative="1">
      <w:start w:val="10"/>
      <w:numFmt w:val="japaneseCounting"/>
      <w:lvlText w:val="%1、"/>
      <w:lvlJc w:val="left"/>
      <w:pPr>
        <w:ind w:left="1429" w:hanging="720"/>
      </w:pPr>
      <w:rPr>
        <w:rFonts w:hint="default"/>
      </w:rPr>
    </w:lvl>
    <w:lvl w:ilvl="1" w:tentative="1">
      <w:start w:val="1"/>
      <w:numFmt w:val="lowerLetter"/>
      <w:lvlText w:val="%2)"/>
      <w:lvlJc w:val="left"/>
      <w:pPr>
        <w:ind w:left="1549" w:hanging="420"/>
      </w:pPr>
    </w:lvl>
    <w:lvl w:ilvl="2" w:tentative="1">
      <w:start w:val="1"/>
      <w:numFmt w:val="lowerRoman"/>
      <w:lvlText w:val="%3."/>
      <w:lvlJc w:val="right"/>
      <w:pPr>
        <w:ind w:left="1969" w:hanging="420"/>
      </w:pPr>
    </w:lvl>
    <w:lvl w:ilvl="3" w:tentative="1">
      <w:start w:val="1"/>
      <w:numFmt w:val="decimal"/>
      <w:lvlText w:val="%4."/>
      <w:lvlJc w:val="left"/>
      <w:pPr>
        <w:ind w:left="2389" w:hanging="420"/>
      </w:pPr>
    </w:lvl>
    <w:lvl w:ilvl="4" w:tentative="1">
      <w:start w:val="1"/>
      <w:numFmt w:val="lowerLetter"/>
      <w:lvlText w:val="%5)"/>
      <w:lvlJc w:val="left"/>
      <w:pPr>
        <w:ind w:left="2809" w:hanging="420"/>
      </w:pPr>
    </w:lvl>
    <w:lvl w:ilvl="5" w:tentative="1">
      <w:start w:val="1"/>
      <w:numFmt w:val="lowerRoman"/>
      <w:lvlText w:val="%6."/>
      <w:lvlJc w:val="right"/>
      <w:pPr>
        <w:ind w:left="3229" w:hanging="420"/>
      </w:pPr>
    </w:lvl>
    <w:lvl w:ilvl="6" w:tentative="1">
      <w:start w:val="1"/>
      <w:numFmt w:val="decimal"/>
      <w:lvlText w:val="%7."/>
      <w:lvlJc w:val="left"/>
      <w:pPr>
        <w:ind w:left="3649" w:hanging="420"/>
      </w:pPr>
    </w:lvl>
    <w:lvl w:ilvl="7" w:tentative="1">
      <w:start w:val="1"/>
      <w:numFmt w:val="lowerLetter"/>
      <w:lvlText w:val="%8)"/>
      <w:lvlJc w:val="left"/>
      <w:pPr>
        <w:ind w:left="4069" w:hanging="420"/>
      </w:pPr>
    </w:lvl>
    <w:lvl w:ilvl="8" w:tentative="1">
      <w:start w:val="1"/>
      <w:numFmt w:val="lowerRoman"/>
      <w:lvlText w:val="%9."/>
      <w:lvlJc w:val="right"/>
      <w:pPr>
        <w:ind w:left="4489" w:hanging="420"/>
      </w:pPr>
    </w:lvl>
  </w:abstractNum>
  <w:abstractNum w:abstractNumId="3808035965">
    <w:nsid w:val="E2FA047D"/>
    <w:multiLevelType w:val="singleLevel"/>
    <w:tmpl w:val="E2FA047D"/>
    <w:lvl w:ilvl="0" w:tentative="1">
      <w:start w:val="3"/>
      <w:numFmt w:val="chineseCounting"/>
      <w:suff w:val="space"/>
      <w:lvlText w:val="第%1部分"/>
      <w:lvlJc w:val="left"/>
      <w:rPr>
        <w:rFonts w:hint="eastAsia"/>
      </w:rPr>
    </w:lvl>
  </w:abstractNum>
  <w:num w:numId="1">
    <w:abstractNumId w:val="309482763"/>
  </w:num>
  <w:num w:numId="2">
    <w:abstractNumId w:val="319045470"/>
  </w:num>
  <w:num w:numId="3">
    <w:abstractNumId w:val="1257783241"/>
  </w:num>
  <w:num w:numId="4">
    <w:abstractNumId w:val="401876663"/>
  </w:num>
  <w:num w:numId="5">
    <w:abstractNumId w:val="3960205104"/>
  </w:num>
  <w:num w:numId="6">
    <w:abstractNumId w:val="38080359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4105"/>
    <w:rsid w:val="0004058C"/>
    <w:rsid w:val="0006487A"/>
    <w:rsid w:val="00065F8F"/>
    <w:rsid w:val="000768F2"/>
    <w:rsid w:val="0009184B"/>
    <w:rsid w:val="0009593C"/>
    <w:rsid w:val="000B047F"/>
    <w:rsid w:val="000B5923"/>
    <w:rsid w:val="000B5A48"/>
    <w:rsid w:val="000B6FF3"/>
    <w:rsid w:val="000C3467"/>
    <w:rsid w:val="000C3CA6"/>
    <w:rsid w:val="000D0BF5"/>
    <w:rsid w:val="000D1267"/>
    <w:rsid w:val="000D1A12"/>
    <w:rsid w:val="000D1D50"/>
    <w:rsid w:val="000D5782"/>
    <w:rsid w:val="000E6613"/>
    <w:rsid w:val="000E7119"/>
    <w:rsid w:val="00114E9B"/>
    <w:rsid w:val="00142329"/>
    <w:rsid w:val="0014729F"/>
    <w:rsid w:val="00157BAB"/>
    <w:rsid w:val="001654D1"/>
    <w:rsid w:val="00166C6F"/>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1CFB"/>
    <w:rsid w:val="00235629"/>
    <w:rsid w:val="0024656E"/>
    <w:rsid w:val="00260C38"/>
    <w:rsid w:val="002616C0"/>
    <w:rsid w:val="00265730"/>
    <w:rsid w:val="002662AA"/>
    <w:rsid w:val="00280496"/>
    <w:rsid w:val="00295495"/>
    <w:rsid w:val="002B2613"/>
    <w:rsid w:val="002F1818"/>
    <w:rsid w:val="002F567B"/>
    <w:rsid w:val="003216A9"/>
    <w:rsid w:val="003359F1"/>
    <w:rsid w:val="0037013F"/>
    <w:rsid w:val="00380C92"/>
    <w:rsid w:val="003A484F"/>
    <w:rsid w:val="003B0BE0"/>
    <w:rsid w:val="003B0C1B"/>
    <w:rsid w:val="003B688C"/>
    <w:rsid w:val="003C0291"/>
    <w:rsid w:val="003C39AE"/>
    <w:rsid w:val="003C7B60"/>
    <w:rsid w:val="003D1FB2"/>
    <w:rsid w:val="003D66DA"/>
    <w:rsid w:val="003E1310"/>
    <w:rsid w:val="003E5D69"/>
    <w:rsid w:val="003E6F55"/>
    <w:rsid w:val="00406254"/>
    <w:rsid w:val="00411E89"/>
    <w:rsid w:val="004223DE"/>
    <w:rsid w:val="00422A03"/>
    <w:rsid w:val="00426E98"/>
    <w:rsid w:val="00434489"/>
    <w:rsid w:val="00437085"/>
    <w:rsid w:val="00443880"/>
    <w:rsid w:val="004464F4"/>
    <w:rsid w:val="00471401"/>
    <w:rsid w:val="00473F31"/>
    <w:rsid w:val="0048263A"/>
    <w:rsid w:val="00487E5D"/>
    <w:rsid w:val="004A711F"/>
    <w:rsid w:val="004B199D"/>
    <w:rsid w:val="004B32FF"/>
    <w:rsid w:val="004B4690"/>
    <w:rsid w:val="004E0A2D"/>
    <w:rsid w:val="004E206B"/>
    <w:rsid w:val="004E6DF7"/>
    <w:rsid w:val="004F0FBD"/>
    <w:rsid w:val="00505A47"/>
    <w:rsid w:val="00512FDA"/>
    <w:rsid w:val="00514393"/>
    <w:rsid w:val="00520DA0"/>
    <w:rsid w:val="005664BB"/>
    <w:rsid w:val="0057481D"/>
    <w:rsid w:val="0058486E"/>
    <w:rsid w:val="005A7AEF"/>
    <w:rsid w:val="005D1C8B"/>
    <w:rsid w:val="005D5CED"/>
    <w:rsid w:val="005E0D0A"/>
    <w:rsid w:val="005F1A4C"/>
    <w:rsid w:val="00605688"/>
    <w:rsid w:val="006070AF"/>
    <w:rsid w:val="00607E6C"/>
    <w:rsid w:val="006101B1"/>
    <w:rsid w:val="00614E44"/>
    <w:rsid w:val="00622830"/>
    <w:rsid w:val="00630AEF"/>
    <w:rsid w:val="006325F8"/>
    <w:rsid w:val="00632825"/>
    <w:rsid w:val="00634C9A"/>
    <w:rsid w:val="006440E4"/>
    <w:rsid w:val="0066343B"/>
    <w:rsid w:val="00664777"/>
    <w:rsid w:val="006748A4"/>
    <w:rsid w:val="00683671"/>
    <w:rsid w:val="00683E73"/>
    <w:rsid w:val="006A3141"/>
    <w:rsid w:val="006A5E34"/>
    <w:rsid w:val="006B0B9D"/>
    <w:rsid w:val="006B2422"/>
    <w:rsid w:val="006B2B9A"/>
    <w:rsid w:val="006C1937"/>
    <w:rsid w:val="006D7601"/>
    <w:rsid w:val="006F020C"/>
    <w:rsid w:val="00700F18"/>
    <w:rsid w:val="007127B7"/>
    <w:rsid w:val="00736430"/>
    <w:rsid w:val="007376CD"/>
    <w:rsid w:val="007416B6"/>
    <w:rsid w:val="00746F48"/>
    <w:rsid w:val="00747B4D"/>
    <w:rsid w:val="0075404D"/>
    <w:rsid w:val="0076182A"/>
    <w:rsid w:val="00767B7E"/>
    <w:rsid w:val="007770C3"/>
    <w:rsid w:val="00784D24"/>
    <w:rsid w:val="00785FBA"/>
    <w:rsid w:val="00786E4A"/>
    <w:rsid w:val="007875EB"/>
    <w:rsid w:val="007879D1"/>
    <w:rsid w:val="0079426B"/>
    <w:rsid w:val="00797D4B"/>
    <w:rsid w:val="007B1E1A"/>
    <w:rsid w:val="007D312A"/>
    <w:rsid w:val="007D3F19"/>
    <w:rsid w:val="007E23B0"/>
    <w:rsid w:val="007F1991"/>
    <w:rsid w:val="007F2C2F"/>
    <w:rsid w:val="007F55FC"/>
    <w:rsid w:val="007F5665"/>
    <w:rsid w:val="00800112"/>
    <w:rsid w:val="00821E21"/>
    <w:rsid w:val="008253BB"/>
    <w:rsid w:val="0083706E"/>
    <w:rsid w:val="008423A5"/>
    <w:rsid w:val="00847207"/>
    <w:rsid w:val="00850625"/>
    <w:rsid w:val="00850FF6"/>
    <w:rsid w:val="00853718"/>
    <w:rsid w:val="00855221"/>
    <w:rsid w:val="00860645"/>
    <w:rsid w:val="00871F71"/>
    <w:rsid w:val="00885AF4"/>
    <w:rsid w:val="008939CD"/>
    <w:rsid w:val="008B768C"/>
    <w:rsid w:val="008C4DB1"/>
    <w:rsid w:val="008C4EAF"/>
    <w:rsid w:val="008C5176"/>
    <w:rsid w:val="008C7FD0"/>
    <w:rsid w:val="008E1DE7"/>
    <w:rsid w:val="008E6626"/>
    <w:rsid w:val="008E707C"/>
    <w:rsid w:val="008F1590"/>
    <w:rsid w:val="00900B08"/>
    <w:rsid w:val="00902155"/>
    <w:rsid w:val="00902FA3"/>
    <w:rsid w:val="00923564"/>
    <w:rsid w:val="0092392E"/>
    <w:rsid w:val="0092534D"/>
    <w:rsid w:val="009315F9"/>
    <w:rsid w:val="00946945"/>
    <w:rsid w:val="00951248"/>
    <w:rsid w:val="0095152F"/>
    <w:rsid w:val="00954C49"/>
    <w:rsid w:val="00963CC2"/>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21E9"/>
    <w:rsid w:val="00A04EB0"/>
    <w:rsid w:val="00A13CC1"/>
    <w:rsid w:val="00A16847"/>
    <w:rsid w:val="00A237D8"/>
    <w:rsid w:val="00A268C4"/>
    <w:rsid w:val="00A307CD"/>
    <w:rsid w:val="00A40A00"/>
    <w:rsid w:val="00A41276"/>
    <w:rsid w:val="00A4142F"/>
    <w:rsid w:val="00A56DF2"/>
    <w:rsid w:val="00A67AB5"/>
    <w:rsid w:val="00A91760"/>
    <w:rsid w:val="00A93B00"/>
    <w:rsid w:val="00A93C21"/>
    <w:rsid w:val="00AA580D"/>
    <w:rsid w:val="00AC3C6A"/>
    <w:rsid w:val="00AD5620"/>
    <w:rsid w:val="00AD7C1B"/>
    <w:rsid w:val="00AE16BA"/>
    <w:rsid w:val="00AE1EBE"/>
    <w:rsid w:val="00AE407B"/>
    <w:rsid w:val="00B03C9D"/>
    <w:rsid w:val="00B060AE"/>
    <w:rsid w:val="00B10517"/>
    <w:rsid w:val="00B13E8F"/>
    <w:rsid w:val="00B14E76"/>
    <w:rsid w:val="00B161B8"/>
    <w:rsid w:val="00B17F6F"/>
    <w:rsid w:val="00B2048C"/>
    <w:rsid w:val="00B310B9"/>
    <w:rsid w:val="00B35F3F"/>
    <w:rsid w:val="00B36CBB"/>
    <w:rsid w:val="00B425E0"/>
    <w:rsid w:val="00B440AA"/>
    <w:rsid w:val="00B44B70"/>
    <w:rsid w:val="00B53C56"/>
    <w:rsid w:val="00B67082"/>
    <w:rsid w:val="00B77EA6"/>
    <w:rsid w:val="00B81598"/>
    <w:rsid w:val="00B841F1"/>
    <w:rsid w:val="00B9395C"/>
    <w:rsid w:val="00B944D6"/>
    <w:rsid w:val="00BB4DF0"/>
    <w:rsid w:val="00BC289F"/>
    <w:rsid w:val="00BC5361"/>
    <w:rsid w:val="00BC5460"/>
    <w:rsid w:val="00BC6B50"/>
    <w:rsid w:val="00BD0E25"/>
    <w:rsid w:val="00BF5BD6"/>
    <w:rsid w:val="00C03E31"/>
    <w:rsid w:val="00C13F00"/>
    <w:rsid w:val="00C33E72"/>
    <w:rsid w:val="00C354B2"/>
    <w:rsid w:val="00C35554"/>
    <w:rsid w:val="00C42709"/>
    <w:rsid w:val="00C533CC"/>
    <w:rsid w:val="00C5751C"/>
    <w:rsid w:val="00C61BFC"/>
    <w:rsid w:val="00C62B85"/>
    <w:rsid w:val="00C65438"/>
    <w:rsid w:val="00C91CBB"/>
    <w:rsid w:val="00CB5155"/>
    <w:rsid w:val="00CC09B6"/>
    <w:rsid w:val="00CC666F"/>
    <w:rsid w:val="00CD1E3F"/>
    <w:rsid w:val="00CE44F6"/>
    <w:rsid w:val="00CE49DA"/>
    <w:rsid w:val="00CE7B61"/>
    <w:rsid w:val="00D00095"/>
    <w:rsid w:val="00D04DA0"/>
    <w:rsid w:val="00D20620"/>
    <w:rsid w:val="00D26091"/>
    <w:rsid w:val="00D34E7C"/>
    <w:rsid w:val="00D35489"/>
    <w:rsid w:val="00D51276"/>
    <w:rsid w:val="00D7035F"/>
    <w:rsid w:val="00DA65AC"/>
    <w:rsid w:val="00DB1913"/>
    <w:rsid w:val="00DC410D"/>
    <w:rsid w:val="00DC68CA"/>
    <w:rsid w:val="00DC7CBA"/>
    <w:rsid w:val="00DD73B7"/>
    <w:rsid w:val="00DE1058"/>
    <w:rsid w:val="00DF28BC"/>
    <w:rsid w:val="00DF34B9"/>
    <w:rsid w:val="00E01053"/>
    <w:rsid w:val="00E07ACF"/>
    <w:rsid w:val="00E16687"/>
    <w:rsid w:val="00E25058"/>
    <w:rsid w:val="00E331A1"/>
    <w:rsid w:val="00E33202"/>
    <w:rsid w:val="00E336A9"/>
    <w:rsid w:val="00E4460D"/>
    <w:rsid w:val="00E50624"/>
    <w:rsid w:val="00E568DF"/>
    <w:rsid w:val="00E63288"/>
    <w:rsid w:val="00E64269"/>
    <w:rsid w:val="00E82267"/>
    <w:rsid w:val="00EA010F"/>
    <w:rsid w:val="00EB4043"/>
    <w:rsid w:val="00ED1B63"/>
    <w:rsid w:val="00ED3C1F"/>
    <w:rsid w:val="00ED4085"/>
    <w:rsid w:val="00ED420E"/>
    <w:rsid w:val="00EE13D8"/>
    <w:rsid w:val="00EE2F57"/>
    <w:rsid w:val="00EF4C34"/>
    <w:rsid w:val="00EF77C6"/>
    <w:rsid w:val="00F05438"/>
    <w:rsid w:val="00F1361C"/>
    <w:rsid w:val="00F160C7"/>
    <w:rsid w:val="00F344DA"/>
    <w:rsid w:val="00F36D8F"/>
    <w:rsid w:val="00F417B1"/>
    <w:rsid w:val="00F602DF"/>
    <w:rsid w:val="00F764EF"/>
    <w:rsid w:val="00F81FD9"/>
    <w:rsid w:val="00F841AA"/>
    <w:rsid w:val="00F928BD"/>
    <w:rsid w:val="00FA23E8"/>
    <w:rsid w:val="00FB2B50"/>
    <w:rsid w:val="00FD3CC1"/>
    <w:rsid w:val="00FF053E"/>
    <w:rsid w:val="00FF1E02"/>
    <w:rsid w:val="00FF2C72"/>
    <w:rsid w:val="00FF30B4"/>
    <w:rsid w:val="00FF5EA2"/>
    <w:rsid w:val="10C055FF"/>
    <w:rsid w:val="16BB723D"/>
    <w:rsid w:val="1BE67464"/>
    <w:rsid w:val="240371BF"/>
    <w:rsid w:val="29FD04D3"/>
    <w:rsid w:val="319F7F4E"/>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uiPriority w:val="99"/>
    <w:rPr>
      <w:sz w:val="18"/>
      <w:szCs w:val="18"/>
    </w:rPr>
  </w:style>
  <w:style w:type="paragraph" w:styleId="8">
    <w:name w:val="footer"/>
    <w:basedOn w:val="1"/>
    <w:link w:val="20"/>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22"/>
    <w:rPr>
      <w:b/>
    </w:rPr>
  </w:style>
  <w:style w:type="character" w:styleId="15">
    <w:name w:val="Hyperlink"/>
    <w:basedOn w:val="13"/>
    <w:unhideWhenUsed/>
    <w:qFormat/>
    <w:uiPriority w:val="99"/>
    <w:rPr>
      <w:color w:val="0000FF" w:themeColor="hyperlink"/>
      <w:u w:val="single"/>
    </w:rPr>
  </w:style>
  <w:style w:type="character" w:customStyle="1" w:styleId="17">
    <w:name w:val="Header Char"/>
    <w:basedOn w:val="13"/>
    <w:semiHidden/>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locked/>
    <w:uiPriority w:val="99"/>
    <w:rPr>
      <w:rFonts w:ascii="仿宋_GB2312" w:hAnsi="Times New Roman" w:eastAsia="仿宋_GB2312"/>
      <w:sz w:val="24"/>
    </w:rPr>
  </w:style>
  <w:style w:type="paragraph" w:customStyle="1" w:styleId="23">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Char"/>
    <w:basedOn w:val="13"/>
    <w:link w:val="2"/>
    <w:uiPriority w:val="9"/>
    <w:rPr>
      <w:rFonts w:ascii="Times New Roman" w:hAnsi="Times New Roman"/>
      <w:b/>
      <w:bCs/>
      <w:kern w:val="44"/>
      <w:sz w:val="44"/>
      <w:szCs w:val="44"/>
    </w:rPr>
  </w:style>
  <w:style w:type="character" w:customStyle="1" w:styleId="26">
    <w:name w:val="标题 2 Char"/>
    <w:basedOn w:val="13"/>
    <w:link w:val="3"/>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16EF69-FD67-464A-AA0C-DE8CA6BFA4E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1350</Words>
  <Characters>7701</Characters>
  <Lines>64</Lines>
  <Paragraphs>18</Paragraphs>
  <TotalTime>0</TotalTime>
  <ScaleCrop>false</ScaleCrop>
  <LinksUpToDate>false</LinksUpToDate>
  <CharactersWithSpaces>9033</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2021-05-25T09:29:39Z</dcterms:modified>
  <dc:title>四川省***</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