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425"/>
      <w:bookmarkStart w:id="3" w:name="_Toc15396475"/>
      <w:bookmarkStart w:id="4" w:name="_Toc15377193"/>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598"/>
      <w:bookmarkStart w:id="8" w:name="_Toc15396476"/>
      <w:bookmarkStart w:id="9" w:name="_Toc15377194"/>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中共九寨沟县委党校</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eastAsia="宋体" w:hAnsiTheme="minorHAnsi"/>
          <w:b w:val="0"/>
          <w:bCs w:val="0"/>
          <w:sz w:val="24"/>
          <w:szCs w:val="24"/>
          <w:lang w:val="en-US" w:eastAsia="zh-CN"/>
        </w:rPr>
        <w:t>9</w:t>
      </w:r>
      <w:r>
        <w:rPr>
          <w:rFonts w:hint="eastAsia" w:hAnsiTheme="minorHAnsi"/>
          <w:b w:val="0"/>
          <w:bCs w:val="0"/>
          <w:sz w:val="24"/>
          <w:szCs w:val="24"/>
        </w:rPr>
        <w:t xml:space="preserve">月 </w:t>
      </w:r>
      <w:r>
        <w:rPr>
          <w:rFonts w:hint="eastAsia" w:eastAsia="宋体" w:hAnsiTheme="minorHAnsi"/>
          <w:b w:val="0"/>
          <w:bCs w:val="0"/>
          <w:sz w:val="24"/>
          <w:szCs w:val="24"/>
          <w:lang w:val="en-US" w:eastAsia="zh-CN"/>
        </w:rPr>
        <w:t>15</w:t>
      </w:r>
      <w:r>
        <w:rPr>
          <w:rFonts w:hint="eastAsia" w:hAnsiTheme="minorHAnsi"/>
          <w:b w:val="0"/>
          <w:bCs w:val="0"/>
          <w:sz w:val="24"/>
          <w:szCs w:val="24"/>
        </w:rPr>
        <w:t>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eastAsia="宋体"/>
          <w:lang w:val="en-US" w:eastAsia="zh-CN"/>
        </w:rPr>
        <w:t>5</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rPr>
          <w:rFonts w:hint="eastAsia" w:eastAsia="宋体"/>
          <w:lang w:val="en-US" w:eastAsia="zh-CN"/>
        </w:rPr>
        <w:t>5</w:t>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rPr>
          <w:rFonts w:hint="eastAsia" w:eastAsia="宋体"/>
          <w:lang w:val="en-US" w:eastAsia="zh-CN"/>
        </w:rPr>
        <w:t>5</w:t>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rPr>
          <w:rFonts w:hint="eastAsia" w:eastAsia="宋体"/>
          <w:lang w:val="en-US" w:eastAsia="zh-CN"/>
        </w:rPr>
        <w:t>5-6</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eastAsia="宋体"/>
          <w:lang w:val="en-US" w:eastAsia="zh-CN"/>
        </w:rPr>
        <w:t>6</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eastAsia="宋体"/>
          <w:lang w:val="en-US" w:eastAsia="zh-CN"/>
        </w:rPr>
        <w:t>7</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eastAsia="宋体"/>
          <w:lang w:val="en-US" w:eastAsia="zh-CN"/>
        </w:rPr>
        <w:t>7</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eastAsia="宋体"/>
          <w:lang w:val="en-US" w:eastAsia="zh-CN"/>
        </w:rPr>
        <w:t>7</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eastAsia="宋体"/>
          <w:lang w:val="en-US" w:eastAsia="zh-CN"/>
        </w:rPr>
        <w:t>7</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rPr>
          <w:rFonts w:hint="eastAsia" w:eastAsia="宋体"/>
          <w:lang w:val="en-US" w:eastAsia="zh-CN"/>
        </w:rPr>
        <w:t>7</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eastAsia="宋体"/>
          <w:lang w:val="en-US" w:eastAsia="zh-CN"/>
        </w:rPr>
        <w:t>8</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rPr>
          <w:rFonts w:hint="eastAsia" w:eastAsia="宋体"/>
          <w:lang w:val="en-US" w:eastAsia="zh-CN"/>
        </w:rPr>
        <w:t>8</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rPr>
          <w:rFonts w:hint="eastAsia" w:eastAsia="宋体"/>
          <w:lang w:val="en-US" w:eastAsia="zh-CN"/>
        </w:rPr>
        <w:t>8</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rPr>
          <w:rFonts w:hint="eastAsia" w:eastAsia="宋体"/>
          <w:lang w:val="en-US" w:eastAsia="zh-CN"/>
        </w:rPr>
        <w:t>8-9</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eastAsia="宋体"/>
          <w:lang w:val="en-US" w:eastAsia="zh-CN"/>
        </w:rPr>
        <w:t>9</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9</w:t>
      </w:r>
      <w:r>
        <w:fldChar w:fldCharType="end"/>
      </w:r>
      <w:r>
        <w:rPr>
          <w:rFonts w:hint="eastAsia" w:eastAsia="宋体"/>
          <w:lang w:val="en-US" w:eastAsia="zh-CN"/>
        </w:rPr>
        <w:t>-10</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rPr>
          <w:rFonts w:hint="eastAsia" w:eastAsia="宋体"/>
          <w:lang w:val="en-US" w:eastAsia="zh-CN"/>
        </w:rPr>
        <w:t>10-11</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11</w:t>
      </w:r>
      <w:r>
        <w:fldChar w:fldCharType="end"/>
      </w:r>
      <w:r>
        <w:rPr>
          <w:rFonts w:hint="eastAsia" w:eastAsia="宋体"/>
          <w:lang w:val="en-US" w:eastAsia="zh-CN"/>
        </w:rPr>
        <w:t>-12</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12</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eastAsia="宋体"/>
          <w:lang w:val="en-US" w:eastAsia="zh-CN"/>
        </w:rPr>
        <w:t>13-15</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rPr>
          <w:rFonts w:hint="eastAsia" w:eastAsia="宋体"/>
          <w:lang w:val="en-US" w:eastAsia="zh-CN"/>
        </w:rPr>
        <w:t>16</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rPr>
          <w:rFonts w:hint="eastAsia" w:eastAsia="宋体"/>
          <w:lang w:val="en-US" w:eastAsia="zh-CN"/>
        </w:rPr>
        <w:t>16</w:t>
      </w:r>
    </w:p>
    <w:p>
      <w:pPr>
        <w:pStyle w:val="15"/>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lang w:eastAsia="zh-CN"/>
        </w:rPr>
        <w:t>中共九寨沟县委党校</w:t>
      </w:r>
      <w:r>
        <w:rPr>
          <w:rFonts w:ascii="方正小标宋简体" w:hAnsi="黑体" w:eastAsia="方正小标宋简体" w:cs="黑体"/>
        </w:rPr>
        <w:t>2020年部门整体支出绩效评价报告</w:t>
      </w:r>
      <w:r>
        <w:tab/>
      </w:r>
      <w:r>
        <w:rPr>
          <w:rFonts w:hint="eastAsia" w:eastAsia="宋体"/>
          <w:lang w:val="en-US" w:eastAsia="zh-CN"/>
        </w:rPr>
        <w:t>16-</w:t>
      </w:r>
      <w:r>
        <w:fldChar w:fldCharType="begin"/>
      </w:r>
      <w:r>
        <w:instrText xml:space="preserve"> PAGEREF _Toc79163882 \h </w:instrText>
      </w:r>
      <w:r>
        <w:fldChar w:fldCharType="separate"/>
      </w:r>
      <w:r>
        <w:t>19</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2</w:t>
      </w:r>
      <w:r>
        <w:rPr>
          <w:rFonts w:hint="eastAsia" w:eastAsia="宋体"/>
          <w:lang w:val="en-US" w:eastAsia="zh-CN"/>
        </w:rPr>
        <w:t>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w:t>
      </w:r>
      <w:r>
        <w:rPr>
          <w:rFonts w:hint="eastAsia" w:eastAsia="宋体"/>
          <w:lang w:val="en-US" w:eastAsia="zh-CN"/>
        </w:rPr>
        <w:t>0</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Style w:val="25"/>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6"/>
          <w:rFonts w:ascii="仿宋" w:hAnsi="仿宋" w:eastAsia="仿宋"/>
          <w:b w:val="0"/>
          <w:bCs w:val="0"/>
        </w:rPr>
      </w:pPr>
      <w:bookmarkStart w:id="16" w:name="_Toc15377197"/>
      <w:bookmarkStart w:id="17" w:name="_Toc15396600"/>
      <w:bookmarkStart w:id="18" w:name="_Toc79163602"/>
      <w:bookmarkStart w:id="19" w:name="_Toc79163852"/>
      <w:r>
        <w:rPr>
          <w:rFonts w:hint="eastAsia" w:ascii="黑体" w:hAnsi="黑体" w:eastAsia="黑体"/>
          <w:b w:val="0"/>
          <w:color w:val="000000"/>
          <w:lang w:val="en-US" w:eastAsia="zh-CN"/>
        </w:rPr>
        <w:t xml:space="preserve">     </w:t>
      </w:r>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p>
      <w:pPr>
        <w:tabs>
          <w:tab w:val="left" w:pos="720"/>
        </w:tabs>
        <w:ind w:firstLine="627" w:firstLineChars="196"/>
        <w:rPr>
          <w:rFonts w:ascii="仿宋_GB2312" w:hAnsi="Calibri" w:eastAsia="仿宋_GB2312"/>
          <w:bCs/>
          <w:sz w:val="32"/>
          <w:szCs w:val="32"/>
        </w:rPr>
      </w:pPr>
      <w:r>
        <w:rPr>
          <w:rFonts w:hint="eastAsia" w:ascii="仿宋_GB2312" w:hAnsi="Calibri" w:eastAsia="仿宋_GB2312"/>
          <w:bCs/>
          <w:sz w:val="32"/>
          <w:szCs w:val="32"/>
        </w:rPr>
        <w:t>九寨沟县委党校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bookmarkEnd w:id="22"/>
    <w:bookmarkEnd w:id="23"/>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15378446"/>
      <w:bookmarkStart w:id="25" w:name="_Toc79163604"/>
      <w:bookmarkStart w:id="26" w:name="_Toc15377199"/>
      <w:bookmarkStart w:id="27" w:name="_Toc7916385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8"/>
        <w:adjustRightInd w:val="0"/>
        <w:snapToGrid w:val="0"/>
        <w:spacing w:before="93" w:line="600" w:lineRule="exact"/>
        <w:ind w:firstLine="675" w:firstLineChars="210"/>
        <w:outlineLvl w:val="2"/>
        <w:rPr>
          <w:rFonts w:hint="eastAsia" w:ascii="仿宋_GB2312" w:hAnsi="仿宋_GB2312" w:eastAsia="仿宋_GB2312" w:cs="仿宋_GB2312"/>
          <w:sz w:val="32"/>
          <w:szCs w:val="32"/>
          <w:lang w:eastAsia="zh-CN"/>
        </w:rPr>
      </w:pPr>
      <w:r>
        <w:rPr>
          <w:rFonts w:hint="eastAsia" w:ascii="仿宋" w:hAnsi="仿宋" w:eastAsia="仿宋"/>
          <w:b/>
          <w:bCs w:val="0"/>
          <w:color w:val="000000"/>
          <w:sz w:val="32"/>
          <w:szCs w:val="32"/>
          <w:lang w:val="en-US" w:eastAsia="zh-CN"/>
        </w:rPr>
        <w:t xml:space="preserve"> </w:t>
      </w:r>
      <w:r>
        <w:rPr>
          <w:rFonts w:hint="eastAsia" w:ascii="仿宋_GB2312" w:eastAsia="仿宋_GB2312"/>
          <w:color w:val="333333"/>
          <w:sz w:val="32"/>
          <w:szCs w:val="32"/>
        </w:rPr>
        <w:t>根据县委、县政府关于20</w:t>
      </w:r>
      <w:r>
        <w:rPr>
          <w:rFonts w:hint="eastAsia"/>
          <w:color w:val="333333"/>
          <w:sz w:val="32"/>
          <w:szCs w:val="32"/>
          <w:lang w:val="en-US" w:eastAsia="zh-CN"/>
        </w:rPr>
        <w:t>20</w:t>
      </w:r>
      <w:r>
        <w:rPr>
          <w:rFonts w:hint="eastAsia" w:ascii="仿宋_GB2312" w:eastAsia="仿宋_GB2312"/>
          <w:color w:val="333333"/>
          <w:sz w:val="32"/>
          <w:szCs w:val="32"/>
        </w:rPr>
        <w:t>年全县工作的总体部署，20</w:t>
      </w:r>
      <w:r>
        <w:rPr>
          <w:rFonts w:hint="eastAsia" w:ascii="仿宋_GB2312" w:eastAsia="仿宋_GB2312"/>
          <w:color w:val="333333"/>
          <w:sz w:val="32"/>
          <w:szCs w:val="32"/>
          <w:lang w:val="en-US" w:eastAsia="zh-CN"/>
        </w:rPr>
        <w:t>20</w:t>
      </w:r>
      <w:r>
        <w:rPr>
          <w:rFonts w:hint="eastAsia" w:ascii="仿宋_GB2312" w:eastAsia="仿宋_GB2312"/>
          <w:color w:val="333333"/>
          <w:sz w:val="32"/>
          <w:szCs w:val="32"/>
        </w:rPr>
        <w:t>年主要完成的重点工作是:</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期主体班次的培训工作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针对现实重难点问题，开展科学调研，完</w:t>
      </w:r>
      <w:bookmarkStart w:id="161" w:name="_GoBack"/>
      <w:bookmarkEnd w:id="161"/>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2篇省委党校课题并结项，4</w:t>
      </w:r>
      <w:r>
        <w:rPr>
          <w:rFonts w:hint="eastAsia" w:ascii="仿宋_GB2312" w:hAnsi="仿宋_GB2312" w:eastAsia="仿宋_GB2312" w:cs="仿宋_GB2312"/>
          <w:sz w:val="32"/>
          <w:szCs w:val="32"/>
        </w:rPr>
        <w:t>篇</w:t>
      </w:r>
      <w:r>
        <w:rPr>
          <w:rFonts w:hint="eastAsia" w:ascii="仿宋_GB2312" w:hAnsi="仿宋_GB2312" w:eastAsia="仿宋_GB2312" w:cs="仿宋_GB2312"/>
          <w:sz w:val="32"/>
          <w:szCs w:val="32"/>
          <w:lang w:eastAsia="zh-CN"/>
        </w:rPr>
        <w:t>州级</w:t>
      </w:r>
      <w:r>
        <w:rPr>
          <w:rFonts w:hint="eastAsia" w:ascii="仿宋_GB2312" w:hAnsi="仿宋_GB2312" w:eastAsia="仿宋_GB2312" w:cs="仿宋_GB2312"/>
          <w:sz w:val="32"/>
          <w:szCs w:val="32"/>
        </w:rPr>
        <w:t>课题</w:t>
      </w:r>
      <w:r>
        <w:rPr>
          <w:rFonts w:hint="eastAsia" w:ascii="仿宋_GB2312" w:hAnsi="仿宋_GB2312" w:eastAsia="仿宋_GB2312" w:cs="仿宋_GB2312"/>
          <w:sz w:val="32"/>
          <w:szCs w:val="32"/>
          <w:lang w:eastAsia="zh-CN"/>
        </w:rPr>
        <w:t>并结项，</w:t>
      </w:r>
      <w:r>
        <w:rPr>
          <w:rFonts w:hint="eastAsia" w:ascii="仿宋_GB2312" w:hAnsi="仿宋_GB2312" w:eastAsia="仿宋_GB2312" w:cs="仿宋_GB2312"/>
          <w:sz w:val="32"/>
          <w:szCs w:val="32"/>
          <w:lang w:val="en-US" w:eastAsia="zh-CN"/>
        </w:rPr>
        <w:t>1篇州级论文并发表；</w:t>
      </w:r>
    </w:p>
    <w:p>
      <w:pPr>
        <w:keepNext w:val="0"/>
        <w:keepLines w:val="0"/>
        <w:pageBreakBefore w:val="0"/>
        <w:widowControl w:val="0"/>
        <w:numPr>
          <w:ilvl w:val="0"/>
          <w:numId w:val="0"/>
        </w:numPr>
        <w:kinsoku/>
        <w:wordWrap/>
        <w:overflowPunct/>
        <w:topLinePunct w:val="0"/>
        <w:autoSpaceDE/>
        <w:autoSpaceDN w:val="0"/>
        <w:bidi w:val="0"/>
        <w:spacing w:line="240" w:lineRule="auto"/>
        <w:ind w:left="0" w:leftChars="0" w:right="0" w:rightChars="0"/>
        <w:jc w:val="left"/>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深入12个乡镇开展《中央两会精神及四川省两会精神》送教下乡任务，报送2个专题“好课程”，1个专题“好案例”；</w:t>
      </w:r>
      <w:r>
        <w:rPr>
          <w:rFonts w:hint="eastAsia" w:ascii="仿宋_GB2312" w:hAnsi="仿宋_GB2312" w:eastAsia="仿宋_GB2312" w:cs="仿宋_GB2312"/>
          <w:sz w:val="32"/>
          <w:szCs w:val="32"/>
        </w:rPr>
        <w:t>完成签订的目标责任</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val="en-US" w:eastAsia="zh-CN"/>
        </w:rPr>
        <w:t>常</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按照要求完成精准扶贫、两联一进日常事务等工作；</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6名</w:t>
      </w:r>
      <w:r>
        <w:rPr>
          <w:rFonts w:hint="eastAsia" w:ascii="仿宋_GB2312" w:hAnsi="仿宋_GB2312" w:eastAsia="仿宋_GB2312" w:cs="仿宋_GB2312"/>
          <w:sz w:val="32"/>
          <w:szCs w:val="32"/>
        </w:rPr>
        <w:t>教师</w:t>
      </w:r>
      <w:r>
        <w:rPr>
          <w:rFonts w:hint="eastAsia" w:ascii="仿宋_GB2312" w:hAnsi="仿宋_GB2312" w:eastAsia="仿宋_GB2312" w:cs="仿宋_GB2312"/>
          <w:sz w:val="32"/>
          <w:szCs w:val="32"/>
          <w:lang w:eastAsia="zh-CN"/>
        </w:rPr>
        <w:t>到中央党校、省委党校、省直机关党校</w:t>
      </w:r>
      <w:r>
        <w:rPr>
          <w:rFonts w:hint="eastAsia" w:ascii="仿宋_GB2312" w:hAnsi="仿宋_GB2312" w:eastAsia="仿宋_GB2312" w:cs="仿宋_GB2312"/>
          <w:sz w:val="32"/>
          <w:szCs w:val="32"/>
        </w:rPr>
        <w:t>的送培工作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完成5堂现场教学点套课设计；</w:t>
      </w:r>
    </w:p>
    <w:p>
      <w:pPr>
        <w:pStyle w:val="8"/>
        <w:keepNext w:val="0"/>
        <w:keepLines w:val="0"/>
        <w:pageBreakBefore w:val="0"/>
        <w:widowControl w:val="0"/>
        <w:kinsoku/>
        <w:wordWrap/>
        <w:overflowPunct/>
        <w:topLinePunct w:val="0"/>
        <w:autoSpaceDE/>
        <w:bidi w:val="0"/>
        <w:adjustRightInd w:val="0"/>
        <w:snapToGrid w:val="0"/>
        <w:spacing w:before="93" w:line="240" w:lineRule="auto"/>
        <w:ind w:right="0" w:rightChars="0"/>
        <w:outlineLvl w:val="2"/>
        <w:rPr>
          <w:rFonts w:hint="eastAsia" w:ascii="仿宋" w:hAnsi="仿宋" w:eastAsia="仿宋"/>
          <w:bCs/>
          <w:color w:val="000000"/>
          <w:sz w:val="32"/>
          <w:szCs w:val="32"/>
        </w:rPr>
      </w:pPr>
      <w:r>
        <w:rPr>
          <w:rFonts w:hint="eastAsia" w:ascii="仿宋_GB2312" w:hAnsi="仿宋_GB2312" w:eastAsia="仿宋_GB2312" w:cs="仿宋_GB2312"/>
          <w:color w:val="000000"/>
          <w:sz w:val="32"/>
          <w:szCs w:val="32"/>
          <w:lang w:val="en-US" w:eastAsia="zh-CN"/>
        </w:rPr>
        <w:t>启动党校分类建设工作。</w:t>
      </w:r>
    </w:p>
    <w:p>
      <w:pPr>
        <w:pStyle w:val="5"/>
        <w:rPr>
          <w:rStyle w:val="26"/>
          <w:b w:val="0"/>
          <w:bCs w:val="0"/>
        </w:rPr>
      </w:pPr>
      <w:bookmarkStart w:id="28" w:name="_Toc79163855"/>
      <w:bookmarkStart w:id="29" w:name="_Toc79163605"/>
      <w:bookmarkStart w:id="30" w:name="_Toc15396601"/>
      <w:bookmarkStart w:id="31" w:name="_Toc15377200"/>
      <w:r>
        <w:rPr>
          <w:rFonts w:hint="eastAsia" w:ascii="黑体" w:eastAsia="黑体"/>
          <w:b w:val="0"/>
          <w:color w:val="000000"/>
          <w:lang w:val="en-US" w:eastAsia="zh-CN"/>
        </w:rPr>
        <w:t xml:space="preserve">     </w:t>
      </w:r>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lang w:eastAsia="zh-CN"/>
        </w:rPr>
        <w:t>九寨沟县委党校</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pStyle w:val="8"/>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九寨沟县委党校</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w:t>
      </w:r>
      <w:r>
        <w:rPr>
          <w:rFonts w:hint="eastAsia" w:ascii="仿宋" w:hAnsi="仿宋" w:eastAsia="仿宋"/>
          <w:color w:val="000000"/>
          <w:sz w:val="32"/>
          <w:szCs w:val="32"/>
          <w:lang w:val="en-US" w:eastAsia="zh-CN"/>
        </w:rPr>
        <w:t>0个。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5"/>
          <w:rFonts w:ascii="黑体" w:hAnsi="黑体" w:eastAsia="黑体"/>
          <w:b w:val="0"/>
          <w:bCs w:val="0"/>
        </w:rPr>
      </w:pPr>
      <w:bookmarkStart w:id="32" w:name="_Toc79163609"/>
      <w:bookmarkStart w:id="33" w:name="_Toc79163859"/>
      <w:bookmarkStart w:id="34" w:name="_Toc15396602"/>
      <w:bookmarkStart w:id="35" w:name="_Toc15377204"/>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2020</w:t>
      </w:r>
      <w:r>
        <w:rPr>
          <w:rStyle w:val="25"/>
          <w:rFonts w:hint="eastAsia" w:ascii="黑体" w:hAnsi="黑体" w:eastAsia="黑体"/>
          <w:b w:val="0"/>
          <w:bCs w:val="0"/>
        </w:rPr>
        <w:t>年度部门决算情况说明</w:t>
      </w:r>
      <w:bookmarkEnd w:id="32"/>
      <w:bookmarkEnd w:id="33"/>
      <w:bookmarkEnd w:id="34"/>
      <w:bookmarkEnd w:id="35"/>
    </w:p>
    <w:p/>
    <w:p>
      <w:pPr>
        <w:pStyle w:val="36"/>
        <w:numPr>
          <w:ilvl w:val="0"/>
          <w:numId w:val="1"/>
        </w:numPr>
        <w:spacing w:line="600" w:lineRule="exact"/>
        <w:ind w:firstLineChars="0"/>
        <w:outlineLvl w:val="1"/>
        <w:rPr>
          <w:rStyle w:val="26"/>
          <w:rFonts w:ascii="黑体" w:hAnsi="黑体" w:eastAsia="黑体"/>
          <w:b w:val="0"/>
        </w:rPr>
      </w:pPr>
      <w:bookmarkStart w:id="36" w:name="_Toc79163610"/>
      <w:bookmarkStart w:id="37" w:name="_Toc15377205"/>
      <w:bookmarkStart w:id="38" w:name="_Toc15396603"/>
      <w:bookmarkStart w:id="39" w:name="_Toc79163860"/>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249.66</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6.48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2.66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人员增加，工资、社会保障缴费等人员经费增加。</w:t>
      </w:r>
    </w:p>
    <w:p>
      <w:pPr>
        <w:pStyle w:val="36"/>
        <w:numPr>
          <w:ilvl w:val="0"/>
          <w:numId w:val="1"/>
        </w:numPr>
        <w:spacing w:line="600" w:lineRule="exact"/>
        <w:ind w:firstLineChars="0"/>
        <w:outlineLvl w:val="1"/>
        <w:rPr>
          <w:rStyle w:val="26"/>
          <w:rFonts w:ascii="黑体" w:hAnsi="黑体" w:eastAsia="黑体"/>
          <w:b w:val="0"/>
        </w:rPr>
      </w:pPr>
      <w:bookmarkStart w:id="40" w:name="_Toc79163861"/>
      <w:bookmarkStart w:id="41" w:name="_Toc15396604"/>
      <w:bookmarkStart w:id="42" w:name="_Toc79163611"/>
      <w:bookmarkStart w:id="43"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249.66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249.66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6"/>
        <w:numPr>
          <w:ilvl w:val="0"/>
          <w:numId w:val="0"/>
        </w:numPr>
        <w:tabs>
          <w:tab w:val="left" w:pos="553"/>
        </w:tabs>
        <w:spacing w:line="600" w:lineRule="exact"/>
        <w:outlineLvl w:val="1"/>
        <w:rPr>
          <w:rStyle w:val="26"/>
          <w:rFonts w:ascii="黑体" w:hAnsi="黑体" w:eastAsia="黑体"/>
          <w:b w:val="0"/>
        </w:rPr>
      </w:pPr>
      <w:bookmarkStart w:id="44" w:name="_Toc79163612"/>
      <w:bookmarkStart w:id="45" w:name="_Toc15377207"/>
      <w:bookmarkStart w:id="46" w:name="_Toc15396605"/>
      <w:bookmarkStart w:id="47" w:name="_Toc79163862"/>
      <w:r>
        <w:rPr>
          <w:rFonts w:hint="eastAsia" w:ascii="黑体" w:hAnsi="黑体" w:eastAsia="黑体"/>
          <w:color w:val="000000"/>
          <w:sz w:val="32"/>
          <w:szCs w:val="32"/>
          <w:lang w:val="en-US" w:eastAsia="zh-CN"/>
        </w:rPr>
        <w:t xml:space="preserve">     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249.66</w:t>
      </w:r>
      <w:r>
        <w:rPr>
          <w:rFonts w:hint="eastAsia" w:ascii="仿宋_GB2312" w:eastAsia="仿宋_GB2312"/>
          <w:sz w:val="32"/>
          <w:szCs w:val="32"/>
        </w:rPr>
        <w:t>万元，其中：基本支出</w:t>
      </w:r>
      <w:r>
        <w:rPr>
          <w:rFonts w:hint="eastAsia" w:ascii="仿宋_GB2312" w:eastAsia="仿宋_GB2312"/>
          <w:sz w:val="32"/>
          <w:szCs w:val="32"/>
          <w:lang w:val="en-US" w:eastAsia="zh-CN"/>
        </w:rPr>
        <w:t>237.44</w:t>
      </w:r>
      <w:r>
        <w:rPr>
          <w:rFonts w:hint="eastAsia" w:ascii="仿宋_GB2312" w:eastAsia="仿宋_GB2312"/>
          <w:sz w:val="32"/>
          <w:szCs w:val="32"/>
        </w:rPr>
        <w:t>万元，占</w:t>
      </w:r>
      <w:r>
        <w:rPr>
          <w:rFonts w:hint="eastAsia" w:ascii="仿宋_GB2312" w:eastAsia="仿宋_GB2312"/>
          <w:sz w:val="32"/>
          <w:szCs w:val="32"/>
          <w:lang w:val="en-US" w:eastAsia="zh-CN"/>
        </w:rPr>
        <w:t>95.11</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12.22</w:t>
      </w:r>
      <w:r>
        <w:rPr>
          <w:rFonts w:hint="eastAsia" w:ascii="仿宋_GB2312" w:eastAsia="仿宋_GB2312"/>
          <w:sz w:val="32"/>
          <w:szCs w:val="32"/>
        </w:rPr>
        <w:t>万元，占</w:t>
      </w:r>
      <w:r>
        <w:rPr>
          <w:rFonts w:hint="eastAsia" w:ascii="仿宋_GB2312" w:eastAsia="仿宋_GB2312"/>
          <w:sz w:val="32"/>
          <w:szCs w:val="32"/>
          <w:lang w:val="en-US" w:eastAsia="zh-CN"/>
        </w:rPr>
        <w:t>4.89</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outlineLvl w:val="1"/>
        <w:rPr>
          <w:rStyle w:val="26"/>
          <w:rFonts w:ascii="黑体" w:hAnsi="黑体" w:eastAsia="黑体"/>
          <w:b w:val="0"/>
        </w:rPr>
      </w:pPr>
      <w:bookmarkStart w:id="48" w:name="_Toc79163863"/>
      <w:bookmarkStart w:id="49" w:name="_Toc79163613"/>
      <w:bookmarkStart w:id="50" w:name="_Toc15377208"/>
      <w:bookmarkStart w:id="51" w:name="_Toc15396606"/>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249.66</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6.48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2.66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人员增加，工资、社会保障缴费等人员经费增加。</w:t>
      </w:r>
    </w:p>
    <w:p>
      <w:pPr>
        <w:spacing w:line="600" w:lineRule="exact"/>
        <w:outlineLvl w:val="1"/>
        <w:rPr>
          <w:rStyle w:val="26"/>
          <w:rFonts w:ascii="黑体" w:hAnsi="黑体" w:eastAsia="黑体"/>
          <w:b w:val="0"/>
        </w:rPr>
      </w:pPr>
      <w:bookmarkStart w:id="52" w:name="_Toc79163614"/>
      <w:bookmarkStart w:id="53" w:name="_Toc15396607"/>
      <w:bookmarkStart w:id="54" w:name="_Toc15377209"/>
      <w:bookmarkStart w:id="55" w:name="_Toc79163864"/>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outlineLvl w:val="2"/>
        <w:rPr>
          <w:rFonts w:ascii="仿宋" w:hAnsi="仿宋" w:eastAsia="仿宋"/>
          <w:b/>
          <w:color w:val="000000"/>
          <w:sz w:val="32"/>
          <w:szCs w:val="32"/>
        </w:rPr>
      </w:pPr>
      <w:bookmarkStart w:id="56" w:name="_Toc15377210"/>
      <w:bookmarkStart w:id="57" w:name="_Toc79163615"/>
      <w:bookmarkStart w:id="58" w:name="_Toc79163865"/>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249.66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6.48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2.66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人员增加，工资、社会保障缴费等人员经费增加。</w:t>
      </w:r>
    </w:p>
    <w:p>
      <w:pPr>
        <w:spacing w:line="600" w:lineRule="exact"/>
        <w:outlineLvl w:val="2"/>
        <w:rPr>
          <w:rFonts w:ascii="仿宋" w:hAnsi="仿宋" w:eastAsia="仿宋"/>
          <w:b/>
          <w:color w:val="000000"/>
          <w:sz w:val="32"/>
          <w:szCs w:val="32"/>
        </w:rPr>
      </w:pPr>
      <w:bookmarkStart w:id="59" w:name="_Toc79163616"/>
      <w:bookmarkStart w:id="60" w:name="_Toc79163866"/>
      <w:bookmarkStart w:id="61" w:name="_Toc15377211"/>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249.66</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lang w:val="en-US" w:eastAsia="zh-CN"/>
        </w:rPr>
        <w:t>186.23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74.59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30.05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12.04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15.33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6.14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color w:val="000000"/>
          <w:sz w:val="32"/>
          <w:szCs w:val="32"/>
          <w:lang w:val="en-US" w:eastAsia="zh-CN"/>
        </w:rPr>
        <w:t>18.04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7.23</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outlineLvl w:val="2"/>
        <w:rPr>
          <w:rFonts w:ascii="仿宋" w:hAnsi="仿宋" w:eastAsia="仿宋"/>
          <w:b/>
          <w:color w:val="000000"/>
          <w:sz w:val="32"/>
          <w:szCs w:val="32"/>
        </w:rPr>
      </w:pPr>
      <w:bookmarkStart w:id="62" w:name="_Toc79163867"/>
      <w:bookmarkStart w:id="63" w:name="_Toc15377212"/>
      <w:bookmarkStart w:id="64" w:name="_Toc79163617"/>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8460"/>
      <w:bookmarkStart w:id="67" w:name="_Toc15377444"/>
      <w:r>
        <w:rPr>
          <w:rFonts w:hint="eastAsia" w:ascii="仿宋_GB2312" w:eastAsia="仿宋_GB2312"/>
          <w:b/>
          <w:bCs/>
          <w:sz w:val="32"/>
          <w:szCs w:val="32"/>
          <w:lang w:val="en-US" w:eastAsia="zh-CN"/>
        </w:rPr>
        <w:t xml:space="preserve"> </w:t>
      </w:r>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249.66</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numPr>
          <w:ilvl w:val="0"/>
          <w:numId w:val="2"/>
        </w:num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rPr>
        <w:t>教育</w:t>
      </w:r>
      <w:r>
        <w:rPr>
          <w:rStyle w:val="23"/>
          <w:rFonts w:hint="eastAsia" w:ascii="仿宋_GB2312" w:hAnsi="仿宋" w:eastAsia="仿宋_GB2312"/>
          <w:bCs/>
          <w:color w:val="000000"/>
          <w:sz w:val="32"/>
          <w:szCs w:val="32"/>
        </w:rPr>
        <w:t>（205）进修及培训（08）干部教育（02）</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186.23</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420" w:firstLineChars="200"/>
        <w:rPr>
          <w:rFonts w:ascii="仿宋_GB2312" w:hAnsi="仿宋" w:eastAsia="仿宋_GB2312"/>
          <w:b/>
          <w:color w:val="000000"/>
          <w:sz w:val="32"/>
          <w:szCs w:val="32"/>
        </w:rPr>
      </w:pPr>
      <w:r>
        <w:rPr>
          <w:rFonts w:hint="eastAsia"/>
          <w:lang w:eastAsia="zh-CN"/>
        </w:rPr>
        <w:tab/>
      </w:r>
      <w:r>
        <w:rPr>
          <w:rStyle w:val="23"/>
          <w:rFonts w:hint="eastAsia" w:ascii="仿宋" w:hAnsi="仿宋" w:eastAsia="仿宋"/>
          <w:bCs/>
          <w:color w:val="000000"/>
          <w:sz w:val="32"/>
          <w:szCs w:val="32"/>
          <w:lang w:val="en-US" w:eastAsia="zh-CN"/>
        </w:rPr>
        <w:t>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eastAsia="zh-CN"/>
        </w:rPr>
        <w:t>（</w:t>
      </w:r>
      <w:r>
        <w:rPr>
          <w:rStyle w:val="23"/>
          <w:rFonts w:hint="eastAsia" w:ascii="仿宋_GB2312" w:hAnsi="仿宋" w:eastAsia="仿宋_GB2312"/>
          <w:bCs/>
          <w:color w:val="000000"/>
          <w:sz w:val="32"/>
          <w:szCs w:val="32"/>
        </w:rPr>
        <w:t>208</w:t>
      </w:r>
      <w:r>
        <w:rPr>
          <w:rStyle w:val="23"/>
          <w:rFonts w:hint="eastAsia" w:ascii="仿宋_GB2312" w:hAnsi="仿宋" w:eastAsia="仿宋_GB2312"/>
          <w:bCs/>
          <w:color w:val="000000"/>
          <w:sz w:val="32"/>
          <w:szCs w:val="32"/>
          <w:lang w:eastAsia="zh-CN"/>
        </w:rPr>
        <w:t>）</w:t>
      </w:r>
      <w:r>
        <w:rPr>
          <w:rStyle w:val="23"/>
          <w:rFonts w:hint="eastAsia" w:ascii="仿宋_GB2312" w:hAnsi="仿宋" w:eastAsia="仿宋_GB2312"/>
          <w:bCs/>
          <w:color w:val="000000"/>
          <w:sz w:val="32"/>
          <w:szCs w:val="32"/>
        </w:rPr>
        <w:t>行政事业单位</w:t>
      </w:r>
      <w:r>
        <w:rPr>
          <w:rStyle w:val="23"/>
          <w:rFonts w:hint="eastAsia" w:ascii="仿宋_GB2312" w:hAnsi="仿宋" w:eastAsia="仿宋_GB2312"/>
          <w:bCs/>
          <w:color w:val="000000"/>
          <w:sz w:val="32"/>
          <w:szCs w:val="32"/>
          <w:lang w:eastAsia="zh-CN"/>
        </w:rPr>
        <w:t>养老支出</w:t>
      </w:r>
      <w:r>
        <w:rPr>
          <w:rStyle w:val="23"/>
          <w:rFonts w:hint="eastAsia" w:ascii="仿宋_GB2312" w:hAnsi="仿宋" w:eastAsia="仿宋_GB2312"/>
          <w:bCs/>
          <w:color w:val="000000"/>
          <w:sz w:val="32"/>
          <w:szCs w:val="32"/>
        </w:rPr>
        <w:t>（05）机关事业单位基本养老保险缴费支出（05）:</w:t>
      </w:r>
      <w:r>
        <w:rPr>
          <w:rStyle w:val="23"/>
          <w:rFonts w:hint="eastAsia" w:ascii="仿宋_GB2312" w:hAnsi="仿宋" w:eastAsia="仿宋_GB2312"/>
          <w:b w:val="0"/>
          <w:bCs/>
          <w:color w:val="000000"/>
          <w:sz w:val="32"/>
          <w:szCs w:val="32"/>
        </w:rPr>
        <w:t>支出决算数为</w:t>
      </w:r>
      <w:r>
        <w:rPr>
          <w:rStyle w:val="23"/>
          <w:rFonts w:hint="eastAsia" w:ascii="仿宋_GB2312" w:hAnsi="仿宋" w:eastAsia="仿宋_GB2312"/>
          <w:b w:val="0"/>
          <w:bCs/>
          <w:color w:val="000000"/>
          <w:sz w:val="32"/>
          <w:szCs w:val="32"/>
          <w:lang w:val="en-US" w:eastAsia="zh-CN"/>
        </w:rPr>
        <w:t>17.83</w:t>
      </w:r>
      <w:r>
        <w:rPr>
          <w:rStyle w:val="23"/>
          <w:rFonts w:hint="eastAsia" w:ascii="仿宋_GB2312" w:hAnsi="仿宋" w:eastAsia="仿宋_GB2312"/>
          <w:b w:val="0"/>
          <w:bCs/>
          <w:color w:val="000000"/>
          <w:sz w:val="32"/>
          <w:szCs w:val="32"/>
        </w:rPr>
        <w:t>万元，完成预算100%；</w:t>
      </w:r>
      <w:r>
        <w:rPr>
          <w:rStyle w:val="23"/>
          <w:rFonts w:hint="eastAsia" w:ascii="仿宋_GB2312" w:hAnsi="仿宋" w:eastAsia="仿宋_GB2312"/>
          <w:bCs/>
          <w:color w:val="000000"/>
          <w:sz w:val="32"/>
          <w:szCs w:val="32"/>
        </w:rPr>
        <w:t>社会保障和就业（208）</w:t>
      </w:r>
      <w:r>
        <w:rPr>
          <w:rStyle w:val="23"/>
          <w:rFonts w:hint="eastAsia" w:ascii="仿宋_GB2312" w:hAnsi="仿宋" w:eastAsia="仿宋_GB2312"/>
          <w:bCs/>
          <w:color w:val="000000"/>
          <w:sz w:val="32"/>
          <w:szCs w:val="32"/>
          <w:lang w:eastAsia="zh-CN"/>
        </w:rPr>
        <w:t>行政事业单位养老支出</w:t>
      </w:r>
      <w:r>
        <w:rPr>
          <w:rStyle w:val="23"/>
          <w:rFonts w:hint="eastAsia" w:ascii="仿宋_GB2312" w:hAnsi="仿宋" w:eastAsia="仿宋_GB2312"/>
          <w:bCs/>
          <w:color w:val="000000"/>
          <w:sz w:val="32"/>
          <w:szCs w:val="32"/>
        </w:rPr>
        <w:t>（0</w:t>
      </w:r>
      <w:r>
        <w:rPr>
          <w:rStyle w:val="23"/>
          <w:rFonts w:hint="eastAsia" w:ascii="仿宋_GB2312" w:hAnsi="仿宋" w:eastAsia="仿宋_GB2312"/>
          <w:bCs/>
          <w:color w:val="000000"/>
          <w:sz w:val="32"/>
          <w:szCs w:val="32"/>
          <w:lang w:val="en-US" w:eastAsia="zh-CN"/>
        </w:rPr>
        <w:t>5</w:t>
      </w:r>
      <w:r>
        <w:rPr>
          <w:rStyle w:val="23"/>
          <w:rFonts w:hint="eastAsia" w:ascii="仿宋_GB2312" w:hAnsi="仿宋" w:eastAsia="仿宋_GB2312"/>
          <w:bCs/>
          <w:color w:val="000000"/>
          <w:sz w:val="32"/>
          <w:szCs w:val="32"/>
        </w:rPr>
        <w:t>）</w:t>
      </w:r>
      <w:r>
        <w:rPr>
          <w:rStyle w:val="23"/>
          <w:rFonts w:hint="eastAsia" w:ascii="仿宋_GB2312" w:hAnsi="仿宋" w:eastAsia="仿宋_GB2312"/>
          <w:bCs/>
          <w:color w:val="000000"/>
          <w:sz w:val="32"/>
          <w:szCs w:val="32"/>
          <w:lang w:eastAsia="zh-CN"/>
        </w:rPr>
        <w:t>其他行政事业单位养老支出</w:t>
      </w:r>
      <w:r>
        <w:rPr>
          <w:rStyle w:val="23"/>
          <w:rFonts w:hint="eastAsia" w:ascii="仿宋_GB2312" w:hAnsi="仿宋" w:eastAsia="仿宋_GB2312"/>
          <w:bCs/>
          <w:color w:val="000000"/>
          <w:sz w:val="32"/>
          <w:szCs w:val="32"/>
        </w:rPr>
        <w:t>（</w:t>
      </w:r>
      <w:r>
        <w:rPr>
          <w:rStyle w:val="23"/>
          <w:rFonts w:hint="eastAsia" w:ascii="仿宋_GB2312" w:hAnsi="仿宋" w:eastAsia="仿宋_GB2312"/>
          <w:bCs/>
          <w:color w:val="000000"/>
          <w:sz w:val="32"/>
          <w:szCs w:val="32"/>
          <w:lang w:val="en-US" w:eastAsia="zh-CN"/>
        </w:rPr>
        <w:t>99</w:t>
      </w:r>
      <w:r>
        <w:rPr>
          <w:rStyle w:val="23"/>
          <w:rFonts w:hint="eastAsia" w:ascii="仿宋_GB2312" w:hAnsi="仿宋" w:eastAsia="仿宋_GB2312"/>
          <w:bCs/>
          <w:color w:val="000000"/>
          <w:sz w:val="32"/>
          <w:szCs w:val="32"/>
        </w:rPr>
        <w:t>）：</w:t>
      </w:r>
      <w:r>
        <w:rPr>
          <w:rStyle w:val="23"/>
          <w:rFonts w:hint="eastAsia" w:ascii="仿宋_GB2312" w:hAnsi="仿宋" w:eastAsia="仿宋_GB2312"/>
          <w:b w:val="0"/>
          <w:bCs/>
          <w:color w:val="000000"/>
          <w:sz w:val="32"/>
          <w:szCs w:val="32"/>
        </w:rPr>
        <w:t>支出决算数为</w:t>
      </w:r>
      <w:r>
        <w:rPr>
          <w:rStyle w:val="23"/>
          <w:rFonts w:hint="eastAsia" w:ascii="仿宋_GB2312" w:hAnsi="仿宋" w:eastAsia="仿宋_GB2312"/>
          <w:b w:val="0"/>
          <w:bCs/>
          <w:color w:val="000000"/>
          <w:sz w:val="32"/>
          <w:szCs w:val="32"/>
          <w:lang w:val="en-US" w:eastAsia="zh-CN"/>
        </w:rPr>
        <w:t>12.22</w:t>
      </w:r>
      <w:r>
        <w:rPr>
          <w:rStyle w:val="23"/>
          <w:rFonts w:hint="eastAsia" w:ascii="仿宋_GB2312" w:hAnsi="仿宋" w:eastAsia="仿宋_GB2312"/>
          <w:b w:val="0"/>
          <w:bCs/>
          <w:color w:val="000000"/>
          <w:sz w:val="32"/>
          <w:szCs w:val="32"/>
        </w:rPr>
        <w:t>万元，完成预算100%。决算数等于预算数。</w:t>
      </w:r>
    </w:p>
    <w:p>
      <w:pPr>
        <w:pStyle w:val="2"/>
        <w:numPr>
          <w:ilvl w:val="0"/>
          <w:numId w:val="0"/>
        </w:numPr>
        <w:tabs>
          <w:tab w:val="left" w:pos="703"/>
        </w:tabs>
        <w:rPr>
          <w:rFonts w:hint="eastAsia" w:eastAsia="宋体"/>
          <w:lang w:eastAsia="zh-CN"/>
        </w:rPr>
      </w:pPr>
    </w:p>
    <w:p>
      <w:pPr>
        <w:spacing w:line="600" w:lineRule="exact"/>
        <w:ind w:firstLine="643" w:firstLineChars="200"/>
        <w:rPr>
          <w:rFonts w:ascii="仿宋_GB2312" w:hAnsi="仿宋" w:eastAsia="仿宋_GB2312"/>
          <w:b/>
          <w:color w:val="000000"/>
          <w:sz w:val="32"/>
          <w:szCs w:val="32"/>
        </w:rPr>
      </w:pPr>
      <w:r>
        <w:rPr>
          <w:rStyle w:val="23"/>
          <w:rFonts w:hint="eastAsia" w:ascii="仿宋_GB2312" w:hAnsi="仿宋" w:eastAsia="仿宋_GB2312"/>
          <w:bCs/>
          <w:color w:val="000000"/>
          <w:sz w:val="32"/>
          <w:szCs w:val="32"/>
          <w:lang w:val="en-US" w:eastAsia="zh-CN"/>
        </w:rPr>
        <w:t>3</w:t>
      </w:r>
      <w:r>
        <w:rPr>
          <w:rStyle w:val="23"/>
          <w:rFonts w:hint="eastAsia" w:ascii="仿宋_GB2312" w:hAnsi="仿宋" w:eastAsia="仿宋_GB2312"/>
          <w:bCs/>
          <w:color w:val="000000"/>
          <w:sz w:val="32"/>
          <w:szCs w:val="32"/>
        </w:rPr>
        <w:t>.</w:t>
      </w:r>
      <w:r>
        <w:rPr>
          <w:rStyle w:val="23"/>
          <w:rFonts w:hint="eastAsia" w:ascii="仿宋_GB2312" w:hAnsi="仿宋" w:eastAsia="仿宋_GB2312"/>
          <w:bCs/>
          <w:color w:val="000000"/>
          <w:sz w:val="32"/>
          <w:szCs w:val="32"/>
          <w:lang w:eastAsia="zh-CN"/>
        </w:rPr>
        <w:t>卫生健康</w:t>
      </w:r>
      <w:r>
        <w:rPr>
          <w:rStyle w:val="23"/>
          <w:rFonts w:hint="eastAsia" w:ascii="仿宋_GB2312" w:hAnsi="仿宋" w:eastAsia="仿宋_GB2312"/>
          <w:bCs/>
          <w:color w:val="000000"/>
          <w:sz w:val="32"/>
          <w:szCs w:val="32"/>
        </w:rPr>
        <w:t>（210）行政事业单位医疗（11）事业单位医疗（02）:</w:t>
      </w:r>
      <w:r>
        <w:rPr>
          <w:rStyle w:val="23"/>
          <w:rFonts w:hint="eastAsia" w:ascii="仿宋_GB2312" w:hAnsi="仿宋" w:eastAsia="仿宋_GB2312"/>
          <w:b w:val="0"/>
          <w:bCs/>
          <w:color w:val="000000"/>
          <w:sz w:val="32"/>
          <w:szCs w:val="32"/>
        </w:rPr>
        <w:t>支出决算数为</w:t>
      </w:r>
      <w:r>
        <w:rPr>
          <w:rStyle w:val="23"/>
          <w:rFonts w:hint="eastAsia" w:ascii="仿宋_GB2312" w:hAnsi="仿宋" w:eastAsia="仿宋_GB2312"/>
          <w:b w:val="0"/>
          <w:bCs/>
          <w:color w:val="000000"/>
          <w:sz w:val="32"/>
          <w:szCs w:val="32"/>
          <w:lang w:val="en-US" w:eastAsia="zh-CN"/>
        </w:rPr>
        <w:t>13.28</w:t>
      </w:r>
      <w:r>
        <w:rPr>
          <w:rStyle w:val="23"/>
          <w:rFonts w:hint="eastAsia" w:ascii="仿宋_GB2312" w:hAnsi="仿宋" w:eastAsia="仿宋_GB2312"/>
          <w:b w:val="0"/>
          <w:bCs/>
          <w:color w:val="000000"/>
          <w:sz w:val="32"/>
          <w:szCs w:val="32"/>
        </w:rPr>
        <w:t>万元，完成预算100%；</w:t>
      </w:r>
      <w:r>
        <w:rPr>
          <w:rStyle w:val="23"/>
          <w:rFonts w:hint="eastAsia" w:ascii="仿宋_GB2312" w:hAnsi="仿宋" w:eastAsia="仿宋_GB2312"/>
          <w:bCs/>
          <w:color w:val="000000"/>
          <w:sz w:val="32"/>
          <w:szCs w:val="32"/>
        </w:rPr>
        <w:t>医疗卫生与计划生育（210）行政事业单位医疗（11）其他行政事业单位医疗支出（99）:</w:t>
      </w:r>
      <w:r>
        <w:rPr>
          <w:rStyle w:val="23"/>
          <w:rFonts w:hint="eastAsia" w:ascii="仿宋_GB2312" w:hAnsi="仿宋" w:eastAsia="仿宋_GB2312"/>
          <w:b w:val="0"/>
          <w:bCs/>
          <w:color w:val="000000"/>
          <w:sz w:val="32"/>
          <w:szCs w:val="32"/>
        </w:rPr>
        <w:t>支出决算数为</w:t>
      </w:r>
      <w:r>
        <w:rPr>
          <w:rStyle w:val="23"/>
          <w:rFonts w:hint="eastAsia" w:ascii="仿宋_GB2312" w:hAnsi="仿宋" w:eastAsia="仿宋_GB2312"/>
          <w:b w:val="0"/>
          <w:bCs/>
          <w:color w:val="000000"/>
          <w:sz w:val="32"/>
          <w:szCs w:val="32"/>
          <w:lang w:val="en-US" w:eastAsia="zh-CN"/>
        </w:rPr>
        <w:t>2.05</w:t>
      </w:r>
      <w:r>
        <w:rPr>
          <w:rStyle w:val="23"/>
          <w:rFonts w:hint="eastAsia" w:ascii="仿宋_GB2312" w:hAnsi="仿宋" w:eastAsia="仿宋_GB2312"/>
          <w:b w:val="0"/>
          <w:bCs/>
          <w:color w:val="000000"/>
          <w:sz w:val="32"/>
          <w:szCs w:val="32"/>
        </w:rPr>
        <w:t>万元，完成预算100%。决算数等于预算数。</w:t>
      </w:r>
    </w:p>
    <w:p>
      <w:pPr>
        <w:spacing w:line="600" w:lineRule="exact"/>
        <w:ind w:firstLine="643" w:firstLineChars="200"/>
        <w:rPr>
          <w:rFonts w:ascii="仿宋_GB2312" w:hAnsi="仿宋" w:eastAsia="仿宋_GB2312"/>
          <w:color w:val="000000"/>
          <w:sz w:val="32"/>
          <w:szCs w:val="32"/>
        </w:rPr>
      </w:pPr>
      <w:r>
        <w:rPr>
          <w:rFonts w:hint="eastAsia" w:ascii="仿宋_GB2312" w:hAnsi="仿宋" w:eastAsia="仿宋_GB2312"/>
          <w:b/>
          <w:bCs/>
          <w:color w:val="000000"/>
          <w:sz w:val="32"/>
          <w:szCs w:val="32"/>
          <w:lang w:val="en-US" w:eastAsia="zh-CN"/>
        </w:rPr>
        <w:t>4</w:t>
      </w:r>
      <w:r>
        <w:rPr>
          <w:rFonts w:hint="eastAsia" w:ascii="仿宋_GB2312" w:hAnsi="仿宋" w:eastAsia="仿宋_GB2312"/>
          <w:b/>
          <w:bCs/>
          <w:color w:val="000000"/>
          <w:sz w:val="32"/>
          <w:szCs w:val="32"/>
        </w:rPr>
        <w:t>.</w:t>
      </w:r>
      <w:r>
        <w:rPr>
          <w:rFonts w:hint="eastAsia" w:ascii="仿宋_GB2312" w:eastAsia="仿宋_GB2312"/>
          <w:b/>
          <w:color w:val="000000"/>
          <w:sz w:val="32"/>
          <w:szCs w:val="32"/>
        </w:rPr>
        <w:t xml:space="preserve"> 住房保障支出（221）住房改革支出（02）住房公积金</w:t>
      </w:r>
      <w:r>
        <w:rPr>
          <w:rFonts w:hint="eastAsia" w:ascii="仿宋_GB2312" w:hAnsi="仿宋" w:eastAsia="仿宋_GB2312"/>
          <w:b/>
          <w:color w:val="000000"/>
          <w:sz w:val="32"/>
          <w:szCs w:val="32"/>
        </w:rPr>
        <w:t>（01）：</w:t>
      </w:r>
      <w:r>
        <w:rPr>
          <w:rFonts w:hint="eastAsia" w:ascii="仿宋_GB2312" w:hAnsi="仿宋" w:eastAsia="仿宋_GB2312"/>
          <w:color w:val="000000"/>
          <w:sz w:val="32"/>
          <w:szCs w:val="32"/>
        </w:rPr>
        <w:t>支出决算数为</w:t>
      </w:r>
      <w:r>
        <w:rPr>
          <w:rFonts w:hint="eastAsia" w:ascii="仿宋_GB2312" w:hAnsi="仿宋" w:eastAsia="仿宋_GB2312"/>
          <w:color w:val="000000"/>
          <w:sz w:val="32"/>
          <w:szCs w:val="32"/>
          <w:lang w:val="en-US" w:eastAsia="zh-CN"/>
        </w:rPr>
        <w:t>18.04</w:t>
      </w:r>
      <w:r>
        <w:rPr>
          <w:rFonts w:hint="eastAsia" w:ascii="仿宋_GB2312" w:hAnsi="仿宋" w:eastAsia="仿宋_GB2312"/>
          <w:color w:val="000000"/>
          <w:sz w:val="32"/>
          <w:szCs w:val="32"/>
        </w:rPr>
        <w:t>万元，完成预算100%；</w:t>
      </w:r>
      <w:r>
        <w:rPr>
          <w:rStyle w:val="23"/>
          <w:rFonts w:hint="eastAsia" w:ascii="仿宋_GB2312" w:hAnsi="仿宋" w:eastAsia="仿宋_GB2312"/>
          <w:b w:val="0"/>
          <w:bCs/>
          <w:color w:val="000000"/>
          <w:sz w:val="32"/>
          <w:szCs w:val="32"/>
        </w:rPr>
        <w:t>决算数等于预算数。</w:t>
      </w:r>
    </w:p>
    <w:p>
      <w:pPr>
        <w:pStyle w:val="2"/>
        <w:numPr>
          <w:ilvl w:val="0"/>
          <w:numId w:val="0"/>
        </w:numPr>
        <w:tabs>
          <w:tab w:val="left" w:pos="688"/>
        </w:tabs>
        <w:rPr>
          <w:rFonts w:hint="eastAsia" w:eastAsia="宋体"/>
          <w:lang w:eastAsia="zh-CN"/>
        </w:rPr>
      </w:pPr>
    </w:p>
    <w:p>
      <w:pPr>
        <w:tabs>
          <w:tab w:val="right" w:pos="8306"/>
        </w:tabs>
        <w:spacing w:line="600" w:lineRule="exact"/>
        <w:ind w:firstLine="640"/>
        <w:outlineLvl w:val="1"/>
        <w:rPr>
          <w:rStyle w:val="26"/>
        </w:rPr>
      </w:pPr>
      <w:bookmarkStart w:id="68" w:name="_Toc79163618"/>
      <w:bookmarkStart w:id="69" w:name="_Toc15377214"/>
      <w:bookmarkStart w:id="70" w:name="_Toc79163868"/>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8"/>
      <w:bookmarkEnd w:id="69"/>
      <w:bookmarkEnd w:id="70"/>
      <w:bookmarkEnd w:id="7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237.44</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219.53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17.91</w:t>
      </w:r>
      <w:r>
        <w:rPr>
          <w:rFonts w:hint="eastAsia" w:ascii="仿宋" w:hAnsi="仿宋" w:eastAsia="仿宋"/>
          <w:color w:val="000000"/>
          <w:sz w:val="32"/>
          <w:szCs w:val="32"/>
        </w:rPr>
        <w:t>万元，主要包括：办公费、水费、电费、邮电费、差旅费、维修（护）费、租赁费、会议费、培训费、公务接待费、劳务费、工会经费、福利费、其他交通费、其他商品和服务支出、办公设备购置</w:t>
      </w:r>
      <w:r>
        <w:rPr>
          <w:rFonts w:hint="eastAsia" w:ascii="仿宋" w:hAnsi="仿宋" w:eastAsia="仿宋"/>
          <w:color w:val="000000"/>
          <w:sz w:val="32"/>
          <w:szCs w:val="32"/>
          <w:lang w:eastAsia="zh-CN"/>
        </w:rPr>
        <w:t>等</w:t>
      </w:r>
    </w:p>
    <w:p>
      <w:pPr>
        <w:spacing w:line="600" w:lineRule="exact"/>
        <w:outlineLvl w:val="1"/>
        <w:rPr>
          <w:rStyle w:val="26"/>
          <w:rFonts w:ascii="黑体" w:hAnsi="黑体" w:eastAsia="黑体"/>
          <w:b w:val="0"/>
        </w:rPr>
      </w:pPr>
      <w:bookmarkStart w:id="72" w:name="_Toc15377215"/>
      <w:bookmarkStart w:id="73" w:name="_Toc15396609"/>
      <w:bookmarkStart w:id="74" w:name="_Toc79163869"/>
      <w:bookmarkStart w:id="75" w:name="_Toc79163619"/>
      <w:r>
        <w:rPr>
          <w:rFonts w:hint="eastAsia" w:ascii="黑体" w:eastAsia="黑体"/>
          <w:color w:val="000000"/>
          <w:sz w:val="32"/>
          <w:szCs w:val="32"/>
          <w:lang w:val="en-US" w:eastAsia="zh-CN"/>
        </w:rPr>
        <w:t xml:space="preserve">    </w:t>
      </w:r>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870"/>
      <w:bookmarkStart w:id="77" w:name="_Toc79163620"/>
      <w:bookmarkStart w:id="78" w:name="_Toc15377216"/>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0.19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0.19</w:t>
      </w:r>
      <w:r>
        <w:rPr>
          <w:rFonts w:ascii="仿宋" w:hAnsi="仿宋" w:eastAsia="仿宋"/>
          <w:color w:val="000000"/>
          <w:sz w:val="32"/>
          <w:szCs w:val="32"/>
        </w:rPr>
        <w:t>%</w:t>
      </w:r>
      <w:r>
        <w:rPr>
          <w:rFonts w:hint="eastAsia" w:ascii="仿宋" w:hAnsi="仿宋" w:eastAsia="仿宋"/>
          <w:color w:val="000000"/>
          <w:sz w:val="32"/>
          <w:szCs w:val="32"/>
        </w:rPr>
        <w:t>，决算与预算数持平。</w:t>
      </w:r>
    </w:p>
    <w:p>
      <w:pPr>
        <w:spacing w:line="600" w:lineRule="exact"/>
        <w:ind w:firstLine="640"/>
        <w:outlineLvl w:val="2"/>
        <w:rPr>
          <w:rFonts w:ascii="仿宋" w:hAnsi="仿宋" w:eastAsia="仿宋"/>
          <w:b/>
          <w:color w:val="000000"/>
          <w:sz w:val="32"/>
          <w:szCs w:val="32"/>
        </w:rPr>
      </w:pPr>
      <w:bookmarkStart w:id="79" w:name="_Toc79163871"/>
      <w:bookmarkStart w:id="80" w:name="_Toc7916362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3"/>
        </w:num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2019年持平。</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万元。主要用于工</w:t>
      </w:r>
      <w:r>
        <w:rPr>
          <w:rFonts w:hint="eastAsia" w:ascii="仿宋_GB2312" w:eastAsia="仿宋_GB2312"/>
          <w:color w:val="000000"/>
          <w:sz w:val="32"/>
          <w:szCs w:val="32"/>
          <w:lang w:eastAsia="zh-CN"/>
        </w:rPr>
        <w:t>作</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因为与省委党授牌校调研及浙江嘉善县委党校进行科研、教学交流工作</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0.19</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接待省委党校。浙江嘉善县委党校教师进行科研、教学交流工作的</w:t>
      </w:r>
      <w:r>
        <w:rPr>
          <w:rFonts w:hint="eastAsia" w:ascii="仿宋_GB2312" w:eastAsia="仿宋_GB2312"/>
          <w:color w:val="000000"/>
          <w:sz w:val="32"/>
          <w:szCs w:val="32"/>
        </w:rPr>
        <w:t>用餐费</w:t>
      </w:r>
      <w:r>
        <w:rPr>
          <w:rFonts w:hint="eastAsia" w:ascii="仿宋_GB2312" w:eastAsia="仿宋_GB2312"/>
          <w:color w:val="000000"/>
          <w:sz w:val="32"/>
          <w:szCs w:val="32"/>
          <w:lang w:eastAsia="zh-CN"/>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27</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浙江嘉善县委党校教师教学科研交流用餐费</w:t>
      </w:r>
      <w:r>
        <w:rPr>
          <w:rFonts w:hint="eastAsia" w:ascii="仿宋_GB2312" w:eastAsia="仿宋_GB2312"/>
          <w:color w:val="000000"/>
          <w:sz w:val="32"/>
          <w:szCs w:val="32"/>
          <w:lang w:val="en-US" w:eastAsia="zh-CN"/>
        </w:rPr>
        <w:t>0.15万元；省委党校赴九寨沟县开展智库基地授牌及调研工作用餐费0.04万元</w:t>
      </w:r>
      <w:r>
        <w:rPr>
          <w:rFonts w:hint="eastAsia" w:ascii="仿宋_GB2312" w:eastAsia="仿宋_GB2312"/>
          <w:color w:val="000000"/>
          <w:sz w:val="32"/>
          <w:szCs w:val="32"/>
        </w:rPr>
        <w:t>。</w:t>
      </w:r>
    </w:p>
    <w:p>
      <w:pPr>
        <w:spacing w:line="600" w:lineRule="exact"/>
        <w:ind w:firstLine="640"/>
        <w:outlineLvl w:val="1"/>
        <w:rPr>
          <w:rFonts w:hint="eastAsia"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82" w:name="_Toc79163872"/>
      <w:bookmarkStart w:id="83" w:name="_Toc15396610"/>
      <w:bookmarkStart w:id="84" w:name="_Toc15377218"/>
      <w:bookmarkStart w:id="85" w:name="_Toc79163622"/>
      <w:r>
        <w:rPr>
          <w:rFonts w:hint="eastAsia" w:ascii="仿宋_GB2312" w:eastAsia="仿宋_GB2312"/>
          <w:color w:val="000000"/>
          <w:sz w:val="32"/>
          <w:szCs w:val="32"/>
          <w:lang w:eastAsia="zh-CN"/>
        </w:rPr>
        <w:t>。</w:t>
      </w:r>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outlineLvl w:val="1"/>
        <w:rPr>
          <w:rStyle w:val="26"/>
          <w:rFonts w:ascii="黑体" w:hAnsi="黑体" w:eastAsia="黑体"/>
          <w:b w:val="0"/>
        </w:rPr>
      </w:pPr>
      <w:bookmarkStart w:id="86" w:name="_Toc79163623"/>
      <w:bookmarkStart w:id="87" w:name="_Toc79163873"/>
      <w:bookmarkStart w:id="88" w:name="_Toc15377219"/>
      <w:bookmarkStart w:id="89" w:name="_Toc15396611"/>
      <w:r>
        <w:rPr>
          <w:rStyle w:val="26"/>
          <w:rFonts w:hint="eastAsia" w:ascii="黑体" w:hAnsi="黑体" w:eastAsia="黑体"/>
          <w:b w:val="0"/>
          <w:lang w:val="en-US" w:eastAsia="zh-CN"/>
        </w:rPr>
        <w:t xml:space="preserve">    九、</w:t>
      </w:r>
      <w:r>
        <w:rPr>
          <w:rStyle w:val="26"/>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outlineLvl w:val="1"/>
        <w:rPr>
          <w:rStyle w:val="26"/>
          <w:rFonts w:ascii="黑体" w:hAnsi="黑体" w:eastAsia="黑体"/>
        </w:rPr>
      </w:pPr>
      <w:bookmarkStart w:id="90" w:name="_Toc79163874"/>
      <w:bookmarkStart w:id="91" w:name="_Toc15377221"/>
      <w:bookmarkStart w:id="92" w:name="_Toc79163624"/>
      <w:bookmarkStart w:id="93" w:name="_Toc15396612"/>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九寨沟县委党校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876"/>
      <w:bookmarkStart w:id="98" w:name="_Toc15377223"/>
      <w:bookmarkStart w:id="99" w:name="_Toc7916362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九寨沟县委党校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877"/>
      <w:bookmarkStart w:id="101" w:name="_Toc79163627"/>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九寨沟县委党校</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eastAsia="仿宋_GB2312"/>
          <w:color w:val="333333"/>
          <w:sz w:val="32"/>
          <w:szCs w:val="32"/>
        </w:rPr>
        <w:t>20</w:t>
      </w:r>
      <w:r>
        <w:rPr>
          <w:rFonts w:hint="eastAsia" w:ascii="仿宋_GB2312" w:eastAsia="仿宋_GB2312"/>
          <w:color w:val="333333"/>
          <w:sz w:val="32"/>
          <w:szCs w:val="32"/>
          <w:lang w:val="en-US" w:eastAsia="zh-CN"/>
        </w:rPr>
        <w:t>20</w:t>
      </w:r>
      <w:r>
        <w:rPr>
          <w:rFonts w:hint="eastAsia" w:ascii="仿宋_GB2312" w:eastAsia="仿宋_GB2312"/>
          <w:color w:val="333333"/>
          <w:sz w:val="32"/>
          <w:szCs w:val="32"/>
        </w:rPr>
        <w:t>年完成</w:t>
      </w:r>
      <w:r>
        <w:rPr>
          <w:rFonts w:hint="eastAsia" w:ascii="仿宋_GB2312" w:eastAsia="仿宋_GB2312"/>
          <w:color w:val="333333"/>
          <w:sz w:val="32"/>
          <w:szCs w:val="32"/>
          <w:lang w:eastAsia="zh-CN"/>
        </w:rPr>
        <w:t>了科研教学及分类建设等重点工作及</w:t>
      </w:r>
      <w:r>
        <w:rPr>
          <w:rFonts w:hint="eastAsia" w:ascii="仿宋_GB2312" w:hAnsi="仿宋_GB2312" w:eastAsia="仿宋_GB2312" w:cs="仿宋_GB2312"/>
          <w:sz w:val="32"/>
          <w:szCs w:val="32"/>
        </w:rPr>
        <w:t>签订目标责任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精准扶贫、两联一进等日常事务工作，</w:t>
      </w:r>
      <w:r>
        <w:rPr>
          <w:rFonts w:hint="eastAsia" w:ascii="仿宋_GB2312" w:hAnsi="仿宋_GB2312" w:eastAsia="仿宋_GB2312" w:cs="仿宋_GB2312"/>
          <w:color w:val="000000"/>
          <w:sz w:val="32"/>
          <w:szCs w:val="32"/>
          <w:lang w:eastAsia="zh-CN"/>
        </w:rPr>
        <w:t>总的来看</w:t>
      </w:r>
      <w:r>
        <w:rPr>
          <w:rFonts w:hint="eastAsia" w:ascii="仿宋_GB2312" w:hAnsi="仿宋_GB2312" w:eastAsia="仿宋_GB2312" w:cs="仿宋_GB2312"/>
          <w:sz w:val="32"/>
          <w:szCs w:val="32"/>
          <w:lang w:eastAsia="zh-CN"/>
        </w:rPr>
        <w:t>圆满完成工作任务，认真执行财务预算，</w:t>
      </w:r>
      <w:r>
        <w:rPr>
          <w:rFonts w:hint="eastAsia" w:ascii="仿宋_GB2312" w:hAnsi="仿宋_GB2312" w:eastAsia="仿宋_GB2312" w:cs="仿宋_GB2312"/>
          <w:color w:val="000000"/>
          <w:sz w:val="32"/>
          <w:szCs w:val="32"/>
        </w:rPr>
        <w:t>并保证了单位良好运行情况。</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个项目支出绩效评价</w:t>
      </w:r>
      <w:r>
        <w:rPr>
          <w:rFonts w:hint="eastAsia" w:ascii="仿宋_GB2312" w:hAnsi="仿宋_GB2312" w:eastAsia="仿宋_GB2312" w:cs="仿宋_GB2312"/>
          <w:sz w:val="32"/>
          <w:szCs w:val="32"/>
          <w:lang w:eastAsia="zh-CN"/>
        </w:rPr>
        <w:t>。主要是</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无专项预算项目，因此本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未组织开展项目支出绩效评价。</w:t>
      </w:r>
    </w:p>
    <w:p>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 xml:space="preserve">    </w:t>
      </w: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个项目绩效目标实际完成情况。</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中共九寨沟县委党校</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numPr>
          <w:ilvl w:val="0"/>
          <w:numId w:val="4"/>
        </w:numPr>
        <w:spacing w:line="600" w:lineRule="exact"/>
        <w:ind w:firstLine="660" w:firstLineChars="150"/>
        <w:jc w:val="center"/>
        <w:outlineLvl w:val="0"/>
        <w:rPr>
          <w:rStyle w:val="25"/>
          <w:rFonts w:ascii="黑体" w:hAnsi="黑体" w:eastAsia="黑体"/>
          <w:b w:val="0"/>
        </w:rPr>
      </w:pPr>
      <w:bookmarkStart w:id="105" w:name="_Toc79163629"/>
      <w:bookmarkStart w:id="106" w:name="_Toc79163879"/>
      <w:bookmarkStart w:id="107" w:name="_Toc15377225"/>
      <w:bookmarkStart w:id="108"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rPr>
          <w:rFonts w:ascii="仿宋_GB2312" w:eastAsia="仿宋_GB2312"/>
          <w:sz w:val="32"/>
          <w:szCs w:val="32"/>
        </w:rPr>
      </w:pPr>
      <w:r>
        <w:rPr>
          <w:rFonts w:hint="eastAsia" w:ascii="仿宋_GB2312" w:eastAsia="仿宋_GB2312"/>
          <w:sz w:val="32"/>
          <w:szCs w:val="32"/>
          <w:lang w:val="en-US" w:eastAsia="zh-CN"/>
        </w:rPr>
        <w:t xml:space="preserve">    </w:t>
      </w: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ind w:firstLine="627" w:firstLineChars="196"/>
        <w:rPr>
          <w:rStyle w:val="23"/>
          <w:rFonts w:ascii="仿宋_GB2312" w:eastAsia="仿宋_GB2312"/>
          <w:b w:val="0"/>
          <w:color w:val="000000"/>
          <w:sz w:val="32"/>
          <w:szCs w:val="32"/>
        </w:rPr>
      </w:pP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教育（205）进修及培训（08）干部教育（02）：指</w:t>
      </w:r>
      <w:r>
        <w:rPr>
          <w:rStyle w:val="23"/>
          <w:rFonts w:hint="eastAsia" w:ascii="仿宋_GB2312" w:eastAsia="仿宋_GB2312"/>
          <w:b w:val="0"/>
          <w:color w:val="000000"/>
          <w:sz w:val="32"/>
          <w:szCs w:val="32"/>
        </w:rPr>
        <w:t>指干部教育，反映各级党校、行政学院、社会主义学院、国家会计学院的支出。包括机构运行、招聘师资、举办各类培训班的支出。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社会保障和就业（208）行政事业单位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（05）机关事业单位基本养老保险缴费支出（05）：</w:t>
      </w:r>
      <w:r>
        <w:rPr>
          <w:rStyle w:val="23"/>
          <w:rFonts w:hint="eastAsia" w:ascii="仿宋_GB2312" w:eastAsia="仿宋_GB2312"/>
          <w:b w:val="0"/>
          <w:color w:val="000000"/>
          <w:sz w:val="32"/>
          <w:szCs w:val="32"/>
        </w:rPr>
        <w:t>指机关事业单位基本养老保险缴费支出，反映机关事业单位实施养老保险制度由单位缴纳的基本养老保险支出</w:t>
      </w:r>
      <w:r>
        <w:rPr>
          <w:rFonts w:hint="eastAsia" w:ascii="仿宋_GB2312" w:eastAsia="仿宋_GB2312"/>
          <w:color w:val="000000"/>
          <w:sz w:val="32"/>
          <w:szCs w:val="32"/>
        </w:rPr>
        <w:t>。</w:t>
      </w:r>
    </w:p>
    <w:p>
      <w:pPr>
        <w:ind w:firstLine="627" w:firstLineChars="196"/>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 社会保障和就业（208）行政事业单位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（05）</w:t>
      </w:r>
      <w:r>
        <w:rPr>
          <w:rFonts w:hint="eastAsia" w:ascii="仿宋_GB2312" w:eastAsia="仿宋_GB2312"/>
          <w:color w:val="000000"/>
          <w:sz w:val="32"/>
          <w:szCs w:val="32"/>
          <w:lang w:eastAsia="zh-CN"/>
        </w:rPr>
        <w:t>其他行政事业单位养老支出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eastAsia="zh-CN"/>
        </w:rPr>
        <w:t>除行政单位离退休、事业单位离退休、离休人员管理机构、机关事业单位基本养老保险缴费支出、机关事业单位职业年金缴费支出、对机关事业单位基本养老保险基金的补助以外，其他用于行政事业单位养老方面的支出。</w:t>
      </w:r>
    </w:p>
    <w:p>
      <w:pPr>
        <w:rPr>
          <w:rStyle w:val="23"/>
          <w:rFonts w:ascii="仿宋_GB2312" w:eastAsia="仿宋_GB2312"/>
          <w:b w:val="0"/>
          <w:color w:val="000000"/>
          <w:sz w:val="32"/>
          <w:szCs w:val="32"/>
        </w:rPr>
      </w:pPr>
      <w:r>
        <w:rPr>
          <w:rFonts w:hint="eastAsia" w:ascii="仿宋_GB2312" w:eastAsia="仿宋_GB2312"/>
          <w:color w:val="000000"/>
          <w:sz w:val="32"/>
          <w:szCs w:val="32"/>
          <w:lang w:val="en-US" w:eastAsia="zh-CN"/>
        </w:rPr>
        <w:t xml:space="preserve">    6</w:t>
      </w:r>
      <w:r>
        <w:rPr>
          <w:rFonts w:ascii="仿宋_GB2312" w:eastAsia="仿宋_GB2312"/>
          <w:color w:val="000000"/>
          <w:sz w:val="32"/>
          <w:szCs w:val="32"/>
        </w:rPr>
        <w:t>.</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（210）行政事业单位医疗（11）事业单位医疗（02）：</w:t>
      </w:r>
      <w:r>
        <w:rPr>
          <w:rStyle w:val="23"/>
          <w:rFonts w:hint="eastAsia" w:ascii="仿宋_GB2312" w:eastAsia="仿宋_GB2312"/>
          <w:b w:val="0"/>
          <w:color w:val="000000"/>
          <w:sz w:val="32"/>
          <w:szCs w:val="32"/>
        </w:rPr>
        <w:t>指事业单位医疗，反映财政部门集中安排的事业单位基本医疗保险缴费经费，未参加医疗保险的事业单位的公费医疗经费，按国家规定享受离休人员待遇人员的医疗经费。</w:t>
      </w:r>
    </w:p>
    <w:p>
      <w:pPr>
        <w:ind w:firstLine="640" w:firstLineChars="200"/>
        <w:rPr>
          <w:rStyle w:val="23"/>
          <w:rFonts w:ascii="仿宋_GB2312" w:eastAsia="仿宋_GB2312"/>
          <w:b w:val="0"/>
          <w:color w:val="000000"/>
          <w:sz w:val="32"/>
          <w:szCs w:val="32"/>
        </w:rPr>
      </w:pPr>
      <w:r>
        <w:rPr>
          <w:rStyle w:val="23"/>
          <w:rFonts w:hint="eastAsia" w:ascii="仿宋_GB2312" w:eastAsia="仿宋_GB2312"/>
          <w:b w:val="0"/>
          <w:color w:val="000000"/>
          <w:sz w:val="32"/>
          <w:szCs w:val="32"/>
          <w:lang w:val="en-US" w:eastAsia="zh-CN"/>
        </w:rPr>
        <w:t>7</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 xml:space="preserve"> 医疗卫生与计划生育（210）行政事业单位医疗（11）其他行政事业单位医疗支出（99）：指反映除行政单位医疗、事业单位医疗、公务员医疗补助以外的其他用于行政事业单位医疗方面的支出。</w:t>
      </w:r>
    </w:p>
    <w:p>
      <w:pPr>
        <w:ind w:firstLine="627" w:firstLineChars="196"/>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住房保障（221）住房改革支出（02）住房公积金（01）：指住房公积金，反映行政事业单位按人力资源和社会保障部、财政部规定的基本工资和津贴补贴以及规定比例为职工缴纳的住房公积金。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 w:hAnsi="仿宋" w:eastAsia="仿宋"/>
          <w:b/>
          <w:color w:val="00000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公务用车运行维护费以及其他费用。</w:t>
      </w:r>
    </w:p>
    <w:p>
      <w:pPr>
        <w:pStyle w:val="35"/>
        <w:spacing w:line="560" w:lineRule="exact"/>
        <w:ind w:firstLine="883" w:firstLineChars="200"/>
        <w:rPr>
          <w:rFonts w:ascii="仿宋_GB2312" w:eastAsia="仿宋_GB2312"/>
          <w:sz w:val="32"/>
          <w:szCs w:val="32"/>
        </w:rPr>
      </w:pPr>
      <w:r>
        <w:rPr>
          <w:rFonts w:ascii="宋体"/>
          <w:b/>
          <w:color w:val="000000"/>
          <w:sz w:val="44"/>
          <w:szCs w:val="44"/>
        </w:rPr>
        <w:br w:type="page"/>
      </w:r>
    </w:p>
    <w:p>
      <w:pPr>
        <w:spacing w:line="600" w:lineRule="exact"/>
        <w:jc w:val="both"/>
        <w:outlineLvl w:val="0"/>
        <w:rPr>
          <w:rStyle w:val="25"/>
          <w:rFonts w:ascii="黑体" w:hAnsi="黑体" w:eastAsia="黑体"/>
          <w:b w:val="0"/>
        </w:rPr>
      </w:pPr>
      <w:bookmarkStart w:id="109" w:name="_Toc15396614"/>
      <w:bookmarkStart w:id="110" w:name="_Toc79163630"/>
      <w:bookmarkStart w:id="111" w:name="_Toc79163880"/>
      <w:bookmarkStart w:id="112" w:name="_Toc15377226"/>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09"/>
      <w:bookmarkEnd w:id="110"/>
      <w:bookmarkEnd w:id="111"/>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882"/>
      <w:bookmarkStart w:id="116" w:name="_Toc79163632"/>
      <w:r>
        <w:rPr>
          <w:rFonts w:hint="eastAsia" w:ascii="方正小标宋简体" w:hAnsi="黑体" w:eastAsia="方正小标宋简体" w:cs="黑体"/>
          <w:sz w:val="44"/>
          <w:szCs w:val="44"/>
          <w:lang w:eastAsia="zh-CN"/>
        </w:rPr>
        <w:t>中共九寨沟县委党校</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宋体" w:eastAsia="仿宋_GB2312" w:cs="宋体"/>
          <w:color w:val="000000"/>
          <w:kern w:val="0"/>
          <w:sz w:val="32"/>
          <w:szCs w:val="32"/>
          <w:shd w:val="clear" w:color="auto" w:fill="FFFFFF"/>
          <w:lang w:val="zh-CN"/>
        </w:rPr>
        <w:t>（一）机构组成</w:t>
      </w:r>
    </w:p>
    <w:p>
      <w:pPr>
        <w:ind w:firstLine="420" w:firstLineChars="200"/>
        <w:rPr>
          <w:rFonts w:ascii="仿宋_GB2312" w:eastAsia="仿宋_GB2312"/>
          <w:sz w:val="32"/>
          <w:szCs w:val="32"/>
        </w:rPr>
      </w:pPr>
      <w:r>
        <w:rPr>
          <w:rFonts w:hint="eastAsia"/>
          <w:lang w:val="en-US" w:eastAsia="zh-CN"/>
        </w:rPr>
        <w:t xml:space="preserve">  </w:t>
      </w:r>
      <w:r>
        <w:rPr>
          <w:rFonts w:hint="eastAsia" w:ascii="仿宋_GB2312" w:eastAsia="仿宋_GB2312"/>
          <w:sz w:val="32"/>
          <w:szCs w:val="32"/>
        </w:rPr>
        <w:t>中共九寨沟县委党校是参照公务员管理的事业单位，是县级一级预算单位，单位编制1</w:t>
      </w:r>
      <w:r>
        <w:rPr>
          <w:rFonts w:hint="eastAsia" w:ascii="仿宋_GB2312" w:eastAsia="仿宋_GB2312"/>
          <w:sz w:val="32"/>
          <w:szCs w:val="32"/>
          <w:lang w:val="en-US" w:eastAsia="zh-CN"/>
        </w:rPr>
        <w:t>5</w:t>
      </w:r>
      <w:r>
        <w:rPr>
          <w:rFonts w:hint="eastAsia" w:ascii="仿宋_GB2312" w:eastAsia="仿宋_GB2312"/>
          <w:sz w:val="32"/>
          <w:szCs w:val="32"/>
        </w:rPr>
        <w:t>人，其中参公编制5人，</w:t>
      </w:r>
      <w:r>
        <w:rPr>
          <w:rFonts w:hint="eastAsia" w:ascii="仿宋_GB2312" w:eastAsia="仿宋_GB2312"/>
          <w:sz w:val="32"/>
          <w:szCs w:val="32"/>
          <w:lang w:eastAsia="zh-CN"/>
        </w:rPr>
        <w:t>人才编</w:t>
      </w:r>
      <w:r>
        <w:rPr>
          <w:rFonts w:hint="eastAsia" w:ascii="仿宋_GB2312" w:eastAsia="仿宋_GB2312"/>
          <w:sz w:val="32"/>
          <w:szCs w:val="32"/>
          <w:lang w:val="en-US" w:eastAsia="zh-CN"/>
        </w:rPr>
        <w:t>2人，</w:t>
      </w:r>
      <w:r>
        <w:rPr>
          <w:rFonts w:hint="eastAsia" w:ascii="仿宋_GB2312" w:eastAsia="仿宋_GB2312"/>
          <w:sz w:val="32"/>
          <w:szCs w:val="32"/>
        </w:rPr>
        <w:t>事业专技编制</w:t>
      </w:r>
      <w:r>
        <w:rPr>
          <w:rFonts w:hint="eastAsia" w:ascii="仿宋_GB2312" w:eastAsia="仿宋_GB2312"/>
          <w:sz w:val="32"/>
          <w:szCs w:val="32"/>
          <w:lang w:val="en-US" w:eastAsia="zh-CN"/>
        </w:rPr>
        <w:t>8</w:t>
      </w:r>
      <w:r>
        <w:rPr>
          <w:rFonts w:hint="eastAsia" w:ascii="仿宋_GB2312" w:eastAsia="仿宋_GB2312"/>
          <w:sz w:val="32"/>
          <w:szCs w:val="32"/>
        </w:rPr>
        <w:t>人。单位有常务副校长1名，副校长1名。内设办公室、教务</w:t>
      </w:r>
      <w:r>
        <w:rPr>
          <w:rFonts w:hint="eastAsia" w:ascii="仿宋_GB2312" w:eastAsia="仿宋_GB2312"/>
          <w:sz w:val="32"/>
          <w:szCs w:val="32"/>
          <w:lang w:eastAsia="zh-CN"/>
        </w:rPr>
        <w:t>处</w:t>
      </w:r>
      <w:r>
        <w:rPr>
          <w:rFonts w:hint="eastAsia" w:ascii="仿宋_GB2312" w:eastAsia="仿宋_GB2312"/>
          <w:sz w:val="32"/>
          <w:szCs w:val="32"/>
        </w:rPr>
        <w:t>、总务</w:t>
      </w:r>
      <w:r>
        <w:rPr>
          <w:rFonts w:hint="eastAsia" w:ascii="仿宋_GB2312" w:eastAsia="仿宋_GB2312"/>
          <w:sz w:val="32"/>
          <w:szCs w:val="32"/>
          <w:lang w:eastAsia="zh-CN"/>
        </w:rPr>
        <w:t>处</w:t>
      </w:r>
      <w:r>
        <w:rPr>
          <w:rFonts w:hint="eastAsia" w:ascii="仿宋_GB2312" w:eastAsia="仿宋_GB2312"/>
          <w:sz w:val="32"/>
          <w:szCs w:val="32"/>
        </w:rPr>
        <w:t>三个股室。</w:t>
      </w:r>
    </w:p>
    <w:p>
      <w:pPr>
        <w:widowControl/>
        <w:adjustRightInd w:val="0"/>
        <w:snapToGrid w:val="0"/>
        <w:spacing w:line="580" w:lineRule="exact"/>
        <w:ind w:left="-2147483648" w:hanging="-2147483648" w:firstLineChars="10000001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宋体" w:eastAsia="仿宋_GB2312" w:cs="宋体"/>
          <w:color w:val="000000"/>
          <w:kern w:val="0"/>
          <w:sz w:val="32"/>
          <w:szCs w:val="32"/>
          <w:shd w:val="clear" w:color="auto" w:fill="FFFFFF"/>
          <w:lang w:val="zh-CN"/>
        </w:rPr>
        <w:t>（二）机构职能</w:t>
      </w:r>
    </w:p>
    <w:p>
      <w:pPr>
        <w:tabs>
          <w:tab w:val="left" w:pos="720"/>
        </w:tabs>
        <w:ind w:firstLine="420" w:firstLineChars="200"/>
        <w:rPr>
          <w:rFonts w:ascii="仿宋_GB2312" w:hAnsi="Calibri" w:eastAsia="仿宋_GB2312"/>
          <w:bCs/>
          <w:sz w:val="32"/>
          <w:szCs w:val="32"/>
        </w:rPr>
      </w:pPr>
      <w:r>
        <w:rPr>
          <w:rFonts w:hint="eastAsia"/>
          <w:lang w:val="zh-CN"/>
        </w:rPr>
        <w:tab/>
      </w:r>
      <w:r>
        <w:rPr>
          <w:rFonts w:hint="eastAsia" w:ascii="仿宋_GB2312" w:hAnsi="Calibri" w:eastAsia="仿宋_GB2312"/>
          <w:bCs/>
          <w:sz w:val="32"/>
          <w:szCs w:val="32"/>
        </w:rPr>
        <w:t>九寨沟县委党校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p>
      <w:pPr>
        <w:widowControl/>
        <w:adjustRightInd w:val="0"/>
        <w:snapToGrid w:val="0"/>
        <w:spacing w:line="580" w:lineRule="exact"/>
        <w:ind w:left="-2147483648" w:hanging="-2147483648" w:firstLineChars="10000001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宋体" w:eastAsia="仿宋_GB2312" w:cs="宋体"/>
          <w:color w:val="000000"/>
          <w:kern w:val="0"/>
          <w:sz w:val="32"/>
          <w:szCs w:val="32"/>
          <w:shd w:val="clear" w:color="auto" w:fill="FFFFFF"/>
          <w:lang w:val="zh-CN"/>
        </w:rPr>
        <w:t>（三）人员概况</w:t>
      </w:r>
    </w:p>
    <w:p>
      <w:pPr>
        <w:tabs>
          <w:tab w:val="left" w:pos="567"/>
        </w:tabs>
        <w:rPr>
          <w:rFonts w:ascii="仿宋_GB2312" w:eastAsia="仿宋_GB2312"/>
          <w:sz w:val="32"/>
          <w:szCs w:val="32"/>
        </w:rPr>
      </w:pPr>
      <w:r>
        <w:rPr>
          <w:rFonts w:hint="eastAsia" w:ascii="仿宋_GB2312" w:hAnsi="宋体" w:cs="宋体"/>
          <w:b/>
          <w:bCs/>
          <w:color w:val="000000"/>
          <w:kern w:val="0"/>
          <w:lang w:val="en-US" w:eastAsia="zh-CN"/>
        </w:rPr>
        <w:t xml:space="preserve">      </w:t>
      </w:r>
      <w:r>
        <w:rPr>
          <w:rFonts w:hint="eastAsia" w:ascii="仿宋_GB2312" w:eastAsia="仿宋_GB2312"/>
          <w:sz w:val="32"/>
          <w:szCs w:val="32"/>
        </w:rPr>
        <w:t>学校在职职工</w:t>
      </w:r>
      <w:r>
        <w:rPr>
          <w:rFonts w:hint="eastAsia" w:ascii="仿宋_GB2312" w:eastAsia="仿宋_GB2312"/>
          <w:sz w:val="32"/>
          <w:szCs w:val="32"/>
          <w:lang w:eastAsia="zh-CN"/>
        </w:rPr>
        <w:t>共</w:t>
      </w:r>
      <w:r>
        <w:rPr>
          <w:rFonts w:hint="eastAsia" w:ascii="仿宋_GB2312" w:eastAsia="仿宋_GB2312"/>
          <w:sz w:val="32"/>
          <w:szCs w:val="32"/>
          <w:lang w:val="en-US" w:eastAsia="zh-CN"/>
        </w:rPr>
        <w:t>13</w:t>
      </w:r>
      <w:r>
        <w:rPr>
          <w:rFonts w:hint="eastAsia" w:ascii="仿宋_GB2312" w:eastAsia="仿宋_GB2312"/>
          <w:sz w:val="32"/>
          <w:szCs w:val="32"/>
        </w:rPr>
        <w:t>人，其中5人为参公人员，</w:t>
      </w:r>
      <w:r>
        <w:rPr>
          <w:rFonts w:hint="eastAsia" w:ascii="仿宋_GB2312" w:eastAsia="仿宋_GB2312"/>
          <w:sz w:val="32"/>
          <w:szCs w:val="32"/>
          <w:lang w:val="en-US" w:eastAsia="zh-CN"/>
        </w:rPr>
        <w:t>8</w:t>
      </w:r>
      <w:r>
        <w:rPr>
          <w:rFonts w:hint="eastAsia" w:ascii="仿宋_GB2312" w:eastAsia="仿宋_GB2312"/>
          <w:sz w:val="32"/>
          <w:szCs w:val="32"/>
        </w:rPr>
        <w:t>人为专技人员</w:t>
      </w:r>
      <w:r>
        <w:rPr>
          <w:rFonts w:hint="eastAsia" w:ascii="仿宋_GB2312" w:eastAsia="仿宋_GB2312"/>
          <w:sz w:val="32"/>
          <w:szCs w:val="32"/>
          <w:lang w:eastAsia="zh-CN"/>
        </w:rPr>
        <w:t>。</w:t>
      </w:r>
      <w:r>
        <w:rPr>
          <w:rFonts w:hint="eastAsia" w:ascii="仿宋_GB2312" w:eastAsia="仿宋_GB2312"/>
          <w:sz w:val="32"/>
          <w:szCs w:val="32"/>
        </w:rPr>
        <w:t>参公人员中正科级实职1人</w:t>
      </w:r>
      <w:r>
        <w:rPr>
          <w:rFonts w:hint="eastAsia" w:ascii="仿宋_GB2312" w:eastAsia="仿宋_GB2312"/>
          <w:sz w:val="32"/>
          <w:szCs w:val="32"/>
          <w:lang w:eastAsia="zh-CN"/>
        </w:rPr>
        <w:t>，职级并行</w:t>
      </w:r>
      <w:r>
        <w:rPr>
          <w:rFonts w:hint="eastAsia" w:ascii="仿宋_GB2312" w:eastAsia="仿宋_GB2312"/>
          <w:sz w:val="32"/>
          <w:szCs w:val="32"/>
        </w:rPr>
        <w:t>享受副</w:t>
      </w:r>
      <w:r>
        <w:rPr>
          <w:rFonts w:hint="eastAsia" w:ascii="仿宋_GB2312" w:eastAsia="仿宋_GB2312"/>
          <w:sz w:val="32"/>
          <w:szCs w:val="32"/>
          <w:lang w:eastAsia="zh-CN"/>
        </w:rPr>
        <w:t>处</w:t>
      </w:r>
      <w:r>
        <w:rPr>
          <w:rFonts w:hint="eastAsia" w:ascii="仿宋_GB2312" w:eastAsia="仿宋_GB2312"/>
          <w:sz w:val="32"/>
          <w:szCs w:val="32"/>
        </w:rPr>
        <w:t>级待遇1人，副科级实职1人</w:t>
      </w:r>
      <w:r>
        <w:rPr>
          <w:rFonts w:hint="eastAsia" w:ascii="仿宋_GB2312" w:eastAsia="仿宋_GB2312"/>
          <w:sz w:val="32"/>
          <w:szCs w:val="32"/>
          <w:lang w:eastAsia="zh-CN"/>
        </w:rPr>
        <w:t>（一级主任科员）</w:t>
      </w:r>
      <w:r>
        <w:rPr>
          <w:rFonts w:hint="eastAsia" w:ascii="仿宋_GB2312" w:eastAsia="仿宋_GB2312"/>
          <w:sz w:val="32"/>
          <w:szCs w:val="32"/>
        </w:rPr>
        <w:t>，</w:t>
      </w:r>
      <w:r>
        <w:rPr>
          <w:rFonts w:hint="eastAsia" w:ascii="仿宋_GB2312" w:eastAsia="仿宋_GB2312"/>
          <w:sz w:val="32"/>
          <w:szCs w:val="32"/>
          <w:lang w:eastAsia="zh-CN"/>
        </w:rPr>
        <w:t>三级主任科员</w:t>
      </w:r>
      <w:r>
        <w:rPr>
          <w:rFonts w:hint="eastAsia" w:ascii="仿宋_GB2312" w:eastAsia="仿宋_GB2312"/>
          <w:sz w:val="32"/>
          <w:szCs w:val="32"/>
        </w:rPr>
        <w:t>2人；专技人员中高级讲师</w:t>
      </w:r>
      <w:r>
        <w:rPr>
          <w:rFonts w:hint="eastAsia" w:ascii="仿宋_GB2312" w:eastAsia="仿宋_GB2312"/>
          <w:sz w:val="32"/>
          <w:szCs w:val="32"/>
          <w:lang w:val="en-US" w:eastAsia="zh-CN"/>
        </w:rPr>
        <w:t>2</w:t>
      </w:r>
      <w:r>
        <w:rPr>
          <w:rFonts w:hint="eastAsia" w:ascii="仿宋_GB2312" w:eastAsia="仿宋_GB2312"/>
          <w:sz w:val="32"/>
          <w:szCs w:val="32"/>
        </w:rPr>
        <w:t>人，讲师</w:t>
      </w:r>
      <w:r>
        <w:rPr>
          <w:rFonts w:hint="eastAsia" w:ascii="仿宋_GB2312" w:eastAsia="仿宋_GB2312"/>
          <w:sz w:val="32"/>
          <w:szCs w:val="32"/>
          <w:lang w:val="en-US" w:eastAsia="zh-CN"/>
        </w:rPr>
        <w:t>3</w:t>
      </w:r>
      <w:r>
        <w:rPr>
          <w:rFonts w:hint="eastAsia" w:ascii="仿宋_GB2312" w:eastAsia="仿宋_GB2312"/>
          <w:sz w:val="32"/>
          <w:szCs w:val="32"/>
        </w:rPr>
        <w:t>人，助理讲师1人</w:t>
      </w:r>
      <w:r>
        <w:rPr>
          <w:rFonts w:hint="eastAsia" w:ascii="仿宋_GB2312" w:eastAsia="仿宋_GB2312"/>
          <w:sz w:val="32"/>
          <w:szCs w:val="32"/>
          <w:lang w:eastAsia="zh-CN"/>
        </w:rPr>
        <w:t>，助理工程师</w:t>
      </w:r>
      <w:r>
        <w:rPr>
          <w:rFonts w:hint="eastAsia" w:ascii="仿宋_GB2312" w:eastAsia="仿宋_GB2312"/>
          <w:sz w:val="32"/>
          <w:szCs w:val="32"/>
          <w:lang w:val="en-US" w:eastAsia="zh-CN"/>
        </w:rPr>
        <w:t>1人，人才岗位1人</w:t>
      </w:r>
      <w:r>
        <w:rPr>
          <w:rFonts w:hint="eastAsia" w:ascii="仿宋_GB2312" w:eastAsia="仿宋_GB2312"/>
          <w:sz w:val="32"/>
          <w:szCs w:val="32"/>
        </w:rPr>
        <w:t>。离休干部1人，退休职工</w:t>
      </w:r>
      <w:r>
        <w:rPr>
          <w:rFonts w:hint="eastAsia" w:ascii="仿宋_GB2312" w:eastAsia="仿宋_GB2312"/>
          <w:sz w:val="32"/>
          <w:szCs w:val="32"/>
          <w:lang w:val="en-US" w:eastAsia="zh-CN"/>
        </w:rPr>
        <w:t>5</w:t>
      </w:r>
      <w:r>
        <w:rPr>
          <w:rFonts w:hint="eastAsia" w:ascii="仿宋_GB2312" w:eastAsia="仿宋_GB2312"/>
          <w:sz w:val="32"/>
          <w:szCs w:val="32"/>
        </w:rPr>
        <w:t>人。</w:t>
      </w:r>
    </w:p>
    <w:p>
      <w:pPr>
        <w:widowControl/>
        <w:adjustRightInd w:val="0"/>
        <w:snapToGrid w:val="0"/>
        <w:spacing w:line="580" w:lineRule="exact"/>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lang w:val="en-US" w:eastAsia="zh-CN"/>
        </w:rPr>
        <w:t xml:space="preserve">    </w:t>
      </w:r>
      <w:r>
        <w:rPr>
          <w:rFonts w:hint="eastAsia" w:ascii="黑体" w:hAnsi="宋体" w:eastAsia="黑体" w:cs="宋体"/>
          <w:color w:val="000000"/>
          <w:kern w:val="0"/>
          <w:sz w:val="32"/>
          <w:szCs w:val="32"/>
          <w:shd w:val="clear" w:color="auto" w:fill="FFFFFF"/>
        </w:rPr>
        <w:t>二、部门财政资金收支情况</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部门财政资金收入情况</w:t>
      </w:r>
    </w:p>
    <w:p>
      <w:pPr>
        <w:tabs>
          <w:tab w:val="left" w:pos="550"/>
        </w:tabs>
        <w:rPr>
          <w:rFonts w:ascii="仿宋_GB2312" w:eastAsia="仿宋_GB2312"/>
          <w:sz w:val="32"/>
          <w:szCs w:val="32"/>
        </w:rPr>
      </w:pPr>
      <w:r>
        <w:rPr>
          <w:rFonts w:hint="eastAsia"/>
          <w:lang w:val="en-US" w:eastAsia="zh-CN"/>
        </w:rPr>
        <w:t xml:space="preserve">       </w:t>
      </w:r>
      <w:r>
        <w:rPr>
          <w:rFonts w:hint="eastAsia" w:ascii="仿宋_GB2312" w:eastAsia="仿宋_GB2312"/>
          <w:sz w:val="32"/>
          <w:szCs w:val="32"/>
        </w:rPr>
        <w:t>县党校20</w:t>
      </w:r>
      <w:r>
        <w:rPr>
          <w:rFonts w:hint="eastAsia" w:ascii="仿宋_GB2312"/>
          <w:sz w:val="32"/>
          <w:szCs w:val="32"/>
          <w:lang w:val="en-US" w:eastAsia="zh-CN"/>
        </w:rPr>
        <w:t>20</w:t>
      </w:r>
      <w:r>
        <w:rPr>
          <w:rFonts w:hint="eastAsia" w:ascii="仿宋_GB2312" w:eastAsia="仿宋_GB2312"/>
          <w:sz w:val="32"/>
          <w:szCs w:val="32"/>
        </w:rPr>
        <w:t>年</w:t>
      </w:r>
      <w:r>
        <w:rPr>
          <w:rFonts w:hint="eastAsia" w:ascii="仿宋_GB2312" w:eastAsia="仿宋_GB2312"/>
          <w:sz w:val="32"/>
          <w:szCs w:val="32"/>
          <w:lang w:eastAsia="zh-CN"/>
        </w:rPr>
        <w:t>度</w:t>
      </w:r>
      <w:r>
        <w:rPr>
          <w:rFonts w:hint="eastAsia" w:ascii="仿宋_GB2312" w:eastAsia="仿宋_GB2312"/>
          <w:sz w:val="32"/>
          <w:szCs w:val="32"/>
        </w:rPr>
        <w:t>收入共</w:t>
      </w:r>
      <w:r>
        <w:rPr>
          <w:rFonts w:hint="eastAsia" w:ascii="仿宋_GB2312"/>
          <w:sz w:val="32"/>
          <w:szCs w:val="32"/>
          <w:lang w:val="en-US" w:eastAsia="zh-CN"/>
        </w:rPr>
        <w:t>249.66万</w:t>
      </w:r>
      <w:r>
        <w:rPr>
          <w:rFonts w:hint="eastAsia" w:ascii="仿宋_GB2312" w:eastAsia="仿宋_GB2312"/>
          <w:sz w:val="32"/>
          <w:szCs w:val="32"/>
        </w:rPr>
        <w:t>元，其中一般公共预</w:t>
      </w:r>
      <w:r>
        <w:rPr>
          <w:rFonts w:hint="eastAsia" w:ascii="仿宋_GB2312" w:hAnsi="仿宋_GB2312" w:eastAsia="仿宋_GB2312" w:cs="仿宋_GB2312"/>
          <w:sz w:val="32"/>
          <w:szCs w:val="32"/>
        </w:rPr>
        <w:t>算财政拨款收入</w:t>
      </w:r>
      <w:r>
        <w:rPr>
          <w:rFonts w:hint="eastAsia" w:ascii="仿宋_GB2312" w:hAnsi="仿宋_GB2312" w:eastAsia="仿宋_GB2312" w:cs="仿宋_GB2312"/>
          <w:sz w:val="32"/>
          <w:szCs w:val="32"/>
          <w:lang w:val="en-US" w:eastAsia="zh-CN"/>
        </w:rPr>
        <w:t>249.66万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pPr>
        <w:widowControl/>
        <w:adjustRightInd w:val="0"/>
        <w:snapToGrid w:val="0"/>
        <w:spacing w:line="580" w:lineRule="exact"/>
        <w:ind w:left="-2147483648" w:hanging="-2147483648" w:firstLineChars="10000001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宋体" w:eastAsia="仿宋_GB2312" w:cs="宋体"/>
          <w:color w:val="000000"/>
          <w:kern w:val="0"/>
          <w:sz w:val="32"/>
          <w:szCs w:val="32"/>
          <w:shd w:val="clear" w:color="auto" w:fill="FFFFFF"/>
          <w:lang w:val="zh-CN"/>
        </w:rPr>
        <w:t>（二）部门财政资金支出情况</w:t>
      </w:r>
    </w:p>
    <w:p>
      <w:pPr>
        <w:numPr>
          <w:ilvl w:val="0"/>
          <w:numId w:val="0"/>
        </w:numPr>
        <w:spacing w:line="560" w:lineRule="exac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32"/>
          <w:szCs w:val="32"/>
          <w:lang w:val="en-US" w:eastAsia="zh-CN"/>
        </w:rPr>
        <w:t xml:space="preserve">  </w:t>
      </w:r>
      <w:r>
        <w:rPr>
          <w:rFonts w:hint="eastAsia" w:ascii="仿宋_GB2312" w:hAnsi="黑体" w:eastAsia="仿宋_GB2312" w:cs="黑体"/>
          <w:bCs/>
          <w:sz w:val="32"/>
          <w:szCs w:val="32"/>
        </w:rPr>
        <w:t>九寨沟县委党校20</w:t>
      </w:r>
      <w:r>
        <w:rPr>
          <w:rFonts w:hint="eastAsia" w:ascii="仿宋_GB2312" w:hAnsi="黑体" w:eastAsia="仿宋_GB2312" w:cs="黑体"/>
          <w:bCs/>
          <w:sz w:val="32"/>
          <w:szCs w:val="32"/>
          <w:lang w:val="en-US" w:eastAsia="zh-CN"/>
        </w:rPr>
        <w:t>20</w:t>
      </w:r>
      <w:r>
        <w:rPr>
          <w:rFonts w:hint="eastAsia" w:ascii="仿宋_GB2312" w:hAnsi="黑体" w:eastAsia="仿宋_GB2312" w:cs="黑体"/>
          <w:bCs/>
          <w:sz w:val="32"/>
          <w:szCs w:val="32"/>
        </w:rPr>
        <w:t>年整体支出</w:t>
      </w:r>
      <w:r>
        <w:rPr>
          <w:rFonts w:hint="eastAsia" w:ascii="仿宋_GB2312" w:hAnsi="黑体" w:eastAsia="仿宋_GB2312" w:cs="黑体"/>
          <w:bCs/>
          <w:sz w:val="32"/>
          <w:szCs w:val="32"/>
          <w:lang w:val="en-US" w:eastAsia="zh-CN"/>
        </w:rPr>
        <w:t>249.66</w:t>
      </w:r>
      <w:r>
        <w:rPr>
          <w:rFonts w:hint="eastAsia" w:ascii="仿宋_GB2312" w:hAnsi="黑体" w:eastAsia="仿宋_GB2312" w:cs="黑体"/>
          <w:bCs/>
          <w:sz w:val="32"/>
          <w:szCs w:val="32"/>
        </w:rPr>
        <w:t>万元，其中教育支出</w:t>
      </w:r>
      <w:r>
        <w:rPr>
          <w:rFonts w:hint="eastAsia" w:ascii="仿宋_GB2312" w:hAnsi="黑体" w:eastAsia="仿宋_GB2312" w:cs="黑体"/>
          <w:bCs/>
          <w:sz w:val="32"/>
          <w:szCs w:val="32"/>
          <w:lang w:val="en-US" w:eastAsia="zh-CN"/>
        </w:rPr>
        <w:t>186.23</w:t>
      </w:r>
      <w:r>
        <w:rPr>
          <w:rFonts w:hint="eastAsia" w:ascii="仿宋_GB2312" w:hAnsi="黑体" w:eastAsia="仿宋_GB2312" w:cs="黑体"/>
          <w:bCs/>
          <w:sz w:val="32"/>
          <w:szCs w:val="32"/>
        </w:rPr>
        <w:t>万元，占总支出</w:t>
      </w:r>
      <w:r>
        <w:rPr>
          <w:rFonts w:hint="eastAsia" w:ascii="仿宋_GB2312" w:hAnsi="黑体" w:eastAsia="仿宋_GB2312" w:cs="黑体"/>
          <w:bCs/>
          <w:sz w:val="32"/>
          <w:szCs w:val="32"/>
          <w:lang w:val="en-US" w:eastAsia="zh-CN"/>
        </w:rPr>
        <w:t>74.59</w:t>
      </w:r>
      <w:r>
        <w:rPr>
          <w:rFonts w:hint="eastAsia" w:ascii="仿宋_GB2312" w:hAnsi="黑体" w:eastAsia="仿宋_GB2312" w:cs="黑体"/>
          <w:bCs/>
          <w:sz w:val="32"/>
          <w:szCs w:val="32"/>
        </w:rPr>
        <w:t>%；社会保障就业支出</w:t>
      </w:r>
      <w:r>
        <w:rPr>
          <w:rFonts w:hint="eastAsia" w:ascii="仿宋_GB2312" w:hAnsi="黑体" w:eastAsia="仿宋_GB2312" w:cs="黑体"/>
          <w:bCs/>
          <w:sz w:val="32"/>
          <w:szCs w:val="32"/>
          <w:lang w:val="en-US" w:eastAsia="zh-CN"/>
        </w:rPr>
        <w:t>30.05</w:t>
      </w:r>
      <w:r>
        <w:rPr>
          <w:rFonts w:hint="eastAsia" w:ascii="仿宋_GB2312" w:hAnsi="黑体" w:eastAsia="仿宋_GB2312" w:cs="黑体"/>
          <w:bCs/>
          <w:sz w:val="32"/>
          <w:szCs w:val="32"/>
        </w:rPr>
        <w:t>万元，占总支</w:t>
      </w:r>
      <w:r>
        <w:rPr>
          <w:rFonts w:hint="eastAsia" w:ascii="仿宋_GB2312" w:hAnsi="黑体" w:eastAsia="仿宋_GB2312" w:cs="黑体"/>
          <w:bCs/>
          <w:sz w:val="32"/>
          <w:szCs w:val="32"/>
          <w:lang w:val="en-US" w:eastAsia="zh-CN"/>
        </w:rPr>
        <w:t>12.04</w:t>
      </w:r>
      <w:r>
        <w:rPr>
          <w:rFonts w:hint="eastAsia" w:ascii="仿宋_GB2312" w:hAnsi="黑体" w:eastAsia="仿宋_GB2312" w:cs="黑体"/>
          <w:bCs/>
          <w:sz w:val="32"/>
          <w:szCs w:val="32"/>
        </w:rPr>
        <w:t>%；</w:t>
      </w:r>
      <w:r>
        <w:rPr>
          <w:rFonts w:hint="eastAsia" w:ascii="仿宋_GB2312" w:hAnsi="黑体" w:eastAsia="仿宋_GB2312" w:cs="黑体"/>
          <w:bCs/>
          <w:sz w:val="32"/>
          <w:szCs w:val="32"/>
          <w:lang w:eastAsia="zh-CN"/>
        </w:rPr>
        <w:t>卫生健康</w:t>
      </w:r>
      <w:r>
        <w:rPr>
          <w:rFonts w:hint="eastAsia" w:ascii="仿宋_GB2312" w:hAnsi="黑体" w:eastAsia="仿宋_GB2312" w:cs="黑体"/>
          <w:bCs/>
          <w:sz w:val="32"/>
          <w:szCs w:val="32"/>
        </w:rPr>
        <w:t>支出</w:t>
      </w:r>
      <w:r>
        <w:rPr>
          <w:rFonts w:hint="eastAsia" w:ascii="仿宋_GB2312" w:hAnsi="黑体" w:eastAsia="仿宋_GB2312" w:cs="黑体"/>
          <w:bCs/>
          <w:sz w:val="32"/>
          <w:szCs w:val="32"/>
          <w:lang w:val="en-US" w:eastAsia="zh-CN"/>
        </w:rPr>
        <w:t>15.33</w:t>
      </w:r>
      <w:r>
        <w:rPr>
          <w:rFonts w:hint="eastAsia" w:ascii="仿宋_GB2312" w:hAnsi="黑体" w:eastAsia="仿宋_GB2312" w:cs="黑体"/>
          <w:bCs/>
          <w:sz w:val="32"/>
          <w:szCs w:val="32"/>
        </w:rPr>
        <w:t>万元，占总支出</w:t>
      </w:r>
      <w:r>
        <w:rPr>
          <w:rFonts w:hint="eastAsia" w:ascii="仿宋_GB2312" w:hAnsi="黑体" w:eastAsia="仿宋_GB2312" w:cs="黑体"/>
          <w:bCs/>
          <w:sz w:val="32"/>
          <w:szCs w:val="32"/>
          <w:lang w:val="en-US" w:eastAsia="zh-CN"/>
        </w:rPr>
        <w:t>6.14</w:t>
      </w:r>
      <w:r>
        <w:rPr>
          <w:rFonts w:hint="eastAsia" w:ascii="仿宋_GB2312" w:hAnsi="黑体" w:eastAsia="仿宋_GB2312" w:cs="黑体"/>
          <w:bCs/>
          <w:sz w:val="32"/>
          <w:szCs w:val="32"/>
        </w:rPr>
        <w:t>%；住房保障支出</w:t>
      </w:r>
      <w:r>
        <w:rPr>
          <w:rFonts w:hint="eastAsia" w:ascii="仿宋_GB2312" w:hAnsi="黑体" w:eastAsia="仿宋_GB2312" w:cs="黑体"/>
          <w:bCs/>
          <w:sz w:val="32"/>
          <w:szCs w:val="32"/>
          <w:lang w:val="en-US" w:eastAsia="zh-CN"/>
        </w:rPr>
        <w:t>18.04</w:t>
      </w:r>
      <w:r>
        <w:rPr>
          <w:rFonts w:hint="eastAsia" w:ascii="仿宋_GB2312" w:hAnsi="黑体" w:eastAsia="仿宋_GB2312" w:cs="黑体"/>
          <w:bCs/>
          <w:sz w:val="32"/>
          <w:szCs w:val="32"/>
        </w:rPr>
        <w:t>万元，占总支出</w:t>
      </w:r>
      <w:r>
        <w:rPr>
          <w:rFonts w:hint="eastAsia" w:ascii="仿宋_GB2312" w:hAnsi="黑体" w:eastAsia="仿宋_GB2312" w:cs="黑体"/>
          <w:bCs/>
          <w:sz w:val="32"/>
          <w:szCs w:val="32"/>
          <w:lang w:val="en-US" w:eastAsia="zh-CN"/>
        </w:rPr>
        <w:t>7.22</w:t>
      </w:r>
      <w:r>
        <w:rPr>
          <w:rFonts w:hint="eastAsia" w:ascii="仿宋_GB2312" w:hAnsi="黑体" w:eastAsia="仿宋_GB2312" w:cs="黑体"/>
          <w:bCs/>
          <w:sz w:val="32"/>
          <w:szCs w:val="32"/>
        </w:rPr>
        <w:t>%。</w:t>
      </w:r>
    </w:p>
    <w:p>
      <w:pPr>
        <w:pStyle w:val="2"/>
        <w:ind w:left="-2147483648" w:firstLine="2100000160" w:firstLineChars="1000000100"/>
        <w:rPr>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480" w:lineRule="exact"/>
        <w:jc w:val="left"/>
        <w:rPr>
          <w:rFonts w:ascii="楷体" w:hAnsi="楷体" w:eastAsia="楷体" w:cs="宋体"/>
          <w:b w:val="0"/>
          <w:bCs w:val="0"/>
          <w:color w:val="000000"/>
          <w:kern w:val="0"/>
          <w:sz w:val="32"/>
          <w:szCs w:val="32"/>
          <w:lang w:val="zh-CN"/>
        </w:rPr>
      </w:pPr>
      <w:r>
        <w:rPr>
          <w:rFonts w:hint="eastAsia" w:ascii="楷体" w:hAnsi="楷体" w:eastAsia="楷体" w:cs="宋体"/>
          <w:color w:val="000000"/>
          <w:kern w:val="0"/>
          <w:lang w:val="en-US" w:eastAsia="zh-CN"/>
        </w:rPr>
        <w:t xml:space="preserve">     </w:t>
      </w:r>
      <w:r>
        <w:rPr>
          <w:rFonts w:hint="eastAsia" w:ascii="楷体" w:hAnsi="楷体" w:eastAsia="楷体" w:cs="宋体"/>
          <w:color w:val="000000"/>
          <w:kern w:val="0"/>
          <w:sz w:val="32"/>
          <w:szCs w:val="32"/>
          <w:lang w:val="en-US" w:eastAsia="zh-CN"/>
        </w:rPr>
        <w:t xml:space="preserve"> </w:t>
      </w:r>
      <w:r>
        <w:rPr>
          <w:rFonts w:hint="eastAsia" w:ascii="楷体" w:hAnsi="楷体" w:eastAsia="楷体" w:cs="宋体"/>
          <w:b w:val="0"/>
          <w:bCs w:val="0"/>
          <w:color w:val="000000"/>
          <w:kern w:val="0"/>
          <w:sz w:val="32"/>
          <w:szCs w:val="32"/>
          <w:lang w:val="en-US" w:eastAsia="zh-CN"/>
        </w:rPr>
        <w:t xml:space="preserve"> 1.</w:t>
      </w:r>
      <w:r>
        <w:rPr>
          <w:rFonts w:hint="eastAsia" w:ascii="楷体" w:hAnsi="楷体" w:eastAsia="楷体" w:cs="宋体"/>
          <w:b w:val="0"/>
          <w:bCs w:val="0"/>
          <w:color w:val="000000"/>
          <w:kern w:val="0"/>
          <w:sz w:val="32"/>
          <w:szCs w:val="32"/>
          <w:lang w:val="zh-CN"/>
        </w:rPr>
        <w:t>预算编制情况</w:t>
      </w:r>
    </w:p>
    <w:p>
      <w:pPr>
        <w:tabs>
          <w:tab w:val="left" w:pos="550"/>
        </w:tabs>
        <w:rPr>
          <w:rFonts w:ascii="仿宋_GB2312" w:eastAsia="仿宋_GB2312"/>
          <w:sz w:val="32"/>
          <w:szCs w:val="32"/>
        </w:rPr>
      </w:pPr>
      <w:r>
        <w:rPr>
          <w:rFonts w:hint="eastAsia" w:ascii="仿宋_GB2312" w:hAnsi="宋体" w:cs="宋体"/>
          <w:color w:val="000000"/>
          <w:kern w:val="0"/>
          <w:lang w:val="en-US" w:eastAsia="zh-CN"/>
        </w:rPr>
        <w:t xml:space="preserve">  </w:t>
      </w:r>
      <w:r>
        <w:rPr>
          <w:rFonts w:ascii="仿宋_GB2312" w:eastAsia="仿宋_GB2312"/>
          <w:sz w:val="32"/>
          <w:szCs w:val="32"/>
        </w:rPr>
        <w:tab/>
      </w:r>
      <w:r>
        <w:rPr>
          <w:rFonts w:hint="eastAsia" w:ascii="仿宋_GB2312" w:eastAsia="仿宋_GB2312"/>
          <w:sz w:val="32"/>
          <w:szCs w:val="32"/>
          <w:lang w:val="en-US" w:eastAsia="zh-CN"/>
        </w:rPr>
        <w:t xml:space="preserve"> </w:t>
      </w:r>
      <w:r>
        <w:rPr>
          <w:rFonts w:hint="eastAsia" w:ascii="仿宋_GB2312" w:eastAsia="仿宋_GB2312"/>
          <w:sz w:val="32"/>
          <w:szCs w:val="32"/>
        </w:rPr>
        <w:t>按照县财政局部门预算编制通知和有关要求，及时准确高质量完成单位部门预算编报，项目库报送工作。部门整体绩效目标能完整、合理反映部门年度职责履行情况，项目编制明确、量化。无转移支付及专项转移支付分地区分项目的情况。</w:t>
      </w:r>
    </w:p>
    <w:p>
      <w:pPr>
        <w:widowControl/>
        <w:adjustRightInd w:val="0"/>
        <w:snapToGrid w:val="0"/>
        <w:spacing w:line="480" w:lineRule="exact"/>
        <w:jc w:val="left"/>
        <w:rPr>
          <w:rFonts w:ascii="楷体" w:hAnsi="楷体" w:eastAsia="楷体" w:cs="宋体"/>
          <w:b w:val="0"/>
          <w:bCs w:val="0"/>
          <w:color w:val="000000"/>
          <w:kern w:val="0"/>
          <w:sz w:val="32"/>
          <w:szCs w:val="32"/>
          <w:lang w:val="zh-CN"/>
        </w:rPr>
      </w:pPr>
      <w:r>
        <w:rPr>
          <w:rFonts w:hint="eastAsia" w:ascii="楷体" w:hAnsi="楷体" w:eastAsia="楷体" w:cs="宋体"/>
          <w:color w:val="000000"/>
          <w:kern w:val="0"/>
          <w:lang w:val="en-US" w:eastAsia="zh-CN"/>
        </w:rPr>
        <w:t xml:space="preserve">      </w:t>
      </w:r>
      <w:r>
        <w:rPr>
          <w:rFonts w:hint="eastAsia" w:ascii="楷体" w:hAnsi="楷体" w:eastAsia="楷体" w:cs="宋体"/>
          <w:b w:val="0"/>
          <w:bCs w:val="0"/>
          <w:color w:val="000000"/>
          <w:kern w:val="0"/>
          <w:sz w:val="32"/>
          <w:szCs w:val="32"/>
          <w:lang w:val="en-US" w:eastAsia="zh-CN"/>
        </w:rPr>
        <w:t>2.</w:t>
      </w:r>
      <w:r>
        <w:rPr>
          <w:rFonts w:hint="eastAsia" w:ascii="楷体" w:hAnsi="楷体" w:eastAsia="楷体" w:cs="宋体"/>
          <w:b w:val="0"/>
          <w:bCs w:val="0"/>
          <w:color w:val="000000"/>
          <w:kern w:val="0"/>
          <w:sz w:val="32"/>
          <w:szCs w:val="32"/>
          <w:lang w:val="zh-CN"/>
        </w:rPr>
        <w:t>执行管理情况</w:t>
      </w:r>
    </w:p>
    <w:p>
      <w:pPr>
        <w:tabs>
          <w:tab w:val="left" w:pos="550"/>
        </w:tabs>
        <w:ind w:firstLine="660"/>
        <w:rPr>
          <w:rFonts w:ascii="仿宋_GB2312" w:eastAsia="仿宋_GB2312"/>
          <w:sz w:val="32"/>
          <w:szCs w:val="32"/>
        </w:rPr>
      </w:pPr>
      <w:r>
        <w:rPr>
          <w:rFonts w:hint="eastAsia" w:ascii="仿宋_GB2312" w:eastAsia="仿宋_GB2312"/>
          <w:sz w:val="32"/>
          <w:szCs w:val="32"/>
        </w:rPr>
        <w:t>按照县财政局要求，依据《预算法》，严格执行预算管理，及时合理合规分配各项资金，不擅自改变预算资金用途。严格执行“三公经费”预算，不超出“三公经费”指标。</w:t>
      </w:r>
    </w:p>
    <w:p>
      <w:pPr>
        <w:widowControl/>
        <w:adjustRightInd w:val="0"/>
        <w:snapToGrid w:val="0"/>
        <w:spacing w:line="480" w:lineRule="exact"/>
        <w:jc w:val="left"/>
        <w:rPr>
          <w:rFonts w:ascii="楷体" w:hAnsi="楷体" w:eastAsia="楷体" w:cs="宋体"/>
          <w:color w:val="000000"/>
          <w:kern w:val="0"/>
          <w:sz w:val="32"/>
          <w:szCs w:val="32"/>
          <w:lang w:val="zh-CN"/>
        </w:rPr>
      </w:pPr>
      <w:r>
        <w:rPr>
          <w:rFonts w:hint="eastAsia" w:ascii="楷体" w:hAnsi="楷体" w:eastAsia="楷体" w:cs="宋体"/>
          <w:b/>
          <w:bCs/>
          <w:color w:val="000000"/>
          <w:kern w:val="0"/>
          <w:sz w:val="32"/>
          <w:szCs w:val="32"/>
          <w:lang w:val="en-US" w:eastAsia="zh-CN"/>
        </w:rPr>
        <w:t xml:space="preserve">    3.</w:t>
      </w:r>
      <w:r>
        <w:rPr>
          <w:rFonts w:hint="eastAsia" w:ascii="楷体" w:hAnsi="楷体" w:eastAsia="楷体" w:cs="宋体"/>
          <w:b/>
          <w:bCs/>
          <w:color w:val="000000"/>
          <w:kern w:val="0"/>
          <w:sz w:val="32"/>
          <w:szCs w:val="32"/>
          <w:lang w:val="zh-CN"/>
        </w:rPr>
        <w:t>综合管理情况</w:t>
      </w:r>
    </w:p>
    <w:p>
      <w:pPr>
        <w:ind w:firstLine="640" w:firstLineChars="200"/>
        <w:rPr>
          <w:rFonts w:hint="eastAsia" w:ascii="仿宋_GB2312" w:eastAsia="仿宋_GB2312"/>
          <w:sz w:val="32"/>
          <w:szCs w:val="32"/>
        </w:rPr>
      </w:pPr>
      <w:r>
        <w:rPr>
          <w:rFonts w:hint="eastAsia" w:ascii="仿宋_GB2312" w:eastAsia="仿宋_GB2312"/>
          <w:sz w:val="32"/>
          <w:szCs w:val="32"/>
        </w:rPr>
        <w:t>我校无政府性债务，无非税收入征收情况，也暂无政府采购。单位资产管理，依托资产管理软件，规范完善资产卡片等基础资料，使得固定资产数据查询快捷方便，依托软件对固定资产的任何变及时与财务核对，保证固定资产帐卡同步变化，严格执行每年盘点制度，按照要求认真报送单位资产报表。内控制度管理方面，建立健全单位内部控制制度</w:t>
      </w:r>
      <w:r>
        <w:rPr>
          <w:rFonts w:hint="eastAsia" w:ascii="仿宋_GB2312"/>
          <w:sz w:val="32"/>
          <w:szCs w:val="32"/>
          <w:lang w:eastAsia="zh-CN"/>
        </w:rPr>
        <w:t>。</w:t>
      </w:r>
      <w:r>
        <w:rPr>
          <w:rFonts w:hint="eastAsia" w:ascii="仿宋_GB2312" w:eastAsia="仿宋_GB2312"/>
          <w:sz w:val="32"/>
          <w:szCs w:val="32"/>
        </w:rPr>
        <w:t>信息公开方面，按照县财政局要求及时准确公开了单位的预</w:t>
      </w:r>
      <w:r>
        <w:rPr>
          <w:rFonts w:hint="eastAsia" w:ascii="仿宋_GB2312" w:eastAsia="仿宋_GB2312"/>
          <w:sz w:val="32"/>
          <w:szCs w:val="32"/>
          <w:lang w:eastAsia="zh-CN"/>
        </w:rPr>
        <w:t>决</w:t>
      </w:r>
      <w:r>
        <w:rPr>
          <w:rFonts w:hint="eastAsia" w:ascii="仿宋_GB2312" w:eastAsia="仿宋_GB2312"/>
          <w:sz w:val="32"/>
          <w:szCs w:val="32"/>
        </w:rPr>
        <w:t>算信息。</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宋体" w:eastAsia="仿宋_GB2312" w:cs="宋体"/>
          <w:color w:val="000000"/>
          <w:kern w:val="0"/>
          <w:sz w:val="32"/>
          <w:szCs w:val="32"/>
          <w:shd w:val="clear" w:color="auto" w:fill="FFFFFF"/>
          <w:lang w:val="zh-CN"/>
        </w:rPr>
        <w:t>自评报告和评价结果公开，并如实上报县财政局接受检查。</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2"/>
        <w:rPr>
          <w:rFonts w:hint="eastAsia" w:eastAsia="仿宋_GB2312"/>
          <w:sz w:val="32"/>
          <w:szCs w:val="32"/>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度结合疫情实际情况，</w:t>
      </w:r>
      <w:r>
        <w:rPr>
          <w:rFonts w:hint="eastAsia" w:ascii="仿宋_GB2312" w:hAnsi="仿宋_GB2312" w:eastAsia="仿宋_GB2312" w:cs="仿宋_GB2312"/>
          <w:color w:val="000000"/>
          <w:sz w:val="32"/>
          <w:szCs w:val="32"/>
        </w:rPr>
        <w:t>单位在规定时间内</w:t>
      </w:r>
      <w:r>
        <w:rPr>
          <w:rFonts w:hint="eastAsia" w:ascii="仿宋_GB2312" w:hAnsi="仿宋_GB2312" w:eastAsia="仿宋_GB2312" w:cs="仿宋_GB2312"/>
          <w:color w:val="000000"/>
          <w:sz w:val="32"/>
          <w:szCs w:val="32"/>
          <w:lang w:eastAsia="zh-CN"/>
        </w:rPr>
        <w:t>有些工作无法开展，有些工作任务超量完成，总体来看工作任务保质保量完成，</w:t>
      </w:r>
      <w:r>
        <w:rPr>
          <w:rFonts w:hint="eastAsia" w:ascii="仿宋_GB2312" w:hAnsi="仿宋_GB2312" w:eastAsia="仿宋_GB2312" w:cs="仿宋_GB2312"/>
          <w:color w:val="000000"/>
          <w:sz w:val="32"/>
          <w:szCs w:val="32"/>
        </w:rPr>
        <w:t>保证了单位良好运行情况</w:t>
      </w:r>
      <w:r>
        <w:rPr>
          <w:rFonts w:hint="eastAsia" w:ascii="仿宋_GB2312" w:hAnsi="仿宋_GB2312" w:eastAsia="仿宋_GB2312" w:cs="仿宋_GB2312"/>
          <w:color w:val="000000"/>
          <w:sz w:val="32"/>
          <w:szCs w:val="32"/>
          <w:lang w:eastAsia="zh-CN"/>
        </w:rPr>
        <w:t>。</w:t>
      </w:r>
    </w:p>
    <w:p>
      <w:pPr>
        <w:widowControl/>
        <w:numPr>
          <w:ilvl w:val="0"/>
          <w:numId w:val="5"/>
        </w:numPr>
        <w:adjustRightInd w:val="0"/>
        <w:snapToGrid w:val="0"/>
        <w:spacing w:line="580" w:lineRule="exact"/>
        <w:ind w:firstLine="640" w:firstLineChars="200"/>
        <w:contextualSpacing/>
        <w:jc w:val="left"/>
        <w:rPr>
          <w:rFonts w:hint="eastAsia" w:ascii="仿宋_GB2312" w:hAnsi="仿宋_GB2312" w:eastAsia="仿宋_GB2312" w:cs="仿宋_GB2312"/>
          <w:color w:val="333333"/>
          <w:sz w:val="32"/>
          <w:szCs w:val="32"/>
        </w:rPr>
      </w:pPr>
      <w:r>
        <w:rPr>
          <w:rFonts w:hint="eastAsia" w:ascii="仿宋_GB2312" w:hAnsi="宋体" w:eastAsia="仿宋_GB2312" w:cs="宋体"/>
          <w:color w:val="000000"/>
          <w:kern w:val="0"/>
          <w:sz w:val="32"/>
          <w:szCs w:val="32"/>
          <w:shd w:val="clear" w:color="auto" w:fill="FFFFFF"/>
          <w:lang w:val="zh-CN"/>
        </w:rPr>
        <w:t>存在问题</w:t>
      </w:r>
    </w:p>
    <w:p>
      <w:pPr>
        <w:widowControl/>
        <w:numPr>
          <w:ilvl w:val="0"/>
          <w:numId w:val="0"/>
        </w:numPr>
        <w:adjustRightInd w:val="0"/>
        <w:snapToGrid w:val="0"/>
        <w:spacing w:line="580" w:lineRule="exact"/>
        <w:contextualSpacing/>
        <w:jc w:val="left"/>
        <w:rPr>
          <w:rFonts w:hint="eastAsia" w:ascii="仿宋_GB2312" w:hAnsi="仿宋_GB2312" w:eastAsia="仿宋_GB2312" w:cs="仿宋_GB2312"/>
          <w:color w:val="333333"/>
          <w:sz w:val="32"/>
          <w:szCs w:val="32"/>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_GB2312" w:eastAsia="仿宋_GB2312" w:cs="仿宋_GB2312"/>
          <w:color w:val="000000"/>
          <w:sz w:val="32"/>
          <w:szCs w:val="32"/>
          <w:lang w:val="en-US" w:eastAsia="zh-CN"/>
        </w:rPr>
        <w:t xml:space="preserve">  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资金使用速度缓慢，差旅费支出没有计划，出现年底集中支付情况；</w:t>
      </w:r>
    </w:p>
    <w:p>
      <w:pPr>
        <w:pStyle w:val="20"/>
        <w:shd w:val="clear" w:color="auto" w:fill="FFFFFF"/>
        <w:spacing w:before="0" w:beforeAutospacing="0" w:after="0" w:afterAutospacing="0"/>
        <w:ind w:firstLine="628"/>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业务能力有待提高；</w:t>
      </w:r>
    </w:p>
    <w:p>
      <w:pPr>
        <w:pStyle w:val="20"/>
        <w:shd w:val="clear" w:color="auto" w:fill="FFFFFF"/>
        <w:spacing w:before="0" w:beforeAutospacing="0" w:after="0" w:afterAutospacing="0"/>
        <w:ind w:firstLine="628"/>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3.业务学习需要加强。</w:t>
      </w:r>
    </w:p>
    <w:p>
      <w:pPr>
        <w:widowControl/>
        <w:adjustRightInd w:val="0"/>
        <w:snapToGrid w:val="0"/>
        <w:spacing w:line="580" w:lineRule="exact"/>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宋体" w:eastAsia="仿宋_GB2312" w:cs="宋体"/>
          <w:color w:val="000000"/>
          <w:kern w:val="0"/>
          <w:sz w:val="32"/>
          <w:szCs w:val="32"/>
          <w:shd w:val="clear" w:color="auto" w:fill="FFFFFF"/>
          <w:lang w:val="zh-CN"/>
        </w:rPr>
        <w:t>（三）改进建议</w:t>
      </w:r>
    </w:p>
    <w:p>
      <w:pPr>
        <w:pStyle w:val="20"/>
        <w:shd w:val="clear" w:color="auto" w:fill="FFFFFF"/>
        <w:spacing w:before="0" w:beforeAutospacing="0" w:after="0" w:afterAutospacing="0"/>
        <w:ind w:firstLine="628"/>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000000"/>
          <w:sz w:val="32"/>
          <w:szCs w:val="32"/>
        </w:rPr>
        <w:t>1.将财务制度落实到位，规范财经纪律，严格控制</w:t>
      </w:r>
      <w:r>
        <w:rPr>
          <w:rFonts w:hint="eastAsia" w:ascii="仿宋_GB2312" w:hAnsi="仿宋_GB2312" w:eastAsia="仿宋_GB2312" w:cs="仿宋_GB2312"/>
          <w:color w:val="000000"/>
          <w:sz w:val="32"/>
          <w:szCs w:val="32"/>
          <w:lang w:eastAsia="zh-CN"/>
        </w:rPr>
        <w:t>单位不必要的开支</w:t>
      </w:r>
      <w:r>
        <w:rPr>
          <w:rFonts w:hint="eastAsia" w:ascii="仿宋_GB2312" w:hAnsi="仿宋_GB2312" w:eastAsia="仿宋_GB2312" w:cs="仿宋_GB2312"/>
          <w:color w:val="000000"/>
          <w:sz w:val="32"/>
          <w:szCs w:val="32"/>
        </w:rPr>
        <w:t>。</w:t>
      </w:r>
    </w:p>
    <w:p>
      <w:pPr>
        <w:pStyle w:val="20"/>
        <w:shd w:val="clear" w:color="auto" w:fill="FFFFFF"/>
        <w:spacing w:before="0" w:beforeAutospacing="0" w:after="0" w:afterAutospacing="0"/>
        <w:ind w:firstLine="628"/>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.加强对财务监管力度，多组织财务业务培训学习</w:t>
      </w:r>
      <w:r>
        <w:rPr>
          <w:rFonts w:hint="eastAsia" w:ascii="仿宋_GB2312" w:hAnsi="仿宋_GB2312" w:eastAsia="仿宋_GB2312" w:cs="仿宋_GB2312"/>
          <w:color w:val="000000"/>
          <w:sz w:val="32"/>
          <w:szCs w:val="32"/>
          <w:lang w:eastAsia="zh-CN"/>
        </w:rPr>
        <w:t>。</w:t>
      </w:r>
    </w:p>
    <w:p>
      <w:pPr>
        <w:pStyle w:val="20"/>
        <w:shd w:val="clear" w:color="auto" w:fill="FFFFFF"/>
        <w:spacing w:before="0" w:beforeAutospacing="0" w:after="0" w:afterAutospacing="0"/>
        <w:ind w:firstLine="628"/>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3.合理有序有效使用预算资金。</w:t>
      </w:r>
    </w:p>
    <w:p>
      <w:pPr>
        <w:tabs>
          <w:tab w:val="left" w:pos="725"/>
        </w:tabs>
        <w:rPr>
          <w:rFonts w:hint="eastAsia" w:ascii="仿宋_GB2312" w:hAnsi="仿宋_GB2312" w:eastAsia="仿宋_GB2312" w:cs="仿宋_GB2312"/>
          <w:sz w:val="32"/>
          <w:szCs w:val="32"/>
        </w:rPr>
      </w:pPr>
    </w:p>
    <w:p>
      <w:pPr>
        <w:pStyle w:val="2"/>
        <w:rPr>
          <w:rFonts w:hint="eastAsia" w:eastAsia="仿宋_GB2312"/>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 </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117" w:name="_Toc15396618"/>
      <w:bookmarkStart w:id="118" w:name="_Toc79163635"/>
      <w:bookmarkStart w:id="119" w:name="_Toc79163885"/>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2"/>
      <w:bookmarkEnd w:id="117"/>
      <w:bookmarkEnd w:id="118"/>
      <w:bookmarkEnd w:id="119"/>
    </w:p>
    <w:p>
      <w:pPr>
        <w:pStyle w:val="5"/>
        <w:rPr>
          <w:rFonts w:ascii="仿宋" w:hAnsi="仿宋" w:eastAsia="仿宋"/>
          <w:color w:val="000000"/>
        </w:rPr>
      </w:pPr>
      <w:bookmarkStart w:id="120" w:name="_Toc79163886"/>
      <w:bookmarkStart w:id="121" w:name="_Toc79163636"/>
      <w:bookmarkStart w:id="122"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120"/>
      <w:bookmarkEnd w:id="121"/>
      <w:bookmarkEnd w:id="122"/>
    </w:p>
    <w:p>
      <w:pPr>
        <w:pStyle w:val="5"/>
        <w:rPr>
          <w:rFonts w:ascii="仿宋" w:hAnsi="仿宋" w:eastAsia="仿宋"/>
          <w:color w:val="000000"/>
        </w:rPr>
      </w:pPr>
      <w:bookmarkStart w:id="123" w:name="_Toc15396620"/>
      <w:bookmarkStart w:id="124" w:name="_Toc79163887"/>
      <w:bookmarkStart w:id="125" w:name="_Toc79163637"/>
      <w:r>
        <w:rPr>
          <w:rFonts w:hint="eastAsia" w:ascii="仿宋" w:hAnsi="仿宋" w:eastAsia="仿宋"/>
          <w:b w:val="0"/>
          <w:color w:val="000000"/>
        </w:rPr>
        <w:t>二、收</w:t>
      </w:r>
      <w:r>
        <w:rPr>
          <w:rStyle w:val="26"/>
          <w:rFonts w:hint="eastAsia" w:ascii="仿宋" w:hAnsi="仿宋" w:eastAsia="仿宋"/>
          <w:b w:val="0"/>
          <w:bCs w:val="0"/>
        </w:rPr>
        <w:t>入决算表</w:t>
      </w:r>
      <w:bookmarkEnd w:id="123"/>
      <w:bookmarkEnd w:id="124"/>
      <w:bookmarkEnd w:id="125"/>
    </w:p>
    <w:p>
      <w:pPr>
        <w:pStyle w:val="5"/>
        <w:rPr>
          <w:rFonts w:ascii="仿宋" w:hAnsi="仿宋" w:eastAsia="仿宋"/>
          <w:color w:val="000000"/>
        </w:rPr>
      </w:pPr>
      <w:bookmarkStart w:id="126" w:name="_Toc15396621"/>
      <w:bookmarkStart w:id="127" w:name="_Toc79163638"/>
      <w:bookmarkStart w:id="128" w:name="_Toc7916388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26"/>
      <w:bookmarkEnd w:id="127"/>
      <w:bookmarkEnd w:id="128"/>
    </w:p>
    <w:p>
      <w:pPr>
        <w:pStyle w:val="5"/>
        <w:rPr>
          <w:rFonts w:ascii="仿宋" w:hAnsi="仿宋" w:eastAsia="仿宋"/>
          <w:b w:val="0"/>
          <w:color w:val="000000"/>
        </w:rPr>
      </w:pPr>
      <w:bookmarkStart w:id="129" w:name="_Toc79163889"/>
      <w:bookmarkStart w:id="130" w:name="_Toc79163639"/>
      <w:bookmarkStart w:id="131"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29"/>
      <w:bookmarkEnd w:id="130"/>
      <w:bookmarkEnd w:id="131"/>
    </w:p>
    <w:p>
      <w:pPr>
        <w:pStyle w:val="5"/>
        <w:rPr>
          <w:rStyle w:val="26"/>
          <w:rFonts w:ascii="仿宋" w:hAnsi="仿宋" w:eastAsia="仿宋"/>
          <w:b w:val="0"/>
          <w:bCs w:val="0"/>
        </w:rPr>
      </w:pPr>
      <w:bookmarkStart w:id="132" w:name="_Toc79163640"/>
      <w:bookmarkStart w:id="133" w:name="_Toc79163890"/>
      <w:bookmarkStart w:id="13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2"/>
      <w:bookmarkEnd w:id="133"/>
      <w:bookmarkEnd w:id="134"/>
      <w:bookmarkStart w:id="135" w:name="_Toc15396624"/>
    </w:p>
    <w:p>
      <w:pPr>
        <w:pStyle w:val="5"/>
        <w:rPr>
          <w:rFonts w:ascii="仿宋" w:hAnsi="仿宋" w:eastAsia="仿宋"/>
          <w:color w:val="000000"/>
        </w:rPr>
      </w:pPr>
      <w:bookmarkStart w:id="136" w:name="_Toc79163891"/>
      <w:bookmarkStart w:id="137"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35"/>
      <w:bookmarkEnd w:id="136"/>
      <w:bookmarkEnd w:id="137"/>
    </w:p>
    <w:p>
      <w:pPr>
        <w:pStyle w:val="5"/>
        <w:rPr>
          <w:rFonts w:ascii="仿宋" w:hAnsi="仿宋" w:eastAsia="仿宋"/>
          <w:color w:val="000000"/>
        </w:rPr>
      </w:pPr>
      <w:bookmarkStart w:id="138" w:name="_Toc79163642"/>
      <w:bookmarkStart w:id="139" w:name="_Toc15396625"/>
      <w:bookmarkStart w:id="140" w:name="_Toc79163892"/>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38"/>
      <w:bookmarkEnd w:id="139"/>
      <w:bookmarkEnd w:id="140"/>
    </w:p>
    <w:p>
      <w:pPr>
        <w:pStyle w:val="5"/>
        <w:rPr>
          <w:rFonts w:ascii="仿宋" w:hAnsi="仿宋" w:eastAsia="仿宋"/>
          <w:color w:val="000000"/>
        </w:rPr>
      </w:pPr>
      <w:bookmarkStart w:id="141" w:name="_Toc15396626"/>
      <w:bookmarkStart w:id="142" w:name="_Toc79163643"/>
      <w:bookmarkStart w:id="143" w:name="_Toc79163893"/>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1"/>
      <w:bookmarkEnd w:id="142"/>
      <w:bookmarkEnd w:id="143"/>
    </w:p>
    <w:p>
      <w:pPr>
        <w:pStyle w:val="5"/>
        <w:rPr>
          <w:rFonts w:ascii="仿宋" w:hAnsi="仿宋" w:eastAsia="仿宋"/>
          <w:color w:val="000000"/>
        </w:rPr>
      </w:pPr>
      <w:bookmarkStart w:id="144" w:name="_Toc79163894"/>
      <w:bookmarkStart w:id="145" w:name="_Toc79163644"/>
      <w:bookmarkStart w:id="146"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4"/>
      <w:bookmarkEnd w:id="145"/>
      <w:bookmarkEnd w:id="146"/>
    </w:p>
    <w:p>
      <w:pPr>
        <w:pStyle w:val="5"/>
        <w:rPr>
          <w:rFonts w:ascii="仿宋" w:hAnsi="仿宋" w:eastAsia="仿宋"/>
          <w:color w:val="000000"/>
        </w:rPr>
      </w:pPr>
      <w:bookmarkStart w:id="147" w:name="_Toc79163895"/>
      <w:bookmarkStart w:id="148" w:name="_Toc79163645"/>
      <w:bookmarkStart w:id="14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7"/>
      <w:bookmarkEnd w:id="148"/>
      <w:bookmarkEnd w:id="149"/>
    </w:p>
    <w:p>
      <w:pPr>
        <w:pStyle w:val="5"/>
        <w:rPr>
          <w:rFonts w:ascii="仿宋" w:hAnsi="仿宋" w:eastAsia="仿宋"/>
          <w:color w:val="000000"/>
        </w:rPr>
      </w:pPr>
      <w:bookmarkStart w:id="150" w:name="_Toc15396629"/>
      <w:bookmarkStart w:id="151" w:name="_Toc79163896"/>
      <w:bookmarkStart w:id="152" w:name="_Toc79163646"/>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0"/>
      <w:bookmarkEnd w:id="151"/>
      <w:bookmarkEnd w:id="152"/>
    </w:p>
    <w:p>
      <w:pPr>
        <w:pStyle w:val="5"/>
        <w:rPr>
          <w:rFonts w:ascii="仿宋" w:hAnsi="仿宋" w:eastAsia="仿宋"/>
          <w:color w:val="000000"/>
        </w:rPr>
      </w:pPr>
      <w:bookmarkStart w:id="153" w:name="_Toc15396630"/>
      <w:bookmarkStart w:id="154" w:name="_Toc79163647"/>
      <w:bookmarkStart w:id="155" w:name="_Toc7916389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3"/>
      <w:bookmarkEnd w:id="154"/>
      <w:bookmarkEnd w:id="155"/>
    </w:p>
    <w:p>
      <w:pPr>
        <w:pStyle w:val="5"/>
        <w:rPr>
          <w:rStyle w:val="26"/>
          <w:rFonts w:ascii="仿宋" w:hAnsi="仿宋" w:eastAsia="仿宋"/>
          <w:b w:val="0"/>
          <w:bCs w:val="0"/>
        </w:rPr>
      </w:pPr>
      <w:bookmarkStart w:id="156" w:name="_Toc15396631"/>
      <w:bookmarkStart w:id="157" w:name="_Toc79163648"/>
      <w:bookmarkStart w:id="158" w:name="_Toc79163898"/>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56"/>
      <w:bookmarkEnd w:id="157"/>
      <w:bookmarkEnd w:id="158"/>
    </w:p>
    <w:p>
      <w:pPr>
        <w:pStyle w:val="5"/>
        <w:rPr>
          <w:rStyle w:val="26"/>
          <w:rFonts w:ascii="仿宋" w:hAnsi="仿宋" w:eastAsia="仿宋"/>
          <w:b w:val="0"/>
          <w:bCs w:val="0"/>
        </w:rPr>
      </w:pPr>
      <w:bookmarkStart w:id="159" w:name="_Toc79163899"/>
      <w:bookmarkStart w:id="160" w:name="_Toc79163649"/>
      <w:r>
        <w:rPr>
          <w:rStyle w:val="26"/>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F61830A"/>
    <w:multiLevelType w:val="singleLevel"/>
    <w:tmpl w:val="5F61830A"/>
    <w:lvl w:ilvl="0" w:tentative="0">
      <w:start w:val="1"/>
      <w:numFmt w:val="decimal"/>
      <w:suff w:val="nothing"/>
      <w:lvlText w:val="%1."/>
      <w:lvlJc w:val="left"/>
    </w:lvl>
  </w:abstractNum>
  <w:abstractNum w:abstractNumId="3">
    <w:nsid w:val="613962AE"/>
    <w:multiLevelType w:val="singleLevel"/>
    <w:tmpl w:val="613962AE"/>
    <w:lvl w:ilvl="0" w:tentative="0">
      <w:start w:val="1"/>
      <w:numFmt w:val="decimal"/>
      <w:suff w:val="nothing"/>
      <w:lvlText w:val="%1."/>
      <w:lvlJc w:val="left"/>
    </w:lvl>
  </w:abstractNum>
  <w:abstractNum w:abstractNumId="4">
    <w:nsid w:val="6139C329"/>
    <w:multiLevelType w:val="singleLevel"/>
    <w:tmpl w:val="6139C329"/>
    <w:lvl w:ilvl="0" w:tentative="0">
      <w:start w:val="1"/>
      <w:numFmt w:val="chineseCounting"/>
      <w:suff w:val="nothing"/>
      <w:lvlText w:val="（%1）"/>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2636"/>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7EB0786"/>
    <w:rsid w:val="080561B3"/>
    <w:rsid w:val="0A2032A3"/>
    <w:rsid w:val="0E71000D"/>
    <w:rsid w:val="0FA8052E"/>
    <w:rsid w:val="103F7612"/>
    <w:rsid w:val="10C055FF"/>
    <w:rsid w:val="118107EC"/>
    <w:rsid w:val="12F63161"/>
    <w:rsid w:val="16BB723D"/>
    <w:rsid w:val="1D155CEE"/>
    <w:rsid w:val="240371BF"/>
    <w:rsid w:val="26CE4FA8"/>
    <w:rsid w:val="29FD04D3"/>
    <w:rsid w:val="2CBD1DDC"/>
    <w:rsid w:val="2D897781"/>
    <w:rsid w:val="2D9410EF"/>
    <w:rsid w:val="3063411F"/>
    <w:rsid w:val="316906A9"/>
    <w:rsid w:val="31993EB4"/>
    <w:rsid w:val="319F7F4E"/>
    <w:rsid w:val="35506FFA"/>
    <w:rsid w:val="38D51B79"/>
    <w:rsid w:val="3B0C3AF6"/>
    <w:rsid w:val="3B677DDF"/>
    <w:rsid w:val="3FB02F0D"/>
    <w:rsid w:val="444A1787"/>
    <w:rsid w:val="478A0200"/>
    <w:rsid w:val="4C78470C"/>
    <w:rsid w:val="4ECE2238"/>
    <w:rsid w:val="4FC81F3A"/>
    <w:rsid w:val="50393227"/>
    <w:rsid w:val="50AD4E9D"/>
    <w:rsid w:val="5554257F"/>
    <w:rsid w:val="564A4EB1"/>
    <w:rsid w:val="573A731A"/>
    <w:rsid w:val="5A053044"/>
    <w:rsid w:val="5CC0751B"/>
    <w:rsid w:val="5D884207"/>
    <w:rsid w:val="5E102032"/>
    <w:rsid w:val="5EB377BC"/>
    <w:rsid w:val="61F02122"/>
    <w:rsid w:val="66A5689E"/>
    <w:rsid w:val="67F903E2"/>
    <w:rsid w:val="6C2B16F3"/>
    <w:rsid w:val="6C4A05C8"/>
    <w:rsid w:val="72734D90"/>
    <w:rsid w:val="74C62833"/>
    <w:rsid w:val="75F118D4"/>
    <w:rsid w:val="7AF54F53"/>
    <w:rsid w:val="7B2B42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qFormat="1"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uiPriority w:val="99"/>
    <w:pPr>
      <w:ind w:firstLine="420" w:firstLineChars="200"/>
      <w:jc w:val="both"/>
    </w:pPr>
    <w:rPr>
      <w:rFonts w:ascii="Calibri" w:hAnsi="Calibri" w:eastAsia="宋体" w:cs="Times New Roman"/>
      <w:sz w:val="21"/>
      <w:szCs w:val="22"/>
      <w:lang w:val="en-US" w:eastAsia="zh-CN" w:bidi="ar-SA"/>
    </w:rPr>
  </w:style>
  <w:style w:type="paragraph" w:styleId="3">
    <w:name w:val="Body Text Indent"/>
    <w:basedOn w:val="1"/>
    <w:next w:val="2"/>
    <w:unhideWhenUsed/>
    <w:uiPriority w:val="99"/>
    <w:pPr>
      <w:ind w:firstLine="560" w:firstLineChars="200"/>
    </w:pPr>
    <w:rPr>
      <w:rFonts w:ascii="宋体" w:hAnsi="宋体"/>
      <w:color w:val="000000"/>
      <w:sz w:val="28"/>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uiPriority w:val="39"/>
    <w:pPr>
      <w:ind w:left="1470"/>
      <w:jc w:val="left"/>
    </w:pPr>
    <w:rPr>
      <w:rFonts w:asciiTheme="minorHAnsi" w:eastAsiaTheme="minorHAnsi"/>
      <w:sz w:val="18"/>
      <w:szCs w:val="18"/>
    </w:rPr>
  </w:style>
  <w:style w:type="paragraph" w:styleId="12">
    <w:name w:val="Balloon Text"/>
    <w:basedOn w:val="1"/>
    <w:link w:val="29"/>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uiPriority w:val="39"/>
    <w:pPr>
      <w:ind w:left="630"/>
      <w:jc w:val="left"/>
    </w:pPr>
    <w:rPr>
      <w:rFonts w:asciiTheme="minorHAnsi" w:eastAsiaTheme="minorHAnsi"/>
      <w:sz w:val="18"/>
      <w:szCs w:val="18"/>
    </w:rPr>
  </w:style>
  <w:style w:type="paragraph" w:styleId="17">
    <w:name w:val="toc 6"/>
    <w:basedOn w:val="1"/>
    <w:next w:val="1"/>
    <w:unhideWhenUsed/>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uiPriority w:val="39"/>
    <w:pPr>
      <w:ind w:left="1680"/>
      <w:jc w:val="left"/>
    </w:pPr>
    <w:rPr>
      <w:rFonts w:asciiTheme="minorHAnsi" w:eastAsiaTheme="minorHAnsi"/>
      <w:sz w:val="18"/>
      <w:szCs w:val="18"/>
    </w:rPr>
  </w:style>
  <w:style w:type="paragraph" w:styleId="20">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4"/>
    <w:qFormat/>
    <w:locked/>
    <w:uiPriority w:val="9"/>
    <w:rPr>
      <w:rFonts w:ascii="Times New Roman" w:hAnsi="Times New Roman" w:cs="Times New Roman"/>
      <w:b/>
      <w:bCs/>
      <w:kern w:val="44"/>
      <w:sz w:val="44"/>
      <w:szCs w:val="44"/>
    </w:rPr>
  </w:style>
  <w:style w:type="character" w:customStyle="1" w:styleId="26">
    <w:name w:val="标题 2 字符"/>
    <w:basedOn w:val="22"/>
    <w:link w:val="5"/>
    <w:qFormat/>
    <w:locked/>
    <w:uiPriority w:val="9"/>
    <w:rPr>
      <w:rFonts w:ascii="Cambria" w:hAnsi="Cambria" w:eastAsia="宋体" w:cs="Times New Roman"/>
      <w:b/>
      <w:bCs/>
      <w:kern w:val="2"/>
      <w:sz w:val="32"/>
      <w:szCs w:val="32"/>
    </w:rPr>
  </w:style>
  <w:style w:type="character" w:customStyle="1" w:styleId="27">
    <w:name w:val="标题 3 字符"/>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4"/>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3</TotalTime>
  <ScaleCrop>false</ScaleCrop>
  <LinksUpToDate>false</LinksUpToDate>
  <CharactersWithSpaces>10536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lwmhpy</cp:lastModifiedBy>
  <cp:lastPrinted>2021-07-29T03:56:00Z</cp:lastPrinted>
  <dcterms:modified xsi:type="dcterms:W3CDTF">2021-09-13T02:25:41Z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0874B063A5FB47EC9BA303FE51F9567B</vt:lpwstr>
  </property>
</Properties>
</file>