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193"/>
      <w:bookmarkStart w:id="3" w:name="_Toc15378441"/>
      <w:bookmarkStart w:id="4" w:name="_Toc15396475"/>
      <w:bookmarkStart w:id="5" w:name="_Toc15377425"/>
      <w:r>
        <w:rPr>
          <w:rFonts w:ascii="黑体" w:hAnsi="黑体" w:eastAsia="黑体"/>
          <w:sz w:val="72"/>
          <w:szCs w:val="72"/>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96476"/>
      <w:bookmarkStart w:id="8" w:name="_Toc15378442"/>
      <w:bookmarkStart w:id="9" w:name="_Toc15377194"/>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中共九寨沟县委党校</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eastAsia="宋体" w:hAnsiTheme="minorHAnsi"/>
          <w:b w:val="0"/>
          <w:bCs w:val="0"/>
          <w:sz w:val="24"/>
          <w:szCs w:val="24"/>
          <w:lang w:val="en-US" w:eastAsia="zh-CN"/>
        </w:rPr>
        <w:t>2</w:t>
      </w:r>
      <w:r>
        <w:rPr>
          <w:rFonts w:hint="eastAsia" w:hAnsiTheme="minorHAnsi"/>
          <w:b w:val="0"/>
          <w:bCs w:val="0"/>
          <w:sz w:val="24"/>
          <w:szCs w:val="24"/>
        </w:rPr>
        <w:t xml:space="preserve">年 </w:t>
      </w:r>
      <w:r>
        <w:rPr>
          <w:rFonts w:hint="eastAsia" w:eastAsia="宋体" w:hAnsiTheme="minorHAnsi"/>
          <w:b w:val="0"/>
          <w:bCs w:val="0"/>
          <w:sz w:val="24"/>
          <w:szCs w:val="24"/>
          <w:lang w:val="en-US" w:eastAsia="zh-CN"/>
        </w:rPr>
        <w:t>9</w:t>
      </w:r>
      <w:r>
        <w:rPr>
          <w:rFonts w:hint="eastAsia" w:hAnsiTheme="minorHAnsi"/>
          <w:b w:val="0"/>
          <w:bCs w:val="0"/>
          <w:sz w:val="24"/>
          <w:szCs w:val="24"/>
        </w:rPr>
        <w:t>月</w:t>
      </w:r>
      <w:r>
        <w:rPr>
          <w:rFonts w:hint="eastAsia" w:eastAsia="宋体" w:hAnsiTheme="minorHAnsi"/>
          <w:b w:val="0"/>
          <w:bCs w:val="0"/>
          <w:sz w:val="24"/>
          <w:szCs w:val="24"/>
          <w:lang w:val="en-US" w:eastAsia="zh-CN"/>
        </w:rPr>
        <w:t>22</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eastAsia="宋体"/>
          <w:lang w:val="en-US" w:eastAsia="zh-CN"/>
        </w:rPr>
        <w:t>5</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eastAsia="宋体"/>
          <w:lang w:val="en-US" w:eastAsia="zh-CN"/>
        </w:rPr>
        <w:t>5</w:t>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rPr>
          <w:rFonts w:hint="eastAsia" w:eastAsia="宋体"/>
          <w:lang w:val="en-US" w:eastAsia="zh-CN"/>
        </w:rPr>
        <w:t>5</w:t>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w:t>
      </w:r>
      <w:r>
        <w:rPr>
          <w:rFonts w:hint="eastAsia" w:ascii="仿宋" w:hAnsi="仿宋" w:eastAsia="仿宋"/>
          <w:bCs/>
          <w:color w:val="000000"/>
          <w:lang w:val="en-US" w:eastAsia="zh-CN"/>
        </w:rPr>
        <w:t>1</w:t>
      </w:r>
      <w:r>
        <w:rPr>
          <w:rFonts w:ascii="仿宋" w:hAnsi="仿宋" w:eastAsia="仿宋"/>
          <w:bCs/>
          <w:color w:val="000000"/>
        </w:rPr>
        <w:t>年重点工作完成情况。</w:t>
      </w:r>
      <w:r>
        <w:tab/>
      </w:r>
      <w:r>
        <w:rPr>
          <w:rFonts w:hint="eastAsia" w:eastAsia="宋体"/>
          <w:lang w:val="en-US" w:eastAsia="zh-CN"/>
        </w:rPr>
        <w:t>5-6</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eastAsia="宋体"/>
          <w:lang w:val="en-US" w:eastAsia="zh-CN"/>
        </w:rPr>
        <w:t>6</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1</w:t>
      </w:r>
      <w:r>
        <w:rPr>
          <w:rFonts w:ascii="黑体" w:hAnsi="黑体" w:eastAsia="黑体"/>
          <w:b w:val="0"/>
          <w:bCs w:val="0"/>
        </w:rPr>
        <w:t>年度部门决算情况说明</w:t>
      </w:r>
      <w:r>
        <w:tab/>
      </w:r>
      <w:r>
        <w:rPr>
          <w:rFonts w:hint="eastAsia" w:eastAsia="宋体"/>
          <w:lang w:val="en-US" w:eastAsia="zh-CN"/>
        </w:rPr>
        <w:t>7</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eastAsia="宋体"/>
          <w:lang w:val="en-US" w:eastAsia="zh-CN"/>
        </w:rPr>
        <w:t>7</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eastAsia="宋体"/>
          <w:lang w:val="en-US" w:eastAsia="zh-CN"/>
        </w:rPr>
        <w:t>7</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eastAsia="宋体"/>
          <w:lang w:val="en-US" w:eastAsia="zh-CN"/>
        </w:rPr>
        <w:t>7</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rPr>
          <w:rFonts w:hint="eastAsia" w:eastAsia="宋体"/>
          <w:lang w:val="en-US" w:eastAsia="zh-CN"/>
        </w:rPr>
        <w:t>7</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eastAsia="宋体"/>
          <w:lang w:val="en-US" w:eastAsia="zh-CN"/>
        </w:rPr>
        <w:t>8</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rPr>
          <w:rFonts w:hint="eastAsia" w:eastAsia="宋体"/>
          <w:lang w:val="en-US" w:eastAsia="zh-CN"/>
        </w:rPr>
        <w:t>8</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rPr>
          <w:rFonts w:hint="eastAsia" w:eastAsia="宋体"/>
          <w:lang w:val="en-US" w:eastAsia="zh-CN"/>
        </w:rPr>
        <w:t>8</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rPr>
          <w:rFonts w:hint="eastAsia" w:eastAsia="宋体"/>
          <w:lang w:val="en-US" w:eastAsia="zh-CN"/>
        </w:rPr>
        <w:t>8-9</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eastAsia="宋体"/>
          <w:lang w:val="en-US" w:eastAsia="zh-CN"/>
        </w:rPr>
        <w:t>9</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9</w:t>
      </w:r>
      <w:r>
        <w:fldChar w:fldCharType="end"/>
      </w:r>
      <w:r>
        <w:rPr>
          <w:rFonts w:hint="eastAsia" w:eastAsia="宋体"/>
          <w:lang w:val="en-US" w:eastAsia="zh-CN"/>
        </w:rPr>
        <w:t>-10</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rPr>
          <w:rFonts w:hint="eastAsia" w:eastAsia="宋体"/>
          <w:lang w:val="en-US" w:eastAsia="zh-CN"/>
        </w:rPr>
        <w:t>10-11</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11</w:t>
      </w:r>
      <w:r>
        <w:fldChar w:fldCharType="end"/>
      </w:r>
      <w:r>
        <w:rPr>
          <w:rFonts w:hint="eastAsia" w:eastAsia="宋体"/>
          <w:lang w:val="en-US" w:eastAsia="zh-CN"/>
        </w:rPr>
        <w:t>-12</w:t>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12</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eastAsia="宋体"/>
          <w:lang w:val="en-US" w:eastAsia="zh-CN"/>
        </w:rPr>
        <w:t>13-15</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rPr>
          <w:rFonts w:hint="eastAsia" w:eastAsia="宋体"/>
          <w:lang w:val="en-US" w:eastAsia="zh-CN"/>
        </w:rPr>
        <w:t>16</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rPr>
          <w:rFonts w:hint="eastAsia" w:eastAsia="宋体"/>
          <w:lang w:val="en-US" w:eastAsia="zh-CN"/>
        </w:rPr>
        <w:t>16</w:t>
      </w:r>
    </w:p>
    <w:p>
      <w:pPr>
        <w:pStyle w:val="15"/>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eastAsia="zh-CN"/>
        </w:rPr>
        <w:t>中共九寨沟县委党校</w:t>
      </w:r>
      <w:r>
        <w:rPr>
          <w:rFonts w:ascii="方正小标宋简体" w:hAnsi="黑体" w:eastAsia="方正小标宋简体" w:cs="黑体"/>
        </w:rPr>
        <w:t>202</w:t>
      </w:r>
      <w:r>
        <w:rPr>
          <w:rFonts w:hint="eastAsia" w:ascii="方正小标宋简体" w:hAnsi="黑体" w:eastAsia="方正小标宋简体" w:cs="黑体"/>
          <w:lang w:val="en-US" w:eastAsia="zh-CN"/>
        </w:rPr>
        <w:t>1</w:t>
      </w:r>
      <w:r>
        <w:rPr>
          <w:rFonts w:ascii="方正小标宋简体" w:hAnsi="黑体" w:eastAsia="方正小标宋简体" w:cs="黑体"/>
        </w:rPr>
        <w:t>年部门整体支出绩效评价报告</w:t>
      </w:r>
      <w:r>
        <w:tab/>
      </w:r>
      <w:r>
        <w:rPr>
          <w:rFonts w:hint="eastAsia" w:eastAsia="宋体"/>
          <w:lang w:val="en-US" w:eastAsia="zh-CN"/>
        </w:rPr>
        <w:t>16-</w:t>
      </w:r>
      <w:r>
        <w:fldChar w:fldCharType="begin"/>
      </w:r>
      <w:r>
        <w:instrText xml:space="preserve"> PAGEREF _Toc79163882 \h </w:instrText>
      </w:r>
      <w:r>
        <w:fldChar w:fldCharType="separate"/>
      </w:r>
      <w:r>
        <w:t>16</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bookmarkStart w:id="161" w:name="_GoBack"/>
      <w:bookmarkEnd w:id="161"/>
      <w:r>
        <w:tab/>
      </w:r>
      <w:r>
        <w:fldChar w:fldCharType="begin"/>
      </w:r>
      <w:r>
        <w:instrText xml:space="preserve"> PAGEREF _Toc79163886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20</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20</w:t>
      </w:r>
      <w:r>
        <w:fldChar w:fldCharType="end"/>
      </w:r>
    </w:p>
    <w:p>
      <w:pPr/>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4"/>
        <w:jc w:val="center"/>
        <w:rPr>
          <w:rStyle w:val="25"/>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hAnsi="仿宋" w:eastAsia="仿宋"/>
          <w:b w:val="0"/>
          <w:bCs w:val="0"/>
        </w:rPr>
      </w:pPr>
      <w:bookmarkStart w:id="16" w:name="_Toc15396600"/>
      <w:bookmarkStart w:id="17" w:name="_Toc15377197"/>
      <w:bookmarkStart w:id="18" w:name="_Toc79163602"/>
      <w:bookmarkStart w:id="19" w:name="_Toc79163852"/>
      <w:r>
        <w:rPr>
          <w:rFonts w:hint="eastAsia" w:ascii="黑体" w:hAnsi="黑体" w:eastAsia="黑体"/>
          <w:b w:val="0"/>
          <w:color w:val="000000"/>
          <w:lang w:val="en-US" w:eastAsia="zh-CN"/>
        </w:rPr>
        <w:t xml:space="preserve">     </w:t>
      </w:r>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p>
      <w:pPr>
        <w:tabs>
          <w:tab w:val="left" w:pos="720"/>
        </w:tabs>
        <w:ind w:firstLine="627" w:firstLineChars="196"/>
        <w:rPr>
          <w:rFonts w:ascii="仿宋_GB2312" w:hAnsi="Calibri" w:eastAsia="仿宋_GB2312"/>
          <w:bCs/>
          <w:sz w:val="32"/>
          <w:szCs w:val="32"/>
        </w:rPr>
      </w:pPr>
      <w:r>
        <w:rPr>
          <w:rFonts w:hint="eastAsia" w:ascii="仿宋_GB2312" w:hAnsi="Calibri" w:eastAsia="仿宋_GB2312"/>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bookmarkEnd w:id="22"/>
    <w:bookmarkEnd w:id="23"/>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8446"/>
      <w:bookmarkStart w:id="25" w:name="_Toc15377199"/>
      <w:bookmarkStart w:id="26" w:name="_Toc79163604"/>
      <w:bookmarkStart w:id="27" w:name="_Toc7916385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bookmarkEnd w:id="24"/>
      <w:bookmarkEnd w:id="25"/>
      <w:bookmarkEnd w:id="26"/>
      <w:bookmarkEnd w:id="27"/>
    </w:p>
    <w:p>
      <w:pPr>
        <w:pStyle w:val="8"/>
        <w:adjustRightInd w:val="0"/>
        <w:snapToGrid w:val="0"/>
        <w:spacing w:before="93" w:line="600" w:lineRule="exact"/>
        <w:ind w:firstLine="672" w:firstLineChars="210"/>
        <w:outlineLvl w:val="2"/>
        <w:rPr>
          <w:rFonts w:hint="eastAsia" w:ascii="仿宋_GB2312" w:hAnsi="仿宋_GB2312" w:eastAsia="仿宋_GB2312" w:cs="仿宋_GB2312"/>
          <w:sz w:val="32"/>
          <w:szCs w:val="32"/>
          <w:lang w:eastAsia="zh-CN"/>
        </w:rPr>
      </w:pPr>
      <w:r>
        <w:rPr>
          <w:rFonts w:hint="eastAsia" w:ascii="仿宋" w:hAnsi="仿宋" w:eastAsia="仿宋"/>
          <w:b/>
          <w:bCs w:val="0"/>
          <w:color w:val="000000"/>
          <w:sz w:val="32"/>
          <w:szCs w:val="32"/>
          <w:lang w:val="en-US" w:eastAsia="zh-CN"/>
        </w:rPr>
        <w:t xml:space="preserve"> </w:t>
      </w:r>
      <w:r>
        <w:rPr>
          <w:rFonts w:hint="eastAsia" w:ascii="仿宋_GB2312" w:eastAsia="仿宋_GB2312"/>
          <w:color w:val="333333"/>
          <w:sz w:val="32"/>
          <w:szCs w:val="32"/>
        </w:rPr>
        <w:t>根据县委、县政府关于20</w:t>
      </w:r>
      <w:r>
        <w:rPr>
          <w:rFonts w:hint="eastAsia"/>
          <w:color w:val="333333"/>
          <w:sz w:val="32"/>
          <w:szCs w:val="32"/>
          <w:lang w:val="en-US" w:eastAsia="zh-CN"/>
        </w:rPr>
        <w:t>21</w:t>
      </w:r>
      <w:r>
        <w:rPr>
          <w:rFonts w:hint="eastAsia" w:ascii="仿宋_GB2312" w:eastAsia="仿宋_GB2312"/>
          <w:color w:val="333333"/>
          <w:sz w:val="32"/>
          <w:szCs w:val="32"/>
        </w:rPr>
        <w:t>年全县工作的总体部署，20</w:t>
      </w:r>
      <w:r>
        <w:rPr>
          <w:rFonts w:hint="eastAsia" w:ascii="仿宋_GB2312" w:eastAsia="仿宋_GB2312"/>
          <w:color w:val="333333"/>
          <w:sz w:val="32"/>
          <w:szCs w:val="32"/>
          <w:lang w:val="en-US" w:eastAsia="zh-CN"/>
        </w:rPr>
        <w:t>2</w:t>
      </w:r>
      <w:r>
        <w:rPr>
          <w:rFonts w:hint="eastAsia"/>
          <w:color w:val="333333"/>
          <w:sz w:val="32"/>
          <w:szCs w:val="32"/>
          <w:lang w:val="en-US" w:eastAsia="zh-CN"/>
        </w:rPr>
        <w:t>1</w:t>
      </w:r>
      <w:r>
        <w:rPr>
          <w:rFonts w:hint="eastAsia" w:ascii="仿宋_GB2312" w:eastAsia="仿宋_GB2312"/>
          <w:color w:val="333333"/>
          <w:sz w:val="32"/>
          <w:szCs w:val="32"/>
        </w:rPr>
        <w:t>年主要完成的重点工作是:</w:t>
      </w:r>
      <w:r>
        <w:rPr>
          <w:rFonts w:hint="eastAsia" w:ascii="仿宋_GB2312" w:hAnsi="仿宋_GB2312" w:eastAsia="仿宋_GB2312" w:cs="仿宋_GB2312"/>
          <w:sz w:val="32"/>
          <w:szCs w:val="32"/>
        </w:rPr>
        <w:t>完成</w:t>
      </w:r>
      <w:r>
        <w:rPr>
          <w:rFonts w:hint="eastAsia" w:hAnsi="仿宋_GB2312" w:cs="仿宋_GB2312"/>
          <w:sz w:val="32"/>
          <w:szCs w:val="32"/>
          <w:lang w:val="en-US" w:eastAsia="zh-CN"/>
        </w:rPr>
        <w:t>10</w:t>
      </w:r>
      <w:r>
        <w:rPr>
          <w:rFonts w:hint="eastAsia" w:ascii="仿宋_GB2312" w:hAnsi="仿宋_GB2312" w:eastAsia="仿宋_GB2312" w:cs="仿宋_GB2312"/>
          <w:sz w:val="32"/>
          <w:szCs w:val="32"/>
        </w:rPr>
        <w:t>期主体班次的培训工作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针对现实重难点问题，开展科学调研，完成</w:t>
      </w:r>
      <w:r>
        <w:rPr>
          <w:rFonts w:hint="eastAsia" w:hAnsi="仿宋_GB2312" w:cs="仿宋_GB2312"/>
          <w:sz w:val="32"/>
          <w:szCs w:val="32"/>
          <w:lang w:val="en-US" w:eastAsia="zh-CN"/>
        </w:rPr>
        <w:t>1</w:t>
      </w:r>
      <w:r>
        <w:rPr>
          <w:rFonts w:hint="eastAsia" w:ascii="仿宋_GB2312" w:hAnsi="仿宋_GB2312" w:eastAsia="仿宋_GB2312" w:cs="仿宋_GB2312"/>
          <w:sz w:val="32"/>
          <w:szCs w:val="32"/>
          <w:lang w:val="en-US" w:eastAsia="zh-CN"/>
        </w:rPr>
        <w:t>篇省委党校课题并结项，</w:t>
      </w:r>
      <w:r>
        <w:rPr>
          <w:rFonts w:hint="eastAsia" w:hAnsi="仿宋_GB2312" w:cs="仿宋_GB2312"/>
          <w:sz w:val="32"/>
          <w:szCs w:val="32"/>
          <w:lang w:val="en-US" w:eastAsia="zh-CN"/>
        </w:rPr>
        <w:t>6</w:t>
      </w:r>
      <w:r>
        <w:rPr>
          <w:rFonts w:hint="eastAsia" w:ascii="仿宋_GB2312" w:hAnsi="仿宋_GB2312" w:eastAsia="仿宋_GB2312" w:cs="仿宋_GB2312"/>
          <w:sz w:val="32"/>
          <w:szCs w:val="32"/>
        </w:rPr>
        <w:t>篇</w:t>
      </w:r>
      <w:r>
        <w:rPr>
          <w:rFonts w:hint="eastAsia" w:ascii="仿宋_GB2312" w:hAnsi="仿宋_GB2312" w:eastAsia="仿宋_GB2312" w:cs="仿宋_GB2312"/>
          <w:sz w:val="32"/>
          <w:szCs w:val="32"/>
          <w:lang w:eastAsia="zh-CN"/>
        </w:rPr>
        <w:t>州级</w:t>
      </w:r>
      <w:r>
        <w:rPr>
          <w:rFonts w:hint="eastAsia" w:ascii="仿宋_GB2312" w:hAnsi="仿宋_GB2312" w:eastAsia="仿宋_GB2312" w:cs="仿宋_GB2312"/>
          <w:sz w:val="32"/>
          <w:szCs w:val="32"/>
        </w:rPr>
        <w:t>课题</w:t>
      </w:r>
      <w:r>
        <w:rPr>
          <w:rFonts w:hint="eastAsia" w:ascii="仿宋_GB2312" w:hAnsi="仿宋_GB2312" w:eastAsia="仿宋_GB2312" w:cs="仿宋_GB2312"/>
          <w:sz w:val="32"/>
          <w:szCs w:val="32"/>
          <w:lang w:eastAsia="zh-CN"/>
        </w:rPr>
        <w:t>并结项，</w:t>
      </w:r>
      <w:r>
        <w:rPr>
          <w:rFonts w:hint="eastAsia" w:ascii="仿宋_GB2312" w:hAnsi="仿宋_GB2312" w:eastAsia="仿宋_GB2312" w:cs="仿宋_GB2312"/>
          <w:sz w:val="32"/>
          <w:szCs w:val="32"/>
          <w:lang w:val="en-US" w:eastAsia="zh-CN"/>
        </w:rPr>
        <w:t>1篇州级论文并发表；</w:t>
      </w:r>
    </w:p>
    <w:p>
      <w:pPr>
        <w:keepNext w:val="0"/>
        <w:keepLines w:val="0"/>
        <w:pageBreakBefore w:val="0"/>
        <w:widowControl w:val="0"/>
        <w:numPr>
          <w:ilvl w:val="0"/>
          <w:numId w:val="0"/>
        </w:numPr>
        <w:kinsoku/>
        <w:wordWrap/>
        <w:overflowPunct/>
        <w:topLinePunct w:val="0"/>
        <w:autoSpaceDE/>
        <w:autoSpaceDN w:val="0"/>
        <w:bidi w:val="0"/>
        <w:spacing w:line="240" w:lineRule="auto"/>
        <w:ind w:left="0" w:leftChars="0" w:right="0" w:rightChars="0"/>
        <w:jc w:val="left"/>
        <w:textAlignment w:val="center"/>
        <w:rPr>
          <w:rFonts w:hint="eastAsia" w:ascii="仿宋" w:hAnsi="仿宋" w:eastAsia="仿宋"/>
          <w:bCs/>
          <w:color w:val="000000"/>
          <w:sz w:val="32"/>
          <w:szCs w:val="32"/>
        </w:rPr>
      </w:pPr>
      <w:r>
        <w:rPr>
          <w:rFonts w:hint="eastAsia" w:ascii="仿宋_GB2312" w:hAnsi="仿宋_GB2312" w:eastAsia="仿宋_GB2312" w:cs="仿宋_GB2312"/>
          <w:sz w:val="32"/>
          <w:szCs w:val="32"/>
          <w:lang w:eastAsia="zh-CN"/>
        </w:rPr>
        <w:t>深入全县</w:t>
      </w:r>
      <w:r>
        <w:rPr>
          <w:rFonts w:hint="eastAsia" w:ascii="仿宋_GB2312" w:hAnsi="仿宋_GB2312" w:eastAsia="仿宋_GB2312" w:cs="仿宋_GB2312"/>
          <w:sz w:val="32"/>
          <w:szCs w:val="32"/>
          <w:lang w:val="en-US" w:eastAsia="zh-CN"/>
        </w:rPr>
        <w:t>12个</w:t>
      </w:r>
      <w:r>
        <w:rPr>
          <w:rFonts w:hint="eastAsia" w:ascii="仿宋_GB2312" w:hAnsi="仿宋_GB2312" w:eastAsia="仿宋_GB2312" w:cs="仿宋_GB2312"/>
          <w:sz w:val="32"/>
          <w:szCs w:val="32"/>
          <w:lang w:eastAsia="zh-CN"/>
        </w:rPr>
        <w:t>乡（镇）机关企业开展党史宣讲教育</w:t>
      </w:r>
      <w:r>
        <w:rPr>
          <w:rFonts w:hint="eastAsia" w:ascii="仿宋_GB2312" w:hAnsi="仿宋_GB2312" w:eastAsia="仿宋_GB2312" w:cs="仿宋_GB2312"/>
          <w:sz w:val="32"/>
          <w:szCs w:val="32"/>
          <w:lang w:val="en-US" w:eastAsia="zh-CN"/>
        </w:rPr>
        <w:t>23场（次），受训人员1441人次；报送1个专题“好课程”，1个专题“好案例”；</w:t>
      </w:r>
      <w:r>
        <w:rPr>
          <w:rFonts w:hint="eastAsia" w:ascii="仿宋_GB2312" w:hAnsi="仿宋_GB2312" w:eastAsia="仿宋_GB2312" w:cs="仿宋_GB2312"/>
          <w:sz w:val="32"/>
          <w:szCs w:val="32"/>
        </w:rPr>
        <w:t>完成签订的目标责任</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常</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按照要求完成巩固拓展脱贫攻坚成果、两联一进日常事务等工作；</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8名</w:t>
      </w:r>
      <w:r>
        <w:rPr>
          <w:rFonts w:hint="eastAsia" w:ascii="仿宋_GB2312" w:hAnsi="仿宋_GB2312" w:eastAsia="仿宋_GB2312" w:cs="仿宋_GB2312"/>
          <w:sz w:val="32"/>
          <w:szCs w:val="32"/>
        </w:rPr>
        <w:t>教师</w:t>
      </w:r>
      <w:r>
        <w:rPr>
          <w:rFonts w:hint="eastAsia" w:ascii="仿宋_GB2312" w:hAnsi="仿宋_GB2312" w:eastAsia="仿宋_GB2312" w:cs="仿宋_GB2312"/>
          <w:sz w:val="32"/>
          <w:szCs w:val="32"/>
          <w:lang w:eastAsia="zh-CN"/>
        </w:rPr>
        <w:t>到中央党校、省委党校、省直机关党校</w:t>
      </w:r>
      <w:r>
        <w:rPr>
          <w:rFonts w:hint="eastAsia" w:ascii="仿宋_GB2312" w:hAnsi="仿宋_GB2312" w:eastAsia="仿宋_GB2312" w:cs="仿宋_GB2312"/>
          <w:sz w:val="32"/>
          <w:szCs w:val="32"/>
        </w:rPr>
        <w:t>的送培工作</w:t>
      </w:r>
      <w:r>
        <w:rPr>
          <w:rFonts w:hint="eastAsia" w:ascii="仿宋_GB2312" w:hAnsi="仿宋_GB2312" w:eastAsia="仿宋_GB2312" w:cs="仿宋_GB2312"/>
          <w:sz w:val="32"/>
          <w:szCs w:val="32"/>
          <w:lang w:eastAsia="zh-CN"/>
        </w:rPr>
        <w:t>；持续推动</w:t>
      </w:r>
      <w:r>
        <w:rPr>
          <w:rFonts w:hint="eastAsia" w:ascii="仿宋_GB2312" w:hAnsi="仿宋_GB2312" w:eastAsia="仿宋_GB2312" w:cs="仿宋_GB2312"/>
          <w:color w:val="000000"/>
          <w:sz w:val="32"/>
          <w:szCs w:val="32"/>
          <w:lang w:val="en-US" w:eastAsia="zh-CN"/>
        </w:rPr>
        <w:t>党校分类建设工作。</w:t>
      </w:r>
    </w:p>
    <w:p>
      <w:pPr>
        <w:pStyle w:val="5"/>
        <w:rPr>
          <w:rStyle w:val="26"/>
          <w:b w:val="0"/>
          <w:bCs w:val="0"/>
        </w:rPr>
      </w:pPr>
      <w:bookmarkStart w:id="28" w:name="_Toc15396601"/>
      <w:bookmarkStart w:id="29" w:name="_Toc15377200"/>
      <w:bookmarkStart w:id="30" w:name="_Toc79163855"/>
      <w:bookmarkStart w:id="31" w:name="_Toc79163605"/>
      <w:r>
        <w:rPr>
          <w:rFonts w:hint="eastAsia" w:ascii="黑体" w:eastAsia="黑体"/>
          <w:b w:val="0"/>
          <w:color w:val="000000"/>
          <w:lang w:val="en-US" w:eastAsia="zh-CN"/>
        </w:rPr>
        <w:t xml:space="preserve">     </w:t>
      </w: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lang w:eastAsia="zh-CN"/>
        </w:rPr>
        <w:t>九寨沟县委党校</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8"/>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九寨沟县委党校</w:t>
      </w: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年度部门决算编制范围的二级预算单位</w:t>
      </w:r>
      <w:r>
        <w:rPr>
          <w:rFonts w:hint="eastAsia" w:ascii="仿宋" w:hAnsi="仿宋" w:eastAsia="仿宋"/>
          <w:color w:val="000000"/>
          <w:sz w:val="32"/>
          <w:szCs w:val="32"/>
          <w:lang w:val="en-US" w:eastAsia="zh-CN"/>
        </w:rPr>
        <w:t>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5"/>
          <w:rFonts w:ascii="黑体" w:hAnsi="黑体" w:eastAsia="黑体"/>
          <w:b w:val="0"/>
          <w:bCs w:val="0"/>
        </w:rPr>
      </w:pPr>
      <w:bookmarkStart w:id="32" w:name="_Toc15396602"/>
      <w:bookmarkStart w:id="33" w:name="_Toc79163859"/>
      <w:bookmarkStart w:id="34" w:name="_Toc15377204"/>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lang w:val="en-US" w:eastAsia="zh-CN"/>
        </w:rPr>
        <w:t>1</w:t>
      </w:r>
      <w:r>
        <w:rPr>
          <w:rStyle w:val="25"/>
          <w:rFonts w:hint="eastAsia" w:ascii="黑体" w:hAnsi="黑体" w:eastAsia="黑体"/>
          <w:b w:val="0"/>
          <w:bCs w:val="0"/>
        </w:rPr>
        <w:t>年度部门决算情况说明</w:t>
      </w:r>
      <w:bookmarkEnd w:id="32"/>
      <w:bookmarkEnd w:id="33"/>
      <w:bookmarkEnd w:id="34"/>
      <w:bookmarkEnd w:id="35"/>
    </w:p>
    <w:p>
      <w:pPr/>
    </w:p>
    <w:p>
      <w:pPr>
        <w:pStyle w:val="36"/>
        <w:numPr>
          <w:ilvl w:val="0"/>
          <w:numId w:val="1"/>
        </w:numPr>
        <w:spacing w:line="600" w:lineRule="exact"/>
        <w:ind w:firstLineChars="0"/>
        <w:outlineLvl w:val="1"/>
        <w:rPr>
          <w:rStyle w:val="26"/>
          <w:rFonts w:ascii="黑体" w:hAnsi="黑体" w:eastAsia="黑体"/>
          <w:b w:val="0"/>
        </w:rPr>
      </w:pPr>
      <w:bookmarkStart w:id="36" w:name="_Toc79163610"/>
      <w:bookmarkStart w:id="37" w:name="_Toc15377205"/>
      <w:bookmarkStart w:id="38" w:name="_Toc79163860"/>
      <w:bookmarkStart w:id="39"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298.38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48.72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19.51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人员增加，工资、社会保障缴费等人员经费增加。</w:t>
      </w:r>
    </w:p>
    <w:p>
      <w:pPr>
        <w:pStyle w:val="36"/>
        <w:numPr>
          <w:ilvl w:val="0"/>
          <w:numId w:val="1"/>
        </w:numPr>
        <w:spacing w:line="600" w:lineRule="exact"/>
        <w:ind w:firstLineChars="0"/>
        <w:outlineLvl w:val="1"/>
        <w:rPr>
          <w:rStyle w:val="26"/>
          <w:rFonts w:ascii="黑体" w:hAnsi="黑体" w:eastAsia="黑体"/>
          <w:b w:val="0"/>
        </w:rPr>
      </w:pPr>
      <w:bookmarkStart w:id="40" w:name="_Toc15396604"/>
      <w:bookmarkStart w:id="41" w:name="_Toc79163861"/>
      <w:bookmarkStart w:id="42" w:name="_Toc79163611"/>
      <w:bookmarkStart w:id="43"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298.38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298.38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6"/>
        <w:numPr>
          <w:ilvl w:val="0"/>
          <w:numId w:val="0"/>
        </w:numPr>
        <w:tabs>
          <w:tab w:val="left" w:pos="553"/>
        </w:tabs>
        <w:spacing w:line="600" w:lineRule="exact"/>
        <w:outlineLvl w:val="1"/>
        <w:rPr>
          <w:rStyle w:val="26"/>
          <w:rFonts w:ascii="黑体" w:hAnsi="黑体" w:eastAsia="黑体"/>
          <w:b w:val="0"/>
        </w:rPr>
      </w:pPr>
      <w:bookmarkStart w:id="44" w:name="_Toc79163862"/>
      <w:bookmarkStart w:id="45" w:name="_Toc15377207"/>
      <w:bookmarkStart w:id="46" w:name="_Toc15396605"/>
      <w:bookmarkStart w:id="47" w:name="_Toc79163612"/>
      <w:r>
        <w:rPr>
          <w:rFonts w:hint="eastAsia" w:ascii="黑体" w:hAnsi="黑体" w:eastAsia="黑体"/>
          <w:color w:val="000000"/>
          <w:sz w:val="32"/>
          <w:szCs w:val="32"/>
          <w:lang w:val="en-US" w:eastAsia="zh-CN"/>
        </w:rPr>
        <w:t xml:space="preserve">     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298.38</w:t>
      </w:r>
      <w:r>
        <w:rPr>
          <w:rFonts w:hint="eastAsia" w:ascii="仿宋_GB2312" w:eastAsia="仿宋_GB2312"/>
          <w:sz w:val="32"/>
          <w:szCs w:val="32"/>
        </w:rPr>
        <w:t>万元，其中：基本支出</w:t>
      </w:r>
      <w:r>
        <w:rPr>
          <w:rFonts w:hint="eastAsia" w:ascii="仿宋_GB2312" w:eastAsia="仿宋_GB2312"/>
          <w:sz w:val="32"/>
          <w:szCs w:val="32"/>
          <w:lang w:val="en-US" w:eastAsia="zh-CN"/>
        </w:rPr>
        <w:t>285.56</w:t>
      </w:r>
      <w:r>
        <w:rPr>
          <w:rFonts w:hint="eastAsia" w:ascii="仿宋_GB2312" w:eastAsia="仿宋_GB2312"/>
          <w:sz w:val="32"/>
          <w:szCs w:val="32"/>
        </w:rPr>
        <w:t>万元，占</w:t>
      </w:r>
      <w:r>
        <w:rPr>
          <w:rFonts w:hint="eastAsia" w:ascii="仿宋_GB2312" w:eastAsia="仿宋_GB2312"/>
          <w:sz w:val="32"/>
          <w:szCs w:val="32"/>
          <w:lang w:val="en-US" w:eastAsia="zh-CN"/>
        </w:rPr>
        <w:t>95.70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12.83</w:t>
      </w:r>
      <w:r>
        <w:rPr>
          <w:rFonts w:hint="eastAsia" w:ascii="仿宋_GB2312" w:eastAsia="仿宋_GB2312"/>
          <w:sz w:val="32"/>
          <w:szCs w:val="32"/>
        </w:rPr>
        <w:t>万元，占</w:t>
      </w:r>
      <w:r>
        <w:rPr>
          <w:rFonts w:hint="eastAsia" w:ascii="仿宋_GB2312" w:eastAsia="仿宋_GB2312"/>
          <w:sz w:val="32"/>
          <w:szCs w:val="32"/>
          <w:lang w:val="en-US" w:eastAsia="zh-CN"/>
        </w:rPr>
        <w:t>4.30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outlineLvl w:val="1"/>
        <w:rPr>
          <w:rStyle w:val="26"/>
          <w:rFonts w:ascii="黑体" w:hAnsi="黑体" w:eastAsia="黑体"/>
          <w:b w:val="0"/>
        </w:rPr>
      </w:pPr>
      <w:bookmarkStart w:id="48" w:name="_Toc15377208"/>
      <w:bookmarkStart w:id="49" w:name="_Toc15396606"/>
      <w:bookmarkStart w:id="50" w:name="_Toc79163613"/>
      <w:bookmarkStart w:id="51" w:name="_Toc79163863"/>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298.38</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48.72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19.51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人员增加，工资、社会保障缴费等人员经费增加。</w:t>
      </w:r>
    </w:p>
    <w:p>
      <w:pPr>
        <w:spacing w:line="600" w:lineRule="exact"/>
        <w:outlineLvl w:val="1"/>
        <w:rPr>
          <w:rStyle w:val="26"/>
          <w:rFonts w:ascii="黑体" w:hAnsi="黑体" w:eastAsia="黑体"/>
          <w:b w:val="0"/>
        </w:rPr>
      </w:pPr>
      <w:bookmarkStart w:id="52" w:name="_Toc15396607"/>
      <w:bookmarkStart w:id="53" w:name="_Toc15377209"/>
      <w:bookmarkStart w:id="54" w:name="_Toc79163614"/>
      <w:bookmarkStart w:id="55" w:name="_Toc79163864"/>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298.38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48.72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19.51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人员增加，工资、社会保障缴费等人员经费增加。</w:t>
      </w:r>
    </w:p>
    <w:p>
      <w:pPr>
        <w:spacing w:line="600" w:lineRule="exact"/>
        <w:outlineLvl w:val="2"/>
        <w:rPr>
          <w:rFonts w:ascii="仿宋" w:hAnsi="仿宋" w:eastAsia="仿宋"/>
          <w:b/>
          <w:color w:val="000000"/>
          <w:sz w:val="32"/>
          <w:szCs w:val="32"/>
        </w:rPr>
      </w:pPr>
      <w:bookmarkStart w:id="59" w:name="_Toc15377211"/>
      <w:bookmarkStart w:id="60" w:name="_Toc79163866"/>
      <w:bookmarkStart w:id="61" w:name="_Toc79163616"/>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298.38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222.36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74.52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41.86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14.03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color w:val="000000"/>
          <w:sz w:val="32"/>
          <w:szCs w:val="32"/>
          <w:lang w:val="en-US" w:eastAsia="zh-CN"/>
        </w:rPr>
        <w:t>19.17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outlineLvl w:val="2"/>
        <w:rPr>
          <w:rFonts w:ascii="仿宋" w:hAnsi="仿宋" w:eastAsia="仿宋"/>
          <w:b/>
          <w:color w:val="000000"/>
          <w:sz w:val="32"/>
          <w:szCs w:val="32"/>
        </w:rPr>
      </w:pPr>
      <w:bookmarkStart w:id="62" w:name="_Toc79163617"/>
      <w:bookmarkStart w:id="63" w:name="_Toc15377212"/>
      <w:bookmarkStart w:id="64" w:name="_Toc79163867"/>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8460"/>
      <w:bookmarkStart w:id="67" w:name="_Toc15377213"/>
      <w:r>
        <w:rPr>
          <w:rFonts w:hint="eastAsia" w:ascii="仿宋_GB2312" w:eastAsia="仿宋_GB2312"/>
          <w:b/>
          <w:bCs/>
          <w:sz w:val="32"/>
          <w:szCs w:val="32"/>
          <w:lang w:val="en-US" w:eastAsia="zh-CN"/>
        </w:rPr>
        <w:t xml:space="preserve"> </w:t>
      </w:r>
      <w:r>
        <w:rPr>
          <w:rFonts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298.38</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2"/>
        </w:numPr>
        <w:spacing w:line="600" w:lineRule="exact"/>
        <w:ind w:firstLine="643" w:firstLineChars="200"/>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rPr>
        <w:t>教育</w:t>
      </w:r>
      <w:r>
        <w:rPr>
          <w:rStyle w:val="22"/>
          <w:rFonts w:hint="eastAsia" w:ascii="仿宋_GB2312" w:hAnsi="仿宋" w:eastAsia="仿宋_GB2312"/>
          <w:bCs/>
          <w:color w:val="000000"/>
          <w:sz w:val="32"/>
          <w:szCs w:val="32"/>
        </w:rPr>
        <w:t>（205）进修及培训（08）干部教育（02）</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222.36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，决算数等于预算数。</w:t>
      </w:r>
    </w:p>
    <w:p>
      <w:pPr>
        <w:spacing w:line="600" w:lineRule="exact"/>
        <w:ind w:firstLine="643" w:firstLineChars="200"/>
        <w:rPr>
          <w:rFonts w:ascii="仿宋_GB2312" w:hAnsi="仿宋" w:eastAsia="仿宋_GB2312"/>
          <w:b/>
          <w:color w:val="000000"/>
          <w:sz w:val="32"/>
          <w:szCs w:val="32"/>
        </w:rPr>
      </w:pPr>
      <w:r>
        <w:rPr>
          <w:rFonts w:hint="eastAsia"/>
          <w:lang w:eastAsia="zh-CN"/>
        </w:rPr>
        <w:tab/>
      </w:r>
      <w:r>
        <w:rPr>
          <w:rStyle w:val="22"/>
          <w:rFonts w:hint="eastAsia" w:ascii="仿宋" w:hAnsi="仿宋" w:eastAsia="仿宋"/>
          <w:bCs/>
          <w:color w:val="000000"/>
          <w:sz w:val="32"/>
          <w:szCs w:val="32"/>
          <w:lang w:val="en-US" w:eastAsia="zh-CN"/>
        </w:rPr>
        <w:t>2</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eastAsia="zh-CN"/>
        </w:rPr>
        <w:t>（</w:t>
      </w:r>
      <w:r>
        <w:rPr>
          <w:rStyle w:val="22"/>
          <w:rFonts w:hint="eastAsia" w:ascii="仿宋_GB2312" w:hAnsi="仿宋" w:eastAsia="仿宋_GB2312"/>
          <w:bCs/>
          <w:color w:val="000000"/>
          <w:sz w:val="32"/>
          <w:szCs w:val="32"/>
        </w:rPr>
        <w:t>208</w:t>
      </w:r>
      <w:r>
        <w:rPr>
          <w:rStyle w:val="22"/>
          <w:rFonts w:hint="eastAsia" w:ascii="仿宋_GB2312" w:hAnsi="仿宋" w:eastAsia="仿宋_GB2312"/>
          <w:bCs/>
          <w:color w:val="000000"/>
          <w:sz w:val="32"/>
          <w:szCs w:val="32"/>
          <w:lang w:eastAsia="zh-CN"/>
        </w:rPr>
        <w:t>）</w:t>
      </w:r>
      <w:r>
        <w:rPr>
          <w:rStyle w:val="22"/>
          <w:rFonts w:hint="eastAsia" w:ascii="仿宋_GB2312" w:hAnsi="仿宋" w:eastAsia="仿宋_GB2312"/>
          <w:bCs/>
          <w:color w:val="000000"/>
          <w:sz w:val="32"/>
          <w:szCs w:val="32"/>
        </w:rPr>
        <w:t>行政事业单位</w:t>
      </w:r>
      <w:r>
        <w:rPr>
          <w:rStyle w:val="22"/>
          <w:rFonts w:hint="eastAsia" w:ascii="仿宋_GB2312" w:hAnsi="仿宋" w:eastAsia="仿宋_GB2312"/>
          <w:bCs/>
          <w:color w:val="000000"/>
          <w:sz w:val="32"/>
          <w:szCs w:val="32"/>
          <w:lang w:eastAsia="zh-CN"/>
        </w:rPr>
        <w:t>养老支出</w:t>
      </w:r>
      <w:r>
        <w:rPr>
          <w:rStyle w:val="22"/>
          <w:rFonts w:hint="eastAsia" w:ascii="仿宋_GB2312" w:hAnsi="仿宋" w:eastAsia="仿宋_GB2312"/>
          <w:bCs/>
          <w:color w:val="000000"/>
          <w:sz w:val="32"/>
          <w:szCs w:val="32"/>
        </w:rPr>
        <w:t>（05）</w:t>
      </w:r>
      <w:r>
        <w:rPr>
          <w:rStyle w:val="22"/>
          <w:rFonts w:hint="eastAsia" w:ascii="仿宋_GB2312" w:hAnsi="仿宋" w:eastAsia="仿宋_GB2312"/>
          <w:bCs/>
          <w:color w:val="000000"/>
          <w:sz w:val="32"/>
          <w:szCs w:val="32"/>
          <w:lang w:eastAsia="zh-CN"/>
        </w:rPr>
        <w:t>事业单位离退休（</w:t>
      </w:r>
      <w:r>
        <w:rPr>
          <w:rStyle w:val="22"/>
          <w:rFonts w:hint="eastAsia" w:ascii="仿宋_GB2312" w:hAnsi="仿宋" w:eastAsia="仿宋_GB2312"/>
          <w:bCs/>
          <w:color w:val="000000"/>
          <w:sz w:val="32"/>
          <w:szCs w:val="32"/>
          <w:lang w:val="en-US" w:eastAsia="zh-CN"/>
        </w:rPr>
        <w:t>02</w:t>
      </w:r>
      <w:r>
        <w:rPr>
          <w:rStyle w:val="22"/>
          <w:rFonts w:hint="eastAsia" w:ascii="仿宋_GB2312" w:hAnsi="仿宋" w:eastAsia="仿宋_GB2312"/>
          <w:bCs/>
          <w:color w:val="000000"/>
          <w:sz w:val="32"/>
          <w:szCs w:val="32"/>
          <w:lang w:eastAsia="zh-CN"/>
        </w:rPr>
        <w:t>）：</w:t>
      </w:r>
      <w:r>
        <w:rPr>
          <w:rStyle w:val="22"/>
          <w:rFonts w:hint="eastAsia" w:ascii="仿宋_GB2312" w:hAnsi="仿宋" w:eastAsia="仿宋_GB2312"/>
          <w:b w:val="0"/>
          <w:bCs/>
          <w:color w:val="000000"/>
          <w:sz w:val="32"/>
          <w:szCs w:val="32"/>
        </w:rPr>
        <w:t>支出决算数为</w:t>
      </w:r>
      <w:r>
        <w:rPr>
          <w:rStyle w:val="22"/>
          <w:rFonts w:hint="eastAsia" w:ascii="仿宋_GB2312" w:hAnsi="仿宋" w:eastAsia="仿宋_GB2312"/>
          <w:b w:val="0"/>
          <w:bCs/>
          <w:color w:val="000000"/>
          <w:sz w:val="32"/>
          <w:szCs w:val="32"/>
          <w:lang w:val="en-US" w:eastAsia="zh-CN"/>
        </w:rPr>
        <w:t>:12.83</w:t>
      </w:r>
      <w:r>
        <w:rPr>
          <w:rStyle w:val="22"/>
          <w:rFonts w:hint="eastAsia" w:ascii="仿宋_GB2312" w:hAnsi="仿宋" w:eastAsia="仿宋_GB2312"/>
          <w:b w:val="0"/>
          <w:bCs/>
          <w:color w:val="000000"/>
          <w:sz w:val="32"/>
          <w:szCs w:val="32"/>
        </w:rPr>
        <w:t>万元，完成预算100%</w:t>
      </w:r>
      <w:r>
        <w:rPr>
          <w:rStyle w:val="22"/>
          <w:rFonts w:hint="eastAsia" w:ascii="仿宋_GB2312" w:hAnsi="仿宋" w:eastAsia="仿宋_GB2312"/>
          <w:b w:val="0"/>
          <w:bCs/>
          <w:color w:val="000000"/>
          <w:sz w:val="32"/>
          <w:szCs w:val="32"/>
          <w:lang w:eastAsia="zh-CN"/>
        </w:rPr>
        <w:t>。</w:t>
      </w:r>
      <w:r>
        <w:rPr>
          <w:rStyle w:val="22"/>
          <w:rFonts w:hint="eastAsia" w:ascii="仿宋_GB2312" w:hAnsi="仿宋" w:eastAsia="仿宋_GB2312"/>
          <w:b w:val="0"/>
          <w:bCs/>
          <w:color w:val="000000"/>
          <w:sz w:val="32"/>
          <w:szCs w:val="32"/>
        </w:rPr>
        <w:t>决算数等于预算数；</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eastAsia="zh-CN"/>
        </w:rPr>
        <w:t>（</w:t>
      </w:r>
      <w:r>
        <w:rPr>
          <w:rStyle w:val="22"/>
          <w:rFonts w:hint="eastAsia" w:ascii="仿宋_GB2312" w:hAnsi="仿宋" w:eastAsia="仿宋_GB2312"/>
          <w:bCs/>
          <w:color w:val="000000"/>
          <w:sz w:val="32"/>
          <w:szCs w:val="32"/>
        </w:rPr>
        <w:t>208</w:t>
      </w:r>
      <w:r>
        <w:rPr>
          <w:rStyle w:val="22"/>
          <w:rFonts w:hint="eastAsia" w:ascii="仿宋_GB2312" w:hAnsi="仿宋" w:eastAsia="仿宋_GB2312"/>
          <w:bCs/>
          <w:color w:val="000000"/>
          <w:sz w:val="32"/>
          <w:szCs w:val="32"/>
          <w:lang w:eastAsia="zh-CN"/>
        </w:rPr>
        <w:t>）</w:t>
      </w:r>
      <w:r>
        <w:rPr>
          <w:rStyle w:val="22"/>
          <w:rFonts w:hint="eastAsia" w:ascii="仿宋_GB2312" w:hAnsi="仿宋" w:eastAsia="仿宋_GB2312"/>
          <w:bCs/>
          <w:color w:val="000000"/>
          <w:sz w:val="32"/>
          <w:szCs w:val="32"/>
        </w:rPr>
        <w:t>行政事业单位</w:t>
      </w:r>
      <w:r>
        <w:rPr>
          <w:rStyle w:val="22"/>
          <w:rFonts w:hint="eastAsia" w:ascii="仿宋_GB2312" w:hAnsi="仿宋" w:eastAsia="仿宋_GB2312"/>
          <w:bCs/>
          <w:color w:val="000000"/>
          <w:sz w:val="32"/>
          <w:szCs w:val="32"/>
          <w:lang w:eastAsia="zh-CN"/>
        </w:rPr>
        <w:t>养老支出</w:t>
      </w:r>
      <w:r>
        <w:rPr>
          <w:rStyle w:val="22"/>
          <w:rFonts w:hint="eastAsia" w:ascii="仿宋_GB2312" w:hAnsi="仿宋" w:eastAsia="仿宋_GB2312"/>
          <w:bCs/>
          <w:color w:val="000000"/>
          <w:sz w:val="32"/>
          <w:szCs w:val="32"/>
        </w:rPr>
        <w:t>（05）机关事业单位基本养老保险缴费支出（05）:</w:t>
      </w:r>
      <w:r>
        <w:rPr>
          <w:rStyle w:val="22"/>
          <w:rFonts w:hint="eastAsia" w:ascii="仿宋_GB2312" w:hAnsi="仿宋" w:eastAsia="仿宋_GB2312"/>
          <w:b w:val="0"/>
          <w:bCs/>
          <w:color w:val="000000"/>
          <w:sz w:val="32"/>
          <w:szCs w:val="32"/>
        </w:rPr>
        <w:t>支出决算数为</w:t>
      </w:r>
      <w:r>
        <w:rPr>
          <w:rStyle w:val="22"/>
          <w:rFonts w:hint="eastAsia" w:ascii="仿宋_GB2312" w:hAnsi="仿宋" w:eastAsia="仿宋_GB2312"/>
          <w:b w:val="0"/>
          <w:bCs/>
          <w:color w:val="000000"/>
          <w:sz w:val="32"/>
          <w:szCs w:val="32"/>
          <w:lang w:val="en-US" w:eastAsia="zh-CN"/>
        </w:rPr>
        <w:t>19.76</w:t>
      </w:r>
      <w:r>
        <w:rPr>
          <w:rStyle w:val="22"/>
          <w:rFonts w:hint="eastAsia" w:ascii="仿宋_GB2312" w:hAnsi="仿宋" w:eastAsia="仿宋_GB2312"/>
          <w:b w:val="0"/>
          <w:bCs/>
          <w:color w:val="000000"/>
          <w:sz w:val="32"/>
          <w:szCs w:val="32"/>
        </w:rPr>
        <w:t>万元，完成预算100%</w:t>
      </w:r>
      <w:r>
        <w:rPr>
          <w:rStyle w:val="22"/>
          <w:rFonts w:hint="eastAsia" w:ascii="仿宋_GB2312" w:hAnsi="仿宋" w:eastAsia="仿宋_GB2312"/>
          <w:b w:val="0"/>
          <w:bCs/>
          <w:color w:val="000000"/>
          <w:sz w:val="32"/>
          <w:szCs w:val="32"/>
          <w:lang w:eastAsia="zh-CN"/>
        </w:rPr>
        <w:t>。</w:t>
      </w:r>
      <w:r>
        <w:rPr>
          <w:rStyle w:val="22"/>
          <w:rFonts w:hint="eastAsia" w:ascii="仿宋_GB2312" w:hAnsi="仿宋" w:eastAsia="仿宋_GB2312"/>
          <w:b w:val="0"/>
          <w:bCs/>
          <w:color w:val="000000"/>
          <w:sz w:val="32"/>
          <w:szCs w:val="32"/>
        </w:rPr>
        <w:t>决算数等于预算数；</w:t>
      </w:r>
      <w:r>
        <w:rPr>
          <w:rStyle w:val="22"/>
          <w:rFonts w:hint="eastAsia" w:ascii="仿宋_GB2312" w:hAnsi="仿宋" w:eastAsia="仿宋_GB2312"/>
          <w:bCs/>
          <w:color w:val="000000"/>
          <w:sz w:val="32"/>
          <w:szCs w:val="32"/>
        </w:rPr>
        <w:t>社会保障和就业（208）</w:t>
      </w:r>
      <w:r>
        <w:rPr>
          <w:rStyle w:val="22"/>
          <w:rFonts w:hint="eastAsia" w:ascii="仿宋_GB2312" w:hAnsi="仿宋" w:eastAsia="仿宋_GB2312"/>
          <w:bCs/>
          <w:color w:val="000000"/>
          <w:sz w:val="32"/>
          <w:szCs w:val="32"/>
          <w:lang w:eastAsia="zh-CN"/>
        </w:rPr>
        <w:t>行政事业单位养老支出</w:t>
      </w:r>
      <w:r>
        <w:rPr>
          <w:rStyle w:val="22"/>
          <w:rFonts w:hint="eastAsia" w:ascii="仿宋_GB2312" w:hAnsi="仿宋" w:eastAsia="仿宋_GB2312"/>
          <w:bCs/>
          <w:color w:val="000000"/>
          <w:sz w:val="32"/>
          <w:szCs w:val="32"/>
        </w:rPr>
        <w:t>（0</w:t>
      </w:r>
      <w:r>
        <w:rPr>
          <w:rStyle w:val="22"/>
          <w:rFonts w:hint="eastAsia" w:ascii="仿宋_GB2312" w:hAnsi="仿宋" w:eastAsia="仿宋_GB2312"/>
          <w:bCs/>
          <w:color w:val="000000"/>
          <w:sz w:val="32"/>
          <w:szCs w:val="32"/>
          <w:lang w:val="en-US" w:eastAsia="zh-CN"/>
        </w:rPr>
        <w:t>5</w:t>
      </w:r>
      <w:r>
        <w:rPr>
          <w:rStyle w:val="22"/>
          <w:rFonts w:hint="eastAsia" w:ascii="仿宋_GB2312" w:hAnsi="仿宋" w:eastAsia="仿宋_GB2312"/>
          <w:bCs/>
          <w:color w:val="000000"/>
          <w:sz w:val="32"/>
          <w:szCs w:val="32"/>
        </w:rPr>
        <w:t>）</w:t>
      </w:r>
      <w:r>
        <w:rPr>
          <w:rStyle w:val="22"/>
          <w:rFonts w:hint="eastAsia" w:ascii="仿宋_GB2312" w:hAnsi="仿宋" w:eastAsia="仿宋_GB2312"/>
          <w:bCs/>
          <w:color w:val="000000"/>
          <w:sz w:val="32"/>
          <w:szCs w:val="32"/>
          <w:lang w:eastAsia="zh-CN"/>
        </w:rPr>
        <w:t>机关事业单位职业年金缴费支出</w:t>
      </w:r>
      <w:r>
        <w:rPr>
          <w:rStyle w:val="22"/>
          <w:rFonts w:hint="eastAsia" w:ascii="仿宋_GB2312" w:hAnsi="仿宋" w:eastAsia="仿宋_GB2312"/>
          <w:bCs/>
          <w:color w:val="000000"/>
          <w:sz w:val="32"/>
          <w:szCs w:val="32"/>
        </w:rPr>
        <w:t>（</w:t>
      </w:r>
      <w:r>
        <w:rPr>
          <w:rStyle w:val="22"/>
          <w:rFonts w:hint="eastAsia" w:ascii="仿宋_GB2312" w:hAnsi="仿宋" w:eastAsia="仿宋_GB2312"/>
          <w:bCs/>
          <w:color w:val="000000"/>
          <w:sz w:val="32"/>
          <w:szCs w:val="32"/>
          <w:lang w:val="en-US" w:eastAsia="zh-CN"/>
        </w:rPr>
        <w:t>06</w:t>
      </w:r>
      <w:r>
        <w:rPr>
          <w:rStyle w:val="22"/>
          <w:rFonts w:hint="eastAsia" w:ascii="仿宋_GB2312" w:hAnsi="仿宋" w:eastAsia="仿宋_GB2312"/>
          <w:bCs/>
          <w:color w:val="000000"/>
          <w:sz w:val="32"/>
          <w:szCs w:val="32"/>
        </w:rPr>
        <w:t>）：</w:t>
      </w:r>
      <w:r>
        <w:rPr>
          <w:rStyle w:val="22"/>
          <w:rFonts w:hint="eastAsia" w:ascii="仿宋_GB2312" w:hAnsi="仿宋" w:eastAsia="仿宋_GB2312"/>
          <w:b w:val="0"/>
          <w:bCs/>
          <w:color w:val="000000"/>
          <w:sz w:val="32"/>
          <w:szCs w:val="32"/>
        </w:rPr>
        <w:t>支出决算数为</w:t>
      </w:r>
      <w:r>
        <w:rPr>
          <w:rStyle w:val="22"/>
          <w:rFonts w:hint="eastAsia" w:ascii="仿宋_GB2312" w:hAnsi="仿宋" w:eastAsia="仿宋_GB2312"/>
          <w:b w:val="0"/>
          <w:bCs/>
          <w:color w:val="000000"/>
          <w:sz w:val="32"/>
          <w:szCs w:val="32"/>
          <w:lang w:val="en-US" w:eastAsia="zh-CN"/>
        </w:rPr>
        <w:t>9.27</w:t>
      </w:r>
      <w:r>
        <w:rPr>
          <w:rStyle w:val="22"/>
          <w:rFonts w:hint="eastAsia" w:ascii="仿宋_GB2312" w:hAnsi="仿宋" w:eastAsia="仿宋_GB2312"/>
          <w:b w:val="0"/>
          <w:bCs/>
          <w:color w:val="000000"/>
          <w:sz w:val="32"/>
          <w:szCs w:val="32"/>
        </w:rPr>
        <w:t>万元，完成预算100%。决算数等于预算数。</w:t>
      </w:r>
    </w:p>
    <w:p>
      <w:pPr>
        <w:pStyle w:val="2"/>
        <w:numPr>
          <w:ilvl w:val="0"/>
          <w:numId w:val="0"/>
        </w:numPr>
        <w:tabs>
          <w:tab w:val="left" w:pos="703"/>
        </w:tabs>
        <w:rPr>
          <w:rFonts w:hint="eastAsia" w:eastAsia="宋体"/>
          <w:lang w:eastAsia="zh-CN"/>
        </w:rPr>
      </w:pPr>
    </w:p>
    <w:p>
      <w:pPr>
        <w:spacing w:line="600" w:lineRule="exact"/>
        <w:ind w:firstLine="643" w:firstLineChars="200"/>
        <w:rPr>
          <w:rFonts w:ascii="仿宋_GB2312" w:hAnsi="仿宋" w:eastAsia="仿宋_GB2312"/>
          <w:b/>
          <w:color w:val="000000"/>
          <w:sz w:val="32"/>
          <w:szCs w:val="32"/>
        </w:rPr>
      </w:pPr>
      <w:r>
        <w:rPr>
          <w:rStyle w:val="22"/>
          <w:rFonts w:hint="eastAsia" w:ascii="仿宋_GB2312" w:hAnsi="仿宋" w:eastAsia="仿宋_GB2312"/>
          <w:bCs/>
          <w:color w:val="000000"/>
          <w:sz w:val="32"/>
          <w:szCs w:val="32"/>
          <w:lang w:val="en-US" w:eastAsia="zh-CN"/>
        </w:rPr>
        <w:t>3</w:t>
      </w:r>
      <w:r>
        <w:rPr>
          <w:rStyle w:val="22"/>
          <w:rFonts w:hint="eastAsia" w:ascii="仿宋_GB2312" w:hAnsi="仿宋" w:eastAsia="仿宋_GB2312"/>
          <w:bCs/>
          <w:color w:val="000000"/>
          <w:sz w:val="32"/>
          <w:szCs w:val="32"/>
        </w:rPr>
        <w:t>.</w:t>
      </w:r>
      <w:r>
        <w:rPr>
          <w:rStyle w:val="22"/>
          <w:rFonts w:hint="eastAsia" w:ascii="仿宋_GB2312" w:hAnsi="仿宋" w:eastAsia="仿宋_GB2312"/>
          <w:bCs/>
          <w:color w:val="000000"/>
          <w:sz w:val="32"/>
          <w:szCs w:val="32"/>
          <w:lang w:eastAsia="zh-CN"/>
        </w:rPr>
        <w:t>卫生健康</w:t>
      </w:r>
      <w:r>
        <w:rPr>
          <w:rStyle w:val="22"/>
          <w:rFonts w:hint="eastAsia" w:ascii="仿宋_GB2312" w:hAnsi="仿宋" w:eastAsia="仿宋_GB2312"/>
          <w:bCs/>
          <w:color w:val="000000"/>
          <w:sz w:val="32"/>
          <w:szCs w:val="32"/>
        </w:rPr>
        <w:t>（210）行政事业单位医疗（11）事业单位医疗（02）:</w:t>
      </w:r>
      <w:r>
        <w:rPr>
          <w:rStyle w:val="22"/>
          <w:rFonts w:hint="eastAsia" w:ascii="仿宋_GB2312" w:hAnsi="仿宋" w:eastAsia="仿宋_GB2312"/>
          <w:b w:val="0"/>
          <w:bCs/>
          <w:color w:val="000000"/>
          <w:sz w:val="32"/>
          <w:szCs w:val="32"/>
        </w:rPr>
        <w:t>支出决算数为</w:t>
      </w:r>
      <w:r>
        <w:rPr>
          <w:rStyle w:val="22"/>
          <w:rFonts w:hint="eastAsia" w:ascii="仿宋_GB2312" w:hAnsi="仿宋" w:eastAsia="仿宋_GB2312"/>
          <w:b w:val="0"/>
          <w:bCs/>
          <w:color w:val="000000"/>
          <w:sz w:val="32"/>
          <w:szCs w:val="32"/>
          <w:lang w:val="en-US" w:eastAsia="zh-CN"/>
        </w:rPr>
        <w:t>13.32</w:t>
      </w:r>
      <w:r>
        <w:rPr>
          <w:rStyle w:val="22"/>
          <w:rFonts w:hint="eastAsia" w:ascii="仿宋_GB2312" w:hAnsi="仿宋" w:eastAsia="仿宋_GB2312"/>
          <w:b w:val="0"/>
          <w:bCs/>
          <w:color w:val="000000"/>
          <w:sz w:val="32"/>
          <w:szCs w:val="32"/>
        </w:rPr>
        <w:t>万元，完成预算100%</w:t>
      </w:r>
      <w:r>
        <w:rPr>
          <w:rStyle w:val="22"/>
          <w:rFonts w:hint="eastAsia" w:ascii="仿宋_GB2312" w:hAnsi="仿宋" w:eastAsia="仿宋_GB2312"/>
          <w:b w:val="0"/>
          <w:bCs/>
          <w:color w:val="000000"/>
          <w:sz w:val="32"/>
          <w:szCs w:val="32"/>
          <w:lang w:eastAsia="zh-CN"/>
        </w:rPr>
        <w:t>。</w:t>
      </w:r>
      <w:r>
        <w:rPr>
          <w:rStyle w:val="22"/>
          <w:rFonts w:hint="eastAsia" w:ascii="仿宋_GB2312" w:hAnsi="仿宋" w:eastAsia="仿宋_GB2312"/>
          <w:b w:val="0"/>
          <w:bCs/>
          <w:color w:val="000000"/>
          <w:sz w:val="32"/>
          <w:szCs w:val="32"/>
        </w:rPr>
        <w:t>决算数等于预算数；</w:t>
      </w:r>
      <w:r>
        <w:rPr>
          <w:rStyle w:val="22"/>
          <w:rFonts w:hint="eastAsia" w:ascii="仿宋_GB2312" w:hAnsi="仿宋" w:eastAsia="仿宋_GB2312"/>
          <w:bCs/>
          <w:color w:val="000000"/>
          <w:sz w:val="32"/>
          <w:szCs w:val="32"/>
        </w:rPr>
        <w:t>医疗卫生与计划生育（210）行政事业单位医疗（11）其他行政事业单位医疗支出（99）:</w:t>
      </w:r>
      <w:r>
        <w:rPr>
          <w:rStyle w:val="22"/>
          <w:rFonts w:hint="eastAsia" w:ascii="仿宋_GB2312" w:hAnsi="仿宋" w:eastAsia="仿宋_GB2312"/>
          <w:b w:val="0"/>
          <w:bCs/>
          <w:color w:val="000000"/>
          <w:sz w:val="32"/>
          <w:szCs w:val="32"/>
        </w:rPr>
        <w:t>支出决算数为</w:t>
      </w:r>
      <w:r>
        <w:rPr>
          <w:rStyle w:val="22"/>
          <w:rFonts w:hint="eastAsia" w:ascii="仿宋_GB2312" w:hAnsi="仿宋" w:eastAsia="仿宋_GB2312"/>
          <w:b w:val="0"/>
          <w:bCs/>
          <w:color w:val="000000"/>
          <w:sz w:val="32"/>
          <w:szCs w:val="32"/>
          <w:lang w:val="en-US" w:eastAsia="zh-CN"/>
        </w:rPr>
        <w:t>1.68</w:t>
      </w:r>
      <w:r>
        <w:rPr>
          <w:rStyle w:val="22"/>
          <w:rFonts w:hint="eastAsia" w:ascii="仿宋_GB2312" w:hAnsi="仿宋" w:eastAsia="仿宋_GB2312"/>
          <w:b w:val="0"/>
          <w:bCs/>
          <w:color w:val="000000"/>
          <w:sz w:val="32"/>
          <w:szCs w:val="32"/>
        </w:rPr>
        <w:t>万元，完成预算100%。决算数等于预算数。</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b/>
          <w:bCs/>
          <w:color w:val="000000"/>
          <w:sz w:val="32"/>
          <w:szCs w:val="32"/>
          <w:lang w:val="en-US" w:eastAsia="zh-CN"/>
        </w:rPr>
        <w:t>4</w:t>
      </w:r>
      <w:r>
        <w:rPr>
          <w:rFonts w:hint="eastAsia" w:ascii="仿宋_GB2312" w:hAnsi="仿宋" w:eastAsia="仿宋_GB2312"/>
          <w:b/>
          <w:bCs/>
          <w:color w:val="000000"/>
          <w:sz w:val="32"/>
          <w:szCs w:val="32"/>
        </w:rPr>
        <w:t>.</w:t>
      </w:r>
      <w:r>
        <w:rPr>
          <w:rFonts w:hint="eastAsia" w:ascii="仿宋_GB2312" w:eastAsia="仿宋_GB2312"/>
          <w:b/>
          <w:color w:val="000000"/>
          <w:sz w:val="32"/>
          <w:szCs w:val="32"/>
        </w:rPr>
        <w:t xml:space="preserve"> 住房保障支出（221）住房改革支出（02）住房公积金</w:t>
      </w:r>
      <w:r>
        <w:rPr>
          <w:rFonts w:hint="eastAsia" w:ascii="仿宋_GB2312" w:hAnsi="仿宋" w:eastAsia="仿宋_GB2312"/>
          <w:b/>
          <w:color w:val="000000"/>
          <w:sz w:val="32"/>
          <w:szCs w:val="32"/>
        </w:rPr>
        <w:t>（01）：</w:t>
      </w:r>
      <w:r>
        <w:rPr>
          <w:rFonts w:hint="eastAsia" w:ascii="仿宋_GB2312" w:hAnsi="仿宋" w:eastAsia="仿宋_GB2312"/>
          <w:color w:val="000000"/>
          <w:sz w:val="32"/>
          <w:szCs w:val="32"/>
        </w:rPr>
        <w:t>支出决算数为</w:t>
      </w:r>
      <w:r>
        <w:rPr>
          <w:rFonts w:hint="eastAsia" w:ascii="仿宋_GB2312" w:hAnsi="仿宋" w:eastAsia="仿宋_GB2312"/>
          <w:color w:val="000000"/>
          <w:sz w:val="32"/>
          <w:szCs w:val="32"/>
          <w:lang w:val="en-US" w:eastAsia="zh-CN"/>
        </w:rPr>
        <w:t>19.17</w:t>
      </w:r>
      <w:r>
        <w:rPr>
          <w:rFonts w:hint="eastAsia" w:ascii="仿宋_GB2312" w:hAnsi="仿宋" w:eastAsia="仿宋_GB2312"/>
          <w:color w:val="000000"/>
          <w:sz w:val="32"/>
          <w:szCs w:val="32"/>
        </w:rPr>
        <w:t>万元，完成预算100%；</w:t>
      </w:r>
      <w:r>
        <w:rPr>
          <w:rStyle w:val="22"/>
          <w:rFonts w:hint="eastAsia" w:ascii="仿宋_GB2312" w:hAnsi="仿宋" w:eastAsia="仿宋_GB2312"/>
          <w:b w:val="0"/>
          <w:bCs/>
          <w:color w:val="000000"/>
          <w:sz w:val="32"/>
          <w:szCs w:val="32"/>
        </w:rPr>
        <w:t>决算数等于预算数。</w:t>
      </w:r>
    </w:p>
    <w:p>
      <w:pPr>
        <w:pStyle w:val="2"/>
        <w:numPr>
          <w:ilvl w:val="0"/>
          <w:numId w:val="0"/>
        </w:numPr>
        <w:tabs>
          <w:tab w:val="left" w:pos="688"/>
        </w:tabs>
        <w:rPr>
          <w:rFonts w:hint="eastAsia" w:eastAsia="宋体"/>
          <w:lang w:eastAsia="zh-CN"/>
        </w:rPr>
      </w:pPr>
    </w:p>
    <w:p>
      <w:pPr>
        <w:tabs>
          <w:tab w:val="right" w:pos="8306"/>
        </w:tabs>
        <w:spacing w:line="600" w:lineRule="exact"/>
        <w:ind w:firstLine="640"/>
        <w:outlineLvl w:val="1"/>
        <w:rPr>
          <w:rStyle w:val="26"/>
        </w:rPr>
      </w:pPr>
      <w:bookmarkStart w:id="68" w:name="_Toc15396608"/>
      <w:bookmarkStart w:id="69" w:name="_Toc79163868"/>
      <w:bookmarkStart w:id="70" w:name="_Toc7916361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285.56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258.66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14.55</w:t>
      </w:r>
      <w:r>
        <w:rPr>
          <w:rFonts w:hint="eastAsia" w:ascii="仿宋" w:hAnsi="仿宋" w:eastAsia="仿宋"/>
          <w:color w:val="000000"/>
          <w:sz w:val="32"/>
          <w:szCs w:val="32"/>
        </w:rPr>
        <w:t>万元，主要包括：办公费、水费、电费、邮电费、差旅费、维修（护）费、租赁费、会议费、培训费、公务接待费、劳务费、工会经费、福利费、其他交通费、其他商品和服务支出、办公设备购置</w:t>
      </w:r>
      <w:r>
        <w:rPr>
          <w:rFonts w:hint="eastAsia" w:ascii="仿宋" w:hAnsi="仿宋" w:eastAsia="仿宋"/>
          <w:color w:val="000000"/>
          <w:sz w:val="32"/>
          <w:szCs w:val="32"/>
          <w:lang w:eastAsia="zh-CN"/>
        </w:rPr>
        <w:t>等</w:t>
      </w:r>
    </w:p>
    <w:p>
      <w:pPr>
        <w:spacing w:line="600" w:lineRule="exact"/>
        <w:outlineLvl w:val="1"/>
        <w:rPr>
          <w:rStyle w:val="26"/>
          <w:rFonts w:ascii="黑体" w:hAnsi="黑体" w:eastAsia="黑体"/>
          <w:b w:val="0"/>
        </w:rPr>
      </w:pPr>
      <w:bookmarkStart w:id="72" w:name="_Toc79163869"/>
      <w:bookmarkStart w:id="73" w:name="_Toc79163619"/>
      <w:bookmarkStart w:id="74" w:name="_Toc15377215"/>
      <w:bookmarkStart w:id="75" w:name="_Toc15396609"/>
      <w:r>
        <w:rPr>
          <w:rFonts w:hint="eastAsia" w:ascii="黑体" w:eastAsia="黑体"/>
          <w:color w:val="000000"/>
          <w:sz w:val="32"/>
          <w:szCs w:val="32"/>
          <w:lang w:val="en-US" w:eastAsia="zh-CN"/>
        </w:rPr>
        <w:t xml:space="preserve">    </w:t>
      </w:r>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87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0.02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，决算与预算数持平。</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0"/>
        </w:numPr>
        <w:spacing w:line="600" w:lineRule="exact"/>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2020年持平。</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万元。主要用于工</w:t>
      </w:r>
      <w:r>
        <w:rPr>
          <w:rFonts w:hint="eastAsia" w:ascii="仿宋_GB2312" w:eastAsia="仿宋_GB2312"/>
          <w:color w:val="000000"/>
          <w:sz w:val="32"/>
          <w:szCs w:val="32"/>
          <w:lang w:eastAsia="zh-CN"/>
        </w:rPr>
        <w:t>作</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0.02</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0.17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89.47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单位厉行节约</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0.02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接待省委党校教师进行科研、调研工作的</w:t>
      </w:r>
      <w:r>
        <w:rPr>
          <w:rFonts w:hint="eastAsia" w:ascii="仿宋_GB2312" w:eastAsia="仿宋_GB2312"/>
          <w:color w:val="000000"/>
          <w:sz w:val="32"/>
          <w:szCs w:val="32"/>
        </w:rPr>
        <w:t>用餐费</w:t>
      </w:r>
      <w:r>
        <w:rPr>
          <w:rFonts w:hint="eastAsia" w:ascii="仿宋_GB2312" w:eastAsia="仿宋_GB2312"/>
          <w:color w:val="000000"/>
          <w:sz w:val="32"/>
          <w:szCs w:val="32"/>
          <w:lang w:eastAsia="zh-CN"/>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0.02</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省委党校教师进行科研、调研工作的</w:t>
      </w:r>
      <w:r>
        <w:rPr>
          <w:rFonts w:hint="eastAsia" w:ascii="仿宋_GB2312" w:eastAsia="仿宋_GB2312"/>
          <w:color w:val="000000"/>
          <w:sz w:val="32"/>
          <w:szCs w:val="32"/>
        </w:rPr>
        <w:t>用餐费</w:t>
      </w:r>
      <w:r>
        <w:rPr>
          <w:rFonts w:hint="eastAsia" w:ascii="仿宋_GB2312" w:eastAsia="仿宋_GB2312"/>
          <w:color w:val="000000"/>
          <w:sz w:val="32"/>
          <w:szCs w:val="32"/>
          <w:lang w:val="en-US" w:eastAsia="zh-CN"/>
        </w:rPr>
        <w:t>0.02万元。</w:t>
      </w:r>
    </w:p>
    <w:p>
      <w:pPr>
        <w:spacing w:line="600" w:lineRule="exact"/>
        <w:ind w:firstLine="640"/>
        <w:outlineLvl w:val="1"/>
        <w:rPr>
          <w:rFonts w:hint="eastAsia"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82" w:name="_Toc79163872"/>
      <w:bookmarkStart w:id="83" w:name="_Toc15396610"/>
      <w:bookmarkStart w:id="84" w:name="_Toc15377218"/>
      <w:bookmarkStart w:id="85" w:name="_Toc79163622"/>
      <w:r>
        <w:rPr>
          <w:rFonts w:hint="eastAsia" w:ascii="仿宋_GB2312" w:eastAsia="仿宋_GB2312"/>
          <w:color w:val="000000"/>
          <w:sz w:val="32"/>
          <w:szCs w:val="32"/>
          <w:lang w:eastAsia="zh-CN"/>
        </w:rPr>
        <w:t>。</w:t>
      </w: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outlineLvl w:val="1"/>
        <w:rPr>
          <w:rStyle w:val="26"/>
          <w:rFonts w:ascii="黑体" w:hAnsi="黑体" w:eastAsia="黑体"/>
          <w:b w:val="0"/>
        </w:rPr>
      </w:pPr>
      <w:bookmarkStart w:id="86" w:name="_Toc15377219"/>
      <w:bookmarkStart w:id="87" w:name="_Toc79163623"/>
      <w:bookmarkStart w:id="88" w:name="_Toc15396611"/>
      <w:bookmarkStart w:id="89" w:name="_Toc79163873"/>
      <w:r>
        <w:rPr>
          <w:rStyle w:val="26"/>
          <w:rFonts w:hint="eastAsia" w:ascii="黑体" w:hAnsi="黑体" w:eastAsia="黑体"/>
          <w:b w:val="0"/>
          <w:lang w:val="en-US" w:eastAsia="zh-CN"/>
        </w:rPr>
        <w:t xml:space="preserve">    九、</w:t>
      </w:r>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outlineLvl w:val="1"/>
        <w:rPr>
          <w:rStyle w:val="26"/>
          <w:rFonts w:ascii="黑体" w:hAnsi="黑体" w:eastAsia="黑体"/>
        </w:rPr>
      </w:pPr>
      <w:bookmarkStart w:id="90" w:name="_Toc79163874"/>
      <w:bookmarkStart w:id="91" w:name="_Toc15396612"/>
      <w:bookmarkStart w:id="92" w:name="_Toc15377221"/>
      <w:bookmarkStart w:id="93" w:name="_Toc79163624"/>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875"/>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九寨沟县委党校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九寨沟县委党校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九寨沟县委党校</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w:t>
      </w:r>
      <w:r>
        <w:rPr>
          <w:rFonts w:hint="eastAsia" w:ascii="仿宋_GB2312" w:eastAsia="仿宋_GB2312"/>
          <w:color w:val="333333"/>
          <w:sz w:val="32"/>
          <w:szCs w:val="32"/>
        </w:rPr>
        <w:t>20</w:t>
      </w:r>
      <w:r>
        <w:rPr>
          <w:rFonts w:hint="eastAsia" w:ascii="仿宋_GB2312" w:eastAsia="仿宋_GB2312"/>
          <w:color w:val="333333"/>
          <w:sz w:val="32"/>
          <w:szCs w:val="32"/>
          <w:lang w:val="en-US" w:eastAsia="zh-CN"/>
        </w:rPr>
        <w:t>21</w:t>
      </w:r>
      <w:r>
        <w:rPr>
          <w:rFonts w:hint="eastAsia" w:ascii="仿宋_GB2312" w:eastAsia="仿宋_GB2312"/>
          <w:color w:val="333333"/>
          <w:sz w:val="32"/>
          <w:szCs w:val="32"/>
        </w:rPr>
        <w:t>年完成</w:t>
      </w:r>
      <w:r>
        <w:rPr>
          <w:rFonts w:hint="eastAsia" w:ascii="仿宋_GB2312" w:eastAsia="仿宋_GB2312"/>
          <w:color w:val="333333"/>
          <w:sz w:val="32"/>
          <w:szCs w:val="32"/>
          <w:lang w:eastAsia="zh-CN"/>
        </w:rPr>
        <w:t>了科研教学及分类建设等重点工作及</w:t>
      </w:r>
      <w:r>
        <w:rPr>
          <w:rFonts w:hint="eastAsia" w:ascii="仿宋_GB2312" w:hAnsi="仿宋_GB2312" w:eastAsia="仿宋_GB2312" w:cs="仿宋_GB2312"/>
          <w:sz w:val="32"/>
          <w:szCs w:val="32"/>
        </w:rPr>
        <w:t>签订目标责任</w:t>
      </w:r>
      <w:r>
        <w:rPr>
          <w:rFonts w:hint="eastAsia" w:ascii="仿宋_GB2312" w:hAnsi="仿宋_GB2312" w:eastAsia="仿宋_GB2312" w:cs="仿宋_GB2312"/>
          <w:sz w:val="32"/>
          <w:szCs w:val="32"/>
          <w:lang w:val="en-US" w:eastAsia="zh-CN"/>
        </w:rPr>
        <w:t>、两联一进等日常事务工作，</w:t>
      </w:r>
      <w:r>
        <w:rPr>
          <w:rFonts w:hint="eastAsia" w:ascii="仿宋_GB2312" w:hAnsi="仿宋_GB2312" w:eastAsia="仿宋_GB2312" w:cs="仿宋_GB2312"/>
          <w:color w:val="000000"/>
          <w:sz w:val="32"/>
          <w:szCs w:val="32"/>
          <w:lang w:eastAsia="zh-CN"/>
        </w:rPr>
        <w:t>总的来看</w:t>
      </w:r>
      <w:r>
        <w:rPr>
          <w:rFonts w:hint="eastAsia" w:ascii="仿宋_GB2312" w:hAnsi="仿宋_GB2312" w:eastAsia="仿宋_GB2312" w:cs="仿宋_GB2312"/>
          <w:sz w:val="32"/>
          <w:szCs w:val="32"/>
          <w:lang w:eastAsia="zh-CN"/>
        </w:rPr>
        <w:t>圆满完成工作任务，认真执行财务预算，</w:t>
      </w:r>
      <w:r>
        <w:rPr>
          <w:rFonts w:hint="eastAsia" w:ascii="仿宋_GB2312" w:hAnsi="仿宋_GB2312" w:eastAsia="仿宋_GB2312" w:cs="仿宋_GB2312"/>
          <w:color w:val="000000"/>
          <w:sz w:val="32"/>
          <w:szCs w:val="32"/>
        </w:rPr>
        <w:t>并保证了单位良好运行情况。</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个项目支出绩效评价</w:t>
      </w:r>
      <w:r>
        <w:rPr>
          <w:rFonts w:hint="eastAsia" w:ascii="仿宋_GB2312" w:hAnsi="仿宋_GB2312" w:eastAsia="仿宋_GB2312" w:cs="仿宋_GB2312"/>
          <w:sz w:val="32"/>
          <w:szCs w:val="32"/>
          <w:lang w:eastAsia="zh-CN"/>
        </w:rPr>
        <w:t>。主要是</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无专项预算项目，因此本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未组织开展项目支出绩效评价。</w:t>
      </w: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 xml:space="preserve">    </w:t>
      </w: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个项目绩效目标实际完成情况。</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中共九寨沟县委党校</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numPr>
          <w:ilvl w:val="0"/>
          <w:numId w:val="0"/>
        </w:numPr>
        <w:spacing w:line="600" w:lineRule="exact"/>
        <w:jc w:val="both"/>
        <w:outlineLvl w:val="0"/>
        <w:rPr>
          <w:rStyle w:val="25"/>
          <w:rFonts w:ascii="黑体" w:hAnsi="黑体" w:eastAsia="黑体"/>
          <w:b w:val="0"/>
        </w:rPr>
      </w:pPr>
      <w:bookmarkStart w:id="105" w:name="_Toc79163629"/>
      <w:bookmarkStart w:id="106" w:name="_Toc79163879"/>
      <w:bookmarkStart w:id="107" w:name="_Toc15377225"/>
      <w:bookmarkStart w:id="108" w:name="_Toc15396613"/>
    </w:p>
    <w:p>
      <w:pPr>
        <w:numPr>
          <w:ilvl w:val="0"/>
          <w:numId w:val="3"/>
        </w:numPr>
        <w:spacing w:line="600" w:lineRule="exact"/>
        <w:ind w:firstLine="660" w:firstLineChars="150"/>
        <w:jc w:val="center"/>
        <w:outlineLvl w:val="0"/>
        <w:rPr>
          <w:rStyle w:val="25"/>
          <w:rFonts w:ascii="黑体" w:hAnsi="黑体" w:eastAsia="黑体"/>
          <w:b w:val="0"/>
        </w:rPr>
      </w:pPr>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rPr>
          <w:rFonts w:ascii="仿宋_GB2312" w:eastAsia="仿宋_GB2312"/>
          <w:sz w:val="32"/>
          <w:szCs w:val="32"/>
        </w:rPr>
      </w:pPr>
      <w:r>
        <w:rPr>
          <w:rFonts w:hint="eastAsia" w:ascii="仿宋_GB2312" w:eastAsia="仿宋_GB2312"/>
          <w:sz w:val="32"/>
          <w:szCs w:val="32"/>
          <w:lang w:val="en-US" w:eastAsia="zh-CN"/>
        </w:rPr>
        <w:t xml:space="preserve">    </w:t>
      </w: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ind w:firstLine="627" w:firstLineChars="196"/>
        <w:rPr>
          <w:rStyle w:val="22"/>
          <w:rFonts w:ascii="仿宋_GB2312" w:eastAsia="仿宋_GB2312"/>
          <w:b w:val="0"/>
          <w:color w:val="000000"/>
          <w:sz w:val="32"/>
          <w:szCs w:val="32"/>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教育（205）进修及培训（08）干部教育（02）：指</w:t>
      </w:r>
      <w:r>
        <w:rPr>
          <w:rStyle w:val="22"/>
          <w:rFonts w:hint="eastAsia" w:ascii="仿宋_GB2312" w:eastAsia="仿宋_GB2312"/>
          <w:b w:val="0"/>
          <w:color w:val="000000"/>
          <w:sz w:val="32"/>
          <w:szCs w:val="32"/>
        </w:rPr>
        <w:t>指干部教育，反映各级党校、行政学院、社会主义学院、国家会计学院的支出。包括机构运行、招聘师资、举办各类培训班的支出。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社会保障和就业（208）行政事业单位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（05）</w:t>
      </w:r>
      <w:r>
        <w:rPr>
          <w:rFonts w:hint="eastAsia" w:ascii="仿宋_GB2312" w:eastAsia="仿宋_GB2312"/>
          <w:color w:val="000000"/>
          <w:sz w:val="32"/>
          <w:szCs w:val="32"/>
          <w:lang w:eastAsia="zh-CN"/>
        </w:rPr>
        <w:t>事业单位离退休（</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lang w:eastAsia="zh-CN"/>
        </w:rPr>
        <w:t>）：指事业单位离退休支出，反映事业单位开支的离退休经费。</w:t>
      </w:r>
    </w:p>
    <w:p>
      <w:pPr>
        <w:rPr>
          <w:rFonts w:ascii="仿宋_GB2312" w:eastAsia="仿宋_GB2312"/>
          <w:color w:val="000000"/>
          <w:sz w:val="32"/>
          <w:szCs w:val="32"/>
        </w:rPr>
      </w:pPr>
      <w:r>
        <w:rPr>
          <w:rFonts w:hint="eastAsia" w:ascii="仿宋_GB2312" w:eastAsia="仿宋_GB2312"/>
          <w:color w:val="000000"/>
          <w:sz w:val="32"/>
          <w:szCs w:val="32"/>
          <w:lang w:val="en-US" w:eastAsia="zh-CN"/>
        </w:rPr>
        <w:t xml:space="preserve">    5</w:t>
      </w:r>
      <w:r>
        <w:rPr>
          <w:rFonts w:ascii="仿宋_GB2312" w:eastAsia="仿宋_GB2312"/>
          <w:color w:val="000000"/>
          <w:sz w:val="32"/>
          <w:szCs w:val="32"/>
        </w:rPr>
        <w:t>.</w:t>
      </w:r>
      <w:r>
        <w:rPr>
          <w:rFonts w:hint="eastAsia" w:ascii="仿宋_GB2312" w:eastAsia="仿宋_GB2312"/>
          <w:color w:val="000000"/>
          <w:sz w:val="32"/>
          <w:szCs w:val="32"/>
        </w:rPr>
        <w:t>社会保障和就业（208）行政事业单位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（05）机关事业单位基本养老保险缴费支出（05）：</w:t>
      </w:r>
      <w:r>
        <w:rPr>
          <w:rStyle w:val="22"/>
          <w:rFonts w:hint="eastAsia" w:ascii="仿宋_GB2312" w:eastAsia="仿宋_GB2312"/>
          <w:b w:val="0"/>
          <w:color w:val="000000"/>
          <w:sz w:val="32"/>
          <w:szCs w:val="32"/>
        </w:rPr>
        <w:t>指机关事业单位基本养老保险缴费支出，反映机关事业单位实施养老保险制度由单位缴纳的基本养老保险支出</w:t>
      </w:r>
      <w:r>
        <w:rPr>
          <w:rFonts w:hint="eastAsia" w:ascii="仿宋_GB2312" w:eastAsia="仿宋_GB2312"/>
          <w:color w:val="000000"/>
          <w:sz w:val="32"/>
          <w:szCs w:val="32"/>
        </w:rPr>
        <w:t>。</w:t>
      </w:r>
    </w:p>
    <w:p>
      <w:pPr>
        <w:ind w:firstLine="627" w:firstLineChars="196"/>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 社会保障和就业（208）行政事业单位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（05）</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机关事业单位职业年金缴费支出，反映机关事业单位实施养老保险制度由单位实际缴纳的职业年金支出。</w:t>
      </w:r>
    </w:p>
    <w:p>
      <w:pPr>
        <w:rPr>
          <w:rStyle w:val="22"/>
          <w:rFonts w:ascii="仿宋_GB2312" w:eastAsia="仿宋_GB2312"/>
          <w:b w:val="0"/>
          <w:color w:val="000000"/>
          <w:sz w:val="32"/>
          <w:szCs w:val="32"/>
        </w:rPr>
      </w:pPr>
      <w:r>
        <w:rPr>
          <w:rFonts w:hint="eastAsia" w:ascii="仿宋_GB2312" w:eastAsia="仿宋_GB2312"/>
          <w:color w:val="000000"/>
          <w:sz w:val="32"/>
          <w:szCs w:val="32"/>
          <w:lang w:val="en-US" w:eastAsia="zh-CN"/>
        </w:rPr>
        <w:t xml:space="preserve">    7</w:t>
      </w:r>
      <w:r>
        <w:rPr>
          <w:rFonts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（210）行政事业单位医疗（11）事业单位医疗（02）：</w:t>
      </w:r>
      <w:r>
        <w:rPr>
          <w:rStyle w:val="22"/>
          <w:rFonts w:hint="eastAsia" w:ascii="仿宋_GB2312" w:eastAsia="仿宋_GB2312"/>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Style w:val="22"/>
          <w:rFonts w:ascii="仿宋_GB2312" w:eastAsia="仿宋_GB2312"/>
          <w:b w:val="0"/>
          <w:color w:val="000000"/>
          <w:sz w:val="32"/>
          <w:szCs w:val="32"/>
        </w:rPr>
      </w:pPr>
      <w:r>
        <w:rPr>
          <w:rStyle w:val="22"/>
          <w:rFonts w:hint="eastAsia" w:ascii="仿宋_GB2312" w:eastAsia="仿宋_GB2312"/>
          <w:b w:val="0"/>
          <w:color w:val="000000"/>
          <w:sz w:val="32"/>
          <w:szCs w:val="32"/>
          <w:lang w:val="en-US" w:eastAsia="zh-CN"/>
        </w:rPr>
        <w:t>8</w:t>
      </w:r>
      <w:r>
        <w:rPr>
          <w:rStyle w:val="22"/>
          <w:rFonts w:hint="eastAsia" w:ascii="仿宋_GB2312" w:eastAsia="仿宋_GB2312"/>
          <w:b w:val="0"/>
          <w:color w:val="000000"/>
          <w:sz w:val="32"/>
          <w:szCs w:val="32"/>
        </w:rPr>
        <w:t>.</w:t>
      </w:r>
      <w:r>
        <w:rPr>
          <w:rFonts w:hint="eastAsia" w:ascii="仿宋_GB2312" w:eastAsia="仿宋_GB2312"/>
          <w:color w:val="000000"/>
          <w:sz w:val="32"/>
          <w:szCs w:val="32"/>
        </w:rPr>
        <w:t xml:space="preserve"> 医疗卫生与计划生育（210）行政事业单位医疗（11）其他行政事业单位医疗支出（99）：指反映除行政单位医疗、事业单位医疗、公务员医疗补助以外的其他用于行政事业单位医疗方面的支出。</w:t>
      </w:r>
    </w:p>
    <w:p>
      <w:pPr>
        <w:ind w:firstLine="627" w:firstLineChars="196"/>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住房保障（221）住房改革支出（02）住房公积金（01）：指住房公积金，反映行政事业单位按人力资源和社会保障部、财政部规定的基本工资和津贴补贴以及规定比例为职工缴纳的住房公积金。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 w:hAnsi="仿宋" w:eastAsia="仿宋"/>
          <w:b/>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公务用车运行维护费以及其他费用。</w:t>
      </w:r>
    </w:p>
    <w:p>
      <w:pPr>
        <w:pStyle w:val="35"/>
        <w:spacing w:line="560" w:lineRule="exact"/>
        <w:ind w:firstLine="640" w:firstLineChars="200"/>
        <w:rPr>
          <w:rFonts w:ascii="仿宋_GB2312" w:eastAsia="仿宋_GB2312"/>
          <w:sz w:val="32"/>
          <w:szCs w:val="32"/>
        </w:rPr>
      </w:pPr>
      <w:r>
        <w:rPr>
          <w:rFonts w:ascii="宋体"/>
          <w:b/>
          <w:color w:val="000000"/>
          <w:sz w:val="44"/>
          <w:szCs w:val="44"/>
        </w:rPr>
        <w:br w:type="page"/>
      </w:r>
    </w:p>
    <w:p>
      <w:pPr>
        <w:spacing w:line="600" w:lineRule="exact"/>
        <w:jc w:val="both"/>
        <w:outlineLvl w:val="0"/>
        <w:rPr>
          <w:rStyle w:val="25"/>
          <w:rFonts w:ascii="黑体" w:hAnsi="黑体" w:eastAsia="黑体"/>
          <w:b w:val="0"/>
        </w:rPr>
      </w:pPr>
      <w:bookmarkStart w:id="109" w:name="_Toc15396614"/>
      <w:bookmarkStart w:id="110" w:name="_Toc79163630"/>
      <w:bookmarkStart w:id="111" w:name="_Toc79163880"/>
      <w:bookmarkStart w:id="112" w:name="_Toc15377226"/>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632"/>
      <w:bookmarkStart w:id="116" w:name="_Toc79163882"/>
      <w:r>
        <w:rPr>
          <w:rFonts w:hint="eastAsia" w:ascii="方正小标宋简体" w:hAnsi="黑体" w:eastAsia="方正小标宋简体" w:cs="黑体"/>
          <w:sz w:val="44"/>
          <w:szCs w:val="44"/>
          <w:lang w:eastAsia="zh-CN"/>
        </w:rPr>
        <w:t>中共九寨沟县委党校</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bookmarkStart w:id="117" w:name="_Toc15396618"/>
      <w:bookmarkStart w:id="118" w:name="_Toc79163635"/>
      <w:bookmarkStart w:id="119" w:name="_Toc79163885"/>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pPr>
        <w:widowControl/>
        <w:adjustRightInd w:val="0"/>
        <w:snapToGrid w:val="0"/>
        <w:spacing w:line="580" w:lineRule="exact"/>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 xml:space="preserve">   </w:t>
      </w:r>
      <w:r>
        <w:rPr>
          <w:rFonts w:hint="eastAsia" w:ascii="仿宋_GB2312" w:hAnsi="仿宋_GB2312" w:eastAsia="仿宋_GB2312" w:cs="仿宋_GB2312"/>
          <w:b/>
          <w:bCs/>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中共九寨沟县委党校是参照公务员管理的事业单位，是县级一级预算单位，单位编制1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人，其中参公编制5人，事业专技编制</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,人才编制2人，</w:t>
      </w:r>
      <w:r>
        <w:rPr>
          <w:rFonts w:hint="eastAsia" w:ascii="仿宋_GB2312" w:hAnsi="仿宋_GB2312" w:eastAsia="仿宋_GB2312" w:cs="仿宋_GB2312"/>
          <w:sz w:val="32"/>
          <w:szCs w:val="32"/>
        </w:rPr>
        <w:t>单位有常务副校长1名，副校长</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名。内设办公室、教务</w:t>
      </w:r>
      <w:r>
        <w:rPr>
          <w:rFonts w:hint="eastAsia" w:ascii="仿宋_GB2312" w:hAnsi="仿宋_GB2312" w:eastAsia="仿宋_GB2312" w:cs="仿宋_GB2312"/>
          <w:sz w:val="32"/>
          <w:szCs w:val="32"/>
          <w:lang w:eastAsia="zh-CN"/>
        </w:rPr>
        <w:t>处</w:t>
      </w:r>
      <w:r>
        <w:rPr>
          <w:rFonts w:hint="eastAsia" w:ascii="仿宋_GB2312" w:hAnsi="仿宋_GB2312" w:eastAsia="仿宋_GB2312" w:cs="仿宋_GB2312"/>
          <w:sz w:val="32"/>
          <w:szCs w:val="32"/>
        </w:rPr>
        <w:t>、总务</w:t>
      </w:r>
      <w:r>
        <w:rPr>
          <w:rFonts w:hint="eastAsia" w:ascii="仿宋_GB2312" w:hAnsi="仿宋_GB2312" w:eastAsia="仿宋_GB2312" w:cs="仿宋_GB2312"/>
          <w:sz w:val="32"/>
          <w:szCs w:val="32"/>
          <w:lang w:eastAsia="zh-CN"/>
        </w:rPr>
        <w:t>处</w:t>
      </w:r>
      <w:r>
        <w:rPr>
          <w:rFonts w:hint="eastAsia" w:ascii="仿宋_GB2312" w:hAnsi="仿宋_GB2312" w:eastAsia="仿宋_GB2312" w:cs="仿宋_GB2312"/>
          <w:sz w:val="32"/>
          <w:szCs w:val="32"/>
        </w:rPr>
        <w:t>三个股室。</w:t>
      </w:r>
    </w:p>
    <w:p>
      <w:pPr>
        <w:widowControl/>
        <w:adjustRightInd w:val="0"/>
        <w:snapToGrid w:val="0"/>
        <w:spacing w:line="580" w:lineRule="exact"/>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 xml:space="preserve">   </w:t>
      </w:r>
      <w:r>
        <w:rPr>
          <w:rFonts w:hint="eastAsia" w:ascii="仿宋_GB2312" w:hAnsi="仿宋_GB2312" w:eastAsia="仿宋_GB2312" w:cs="仿宋_GB2312"/>
          <w:b/>
          <w:bCs/>
          <w:color w:val="000000"/>
          <w:kern w:val="0"/>
          <w:sz w:val="32"/>
          <w:szCs w:val="32"/>
          <w:shd w:val="clear" w:color="auto" w:fill="FFFFFF"/>
          <w:lang w:val="zh-CN"/>
        </w:rPr>
        <w:t>（二）机构职能</w:t>
      </w:r>
    </w:p>
    <w:p>
      <w:pPr>
        <w:keepNext w:val="0"/>
        <w:keepLines w:val="0"/>
        <w:pageBreakBefore w:val="0"/>
        <w:widowControl w:val="0"/>
        <w:tabs>
          <w:tab w:val="left" w:pos="720"/>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color w:val="000000"/>
          <w:kern w:val="0"/>
          <w:sz w:val="32"/>
          <w:szCs w:val="32"/>
          <w:shd w:val="clear" w:color="auto" w:fill="FFFFFF"/>
          <w:lang w:val="zh-CN"/>
        </w:rPr>
        <w:tab/>
      </w:r>
      <w:r>
        <w:rPr>
          <w:rFonts w:hint="eastAsia" w:ascii="仿宋_GB2312" w:hAnsi="仿宋_GB2312" w:eastAsia="仿宋_GB2312" w:cs="仿宋_GB2312"/>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pPr>
        <w:widowControl/>
        <w:adjustRightInd w:val="0"/>
        <w:snapToGrid w:val="0"/>
        <w:spacing w:line="580" w:lineRule="exact"/>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 xml:space="preserve">   </w:t>
      </w:r>
      <w:r>
        <w:rPr>
          <w:rFonts w:hint="eastAsia" w:ascii="仿宋_GB2312" w:hAnsi="仿宋_GB2312" w:eastAsia="仿宋_GB2312" w:cs="仿宋_GB2312"/>
          <w:b/>
          <w:bCs/>
          <w:color w:val="000000"/>
          <w:kern w:val="0"/>
          <w:sz w:val="32"/>
          <w:szCs w:val="32"/>
          <w:shd w:val="clear" w:color="auto" w:fill="FFFFFF"/>
          <w:lang w:val="zh-CN"/>
        </w:rPr>
        <w:t>（三）人员概况</w:t>
      </w:r>
    </w:p>
    <w:p>
      <w:pPr>
        <w:keepNext w:val="0"/>
        <w:keepLines w:val="0"/>
        <w:pageBreakBefore w:val="0"/>
        <w:widowControl w:val="0"/>
        <w:tabs>
          <w:tab w:val="left" w:pos="567"/>
        </w:tabs>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shd w:val="clear" w:color="auto" w:fill="FFFFFF"/>
          <w:lang w:val="en-US" w:eastAsia="zh-CN"/>
        </w:rPr>
        <w:t xml:space="preserve">    </w:t>
      </w:r>
      <w:r>
        <w:rPr>
          <w:rFonts w:hint="eastAsia" w:ascii="仿宋_GB2312" w:hAnsi="仿宋_GB2312" w:eastAsia="仿宋_GB2312" w:cs="仿宋_GB2312"/>
          <w:sz w:val="32"/>
          <w:szCs w:val="32"/>
        </w:rPr>
        <w:t>学校在职职工</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人，其中</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人为参公人员，</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人为专技人员。参公人员中正科级实职1人</w:t>
      </w:r>
      <w:r>
        <w:rPr>
          <w:rFonts w:hint="eastAsia" w:ascii="仿宋_GB2312" w:hAnsi="仿宋_GB2312" w:eastAsia="仿宋_GB2312" w:cs="仿宋_GB2312"/>
          <w:sz w:val="32"/>
          <w:szCs w:val="32"/>
          <w:lang w:eastAsia="zh-CN"/>
        </w:rPr>
        <w:t>，四级调研员</w:t>
      </w:r>
      <w:r>
        <w:rPr>
          <w:rFonts w:hint="eastAsia" w:ascii="仿宋_GB2312" w:hAnsi="仿宋_GB2312" w:eastAsia="仿宋_GB2312" w:cs="仿宋_GB2312"/>
          <w:sz w:val="32"/>
          <w:szCs w:val="32"/>
        </w:rPr>
        <w:t>1人，</w:t>
      </w:r>
      <w:r>
        <w:rPr>
          <w:rFonts w:hint="eastAsia" w:ascii="仿宋_GB2312" w:hAnsi="仿宋_GB2312" w:eastAsia="仿宋_GB2312" w:cs="仿宋_GB2312"/>
          <w:sz w:val="32"/>
          <w:szCs w:val="32"/>
          <w:lang w:eastAsia="zh-CN"/>
        </w:rPr>
        <w:t>一级主任科员</w:t>
      </w:r>
      <w:r>
        <w:rPr>
          <w:rFonts w:hint="eastAsia" w:ascii="仿宋_GB2312" w:hAnsi="仿宋_GB2312" w:eastAsia="仿宋_GB2312" w:cs="仿宋_GB2312"/>
          <w:sz w:val="32"/>
          <w:szCs w:val="32"/>
          <w:lang w:val="en-US" w:eastAsia="zh-CN"/>
        </w:rPr>
        <w:t>1人，</w:t>
      </w:r>
      <w:r>
        <w:rPr>
          <w:rFonts w:hint="eastAsia" w:ascii="仿宋_GB2312" w:hAnsi="仿宋_GB2312" w:eastAsia="仿宋_GB2312" w:cs="仿宋_GB2312"/>
          <w:sz w:val="32"/>
          <w:szCs w:val="32"/>
        </w:rPr>
        <w:t>副科级实职</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三级主任科员</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人；专技人员中高级讲师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人，讲师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人，助理讲师1人</w:t>
      </w:r>
      <w:r>
        <w:rPr>
          <w:rFonts w:hint="eastAsia" w:ascii="仿宋_GB2312" w:hAnsi="仿宋_GB2312" w:eastAsia="仿宋_GB2312" w:cs="仿宋_GB2312"/>
          <w:sz w:val="32"/>
          <w:szCs w:val="32"/>
          <w:lang w:eastAsia="zh-CN"/>
        </w:rPr>
        <w:t>，统计师</w:t>
      </w:r>
      <w:r>
        <w:rPr>
          <w:rFonts w:hint="eastAsia" w:ascii="仿宋_GB2312" w:hAnsi="仿宋_GB2312" w:eastAsia="仿宋_GB2312" w:cs="仿宋_GB2312"/>
          <w:sz w:val="32"/>
          <w:szCs w:val="32"/>
          <w:lang w:val="en-US" w:eastAsia="zh-CN"/>
        </w:rPr>
        <w:t>1人，人才岗1人。</w:t>
      </w:r>
      <w:r>
        <w:rPr>
          <w:rFonts w:hint="eastAsia" w:ascii="仿宋_GB2312" w:hAnsi="仿宋_GB2312" w:eastAsia="仿宋_GB2312" w:cs="仿宋_GB2312"/>
          <w:sz w:val="32"/>
          <w:szCs w:val="32"/>
        </w:rPr>
        <w:t>离休干部1人，退休职工</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p>
    <w:p>
      <w:pPr>
        <w:widowControl/>
        <w:adjustRightInd w:val="0"/>
        <w:snapToGrid w:val="0"/>
        <w:spacing w:line="580" w:lineRule="exact"/>
        <w:contextualSpacing/>
        <w:jc w:val="left"/>
        <w:rPr>
          <w:rFonts w:hint="eastAsia" w:ascii="黑体" w:hAnsi="黑体" w:eastAsia="黑体" w:cs="黑体"/>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en-US" w:eastAsia="zh-CN"/>
        </w:rPr>
        <w:t xml:space="preserve">   </w:t>
      </w:r>
      <w:r>
        <w:rPr>
          <w:rFonts w:hint="eastAsia" w:ascii="黑体" w:hAnsi="黑体" w:eastAsia="黑体" w:cs="黑体"/>
          <w:color w:val="000000"/>
          <w:kern w:val="0"/>
          <w:sz w:val="32"/>
          <w:szCs w:val="32"/>
          <w:shd w:val="clear" w:color="auto" w:fill="FFFFFF"/>
          <w:lang w:val="en-US" w:eastAsia="zh-CN"/>
        </w:rPr>
        <w:t xml:space="preserve">  </w:t>
      </w:r>
      <w:r>
        <w:rPr>
          <w:rFonts w:hint="eastAsia" w:ascii="黑体" w:hAnsi="黑体" w:eastAsia="黑体" w:cs="黑体"/>
          <w:color w:val="000000"/>
          <w:kern w:val="0"/>
          <w:sz w:val="32"/>
          <w:szCs w:val="32"/>
          <w:shd w:val="clear" w:color="auto" w:fill="FFFFFF"/>
        </w:rPr>
        <w:t>二、部门财政资金收支情况</w:t>
      </w:r>
    </w:p>
    <w:p>
      <w:pPr>
        <w:widowControl/>
        <w:numPr>
          <w:ilvl w:val="0"/>
          <w:numId w:val="4"/>
        </w:numPr>
        <w:adjustRightInd w:val="0"/>
        <w:snapToGrid w:val="0"/>
        <w:spacing w:line="580"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部门财政资金收入情况</w:t>
      </w:r>
    </w:p>
    <w:p>
      <w:pPr>
        <w:keepNext w:val="0"/>
        <w:keepLines w:val="0"/>
        <w:pageBreakBefore w:val="0"/>
        <w:tabs>
          <w:tab w:val="left" w:pos="550"/>
        </w:tabs>
        <w:kinsoku/>
        <w:wordWrap/>
        <w:overflowPunct/>
        <w:topLinePunct w:val="0"/>
        <w:autoSpaceDE/>
        <w:autoSpaceDN/>
        <w:bidi w:val="0"/>
        <w:spacing w:line="580" w:lineRule="exact"/>
        <w:ind w:left="0" w:leftChars="0" w:right="0" w:rightChars="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shd w:val="clear" w:color="auto" w:fill="FFFFFF"/>
          <w:lang w:val="en-US" w:eastAsia="zh-CN"/>
        </w:rPr>
        <w:t xml:space="preserve">     </w:t>
      </w:r>
      <w:r>
        <w:rPr>
          <w:rFonts w:hint="eastAsia" w:ascii="仿宋_GB2312" w:hAnsi="仿宋_GB2312" w:eastAsia="仿宋_GB2312" w:cs="仿宋_GB2312"/>
          <w:sz w:val="32"/>
          <w:szCs w:val="32"/>
        </w:rPr>
        <w:t>县党校2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年财政资金收入共</w:t>
      </w:r>
      <w:r>
        <w:rPr>
          <w:rFonts w:hint="eastAsia" w:ascii="仿宋_GB2312" w:hAnsi="仿宋_GB2312" w:eastAsia="仿宋_GB2312" w:cs="仿宋_GB2312"/>
          <w:sz w:val="32"/>
          <w:szCs w:val="32"/>
          <w:lang w:val="en-US" w:eastAsia="zh-CN"/>
        </w:rPr>
        <w:t>298.38</w:t>
      </w:r>
      <w:r>
        <w:rPr>
          <w:rFonts w:hint="eastAsia" w:ascii="仿宋_GB2312" w:hAnsi="仿宋_GB2312" w:eastAsia="仿宋_GB2312" w:cs="仿宋_GB2312"/>
          <w:sz w:val="32"/>
          <w:szCs w:val="32"/>
        </w:rPr>
        <w:t>元，其中一般公共预算财政拨款收入</w:t>
      </w:r>
      <w:r>
        <w:rPr>
          <w:rFonts w:hint="eastAsia" w:ascii="仿宋_GB2312" w:hAnsi="仿宋_GB2312" w:eastAsia="仿宋_GB2312" w:cs="仿宋_GB2312"/>
          <w:sz w:val="32"/>
          <w:szCs w:val="32"/>
          <w:lang w:val="en-US" w:eastAsia="zh-CN"/>
        </w:rPr>
        <w:t>298.38</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。基本支出收入</w:t>
      </w:r>
      <w:r>
        <w:rPr>
          <w:rFonts w:hint="eastAsia" w:ascii="仿宋_GB2312" w:hAnsi="仿宋_GB2312" w:eastAsia="仿宋_GB2312" w:cs="仿宋_GB2312"/>
          <w:sz w:val="32"/>
          <w:szCs w:val="32"/>
          <w:lang w:val="en-US" w:eastAsia="zh-CN"/>
        </w:rPr>
        <w:t>285.565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，项目支出收入</w:t>
      </w:r>
      <w:r>
        <w:rPr>
          <w:rFonts w:hint="eastAsia" w:ascii="仿宋_GB2312" w:hAnsi="仿宋_GB2312" w:eastAsia="仿宋_GB2312" w:cs="仿宋_GB2312"/>
          <w:sz w:val="32"/>
          <w:szCs w:val="32"/>
          <w:lang w:val="en-US" w:eastAsia="zh-CN"/>
        </w:rPr>
        <w:t>12.83万元（主要是离休干部离休费）</w:t>
      </w:r>
      <w:r>
        <w:rPr>
          <w:rFonts w:hint="eastAsia" w:ascii="仿宋_GB2312" w:hAnsi="仿宋_GB2312" w:eastAsia="仿宋_GB2312" w:cs="仿宋_GB2312"/>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left="0" w:leftChars="0" w:right="0" w:rightChars="0" w:firstLine="640" w:firstLineChars="200"/>
        <w:contextualSpacing/>
        <w:jc w:val="left"/>
        <w:textAlignment w:val="auto"/>
        <w:outlineLvl w:val="9"/>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（二）部门财政资金支出情况</w:t>
      </w:r>
    </w:p>
    <w:p>
      <w:pPr>
        <w:spacing w:line="600" w:lineRule="exact"/>
        <w:ind w:firstLine="640"/>
        <w:rPr>
          <w:rFonts w:hint="eastAsia" w:ascii="仿宋_GB2312" w:hAnsi="仿宋_GB2312" w:eastAsia="仿宋_GB2312" w:cs="仿宋_GB2312"/>
          <w:b w:val="0"/>
          <w:bCs/>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298.38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_GB2312" w:hAnsi="仿宋_GB2312" w:eastAsia="仿宋_GB2312" w:cs="仿宋_GB2312"/>
          <w:b w:val="0"/>
          <w:bCs/>
          <w:color w:val="000000"/>
          <w:sz w:val="32"/>
          <w:szCs w:val="32"/>
        </w:rPr>
        <w:t>教育支出（类）</w:t>
      </w:r>
      <w:r>
        <w:rPr>
          <w:rFonts w:hint="eastAsia" w:ascii="仿宋_GB2312" w:hAnsi="仿宋_GB2312" w:eastAsia="仿宋_GB2312" w:cs="仿宋_GB2312"/>
          <w:b w:val="0"/>
          <w:bCs/>
          <w:color w:val="000000"/>
          <w:sz w:val="32"/>
          <w:szCs w:val="32"/>
          <w:lang w:val="en-US" w:eastAsia="zh-CN"/>
        </w:rPr>
        <w:t>222.36</w:t>
      </w:r>
      <w:r>
        <w:rPr>
          <w:rFonts w:hint="eastAsia" w:ascii="仿宋_GB2312" w:hAnsi="仿宋_GB2312" w:eastAsia="仿宋_GB2312" w:cs="仿宋_GB2312"/>
          <w:b w:val="0"/>
          <w:bCs/>
          <w:color w:val="000000"/>
          <w:sz w:val="32"/>
          <w:szCs w:val="32"/>
        </w:rPr>
        <w:t>万元，占</w:t>
      </w:r>
      <w:r>
        <w:rPr>
          <w:rFonts w:hint="eastAsia" w:ascii="仿宋_GB2312" w:hAnsi="仿宋_GB2312" w:eastAsia="仿宋_GB2312" w:cs="仿宋_GB2312"/>
          <w:b w:val="0"/>
          <w:bCs/>
          <w:color w:val="000000"/>
          <w:sz w:val="32"/>
          <w:szCs w:val="32"/>
          <w:lang w:val="en-US" w:eastAsia="zh-CN"/>
        </w:rPr>
        <w:t>74.52</w:t>
      </w:r>
      <w:r>
        <w:rPr>
          <w:rFonts w:hint="eastAsia" w:ascii="仿宋_GB2312" w:hAnsi="仿宋_GB2312" w:eastAsia="仿宋_GB2312" w:cs="仿宋_GB2312"/>
          <w:b w:val="0"/>
          <w:bCs/>
          <w:color w:val="000000"/>
          <w:sz w:val="32"/>
          <w:szCs w:val="32"/>
        </w:rPr>
        <w:t>%；社会保障和就业（类）支出</w:t>
      </w:r>
      <w:r>
        <w:rPr>
          <w:rFonts w:hint="eastAsia" w:ascii="仿宋_GB2312" w:hAnsi="仿宋_GB2312" w:eastAsia="仿宋_GB2312" w:cs="仿宋_GB2312"/>
          <w:b w:val="0"/>
          <w:bCs/>
          <w:color w:val="000000"/>
          <w:sz w:val="32"/>
          <w:szCs w:val="32"/>
          <w:lang w:val="en-US" w:eastAsia="zh-CN"/>
        </w:rPr>
        <w:t>41.86</w:t>
      </w:r>
      <w:r>
        <w:rPr>
          <w:rFonts w:hint="eastAsia" w:ascii="仿宋_GB2312" w:hAnsi="仿宋_GB2312" w:eastAsia="仿宋_GB2312" w:cs="仿宋_GB2312"/>
          <w:b w:val="0"/>
          <w:bCs/>
          <w:color w:val="000000"/>
          <w:sz w:val="32"/>
          <w:szCs w:val="32"/>
        </w:rPr>
        <w:t>万元，占</w:t>
      </w:r>
      <w:r>
        <w:rPr>
          <w:rFonts w:hint="eastAsia" w:ascii="仿宋_GB2312" w:hAnsi="仿宋_GB2312" w:eastAsia="仿宋_GB2312" w:cs="仿宋_GB2312"/>
          <w:b w:val="0"/>
          <w:bCs/>
          <w:color w:val="000000"/>
          <w:sz w:val="32"/>
          <w:szCs w:val="32"/>
          <w:lang w:val="en-US" w:eastAsia="zh-CN"/>
        </w:rPr>
        <w:t>14.03</w:t>
      </w:r>
      <w:r>
        <w:rPr>
          <w:rFonts w:hint="eastAsia" w:ascii="仿宋_GB2312" w:hAnsi="仿宋_GB2312" w:eastAsia="仿宋_GB2312" w:cs="仿宋_GB2312"/>
          <w:b w:val="0"/>
          <w:bCs/>
          <w:color w:val="000000"/>
          <w:sz w:val="32"/>
          <w:szCs w:val="32"/>
        </w:rPr>
        <w:t>%；卫生健康支出</w:t>
      </w:r>
      <w:r>
        <w:rPr>
          <w:rFonts w:hint="eastAsia" w:ascii="仿宋_GB2312" w:hAnsi="仿宋_GB2312" w:eastAsia="仿宋_GB2312" w:cs="仿宋_GB2312"/>
          <w:b w:val="0"/>
          <w:bCs/>
          <w:color w:val="000000"/>
          <w:sz w:val="32"/>
          <w:szCs w:val="32"/>
          <w:lang w:val="en-US" w:eastAsia="zh-CN"/>
        </w:rPr>
        <w:t>15</w:t>
      </w:r>
      <w:r>
        <w:rPr>
          <w:rFonts w:hint="eastAsia" w:ascii="仿宋_GB2312" w:hAnsi="仿宋_GB2312" w:eastAsia="仿宋_GB2312" w:cs="仿宋_GB2312"/>
          <w:b w:val="0"/>
          <w:bCs/>
          <w:color w:val="000000"/>
          <w:sz w:val="32"/>
          <w:szCs w:val="32"/>
        </w:rPr>
        <w:t>万元，占</w:t>
      </w:r>
      <w:r>
        <w:rPr>
          <w:rFonts w:hint="eastAsia" w:ascii="仿宋_GB2312" w:hAnsi="仿宋_GB2312" w:eastAsia="仿宋_GB2312" w:cs="仿宋_GB2312"/>
          <w:b w:val="0"/>
          <w:bCs/>
          <w:color w:val="000000"/>
          <w:sz w:val="32"/>
          <w:szCs w:val="32"/>
          <w:lang w:val="en-US" w:eastAsia="zh-CN"/>
        </w:rPr>
        <w:t>5.03</w:t>
      </w:r>
      <w:r>
        <w:rPr>
          <w:rFonts w:hint="eastAsia" w:ascii="仿宋_GB2312" w:hAnsi="仿宋_GB2312" w:eastAsia="仿宋_GB2312" w:cs="仿宋_GB2312"/>
          <w:b w:val="0"/>
          <w:bCs/>
          <w:color w:val="000000"/>
          <w:sz w:val="32"/>
          <w:szCs w:val="32"/>
        </w:rPr>
        <w:t>%；住房保障支出</w:t>
      </w:r>
      <w:r>
        <w:rPr>
          <w:rFonts w:hint="eastAsia" w:ascii="仿宋_GB2312" w:hAnsi="仿宋_GB2312" w:eastAsia="仿宋_GB2312" w:cs="仿宋_GB2312"/>
          <w:b w:val="0"/>
          <w:bCs/>
          <w:color w:val="000000"/>
          <w:sz w:val="32"/>
          <w:szCs w:val="32"/>
          <w:lang w:val="en-US" w:eastAsia="zh-CN"/>
        </w:rPr>
        <w:t>19.17</w:t>
      </w:r>
      <w:r>
        <w:rPr>
          <w:rFonts w:hint="eastAsia" w:ascii="仿宋_GB2312" w:hAnsi="仿宋_GB2312" w:eastAsia="仿宋_GB2312" w:cs="仿宋_GB2312"/>
          <w:b w:val="0"/>
          <w:bCs/>
          <w:color w:val="000000"/>
          <w:sz w:val="32"/>
          <w:szCs w:val="32"/>
        </w:rPr>
        <w:t>万元，占</w:t>
      </w:r>
      <w:r>
        <w:rPr>
          <w:rFonts w:hint="eastAsia" w:ascii="仿宋_GB2312" w:hAnsi="仿宋_GB2312" w:eastAsia="仿宋_GB2312" w:cs="仿宋_GB2312"/>
          <w:b w:val="0"/>
          <w:bCs/>
          <w:color w:val="000000"/>
          <w:sz w:val="32"/>
          <w:szCs w:val="32"/>
          <w:lang w:val="en-US" w:eastAsia="zh-CN"/>
        </w:rPr>
        <w:t>6.42</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sz w:val="32"/>
          <w:szCs w:val="32"/>
          <w:lang w:eastAsia="zh-CN"/>
        </w:rPr>
        <w:t>无项目支出。</w:t>
      </w:r>
    </w:p>
    <w:p>
      <w:pPr>
        <w:widowControl/>
        <w:adjustRightInd w:val="0"/>
        <w:snapToGrid w:val="0"/>
        <w:spacing w:line="580" w:lineRule="exact"/>
        <w:contextualSpacing/>
        <w:jc w:val="left"/>
        <w:rPr>
          <w:rFonts w:hint="eastAsia" w:ascii="黑体" w:hAnsi="黑体" w:eastAsia="黑体" w:cs="黑体"/>
          <w:b/>
          <w:bCs/>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en-US" w:eastAsia="zh-CN"/>
        </w:rPr>
        <w:t xml:space="preserve">    </w:t>
      </w:r>
      <w:r>
        <w:rPr>
          <w:rFonts w:hint="eastAsia" w:ascii="黑体" w:hAnsi="黑体" w:eastAsia="黑体" w:cs="黑体"/>
          <w:b/>
          <w:bCs/>
          <w:color w:val="000000"/>
          <w:kern w:val="0"/>
          <w:sz w:val="32"/>
          <w:szCs w:val="32"/>
          <w:shd w:val="clear" w:color="auto" w:fill="FFFFFF"/>
          <w:lang w:val="en-US" w:eastAsia="zh-CN"/>
        </w:rPr>
        <w:t xml:space="preserve"> </w:t>
      </w:r>
      <w:r>
        <w:rPr>
          <w:rFonts w:hint="eastAsia" w:ascii="黑体" w:hAnsi="黑体" w:eastAsia="黑体" w:cs="黑体"/>
          <w:b/>
          <w:bCs/>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（一）部门预算项目绩效管理</w:t>
      </w:r>
    </w:p>
    <w:p>
      <w:pPr>
        <w:keepNext w:val="0"/>
        <w:keepLines w:val="0"/>
        <w:pageBreakBefore w:val="0"/>
        <w:widowControl/>
        <w:kinsoku/>
        <w:wordWrap/>
        <w:overflowPunct/>
        <w:topLinePunct w:val="0"/>
        <w:autoSpaceDE/>
        <w:autoSpaceDN/>
        <w:bidi w:val="0"/>
        <w:adjustRightInd w:val="0"/>
        <w:snapToGrid w:val="0"/>
        <w:spacing w:line="580" w:lineRule="exact"/>
        <w:ind w:left="0" w:leftChars="0" w:right="0" w:rightChars="0"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lang w:eastAsia="zh-CN"/>
        </w:rPr>
        <w:t>我校</w:t>
      </w:r>
      <w:r>
        <w:rPr>
          <w:rFonts w:hint="eastAsia" w:ascii="仿宋_GB2312" w:hAnsi="仿宋_GB2312" w:eastAsia="仿宋_GB2312" w:cs="仿宋_GB2312"/>
          <w:sz w:val="32"/>
          <w:szCs w:val="32"/>
        </w:rPr>
        <w:t>按照县财政局部门预算编制通知和有关要求，及时准确高质量完成单位部门预算编报，项目库报送工作。部门整体绩效目标能完整、合理反映部门年度职责履行情况，项目编制明确、</w:t>
      </w:r>
      <w:r>
        <w:rPr>
          <w:rFonts w:hint="eastAsia" w:ascii="仿宋_GB2312" w:hAnsi="仿宋_GB2312" w:eastAsia="仿宋_GB2312" w:cs="仿宋_GB2312"/>
          <w:sz w:val="32"/>
          <w:szCs w:val="32"/>
          <w:lang w:eastAsia="zh-CN"/>
        </w:rPr>
        <w:t>能有效</w:t>
      </w:r>
      <w:r>
        <w:rPr>
          <w:rFonts w:hint="eastAsia" w:ascii="仿宋_GB2312" w:hAnsi="仿宋_GB2312" w:eastAsia="仿宋_GB2312" w:cs="仿宋_GB2312"/>
          <w:sz w:val="32"/>
          <w:szCs w:val="32"/>
        </w:rPr>
        <w:t>量化。</w:t>
      </w:r>
    </w:p>
    <w:p>
      <w:pPr>
        <w:keepNext w:val="0"/>
        <w:keepLines w:val="0"/>
        <w:pageBreakBefore w:val="0"/>
        <w:widowControl w:val="0"/>
        <w:tabs>
          <w:tab w:val="left" w:pos="550"/>
        </w:tabs>
        <w:kinsoku/>
        <w:wordWrap/>
        <w:overflowPunct/>
        <w:topLinePunct w:val="0"/>
        <w:autoSpaceDE/>
        <w:autoSpaceDN/>
        <w:bidi w:val="0"/>
        <w:adjustRightInd/>
        <w:snapToGrid/>
        <w:spacing w:line="580" w:lineRule="exact"/>
        <w:ind w:left="0" w:leftChars="0" w:right="0" w:rightChars="0" w:firstLine="660" w:firstLineChars="0"/>
        <w:jc w:val="both"/>
        <w:textAlignment w:val="auto"/>
        <w:outlineLvl w:val="9"/>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2021年度人员经费支出283.84万元，日常公用经费支出14.55万元，无运转类、特定目标类项目支出。</w:t>
      </w:r>
      <w:r>
        <w:rPr>
          <w:rFonts w:hint="eastAsia" w:ascii="仿宋_GB2312" w:hAnsi="仿宋_GB2312" w:eastAsia="仿宋_GB2312" w:cs="仿宋_GB2312"/>
          <w:sz w:val="32"/>
          <w:szCs w:val="32"/>
        </w:rPr>
        <w:t>按照县财政局要求，依据《预算法》，严格执行预算管理，及时合理合规分配各项资金，不擅自改变预算资金用途。严格执行“三公经费”预算，不超出“三公经费”指标。</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在6、9、11月的预算执行情况</w:t>
      </w:r>
      <w:r>
        <w:rPr>
          <w:rFonts w:hint="eastAsia" w:ascii="仿宋_GB2312" w:hAnsi="仿宋_GB2312" w:eastAsia="仿宋_GB2312" w:cs="仿宋_GB2312"/>
          <w:sz w:val="32"/>
          <w:szCs w:val="32"/>
          <w:lang w:eastAsia="zh-CN"/>
        </w:rPr>
        <w:t>中，执行进度分别达到约</w:t>
      </w:r>
      <w:r>
        <w:rPr>
          <w:rFonts w:hint="eastAsia" w:ascii="仿宋_GB2312" w:hAnsi="仿宋_GB2312" w:eastAsia="仿宋_GB2312" w:cs="仿宋_GB2312"/>
          <w:sz w:val="32"/>
          <w:szCs w:val="32"/>
          <w:lang w:val="en-US" w:eastAsia="zh-CN"/>
        </w:rPr>
        <w:t>58%、76%、85%。全年圆满完成预算任务，无资金结余和违规</w:t>
      </w:r>
      <w:r>
        <w:rPr>
          <w:rFonts w:hint="eastAsia" w:ascii="仿宋_GB2312" w:hAnsi="仿宋_GB2312" w:eastAsia="仿宋_GB2312" w:cs="仿宋_GB2312"/>
          <w:color w:val="000000"/>
          <w:kern w:val="0"/>
          <w:sz w:val="32"/>
          <w:szCs w:val="32"/>
          <w:shd w:val="clear" w:color="auto" w:fill="FFFFFF"/>
          <w:lang w:val="zh-CN"/>
        </w:rPr>
        <w:t>记录等情况。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年有了工作经费的保障，我校各圆满完成了各项工作。单位基本职能工作目标全面完成，结合实际的重点工作也出色完成。主要的干部培训工作保质保量超额度完成，并取得了培训学员的一致好评。</w:t>
      </w:r>
    </w:p>
    <w:p>
      <w:pPr>
        <w:widowControl/>
        <w:adjustRightInd w:val="0"/>
        <w:snapToGrid w:val="0"/>
        <w:spacing w:line="580" w:lineRule="exact"/>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 xml:space="preserve">   </w:t>
      </w:r>
      <w:r>
        <w:rPr>
          <w:rFonts w:hint="eastAsia" w:ascii="仿宋_GB2312" w:hAnsi="仿宋_GB2312" w:eastAsia="仿宋_GB2312" w:cs="仿宋_GB2312"/>
          <w:b/>
          <w:bCs/>
          <w:color w:val="000000"/>
          <w:kern w:val="0"/>
          <w:sz w:val="32"/>
          <w:szCs w:val="32"/>
          <w:shd w:val="clear" w:color="auto" w:fill="FFFFFF"/>
          <w:lang w:val="zh-CN"/>
        </w:rPr>
        <w:t>（二）结果应用情况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我校按要求将相关绩效信息随同预决算公开，</w:t>
      </w:r>
      <w:r>
        <w:rPr>
          <w:rFonts w:hint="eastAsia" w:ascii="仿宋_GB2312" w:hAnsi="仿宋_GB2312" w:eastAsia="仿宋_GB2312" w:cs="仿宋_GB2312"/>
          <w:sz w:val="32"/>
          <w:szCs w:val="32"/>
        </w:rPr>
        <w:t>依法自觉接受财政监督检查，对检查中存在的问题立即有效整改。</w:t>
      </w:r>
    </w:p>
    <w:p>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（一）评价结论</w:t>
      </w:r>
    </w:p>
    <w:p>
      <w:pPr>
        <w:tabs>
          <w:tab w:val="left" w:pos="55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年全年部门</w:t>
      </w:r>
      <w:r>
        <w:rPr>
          <w:rFonts w:hint="eastAsia" w:ascii="仿宋_GB2312" w:hAnsi="仿宋_GB2312" w:eastAsia="仿宋_GB2312" w:cs="仿宋_GB2312"/>
          <w:sz w:val="32"/>
          <w:szCs w:val="32"/>
          <w:lang w:eastAsia="zh-CN"/>
        </w:rPr>
        <w:t>整体支出</w:t>
      </w:r>
      <w:r>
        <w:rPr>
          <w:rFonts w:hint="eastAsia" w:ascii="仿宋_GB2312" w:hAnsi="仿宋_GB2312" w:eastAsia="仿宋_GB2312" w:cs="仿宋_GB2312"/>
          <w:sz w:val="32"/>
          <w:szCs w:val="32"/>
        </w:rPr>
        <w:t>预算使用管理绩效情况良好。</w:t>
      </w:r>
    </w:p>
    <w:p>
      <w:pPr>
        <w:widowControl/>
        <w:adjustRightInd w:val="0"/>
        <w:snapToGrid w:val="0"/>
        <w:spacing w:line="580" w:lineRule="exact"/>
        <w:ind w:firstLine="64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（二）存在问题</w:t>
      </w:r>
    </w:p>
    <w:p>
      <w:pPr>
        <w:keepNext w:val="0"/>
        <w:keepLines w:val="0"/>
        <w:pageBreakBefore w:val="0"/>
        <w:widowControl/>
        <w:tabs>
          <w:tab w:val="left" w:pos="881"/>
        </w:tabs>
        <w:kinsoku/>
        <w:wordWrap/>
        <w:overflowPunct/>
        <w:topLinePunct w:val="0"/>
        <w:autoSpaceDE/>
        <w:autoSpaceDN/>
        <w:bidi w:val="0"/>
        <w:adjustRightInd w:val="0"/>
        <w:snapToGrid w:val="0"/>
        <w:spacing w:line="580" w:lineRule="exact"/>
        <w:ind w:left="0" w:leftChars="0" w:right="0" w:rightChars="0" w:firstLine="0" w:firstLineChars="0"/>
        <w:contextualSpacing/>
        <w:jc w:val="left"/>
        <w:textAlignment w:val="auto"/>
        <w:outlineLvl w:val="9"/>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 xml:space="preserve">     1.要进一步提高资金使用的预测能力，加强计划性。</w:t>
      </w:r>
    </w:p>
    <w:p>
      <w:pPr>
        <w:keepNext w:val="0"/>
        <w:keepLines w:val="0"/>
        <w:pageBreakBefore w:val="0"/>
        <w:widowControl/>
        <w:tabs>
          <w:tab w:val="left" w:pos="881"/>
        </w:tabs>
        <w:kinsoku/>
        <w:wordWrap/>
        <w:overflowPunct/>
        <w:topLinePunct w:val="0"/>
        <w:autoSpaceDE/>
        <w:autoSpaceDN/>
        <w:bidi w:val="0"/>
        <w:adjustRightInd w:val="0"/>
        <w:snapToGrid w:val="0"/>
        <w:spacing w:line="580" w:lineRule="exact"/>
        <w:ind w:left="0" w:leftChars="0" w:right="0" w:rightChars="0" w:firstLine="0" w:firstLineChars="0"/>
        <w:contextualSpacing/>
        <w:jc w:val="left"/>
        <w:textAlignment w:val="auto"/>
        <w:outlineLvl w:val="9"/>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 xml:space="preserve">     2.要进一步提高资金使用的执行力，做到全面落实到位。</w:t>
      </w:r>
    </w:p>
    <w:p>
      <w:pPr>
        <w:keepNext w:val="0"/>
        <w:keepLines w:val="0"/>
        <w:pageBreakBefore w:val="0"/>
        <w:widowControl/>
        <w:tabs>
          <w:tab w:val="left" w:pos="896"/>
        </w:tabs>
        <w:kinsoku/>
        <w:wordWrap/>
        <w:overflowPunct/>
        <w:topLinePunct w:val="0"/>
        <w:autoSpaceDE/>
        <w:autoSpaceDN/>
        <w:bidi w:val="0"/>
        <w:adjustRightInd w:val="0"/>
        <w:snapToGrid w:val="0"/>
        <w:spacing w:line="580" w:lineRule="exact"/>
        <w:ind w:left="0" w:leftChars="0" w:right="0" w:rightChars="0" w:firstLine="0" w:firstLineChars="0"/>
        <w:contextualSpacing/>
        <w:jc w:val="left"/>
        <w:textAlignment w:val="auto"/>
        <w:outlineLvl w:val="9"/>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 xml:space="preserve">     3.要进一步提高资金使用效果，充分发挥联动作用。</w:t>
      </w:r>
    </w:p>
    <w:p>
      <w:pPr>
        <w:keepNext w:val="0"/>
        <w:keepLines w:val="0"/>
        <w:pageBreakBefore w:val="0"/>
        <w:widowControl/>
        <w:tabs>
          <w:tab w:val="left" w:pos="896"/>
        </w:tabs>
        <w:kinsoku/>
        <w:wordWrap/>
        <w:overflowPunct/>
        <w:topLinePunct w:val="0"/>
        <w:autoSpaceDE/>
        <w:autoSpaceDN/>
        <w:bidi w:val="0"/>
        <w:adjustRightInd w:val="0"/>
        <w:snapToGrid w:val="0"/>
        <w:spacing w:line="580" w:lineRule="exact"/>
        <w:ind w:left="0" w:leftChars="0" w:right="0" w:rightChars="0" w:firstLine="0" w:firstLineChars="0"/>
        <w:contextualSpacing/>
        <w:jc w:val="left"/>
        <w:textAlignment w:val="auto"/>
        <w:outlineLvl w:val="9"/>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 xml:space="preserve">     4.要进一步优化管理环境，做到协调统筹。</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（三）改进建议</w:t>
      </w:r>
    </w:p>
    <w:p>
      <w:pPr>
        <w:widowControl/>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 xml:space="preserve">     1.严格预算管理，对无预算或擅自提高预算标准财务- -律不予列支。</w:t>
      </w:r>
    </w:p>
    <w:p>
      <w:pPr>
        <w:widowControl/>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 xml:space="preserve">     2.进一步加强财务管理，规范管理行为，严格执行《会计法》。</w:t>
      </w:r>
    </w:p>
    <w:p>
      <w:pPr>
        <w:widowControl/>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 xml:space="preserve">     3.</w:t>
      </w:r>
      <w:r>
        <w:rPr>
          <w:rFonts w:hint="eastAsia" w:ascii="仿宋_GB2312" w:hAnsi="仿宋_GB2312" w:eastAsia="仿宋_GB2312" w:cs="仿宋_GB2312"/>
          <w:color w:val="000000"/>
          <w:kern w:val="0"/>
          <w:sz w:val="32"/>
          <w:szCs w:val="32"/>
          <w:shd w:val="clear" w:color="auto" w:fill="FFFFFF"/>
          <w:lang w:val="zh-CN"/>
        </w:rPr>
        <w:t>进一步加强资产管理。提高国有资产管理水平，切实让资产在日常工作、干部教育培训中发挥重要作用和效果。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 xml:space="preserve"> 4.开拓创新、与时俱进。理清思路、科学安排，把财务管理工作提高到一个新的水平。</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center"/>
        <w:rPr>
          <w:rFonts w:hint="eastAsia" w:ascii="仿宋_GB2312" w:hAnsi="宋体" w:eastAsia="仿宋_GB2312" w:cs="宋体"/>
          <w:color w:val="000000"/>
          <w:kern w:val="0"/>
          <w:szCs w:val="32"/>
          <w:shd w:val="clear" w:color="auto" w:fill="FFFFFF"/>
          <w:lang w:val="en-US" w:eastAsia="zh-CN"/>
        </w:rPr>
      </w:pPr>
      <w:r>
        <w:rPr>
          <w:rFonts w:hint="eastAsia" w:ascii="仿宋_GB2312" w:hAnsi="宋体" w:cs="宋体"/>
          <w:color w:val="000000"/>
          <w:kern w:val="0"/>
          <w:szCs w:val="32"/>
          <w:shd w:val="clear" w:color="auto" w:fill="FFFFFF"/>
          <w:lang w:val="en-US" w:eastAsia="zh-CN"/>
        </w:rPr>
        <w:t xml:space="preserve">          </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Style w:val="25"/>
          <w:rFonts w:ascii="黑体" w:hAnsi="黑体" w:eastAsia="黑体"/>
          <w:b w:val="0"/>
        </w:rPr>
      </w:pP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2"/>
      <w:bookmarkEnd w:id="117"/>
      <w:bookmarkEnd w:id="118"/>
      <w:bookmarkEnd w:id="119"/>
    </w:p>
    <w:p>
      <w:pPr>
        <w:pStyle w:val="5"/>
        <w:rPr>
          <w:rFonts w:ascii="仿宋" w:hAnsi="仿宋" w:eastAsia="仿宋"/>
          <w:color w:val="000000"/>
        </w:rPr>
      </w:pPr>
      <w:bookmarkStart w:id="120" w:name="_Toc79163886"/>
      <w:bookmarkStart w:id="121" w:name="_Toc79163636"/>
      <w:bookmarkStart w:id="122"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120"/>
      <w:bookmarkEnd w:id="121"/>
      <w:bookmarkEnd w:id="122"/>
    </w:p>
    <w:p>
      <w:pPr>
        <w:pStyle w:val="5"/>
        <w:rPr>
          <w:rFonts w:ascii="仿宋" w:hAnsi="仿宋" w:eastAsia="仿宋"/>
          <w:color w:val="000000"/>
        </w:rPr>
      </w:pPr>
      <w:bookmarkStart w:id="123" w:name="_Toc79163637"/>
      <w:bookmarkStart w:id="124" w:name="_Toc15396620"/>
      <w:bookmarkStart w:id="125" w:name="_Toc79163887"/>
      <w:r>
        <w:rPr>
          <w:rFonts w:hint="eastAsia" w:ascii="仿宋" w:hAnsi="仿宋" w:eastAsia="仿宋"/>
          <w:b w:val="0"/>
          <w:color w:val="000000"/>
        </w:rPr>
        <w:t>二、收</w:t>
      </w:r>
      <w:r>
        <w:rPr>
          <w:rStyle w:val="26"/>
          <w:rFonts w:hint="eastAsia" w:ascii="仿宋" w:hAnsi="仿宋" w:eastAsia="仿宋"/>
          <w:b w:val="0"/>
          <w:bCs w:val="0"/>
        </w:rPr>
        <w:t>入决算表</w:t>
      </w:r>
      <w:bookmarkEnd w:id="123"/>
      <w:bookmarkEnd w:id="124"/>
      <w:bookmarkEnd w:id="125"/>
    </w:p>
    <w:p>
      <w:pPr>
        <w:pStyle w:val="5"/>
        <w:rPr>
          <w:rFonts w:ascii="仿宋" w:hAnsi="仿宋" w:eastAsia="仿宋"/>
          <w:color w:val="000000"/>
        </w:rPr>
      </w:pPr>
      <w:bookmarkStart w:id="126" w:name="_Toc15396621"/>
      <w:bookmarkStart w:id="127" w:name="_Toc79163638"/>
      <w:bookmarkStart w:id="128" w:name="_Toc7916388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6"/>
      <w:bookmarkEnd w:id="127"/>
      <w:bookmarkEnd w:id="128"/>
    </w:p>
    <w:p>
      <w:pPr>
        <w:pStyle w:val="5"/>
        <w:rPr>
          <w:rFonts w:ascii="仿宋" w:hAnsi="仿宋" w:eastAsia="仿宋"/>
          <w:b w:val="0"/>
          <w:color w:val="000000"/>
        </w:rPr>
      </w:pPr>
      <w:bookmarkStart w:id="129" w:name="_Toc15396622"/>
      <w:bookmarkStart w:id="130" w:name="_Toc79163639"/>
      <w:bookmarkStart w:id="131" w:name="_Toc7916388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29"/>
      <w:bookmarkEnd w:id="130"/>
      <w:bookmarkEnd w:id="131"/>
    </w:p>
    <w:p>
      <w:pPr>
        <w:pStyle w:val="5"/>
        <w:rPr>
          <w:rStyle w:val="26"/>
          <w:rFonts w:ascii="仿宋" w:hAnsi="仿宋" w:eastAsia="仿宋"/>
          <w:b w:val="0"/>
          <w:bCs w:val="0"/>
        </w:rPr>
      </w:pPr>
      <w:bookmarkStart w:id="132" w:name="_Toc15396623"/>
      <w:bookmarkStart w:id="133" w:name="_Toc79163640"/>
      <w:bookmarkStart w:id="134" w:name="_Toc7916389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2"/>
      <w:bookmarkEnd w:id="133"/>
      <w:bookmarkEnd w:id="134"/>
      <w:bookmarkStart w:id="135" w:name="_Toc15396624"/>
    </w:p>
    <w:p>
      <w:pPr>
        <w:pStyle w:val="5"/>
        <w:rPr>
          <w:rFonts w:ascii="仿宋" w:hAnsi="仿宋" w:eastAsia="仿宋"/>
          <w:color w:val="000000"/>
        </w:rPr>
      </w:pPr>
      <w:bookmarkStart w:id="136" w:name="_Toc79163891"/>
      <w:bookmarkStart w:id="137"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5"/>
      <w:bookmarkEnd w:id="136"/>
      <w:bookmarkEnd w:id="137"/>
    </w:p>
    <w:p>
      <w:pPr>
        <w:pStyle w:val="5"/>
        <w:rPr>
          <w:rFonts w:ascii="仿宋" w:hAnsi="仿宋" w:eastAsia="仿宋"/>
          <w:color w:val="000000"/>
        </w:rPr>
      </w:pPr>
      <w:bookmarkStart w:id="138" w:name="_Toc15396625"/>
      <w:bookmarkStart w:id="139" w:name="_Toc79163642"/>
      <w:bookmarkStart w:id="140" w:name="_Toc7916389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38"/>
      <w:bookmarkEnd w:id="139"/>
      <w:bookmarkEnd w:id="140"/>
    </w:p>
    <w:p>
      <w:pPr>
        <w:pStyle w:val="5"/>
        <w:rPr>
          <w:rFonts w:ascii="仿宋" w:hAnsi="仿宋" w:eastAsia="仿宋"/>
          <w:color w:val="000000"/>
        </w:rPr>
      </w:pPr>
      <w:bookmarkStart w:id="141" w:name="_Toc15396626"/>
      <w:bookmarkStart w:id="142" w:name="_Toc79163643"/>
      <w:bookmarkStart w:id="143" w:name="_Toc7916389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1"/>
      <w:bookmarkEnd w:id="142"/>
      <w:bookmarkEnd w:id="143"/>
    </w:p>
    <w:p>
      <w:pPr>
        <w:pStyle w:val="5"/>
        <w:rPr>
          <w:rFonts w:ascii="仿宋" w:hAnsi="仿宋" w:eastAsia="仿宋"/>
          <w:color w:val="000000"/>
        </w:rPr>
      </w:pPr>
      <w:bookmarkStart w:id="144" w:name="_Toc15396627"/>
      <w:bookmarkStart w:id="145" w:name="_Toc79163644"/>
      <w:bookmarkStart w:id="146" w:name="_Toc7916389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4"/>
      <w:bookmarkEnd w:id="145"/>
      <w:bookmarkEnd w:id="146"/>
    </w:p>
    <w:p>
      <w:pPr>
        <w:pStyle w:val="5"/>
        <w:rPr>
          <w:rFonts w:ascii="仿宋" w:hAnsi="仿宋" w:eastAsia="仿宋"/>
          <w:color w:val="000000"/>
        </w:rPr>
      </w:pPr>
      <w:bookmarkStart w:id="147" w:name="_Toc15396628"/>
      <w:bookmarkStart w:id="148" w:name="_Toc79163645"/>
      <w:bookmarkStart w:id="149" w:name="_Toc7916389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7"/>
      <w:bookmarkEnd w:id="148"/>
      <w:bookmarkEnd w:id="149"/>
    </w:p>
    <w:p>
      <w:pPr>
        <w:pStyle w:val="5"/>
        <w:rPr>
          <w:rFonts w:ascii="仿宋" w:hAnsi="仿宋" w:eastAsia="仿宋"/>
          <w:color w:val="000000"/>
        </w:rPr>
      </w:pPr>
      <w:bookmarkStart w:id="150" w:name="_Toc79163646"/>
      <w:bookmarkStart w:id="151" w:name="_Toc79163896"/>
      <w:bookmarkStart w:id="152"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0"/>
      <w:bookmarkEnd w:id="151"/>
      <w:bookmarkEnd w:id="152"/>
    </w:p>
    <w:p>
      <w:pPr>
        <w:pStyle w:val="5"/>
        <w:rPr>
          <w:rFonts w:ascii="仿宋" w:hAnsi="仿宋" w:eastAsia="仿宋"/>
          <w:color w:val="000000"/>
        </w:rPr>
      </w:pPr>
      <w:bookmarkStart w:id="153" w:name="_Toc15396630"/>
      <w:bookmarkStart w:id="154" w:name="_Toc79163647"/>
      <w:bookmarkStart w:id="155" w:name="_Toc7916389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3"/>
      <w:bookmarkEnd w:id="154"/>
      <w:bookmarkEnd w:id="155"/>
    </w:p>
    <w:p>
      <w:pPr>
        <w:pStyle w:val="5"/>
        <w:rPr>
          <w:rStyle w:val="26"/>
          <w:rFonts w:ascii="仿宋" w:hAnsi="仿宋" w:eastAsia="仿宋"/>
          <w:b w:val="0"/>
          <w:bCs w:val="0"/>
        </w:rPr>
      </w:pPr>
      <w:bookmarkStart w:id="156" w:name="_Toc15396631"/>
      <w:bookmarkStart w:id="157" w:name="_Toc79163648"/>
      <w:bookmarkStart w:id="158" w:name="_Toc7916389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6"/>
      <w:bookmarkEnd w:id="157"/>
      <w:bookmarkEnd w:id="158"/>
    </w:p>
    <w:p>
      <w:pPr>
        <w:pStyle w:val="5"/>
        <w:rPr>
          <w:rStyle w:val="26"/>
          <w:rFonts w:ascii="仿宋" w:hAnsi="仿宋" w:eastAsia="仿宋"/>
          <w:b w:val="0"/>
          <w:bCs w:val="0"/>
        </w:rPr>
      </w:pPr>
      <w:bookmarkStart w:id="159" w:name="_Toc79163899"/>
      <w:bookmarkStart w:id="160" w:name="_Toc79163649"/>
      <w:r>
        <w:rPr>
          <w:rStyle w:val="26"/>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swiss"/>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altName w:val="仿宋_GB2312"/>
    <w:panose1 w:val="02010609060101010101"/>
    <w:charset w:val="86"/>
    <w:family w:val="swiss"/>
    <w:pitch w:val="default"/>
    <w:sig w:usb0="00000000" w:usb1="00000000"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黑体">
    <w:panose1 w:val="02010600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等线">
    <w:altName w:val="Latha"/>
    <w:panose1 w:val="00000000000000000000"/>
    <w:charset w:val="00"/>
    <w:family w:val="auto"/>
    <w:pitch w:val="default"/>
    <w:sig w:usb0="0000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roman"/>
    <w:pitch w:val="default"/>
    <w:sig w:usb0="00000001" w:usb1="080E0000" w:usb2="00000000" w:usb3="00000000" w:csb0="00040000" w:csb1="00000000"/>
  </w:font>
  <w:font w:name="仿宋">
    <w:altName w:val="仿宋_GB2312"/>
    <w:panose1 w:val="02010609060101010101"/>
    <w:charset w:val="86"/>
    <w:family w:val="roman"/>
    <w:pitch w:val="default"/>
    <w:sig w:usb0="00000000" w:usb1="00000000" w:usb2="00000016" w:usb3="00000000" w:csb0="00040001" w:csb1="00000000"/>
  </w:font>
  <w:font w:name="黑体">
    <w:panose1 w:val="02010600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0000000000000000000"/>
    <w:charset w:val="86"/>
    <w:family w:val="modern"/>
    <w:pitch w:val="default"/>
    <w:sig w:usb0="00000000" w:usb1="00000000" w:usb2="00000016" w:usb3="00000000" w:csb0="00040001" w:csb1="00000000"/>
  </w:font>
  <w:font w:name="MS Mincho">
    <w:panose1 w:val="02020609040205080304"/>
    <w:charset w:val="80"/>
    <w:family w:val="modern"/>
    <w:pitch w:val="default"/>
    <w:sig w:usb0="A00002BF" w:usb1="68C7FCFB" w:usb2="00000010" w:usb3="00000000" w:csb0="4002009F" w:csb1="DFD7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6"/>
    <w:family w:val="modern"/>
    <w:pitch w:val="default"/>
    <w:sig w:usb0="FFFFFFFF" w:usb1="E9FFFFFF" w:usb2="0000003F" w:usb3="00000000" w:csb0="603F01FF" w:csb1="FFFF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黑体">
    <w:panose1 w:val="02010600030101010101"/>
    <w:charset w:val="86"/>
    <w:family w:val="modern"/>
    <w:pitch w:val="default"/>
    <w:sig w:usb0="00000001" w:usb1="080E0000" w:usb2="00000000" w:usb3="00000000" w:csb0="00040000" w:csb1="00000000"/>
  </w:font>
  <w:font w:name="MS Mincho">
    <w:panose1 w:val="02020609040205080304"/>
    <w:charset w:val="80"/>
    <w:family w:val="swiss"/>
    <w:pitch w:val="default"/>
    <w:sig w:usb0="A00002BF" w:usb1="68C7FCFB" w:usb2="00000010" w:usb3="00000000" w:csb0="4002009F" w:csb1="DFD70000"/>
  </w:font>
  <w:font w:name="Arial Unicode MS">
    <w:panose1 w:val="020B0604020202020204"/>
    <w:charset w:val="86"/>
    <w:family w:val="swiss"/>
    <w:pitch w:val="default"/>
    <w:sig w:usb0="FFFFFFFF" w:usb1="E9FFFFFF" w:usb2="0000003F" w:usb3="00000000" w:csb0="603F01FF" w:csb1="FFFF0000"/>
  </w:font>
  <w:font w:name="仿宋">
    <w:altName w:val="仿宋_GB2312"/>
    <w:panose1 w:val="00000000000000000000"/>
    <w:charset w:val="00"/>
    <w:family w:val="auto"/>
    <w:pitch w:val="default"/>
    <w:sig w:usb0="00000000" w:usb1="00000000" w:usb2="00000000" w:usb3="00000000" w:csb0="00000000" w:csb1="00000000"/>
  </w:font>
  <w:font w:name="MS Mincho">
    <w:panose1 w:val="02020609040205080304"/>
    <w:charset w:val="80"/>
    <w:family w:val="roman"/>
    <w:pitch w:val="default"/>
    <w:sig w:usb0="A00002BF" w:usb1="68C7FCFB" w:usb2="00000010" w:usb3="00000000" w:csb0="4002009F" w:csb1="DFD70000"/>
  </w:font>
  <w:font w:name="Arial Unicode MS">
    <w:panose1 w:val="020B0604020202020204"/>
    <w:charset w:val="86"/>
    <w:family w:val="roman"/>
    <w:pitch w:val="default"/>
    <w:sig w:usb0="FFFFFFFF" w:usb1="E9FFFFFF" w:usb2="0000003F" w:usb3="00000000" w:csb0="603F01FF" w:csb1="FFFF0000"/>
  </w:font>
  <w:font w:name="仿宋">
    <w:altName w:val="Arial Unicode MS"/>
    <w:panose1 w:val="00000000000000000000"/>
    <w:charset w:val="86"/>
    <w:family w:val="decorative"/>
    <w:pitch w:val="default"/>
    <w:sig w:usb0="00000000" w:usb1="00000000" w:usb2="00000016" w:usb3="00000000" w:csb0="00040001" w:csb1="00000000"/>
  </w:font>
  <w:font w:name="MS Mincho">
    <w:panose1 w:val="02020609040205080304"/>
    <w:charset w:val="80"/>
    <w:family w:val="decorative"/>
    <w:pitch w:val="default"/>
    <w:sig w:usb0="A00002BF" w:usb1="68C7FCFB" w:usb2="00000010" w:usb3="00000000" w:csb0="4002009F" w:csb1="DFD70000"/>
  </w:font>
  <w:font w:name="Arial Unicode MS">
    <w:panose1 w:val="020B0604020202020204"/>
    <w:charset w:val="86"/>
    <w:family w:val="decorative"/>
    <w:pitch w:val="default"/>
    <w:sig w:usb0="FFFFFFFF" w:usb1="E9FFFFFF" w:usb2="0000003F" w:usb3="00000000" w:csb0="603F01FF" w:csb1="FFFF0000"/>
  </w:font>
  <w:font w:name="仿宋">
    <w:altName w:val="仿宋_GB2312"/>
    <w:panose1 w:val="02010609060101010101"/>
    <w:charset w:val="86"/>
    <w:family w:val="decorative"/>
    <w:pitch w:val="default"/>
    <w:sig w:usb0="00000000" w:usb1="00000000" w:usb2="00000016" w:usb3="00000000" w:csb0="00040001" w:csb1="00000000"/>
  </w:font>
  <w:font w:name="黑体">
    <w:panose1 w:val="02010600030101010101"/>
    <w:charset w:val="86"/>
    <w:family w:val="decorative"/>
    <w:pitch w:val="default"/>
    <w:sig w:usb0="00000001" w:usb1="080E0000" w:usb2="00000000" w:usb3="00000000" w:csb0="00040000" w:csb1="00000000"/>
  </w:font>
  <w:font w:name="楷体">
    <w:altName w:val="楷体_GB2312"/>
    <w:panose1 w:val="02010609060101010101"/>
    <w:charset w:val="86"/>
    <w:family w:val="roman"/>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61007A87" w:usb1="80000000" w:usb2="00000008" w:usb3="00000000" w:csb0="200101FF" w:csb1="20280000"/>
  </w:font>
  <w:font w:name="楷体">
    <w:altName w:val="楷体_GB2312"/>
    <w:panose1 w:val="02010609060101010101"/>
    <w:charset w:val="86"/>
    <w:family w:val="modern"/>
    <w:pitch w:val="default"/>
    <w:sig w:usb0="00000000" w:usb1="00000000" w:usb2="00000016" w:usb3="00000000" w:csb0="00040001" w:csb1="00000000"/>
  </w:font>
  <w:font w:name="楷体">
    <w:altName w:val="楷体_GB2312"/>
    <w:panose1 w:val="02010609060101010101"/>
    <w:charset w:val="86"/>
    <w:family w:val="swiss"/>
    <w:pitch w:val="default"/>
    <w:sig w:usb0="00000000" w:usb1="00000000" w:usb2="00000016" w:usb3="00000000" w:csb0="00040001" w:csb1="00000000"/>
  </w:font>
  <w:font w:name="楷体">
    <w:altName w:val="楷体_GB2312"/>
    <w:panose1 w:val="02010609060101010101"/>
    <w:charset w:val="86"/>
    <w:family w:val="decorative"/>
    <w:pitch w:val="default"/>
    <w:sig w:usb0="00000000" w:usb1="00000000" w:usb2="00000016" w:usb3="00000000" w:csb0="00040001" w:csb1="00000000"/>
  </w:font>
  <w:font w:name="Arial">
    <w:panose1 w:val="020B0604020202020204"/>
    <w:charset w:val="00"/>
    <w:family w:val="roman"/>
    <w:pitch w:val="default"/>
    <w:sig w:usb0="00007A87" w:usb1="80000000" w:usb2="00000008" w:usb3="00000000" w:csb0="400001FF" w:csb1="FFFF0000"/>
  </w:font>
  <w:font w:name="Arial">
    <w:panose1 w:val="020B0604020202020204"/>
    <w:charset w:val="00"/>
    <w:family w:val="modern"/>
    <w:pitch w:val="default"/>
    <w:sig w:usb0="00007A87" w:usb1="80000000" w:usb2="00000008" w:usb3="00000000" w:csb0="400001FF" w:csb1="FFFF0000"/>
  </w:font>
  <w:font w:name="Arial">
    <w:panose1 w:val="020B0604020202020204"/>
    <w:charset w:val="00"/>
    <w:family w:val="swiss"/>
    <w:pitch w:val="default"/>
    <w:sig w:usb0="00007A87" w:usb1="80000000" w:usb2="00000008" w:usb3="00000000" w:csb0="400001FF" w:csb1="FFFF0000"/>
  </w:font>
  <w:font w:name="楷体">
    <w:altName w:val="楷体_GB2312"/>
    <w:panose1 w:val="00000000000000000000"/>
    <w:charset w:val="00"/>
    <w:family w:val="auto"/>
    <w:pitch w:val="default"/>
    <w:sig w:usb0="00000000" w:usb1="00000000" w:usb2="00000000" w:usb3="00000000" w:csb0="00000000" w:csb1="00000000"/>
  </w:font>
  <w:font w:name="Arial">
    <w:panose1 w:val="020B0604020202020204"/>
    <w:charset w:val="00"/>
    <w:family w:val="decorative"/>
    <w:pitch w:val="default"/>
    <w:sig w:usb0="00007A87" w:usb1="80000000" w:usb2="00000008" w:usb3="00000000" w:csb0="400001FF" w:csb1="FFFF0000"/>
  </w:font>
  <w:font w:name="华文中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080E0000" w:usb2="00000000" w:usb3="00000000" w:csb0="00040001" w:csb1="00000000"/>
  </w:font>
  <w:font w:name="方正大标宋简体">
    <w:panose1 w:val="02010601030101010101"/>
    <w:charset w:val="86"/>
    <w:family w:val="auto"/>
    <w:pitch w:val="default"/>
    <w:sig w:usb0="00000001" w:usb1="080E0000" w:usb2="00000000" w:usb3="00000000" w:csb0="00040000" w:csb1="00000000"/>
  </w:font>
  <w:font w:name="BZDHT">
    <w:altName w:val="宋体"/>
    <w:panose1 w:val="02010601030101010101"/>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0"/>
    <w:family w:val="modern"/>
    <w:pitch w:val="default"/>
    <w:sig w:usb0="00000000" w:usb1="00000000" w:usb2="00000000" w:usb3="00000000" w:csb0="00000000" w:csb1="00000000"/>
  </w:font>
  <w:font w:name="??">
    <w:altName w:val="Times New Roman"/>
    <w:panose1 w:val="00000000000000000000"/>
    <w:charset w:val="00"/>
    <w:family w:val="swiss"/>
    <w:pitch w:val="default"/>
    <w:sig w:usb0="00000000" w:usb1="00000000" w:usb2="00000000" w:usb3="00000000" w:csb0="00000000" w:csb1="00000000"/>
  </w:font>
  <w:font w:name="??">
    <w:altName w:val="Times New Roman"/>
    <w:panose1 w:val="00000000000000000000"/>
    <w:charset w:val="00"/>
    <w:family w:val="decorative"/>
    <w:pitch w:val="default"/>
    <w:sig w:usb0="00000000" w:usb1="00000000" w:usb2="00000000" w:usb3="00000000" w:csb0="00000000" w:csb1="00000000"/>
  </w:font>
  <w:font w:name="仿宋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09482763">
    <w:nsid w:val="1272550B"/>
    <w:multiLevelType w:val="multilevel"/>
    <w:tmpl w:val="1272550B"/>
    <w:lvl w:ilvl="0" w:tentative="1">
      <w:start w:val="1"/>
      <w:numFmt w:val="japaneseCounting"/>
      <w:lvlText w:val="%1、"/>
      <w:lvlJc w:val="left"/>
      <w:pPr>
        <w:ind w:left="1360" w:hanging="720"/>
      </w:pPr>
      <w:rPr>
        <w:rFonts w:hint="default" w:cs="Times New Roman"/>
        <w:b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808035965">
    <w:nsid w:val="E2FA047D"/>
    <w:multiLevelType w:val="singleLevel"/>
    <w:tmpl w:val="E2FA047D"/>
    <w:lvl w:ilvl="0" w:tentative="1">
      <w:start w:val="3"/>
      <w:numFmt w:val="chineseCounting"/>
      <w:suff w:val="space"/>
      <w:lvlText w:val="第%1部分"/>
      <w:lvlJc w:val="left"/>
      <w:rPr>
        <w:rFonts w:hint="eastAsia" w:cs="Times New Roman"/>
      </w:rPr>
    </w:lvl>
  </w:abstractNum>
  <w:abstractNum w:abstractNumId="1653986628">
    <w:nsid w:val="6295D544"/>
    <w:multiLevelType w:val="singleLevel"/>
    <w:tmpl w:val="6295D544"/>
    <w:lvl w:ilvl="0" w:tentative="1">
      <w:start w:val="1"/>
      <w:numFmt w:val="chineseCounting"/>
      <w:suff w:val="nothing"/>
      <w:lvlText w:val="（%1）"/>
      <w:lvlJc w:val="left"/>
    </w:lvl>
  </w:abstractNum>
  <w:abstractNum w:abstractNumId="1631150766">
    <w:nsid w:val="613962AE"/>
    <w:multiLevelType w:val="singleLevel"/>
    <w:tmpl w:val="613962AE"/>
    <w:lvl w:ilvl="0" w:tentative="1">
      <w:start w:val="1"/>
      <w:numFmt w:val="decimal"/>
      <w:suff w:val="nothing"/>
      <w:lvlText w:val="%1."/>
      <w:lvlJc w:val="left"/>
    </w:lvl>
  </w:abstractNum>
  <w:num w:numId="1">
    <w:abstractNumId w:val="309482763"/>
  </w:num>
  <w:num w:numId="2">
    <w:abstractNumId w:val="1631150766"/>
  </w:num>
  <w:num w:numId="3">
    <w:abstractNumId w:val="3808035965"/>
  </w:num>
  <w:num w:numId="4">
    <w:abstractNumId w:val="16539866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2636"/>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287E89"/>
    <w:rsid w:val="07EB0786"/>
    <w:rsid w:val="080561B3"/>
    <w:rsid w:val="0A2032A3"/>
    <w:rsid w:val="0A220AFE"/>
    <w:rsid w:val="0FA8052E"/>
    <w:rsid w:val="103F7612"/>
    <w:rsid w:val="10C055FF"/>
    <w:rsid w:val="118107EC"/>
    <w:rsid w:val="1267678E"/>
    <w:rsid w:val="12F63161"/>
    <w:rsid w:val="16BB723D"/>
    <w:rsid w:val="176A2DFA"/>
    <w:rsid w:val="19191DB1"/>
    <w:rsid w:val="1D155CEE"/>
    <w:rsid w:val="240371BF"/>
    <w:rsid w:val="26CE4FA8"/>
    <w:rsid w:val="29FD04D3"/>
    <w:rsid w:val="2B231024"/>
    <w:rsid w:val="2B7B7918"/>
    <w:rsid w:val="2BDB486C"/>
    <w:rsid w:val="2C566B0D"/>
    <w:rsid w:val="2CBD1DDC"/>
    <w:rsid w:val="2D897781"/>
    <w:rsid w:val="2D9410EF"/>
    <w:rsid w:val="3063411F"/>
    <w:rsid w:val="316906A9"/>
    <w:rsid w:val="31993EB4"/>
    <w:rsid w:val="319F7F4E"/>
    <w:rsid w:val="35506FFA"/>
    <w:rsid w:val="36DC5B28"/>
    <w:rsid w:val="38D51B79"/>
    <w:rsid w:val="3B0C3AF6"/>
    <w:rsid w:val="3B677DDF"/>
    <w:rsid w:val="3FB02F0D"/>
    <w:rsid w:val="444A1787"/>
    <w:rsid w:val="478A0200"/>
    <w:rsid w:val="4AA02849"/>
    <w:rsid w:val="4C78470C"/>
    <w:rsid w:val="4ECE2238"/>
    <w:rsid w:val="4FC81F3A"/>
    <w:rsid w:val="50393227"/>
    <w:rsid w:val="50AD4E9D"/>
    <w:rsid w:val="5554257F"/>
    <w:rsid w:val="564A4EB1"/>
    <w:rsid w:val="573A731A"/>
    <w:rsid w:val="5A053044"/>
    <w:rsid w:val="5CC0751B"/>
    <w:rsid w:val="5D884207"/>
    <w:rsid w:val="5E102032"/>
    <w:rsid w:val="5EB377BC"/>
    <w:rsid w:val="61F02122"/>
    <w:rsid w:val="66A5689E"/>
    <w:rsid w:val="671F1FDD"/>
    <w:rsid w:val="67F903E2"/>
    <w:rsid w:val="6C2B16F3"/>
    <w:rsid w:val="6C4A05C8"/>
    <w:rsid w:val="72734D90"/>
    <w:rsid w:val="74C62833"/>
    <w:rsid w:val="75A81393"/>
    <w:rsid w:val="75E2508B"/>
    <w:rsid w:val="75E73410"/>
    <w:rsid w:val="75F118D4"/>
    <w:rsid w:val="77E243F2"/>
    <w:rsid w:val="797430EB"/>
    <w:rsid w:val="7AF54F53"/>
    <w:rsid w:val="7B2B429B"/>
    <w:rsid w:val="7C7D4780"/>
    <w:rsid w:val="7E020AC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jc w:val="both"/>
    </w:pPr>
    <w:rPr>
      <w:rFonts w:ascii="Calibri" w:hAnsi="Calibri" w:eastAsia="宋体" w:cs="Times New Roman"/>
      <w:sz w:val="21"/>
      <w:szCs w:val="22"/>
      <w:lang w:val="en-US" w:eastAsia="zh-CN" w:bidi="ar-SA"/>
    </w:rPr>
  </w:style>
  <w:style w:type="paragraph" w:styleId="3">
    <w:name w:val="Body Text Indent"/>
    <w:basedOn w:val="1"/>
    <w:next w:val="2"/>
    <w:unhideWhenUsed/>
    <w:qFormat/>
    <w:uiPriority w:val="99"/>
    <w:pPr>
      <w:ind w:firstLine="560" w:firstLineChars="200"/>
    </w:pPr>
    <w:rPr>
      <w:rFonts w:ascii="宋体" w:hAnsi="宋体"/>
      <w:color w:val="000000"/>
      <w:sz w:val="28"/>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5">
    <w:name w:val="标题 1 字符"/>
    <w:basedOn w:val="21"/>
    <w:link w:val="4"/>
    <w:qFormat/>
    <w:locked/>
    <w:uiPriority w:val="9"/>
    <w:rPr>
      <w:rFonts w:ascii="Times New Roman" w:hAnsi="Times New Roman" w:cs="Times New Roman"/>
      <w:b/>
      <w:bCs/>
      <w:kern w:val="44"/>
      <w:sz w:val="44"/>
      <w:szCs w:val="44"/>
    </w:rPr>
  </w:style>
  <w:style w:type="character" w:customStyle="1" w:styleId="26">
    <w:name w:val="标题 2 字符"/>
    <w:basedOn w:val="21"/>
    <w:link w:val="5"/>
    <w:qFormat/>
    <w:locked/>
    <w:uiPriority w:val="9"/>
    <w:rPr>
      <w:rFonts w:ascii="Cambria" w:hAnsi="Cambria" w:eastAsia="宋体" w:cs="Times New Roman"/>
      <w:b/>
      <w:bCs/>
      <w:kern w:val="2"/>
      <w:sz w:val="32"/>
      <w:szCs w:val="32"/>
    </w:rPr>
  </w:style>
  <w:style w:type="character" w:customStyle="1" w:styleId="27">
    <w:name w:val="标题 3 字符"/>
    <w:basedOn w:val="21"/>
    <w:link w:val="6"/>
    <w:qFormat/>
    <w:locked/>
    <w:uiPriority w:val="9"/>
    <w:rPr>
      <w:rFonts w:ascii="Times New Roman" w:hAnsi="Times New Roman" w:cs="Times New Roman"/>
      <w:b/>
      <w:bCs/>
      <w:kern w:val="2"/>
      <w:sz w:val="32"/>
      <w:szCs w:val="32"/>
    </w:rPr>
  </w:style>
  <w:style w:type="character" w:customStyle="1" w:styleId="28">
    <w:name w:val="Body Text Char"/>
    <w:basedOn w:val="21"/>
    <w:semiHidden/>
    <w:qFormat/>
    <w:uiPriority w:val="99"/>
    <w:rPr>
      <w:rFonts w:ascii="Times New Roman" w:hAnsi="Times New Roman" w:cs="Times New Roman"/>
      <w:sz w:val="24"/>
      <w:szCs w:val="24"/>
    </w:rPr>
  </w:style>
  <w:style w:type="character" w:customStyle="1" w:styleId="29">
    <w:name w:val="批注框文本 字符"/>
    <w:basedOn w:val="21"/>
    <w:link w:val="12"/>
    <w:semiHidden/>
    <w:qFormat/>
    <w:locked/>
    <w:uiPriority w:val="99"/>
    <w:rPr>
      <w:rFonts w:ascii="Times New Roman" w:hAnsi="Times New Roman" w:cs="Times New Roman"/>
      <w:kern w:val="2"/>
      <w:sz w:val="18"/>
      <w:szCs w:val="18"/>
    </w:rPr>
  </w:style>
  <w:style w:type="character" w:customStyle="1" w:styleId="30">
    <w:name w:val="Footer Char"/>
    <w:basedOn w:val="21"/>
    <w:semiHidden/>
    <w:qFormat/>
    <w:uiPriority w:val="99"/>
    <w:rPr>
      <w:rFonts w:ascii="Times New Roman" w:hAnsi="Times New Roman" w:cs="Times New Roman"/>
      <w:sz w:val="18"/>
      <w:szCs w:val="18"/>
    </w:rPr>
  </w:style>
  <w:style w:type="character" w:customStyle="1" w:styleId="31">
    <w:name w:val="Header Char"/>
    <w:basedOn w:val="21"/>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ScaleCrop>false</ScaleCrop>
  <LinksUpToDate>false</LinksUpToDate>
  <CharactersWithSpaces>10536</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2022-09-16T04:00:00Z</cp:lastPrinted>
  <dcterms:modified xsi:type="dcterms:W3CDTF">2022-09-21T01:44:37Z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