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42"/>
          <w:szCs w:val="42"/>
        </w:rPr>
        <w:t>2022年度</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42"/>
          <w:szCs w:val="42"/>
        </w:rPr>
        <w:t>四川省阿坝州九寨沟县</w:t>
      </w:r>
      <w:r>
        <w:rPr>
          <w:rFonts w:hint="eastAsia" w:ascii="Calibri" w:hAnsi="Calibri" w:eastAsia="宋体" w:cs="Times New Roman"/>
          <w:kern w:val="0"/>
          <w:sz w:val="42"/>
          <w:szCs w:val="42"/>
        </w:rPr>
        <w:t>妇联</w:t>
      </w:r>
      <w:r>
        <w:rPr>
          <w:rFonts w:ascii="Calibri" w:hAnsi="Calibri" w:eastAsia="宋体" w:cs="Times New Roman"/>
          <w:kern w:val="0"/>
          <w:sz w:val="42"/>
          <w:szCs w:val="42"/>
        </w:rPr>
        <w:t>部门决算</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42"/>
          <w:szCs w:val="42"/>
        </w:rPr>
        <w:t>(部门公开)</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已经保密审查、内容审定，同意对外公开</w:t>
      </w:r>
    </w:p>
    <w:p>
      <w:pPr>
        <w:widowControl/>
        <w:spacing w:beforeAutospacing="1" w:afterAutospacing="1"/>
        <w:jc w:val="left"/>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left"/>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left"/>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br w:type="textWrapping"/>
      </w:r>
      <w:r>
        <w:rPr>
          <w:rFonts w:ascii="Calibri" w:hAnsi="Calibri" w:eastAsia="宋体" w:cs="Times New Roman"/>
          <w:kern w:val="0"/>
          <w:sz w:val="24"/>
          <w:szCs w:val="24"/>
        </w:rPr>
        <w:t>目录</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 </w:t>
      </w:r>
    </w:p>
    <w:p>
      <w:pPr>
        <w:widowControl/>
        <w:spacing w:beforeAutospacing="1" w:afterAutospacing="1"/>
        <w:jc w:val="center"/>
        <w:rPr>
          <w:rFonts w:ascii="Calibri" w:hAnsi="Calibri" w:eastAsia="宋体" w:cs="Times New Roman"/>
          <w:kern w:val="0"/>
          <w:sz w:val="24"/>
          <w:szCs w:val="24"/>
        </w:rPr>
      </w:pPr>
      <w:r>
        <w:rPr>
          <w:rFonts w:ascii="Calibri" w:hAnsi="Calibri" w:eastAsia="宋体" w:cs="Times New Roman"/>
          <w:kern w:val="0"/>
          <w:sz w:val="24"/>
          <w:szCs w:val="24"/>
        </w:rPr>
        <w:t>公开时间：2023年</w:t>
      </w:r>
      <w:r>
        <w:rPr>
          <w:rFonts w:hint="eastAsia" w:ascii="Calibri" w:hAnsi="Calibri" w:eastAsia="宋体" w:cs="Times New Roman"/>
          <w:kern w:val="0"/>
          <w:sz w:val="24"/>
          <w:szCs w:val="24"/>
        </w:rPr>
        <w:t>9</w:t>
      </w:r>
      <w:r>
        <w:rPr>
          <w:rFonts w:ascii="Calibri" w:hAnsi="Calibri" w:eastAsia="宋体" w:cs="Times New Roman"/>
          <w:kern w:val="0"/>
          <w:sz w:val="24"/>
          <w:szCs w:val="24"/>
        </w:rPr>
        <w:t>月</w:t>
      </w:r>
      <w:r>
        <w:rPr>
          <w:rFonts w:hint="eastAsia" w:ascii="Calibri" w:hAnsi="Calibri" w:eastAsia="宋体" w:cs="Times New Roman"/>
          <w:kern w:val="0"/>
          <w:sz w:val="24"/>
          <w:szCs w:val="24"/>
        </w:rPr>
        <w:t>27</w:t>
      </w:r>
      <w:r>
        <w:rPr>
          <w:rFonts w:ascii="Calibri" w:hAnsi="Calibri" w:eastAsia="宋体" w:cs="Times New Roman"/>
          <w:kern w:val="0"/>
          <w:sz w:val="24"/>
          <w:szCs w:val="24"/>
        </w:rPr>
        <w:t>日</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sdt>
      <w:sdtPr>
        <w:rPr>
          <w:rFonts w:ascii="宋体" w:hAnsi="宋体" w:eastAsia="宋体" w:cs="Times New Roman"/>
          <w:szCs w:val="24"/>
        </w:rPr>
        <w:id w:val="147482911"/>
        <w:docPartObj>
          <w:docPartGallery w:val="Table of Contents"/>
          <w:docPartUnique/>
        </w:docPartObj>
      </w:sdtPr>
      <w:sdtEndPr>
        <w:rPr>
          <w:rFonts w:ascii="Calibri" w:hAnsi="Calibri" w:eastAsia="宋体" w:cs="Times New Roman"/>
          <w:kern w:val="0"/>
          <w:sz w:val="24"/>
          <w:szCs w:val="24"/>
        </w:rPr>
      </w:sdtEndPr>
      <w:sdtContent>
        <w:p>
          <w:pPr>
            <w:jc w:val="center"/>
            <w:rPr>
              <w:rFonts w:ascii="Calibri" w:hAnsi="Calibri" w:eastAsia="宋体" w:cs="Times New Roman"/>
              <w:szCs w:val="24"/>
            </w:rPr>
          </w:pPr>
          <w:r>
            <w:rPr>
              <w:rFonts w:ascii="宋体" w:hAnsi="宋体" w:eastAsia="宋体" w:cs="Times New Roman"/>
              <w:szCs w:val="24"/>
            </w:rPr>
            <w:t>目录</w:t>
          </w:r>
        </w:p>
        <w:p>
          <w:pPr>
            <w:tabs>
              <w:tab w:val="right" w:leader="dot" w:pos="8306"/>
            </w:tabs>
            <w:rPr>
              <w:rFonts w:ascii="Times New Roman" w:hAnsi="Times New Roman" w:eastAsia="宋体" w:cs="Times New Roman"/>
              <w:sz w:val="20"/>
              <w:szCs w:val="20"/>
            </w:rPr>
          </w:pP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TOC \o "1-3" \h \u </w:instrText>
          </w:r>
          <w:r>
            <w:rPr>
              <w:rFonts w:ascii="Times New Roman" w:hAnsi="Times New Roman" w:eastAsia="宋体" w:cs="Times New Roman"/>
              <w:sz w:val="20"/>
              <w:szCs w:val="20"/>
            </w:rPr>
            <w:fldChar w:fldCharType="separate"/>
          </w:r>
          <w:r>
            <w:fldChar w:fldCharType="begin"/>
          </w:r>
          <w:r>
            <w:instrText xml:space="preserve"> HYPERLINK \l "_Toc17802" </w:instrText>
          </w:r>
          <w:r>
            <w:fldChar w:fldCharType="separate"/>
          </w:r>
          <w:r>
            <w:rPr>
              <w:rFonts w:ascii="Times New Roman" w:hAnsi="Times New Roman" w:eastAsia="宋体" w:cs="Times New Roman"/>
              <w:sz w:val="20"/>
              <w:szCs w:val="20"/>
            </w:rPr>
            <w:t>第一部分 部门概况</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_Toc17802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2</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"_Toc28118" </w:instrText>
          </w:r>
          <w:r>
            <w:fldChar w:fldCharType="separate"/>
          </w:r>
          <w:r>
            <w:rPr>
              <w:rFonts w:ascii="Times New Roman" w:hAnsi="Times New Roman" w:eastAsia="宋体" w:cs="Times New Roman"/>
              <w:sz w:val="20"/>
              <w:szCs w:val="20"/>
            </w:rPr>
            <w:t>第二部分 2022年度部门决算情况说明</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_Toc28118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2</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"_Toc16391" </w:instrText>
          </w:r>
          <w:r>
            <w:fldChar w:fldCharType="separate"/>
          </w:r>
          <w:r>
            <w:rPr>
              <w:rFonts w:ascii="Times New Roman" w:hAnsi="Times New Roman" w:eastAsia="宋体" w:cs="Times New Roman"/>
              <w:sz w:val="20"/>
              <w:szCs w:val="20"/>
            </w:rPr>
            <w:t>第三部分 名词解释</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_Toc16391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3</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"_Toc15078" </w:instrText>
          </w:r>
          <w:r>
            <w:fldChar w:fldCharType="separate"/>
          </w:r>
          <w:r>
            <w:rPr>
              <w:rFonts w:ascii="Times New Roman" w:hAnsi="Times New Roman" w:eastAsia="宋体" w:cs="Times New Roman"/>
              <w:sz w:val="20"/>
              <w:szCs w:val="20"/>
            </w:rPr>
            <w:t>第四部分 附件</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_Toc15078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3</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"_Toc15846" </w:instrText>
          </w:r>
          <w:r>
            <w:fldChar w:fldCharType="separate"/>
          </w:r>
          <w:r>
            <w:rPr>
              <w:rFonts w:ascii="Times New Roman" w:hAnsi="Times New Roman" w:eastAsia="宋体" w:cs="Times New Roman"/>
              <w:sz w:val="20"/>
              <w:szCs w:val="20"/>
            </w:rPr>
            <w:t>第五部分 附表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_Toc15846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3</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"_Toc16961" </w:instrText>
          </w:r>
          <w:r>
            <w:fldChar w:fldCharType="separate"/>
          </w:r>
          <w:r>
            <w:rPr>
              <w:rFonts w:hint="eastAsia" w:ascii="宋体" w:hAnsi="宋体" w:eastAsia="宋体" w:cs="宋体"/>
              <w:sz w:val="20"/>
              <w:szCs w:val="32"/>
            </w:rPr>
            <w:t>第一部分 部门概况</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_Toc16961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4</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"_Toc5262" </w:instrText>
          </w:r>
          <w:r>
            <w:fldChar w:fldCharType="separate"/>
          </w:r>
          <w:r>
            <w:rPr>
              <w:rFonts w:hint="eastAsia" w:ascii="宋体" w:hAnsi="宋体" w:eastAsia="宋体" w:cs="宋体"/>
              <w:sz w:val="20"/>
              <w:szCs w:val="24"/>
            </w:rPr>
            <w:t>一、基本职能及主要工作</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_Toc5262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4</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"_Toc10554" </w:instrText>
          </w:r>
          <w:r>
            <w:fldChar w:fldCharType="separate"/>
          </w:r>
          <w:r>
            <w:rPr>
              <w:rFonts w:hint="eastAsia" w:ascii="宋体" w:hAnsi="宋体" w:eastAsia="宋体" w:cs="宋体"/>
              <w:sz w:val="20"/>
              <w:szCs w:val="24"/>
            </w:rPr>
            <w:t>二、机构设置</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_Toc10554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5</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"_Toc2923" </w:instrText>
          </w:r>
          <w:r>
            <w:fldChar w:fldCharType="separate"/>
          </w:r>
          <w:r>
            <w:rPr>
              <w:rFonts w:hint="eastAsia" w:ascii="宋体" w:hAnsi="宋体" w:eastAsia="宋体" w:cs="宋体"/>
              <w:sz w:val="20"/>
              <w:szCs w:val="24"/>
            </w:rPr>
            <w:t>第二部分 2022年度部门决算情况说明</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_Toc2923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5</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"_Toc31595" </w:instrText>
          </w:r>
          <w:r>
            <w:fldChar w:fldCharType="separate"/>
          </w:r>
          <w:r>
            <w:rPr>
              <w:rFonts w:hint="eastAsia" w:ascii="宋体" w:hAnsi="宋体" w:eastAsia="宋体" w:cs="宋体"/>
              <w:sz w:val="20"/>
              <w:szCs w:val="24"/>
            </w:rPr>
            <w:t>第三部分 名词解释</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_Toc31595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13</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"_Toc16929" </w:instrText>
          </w:r>
          <w:r>
            <w:fldChar w:fldCharType="separate"/>
          </w:r>
          <w:r>
            <w:rPr>
              <w:rFonts w:hint="eastAsia" w:ascii="宋体" w:hAnsi="宋体" w:eastAsia="宋体" w:cs="宋体"/>
              <w:sz w:val="20"/>
              <w:szCs w:val="24"/>
            </w:rPr>
            <w:t>第四部分 附件</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_Toc16929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15</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rPr>
              <w:rFonts w:ascii="Times New Roman" w:hAnsi="Times New Roman" w:eastAsia="宋体" w:cs="Times New Roman"/>
              <w:sz w:val="20"/>
              <w:szCs w:val="20"/>
            </w:rPr>
          </w:pPr>
          <w:r>
            <w:fldChar w:fldCharType="begin"/>
          </w:r>
          <w:r>
            <w:instrText xml:space="preserve"> HYPERLINK \l "_Toc23185" </w:instrText>
          </w:r>
          <w:r>
            <w:fldChar w:fldCharType="separate"/>
          </w:r>
          <w:r>
            <w:rPr>
              <w:rFonts w:ascii="Times New Roman" w:hAnsi="Times New Roman" w:eastAsia="宋体" w:cs="Times New Roman"/>
              <w:sz w:val="20"/>
              <w:szCs w:val="39"/>
            </w:rPr>
            <w:t>第五部分 附表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_Toc23185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"_Toc31096" </w:instrText>
          </w:r>
          <w:r>
            <w:fldChar w:fldCharType="separate"/>
          </w:r>
          <w:r>
            <w:rPr>
              <w:rFonts w:ascii="Times New Roman" w:hAnsi="Times New Roman" w:eastAsia="宋体" w:cs="Times New Roman"/>
              <w:sz w:val="20"/>
              <w:szCs w:val="20"/>
            </w:rPr>
            <w:t>一、收入支出决算总表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_Toc31096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"_Toc6731" </w:instrText>
          </w:r>
          <w:r>
            <w:fldChar w:fldCharType="separate"/>
          </w:r>
          <w:r>
            <w:rPr>
              <w:rFonts w:ascii="Times New Roman" w:hAnsi="Times New Roman" w:eastAsia="宋体" w:cs="Times New Roman"/>
              <w:sz w:val="20"/>
              <w:szCs w:val="20"/>
            </w:rPr>
            <w:t>二、收入决算表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_Toc6731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"_Toc23720" </w:instrText>
          </w:r>
          <w:r>
            <w:fldChar w:fldCharType="separate"/>
          </w:r>
          <w:r>
            <w:rPr>
              <w:rFonts w:ascii="Times New Roman" w:hAnsi="Times New Roman" w:eastAsia="宋体" w:cs="Times New Roman"/>
              <w:sz w:val="20"/>
              <w:szCs w:val="20"/>
            </w:rPr>
            <w:t>三、支出决算表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_Toc23720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"_Toc3775" </w:instrText>
          </w:r>
          <w:r>
            <w:fldChar w:fldCharType="separate"/>
          </w:r>
          <w:r>
            <w:rPr>
              <w:rFonts w:ascii="Times New Roman" w:hAnsi="Times New Roman" w:eastAsia="宋体" w:cs="Times New Roman"/>
              <w:sz w:val="20"/>
              <w:szCs w:val="20"/>
            </w:rPr>
            <w:t>四、财政拨款收入支出决算总表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_Toc3775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"_Toc5603" </w:instrText>
          </w:r>
          <w:r>
            <w:fldChar w:fldCharType="separate"/>
          </w:r>
          <w:r>
            <w:rPr>
              <w:rFonts w:ascii="Times New Roman" w:hAnsi="Times New Roman" w:eastAsia="宋体" w:cs="Times New Roman"/>
              <w:sz w:val="20"/>
              <w:szCs w:val="20"/>
            </w:rPr>
            <w:t>五、财政拨款支出决算明细表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_Toc5603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"_Toc19822" </w:instrText>
          </w:r>
          <w:r>
            <w:fldChar w:fldCharType="separate"/>
          </w:r>
          <w:r>
            <w:rPr>
              <w:rFonts w:ascii="Times New Roman" w:hAnsi="Times New Roman" w:eastAsia="宋体" w:cs="Times New Roman"/>
              <w:sz w:val="20"/>
              <w:szCs w:val="20"/>
            </w:rPr>
            <w:t>六、一般公共预算财政拨款支出决算表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_Toc19822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"_Toc4178" </w:instrText>
          </w:r>
          <w:r>
            <w:fldChar w:fldCharType="separate"/>
          </w:r>
          <w:r>
            <w:rPr>
              <w:rFonts w:ascii="Times New Roman" w:hAnsi="Times New Roman" w:eastAsia="宋体" w:cs="Times New Roman"/>
              <w:sz w:val="20"/>
              <w:szCs w:val="20"/>
            </w:rPr>
            <w:t>七、一般公共预算财政拨款支出决算明细表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_Toc4178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"_Toc22988" </w:instrText>
          </w:r>
          <w:r>
            <w:fldChar w:fldCharType="separate"/>
          </w:r>
          <w:r>
            <w:rPr>
              <w:rFonts w:ascii="Times New Roman" w:hAnsi="Times New Roman" w:eastAsia="宋体" w:cs="Times New Roman"/>
              <w:sz w:val="20"/>
              <w:szCs w:val="20"/>
            </w:rPr>
            <w:t>八、一般公共预算财政拨款基本支出决算表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_Toc22988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"_Toc6881" </w:instrText>
          </w:r>
          <w:r>
            <w:fldChar w:fldCharType="separate"/>
          </w:r>
          <w:r>
            <w:rPr>
              <w:rFonts w:ascii="Times New Roman" w:hAnsi="Times New Roman" w:eastAsia="宋体" w:cs="Times New Roman"/>
              <w:sz w:val="20"/>
              <w:szCs w:val="20"/>
            </w:rPr>
            <w:t>九、一般公共预算财政拨款项目支出决算表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_Toc6881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19</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"_Toc17224" </w:instrText>
          </w:r>
          <w:r>
            <w:fldChar w:fldCharType="separate"/>
          </w:r>
          <w:r>
            <w:rPr>
              <w:rFonts w:ascii="Times New Roman" w:hAnsi="Times New Roman" w:eastAsia="宋体" w:cs="Times New Roman"/>
              <w:sz w:val="20"/>
              <w:szCs w:val="20"/>
            </w:rPr>
            <w:t>十、政府性基金预算财政拨款收入支出决算表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_Toc17224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20</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"_Toc31377" </w:instrText>
          </w:r>
          <w:r>
            <w:fldChar w:fldCharType="separate"/>
          </w:r>
          <w:r>
            <w:rPr>
              <w:rFonts w:ascii="Times New Roman" w:hAnsi="Times New Roman" w:eastAsia="宋体" w:cs="Times New Roman"/>
              <w:sz w:val="20"/>
              <w:szCs w:val="20"/>
            </w:rPr>
            <w:t>十一、国有资本经营预算财政拨款收入支出决算表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_Toc31377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20</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"_Toc10476" </w:instrText>
          </w:r>
          <w:r>
            <w:fldChar w:fldCharType="separate"/>
          </w:r>
          <w:r>
            <w:rPr>
              <w:rFonts w:ascii="Times New Roman" w:hAnsi="Times New Roman" w:eastAsia="宋体" w:cs="Times New Roman"/>
              <w:sz w:val="20"/>
              <w:szCs w:val="20"/>
            </w:rPr>
            <w:t>十二、国有资本经营预算财政拨款支出决算表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_Toc10476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20</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tabs>
              <w:tab w:val="right" w:leader="dot" w:pos="8306"/>
            </w:tabs>
            <w:ind w:left="420" w:leftChars="200"/>
            <w:rPr>
              <w:rFonts w:ascii="Times New Roman" w:hAnsi="Times New Roman" w:eastAsia="宋体" w:cs="Times New Roman"/>
              <w:sz w:val="20"/>
              <w:szCs w:val="20"/>
            </w:rPr>
          </w:pPr>
          <w:r>
            <w:fldChar w:fldCharType="begin"/>
          </w:r>
          <w:r>
            <w:instrText xml:space="preserve"> HYPERLINK \l "_Toc12326" </w:instrText>
          </w:r>
          <w:r>
            <w:fldChar w:fldCharType="separate"/>
          </w:r>
          <w:r>
            <w:rPr>
              <w:rFonts w:ascii="Times New Roman" w:hAnsi="Times New Roman" w:eastAsia="宋体" w:cs="Times New Roman"/>
              <w:sz w:val="20"/>
              <w:szCs w:val="20"/>
            </w:rPr>
            <w:t>十三、财政拨款“三公”经费支出决算表</w:t>
          </w:r>
          <w:r>
            <w:rPr>
              <w:rFonts w:ascii="Times New Roman" w:hAnsi="Times New Roman" w:eastAsia="宋体" w:cs="Times New Roman"/>
              <w:sz w:val="20"/>
              <w:szCs w:val="20"/>
            </w:rPr>
            <w:tab/>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 PAGEREF _Toc12326 \h </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t>20</w:t>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fldChar w:fldCharType="end"/>
          </w:r>
        </w:p>
        <w:p>
          <w:pPr>
            <w:widowControl/>
            <w:shd w:val="clear" w:color="auto" w:fill="FFFFFF"/>
            <w:ind w:left="420"/>
            <w:jc w:val="left"/>
            <w:rPr>
              <w:rFonts w:ascii="Calibri" w:hAnsi="Calibri" w:eastAsia="宋体" w:cs="Times New Roman"/>
              <w:kern w:val="0"/>
              <w:sz w:val="24"/>
              <w:szCs w:val="24"/>
            </w:rPr>
          </w:pPr>
          <w:r>
            <w:rPr>
              <w:rFonts w:ascii="Calibri" w:hAnsi="Calibri" w:eastAsia="宋体" w:cs="Times New Roman"/>
              <w:kern w:val="0"/>
              <w:sz w:val="24"/>
              <w:szCs w:val="24"/>
            </w:rPr>
            <w:fldChar w:fldCharType="end"/>
          </w:r>
        </w:p>
      </w:sdtContent>
    </w:sdt>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一、收入支出决算总表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二、收入决算表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三、支出决算表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四、财政拨款收入支出决算总表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五、财政拨款支出决算明细表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六、一般公共预算财政拨款支出决算表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七、一般公共预算财政拨款支出决算明细表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八、一般公共预算财政拨款基本支出决算表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九、一般公共预算财政拨款项目支出决算表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十、政府性基金预算财政拨款收入支出决算表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十一、国有资本经营预算财政拨款收入支出决算表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十二、国有资本经营预算财政拨款支出决算表</w:t>
      </w:r>
    </w:p>
    <w:p>
      <w:pPr>
        <w:widowControl/>
        <w:shd w:val="clear" w:color="auto" w:fill="FFFFFF"/>
        <w:ind w:left="420"/>
        <w:jc w:val="left"/>
        <w:rPr>
          <w:rFonts w:ascii="Arial" w:hAnsi="Arial" w:eastAsia="宋体" w:cs="Arial"/>
          <w:color w:val="000000"/>
          <w:kern w:val="0"/>
          <w:sz w:val="20"/>
          <w:szCs w:val="20"/>
        </w:rPr>
      </w:pPr>
      <w:r>
        <w:rPr>
          <w:rFonts w:ascii="Arial" w:hAnsi="Arial" w:eastAsia="宋体" w:cs="Arial"/>
          <w:color w:val="000000"/>
          <w:kern w:val="0"/>
          <w:sz w:val="20"/>
          <w:szCs w:val="20"/>
        </w:rPr>
        <w:t>十三、财政拨款“三公”经费支出决算表</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(注：请部门根据实际注明页码)</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spacing w:before="100" w:beforeAutospacing="1" w:after="100" w:afterAutospacing="1"/>
        <w:jc w:val="center"/>
        <w:outlineLvl w:val="0"/>
        <w:rPr>
          <w:rFonts w:ascii="Arial" w:hAnsi="Arial" w:eastAsia="宋体" w:cs="Arial"/>
          <w:b/>
          <w:bCs/>
          <w:color w:val="000000"/>
          <w:kern w:val="36"/>
          <w:sz w:val="48"/>
          <w:szCs w:val="48"/>
        </w:rPr>
      </w:pPr>
      <w:r>
        <w:rPr>
          <w:rFonts w:ascii="Arial" w:hAnsi="Arial" w:eastAsia="宋体" w:cs="Arial"/>
          <w:b/>
          <w:bCs/>
          <w:color w:val="000000"/>
          <w:kern w:val="36"/>
          <w:sz w:val="48"/>
          <w:szCs w:val="48"/>
        </w:rPr>
        <w:t>第一部分 部门概况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一、基本职能及主要工作</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（一）主要职能。</w:t>
      </w:r>
    </w:p>
    <w:p>
      <w:pPr>
        <w:widowControl/>
        <w:shd w:val="clear" w:color="auto" w:fill="FFFFFF"/>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九寨沟县妇联是全国妇联的地方组织，是中共九寨沟县委领导下的全县各族各界妇女的群众团体，是党和政府联系妇女的桥梁和纽带，是国家政权的重要社会支桂之一。其机关的主要工作职责是：</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(一)根据觉的中心任务，指导全县各乡镇妇联和县直机关各妇代小组依据《中华人民共和国妇女联合会章程»和妇女代表大会的决议，开展妇女儿童工作，并给予业务指导。</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(二)调查研究我县妇女儿童基本情况，针对存在的问题，及时向县委、政府反映并提出建议。</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(三)组织全县农村妇女开展“双学双赛”和城镇妇女的“巾帼建功” 活动。动员妇女投身改革开放和社会主义现代化建设。</w:t>
      </w:r>
    </w:p>
    <w:p>
      <w:pPr>
        <w:spacing w:line="560" w:lineRule="exac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（四）教育引导广大妇女，增强自尊、自信、自立和自强精神，表彰各行各业先进妇女组织和先进个人，开展妇女技术培训和妇女干部培训，全面提高素质，促进妇女人才的成长。</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(五)代表妇女参与国家事务的民主管理、民主监督，参与有关妇女儿童政策的制定，维护妇女儿童的合法权益</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(六)为妇女儿童服务，加强与社会各界的联系，协调和推动社会各界为妇女儿童办实事、办好事，建立与各族各界妇女协会组织的联系，巩固各族妇女的大团结。</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(七)负责本单位的精神文明建设和党风廉政建设。</w:t>
      </w:r>
    </w:p>
    <w:p>
      <w:pPr>
        <w:spacing w:line="560" w:lineRule="exact"/>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(八承担县大民政府妇女儿童工作委员会日常工作，承办县委、县政府交办的其它事项。</w:t>
      </w:r>
    </w:p>
    <w:p>
      <w:pPr>
        <w:widowControl/>
        <w:shd w:val="clear" w:color="auto" w:fill="FFFFFF"/>
        <w:jc w:val="left"/>
        <w:rPr>
          <w:rFonts w:ascii="Arial" w:hAnsi="Arial" w:eastAsia="宋体" w:cs="Arial"/>
          <w:color w:val="000000"/>
          <w:kern w:val="0"/>
          <w:sz w:val="20"/>
          <w:szCs w:val="20"/>
        </w:rPr>
      </w:pP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（二）2022年重点工作完成情况。</w:t>
      </w:r>
    </w:p>
    <w:p>
      <w:pPr>
        <w:pStyle w:val="21"/>
        <w:topLinePunct/>
        <w:autoSpaceDE w:val="0"/>
        <w:autoSpaceDN w:val="0"/>
        <w:spacing w:line="576" w:lineRule="exact"/>
        <w:jc w:val="both"/>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（一）</w:t>
      </w:r>
      <w:r>
        <w:rPr>
          <w:rFonts w:ascii="Times New Roman" w:hAnsi="Times New Roman" w:eastAsia="方正黑体_GBK" w:cs="Times New Roman"/>
          <w:sz w:val="32"/>
          <w:szCs w:val="32"/>
        </w:rPr>
        <w:t>实施“巾帼红”思想引领行动，坚定跟党走的信心决心</w:t>
      </w:r>
    </w:p>
    <w:p>
      <w:pPr>
        <w:pStyle w:val="6"/>
        <w:topLinePunct/>
        <w:autoSpaceDE w:val="0"/>
        <w:autoSpaceDN w:val="0"/>
        <w:spacing w:after="0" w:line="576" w:lineRule="exact"/>
        <w:ind w:firstLine="640"/>
        <w:rPr>
          <w:rFonts w:eastAsia="方正仿宋_GBK" w:cs="Times New Roman"/>
          <w:sz w:val="32"/>
          <w:szCs w:val="32"/>
        </w:rPr>
      </w:pPr>
      <w:r>
        <w:rPr>
          <w:rFonts w:hint="eastAsia" w:eastAsia="方正楷体_GBK" w:cs="Times New Roman"/>
          <w:b/>
          <w:bCs/>
          <w:sz w:val="32"/>
          <w:szCs w:val="32"/>
        </w:rPr>
        <w:t>1.</w:t>
      </w:r>
      <w:r>
        <w:rPr>
          <w:rFonts w:ascii="Times New Roman" w:hAnsi="Times New Roman" w:eastAsia="方正楷体_GBK" w:cs="Times New Roman"/>
          <w:b/>
          <w:bCs/>
          <w:sz w:val="32"/>
          <w:szCs w:val="32"/>
        </w:rPr>
        <w:t>思想引领聚人心</w:t>
      </w:r>
      <w:r>
        <w:rPr>
          <w:rFonts w:hint="eastAsia" w:eastAsia="方正楷体_GBK" w:cs="Times New Roman"/>
          <w:b/>
          <w:bCs/>
          <w:sz w:val="32"/>
          <w:szCs w:val="32"/>
        </w:rPr>
        <w:t>。</w:t>
      </w:r>
      <w:r>
        <w:rPr>
          <w:rFonts w:hint="eastAsia" w:ascii="方正仿宋_GBK" w:hAnsi="方正仿宋_GBK" w:eastAsia="方正仿宋_GBK" w:cs="方正仿宋_GBK"/>
          <w:color w:val="000000"/>
          <w:sz w:val="32"/>
          <w:szCs w:val="32"/>
        </w:rPr>
        <w:t>围绕喜迎二十大和宣传贯彻党</w:t>
      </w:r>
      <w:r>
        <w:rPr>
          <w:rFonts w:hint="eastAsia" w:ascii="方正仿宋_GBK" w:hAnsi="方正仿宋_GBK" w:eastAsia="方正仿宋_GBK" w:cs="方正仿宋_GBK"/>
          <w:color w:val="000000"/>
          <w:sz w:val="32"/>
          <w:szCs w:val="32"/>
          <w:lang w:eastAsia="zh-CN"/>
        </w:rPr>
        <w:t>的</w:t>
      </w:r>
      <w:bookmarkStart w:id="0" w:name="_GoBack"/>
      <w:bookmarkEnd w:id="0"/>
      <w:r>
        <w:rPr>
          <w:rFonts w:hint="eastAsia" w:ascii="方正仿宋_GBK" w:hAnsi="方正仿宋_GBK" w:eastAsia="方正仿宋_GBK" w:cs="方正仿宋_GBK"/>
          <w:color w:val="000000"/>
          <w:sz w:val="32"/>
          <w:szCs w:val="32"/>
        </w:rPr>
        <w:t>二十大精神的这一主线，开展</w:t>
      </w:r>
      <w:r>
        <w:rPr>
          <w:rFonts w:hint="eastAsia" w:ascii="Times New Roman" w:hAnsi="Times New Roman" w:eastAsia="方正仿宋_GBK" w:cs="Times New Roman"/>
          <w:sz w:val="32"/>
          <w:szCs w:val="32"/>
        </w:rPr>
        <w:t>宣讲活动1</w:t>
      </w:r>
      <w:r>
        <w:rPr>
          <w:rFonts w:hint="eastAsia" w:eastAsia="方正仿宋_GBK" w:cs="Times New Roman"/>
          <w:sz w:val="32"/>
          <w:szCs w:val="32"/>
        </w:rPr>
        <w:t>4</w:t>
      </w:r>
      <w:r>
        <w:rPr>
          <w:rFonts w:hint="eastAsia" w:ascii="Times New Roman" w:hAnsi="Times New Roman" w:eastAsia="方正仿宋_GBK" w:cs="Times New Roman"/>
          <w:sz w:val="32"/>
          <w:szCs w:val="32"/>
        </w:rPr>
        <w:t>场次，覆盖群众12000余人次</w:t>
      </w:r>
      <w:r>
        <w:rPr>
          <w:rFonts w:hint="eastAsia" w:eastAsia="方正仿宋_GBK" w:cs="Times New Roman"/>
          <w:sz w:val="32"/>
          <w:szCs w:val="32"/>
        </w:rPr>
        <w:t>；在各乡镇成立了九寨采花巾帼宣讲队，进一步强化宣传宣讲工作</w:t>
      </w:r>
      <w:r>
        <w:rPr>
          <w:rFonts w:hint="eastAsia" w:ascii="Times New Roman" w:hAnsi="Times New Roman" w:eastAsia="方正仿宋_GBK" w:cs="Times New Roman"/>
          <w:sz w:val="32"/>
          <w:szCs w:val="32"/>
        </w:rPr>
        <w:t>；举办红色故事</w:t>
      </w:r>
      <w:r>
        <w:rPr>
          <w:rFonts w:hint="eastAsia" w:eastAsia="方正仿宋_GBK" w:cs="Times New Roman"/>
          <w:sz w:val="32"/>
          <w:szCs w:val="32"/>
        </w:rPr>
        <w:t>分享会</w:t>
      </w:r>
      <w:r>
        <w:rPr>
          <w:rFonts w:hint="eastAsia" w:ascii="Times New Roman" w:hAnsi="Times New Roman" w:eastAsia="方正仿宋_GBK" w:cs="Times New Roman"/>
          <w:sz w:val="32"/>
          <w:szCs w:val="32"/>
        </w:rPr>
        <w:t>、演讲比赛、亲子</w:t>
      </w:r>
      <w:r>
        <w:rPr>
          <w:rFonts w:hint="eastAsia" w:eastAsia="方正仿宋_GBK" w:cs="Times New Roman"/>
          <w:sz w:val="32"/>
          <w:szCs w:val="32"/>
        </w:rPr>
        <w:t>诵读等</w:t>
      </w:r>
      <w:r>
        <w:rPr>
          <w:rFonts w:hint="eastAsia" w:ascii="Times New Roman" w:hAnsi="Times New Roman" w:eastAsia="方正仿宋_GBK" w:cs="Times New Roman"/>
          <w:sz w:val="32"/>
          <w:szCs w:val="32"/>
        </w:rPr>
        <w:t>活动</w:t>
      </w:r>
      <w:r>
        <w:rPr>
          <w:rFonts w:hint="eastAsia" w:eastAsia="方正仿宋_GBK" w:cs="Times New Roman"/>
          <w:sz w:val="32"/>
          <w:szCs w:val="32"/>
        </w:rPr>
        <w:t xml:space="preserve">，弘扬革命精神，激发爱国情怀；编排以“巾帼心向党，喜迎二十大”为主题的琵琶弹唱，唱出全县广大妇女听党话、跟党走、感党恩的心声。  </w:t>
      </w:r>
    </w:p>
    <w:p>
      <w:pPr>
        <w:pStyle w:val="6"/>
        <w:topLinePunct/>
        <w:autoSpaceDE w:val="0"/>
        <w:autoSpaceDN w:val="0"/>
        <w:spacing w:after="0" w:line="576" w:lineRule="exact"/>
        <w:ind w:firstLine="642" w:firstLineChars="200"/>
        <w:rPr>
          <w:rFonts w:ascii="Times New Roman" w:hAnsi="Times New Roman" w:eastAsia="方正仿宋_GBK" w:cs="Times New Roman"/>
          <w:sz w:val="32"/>
          <w:szCs w:val="32"/>
        </w:rPr>
      </w:pPr>
      <w:r>
        <w:rPr>
          <w:rFonts w:hint="eastAsia" w:eastAsia="方正楷体_GBK" w:cs="Times New Roman"/>
          <w:b/>
          <w:bCs/>
          <w:sz w:val="32"/>
          <w:szCs w:val="32"/>
        </w:rPr>
        <w:t>2.</w:t>
      </w:r>
      <w:r>
        <w:rPr>
          <w:rFonts w:ascii="Times New Roman" w:hAnsi="Times New Roman" w:eastAsia="方正楷体_GBK" w:cs="Times New Roman"/>
          <w:b/>
          <w:bCs/>
          <w:sz w:val="32"/>
          <w:szCs w:val="32"/>
        </w:rPr>
        <w:t>典型示范</w:t>
      </w:r>
      <w:r>
        <w:rPr>
          <w:rFonts w:hint="eastAsia" w:eastAsia="方正楷体_GBK" w:cs="Times New Roman"/>
          <w:b/>
          <w:bCs/>
          <w:sz w:val="32"/>
          <w:szCs w:val="32"/>
        </w:rPr>
        <w:t>达</w:t>
      </w:r>
      <w:r>
        <w:rPr>
          <w:rFonts w:ascii="Times New Roman" w:hAnsi="Times New Roman" w:eastAsia="方正楷体_GBK" w:cs="Times New Roman"/>
          <w:b/>
          <w:bCs/>
          <w:sz w:val="32"/>
          <w:szCs w:val="32"/>
        </w:rPr>
        <w:t>共识</w:t>
      </w:r>
      <w:r>
        <w:rPr>
          <w:rFonts w:hint="eastAsia" w:eastAsia="方正楷体_GBK" w:cs="Times New Roman"/>
          <w:b/>
          <w:bCs/>
          <w:sz w:val="32"/>
          <w:szCs w:val="32"/>
        </w:rPr>
        <w:t>。</w:t>
      </w:r>
      <w:r>
        <w:rPr>
          <w:rFonts w:ascii="Times New Roman" w:hAnsi="Times New Roman" w:eastAsia="方正仿宋_GBK" w:cs="Times New Roman"/>
          <w:sz w:val="32"/>
          <w:szCs w:val="32"/>
        </w:rPr>
        <w:t>命名表扬“三八红旗集体”1个、“巾帼建功先进集体”1个、“巾帼文明岗”2个、“优秀基层妇联组织”6个、“三八红旗手”4名、“巾帼建功标兵”4名、“优秀妇联干部”5名、“洁美家庭”20户、“好媳妇”78名、“好婆婆”78名。</w:t>
      </w:r>
      <w:r>
        <w:rPr>
          <w:rFonts w:hint="eastAsia" w:eastAsia="方正仿宋_GBK" w:cs="Times New Roman"/>
          <w:kern w:val="0"/>
          <w:sz w:val="32"/>
          <w:szCs w:val="32"/>
        </w:rPr>
        <w:t>并联合县融媒体中心在九寨沟电视台和九寨官方发布上对20户最美家庭先进事迹进行了专题报道，</w:t>
      </w:r>
      <w:r>
        <w:rPr>
          <w:rFonts w:hint="eastAsia" w:ascii="Times New Roman" w:hAnsi="Times New Roman" w:eastAsia="方正仿宋_GBK" w:cs="Times New Roman"/>
          <w:kern w:val="0"/>
          <w:sz w:val="32"/>
          <w:szCs w:val="32"/>
        </w:rPr>
        <w:t>以榜样的力量激励广大妇女立足岗位建新功；</w:t>
      </w:r>
      <w:r>
        <w:rPr>
          <w:rFonts w:ascii="Times New Roman" w:hAnsi="Times New Roman" w:eastAsia="方正仿宋_GBK" w:cs="Times New Roman"/>
          <w:sz w:val="32"/>
          <w:szCs w:val="32"/>
        </w:rPr>
        <w:t>在“九寨沟县妇联”微信公众号开设巾帼风采展、家庭教育专栏、巾帼致富带头人专栏、最美家庭事迹展播、妇女维权等宣传栏目，发布工作动态、法律法规、家庭教育等宣传信息102条</w:t>
      </w:r>
      <w:r>
        <w:rPr>
          <w:rFonts w:hint="eastAsia" w:ascii="Times New Roman" w:hAnsi="Times New Roman" w:eastAsia="方正仿宋_GBK" w:cs="Times New Roman"/>
          <w:sz w:val="32"/>
          <w:szCs w:val="32"/>
        </w:rPr>
        <w:t>。</w:t>
      </w:r>
    </w:p>
    <w:p>
      <w:pPr>
        <w:pStyle w:val="6"/>
        <w:topLinePunct/>
        <w:autoSpaceDE w:val="0"/>
        <w:autoSpaceDN w:val="0"/>
        <w:spacing w:after="0" w:line="576" w:lineRule="exact"/>
        <w:ind w:firstLine="642" w:firstLineChars="200"/>
        <w:rPr>
          <w:rFonts w:ascii="Times New Roman" w:hAnsi="Times New Roman" w:eastAsia="方正仿宋_GBK" w:cs="Times New Roman"/>
          <w:sz w:val="32"/>
          <w:szCs w:val="32"/>
        </w:rPr>
      </w:pPr>
      <w:r>
        <w:rPr>
          <w:rFonts w:hint="eastAsia" w:eastAsia="方正楷体_GBK" w:cs="Times New Roman"/>
          <w:b/>
          <w:bCs/>
          <w:sz w:val="32"/>
          <w:szCs w:val="32"/>
        </w:rPr>
        <w:t>3.</w:t>
      </w:r>
      <w:r>
        <w:rPr>
          <w:rFonts w:ascii="Times New Roman" w:hAnsi="Times New Roman" w:eastAsia="方正楷体_GBK" w:cs="Times New Roman"/>
          <w:b/>
          <w:bCs/>
          <w:sz w:val="32"/>
          <w:szCs w:val="32"/>
        </w:rPr>
        <w:t>服务引</w:t>
      </w:r>
      <w:r>
        <w:rPr>
          <w:rFonts w:hint="eastAsia" w:eastAsia="方正楷体_GBK" w:cs="Times New Roman"/>
          <w:b/>
          <w:bCs/>
          <w:sz w:val="32"/>
          <w:szCs w:val="32"/>
        </w:rPr>
        <w:t>领聚</w:t>
      </w:r>
      <w:r>
        <w:rPr>
          <w:rFonts w:ascii="Times New Roman" w:hAnsi="Times New Roman" w:eastAsia="方正楷体_GBK" w:cs="Times New Roman"/>
          <w:b/>
          <w:bCs/>
          <w:sz w:val="32"/>
          <w:szCs w:val="32"/>
        </w:rPr>
        <w:t>力量。</w:t>
      </w:r>
      <w:r>
        <w:rPr>
          <w:rFonts w:ascii="Times New Roman" w:hAnsi="Times New Roman" w:eastAsia="方正仿宋_GBK" w:cs="Times New Roman"/>
          <w:sz w:val="32"/>
          <w:szCs w:val="32"/>
        </w:rPr>
        <w:t>组建“1+12”体系九寨采花巾帼志愿服务队，把巾帼志愿服务与组织引领、联系服务紧密结合，重点围绕关爱困境妇女儿童，文明城市创建、民族团结进步、乡村振兴、“平安家庭”创建等工作开展活动，开展志愿服务活动24场次。</w:t>
      </w:r>
    </w:p>
    <w:p>
      <w:pPr>
        <w:pStyle w:val="10"/>
        <w:topLinePunct/>
        <w:autoSpaceDE w:val="0"/>
        <w:autoSpaceDN w:val="0"/>
        <w:spacing w:beforeAutospacing="0" w:afterAutospacing="0" w:line="576" w:lineRule="exact"/>
        <w:jc w:val="both"/>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二</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实施“巾帼聚”赋能强基行动，不断激发基层组织活力</w:t>
      </w:r>
    </w:p>
    <w:p>
      <w:pPr>
        <w:widowControl/>
        <w:topLinePunct/>
        <w:autoSpaceDE w:val="0"/>
        <w:autoSpaceDN w:val="0"/>
        <w:spacing w:line="576" w:lineRule="exact"/>
        <w:rPr>
          <w:rFonts w:ascii="Times New Roman" w:hAnsi="Times New Roman" w:eastAsia="方正仿宋_GBK" w:cs="Times New Roman"/>
          <w:sz w:val="32"/>
          <w:szCs w:val="32"/>
        </w:rPr>
      </w:pPr>
      <w:r>
        <w:rPr>
          <w:rFonts w:hint="eastAsia" w:eastAsia="方正楷体_GBK" w:cs="Times New Roman"/>
          <w:b/>
          <w:bCs/>
          <w:sz w:val="32"/>
          <w:szCs w:val="32"/>
        </w:rPr>
        <w:t>1.</w:t>
      </w:r>
      <w:r>
        <w:rPr>
          <w:rFonts w:ascii="Times New Roman" w:hAnsi="Times New Roman" w:eastAsia="方正楷体_GBK" w:cs="Times New Roman"/>
          <w:b/>
          <w:bCs/>
          <w:sz w:val="32"/>
          <w:szCs w:val="32"/>
        </w:rPr>
        <w:t>创新组织设置壮大妇联队伍。</w:t>
      </w:r>
      <w:r>
        <w:rPr>
          <w:rFonts w:ascii="Times New Roman" w:hAnsi="Times New Roman" w:eastAsia="方正仿宋_GBK" w:cs="Times New Roman"/>
          <w:sz w:val="32"/>
          <w:szCs w:val="32"/>
        </w:rPr>
        <w:t>持续巩固</w:t>
      </w:r>
      <w:r>
        <w:rPr>
          <w:rFonts w:hint="eastAsia" w:eastAsia="方正仿宋_GBK" w:cs="Times New Roman"/>
          <w:sz w:val="32"/>
          <w:szCs w:val="32"/>
        </w:rPr>
        <w:t>妇联组织改革</w:t>
      </w:r>
      <w:r>
        <w:rPr>
          <w:rFonts w:ascii="Times New Roman" w:hAnsi="Times New Roman" w:eastAsia="方正仿宋_GBK" w:cs="Times New Roman"/>
          <w:sz w:val="32"/>
          <w:szCs w:val="32"/>
        </w:rPr>
        <w:t>成果，</w:t>
      </w:r>
      <w:r>
        <w:rPr>
          <w:rFonts w:hint="eastAsia" w:eastAsia="方正仿宋_GBK" w:cs="Times New Roman"/>
          <w:sz w:val="32"/>
          <w:szCs w:val="32"/>
        </w:rPr>
        <w:t>按程序补选配齐了县级妇联班子及县妇联十届执委会成员；</w:t>
      </w:r>
      <w:r>
        <w:rPr>
          <w:rFonts w:ascii="Times New Roman" w:hAnsi="Times New Roman" w:eastAsia="方正仿宋_GBK" w:cs="Times New Roman"/>
          <w:sz w:val="32"/>
          <w:szCs w:val="32"/>
        </w:rPr>
        <w:t>乡（镇）妇联主席由乡（镇）党政班子中的女性领导担任，每个乡（镇）配备专职副主席1名；设12个乡（镇）妇联组织，9个机关妇委会，69个妇女小组，110个村（社区）妇联组织，8个“两新”妇联组织</w:t>
      </w:r>
      <w:r>
        <w:rPr>
          <w:rFonts w:hint="eastAsia" w:eastAsia="方正仿宋_GBK" w:cs="Times New Roman"/>
          <w:sz w:val="32"/>
          <w:szCs w:val="32"/>
        </w:rPr>
        <w:t>，有县乡村三级妇联执委502人</w:t>
      </w:r>
      <w:r>
        <w:rPr>
          <w:rFonts w:ascii="Times New Roman" w:hAnsi="Times New Roman" w:eastAsia="方正仿宋_GBK" w:cs="Times New Roman"/>
          <w:sz w:val="32"/>
          <w:szCs w:val="32"/>
        </w:rPr>
        <w:t>。</w:t>
      </w:r>
    </w:p>
    <w:p>
      <w:pPr>
        <w:widowControl/>
        <w:topLinePunct/>
        <w:autoSpaceDE w:val="0"/>
        <w:autoSpaceDN w:val="0"/>
        <w:spacing w:line="576" w:lineRule="exact"/>
        <w:ind w:firstLine="642"/>
        <w:rPr>
          <w:rFonts w:ascii="Times New Roman" w:hAnsi="Times New Roman" w:eastAsia="方正仿宋_GBK" w:cs="Times New Roman"/>
          <w:sz w:val="32"/>
          <w:szCs w:val="32"/>
        </w:rPr>
      </w:pPr>
      <w:r>
        <w:rPr>
          <w:rFonts w:hint="eastAsia" w:eastAsia="方正楷体_GBK" w:cs="Times New Roman"/>
          <w:b/>
          <w:bCs/>
          <w:sz w:val="32"/>
          <w:szCs w:val="32"/>
        </w:rPr>
        <w:t>2.</w:t>
      </w:r>
      <w:r>
        <w:rPr>
          <w:rFonts w:ascii="Times New Roman" w:hAnsi="Times New Roman" w:eastAsia="方正楷体_GBK" w:cs="Times New Roman"/>
          <w:b/>
          <w:bCs/>
          <w:sz w:val="32"/>
          <w:szCs w:val="32"/>
        </w:rPr>
        <w:t>拓宽组织覆盖规范阵地建设。</w:t>
      </w:r>
      <w:r>
        <w:rPr>
          <w:rFonts w:ascii="Times New Roman" w:hAnsi="Times New Roman" w:eastAsia="方正仿宋_GBK" w:cs="Times New Roman"/>
          <w:sz w:val="32"/>
          <w:szCs w:val="32"/>
        </w:rPr>
        <w:t>将妇女儿童之家与党群活动中心等阵地相融合，实现规范化管理，盘活用好各类资源，切实发挥“家”力量，开展各项特色活动，在宣传、教育、培训、维权方面发挥了重要作用。已实现全县110个村（社区）妇女儿童之家全覆盖；网上妇联建设稳步推进，利用“九寨沟县妇联”微信公众号、基层妇联组织微信交流群、QQ工作群等媒体矩阵建设网上妇女之家，形成线上、线下相融合，全方位多角度的组织网络体系。</w:t>
      </w:r>
    </w:p>
    <w:p>
      <w:pPr>
        <w:widowControl/>
        <w:topLinePunct/>
        <w:autoSpaceDE w:val="0"/>
        <w:autoSpaceDN w:val="0"/>
        <w:spacing w:line="576" w:lineRule="exact"/>
        <w:rPr>
          <w:rFonts w:ascii="Times New Roman" w:hAnsi="Times New Roman" w:eastAsia="方正仿宋_GBK" w:cs="Times New Roman"/>
          <w:sz w:val="32"/>
          <w:szCs w:val="32"/>
        </w:rPr>
      </w:pPr>
      <w:r>
        <w:rPr>
          <w:rFonts w:hint="eastAsia" w:eastAsia="方正楷体_GBK" w:cs="Times New Roman"/>
          <w:b/>
          <w:bCs/>
          <w:sz w:val="32"/>
          <w:szCs w:val="32"/>
        </w:rPr>
        <w:t>3.</w:t>
      </w:r>
      <w:r>
        <w:rPr>
          <w:rFonts w:ascii="Times New Roman" w:hAnsi="Times New Roman" w:eastAsia="方正楷体_GBK" w:cs="Times New Roman"/>
          <w:b/>
          <w:bCs/>
          <w:sz w:val="32"/>
          <w:szCs w:val="32"/>
        </w:rPr>
        <w:t>加强干部培训提升履职能力。</w:t>
      </w:r>
      <w:r>
        <w:rPr>
          <w:rFonts w:ascii="Times New Roman" w:hAnsi="Times New Roman" w:eastAsia="方正仿宋_GBK" w:cs="Times New Roman"/>
          <w:sz w:val="32"/>
          <w:szCs w:val="32"/>
        </w:rPr>
        <w:t>加大对新任专、兼、挂妇联干部的教育培训，提升全县妇联干部整体素质。在县委党校举办全县基层妇联干部全覆盖业务培训会1次，培训人次达130人次；同时，在疫情防控严峻形势下，仍然坚持以会代训、线上线下等方式，共同学习十九届</w:t>
      </w:r>
      <w:r>
        <w:rPr>
          <w:rFonts w:hint="eastAsia" w:eastAsia="方正仿宋_GBK" w:cs="Times New Roman"/>
          <w:sz w:val="32"/>
          <w:szCs w:val="32"/>
        </w:rPr>
        <w:t>六中</w:t>
      </w:r>
      <w:r>
        <w:rPr>
          <w:rFonts w:ascii="Times New Roman" w:hAnsi="Times New Roman" w:eastAsia="方正仿宋_GBK" w:cs="Times New Roman"/>
          <w:sz w:val="32"/>
          <w:szCs w:val="32"/>
        </w:rPr>
        <w:t>全会</w:t>
      </w:r>
      <w:r>
        <w:rPr>
          <w:rFonts w:hint="eastAsia" w:eastAsia="方正仿宋_GBK" w:cs="Times New Roman"/>
          <w:sz w:val="32"/>
          <w:szCs w:val="32"/>
        </w:rPr>
        <w:t>和二十大</w:t>
      </w:r>
      <w:r>
        <w:rPr>
          <w:rFonts w:ascii="Times New Roman" w:hAnsi="Times New Roman" w:eastAsia="方正仿宋_GBK" w:cs="Times New Roman"/>
          <w:sz w:val="32"/>
          <w:szCs w:val="32"/>
        </w:rPr>
        <w:t>精神、习近平总书记来川视察重要讲话精神、妇联业务</w:t>
      </w:r>
      <w:r>
        <w:rPr>
          <w:rFonts w:hint="eastAsia" w:eastAsia="方正仿宋_GBK" w:cs="Times New Roman"/>
          <w:sz w:val="32"/>
          <w:szCs w:val="32"/>
        </w:rPr>
        <w:t>知识</w:t>
      </w:r>
      <w:r>
        <w:rPr>
          <w:rFonts w:ascii="Times New Roman" w:hAnsi="Times New Roman" w:eastAsia="方正仿宋_GBK" w:cs="Times New Roman"/>
          <w:sz w:val="32"/>
          <w:szCs w:val="32"/>
        </w:rPr>
        <w:t>，教育引导妇联干部弘扬优良作风，坚定理想信念，不忘初心，牢记使命，有效提升了妇联干部能力素质。</w:t>
      </w:r>
    </w:p>
    <w:p>
      <w:pPr>
        <w:widowControl/>
        <w:suppressAutoHyphens/>
        <w:topLinePunct/>
        <w:autoSpaceDE w:val="0"/>
        <w:autoSpaceDN w:val="0"/>
        <w:spacing w:line="576" w:lineRule="exact"/>
        <w:rPr>
          <w:rFonts w:ascii="Times New Roman" w:hAnsi="Times New Roman" w:eastAsia="方正黑体_GBK" w:cs="Times New Roman"/>
          <w:sz w:val="32"/>
          <w:szCs w:val="32"/>
        </w:rPr>
      </w:pPr>
      <w:r>
        <w:rPr>
          <w:rFonts w:hint="eastAsia" w:eastAsia="方正黑体_GBK" w:cs="Times New Roman"/>
          <w:sz w:val="32"/>
          <w:szCs w:val="32"/>
        </w:rPr>
        <w:t>（</w:t>
      </w:r>
      <w:r>
        <w:rPr>
          <w:rFonts w:ascii="Times New Roman" w:hAnsi="Times New Roman" w:eastAsia="方正黑体_GBK" w:cs="Times New Roman"/>
          <w:sz w:val="32"/>
          <w:szCs w:val="32"/>
        </w:rPr>
        <w:t>三</w:t>
      </w:r>
      <w:r>
        <w:rPr>
          <w:rFonts w:hint="eastAsia" w:eastAsia="方正黑体_GBK" w:cs="Times New Roman"/>
          <w:sz w:val="32"/>
          <w:szCs w:val="32"/>
        </w:rPr>
        <w:t>）</w:t>
      </w:r>
      <w:r>
        <w:rPr>
          <w:rFonts w:ascii="Times New Roman" w:hAnsi="Times New Roman" w:eastAsia="方正黑体_GBK" w:cs="Times New Roman"/>
          <w:sz w:val="32"/>
          <w:szCs w:val="32"/>
        </w:rPr>
        <w:t>实施“巾帼创”发展建功行动，激发巾帼创业创新活力</w:t>
      </w:r>
    </w:p>
    <w:p>
      <w:pPr>
        <w:pStyle w:val="2"/>
        <w:topLinePunct/>
        <w:autoSpaceDE w:val="0"/>
        <w:autoSpaceDN w:val="0"/>
        <w:spacing w:after="0" w:line="576" w:lineRule="exact"/>
        <w:ind w:left="0" w:leftChars="0" w:firstLine="640"/>
        <w:rPr>
          <w:rStyle w:val="22"/>
          <w:rFonts w:hint="default" w:eastAsia="方正仿宋_GBK"/>
          <w:sz w:val="32"/>
          <w:szCs w:val="32"/>
        </w:rPr>
      </w:pPr>
      <w:r>
        <w:rPr>
          <w:rFonts w:eastAsia="方正楷体_GBK"/>
          <w:b/>
          <w:sz w:val="32"/>
          <w:szCs w:val="32"/>
        </w:rPr>
        <w:t>1.</w:t>
      </w:r>
      <w:r>
        <w:rPr>
          <w:rFonts w:hint="default" w:eastAsia="方正楷体_GBK"/>
          <w:b/>
          <w:sz w:val="32"/>
          <w:szCs w:val="32"/>
        </w:rPr>
        <w:t>搭建平台促进妇女创业就业。</w:t>
      </w:r>
      <w:r>
        <w:rPr>
          <w:rStyle w:val="22"/>
          <w:rFonts w:hint="default" w:eastAsia="方正仿宋_GBK"/>
          <w:sz w:val="32"/>
          <w:szCs w:val="32"/>
        </w:rPr>
        <w:t>积极向上级妇联争取阿坝州妇女居家灵活就业基地1个扶持资金10万元</w:t>
      </w:r>
      <w:r>
        <w:rPr>
          <w:rStyle w:val="22"/>
          <w:rFonts w:eastAsia="方正仿宋_GBK"/>
          <w:sz w:val="32"/>
          <w:szCs w:val="32"/>
        </w:rPr>
        <w:t>；</w:t>
      </w:r>
      <w:r>
        <w:rPr>
          <w:rStyle w:val="22"/>
          <w:rFonts w:hint="default" w:eastAsia="方正仿宋_GBK"/>
          <w:sz w:val="32"/>
          <w:szCs w:val="32"/>
        </w:rPr>
        <w:t>与就业、科农等业务部门联合开展实用技术和素质提升培训6场次，培训妇女300余人次，选派2名巾帼致富带头人和2名女企业家代表参加了州妇联举办的“乡村振兴巾帼人才”培训班。充分</w:t>
      </w:r>
      <w:r>
        <w:rPr>
          <w:rFonts w:hint="default" w:eastAsia="方正仿宋_GBK"/>
          <w:sz w:val="32"/>
          <w:szCs w:val="32"/>
        </w:rPr>
        <w:t>发挥女致富带头人、乡村女能人、女企业家的示范</w:t>
      </w:r>
      <w:r>
        <w:rPr>
          <w:rStyle w:val="22"/>
          <w:rFonts w:hint="default" w:eastAsia="方正仿宋_GBK"/>
          <w:sz w:val="32"/>
          <w:szCs w:val="32"/>
        </w:rPr>
        <w:t>带头作用，辐射带动820余名妇女创业就业。</w:t>
      </w:r>
    </w:p>
    <w:p>
      <w:pPr>
        <w:pStyle w:val="2"/>
        <w:topLinePunct/>
        <w:autoSpaceDE w:val="0"/>
        <w:autoSpaceDN w:val="0"/>
        <w:spacing w:after="0" w:line="576" w:lineRule="exact"/>
        <w:ind w:left="0" w:leftChars="0" w:firstLine="640"/>
        <w:rPr>
          <w:rFonts w:hint="default" w:eastAsia="方正仿宋_GBK"/>
          <w:sz w:val="32"/>
          <w:szCs w:val="32"/>
        </w:rPr>
      </w:pPr>
      <w:r>
        <w:rPr>
          <w:rStyle w:val="22"/>
          <w:rFonts w:eastAsia="方正仿宋_GBK"/>
          <w:sz w:val="32"/>
          <w:szCs w:val="32"/>
        </w:rPr>
        <w:t>2.</w:t>
      </w:r>
      <w:r>
        <w:rPr>
          <w:rFonts w:hint="default" w:eastAsia="方正楷体_GBK"/>
          <w:b/>
          <w:sz w:val="32"/>
          <w:szCs w:val="32"/>
        </w:rPr>
        <w:t>多措并举帮助女大学生就业创业。</w:t>
      </w:r>
      <w:r>
        <w:rPr>
          <w:rFonts w:hint="default" w:eastAsia="方正仿宋_GBK"/>
          <w:sz w:val="32"/>
          <w:szCs w:val="32"/>
        </w:rPr>
        <w:t>积极联合就业部门，做深做实帮助女大学生创业就业</w:t>
      </w:r>
      <w:r>
        <w:rPr>
          <w:rFonts w:eastAsia="方正仿宋_GBK"/>
          <w:sz w:val="32"/>
          <w:szCs w:val="32"/>
        </w:rPr>
        <w:t>，</w:t>
      </w:r>
      <w:r>
        <w:rPr>
          <w:rFonts w:hint="default" w:eastAsia="方正仿宋_GBK"/>
          <w:sz w:val="32"/>
          <w:szCs w:val="32"/>
        </w:rPr>
        <w:t>安置53名女大学生就近就业。围绕“产业+培训”“手工艺+培训”“企业技能需求+培训”等培训内容，点对点实施职业技能提升行动，累计开展培训45期，培训女性1080人。推荐20名女大学生成功申领创业担保贷款200万元，发放创业补贴16人16万元。</w:t>
      </w:r>
    </w:p>
    <w:p>
      <w:pPr>
        <w:widowControl/>
        <w:topLinePunct/>
        <w:autoSpaceDE w:val="0"/>
        <w:autoSpaceDN w:val="0"/>
        <w:spacing w:line="576" w:lineRule="exact"/>
        <w:rPr>
          <w:rFonts w:ascii="Times New Roman" w:hAnsi="Times New Roman" w:cs="Times New Roman"/>
          <w:sz w:val="32"/>
          <w:szCs w:val="32"/>
        </w:rPr>
      </w:pPr>
      <w:r>
        <w:rPr>
          <w:rFonts w:hint="eastAsia" w:eastAsia="方正楷体_GBK" w:cs="Times New Roman"/>
          <w:b/>
          <w:bCs/>
          <w:sz w:val="32"/>
          <w:szCs w:val="32"/>
        </w:rPr>
        <w:t>3.</w:t>
      </w:r>
      <w:r>
        <w:rPr>
          <w:rFonts w:ascii="Times New Roman" w:hAnsi="Times New Roman" w:eastAsia="方正楷体_GBK" w:cs="Times New Roman"/>
          <w:b/>
          <w:bCs/>
          <w:sz w:val="32"/>
          <w:szCs w:val="32"/>
        </w:rPr>
        <w:t>凝聚巾帼力量疫情防控有行动。</w:t>
      </w:r>
      <w:r>
        <w:rPr>
          <w:rFonts w:ascii="Times New Roman" w:hAnsi="Times New Roman" w:eastAsia="方正仿宋_GBK" w:cs="Times New Roman"/>
          <w:kern w:val="0"/>
          <w:sz w:val="32"/>
          <w:szCs w:val="32"/>
        </w:rPr>
        <w:t>全县各级妇联干部</w:t>
      </w:r>
      <w:r>
        <w:rPr>
          <w:rFonts w:ascii="Times New Roman" w:hAnsi="Times New Roman" w:eastAsia="方正仿宋_GBK" w:cs="Times New Roman"/>
          <w:sz w:val="32"/>
          <w:szCs w:val="32"/>
        </w:rPr>
        <w:t>、502名妇联执委、354名巾帼志愿者、女企业家、女性社会组织等投身</w:t>
      </w:r>
      <w:r>
        <w:rPr>
          <w:rFonts w:hint="eastAsia" w:eastAsia="方正仿宋_GBK" w:cs="Times New Roman"/>
          <w:sz w:val="32"/>
          <w:szCs w:val="32"/>
        </w:rPr>
        <w:t>疫情防控</w:t>
      </w:r>
      <w:r>
        <w:rPr>
          <w:rFonts w:ascii="Times New Roman" w:hAnsi="Times New Roman" w:eastAsia="方正仿宋_GBK" w:cs="Times New Roman"/>
          <w:sz w:val="32"/>
          <w:szCs w:val="32"/>
        </w:rPr>
        <w:t>，特别是27</w:t>
      </w:r>
      <w:r>
        <w:rPr>
          <w:rFonts w:ascii="Times New Roman" w:hAnsi="Times New Roman" w:eastAsia="方正仿宋_GBK" w:cs="Times New Roman"/>
          <w:sz w:val="32"/>
          <w:szCs w:val="32"/>
          <w:lang w:val="zh-CN"/>
        </w:rPr>
        <w:t>名女医生</w:t>
      </w:r>
      <w:r>
        <w:rPr>
          <w:rFonts w:ascii="Times New Roman" w:hAnsi="Times New Roman" w:eastAsia="方正仿宋_GBK" w:cs="Times New Roman"/>
          <w:sz w:val="32"/>
          <w:szCs w:val="32"/>
        </w:rPr>
        <w:t>逆行而上，驰援</w:t>
      </w:r>
      <w:r>
        <w:rPr>
          <w:rFonts w:ascii="Times New Roman" w:hAnsi="Times New Roman" w:eastAsia="方正仿宋_GBK" w:cs="Times New Roman"/>
          <w:sz w:val="32"/>
          <w:szCs w:val="32"/>
          <w:lang w:val="zh-CN"/>
        </w:rPr>
        <w:t>阿坝县开展</w:t>
      </w:r>
      <w:r>
        <w:rPr>
          <w:rFonts w:ascii="Times New Roman" w:hAnsi="Times New Roman" w:eastAsia="方正仿宋_GBK" w:cs="Times New Roman"/>
          <w:sz w:val="32"/>
          <w:szCs w:val="32"/>
        </w:rPr>
        <w:t>疫情防控</w:t>
      </w:r>
      <w:r>
        <w:rPr>
          <w:rFonts w:ascii="Times New Roman" w:hAnsi="Times New Roman" w:eastAsia="方正仿宋_GBK" w:cs="Times New Roman"/>
          <w:sz w:val="32"/>
          <w:szCs w:val="32"/>
          <w:lang w:val="zh-CN"/>
        </w:rPr>
        <w:t>工作；携手九孟商贸公司</w:t>
      </w:r>
      <w:r>
        <w:rPr>
          <w:rFonts w:ascii="Times New Roman" w:hAnsi="Times New Roman" w:eastAsia="方正仿宋_GBK" w:cs="Times New Roman"/>
          <w:sz w:val="32"/>
          <w:szCs w:val="32"/>
        </w:rPr>
        <w:t>出资7000</w:t>
      </w:r>
      <w:r>
        <w:rPr>
          <w:rFonts w:ascii="Times New Roman" w:hAnsi="Times New Roman" w:eastAsia="方正仿宋_GBK" w:cs="Times New Roman"/>
          <w:sz w:val="32"/>
          <w:szCs w:val="32"/>
          <w:lang w:val="zh-CN"/>
        </w:rPr>
        <w:t>余元</w:t>
      </w:r>
      <w:r>
        <w:rPr>
          <w:rFonts w:ascii="Times New Roman" w:hAnsi="Times New Roman" w:eastAsia="方正仿宋_GBK" w:cs="Times New Roman"/>
          <w:sz w:val="32"/>
          <w:szCs w:val="32"/>
        </w:rPr>
        <w:t>购买矿泉水、方便面等物资走访慰问全县</w:t>
      </w:r>
      <w:r>
        <w:rPr>
          <w:rFonts w:ascii="Times New Roman" w:hAnsi="Times New Roman" w:eastAsia="方正仿宋_GBK" w:cs="Times New Roman"/>
          <w:sz w:val="32"/>
          <w:szCs w:val="32"/>
          <w:lang w:val="zh-CN"/>
        </w:rPr>
        <w:t>核酸采样点、</w:t>
      </w:r>
      <w:r>
        <w:rPr>
          <w:rFonts w:ascii="Times New Roman" w:hAnsi="Times New Roman" w:eastAsia="方正仿宋_GBK" w:cs="Times New Roman"/>
          <w:sz w:val="32"/>
          <w:szCs w:val="32"/>
        </w:rPr>
        <w:t>防控卡点等</w:t>
      </w:r>
      <w:r>
        <w:rPr>
          <w:rFonts w:ascii="Times New Roman" w:hAnsi="Times New Roman" w:eastAsia="方正仿宋_GBK" w:cs="Times New Roman"/>
          <w:sz w:val="32"/>
          <w:szCs w:val="32"/>
          <w:lang w:val="zh-CN"/>
        </w:rPr>
        <w:t>一线人员；</w:t>
      </w:r>
      <w:r>
        <w:rPr>
          <w:rFonts w:ascii="Times New Roman" w:hAnsi="Times New Roman" w:eastAsia="方正仿宋_GBK" w:cs="Times New Roman"/>
          <w:sz w:val="32"/>
          <w:szCs w:val="32"/>
        </w:rPr>
        <w:t>发动九寨沟县巧手工艺品加工有限公司绣娘一针一线绣出《抗议有我 “她”力量》作品，表达广大妇女同心抗疫的决心和信心</w:t>
      </w:r>
      <w:r>
        <w:rPr>
          <w:rFonts w:ascii="Times New Roman" w:hAnsi="Times New Roman" w:eastAsia="方正仿宋_GBK" w:cs="Times New Roman"/>
          <w:kern w:val="0"/>
          <w:sz w:val="32"/>
          <w:szCs w:val="32"/>
        </w:rPr>
        <w:t>；</w:t>
      </w:r>
      <w:r>
        <w:rPr>
          <w:rFonts w:ascii="Times New Roman" w:hAnsi="Times New Roman" w:eastAsia="方正仿宋_GBK" w:cs="Times New Roman"/>
          <w:sz w:val="32"/>
          <w:szCs w:val="32"/>
        </w:rPr>
        <w:t>通过线上线下宣传防疫知识，深入报道各条战线妇女同志无私奉献、奋战疫情一线的先进事迹，持续凝聚传播“战疫”正能量，《柔肩也能担重任 巾帼何曾让须眉》点击量达7992人次。</w:t>
      </w:r>
    </w:p>
    <w:p>
      <w:pPr>
        <w:widowControl/>
        <w:suppressAutoHyphens/>
        <w:topLinePunct/>
        <w:autoSpaceDE w:val="0"/>
        <w:autoSpaceDN w:val="0"/>
        <w:spacing w:line="576" w:lineRule="exact"/>
        <w:rPr>
          <w:rFonts w:ascii="Times New Roman" w:hAnsi="Times New Roman" w:eastAsia="方正黑体_GBK" w:cs="Times New Roman"/>
          <w:sz w:val="32"/>
          <w:szCs w:val="32"/>
        </w:rPr>
      </w:pPr>
      <w:r>
        <w:rPr>
          <w:rFonts w:hint="eastAsia" w:eastAsia="方正黑体_GBK" w:cs="Times New Roman"/>
          <w:sz w:val="32"/>
          <w:szCs w:val="32"/>
        </w:rPr>
        <w:t>（</w:t>
      </w:r>
      <w:r>
        <w:rPr>
          <w:rFonts w:ascii="Times New Roman" w:hAnsi="Times New Roman" w:eastAsia="方正黑体_GBK" w:cs="Times New Roman"/>
          <w:sz w:val="32"/>
          <w:szCs w:val="32"/>
        </w:rPr>
        <w:t>四</w:t>
      </w:r>
      <w:r>
        <w:rPr>
          <w:rFonts w:hint="eastAsia" w:eastAsia="方正黑体_GBK" w:cs="Times New Roman"/>
          <w:sz w:val="32"/>
          <w:szCs w:val="32"/>
        </w:rPr>
        <w:t>）</w:t>
      </w:r>
      <w:r>
        <w:rPr>
          <w:rFonts w:ascii="Times New Roman" w:hAnsi="Times New Roman" w:eastAsia="方正黑体_GBK" w:cs="Times New Roman"/>
          <w:sz w:val="32"/>
          <w:szCs w:val="32"/>
        </w:rPr>
        <w:t>实施“巾帼爱”幸福家庭行动，顺应美好生活新期待</w:t>
      </w:r>
    </w:p>
    <w:p>
      <w:pPr>
        <w:topLinePunct/>
        <w:autoSpaceDE w:val="0"/>
        <w:autoSpaceDN w:val="0"/>
        <w:spacing w:line="576" w:lineRule="exact"/>
        <w:rPr>
          <w:rFonts w:ascii="Times New Roman" w:hAnsi="Times New Roman" w:eastAsia="方正仿宋_GBK" w:cs="Times New Roman"/>
          <w:sz w:val="32"/>
          <w:szCs w:val="32"/>
        </w:rPr>
      </w:pPr>
      <w:r>
        <w:rPr>
          <w:rFonts w:hint="eastAsia" w:eastAsia="方正楷体_GBK" w:cs="Times New Roman"/>
          <w:b/>
          <w:bCs/>
          <w:sz w:val="32"/>
          <w:szCs w:val="32"/>
        </w:rPr>
        <w:t>1.</w:t>
      </w:r>
      <w:r>
        <w:rPr>
          <w:rFonts w:ascii="Times New Roman" w:hAnsi="Times New Roman" w:eastAsia="方正楷体_GBK" w:cs="Times New Roman"/>
          <w:b/>
          <w:bCs/>
          <w:sz w:val="32"/>
          <w:szCs w:val="32"/>
        </w:rPr>
        <w:t>问需调研当妇女群众的“娘家人”。</w:t>
      </w:r>
      <w:r>
        <w:rPr>
          <w:rFonts w:ascii="Times New Roman" w:hAnsi="Times New Roman" w:eastAsia="方正仿宋_GBK" w:cs="Times New Roman"/>
          <w:sz w:val="32"/>
          <w:szCs w:val="32"/>
        </w:rPr>
        <w:t>充分发挥全县各级妇联组织引领、联系、服务妇女的职能作用，组织县妇联全体干部深入村寨开展走访调研，全面了解掌握基层妇女的生存状态、紧迫问题和现实诉求，认真倾听妇女群众呼声，帮助解决困难问题。今年来深入各乡镇走访村寨68个，收集整理妇女群众意见建议18条，解决实际问题9件，真正使妇联组织成为群众信得过、靠得住、离不开的“娘家人”。</w:t>
      </w:r>
    </w:p>
    <w:p>
      <w:pPr>
        <w:topLinePunct/>
        <w:autoSpaceDE w:val="0"/>
        <w:autoSpaceDN w:val="0"/>
        <w:spacing w:line="576" w:lineRule="exact"/>
        <w:ind w:firstLine="640"/>
        <w:rPr>
          <w:rFonts w:ascii="Times New Roman" w:hAnsi="Times New Roman" w:eastAsia="方正仿宋_GBK" w:cs="Times New Roman"/>
          <w:sz w:val="32"/>
          <w:szCs w:val="32"/>
        </w:rPr>
      </w:pPr>
      <w:r>
        <w:rPr>
          <w:rFonts w:hint="eastAsia" w:eastAsia="方正楷体_GBK" w:cs="Times New Roman"/>
          <w:b/>
          <w:bCs/>
          <w:sz w:val="32"/>
          <w:szCs w:val="32"/>
        </w:rPr>
        <w:t>2.</w:t>
      </w:r>
      <w:r>
        <w:rPr>
          <w:rFonts w:ascii="Times New Roman" w:hAnsi="Times New Roman" w:eastAsia="方正楷体_GBK" w:cs="Times New Roman"/>
          <w:b/>
          <w:bCs/>
          <w:sz w:val="32"/>
          <w:szCs w:val="32"/>
        </w:rPr>
        <w:t>探路发展做家庭教育的“推动者”。</w:t>
      </w:r>
      <w:r>
        <w:rPr>
          <w:rFonts w:ascii="Times New Roman" w:hAnsi="Times New Roman" w:eastAsia="方正仿宋_GBK" w:cs="Times New Roman"/>
          <w:sz w:val="32"/>
          <w:szCs w:val="32"/>
        </w:rPr>
        <w:t>通过搭建各类平台，在各级妇联组织、家庭教育骨干中开展革命文化、社会主义先进文化和中华优秀传统文化教育，联合县教育局积极开展《中华人民共和国家庭教育促进法》宣传活动，开设网上家庭依法科学教子知识15期，家庭教育指导服务知识宣传共计24期。</w:t>
      </w:r>
    </w:p>
    <w:p>
      <w:pPr>
        <w:spacing w:line="576" w:lineRule="exact"/>
        <w:ind w:firstLine="642" w:firstLineChars="200"/>
        <w:rPr>
          <w:rFonts w:ascii="Times New Roman" w:hAnsi="Times New Roman" w:eastAsia="方正仿宋_GBK" w:cs="Times New Roman"/>
          <w:sz w:val="32"/>
          <w:szCs w:val="32"/>
        </w:rPr>
      </w:pPr>
      <w:r>
        <w:rPr>
          <w:rFonts w:hint="eastAsia" w:eastAsia="方正楷体_GBK" w:cs="Times New Roman"/>
          <w:b/>
          <w:bCs/>
          <w:sz w:val="32"/>
          <w:szCs w:val="32"/>
        </w:rPr>
        <w:t>3.</w:t>
      </w:r>
      <w:r>
        <w:rPr>
          <w:rFonts w:ascii="Times New Roman" w:hAnsi="Times New Roman" w:eastAsia="方正楷体_GBK" w:cs="Times New Roman"/>
          <w:b/>
          <w:bCs/>
          <w:sz w:val="32"/>
          <w:szCs w:val="32"/>
        </w:rPr>
        <w:t>回应关切做妇女儿童的“守护人”。</w:t>
      </w:r>
      <w:r>
        <w:rPr>
          <w:rFonts w:ascii="Times New Roman" w:hAnsi="Times New Roman" w:eastAsia="方正仿宋_GBK" w:cs="Times New Roman"/>
          <w:sz w:val="32"/>
          <w:szCs w:val="32"/>
        </w:rPr>
        <w:t>深入推进“我为群众办实事”活动，</w:t>
      </w:r>
      <w:r>
        <w:rPr>
          <w:rFonts w:hint="eastAsia" w:ascii="Times New Roman" w:hAnsi="Times New Roman" w:eastAsia="方正仿宋_GBK" w:cs="Times New Roman"/>
          <w:sz w:val="32"/>
          <w:szCs w:val="32"/>
        </w:rPr>
        <w:t>在</w:t>
      </w:r>
      <w:r>
        <w:rPr>
          <w:rFonts w:ascii="Times New Roman" w:hAnsi="Times New Roman" w:eastAsia="方正仿宋_GBK" w:cs="Times New Roman"/>
          <w:sz w:val="32"/>
          <w:szCs w:val="32"/>
        </w:rPr>
        <w:t>全县开展妇女儿童关爱十项实事，为妇女儿童提供多元化服务。</w:t>
      </w:r>
      <w:r>
        <w:rPr>
          <w:rFonts w:hint="eastAsia" w:ascii="Times New Roman" w:hAnsi="Times New Roman" w:eastAsia="方正仿宋_GBK" w:cs="Times New Roman"/>
          <w:sz w:val="32"/>
          <w:szCs w:val="32"/>
        </w:rPr>
        <w:t>联合浙江嘉善及九寨沟县女企业家</w:t>
      </w:r>
      <w:r>
        <w:rPr>
          <w:rFonts w:ascii="Times New Roman" w:hAnsi="Times New Roman" w:eastAsia="方正仿宋_GBK" w:cs="Times New Roman"/>
          <w:sz w:val="32"/>
          <w:szCs w:val="32"/>
        </w:rPr>
        <w:t>积极开展“爱暖童心 幸福成长”公益捐赠和爱心捐赠活动，</w:t>
      </w:r>
      <w:r>
        <w:rPr>
          <w:rFonts w:hint="eastAsia" w:ascii="Times New Roman" w:hAnsi="Times New Roman" w:eastAsia="方正仿宋_GBK" w:cs="Times New Roman"/>
          <w:sz w:val="32"/>
          <w:szCs w:val="32"/>
        </w:rPr>
        <w:t>为</w:t>
      </w:r>
      <w:r>
        <w:rPr>
          <w:rFonts w:ascii="Times New Roman" w:hAnsi="Times New Roman" w:eastAsia="方正仿宋_GBK" w:cs="Times New Roman"/>
          <w:sz w:val="32"/>
          <w:szCs w:val="32"/>
        </w:rPr>
        <w:t>全县9所乡镇小学师生，赠送价值20余万元的学习用品和生活用品；</w:t>
      </w:r>
      <w:r>
        <w:rPr>
          <w:rFonts w:hint="eastAsia" w:ascii="Times New Roman" w:hAnsi="Times New Roman" w:eastAsia="方正仿宋_GBK" w:cs="Times New Roman"/>
          <w:sz w:val="32"/>
          <w:szCs w:val="32"/>
        </w:rPr>
        <w:t>联合县残联</w:t>
      </w:r>
      <w:r>
        <w:rPr>
          <w:rFonts w:ascii="Times New Roman" w:hAnsi="Times New Roman" w:eastAsia="方正仿宋_GBK" w:cs="Times New Roman"/>
          <w:sz w:val="32"/>
          <w:szCs w:val="32"/>
        </w:rPr>
        <w:t>实施“重塑人生脊梁”荣盛援藏健康关爱基金项目，14名患者分两批次赴杭州萧山区中医院接受治疗</w:t>
      </w:r>
      <w:r>
        <w:rPr>
          <w:rFonts w:hint="eastAsia" w:ascii="Times New Roman" w:hAnsi="Times New Roman" w:eastAsia="方正仿宋_GBK" w:cs="Times New Roman"/>
          <w:sz w:val="32"/>
          <w:szCs w:val="32"/>
        </w:rPr>
        <w:t>；救助患大病妇女2名，发放大病救助金共计6000元；走访慰问困境妇女6名，发放慰问金4500元；</w:t>
      </w:r>
      <w:r>
        <w:rPr>
          <w:rFonts w:ascii="Times New Roman" w:hAnsi="Times New Roman" w:eastAsia="方正仿宋_GBK" w:cs="Times New Roman"/>
          <w:sz w:val="32"/>
          <w:szCs w:val="32"/>
        </w:rPr>
        <w:t>全面完成妇女“两癌”免费检查任务。与帮扶村开展结对帮扶、送法送科技上门活动，积极营造了全社会关心关爱支持妇女儿童事业发展的良好氛围。</w:t>
      </w:r>
    </w:p>
    <w:p>
      <w:pPr>
        <w:pStyle w:val="10"/>
        <w:topLinePunct/>
        <w:autoSpaceDE w:val="0"/>
        <w:autoSpaceDN w:val="0"/>
        <w:spacing w:beforeAutospacing="0" w:afterAutospacing="0" w:line="576" w:lineRule="exact"/>
        <w:ind w:firstLine="640" w:firstLineChars="200"/>
        <w:jc w:val="both"/>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五</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实施“巾帼和”维权保障行动，齐心</w:t>
      </w:r>
      <w:r>
        <w:rPr>
          <w:rFonts w:ascii="Times New Roman" w:hAnsi="Times New Roman" w:eastAsia="黑体" w:cs="Times New Roman"/>
          <w:kern w:val="2"/>
          <w:sz w:val="32"/>
          <w:szCs w:val="32"/>
        </w:rPr>
        <w:t>筑牢依法维权网</w:t>
      </w:r>
    </w:p>
    <w:p>
      <w:pPr>
        <w:topLinePunct/>
        <w:autoSpaceDE w:val="0"/>
        <w:autoSpaceDN w:val="0"/>
        <w:spacing w:line="576" w:lineRule="exact"/>
        <w:ind w:firstLine="642"/>
        <w:rPr>
          <w:rFonts w:ascii="Times New Roman" w:hAnsi="Times New Roman" w:eastAsia="方正仿宋_GBK" w:cs="Times New Roman"/>
          <w:sz w:val="32"/>
          <w:szCs w:val="32"/>
        </w:rPr>
      </w:pPr>
      <w:r>
        <w:rPr>
          <w:rFonts w:hint="eastAsia" w:eastAsia="方正楷体_GBK" w:cs="Times New Roman"/>
          <w:b/>
          <w:bCs/>
          <w:sz w:val="32"/>
          <w:szCs w:val="32"/>
        </w:rPr>
        <w:t>1.</w:t>
      </w:r>
      <w:r>
        <w:rPr>
          <w:rFonts w:ascii="Times New Roman" w:hAnsi="Times New Roman" w:eastAsia="方正楷体_GBK" w:cs="Times New Roman"/>
          <w:b/>
          <w:bCs/>
          <w:sz w:val="32"/>
          <w:szCs w:val="32"/>
        </w:rPr>
        <w:t>法治宣传点面结合。</w:t>
      </w:r>
      <w:r>
        <w:rPr>
          <w:rStyle w:val="22"/>
          <w:rFonts w:ascii="Times New Roman" w:hAnsi="Times New Roman" w:eastAsia="方正仿宋_GBK" w:cs="Times New Roman"/>
          <w:bCs/>
          <w:sz w:val="32"/>
          <w:szCs w:val="32"/>
        </w:rPr>
        <w:t>开展“送法进家庭”“送法进校园”活动7场次，</w:t>
      </w:r>
      <w:r>
        <w:rPr>
          <w:rFonts w:ascii="Times New Roman" w:hAnsi="Times New Roman" w:eastAsia="方正仿宋_GBK" w:cs="Times New Roman"/>
          <w:sz w:val="32"/>
          <w:szCs w:val="32"/>
        </w:rPr>
        <w:t>发放宣传资料3500余份。通过点面结合向广大妇女群众深入解读《民法典》《未成年人保护法》《反家庭暴力法》《预防未成年人犯罪法》等法律知识，用通俗易懂的语言向群众普及《家庭教育促进法》，倡导家长“依法带娃”；结合实际案例宣传了禁毒、反电信诈骗等相关知识，教育引导他们建立法治思维，弘扬法治精神，提高自我保护意识和依法维权能力。县公安局在预防打击拐卖妇女儿童、防反诈等工作上宣传有效，打击有力，极大维护了妇女儿童生命财产安全。</w:t>
      </w:r>
    </w:p>
    <w:p>
      <w:pPr>
        <w:widowControl/>
        <w:spacing w:line="576" w:lineRule="exact"/>
        <w:ind w:firstLine="642" w:firstLineChars="200"/>
        <w:textAlignment w:val="baseline"/>
        <w:rPr>
          <w:rFonts w:ascii="Times New Roman" w:hAnsi="Times New Roman" w:eastAsia="仿宋_GB2312" w:cs="Times New Roman"/>
          <w:sz w:val="32"/>
          <w:szCs w:val="32"/>
        </w:rPr>
      </w:pPr>
      <w:r>
        <w:rPr>
          <w:rFonts w:hint="eastAsia" w:eastAsia="方正楷体_GBK" w:cs="Times New Roman"/>
          <w:b/>
          <w:bCs/>
          <w:sz w:val="32"/>
          <w:szCs w:val="32"/>
        </w:rPr>
        <w:t>2.</w:t>
      </w:r>
      <w:r>
        <w:rPr>
          <w:rFonts w:ascii="Times New Roman" w:hAnsi="Times New Roman" w:eastAsia="方正楷体_GBK" w:cs="Times New Roman"/>
          <w:b/>
          <w:bCs/>
          <w:sz w:val="32"/>
          <w:szCs w:val="32"/>
        </w:rPr>
        <w:t xml:space="preserve"> 制度建设源头参与。</w:t>
      </w:r>
      <w:r>
        <w:rPr>
          <w:rFonts w:ascii="Times New Roman" w:hAnsi="Times New Roman" w:eastAsia="方正仿宋_GBK" w:cs="Times New Roman"/>
          <w:sz w:val="32"/>
          <w:szCs w:val="32"/>
        </w:rPr>
        <w:t>制定了《九寨沟县婚姻家庭矛盾纠纷暨妇女儿童维权舆情应对预案》《九寨沟县婚姻家庭纠纷排查化解工作方案》，建立了《九寨沟吸纳妇联系统关于重点人群排查台账》，做好12345政务服务便民热线值守和督查；开通了24小时妇女儿童心理咨询热线，落实专人负责热线接听，共接听热线咨询240余人次；全面落实妇女儿童维权“五项机制”</w:t>
      </w:r>
      <w:r>
        <w:rPr>
          <w:rFonts w:hint="eastAsia" w:eastAsia="方正仿宋_GBK" w:cs="Times New Roman"/>
          <w:sz w:val="32"/>
          <w:szCs w:val="32"/>
        </w:rPr>
        <w:t>；</w:t>
      </w:r>
      <w:r>
        <w:rPr>
          <w:rFonts w:hint="eastAsia" w:ascii="方正仿宋_GBK" w:hAnsi="方正仿宋_GBK" w:eastAsia="方正仿宋_GBK" w:cs="方正仿宋_GBK"/>
          <w:sz w:val="32"/>
          <w:szCs w:val="32"/>
        </w:rPr>
        <w:t>全面完成</w:t>
      </w:r>
      <w:r>
        <w:rPr>
          <w:rFonts w:hint="eastAsia" w:ascii="Times New Roman" w:hAnsi="Times New Roman" w:eastAsia="方正仿宋_GBK" w:cs="Times New Roman"/>
          <w:sz w:val="32"/>
          <w:szCs w:val="32"/>
        </w:rPr>
        <w:t>了《九寨沟县妇女发展纲要（</w:t>
      </w:r>
      <w:r>
        <w:rPr>
          <w:rFonts w:ascii="Times New Roman" w:hAnsi="Times New Roman" w:eastAsia="方正仿宋_GBK" w:cs="Times New Roman"/>
          <w:sz w:val="32"/>
          <w:szCs w:val="32"/>
        </w:rPr>
        <w:t>2021-2030</w:t>
      </w:r>
      <w:r>
        <w:rPr>
          <w:rFonts w:hint="eastAsia" w:ascii="Times New Roman" w:hAnsi="Times New Roman" w:eastAsia="方正仿宋_GBK" w:cs="Times New Roman"/>
          <w:sz w:val="32"/>
          <w:szCs w:val="32"/>
        </w:rPr>
        <w:t>）》《九寨沟县儿童发展纲要（</w:t>
      </w:r>
      <w:r>
        <w:rPr>
          <w:rFonts w:ascii="Times New Roman" w:hAnsi="Times New Roman" w:eastAsia="方正仿宋_GBK" w:cs="Times New Roman"/>
          <w:sz w:val="32"/>
          <w:szCs w:val="32"/>
        </w:rPr>
        <w:t>2021-2030</w:t>
      </w:r>
      <w:r>
        <w:rPr>
          <w:rFonts w:hint="eastAsia" w:ascii="Times New Roman" w:hAnsi="Times New Roman" w:eastAsia="方正仿宋_GBK" w:cs="Times New Roman"/>
          <w:sz w:val="32"/>
          <w:szCs w:val="32"/>
        </w:rPr>
        <w:t>）编制及颁布。</w:t>
      </w:r>
    </w:p>
    <w:p>
      <w:pPr>
        <w:topLinePunct/>
        <w:autoSpaceDE w:val="0"/>
        <w:autoSpaceDN w:val="0"/>
        <w:spacing w:line="576" w:lineRule="exact"/>
        <w:ind w:firstLine="642"/>
        <w:rPr>
          <w:rFonts w:ascii="Times New Roman" w:hAnsi="Times New Roman" w:eastAsia="方正仿宋_GBK" w:cs="Times New Roman"/>
          <w:sz w:val="32"/>
          <w:szCs w:val="32"/>
        </w:rPr>
      </w:pPr>
      <w:r>
        <w:rPr>
          <w:rFonts w:hint="eastAsia" w:eastAsia="方正楷体_GBK" w:cs="Times New Roman"/>
          <w:b/>
          <w:bCs/>
          <w:sz w:val="32"/>
          <w:szCs w:val="32"/>
        </w:rPr>
        <w:t>3.</w:t>
      </w:r>
      <w:r>
        <w:rPr>
          <w:rFonts w:ascii="Times New Roman" w:hAnsi="Times New Roman" w:eastAsia="方正楷体_GBK" w:cs="Times New Roman"/>
          <w:b/>
          <w:bCs/>
          <w:sz w:val="32"/>
          <w:szCs w:val="32"/>
        </w:rPr>
        <w:t>平安建设纵深发展。</w:t>
      </w:r>
      <w:r>
        <w:rPr>
          <w:rFonts w:ascii="Times New Roman" w:hAnsi="Times New Roman" w:eastAsia="方正仿宋_GBK" w:cs="Times New Roman"/>
          <w:sz w:val="32"/>
          <w:szCs w:val="32"/>
        </w:rPr>
        <w:t>坚持把“平安家庭”创建纳入全年工作整体规划和全县妇联系统年度绩效评估体系，与其他重点工作同部署、同落实、同考核。通过线上线下开展家庭教育宣传活动 15场次，努力做到家喻户晓。各级妇联组织把维护权益与“平安家庭”创建共融作为主责主业，用法治思维谋划工作，用法治方式破解难题，不断提高了“平安家庭”创建能力和水平，</w:t>
      </w:r>
      <w:r>
        <w:rPr>
          <w:rFonts w:hint="eastAsia" w:eastAsia="方正仿宋_GBK" w:cs="Times New Roman"/>
          <w:sz w:val="32"/>
          <w:szCs w:val="32"/>
        </w:rPr>
        <w:t>确定</w:t>
      </w:r>
      <w:r>
        <w:rPr>
          <w:rFonts w:ascii="Times New Roman" w:hAnsi="Times New Roman" w:eastAsia="方正仿宋_GBK" w:cs="Times New Roman"/>
          <w:sz w:val="32"/>
          <w:szCs w:val="32"/>
        </w:rPr>
        <w:t>命名</w:t>
      </w:r>
      <w:r>
        <w:rPr>
          <w:rFonts w:hint="eastAsia" w:eastAsia="方正仿宋_GBK" w:cs="Times New Roman"/>
          <w:sz w:val="32"/>
          <w:szCs w:val="32"/>
        </w:rPr>
        <w:t>了县级</w:t>
      </w:r>
      <w:r>
        <w:rPr>
          <w:rFonts w:ascii="Times New Roman" w:hAnsi="Times New Roman" w:eastAsia="方正仿宋_GBK" w:cs="Times New Roman"/>
          <w:sz w:val="32"/>
          <w:szCs w:val="32"/>
        </w:rPr>
        <w:t>“平安家庭”3689户；积极推进全县“平安家庭”现场会的开展，制作的专题片《平安花开满庭芳 和谐幸福千万家》在九寨沟官方发布和全县平安建设暨县域社会治理现代化工作推进会上播放，营造了“平安家庭”创建工作的浓厚氛围。扎实做好“家”字文章，以家庭的“小平安”助力九寨的“大平安”。白河乡、永和乡在“平安家庭”创建工作中创新活动载体，拓宽“平安家庭”创建思维，组织广大家庭积极参与。</w:t>
      </w:r>
    </w:p>
    <w:p>
      <w:pPr>
        <w:topLinePunct/>
        <w:autoSpaceDE w:val="0"/>
        <w:autoSpaceDN w:val="0"/>
        <w:spacing w:line="576" w:lineRule="exact"/>
        <w:ind w:firstLine="640"/>
        <w:outlineLvl w:val="8"/>
        <w:rPr>
          <w:rFonts w:ascii="Times New Roman" w:hAnsi="Times New Roman" w:eastAsia="方正黑体_GBK" w:cs="Times New Roman"/>
          <w:sz w:val="32"/>
          <w:szCs w:val="32"/>
        </w:rPr>
      </w:pPr>
      <w:r>
        <w:rPr>
          <w:rFonts w:hint="eastAsia" w:eastAsia="方正黑体_GBK" w:cs="Times New Roman"/>
          <w:sz w:val="32"/>
          <w:szCs w:val="32"/>
        </w:rPr>
        <w:t>（</w:t>
      </w:r>
      <w:r>
        <w:rPr>
          <w:rFonts w:ascii="Times New Roman" w:hAnsi="Times New Roman" w:eastAsia="方正黑体_GBK" w:cs="Times New Roman"/>
          <w:sz w:val="32"/>
          <w:szCs w:val="32"/>
        </w:rPr>
        <w:t>六</w:t>
      </w:r>
      <w:r>
        <w:rPr>
          <w:rFonts w:hint="eastAsia" w:eastAsia="方正黑体_GBK" w:cs="Times New Roman"/>
          <w:sz w:val="32"/>
          <w:szCs w:val="32"/>
        </w:rPr>
        <w:t>）</w:t>
      </w:r>
      <w:r>
        <w:rPr>
          <w:rFonts w:ascii="Times New Roman" w:hAnsi="Times New Roman" w:eastAsia="方正黑体_GBK" w:cs="Times New Roman"/>
          <w:sz w:val="32"/>
          <w:szCs w:val="32"/>
        </w:rPr>
        <w:t>实施“巾帼廉”自身建设行动，纵深推进全面从严治党</w:t>
      </w:r>
    </w:p>
    <w:p>
      <w:pPr>
        <w:pStyle w:val="6"/>
        <w:widowControl/>
        <w:topLinePunct/>
        <w:autoSpaceDE w:val="0"/>
        <w:autoSpaceDN w:val="0"/>
        <w:spacing w:after="0" w:line="576" w:lineRule="exact"/>
        <w:ind w:firstLine="642" w:firstLineChars="200"/>
        <w:rPr>
          <w:rFonts w:ascii="Times New Roman" w:hAnsi="Times New Roman" w:eastAsia="方正仿宋_GBK" w:cs="Times New Roman"/>
          <w:kern w:val="0"/>
          <w:sz w:val="32"/>
          <w:szCs w:val="32"/>
        </w:rPr>
      </w:pPr>
      <w:r>
        <w:rPr>
          <w:rFonts w:hint="eastAsia" w:eastAsia="方正楷体_GBK" w:cs="Times New Roman"/>
          <w:b/>
          <w:bCs/>
          <w:sz w:val="32"/>
          <w:szCs w:val="32"/>
        </w:rPr>
        <w:t>1.</w:t>
      </w:r>
      <w:r>
        <w:rPr>
          <w:rFonts w:ascii="Times New Roman" w:hAnsi="Times New Roman" w:eastAsia="方正楷体_GBK" w:cs="Times New Roman"/>
          <w:b/>
          <w:bCs/>
          <w:sz w:val="32"/>
          <w:szCs w:val="32"/>
        </w:rPr>
        <w:t>决策部署落实有力度。</w:t>
      </w:r>
      <w:r>
        <w:rPr>
          <w:rFonts w:ascii="Times New Roman" w:hAnsi="Times New Roman" w:eastAsia="仿宋_GB2312" w:cs="Times New Roman"/>
          <w:sz w:val="32"/>
          <w:szCs w:val="32"/>
        </w:rPr>
        <w:t>抓实“两联一进”群众工作，</w:t>
      </w:r>
      <w:r>
        <w:rPr>
          <w:rFonts w:ascii="Times New Roman" w:hAnsi="Times New Roman" w:eastAsia="方正仿宋_GBK" w:cs="Times New Roman"/>
          <w:sz w:val="32"/>
          <w:szCs w:val="32"/>
        </w:rPr>
        <w:t>深入</w:t>
      </w:r>
      <w:r>
        <w:rPr>
          <w:rFonts w:ascii="Times New Roman" w:hAnsi="Times New Roman" w:eastAsia="方正仿宋_GBK" w:cs="Times New Roman"/>
          <w:kern w:val="0"/>
          <w:sz w:val="32"/>
          <w:szCs w:val="32"/>
        </w:rPr>
        <w:t>帮扶村开展走访调研，详细了解特殊妇女群体生产生活、家庭经济收入、子女就学、困难诉求等情况，认真梳理填报“困难群众、民生诉求、稳定工作”三本台账，及时解决群众需求，针对妇联不能解决的需求及时协调、对接相关部门，并做好解释与安抚工作。</w:t>
      </w:r>
    </w:p>
    <w:p>
      <w:pPr>
        <w:pStyle w:val="6"/>
        <w:widowControl/>
        <w:topLinePunct/>
        <w:autoSpaceDE w:val="0"/>
        <w:autoSpaceDN w:val="0"/>
        <w:spacing w:after="0" w:line="576" w:lineRule="exact"/>
        <w:ind w:firstLine="642" w:firstLineChars="200"/>
        <w:rPr>
          <w:rFonts w:ascii="Times New Roman" w:hAnsi="Times New Roman" w:eastAsia="方正仿宋_GBK" w:cs="Times New Roman"/>
          <w:sz w:val="32"/>
          <w:szCs w:val="32"/>
        </w:rPr>
      </w:pPr>
      <w:r>
        <w:rPr>
          <w:rFonts w:hint="eastAsia" w:eastAsia="方正楷体_GBK" w:cs="Times New Roman"/>
          <w:b/>
          <w:bCs/>
          <w:sz w:val="32"/>
          <w:szCs w:val="32"/>
        </w:rPr>
        <w:t>2.</w:t>
      </w:r>
      <w:r>
        <w:rPr>
          <w:rFonts w:ascii="Times New Roman" w:hAnsi="Times New Roman" w:eastAsia="方正楷体_GBK" w:cs="Times New Roman"/>
          <w:b/>
          <w:bCs/>
          <w:sz w:val="32"/>
          <w:szCs w:val="32"/>
        </w:rPr>
        <w:t>意识形态工作有深度。</w:t>
      </w:r>
      <w:r>
        <w:rPr>
          <w:rFonts w:ascii="Times New Roman" w:hAnsi="Times New Roman" w:eastAsia="方正仿宋_GBK" w:cs="Times New Roman"/>
          <w:kern w:val="0"/>
          <w:sz w:val="32"/>
          <w:szCs w:val="32"/>
        </w:rPr>
        <w:t>充分认识意识形态工作的重要性，切实把意识形态工作作为县妇联的重要工作内容，纳入重要议事议程。建强我县巾帼网评员队伍，建立起工作有人抓、有人管、有人落实的长效机制</w:t>
      </w:r>
      <w:r>
        <w:rPr>
          <w:rFonts w:ascii="Times New Roman" w:hAnsi="Times New Roman" w:eastAsia="方正仿宋_GBK" w:cs="Times New Roman"/>
          <w:sz w:val="32"/>
          <w:szCs w:val="32"/>
        </w:rPr>
        <w:t>，全县共有23名妇女干部在基层一线深入推动意识形态领域工作，形成了各负其责、共同履责的工作格局。找准重点抓研判，把全县妇女思想动态调查作为常态性工作，找准切入点和突破口，着重对全县身患重疾、留守妇女、孤寡老人等重点领域和重点人群妇女思想动向和特点进行分析。</w:t>
      </w:r>
    </w:p>
    <w:p>
      <w:pPr>
        <w:pStyle w:val="6"/>
        <w:widowControl/>
        <w:topLinePunct/>
        <w:autoSpaceDE w:val="0"/>
        <w:autoSpaceDN w:val="0"/>
        <w:spacing w:after="0" w:line="576" w:lineRule="exact"/>
        <w:ind w:firstLine="642" w:firstLineChars="200"/>
        <w:rPr>
          <w:rFonts w:ascii="Times New Roman" w:hAnsi="Times New Roman" w:eastAsia="方正仿宋_GBK" w:cs="Times New Roman"/>
          <w:sz w:val="32"/>
          <w:szCs w:val="32"/>
        </w:rPr>
      </w:pPr>
      <w:r>
        <w:rPr>
          <w:rFonts w:hint="eastAsia" w:eastAsia="方正楷体_GBK" w:cs="Times New Roman"/>
          <w:b/>
          <w:bCs/>
          <w:sz w:val="32"/>
          <w:szCs w:val="32"/>
        </w:rPr>
        <w:t>3.</w:t>
      </w:r>
      <w:r>
        <w:rPr>
          <w:rFonts w:ascii="Times New Roman" w:hAnsi="Times New Roman" w:eastAsia="方正楷体_GBK" w:cs="Times New Roman"/>
          <w:b/>
          <w:bCs/>
          <w:sz w:val="32"/>
          <w:szCs w:val="32"/>
        </w:rPr>
        <w:t>风清气正生态有严度。</w:t>
      </w:r>
      <w:r>
        <w:rPr>
          <w:rFonts w:ascii="Times New Roman" w:hAnsi="Times New Roman" w:eastAsia="方正仿宋_GBK" w:cs="Times New Roman"/>
          <w:sz w:val="32"/>
          <w:szCs w:val="32"/>
        </w:rPr>
        <w:t>思想建设不断加强，认真落实从严治党要求，通过开展红色教育，引导妇联干部拧紧思想“总开关”。组织建设不断加强</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坚决贯彻民主集中制，严格落实重大事项请示报告、“三会一课”、谈心谈话等制度。作风建设不断加强，认真落实中央八项规定和省、州十项规定及其实施细则，持续巩固正风肃纪成果。纪律建设不断加强，严格落实“两个责任”和“一岗双责”，深入开展正反两面廉政教育，推进廉政风险防控排查，常态化开展廉政文化进家庭活动，让妇联干部和广大妇女知敬畏、存戒惧、守底线。</w:t>
      </w:r>
    </w:p>
    <w:p>
      <w:pPr>
        <w:widowControl/>
        <w:shd w:val="clear" w:color="auto" w:fill="FFFFFF"/>
        <w:jc w:val="left"/>
        <w:rPr>
          <w:rFonts w:ascii="Arial" w:hAnsi="Arial" w:eastAsia="宋体" w:cs="Arial"/>
          <w:color w:val="000000"/>
          <w:kern w:val="0"/>
          <w:sz w:val="20"/>
          <w:szCs w:val="20"/>
        </w:rPr>
      </w:pP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二、机构设置</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四川省阿坝州九寨沟县妇女联合会下属二级单位</w:t>
      </w:r>
      <w:r>
        <w:rPr>
          <w:rFonts w:hint="eastAsia" w:ascii="Arial" w:hAnsi="Arial" w:eastAsia="宋体" w:cs="Arial"/>
          <w:color w:val="000000"/>
          <w:kern w:val="0"/>
          <w:sz w:val="20"/>
          <w:szCs w:val="20"/>
        </w:rPr>
        <w:t>0</w:t>
      </w:r>
      <w:r>
        <w:rPr>
          <w:rFonts w:ascii="Arial" w:hAnsi="Arial" w:eastAsia="宋体" w:cs="Arial"/>
          <w:color w:val="000000"/>
          <w:kern w:val="0"/>
          <w:sz w:val="20"/>
          <w:szCs w:val="20"/>
        </w:rPr>
        <w:t>个，其中行政单位</w:t>
      </w:r>
      <w:r>
        <w:rPr>
          <w:rFonts w:hint="eastAsia" w:ascii="Arial" w:hAnsi="Arial" w:eastAsia="宋体" w:cs="Arial"/>
          <w:color w:val="000000"/>
          <w:kern w:val="0"/>
          <w:sz w:val="20"/>
          <w:szCs w:val="20"/>
        </w:rPr>
        <w:t>1</w:t>
      </w:r>
      <w:r>
        <w:rPr>
          <w:rFonts w:ascii="Arial" w:hAnsi="Arial" w:eastAsia="宋体" w:cs="Arial"/>
          <w:color w:val="000000"/>
          <w:kern w:val="0"/>
          <w:sz w:val="20"/>
          <w:szCs w:val="20"/>
        </w:rPr>
        <w:t>个，参照公务员法管理的事业单位</w:t>
      </w:r>
      <w:r>
        <w:rPr>
          <w:rFonts w:hint="eastAsia" w:ascii="Arial" w:hAnsi="Arial" w:eastAsia="宋体" w:cs="Arial"/>
          <w:color w:val="000000"/>
          <w:kern w:val="0"/>
          <w:sz w:val="20"/>
          <w:szCs w:val="20"/>
        </w:rPr>
        <w:t>0</w:t>
      </w:r>
      <w:r>
        <w:rPr>
          <w:rFonts w:ascii="Arial" w:hAnsi="Arial" w:eastAsia="宋体" w:cs="Arial"/>
          <w:color w:val="000000"/>
          <w:kern w:val="0"/>
          <w:sz w:val="20"/>
          <w:szCs w:val="20"/>
        </w:rPr>
        <w:t>个，其他事业单位</w:t>
      </w:r>
      <w:r>
        <w:rPr>
          <w:rFonts w:hint="eastAsia" w:ascii="Arial" w:hAnsi="Arial" w:eastAsia="宋体" w:cs="Arial"/>
          <w:color w:val="000000"/>
          <w:kern w:val="0"/>
          <w:sz w:val="20"/>
          <w:szCs w:val="20"/>
        </w:rPr>
        <w:t>0</w:t>
      </w:r>
      <w:r>
        <w:rPr>
          <w:rFonts w:ascii="Arial" w:hAnsi="Arial" w:eastAsia="宋体" w:cs="Arial"/>
          <w:color w:val="000000"/>
          <w:kern w:val="0"/>
          <w:sz w:val="20"/>
          <w:szCs w:val="20"/>
        </w:rPr>
        <w:t>个。</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纳入四川省阿坝州九寨沟县妇女联合会2022年度部门决算编制范围的二级预算单位包括：</w:t>
      </w:r>
      <w:r>
        <w:rPr>
          <w:rFonts w:hint="eastAsia" w:ascii="Arial" w:hAnsi="Arial" w:eastAsia="宋体" w:cs="Arial"/>
          <w:color w:val="000000"/>
          <w:kern w:val="0"/>
          <w:sz w:val="20"/>
          <w:szCs w:val="20"/>
        </w:rPr>
        <w:t>无。</w:t>
      </w:r>
    </w:p>
    <w:p>
      <w:pPr>
        <w:widowControl/>
        <w:shd w:val="clear" w:color="auto" w:fill="FFFFFF"/>
        <w:spacing w:before="100" w:beforeAutospacing="1" w:after="100" w:afterAutospacing="1"/>
        <w:jc w:val="center"/>
        <w:outlineLvl w:val="0"/>
        <w:rPr>
          <w:rFonts w:ascii="Arial" w:hAnsi="Arial" w:eastAsia="宋体" w:cs="Arial"/>
          <w:b/>
          <w:bCs/>
          <w:color w:val="000000"/>
          <w:kern w:val="36"/>
          <w:sz w:val="48"/>
          <w:szCs w:val="48"/>
        </w:rPr>
      </w:pPr>
      <w:r>
        <w:rPr>
          <w:rFonts w:ascii="Arial" w:hAnsi="Arial" w:eastAsia="宋体" w:cs="Arial"/>
          <w:b/>
          <w:bCs/>
          <w:color w:val="000000"/>
          <w:kern w:val="36"/>
          <w:sz w:val="48"/>
          <w:szCs w:val="48"/>
        </w:rPr>
        <w:t>第二部分 2022年度部门决算情况说明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一、收入支出决算总体情况说明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2022年度收、支总计136.24万元。与2021年相比，收、支总计各增加-27.55万元，增长-16.82%。主要变动原因是</w:t>
      </w:r>
      <w:r>
        <w:rPr>
          <w:rFonts w:hint="eastAsia" w:ascii="Arial" w:hAnsi="Arial" w:eastAsia="宋体" w:cs="Arial"/>
          <w:color w:val="000000"/>
          <w:kern w:val="0"/>
          <w:sz w:val="20"/>
          <w:szCs w:val="20"/>
        </w:rPr>
        <w:t>人员变动。</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（图1：收、支决算总计变动情况图）（柱状图）</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r>
        <w:rPr>
          <w:rFonts w:ascii="Arial" w:hAnsi="Arial" w:eastAsia="宋体" w:cs="Arial"/>
          <w:color w:val="000000"/>
          <w:kern w:val="0"/>
          <w:sz w:val="20"/>
          <w:szCs w:val="20"/>
        </w:rPr>
        <w:drawing>
          <wp:inline distT="0" distB="0" distL="0" distR="0">
            <wp:extent cx="4572000" cy="2743200"/>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二、收入决算情况说明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本年收入合计103.12万元，其中：一般公共预算财政拨款收入103.12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（注：数据来源于财决01表，仅罗列本部门涉及的收入。）</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（图2：收入决算结构图）（饼状图）</w:t>
      </w:r>
    </w:p>
    <w:p>
      <w:pPr>
        <w:widowControl/>
        <w:shd w:val="clear" w:color="auto" w:fill="FFFFFF"/>
        <w:jc w:val="left"/>
        <w:rPr>
          <w:rFonts w:ascii="Arial" w:hAnsi="Arial" w:eastAsia="宋体" w:cs="Arial"/>
          <w:color w:val="000000"/>
          <w:kern w:val="0"/>
          <w:sz w:val="20"/>
          <w:szCs w:val="20"/>
        </w:rP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三、支出决算情况说明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2022年本年支出合计136.24万元，其中：基本支出136.24万元，占100.00%；项目支出0.00万元，占0.00%；上缴上级支出0.00万元，占0.00%；经营支出0.00万元，占经营支出0.00万元，占 0.00%；对附属单位补助支出0.00万元，占0.00%。</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（注：数据来源于财决04表，仅罗列本部门涉及的支出。）</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（图3：支出决算结构图）（饼状图）</w:t>
      </w:r>
    </w:p>
    <w:p>
      <w:pPr>
        <w:widowControl/>
        <w:shd w:val="clear" w:color="auto" w:fill="FFFFFF"/>
        <w:jc w:val="left"/>
        <w:rPr>
          <w:rFonts w:ascii="Arial" w:hAnsi="Arial" w:eastAsia="宋体" w:cs="Arial"/>
          <w:color w:val="000000"/>
          <w:kern w:val="0"/>
          <w:sz w:val="20"/>
          <w:szCs w:val="20"/>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四、财政拨款收入支出决算总体情况说明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2022年财政拨款收、支总计136.24万元。与2021年相比，财政拨款收、支总计各增加/减少-27.55万元，增长-16.82%。主要变动原因是</w:t>
      </w:r>
      <w:r>
        <w:rPr>
          <w:rFonts w:hint="eastAsia" w:ascii="Arial" w:hAnsi="Arial" w:eastAsia="宋体" w:cs="Arial"/>
          <w:color w:val="000000"/>
          <w:kern w:val="0"/>
          <w:sz w:val="20"/>
          <w:szCs w:val="20"/>
        </w:rPr>
        <w:t>人员变动。</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（注：数据来源于财决01-1表）</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（图4：财政拨款收、支决算总计变动情况）（柱状图）</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五、</w:t>
      </w:r>
      <w:r>
        <w:rPr>
          <w:rFonts w:ascii="Arial" w:hAnsi="Arial" w:eastAsia="宋体" w:cs="Arial"/>
          <w:b/>
          <w:bCs/>
          <w:color w:val="000000"/>
          <w:kern w:val="0"/>
          <w:sz w:val="20"/>
        </w:rPr>
        <w:t>一</w:t>
      </w:r>
      <w:r>
        <w:rPr>
          <w:rFonts w:ascii="Arial" w:hAnsi="Arial" w:eastAsia="宋体" w:cs="Arial"/>
          <w:color w:val="000000"/>
          <w:kern w:val="0"/>
          <w:sz w:val="20"/>
          <w:szCs w:val="20"/>
        </w:rPr>
        <w:t>般公共预算财政拨款支出决算情况说明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（一）一般公共预算财政拨款支出决算总体情况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2022年一般公共预算财政拨款支出136.24万元，占本年支出合计的100.00%。与2021年相比，一般公共预算财政拨款支出增加-27.55万元，增长-16.82%。主要变动原因是……</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（图5：一般公共预算财政拨款支出决算变动情况）（柱状图）</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r>
        <w:drawing>
          <wp:inline distT="0" distB="0" distL="114300" distR="114300">
            <wp:extent cx="4572000" cy="2743200"/>
            <wp:effectExtent l="4445" t="4445" r="14605" b="1460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（二）一般公共预算财政拨款支出决算结构情况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2022年一般公共预算财政拨款支出136.24万元，主要用于以下方面:</w:t>
      </w:r>
      <w:r>
        <w:rPr>
          <w:rFonts w:ascii="Arial" w:hAnsi="Arial" w:eastAsia="宋体" w:cs="Arial"/>
          <w:b/>
          <w:bCs/>
          <w:color w:val="000000"/>
          <w:kern w:val="0"/>
          <w:sz w:val="20"/>
        </w:rPr>
        <w:t>一般公共服务（类）</w:t>
      </w:r>
      <w:r>
        <w:rPr>
          <w:rFonts w:ascii="Arial" w:hAnsi="Arial" w:eastAsia="宋体" w:cs="Arial"/>
          <w:color w:val="000000"/>
          <w:kern w:val="0"/>
          <w:sz w:val="20"/>
          <w:szCs w:val="20"/>
        </w:rPr>
        <w:t>支出112.31万元，占82.44%；</w:t>
      </w:r>
      <w:r>
        <w:rPr>
          <w:rFonts w:ascii="Arial" w:hAnsi="Arial" w:eastAsia="宋体" w:cs="Arial"/>
          <w:b/>
          <w:bCs/>
          <w:color w:val="000000"/>
          <w:kern w:val="0"/>
          <w:sz w:val="20"/>
        </w:rPr>
        <w:t>教育支出（类）</w:t>
      </w:r>
      <w:r>
        <w:rPr>
          <w:rFonts w:ascii="Arial" w:hAnsi="Arial" w:eastAsia="宋体" w:cs="Arial"/>
          <w:color w:val="000000"/>
          <w:kern w:val="0"/>
          <w:sz w:val="20"/>
          <w:szCs w:val="20"/>
        </w:rPr>
        <w:t>0.00万元，占0.00%；</w:t>
      </w:r>
      <w:r>
        <w:rPr>
          <w:rFonts w:ascii="Arial" w:hAnsi="Arial" w:eastAsia="宋体" w:cs="Arial"/>
          <w:b/>
          <w:bCs/>
          <w:color w:val="000000"/>
          <w:kern w:val="0"/>
          <w:sz w:val="20"/>
        </w:rPr>
        <w:t>科学技术（类）</w:t>
      </w:r>
      <w:r>
        <w:rPr>
          <w:rFonts w:ascii="Arial" w:hAnsi="Arial" w:eastAsia="宋体" w:cs="Arial"/>
          <w:color w:val="000000"/>
          <w:kern w:val="0"/>
          <w:sz w:val="20"/>
          <w:szCs w:val="20"/>
        </w:rPr>
        <w:t>支出0.00万元，占0.00%；</w:t>
      </w:r>
      <w:r>
        <w:rPr>
          <w:rFonts w:ascii="Arial" w:hAnsi="Arial" w:eastAsia="宋体" w:cs="Arial"/>
          <w:b/>
          <w:bCs/>
          <w:color w:val="000000"/>
          <w:kern w:val="0"/>
          <w:sz w:val="20"/>
        </w:rPr>
        <w:t>文化旅游体育与传媒（类）支出0.00万元，占0.00%；社会保障和就业（类）</w:t>
      </w:r>
      <w:r>
        <w:rPr>
          <w:rFonts w:ascii="Arial" w:hAnsi="Arial" w:eastAsia="宋体" w:cs="Arial"/>
          <w:color w:val="000000"/>
          <w:kern w:val="0"/>
          <w:sz w:val="20"/>
          <w:szCs w:val="20"/>
        </w:rPr>
        <w:t>支出11.93万元，占8.76%；</w:t>
      </w:r>
      <w:r>
        <w:rPr>
          <w:rFonts w:ascii="Arial" w:hAnsi="Arial" w:eastAsia="宋体" w:cs="Arial"/>
          <w:b/>
          <w:bCs/>
          <w:color w:val="000000"/>
          <w:kern w:val="0"/>
          <w:sz w:val="20"/>
        </w:rPr>
        <w:t>卫生健康支出</w:t>
      </w:r>
      <w:r>
        <w:rPr>
          <w:rFonts w:ascii="Arial" w:hAnsi="Arial" w:eastAsia="宋体" w:cs="Arial"/>
          <w:color w:val="000000"/>
          <w:kern w:val="0"/>
          <w:sz w:val="20"/>
          <w:szCs w:val="20"/>
        </w:rPr>
        <w:t>5.12万元，占3.76%；住房保障支出6.88万元，占5.05%；…。</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（注：数据来源于财决01-1表，仅罗列本部门涉及的全部功能分类科目，至类级。）</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（图6：一般公共预算财政拨款支出决算结构）（饼状图）</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r>
        <w:drawing>
          <wp:inline distT="0" distB="0" distL="114300" distR="114300">
            <wp:extent cx="4572000" cy="1971675"/>
            <wp:effectExtent l="4445" t="4445" r="14605" b="508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（三）一般公共预算财政拨款支出决算具体情况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2022年一般公共预算支出决算数为136.24</w:t>
      </w:r>
      <w:r>
        <w:rPr>
          <w:rFonts w:ascii="Arial" w:hAnsi="Arial" w:eastAsia="宋体" w:cs="Arial"/>
          <w:color w:val="000000"/>
          <w:kern w:val="0"/>
          <w:sz w:val="20"/>
          <w:szCs w:val="20"/>
        </w:rPr>
        <w:t>，</w:t>
      </w:r>
      <w:r>
        <w:rPr>
          <w:rFonts w:ascii="Arial" w:hAnsi="Arial" w:eastAsia="宋体" w:cs="Arial"/>
          <w:b/>
          <w:bCs/>
          <w:color w:val="000000"/>
          <w:kern w:val="0"/>
          <w:sz w:val="20"/>
        </w:rPr>
        <w:t>完成预算100.00%。其中：</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1.</w:t>
      </w:r>
      <w:r>
        <w:rPr>
          <w:rFonts w:hint="eastAsia" w:ascii="Arial" w:hAnsi="Arial" w:eastAsia="宋体" w:cs="Arial"/>
          <w:b/>
          <w:bCs/>
          <w:color w:val="000000"/>
          <w:kern w:val="0"/>
          <w:sz w:val="20"/>
        </w:rPr>
        <w:t>一般公共服务201（类）29（款）01（项）</w:t>
      </w:r>
      <w:r>
        <w:rPr>
          <w:rFonts w:ascii="Arial" w:hAnsi="Arial" w:eastAsia="宋体" w:cs="Arial"/>
          <w:b/>
          <w:bCs/>
          <w:color w:val="000000"/>
          <w:kern w:val="0"/>
          <w:sz w:val="20"/>
        </w:rPr>
        <w:t>: 支出决算为</w:t>
      </w:r>
      <w:r>
        <w:rPr>
          <w:rFonts w:hint="eastAsia" w:ascii="Arial" w:hAnsi="Arial" w:eastAsia="宋体" w:cs="Arial"/>
          <w:b/>
          <w:bCs/>
          <w:color w:val="000000"/>
          <w:kern w:val="0"/>
          <w:sz w:val="20"/>
        </w:rPr>
        <w:t>136.24</w:t>
      </w:r>
      <w:r>
        <w:rPr>
          <w:rFonts w:ascii="Arial" w:hAnsi="Arial" w:eastAsia="宋体" w:cs="Arial"/>
          <w:b/>
          <w:bCs/>
          <w:color w:val="000000"/>
          <w:kern w:val="0"/>
          <w:sz w:val="20"/>
        </w:rPr>
        <w:t>万元，完成预算</w:t>
      </w:r>
      <w:r>
        <w:rPr>
          <w:rFonts w:hint="eastAsia" w:ascii="Arial" w:hAnsi="Arial" w:eastAsia="宋体" w:cs="Arial"/>
          <w:b/>
          <w:bCs/>
          <w:color w:val="000000"/>
          <w:kern w:val="0"/>
          <w:sz w:val="20"/>
        </w:rPr>
        <w:t>100</w:t>
      </w:r>
      <w:r>
        <w:rPr>
          <w:rFonts w:ascii="Arial" w:hAnsi="Arial" w:eastAsia="宋体" w:cs="Arial"/>
          <w:b/>
          <w:bCs/>
          <w:color w:val="000000"/>
          <w:kern w:val="0"/>
          <w:sz w:val="20"/>
        </w:rPr>
        <w:t>%，决算数小于/等于预算数的主要原因是</w:t>
      </w:r>
      <w:r>
        <w:rPr>
          <w:rFonts w:hint="eastAsia" w:ascii="Arial" w:hAnsi="Arial" w:eastAsia="宋体" w:cs="Arial"/>
          <w:b/>
          <w:bCs/>
          <w:color w:val="000000"/>
          <w:kern w:val="0"/>
          <w:sz w:val="20"/>
        </w:rPr>
        <w:t>无</w:t>
      </w:r>
      <w:r>
        <w:rPr>
          <w:rFonts w:ascii="Arial" w:hAnsi="Arial" w:eastAsia="宋体" w:cs="Arial"/>
          <w:b/>
          <w:bCs/>
          <w:color w:val="000000"/>
          <w:kern w:val="0"/>
          <w:sz w:val="20"/>
        </w:rPr>
        <w:t>。</w:t>
      </w:r>
    </w:p>
    <w:p>
      <w:pPr>
        <w:widowControl/>
        <w:shd w:val="clear" w:color="auto" w:fill="FFFFFF"/>
        <w:jc w:val="left"/>
        <w:rPr>
          <w:rFonts w:ascii="Arial" w:hAnsi="Arial" w:eastAsia="宋体" w:cs="Arial"/>
          <w:color w:val="000000"/>
          <w:kern w:val="0"/>
          <w:sz w:val="20"/>
          <w:szCs w:val="20"/>
        </w:rPr>
      </w:pPr>
      <w:r>
        <w:rPr>
          <w:rFonts w:hint="eastAsia" w:ascii="Arial" w:hAnsi="Arial" w:eastAsia="宋体" w:cs="Arial"/>
          <w:b/>
          <w:bCs/>
          <w:color w:val="000000"/>
          <w:kern w:val="0"/>
          <w:sz w:val="20"/>
        </w:rPr>
        <w:t>2</w:t>
      </w:r>
      <w:r>
        <w:rPr>
          <w:rFonts w:ascii="Arial" w:hAnsi="Arial" w:eastAsia="宋体" w:cs="Arial"/>
          <w:b/>
          <w:bCs/>
          <w:color w:val="000000"/>
          <w:kern w:val="0"/>
          <w:sz w:val="20"/>
        </w:rPr>
        <w:t>.社会保障和就业</w:t>
      </w:r>
      <w:r>
        <w:rPr>
          <w:rStyle w:val="13"/>
          <w:rFonts w:hint="eastAsia" w:asciiTheme="minorEastAsia" w:hAnsiTheme="minorEastAsia" w:cstheme="minorEastAsia"/>
          <w:sz w:val="24"/>
          <w:szCs w:val="24"/>
        </w:rPr>
        <w:t>208（类）05（款）05（项）</w:t>
      </w:r>
      <w:r>
        <w:rPr>
          <w:rFonts w:ascii="Arial" w:hAnsi="Arial" w:eastAsia="宋体" w:cs="Arial"/>
          <w:b/>
          <w:bCs/>
          <w:color w:val="000000"/>
          <w:kern w:val="0"/>
          <w:sz w:val="20"/>
        </w:rPr>
        <w:t>: 支出决算为</w:t>
      </w:r>
      <w:r>
        <w:rPr>
          <w:rFonts w:hint="eastAsia" w:ascii="Arial" w:hAnsi="Arial" w:eastAsia="宋体" w:cs="Arial"/>
          <w:b/>
          <w:bCs/>
          <w:color w:val="000000"/>
          <w:kern w:val="0"/>
          <w:sz w:val="20"/>
        </w:rPr>
        <w:t>11.93</w:t>
      </w:r>
      <w:r>
        <w:rPr>
          <w:rFonts w:ascii="Arial" w:hAnsi="Arial" w:eastAsia="宋体" w:cs="Arial"/>
          <w:b/>
          <w:bCs/>
          <w:color w:val="000000"/>
          <w:kern w:val="0"/>
          <w:sz w:val="20"/>
        </w:rPr>
        <w:t>万元，完成预算</w:t>
      </w:r>
      <w:r>
        <w:rPr>
          <w:rFonts w:hint="eastAsia" w:ascii="Arial" w:hAnsi="Arial" w:eastAsia="宋体" w:cs="Arial"/>
          <w:b/>
          <w:bCs/>
          <w:color w:val="000000"/>
          <w:kern w:val="0"/>
          <w:sz w:val="20"/>
        </w:rPr>
        <w:t>100</w:t>
      </w:r>
      <w:r>
        <w:rPr>
          <w:rFonts w:ascii="Arial" w:hAnsi="Arial" w:eastAsia="宋体" w:cs="Arial"/>
          <w:b/>
          <w:bCs/>
          <w:color w:val="000000"/>
          <w:kern w:val="0"/>
          <w:sz w:val="20"/>
        </w:rPr>
        <w:t>%，决算数小于/等于预算数的主要原因是</w:t>
      </w:r>
      <w:r>
        <w:rPr>
          <w:rFonts w:hint="eastAsia" w:ascii="Arial" w:hAnsi="Arial" w:eastAsia="宋体" w:cs="Arial"/>
          <w:b/>
          <w:bCs/>
          <w:color w:val="000000"/>
          <w:kern w:val="0"/>
          <w:sz w:val="20"/>
        </w:rPr>
        <w:t>无</w:t>
      </w:r>
      <w:r>
        <w:rPr>
          <w:rFonts w:ascii="Arial" w:hAnsi="Arial" w:eastAsia="宋体" w:cs="Arial"/>
          <w:b/>
          <w:bCs/>
          <w:color w:val="000000"/>
          <w:kern w:val="0"/>
          <w:sz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6.卫生健康</w:t>
      </w:r>
      <w:r>
        <w:rPr>
          <w:rStyle w:val="13"/>
          <w:rFonts w:hint="eastAsia" w:asciiTheme="minorEastAsia" w:hAnsiTheme="minorEastAsia" w:cstheme="minorEastAsia"/>
          <w:sz w:val="24"/>
          <w:szCs w:val="24"/>
        </w:rPr>
        <w:t>210（类）11（款）01（项）</w:t>
      </w:r>
      <w:r>
        <w:rPr>
          <w:rFonts w:ascii="Arial" w:hAnsi="Arial" w:eastAsia="宋体" w:cs="Arial"/>
          <w:b/>
          <w:bCs/>
          <w:color w:val="000000"/>
          <w:kern w:val="0"/>
          <w:sz w:val="20"/>
        </w:rPr>
        <w:t>:支出决算为</w:t>
      </w:r>
      <w:r>
        <w:rPr>
          <w:rFonts w:hint="eastAsia" w:ascii="Arial" w:hAnsi="Arial" w:eastAsia="宋体" w:cs="Arial"/>
          <w:b/>
          <w:bCs/>
          <w:color w:val="000000"/>
          <w:kern w:val="0"/>
          <w:sz w:val="20"/>
        </w:rPr>
        <w:t>5.12</w:t>
      </w:r>
      <w:r>
        <w:rPr>
          <w:rFonts w:ascii="Arial" w:hAnsi="Arial" w:eastAsia="宋体" w:cs="Arial"/>
          <w:b/>
          <w:bCs/>
          <w:color w:val="000000"/>
          <w:kern w:val="0"/>
          <w:sz w:val="20"/>
        </w:rPr>
        <w:t>万元，完成预算</w:t>
      </w:r>
      <w:r>
        <w:rPr>
          <w:rFonts w:hint="eastAsia" w:ascii="Arial" w:hAnsi="Arial" w:eastAsia="宋体" w:cs="Arial"/>
          <w:b/>
          <w:bCs/>
          <w:color w:val="000000"/>
          <w:kern w:val="0"/>
          <w:sz w:val="20"/>
        </w:rPr>
        <w:t>100</w:t>
      </w:r>
      <w:r>
        <w:rPr>
          <w:rFonts w:ascii="Arial" w:hAnsi="Arial" w:eastAsia="宋体" w:cs="Arial"/>
          <w:b/>
          <w:bCs/>
          <w:color w:val="000000"/>
          <w:kern w:val="0"/>
          <w:sz w:val="20"/>
        </w:rPr>
        <w:t>%，决算数小于/等于预算数的主要原因是</w:t>
      </w:r>
      <w:r>
        <w:rPr>
          <w:rFonts w:hint="eastAsia" w:ascii="Arial" w:hAnsi="Arial" w:eastAsia="宋体" w:cs="Arial"/>
          <w:b/>
          <w:bCs/>
          <w:color w:val="000000"/>
          <w:kern w:val="0"/>
          <w:sz w:val="20"/>
        </w:rPr>
        <w:t>无</w:t>
      </w:r>
      <w:r>
        <w:rPr>
          <w:rFonts w:ascii="Arial" w:hAnsi="Arial" w:eastAsia="宋体" w:cs="Arial"/>
          <w:b/>
          <w:bCs/>
          <w:color w:val="000000"/>
          <w:kern w:val="0"/>
          <w:sz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01-1表和财决08表，仅罗列本部门涉及的全部功能分类科目，至项级。上述“预算”口径为全年预算数。增减变动原因为决算数&lt;项级&gt;和全年预算数&lt;项级&gt;比较，与预算数持平可以不写原因。）</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六</w:t>
      </w:r>
      <w:r>
        <w:rPr>
          <w:rFonts w:ascii="Arial" w:hAnsi="Arial" w:eastAsia="宋体" w:cs="Arial"/>
          <w:b/>
          <w:bCs/>
          <w:color w:val="000000"/>
          <w:kern w:val="0"/>
          <w:sz w:val="20"/>
        </w:rPr>
        <w:t>、一</w:t>
      </w:r>
      <w:r>
        <w:rPr>
          <w:rFonts w:ascii="Arial" w:hAnsi="Arial" w:eastAsia="宋体" w:cs="Arial"/>
          <w:color w:val="000000"/>
          <w:kern w:val="0"/>
          <w:sz w:val="20"/>
          <w:szCs w:val="20"/>
        </w:rPr>
        <w:t>般公共预算财政拨款基本支出决算情况说明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2022年一般公共预算财政拨款基本支出136.24万元，其中：</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人员经费98.02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公用经费38.21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（注：数据来源于财决07表和财决08-1表，仅罗列本部门实际支出涉及的经济分类科目。）</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七、“三公”经费财政拨款支出决算情况说明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（一）“三公”经费财政拨款支出决算总体情况说明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2022年“三公”经费财政拨款支出决算为1.97万元，完成预算100.00%，决算数小于预算数（或与预算数持平）的主要原因是</w:t>
      </w:r>
      <w:r>
        <w:rPr>
          <w:rFonts w:hint="eastAsia" w:ascii="Arial" w:hAnsi="Arial" w:eastAsia="宋体" w:cs="Arial"/>
          <w:color w:val="000000"/>
          <w:kern w:val="0"/>
          <w:sz w:val="20"/>
          <w:szCs w:val="20"/>
        </w:rPr>
        <w:t>无</w:t>
      </w:r>
      <w:r>
        <w:rPr>
          <w:rFonts w:ascii="Arial" w:hAnsi="Arial" w:eastAsia="宋体" w:cs="Arial"/>
          <w:color w:val="000000"/>
          <w:kern w:val="0"/>
          <w:sz w:val="20"/>
          <w:szCs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（注：上述“预算”口径为全年预算数，包括一般公共预算和政府性基金预算财政拨款支出决算情况。）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（二）“三公”经费财政拨款支出决算具体情况说明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2022年“三公”经费财政拨款支出决算中，因公出国（境）费支出决算0.00万元，占0.00%；公务用车购置及运行维护费支出决算1.97万元，占100.00%；公务接待费支出决算0.00万元，占0.00%。具体情况如下：</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（图7：“三公”经费财政拨款支出结构）（饼状图）</w:t>
      </w:r>
    </w:p>
    <w:p>
      <w:pPr>
        <w:widowControl/>
        <w:shd w:val="clear" w:color="auto" w:fill="FFFFFF"/>
        <w:jc w:val="left"/>
        <w:rPr>
          <w:rFonts w:ascii="Arial" w:hAnsi="Arial" w:eastAsia="宋体" w:cs="Arial"/>
          <w:color w:val="000000"/>
          <w:kern w:val="0"/>
          <w:sz w:val="20"/>
          <w:szCs w:val="20"/>
        </w:rPr>
      </w:pPr>
      <w:r>
        <w:drawing>
          <wp:inline distT="0" distB="0" distL="114300" distR="114300">
            <wp:extent cx="4572000" cy="2743200"/>
            <wp:effectExtent l="4445" t="4445" r="1460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1.因公出国（境）经费支出</w:t>
      </w:r>
      <w:r>
        <w:rPr>
          <w:rFonts w:ascii="Arial" w:hAnsi="Arial" w:eastAsia="宋体" w:cs="Arial"/>
          <w:color w:val="000000"/>
          <w:kern w:val="0"/>
          <w:sz w:val="20"/>
          <w:szCs w:val="20"/>
        </w:rPr>
        <w:t>0.00万元，</w:t>
      </w:r>
      <w:r>
        <w:rPr>
          <w:rFonts w:ascii="Arial" w:hAnsi="Arial" w:eastAsia="宋体" w:cs="Arial"/>
          <w:b/>
          <w:bCs/>
          <w:color w:val="000000"/>
          <w:kern w:val="0"/>
          <w:sz w:val="20"/>
        </w:rPr>
        <w:t>完成预算0.00%。</w:t>
      </w:r>
      <w:r>
        <w:rPr>
          <w:rFonts w:ascii="Arial" w:hAnsi="Arial" w:eastAsia="宋体" w:cs="Arial"/>
          <w:color w:val="000000"/>
          <w:kern w:val="0"/>
          <w:sz w:val="20"/>
          <w:szCs w:val="20"/>
        </w:rPr>
        <w:t>全年安排因公出国（境）团组0次，出国（境）0人。因公出国（境）支出决算比2021年增加0.00万元，增长0.00%。主要原因是</w:t>
      </w:r>
      <w:r>
        <w:rPr>
          <w:rFonts w:hint="eastAsia" w:ascii="Arial" w:hAnsi="Arial" w:eastAsia="宋体" w:cs="Arial"/>
          <w:color w:val="000000"/>
          <w:kern w:val="0"/>
          <w:sz w:val="20"/>
          <w:szCs w:val="20"/>
        </w:rPr>
        <w:t>无</w:t>
      </w:r>
      <w:r>
        <w:rPr>
          <w:rFonts w:ascii="Arial" w:hAnsi="Arial" w:eastAsia="宋体" w:cs="Arial"/>
          <w:color w:val="000000"/>
          <w:kern w:val="0"/>
          <w:sz w:val="20"/>
          <w:szCs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2.公务用车购置及运行维护费支出</w:t>
      </w:r>
      <w:r>
        <w:rPr>
          <w:rFonts w:ascii="Arial" w:hAnsi="Arial" w:eastAsia="宋体" w:cs="Arial"/>
          <w:color w:val="000000"/>
          <w:kern w:val="0"/>
          <w:sz w:val="20"/>
          <w:szCs w:val="20"/>
        </w:rPr>
        <w:t>1.97万元,</w:t>
      </w:r>
      <w:r>
        <w:rPr>
          <w:rFonts w:ascii="Arial" w:hAnsi="Arial" w:eastAsia="宋体" w:cs="Arial"/>
          <w:b/>
          <w:bCs/>
          <w:color w:val="000000"/>
          <w:kern w:val="0"/>
          <w:sz w:val="20"/>
        </w:rPr>
        <w:t>完成预算100.00%。</w:t>
      </w:r>
      <w:r>
        <w:rPr>
          <w:rFonts w:ascii="Arial" w:hAnsi="Arial" w:eastAsia="宋体" w:cs="Arial"/>
          <w:color w:val="000000"/>
          <w:kern w:val="0"/>
          <w:sz w:val="20"/>
          <w:szCs w:val="20"/>
        </w:rPr>
        <w:t>公务用车购置及运行维护费出决算比2021年增加0.22万元，增长12.29%。主要原因是</w:t>
      </w:r>
      <w:r>
        <w:rPr>
          <w:rFonts w:hint="eastAsia" w:ascii="Arial" w:hAnsi="Arial" w:eastAsia="宋体" w:cs="Arial"/>
          <w:color w:val="000000"/>
          <w:kern w:val="0"/>
          <w:sz w:val="20"/>
          <w:szCs w:val="20"/>
        </w:rPr>
        <w:t>人员变动</w:t>
      </w:r>
      <w:r>
        <w:rPr>
          <w:rFonts w:ascii="Arial" w:hAnsi="Arial" w:eastAsia="宋体" w:cs="Arial"/>
          <w:color w:val="000000"/>
          <w:kern w:val="0"/>
          <w:sz w:val="20"/>
          <w:szCs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其中：</w:t>
      </w:r>
      <w:r>
        <w:rPr>
          <w:rFonts w:ascii="Arial" w:hAnsi="Arial" w:eastAsia="宋体" w:cs="Arial"/>
          <w:b/>
          <w:bCs/>
          <w:color w:val="000000"/>
          <w:kern w:val="0"/>
          <w:sz w:val="20"/>
        </w:rPr>
        <w:t>公务用车购置支出</w:t>
      </w:r>
      <w:r>
        <w:rPr>
          <w:rFonts w:ascii="Arial" w:hAnsi="Arial" w:eastAsia="宋体" w:cs="Arial"/>
          <w:color w:val="000000"/>
          <w:kern w:val="0"/>
          <w:sz w:val="20"/>
          <w:szCs w:val="20"/>
        </w:rPr>
        <w:t>0.00万元。全年按规定更新购置公务用车0辆，其中：轿车</w:t>
      </w:r>
      <w:r>
        <w:rPr>
          <w:rFonts w:hint="eastAsia" w:ascii="Arial" w:hAnsi="Arial" w:eastAsia="宋体" w:cs="Arial"/>
          <w:color w:val="000000"/>
          <w:kern w:val="0"/>
          <w:sz w:val="20"/>
          <w:szCs w:val="20"/>
        </w:rPr>
        <w:t>0</w:t>
      </w:r>
      <w:r>
        <w:rPr>
          <w:rFonts w:ascii="Arial" w:hAnsi="Arial" w:eastAsia="宋体" w:cs="Arial"/>
          <w:color w:val="000000"/>
          <w:kern w:val="0"/>
          <w:sz w:val="20"/>
          <w:szCs w:val="20"/>
        </w:rPr>
        <w:t>辆、金额</w:t>
      </w:r>
      <w:r>
        <w:rPr>
          <w:rFonts w:hint="eastAsia" w:ascii="Arial" w:hAnsi="Arial" w:eastAsia="宋体" w:cs="Arial"/>
          <w:color w:val="000000"/>
          <w:kern w:val="0"/>
          <w:sz w:val="20"/>
          <w:szCs w:val="20"/>
        </w:rPr>
        <w:t>0</w:t>
      </w:r>
      <w:r>
        <w:rPr>
          <w:rFonts w:ascii="Arial" w:hAnsi="Arial" w:eastAsia="宋体" w:cs="Arial"/>
          <w:color w:val="000000"/>
          <w:kern w:val="0"/>
          <w:sz w:val="20"/>
          <w:szCs w:val="20"/>
        </w:rPr>
        <w:t>万元，越野车</w:t>
      </w:r>
      <w:r>
        <w:rPr>
          <w:rFonts w:hint="eastAsia" w:ascii="Arial" w:hAnsi="Arial" w:eastAsia="宋体" w:cs="Arial"/>
          <w:color w:val="000000"/>
          <w:kern w:val="0"/>
          <w:sz w:val="20"/>
          <w:szCs w:val="20"/>
        </w:rPr>
        <w:t>0</w:t>
      </w:r>
      <w:r>
        <w:rPr>
          <w:rFonts w:ascii="Arial" w:hAnsi="Arial" w:eastAsia="宋体" w:cs="Arial"/>
          <w:color w:val="000000"/>
          <w:kern w:val="0"/>
          <w:sz w:val="20"/>
          <w:szCs w:val="20"/>
        </w:rPr>
        <w:t>辆、金额</w:t>
      </w:r>
      <w:r>
        <w:rPr>
          <w:rFonts w:hint="eastAsia" w:ascii="Arial" w:hAnsi="Arial" w:eastAsia="宋体" w:cs="Arial"/>
          <w:color w:val="000000"/>
          <w:kern w:val="0"/>
          <w:sz w:val="20"/>
          <w:szCs w:val="20"/>
        </w:rPr>
        <w:t>0</w:t>
      </w:r>
      <w:r>
        <w:rPr>
          <w:rFonts w:ascii="Arial" w:hAnsi="Arial" w:eastAsia="宋体" w:cs="Arial"/>
          <w:color w:val="000000"/>
          <w:kern w:val="0"/>
          <w:sz w:val="20"/>
          <w:szCs w:val="20"/>
        </w:rPr>
        <w:t>万元，载客汽车</w:t>
      </w:r>
      <w:r>
        <w:rPr>
          <w:rFonts w:hint="eastAsia" w:ascii="Arial" w:hAnsi="Arial" w:eastAsia="宋体" w:cs="Arial"/>
          <w:color w:val="000000"/>
          <w:kern w:val="0"/>
          <w:sz w:val="20"/>
          <w:szCs w:val="20"/>
        </w:rPr>
        <w:t>0</w:t>
      </w:r>
      <w:r>
        <w:rPr>
          <w:rFonts w:ascii="Arial" w:hAnsi="Arial" w:eastAsia="宋体" w:cs="Arial"/>
          <w:color w:val="000000"/>
          <w:kern w:val="0"/>
          <w:sz w:val="20"/>
          <w:szCs w:val="20"/>
        </w:rPr>
        <w:t>辆、金额</w:t>
      </w:r>
      <w:r>
        <w:rPr>
          <w:rFonts w:hint="eastAsia" w:ascii="Arial" w:hAnsi="Arial" w:eastAsia="宋体" w:cs="Arial"/>
          <w:color w:val="000000"/>
          <w:kern w:val="0"/>
          <w:sz w:val="20"/>
          <w:szCs w:val="20"/>
        </w:rPr>
        <w:t>0</w:t>
      </w:r>
      <w:r>
        <w:rPr>
          <w:rFonts w:ascii="Arial" w:hAnsi="Arial" w:eastAsia="宋体" w:cs="Arial"/>
          <w:color w:val="000000"/>
          <w:kern w:val="0"/>
          <w:sz w:val="20"/>
          <w:szCs w:val="20"/>
        </w:rPr>
        <w:t>万元，主要用于</w:t>
      </w:r>
      <w:r>
        <w:rPr>
          <w:rFonts w:hint="eastAsia" w:ascii="Arial" w:hAnsi="Arial" w:eastAsia="宋体" w:cs="Arial"/>
          <w:color w:val="000000"/>
          <w:kern w:val="0"/>
          <w:sz w:val="20"/>
          <w:szCs w:val="20"/>
        </w:rPr>
        <w:t>无</w:t>
      </w:r>
      <w:r>
        <w:rPr>
          <w:rFonts w:ascii="Arial" w:hAnsi="Arial" w:eastAsia="宋体" w:cs="Arial"/>
          <w:color w:val="000000"/>
          <w:kern w:val="0"/>
          <w:sz w:val="20"/>
          <w:szCs w:val="20"/>
        </w:rPr>
        <w:t>。截至2021年12月底，单位共有公务用车1辆，其中：轿车</w:t>
      </w:r>
      <w:r>
        <w:rPr>
          <w:rFonts w:hint="eastAsia" w:ascii="Arial" w:hAnsi="Arial" w:eastAsia="宋体" w:cs="Arial"/>
          <w:color w:val="000000"/>
          <w:kern w:val="0"/>
          <w:sz w:val="20"/>
          <w:szCs w:val="20"/>
        </w:rPr>
        <w:t>1</w:t>
      </w:r>
      <w:r>
        <w:rPr>
          <w:rFonts w:ascii="Arial" w:hAnsi="Arial" w:eastAsia="宋体" w:cs="Arial"/>
          <w:color w:val="000000"/>
          <w:kern w:val="0"/>
          <w:sz w:val="20"/>
          <w:szCs w:val="20"/>
        </w:rPr>
        <w:t>辆、越野车</w:t>
      </w:r>
      <w:r>
        <w:rPr>
          <w:rFonts w:hint="eastAsia" w:ascii="Arial" w:hAnsi="Arial" w:eastAsia="宋体" w:cs="Arial"/>
          <w:color w:val="000000"/>
          <w:kern w:val="0"/>
          <w:sz w:val="20"/>
          <w:szCs w:val="20"/>
        </w:rPr>
        <w:t>0</w:t>
      </w:r>
      <w:r>
        <w:rPr>
          <w:rFonts w:ascii="Arial" w:hAnsi="Arial" w:eastAsia="宋体" w:cs="Arial"/>
          <w:color w:val="000000"/>
          <w:kern w:val="0"/>
          <w:sz w:val="20"/>
          <w:szCs w:val="20"/>
        </w:rPr>
        <w:t>辆、载客汽车</w:t>
      </w:r>
      <w:r>
        <w:rPr>
          <w:rFonts w:hint="eastAsia" w:ascii="Arial" w:hAnsi="Arial" w:eastAsia="宋体" w:cs="Arial"/>
          <w:color w:val="000000"/>
          <w:kern w:val="0"/>
          <w:sz w:val="20"/>
          <w:szCs w:val="20"/>
        </w:rPr>
        <w:t>0</w:t>
      </w:r>
      <w:r>
        <w:rPr>
          <w:rFonts w:ascii="Arial" w:hAnsi="Arial" w:eastAsia="宋体" w:cs="Arial"/>
          <w:color w:val="000000"/>
          <w:kern w:val="0"/>
          <w:sz w:val="20"/>
          <w:szCs w:val="20"/>
        </w:rPr>
        <w:t>辆。</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公务用车运行维护费支出</w:t>
      </w:r>
      <w:r>
        <w:rPr>
          <w:rFonts w:ascii="Arial" w:hAnsi="Arial" w:eastAsia="宋体" w:cs="Arial"/>
          <w:color w:val="000000"/>
          <w:kern w:val="0"/>
          <w:sz w:val="20"/>
          <w:szCs w:val="20"/>
        </w:rPr>
        <w:t>1.97万元。主要用于</w:t>
      </w:r>
      <w:r>
        <w:rPr>
          <w:rFonts w:hint="eastAsia" w:ascii="Arial" w:hAnsi="Arial" w:eastAsia="宋体" w:cs="Arial"/>
          <w:color w:val="000000"/>
          <w:kern w:val="0"/>
          <w:sz w:val="20"/>
          <w:szCs w:val="20"/>
        </w:rPr>
        <w:t>下乡出差</w:t>
      </w:r>
      <w:r>
        <w:rPr>
          <w:rFonts w:ascii="Arial" w:hAnsi="Arial" w:eastAsia="宋体" w:cs="Arial"/>
          <w:color w:val="000000"/>
          <w:kern w:val="0"/>
          <w:sz w:val="20"/>
          <w:szCs w:val="20"/>
        </w:rPr>
        <w:t>等所需的公务用车燃料费、维修费、过路过桥费、保险费等支出。</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3.公务接待费支出</w:t>
      </w:r>
      <w:r>
        <w:rPr>
          <w:rFonts w:ascii="Arial" w:hAnsi="Arial" w:eastAsia="宋体" w:cs="Arial"/>
          <w:color w:val="000000"/>
          <w:kern w:val="0"/>
          <w:sz w:val="20"/>
          <w:szCs w:val="20"/>
        </w:rPr>
        <w:t>0.00万元，</w:t>
      </w:r>
      <w:r>
        <w:rPr>
          <w:rFonts w:ascii="Arial" w:hAnsi="Arial" w:eastAsia="宋体" w:cs="Arial"/>
          <w:b/>
          <w:bCs/>
          <w:color w:val="000000"/>
          <w:kern w:val="0"/>
          <w:sz w:val="20"/>
        </w:rPr>
        <w:t>完成预算100%。</w:t>
      </w:r>
      <w:r>
        <w:rPr>
          <w:rFonts w:ascii="Arial" w:hAnsi="Arial" w:eastAsia="宋体" w:cs="Arial"/>
          <w:color w:val="000000"/>
          <w:kern w:val="0"/>
          <w:sz w:val="20"/>
          <w:szCs w:val="20"/>
        </w:rPr>
        <w:t>公务接待费支出决算比2021年增加-0.48万元，增长-100.00%。主要原因是</w:t>
      </w:r>
      <w:r>
        <w:rPr>
          <w:rFonts w:hint="eastAsia" w:ascii="Arial" w:hAnsi="Arial" w:eastAsia="宋体" w:cs="Arial"/>
          <w:color w:val="000000"/>
          <w:kern w:val="0"/>
          <w:sz w:val="20"/>
          <w:szCs w:val="20"/>
        </w:rPr>
        <w:t>无</w:t>
      </w:r>
      <w:r>
        <w:rPr>
          <w:rFonts w:ascii="Arial" w:hAnsi="Arial" w:eastAsia="宋体" w:cs="Arial"/>
          <w:color w:val="000000"/>
          <w:kern w:val="0"/>
          <w:sz w:val="20"/>
          <w:szCs w:val="20"/>
        </w:rPr>
        <w:t>。其中：</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国内公务接待支出</w:t>
      </w:r>
      <w:r>
        <w:rPr>
          <w:rFonts w:ascii="Arial" w:hAnsi="Arial" w:eastAsia="宋体" w:cs="Arial"/>
          <w:color w:val="000000"/>
          <w:kern w:val="0"/>
          <w:sz w:val="20"/>
          <w:szCs w:val="20"/>
        </w:rPr>
        <w:t>0.00万元，主要用于执行公务、开展业务活动开支的交通费、住宿费、用餐费等。国内公务接待0批次，0人次（不包括陪同人员），共计支出0.00万元，具体内容包括</w:t>
      </w:r>
      <w:r>
        <w:rPr>
          <w:rFonts w:hint="eastAsia" w:ascii="Arial" w:hAnsi="Arial" w:eastAsia="宋体" w:cs="Arial"/>
          <w:color w:val="000000"/>
          <w:kern w:val="0"/>
          <w:sz w:val="20"/>
          <w:szCs w:val="20"/>
        </w:rPr>
        <w:t>：无</w:t>
      </w:r>
      <w:r>
        <w:rPr>
          <w:rFonts w:ascii="Arial" w:hAnsi="Arial" w:eastAsia="宋体" w:cs="Arial"/>
          <w:color w:val="000000"/>
          <w:kern w:val="0"/>
          <w:sz w:val="20"/>
          <w:szCs w:val="20"/>
        </w:rPr>
        <w:t>。</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外事接待支出</w:t>
      </w:r>
      <w:r>
        <w:rPr>
          <w:rFonts w:ascii="Arial" w:hAnsi="Arial" w:eastAsia="宋体" w:cs="Arial"/>
          <w:color w:val="000000"/>
          <w:kern w:val="0"/>
          <w:sz w:val="20"/>
          <w:szCs w:val="20"/>
        </w:rPr>
        <w:t>0.00万元，外事接待0批次，0人，共计支出0.00万元，主要用于接待…（具体项目）。主要用于</w:t>
      </w:r>
      <w:r>
        <w:rPr>
          <w:rFonts w:hint="eastAsia" w:ascii="Arial" w:hAnsi="Arial" w:eastAsia="宋体" w:cs="Arial"/>
          <w:color w:val="000000"/>
          <w:kern w:val="0"/>
          <w:sz w:val="20"/>
          <w:szCs w:val="20"/>
        </w:rPr>
        <w:t>无。</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八、政府性基金预算支出决算情况说明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2022年政府性基金预算财政拨款支出0.00万元。</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九、国有资本经营预算支出决算情况说明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2022年国有资本经营预算财政拨款支出0.00万元。</w:t>
      </w:r>
    </w:p>
    <w:p>
      <w:pPr>
        <w:widowControl/>
        <w:shd w:val="clear" w:color="auto" w:fill="FFFFFF"/>
        <w:jc w:val="center"/>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十、其他重要事项的情况说明</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（一）机关运行经费支出情况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2022年，四川省阿坝州九寨沟县妇女联合会机关运行经费支出38.21万元，比2021年增加-2.25万元，增长-5.56%（或与2021年决算数持平）。主要原因是</w:t>
      </w:r>
      <w:r>
        <w:rPr>
          <w:rFonts w:hint="eastAsia" w:ascii="Arial" w:hAnsi="Arial" w:eastAsia="宋体" w:cs="Arial"/>
          <w:color w:val="000000"/>
          <w:kern w:val="0"/>
          <w:sz w:val="20"/>
          <w:szCs w:val="20"/>
        </w:rPr>
        <w:t>人员变动。</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（注：数据来源于财决附03表）</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（二）政府采购支出情况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2022年，四川省阿坝州九寨沟县妇女联合会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（注：数据来源于财决附03表）</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（三）国有资产占有使用情况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截至2022年12月31日，四川省阿坝州九寨沟县妇女联合会共有车辆1辆，其中：主要领导干部用车0辆、机要通信用车0辆、应急保障用车0辆、其他用车1辆</w:t>
      </w:r>
      <w:r>
        <w:rPr>
          <w:rFonts w:hint="eastAsia" w:ascii="Arial" w:hAnsi="Arial" w:eastAsia="宋体" w:cs="Arial"/>
          <w:color w:val="000000"/>
          <w:kern w:val="0"/>
          <w:sz w:val="20"/>
          <w:szCs w:val="20"/>
        </w:rPr>
        <w:t>，</w:t>
      </w:r>
      <w:r>
        <w:rPr>
          <w:rFonts w:ascii="Arial" w:hAnsi="Arial" w:eastAsia="宋体" w:cs="Arial"/>
          <w:color w:val="000000"/>
          <w:kern w:val="0"/>
          <w:sz w:val="20"/>
          <w:szCs w:val="20"/>
        </w:rPr>
        <w:t>其他用车主要是用于</w:t>
      </w:r>
      <w:r>
        <w:rPr>
          <w:rFonts w:hint="eastAsia" w:ascii="Arial" w:hAnsi="Arial" w:eastAsia="宋体" w:cs="Arial"/>
          <w:color w:val="000000"/>
          <w:kern w:val="0"/>
          <w:sz w:val="20"/>
          <w:szCs w:val="20"/>
        </w:rPr>
        <w:t>下乡出差。</w:t>
      </w:r>
      <w:r>
        <w:rPr>
          <w:rFonts w:ascii="Arial" w:hAnsi="Arial" w:eastAsia="宋体" w:cs="Arial"/>
          <w:color w:val="000000"/>
          <w:kern w:val="0"/>
          <w:sz w:val="20"/>
          <w:szCs w:val="20"/>
        </w:rPr>
        <w:t>单价100万元（含）以上设备（不含车辆）0台（套）。</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（注：数据来源于财决附03表，按部门决算报表填报数据罗列车辆情况。）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b/>
          <w:bCs/>
          <w:color w:val="000000"/>
          <w:kern w:val="0"/>
          <w:sz w:val="20"/>
        </w:rPr>
        <w:t>（四）预算绩效管理情况</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根据预算绩效管理要求，本部门在2022年度预算编制阶段，组织对</w:t>
      </w:r>
      <w:r>
        <w:rPr>
          <w:rFonts w:hint="eastAsia" w:ascii="Arial" w:hAnsi="Arial" w:eastAsia="宋体" w:cs="Arial"/>
          <w:color w:val="000000"/>
          <w:kern w:val="0"/>
          <w:sz w:val="20"/>
          <w:szCs w:val="20"/>
        </w:rPr>
        <w:t>1</w:t>
      </w:r>
      <w:r>
        <w:rPr>
          <w:rFonts w:ascii="Arial" w:hAnsi="Arial" w:eastAsia="宋体" w:cs="Arial"/>
          <w:color w:val="000000"/>
          <w:kern w:val="0"/>
          <w:sz w:val="20"/>
          <w:szCs w:val="20"/>
        </w:rPr>
        <w:t>项目（项目名称）等</w:t>
      </w:r>
      <w:r>
        <w:rPr>
          <w:rFonts w:hint="eastAsia" w:ascii="Arial" w:hAnsi="Arial" w:eastAsia="宋体" w:cs="Arial"/>
          <w:color w:val="000000"/>
          <w:kern w:val="0"/>
          <w:sz w:val="20"/>
          <w:szCs w:val="20"/>
        </w:rPr>
        <w:t>1</w:t>
      </w:r>
      <w:r>
        <w:rPr>
          <w:rFonts w:ascii="Arial" w:hAnsi="Arial" w:eastAsia="宋体" w:cs="Arial"/>
          <w:color w:val="000000"/>
          <w:kern w:val="0"/>
          <w:sz w:val="20"/>
          <w:szCs w:val="20"/>
        </w:rPr>
        <w:t>个项目开展了预算事前绩效评估，对</w:t>
      </w:r>
      <w:r>
        <w:rPr>
          <w:rFonts w:hint="eastAsia" w:ascii="Arial" w:hAnsi="Arial" w:eastAsia="宋体" w:cs="Arial"/>
          <w:color w:val="000000"/>
          <w:kern w:val="0"/>
          <w:sz w:val="20"/>
          <w:szCs w:val="20"/>
        </w:rPr>
        <w:t>1</w:t>
      </w:r>
      <w:r>
        <w:rPr>
          <w:rFonts w:ascii="Arial" w:hAnsi="Arial" w:eastAsia="宋体" w:cs="Arial"/>
          <w:color w:val="000000"/>
          <w:kern w:val="0"/>
          <w:sz w:val="20"/>
          <w:szCs w:val="20"/>
        </w:rPr>
        <w:t>个项目编制了绩效目标，预算执行过程中，选取</w:t>
      </w:r>
      <w:r>
        <w:rPr>
          <w:rFonts w:hint="eastAsia" w:ascii="Arial" w:hAnsi="Arial" w:eastAsia="宋体" w:cs="Arial"/>
          <w:color w:val="000000"/>
          <w:kern w:val="0"/>
          <w:sz w:val="20"/>
          <w:szCs w:val="20"/>
        </w:rPr>
        <w:t>1</w:t>
      </w:r>
      <w:r>
        <w:rPr>
          <w:rFonts w:ascii="Arial" w:hAnsi="Arial" w:eastAsia="宋体" w:cs="Arial"/>
          <w:color w:val="000000"/>
          <w:kern w:val="0"/>
          <w:sz w:val="20"/>
          <w:szCs w:val="20"/>
        </w:rPr>
        <w:t>个项目开展绩效监控。</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组织对2022年度一般公共预算、政府性基金预算、国有资本经营预算、社会保险基金预算以及资本资产、债券资金等全面开展绩效自评，形成</w:t>
      </w:r>
      <w:r>
        <w:rPr>
          <w:rFonts w:hint="eastAsia" w:ascii="Arial" w:hAnsi="Arial" w:eastAsia="宋体" w:cs="Arial"/>
          <w:color w:val="000000"/>
          <w:kern w:val="0"/>
          <w:sz w:val="20"/>
          <w:szCs w:val="20"/>
        </w:rPr>
        <w:t>九寨沟县妇联</w:t>
      </w:r>
      <w:r>
        <w:rPr>
          <w:rFonts w:ascii="Arial" w:hAnsi="Arial" w:eastAsia="宋体" w:cs="Arial"/>
          <w:color w:val="000000"/>
          <w:kern w:val="0"/>
          <w:sz w:val="20"/>
          <w:szCs w:val="20"/>
        </w:rPr>
        <w:t>部门整体（含部门预算项目）绩效自评报告等专项预算项目绩效自评报告，其中，</w:t>
      </w:r>
      <w:r>
        <w:rPr>
          <w:rFonts w:hint="eastAsia" w:ascii="Arial" w:hAnsi="Arial" w:eastAsia="宋体" w:cs="Arial"/>
          <w:color w:val="000000"/>
          <w:kern w:val="0"/>
          <w:sz w:val="20"/>
          <w:szCs w:val="20"/>
        </w:rPr>
        <w:t>妇联</w:t>
      </w:r>
      <w:r>
        <w:rPr>
          <w:rFonts w:ascii="Arial" w:hAnsi="Arial" w:eastAsia="宋体" w:cs="Arial"/>
          <w:color w:val="000000"/>
          <w:kern w:val="0"/>
          <w:sz w:val="20"/>
          <w:szCs w:val="20"/>
        </w:rPr>
        <w:t>部门整体（含部门预算项目）绩效自评得分为</w:t>
      </w:r>
      <w:r>
        <w:rPr>
          <w:rFonts w:hint="eastAsia" w:ascii="Arial" w:hAnsi="Arial" w:eastAsia="宋体" w:cs="Arial"/>
          <w:color w:val="000000"/>
          <w:kern w:val="0"/>
          <w:sz w:val="20"/>
          <w:szCs w:val="20"/>
        </w:rPr>
        <w:t>95.1</w:t>
      </w:r>
      <w:r>
        <w:rPr>
          <w:rFonts w:ascii="Arial" w:hAnsi="Arial" w:eastAsia="宋体" w:cs="Arial"/>
          <w:color w:val="000000"/>
          <w:kern w:val="0"/>
          <w:sz w:val="20"/>
          <w:szCs w:val="20"/>
        </w:rPr>
        <w:t>分，绩效自评综述：......；</w:t>
      </w:r>
      <w:r>
        <w:rPr>
          <w:rFonts w:hint="eastAsia" w:ascii="Arial" w:hAnsi="Arial" w:eastAsia="宋体" w:cs="Arial"/>
          <w:color w:val="000000"/>
          <w:kern w:val="0"/>
          <w:sz w:val="20"/>
          <w:szCs w:val="20"/>
        </w:rPr>
        <w:t>居家灵活就业</w:t>
      </w:r>
      <w:r>
        <w:rPr>
          <w:rFonts w:ascii="Arial" w:hAnsi="Arial" w:eastAsia="宋体" w:cs="Arial"/>
          <w:color w:val="000000"/>
          <w:kern w:val="0"/>
          <w:sz w:val="20"/>
          <w:szCs w:val="20"/>
        </w:rPr>
        <w:t>专项预算项目绩效自评得分为</w:t>
      </w:r>
      <w:r>
        <w:rPr>
          <w:rFonts w:hint="eastAsia" w:ascii="Arial" w:hAnsi="Arial" w:eastAsia="宋体" w:cs="Arial"/>
          <w:color w:val="000000"/>
          <w:kern w:val="0"/>
          <w:sz w:val="20"/>
          <w:szCs w:val="20"/>
        </w:rPr>
        <w:t>95.1</w:t>
      </w:r>
      <w:r>
        <w:rPr>
          <w:rFonts w:ascii="Arial" w:hAnsi="Arial" w:eastAsia="宋体" w:cs="Arial"/>
          <w:color w:val="000000"/>
          <w:kern w:val="0"/>
          <w:sz w:val="20"/>
          <w:szCs w:val="20"/>
        </w:rPr>
        <w:t>分，绩效自评综述：......。绩效自评报告详见附件。（如不涉及，可根据实际修改表述。）</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center"/>
        <w:rPr>
          <w:rFonts w:ascii="Arial" w:hAnsi="Arial" w:eastAsia="宋体" w:cs="Arial"/>
          <w:color w:val="000000"/>
          <w:kern w:val="0"/>
          <w:sz w:val="20"/>
          <w:szCs w:val="20"/>
        </w:rPr>
      </w:pPr>
      <w:r>
        <w:rPr>
          <w:rFonts w:ascii="Arial" w:hAnsi="Arial" w:eastAsia="宋体" w:cs="Arial"/>
          <w:b/>
          <w:bCs/>
          <w:color w:val="000000"/>
          <w:kern w:val="0"/>
          <w:sz w:val="44"/>
        </w:rPr>
        <w:t>第三部分 名词解释</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1.财政拨款收入：指单位从同级财政部门取得的财政预算资金。</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2.事业收入：指事业单位开展专业业务活动及辅助活动取得的收入。如…（二级预算单位事业收入情况）等。</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3.经营收入：指事业单位在专业业务活动及其辅助活动之外开展非独立核算经营活动取得的收入。如…（二级预算单位经营收入情况）等。</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4.其他收入：指单位取得的除上述收入以外的各项收入。主要是…（收入类型）等。</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5.使用非财政拨款结余：指事业单位使用以前年度积累的非财政拨款结余弥补当年收支差额的金额。</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6.年初结转和结余：指以前年度尚未完成、结转到本年按有关规定继续使用的资金。</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7.结余分配：指事业单位按照会计制度规定缴纳的所得税、提取的专用结余以及转入非财政拨款结余的金额等。</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8、年末结转和结余：指单位按有关规定结转到下年或以后年度继续使用的资金。</w:t>
      </w:r>
    </w:p>
    <w:p>
      <w:pPr>
        <w:rPr>
          <w:rFonts w:asciiTheme="minorEastAsia" w:hAnsiTheme="minorEastAsia" w:cstheme="minorEastAsia"/>
          <w:sz w:val="24"/>
          <w:szCs w:val="24"/>
        </w:rPr>
      </w:pPr>
      <w:r>
        <w:rPr>
          <w:rFonts w:hint="eastAsia" w:asciiTheme="minorEastAsia" w:hAnsiTheme="minorEastAsia" w:cstheme="minorEastAsia"/>
          <w:sz w:val="24"/>
          <w:szCs w:val="24"/>
        </w:rPr>
        <w:t>9.一般公共预算拨款收入：指县级财政当年拨付的</w:t>
      </w:r>
    </w:p>
    <w:p>
      <w:pPr>
        <w:rPr>
          <w:rFonts w:asciiTheme="minorEastAsia" w:hAnsiTheme="minorEastAsia" w:cstheme="minorEastAsia"/>
          <w:sz w:val="24"/>
          <w:szCs w:val="24"/>
        </w:rPr>
      </w:pPr>
      <w:r>
        <w:rPr>
          <w:rFonts w:hint="eastAsia" w:asciiTheme="minorEastAsia" w:hAnsiTheme="minorEastAsia" w:cstheme="minorEastAsia"/>
          <w:sz w:val="24"/>
          <w:szCs w:val="24"/>
        </w:rPr>
        <w:t>资金。</w:t>
      </w:r>
    </w:p>
    <w:p>
      <w:pPr>
        <w:rPr>
          <w:rFonts w:asciiTheme="minorEastAsia" w:hAnsiTheme="minorEastAsia" w:cstheme="minorEastAsia"/>
          <w:sz w:val="24"/>
          <w:szCs w:val="24"/>
        </w:rPr>
      </w:pPr>
      <w:r>
        <w:rPr>
          <w:rFonts w:hint="eastAsia" w:asciiTheme="minorEastAsia" w:hAnsiTheme="minorEastAsia" w:cstheme="minorEastAsia"/>
          <w:sz w:val="24"/>
          <w:szCs w:val="24"/>
        </w:rPr>
        <w:t>10.政府性基金预算收入：指按规定收取、转入或通过当年财政安排，纳入政府预算管理，具有指定用途的政府性基金收入。</w:t>
      </w:r>
    </w:p>
    <w:p>
      <w:pPr>
        <w:rPr>
          <w:rFonts w:asciiTheme="minorEastAsia" w:hAnsiTheme="minorEastAsia" w:cstheme="minorEastAsia"/>
          <w:sz w:val="24"/>
          <w:szCs w:val="24"/>
        </w:rPr>
      </w:pPr>
      <w:r>
        <w:rPr>
          <w:rFonts w:hint="eastAsia" w:asciiTheme="minorEastAsia" w:hAnsiTheme="minorEastAsia" w:cstheme="minorEastAsia"/>
          <w:sz w:val="24"/>
          <w:szCs w:val="24"/>
        </w:rPr>
        <w:t>11.一般公共服务201（类）群众团体事务29（款）行政运行01（项）：指单位机关及单位用于保障机构正常运行、开展日常工作的基本支出。</w:t>
      </w:r>
    </w:p>
    <w:p>
      <w:pPr>
        <w:rPr>
          <w:rFonts w:asciiTheme="minorEastAsia" w:hAnsiTheme="minorEastAsia" w:cstheme="minorEastAsia"/>
          <w:sz w:val="24"/>
          <w:szCs w:val="24"/>
        </w:rPr>
      </w:pPr>
    </w:p>
    <w:p>
      <w:pPr>
        <w:rPr>
          <w:rFonts w:asciiTheme="minorEastAsia" w:hAnsiTheme="minorEastAsia" w:cstheme="minorEastAsia"/>
          <w:sz w:val="24"/>
          <w:szCs w:val="24"/>
        </w:rPr>
      </w:pPr>
      <w:r>
        <w:rPr>
          <w:rFonts w:hint="eastAsia" w:asciiTheme="minorEastAsia" w:hAnsiTheme="minorEastAsia" w:cstheme="minorEastAsia"/>
          <w:sz w:val="24"/>
          <w:szCs w:val="24"/>
        </w:rPr>
        <w:t>12.社会保障和就业208（类）行政事业单位养老支5出05（款）机关事业单位基本养老保险缴费支出04（项）：指部门实施养老保险制度由单位缴纳的养老保险的支出。</w:t>
      </w:r>
    </w:p>
    <w:p>
      <w:pPr>
        <w:rPr>
          <w:rFonts w:asciiTheme="minorEastAsia" w:hAnsiTheme="minorEastAsia" w:cstheme="minorEastAsia"/>
          <w:sz w:val="24"/>
          <w:szCs w:val="24"/>
        </w:rPr>
      </w:pPr>
      <w:r>
        <w:rPr>
          <w:rFonts w:hint="eastAsia" w:asciiTheme="minorEastAsia" w:hAnsiTheme="minorEastAsia" w:cstheme="minorEastAsia"/>
          <w:sz w:val="24"/>
          <w:szCs w:val="24"/>
        </w:rPr>
        <w:t>13.社会保障和就业208（类）行政事业单位养老支出05（款）机关事业单位职业年金缴费支出06（项）：指部门实施养老保险制度由单位缴纳的职业年金的支出。</w:t>
      </w:r>
    </w:p>
    <w:p>
      <w:pPr>
        <w:rPr>
          <w:rFonts w:asciiTheme="minorEastAsia" w:hAnsiTheme="minorEastAsia" w:cstheme="minorEastAsia"/>
          <w:sz w:val="24"/>
          <w:szCs w:val="24"/>
        </w:rPr>
      </w:pPr>
    </w:p>
    <w:p>
      <w:pPr>
        <w:rPr>
          <w:rFonts w:asciiTheme="minorEastAsia" w:hAnsiTheme="minorEastAsia" w:cstheme="minorEastAsia"/>
          <w:sz w:val="24"/>
          <w:szCs w:val="24"/>
        </w:rPr>
      </w:pPr>
      <w:r>
        <w:rPr>
          <w:rFonts w:hint="eastAsia" w:asciiTheme="minorEastAsia" w:hAnsiTheme="minorEastAsia" w:cstheme="minorEastAsia"/>
          <w:sz w:val="24"/>
          <w:szCs w:val="24"/>
        </w:rPr>
        <w:t>14.卫生健康210（类）行政事业单位医疗11（款）事业单位医疗01（项）：指单位用于单位应缴纳基本医疗保险支出。</w:t>
      </w:r>
    </w:p>
    <w:p>
      <w:pPr>
        <w:rPr>
          <w:rFonts w:asciiTheme="minorEastAsia" w:hAnsiTheme="minorEastAsia" w:cstheme="minorEastAsia"/>
          <w:sz w:val="24"/>
          <w:szCs w:val="24"/>
        </w:rPr>
      </w:pPr>
    </w:p>
    <w:p>
      <w:pPr>
        <w:rPr>
          <w:rFonts w:asciiTheme="minorEastAsia" w:hAnsiTheme="minorEastAsia" w:cstheme="minorEastAsia"/>
          <w:sz w:val="24"/>
          <w:szCs w:val="24"/>
        </w:rPr>
      </w:pPr>
      <w:r>
        <w:rPr>
          <w:rFonts w:hint="eastAsia" w:asciiTheme="minorEastAsia" w:hAnsiTheme="minorEastAsia" w:cstheme="minorEastAsia"/>
          <w:sz w:val="24"/>
          <w:szCs w:val="24"/>
        </w:rPr>
        <w:t>15.卫生健康210（类）行政事业单位医疗11（款）公务员医疗补助02（项）：指机关及参公管理事业单位用于集中缴纳公务员医疗补助支出。</w:t>
      </w:r>
    </w:p>
    <w:p>
      <w:pPr>
        <w:rPr>
          <w:rFonts w:asciiTheme="minorEastAsia" w:hAnsiTheme="minorEastAsia" w:cstheme="minorEastAsia"/>
          <w:sz w:val="24"/>
          <w:szCs w:val="24"/>
        </w:rPr>
      </w:pPr>
    </w:p>
    <w:p>
      <w:pPr>
        <w:rPr>
          <w:rFonts w:asciiTheme="minorEastAsia" w:hAnsiTheme="minorEastAsia" w:cstheme="minorEastAsia"/>
          <w:sz w:val="24"/>
          <w:szCs w:val="24"/>
        </w:rPr>
      </w:pPr>
      <w:r>
        <w:rPr>
          <w:rFonts w:hint="eastAsia" w:asciiTheme="minorEastAsia" w:hAnsiTheme="minorEastAsia" w:cstheme="minorEastAsia"/>
          <w:sz w:val="24"/>
          <w:szCs w:val="24"/>
        </w:rPr>
        <w:t>16.住房保障（类）住房改革支出（款）住房公积金（项）：指按照《住房公积金管理条例》的规定，由单位及其在职职工缴存的长期住房储金。</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17.基本支出：指为保障机构正常运转、完成日常工作任务而发生的人员支出和公用支出。</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18.项目支出：指在基本支出之外为完成特定行政任务和事业发展目标所发生的支出。</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19.经营支出：指事业单位在专业业务活动及其辅助活动之外开展非独立核算经营活动发生的支出。</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 </w:t>
      </w:r>
    </w:p>
    <w:p>
      <w:pPr>
        <w:pStyle w:val="10"/>
        <w:rPr>
          <w:rFonts w:asciiTheme="minorEastAsia" w:hAnsiTheme="minorEastAsia" w:eastAsiaTheme="minorEastAsia" w:cstheme="minorEastAsia"/>
        </w:rPr>
      </w:pPr>
      <w:r>
        <w:rPr>
          <w:rStyle w:val="13"/>
          <w:rFonts w:hint="eastAsia" w:asciiTheme="minorEastAsia" w:hAnsiTheme="minorEastAsia" w:eastAsiaTheme="minorEastAsia" w:cstheme="minorEastAsia"/>
        </w:rPr>
        <w:t>（名词解释部分请根据各部门实际列支情况罗列，并根据本部门职责职能增减名词解释内容。）</w:t>
      </w:r>
    </w:p>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 </w:t>
      </w:r>
    </w:p>
    <w:p>
      <w:pPr>
        <w:widowControl/>
        <w:shd w:val="clear" w:color="auto" w:fill="FFFFFF"/>
        <w:jc w:val="left"/>
        <w:rPr>
          <w:rFonts w:ascii="Arial" w:hAnsi="Arial" w:eastAsia="宋体" w:cs="Arial"/>
          <w:color w:val="000000"/>
          <w:kern w:val="0"/>
          <w:sz w:val="20"/>
          <w:szCs w:val="20"/>
        </w:rPr>
      </w:pP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center"/>
        <w:rPr>
          <w:rFonts w:ascii="Arial" w:hAnsi="Arial" w:eastAsia="宋体" w:cs="Arial"/>
          <w:color w:val="000000"/>
          <w:kern w:val="0"/>
          <w:sz w:val="20"/>
          <w:szCs w:val="20"/>
        </w:rPr>
      </w:pPr>
      <w:r>
        <w:rPr>
          <w:rFonts w:ascii="Arial" w:hAnsi="Arial" w:eastAsia="宋体" w:cs="Arial"/>
          <w:b/>
          <w:bCs/>
          <w:color w:val="000000"/>
          <w:kern w:val="0"/>
          <w:sz w:val="44"/>
        </w:rPr>
        <w:t>第四部分 附件</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附件</w:t>
      </w:r>
    </w:p>
    <w:p>
      <w:pPr>
        <w:widowControl/>
        <w:shd w:val="clear" w:color="auto" w:fill="FFFFFF"/>
        <w:jc w:val="center"/>
        <w:rPr>
          <w:rFonts w:ascii="Arial" w:hAnsi="Arial" w:eastAsia="宋体" w:cs="Arial"/>
          <w:color w:val="000000"/>
          <w:kern w:val="0"/>
          <w:sz w:val="20"/>
          <w:szCs w:val="20"/>
        </w:rPr>
      </w:pPr>
      <w:r>
        <w:rPr>
          <w:rFonts w:ascii="Arial" w:hAnsi="Arial" w:eastAsia="宋体" w:cs="Arial"/>
          <w:color w:val="000000"/>
          <w:kern w:val="0"/>
          <w:sz w:val="44"/>
          <w:szCs w:val="44"/>
        </w:rPr>
        <w:t>2022年</w:t>
      </w:r>
      <w:r>
        <w:rPr>
          <w:rFonts w:hint="eastAsia" w:ascii="Arial" w:hAnsi="Arial" w:eastAsia="宋体" w:cs="Arial"/>
          <w:color w:val="000000"/>
          <w:kern w:val="0"/>
          <w:sz w:val="44"/>
          <w:szCs w:val="44"/>
        </w:rPr>
        <w:t>九寨沟县妇女联合会和</w:t>
      </w:r>
      <w:r>
        <w:rPr>
          <w:rFonts w:ascii="Arial" w:hAnsi="Arial" w:eastAsia="宋体" w:cs="Arial"/>
          <w:color w:val="000000"/>
          <w:kern w:val="0"/>
          <w:sz w:val="44"/>
          <w:szCs w:val="44"/>
        </w:rPr>
        <w:t>部门整体绩效评价报告</w:t>
      </w:r>
    </w:p>
    <w:p>
      <w:pPr>
        <w:widowControl/>
        <w:shd w:val="clear" w:color="auto" w:fill="FFFFFF"/>
        <w:jc w:val="center"/>
        <w:rPr>
          <w:rFonts w:ascii="Arial" w:hAnsi="Arial" w:eastAsia="宋体" w:cs="Arial"/>
          <w:color w:val="000000"/>
          <w:kern w:val="0"/>
          <w:sz w:val="20"/>
          <w:szCs w:val="20"/>
        </w:rPr>
      </w:pPr>
      <w:r>
        <w:rPr>
          <w:rFonts w:ascii="Arial" w:hAnsi="Arial" w:eastAsia="宋体" w:cs="Arial"/>
          <w:color w:val="000000"/>
          <w:kern w:val="0"/>
          <w:sz w:val="20"/>
          <w:szCs w:val="20"/>
        </w:rPr>
        <w:t>（报告范围包括机关和下属单位）</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一、部门（单位）基本情况</w:t>
      </w:r>
    </w:p>
    <w:p>
      <w:pPr>
        <w:widowControl/>
        <w:shd w:val="clear" w:color="auto" w:fill="FFFFFF"/>
        <w:jc w:val="left"/>
        <w:rPr>
          <w:rFonts w:hint="eastAsia" w:ascii="Arial" w:hAnsi="Arial" w:eastAsia="宋体" w:cs="Arial"/>
          <w:color w:val="000000"/>
          <w:kern w:val="0"/>
          <w:sz w:val="20"/>
          <w:szCs w:val="20"/>
        </w:rPr>
      </w:pPr>
      <w:r>
        <w:rPr>
          <w:rFonts w:ascii="Arial" w:hAnsi="Arial" w:eastAsia="宋体" w:cs="Arial"/>
          <w:color w:val="000000"/>
          <w:kern w:val="0"/>
          <w:sz w:val="20"/>
          <w:szCs w:val="20"/>
        </w:rPr>
        <w:t>（一）机构组成。</w:t>
      </w:r>
    </w:p>
    <w:p>
      <w:pPr>
        <w:widowControl/>
        <w:shd w:val="clear" w:color="auto" w:fill="FFFFFF"/>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w:t>
      </w:r>
      <w:r>
        <w:rPr>
          <w:rFonts w:hint="eastAsia" w:ascii="Arial" w:hAnsi="Arial" w:cs="Arial"/>
          <w:color w:val="000000"/>
          <w:kern w:val="0"/>
          <w:sz w:val="20"/>
          <w:szCs w:val="20"/>
        </w:rPr>
        <w:t>九寨沟县妇女联合会</w:t>
      </w:r>
      <w:r>
        <w:rPr>
          <w:rFonts w:hint="eastAsia" w:ascii="Arial" w:hAnsi="Arial" w:eastAsia="宋体" w:cs="Arial"/>
          <w:color w:val="000000"/>
          <w:kern w:val="0"/>
          <w:sz w:val="20"/>
          <w:szCs w:val="20"/>
        </w:rPr>
        <w:t>为</w:t>
      </w:r>
      <w:r>
        <w:rPr>
          <w:rFonts w:hint="eastAsia" w:ascii="Arial" w:hAnsi="Arial" w:cs="Arial"/>
          <w:color w:val="000000"/>
          <w:kern w:val="0"/>
          <w:sz w:val="20"/>
          <w:szCs w:val="20"/>
        </w:rPr>
        <w:t>行政</w:t>
      </w:r>
      <w:r>
        <w:rPr>
          <w:rFonts w:hint="eastAsia" w:ascii="Arial" w:hAnsi="Arial" w:eastAsia="宋体" w:cs="Arial"/>
          <w:color w:val="000000"/>
          <w:kern w:val="0"/>
          <w:sz w:val="20"/>
          <w:szCs w:val="20"/>
        </w:rPr>
        <w:t>单位，内设办公室、</w:t>
      </w:r>
      <w:r>
        <w:rPr>
          <w:rFonts w:hint="eastAsia" w:ascii="Arial" w:hAnsi="Arial" w:cs="Arial"/>
          <w:color w:val="000000"/>
          <w:kern w:val="0"/>
          <w:sz w:val="20"/>
          <w:szCs w:val="20"/>
        </w:rPr>
        <w:t>妇儿工委办等。</w:t>
      </w:r>
    </w:p>
    <w:p>
      <w:pPr>
        <w:widowControl/>
        <w:shd w:val="clear" w:color="auto" w:fill="FFFFFF"/>
        <w:jc w:val="left"/>
        <w:rPr>
          <w:rFonts w:hint="eastAsia" w:ascii="Arial" w:hAnsi="Arial" w:eastAsia="宋体" w:cs="Arial"/>
          <w:color w:val="000000"/>
          <w:kern w:val="0"/>
          <w:sz w:val="20"/>
          <w:szCs w:val="20"/>
        </w:rPr>
      </w:pPr>
      <w:r>
        <w:rPr>
          <w:rFonts w:ascii="Arial" w:hAnsi="Arial" w:eastAsia="宋体" w:cs="Arial"/>
          <w:color w:val="000000"/>
          <w:kern w:val="0"/>
          <w:sz w:val="20"/>
          <w:szCs w:val="20"/>
        </w:rPr>
        <w:t>（二）机构职能和人员概况。</w:t>
      </w:r>
    </w:p>
    <w:p>
      <w:pPr>
        <w:pStyle w:val="6"/>
        <w:adjustRightInd w:val="0"/>
        <w:snapToGrid w:val="0"/>
        <w:spacing w:line="600" w:lineRule="exact"/>
        <w:ind w:firstLine="420" w:firstLineChars="210"/>
        <w:rPr>
          <w:rFonts w:ascii="Arial" w:hAnsi="Arial" w:cs="Arial"/>
          <w:color w:val="000000"/>
          <w:kern w:val="0"/>
          <w:sz w:val="20"/>
          <w:szCs w:val="20"/>
        </w:rPr>
      </w:pPr>
      <w:r>
        <w:rPr>
          <w:rFonts w:hint="eastAsia" w:ascii="Arial" w:hAnsi="Arial" w:cs="Arial" w:eastAsiaTheme="minorEastAsia"/>
          <w:color w:val="000000"/>
          <w:kern w:val="0"/>
          <w:sz w:val="20"/>
          <w:szCs w:val="20"/>
        </w:rPr>
        <w:t xml:space="preserve">  县妇联是党联系妇女群众的桥梁和纽带，根据党的中心任务，指导各级妇联依据《中华全国妇女联合会章程》和妇女代表大会的决议开展妇女儿童工作。代表妇女参与国家和社会事务的民主管理、民主监督，促进妇女参政，参与有关妇女儿童法律、法规和地方性规章的制定，推进“两法”、“两纲”的实施，调查研究我县妇女儿童的情况、问题，维护妇女儿童合法权益。承担县政府妇女儿童工作委员会日常工作。承办县委、县政府交办的其他事项。人员概况: 九寨沟县妇女联合会为行政单位，人员行政编制4个，行政工勤1人。在编事业2人；人员编制7</w:t>
      </w:r>
      <w:r>
        <w:rPr>
          <w:rFonts w:hint="eastAsia" w:ascii="Arial" w:hAnsi="Arial" w:cs="Arial"/>
          <w:color w:val="000000"/>
          <w:kern w:val="0"/>
          <w:sz w:val="20"/>
          <w:szCs w:val="20"/>
        </w:rPr>
        <w:t>个，实际在岗6人。</w:t>
      </w:r>
    </w:p>
    <w:p>
      <w:pPr>
        <w:widowControl/>
        <w:shd w:val="clear" w:color="auto" w:fill="FFFFFF"/>
        <w:jc w:val="left"/>
        <w:rPr>
          <w:rFonts w:hint="eastAsia" w:ascii="Arial" w:hAnsi="Arial" w:eastAsia="宋体" w:cs="Arial"/>
          <w:color w:val="000000"/>
          <w:kern w:val="0"/>
          <w:sz w:val="20"/>
          <w:szCs w:val="20"/>
        </w:rPr>
      </w:pPr>
      <w:r>
        <w:rPr>
          <w:rFonts w:ascii="Arial" w:hAnsi="Arial" w:eastAsia="宋体" w:cs="Arial"/>
          <w:color w:val="000000"/>
          <w:kern w:val="0"/>
          <w:sz w:val="20"/>
          <w:szCs w:val="20"/>
        </w:rPr>
        <w:t>（三）年度主要工作任务。</w:t>
      </w:r>
    </w:p>
    <w:p>
      <w:pPr>
        <w:tabs>
          <w:tab w:val="left" w:pos="0"/>
        </w:tabs>
        <w:adjustRightInd w:val="0"/>
        <w:snapToGrid w:val="0"/>
        <w:spacing w:line="560" w:lineRule="exac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可以促进我县妇女工作的有效开展，有效激励全县广大妇女同胞在各行各业奋发有为，为加快建成“三地一典范”美丽新九寨贡献巾帼力量。</w:t>
      </w:r>
    </w:p>
    <w:p>
      <w:pPr>
        <w:widowControl/>
        <w:shd w:val="clear" w:color="auto" w:fill="FFFFFF"/>
        <w:jc w:val="left"/>
        <w:rPr>
          <w:rFonts w:hint="eastAsia" w:ascii="Arial" w:hAnsi="Arial" w:eastAsia="宋体" w:cs="Arial"/>
          <w:color w:val="000000"/>
          <w:kern w:val="0"/>
          <w:sz w:val="20"/>
          <w:szCs w:val="20"/>
        </w:rPr>
      </w:pPr>
      <w:r>
        <w:rPr>
          <w:rFonts w:ascii="Arial" w:hAnsi="Arial" w:eastAsia="宋体" w:cs="Arial"/>
          <w:color w:val="000000"/>
          <w:kern w:val="0"/>
          <w:sz w:val="20"/>
          <w:szCs w:val="20"/>
        </w:rPr>
        <w:t>（四）部门整体支出绩效目标。</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包括部门职责履行结果、重点项目绩效评价结果和服务对象满意度等。</w:t>
      </w:r>
    </w:p>
    <w:p>
      <w:pPr>
        <w:pStyle w:val="2"/>
        <w:ind w:firstLine="400"/>
        <w:rPr>
          <w:rFonts w:ascii="Arial" w:hAnsi="Arial" w:cs="Arial"/>
          <w:color w:val="000000"/>
          <w:kern w:val="0"/>
          <w:sz w:val="20"/>
          <w:szCs w:val="20"/>
        </w:rPr>
      </w:pPr>
    </w:p>
    <w:p>
      <w:pPr>
        <w:widowControl/>
        <w:shd w:val="clear" w:color="auto" w:fill="FFFFFF"/>
        <w:jc w:val="left"/>
        <w:rPr>
          <w:rFonts w:hint="eastAsia" w:ascii="Arial" w:hAnsi="Arial" w:eastAsia="宋体" w:cs="Arial"/>
          <w:color w:val="000000"/>
          <w:kern w:val="0"/>
          <w:sz w:val="20"/>
          <w:szCs w:val="20"/>
        </w:rPr>
      </w:pPr>
      <w:r>
        <w:rPr>
          <w:rFonts w:ascii="Arial" w:hAnsi="Arial" w:eastAsia="宋体" w:cs="Arial"/>
          <w:color w:val="000000"/>
          <w:kern w:val="0"/>
          <w:sz w:val="20"/>
          <w:szCs w:val="20"/>
        </w:rPr>
        <w:t>二、部门财政资金收支情况</w:t>
      </w:r>
    </w:p>
    <w:p>
      <w:pPr>
        <w:widowControl/>
        <w:shd w:val="clear" w:color="auto" w:fill="FFFFFF"/>
        <w:jc w:val="left"/>
        <w:rPr>
          <w:rFonts w:hint="eastAsia" w:ascii="Arial" w:hAnsi="Arial" w:eastAsia="宋体" w:cs="Arial"/>
          <w:color w:val="000000"/>
          <w:kern w:val="0"/>
          <w:sz w:val="20"/>
          <w:szCs w:val="20"/>
        </w:rPr>
      </w:pPr>
      <w:r>
        <w:rPr>
          <w:rFonts w:hint="eastAsia" w:ascii="Arial" w:hAnsi="Arial" w:eastAsia="宋体" w:cs="Arial"/>
          <w:color w:val="000000"/>
          <w:kern w:val="0"/>
          <w:sz w:val="20"/>
          <w:szCs w:val="20"/>
        </w:rPr>
        <w:t>（一）部门财政资金收入情况。</w:t>
      </w:r>
    </w:p>
    <w:p>
      <w:pPr>
        <w:widowControl/>
        <w:adjustRightInd w:val="0"/>
        <w:snapToGrid w:val="0"/>
        <w:spacing w:line="480" w:lineRule="exact"/>
        <w:jc w:val="left"/>
        <w:rPr>
          <w:rFonts w:hint="eastAsia" w:ascii="Arial" w:hAnsi="Arial" w:eastAsia="宋体" w:cs="Arial"/>
          <w:color w:val="000000"/>
          <w:kern w:val="0"/>
          <w:sz w:val="20"/>
          <w:szCs w:val="20"/>
        </w:rPr>
      </w:pPr>
      <w:r>
        <w:rPr>
          <w:rFonts w:hint="eastAsia" w:ascii="Arial" w:hAnsi="Arial" w:eastAsia="宋体" w:cs="Arial"/>
          <w:color w:val="000000"/>
          <w:kern w:val="0"/>
          <w:sz w:val="20"/>
          <w:szCs w:val="20"/>
        </w:rPr>
        <w:t xml:space="preserve">    2022年财政资金收入103万元。</w:t>
      </w:r>
    </w:p>
    <w:p>
      <w:pPr>
        <w:widowControl/>
        <w:adjustRightInd w:val="0"/>
        <w:snapToGrid w:val="0"/>
        <w:spacing w:line="480" w:lineRule="exact"/>
        <w:jc w:val="left"/>
        <w:rPr>
          <w:rFonts w:hint="eastAsia" w:ascii="Arial" w:hAnsi="Arial" w:eastAsia="宋体" w:cs="Arial"/>
          <w:color w:val="000000"/>
          <w:kern w:val="0"/>
          <w:sz w:val="20"/>
          <w:szCs w:val="20"/>
        </w:rPr>
      </w:pPr>
      <w:r>
        <w:rPr>
          <w:rFonts w:hint="eastAsia" w:ascii="Arial" w:hAnsi="Arial" w:eastAsia="宋体" w:cs="Arial"/>
          <w:color w:val="000000"/>
          <w:kern w:val="0"/>
          <w:sz w:val="20"/>
          <w:szCs w:val="20"/>
        </w:rPr>
        <w:t>(二)部门财政资金支出情况。</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2022年财政资金支出136万元。其中：基本支出136万元，项目支出0万元。</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三、部门整体预算绩效管理情况（涉及到有专项预算的部门，专项预算项目自评报告作为附件报送；特定目标类部门预算项目绩效目标自评表作为附表报送）</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（一）部门预算项目绩效管理。</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（一）预算编制情况。</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包括预算编制质量、绩效目标填报、转移支付提前下达及专项转移支付分地区分项目编制情况等。</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（二）执行管理情况。</w:t>
      </w:r>
      <w:r>
        <w:rPr>
          <w:rFonts w:ascii="Arial" w:hAnsi="Arial" w:eastAsia="宋体" w:cs="Arial"/>
          <w:color w:val="000000"/>
          <w:kern w:val="0"/>
          <w:sz w:val="20"/>
          <w:szCs w:val="20"/>
        </w:rPr>
        <w:tab/>
      </w:r>
    </w:p>
    <w:p>
      <w:pPr>
        <w:pStyle w:val="10"/>
        <w:shd w:val="clear" w:color="auto" w:fill="FFFFFF"/>
        <w:spacing w:line="576" w:lineRule="atLeast"/>
        <w:jc w:val="both"/>
        <w:rPr>
          <w:rFonts w:hint="eastAsia" w:ascii="Arial" w:hAnsi="Arial" w:cs="Arial"/>
          <w:color w:val="000000"/>
          <w:sz w:val="20"/>
          <w:szCs w:val="20"/>
        </w:rPr>
      </w:pPr>
      <w:r>
        <w:rPr>
          <w:rFonts w:hint="eastAsia" w:ascii="Arial" w:hAnsi="Arial" w:cs="Arial"/>
          <w:color w:val="000000"/>
          <w:sz w:val="20"/>
          <w:szCs w:val="20"/>
        </w:rPr>
        <w:t xml:space="preserve">    </w:t>
      </w:r>
      <w:r>
        <w:rPr>
          <w:rFonts w:ascii="Arial" w:hAnsi="Arial" w:cs="Arial"/>
          <w:color w:val="000000"/>
          <w:sz w:val="20"/>
          <w:szCs w:val="20"/>
        </w:rPr>
        <w:t>一是行政运行保障情况。</w:t>
      </w:r>
      <w:r>
        <w:rPr>
          <w:rFonts w:hint="eastAsia" w:ascii="Arial" w:hAnsi="Arial" w:cs="Arial"/>
          <w:color w:val="000000"/>
          <w:sz w:val="20"/>
          <w:szCs w:val="20"/>
        </w:rPr>
        <w:t xml:space="preserve">我会严格按照年初预算安排,严格执行中央八项规定和省、州十项规定,厉行节约规范使用预算资金。收入上，严格执行 "收支两条线"管理制度，按规定使用非税票据并直接缴入国库，无隐瞒收入和其他违反国家收费管理规定的行为。在支出管理中, 认真执行国库集中支付、政府采购、公务卡报销、重点工作和大额支付上会集体决策等相关财务管理制度。认真做好每月与银行、财政国库科的对账工作，加强动态监控，保障机关各项工作顺利开展。             </w:t>
      </w:r>
    </w:p>
    <w:p>
      <w:pPr>
        <w:pStyle w:val="10"/>
        <w:shd w:val="clear" w:color="auto" w:fill="FFFFFF"/>
        <w:spacing w:line="576" w:lineRule="atLeast"/>
        <w:jc w:val="both"/>
        <w:rPr>
          <w:rFonts w:ascii="Arial" w:hAnsi="Arial" w:cs="Arial"/>
          <w:color w:val="000000"/>
          <w:sz w:val="20"/>
          <w:szCs w:val="20"/>
        </w:rPr>
      </w:pPr>
      <w:r>
        <w:rPr>
          <w:rFonts w:hint="eastAsia" w:ascii="Arial" w:hAnsi="Arial" w:cs="Arial"/>
          <w:color w:val="000000"/>
          <w:sz w:val="20"/>
          <w:szCs w:val="20"/>
        </w:rPr>
        <w:t xml:space="preserve">    二是“三公”经费预算执行情况。我会严格按照中央省市的相关文件要求, 严控“三公经费”支出。2022年“三公”经费支出共计：2万元，其中：公务接待费0万元；2022年无因公出国（境）经费；公务用车购置及运行维护费支出2万元。</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（三）综合管理情况。</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包括政府性债务管理、非税收入执收、政策采购实施计划、资产管理、内控制度管理、信息公开、绩效评价及依法接受财政监督情况等。</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（四）整体绩效。</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包括部门职责履行结果、重点项目绩效评价结果和服务对象满意度等。</w:t>
      </w:r>
    </w:p>
    <w:p>
      <w:pPr>
        <w:widowControl/>
        <w:shd w:val="clear" w:color="auto" w:fill="FFFFFF"/>
        <w:jc w:val="left"/>
        <w:rPr>
          <w:rFonts w:hint="eastAsia" w:ascii="Arial" w:hAnsi="Arial" w:eastAsia="宋体" w:cs="Arial"/>
          <w:color w:val="000000"/>
          <w:kern w:val="0"/>
          <w:sz w:val="20"/>
          <w:szCs w:val="20"/>
        </w:rPr>
      </w:pPr>
      <w:r>
        <w:rPr>
          <w:rFonts w:hint="eastAsia" w:ascii="Arial" w:hAnsi="Arial" w:eastAsia="宋体" w:cs="Arial"/>
          <w:color w:val="000000"/>
          <w:kern w:val="0"/>
          <w:sz w:val="20"/>
          <w:szCs w:val="20"/>
        </w:rPr>
        <w:t xml:space="preserve">    三</w:t>
      </w:r>
      <w:r>
        <w:rPr>
          <w:rFonts w:ascii="Arial" w:hAnsi="Arial" w:eastAsia="宋体" w:cs="Arial"/>
          <w:color w:val="000000"/>
          <w:kern w:val="0"/>
          <w:sz w:val="20"/>
          <w:szCs w:val="20"/>
        </w:rPr>
        <w:t>、结果应用情况。</w:t>
      </w:r>
    </w:p>
    <w:p>
      <w:pPr>
        <w:widowControl/>
        <w:shd w:val="clear" w:color="auto" w:fill="FFFFFF"/>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我单位财务管理制度健全，执行制度严格合规，会计核算符合相关规定，资金专款专用，资金支付依据和开支标准合法合规，严格执行政府采购.按照县级部门预算编制通知和有关要求，按时完成基础库、项目库报送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widowControl/>
        <w:adjustRightInd w:val="0"/>
        <w:snapToGrid w:val="0"/>
        <w:spacing w:line="480" w:lineRule="exact"/>
        <w:jc w:val="left"/>
        <w:rPr>
          <w:rFonts w:ascii="Arial" w:hAnsi="Arial" w:eastAsia="宋体" w:cs="Arial"/>
          <w:color w:val="000000"/>
          <w:kern w:val="0"/>
          <w:sz w:val="20"/>
          <w:szCs w:val="20"/>
        </w:rPr>
      </w:pPr>
      <w:r>
        <w:rPr>
          <w:rFonts w:hint="eastAsia" w:ascii="Arial" w:hAnsi="Arial" w:eastAsia="宋体" w:cs="Arial"/>
          <w:color w:val="000000"/>
          <w:kern w:val="0"/>
          <w:sz w:val="20"/>
          <w:szCs w:val="20"/>
        </w:rPr>
        <w:t xml:space="preserve">    四</w:t>
      </w:r>
      <w:r>
        <w:rPr>
          <w:rFonts w:ascii="Arial" w:hAnsi="Arial" w:eastAsia="宋体" w:cs="Arial"/>
          <w:color w:val="000000"/>
          <w:kern w:val="0"/>
          <w:sz w:val="20"/>
          <w:szCs w:val="20"/>
        </w:rPr>
        <w:t>、</w:t>
      </w:r>
      <w:r>
        <w:rPr>
          <w:rFonts w:hint="eastAsia" w:ascii="Arial" w:hAnsi="Arial" w:eastAsia="宋体" w:cs="Arial"/>
          <w:color w:val="000000"/>
          <w:kern w:val="0"/>
          <w:sz w:val="20"/>
          <w:szCs w:val="20"/>
        </w:rPr>
        <w:t>存在问题。</w:t>
      </w:r>
    </w:p>
    <w:p>
      <w:pPr>
        <w:pStyle w:val="2"/>
        <w:ind w:firstLine="0" w:firstLineChars="0"/>
        <w:rPr>
          <w:rFonts w:ascii="Arial" w:hAnsi="Arial" w:cs="Arial"/>
          <w:color w:val="000000"/>
          <w:kern w:val="0"/>
          <w:sz w:val="20"/>
          <w:szCs w:val="20"/>
        </w:rPr>
      </w:pPr>
      <w:r>
        <w:rPr>
          <w:rFonts w:ascii="Arial" w:hAnsi="Arial" w:cs="Arial"/>
          <w:color w:val="000000"/>
          <w:kern w:val="0"/>
          <w:sz w:val="20"/>
          <w:szCs w:val="20"/>
        </w:rPr>
        <w:t>对绩效评估工作了解不够深入 在财务工作中对绩效评估工作重视度不够。</w:t>
      </w:r>
    </w:p>
    <w:p>
      <w:pPr>
        <w:pStyle w:val="2"/>
        <w:ind w:firstLine="0" w:firstLineChars="0"/>
        <w:rPr>
          <w:rFonts w:ascii="Arial" w:hAnsi="Arial" w:cs="Arial"/>
          <w:color w:val="000000"/>
          <w:kern w:val="0"/>
          <w:sz w:val="20"/>
          <w:szCs w:val="20"/>
        </w:rPr>
      </w:pPr>
      <w:r>
        <w:rPr>
          <w:rFonts w:ascii="Arial" w:hAnsi="Arial" w:cs="Arial"/>
          <w:color w:val="000000"/>
          <w:kern w:val="0"/>
          <w:sz w:val="20"/>
          <w:szCs w:val="20"/>
        </w:rPr>
        <w:t>五、改进建议。</w:t>
      </w:r>
    </w:p>
    <w:p>
      <w:pPr>
        <w:ind w:firstLine="400" w:firstLineChars="200"/>
        <w:rPr>
          <w:rFonts w:ascii="Arial" w:hAnsi="Arial" w:eastAsia="宋体" w:cs="Arial"/>
          <w:color w:val="000000"/>
          <w:kern w:val="0"/>
          <w:sz w:val="20"/>
          <w:szCs w:val="20"/>
        </w:rPr>
      </w:pPr>
      <w:r>
        <w:rPr>
          <w:rFonts w:hint="eastAsia" w:ascii="Arial" w:hAnsi="Arial" w:eastAsia="宋体" w:cs="Arial"/>
          <w:color w:val="000000"/>
          <w:kern w:val="0"/>
          <w:sz w:val="20"/>
          <w:szCs w:val="20"/>
        </w:rPr>
        <w:t>在财务工作过程中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既体现实际工作需要，有考虑单位财力可能，根据各项工作任务，在财力可能的情况下，有保有压，确保重点，统筹安排，合理支出。</w:t>
      </w:r>
    </w:p>
    <w:p>
      <w:pPr>
        <w:pStyle w:val="2"/>
        <w:ind w:firstLine="2200" w:firstLineChars="1100"/>
        <w:rPr>
          <w:rFonts w:ascii="Arial" w:hAnsi="Arial" w:cs="Arial"/>
          <w:color w:val="000000"/>
          <w:kern w:val="0"/>
          <w:sz w:val="20"/>
          <w:szCs w:val="20"/>
        </w:rPr>
      </w:pP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left"/>
        <w:rPr>
          <w:rFonts w:ascii="Arial" w:hAnsi="Arial" w:eastAsia="宋体" w:cs="Arial"/>
          <w:color w:val="000000"/>
          <w:kern w:val="0"/>
          <w:sz w:val="20"/>
          <w:szCs w:val="20"/>
        </w:rPr>
      </w:pPr>
      <w:r>
        <w:rPr>
          <w:rFonts w:ascii="Arial" w:hAnsi="Arial" w:eastAsia="宋体" w:cs="Arial"/>
          <w:color w:val="000000"/>
          <w:kern w:val="0"/>
          <w:sz w:val="20"/>
          <w:szCs w:val="20"/>
        </w:rPr>
        <w:t> </w:t>
      </w:r>
    </w:p>
    <w:p>
      <w:pPr>
        <w:widowControl/>
        <w:shd w:val="clear" w:color="auto" w:fill="FFFFFF"/>
        <w:jc w:val="center"/>
        <w:rPr>
          <w:rFonts w:ascii="Arial" w:hAnsi="Arial" w:eastAsia="宋体" w:cs="Arial"/>
          <w:color w:val="000000"/>
          <w:kern w:val="0"/>
          <w:sz w:val="20"/>
          <w:szCs w:val="20"/>
        </w:rPr>
      </w:pPr>
      <w:r>
        <w:rPr>
          <w:rFonts w:ascii="Arial" w:hAnsi="Arial" w:eastAsia="宋体" w:cs="Arial"/>
          <w:b/>
          <w:bCs/>
          <w:color w:val="000000"/>
          <w:kern w:val="0"/>
          <w:sz w:val="44"/>
        </w:rPr>
        <w:t>第五部分 附表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一、收入支出决算总表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二、收入决算表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三、支出决算表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四、财政拨款收入支出决算总表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五、财政拨款支出决算明细表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六、一般公共预算财政拨款支出决算表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七、一般公共预算财政拨款支出决算明细表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八、一般公共预算财政拨款基本支出决算表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九、一般公共预算财政拨款项目支出决算表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十、政府性基金预算财政拨款收入支出决算表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十一、国有资本经营预算财政拨款收入支出决算表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十二、国有资本经营预算财政拨款支出决算表</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十三、财政拨款“三公”经费支出决算表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Tahoma">
    <w:altName w:val="DejaVu Sans"/>
    <w:panose1 w:val="020B0604030504040204"/>
    <w:charset w:val="00"/>
    <w:family w:val="swiss"/>
    <w:pitch w:val="default"/>
    <w:sig w:usb0="00000000" w:usb1="00000000" w:usb2="00000029" w:usb3="00000000" w:csb0="000101F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GWZT-EN">
    <w:panose1 w:val="020204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JhZTZhMTI1NWI5OWJkMDU0NDMzYWMyOWY3MGE5MjEifQ=="/>
  </w:docVars>
  <w:rsids>
    <w:rsidRoot w:val="00471683"/>
    <w:rsid w:val="001C494A"/>
    <w:rsid w:val="00471683"/>
    <w:rsid w:val="004A3096"/>
    <w:rsid w:val="005C6B7C"/>
    <w:rsid w:val="005F62B9"/>
    <w:rsid w:val="00615B30"/>
    <w:rsid w:val="00855B03"/>
    <w:rsid w:val="00A27F4C"/>
    <w:rsid w:val="00B00824"/>
    <w:rsid w:val="00C52497"/>
    <w:rsid w:val="00E81F96"/>
    <w:rsid w:val="00F11BA3"/>
    <w:rsid w:val="00F67B1D"/>
    <w:rsid w:val="24F44C81"/>
    <w:rsid w:val="76AC3B13"/>
    <w:rsid w:val="D6DC48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5">
    <w:name w:val="heading 2"/>
    <w:basedOn w:val="1"/>
    <w:link w:val="1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9"/>
    <w:qFormat/>
    <w:uiPriority w:val="0"/>
    <w:pPr>
      <w:ind w:firstLine="420" w:firstLineChars="200"/>
    </w:pPr>
    <w:rPr>
      <w:rFonts w:hint="eastAsia" w:ascii="Times New Roman" w:hAnsi="Times New Roman" w:eastAsia="宋体" w:cs="Times New Roman"/>
      <w:szCs w:val="24"/>
    </w:rPr>
  </w:style>
  <w:style w:type="paragraph" w:styleId="3">
    <w:name w:val="Body Text Indent"/>
    <w:basedOn w:val="1"/>
    <w:link w:val="18"/>
    <w:semiHidden/>
    <w:unhideWhenUsed/>
    <w:uiPriority w:val="99"/>
    <w:pPr>
      <w:spacing w:after="120"/>
      <w:ind w:left="420" w:leftChars="200"/>
    </w:pPr>
  </w:style>
  <w:style w:type="paragraph" w:styleId="6">
    <w:name w:val="Body Text"/>
    <w:basedOn w:val="1"/>
    <w:link w:val="20"/>
    <w:unhideWhenUsed/>
    <w:qFormat/>
    <w:uiPriority w:val="99"/>
    <w:pPr>
      <w:spacing w:after="120"/>
    </w:pPr>
    <w:rPr>
      <w:rFonts w:ascii="Calibri" w:hAnsi="Calibri" w:eastAsia="宋体" w:cs="宋体"/>
      <w:szCs w:val="24"/>
    </w:rPr>
  </w:style>
  <w:style w:type="paragraph" w:styleId="7">
    <w:name w:val="Balloon Text"/>
    <w:basedOn w:val="1"/>
    <w:link w:val="23"/>
    <w:semiHidden/>
    <w:unhideWhenUsed/>
    <w:uiPriority w:val="99"/>
    <w:rPr>
      <w:sz w:val="18"/>
      <w:szCs w:val="18"/>
    </w:rPr>
  </w:style>
  <w:style w:type="paragraph" w:styleId="8">
    <w:name w:val="footer"/>
    <w:basedOn w:val="1"/>
    <w:link w:val="15"/>
    <w:semiHidden/>
    <w:unhideWhenUsed/>
    <w:uiPriority w:val="99"/>
    <w:pPr>
      <w:tabs>
        <w:tab w:val="center" w:pos="4153"/>
        <w:tab w:val="right" w:pos="8306"/>
      </w:tabs>
      <w:snapToGrid w:val="0"/>
      <w:jc w:val="left"/>
    </w:pPr>
    <w:rPr>
      <w:sz w:val="18"/>
      <w:szCs w:val="18"/>
    </w:rPr>
  </w:style>
  <w:style w:type="paragraph" w:styleId="9">
    <w:name w:val="header"/>
    <w:basedOn w:val="1"/>
    <w:link w:val="14"/>
    <w:semiHidden/>
    <w:unhideWhenUsed/>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3">
    <w:name w:val="Strong"/>
    <w:basedOn w:val="12"/>
    <w:qFormat/>
    <w:uiPriority w:val="22"/>
    <w:rPr>
      <w:b/>
      <w:bCs/>
    </w:rPr>
  </w:style>
  <w:style w:type="character" w:customStyle="1" w:styleId="14">
    <w:name w:val="页眉 Char"/>
    <w:basedOn w:val="12"/>
    <w:link w:val="9"/>
    <w:semiHidden/>
    <w:uiPriority w:val="99"/>
    <w:rPr>
      <w:sz w:val="18"/>
      <w:szCs w:val="18"/>
    </w:rPr>
  </w:style>
  <w:style w:type="character" w:customStyle="1" w:styleId="15">
    <w:name w:val="页脚 Char"/>
    <w:basedOn w:val="12"/>
    <w:link w:val="8"/>
    <w:semiHidden/>
    <w:uiPriority w:val="99"/>
    <w:rPr>
      <w:sz w:val="18"/>
      <w:szCs w:val="18"/>
    </w:rPr>
  </w:style>
  <w:style w:type="character" w:customStyle="1" w:styleId="16">
    <w:name w:val="标题 1 Char"/>
    <w:basedOn w:val="12"/>
    <w:link w:val="4"/>
    <w:qFormat/>
    <w:uiPriority w:val="9"/>
    <w:rPr>
      <w:rFonts w:ascii="宋体" w:hAnsi="宋体" w:eastAsia="宋体" w:cs="宋体"/>
      <w:b/>
      <w:bCs/>
      <w:kern w:val="36"/>
      <w:sz w:val="48"/>
      <w:szCs w:val="48"/>
    </w:rPr>
  </w:style>
  <w:style w:type="character" w:customStyle="1" w:styleId="17">
    <w:name w:val="标题 2 Char"/>
    <w:basedOn w:val="12"/>
    <w:link w:val="5"/>
    <w:uiPriority w:val="9"/>
    <w:rPr>
      <w:rFonts w:ascii="宋体" w:hAnsi="宋体" w:eastAsia="宋体" w:cs="宋体"/>
      <w:b/>
      <w:bCs/>
      <w:kern w:val="0"/>
      <w:sz w:val="36"/>
      <w:szCs w:val="36"/>
    </w:rPr>
  </w:style>
  <w:style w:type="character" w:customStyle="1" w:styleId="18">
    <w:name w:val="正文文本缩进 Char"/>
    <w:basedOn w:val="12"/>
    <w:link w:val="3"/>
    <w:semiHidden/>
    <w:qFormat/>
    <w:uiPriority w:val="99"/>
  </w:style>
  <w:style w:type="character" w:customStyle="1" w:styleId="19">
    <w:name w:val="正文首行缩进 2 Char"/>
    <w:basedOn w:val="18"/>
    <w:link w:val="2"/>
    <w:qFormat/>
    <w:uiPriority w:val="0"/>
    <w:rPr>
      <w:rFonts w:ascii="Times New Roman" w:hAnsi="Times New Roman" w:eastAsia="宋体" w:cs="Times New Roman"/>
      <w:szCs w:val="24"/>
    </w:rPr>
  </w:style>
  <w:style w:type="character" w:customStyle="1" w:styleId="20">
    <w:name w:val="正文文本 Char"/>
    <w:basedOn w:val="12"/>
    <w:link w:val="6"/>
    <w:qFormat/>
    <w:uiPriority w:val="99"/>
    <w:rPr>
      <w:rFonts w:ascii="Calibri" w:hAnsi="Calibri" w:eastAsia="宋体" w:cs="宋体"/>
      <w:szCs w:val="24"/>
    </w:rPr>
  </w:style>
  <w:style w:type="paragraph" w:customStyle="1" w:styleId="21">
    <w:name w:val="无间隔1"/>
    <w:qFormat/>
    <w:uiPriority w:val="1"/>
    <w:pPr>
      <w:adjustRightInd w:val="0"/>
      <w:snapToGrid w:val="0"/>
    </w:pPr>
    <w:rPr>
      <w:rFonts w:ascii="Tahoma" w:hAnsi="Tahoma" w:eastAsia="微软雅黑" w:cstheme="minorBidi"/>
      <w:sz w:val="22"/>
      <w:szCs w:val="22"/>
      <w:lang w:val="en-US" w:eastAsia="zh-CN" w:bidi="ar-SA"/>
    </w:rPr>
  </w:style>
  <w:style w:type="character" w:customStyle="1" w:styleId="22">
    <w:name w:val="hei41"/>
    <w:basedOn w:val="12"/>
    <w:qFormat/>
    <w:uiPriority w:val="99"/>
    <w:rPr>
      <w:color w:val="000000"/>
      <w:sz w:val="21"/>
      <w:szCs w:val="21"/>
      <w:u w:val="none"/>
    </w:rPr>
  </w:style>
  <w:style w:type="character" w:customStyle="1" w:styleId="23">
    <w:name w:val="批注框文本 Char"/>
    <w:basedOn w:val="12"/>
    <w:link w:val="7"/>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H:\&#20915;&#31639;&#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0915;&#31639;&#222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20915;&#31639;&#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20915;&#31639;&#2227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20915;&#31639;&#2227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20915;&#31639;&#2227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20915;&#31639;&#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kern="1200" cap="none" spc="0" normalizeH="0" baseline="0">
                <a:solidFill>
                  <a:schemeClr val="tx1">
                    <a:lumMod val="65000"/>
                    <a:lumOff val="35000"/>
                  </a:schemeClr>
                </a:solidFill>
                <a:effectLst/>
                <a:latin typeface="方正小标宋简体" panose="02000000000000000000" charset="-122"/>
                <a:ea typeface="方正小标宋简体" panose="02000000000000000000" charset="-122"/>
                <a:cs typeface="+mn-cs"/>
              </a:rPr>
              <a:t>收、支决算总计变动情况图 </a:t>
            </a:r>
            <a:endParaRPr sz="1400" b="1" i="0" u="none" strike="noStrike" kern="1200" cap="none" spc="0" normalizeH="0" baseline="0">
              <a:solidFill>
                <a:schemeClr val="tx1">
                  <a:lumMod val="65000"/>
                  <a:lumOff val="35000"/>
                </a:schemeClr>
              </a:solidFill>
              <a:effectLst/>
              <a:latin typeface="方正小标宋简体" panose="02000000000000000000" charset="-122"/>
              <a:ea typeface="方正小标宋简体" panose="02000000000000000000" charset="-122"/>
              <a:cs typeface="+mn-cs"/>
            </a:endParaRPr>
          </a:p>
        </c:rich>
      </c:tx>
      <c:layout>
        <c:manualLayout>
          <c:xMode val="edge"/>
          <c:yMode val="edge"/>
          <c:x val="0.20511209536308"/>
          <c:y val="0.0347222222222222"/>
        </c:manualLayout>
      </c:layout>
      <c:overlay val="0"/>
      <c:spPr>
        <a:noFill/>
        <a:ln>
          <a:noFill/>
        </a:ln>
        <a:effectLst/>
      </c:spPr>
    </c:title>
    <c:autoTitleDeleted val="0"/>
    <c:plotArea>
      <c:layout/>
      <c:barChart>
        <c:barDir val="col"/>
        <c:grouping val="clustered"/>
        <c:varyColors val="0"/>
        <c:ser>
          <c:idx val="0"/>
          <c:order val="0"/>
          <c:tx>
            <c:strRef>
              <c:f>Sheet2!$B$3:$B$4</c:f>
              <c:strCache>
                <c:ptCount val="1"/>
                <c:pt idx="0">
                  <c:v>108.69 136.24</c:v>
                </c:pt>
              </c:strCache>
            </c:strRef>
          </c:tx>
          <c:spPr>
            <a:solidFill>
              <a:schemeClr val="accent1"/>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Sheet2!$A$3:$A$4</c:f>
              <c:strCache>
                <c:ptCount val="2"/>
                <c:pt idx="0">
                  <c:v>2021年</c:v>
                </c:pt>
                <c:pt idx="1">
                  <c:v>2022年</c:v>
                </c:pt>
              </c:strCache>
            </c:strRef>
          </c:cat>
          <c:val>
            <c:numRef>
              <c:f>Sheet2!$B$3:$B$4</c:f>
              <c:numCache>
                <c:formatCode>General</c:formatCode>
                <c:ptCount val="2"/>
                <c:pt idx="0">
                  <c:v>108.69</c:v>
                </c:pt>
                <c:pt idx="1">
                  <c:v>136.24</c:v>
                </c:pt>
              </c:numCache>
            </c:numRef>
          </c:val>
        </c:ser>
        <c:dLbls>
          <c:showLegendKey val="0"/>
          <c:showVal val="1"/>
          <c:showCatName val="0"/>
          <c:showSerName val="0"/>
          <c:showPercent val="0"/>
          <c:showBubbleSize val="0"/>
        </c:dLbls>
        <c:gapWidth val="219"/>
        <c:overlap val="-27"/>
        <c:axId val="58577664"/>
        <c:axId val="58579584"/>
      </c:barChart>
      <c:catAx>
        <c:axId val="58577664"/>
        <c:scaling>
          <c:orientation val="minMax"/>
        </c:scaling>
        <c:delete val="0"/>
        <c:axPos val="b"/>
        <c:title>
          <c:tx>
            <c:rich>
              <a:bodyPr rot="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时间</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579584"/>
        <c:crosses val="autoZero"/>
        <c:auto val="1"/>
        <c:lblAlgn val="ctr"/>
        <c:lblOffset val="100"/>
        <c:noMultiLvlLbl val="0"/>
      </c:catAx>
      <c:valAx>
        <c:axId val="5857958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金额（万元）</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0305555555555555"/>
              <c:y val="0.241205344123651"/>
            </c:manualLayout>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57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收入决算结构图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tx>
            <c:strRef>
              <c:f>[决算图.xlsx]Sheet3!$B$1:$B$2</c:f>
              <c:strCache>
                <c:ptCount val="1"/>
                <c:pt idx="0">
                  <c:v>收入决算结构图 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[决算图.xlsx]Sheet3!$A$3:$A$4</c:f>
              <c:strCache>
                <c:ptCount val="2"/>
                <c:pt idx="0">
                  <c:v>一般公共预算财政拨款收入</c:v>
                </c:pt>
                <c:pt idx="1">
                  <c:v>政府性基金预算财政拨款收入</c:v>
                </c:pt>
              </c:strCache>
            </c:strRef>
          </c:cat>
          <c:val>
            <c:numRef>
              <c:f>[决算图.xlsx]Sheet3!$B$3:$B$4</c:f>
              <c:numCache>
                <c:formatCode>0.00%</c:formatCode>
                <c:ptCount val="2"/>
                <c:pt idx="0">
                  <c:v>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收入决算结构图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tx>
            <c:strRef>
              <c:f>'[决算图.xlsx]Sheet3 (2)'!$B$1:$B$2</c:f>
              <c:strCache>
                <c:ptCount val="1"/>
                <c:pt idx="0">
                  <c:v>支出决算结构图 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'[决算图.xlsx]Sheet3 (2)'!$A$3:$A$4</c:f>
              <c:strCache>
                <c:ptCount val="2"/>
                <c:pt idx="0">
                  <c:v>基本支出</c:v>
                </c:pt>
                <c:pt idx="1">
                  <c:v>项目支出</c:v>
                </c:pt>
              </c:strCache>
            </c:strRef>
          </c:cat>
          <c:val>
            <c:numRef>
              <c:f>'[决算图.xlsx]Sheet3 (2)'!$B$3:$B$4</c:f>
              <c:numCache>
                <c:formatCode>0.00%</c:formatCode>
                <c:ptCount val="2"/>
                <c:pt idx="0">
                  <c:v>1</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财政拨款收、支决算总计变动情况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00459317585302"/>
          <c:y val="0.03125"/>
        </c:manualLayout>
      </c:layout>
      <c:overlay val="0"/>
      <c:spPr>
        <a:noFill/>
        <a:ln>
          <a:noFill/>
        </a:ln>
        <a:effectLst/>
      </c:spPr>
    </c:title>
    <c:autoTitleDeleted val="0"/>
    <c:plotArea>
      <c:layout/>
      <c:barChart>
        <c:barDir val="col"/>
        <c:grouping val="clustered"/>
        <c:varyColors val="0"/>
        <c:ser>
          <c:idx val="0"/>
          <c:order val="0"/>
          <c:tx>
            <c:strRef>
              <c:f>'[决算图.xlsx]Sheet2 (2)'!$B$1:$B$2</c:f>
              <c:strCache>
                <c:ptCount val="1"/>
                <c:pt idx="0">
                  <c:v>财政拨款收、支决算总计变动情况 金额（万元）</c:v>
                </c:pt>
              </c:strCache>
            </c:strRef>
          </c:tx>
          <c:spPr>
            <a:solidFill>
              <a:schemeClr val="accent1"/>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'[决算图.xlsx]Sheet2 (2)'!$A$3:$A$4</c:f>
              <c:strCache>
                <c:ptCount val="2"/>
                <c:pt idx="0">
                  <c:v>2021年</c:v>
                </c:pt>
                <c:pt idx="1">
                  <c:v>2022年</c:v>
                </c:pt>
              </c:strCache>
            </c:strRef>
          </c:cat>
          <c:val>
            <c:numRef>
              <c:f>'[决算图.xlsx]Sheet2 (2)'!$B$3:$B$4</c:f>
              <c:numCache>
                <c:formatCode>General</c:formatCode>
                <c:ptCount val="2"/>
                <c:pt idx="0">
                  <c:v>108.69</c:v>
                </c:pt>
                <c:pt idx="1">
                  <c:v>136.24</c:v>
                </c:pt>
              </c:numCache>
            </c:numRef>
          </c:val>
        </c:ser>
        <c:dLbls>
          <c:showLegendKey val="0"/>
          <c:showVal val="1"/>
          <c:showCatName val="0"/>
          <c:showSerName val="0"/>
          <c:showPercent val="0"/>
          <c:showBubbleSize val="0"/>
        </c:dLbls>
        <c:gapWidth val="219"/>
        <c:overlap val="-27"/>
        <c:axId val="58656256"/>
        <c:axId val="58658176"/>
      </c:barChart>
      <c:catAx>
        <c:axId val="58656256"/>
        <c:scaling>
          <c:orientation val="minMax"/>
        </c:scaling>
        <c:delete val="0"/>
        <c:axPos val="b"/>
        <c:title>
          <c:tx>
            <c:rich>
              <a:bodyPr rot="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时间</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517562992125984"/>
              <c:y val="0.774839603382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658176"/>
        <c:crosses val="autoZero"/>
        <c:auto val="1"/>
        <c:lblAlgn val="ctr"/>
        <c:lblOffset val="100"/>
        <c:noMultiLvlLbl val="0"/>
      </c:catAx>
      <c:valAx>
        <c:axId val="58658176"/>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金额（万元）</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0263888888888889"/>
              <c:y val="0.286575714494022"/>
            </c:manualLayout>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656256"/>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一般公共预算财政拨款支出决算变动情况</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'[决算图.xlsx]Sheet2 (3)'!$B$1:$B$2</c:f>
              <c:strCache>
                <c:ptCount val="1"/>
                <c:pt idx="0">
                  <c:v>一般公共预算财政拨款支出决算变动情况 金额（万元）</c:v>
                </c:pt>
              </c:strCache>
            </c:strRef>
          </c:tx>
          <c:spPr>
            <a:solidFill>
              <a:schemeClr val="accent1"/>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'[决算图.xlsx]Sheet2 (3)'!$A$3:$A$4</c:f>
              <c:strCache>
                <c:ptCount val="2"/>
                <c:pt idx="0">
                  <c:v>2021年</c:v>
                </c:pt>
                <c:pt idx="1">
                  <c:v>2022年</c:v>
                </c:pt>
              </c:strCache>
            </c:strRef>
          </c:cat>
          <c:val>
            <c:numRef>
              <c:f>'[决算图.xlsx]Sheet2 (3)'!$B$3:$B$4</c:f>
              <c:numCache>
                <c:formatCode>General</c:formatCode>
                <c:ptCount val="2"/>
                <c:pt idx="0">
                  <c:v>108.69</c:v>
                </c:pt>
                <c:pt idx="1">
                  <c:v>136.24</c:v>
                </c:pt>
              </c:numCache>
            </c:numRef>
          </c:val>
        </c:ser>
        <c:dLbls>
          <c:showLegendKey val="0"/>
          <c:showVal val="1"/>
          <c:showCatName val="0"/>
          <c:showSerName val="0"/>
          <c:showPercent val="0"/>
          <c:showBubbleSize val="0"/>
        </c:dLbls>
        <c:gapWidth val="219"/>
        <c:overlap val="-27"/>
        <c:axId val="58687872"/>
        <c:axId val="58689792"/>
      </c:barChart>
      <c:catAx>
        <c:axId val="58687872"/>
        <c:scaling>
          <c:orientation val="minMax"/>
        </c:scaling>
        <c:delete val="0"/>
        <c:axPos val="b"/>
        <c:title>
          <c:tx>
            <c:rich>
              <a:bodyPr rot="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0" i="0" u="none" strike="noStrike" kern="1200" cap="none" normalizeH="0" baseline="0">
                    <a:solidFill>
                      <a:schemeClr val="tx1">
                        <a:lumMod val="65000"/>
                        <a:lumOff val="35000"/>
                      </a:schemeClr>
                    </a:solidFill>
                    <a:effectLst/>
                    <a:latin typeface="+mn-lt"/>
                    <a:ea typeface="+mn-ea"/>
                    <a:cs typeface="+mn-cs"/>
                  </a:rPr>
                  <a:t>时间</a:t>
                </a:r>
                <a:endParaRPr sz="1000" b="0" i="0" u="none" strike="noStrike" kern="1200" cap="none" normalizeH="0" baseline="0">
                  <a:solidFill>
                    <a:schemeClr val="tx1">
                      <a:lumMod val="65000"/>
                      <a:lumOff val="35000"/>
                    </a:schemeClr>
                  </a:solidFill>
                  <a:effectLst/>
                  <a:latin typeface="+mn-lt"/>
                  <a:ea typeface="+mn-ea"/>
                  <a:cs typeface="+mn-cs"/>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689792"/>
        <c:crosses val="autoZero"/>
        <c:auto val="1"/>
        <c:lblAlgn val="ctr"/>
        <c:lblOffset val="100"/>
        <c:noMultiLvlLbl val="0"/>
      </c:catAx>
      <c:valAx>
        <c:axId val="5868979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0" i="0" u="none" strike="noStrike" kern="1200" cap="none" normalizeH="0" baseline="0">
                    <a:solidFill>
                      <a:schemeClr val="tx1">
                        <a:lumMod val="65000"/>
                        <a:lumOff val="35000"/>
                      </a:schemeClr>
                    </a:solidFill>
                    <a:effectLst/>
                    <a:latin typeface="+mn-lt"/>
                    <a:ea typeface="+mn-ea"/>
                    <a:cs typeface="+mn-cs"/>
                  </a:rPr>
                  <a:t> 金额（万元）</a:t>
                </a:r>
                <a:endParaRPr sz="1000" b="0" i="0" u="none" strike="noStrike" kern="1200" cap="none" normalizeH="0" baseline="0">
                  <a:solidFill>
                    <a:schemeClr val="tx1">
                      <a:lumMod val="65000"/>
                      <a:lumOff val="35000"/>
                    </a:schemeClr>
                  </a:solidFill>
                  <a:effectLst/>
                  <a:latin typeface="+mn-lt"/>
                  <a:ea typeface="+mn-ea"/>
                  <a:cs typeface="+mn-cs"/>
                </a:endParaRPr>
              </a:p>
              <a:p>
                <a:pPr algn="ctr" defTabSz="914400">
                  <a:defRPr lang="zh-CN" sz="1000" b="1" i="0" u="none" strike="noStrike" kern="1200" baseline="0">
                    <a:solidFill>
                      <a:schemeClr val="tx1">
                        <a:lumMod val="65000"/>
                        <a:lumOff val="35000"/>
                      </a:schemeClr>
                    </a:solidFill>
                    <a:latin typeface="+mn-lt"/>
                    <a:ea typeface="+mn-ea"/>
                    <a:cs typeface="+mn-cs"/>
                  </a:defRPr>
                </a:pPr>
                <a:endParaRPr sz="1000" b="0" i="0" u="none" strike="noStrike" kern="1200" cap="none" normalizeH="0" baseline="0">
                  <a:solidFill>
                    <a:schemeClr val="tx1">
                      <a:lumMod val="65000"/>
                      <a:lumOff val="35000"/>
                    </a:schemeClr>
                  </a:solidFill>
                  <a:effectLst/>
                  <a:latin typeface="+mn-lt"/>
                  <a:ea typeface="+mn-ea"/>
                  <a:cs typeface="+mn-cs"/>
                </a:endParaRP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68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一般公共预算财政拨款支出决算结构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tx>
            <c:strRef>
              <c:f>'[决算图.xlsx]Sheet3 (3)'!$B$1:$B$2</c:f>
              <c:strCache>
                <c:ptCount val="1"/>
                <c:pt idx="0">
                  <c:v>一般公共预算财政拨款支出决算结构 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'[决算图.xlsx]Sheet3 (3)'!$A$3:$A$8</c:f>
              <c:strCache>
                <c:ptCount val="6"/>
                <c:pt idx="0">
                  <c:v>一般公共服务（类）支出</c:v>
                </c:pt>
                <c:pt idx="1">
                  <c:v>社会保障和就业（类）支出</c:v>
                </c:pt>
                <c:pt idx="2">
                  <c:v>卫生健康（类）支出</c:v>
                </c:pt>
                <c:pt idx="3">
                  <c:v>城乡社区（类）支出</c:v>
                </c:pt>
                <c:pt idx="4">
                  <c:v>农林水（类）支出</c:v>
                </c:pt>
                <c:pt idx="5">
                  <c:v>住房保障（类）支出</c:v>
                </c:pt>
              </c:strCache>
            </c:strRef>
          </c:cat>
          <c:val>
            <c:numRef>
              <c:f>'[决算图.xlsx]Sheet3 (3)'!$B$3:$B$8</c:f>
              <c:numCache>
                <c:formatCode>0.00%</c:formatCode>
                <c:ptCount val="6"/>
                <c:pt idx="0">
                  <c:v>0.8244</c:v>
                </c:pt>
                <c:pt idx="1">
                  <c:v>0.0876</c:v>
                </c:pt>
                <c:pt idx="2">
                  <c:v>0.0376</c:v>
                </c:pt>
                <c:pt idx="3">
                  <c:v>0.00558323911617325</c:v>
                </c:pt>
                <c:pt idx="4">
                  <c:v>0</c:v>
                </c:pt>
                <c:pt idx="5">
                  <c:v>0.0505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“三公”经费财政拨款支出结构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tx>
            <c:strRef>
              <c:f>'[决算图.xlsx]Sheet3 (4)'!$B$1:$B$2</c:f>
              <c:strCache>
                <c:ptCount val="1"/>
                <c:pt idx="0">
                  <c:v>“三公”经费财政拨款支出结构 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'[决算图.xlsx]Sheet3 (4)'!$A$3:$A$5</c:f>
              <c:strCache>
                <c:ptCount val="3"/>
                <c:pt idx="0">
                  <c:v>因公出国（境）费支出决算</c:v>
                </c:pt>
                <c:pt idx="1">
                  <c:v>公务用车购置及运行维护费支出决算</c:v>
                </c:pt>
                <c:pt idx="2">
                  <c:v>公务接待费支出决算</c:v>
                </c:pt>
              </c:strCache>
            </c:strRef>
          </c:cat>
          <c:val>
            <c:numRef>
              <c:f>'[决算图.xlsx]Sheet3 (4)'!$B$3:$B$5</c:f>
              <c:numCache>
                <c:formatCode>0.00%</c:formatCode>
                <c:ptCount val="3"/>
                <c:pt idx="0">
                  <c:v>0</c:v>
                </c:pt>
                <c:pt idx="1">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2097</Words>
  <Characters>11959</Characters>
  <Lines>99</Lines>
  <Paragraphs>28</Paragraphs>
  <TotalTime>1529</TotalTime>
  <ScaleCrop>false</ScaleCrop>
  <LinksUpToDate>false</LinksUpToDate>
  <CharactersWithSpaces>14028</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2023-09-27T11:05:00Z</dcterms:created>
  <dc:creator>PC</dc:creator>
  <cp:lastModifiedBy>UOS</cp:lastModifiedBy>
  <dcterms:modified xsi:type="dcterms:W3CDTF">2026-08-28T16:12:57Z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0408DCCB85194AEFB457D071C67DA701_12</vt:lpwstr>
  </property>
</Properties>
</file>