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sz w:val="32"/>
          <w:szCs w:val="32"/>
          <w:highlight w:val="none"/>
          <w:lang w:eastAsia="zh-CN"/>
        </w:rPr>
      </w:pPr>
    </w:p>
    <w:p>
      <w:pPr>
        <w:jc w:val="both"/>
        <w:rPr>
          <w:rFonts w:ascii="方正小标宋简体" w:hAnsi="黑体" w:eastAsia="方正小标宋简体"/>
          <w:sz w:val="84"/>
          <w:szCs w:val="84"/>
          <w:highlight w:val="none"/>
        </w:rPr>
      </w:pPr>
    </w:p>
    <w:p>
      <w:pPr>
        <w:jc w:val="both"/>
        <w:rPr>
          <w:rFonts w:ascii="方正小标宋简体" w:hAnsi="黑体" w:eastAsia="方正小标宋简体"/>
          <w:sz w:val="84"/>
          <w:szCs w:val="84"/>
          <w:highlight w:val="none"/>
        </w:rPr>
      </w:pPr>
    </w:p>
    <w:p>
      <w:pPr>
        <w:jc w:val="center"/>
        <w:rPr>
          <w:rFonts w:hint="eastAsia" w:ascii="方正小标宋简体" w:hAnsi="黑体" w:eastAsia="方正小标宋简体"/>
          <w:sz w:val="84"/>
          <w:szCs w:val="84"/>
          <w:highlight w:val="none"/>
          <w:lang w:eastAsia="zh-CN"/>
        </w:rPr>
      </w:pPr>
      <w:r>
        <w:rPr>
          <w:rFonts w:hint="eastAsia" w:ascii="方正小标宋简体" w:hAnsi="黑体" w:eastAsia="方正小标宋简体"/>
          <w:sz w:val="84"/>
          <w:szCs w:val="84"/>
          <w:highlight w:val="none"/>
        </w:rPr>
        <w:t>四川省九寨沟县</w:t>
      </w:r>
      <w:r>
        <w:rPr>
          <w:rFonts w:hint="eastAsia" w:ascii="方正小标宋简体" w:hAnsi="黑体" w:eastAsia="方正小标宋简体"/>
          <w:sz w:val="84"/>
          <w:szCs w:val="84"/>
          <w:highlight w:val="none"/>
          <w:lang w:val="en-US" w:eastAsia="zh-CN"/>
        </w:rPr>
        <w:t>妇女联合会</w:t>
      </w:r>
    </w:p>
    <w:p>
      <w:pPr>
        <w:jc w:val="center"/>
        <w:rPr>
          <w:rFonts w:hint="default" w:ascii="方正小标宋简体" w:hAnsi="黑体" w:eastAsia="方正小标宋简体"/>
          <w:sz w:val="84"/>
          <w:szCs w:val="84"/>
          <w:highlight w:val="none"/>
          <w:lang w:val="en-US" w:eastAsia="zh-CN"/>
        </w:rPr>
      </w:pP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6</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CN"/>
        </w:rPr>
        <w:t>预算公开</w:t>
      </w:r>
    </w:p>
    <w:p>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val="en-US" w:eastAsia="zh-CN"/>
        </w:rPr>
        <w:t>九寨沟县妇女联会</w:t>
      </w:r>
      <w:r>
        <w:rPr>
          <w:rFonts w:hint="eastAsia" w:ascii="黑体" w:hAnsi="黑体" w:eastAsia="黑体"/>
          <w:sz w:val="32"/>
          <w:szCs w:val="32"/>
          <w:highlight w:val="none"/>
        </w:rPr>
        <w:t>概况</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一、基本职能及主要工作</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val="en-US" w:eastAsia="zh-CN"/>
        </w:rPr>
        <w:t>九寨沟县妇女联合会</w:t>
      </w:r>
      <w:r>
        <w:rPr>
          <w:rFonts w:ascii="黑体" w:hAnsi="黑体" w:eastAsia="黑体"/>
          <w:sz w:val="32"/>
          <w:szCs w:val="32"/>
          <w:highlight w:val="none"/>
        </w:rPr>
        <w:t>202</w:t>
      </w:r>
      <w:r>
        <w:rPr>
          <w:rFonts w:hint="eastAsia" w:ascii="黑体" w:hAnsi="黑体" w:eastAsia="黑体"/>
          <w:sz w:val="32"/>
          <w:szCs w:val="32"/>
          <w:highlight w:val="none"/>
          <w:lang w:val="en-US" w:eastAsia="zh-CN"/>
        </w:rPr>
        <w:t>6</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CN"/>
        </w:rPr>
        <w:t>预算</w:t>
      </w:r>
      <w:r>
        <w:rPr>
          <w:rFonts w:hint="eastAsia" w:ascii="黑体" w:hAnsi="黑体" w:eastAsia="黑体"/>
          <w:sz w:val="32"/>
          <w:szCs w:val="32"/>
          <w:highlight w:val="none"/>
        </w:rPr>
        <w:t>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rPr>
        <w:t>部门收支总表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1-1</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部门收入总表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1-2</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部门支出总表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2</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财政拨款收支预算总表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2-1</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财政拨款支出预算表（部门经济分类科目）</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3</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一般公共预算支出预算表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3-1</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一般公共预算基本支出预算表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3-2</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一般公共预算项目支出预算表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3-3</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一般公共预算“三公”经费支出预算表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4</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政府性基金预算支出表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CN"/>
        </w:rPr>
        <w:t>表4-1</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政府性基金预算“三公”经费支出预算表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5</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国有资本经营预算支出表</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val="en-US" w:eastAsia="zh-CN"/>
        </w:rPr>
        <w:t>九寨沟县妇女联合会</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6</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CN"/>
        </w:rPr>
        <w:t>部门预算</w:t>
      </w:r>
      <w:r>
        <w:rPr>
          <w:rFonts w:hint="eastAsia" w:ascii="黑体" w:hAnsi="黑体" w:eastAsia="黑体"/>
          <w:sz w:val="32"/>
          <w:szCs w:val="32"/>
          <w:highlight w:val="none"/>
        </w:rPr>
        <w:t>情况说明</w:t>
      </w:r>
    </w:p>
    <w:p>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pPr>
        <w:rPr>
          <w:rFonts w:hint="eastAsia" w:ascii="黑体" w:hAnsi="黑体" w:eastAsia="黑体"/>
          <w:sz w:val="32"/>
          <w:szCs w:val="32"/>
          <w:highlight w:val="none"/>
        </w:rPr>
      </w:pPr>
      <w:r>
        <w:rPr>
          <w:rFonts w:hint="eastAsia" w:ascii="黑体" w:hAnsi="黑体" w:eastAsia="黑体"/>
          <w:sz w:val="32"/>
          <w:szCs w:val="32"/>
          <w:highlight w:val="none"/>
        </w:rPr>
        <w:br w:type="page"/>
      </w:r>
      <w:bookmarkStart w:id="0" w:name="_GoBack"/>
      <w:bookmarkEnd w:id="0"/>
    </w:p>
    <w:p>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第一部分  </w:t>
      </w:r>
      <w:r>
        <w:rPr>
          <w:rFonts w:hint="eastAsia" w:ascii="方正小标宋简体" w:hAnsi="黑体" w:eastAsia="方正小标宋简体"/>
          <w:sz w:val="44"/>
          <w:szCs w:val="44"/>
          <w:highlight w:val="none"/>
          <w:lang w:val="en-US" w:eastAsia="zh-CN"/>
        </w:rPr>
        <w:t>九寨沟县妇女联合会</w:t>
      </w:r>
      <w:r>
        <w:rPr>
          <w:rFonts w:hint="eastAsia" w:ascii="方正小标宋简体" w:hAnsi="黑体" w:eastAsia="方正小标宋简体"/>
          <w:sz w:val="44"/>
          <w:szCs w:val="44"/>
          <w:highlight w:val="none"/>
        </w:rPr>
        <w:t>概况</w:t>
      </w:r>
    </w:p>
    <w:p>
      <w:pPr>
        <w:ind w:firstLine="643" w:firstLineChars="200"/>
        <w:rPr>
          <w:rFonts w:ascii="仿宋_GB2312" w:hAnsi="Times New Roman" w:eastAsia="仿宋_GB2312" w:cs="Times New Roman"/>
          <w:sz w:val="32"/>
          <w:szCs w:val="32"/>
          <w:shd w:val="clear" w:color="auto" w:fill="FFFFFF"/>
        </w:rPr>
      </w:pPr>
      <w:r>
        <w:rPr>
          <w:rFonts w:hint="eastAsia" w:ascii="仿宋_GB2312" w:hAnsi="Times New Roman" w:eastAsia="仿宋_GB2312" w:cs="Times New Roman"/>
          <w:b/>
          <w:bCs/>
          <w:sz w:val="32"/>
          <w:szCs w:val="32"/>
          <w:shd w:val="clear" w:color="auto" w:fill="FFFFFF"/>
        </w:rPr>
        <w:t>一、基本职能及主要工作</w:t>
      </w:r>
    </w:p>
    <w:p>
      <w:pPr>
        <w:spacing w:line="57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妇联是党联系妇女群众的桥梁和纽带，根据党的中心任务，指导各级妇联依据《中华全国妇女联合会章程》和妇女代表大会的决议开展妇女儿童工作。代表妇女参与国家和社会事务的民主管理、民主监督，促进妇女参政，参与有关妇女儿童法律、法规和地方性规章的制定，推进“两法”、“两纲”的实施，调查研究我县妇女儿童的情况、问题，维护妇女儿童合法权益。承担县政府妇女儿童工作委员会日常工作。承办县委、县政府交办的其他事项。</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 xml:space="preserve"> 一、基本思路</w:t>
      </w:r>
    </w:p>
    <w:p>
      <w:pPr>
        <w:widowControl w:val="0"/>
        <w:spacing w:after="0" w:line="576" w:lineRule="exact"/>
        <w:ind w:firstLine="640" w:firstLineChars="20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坚持以习近平新时代中国特色社会主义思想为指导，全面贯彻落实党的十九大和十九届二中、三中全会精神，围绕统筹推进“五位一体”总体布局，协调推进“四个全面”战略布局，坚持新发展理念，坚持推动高质量发展。围绕《四川省贯彻落实&lt;全国妇联关于深化妇联组织建设改革实施“破难行动”的意见&gt;》的相关要求，在重点领域、关键环节和重大问题开展规划编制和谋化明年工作，进一步理清思路，明确发展方向，完善妇联主体功能和职责推妇女工作协调全面发展，科学提出“十四五”时期我县妇联工作的基本思路、战略重点、目标任务和明年的中心工作。</w:t>
      </w:r>
    </w:p>
    <w:p>
      <w:pPr>
        <w:spacing w:line="576"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bCs/>
          <w:sz w:val="32"/>
          <w:szCs w:val="32"/>
          <w:lang w:val="en-US" w:eastAsia="zh-CN"/>
        </w:rPr>
        <w:t xml:space="preserve"> </w:t>
      </w:r>
      <w:r>
        <w:rPr>
          <w:rFonts w:hint="eastAsia" w:ascii="黑体" w:hAnsi="黑体" w:eastAsia="黑体" w:cs="黑体"/>
          <w:sz w:val="32"/>
          <w:szCs w:val="32"/>
        </w:rPr>
        <w:t xml:space="preserve"> 二、重点工作</w:t>
      </w:r>
    </w:p>
    <w:p>
      <w:pPr>
        <w:keepNext w:val="0"/>
        <w:keepLines w:val="0"/>
        <w:pageBreakBefore w:val="0"/>
        <w:widowControl w:val="0"/>
        <w:numPr>
          <w:ilvl w:val="0"/>
          <w:numId w:val="0"/>
        </w:numPr>
        <w:kinsoku/>
        <w:wordWrap/>
        <w:overflowPunct/>
        <w:topLinePunct/>
        <w:autoSpaceDE w:val="0"/>
        <w:autoSpaceDN w:val="0"/>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Times New Roman" w:hAnsi="Times New Roman" w:eastAsia="黑体" w:cs="Times New Roman"/>
          <w:color w:val="auto"/>
          <w:sz w:val="32"/>
          <w:szCs w:val="32"/>
          <w:lang w:val="en-US" w:eastAsia="zh-CN"/>
        </w:rPr>
        <w:t>一、</w:t>
      </w:r>
      <w:r>
        <w:rPr>
          <w:rFonts w:hint="eastAsia" w:ascii="Calibri" w:hAnsi="Calibri" w:eastAsia="黑体" w:cs="Times New Roman"/>
          <w:color w:val="auto"/>
          <w:sz w:val="32"/>
          <w:szCs w:val="32"/>
          <w:lang w:val="en-US" w:eastAsia="zh-CN"/>
        </w:rPr>
        <w:t>强化思想引领</w:t>
      </w:r>
      <w:r>
        <w:rPr>
          <w:rFonts w:hint="default" w:ascii="Times New Roman" w:hAnsi="Times New Roman" w:eastAsia="黑体" w:cs="Times New Roman"/>
          <w:color w:val="auto"/>
          <w:sz w:val="32"/>
          <w:szCs w:val="32"/>
          <w:lang w:val="en-US" w:eastAsia="zh-CN"/>
        </w:rPr>
        <w:t>，深化巾帼大宣讲</w:t>
      </w:r>
    </w:p>
    <w:p>
      <w:pPr>
        <w:widowControl w:val="0"/>
        <w:spacing w:after="0" w:line="576" w:lineRule="exact"/>
        <w:ind w:firstLine="640" w:firstLineChars="200"/>
        <w:jc w:val="both"/>
        <w:rPr>
          <w:rFonts w:hint="default" w:ascii="仿宋_GB2312" w:hAnsi="仿宋_GB2312" w:eastAsia="仿宋_GB2312" w:cs="仿宋_GB2312"/>
          <w:color w:val="000000"/>
          <w:kern w:val="2"/>
          <w:sz w:val="32"/>
          <w:szCs w:val="32"/>
          <w:shd w:val="clear" w:color="auto" w:fill="FFFFFF"/>
          <w:lang w:val="en-US" w:eastAsia="zh-CN" w:bidi="ar-SA"/>
        </w:rPr>
      </w:pPr>
      <w:r>
        <w:rPr>
          <w:rFonts w:hint="default" w:ascii="仿宋_GB2312" w:hAnsi="仿宋_GB2312" w:eastAsia="仿宋_GB2312" w:cs="仿宋_GB2312"/>
          <w:color w:val="000000"/>
          <w:kern w:val="2"/>
          <w:sz w:val="32"/>
          <w:szCs w:val="32"/>
          <w:shd w:val="clear" w:color="auto" w:fill="FFFFFF"/>
          <w:lang w:val="en-US" w:eastAsia="zh-CN" w:bidi="ar-SA"/>
        </w:rPr>
        <w:t>聚焦“巾帼心向党·</w:t>
      </w:r>
      <w:r>
        <w:rPr>
          <w:rFonts w:hint="eastAsia" w:ascii="仿宋_GB2312" w:hAnsi="仿宋_GB2312" w:eastAsia="仿宋_GB2312" w:cs="仿宋_GB2312"/>
          <w:color w:val="000000"/>
          <w:kern w:val="2"/>
          <w:sz w:val="32"/>
          <w:szCs w:val="32"/>
          <w:shd w:val="clear" w:color="auto" w:fill="FFFFFF"/>
          <w:lang w:val="en-US" w:eastAsia="zh-CN" w:bidi="ar-SA"/>
        </w:rPr>
        <w:t>建功新时代</w:t>
      </w:r>
      <w:r>
        <w:rPr>
          <w:rFonts w:hint="default" w:ascii="仿宋_GB2312" w:hAnsi="仿宋_GB2312" w:eastAsia="仿宋_GB2312" w:cs="仿宋_GB2312"/>
          <w:color w:val="000000"/>
          <w:kern w:val="2"/>
          <w:sz w:val="32"/>
          <w:szCs w:val="32"/>
          <w:shd w:val="clear" w:color="auto" w:fill="FFFFFF"/>
          <w:lang w:val="en-US" w:eastAsia="zh-CN" w:bidi="ar-SA"/>
        </w:rPr>
        <w:t>”主题</w:t>
      </w:r>
      <w:r>
        <w:rPr>
          <w:rFonts w:hint="eastAsia" w:ascii="仿宋_GB2312" w:hAnsi="仿宋_GB2312" w:eastAsia="仿宋_GB2312" w:cs="仿宋_GB2312"/>
          <w:color w:val="000000"/>
          <w:kern w:val="2"/>
          <w:sz w:val="32"/>
          <w:szCs w:val="32"/>
          <w:shd w:val="clear" w:color="auto" w:fill="FFFFFF"/>
          <w:lang w:val="en-US" w:eastAsia="zh-CN" w:bidi="ar-SA"/>
        </w:rPr>
        <w:t>，</w:t>
      </w:r>
      <w:r>
        <w:rPr>
          <w:rFonts w:hint="default" w:ascii="仿宋_GB2312" w:hAnsi="仿宋_GB2312" w:eastAsia="仿宋_GB2312" w:cs="仿宋_GB2312"/>
          <w:color w:val="000000"/>
          <w:kern w:val="2"/>
          <w:sz w:val="32"/>
          <w:szCs w:val="32"/>
          <w:shd w:val="clear" w:color="auto" w:fill="FFFFFF"/>
          <w:lang w:val="en-US" w:eastAsia="zh-CN" w:bidi="ar-SA"/>
        </w:rPr>
        <w:t>深化拓展“1+12”体系九寨采花巾帼宣讲内容，开展</w:t>
      </w:r>
      <w:r>
        <w:rPr>
          <w:rFonts w:hint="eastAsia" w:ascii="仿宋_GB2312" w:hAnsi="仿宋_GB2312" w:eastAsia="仿宋_GB2312" w:cs="仿宋_GB2312"/>
          <w:color w:val="000000"/>
          <w:kern w:val="2"/>
          <w:sz w:val="32"/>
          <w:szCs w:val="32"/>
          <w:shd w:val="clear" w:color="auto" w:fill="FFFFFF"/>
          <w:lang w:val="en-US" w:eastAsia="zh-CN" w:bidi="ar-SA"/>
        </w:rPr>
        <w:t>二十大精神学习宣传</w:t>
      </w:r>
      <w:r>
        <w:rPr>
          <w:rFonts w:hint="default" w:ascii="仿宋_GB2312" w:hAnsi="仿宋_GB2312" w:eastAsia="仿宋_GB2312" w:cs="仿宋_GB2312"/>
          <w:color w:val="000000"/>
          <w:kern w:val="2"/>
          <w:sz w:val="32"/>
          <w:szCs w:val="32"/>
          <w:shd w:val="clear" w:color="auto" w:fill="FFFFFF"/>
          <w:lang w:val="en-US" w:eastAsia="zh-CN" w:bidi="ar-SA"/>
        </w:rPr>
        <w:t>大宣讲活动，在广大妇女中进一步唱响爱党爱国爱社会主义的时代主旋律，凝聚起建功“十四五”、奋斗新征程的巾帼力量。</w:t>
      </w:r>
    </w:p>
    <w:p>
      <w:pPr>
        <w:keepNext w:val="0"/>
        <w:keepLines w:val="0"/>
        <w:pageBreakBefore w:val="0"/>
        <w:widowControl w:val="0"/>
        <w:numPr>
          <w:ilvl w:val="0"/>
          <w:numId w:val="0"/>
        </w:numPr>
        <w:kinsoku/>
        <w:wordWrap/>
        <w:overflowPunct/>
        <w:topLinePunct/>
        <w:autoSpaceDE w:val="0"/>
        <w:autoSpaceDN w:val="0"/>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二、</w:t>
      </w:r>
      <w:r>
        <w:rPr>
          <w:rFonts w:hint="default" w:ascii="Times New Roman" w:hAnsi="Times New Roman" w:eastAsia="黑体" w:cs="Times New Roman"/>
          <w:color w:val="auto"/>
          <w:sz w:val="32"/>
          <w:szCs w:val="32"/>
          <w:lang w:val="en-US" w:eastAsia="zh-CN"/>
        </w:rPr>
        <w:t>补齐组织覆盖短板</w:t>
      </w:r>
      <w:r>
        <w:rPr>
          <w:rFonts w:hint="eastAsia" w:ascii="Times New Roman" w:hAnsi="Times New Roman" w:eastAsia="黑体" w:cs="Times New Roman"/>
          <w:color w:val="auto"/>
          <w:sz w:val="32"/>
          <w:szCs w:val="32"/>
          <w:lang w:val="en-US" w:eastAsia="zh-CN"/>
        </w:rPr>
        <w:t>，铸牢</w:t>
      </w:r>
      <w:r>
        <w:rPr>
          <w:rFonts w:hint="default" w:ascii="Times New Roman" w:hAnsi="Times New Roman" w:eastAsia="黑体" w:cs="Times New Roman"/>
          <w:color w:val="auto"/>
          <w:sz w:val="32"/>
          <w:szCs w:val="32"/>
          <w:lang w:val="en-US" w:eastAsia="zh-CN"/>
        </w:rPr>
        <w:t>基层</w:t>
      </w:r>
      <w:r>
        <w:rPr>
          <w:rFonts w:hint="eastAsia" w:ascii="Times New Roman" w:hAnsi="Times New Roman" w:eastAsia="黑体" w:cs="Times New Roman"/>
          <w:color w:val="auto"/>
          <w:sz w:val="32"/>
          <w:szCs w:val="32"/>
          <w:lang w:val="en-US" w:eastAsia="zh-CN"/>
        </w:rPr>
        <w:t>精神</w:t>
      </w:r>
      <w:r>
        <w:rPr>
          <w:rFonts w:hint="default" w:ascii="Times New Roman" w:hAnsi="Times New Roman" w:eastAsia="黑体" w:cs="Times New Roman"/>
          <w:color w:val="auto"/>
          <w:sz w:val="32"/>
          <w:szCs w:val="32"/>
          <w:lang w:val="en-US" w:eastAsia="zh-CN"/>
        </w:rPr>
        <w:t>基础</w:t>
      </w:r>
    </w:p>
    <w:p>
      <w:pPr>
        <w:widowControl w:val="0"/>
        <w:spacing w:after="0" w:line="576" w:lineRule="exact"/>
        <w:ind w:firstLine="640" w:firstLineChars="200"/>
        <w:jc w:val="both"/>
        <w:rPr>
          <w:rFonts w:hint="default" w:ascii="仿宋_GB2312" w:hAnsi="仿宋_GB2312" w:eastAsia="仿宋_GB2312" w:cs="仿宋_GB2312"/>
          <w:color w:val="000000"/>
          <w:kern w:val="2"/>
          <w:sz w:val="32"/>
          <w:szCs w:val="32"/>
          <w:shd w:val="clear" w:color="auto" w:fill="FFFFFF"/>
          <w:lang w:val="en-US" w:eastAsia="zh-CN" w:bidi="ar-SA"/>
        </w:rPr>
      </w:pPr>
      <w:r>
        <w:rPr>
          <w:rFonts w:hint="default" w:ascii="仿宋_GB2312" w:hAnsi="仿宋_GB2312" w:eastAsia="仿宋_GB2312" w:cs="仿宋_GB2312"/>
          <w:color w:val="000000"/>
          <w:kern w:val="2"/>
          <w:sz w:val="32"/>
          <w:szCs w:val="32"/>
          <w:shd w:val="clear" w:color="auto" w:fill="FFFFFF"/>
          <w:lang w:val="en-US" w:eastAsia="zh-CN" w:bidi="ar-SA"/>
        </w:rPr>
        <w:t>持续推进新经济组织、新社会组织等领域应建尽建妇女组织。严格落实《妇女联合会团体会员工作条例》，持续壮大团体会员力量，注重将女科技工作者、女医务工作者等重点群体协会吸纳为团体会员</w:t>
      </w:r>
      <w:r>
        <w:rPr>
          <w:rFonts w:hint="eastAsia" w:ascii="仿宋_GB2312" w:hAnsi="仿宋_GB2312" w:eastAsia="仿宋_GB2312" w:cs="仿宋_GB2312"/>
          <w:color w:val="000000"/>
          <w:kern w:val="2"/>
          <w:sz w:val="32"/>
          <w:szCs w:val="32"/>
          <w:shd w:val="clear" w:color="auto" w:fill="FFFFFF"/>
          <w:lang w:val="en-US" w:eastAsia="zh-CN" w:bidi="ar-SA"/>
        </w:rPr>
        <w:t>。</w:t>
      </w:r>
    </w:p>
    <w:p>
      <w:pPr>
        <w:keepNext w:val="0"/>
        <w:keepLines w:val="0"/>
        <w:pageBreakBefore w:val="0"/>
        <w:widowControl w:val="0"/>
        <w:numPr>
          <w:ilvl w:val="0"/>
          <w:numId w:val="0"/>
        </w:numPr>
        <w:kinsoku/>
        <w:wordWrap/>
        <w:overflowPunct/>
        <w:topLinePunct/>
        <w:autoSpaceDE w:val="0"/>
        <w:autoSpaceDN w:val="0"/>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三、聚焦优质服务，</w:t>
      </w:r>
      <w:r>
        <w:rPr>
          <w:rFonts w:hint="default" w:ascii="Times New Roman" w:hAnsi="Times New Roman" w:eastAsia="黑体" w:cs="Times New Roman"/>
          <w:color w:val="auto"/>
          <w:sz w:val="32"/>
          <w:szCs w:val="32"/>
          <w:lang w:val="en-US" w:eastAsia="zh-CN"/>
        </w:rPr>
        <w:t>强化责</w:t>
      </w:r>
      <w:r>
        <w:rPr>
          <w:rFonts w:hint="eastAsia" w:ascii="Calibri" w:hAnsi="Calibri" w:eastAsia="黑体" w:cs="Times New Roman"/>
          <w:color w:val="auto"/>
          <w:sz w:val="32"/>
          <w:szCs w:val="32"/>
          <w:lang w:val="en-US" w:eastAsia="zh-CN"/>
        </w:rPr>
        <w:t>任</w:t>
      </w:r>
      <w:r>
        <w:rPr>
          <w:rFonts w:hint="default" w:ascii="Times New Roman" w:hAnsi="Times New Roman" w:eastAsia="黑体" w:cs="Times New Roman"/>
          <w:color w:val="auto"/>
          <w:sz w:val="32"/>
          <w:szCs w:val="32"/>
          <w:lang w:val="en-US" w:eastAsia="zh-CN"/>
        </w:rPr>
        <w:t>促发展</w:t>
      </w:r>
    </w:p>
    <w:p>
      <w:pPr>
        <w:widowControl w:val="0"/>
        <w:spacing w:after="0" w:line="576" w:lineRule="exact"/>
        <w:ind w:firstLine="640" w:firstLineChars="200"/>
        <w:jc w:val="both"/>
        <w:rPr>
          <w:rFonts w:hint="default" w:ascii="仿宋_GB2312" w:hAnsi="仿宋_GB2312" w:eastAsia="仿宋_GB2312" w:cs="仿宋_GB2312"/>
          <w:color w:val="000000"/>
          <w:kern w:val="2"/>
          <w:sz w:val="32"/>
          <w:szCs w:val="32"/>
          <w:shd w:val="clear" w:color="auto" w:fill="FFFFFF"/>
          <w:lang w:val="en-US" w:eastAsia="zh-CN" w:bidi="ar-SA"/>
        </w:rPr>
      </w:pPr>
      <w:r>
        <w:rPr>
          <w:rFonts w:hint="default" w:ascii="仿宋_GB2312" w:hAnsi="仿宋_GB2312" w:eastAsia="仿宋_GB2312" w:cs="仿宋_GB2312"/>
          <w:color w:val="000000"/>
          <w:kern w:val="2"/>
          <w:sz w:val="32"/>
          <w:szCs w:val="32"/>
          <w:shd w:val="clear" w:color="auto" w:fill="FFFFFF"/>
          <w:lang w:val="en-US" w:eastAsia="zh-CN" w:bidi="ar-SA"/>
        </w:rPr>
        <w:t>持续开展“乡村振兴巾帼行动”，配合党委政府做好低收入妇女和脱贫妇女防返贫动态监测和帮扶工作，巩固拓展脱贫成果</w:t>
      </w:r>
      <w:r>
        <w:rPr>
          <w:rFonts w:hint="eastAsia" w:ascii="仿宋_GB2312" w:hAnsi="仿宋_GB2312" w:eastAsia="仿宋_GB2312" w:cs="仿宋_GB2312"/>
          <w:color w:val="000000"/>
          <w:kern w:val="2"/>
          <w:sz w:val="32"/>
          <w:szCs w:val="32"/>
          <w:shd w:val="clear" w:color="auto" w:fill="FFFFFF"/>
          <w:lang w:val="en-US" w:eastAsia="zh-CN" w:bidi="ar-SA"/>
        </w:rPr>
        <w:t>；</w:t>
      </w:r>
      <w:r>
        <w:rPr>
          <w:rFonts w:hint="default" w:ascii="仿宋_GB2312" w:hAnsi="仿宋_GB2312" w:eastAsia="仿宋_GB2312" w:cs="仿宋_GB2312"/>
          <w:color w:val="000000"/>
          <w:kern w:val="2"/>
          <w:sz w:val="32"/>
          <w:szCs w:val="32"/>
          <w:shd w:val="clear" w:color="auto" w:fill="FFFFFF"/>
          <w:lang w:val="en-US" w:eastAsia="zh-CN" w:bidi="ar-SA"/>
        </w:rPr>
        <w:t>深化居家灵活就业扶持工作</w:t>
      </w:r>
      <w:r>
        <w:rPr>
          <w:rFonts w:hint="eastAsia" w:ascii="仿宋_GB2312" w:hAnsi="仿宋_GB2312" w:eastAsia="仿宋_GB2312" w:cs="仿宋_GB2312"/>
          <w:color w:val="000000"/>
          <w:kern w:val="2"/>
          <w:sz w:val="32"/>
          <w:szCs w:val="32"/>
          <w:shd w:val="clear" w:color="auto" w:fill="FFFFFF"/>
          <w:lang w:val="en-US" w:eastAsia="zh-CN" w:bidi="ar-SA"/>
        </w:rPr>
        <w:t>；</w:t>
      </w:r>
      <w:r>
        <w:rPr>
          <w:rFonts w:hint="default" w:ascii="仿宋_GB2312" w:hAnsi="仿宋_GB2312" w:eastAsia="仿宋_GB2312" w:cs="仿宋_GB2312"/>
          <w:color w:val="000000"/>
          <w:kern w:val="2"/>
          <w:sz w:val="32"/>
          <w:szCs w:val="32"/>
          <w:shd w:val="clear" w:color="auto" w:fill="FFFFFF"/>
          <w:lang w:val="en-US" w:eastAsia="zh-CN" w:bidi="ar-SA"/>
        </w:rPr>
        <w:t>以</w:t>
      </w:r>
      <w:r>
        <w:rPr>
          <w:rFonts w:hint="eastAsia" w:ascii="仿宋_GB2312" w:hAnsi="仿宋_GB2312" w:eastAsia="仿宋_GB2312" w:cs="仿宋_GB2312"/>
          <w:color w:val="000000"/>
          <w:kern w:val="2"/>
          <w:sz w:val="32"/>
          <w:szCs w:val="32"/>
          <w:shd w:val="clear" w:color="auto" w:fill="FFFFFF"/>
          <w:lang w:val="en-US" w:eastAsia="zh-CN" w:bidi="ar-SA"/>
        </w:rPr>
        <w:t>《九寨沟县妇女发展纲要（</w:t>
      </w:r>
      <w:r>
        <w:rPr>
          <w:rFonts w:hint="default" w:ascii="仿宋_GB2312" w:hAnsi="仿宋_GB2312" w:eastAsia="仿宋_GB2312" w:cs="仿宋_GB2312"/>
          <w:color w:val="000000"/>
          <w:kern w:val="2"/>
          <w:sz w:val="32"/>
          <w:szCs w:val="32"/>
          <w:shd w:val="clear" w:color="auto" w:fill="FFFFFF"/>
          <w:lang w:val="en-US" w:eastAsia="zh-CN" w:bidi="ar-SA"/>
        </w:rPr>
        <w:t>2021-2030</w:t>
      </w:r>
      <w:r>
        <w:rPr>
          <w:rFonts w:hint="eastAsia" w:ascii="仿宋_GB2312" w:hAnsi="仿宋_GB2312" w:eastAsia="仿宋_GB2312" w:cs="仿宋_GB2312"/>
          <w:color w:val="000000"/>
          <w:kern w:val="2"/>
          <w:sz w:val="32"/>
          <w:szCs w:val="32"/>
          <w:shd w:val="clear" w:color="auto" w:fill="FFFFFF"/>
          <w:lang w:val="en-US" w:eastAsia="zh-CN" w:bidi="ar-SA"/>
        </w:rPr>
        <w:t>）（送审稿）》《九寨沟县儿童发展纲要（</w:t>
      </w:r>
      <w:r>
        <w:rPr>
          <w:rFonts w:hint="default" w:ascii="仿宋_GB2312" w:hAnsi="仿宋_GB2312" w:eastAsia="仿宋_GB2312" w:cs="仿宋_GB2312"/>
          <w:color w:val="000000"/>
          <w:kern w:val="2"/>
          <w:sz w:val="32"/>
          <w:szCs w:val="32"/>
          <w:shd w:val="clear" w:color="auto" w:fill="FFFFFF"/>
          <w:lang w:val="en-US" w:eastAsia="zh-CN" w:bidi="ar-SA"/>
        </w:rPr>
        <w:t>2021-2030</w:t>
      </w:r>
      <w:r>
        <w:rPr>
          <w:rFonts w:hint="eastAsia" w:ascii="仿宋_GB2312" w:hAnsi="仿宋_GB2312" w:eastAsia="仿宋_GB2312" w:cs="仿宋_GB2312"/>
          <w:color w:val="000000"/>
          <w:kern w:val="2"/>
          <w:sz w:val="32"/>
          <w:szCs w:val="32"/>
          <w:shd w:val="clear" w:color="auto" w:fill="FFFFFF"/>
          <w:lang w:val="en-US" w:eastAsia="zh-CN" w:bidi="ar-SA"/>
        </w:rPr>
        <w:t>）</w:t>
      </w:r>
      <w:r>
        <w:rPr>
          <w:rFonts w:hint="default" w:ascii="仿宋_GB2312" w:hAnsi="仿宋_GB2312" w:eastAsia="仿宋_GB2312" w:cs="仿宋_GB2312"/>
          <w:color w:val="000000"/>
          <w:kern w:val="2"/>
          <w:sz w:val="32"/>
          <w:szCs w:val="32"/>
          <w:shd w:val="clear" w:color="auto" w:fill="FFFFFF"/>
          <w:lang w:val="en-US" w:eastAsia="zh-CN" w:bidi="ar-SA"/>
        </w:rPr>
        <w:t>为指引，</w:t>
      </w:r>
      <w:r>
        <w:rPr>
          <w:rFonts w:hint="eastAsia" w:ascii="仿宋_GB2312" w:hAnsi="仿宋_GB2312" w:eastAsia="仿宋_GB2312" w:cs="仿宋_GB2312"/>
          <w:color w:val="000000"/>
          <w:kern w:val="2"/>
          <w:sz w:val="32"/>
          <w:szCs w:val="32"/>
          <w:shd w:val="clear" w:color="auto" w:fill="FFFFFF"/>
          <w:lang w:val="en-US" w:eastAsia="zh-CN" w:bidi="ar-SA"/>
        </w:rPr>
        <w:t>持续推进</w:t>
      </w:r>
      <w:r>
        <w:rPr>
          <w:rFonts w:hint="default" w:ascii="仿宋_GB2312" w:hAnsi="仿宋_GB2312" w:eastAsia="仿宋_GB2312" w:cs="仿宋_GB2312"/>
          <w:color w:val="000000"/>
          <w:kern w:val="2"/>
          <w:sz w:val="32"/>
          <w:szCs w:val="32"/>
          <w:shd w:val="clear" w:color="auto" w:fill="FFFFFF"/>
          <w:lang w:val="en-US" w:eastAsia="zh-CN" w:bidi="ar-SA"/>
        </w:rPr>
        <w:t>“乡村振兴巾帼人才培养计划”</w:t>
      </w:r>
      <w:r>
        <w:rPr>
          <w:rFonts w:hint="eastAsia" w:ascii="仿宋_GB2312" w:hAnsi="仿宋_GB2312" w:eastAsia="仿宋_GB2312" w:cs="仿宋_GB2312"/>
          <w:color w:val="000000"/>
          <w:kern w:val="2"/>
          <w:sz w:val="32"/>
          <w:szCs w:val="32"/>
          <w:shd w:val="clear" w:color="auto" w:fill="FFFFFF"/>
          <w:lang w:val="en-US" w:eastAsia="zh-CN" w:bidi="ar-SA"/>
        </w:rPr>
        <w:t>和</w:t>
      </w:r>
      <w:r>
        <w:rPr>
          <w:rFonts w:hint="default" w:ascii="仿宋_GB2312" w:hAnsi="仿宋_GB2312" w:eastAsia="仿宋_GB2312" w:cs="仿宋_GB2312"/>
          <w:color w:val="000000"/>
          <w:kern w:val="2"/>
          <w:sz w:val="32"/>
          <w:szCs w:val="32"/>
          <w:shd w:val="clear" w:color="auto" w:fill="FFFFFF"/>
          <w:lang w:val="en-US" w:eastAsia="zh-CN" w:bidi="ar-SA"/>
        </w:rPr>
        <w:t>多举措助力</w:t>
      </w:r>
      <w:r>
        <w:rPr>
          <w:rFonts w:hint="eastAsia" w:ascii="仿宋_GB2312" w:hAnsi="仿宋_GB2312" w:eastAsia="仿宋_GB2312" w:cs="仿宋_GB2312"/>
          <w:color w:val="000000"/>
          <w:kern w:val="2"/>
          <w:sz w:val="32"/>
          <w:szCs w:val="32"/>
          <w:shd w:val="clear" w:color="auto" w:fill="FFFFFF"/>
          <w:lang w:val="en-US" w:eastAsia="zh-CN" w:bidi="ar-SA"/>
        </w:rPr>
        <w:t>妇女创业就业工作。</w:t>
      </w:r>
      <w:r>
        <w:rPr>
          <w:rFonts w:hint="default" w:ascii="仿宋_GB2312" w:hAnsi="仿宋_GB2312" w:eastAsia="仿宋_GB2312" w:cs="仿宋_GB2312"/>
          <w:color w:val="000000"/>
          <w:kern w:val="2"/>
          <w:sz w:val="32"/>
          <w:szCs w:val="32"/>
          <w:shd w:val="clear" w:color="auto" w:fill="FFFFFF"/>
          <w:lang w:val="en-US" w:eastAsia="zh-CN" w:bidi="ar-SA"/>
        </w:rPr>
        <w:t>继续争取上级妇联支持，扎实做好“两癌”患病妇女筛查、低收入“两癌”患病妇女救助和村（社区）患大病妇女救助工作，严把救助人员审核关，做实女农民工关爱工作。</w:t>
      </w:r>
    </w:p>
    <w:p>
      <w:pPr>
        <w:keepNext w:val="0"/>
        <w:keepLines w:val="0"/>
        <w:pageBreakBefore w:val="0"/>
        <w:numPr>
          <w:ilvl w:val="0"/>
          <w:numId w:val="0"/>
        </w:numPr>
        <w:kinsoku/>
        <w:wordWrap/>
        <w:overflowPunct/>
        <w:topLinePunct/>
        <w:autoSpaceDE w:val="0"/>
        <w:autoSpaceDN w:val="0"/>
        <w:bidi w:val="0"/>
        <w:spacing w:line="576" w:lineRule="exact"/>
        <w:ind w:left="0" w:leftChars="0" w:right="0" w:rightChars="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 xml:space="preserve">    </w:t>
      </w:r>
      <w:r>
        <w:rPr>
          <w:rFonts w:hint="eastAsia" w:ascii="Calibri" w:hAnsi="Calibri"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lang w:val="en-US" w:eastAsia="zh-CN"/>
        </w:rPr>
        <w:t>四、</w:t>
      </w:r>
      <w:r>
        <w:rPr>
          <w:rFonts w:hint="eastAsia" w:ascii="Calibri" w:hAnsi="Calibri" w:eastAsia="黑体" w:cs="Times New Roman"/>
          <w:color w:val="auto"/>
          <w:sz w:val="32"/>
          <w:szCs w:val="32"/>
          <w:lang w:val="en-US" w:eastAsia="zh-CN"/>
        </w:rPr>
        <w:t>做好“家”字文章</w:t>
      </w:r>
      <w:r>
        <w:rPr>
          <w:rFonts w:hint="default" w:ascii="Times New Roman" w:hAnsi="Times New Roman" w:eastAsia="黑体" w:cs="Times New Roman"/>
          <w:color w:val="auto"/>
          <w:sz w:val="32"/>
          <w:szCs w:val="32"/>
        </w:rPr>
        <w:t>，</w:t>
      </w:r>
      <w:r>
        <w:rPr>
          <w:rFonts w:hint="eastAsia" w:ascii="Calibri" w:hAnsi="Calibri" w:eastAsia="黑体" w:cs="Times New Roman"/>
          <w:color w:val="auto"/>
          <w:sz w:val="32"/>
          <w:szCs w:val="32"/>
          <w:lang w:val="en-US" w:eastAsia="zh-CN"/>
        </w:rPr>
        <w:t>增强</w:t>
      </w:r>
      <w:r>
        <w:rPr>
          <w:rFonts w:hint="default" w:ascii="Times New Roman" w:hAnsi="Times New Roman" w:eastAsia="黑体" w:cs="Times New Roman"/>
          <w:color w:val="auto"/>
          <w:sz w:val="32"/>
          <w:szCs w:val="32"/>
          <w:lang w:val="en-US" w:eastAsia="zh-CN" w:bidi="ar-SA"/>
        </w:rPr>
        <w:t>家</w:t>
      </w:r>
      <w:r>
        <w:rPr>
          <w:rFonts w:hint="eastAsia" w:ascii="Calibri" w:hAnsi="Calibri" w:eastAsia="黑体" w:cs="Times New Roman"/>
          <w:color w:val="auto"/>
          <w:sz w:val="32"/>
          <w:szCs w:val="32"/>
          <w:lang w:val="en-US" w:eastAsia="zh-CN" w:bidi="ar-SA"/>
        </w:rPr>
        <w:t>庭建设</w:t>
      </w:r>
      <w:r>
        <w:rPr>
          <w:rFonts w:hint="default" w:ascii="Times New Roman" w:hAnsi="Times New Roman" w:eastAsia="黑体" w:cs="Times New Roman"/>
          <w:color w:val="auto"/>
          <w:sz w:val="32"/>
          <w:szCs w:val="32"/>
          <w:lang w:val="en-US" w:eastAsia="zh-CN"/>
        </w:rPr>
        <w:t>内涵</w:t>
      </w:r>
    </w:p>
    <w:p>
      <w:pPr>
        <w:widowControl w:val="0"/>
        <w:spacing w:after="0" w:line="576" w:lineRule="exact"/>
        <w:ind w:firstLine="640" w:firstLineChars="200"/>
        <w:jc w:val="both"/>
        <w:rPr>
          <w:rFonts w:hint="default" w:ascii="仿宋_GB2312" w:hAnsi="仿宋_GB2312" w:eastAsia="仿宋_GB2312" w:cs="仿宋_GB2312"/>
          <w:color w:val="000000"/>
          <w:kern w:val="2"/>
          <w:sz w:val="32"/>
          <w:szCs w:val="32"/>
          <w:shd w:val="clear" w:color="auto" w:fill="FFFFFF"/>
          <w:lang w:val="en-US" w:eastAsia="zh-CN" w:bidi="ar-SA"/>
        </w:rPr>
      </w:pPr>
      <w:r>
        <w:rPr>
          <w:rFonts w:hint="default" w:ascii="仿宋_GB2312" w:hAnsi="仿宋_GB2312" w:eastAsia="仿宋_GB2312" w:cs="仿宋_GB2312"/>
          <w:color w:val="000000"/>
          <w:kern w:val="2"/>
          <w:sz w:val="32"/>
          <w:szCs w:val="32"/>
          <w:shd w:val="clear" w:color="auto" w:fill="FFFFFF"/>
          <w:lang w:val="en-US" w:eastAsia="zh-CN" w:bidi="ar-SA"/>
        </w:rPr>
        <w:t>常态化开展寻找“最美家庭”活动，探索礼遇“最美家庭”“五好家庭”制度机制，联合县纪委开展“廉洁文化进家庭”活动，发挥榜样激励作用，以家庭文明促进社会文明。深化“好家风”传承巡讲巡展活动，让好家风更加贴近群众生活。编制出台《九寨沟县关于指导推进家庭教育五年规划（2021—2025年）》。常态化开展公益性家庭教育讲座，继续开展书香飘万家—家庭亲子诵读活动。</w:t>
      </w:r>
    </w:p>
    <w:p>
      <w:pPr>
        <w:keepNext w:val="0"/>
        <w:keepLines w:val="0"/>
        <w:pageBreakBefore w:val="0"/>
        <w:numPr>
          <w:ilvl w:val="0"/>
          <w:numId w:val="0"/>
        </w:numPr>
        <w:kinsoku/>
        <w:wordWrap/>
        <w:overflowPunct/>
        <w:topLinePunct/>
        <w:autoSpaceDE w:val="0"/>
        <w:autoSpaceDN w:val="0"/>
        <w:bidi w:val="0"/>
        <w:spacing w:line="576" w:lineRule="exact"/>
        <w:ind w:left="0" w:leftChars="0" w:right="0" w:rightChars="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 xml:space="preserve">   </w:t>
      </w:r>
      <w:r>
        <w:rPr>
          <w:rFonts w:hint="eastAsia" w:ascii="Calibri" w:hAnsi="Calibri" w:eastAsia="黑体" w:cs="Times New Roman"/>
          <w:color w:val="auto"/>
          <w:sz w:val="32"/>
          <w:szCs w:val="32"/>
          <w:lang w:val="en-US" w:eastAsia="zh-CN"/>
        </w:rPr>
        <w:t xml:space="preserve"> </w:t>
      </w:r>
      <w:r>
        <w:rPr>
          <w:rFonts w:hint="eastAsia" w:ascii="Times New Roman" w:hAnsi="Times New Roman" w:eastAsia="黑体" w:cs="Times New Roman"/>
          <w:color w:val="auto"/>
          <w:sz w:val="32"/>
          <w:szCs w:val="32"/>
          <w:lang w:val="en-US" w:eastAsia="zh-CN"/>
        </w:rPr>
        <w:t>五</w:t>
      </w:r>
      <w:r>
        <w:rPr>
          <w:rFonts w:hint="default" w:ascii="Times New Roman" w:hAnsi="Times New Roman" w:eastAsia="黑体" w:cs="Times New Roman"/>
          <w:color w:val="auto"/>
          <w:sz w:val="32"/>
          <w:szCs w:val="32"/>
          <w:lang w:val="en-US" w:eastAsia="zh-CN"/>
        </w:rPr>
        <w:t>、</w:t>
      </w:r>
      <w:r>
        <w:rPr>
          <w:rFonts w:hint="eastAsia" w:ascii="Calibri" w:hAnsi="Calibri" w:eastAsia="黑体" w:cs="Times New Roman"/>
          <w:color w:val="auto"/>
          <w:sz w:val="32"/>
          <w:szCs w:val="32"/>
          <w:lang w:val="en-US" w:eastAsia="zh-CN"/>
        </w:rPr>
        <w:t>加强维权队伍建设</w:t>
      </w:r>
      <w:r>
        <w:rPr>
          <w:rFonts w:hint="default" w:ascii="Times New Roman" w:hAnsi="Times New Roman" w:eastAsia="黑体" w:cs="Times New Roman"/>
          <w:color w:val="auto"/>
          <w:sz w:val="32"/>
          <w:szCs w:val="32"/>
        </w:rPr>
        <w:t>，</w:t>
      </w:r>
      <w:r>
        <w:rPr>
          <w:rFonts w:hint="eastAsia" w:ascii="Times New Roman" w:hAnsi="Times New Roman" w:eastAsia="黑体" w:cs="Times New Roman"/>
          <w:color w:val="auto"/>
          <w:sz w:val="32"/>
          <w:szCs w:val="32"/>
          <w:lang w:val="en-US" w:eastAsia="zh-CN"/>
        </w:rPr>
        <w:t>着力</w:t>
      </w:r>
      <w:r>
        <w:rPr>
          <w:rFonts w:hint="default" w:ascii="Times New Roman" w:hAnsi="Times New Roman" w:eastAsia="黑体" w:cs="Times New Roman"/>
          <w:color w:val="auto"/>
          <w:sz w:val="32"/>
          <w:szCs w:val="32"/>
          <w:lang w:val="en-US" w:eastAsia="zh-CN"/>
        </w:rPr>
        <w:t>解决维权重难点问题</w:t>
      </w:r>
    </w:p>
    <w:p>
      <w:pPr>
        <w:widowControl w:val="0"/>
        <w:spacing w:after="0" w:line="576" w:lineRule="exact"/>
        <w:ind w:firstLine="640" w:firstLineChars="200"/>
        <w:jc w:val="both"/>
        <w:rPr>
          <w:rFonts w:hint="eastAsia" w:ascii="仿宋_GB2312" w:hAnsi="仿宋_GB2312" w:eastAsia="仿宋_GB2312" w:cs="仿宋_GB2312"/>
          <w:color w:val="000000"/>
          <w:kern w:val="2"/>
          <w:sz w:val="32"/>
          <w:szCs w:val="32"/>
          <w:shd w:val="clear" w:color="auto" w:fill="FFFFFF"/>
          <w:lang w:val="en-US" w:eastAsia="zh-CN" w:bidi="ar-SA"/>
        </w:rPr>
      </w:pPr>
      <w:r>
        <w:rPr>
          <w:rFonts w:hint="default" w:ascii="仿宋_GB2312" w:hAnsi="仿宋_GB2312" w:eastAsia="仿宋_GB2312" w:cs="仿宋_GB2312"/>
          <w:color w:val="000000"/>
          <w:kern w:val="2"/>
          <w:sz w:val="32"/>
          <w:szCs w:val="32"/>
          <w:shd w:val="clear" w:color="auto" w:fill="FFFFFF"/>
          <w:lang w:val="en-US" w:eastAsia="zh-CN" w:bidi="ar-SA"/>
        </w:rPr>
        <w:t>联动政法、公安、检察、法院、司法和民政等部门，加强维权干部培训，整合用好各类资源，壮大专兼职维权工作队伍，不断提升维权服务意识和能力水平。形成风险联查、问题联治、舆情联对、工作联动、平安联创的工作机制，用温情服务和铮铮铁拳，努力打造妇女儿童维权工作的“九寨模式”。聚焦关注性侵、家暴、婚姻家庭纠纷、农村妇女土地权益、女性就业、精神残疾和智障女性等妇女儿童维权重点领域，密切关注新业态新就业群体中的妇女权益保护问题，持续落实好妇女儿童维权“五项机制”，联合有关部门进一步落实落细反家庭暴力八项措施、妇女儿童权益保护网格化服务管理、妇联组织接待处置性侵案件工作规程、推动健全党政主导的妇女儿童维权服务机制，下好“先手棋”、打好“主动仗”、弹好“协奏曲”，常态化开展婚姻家庭纠纷预防排查化解工作。</w:t>
      </w:r>
    </w:p>
    <w:p>
      <w:pPr>
        <w:widowControl w:val="0"/>
        <w:spacing w:after="0" w:line="576" w:lineRule="exact"/>
        <w:ind w:left="420" w:leftChars="200" w:firstLine="640" w:firstLineChars="200"/>
        <w:jc w:val="both"/>
        <w:rPr>
          <w:rFonts w:hint="eastAsia" w:ascii="仿宋_GB2312" w:hAnsi="仿宋_GB2312" w:eastAsia="仿宋_GB2312" w:cs="仿宋_GB2312"/>
          <w:color w:val="000000"/>
          <w:kern w:val="2"/>
          <w:sz w:val="32"/>
          <w:szCs w:val="32"/>
          <w:shd w:val="clear" w:color="auto" w:fill="FFFFFF"/>
          <w:lang w:val="en-US" w:eastAsia="zh-CN" w:bidi="ar-SA"/>
        </w:rPr>
      </w:pPr>
    </w:p>
    <w:p>
      <w:pPr>
        <w:widowControl w:val="0"/>
        <w:spacing w:after="0" w:line="576" w:lineRule="exact"/>
        <w:ind w:left="420" w:leftChars="200" w:firstLine="640" w:firstLineChars="200"/>
        <w:jc w:val="both"/>
        <w:rPr>
          <w:rFonts w:hint="eastAsia" w:ascii="仿宋_GB2312" w:hAnsi="仿宋_GB2312" w:eastAsia="仿宋_GB2312" w:cs="仿宋_GB2312"/>
          <w:color w:val="000000"/>
          <w:kern w:val="2"/>
          <w:sz w:val="32"/>
          <w:szCs w:val="32"/>
          <w:shd w:val="clear" w:color="auto" w:fill="FFFFFF"/>
          <w:lang w:val="en-US" w:eastAsia="zh-CN" w:bidi="ar-SA"/>
        </w:rPr>
      </w:pPr>
    </w:p>
    <w:p>
      <w:pPr>
        <w:widowControl w:val="0"/>
        <w:spacing w:after="0" w:line="576" w:lineRule="exact"/>
        <w:ind w:left="420" w:leftChars="200" w:firstLine="640" w:firstLineChars="200"/>
        <w:jc w:val="both"/>
        <w:rPr>
          <w:rFonts w:hint="eastAsia" w:ascii="仿宋_GB2312" w:hAnsi="仿宋_GB2312" w:eastAsia="仿宋_GB2312" w:cs="仿宋_GB2312"/>
          <w:color w:val="000000"/>
          <w:kern w:val="2"/>
          <w:sz w:val="32"/>
          <w:szCs w:val="32"/>
          <w:shd w:val="clear" w:color="auto" w:fill="FFFFFF"/>
          <w:lang w:val="en-US" w:eastAsia="zh-CN" w:bidi="ar-SA"/>
        </w:rPr>
      </w:pPr>
    </w:p>
    <w:p>
      <w:pPr>
        <w:widowControl w:val="0"/>
        <w:spacing w:after="0" w:line="576" w:lineRule="exact"/>
        <w:ind w:left="420" w:leftChars="200" w:firstLine="640" w:firstLineChars="200"/>
        <w:jc w:val="both"/>
        <w:rPr>
          <w:rFonts w:hint="eastAsia" w:ascii="仿宋_GB2312" w:hAnsi="仿宋_GB2312" w:eastAsia="仿宋_GB2312" w:cs="仿宋_GB2312"/>
          <w:color w:val="000000"/>
          <w:kern w:val="2"/>
          <w:sz w:val="32"/>
          <w:szCs w:val="32"/>
          <w:shd w:val="clear" w:color="auto" w:fill="FFFFFF"/>
          <w:lang w:val="en-US" w:eastAsia="zh-CN" w:bidi="ar-SA"/>
        </w:rPr>
      </w:pPr>
    </w:p>
    <w:p>
      <w:pPr>
        <w:jc w:val="both"/>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第二部分  </w:t>
      </w:r>
      <w:r>
        <w:rPr>
          <w:rFonts w:hint="eastAsia" w:ascii="方正小标宋简体" w:hAnsi="黑体" w:eastAsia="方正小标宋简体"/>
          <w:sz w:val="44"/>
          <w:szCs w:val="44"/>
          <w:highlight w:val="none"/>
          <w:lang w:val="en-US" w:eastAsia="zh-CN"/>
        </w:rPr>
        <w:t>县妇联</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6</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CN"/>
        </w:rPr>
        <w:t>部门预算</w:t>
      </w:r>
      <w:r>
        <w:rPr>
          <w:rFonts w:ascii="方正小标宋简体" w:hAnsi="黑体" w:eastAsia="方正小标宋简体"/>
          <w:sz w:val="44"/>
          <w:szCs w:val="44"/>
          <w:highlight w:val="none"/>
        </w:rPr>
        <w:t>表</w:t>
      </w:r>
    </w:p>
    <w:tbl>
      <w:tblPr>
        <w:tblStyle w:val="6"/>
        <w:tblpPr w:leftFromText="180" w:rightFromText="180" w:vertAnchor="text" w:horzAnchor="page" w:tblpX="1725" w:tblpY="456"/>
        <w:tblOverlap w:val="never"/>
        <w:tblW w:w="94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3"/>
        <w:gridCol w:w="3112"/>
        <w:gridCol w:w="1244"/>
        <w:gridCol w:w="3112"/>
        <w:gridCol w:w="17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11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4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11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74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9214"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24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11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46"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435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4858"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24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311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74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一、一般公共服务支出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二、外交支出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三、国防支出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四、事业收入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四、公共安全支出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五、事业单位经营收入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五、教育支出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六、其他收入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六、科学技术支出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七、文化旅游体育与传媒支出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八、社会保障和就业支出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九、社会保险基金支出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十、卫生健康支出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十一、节能环保支出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十二、城乡社区支出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十三、农林水支出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十四、交通运输支出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十五、资源勘探工业信息等支出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十六、商业服务业等支出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十七、金融支出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十八、援助其他地区支出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十九、自然资源海洋气象等支出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二十、住房保障支出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二十一、粮油物资储备支出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二十二、国有资本经营预算支出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二十三、灾害防治及应急管理支出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二十四、其他支出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二十五、债务还本支出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二十六、债务付息支出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二十七、债务发行费用支出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二十八、抗疫特别国债安排的支出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宋体" w:hAnsi="宋体" w:eastAsia="宋体" w:cs="宋体"/>
                <w:i w:val="0"/>
                <w:iCs w:val="0"/>
                <w:color w:val="000000"/>
                <w:kern w:val="0"/>
                <w:sz w:val="24"/>
                <w:szCs w:val="24"/>
                <w:u w:val="none"/>
                <w:lang w:val="en-US" w:eastAsia="zh-CN" w:bidi="ar"/>
              </w:rPr>
              <w:t>本 年 收 入 合 计</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69.68</w:t>
            </w: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宋体" w:hAnsi="宋体" w:eastAsia="宋体" w:cs="宋体"/>
                <w:i w:val="0"/>
                <w:iCs w:val="0"/>
                <w:color w:val="000000"/>
                <w:kern w:val="0"/>
                <w:sz w:val="24"/>
                <w:szCs w:val="24"/>
                <w:u w:val="none"/>
                <w:lang w:val="en-US" w:eastAsia="zh-CN" w:bidi="ar"/>
              </w:rPr>
              <w:t>本 年 支 出 合 计</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223" w:type="dxa"/>
            <w:tcBorders>
              <w:top w:val="single" w:color="FFFFFF" w:sz="4" w:space="0"/>
              <w:left w:val="single" w:color="FFFFFF" w:sz="4" w:space="0"/>
              <w:bottom w:val="single" w:color="FFFFFF" w:sz="4" w:space="0"/>
              <w:right w:val="nil"/>
            </w:tcBorders>
            <w:shd w:val="clear" w:color="auto" w:fill="auto"/>
            <w:vAlign w:val="center"/>
          </w:tcPr>
          <w:p>
            <w:pPr>
              <w:rPr>
                <w:rFonts w:hint="eastAsia" w:ascii="Hiragino Sans GB" w:hAnsi="Hiragino Sans GB" w:eastAsia="Hiragino Sans GB" w:cs="Hiragino Sans GB"/>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223" w:type="dxa"/>
            <w:tcBorders>
              <w:top w:val="single" w:color="FFFFFF" w:sz="4" w:space="0"/>
              <w:left w:val="single" w:color="FFFFFF" w:sz="4" w:space="0"/>
              <w:bottom w:val="single" w:color="FFFFFF" w:sz="4" w:space="0"/>
              <w:right w:val="nil"/>
            </w:tcBorders>
            <w:shd w:val="clear" w:color="auto" w:fill="auto"/>
            <w:vAlign w:val="center"/>
          </w:tcPr>
          <w:p>
            <w:pPr>
              <w:rPr>
                <w:rFonts w:hint="default" w:ascii="Hiragino Sans GB" w:hAnsi="Hiragino Sans GB" w:eastAsia="Hiragino Sans GB" w:cs="Hiragino Sans GB"/>
                <w:b/>
                <w:bCs/>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69.68</w:t>
            </w:r>
          </w:p>
        </w:tc>
        <w:tc>
          <w:tcPr>
            <w:tcW w:w="31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69.68</w:t>
            </w:r>
          </w:p>
        </w:tc>
      </w:tr>
    </w:tbl>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r>
        <w:rPr>
          <w:rFonts w:ascii="方正小标宋简体" w:hAnsi="黑体" w:eastAsia="方正小标宋简体"/>
          <w:sz w:val="44"/>
          <w:szCs w:val="44"/>
          <w:highlight w:val="none"/>
        </w:rPr>
        <w:br w:type="page"/>
      </w:r>
    </w:p>
    <w:p>
      <w:pPr>
        <w:rPr>
          <w:rFonts w:hint="default" w:ascii="仿宋_GB2312" w:hAnsi="黑体" w:eastAsia="仿宋_GB2312"/>
          <w:sz w:val="32"/>
          <w:szCs w:val="32"/>
          <w:highlight w:val="none"/>
          <w:lang w:eastAsia="zh-Hans"/>
        </w:rPr>
        <w:sectPr>
          <w:footerReference r:id="rId3" w:type="default"/>
          <w:pgSz w:w="11906" w:h="16838"/>
          <w:pgMar w:top="1440" w:right="1800" w:bottom="1440" w:left="180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902"/>
        <w:gridCol w:w="2288"/>
        <w:gridCol w:w="882"/>
        <w:gridCol w:w="873"/>
        <w:gridCol w:w="882"/>
        <w:gridCol w:w="873"/>
        <w:gridCol w:w="878"/>
        <w:gridCol w:w="878"/>
        <w:gridCol w:w="878"/>
        <w:gridCol w:w="878"/>
        <w:gridCol w:w="878"/>
        <w:gridCol w:w="878"/>
        <w:gridCol w:w="1756"/>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0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28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8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8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5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1968" w:type="dxa"/>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c>
          <w:tcPr>
            <w:tcW w:w="175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 xml:space="preserve"> </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02"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2288" w:type="dxa"/>
            <w:tcBorders>
              <w:top w:val="single" w:color="FFFFFF" w:sz="4" w:space="0"/>
              <w:left w:val="single" w:color="FFFFFF" w:sz="4" w:space="0"/>
              <w:bottom w:val="nil"/>
              <w:right w:val="single" w:color="FFFFFF" w:sz="4" w:space="0"/>
            </w:tcBorders>
            <w:shd w:val="clear" w:color="auto" w:fill="auto"/>
            <w:noWrap/>
            <w:vAlign w:val="center"/>
          </w:tcPr>
          <w:p/>
        </w:tc>
        <w:tc>
          <w:tcPr>
            <w:tcW w:w="88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73"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82"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3"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56"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22" w:type="dxa"/>
            <w:tcBorders>
              <w:top w:val="single" w:color="FFFFFF" w:sz="4" w:space="0"/>
              <w:left w:val="single" w:color="FFFFFF" w:sz="4" w:space="0"/>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190"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88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7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88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87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75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0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28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88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8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75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0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28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8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69.68</w:t>
            </w:r>
          </w:p>
        </w:tc>
        <w:tc>
          <w:tcPr>
            <w:tcW w:w="873"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69.68</w:t>
            </w:r>
          </w:p>
        </w:tc>
        <w:tc>
          <w:tcPr>
            <w:tcW w:w="873"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9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left"/>
              <w:rPr>
                <w:rFonts w:hint="eastAsia" w:ascii="宋体" w:hAnsi="宋体" w:eastAsia="宋体" w:cs="宋体"/>
                <w:b/>
                <w:bCs/>
                <w:i w:val="0"/>
                <w:iCs w:val="0"/>
                <w:color w:val="000000"/>
                <w:sz w:val="22"/>
                <w:szCs w:val="22"/>
                <w:u w:val="none"/>
              </w:rPr>
            </w:pPr>
          </w:p>
        </w:tc>
        <w:tc>
          <w:tcPr>
            <w:tcW w:w="228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left"/>
              <w:rPr>
                <w:rFonts w:hint="eastAsia" w:ascii="宋体" w:hAnsi="宋体" w:eastAsia="宋体" w:cs="宋体"/>
                <w:b/>
                <w:bCs/>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69.68</w:t>
            </w:r>
          </w:p>
        </w:tc>
        <w:tc>
          <w:tcPr>
            <w:tcW w:w="8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69.68</w:t>
            </w:r>
          </w:p>
        </w:tc>
        <w:tc>
          <w:tcPr>
            <w:tcW w:w="8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0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22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妇女联合会</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69.68</w:t>
            </w:r>
          </w:p>
        </w:tc>
        <w:tc>
          <w:tcPr>
            <w:tcW w:w="8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8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0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22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rPr>
                <w:rFonts w:hint="eastAsia" w:ascii="宋体" w:hAnsi="宋体" w:eastAsia="宋体" w:cs="宋体"/>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8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bl>
    <w:p>
      <w:pPr>
        <w:pStyle w:val="2"/>
        <w:ind w:left="0" w:leftChars="0" w:firstLine="0" w:firstLineChars="0"/>
        <w:rPr>
          <w:rFonts w:hint="default"/>
          <w:lang w:eastAsia="zh-Hans"/>
        </w:rPr>
        <w:sectPr>
          <w:pgSz w:w="16838" w:h="11906" w:orient="landscape"/>
          <w:pgMar w:top="1800" w:right="1440" w:bottom="1800" w:left="1440" w:header="851" w:footer="992" w:gutter="0"/>
          <w:cols w:space="425" w:num="1"/>
          <w:docGrid w:type="lines" w:linePitch="312" w:charSpace="0"/>
        </w:sectPr>
      </w:pPr>
    </w:p>
    <w:tbl>
      <w:tblPr>
        <w:tblStyle w:val="6"/>
        <w:tblW w:w="466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9"/>
        <w:gridCol w:w="712"/>
        <w:gridCol w:w="570"/>
        <w:gridCol w:w="1569"/>
        <w:gridCol w:w="1564"/>
        <w:gridCol w:w="3888"/>
        <w:gridCol w:w="1541"/>
        <w:gridCol w:w="1541"/>
        <w:gridCol w:w="15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8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851"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56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88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4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4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4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表1-2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28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926"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289"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303" w:type="dxa"/>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541"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541"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54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8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8303"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54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4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54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89"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851"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56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88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89"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12"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7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pPr>
            <w:r>
              <w:rPr>
                <w:rFonts w:hint="eastAsia" w:ascii="宋体" w:hAnsi="宋体" w:eastAsia="宋体" w:cs="宋体"/>
                <w:b/>
                <w:bCs/>
                <w:i w:val="0"/>
                <w:iCs w:val="0"/>
                <w:color w:val="000000"/>
                <w:kern w:val="0"/>
                <w:sz w:val="22"/>
                <w:szCs w:val="22"/>
                <w:u w:val="none"/>
                <w:lang w:val="en-US" w:eastAsia="zh-CN" w:bidi="ar"/>
              </w:rPr>
              <w:t>款</w:t>
            </w:r>
          </w:p>
        </w:tc>
        <w:tc>
          <w:tcPr>
            <w:tcW w:w="156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56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88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28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71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5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pPr>
          </w:p>
        </w:tc>
        <w:tc>
          <w:tcPr>
            <w:tcW w:w="15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5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88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69.68</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69.68</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289"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15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69.68</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289"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15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妇女联合会</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69.68</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289" w:type="dxa"/>
            <w:vMerge w:val="restart"/>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29</w:t>
            </w:r>
          </w:p>
        </w:tc>
        <w:tc>
          <w:tcPr>
            <w:tcW w:w="15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48.65</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48.65</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289"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05</w:t>
            </w:r>
          </w:p>
        </w:tc>
        <w:tc>
          <w:tcPr>
            <w:tcW w:w="15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7.09</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289"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05</w:t>
            </w:r>
          </w:p>
        </w:tc>
        <w:tc>
          <w:tcPr>
            <w:tcW w:w="15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3.86</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289"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11</w:t>
            </w:r>
          </w:p>
        </w:tc>
        <w:tc>
          <w:tcPr>
            <w:tcW w:w="15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3.38</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289"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11</w:t>
            </w:r>
          </w:p>
        </w:tc>
        <w:tc>
          <w:tcPr>
            <w:tcW w:w="15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0.90</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5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02</w:t>
            </w:r>
          </w:p>
        </w:tc>
        <w:tc>
          <w:tcPr>
            <w:tcW w:w="15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5.80</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rPr>
          <w:rFonts w:hint="default"/>
          <w:lang w:eastAsia="zh-Hans"/>
        </w:rPr>
        <w:sectPr>
          <w:pgSz w:w="16838" w:h="11906" w:orient="landscape"/>
          <w:pgMar w:top="1800" w:right="1440" w:bottom="1800" w:left="1440" w:header="851" w:footer="992" w:gutter="0"/>
          <w:cols w:space="425" w:num="1"/>
          <w:docGrid w:type="lines" w:linePitch="312" w:charSpace="0"/>
        </w:sectPr>
      </w:pP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1259"/>
        <w:gridCol w:w="738"/>
        <w:gridCol w:w="1260"/>
        <w:gridCol w:w="737"/>
        <w:gridCol w:w="1264"/>
        <w:gridCol w:w="1439"/>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4"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5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3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5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73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61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300"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994" w:type="dxa"/>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25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3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2"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613"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994"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6306"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3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2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3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26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143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161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69.68</w:t>
            </w:r>
          </w:p>
        </w:tc>
        <w:tc>
          <w:tcPr>
            <w:tcW w:w="12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48.65</w:t>
            </w: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48.65</w:t>
            </w: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10.95</w:t>
            </w: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10.95</w:t>
            </w: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4.28</w:t>
            </w: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4.28</w:t>
            </w: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5.80</w:t>
            </w: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5.80</w:t>
            </w: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bl>
    <w:p>
      <w:pPr>
        <w:pStyle w:val="2"/>
        <w:ind w:left="0" w:leftChars="0" w:firstLine="0" w:firstLineChars="0"/>
        <w:rPr>
          <w:rFonts w:hint="eastAsia" w:eastAsia="宋体"/>
          <w:lang w:eastAsia="zh-CN"/>
        </w:rPr>
      </w:pPr>
    </w:p>
    <w:p>
      <w:pPr>
        <w:jc w:val="both"/>
        <w:rPr>
          <w:rFonts w:ascii="方正小标宋简体" w:hAnsi="黑体" w:eastAsia="方正小标宋简体"/>
          <w:sz w:val="44"/>
          <w:szCs w:val="44"/>
          <w:highlight w:val="none"/>
        </w:rPr>
        <w:sectPr>
          <w:pgSz w:w="11906" w:h="16838"/>
          <w:pgMar w:top="1440" w:right="1800" w:bottom="1440" w:left="1800" w:header="851" w:footer="992" w:gutter="0"/>
          <w:cols w:space="425" w:num="1"/>
          <w:docGrid w:type="lines" w:linePitch="312" w:charSpace="0"/>
        </w:sectPr>
      </w:pP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8"/>
        <w:gridCol w:w="470"/>
        <w:gridCol w:w="391"/>
        <w:gridCol w:w="564"/>
        <w:gridCol w:w="449"/>
        <w:gridCol w:w="508"/>
        <w:gridCol w:w="509"/>
        <w:gridCol w:w="509"/>
        <w:gridCol w:w="509"/>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1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33"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4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8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3955" w:type="dxa"/>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19"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814" w:type="dxa"/>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54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nil"/>
              <w:right w:val="single" w:color="FFFFFF"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4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08" w:type="dxa"/>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814"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48"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4037" w:type="dxa"/>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3260" w:type="dxa"/>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中央提前通知专项转移支付等</w:t>
            </w:r>
          </w:p>
        </w:tc>
        <w:tc>
          <w:tcPr>
            <w:tcW w:w="4296" w:type="dxa"/>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833"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45"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36"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548"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48"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33"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326"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326"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979"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035"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1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4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545"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36"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48"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48"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4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43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8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69.68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69.68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69.68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69.68</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妇女联合会</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13.63</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0.21</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13.47</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31</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83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bl>
    <w:p>
      <w:pPr>
        <w:pStyle w:val="2"/>
        <w:sectPr>
          <w:pgSz w:w="16838" w:h="11906" w:orient="landscape"/>
          <w:pgMar w:top="1800" w:right="1440" w:bottom="1800" w:left="1440" w:header="851" w:footer="992" w:gutter="0"/>
          <w:cols w:space="425" w:num="1"/>
          <w:docGrid w:type="lines" w:linePitch="312" w:charSpace="0"/>
        </w:sectPr>
      </w:pPr>
    </w:p>
    <w:tbl>
      <w:tblPr>
        <w:tblStyle w:val="6"/>
        <w:tblW w:w="508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4"/>
        <w:gridCol w:w="546"/>
        <w:gridCol w:w="437"/>
        <w:gridCol w:w="1760"/>
        <w:gridCol w:w="1681"/>
        <w:gridCol w:w="4072"/>
        <w:gridCol w:w="771"/>
        <w:gridCol w:w="1229"/>
        <w:gridCol w:w="3576"/>
        <w:gridCol w:w="2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693"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68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522"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c>
          <w:tcPr>
            <w:tcW w:w="224"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3968"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c>
          <w:tcPr>
            <w:tcW w:w="224"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24"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446" w:type="dxa"/>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717"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29"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576"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24"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2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446"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1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22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357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c>
          <w:tcPr>
            <w:tcW w:w="224"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2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693"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68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07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71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22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357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24"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24"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1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41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pPr>
            <w:r>
              <w:rPr>
                <w:rFonts w:hint="eastAsia" w:ascii="宋体" w:hAnsi="宋体" w:eastAsia="宋体" w:cs="宋体"/>
                <w:b/>
                <w:bCs/>
                <w:i w:val="0"/>
                <w:iCs w:val="0"/>
                <w:color w:val="000000"/>
                <w:kern w:val="0"/>
                <w:sz w:val="22"/>
                <w:szCs w:val="22"/>
                <w:u w:val="none"/>
                <w:lang w:val="en-US" w:eastAsia="zh-CN" w:bidi="ar"/>
              </w:rPr>
              <w:t>款</w:t>
            </w:r>
          </w:p>
        </w:tc>
        <w:tc>
          <w:tcPr>
            <w:tcW w:w="176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68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072"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71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22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357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24"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24"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5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pPr>
          </w:p>
        </w:tc>
        <w:tc>
          <w:tcPr>
            <w:tcW w:w="176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6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07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7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69.68</w:t>
            </w:r>
          </w:p>
        </w:tc>
        <w:tc>
          <w:tcPr>
            <w:tcW w:w="122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69.68</w:t>
            </w:r>
          </w:p>
        </w:tc>
        <w:tc>
          <w:tcPr>
            <w:tcW w:w="35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4"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24"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17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07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7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122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35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4"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24"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17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07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妇女联合会部门</w:t>
            </w:r>
          </w:p>
        </w:tc>
        <w:tc>
          <w:tcPr>
            <w:tcW w:w="7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122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35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4"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24" w:type="dxa"/>
            <w:vMerge w:val="restart"/>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29</w:t>
            </w:r>
          </w:p>
        </w:tc>
        <w:tc>
          <w:tcPr>
            <w:tcW w:w="17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407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7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48.65</w:t>
            </w:r>
          </w:p>
        </w:tc>
        <w:tc>
          <w:tcPr>
            <w:tcW w:w="12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48.65</w:t>
            </w:r>
          </w:p>
        </w:tc>
        <w:tc>
          <w:tcPr>
            <w:tcW w:w="35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4" w:type="dxa"/>
            <w:vMerge w:val="restart"/>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4"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05</w:t>
            </w:r>
          </w:p>
        </w:tc>
        <w:tc>
          <w:tcPr>
            <w:tcW w:w="17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407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7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7.09</w:t>
            </w:r>
          </w:p>
        </w:tc>
        <w:tc>
          <w:tcPr>
            <w:tcW w:w="12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35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4"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4"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05</w:t>
            </w:r>
          </w:p>
        </w:tc>
        <w:tc>
          <w:tcPr>
            <w:tcW w:w="17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407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7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3.86</w:t>
            </w:r>
          </w:p>
        </w:tc>
        <w:tc>
          <w:tcPr>
            <w:tcW w:w="12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35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4"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4"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11</w:t>
            </w:r>
          </w:p>
        </w:tc>
        <w:tc>
          <w:tcPr>
            <w:tcW w:w="17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407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7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3.38</w:t>
            </w:r>
          </w:p>
        </w:tc>
        <w:tc>
          <w:tcPr>
            <w:tcW w:w="12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35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4"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4"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11</w:t>
            </w:r>
          </w:p>
        </w:tc>
        <w:tc>
          <w:tcPr>
            <w:tcW w:w="17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1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407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7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0.90</w:t>
            </w:r>
          </w:p>
        </w:tc>
        <w:tc>
          <w:tcPr>
            <w:tcW w:w="12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35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4"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4"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02</w:t>
            </w:r>
          </w:p>
        </w:tc>
        <w:tc>
          <w:tcPr>
            <w:tcW w:w="17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407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7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5.80</w:t>
            </w:r>
          </w:p>
        </w:tc>
        <w:tc>
          <w:tcPr>
            <w:tcW w:w="12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35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4"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4" w:type="dxa"/>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693" w:type="dxa"/>
            <w:gridSpan w:val="3"/>
            <w:tcBorders>
              <w:top w:val="nil"/>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681" w:type="dxa"/>
            <w:tcBorders>
              <w:top w:val="nil"/>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72" w:type="dxa"/>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522" w:type="dxa"/>
            <w:gridSpan w:val="3"/>
            <w:tcBorders>
              <w:top w:val="nil"/>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表3</w:t>
            </w:r>
          </w:p>
        </w:tc>
        <w:tc>
          <w:tcPr>
            <w:tcW w:w="224" w:type="dxa"/>
            <w:tcBorders>
              <w:top w:val="single" w:color="FFFFFF" w:sz="4" w:space="0"/>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bl>
    <w:p>
      <w:pPr>
        <w:sectPr>
          <w:pgSz w:w="16838" w:h="11906" w:orient="landscape"/>
          <w:pgMar w:top="1800" w:right="1440" w:bottom="1800" w:left="1440" w:header="851" w:footer="992" w:gutter="0"/>
          <w:cols w:space="425" w:num="1"/>
          <w:docGrid w:type="lines" w:linePitch="312" w:charSpace="0"/>
        </w:sectPr>
      </w:pP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696"/>
        <w:gridCol w:w="1268"/>
        <w:gridCol w:w="981"/>
        <w:gridCol w:w="1750"/>
        <w:gridCol w:w="870"/>
        <w:gridCol w:w="975"/>
        <w:gridCol w:w="1538"/>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937"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6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8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547"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表3-1</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078"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4677" w:type="dxa"/>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87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80"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547"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4677"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401"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937"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98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76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874"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98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1547"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27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98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76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74"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98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7"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2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76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69.68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65.42</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4.26</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妇女联合会</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13.63</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restart"/>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3010203</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0.21</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13.47</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13.47</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restart"/>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3029909</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93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表3-1</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222" w:type="dxa"/>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078" w:type="dxa"/>
            <w:gridSpan w:val="7"/>
            <w:tcBorders>
              <w:top w:val="nil"/>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c>
          <w:tcPr>
            <w:tcW w:w="222" w:type="dxa"/>
            <w:tcBorders>
              <w:top w:val="nil"/>
              <w:left w:val="single" w:color="FFFFFF" w:sz="4" w:space="0"/>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bl>
    <w:p>
      <w:pPr>
        <w:pStyle w:val="2"/>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sectPr>
          <w:pgSz w:w="11906" w:h="16838"/>
          <w:pgMar w:top="1440" w:right="1800" w:bottom="1440" w:left="1800" w:header="851" w:footer="992" w:gutter="0"/>
          <w:cols w:space="425" w:num="1"/>
          <w:docGrid w:type="lines" w:linePitch="312" w:charSpace="0"/>
        </w:sectPr>
      </w:pPr>
    </w:p>
    <w:tbl>
      <w:tblPr>
        <w:tblStyle w:val="6"/>
        <w:tblW w:w="90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437"/>
        <w:gridCol w:w="437"/>
        <w:gridCol w:w="1594"/>
        <w:gridCol w:w="1198"/>
        <w:gridCol w:w="3658"/>
        <w:gridCol w:w="1481"/>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256"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9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65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8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表3-2</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593" w:type="dxa"/>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7112" w:type="dxa"/>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481"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22" w:type="dxa"/>
            <w:tcBorders>
              <w:top w:val="single" w:color="FFFFFF" w:sz="4" w:space="0"/>
              <w:left w:val="single" w:color="FFFFFF" w:sz="4" w:space="0"/>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256"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19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65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48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31"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pPr>
            <w:r>
              <w:rPr>
                <w:rFonts w:hint="eastAsia" w:ascii="宋体" w:hAnsi="宋体" w:eastAsia="宋体" w:cs="宋体"/>
                <w:b/>
                <w:bCs/>
                <w:i w:val="0"/>
                <w:iCs w:val="0"/>
                <w:color w:val="000000"/>
                <w:kern w:val="0"/>
                <w:sz w:val="22"/>
                <w:szCs w:val="22"/>
                <w:u w:val="none"/>
                <w:lang w:val="en-US" w:eastAsia="zh-CN" w:bidi="ar"/>
              </w:rPr>
              <w:t>款</w:t>
            </w:r>
          </w:p>
        </w:tc>
        <w:tc>
          <w:tcPr>
            <w:tcW w:w="159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19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65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48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pPr>
          </w:p>
        </w:tc>
        <w:tc>
          <w:tcPr>
            <w:tcW w:w="159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19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6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4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159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4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159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4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159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159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bl>
    <w:p>
      <w:pPr>
        <w:pStyle w:val="2"/>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lang w:val="en-US" w:eastAsia="zh-CN"/>
        </w:rPr>
        <w:t>此表无数据</w:t>
      </w:r>
    </w:p>
    <w:tbl>
      <w:tblPr>
        <w:tblStyle w:val="6"/>
        <w:tblW w:w="187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0"/>
        <w:gridCol w:w="1582"/>
        <w:gridCol w:w="4893"/>
        <w:gridCol w:w="1955"/>
        <w:gridCol w:w="1957"/>
        <w:gridCol w:w="1955"/>
        <w:gridCol w:w="1967"/>
        <w:gridCol w:w="1967"/>
        <w:gridCol w:w="196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6" w:hRule="atLeast"/>
        </w:trPr>
        <w:tc>
          <w:tcPr>
            <w:tcW w:w="24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58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89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tc>
        <w:tc>
          <w:tcPr>
            <w:tcW w:w="19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5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6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6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67"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bl>
    <w:p>
      <w:pPr>
        <w:jc w:val="both"/>
        <w:rPr>
          <w:rFonts w:hint="eastAsia" w:ascii="方正小标宋简体" w:hAnsi="黑体" w:eastAsia="方正小标宋简体"/>
          <w:sz w:val="44"/>
          <w:szCs w:val="44"/>
          <w:highlight w:val="none"/>
        </w:rPr>
      </w:pPr>
    </w:p>
    <w:tbl>
      <w:tblPr>
        <w:tblStyle w:val="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692"/>
        <w:gridCol w:w="2008"/>
        <w:gridCol w:w="820"/>
        <w:gridCol w:w="820"/>
        <w:gridCol w:w="820"/>
        <w:gridCol w:w="1049"/>
        <w:gridCol w:w="1049"/>
        <w:gridCol w:w="10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54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3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3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3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6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6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57"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3943"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4645" w:type="dxa"/>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338"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338"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338"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63"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64"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57"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1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354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298"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1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54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3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3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486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175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1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54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3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3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33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763"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76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175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11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5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3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0.70</w:t>
            </w:r>
          </w:p>
        </w:tc>
        <w:tc>
          <w:tcPr>
            <w:tcW w:w="13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3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0.70</w:t>
            </w:r>
          </w:p>
        </w:tc>
        <w:tc>
          <w:tcPr>
            <w:tcW w:w="176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7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0.70</w:t>
            </w:r>
          </w:p>
        </w:tc>
        <w:tc>
          <w:tcPr>
            <w:tcW w:w="175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54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3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13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176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175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354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妇女联合会</w:t>
            </w:r>
          </w:p>
        </w:tc>
        <w:tc>
          <w:tcPr>
            <w:tcW w:w="13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13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3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176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7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17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pStyle w:val="2"/>
        <w:rPr>
          <w:rFonts w:hint="eastAsia"/>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pStyle w:val="2"/>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2"/>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2"/>
        <w:rPr>
          <w:rFonts w:hint="eastAsia" w:ascii="方正小标宋简体" w:hAnsi="黑体" w:eastAsia="方正小标宋简体"/>
          <w:sz w:val="44"/>
          <w:szCs w:val="44"/>
          <w:highlight w:val="none"/>
        </w:rPr>
      </w:pPr>
    </w:p>
    <w:p>
      <w:pPr>
        <w:rPr>
          <w:rFonts w:hint="eastAsia"/>
        </w:rPr>
      </w:pPr>
    </w:p>
    <w:p>
      <w:pPr>
        <w:jc w:val="both"/>
        <w:rPr>
          <w:rFonts w:hint="eastAsia" w:ascii="方正小标宋简体" w:hAnsi="黑体" w:eastAsia="方正小标宋简体"/>
          <w:sz w:val="44"/>
          <w:szCs w:val="44"/>
          <w:highlight w:val="none"/>
        </w:rPr>
      </w:pPr>
    </w:p>
    <w:tbl>
      <w:tblPr>
        <w:tblStyle w:val="6"/>
        <w:tblW w:w="81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437"/>
        <w:gridCol w:w="437"/>
        <w:gridCol w:w="437"/>
        <w:gridCol w:w="1100"/>
        <w:gridCol w:w="2012"/>
        <w:gridCol w:w="675"/>
        <w:gridCol w:w="1100"/>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13"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6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66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6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6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73"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政府性基金预算支出预算表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6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6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6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hint="eastAsia" w:ascii="方正小标宋简体" w:hAnsi="黑体" w:eastAsia="方正小标宋简体"/>
          <w:sz w:val="44"/>
          <w:szCs w:val="44"/>
          <w:highlight w:val="none"/>
        </w:rPr>
      </w:pPr>
    </w:p>
    <w:p>
      <w:pPr>
        <w:pStyle w:val="2"/>
        <w:rPr>
          <w:rFonts w:hint="eastAsia" w:ascii="方正小标宋简体" w:hAnsi="黑体" w:eastAsia="方正小标宋简体"/>
          <w:sz w:val="44"/>
          <w:szCs w:val="44"/>
          <w:highlight w:val="none"/>
        </w:rPr>
      </w:pPr>
    </w:p>
    <w:p>
      <w:pPr>
        <w:rPr>
          <w:rFonts w:hint="default" w:ascii="方正小标宋简体" w:hAnsi="黑体" w:eastAsia="方正小标宋简体"/>
          <w:sz w:val="44"/>
          <w:szCs w:val="44"/>
          <w:highlight w:val="none"/>
          <w:lang w:val="en-US" w:eastAsia="zh-CN"/>
        </w:rPr>
      </w:pPr>
      <w:r>
        <w:rPr>
          <w:rFonts w:hint="eastAsia" w:ascii="方正小标宋简体" w:hAnsi="黑体" w:eastAsia="方正小标宋简体"/>
          <w:sz w:val="44"/>
          <w:szCs w:val="44"/>
          <w:highlight w:val="none"/>
          <w:lang w:val="en-US" w:eastAsia="zh-CN"/>
        </w:rPr>
        <w:t>此表无数据</w:t>
      </w:r>
    </w:p>
    <w:p>
      <w:pPr>
        <w:pStyle w:val="2"/>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2"/>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2"/>
        <w:rPr>
          <w:rFonts w:hint="eastAsia" w:ascii="方正小标宋简体" w:hAnsi="黑体" w:eastAsia="方正小标宋简体"/>
          <w:sz w:val="44"/>
          <w:szCs w:val="44"/>
          <w:highlight w:val="none"/>
        </w:rPr>
      </w:pPr>
    </w:p>
    <w:p>
      <w:pPr>
        <w:rPr>
          <w:rFonts w:hint="eastAsia"/>
        </w:rPr>
      </w:pPr>
    </w:p>
    <w:p>
      <w:pPr>
        <w:rPr>
          <w:rFonts w:hint="eastAsia" w:ascii="方正小标宋简体" w:hAnsi="黑体" w:eastAsia="方正小标宋简体"/>
          <w:sz w:val="44"/>
          <w:szCs w:val="44"/>
          <w:highlight w:val="none"/>
        </w:rPr>
      </w:pPr>
    </w:p>
    <w:tbl>
      <w:tblPr>
        <w:tblStyle w:val="6"/>
        <w:tblW w:w="803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843"/>
        <w:gridCol w:w="1469"/>
        <w:gridCol w:w="529"/>
        <w:gridCol w:w="686"/>
        <w:gridCol w:w="529"/>
        <w:gridCol w:w="1313"/>
        <w:gridCol w:w="1313"/>
        <w:gridCol w:w="1308"/>
        <w:gridCol w:w="2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66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9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3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0"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表4-1</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c>
          <w:tcPr>
            <w:tcW w:w="0" w:type="auto"/>
            <w:tcBorders>
              <w:top w:val="single" w:color="FFFFFF" w:sz="4" w:space="0"/>
              <w:left w:val="single" w:color="FFFFFF" w:sz="4" w:space="0"/>
              <w:bottom w:val="single" w:color="FFFFFF"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0" w:type="auto"/>
            <w:tcBorders>
              <w:top w:val="single" w:color="FFFFFF" w:sz="4" w:space="0"/>
              <w:left w:val="single" w:color="FFFFFF" w:sz="4" w:space="0"/>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73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73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78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78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22" w:type="dxa"/>
            <w:tcBorders>
              <w:top w:val="nil"/>
              <w:left w:val="single" w:color="FFFFFF" w:sz="4" w:space="0"/>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bl>
    <w:p>
      <w:pPr>
        <w:rPr>
          <w:rFonts w:hint="eastAsia"/>
        </w:rPr>
      </w:pPr>
    </w:p>
    <w:p>
      <w:pPr>
        <w:jc w:val="both"/>
        <w:rPr>
          <w:rFonts w:hint="eastAsia" w:ascii="方正小标宋简体" w:hAnsi="黑体" w:eastAsia="方正小标宋简体"/>
          <w:sz w:val="44"/>
          <w:szCs w:val="44"/>
          <w:highlight w:val="none"/>
        </w:rPr>
      </w:pPr>
    </w:p>
    <w:p>
      <w:pPr>
        <w:rPr>
          <w:rFonts w:hint="default" w:ascii="方正小标宋简体" w:hAnsi="黑体" w:eastAsia="方正小标宋简体"/>
          <w:sz w:val="44"/>
          <w:szCs w:val="44"/>
          <w:highlight w:val="none"/>
          <w:lang w:val="en-US" w:eastAsia="zh-CN"/>
        </w:rPr>
      </w:pPr>
      <w:r>
        <w:rPr>
          <w:rFonts w:hint="eastAsia" w:ascii="方正小标宋简体" w:hAnsi="黑体" w:eastAsia="方正小标宋简体"/>
          <w:sz w:val="44"/>
          <w:szCs w:val="44"/>
          <w:highlight w:val="none"/>
          <w:lang w:val="en-US" w:eastAsia="zh-CN"/>
        </w:rPr>
        <w:t>此表无数据</w:t>
      </w:r>
    </w:p>
    <w:p>
      <w:pPr>
        <w:pStyle w:val="2"/>
        <w:ind w:left="0" w:leftChars="0" w:firstLine="0" w:firstLineChars="0"/>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2"/>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2"/>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2"/>
        <w:rPr>
          <w:rFonts w:hint="eastAsia" w:ascii="方正小标宋简体" w:hAnsi="黑体" w:eastAsia="方正小标宋简体"/>
          <w:sz w:val="44"/>
          <w:szCs w:val="44"/>
          <w:highlight w:val="none"/>
        </w:rPr>
      </w:pPr>
    </w:p>
    <w:p>
      <w:pPr>
        <w:rPr>
          <w:rFonts w:hint="eastAsia"/>
        </w:rPr>
      </w:pPr>
    </w:p>
    <w:tbl>
      <w:tblPr>
        <w:tblStyle w:val="6"/>
        <w:tblW w:w="849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437"/>
        <w:gridCol w:w="437"/>
        <w:gridCol w:w="437"/>
        <w:gridCol w:w="1100"/>
        <w:gridCol w:w="2073"/>
        <w:gridCol w:w="712"/>
        <w:gridCol w:w="1100"/>
        <w:gridCol w:w="1756"/>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36"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8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68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8"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表5</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c>
          <w:tcPr>
            <w:tcW w:w="0" w:type="auto"/>
            <w:tcBorders>
              <w:top w:val="single" w:color="FFFFFF" w:sz="4" w:space="0"/>
              <w:left w:val="single" w:color="FFFFFF" w:sz="4" w:space="0"/>
              <w:bottom w:val="single" w:color="FFFFFF"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0" w:type="auto"/>
            <w:tcBorders>
              <w:top w:val="single" w:color="FFFFFF" w:sz="4" w:space="0"/>
              <w:left w:val="single" w:color="FFFFFF" w:sz="4" w:space="0"/>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8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8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8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bl>
    <w:p>
      <w:pPr>
        <w:rPr>
          <w:rFonts w:hint="eastAsia"/>
        </w:rPr>
      </w:pPr>
    </w:p>
    <w:p>
      <w:pPr>
        <w:jc w:val="both"/>
        <w:rPr>
          <w:rFonts w:hint="eastAsia" w:ascii="方正小标宋简体" w:hAnsi="黑体" w:eastAsia="方正小标宋简体"/>
          <w:sz w:val="44"/>
          <w:szCs w:val="44"/>
          <w:highlight w:val="none"/>
        </w:rPr>
      </w:pPr>
    </w:p>
    <w:p>
      <w:pPr>
        <w:rPr>
          <w:rFonts w:hint="default" w:ascii="方正小标宋简体" w:hAnsi="黑体" w:eastAsia="方正小标宋简体"/>
          <w:sz w:val="44"/>
          <w:szCs w:val="44"/>
          <w:highlight w:val="none"/>
          <w:lang w:val="en-US" w:eastAsia="zh-CN"/>
        </w:rPr>
      </w:pPr>
      <w:r>
        <w:rPr>
          <w:rFonts w:hint="eastAsia" w:ascii="方正小标宋简体" w:hAnsi="黑体" w:eastAsia="方正小标宋简体"/>
          <w:sz w:val="44"/>
          <w:szCs w:val="44"/>
          <w:highlight w:val="none"/>
          <w:lang w:val="en-US" w:eastAsia="zh-CN"/>
        </w:rPr>
        <w:t>此表无数据</w:t>
      </w:r>
    </w:p>
    <w:tbl>
      <w:tblPr>
        <w:tblStyle w:val="6"/>
        <w:tblW w:w="132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0"/>
        <w:gridCol w:w="7881"/>
        <w:gridCol w:w="1477"/>
        <w:gridCol w:w="36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4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88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C0C0C0"/>
                <w:sz w:val="20"/>
                <w:szCs w:val="20"/>
                <w:u w:val="none"/>
              </w:rPr>
            </w:pPr>
            <w:r>
              <w:rPr>
                <w:rFonts w:ascii="宋体" w:hAnsi="宋体" w:eastAsia="宋体" w:cs="宋体"/>
                <w:i w:val="0"/>
                <w:iCs w:val="0"/>
                <w:color w:val="C0C0C0"/>
                <w:kern w:val="0"/>
                <w:sz w:val="20"/>
                <w:szCs w:val="20"/>
                <w:u w:val="none"/>
                <w:lang w:val="en-US" w:eastAsia="zh-CN" w:bidi="ar"/>
              </w:rPr>
              <w:t>报表编号：510000_0013</w:t>
            </w:r>
          </w:p>
        </w:tc>
        <w:tc>
          <w:tcPr>
            <w:tcW w:w="147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66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0"/>
                <w:szCs w:val="20"/>
                <w:u w:val="none"/>
              </w:rPr>
            </w:pPr>
          </w:p>
        </w:tc>
      </w:tr>
    </w:tbl>
    <w:p>
      <w:pPr>
        <w:pStyle w:val="2"/>
        <w:ind w:left="0" w:leftChars="0" w:firstLine="0" w:firstLineChars="0"/>
        <w:rPr>
          <w:rFonts w:hint="eastAsia"/>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第三部分 </w:t>
      </w:r>
      <w:r>
        <w:rPr>
          <w:rFonts w:hint="eastAsia" w:ascii="方正小标宋简体" w:hAnsi="黑体" w:eastAsia="方正小标宋简体"/>
          <w:sz w:val="44"/>
          <w:szCs w:val="44"/>
          <w:highlight w:val="none"/>
          <w:lang w:val="en-US" w:eastAsia="zh-CN"/>
        </w:rPr>
        <w:t>县妇联</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6</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CN"/>
        </w:rPr>
        <w:t>部门预算</w:t>
      </w:r>
      <w:r>
        <w:rPr>
          <w:rFonts w:hint="eastAsia" w:ascii="方正小标宋简体" w:hAnsi="黑体" w:eastAsia="方正小标宋简体"/>
          <w:sz w:val="44"/>
          <w:szCs w:val="44"/>
          <w:highlight w:val="none"/>
        </w:rPr>
        <w:t>情况说明</w:t>
      </w:r>
    </w:p>
    <w:p>
      <w:pPr>
        <w:ind w:firstLine="640" w:firstLineChars="200"/>
        <w:rPr>
          <w:rFonts w:ascii="黑体" w:hAnsi="黑体" w:eastAsia="黑体"/>
          <w:sz w:val="32"/>
          <w:szCs w:val="32"/>
          <w:highlight w:val="none"/>
        </w:rPr>
      </w:pPr>
      <w:r>
        <w:rPr>
          <w:rFonts w:hint="eastAsia" w:ascii="黑体" w:hAnsi="黑体" w:eastAsia="黑体"/>
          <w:sz w:val="32"/>
          <w:szCs w:val="32"/>
          <w:highlight w:val="none"/>
        </w:rPr>
        <w:t>一、收支预算情况说明</w:t>
      </w:r>
    </w:p>
    <w:p>
      <w:pPr>
        <w:ind w:firstLine="640" w:firstLineChars="200"/>
        <w:jc w:val="both"/>
        <w:rPr>
          <w:rFonts w:hint="default" w:ascii="仿宋_GB2312" w:hAnsi="黑体" w:eastAsia="仿宋_GB2312"/>
          <w:sz w:val="32"/>
          <w:szCs w:val="32"/>
          <w:highlight w:val="none"/>
          <w:lang w:val="en-US"/>
        </w:rPr>
      </w:pPr>
      <w:r>
        <w:rPr>
          <w:rFonts w:hint="eastAsia" w:ascii="仿宋_GB2312" w:hAnsi="黑体" w:eastAsia="仿宋_GB2312"/>
          <w:sz w:val="32"/>
          <w:szCs w:val="32"/>
          <w:highlight w:val="none"/>
        </w:rPr>
        <w:t>按照综合预算的原则，</w:t>
      </w: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所有收入和支出均纳入</w:t>
      </w:r>
      <w:r>
        <w:rPr>
          <w:rFonts w:hint="eastAsia" w:ascii="仿宋_GB2312" w:hAnsi="黑体" w:eastAsia="仿宋_GB2312"/>
          <w:sz w:val="32"/>
          <w:szCs w:val="32"/>
          <w:highlight w:val="none"/>
          <w:lang w:val="en-US" w:eastAsia="zh-CN"/>
        </w:rPr>
        <w:t>部门预算</w:t>
      </w:r>
      <w:r>
        <w:rPr>
          <w:rFonts w:hint="eastAsia" w:ascii="仿宋_GB2312" w:hAnsi="黑体" w:eastAsia="仿宋_GB2312"/>
          <w:sz w:val="32"/>
          <w:szCs w:val="32"/>
          <w:highlight w:val="none"/>
        </w:rPr>
        <w:t>管理。收入包括：一般公共预算拨款收入</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支出包括：一般公共服务支出、社会保障和就业支出、卫生健康支出、住房保障支出。</w:t>
      </w: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69.68</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（一）收入预算情况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69.68</w:t>
      </w:r>
      <w:r>
        <w:rPr>
          <w:rFonts w:hint="eastAsia" w:ascii="仿宋_GB2312" w:hAnsi="黑体" w:eastAsia="仿宋_GB2312"/>
          <w:sz w:val="32"/>
          <w:szCs w:val="32"/>
          <w:highlight w:val="none"/>
        </w:rPr>
        <w:t>万元，其中：一般公共预算拨款收入</w:t>
      </w:r>
      <w:r>
        <w:rPr>
          <w:rFonts w:hint="eastAsia" w:ascii="仿宋_GB2312" w:hAnsi="黑体" w:eastAsia="仿宋_GB2312"/>
          <w:sz w:val="32"/>
          <w:szCs w:val="32"/>
          <w:highlight w:val="none"/>
          <w:lang w:val="en-US" w:eastAsia="zh-CN"/>
        </w:rPr>
        <w:t>69.68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%；政府性基金预算拨款收入</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（二）支出预算情况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69.68</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69.68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二、财政拨款收支预算情况说明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年财政拨款收支预算总数</w:t>
      </w:r>
      <w:r>
        <w:rPr>
          <w:rFonts w:hint="eastAsia" w:ascii="仿宋_GB2312" w:hAnsi="黑体" w:eastAsia="仿宋_GB2312"/>
          <w:sz w:val="32"/>
          <w:szCs w:val="32"/>
          <w:highlight w:val="none"/>
          <w:lang w:val="en-US" w:eastAsia="zh-CN"/>
        </w:rPr>
        <w:t>69.68</w:t>
      </w:r>
      <w:r>
        <w:rPr>
          <w:rFonts w:hint="eastAsia" w:ascii="仿宋_GB2312" w:hAnsi="黑体" w:eastAsia="仿宋_GB2312"/>
          <w:sz w:val="32"/>
          <w:szCs w:val="32"/>
          <w:highlight w:val="none"/>
        </w:rPr>
        <w:t>万元。</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收入包括：本年一般公共预算拨款收入</w:t>
      </w:r>
      <w:r>
        <w:rPr>
          <w:rFonts w:hint="eastAsia" w:ascii="仿宋_GB2312" w:hAnsi="黑体" w:eastAsia="仿宋_GB2312"/>
          <w:sz w:val="32"/>
          <w:szCs w:val="32"/>
          <w:highlight w:val="none"/>
          <w:lang w:val="en-US" w:eastAsia="zh-CN"/>
        </w:rPr>
        <w:t>69.68</w:t>
      </w:r>
      <w:r>
        <w:rPr>
          <w:rFonts w:hint="eastAsia" w:ascii="仿宋_GB2312" w:hAnsi="黑体" w:eastAsia="仿宋_GB2312"/>
          <w:sz w:val="32"/>
          <w:szCs w:val="32"/>
          <w:highlight w:val="none"/>
        </w:rPr>
        <w:t>万元、支出包括：一般公共服务支出</w:t>
      </w:r>
      <w:r>
        <w:rPr>
          <w:rFonts w:hint="eastAsia" w:ascii="仿宋_GB2312" w:hAnsi="黑体" w:eastAsia="仿宋_GB2312"/>
          <w:sz w:val="32"/>
          <w:szCs w:val="32"/>
          <w:highlight w:val="none"/>
          <w:lang w:val="en-US" w:eastAsia="zh-CN"/>
        </w:rPr>
        <w:t>48.65</w:t>
      </w:r>
      <w:r>
        <w:rPr>
          <w:rFonts w:hint="eastAsia" w:ascii="仿宋_GB2312" w:hAnsi="黑体" w:eastAsia="仿宋_GB2312"/>
          <w:sz w:val="32"/>
          <w:szCs w:val="32"/>
          <w:highlight w:val="none"/>
        </w:rPr>
        <w:t>万元、社会保障和就业支出</w:t>
      </w:r>
      <w:r>
        <w:rPr>
          <w:rFonts w:hint="eastAsia" w:ascii="仿宋_GB2312" w:hAnsi="黑体" w:eastAsia="仿宋_GB2312"/>
          <w:sz w:val="32"/>
          <w:szCs w:val="32"/>
          <w:highlight w:val="none"/>
          <w:lang w:val="en-US" w:eastAsia="zh-CN"/>
        </w:rPr>
        <w:t>10.95</w:t>
      </w:r>
      <w:r>
        <w:rPr>
          <w:rFonts w:hint="eastAsia" w:ascii="仿宋_GB2312" w:hAnsi="黑体" w:eastAsia="仿宋_GB2312"/>
          <w:sz w:val="32"/>
          <w:szCs w:val="32"/>
          <w:highlight w:val="none"/>
        </w:rPr>
        <w:t>万元、卫生健康支出</w:t>
      </w:r>
      <w:r>
        <w:rPr>
          <w:rFonts w:hint="eastAsia" w:ascii="仿宋_GB2312" w:hAnsi="黑体" w:eastAsia="仿宋_GB2312"/>
          <w:sz w:val="32"/>
          <w:szCs w:val="32"/>
          <w:highlight w:val="none"/>
          <w:lang w:val="en-US" w:eastAsia="zh-CN"/>
        </w:rPr>
        <w:t>4.28</w:t>
      </w:r>
      <w:r>
        <w:rPr>
          <w:rFonts w:hint="eastAsia" w:ascii="仿宋_GB2312" w:hAnsi="黑体" w:eastAsia="仿宋_GB2312"/>
          <w:sz w:val="32"/>
          <w:szCs w:val="32"/>
          <w:highlight w:val="none"/>
        </w:rPr>
        <w:t>万元、住房保障支出</w:t>
      </w:r>
      <w:r>
        <w:rPr>
          <w:rFonts w:hint="eastAsia" w:ascii="仿宋_GB2312" w:hAnsi="黑体" w:eastAsia="仿宋_GB2312"/>
          <w:sz w:val="32"/>
          <w:szCs w:val="32"/>
          <w:highlight w:val="none"/>
          <w:lang w:val="en-US" w:eastAsia="zh-CN"/>
        </w:rPr>
        <w:t>5.08</w:t>
      </w:r>
      <w:r>
        <w:rPr>
          <w:rFonts w:hint="eastAsia" w:ascii="仿宋_GB2312" w:hAnsi="黑体" w:eastAsia="仿宋_GB2312"/>
          <w:sz w:val="32"/>
          <w:szCs w:val="32"/>
          <w:highlight w:val="none"/>
        </w:rPr>
        <w:t>万元。</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三、一般公共预算当年拨款情况说明</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（一）一般公共预算当年拨款规模变化情况</w:t>
      </w:r>
    </w:p>
    <w:p>
      <w:pPr>
        <w:ind w:firstLine="640" w:firstLineChars="200"/>
        <w:jc w:val="both"/>
        <w:rPr>
          <w:rFonts w:hint="default" w:ascii="仿宋_GB2312" w:hAnsi="黑体" w:eastAsia="仿宋_GB2312"/>
          <w:sz w:val="32"/>
          <w:szCs w:val="32"/>
          <w:highlight w:val="none"/>
          <w:lang w:val="en-US"/>
        </w:rPr>
      </w:pP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69.68</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（二）一般公共预算当年拨款结构情况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一般公共服务支出</w:t>
      </w:r>
      <w:r>
        <w:rPr>
          <w:rFonts w:hint="eastAsia" w:ascii="仿宋_GB2312" w:hAnsi="黑体" w:eastAsia="仿宋_GB2312"/>
          <w:sz w:val="32"/>
          <w:szCs w:val="32"/>
          <w:highlight w:val="none"/>
          <w:lang w:val="en-US" w:eastAsia="zh-CN"/>
        </w:rPr>
        <w:t>48.65</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69.82</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10.95</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15.71</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4.28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6.14</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5.08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7.29</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（三）一般公共预算当年拨款具体使用情况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1.一般公共服务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类）财改事务（款）行政运行（项）202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48.65</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单位正常运转的基本支出，包括基本工资、津贴补贴等人员经费以及办公费、印刷费、水电费等日常公用经费，保障正常运转。</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.社会保障和就业（类）行政事业单位养老支出（款）机关事业单位基本养老保险缴费支出（项）202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7.09</w:t>
      </w:r>
      <w:r>
        <w:rPr>
          <w:rFonts w:hint="eastAsia" w:ascii="仿宋_GB2312" w:hAnsi="黑体" w:eastAsia="仿宋_GB2312"/>
          <w:sz w:val="32"/>
          <w:szCs w:val="32"/>
          <w:highlight w:val="none"/>
        </w:rPr>
        <w:t>万元，主要用于：实施养老保险制度由单位缴纳的基本养老保险支出。</w:t>
      </w:r>
    </w:p>
    <w:p>
      <w:pPr>
        <w:ind w:firstLine="640" w:firstLineChars="200"/>
        <w:jc w:val="both"/>
        <w:rPr>
          <w:rFonts w:ascii="仿宋_GB2312" w:hAnsi="黑体" w:eastAsia="仿宋_GB2312"/>
          <w:sz w:val="32"/>
          <w:szCs w:val="32"/>
          <w:highlight w:val="none"/>
        </w:rPr>
      </w:pPr>
      <w:r>
        <w:rPr>
          <w:rFonts w:ascii="仿宋_GB2312" w:hAnsi="黑体" w:eastAsia="仿宋_GB2312"/>
          <w:sz w:val="32"/>
          <w:szCs w:val="32"/>
          <w:highlight w:val="none"/>
        </w:rPr>
        <w:t>7</w:t>
      </w:r>
      <w:r>
        <w:rPr>
          <w:rFonts w:hint="eastAsia" w:ascii="仿宋_GB2312" w:hAnsi="黑体" w:eastAsia="仿宋_GB2312"/>
          <w:sz w:val="32"/>
          <w:szCs w:val="32"/>
          <w:highlight w:val="none"/>
        </w:rPr>
        <w:t>.社会保障和就业（类）行政事业单位养老支出（款）机关事业单位职业年金缴费支出（项）202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3.86</w:t>
      </w:r>
      <w:r>
        <w:rPr>
          <w:rFonts w:hint="eastAsia" w:ascii="仿宋_GB2312" w:hAnsi="黑体" w:eastAsia="仿宋_GB2312"/>
          <w:sz w:val="32"/>
          <w:szCs w:val="32"/>
          <w:highlight w:val="none"/>
        </w:rPr>
        <w:t>万元，主要用于：实施养老保险制度由单位缴纳的职业年金支出。</w:t>
      </w:r>
    </w:p>
    <w:p>
      <w:pPr>
        <w:ind w:firstLine="640" w:firstLineChars="200"/>
        <w:jc w:val="both"/>
        <w:rPr>
          <w:rFonts w:ascii="仿宋_GB2312" w:hAnsi="黑体" w:eastAsia="仿宋_GB2312"/>
          <w:sz w:val="32"/>
          <w:szCs w:val="32"/>
          <w:highlight w:val="none"/>
        </w:rPr>
      </w:pPr>
      <w:r>
        <w:rPr>
          <w:rFonts w:ascii="仿宋_GB2312" w:hAnsi="黑体" w:eastAsia="仿宋_GB2312"/>
          <w:sz w:val="32"/>
          <w:szCs w:val="32"/>
          <w:highlight w:val="none"/>
        </w:rPr>
        <w:t>8</w:t>
      </w:r>
      <w:r>
        <w:rPr>
          <w:rFonts w:hint="eastAsia" w:ascii="仿宋_GB2312" w:hAnsi="黑体" w:eastAsia="仿宋_GB2312"/>
          <w:sz w:val="32"/>
          <w:szCs w:val="32"/>
          <w:highlight w:val="none"/>
        </w:rPr>
        <w:t>.卫生健康（类）行政事业单位医疗（款）行政单位医疗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项</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3.38</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按规定由单位缴纳的基本医疗保险支出</w:t>
      </w:r>
    </w:p>
    <w:p>
      <w:pPr>
        <w:ind w:firstLine="640" w:firstLineChars="200"/>
        <w:jc w:val="both"/>
        <w:rPr>
          <w:rFonts w:ascii="仿宋_GB2312" w:hAnsi="黑体" w:eastAsia="仿宋_GB2312"/>
          <w:sz w:val="32"/>
          <w:szCs w:val="32"/>
          <w:highlight w:val="none"/>
        </w:rPr>
      </w:pPr>
      <w:r>
        <w:rPr>
          <w:rFonts w:ascii="仿宋_GB2312" w:hAnsi="黑体" w:eastAsia="仿宋_GB2312"/>
          <w:sz w:val="32"/>
          <w:szCs w:val="32"/>
          <w:highlight w:val="none"/>
        </w:rPr>
        <w:t>10</w:t>
      </w:r>
      <w:r>
        <w:rPr>
          <w:rFonts w:hint="eastAsia" w:ascii="仿宋_GB2312" w:hAnsi="黑体" w:eastAsia="仿宋_GB2312"/>
          <w:sz w:val="32"/>
          <w:szCs w:val="32"/>
          <w:highlight w:val="none"/>
        </w:rPr>
        <w:t>.卫生健康（类）行政事业单位医疗（款）公务员医疗补功（项）202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0.9</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集中缴纳公务员医疗补助支出。</w:t>
      </w:r>
    </w:p>
    <w:p>
      <w:pPr>
        <w:ind w:firstLine="640" w:firstLineChars="200"/>
        <w:jc w:val="both"/>
        <w:rPr>
          <w:rFonts w:ascii="仿宋_GB2312" w:hAnsi="黑体" w:eastAsia="仿宋_GB2312"/>
          <w:sz w:val="32"/>
          <w:szCs w:val="32"/>
          <w:highlight w:val="none"/>
        </w:rPr>
      </w:pPr>
      <w:r>
        <w:rPr>
          <w:rFonts w:ascii="仿宋_GB2312" w:hAnsi="黑体" w:eastAsia="仿宋_GB2312"/>
          <w:sz w:val="32"/>
          <w:szCs w:val="32"/>
          <w:highlight w:val="none"/>
        </w:rPr>
        <w:t>11</w:t>
      </w:r>
      <w:r>
        <w:rPr>
          <w:rFonts w:hint="eastAsia" w:ascii="仿宋_GB2312" w:hAnsi="黑体" w:eastAsia="仿宋_GB2312"/>
          <w:sz w:val="32"/>
          <w:szCs w:val="32"/>
          <w:highlight w:val="none"/>
        </w:rPr>
        <w:t>.住房保障（类）住房改革支出（款）住房公积金（项）202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5.08</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按规定为职工缴纳的住房公积金支出。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四、一般公共预算基本支出情况说明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年一般公共预算基本支出</w:t>
      </w:r>
      <w:r>
        <w:rPr>
          <w:rFonts w:hint="eastAsia" w:ascii="仿宋_GB2312" w:hAnsi="黑体" w:eastAsia="仿宋_GB2312"/>
          <w:sz w:val="32"/>
          <w:szCs w:val="32"/>
          <w:highlight w:val="none"/>
          <w:lang w:val="en-US" w:eastAsia="zh-CN"/>
        </w:rPr>
        <w:t>69.68</w:t>
      </w:r>
      <w:r>
        <w:rPr>
          <w:rFonts w:hint="eastAsia" w:ascii="仿宋_GB2312" w:hAnsi="黑体" w:eastAsia="仿宋_GB2312"/>
          <w:sz w:val="32"/>
          <w:szCs w:val="32"/>
          <w:highlight w:val="none"/>
        </w:rPr>
        <w:t>万元，其中：</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65.42</w:t>
      </w:r>
      <w:r>
        <w:rPr>
          <w:rFonts w:hint="eastAsia" w:ascii="仿宋_GB2312" w:hAnsi="黑体" w:eastAsia="仿宋_GB2312"/>
          <w:sz w:val="32"/>
          <w:szCs w:val="32"/>
          <w:highlight w:val="none"/>
        </w:rPr>
        <w:t>万元，主要包括：基本工资、津贴补贴、奖金、社会保险缴费、离休费、住房公积金、福利费、工会经费、其他交通费用等支出。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公用经</w:t>
      </w:r>
      <w:r>
        <w:rPr>
          <w:rFonts w:hint="eastAsia" w:ascii="仿宋_GB2312" w:hAnsi="黑体" w:eastAsia="仿宋_GB2312"/>
          <w:sz w:val="32"/>
          <w:szCs w:val="32"/>
          <w:highlight w:val="none"/>
          <w:lang w:val="en-US" w:eastAsia="zh-CN"/>
        </w:rPr>
        <w:t>4.26</w:t>
      </w:r>
      <w:r>
        <w:rPr>
          <w:rFonts w:hint="eastAsia" w:ascii="仿宋_GB2312" w:hAnsi="黑体" w:eastAsia="仿宋_GB2312"/>
          <w:sz w:val="32"/>
          <w:szCs w:val="32"/>
          <w:highlight w:val="none"/>
        </w:rPr>
        <w:t>万元，主要包活：办公费、印刷费、水费、电费、邮电费、物业管理费、差旅费、会议费、培训费、公务接待费、劳务费、公务用车运行维护费等支出。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五、“三公”经费财政拨款预算安排情况说明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年“三公”经费财政拨款预算数</w:t>
      </w:r>
      <w:r>
        <w:rPr>
          <w:rFonts w:hint="eastAsia" w:ascii="仿宋_GB2312" w:hAnsi="黑体" w:eastAsia="仿宋_GB2312"/>
          <w:sz w:val="32"/>
          <w:szCs w:val="32"/>
          <w:highlight w:val="none"/>
          <w:lang w:val="en-US" w:eastAsia="zh-CN"/>
        </w:rPr>
        <w:t>0.7</w:t>
      </w:r>
      <w:r>
        <w:rPr>
          <w:rFonts w:hint="eastAsia" w:ascii="仿宋_GB2312" w:hAnsi="黑体" w:eastAsia="仿宋_GB2312"/>
          <w:sz w:val="32"/>
          <w:szCs w:val="32"/>
          <w:highlight w:val="none"/>
        </w:rPr>
        <w:t>万元，其中：公务接待费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万元，公务用车购置及运行维护费</w:t>
      </w:r>
      <w:r>
        <w:rPr>
          <w:rFonts w:hint="eastAsia" w:ascii="仿宋_GB2312" w:hAnsi="黑体" w:eastAsia="仿宋_GB2312"/>
          <w:sz w:val="32"/>
          <w:szCs w:val="32"/>
          <w:highlight w:val="none"/>
          <w:lang w:val="en-US" w:eastAsia="zh-CN"/>
        </w:rPr>
        <w:t>0.7</w:t>
      </w:r>
      <w:r>
        <w:rPr>
          <w:rFonts w:hint="eastAsia" w:ascii="仿宋_GB2312" w:hAnsi="黑体" w:eastAsia="仿宋_GB2312"/>
          <w:sz w:val="32"/>
          <w:szCs w:val="32"/>
          <w:highlight w:val="none"/>
        </w:rPr>
        <w:t>万元,因公出国（境）经费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hint="eastAsia" w:ascii="楷体" w:hAnsi="楷体" w:eastAsia="楷体"/>
          <w:b/>
          <w:sz w:val="32"/>
          <w:szCs w:val="32"/>
          <w:highlight w:val="none"/>
          <w:lang w:eastAsia="zh-CN"/>
        </w:rPr>
      </w:pPr>
      <w:r>
        <w:rPr>
          <w:rFonts w:hint="eastAsia" w:ascii="楷体" w:hAnsi="楷体" w:eastAsia="楷体"/>
          <w:b/>
          <w:sz w:val="32"/>
          <w:szCs w:val="32"/>
          <w:highlight w:val="none"/>
        </w:rPr>
        <w:t>（一）公务接待费与（较</w:t>
      </w:r>
      <w:r>
        <w:rPr>
          <w:rFonts w:ascii="楷体" w:hAnsi="楷体" w:eastAsia="楷体"/>
          <w:b/>
          <w:sz w:val="32"/>
          <w:szCs w:val="32"/>
          <w:highlight w:val="none"/>
        </w:rPr>
        <w:t>）</w:t>
      </w:r>
      <w:r>
        <w:rPr>
          <w:rFonts w:hint="eastAsia" w:ascii="楷体" w:hAnsi="楷体" w:eastAsia="楷体"/>
          <w:b/>
          <w:sz w:val="32"/>
          <w:szCs w:val="32"/>
          <w:highlight w:val="none"/>
        </w:rPr>
        <w:t>202</w:t>
      </w:r>
      <w:r>
        <w:rPr>
          <w:rFonts w:hint="eastAsia" w:ascii="楷体" w:hAnsi="楷体" w:eastAsia="楷体"/>
          <w:b/>
          <w:sz w:val="32"/>
          <w:szCs w:val="32"/>
          <w:highlight w:val="none"/>
          <w:lang w:val="en-US" w:eastAsia="zh-CN"/>
        </w:rPr>
        <w:t>5</w:t>
      </w:r>
      <w:r>
        <w:rPr>
          <w:rFonts w:hint="eastAsia" w:ascii="楷体" w:hAnsi="楷体" w:eastAsia="楷体"/>
          <w:b/>
          <w:sz w:val="32"/>
          <w:szCs w:val="32"/>
          <w:highlight w:val="none"/>
        </w:rPr>
        <w:t>年预算持平</w:t>
      </w:r>
      <w:r>
        <w:rPr>
          <w:rFonts w:hint="eastAsia" w:ascii="楷体" w:hAnsi="楷体" w:eastAsia="楷体"/>
          <w:b/>
          <w:sz w:val="32"/>
          <w:szCs w:val="32"/>
          <w:highlight w:val="none"/>
          <w:lang w:eastAsia="zh-CN"/>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年公务接待费计划用于执行等。</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（二）公务用车购置及运行维护费与（较）202</w:t>
      </w:r>
      <w:r>
        <w:rPr>
          <w:rFonts w:hint="eastAsia" w:ascii="楷体" w:hAnsi="楷体" w:eastAsia="楷体"/>
          <w:b/>
          <w:sz w:val="32"/>
          <w:szCs w:val="32"/>
          <w:highlight w:val="none"/>
          <w:lang w:val="en-US" w:eastAsia="zh-CN"/>
        </w:rPr>
        <w:t>5</w:t>
      </w:r>
      <w:r>
        <w:rPr>
          <w:rFonts w:hint="eastAsia" w:ascii="楷体" w:hAnsi="楷体" w:eastAsia="楷体"/>
          <w:b/>
          <w:sz w:val="32"/>
          <w:szCs w:val="32"/>
          <w:highlight w:val="none"/>
        </w:rPr>
        <w:t>年预算持平。</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单位现有公务用车</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辆，其中：轿车</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辆，旅行车（含商务车）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辆，越野车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年安排公务用车运行维护费</w:t>
      </w:r>
      <w:r>
        <w:rPr>
          <w:rFonts w:hint="eastAsia" w:ascii="仿宋_GB2312" w:hAnsi="黑体" w:eastAsia="仿宋_GB2312"/>
          <w:sz w:val="32"/>
          <w:szCs w:val="32"/>
          <w:highlight w:val="none"/>
          <w:lang w:val="en-US" w:eastAsia="zh-CN"/>
        </w:rPr>
        <w:t>0.7</w:t>
      </w:r>
      <w:r>
        <w:rPr>
          <w:rFonts w:hint="eastAsia" w:ascii="仿宋_GB2312" w:hAnsi="黑体" w:eastAsia="仿宋_GB2312"/>
          <w:sz w:val="32"/>
          <w:szCs w:val="32"/>
          <w:highlight w:val="none"/>
        </w:rPr>
        <w:t>万元，用于</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辆公务用车燃油、过路（桥）、维修、保险等方面支出，主要保障</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工作开展。</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六、政府性基金预算支出情况说明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年使用政府性基金预算拨款安排的支出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r>
        <w:rPr>
          <w:rFonts w:ascii="仿宋_GB2312" w:hAnsi="黑体" w:eastAsia="仿宋_GB2312"/>
          <w:sz w:val="32"/>
          <w:szCs w:val="32"/>
          <w:highlight w:val="none"/>
        </w:rPr>
        <w:t>，</w:t>
      </w:r>
      <w:r>
        <w:rPr>
          <w:rFonts w:hint="eastAsia" w:ascii="仿宋_GB2312" w:hAnsi="黑体" w:eastAsia="仿宋_GB2312"/>
          <w:sz w:val="32"/>
          <w:szCs w:val="32"/>
          <w:highlight w:val="none"/>
        </w:rPr>
        <w:t>没有使用政府性基金预算拨款安排的支出。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七、国有资本经营预算情况说明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年使用政府性基金预算拨款安排的支出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万元，没有使用国有资本经营预算拨款安排的支出。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八、其他重要事项的情况说明</w:t>
      </w:r>
    </w:p>
    <w:p>
      <w:pPr>
        <w:ind w:firstLine="643" w:firstLineChars="200"/>
        <w:jc w:val="both"/>
        <w:rPr>
          <w:rFonts w:ascii="楷体" w:hAnsi="楷体" w:eastAsia="楷体"/>
          <w:b/>
          <w:sz w:val="32"/>
          <w:szCs w:val="32"/>
          <w:highlight w:val="none"/>
        </w:rPr>
      </w:pPr>
      <w:r>
        <w:rPr>
          <w:rFonts w:hint="default" w:ascii="楷体" w:hAnsi="楷体" w:eastAsia="楷体"/>
          <w:b/>
          <w:sz w:val="32"/>
          <w:szCs w:val="32"/>
          <w:highlight w:val="none"/>
        </w:rPr>
        <w:t>（</w:t>
      </w:r>
      <w:r>
        <w:rPr>
          <w:rFonts w:hint="eastAsia" w:ascii="楷体" w:hAnsi="楷体" w:eastAsia="楷体"/>
          <w:b/>
          <w:sz w:val="32"/>
          <w:szCs w:val="32"/>
          <w:highlight w:val="none"/>
        </w:rPr>
        <w:t>一</w:t>
      </w:r>
      <w:r>
        <w:rPr>
          <w:rFonts w:hint="default" w:ascii="楷体" w:hAnsi="楷体" w:eastAsia="楷体"/>
          <w:b/>
          <w:sz w:val="32"/>
          <w:szCs w:val="32"/>
          <w:highlight w:val="none"/>
        </w:rPr>
        <w:t>）</w:t>
      </w:r>
      <w:r>
        <w:rPr>
          <w:rFonts w:hint="eastAsia" w:ascii="楷体" w:hAnsi="楷体" w:eastAsia="楷体"/>
          <w:b/>
          <w:sz w:val="32"/>
          <w:szCs w:val="32"/>
          <w:highlight w:val="none"/>
        </w:rPr>
        <w:t>机关运行经费情况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的机关运行经费财政拨款预算为</w:t>
      </w:r>
      <w:r>
        <w:rPr>
          <w:rFonts w:hint="eastAsia" w:ascii="仿宋_GB2312" w:hAnsi="黑体" w:eastAsia="仿宋_GB2312"/>
          <w:sz w:val="32"/>
          <w:szCs w:val="32"/>
          <w:highlight w:val="none"/>
          <w:lang w:val="en-US" w:eastAsia="zh-CN"/>
        </w:rPr>
        <w:t>4.26</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default" w:ascii="楷体" w:hAnsi="楷体" w:eastAsia="楷体"/>
          <w:b/>
          <w:sz w:val="32"/>
          <w:szCs w:val="32"/>
          <w:highlight w:val="none"/>
        </w:rPr>
        <w:t>）</w:t>
      </w:r>
      <w:r>
        <w:rPr>
          <w:rFonts w:hint="eastAsia" w:ascii="楷体" w:hAnsi="楷体" w:eastAsia="楷体"/>
          <w:b/>
          <w:sz w:val="32"/>
          <w:szCs w:val="32"/>
          <w:highlight w:val="none"/>
        </w:rPr>
        <w:t>政府采购情况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w:t>
      </w:r>
      <w:r>
        <w:rPr>
          <w:rFonts w:ascii="仿宋_GB2312" w:hAnsi="黑体" w:eastAsia="仿宋_GB2312"/>
          <w:sz w:val="32"/>
          <w:szCs w:val="32"/>
          <w:highlight w:val="none"/>
        </w:rPr>
        <w:t>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安排政府采购预算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（三）国有资产占有使用情况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截至202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年底，</w:t>
      </w: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单位共有车辆</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辆，其中，</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领导干部用车</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辆、定向保障用车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辆、执法执勤用车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辆。单位价值200万元以上大型设备</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台</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部门预算没有</w:t>
      </w:r>
      <w:r>
        <w:rPr>
          <w:rFonts w:hint="eastAsia" w:ascii="仿宋_GB2312" w:hAnsi="黑体" w:eastAsia="仿宋_GB2312"/>
          <w:sz w:val="32"/>
          <w:szCs w:val="32"/>
          <w:highlight w:val="none"/>
        </w:rPr>
        <w:t>安排购置车辆及单位价值200万元以上大型设备。</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（四）预算绩效情况</w:t>
      </w:r>
    </w:p>
    <w:p>
      <w:pPr>
        <w:ind w:firstLine="640" w:firstLineChars="200"/>
        <w:jc w:val="both"/>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开展绩效目标管理的项目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万元。运转类项目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p>
    <w:p>
      <w:pPr>
        <w:rPr>
          <w:rFonts w:ascii="方正小标宋简体" w:hAnsi="黑体" w:eastAsia="方正小标宋简体"/>
          <w:sz w:val="44"/>
          <w:szCs w:val="44"/>
          <w:highlight w:val="none"/>
        </w:rPr>
      </w:pPr>
      <w:r>
        <w:rPr>
          <w:rFonts w:hint="eastAsia" w:ascii="仿宋_GB2312" w:hAnsi="黑体" w:eastAsia="仿宋_GB2312"/>
          <w:sz w:val="32"/>
          <w:szCs w:val="32"/>
          <w:highlight w:val="none"/>
        </w:rPr>
        <w:br w:type="page"/>
      </w:r>
    </w:p>
    <w:p>
      <w:pPr>
        <w:numPr>
          <w:ilvl w:val="0"/>
          <w:numId w:val="1"/>
        </w:num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 名词解释</w:t>
      </w:r>
    </w:p>
    <w:p>
      <w:pPr>
        <w:numPr>
          <w:ilvl w:val="0"/>
          <w:numId w:val="0"/>
        </w:num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（一）一般公共预算拨款收入：指县级财政当年拨付的</w:t>
      </w:r>
    </w:p>
    <w:p>
      <w:pPr>
        <w:jc w:val="both"/>
        <w:rPr>
          <w:rFonts w:ascii="仿宋_GB2312" w:hAnsi="黑体" w:eastAsia="仿宋_GB2312"/>
          <w:sz w:val="32"/>
          <w:szCs w:val="32"/>
          <w:highlight w:val="none"/>
        </w:rPr>
      </w:pPr>
      <w:r>
        <w:rPr>
          <w:rFonts w:hint="eastAsia" w:ascii="仿宋_GB2312" w:hAnsi="黑体" w:eastAsia="仿宋_GB2312"/>
          <w:sz w:val="32"/>
          <w:szCs w:val="32"/>
          <w:highlight w:val="none"/>
        </w:rPr>
        <w:t>资金。</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（二）政府性基金预算收入：指按规定收取、转入或通过当年财政安排，纳入政府预算管理，具有指定用途的政府性基金收入。</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三</w:t>
      </w:r>
      <w:r>
        <w:rPr>
          <w:rFonts w:ascii="仿宋_GB2312" w:hAnsi="黑体" w:eastAsia="仿宋_GB2312"/>
          <w:sz w:val="32"/>
          <w:szCs w:val="32"/>
          <w:highlight w:val="none"/>
        </w:rPr>
        <w:t>）</w:t>
      </w:r>
      <w:r>
        <w:rPr>
          <w:rFonts w:hint="eastAsia" w:ascii="仿宋_GB2312" w:hAnsi="黑体" w:eastAsia="仿宋_GB2312"/>
          <w:sz w:val="32"/>
          <w:szCs w:val="32"/>
          <w:highlight w:val="none"/>
        </w:rPr>
        <w:t>一般公共服务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人大事务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行政运行</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项</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单位用于保障机构正常运行、开展日常工作的基本支出。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四</w:t>
      </w:r>
      <w:r>
        <w:rPr>
          <w:rFonts w:ascii="仿宋_GB2312" w:hAnsi="黑体" w:eastAsia="仿宋_GB2312"/>
          <w:sz w:val="32"/>
          <w:szCs w:val="32"/>
          <w:highlight w:val="none"/>
        </w:rPr>
        <w:t>）</w:t>
      </w:r>
      <w:r>
        <w:rPr>
          <w:rFonts w:hint="eastAsia" w:ascii="仿宋_GB2312" w:hAnsi="黑体" w:eastAsia="仿宋_GB2312"/>
          <w:sz w:val="32"/>
          <w:szCs w:val="32"/>
          <w:highlight w:val="none"/>
        </w:rPr>
        <w:t>一般公共服务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财政事务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行政运行</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项</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w:t>
      </w:r>
    </w:p>
    <w:p>
      <w:pPr>
        <w:jc w:val="both"/>
        <w:rPr>
          <w:rFonts w:ascii="仿宋_GB2312" w:hAnsi="黑体" w:eastAsia="仿宋_GB2312"/>
          <w:sz w:val="32"/>
          <w:szCs w:val="32"/>
          <w:highlight w:val="none"/>
        </w:rPr>
      </w:pP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单位用于保障机构正常运行、开展日常工作的基本支出。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五</w:t>
      </w:r>
      <w:r>
        <w:rPr>
          <w:rFonts w:hint="eastAsia" w:ascii="仿宋_GB2312" w:hAnsi="黑体" w:eastAsia="仿宋_GB2312"/>
          <w:sz w:val="32"/>
          <w:szCs w:val="32"/>
          <w:highlight w:val="none"/>
        </w:rPr>
        <w:t>）社会保障和就业（类）行政事业单位养老支出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款）事业单位离退休（项）：指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的离退休人员的变出。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六</w:t>
      </w:r>
      <w:r>
        <w:rPr>
          <w:rFonts w:hint="eastAsia" w:ascii="仿宋_GB2312" w:hAnsi="黑体" w:eastAsia="仿宋_GB2312"/>
          <w:sz w:val="32"/>
          <w:szCs w:val="32"/>
          <w:highlight w:val="none"/>
        </w:rPr>
        <w:t>）社会保障和就业（类）行政事业单位养老支出（款）行政单位</w:t>
      </w:r>
      <w:r>
        <w:rPr>
          <w:rFonts w:hint="eastAsia" w:ascii="仿宋_GB2312" w:hAnsi="黑体" w:eastAsia="仿宋_GB2312"/>
          <w:sz w:val="32"/>
          <w:szCs w:val="32"/>
          <w:highlight w:val="none"/>
          <w:lang w:val="en-US" w:eastAsia="zh-Hans"/>
        </w:rPr>
        <w:t>离</w:t>
      </w:r>
      <w:r>
        <w:rPr>
          <w:rFonts w:hint="eastAsia" w:ascii="仿宋_GB2312" w:hAnsi="黑体" w:eastAsia="仿宋_GB2312"/>
          <w:sz w:val="32"/>
          <w:szCs w:val="32"/>
          <w:highlight w:val="none"/>
        </w:rPr>
        <w:t>退休（项）：指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机关及参公管理事业</w:t>
      </w:r>
      <w:r>
        <w:rPr>
          <w:rFonts w:hint="eastAsia" w:ascii="仿宋_GB2312" w:hAnsi="黑体" w:eastAsia="仿宋_GB2312"/>
          <w:sz w:val="32"/>
          <w:szCs w:val="32"/>
          <w:highlight w:val="none"/>
          <w:lang w:val="en-US" w:eastAsia="zh-Hans"/>
        </w:rPr>
        <w:t>单</w:t>
      </w:r>
      <w:r>
        <w:rPr>
          <w:rFonts w:hint="eastAsia" w:ascii="仿宋_GB2312" w:hAnsi="黑体" w:eastAsia="仿宋_GB2312"/>
          <w:sz w:val="32"/>
          <w:szCs w:val="32"/>
          <w:highlight w:val="none"/>
        </w:rPr>
        <w:t>位离退休人员的支出。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七</w:t>
      </w:r>
      <w:r>
        <w:rPr>
          <w:rFonts w:hint="eastAsia" w:ascii="仿宋_GB2312" w:hAnsi="黑体" w:eastAsia="仿宋_GB2312"/>
          <w:sz w:val="32"/>
          <w:szCs w:val="32"/>
          <w:highlight w:val="none"/>
        </w:rPr>
        <w:t>）社会保障和就业（类）行政事业单位养老支出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机关事业单位基本养老保险缴费支出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项</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实施养老保险制度由单位缴纳的养老保险的支出。</w:t>
      </w:r>
    </w:p>
    <w:p>
      <w:pPr>
        <w:ind w:firstLine="640" w:firstLineChars="200"/>
        <w:jc w:val="both"/>
        <w:rPr>
          <w:rFonts w:hint="default"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八</w:t>
      </w:r>
      <w:r>
        <w:rPr>
          <w:rFonts w:hint="eastAsia" w:ascii="仿宋_GB2312" w:hAnsi="黑体" w:eastAsia="仿宋_GB2312"/>
          <w:sz w:val="32"/>
          <w:szCs w:val="32"/>
          <w:highlight w:val="none"/>
        </w:rPr>
        <w:t>）社会保障和就业（类）行政事业单位养老支出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款）机关事业单位职业年金缴费支出（项）：指</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实施养老保险制度由</w:t>
      </w:r>
      <w:r>
        <w:rPr>
          <w:rFonts w:hint="eastAsia" w:ascii="仿宋_GB2312" w:hAnsi="黑体" w:eastAsia="仿宋_GB2312"/>
          <w:sz w:val="32"/>
          <w:szCs w:val="32"/>
          <w:highlight w:val="none"/>
          <w:lang w:val="en-US" w:eastAsia="zh-Hans"/>
        </w:rPr>
        <w:t>单</w:t>
      </w:r>
      <w:r>
        <w:rPr>
          <w:rFonts w:hint="eastAsia" w:ascii="仿宋_GB2312" w:hAnsi="黑体" w:eastAsia="仿宋_GB2312"/>
          <w:sz w:val="32"/>
          <w:szCs w:val="32"/>
          <w:highlight w:val="none"/>
        </w:rPr>
        <w:t>位缴纳的职业年金的支出。</w:t>
      </w:r>
    </w:p>
    <w:p>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九</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卫生健康</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类）行政率业单位医疗（款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行政单位医疗（项）：指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机关及参公管理事业单位用于单位应缴纳基本医疗保险支出。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w:t>
      </w:r>
      <w:r>
        <w:rPr>
          <w:rFonts w:hint="eastAsia" w:ascii="仿宋_GB2312" w:hAnsi="黑体" w:eastAsia="仿宋_GB2312"/>
          <w:sz w:val="32"/>
          <w:szCs w:val="32"/>
          <w:highlight w:val="none"/>
        </w:rPr>
        <w:t>）卫生健康（类）行政事业单位医疗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事业单位医疗（项）：指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单位用于单位应缴纳基本医疗保险支出。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一</w:t>
      </w:r>
      <w:r>
        <w:rPr>
          <w:rFonts w:hint="eastAsia" w:ascii="仿宋_GB2312" w:hAnsi="黑体" w:eastAsia="仿宋_GB2312"/>
          <w:sz w:val="32"/>
          <w:szCs w:val="32"/>
          <w:highlight w:val="none"/>
        </w:rPr>
        <w:t>）卫生健康（类）行政事业单位医疗（款）公务员医疗补助（项）：指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机关及参公管理事业单位用于集中缴纳公务员医疗补助支出。</w:t>
      </w:r>
    </w:p>
    <w:p>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二</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住房保障</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住房改革支出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住房公积金（项）：指按照《住房公积金管理条例》的规定，由单位及其在职职工缴存的长期住房储金。</w:t>
      </w:r>
    </w:p>
    <w:p>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三</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住房保障</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类）住房改革支出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购房补贴（项）：指按房改政策规定的标准，向符合条件职工发放的用于购买住房的补贴。</w:t>
      </w:r>
    </w:p>
    <w:p>
      <w:pPr>
        <w:ind w:firstLine="480" w:firstLineChars="15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十四</w:t>
      </w:r>
      <w:r>
        <w:rPr>
          <w:rFonts w:hint="eastAsia" w:ascii="仿宋_GB2312" w:hAnsi="黑体" w:eastAsia="仿宋_GB2312"/>
          <w:sz w:val="32"/>
          <w:szCs w:val="32"/>
          <w:highlight w:val="none"/>
        </w:rPr>
        <w:t>）基本支出：指为保证机构正常运转，完成日常工作任务而发生的人员支出和公用支出。</w:t>
      </w:r>
    </w:p>
    <w:p>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十五</w:t>
      </w:r>
      <w:r>
        <w:rPr>
          <w:rFonts w:hint="eastAsia" w:ascii="仿宋_GB2312" w:hAnsi="黑体" w:eastAsia="仿宋_GB2312"/>
          <w:sz w:val="32"/>
          <w:szCs w:val="32"/>
          <w:highlight w:val="none"/>
        </w:rPr>
        <w:t>）项目支出；指在基本支出之外为完成特定行政任务和事业发展目标所发生的支出。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十六</w:t>
      </w:r>
      <w:r>
        <w:rPr>
          <w:rFonts w:hint="eastAsia" w:ascii="仿宋_GB2312" w:hAnsi="黑体" w:eastAsia="仿宋_GB2312"/>
          <w:sz w:val="32"/>
          <w:szCs w:val="32"/>
          <w:highlight w:val="none"/>
        </w:rPr>
        <w:t>）“三公”经费：纳入</w:t>
      </w:r>
      <w:r>
        <w:rPr>
          <w:rFonts w:hint="eastAsia" w:ascii="仿宋_GB2312" w:hAnsi="黑体" w:eastAsia="仿宋_GB2312"/>
          <w:sz w:val="32"/>
          <w:szCs w:val="32"/>
          <w:highlight w:val="none"/>
          <w:lang w:val="en-US" w:eastAsia="zh-CN"/>
        </w:rPr>
        <w:t>九寨沟县妇女联合会</w:t>
      </w:r>
      <w:r>
        <w:rPr>
          <w:rFonts w:hint="eastAsia" w:ascii="仿宋_GB2312" w:hAnsi="黑体" w:eastAsia="仿宋_GB2312"/>
          <w:sz w:val="32"/>
          <w:szCs w:val="32"/>
          <w:highlight w:val="none"/>
        </w:rPr>
        <w:t>预算管理的“三公”经费，是指</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十七</w:t>
      </w:r>
      <w:r>
        <w:rPr>
          <w:rFonts w:hint="eastAsia" w:ascii="仿宋_GB2312" w:hAnsi="黑体"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iragino Sans GB">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right="284"/>
      <w:rPr>
        <w:rStyle w:val="8"/>
        <w:rFonts w:hint="eastAsia" w:eastAsia="宋体"/>
        <w:lang w:val="en-US" w:eastAsia="zh-CN"/>
      </w:rPr>
    </w:pPr>
    <w:r>
      <w:rPr>
        <w:rStyle w:val="8"/>
        <w:sz w:val="28"/>
      </w:rPr>
      <w:t xml:space="preserve"> </w:t>
    </w:r>
    <w:r>
      <w:rPr>
        <w:rStyle w:val="8"/>
        <w:rFonts w:hint="eastAsia" w:ascii="仿宋_GB2312" w:hAnsi="仿宋_GB2312" w:eastAsia="仿宋_GB2312" w:cs="仿宋_GB2312"/>
        <w:sz w:val="28"/>
        <w:lang w:eastAsia="zh-CN"/>
      </w:rPr>
      <w:t>—</w:t>
    </w:r>
    <w:r>
      <w:rPr>
        <w:rStyle w:val="8"/>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8"/>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8"/>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pPr>
      <w:pStyle w:val="4"/>
      <w:ind w:right="360" w:firstLine="360"/>
    </w:pP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92F6B8"/>
    <w:multiLevelType w:val="singleLevel"/>
    <w:tmpl w:val="2892F6B8"/>
    <w:lvl w:ilvl="0" w:tentative="0">
      <w:start w:val="4"/>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JhZTZhMTI1NWI5OWJkMDU0NDMzYWMyOWY3MGE5MjEifQ=="/>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5FEC680"/>
    <w:rsid w:val="096F0FA0"/>
    <w:rsid w:val="0ECDBE52"/>
    <w:rsid w:val="0FFFB353"/>
    <w:rsid w:val="176D963B"/>
    <w:rsid w:val="1B7F798D"/>
    <w:rsid w:val="1DCA7AC1"/>
    <w:rsid w:val="1F3B0AC1"/>
    <w:rsid w:val="1F5E9DB6"/>
    <w:rsid w:val="2117AD81"/>
    <w:rsid w:val="21F75307"/>
    <w:rsid w:val="27FB2020"/>
    <w:rsid w:val="288D1499"/>
    <w:rsid w:val="2BEE6E8A"/>
    <w:rsid w:val="2E7ACAF3"/>
    <w:rsid w:val="2EFFE7AD"/>
    <w:rsid w:val="2FEDA3F1"/>
    <w:rsid w:val="3257C860"/>
    <w:rsid w:val="33FFF3CD"/>
    <w:rsid w:val="352A11F6"/>
    <w:rsid w:val="377571F4"/>
    <w:rsid w:val="37ED2099"/>
    <w:rsid w:val="37FE0A31"/>
    <w:rsid w:val="39D792D9"/>
    <w:rsid w:val="3AFBF1C6"/>
    <w:rsid w:val="3BBFDE14"/>
    <w:rsid w:val="3CB393A4"/>
    <w:rsid w:val="3CFE796A"/>
    <w:rsid w:val="3DF3E130"/>
    <w:rsid w:val="3EED8CAE"/>
    <w:rsid w:val="3EFFEFC0"/>
    <w:rsid w:val="3FB5E172"/>
    <w:rsid w:val="3FDF2925"/>
    <w:rsid w:val="3FDFA91F"/>
    <w:rsid w:val="3FE1DEFB"/>
    <w:rsid w:val="3FE5F325"/>
    <w:rsid w:val="3FEF3B35"/>
    <w:rsid w:val="3FFADC58"/>
    <w:rsid w:val="47FF5D5C"/>
    <w:rsid w:val="4B3E44B7"/>
    <w:rsid w:val="4FDE78CE"/>
    <w:rsid w:val="4FFFAA23"/>
    <w:rsid w:val="52A200E3"/>
    <w:rsid w:val="53A88E30"/>
    <w:rsid w:val="53FAD87A"/>
    <w:rsid w:val="54FFF2CF"/>
    <w:rsid w:val="567D553A"/>
    <w:rsid w:val="569237F7"/>
    <w:rsid w:val="56DBADA4"/>
    <w:rsid w:val="579CE624"/>
    <w:rsid w:val="59C708E9"/>
    <w:rsid w:val="5A35532B"/>
    <w:rsid w:val="5A7BF1E5"/>
    <w:rsid w:val="5BA78D5E"/>
    <w:rsid w:val="5BB87DBA"/>
    <w:rsid w:val="5BE762D4"/>
    <w:rsid w:val="5DDDD882"/>
    <w:rsid w:val="5DE7BCA1"/>
    <w:rsid w:val="5DFFBFAA"/>
    <w:rsid w:val="5EFFDDE2"/>
    <w:rsid w:val="5F763C0F"/>
    <w:rsid w:val="5F7A982F"/>
    <w:rsid w:val="5FBF1457"/>
    <w:rsid w:val="5FED60AA"/>
    <w:rsid w:val="5FEFF4C2"/>
    <w:rsid w:val="63F385C0"/>
    <w:rsid w:val="63F5FE37"/>
    <w:rsid w:val="647F6670"/>
    <w:rsid w:val="67F5B1D0"/>
    <w:rsid w:val="69A71AE0"/>
    <w:rsid w:val="6A4FC826"/>
    <w:rsid w:val="6ADF4B0D"/>
    <w:rsid w:val="6AF76FF0"/>
    <w:rsid w:val="6B95175B"/>
    <w:rsid w:val="6BDF5376"/>
    <w:rsid w:val="6BE53CCB"/>
    <w:rsid w:val="6C7B5F76"/>
    <w:rsid w:val="6CEF960A"/>
    <w:rsid w:val="6D235CF7"/>
    <w:rsid w:val="6DDE03AF"/>
    <w:rsid w:val="6DFD6765"/>
    <w:rsid w:val="6E7E5440"/>
    <w:rsid w:val="6ED5ABCE"/>
    <w:rsid w:val="6EFF482F"/>
    <w:rsid w:val="6F632200"/>
    <w:rsid w:val="6F6DD354"/>
    <w:rsid w:val="6F850745"/>
    <w:rsid w:val="6FBBC877"/>
    <w:rsid w:val="6FF9921E"/>
    <w:rsid w:val="6FFC7CC5"/>
    <w:rsid w:val="6FFD7550"/>
    <w:rsid w:val="6FFDCB73"/>
    <w:rsid w:val="72AF49AA"/>
    <w:rsid w:val="72DF0FFC"/>
    <w:rsid w:val="72E75F44"/>
    <w:rsid w:val="733F7231"/>
    <w:rsid w:val="7396C1D0"/>
    <w:rsid w:val="73EFEF94"/>
    <w:rsid w:val="73F99EB8"/>
    <w:rsid w:val="748DFD08"/>
    <w:rsid w:val="753C9906"/>
    <w:rsid w:val="75B7E1FE"/>
    <w:rsid w:val="75F06C92"/>
    <w:rsid w:val="75FEC521"/>
    <w:rsid w:val="76FF1A62"/>
    <w:rsid w:val="776E1AB0"/>
    <w:rsid w:val="777ED2E6"/>
    <w:rsid w:val="77D7EAC5"/>
    <w:rsid w:val="77DFF40B"/>
    <w:rsid w:val="77E71F46"/>
    <w:rsid w:val="77FF6978"/>
    <w:rsid w:val="77FF9FAA"/>
    <w:rsid w:val="77FFA2D4"/>
    <w:rsid w:val="78FF8B8B"/>
    <w:rsid w:val="79FFA147"/>
    <w:rsid w:val="7AFEFDCB"/>
    <w:rsid w:val="7B7E99B8"/>
    <w:rsid w:val="7BD32D96"/>
    <w:rsid w:val="7BE51F1C"/>
    <w:rsid w:val="7BF3F8E7"/>
    <w:rsid w:val="7BFF7F25"/>
    <w:rsid w:val="7CB5F156"/>
    <w:rsid w:val="7CFFD8D7"/>
    <w:rsid w:val="7D2FEEDE"/>
    <w:rsid w:val="7D7EE79E"/>
    <w:rsid w:val="7DB99F6C"/>
    <w:rsid w:val="7DFDFA62"/>
    <w:rsid w:val="7E7D5E12"/>
    <w:rsid w:val="7E7F8246"/>
    <w:rsid w:val="7E974710"/>
    <w:rsid w:val="7EBE603C"/>
    <w:rsid w:val="7EF34040"/>
    <w:rsid w:val="7EFC883D"/>
    <w:rsid w:val="7EFFA64E"/>
    <w:rsid w:val="7F1D0102"/>
    <w:rsid w:val="7F455B3D"/>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next w:val="1"/>
    <w:qFormat/>
    <w:uiPriority w:val="0"/>
    <w:pPr>
      <w:widowControl w:val="0"/>
      <w:spacing w:after="120"/>
      <w:ind w:left="420" w:leftChars="200" w:firstLine="420" w:firstLineChars="200"/>
      <w:jc w:val="both"/>
    </w:pPr>
    <w:rPr>
      <w:rFonts w:hint="eastAsia" w:ascii="Times New Roman" w:hAnsi="Times New Roman" w:eastAsia="宋体" w:cs="Times New Roman"/>
      <w:kern w:val="2"/>
      <w:sz w:val="21"/>
      <w:szCs w:val="24"/>
      <w:lang w:val="en-US" w:eastAsia="zh-CN" w:bidi="ar-SA"/>
    </w:rPr>
  </w:style>
  <w:style w:type="paragraph" w:styleId="3">
    <w:name w:val="Body Text Indent"/>
    <w:next w:val="2"/>
    <w:qFormat/>
    <w:uiPriority w:val="0"/>
    <w:pPr>
      <w:widowControl w:val="0"/>
      <w:spacing w:after="120"/>
      <w:ind w:left="420" w:leftChars="200"/>
      <w:jc w:val="both"/>
    </w:pPr>
    <w:rPr>
      <w:rFonts w:ascii="Calibri" w:hAnsi="Calibri" w:eastAsia="宋体" w:cs="宋体"/>
      <w:kern w:val="2"/>
      <w:sz w:val="21"/>
      <w:szCs w:val="24"/>
      <w:lang w:val="en-US" w:eastAsia="zh-CN" w:bidi="ar-SA"/>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style>
  <w:style w:type="paragraph" w:styleId="9">
    <w:name w:val="List Paragraph"/>
    <w:basedOn w:val="1"/>
    <w:qFormat/>
    <w:uiPriority w:val="34"/>
    <w:pPr>
      <w:ind w:firstLine="420" w:firstLineChars="200"/>
    </w:pPr>
  </w:style>
  <w:style w:type="character" w:customStyle="1" w:styleId="10">
    <w:name w:val="页眉 Char"/>
    <w:basedOn w:val="7"/>
    <w:link w:val="5"/>
    <w:qFormat/>
    <w:uiPriority w:val="99"/>
    <w:rPr>
      <w:sz w:val="18"/>
      <w:szCs w:val="18"/>
    </w:rPr>
  </w:style>
  <w:style w:type="character" w:customStyle="1" w:styleId="11">
    <w:name w:val="页脚 Char"/>
    <w:basedOn w:val="7"/>
    <w:link w:val="4"/>
    <w:qFormat/>
    <w:uiPriority w:val="99"/>
    <w:rPr>
      <w:sz w:val="18"/>
      <w:szCs w:val="18"/>
    </w:rPr>
  </w:style>
  <w:style w:type="character" w:customStyle="1" w:styleId="12">
    <w:name w:val="font91"/>
    <w:basedOn w:val="7"/>
    <w:uiPriority w:val="0"/>
    <w:rPr>
      <w:rFonts w:hint="eastAsia" w:ascii="宋体" w:hAnsi="宋体" w:eastAsia="宋体" w:cs="宋体"/>
      <w:color w:val="000000"/>
      <w:sz w:val="22"/>
      <w:szCs w:val="22"/>
      <w:u w:val="none"/>
    </w:rPr>
  </w:style>
  <w:style w:type="character" w:customStyle="1" w:styleId="13">
    <w:name w:val="font1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2"/>
      <w:szCs w:val="22"/>
      <w:u w:val="none"/>
    </w:rPr>
  </w:style>
  <w:style w:type="character" w:customStyle="1" w:styleId="15">
    <w:name w:val="font81"/>
    <w:basedOn w:val="7"/>
    <w:uiPriority w:val="0"/>
    <w:rPr>
      <w:rFonts w:hint="eastAsia" w:ascii="宋体" w:hAnsi="宋体" w:eastAsia="宋体" w:cs="宋体"/>
      <w:color w:val="000000"/>
      <w:sz w:val="22"/>
      <w:szCs w:val="22"/>
      <w:u w:val="none"/>
    </w:rPr>
  </w:style>
  <w:style w:type="character" w:customStyle="1" w:styleId="16">
    <w:name w:val="font111"/>
    <w:basedOn w:val="7"/>
    <w:qFormat/>
    <w:uiPriority w:val="0"/>
    <w:rPr>
      <w:rFonts w:ascii="Dialog . plain" w:hAnsi="Dialog . plain" w:eastAsia="Dialog . plain" w:cs="Dialog . plain"/>
      <w:color w:val="000000"/>
      <w:sz w:val="22"/>
      <w:szCs w:val="22"/>
      <w:u w:val="none"/>
    </w:rPr>
  </w:style>
  <w:style w:type="character" w:customStyle="1" w:styleId="17">
    <w:name w:val="font121"/>
    <w:basedOn w:val="7"/>
    <w:qFormat/>
    <w:uiPriority w:val="0"/>
    <w:rPr>
      <w:rFonts w:ascii="Dialog . bold" w:hAnsi="Dialog . bold" w:eastAsia="Dialog . bold" w:cs="Dialog . bold"/>
      <w:b/>
      <w:bCs/>
      <w:color w:val="000000"/>
      <w:sz w:val="22"/>
      <w:szCs w:val="22"/>
      <w:u w:val="none"/>
    </w:rPr>
  </w:style>
  <w:style w:type="character" w:customStyle="1" w:styleId="18">
    <w:name w:val="font112"/>
    <w:basedOn w:val="7"/>
    <w:qFormat/>
    <w:uiPriority w:val="0"/>
    <w:rPr>
      <w:rFonts w:ascii="Dialog . plain" w:hAnsi="Dialog . plain" w:eastAsia="Dialog . plain" w:cs="Dialog . plain"/>
      <w:color w:val="000000"/>
      <w:sz w:val="22"/>
      <w:szCs w:val="22"/>
      <w:u w:val="none"/>
    </w:rPr>
  </w:style>
  <w:style w:type="character" w:customStyle="1" w:styleId="19">
    <w:name w:val="font131"/>
    <w:basedOn w:val="7"/>
    <w:uiPriority w:val="0"/>
    <w:rPr>
      <w:rFonts w:ascii="Dialog . bold" w:hAnsi="Dialog . bold" w:eastAsia="Dialog . bold" w:cs="Dialog . bold"/>
      <w:color w:val="000000"/>
      <w:sz w:val="22"/>
      <w:szCs w:val="22"/>
      <w:u w:val="none"/>
    </w:rPr>
  </w:style>
  <w:style w:type="character" w:customStyle="1" w:styleId="20">
    <w:name w:val="font122"/>
    <w:basedOn w:val="7"/>
    <w:uiPriority w:val="0"/>
    <w:rPr>
      <w:rFonts w:ascii="Dialog . plain" w:hAnsi="Dialog . plain" w:eastAsia="Dialog . plain" w:cs="Dialog . plain"/>
      <w:color w:val="000000"/>
      <w:sz w:val="22"/>
      <w:szCs w:val="22"/>
      <w:u w:val="none"/>
    </w:rPr>
  </w:style>
  <w:style w:type="character" w:customStyle="1" w:styleId="21">
    <w:name w:val="font132"/>
    <w:basedOn w:val="7"/>
    <w:uiPriority w:val="0"/>
    <w:rPr>
      <w:rFonts w:ascii="Dialog . bold" w:hAnsi="Dialog . bold" w:eastAsia="Dialog . bold" w:cs="Dialog . bold"/>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7420</Words>
  <Characters>9003</Characters>
  <Lines>35</Lines>
  <Paragraphs>9</Paragraphs>
  <TotalTime>1051</TotalTime>
  <ScaleCrop>false</ScaleCrop>
  <LinksUpToDate>false</LinksUpToDate>
  <CharactersWithSpaces>9396</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SH</cp:lastModifiedBy>
  <dcterms:modified xsi:type="dcterms:W3CDTF">2026-03-24T01:54:03Z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930264E92FC142C8A639329ECD214191</vt:lpwstr>
  </property>
</Properties>
</file>