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CN"/>
        </w:rPr>
      </w:pP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lang w:eastAsia="zh-CN"/>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妇女联合会</w:t>
      </w:r>
    </w:p>
    <w:p>
      <w:pPr>
        <w:jc w:val="center"/>
        <w:rPr>
          <w:rFonts w:hint="default"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6</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CN"/>
        </w:rPr>
        <w:t>部门预算公开</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val="en-US" w:eastAsia="zh-CN"/>
        </w:rPr>
        <w:t>九寨沟县妇女联会</w:t>
      </w:r>
      <w:r>
        <w:rPr>
          <w:rFonts w:hint="eastAsia" w:ascii="黑体" w:hAnsi="黑体" w:eastAsia="黑体"/>
          <w:sz w:val="32"/>
          <w:szCs w:val="32"/>
          <w:highlight w:val="none"/>
        </w:rPr>
        <w:t>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九寨沟县妇女联合会</w:t>
      </w:r>
      <w:r>
        <w:rPr>
          <w:rFonts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预算</w:t>
      </w:r>
      <w:r>
        <w:rPr>
          <w:rFonts w:hint="eastAsia" w:ascii="黑体" w:hAnsi="黑体" w:eastAsia="黑体"/>
          <w:sz w:val="32"/>
          <w:szCs w:val="32"/>
          <w:highlight w:val="none"/>
        </w:rPr>
        <w:t>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部门支出总表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2-1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一般公共预算项目支出预算表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3-3</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政府性基金预算支出表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CN"/>
        </w:rPr>
        <w:t>表4-1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政府性基金预算“三公”经费支出预算表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5</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国有资本经营预算支出表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6</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部门预算项目绩效目标表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十四、</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7</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部门整体支出绩效目标表</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val="en-US" w:eastAsia="zh-CN"/>
        </w:rPr>
        <w:t>九寨沟县妇女联合会</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部门预算</w:t>
      </w:r>
      <w:r>
        <w:rPr>
          <w:rFonts w:hint="eastAsia" w:ascii="黑体" w:hAnsi="黑体" w:eastAsia="黑体"/>
          <w:sz w:val="32"/>
          <w:szCs w:val="32"/>
          <w:highlight w:val="none"/>
        </w:rPr>
        <w:t>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hint="eastAsia" w:ascii="黑体" w:hAnsi="黑体" w:eastAsia="黑体"/>
          <w:sz w:val="32"/>
          <w:szCs w:val="32"/>
          <w:highlight w:val="none"/>
        </w:rPr>
      </w:pPr>
      <w:r>
        <w:rPr>
          <w:rFonts w:hint="eastAsia" w:ascii="黑体" w:hAnsi="黑体" w:eastAsia="黑体"/>
          <w:sz w:val="32"/>
          <w:szCs w:val="32"/>
          <w:highlight w:val="none"/>
        </w:rPr>
        <w:br w:type="page"/>
      </w: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九寨沟县妇女联合会</w:t>
      </w:r>
      <w:r>
        <w:rPr>
          <w:rFonts w:hint="eastAsia" w:ascii="方正小标宋简体" w:hAnsi="黑体" w:eastAsia="方正小标宋简体"/>
          <w:sz w:val="44"/>
          <w:szCs w:val="44"/>
          <w:highlight w:val="none"/>
        </w:rPr>
        <w:t>概况</w:t>
      </w:r>
    </w:p>
    <w:p>
      <w:pPr>
        <w:ind w:firstLine="643" w:firstLineChars="200"/>
        <w:rPr>
          <w:rFonts w:ascii="仿宋_GB2312" w:hAnsi="Times New Roman" w:eastAsia="仿宋_GB2312" w:cs="Times New Roman"/>
          <w:sz w:val="32"/>
          <w:szCs w:val="32"/>
          <w:shd w:val="clear" w:color="auto" w:fill="FFFFFF"/>
        </w:rPr>
      </w:pPr>
      <w:r>
        <w:rPr>
          <w:rFonts w:hint="eastAsia" w:ascii="仿宋_GB2312" w:hAnsi="Times New Roman" w:eastAsia="仿宋_GB2312" w:cs="Times New Roman"/>
          <w:b/>
          <w:bCs/>
          <w:sz w:val="32"/>
          <w:szCs w:val="32"/>
          <w:shd w:val="clear" w:color="auto" w:fill="FFFFFF"/>
        </w:rPr>
        <w:t>一、基本职能及主要工作</w:t>
      </w:r>
    </w:p>
    <w:p>
      <w:p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妇联是党联系妇女群众的桥梁和纽带，根据党的中心任务，指导各级妇联依据《中华全国妇女联合会章程》和妇女代表大会的决议开展妇女儿童工作。代表妇女参与国家和社会事务的民主管理、民主监督，促进妇女参政，参与有关妇女儿童法律、法规和地方性规章的制定，推进“两法”、“两纲”的实施，调查研究我县妇女儿童的情况、问题，维护妇女儿童合法权益。承担县政府妇女儿童工作委员会日常工作。承办县委、县政府交办的其他事项。</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 一、基本思路</w:t>
      </w:r>
    </w:p>
    <w:p>
      <w:pPr>
        <w:widowControl w:val="0"/>
        <w:spacing w:after="0" w:line="576" w:lineRule="exact"/>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坚持以习近平新时代中国特色社会主义思想为指导，全面贯彻落实党的十九大和十九届二中、三中全会精神，围绕统筹推进“五位一体”总体布局，协调推进“四个全面”战略布局，坚持新发展理念，坚持推动高质量发展。围绕《四川省贯彻落实&lt;全国妇联关于深化妇联组织建设改革实施“破难行动”的意见&gt;》的相关要求，在重点领域、关键环节和重大问题开展规划编制和谋化明年工作，进一步理清思路，明确发展方向，完善妇联主体功能和职责推妇女工作协调全面发展，科学提出“十四五”时期我县妇联工作的基本思路、战略重点、目标任务和明年的中心工作。</w:t>
      </w:r>
    </w:p>
    <w:p>
      <w:pPr>
        <w:spacing w:line="576"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en-US" w:eastAsia="zh-CN"/>
        </w:rPr>
        <w:t xml:space="preserve"> </w:t>
      </w:r>
      <w:r>
        <w:rPr>
          <w:rFonts w:hint="eastAsia" w:ascii="黑体" w:hAnsi="黑体" w:eastAsia="黑体" w:cs="黑体"/>
          <w:sz w:val="32"/>
          <w:szCs w:val="32"/>
        </w:rPr>
        <w:t xml:space="preserve"> 二、重点工作</w:t>
      </w:r>
    </w:p>
    <w:p>
      <w:pPr>
        <w:keepNext w:val="0"/>
        <w:keepLines w:val="0"/>
        <w:pageBreakBefore w:val="0"/>
        <w:widowControl w:val="0"/>
        <w:numPr>
          <w:ilvl w:val="0"/>
          <w:numId w:val="0"/>
        </w:numPr>
        <w:kinsoku/>
        <w:wordWrap/>
        <w:overflowPunct/>
        <w:topLinePunct/>
        <w:autoSpaceDE w:val="0"/>
        <w:autoSpaceDN w:val="0"/>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黑体" w:cs="Times New Roman"/>
          <w:color w:val="auto"/>
          <w:sz w:val="32"/>
          <w:szCs w:val="32"/>
          <w:lang w:val="en-US" w:eastAsia="zh-CN"/>
        </w:rPr>
        <w:t>一、</w:t>
      </w:r>
      <w:r>
        <w:rPr>
          <w:rFonts w:hint="eastAsia" w:ascii="Calibri" w:hAnsi="Calibri" w:eastAsia="黑体" w:cs="Times New Roman"/>
          <w:color w:val="auto"/>
          <w:sz w:val="32"/>
          <w:szCs w:val="32"/>
          <w:lang w:val="en-US" w:eastAsia="zh-CN"/>
        </w:rPr>
        <w:t>强化思想引领</w:t>
      </w:r>
      <w:r>
        <w:rPr>
          <w:rFonts w:hint="default" w:ascii="Times New Roman" w:hAnsi="Times New Roman" w:eastAsia="黑体" w:cs="Times New Roman"/>
          <w:color w:val="auto"/>
          <w:sz w:val="32"/>
          <w:szCs w:val="32"/>
          <w:lang w:val="en-US" w:eastAsia="zh-CN"/>
        </w:rPr>
        <w:t>，深化巾帼大宣讲</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聚焦“巾帼心向党·</w:t>
      </w:r>
      <w:r>
        <w:rPr>
          <w:rFonts w:hint="eastAsia" w:ascii="仿宋_GB2312" w:hAnsi="仿宋_GB2312" w:eastAsia="仿宋_GB2312" w:cs="仿宋_GB2312"/>
          <w:color w:val="000000"/>
          <w:kern w:val="2"/>
          <w:sz w:val="32"/>
          <w:szCs w:val="32"/>
          <w:shd w:val="clear" w:color="auto" w:fill="FFFFFF"/>
          <w:lang w:val="en-US" w:eastAsia="zh-CN" w:bidi="ar-SA"/>
        </w:rPr>
        <w:t>建功新时代</w:t>
      </w:r>
      <w:r>
        <w:rPr>
          <w:rFonts w:hint="default" w:ascii="仿宋_GB2312" w:hAnsi="仿宋_GB2312" w:eastAsia="仿宋_GB2312" w:cs="仿宋_GB2312"/>
          <w:color w:val="000000"/>
          <w:kern w:val="2"/>
          <w:sz w:val="32"/>
          <w:szCs w:val="32"/>
          <w:shd w:val="clear" w:color="auto" w:fill="FFFFFF"/>
          <w:lang w:val="en-US" w:eastAsia="zh-CN" w:bidi="ar-SA"/>
        </w:rPr>
        <w:t>”主题</w:t>
      </w:r>
      <w:r>
        <w:rPr>
          <w:rFonts w:hint="eastAsia" w:ascii="仿宋_GB2312" w:hAnsi="仿宋_GB2312" w:eastAsia="仿宋_GB2312" w:cs="仿宋_GB2312"/>
          <w:color w:val="000000"/>
          <w:kern w:val="2"/>
          <w:sz w:val="32"/>
          <w:szCs w:val="32"/>
          <w:shd w:val="clear" w:color="auto" w:fill="FFFFFF"/>
          <w:lang w:val="en-US" w:eastAsia="zh-CN" w:bidi="ar-SA"/>
        </w:rPr>
        <w:t>，</w:t>
      </w:r>
      <w:r>
        <w:rPr>
          <w:rFonts w:hint="default" w:ascii="仿宋_GB2312" w:hAnsi="仿宋_GB2312" w:eastAsia="仿宋_GB2312" w:cs="仿宋_GB2312"/>
          <w:color w:val="000000"/>
          <w:kern w:val="2"/>
          <w:sz w:val="32"/>
          <w:szCs w:val="32"/>
          <w:shd w:val="clear" w:color="auto" w:fill="FFFFFF"/>
          <w:lang w:val="en-US" w:eastAsia="zh-CN" w:bidi="ar-SA"/>
        </w:rPr>
        <w:t>深化拓展“1+12”体系九寨采花巾帼宣讲内容，开展</w:t>
      </w:r>
      <w:r>
        <w:rPr>
          <w:rFonts w:hint="eastAsia" w:ascii="仿宋_GB2312" w:hAnsi="仿宋_GB2312" w:eastAsia="仿宋_GB2312" w:cs="仿宋_GB2312"/>
          <w:color w:val="000000"/>
          <w:kern w:val="2"/>
          <w:sz w:val="32"/>
          <w:szCs w:val="32"/>
          <w:shd w:val="clear" w:color="auto" w:fill="FFFFFF"/>
          <w:lang w:val="en-US" w:eastAsia="zh-CN" w:bidi="ar-SA"/>
        </w:rPr>
        <w:t>二十大精神学习宣传</w:t>
      </w:r>
      <w:r>
        <w:rPr>
          <w:rFonts w:hint="default" w:ascii="仿宋_GB2312" w:hAnsi="仿宋_GB2312" w:eastAsia="仿宋_GB2312" w:cs="仿宋_GB2312"/>
          <w:color w:val="000000"/>
          <w:kern w:val="2"/>
          <w:sz w:val="32"/>
          <w:szCs w:val="32"/>
          <w:shd w:val="clear" w:color="auto" w:fill="FFFFFF"/>
          <w:lang w:val="en-US" w:eastAsia="zh-CN" w:bidi="ar-SA"/>
        </w:rPr>
        <w:t>大宣讲活动，在广大妇女中进一步唱响爱党爱国爱社会主义的时代主旋律，凝聚起建功“十四五”、奋斗新征程的巾帼力量。</w:t>
      </w:r>
    </w:p>
    <w:p>
      <w:pPr>
        <w:keepNext w:val="0"/>
        <w:keepLines w:val="0"/>
        <w:pageBreakBefore w:val="0"/>
        <w:widowControl w:val="0"/>
        <w:numPr>
          <w:ilvl w:val="0"/>
          <w:numId w:val="0"/>
        </w:numPr>
        <w:kinsoku/>
        <w:wordWrap/>
        <w:overflowPunct/>
        <w:topLinePunct/>
        <w:autoSpaceDE w:val="0"/>
        <w:autoSpaceDN w:val="0"/>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lang w:val="en-US" w:eastAsia="zh-CN"/>
        </w:rPr>
        <w:t>补齐组织覆盖短板</w:t>
      </w:r>
      <w:r>
        <w:rPr>
          <w:rFonts w:hint="eastAsia" w:ascii="Times New Roman" w:hAnsi="Times New Roman" w:eastAsia="黑体" w:cs="Times New Roman"/>
          <w:color w:val="auto"/>
          <w:sz w:val="32"/>
          <w:szCs w:val="32"/>
          <w:lang w:val="en-US" w:eastAsia="zh-CN"/>
        </w:rPr>
        <w:t>，铸牢</w:t>
      </w:r>
      <w:r>
        <w:rPr>
          <w:rFonts w:hint="default" w:ascii="Times New Roman" w:hAnsi="Times New Roman" w:eastAsia="黑体" w:cs="Times New Roman"/>
          <w:color w:val="auto"/>
          <w:sz w:val="32"/>
          <w:szCs w:val="32"/>
          <w:lang w:val="en-US" w:eastAsia="zh-CN"/>
        </w:rPr>
        <w:t>基层</w:t>
      </w:r>
      <w:r>
        <w:rPr>
          <w:rFonts w:hint="eastAsia" w:ascii="Times New Roman" w:hAnsi="Times New Roman" w:eastAsia="黑体" w:cs="Times New Roman"/>
          <w:color w:val="auto"/>
          <w:sz w:val="32"/>
          <w:szCs w:val="32"/>
          <w:lang w:val="en-US" w:eastAsia="zh-CN"/>
        </w:rPr>
        <w:t>精神</w:t>
      </w:r>
      <w:r>
        <w:rPr>
          <w:rFonts w:hint="default" w:ascii="Times New Roman" w:hAnsi="Times New Roman" w:eastAsia="黑体" w:cs="Times New Roman"/>
          <w:color w:val="auto"/>
          <w:sz w:val="32"/>
          <w:szCs w:val="32"/>
          <w:lang w:val="en-US" w:eastAsia="zh-CN"/>
        </w:rPr>
        <w:t>基础</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持续推进新经济组织、新社会组织等领域应建尽建妇女组织。严格落实《妇女联合会团体会员工作条例》，持续壮大团体会员力量，注重将女科技工作者、女医务工作者等重点群体协会吸纳为团体会员</w:t>
      </w:r>
      <w:r>
        <w:rPr>
          <w:rFonts w:hint="eastAsia" w:ascii="仿宋_GB2312" w:hAnsi="仿宋_GB2312" w:eastAsia="仿宋_GB2312" w:cs="仿宋_GB2312"/>
          <w:color w:val="000000"/>
          <w:kern w:val="2"/>
          <w:sz w:val="32"/>
          <w:szCs w:val="32"/>
          <w:shd w:val="clear" w:color="auto" w:fill="FFFFFF"/>
          <w:lang w:val="en-US" w:eastAsia="zh-CN" w:bidi="ar-SA"/>
        </w:rPr>
        <w:t>。</w:t>
      </w:r>
    </w:p>
    <w:p>
      <w:pPr>
        <w:keepNext w:val="0"/>
        <w:keepLines w:val="0"/>
        <w:pageBreakBefore w:val="0"/>
        <w:widowControl w:val="0"/>
        <w:numPr>
          <w:ilvl w:val="0"/>
          <w:numId w:val="0"/>
        </w:numPr>
        <w:kinsoku/>
        <w:wordWrap/>
        <w:overflowPunct/>
        <w:topLinePunct/>
        <w:autoSpaceDE w:val="0"/>
        <w:autoSpaceDN w:val="0"/>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三、聚焦优质服务，</w:t>
      </w:r>
      <w:r>
        <w:rPr>
          <w:rFonts w:hint="default" w:ascii="Times New Roman" w:hAnsi="Times New Roman" w:eastAsia="黑体" w:cs="Times New Roman"/>
          <w:color w:val="auto"/>
          <w:sz w:val="32"/>
          <w:szCs w:val="32"/>
          <w:lang w:val="en-US" w:eastAsia="zh-CN"/>
        </w:rPr>
        <w:t>强化责</w:t>
      </w:r>
      <w:r>
        <w:rPr>
          <w:rFonts w:hint="eastAsia" w:ascii="Calibri" w:hAnsi="Calibri" w:eastAsia="黑体" w:cs="Times New Roman"/>
          <w:color w:val="auto"/>
          <w:sz w:val="32"/>
          <w:szCs w:val="32"/>
          <w:lang w:val="en-US" w:eastAsia="zh-CN"/>
        </w:rPr>
        <w:t>任</w:t>
      </w:r>
      <w:r>
        <w:rPr>
          <w:rFonts w:hint="default" w:ascii="Times New Roman" w:hAnsi="Times New Roman" w:eastAsia="黑体" w:cs="Times New Roman"/>
          <w:color w:val="auto"/>
          <w:sz w:val="32"/>
          <w:szCs w:val="32"/>
          <w:lang w:val="en-US" w:eastAsia="zh-CN"/>
        </w:rPr>
        <w:t>促发展</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持续开展“乡村振兴巾帼行动”，配合党委政府做好低收入妇女和脱贫妇女防返贫动态监测和帮扶工作，巩固拓展脱贫成果</w:t>
      </w:r>
      <w:r>
        <w:rPr>
          <w:rFonts w:hint="eastAsia" w:ascii="仿宋_GB2312" w:hAnsi="仿宋_GB2312" w:eastAsia="仿宋_GB2312" w:cs="仿宋_GB2312"/>
          <w:color w:val="000000"/>
          <w:kern w:val="2"/>
          <w:sz w:val="32"/>
          <w:szCs w:val="32"/>
          <w:shd w:val="clear" w:color="auto" w:fill="FFFFFF"/>
          <w:lang w:val="en-US" w:eastAsia="zh-CN" w:bidi="ar-SA"/>
        </w:rPr>
        <w:t>；</w:t>
      </w:r>
      <w:r>
        <w:rPr>
          <w:rFonts w:hint="default" w:ascii="仿宋_GB2312" w:hAnsi="仿宋_GB2312" w:eastAsia="仿宋_GB2312" w:cs="仿宋_GB2312"/>
          <w:color w:val="000000"/>
          <w:kern w:val="2"/>
          <w:sz w:val="32"/>
          <w:szCs w:val="32"/>
          <w:shd w:val="clear" w:color="auto" w:fill="FFFFFF"/>
          <w:lang w:val="en-US" w:eastAsia="zh-CN" w:bidi="ar-SA"/>
        </w:rPr>
        <w:t>深化居家灵活就业扶持工作</w:t>
      </w:r>
      <w:r>
        <w:rPr>
          <w:rFonts w:hint="eastAsia" w:ascii="仿宋_GB2312" w:hAnsi="仿宋_GB2312" w:eastAsia="仿宋_GB2312" w:cs="仿宋_GB2312"/>
          <w:color w:val="000000"/>
          <w:kern w:val="2"/>
          <w:sz w:val="32"/>
          <w:szCs w:val="32"/>
          <w:shd w:val="clear" w:color="auto" w:fill="FFFFFF"/>
          <w:lang w:val="en-US" w:eastAsia="zh-CN" w:bidi="ar-SA"/>
        </w:rPr>
        <w:t>；</w:t>
      </w:r>
      <w:r>
        <w:rPr>
          <w:rFonts w:hint="default" w:ascii="仿宋_GB2312" w:hAnsi="仿宋_GB2312" w:eastAsia="仿宋_GB2312" w:cs="仿宋_GB2312"/>
          <w:color w:val="000000"/>
          <w:kern w:val="2"/>
          <w:sz w:val="32"/>
          <w:szCs w:val="32"/>
          <w:shd w:val="clear" w:color="auto" w:fill="FFFFFF"/>
          <w:lang w:val="en-US" w:eastAsia="zh-CN" w:bidi="ar-SA"/>
        </w:rPr>
        <w:t>以</w:t>
      </w:r>
      <w:r>
        <w:rPr>
          <w:rFonts w:hint="eastAsia" w:ascii="仿宋_GB2312" w:hAnsi="仿宋_GB2312" w:eastAsia="仿宋_GB2312" w:cs="仿宋_GB2312"/>
          <w:color w:val="000000"/>
          <w:kern w:val="2"/>
          <w:sz w:val="32"/>
          <w:szCs w:val="32"/>
          <w:shd w:val="clear" w:color="auto" w:fill="FFFFFF"/>
          <w:lang w:val="en-US" w:eastAsia="zh-CN" w:bidi="ar-SA"/>
        </w:rPr>
        <w:t>《九寨沟县妇女发展纲要（</w:t>
      </w:r>
      <w:r>
        <w:rPr>
          <w:rFonts w:hint="default" w:ascii="仿宋_GB2312" w:hAnsi="仿宋_GB2312" w:eastAsia="仿宋_GB2312" w:cs="仿宋_GB2312"/>
          <w:color w:val="000000"/>
          <w:kern w:val="2"/>
          <w:sz w:val="32"/>
          <w:szCs w:val="32"/>
          <w:shd w:val="clear" w:color="auto" w:fill="FFFFFF"/>
          <w:lang w:val="en-US" w:eastAsia="zh-CN" w:bidi="ar-SA"/>
        </w:rPr>
        <w:t>2021-2030</w:t>
      </w:r>
      <w:r>
        <w:rPr>
          <w:rFonts w:hint="eastAsia" w:ascii="仿宋_GB2312" w:hAnsi="仿宋_GB2312" w:eastAsia="仿宋_GB2312" w:cs="仿宋_GB2312"/>
          <w:color w:val="000000"/>
          <w:kern w:val="2"/>
          <w:sz w:val="32"/>
          <w:szCs w:val="32"/>
          <w:shd w:val="clear" w:color="auto" w:fill="FFFFFF"/>
          <w:lang w:val="en-US" w:eastAsia="zh-CN" w:bidi="ar-SA"/>
        </w:rPr>
        <w:t>）（送审稿）》《九寨沟县儿童发展纲要（</w:t>
      </w:r>
      <w:r>
        <w:rPr>
          <w:rFonts w:hint="default" w:ascii="仿宋_GB2312" w:hAnsi="仿宋_GB2312" w:eastAsia="仿宋_GB2312" w:cs="仿宋_GB2312"/>
          <w:color w:val="000000"/>
          <w:kern w:val="2"/>
          <w:sz w:val="32"/>
          <w:szCs w:val="32"/>
          <w:shd w:val="clear" w:color="auto" w:fill="FFFFFF"/>
          <w:lang w:val="en-US" w:eastAsia="zh-CN" w:bidi="ar-SA"/>
        </w:rPr>
        <w:t>2021-2030</w:t>
      </w:r>
      <w:r>
        <w:rPr>
          <w:rFonts w:hint="eastAsia" w:ascii="仿宋_GB2312" w:hAnsi="仿宋_GB2312" w:eastAsia="仿宋_GB2312" w:cs="仿宋_GB2312"/>
          <w:color w:val="000000"/>
          <w:kern w:val="2"/>
          <w:sz w:val="32"/>
          <w:szCs w:val="32"/>
          <w:shd w:val="clear" w:color="auto" w:fill="FFFFFF"/>
          <w:lang w:val="en-US" w:eastAsia="zh-CN" w:bidi="ar-SA"/>
        </w:rPr>
        <w:t>）</w:t>
      </w:r>
      <w:r>
        <w:rPr>
          <w:rFonts w:hint="default" w:ascii="仿宋_GB2312" w:hAnsi="仿宋_GB2312" w:eastAsia="仿宋_GB2312" w:cs="仿宋_GB2312"/>
          <w:color w:val="000000"/>
          <w:kern w:val="2"/>
          <w:sz w:val="32"/>
          <w:szCs w:val="32"/>
          <w:shd w:val="clear" w:color="auto" w:fill="FFFFFF"/>
          <w:lang w:val="en-US" w:eastAsia="zh-CN" w:bidi="ar-SA"/>
        </w:rPr>
        <w:t>为指引，</w:t>
      </w:r>
      <w:r>
        <w:rPr>
          <w:rFonts w:hint="eastAsia" w:ascii="仿宋_GB2312" w:hAnsi="仿宋_GB2312" w:eastAsia="仿宋_GB2312" w:cs="仿宋_GB2312"/>
          <w:color w:val="000000"/>
          <w:kern w:val="2"/>
          <w:sz w:val="32"/>
          <w:szCs w:val="32"/>
          <w:shd w:val="clear" w:color="auto" w:fill="FFFFFF"/>
          <w:lang w:val="en-US" w:eastAsia="zh-CN" w:bidi="ar-SA"/>
        </w:rPr>
        <w:t>持续推进</w:t>
      </w:r>
      <w:r>
        <w:rPr>
          <w:rFonts w:hint="default" w:ascii="仿宋_GB2312" w:hAnsi="仿宋_GB2312" w:eastAsia="仿宋_GB2312" w:cs="仿宋_GB2312"/>
          <w:color w:val="000000"/>
          <w:kern w:val="2"/>
          <w:sz w:val="32"/>
          <w:szCs w:val="32"/>
          <w:shd w:val="clear" w:color="auto" w:fill="FFFFFF"/>
          <w:lang w:val="en-US" w:eastAsia="zh-CN" w:bidi="ar-SA"/>
        </w:rPr>
        <w:t>“乡村振兴巾帼人才培养计划”</w:t>
      </w:r>
      <w:r>
        <w:rPr>
          <w:rFonts w:hint="eastAsia" w:ascii="仿宋_GB2312" w:hAnsi="仿宋_GB2312" w:eastAsia="仿宋_GB2312" w:cs="仿宋_GB2312"/>
          <w:color w:val="000000"/>
          <w:kern w:val="2"/>
          <w:sz w:val="32"/>
          <w:szCs w:val="32"/>
          <w:shd w:val="clear" w:color="auto" w:fill="FFFFFF"/>
          <w:lang w:val="en-US" w:eastAsia="zh-CN" w:bidi="ar-SA"/>
        </w:rPr>
        <w:t>和</w:t>
      </w:r>
      <w:r>
        <w:rPr>
          <w:rFonts w:hint="default" w:ascii="仿宋_GB2312" w:hAnsi="仿宋_GB2312" w:eastAsia="仿宋_GB2312" w:cs="仿宋_GB2312"/>
          <w:color w:val="000000"/>
          <w:kern w:val="2"/>
          <w:sz w:val="32"/>
          <w:szCs w:val="32"/>
          <w:shd w:val="clear" w:color="auto" w:fill="FFFFFF"/>
          <w:lang w:val="en-US" w:eastAsia="zh-CN" w:bidi="ar-SA"/>
        </w:rPr>
        <w:t>多举措助力</w:t>
      </w:r>
      <w:r>
        <w:rPr>
          <w:rFonts w:hint="eastAsia" w:ascii="仿宋_GB2312" w:hAnsi="仿宋_GB2312" w:eastAsia="仿宋_GB2312" w:cs="仿宋_GB2312"/>
          <w:color w:val="000000"/>
          <w:kern w:val="2"/>
          <w:sz w:val="32"/>
          <w:szCs w:val="32"/>
          <w:shd w:val="clear" w:color="auto" w:fill="FFFFFF"/>
          <w:lang w:val="en-US" w:eastAsia="zh-CN" w:bidi="ar-SA"/>
        </w:rPr>
        <w:t>妇女创业就业工作。</w:t>
      </w:r>
      <w:r>
        <w:rPr>
          <w:rFonts w:hint="default" w:ascii="仿宋_GB2312" w:hAnsi="仿宋_GB2312" w:eastAsia="仿宋_GB2312" w:cs="仿宋_GB2312"/>
          <w:color w:val="000000"/>
          <w:kern w:val="2"/>
          <w:sz w:val="32"/>
          <w:szCs w:val="32"/>
          <w:shd w:val="clear" w:color="auto" w:fill="FFFFFF"/>
          <w:lang w:val="en-US" w:eastAsia="zh-CN" w:bidi="ar-SA"/>
        </w:rPr>
        <w:t>继续争取上级妇联支持，扎实做好“两癌”患病妇女筛查、低收入“两癌”患病妇女救助和村（社区）患大病妇女救助工作，严把救助人员审核关，做实女农民工关爱工作。</w:t>
      </w:r>
    </w:p>
    <w:p>
      <w:pPr>
        <w:keepNext w:val="0"/>
        <w:keepLines w:val="0"/>
        <w:pageBreakBefore w:val="0"/>
        <w:numPr>
          <w:ilvl w:val="0"/>
          <w:numId w:val="0"/>
        </w:numPr>
        <w:kinsoku/>
        <w:wordWrap/>
        <w:overflowPunct/>
        <w:topLinePunct/>
        <w:autoSpaceDE w:val="0"/>
        <w:autoSpaceDN w:val="0"/>
        <w:bidi w:val="0"/>
        <w:spacing w:line="576" w:lineRule="exact"/>
        <w:ind w:left="0" w:leftChars="0" w:right="0" w:rightChars="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 xml:space="preserve">    </w:t>
      </w:r>
      <w:r>
        <w:rPr>
          <w:rFonts w:hint="eastAsia" w:ascii="Calibri" w:hAnsi="Calibri"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lang w:val="en-US" w:eastAsia="zh-CN"/>
        </w:rPr>
        <w:t>四、</w:t>
      </w:r>
      <w:r>
        <w:rPr>
          <w:rFonts w:hint="eastAsia" w:ascii="Calibri" w:hAnsi="Calibri" w:eastAsia="黑体" w:cs="Times New Roman"/>
          <w:color w:val="auto"/>
          <w:sz w:val="32"/>
          <w:szCs w:val="32"/>
          <w:lang w:val="en-US" w:eastAsia="zh-CN"/>
        </w:rPr>
        <w:t>做好“家”字文章</w:t>
      </w:r>
      <w:r>
        <w:rPr>
          <w:rFonts w:hint="default" w:ascii="Times New Roman" w:hAnsi="Times New Roman" w:eastAsia="黑体" w:cs="Times New Roman"/>
          <w:color w:val="auto"/>
          <w:sz w:val="32"/>
          <w:szCs w:val="32"/>
        </w:rPr>
        <w:t>，</w:t>
      </w:r>
      <w:r>
        <w:rPr>
          <w:rFonts w:hint="eastAsia" w:ascii="Calibri" w:hAnsi="Calibri" w:eastAsia="黑体" w:cs="Times New Roman"/>
          <w:color w:val="auto"/>
          <w:sz w:val="32"/>
          <w:szCs w:val="32"/>
          <w:lang w:val="en-US" w:eastAsia="zh-CN"/>
        </w:rPr>
        <w:t>增强</w:t>
      </w:r>
      <w:r>
        <w:rPr>
          <w:rFonts w:hint="default" w:ascii="Times New Roman" w:hAnsi="Times New Roman" w:eastAsia="黑体" w:cs="Times New Roman"/>
          <w:color w:val="auto"/>
          <w:sz w:val="32"/>
          <w:szCs w:val="32"/>
          <w:lang w:val="en-US" w:eastAsia="zh-CN" w:bidi="ar-SA"/>
        </w:rPr>
        <w:t>家</w:t>
      </w:r>
      <w:r>
        <w:rPr>
          <w:rFonts w:hint="eastAsia" w:ascii="Calibri" w:hAnsi="Calibri" w:eastAsia="黑体" w:cs="Times New Roman"/>
          <w:color w:val="auto"/>
          <w:sz w:val="32"/>
          <w:szCs w:val="32"/>
          <w:lang w:val="en-US" w:eastAsia="zh-CN" w:bidi="ar-SA"/>
        </w:rPr>
        <w:t>庭建设</w:t>
      </w:r>
      <w:r>
        <w:rPr>
          <w:rFonts w:hint="default" w:ascii="Times New Roman" w:hAnsi="Times New Roman" w:eastAsia="黑体" w:cs="Times New Roman"/>
          <w:color w:val="auto"/>
          <w:sz w:val="32"/>
          <w:szCs w:val="32"/>
          <w:lang w:val="en-US" w:eastAsia="zh-CN"/>
        </w:rPr>
        <w:t>内涵</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常态化开展寻找“最美家庭”活动，探索礼遇“最美家庭”“五好家庭”制度机制，联合县纪委开展“廉洁文化进家庭”活动，发挥榜样激励作用，以家庭文明促进社会文明。深化“好家风”传承巡讲巡展活动，让好家风更加贴近群众生活。编制出台《九寨沟县关于指导推进家庭教育五年规划（2021—2025年）》。常态化开展公益性家庭教育讲座，继续开展书香飘万家—家庭亲子诵读活动。</w:t>
      </w:r>
    </w:p>
    <w:p>
      <w:pPr>
        <w:keepNext w:val="0"/>
        <w:keepLines w:val="0"/>
        <w:pageBreakBefore w:val="0"/>
        <w:numPr>
          <w:ilvl w:val="0"/>
          <w:numId w:val="0"/>
        </w:numPr>
        <w:kinsoku/>
        <w:wordWrap/>
        <w:overflowPunct/>
        <w:topLinePunct/>
        <w:autoSpaceDE w:val="0"/>
        <w:autoSpaceDN w:val="0"/>
        <w:bidi w:val="0"/>
        <w:spacing w:line="576" w:lineRule="exact"/>
        <w:ind w:left="0" w:leftChars="0" w:right="0" w:rightChars="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 xml:space="preserve">   </w:t>
      </w:r>
      <w:r>
        <w:rPr>
          <w:rFonts w:hint="eastAsia" w:ascii="Calibri" w:hAnsi="Calibri"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lang w:val="en-US" w:eastAsia="zh-CN"/>
        </w:rPr>
        <w:t>、</w:t>
      </w:r>
      <w:r>
        <w:rPr>
          <w:rFonts w:hint="eastAsia" w:ascii="Calibri" w:hAnsi="Calibri" w:eastAsia="黑体" w:cs="Times New Roman"/>
          <w:color w:val="auto"/>
          <w:sz w:val="32"/>
          <w:szCs w:val="32"/>
          <w:lang w:val="en-US" w:eastAsia="zh-CN"/>
        </w:rPr>
        <w:t>加强维权队伍建设</w:t>
      </w:r>
      <w:r>
        <w:rPr>
          <w:rFonts w:hint="default"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val="en-US" w:eastAsia="zh-CN"/>
        </w:rPr>
        <w:t>着力</w:t>
      </w:r>
      <w:r>
        <w:rPr>
          <w:rFonts w:hint="default" w:ascii="Times New Roman" w:hAnsi="Times New Roman" w:eastAsia="黑体" w:cs="Times New Roman"/>
          <w:color w:val="auto"/>
          <w:sz w:val="32"/>
          <w:szCs w:val="32"/>
          <w:lang w:val="en-US" w:eastAsia="zh-CN"/>
        </w:rPr>
        <w:t>解决维权重难点问题</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default" w:ascii="仿宋_GB2312" w:hAnsi="仿宋_GB2312" w:eastAsia="仿宋_GB2312" w:cs="仿宋_GB2312"/>
          <w:color w:val="000000"/>
          <w:kern w:val="2"/>
          <w:sz w:val="32"/>
          <w:szCs w:val="32"/>
          <w:shd w:val="clear" w:color="auto" w:fill="FFFFFF"/>
          <w:lang w:val="en-US" w:eastAsia="zh-CN" w:bidi="ar-SA"/>
        </w:rPr>
        <w:t>联动政法、公安、检察、法院、司法和民政等部门，加强维权干部培训，整合用好各类资源，壮大专兼职维权工作队伍，不断提升维权服务意识和能力水平。形成风险联查、问题联治、舆情联对、工作联动、平安联创的工作机制，用温情服务和铮铮铁拳，努力打造妇女儿童维权工作的“九寨模式”。聚焦关注性侵、家暴、婚姻家庭纠纷、农村妇女土地权益、女性就业、精神残疾和智障女性等妇女儿童维权重点领域，密切关注新业态新就业群体中的妇女权益保护问题，持续落实好妇女儿童维权“五项机制”，联合有关部门进一步落实落细反家庭暴力八项措施、妇女儿童权益保护网格化服务管理、妇联组织接待处置性侵案件工作规程、推动健全党政主导的妇女儿童维权服务机制，下好“先手棋”、打好“主动仗”、弹好“协奏曲”，常态化开展婚姻家庭纠纷预防排查化解工作。</w:t>
      </w:r>
    </w:p>
    <w:p>
      <w:pPr>
        <w:pStyle w:val="3"/>
        <w:numPr>
          <w:ilvl w:val="0"/>
          <w:numId w:val="1"/>
        </w:numPr>
        <w:ind w:left="210" w:leftChars="0" w:firstLineChars="0"/>
        <w:rPr>
          <w:rFonts w:hint="eastAsia" w:ascii="方正小标宋简体" w:hAnsi="黑体" w:eastAsia="方正小标宋简体" w:cstheme="minorBidi"/>
          <w:kern w:val="2"/>
          <w:sz w:val="32"/>
          <w:szCs w:val="32"/>
          <w:highlight w:val="none"/>
          <w:lang w:val="en-US" w:eastAsia="zh-CN" w:bidi="ar-SA"/>
        </w:rPr>
      </w:pPr>
      <w:r>
        <w:rPr>
          <w:rFonts w:hint="eastAsia" w:ascii="方正小标宋简体" w:hAnsi="黑体" w:eastAsia="方正小标宋简体" w:cstheme="minorBidi"/>
          <w:kern w:val="2"/>
          <w:sz w:val="32"/>
          <w:szCs w:val="32"/>
          <w:highlight w:val="none"/>
          <w:lang w:val="en-US" w:eastAsia="zh-CN" w:bidi="ar-SA"/>
        </w:rPr>
        <w:t>部门预算构成</w:t>
      </w:r>
    </w:p>
    <w:p>
      <w:pPr>
        <w:widowControl w:val="0"/>
        <w:spacing w:after="0" w:line="576" w:lineRule="exact"/>
        <w:ind w:firstLine="640" w:firstLineChars="200"/>
        <w:jc w:val="both"/>
        <w:rPr>
          <w:rFonts w:hint="default"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九寨沟县妇女联合会下属二级预算单位</w:t>
      </w:r>
      <w:r>
        <w:rPr>
          <w:rFonts w:hint="default" w:ascii="仿宋_GB2312" w:hAnsi="仿宋_GB2312" w:eastAsia="仿宋_GB2312" w:cs="仿宋_GB2312"/>
          <w:color w:val="000000"/>
          <w:kern w:val="2"/>
          <w:sz w:val="32"/>
          <w:szCs w:val="32"/>
          <w:shd w:val="clear" w:color="auto" w:fill="FFFFFF"/>
          <w:lang w:val="en-US" w:eastAsia="zh-CN" w:bidi="ar-SA"/>
        </w:rPr>
        <w:t>2</w:t>
      </w:r>
      <w:r>
        <w:rPr>
          <w:rFonts w:hint="eastAsia" w:ascii="仿宋_GB2312" w:hAnsi="仿宋_GB2312" w:eastAsia="仿宋_GB2312" w:cs="仿宋_GB2312"/>
          <w:color w:val="000000"/>
          <w:kern w:val="2"/>
          <w:sz w:val="32"/>
          <w:szCs w:val="32"/>
          <w:shd w:val="clear" w:color="auto" w:fill="FFFFFF"/>
          <w:lang w:val="en-US" w:eastAsia="zh-CN" w:bidi="ar-SA"/>
        </w:rPr>
        <w:t>个，其中行政单位</w:t>
      </w:r>
      <w:r>
        <w:rPr>
          <w:rFonts w:hint="default" w:ascii="仿宋_GB2312" w:hAnsi="仿宋_GB2312" w:eastAsia="仿宋_GB2312" w:cs="仿宋_GB2312"/>
          <w:color w:val="000000"/>
          <w:kern w:val="2"/>
          <w:sz w:val="32"/>
          <w:szCs w:val="32"/>
          <w:shd w:val="clear" w:color="auto" w:fill="FFFFFF"/>
          <w:lang w:val="en-US" w:eastAsia="zh-CN" w:bidi="ar-SA"/>
        </w:rPr>
        <w:t>1</w:t>
      </w:r>
      <w:r>
        <w:rPr>
          <w:rFonts w:hint="eastAsia" w:ascii="仿宋_GB2312" w:hAnsi="仿宋_GB2312" w:eastAsia="仿宋_GB2312" w:cs="仿宋_GB2312"/>
          <w:color w:val="000000"/>
          <w:kern w:val="2"/>
          <w:sz w:val="32"/>
          <w:szCs w:val="32"/>
          <w:shd w:val="clear" w:color="auto" w:fill="FFFFFF"/>
          <w:lang w:val="en-US" w:eastAsia="zh-CN" w:bidi="ar-SA"/>
        </w:rPr>
        <w:t>个，事业单位</w:t>
      </w:r>
      <w:r>
        <w:rPr>
          <w:rFonts w:hint="default" w:ascii="仿宋_GB2312" w:hAnsi="仿宋_GB2312" w:eastAsia="仿宋_GB2312" w:cs="仿宋_GB2312"/>
          <w:color w:val="000000"/>
          <w:kern w:val="2"/>
          <w:sz w:val="32"/>
          <w:szCs w:val="32"/>
          <w:shd w:val="clear" w:color="auto" w:fill="FFFFFF"/>
          <w:lang w:val="en-US" w:eastAsia="zh-CN" w:bidi="ar-SA"/>
        </w:rPr>
        <w:t>1</w:t>
      </w:r>
      <w:r>
        <w:rPr>
          <w:rFonts w:hint="eastAsia" w:ascii="仿宋_GB2312" w:hAnsi="仿宋_GB2312" w:eastAsia="仿宋_GB2312" w:cs="仿宋_GB2312"/>
          <w:color w:val="000000"/>
          <w:kern w:val="2"/>
          <w:sz w:val="32"/>
          <w:szCs w:val="32"/>
          <w:shd w:val="clear" w:color="auto" w:fill="FFFFFF"/>
          <w:lang w:val="en-US" w:eastAsia="zh-CN" w:bidi="ar-SA"/>
        </w:rPr>
        <w:t>个。包括：</w:t>
      </w:r>
      <w:bookmarkStart w:id="0" w:name="_Toc67948559"/>
      <w:bookmarkStart w:id="1" w:name="_Toc88884150"/>
      <w:r>
        <w:rPr>
          <w:rFonts w:hint="eastAsia" w:ascii="仿宋_GB2312" w:hAnsi="仿宋_GB2312" w:eastAsia="仿宋_GB2312" w:cs="仿宋_GB2312"/>
          <w:color w:val="000000"/>
          <w:kern w:val="2"/>
          <w:sz w:val="32"/>
          <w:szCs w:val="32"/>
          <w:shd w:val="clear" w:color="auto" w:fill="FFFFFF"/>
          <w:lang w:val="en-US" w:eastAsia="zh-CN" w:bidi="ar-SA"/>
        </w:rPr>
        <w:t>1.</w:t>
      </w:r>
      <w:r>
        <w:rPr>
          <w:rFonts w:hint="default" w:ascii="仿宋_GB2312" w:hAnsi="仿宋_GB2312" w:eastAsia="仿宋_GB2312" w:cs="仿宋_GB2312"/>
          <w:color w:val="000000"/>
          <w:kern w:val="2"/>
          <w:sz w:val="32"/>
          <w:szCs w:val="32"/>
          <w:shd w:val="clear" w:color="auto" w:fill="FFFFFF"/>
          <w:lang w:val="en-US" w:eastAsia="zh-CN" w:bidi="ar-SA"/>
        </w:rPr>
        <w:t>九寨沟县</w:t>
      </w:r>
      <w:bookmarkEnd w:id="0"/>
      <w:bookmarkEnd w:id="1"/>
      <w:r>
        <w:rPr>
          <w:rFonts w:hint="eastAsia" w:ascii="仿宋_GB2312" w:hAnsi="仿宋_GB2312" w:eastAsia="仿宋_GB2312" w:cs="仿宋_GB2312"/>
          <w:color w:val="000000"/>
          <w:kern w:val="2"/>
          <w:sz w:val="32"/>
          <w:szCs w:val="32"/>
          <w:shd w:val="clear" w:color="auto" w:fill="FFFFFF"/>
          <w:lang w:val="en-US" w:eastAsia="zh-CN" w:bidi="ar-SA"/>
        </w:rPr>
        <w:t>妇女联合会2.九寨沟县妇女儿童服务中。</w:t>
      </w:r>
    </w:p>
    <w:p>
      <w:pPr>
        <w:numPr>
          <w:numId w:val="0"/>
        </w:numPr>
        <w:rPr>
          <w:rFonts w:hint="default"/>
          <w:lang w:val="en-US" w:eastAsia="zh-CN"/>
        </w:rPr>
      </w:pP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val="en-US" w:eastAsia="zh-CN"/>
        </w:rPr>
        <w:t>县妇联</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CN"/>
        </w:rPr>
        <w:t>部门预算</w:t>
      </w:r>
      <w:r>
        <w:rPr>
          <w:rFonts w:ascii="方正小标宋简体" w:hAnsi="黑体" w:eastAsia="方正小标宋简体"/>
          <w:sz w:val="44"/>
          <w:szCs w:val="44"/>
          <w:highlight w:val="none"/>
        </w:rPr>
        <w:t>表</w:t>
      </w:r>
    </w:p>
    <w:tbl>
      <w:tblPr>
        <w:tblStyle w:val="8"/>
        <w:tblpPr w:leftFromText="180" w:rightFromText="180" w:vertAnchor="text" w:horzAnchor="page" w:tblpX="1725" w:tblpY="456"/>
        <w:tblOverlap w:val="never"/>
        <w:tblW w:w="94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
        <w:gridCol w:w="3112"/>
        <w:gridCol w:w="1244"/>
        <w:gridCol w:w="3112"/>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4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74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9214"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24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46"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435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4858"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24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1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4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i w:val="0"/>
                <w:iCs w:val="0"/>
                <w:color w:val="000000"/>
                <w:kern w:val="0"/>
                <w:sz w:val="22"/>
                <w:szCs w:val="22"/>
                <w:u w:val="none"/>
                <w:lang w:val="en-US" w:eastAsia="zh-CN" w:bidi="ar"/>
              </w:rPr>
              <w:t>本 年 收 入 合 计</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i w:val="0"/>
                <w:iCs w:val="0"/>
                <w:color w:val="000000"/>
                <w:kern w:val="0"/>
                <w:sz w:val="22"/>
                <w:szCs w:val="22"/>
                <w:u w:val="none"/>
                <w:lang w:val="en-US" w:eastAsia="zh-CN" w:bidi="ar"/>
              </w:rPr>
              <w:t>本 年 支 出 合 计</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Hiragino Sans GB" w:hAnsi="Hiragino Sans GB" w:eastAsia="Hiragino Sans GB" w:cs="Hiragino Sans GB"/>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default" w:ascii="Hiragino Sans GB" w:hAnsi="Hiragino Sans GB" w:eastAsia="Hiragino Sans GB" w:cs="Hiragino Sans GB"/>
                <w:b/>
                <w:bCs/>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r>
    </w:tbl>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p>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902"/>
        <w:gridCol w:w="2288"/>
        <w:gridCol w:w="882"/>
        <w:gridCol w:w="873"/>
        <w:gridCol w:w="882"/>
        <w:gridCol w:w="873"/>
        <w:gridCol w:w="878"/>
        <w:gridCol w:w="878"/>
        <w:gridCol w:w="878"/>
        <w:gridCol w:w="878"/>
        <w:gridCol w:w="878"/>
        <w:gridCol w:w="878"/>
        <w:gridCol w:w="1756"/>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0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28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968"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175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 xml:space="preserve"> </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02"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2288" w:type="dxa"/>
            <w:tcBorders>
              <w:top w:val="single" w:color="FFFFFF" w:sz="4" w:space="0"/>
              <w:left w:val="single" w:color="FFFFFF" w:sz="4" w:space="0"/>
              <w:bottom w:val="nil"/>
              <w:right w:val="single" w:color="FFFFFF" w:sz="4" w:space="0"/>
            </w:tcBorders>
            <w:shd w:val="clear" w:color="auto" w:fill="auto"/>
            <w:noWrap/>
            <w:vAlign w:val="center"/>
          </w:tcPr>
          <w:p/>
        </w:tc>
        <w:tc>
          <w:tcPr>
            <w:tcW w:w="88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56"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19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8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88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8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8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8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8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8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8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87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87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hint="eastAsia" w:ascii="宋体" w:hAnsi="宋体" w:eastAsia="宋体" w:cs="宋体"/>
                <w:b/>
                <w:bCs/>
                <w:i w:val="0"/>
                <w:iCs w:val="0"/>
                <w:color w:val="000000"/>
                <w:sz w:val="22"/>
                <w:szCs w:val="22"/>
                <w:u w:val="none"/>
              </w:rPr>
            </w:pPr>
          </w:p>
        </w:tc>
        <w:tc>
          <w:tcPr>
            <w:tcW w:w="22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105.86</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105.86</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22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妇女联合会</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105.86</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22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妇女儿童服务中心</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bl>
    <w:p>
      <w:pPr>
        <w:pStyle w:val="3"/>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p>
    <w:tbl>
      <w:tblPr>
        <w:tblStyle w:val="8"/>
        <w:tblW w:w="466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9"/>
        <w:gridCol w:w="546"/>
        <w:gridCol w:w="437"/>
        <w:gridCol w:w="2723"/>
        <w:gridCol w:w="1564"/>
        <w:gridCol w:w="3888"/>
        <w:gridCol w:w="1541"/>
        <w:gridCol w:w="1541"/>
        <w:gridCol w:w="15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8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851"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6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88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92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303"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541"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830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5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6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88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2723"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56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88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27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105.86</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105.86</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妇女联合会</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105.86</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vMerge w:val="restart"/>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29</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73.93</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73.93</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7.09</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3.86</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3.38</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0.90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02</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5.80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rPr>
          <w:rFonts w:hint="default"/>
          <w:lang w:eastAsia="zh-Hans"/>
        </w:rPr>
        <w:sectPr>
          <w:pgSz w:w="16838" w:h="11906" w:orient="landscape"/>
          <w:pgMar w:top="1800" w:right="1440" w:bottom="1800" w:left="1440" w:header="851" w:footer="992" w:gutter="0"/>
          <w:cols w:space="425"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1259"/>
        <w:gridCol w:w="738"/>
        <w:gridCol w:w="1260"/>
        <w:gridCol w:w="737"/>
        <w:gridCol w:w="1264"/>
        <w:gridCol w:w="1439"/>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3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5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3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1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300"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994"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25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13"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994"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6306"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2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3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6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14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161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105.86</w:t>
            </w:r>
          </w:p>
        </w:tc>
        <w:tc>
          <w:tcPr>
            <w:tcW w:w="12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73.93</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73.93</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16.64</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16.64</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6.43</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6.43</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8.86</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8.86</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pStyle w:val="3"/>
        <w:ind w:left="0" w:leftChars="0" w:firstLine="0" w:firstLineChars="0"/>
        <w:rPr>
          <w:rFonts w:hint="eastAsia" w:eastAsia="宋体"/>
          <w:lang w:eastAsia="zh-CN"/>
        </w:rPr>
      </w:pPr>
    </w:p>
    <w:p>
      <w:pPr>
        <w:jc w:val="both"/>
        <w:rPr>
          <w:rFonts w:ascii="方正小标宋简体" w:hAnsi="黑体" w:eastAsia="方正小标宋简体"/>
          <w:sz w:val="44"/>
          <w:szCs w:val="44"/>
          <w:highlight w:val="none"/>
        </w:rPr>
        <w:sectPr>
          <w:pgSz w:w="11906" w:h="16838"/>
          <w:pgMar w:top="1440" w:right="1800" w:bottom="1440" w:left="1800" w:header="851" w:footer="992" w:gutter="0"/>
          <w:cols w:space="425"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461"/>
        <w:gridCol w:w="385"/>
        <w:gridCol w:w="551"/>
        <w:gridCol w:w="440"/>
        <w:gridCol w:w="554"/>
        <w:gridCol w:w="554"/>
        <w:gridCol w:w="554"/>
        <w:gridCol w:w="554"/>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9"/>
        <w:gridCol w:w="329"/>
        <w:gridCol w:w="329"/>
        <w:gridCol w:w="329"/>
        <w:gridCol w:w="329"/>
        <w:gridCol w:w="3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33"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8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955" w:type="dxa"/>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19"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814"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4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nil"/>
              <w:right w:val="single" w:color="FFFFFF"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4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08"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814"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037"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3260"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4296" w:type="dxa"/>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833"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3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33"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2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2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9"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35"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4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3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4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妇女联合会</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妇女儿童服务中心</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pStyle w:val="3"/>
        <w:sectPr>
          <w:pgSz w:w="16838" w:h="11906" w:orient="landscape"/>
          <w:pgMar w:top="1800" w:right="1440" w:bottom="1800" w:left="1440" w:header="851" w:footer="992" w:gutter="0"/>
          <w:cols w:space="425" w:num="1"/>
          <w:docGrid w:type="lines" w:linePitch="312" w:charSpace="0"/>
        </w:sectPr>
      </w:pPr>
    </w:p>
    <w:tbl>
      <w:tblPr>
        <w:tblStyle w:val="8"/>
        <w:tblW w:w="50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546"/>
        <w:gridCol w:w="437"/>
        <w:gridCol w:w="2312"/>
        <w:gridCol w:w="1483"/>
        <w:gridCol w:w="3590"/>
        <w:gridCol w:w="882"/>
        <w:gridCol w:w="1237"/>
        <w:gridCol w:w="3649"/>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177"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8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5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64"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914"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250"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778"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3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649"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25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7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3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364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17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48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59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77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3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364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8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2312"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48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5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77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3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364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23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8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5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105.86</w:t>
            </w:r>
          </w:p>
        </w:tc>
        <w:tc>
          <w:tcPr>
            <w:tcW w:w="12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364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4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12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364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4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妇女联合会部门</w:t>
            </w: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12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364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2" w:type="dxa"/>
            <w:vMerge w:val="restart"/>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09</w:t>
            </w: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8.40</w:t>
            </w:r>
          </w:p>
        </w:tc>
        <w:tc>
          <w:tcPr>
            <w:tcW w:w="12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364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29</w:t>
            </w: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4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73.93</w:t>
            </w:r>
          </w:p>
        </w:tc>
        <w:tc>
          <w:tcPr>
            <w:tcW w:w="12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73.93</w:t>
            </w:r>
          </w:p>
        </w:tc>
        <w:tc>
          <w:tcPr>
            <w:tcW w:w="364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29</w:t>
            </w: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16.88</w:t>
            </w:r>
          </w:p>
        </w:tc>
        <w:tc>
          <w:tcPr>
            <w:tcW w:w="12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364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10.74</w:t>
            </w:r>
          </w:p>
        </w:tc>
        <w:tc>
          <w:tcPr>
            <w:tcW w:w="12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10.74</w:t>
            </w:r>
          </w:p>
        </w:tc>
        <w:tc>
          <w:tcPr>
            <w:tcW w:w="364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4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5.90</w:t>
            </w:r>
          </w:p>
        </w:tc>
        <w:tc>
          <w:tcPr>
            <w:tcW w:w="12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w:t>
            </w:r>
          </w:p>
        </w:tc>
        <w:tc>
          <w:tcPr>
            <w:tcW w:w="364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4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7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3.38</w:t>
            </w:r>
          </w:p>
        </w:tc>
        <w:tc>
          <w:tcPr>
            <w:tcW w:w="12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364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2" w:type="dxa"/>
            <w:vMerge w:val="continue"/>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81" w:type="dxa"/>
            <w:tcBorders>
              <w:top w:val="nil"/>
              <w:left w:val="single" w:color="FFFFFF" w:sz="4" w:space="0"/>
              <w:bottom w:val="nil"/>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210</w:t>
            </w:r>
          </w:p>
        </w:tc>
        <w:tc>
          <w:tcPr>
            <w:tcW w:w="384" w:type="dxa"/>
            <w:tcBorders>
              <w:top w:val="nil"/>
              <w:left w:val="single" w:color="FFFFFF" w:sz="4" w:space="0"/>
              <w:bottom w:val="nil"/>
              <w:right w:val="single" w:color="FFFFFF" w:sz="4" w:space="0"/>
            </w:tcBorders>
            <w:shd w:val="clear" w:color="auto" w:fill="auto"/>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2312" w:type="dxa"/>
            <w:tcBorders>
              <w:top w:val="nil"/>
              <w:left w:val="single" w:color="FFFFFF" w:sz="4" w:space="0"/>
              <w:bottom w:val="nil"/>
              <w:right w:val="single" w:color="FFFFFF" w:sz="4" w:space="0"/>
            </w:tcBorders>
            <w:shd w:val="clear" w:color="auto" w:fill="auto"/>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02</w:t>
            </w:r>
          </w:p>
        </w:tc>
        <w:tc>
          <w:tcPr>
            <w:tcW w:w="1483" w:type="dxa"/>
            <w:tcBorders>
              <w:top w:val="nil"/>
              <w:left w:val="single" w:color="FFFFFF" w:sz="4" w:space="0"/>
              <w:bottom w:val="nil"/>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602</w:t>
            </w:r>
          </w:p>
        </w:tc>
        <w:tc>
          <w:tcPr>
            <w:tcW w:w="3590"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778"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1.78</w:t>
            </w:r>
          </w:p>
        </w:tc>
        <w:tc>
          <w:tcPr>
            <w:tcW w:w="1237"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1.78</w:t>
            </w:r>
          </w:p>
        </w:tc>
        <w:tc>
          <w:tcPr>
            <w:tcW w:w="3649" w:type="dxa"/>
            <w:tcBorders>
              <w:top w:val="nil"/>
              <w:left w:val="single" w:color="FFFFFF" w:sz="4" w:space="0"/>
              <w:bottom w:val="nil"/>
              <w:right w:val="single" w:color="FFFFFF" w:sz="4" w:space="0"/>
            </w:tcBorders>
            <w:shd w:val="clear" w:color="auto" w:fill="auto"/>
            <w:noWrap/>
            <w:vAlign w:val="center"/>
          </w:tcPr>
          <w:p>
            <w:pPr>
              <w:jc w:val="right"/>
            </w:pPr>
          </w:p>
        </w:tc>
        <w:tc>
          <w:tcPr>
            <w:tcW w:w="222" w:type="dxa"/>
            <w:vMerge w:val="continue"/>
            <w:tcBorders>
              <w:top w:val="single" w:color="FFFFFF" w:sz="4" w:space="0"/>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sectPr>
          <w:pgSz w:w="16838" w:h="11906" w:orient="landscape"/>
          <w:pgMar w:top="1800" w:right="1440" w:bottom="1800" w:left="1440" w:header="851" w:footer="992" w:gutter="0"/>
          <w:cols w:space="425"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95"/>
        <w:gridCol w:w="1267"/>
        <w:gridCol w:w="980"/>
        <w:gridCol w:w="1748"/>
        <w:gridCol w:w="877"/>
        <w:gridCol w:w="974"/>
        <w:gridCol w:w="153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937"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078"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677"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7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7"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4677"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40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93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98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6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74"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8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54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27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98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76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74"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8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7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105.86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99.33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6.53</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妇女联合会</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妇女儿童服务中心</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222" w:type="dxa"/>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nil"/>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275" w:type="dxa"/>
            <w:tcBorders>
              <w:top w:val="nil"/>
              <w:left w:val="single" w:color="FFFFFF" w:sz="4" w:space="0"/>
              <w:bottom w:val="nil"/>
              <w:right w:val="single" w:color="FFFFFF" w:sz="4" w:space="0"/>
            </w:tcBorders>
            <w:shd w:val="clear" w:color="auto" w:fill="auto"/>
            <w:noWrap/>
            <w:vAlign w:val="center"/>
          </w:tcPr>
          <w:p>
            <w:pPr>
              <w:jc w:val="center"/>
            </w:pPr>
          </w:p>
        </w:tc>
        <w:tc>
          <w:tcPr>
            <w:tcW w:w="984"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301</w:t>
            </w:r>
          </w:p>
        </w:tc>
        <w:tc>
          <w:tcPr>
            <w:tcW w:w="1757"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881"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33.91</w:t>
            </w:r>
          </w:p>
        </w:tc>
        <w:tc>
          <w:tcPr>
            <w:tcW w:w="978"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33.91</w:t>
            </w:r>
          </w:p>
        </w:tc>
        <w:tc>
          <w:tcPr>
            <w:tcW w:w="1544" w:type="dxa"/>
            <w:tcBorders>
              <w:top w:val="nil"/>
              <w:left w:val="single" w:color="FFFFFF" w:sz="4" w:space="0"/>
              <w:bottom w:val="nil"/>
              <w:right w:val="single" w:color="FFFFFF" w:sz="4" w:space="0"/>
            </w:tcBorders>
            <w:shd w:val="clear" w:color="auto" w:fill="auto"/>
            <w:noWrap/>
            <w:vAlign w:val="center"/>
          </w:tcPr>
          <w:p>
            <w:pPr>
              <w:jc w:val="right"/>
            </w:pPr>
          </w:p>
        </w:tc>
        <w:tc>
          <w:tcPr>
            <w:tcW w:w="222" w:type="dxa"/>
            <w:tcBorders>
              <w:top w:val="nil"/>
              <w:left w:val="single" w:color="FFFFFF" w:sz="4" w:space="0"/>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pStyle w:val="3"/>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sectPr>
          <w:pgSz w:w="11906" w:h="16838"/>
          <w:pgMar w:top="1440" w:right="1800" w:bottom="1440" w:left="1800" w:header="851" w:footer="992" w:gutter="0"/>
          <w:cols w:space="425" w:num="1"/>
          <w:docGrid w:type="lines" w:linePitch="312" w:charSpace="0"/>
        </w:sectPr>
      </w:pPr>
    </w:p>
    <w:tbl>
      <w:tblPr>
        <w:tblStyle w:val="8"/>
        <w:tblW w:w="90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1594"/>
        <w:gridCol w:w="1198"/>
        <w:gridCol w:w="3658"/>
        <w:gridCol w:w="1481"/>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25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9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65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8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593"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112"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481"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56"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19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65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48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3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159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19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65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48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159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pStyle w:val="3"/>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lang w:val="en-US" w:eastAsia="zh-CN"/>
        </w:rPr>
        <w:t>此表无数据</w:t>
      </w:r>
    </w:p>
    <w:tbl>
      <w:tblPr>
        <w:tblStyle w:val="8"/>
        <w:tblW w:w="187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0"/>
        <w:gridCol w:w="1582"/>
        <w:gridCol w:w="4893"/>
        <w:gridCol w:w="1955"/>
        <w:gridCol w:w="1957"/>
        <w:gridCol w:w="1955"/>
        <w:gridCol w:w="1967"/>
        <w:gridCol w:w="1967"/>
        <w:gridCol w:w="196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8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89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tc>
        <w:tc>
          <w:tcPr>
            <w:tcW w:w="19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5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bl>
    <w:p>
      <w:pPr>
        <w:jc w:val="both"/>
        <w:rPr>
          <w:rFonts w:hint="eastAsia" w:ascii="方正小标宋简体" w:hAnsi="黑体" w:eastAsia="方正小标宋简体"/>
          <w:sz w:val="44"/>
          <w:szCs w:val="44"/>
          <w:highlight w:val="none"/>
        </w:rPr>
      </w:pPr>
    </w:p>
    <w:tbl>
      <w:tblPr>
        <w:tblStyle w:val="8"/>
        <w:tblW w:w="50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
        <w:gridCol w:w="876"/>
        <w:gridCol w:w="2045"/>
        <w:gridCol w:w="835"/>
        <w:gridCol w:w="879"/>
        <w:gridCol w:w="835"/>
        <w:gridCol w:w="1068"/>
        <w:gridCol w:w="1068"/>
        <w:gridCol w:w="10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0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4"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22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454"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223"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749"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35"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35"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35"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68"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68"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64"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70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204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705"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0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0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297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06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0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0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06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06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06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7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0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0.70</w:t>
            </w: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0.70</w:t>
            </w: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0.70</w:t>
            </w:r>
          </w:p>
        </w:tc>
        <w:tc>
          <w:tcPr>
            <w:tcW w:w="10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4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0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602001</w:t>
            </w:r>
          </w:p>
        </w:tc>
        <w:tc>
          <w:tcPr>
            <w:tcW w:w="204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妇女联合会</w:t>
            </w:r>
          </w:p>
        </w:tc>
        <w:tc>
          <w:tcPr>
            <w:tcW w:w="8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8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0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0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pStyle w:val="3"/>
        <w:rPr>
          <w:rFonts w:hint="eastAsia"/>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rPr>
      </w:pPr>
    </w:p>
    <w:p>
      <w:pPr>
        <w:jc w:val="both"/>
        <w:rPr>
          <w:rFonts w:hint="eastAsia" w:ascii="方正小标宋简体" w:hAnsi="黑体" w:eastAsia="方正小标宋简体"/>
          <w:sz w:val="44"/>
          <w:szCs w:val="44"/>
          <w:highlight w:val="none"/>
        </w:rPr>
      </w:pPr>
    </w:p>
    <w:tbl>
      <w:tblPr>
        <w:tblStyle w:val="8"/>
        <w:tblW w:w="81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437"/>
        <w:gridCol w:w="1100"/>
        <w:gridCol w:w="2012"/>
        <w:gridCol w:w="675"/>
        <w:gridCol w:w="1100"/>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6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6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3"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rPr>
      </w:pPr>
    </w:p>
    <w:p>
      <w:pPr>
        <w:rPr>
          <w:rFonts w:hint="eastAsia" w:ascii="方正小标宋简体" w:hAnsi="黑体" w:eastAsia="方正小标宋简体"/>
          <w:sz w:val="44"/>
          <w:szCs w:val="44"/>
          <w:highlight w:val="none"/>
        </w:rPr>
      </w:pPr>
    </w:p>
    <w:tbl>
      <w:tblPr>
        <w:tblStyle w:val="8"/>
        <w:tblW w:w="80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843"/>
        <w:gridCol w:w="1469"/>
        <w:gridCol w:w="529"/>
        <w:gridCol w:w="686"/>
        <w:gridCol w:w="529"/>
        <w:gridCol w:w="1313"/>
        <w:gridCol w:w="1313"/>
        <w:gridCol w:w="1308"/>
        <w:gridCol w:w="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6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表4-1</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3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73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22" w:type="dxa"/>
            <w:tcBorders>
              <w:top w:val="nil"/>
              <w:left w:val="single" w:color="FFFFFF" w:sz="4" w:space="0"/>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bl>
    <w:p>
      <w:pPr>
        <w:rPr>
          <w:rFonts w:hint="eastAsia"/>
        </w:rPr>
      </w:pPr>
    </w:p>
    <w:p>
      <w:pPr>
        <w:jc w:val="both"/>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p>
      <w:pPr>
        <w:pStyle w:val="3"/>
        <w:ind w:left="0" w:leftChars="0" w:firstLine="0" w:firstLineChars="0"/>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rPr>
      </w:pPr>
    </w:p>
    <w:tbl>
      <w:tblPr>
        <w:tblStyle w:val="8"/>
        <w:tblW w:w="84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437"/>
        <w:gridCol w:w="1100"/>
        <w:gridCol w:w="2073"/>
        <w:gridCol w:w="712"/>
        <w:gridCol w:w="1100"/>
        <w:gridCol w:w="1756"/>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3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8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8"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表5</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rPr>
          <w:rFonts w:hint="eastAsia"/>
        </w:rPr>
      </w:pPr>
    </w:p>
    <w:p>
      <w:pPr>
        <w:jc w:val="both"/>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tbl>
      <w:tblPr>
        <w:tblStyle w:val="8"/>
        <w:tblW w:w="13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
        <w:gridCol w:w="7881"/>
        <w:gridCol w:w="1477"/>
        <w:gridCol w:w="3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8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w:t>
            </w:r>
          </w:p>
        </w:tc>
        <w:tc>
          <w:tcPr>
            <w:tcW w:w="147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66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r>
    </w:tbl>
    <w:p>
      <w:pPr>
        <w:pStyle w:val="3"/>
        <w:ind w:left="0" w:leftChars="0" w:firstLine="0" w:firstLineChars="0"/>
        <w:rPr>
          <w:rFonts w:hint="eastAsia"/>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tbl>
      <w:tblPr>
        <w:tblW w:w="82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0"/>
        <w:gridCol w:w="699"/>
        <w:gridCol w:w="699"/>
        <w:gridCol w:w="579"/>
        <w:gridCol w:w="699"/>
        <w:gridCol w:w="699"/>
        <w:gridCol w:w="699"/>
        <w:gridCol w:w="878"/>
        <w:gridCol w:w="699"/>
        <w:gridCol w:w="579"/>
        <w:gridCol w:w="699"/>
        <w:gridCol w:w="459"/>
        <w:gridCol w:w="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tcBorders>
              <w:top w:val="single" w:color="FFFFFF" w:sz="4" w:space="0"/>
              <w:left w:val="single" w:color="FFFFFF" w:sz="4" w:space="0"/>
              <w:bottom w:val="single" w:color="FFFFFF" w:sz="4" w:space="0"/>
              <w:right w:val="nil"/>
            </w:tcBorders>
            <w:shd w:val="clear"/>
            <w:vAlign w:val="center"/>
          </w:tcPr>
          <w:p>
            <w:pPr>
              <w:rPr>
                <w:rFonts w:hint="eastAsia" w:ascii="Hiragino Sans GB" w:hAnsi="Hiragino Sans GB" w:eastAsia="Hiragino Sans GB" w:cs="Hiragino Sans GB"/>
                <w:i w:val="0"/>
                <w:iCs w:val="0"/>
                <w:color w:val="000000"/>
                <w:sz w:val="18"/>
                <w:szCs w:val="18"/>
                <w:u w:val="none"/>
              </w:rPr>
            </w:pPr>
          </w:p>
        </w:tc>
        <w:tc>
          <w:tcPr>
            <w:tcW w:w="683"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683"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553"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C0C0C0"/>
                <w:sz w:val="18"/>
                <w:szCs w:val="18"/>
                <w:u w:val="none"/>
              </w:rPr>
            </w:pPr>
          </w:p>
        </w:tc>
        <w:tc>
          <w:tcPr>
            <w:tcW w:w="684"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C0C0C0"/>
                <w:sz w:val="18"/>
                <w:szCs w:val="18"/>
                <w:u w:val="none"/>
              </w:rPr>
            </w:pPr>
          </w:p>
        </w:tc>
        <w:tc>
          <w:tcPr>
            <w:tcW w:w="684"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C0C0C0"/>
                <w:sz w:val="18"/>
                <w:szCs w:val="18"/>
                <w:u w:val="none"/>
              </w:rPr>
            </w:pPr>
          </w:p>
        </w:tc>
        <w:tc>
          <w:tcPr>
            <w:tcW w:w="684" w:type="dxa"/>
            <w:tcBorders>
              <w:top w:val="nil"/>
              <w:left w:val="nil"/>
              <w:bottom w:val="nil"/>
              <w:right w:val="nil"/>
            </w:tcBorders>
            <w:shd w:val="clear"/>
            <w:vAlign w:val="center"/>
          </w:tcPr>
          <w:p>
            <w:pPr>
              <w:rPr>
                <w:rFonts w:hint="eastAsia" w:ascii="宋体" w:hAnsi="宋体" w:eastAsia="宋体" w:cs="宋体"/>
                <w:i w:val="0"/>
                <w:iCs w:val="0"/>
                <w:color w:val="C0C0C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C0C0C0"/>
                <w:sz w:val="18"/>
                <w:szCs w:val="18"/>
                <w:u w:val="none"/>
              </w:rPr>
            </w:pPr>
          </w:p>
        </w:tc>
        <w:tc>
          <w:tcPr>
            <w:tcW w:w="684" w:type="dxa"/>
            <w:tcBorders>
              <w:top w:val="nil"/>
              <w:left w:val="nil"/>
              <w:bottom w:val="nil"/>
              <w:right w:val="nil"/>
            </w:tcBorders>
            <w:shd w:val="clear"/>
            <w:vAlign w:val="center"/>
          </w:tcPr>
          <w:p>
            <w:pPr>
              <w:rPr>
                <w:rFonts w:hint="eastAsia" w:ascii="宋体" w:hAnsi="宋体" w:eastAsia="宋体" w:cs="宋体"/>
                <w:i w:val="0"/>
                <w:iCs w:val="0"/>
                <w:color w:val="C0C0C0"/>
                <w:sz w:val="18"/>
                <w:szCs w:val="18"/>
                <w:u w:val="none"/>
              </w:rPr>
            </w:pPr>
          </w:p>
        </w:tc>
        <w:tc>
          <w:tcPr>
            <w:tcW w:w="554" w:type="dxa"/>
            <w:tcBorders>
              <w:top w:val="nil"/>
              <w:left w:val="nil"/>
              <w:bottom w:val="nil"/>
              <w:right w:val="nil"/>
            </w:tcBorders>
            <w:shd w:val="clear"/>
            <w:vAlign w:val="center"/>
          </w:tcPr>
          <w:p>
            <w:pPr>
              <w:rPr>
                <w:rFonts w:hint="eastAsia" w:ascii="宋体" w:hAnsi="宋体" w:eastAsia="宋体" w:cs="宋体"/>
                <w:i w:val="0"/>
                <w:iCs w:val="0"/>
                <w:color w:val="C0C0C0"/>
                <w:sz w:val="18"/>
                <w:szCs w:val="18"/>
                <w:u w:val="none"/>
              </w:rPr>
            </w:pPr>
          </w:p>
        </w:tc>
        <w:tc>
          <w:tcPr>
            <w:tcW w:w="684" w:type="dxa"/>
            <w:tcBorders>
              <w:top w:val="nil"/>
              <w:left w:val="nil"/>
              <w:bottom w:val="nil"/>
              <w:right w:val="nil"/>
            </w:tcBorders>
            <w:shd w:val="clear"/>
            <w:vAlign w:val="center"/>
          </w:tcPr>
          <w:p>
            <w:pPr>
              <w:rPr>
                <w:rFonts w:hint="eastAsia" w:ascii="宋体" w:hAnsi="宋体" w:eastAsia="宋体" w:cs="宋体"/>
                <w:i w:val="0"/>
                <w:iCs w:val="0"/>
                <w:color w:val="C0C0C0"/>
                <w:sz w:val="18"/>
                <w:szCs w:val="18"/>
                <w:u w:val="none"/>
              </w:rPr>
            </w:pPr>
          </w:p>
        </w:tc>
        <w:tc>
          <w:tcPr>
            <w:tcW w:w="422" w:type="dxa"/>
            <w:tcBorders>
              <w:top w:val="nil"/>
              <w:left w:val="nil"/>
              <w:bottom w:val="nil"/>
              <w:right w:val="nil"/>
            </w:tcBorders>
            <w:shd w:val="clear"/>
            <w:vAlign w:val="center"/>
          </w:tcPr>
          <w:p>
            <w:pPr>
              <w:rPr>
                <w:rFonts w:hint="eastAsia" w:ascii="宋体" w:hAnsi="宋体" w:eastAsia="宋体" w:cs="宋体"/>
                <w:i w:val="0"/>
                <w:iCs w:val="0"/>
                <w:color w:val="C0C0C0"/>
                <w:sz w:val="18"/>
                <w:szCs w:val="18"/>
                <w:u w:val="none"/>
              </w:rPr>
            </w:pPr>
          </w:p>
        </w:tc>
        <w:tc>
          <w:tcPr>
            <w:tcW w:w="816"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C0C0C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8009" w:type="dxa"/>
            <w:gridSpan w:val="12"/>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bdr w:val="none" w:color="auto" w:sz="0" w:space="0"/>
                <w:lang w:val="en-US" w:eastAsia="zh-CN" w:bidi="ar"/>
              </w:rPr>
              <w:t>部门预算项目绩效目标表（2026年度）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2603" w:type="dxa"/>
            <w:gridSpan w:val="4"/>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22"/>
                <w:szCs w:val="22"/>
                <w:u w:val="none"/>
              </w:rPr>
            </w:pPr>
          </w:p>
        </w:tc>
        <w:tc>
          <w:tcPr>
            <w:tcW w:w="684"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22"/>
                <w:szCs w:val="22"/>
                <w:u w:val="none"/>
              </w:rPr>
            </w:pPr>
          </w:p>
        </w:tc>
        <w:tc>
          <w:tcPr>
            <w:tcW w:w="684"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22"/>
                <w:szCs w:val="22"/>
                <w:u w:val="none"/>
              </w:rPr>
            </w:pPr>
          </w:p>
        </w:tc>
        <w:tc>
          <w:tcPr>
            <w:tcW w:w="878"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22"/>
                <w:szCs w:val="22"/>
                <w:u w:val="none"/>
              </w:rPr>
            </w:pPr>
          </w:p>
        </w:tc>
        <w:tc>
          <w:tcPr>
            <w:tcW w:w="684"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22"/>
                <w:szCs w:val="22"/>
                <w:u w:val="none"/>
              </w:rPr>
            </w:pPr>
          </w:p>
        </w:tc>
        <w:tc>
          <w:tcPr>
            <w:tcW w:w="554"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22"/>
                <w:szCs w:val="22"/>
                <w:u w:val="none"/>
              </w:rPr>
            </w:pPr>
          </w:p>
        </w:tc>
        <w:tc>
          <w:tcPr>
            <w:tcW w:w="1922" w:type="dxa"/>
            <w:gridSpan w:val="3"/>
            <w:tcBorders>
              <w:top w:val="single" w:color="FFFFFF" w:sz="4" w:space="0"/>
              <w:left w:val="single" w:color="FFFFFF" w:sz="4" w:space="0"/>
              <w:bottom w:val="nil"/>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602-妇女联合会部门</w:t>
            </w:r>
          </w:p>
        </w:tc>
        <w:tc>
          <w:tcPr>
            <w:tcW w:w="683"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6.53</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vMerge w:val="restart"/>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68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602001-妇女联合会</w:t>
            </w:r>
          </w:p>
        </w:tc>
        <w:tc>
          <w:tcPr>
            <w:tcW w:w="68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日常公用经费(九寨沟)</w:t>
            </w:r>
          </w:p>
        </w:tc>
        <w:tc>
          <w:tcPr>
            <w:tcW w:w="55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4.26</w:t>
            </w:r>
          </w:p>
        </w:tc>
        <w:tc>
          <w:tcPr>
            <w:tcW w:w="684"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运转保障率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68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602002-妇女儿童服务中心</w:t>
            </w:r>
          </w:p>
        </w:tc>
        <w:tc>
          <w:tcPr>
            <w:tcW w:w="68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日常公用经费(九寨沟)</w:t>
            </w:r>
          </w:p>
        </w:tc>
        <w:tc>
          <w:tcPr>
            <w:tcW w:w="55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2.27</w:t>
            </w:r>
          </w:p>
        </w:tc>
        <w:tc>
          <w:tcPr>
            <w:tcW w:w="684"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运转保障率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2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bl>
    <w:p>
      <w:pPr>
        <w:pStyle w:val="2"/>
        <w:rPr>
          <w:rFonts w:hint="eastAsia"/>
        </w:rPr>
      </w:pPr>
    </w:p>
    <w:tbl>
      <w:tblPr>
        <w:tblW w:w="89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76"/>
        <w:gridCol w:w="930"/>
        <w:gridCol w:w="930"/>
        <w:gridCol w:w="1312"/>
        <w:gridCol w:w="1416"/>
        <w:gridCol w:w="923"/>
        <w:gridCol w:w="930"/>
        <w:gridCol w:w="930"/>
        <w:gridCol w:w="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2" w:hRule="atLeast"/>
        </w:trPr>
        <w:tc>
          <w:tcPr>
            <w:tcW w:w="5264" w:type="dxa"/>
            <w:gridSpan w:val="5"/>
            <w:tcBorders>
              <w:top w:val="nil"/>
              <w:left w:val="nil"/>
              <w:bottom w:val="nil"/>
              <w:right w:val="nil"/>
            </w:tcBorders>
            <w:shd w:val="clear"/>
            <w:vAlign w:val="center"/>
          </w:tcPr>
          <w:p>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bdr w:val="none" w:color="auto" w:sz="0" w:space="0"/>
                <w:lang w:val="en-US" w:eastAsia="zh-CN" w:bidi="ar"/>
              </w:rPr>
              <w:t>报表编号：510000_001325</w:t>
            </w:r>
          </w:p>
        </w:tc>
        <w:tc>
          <w:tcPr>
            <w:tcW w:w="923"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2792" w:type="dxa"/>
            <w:gridSpan w:val="3"/>
            <w:tcBorders>
              <w:top w:val="nil"/>
              <w:left w:val="nil"/>
              <w:bottom w:val="nil"/>
              <w:right w:val="nil"/>
            </w:tcBorders>
            <w:shd w:val="clear"/>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3" w:hRule="atLeast"/>
        </w:trPr>
        <w:tc>
          <w:tcPr>
            <w:tcW w:w="8979" w:type="dxa"/>
            <w:gridSpan w:val="9"/>
            <w:tcBorders>
              <w:top w:val="nil"/>
              <w:left w:val="nil"/>
              <w:bottom w:val="nil"/>
              <w:right w:val="nil"/>
            </w:tcBorders>
            <w:shd w:val="clear"/>
            <w:vAlign w:val="bottom"/>
          </w:tcPr>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kern w:val="0"/>
                <w:sz w:val="30"/>
                <w:szCs w:val="30"/>
                <w:u w:val="none"/>
                <w:bdr w:val="none" w:color="auto" w:sz="0" w:space="0"/>
                <w:lang w:val="en-US" w:eastAsia="zh-CN" w:bidi="ar"/>
              </w:rPr>
            </w:pPr>
          </w:p>
          <w:p>
            <w:pPr>
              <w:keepNext w:val="0"/>
              <w:keepLines w:val="0"/>
              <w:widowControl/>
              <w:suppressLineNumbers w:val="0"/>
              <w:jc w:val="center"/>
              <w:textAlignment w:val="bottom"/>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bdr w:val="none" w:color="auto" w:sz="0" w:space="0"/>
                <w:lang w:val="en-US" w:eastAsia="zh-CN" w:bidi="ar"/>
              </w:rPr>
              <w:t>2026年度部门整体绩效目标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36" w:hRule="atLeast"/>
        </w:trPr>
        <w:tc>
          <w:tcPr>
            <w:tcW w:w="676" w:type="dxa"/>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部门名称：</w:t>
            </w:r>
          </w:p>
        </w:tc>
        <w:tc>
          <w:tcPr>
            <w:tcW w:w="5511" w:type="dxa"/>
            <w:gridSpan w:val="5"/>
            <w:tcBorders>
              <w:top w:val="nil"/>
              <w:left w:val="nil"/>
              <w:bottom w:val="nil"/>
              <w:right w:val="nil"/>
            </w:tcBorders>
            <w:shd w:val="clear"/>
            <w:vAlign w:val="bottom"/>
          </w:tcPr>
          <w:p>
            <w:pPr>
              <w:keepNext w:val="0"/>
              <w:keepLines w:val="0"/>
              <w:widowControl/>
              <w:suppressLineNumbers w:val="0"/>
              <w:jc w:val="left"/>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妇女联合会部门</w:t>
            </w:r>
          </w:p>
        </w:tc>
        <w:tc>
          <w:tcPr>
            <w:tcW w:w="930" w:type="dxa"/>
            <w:tcBorders>
              <w:top w:val="nil"/>
              <w:left w:val="nil"/>
              <w:bottom w:val="nil"/>
              <w:right w:val="nil"/>
            </w:tcBorders>
            <w:shd w:val="clear"/>
            <w:vAlign w:val="center"/>
          </w:tcPr>
          <w:p>
            <w:pPr>
              <w:rPr>
                <w:rFonts w:hint="eastAsia" w:ascii="黑体" w:hAnsi="黑体" w:eastAsia="黑体" w:cs="黑体"/>
                <w:i w:val="0"/>
                <w:iCs w:val="0"/>
                <w:color w:val="000000"/>
                <w:sz w:val="18"/>
                <w:szCs w:val="18"/>
                <w:u w:val="none"/>
              </w:rPr>
            </w:pPr>
          </w:p>
        </w:tc>
        <w:tc>
          <w:tcPr>
            <w:tcW w:w="930" w:type="dxa"/>
            <w:tcBorders>
              <w:top w:val="nil"/>
              <w:left w:val="nil"/>
              <w:bottom w:val="nil"/>
              <w:right w:val="nil"/>
            </w:tcBorders>
            <w:shd w:val="clear"/>
            <w:vAlign w:val="center"/>
          </w:tcPr>
          <w:p>
            <w:pPr>
              <w:rPr>
                <w:rFonts w:hint="eastAsia" w:ascii="黑体" w:hAnsi="黑体" w:eastAsia="黑体" w:cs="黑体"/>
                <w:i w:val="0"/>
                <w:iCs w:val="0"/>
                <w:color w:val="000000"/>
                <w:sz w:val="18"/>
                <w:szCs w:val="18"/>
                <w:u w:val="none"/>
              </w:rPr>
            </w:pPr>
          </w:p>
        </w:tc>
        <w:tc>
          <w:tcPr>
            <w:tcW w:w="932" w:type="dxa"/>
            <w:tcBorders>
              <w:top w:val="nil"/>
              <w:left w:val="nil"/>
              <w:bottom w:val="nil"/>
              <w:right w:val="nil"/>
            </w:tcBorders>
            <w:shd w:val="clear"/>
            <w:vAlign w:val="bottom"/>
          </w:tcPr>
          <w:p>
            <w:pPr>
              <w:keepNext w:val="0"/>
              <w:keepLines w:val="0"/>
              <w:widowControl/>
              <w:suppressLineNumbers w:val="0"/>
              <w:jc w:val="right"/>
              <w:textAlignment w:val="bottom"/>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bdr w:val="none" w:color="auto" w:sz="0" w:space="0"/>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2" w:hRule="atLeast"/>
        </w:trPr>
        <w:tc>
          <w:tcPr>
            <w:tcW w:w="2536"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年度部门整体预算</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资金总额</w:t>
            </w:r>
          </w:p>
        </w:tc>
        <w:tc>
          <w:tcPr>
            <w:tcW w:w="185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财政拨款</w:t>
            </w:r>
          </w:p>
        </w:tc>
        <w:tc>
          <w:tcPr>
            <w:tcW w:w="18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2" w:hRule="atLeast"/>
        </w:trPr>
        <w:tc>
          <w:tcPr>
            <w:tcW w:w="2536"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收入预算</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85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8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2" w:hRule="atLeast"/>
        </w:trPr>
        <w:tc>
          <w:tcPr>
            <w:tcW w:w="2536"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支出预算</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105.86</w:t>
            </w:r>
          </w:p>
        </w:tc>
        <w:tc>
          <w:tcPr>
            <w:tcW w:w="185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105.86</w:t>
            </w:r>
          </w:p>
        </w:tc>
        <w:tc>
          <w:tcPr>
            <w:tcW w:w="18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1" w:hRule="atLeast"/>
        </w:trPr>
        <w:tc>
          <w:tcPr>
            <w:tcW w:w="2536"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年度总体目标</w:t>
            </w:r>
          </w:p>
        </w:tc>
        <w:tc>
          <w:tcPr>
            <w:tcW w:w="644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切实推动九寨沟县妇女儿童工作，实现妇女儿童事业和经济社会同步发展，重点支持妇女儿童发展，支持特殊困难妇女儿童群体发展。动员社会力量，多渠道筹集资源，推动全县妇女儿童事业发展。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31" w:hRule="atLeast"/>
        </w:trPr>
        <w:tc>
          <w:tcPr>
            <w:tcW w:w="8979"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管理效率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一级指标</w:t>
            </w: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二级指标</w:t>
            </w:r>
          </w:p>
        </w:tc>
        <w:tc>
          <w:tcPr>
            <w:tcW w:w="1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三级指标</w:t>
            </w:r>
          </w:p>
        </w:tc>
        <w:tc>
          <w:tcPr>
            <w:tcW w:w="1416"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指标值</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指标参考值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三年均值</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2023</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2024</w:t>
            </w:r>
          </w:p>
        </w:tc>
        <w:tc>
          <w:tcPr>
            <w:tcW w:w="9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预算管理</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财政拨款预算偏离度</w:t>
            </w:r>
          </w:p>
        </w:tc>
        <w:tc>
          <w:tcPr>
            <w:tcW w:w="14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31.26%</w:t>
            </w:r>
          </w:p>
        </w:tc>
        <w:tc>
          <w:tcPr>
            <w:tcW w:w="9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31.26%</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54.06%</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16.87%</w:t>
            </w:r>
          </w:p>
        </w:tc>
        <w:tc>
          <w:tcPr>
            <w:tcW w:w="9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预算管理</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单位收入统筹度</w:t>
            </w:r>
          </w:p>
        </w:tc>
        <w:tc>
          <w:tcPr>
            <w:tcW w:w="14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预算管理</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预算年终结余率</w:t>
            </w:r>
          </w:p>
        </w:tc>
        <w:tc>
          <w:tcPr>
            <w:tcW w:w="14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7.27%</w:t>
            </w:r>
          </w:p>
        </w:tc>
        <w:tc>
          <w:tcPr>
            <w:tcW w:w="9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7.27%</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9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预算管理</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一般性支出金额</w:t>
            </w:r>
          </w:p>
        </w:tc>
        <w:tc>
          <w:tcPr>
            <w:tcW w:w="14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3.9万元</w:t>
            </w:r>
          </w:p>
        </w:tc>
        <w:tc>
          <w:tcPr>
            <w:tcW w:w="9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3.9万元</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财务管理</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财务管理规范</w:t>
            </w:r>
          </w:p>
        </w:tc>
        <w:tc>
          <w:tcPr>
            <w:tcW w:w="14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优</w:t>
            </w:r>
          </w:p>
        </w:tc>
        <w:tc>
          <w:tcPr>
            <w:tcW w:w="923"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资产管理</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资产配置预算偏离度</w:t>
            </w:r>
          </w:p>
        </w:tc>
        <w:tc>
          <w:tcPr>
            <w:tcW w:w="14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采购管理</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采购执行率</w:t>
            </w:r>
          </w:p>
        </w:tc>
        <w:tc>
          <w:tcPr>
            <w:tcW w:w="14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923"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6" w:hRule="atLeast"/>
        </w:trPr>
        <w:tc>
          <w:tcPr>
            <w:tcW w:w="8979"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履职效能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一级指标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二级指标</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三级指标</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指标值（包括数字及文字描述）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产出指标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妇女儿童工作开展完成时间</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产出指标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九寨沟县妇女儿童工作开展完成率</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产出指标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开展妇女儿童工作保质保量</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效益指标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巾帼创业就业带动增收成效</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效益指标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可持续影响指标</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妇女儿童发展事业可持续推进成效</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效益指标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推动全县妇女儿童工作的事业发展</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有效推动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效益指标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272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巾帼志愿服务生态赋能成效</w:t>
            </w:r>
          </w:p>
        </w:tc>
        <w:tc>
          <w:tcPr>
            <w:tcW w:w="371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组织巾帼志愿队开展生态护美、垃圾分类宣传等活动，带动500名以上妇女参与生态保护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r>
    </w:tbl>
    <w:p>
      <w:pPr>
        <w:jc w:val="both"/>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rPr>
      </w:pPr>
      <w:bookmarkStart w:id="2" w:name="_GoBack"/>
      <w:bookmarkEnd w:id="2"/>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sz w:val="44"/>
          <w:szCs w:val="44"/>
          <w:highlight w:val="none"/>
          <w:lang w:val="en-US" w:eastAsia="zh-CN"/>
        </w:rPr>
        <w:t>县妇联</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CN"/>
        </w:rPr>
        <w:t>部门预算</w:t>
      </w:r>
      <w:r>
        <w:rPr>
          <w:rFonts w:hint="eastAsia" w:ascii="方正小标宋简体" w:hAnsi="黑体" w:eastAsia="方正小标宋简体"/>
          <w:sz w:val="44"/>
          <w:szCs w:val="44"/>
          <w:highlight w:val="none"/>
        </w:rPr>
        <w:t>情况说明</w:t>
      </w: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一、收支预算情况说明</w:t>
      </w:r>
    </w:p>
    <w:p>
      <w:pPr>
        <w:ind w:firstLine="640" w:firstLineChars="200"/>
        <w:jc w:val="both"/>
        <w:rPr>
          <w:rFonts w:hint="default" w:ascii="仿宋_GB2312" w:hAnsi="黑体" w:eastAsia="仿宋_GB2312"/>
          <w:sz w:val="32"/>
          <w:szCs w:val="32"/>
          <w:highlight w:val="none"/>
          <w:lang w:val="en-US"/>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CN"/>
        </w:rPr>
        <w:t>部门预算</w:t>
      </w:r>
      <w:r>
        <w:rPr>
          <w:rFonts w:hint="eastAsia" w:ascii="仿宋_GB2312" w:hAnsi="黑体" w:eastAsia="仿宋_GB2312"/>
          <w:sz w:val="32"/>
          <w:szCs w:val="32"/>
          <w:highlight w:val="none"/>
        </w:rPr>
        <w:t>管理。收入包括：一般公共预算拨款收入</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支出包括：一般公共服务支出、社会保障和就业支出、卫生健康支出、住房保障支出。</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万元、支出包括：一般公共服务支出</w:t>
      </w:r>
      <w:r>
        <w:rPr>
          <w:rFonts w:hint="eastAsia" w:ascii="仿宋_GB2312" w:hAnsi="黑体" w:eastAsia="仿宋_GB2312"/>
          <w:sz w:val="32"/>
          <w:szCs w:val="32"/>
          <w:highlight w:val="none"/>
          <w:lang w:val="en-US" w:eastAsia="zh-CN"/>
        </w:rPr>
        <w:t>73.93</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16.64</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6.43</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8.86</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hint="default" w:ascii="仿宋_GB2312" w:hAnsi="黑体" w:eastAsia="仿宋_GB2312"/>
          <w:sz w:val="32"/>
          <w:szCs w:val="32"/>
          <w:highlight w:val="none"/>
          <w:lang w:val="en-US"/>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val="en-US" w:eastAsia="zh-CN"/>
        </w:rPr>
        <w:t>73.93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69.84</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16.64</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15.72</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6.43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6.6.07</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8.86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8.37</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类）财改事务（款）行政运行（项）202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73.93</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单位正常运转的基本支出，包括基本工资、津贴补贴等人员经费以及办公费、印刷费、水电费等日常公用经费，保障正常运转。</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.社会保障和就业（类）行政事业单位养老支出（款）机关事业单位基本养老保险缴费支出（项）202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10.74</w:t>
      </w:r>
      <w:r>
        <w:rPr>
          <w:rFonts w:hint="eastAsia" w:ascii="仿宋_GB2312" w:hAnsi="黑体" w:eastAsia="仿宋_GB2312"/>
          <w:sz w:val="32"/>
          <w:szCs w:val="32"/>
          <w:highlight w:val="none"/>
        </w:rPr>
        <w:t>万元，主要用于：实施养老保险制度由单位缴纳的基本养老保险支出。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7</w:t>
      </w:r>
      <w:r>
        <w:rPr>
          <w:rFonts w:hint="eastAsia" w:ascii="仿宋_GB2312" w:hAnsi="黑体" w:eastAsia="仿宋_GB2312"/>
          <w:sz w:val="32"/>
          <w:szCs w:val="32"/>
          <w:highlight w:val="none"/>
        </w:rPr>
        <w:t>.社会保障和就业（类）行政事业单位养老支出（款）机关事业单位职业年金缴费支出（项）202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5.9</w:t>
      </w:r>
      <w:r>
        <w:rPr>
          <w:rFonts w:hint="eastAsia" w:ascii="仿宋_GB2312" w:hAnsi="黑体" w:eastAsia="仿宋_GB2312"/>
          <w:sz w:val="32"/>
          <w:szCs w:val="32"/>
          <w:highlight w:val="none"/>
        </w:rPr>
        <w:t>万元，主要用于：实施养老保险制度由单位缴纳的职业年金支出。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8</w:t>
      </w:r>
      <w:r>
        <w:rPr>
          <w:rFonts w:hint="eastAsia" w:ascii="仿宋_GB2312" w:hAnsi="黑体" w:eastAsia="仿宋_GB2312"/>
          <w:sz w:val="32"/>
          <w:szCs w:val="32"/>
          <w:highlight w:val="none"/>
        </w:rPr>
        <w:t>.卫生健康（类）行政事业单位医疗（款）行政单位医疗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5.16</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按规定由单位缴纳的基本医疗保险支出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10</w:t>
      </w:r>
      <w:r>
        <w:rPr>
          <w:rFonts w:hint="eastAsia" w:ascii="仿宋_GB2312" w:hAnsi="黑体" w:eastAsia="仿宋_GB2312"/>
          <w:sz w:val="32"/>
          <w:szCs w:val="32"/>
          <w:highlight w:val="none"/>
        </w:rPr>
        <w:t>.卫生健康（类）行政事业单位医疗（款）公务员医疗补功（项）202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1.26</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集中缴纳公务员医疗补助支出。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11</w:t>
      </w:r>
      <w:r>
        <w:rPr>
          <w:rFonts w:hint="eastAsia" w:ascii="仿宋_GB2312" w:hAnsi="黑体" w:eastAsia="仿宋_GB2312"/>
          <w:sz w:val="32"/>
          <w:szCs w:val="32"/>
          <w:highlight w:val="none"/>
        </w:rPr>
        <w:t>.住房保障（类）住房改革支出（款）住房公积金（项）202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8.86</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105.86</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99.33</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6.53</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hint="eastAsia" w:ascii="楷体" w:hAnsi="楷体" w:eastAsia="楷体"/>
          <w:b/>
          <w:sz w:val="32"/>
          <w:szCs w:val="32"/>
          <w:highlight w:val="none"/>
          <w:lang w:eastAsia="zh-CN"/>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rPr>
        <w:t>202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年预算持平</w:t>
      </w:r>
      <w:r>
        <w:rPr>
          <w:rFonts w:hint="eastAsia" w:ascii="楷体" w:hAnsi="楷体" w:eastAsia="楷体"/>
          <w:b/>
          <w:sz w:val="32"/>
          <w:szCs w:val="32"/>
          <w:highlight w:val="none"/>
          <w:lang w:eastAsia="zh-CN"/>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年公务接待费计划用于执行等。</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（二）公务用车购置及运行维护费与（较）202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辆公务用车燃油、过路（桥）、维修、保险等方面支出，主要保障</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工作开展。</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ascii="仿宋_GB2312" w:hAnsi="黑体" w:eastAsia="仿宋_GB2312"/>
          <w:sz w:val="32"/>
          <w:szCs w:val="32"/>
          <w:highlight w:val="none"/>
        </w:rPr>
        <w:t>，</w:t>
      </w:r>
      <w:r>
        <w:rPr>
          <w:rFonts w:hint="eastAsia" w:ascii="仿宋_GB2312" w:hAnsi="黑体" w:eastAsia="仿宋_GB2312"/>
          <w:sz w:val="32"/>
          <w:szCs w:val="32"/>
          <w:highlight w:val="none"/>
        </w:rPr>
        <w:t>没有使用政府性基金预算拨款安排的支出。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万元，没有使用国有资本经营预算拨款安排的支出。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6.53</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辆，其中，</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领导干部用车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辆、定向保障用车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辆、执法执勤用车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部门预算没有</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县妇联</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pPr>
        <w:numPr>
          <w:ilvl w:val="0"/>
          <w:numId w:val="2"/>
        </w:num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 名词解释</w:t>
      </w:r>
    </w:p>
    <w:p>
      <w:pPr>
        <w:numPr>
          <w:ilvl w:val="0"/>
          <w:numId w:val="0"/>
        </w:num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（二）政府性基金预算收入：指按规定收取、转入或通过当年财政安排，纳入政府预算管理，具有指定用途的政府性基金收入。</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ascii="仿宋_GB2312" w:hAnsi="黑体" w:eastAsia="仿宋_GB2312"/>
          <w:sz w:val="32"/>
          <w:szCs w:val="32"/>
          <w:highlight w:val="none"/>
        </w:rPr>
        <w:t>）</w:t>
      </w:r>
      <w:r>
        <w:rPr>
          <w:rFonts w:hint="eastAsia" w:ascii="仿宋_GB2312" w:hAnsi="黑体" w:eastAsia="仿宋_GB2312"/>
          <w:sz w:val="32"/>
          <w:szCs w:val="32"/>
          <w:highlight w:val="none"/>
        </w:rPr>
        <w:t>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人大事务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行政运行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单位用于保障机构正常运行、开展日常工作的基本支出。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ascii="仿宋_GB2312" w:hAnsi="黑体" w:eastAsia="仿宋_GB2312"/>
          <w:sz w:val="32"/>
          <w:szCs w:val="32"/>
          <w:highlight w:val="none"/>
        </w:rPr>
        <w:t>）</w:t>
      </w:r>
      <w:r>
        <w:rPr>
          <w:rFonts w:hint="eastAsia" w:ascii="仿宋_GB2312" w:hAnsi="黑体" w:eastAsia="仿宋_GB2312"/>
          <w:sz w:val="32"/>
          <w:szCs w:val="32"/>
          <w:highlight w:val="none"/>
        </w:rPr>
        <w:t>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财政事务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行政运行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单位用于保障机构正常运行、开展日常工作的基本支出。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款）事业单位离退休（项）：指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的离退休人员的变出。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）社会保障和就业（类）行政事业单位养老支出（款）行政单位</w:t>
      </w:r>
      <w:r>
        <w:rPr>
          <w:rFonts w:hint="eastAsia" w:ascii="仿宋_GB2312" w:hAnsi="黑体" w:eastAsia="仿宋_GB2312"/>
          <w:sz w:val="32"/>
          <w:szCs w:val="32"/>
          <w:highlight w:val="none"/>
          <w:lang w:val="en-US" w:eastAsia="zh-Hans"/>
        </w:rPr>
        <w:t>离</w:t>
      </w:r>
      <w:r>
        <w:rPr>
          <w:rFonts w:hint="eastAsia" w:ascii="仿宋_GB2312" w:hAnsi="黑体" w:eastAsia="仿宋_GB2312"/>
          <w:sz w:val="32"/>
          <w:szCs w:val="32"/>
          <w:highlight w:val="none"/>
        </w:rPr>
        <w:t>退休（项）：指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位离退休人员的支出。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机关事业单位基本养老保险缴费支出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实施养老保险制度由单位缴纳的养老保险的支出。</w:t>
      </w:r>
    </w:p>
    <w:p>
      <w:pPr>
        <w:ind w:firstLine="640" w:firstLineChars="200"/>
        <w:jc w:val="both"/>
        <w:rPr>
          <w:rFonts w:hint="default"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款）机关事业单位职业年金缴费支出（项）：指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实施养老保险制度由</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位缴纳的职业年金的支出。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卫生健康</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类）行政率业单位医疗（款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行政单位医疗（项）：指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机关及参公管理事业单位用于单位应缴纳基本医疗保险支出。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）卫生健康（类）行政事业单位医疗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事业单位医疗（项）：指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单位用于单位应缴纳基本医疗保险支出。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）卫生健康（类）行政事业单位医疗（款）公务员医疗补助（项）：指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机关及参公管理事业单位用于集中缴纳公务员医疗补助支出。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住房公积金（项）：指按照《住房公积金管理条例》的规定，由单位及其在职职工缴存的长期住房储金。</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三</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购房补贴（项）：指按房改政策规定的标准，向符合条件职工发放的用于购买住房的补贴。</w:t>
      </w:r>
    </w:p>
    <w:p>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十四</w:t>
      </w:r>
      <w:r>
        <w:rPr>
          <w:rFonts w:hint="eastAsia" w:ascii="仿宋_GB2312" w:hAnsi="黑体" w:eastAsia="仿宋_GB2312"/>
          <w:sz w:val="32"/>
          <w:szCs w:val="32"/>
          <w:highlight w:val="none"/>
        </w:rPr>
        <w:t>）基本支出：指为保证机构正常运转，完成日常工作任务而发生的人员支出和公用支出。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十五</w:t>
      </w:r>
      <w:r>
        <w:rPr>
          <w:rFonts w:hint="eastAsia" w:ascii="仿宋_GB2312" w:hAnsi="黑体" w:eastAsia="仿宋_GB2312"/>
          <w:sz w:val="32"/>
          <w:szCs w:val="32"/>
          <w:highlight w:val="none"/>
        </w:rPr>
        <w:t>）项目支出；指在基本支出之外为完成特定行政任务和事业发展目标所发生的支出。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十六</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val="en-US" w:eastAsia="zh-CN"/>
        </w:rPr>
        <w:t>九寨沟县妇女联合会</w:t>
      </w:r>
      <w:r>
        <w:rPr>
          <w:rFonts w:hint="eastAsia" w:ascii="仿宋_GB2312" w:hAnsi="黑体" w:eastAsia="仿宋_GB2312"/>
          <w:sz w:val="32"/>
          <w:szCs w:val="32"/>
          <w:highlight w:val="none"/>
        </w:rPr>
        <w:t>预算管理的“三公”经费，是指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十七</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ind w:right="284"/>
      <w:rPr>
        <w:rStyle w:val="10"/>
        <w:rFonts w:hint="eastAsia" w:eastAsia="宋体"/>
        <w:lang w:val="en-US" w:eastAsia="zh-CN"/>
      </w:rPr>
    </w:pPr>
    <w:r>
      <w:rPr>
        <w:rStyle w:val="10"/>
        <w:sz w:val="28"/>
      </w:rPr>
      <w:t xml:space="preserve"> </w:t>
    </w:r>
    <w:r>
      <w:rPr>
        <w:rStyle w:val="10"/>
        <w:rFonts w:hint="eastAsia" w:ascii="仿宋_GB2312" w:hAnsi="仿宋_GB2312" w:eastAsia="仿宋_GB2312" w:cs="仿宋_GB2312"/>
        <w:sz w:val="28"/>
        <w:lang w:eastAsia="zh-CN"/>
      </w:rPr>
      <w:t>—</w:t>
    </w:r>
    <w:r>
      <w:rPr>
        <w:rStyle w:val="10"/>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10"/>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10"/>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6"/>
      <w:ind w:right="360" w:firstLine="360"/>
    </w:pP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92F6B8"/>
    <w:multiLevelType w:val="singleLevel"/>
    <w:tmpl w:val="2892F6B8"/>
    <w:lvl w:ilvl="0" w:tentative="0">
      <w:start w:val="4"/>
      <w:numFmt w:val="chineseCounting"/>
      <w:suff w:val="space"/>
      <w:lvlText w:val="第%1部分"/>
      <w:lvlJc w:val="left"/>
      <w:rPr>
        <w:rFonts w:hint="eastAsia"/>
      </w:rPr>
    </w:lvl>
  </w:abstractNum>
  <w:abstractNum w:abstractNumId="1">
    <w:nsid w:val="7D22CAAE"/>
    <w:multiLevelType w:val="singleLevel"/>
    <w:tmpl w:val="7D22CAAE"/>
    <w:lvl w:ilvl="0" w:tentative="0">
      <w:start w:val="2"/>
      <w:numFmt w:val="chineseCounting"/>
      <w:suff w:val="nothing"/>
      <w:lvlText w:val="%1、"/>
      <w:lvlJc w:val="left"/>
      <w:pPr>
        <w:ind w:left="-21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hZTZhMTI1NWI5OWJkMDU0NDMzYWMyOWY3MGE5MjE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5FEC680"/>
    <w:rsid w:val="096F0FA0"/>
    <w:rsid w:val="0ECDBE52"/>
    <w:rsid w:val="0FFFB353"/>
    <w:rsid w:val="176D963B"/>
    <w:rsid w:val="1B7F798D"/>
    <w:rsid w:val="1DCA7AC1"/>
    <w:rsid w:val="1F3B0AC1"/>
    <w:rsid w:val="1F5E9DB6"/>
    <w:rsid w:val="2117AD81"/>
    <w:rsid w:val="21F75307"/>
    <w:rsid w:val="27FB2020"/>
    <w:rsid w:val="288D1499"/>
    <w:rsid w:val="2BEE6E8A"/>
    <w:rsid w:val="2E7ACAF3"/>
    <w:rsid w:val="2EFFE7AD"/>
    <w:rsid w:val="2FEDA3F1"/>
    <w:rsid w:val="3257C860"/>
    <w:rsid w:val="33FFF3CD"/>
    <w:rsid w:val="352A11F6"/>
    <w:rsid w:val="377571F4"/>
    <w:rsid w:val="37ED2099"/>
    <w:rsid w:val="37FE0A31"/>
    <w:rsid w:val="39D792D9"/>
    <w:rsid w:val="3AFBF1C6"/>
    <w:rsid w:val="3BBFDE14"/>
    <w:rsid w:val="3CB393A4"/>
    <w:rsid w:val="3CFE796A"/>
    <w:rsid w:val="3DF3E130"/>
    <w:rsid w:val="3EED8CAE"/>
    <w:rsid w:val="3EFFEFC0"/>
    <w:rsid w:val="3FA6181B"/>
    <w:rsid w:val="3FB5E172"/>
    <w:rsid w:val="3FDF2925"/>
    <w:rsid w:val="3FDFA91F"/>
    <w:rsid w:val="3FE1DEFB"/>
    <w:rsid w:val="3FE5F325"/>
    <w:rsid w:val="3FEF3B35"/>
    <w:rsid w:val="3FFADC58"/>
    <w:rsid w:val="47FF5D5C"/>
    <w:rsid w:val="4B3E44B7"/>
    <w:rsid w:val="4FDE78CE"/>
    <w:rsid w:val="4FFFAA23"/>
    <w:rsid w:val="52A200E3"/>
    <w:rsid w:val="53A88E30"/>
    <w:rsid w:val="53FAD87A"/>
    <w:rsid w:val="54FFF2CF"/>
    <w:rsid w:val="567D553A"/>
    <w:rsid w:val="569237F7"/>
    <w:rsid w:val="56DBADA4"/>
    <w:rsid w:val="579CE624"/>
    <w:rsid w:val="59C708E9"/>
    <w:rsid w:val="5A35532B"/>
    <w:rsid w:val="5A7BF1E5"/>
    <w:rsid w:val="5BA78D5E"/>
    <w:rsid w:val="5BB87DBA"/>
    <w:rsid w:val="5BE762D4"/>
    <w:rsid w:val="5DDDD882"/>
    <w:rsid w:val="5DE7BCA1"/>
    <w:rsid w:val="5DFFBFAA"/>
    <w:rsid w:val="5EFFDDE2"/>
    <w:rsid w:val="5F763C0F"/>
    <w:rsid w:val="5F7A982F"/>
    <w:rsid w:val="5FBF1457"/>
    <w:rsid w:val="5FED60AA"/>
    <w:rsid w:val="5FEFF4C2"/>
    <w:rsid w:val="63F385C0"/>
    <w:rsid w:val="63F5FE37"/>
    <w:rsid w:val="647F6670"/>
    <w:rsid w:val="67F5B1D0"/>
    <w:rsid w:val="69A71AE0"/>
    <w:rsid w:val="6A4FC826"/>
    <w:rsid w:val="6ADF4B0D"/>
    <w:rsid w:val="6AF76FF0"/>
    <w:rsid w:val="6B95175B"/>
    <w:rsid w:val="6BDF5376"/>
    <w:rsid w:val="6BE53CCB"/>
    <w:rsid w:val="6C7B5F76"/>
    <w:rsid w:val="6CEF960A"/>
    <w:rsid w:val="6D235CF7"/>
    <w:rsid w:val="6DDE03AF"/>
    <w:rsid w:val="6DFD6765"/>
    <w:rsid w:val="6E7E5440"/>
    <w:rsid w:val="6ED5ABCE"/>
    <w:rsid w:val="6EFF482F"/>
    <w:rsid w:val="6F632200"/>
    <w:rsid w:val="6F6DD354"/>
    <w:rsid w:val="6F850745"/>
    <w:rsid w:val="6FBBC877"/>
    <w:rsid w:val="6FF9921E"/>
    <w:rsid w:val="6FFC7CC5"/>
    <w:rsid w:val="6FFD7550"/>
    <w:rsid w:val="6FFDCB73"/>
    <w:rsid w:val="72AF49AA"/>
    <w:rsid w:val="72DF0FFC"/>
    <w:rsid w:val="72E75F44"/>
    <w:rsid w:val="733F7231"/>
    <w:rsid w:val="7396C1D0"/>
    <w:rsid w:val="73EFEF94"/>
    <w:rsid w:val="73F99EB8"/>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uiPriority w:val="0"/>
    <w:pPr>
      <w:snapToGrid w:val="0"/>
      <w:jc w:val="left"/>
    </w:pPr>
    <w:rPr>
      <w:sz w:val="18"/>
      <w:szCs w:val="18"/>
    </w:rPr>
  </w:style>
  <w:style w:type="paragraph" w:styleId="3">
    <w:name w:val="Body Text First Indent 2"/>
    <w:basedOn w:val="4"/>
    <w:next w:val="1"/>
    <w:qFormat/>
    <w:uiPriority w:val="0"/>
    <w:pPr>
      <w:widowControl w:val="0"/>
      <w:spacing w:after="120"/>
      <w:ind w:left="420" w:leftChars="200" w:firstLine="420" w:firstLineChars="200"/>
      <w:jc w:val="both"/>
    </w:pPr>
    <w:rPr>
      <w:rFonts w:hint="eastAsia" w:ascii="Times New Roman" w:hAnsi="Times New Roman" w:eastAsia="宋体" w:cs="Times New Roman"/>
      <w:kern w:val="2"/>
      <w:sz w:val="21"/>
      <w:szCs w:val="24"/>
      <w:lang w:val="en-US" w:eastAsia="zh-CN" w:bidi="ar-SA"/>
    </w:rPr>
  </w:style>
  <w:style w:type="paragraph" w:styleId="4">
    <w:name w:val="Body Text Indent"/>
    <w:basedOn w:val="1"/>
    <w:next w:val="3"/>
    <w:qFormat/>
    <w:uiPriority w:val="0"/>
    <w:pPr>
      <w:widowControl w:val="0"/>
      <w:spacing w:after="120"/>
      <w:ind w:left="420" w:leftChars="200"/>
      <w:jc w:val="both"/>
    </w:pPr>
    <w:rPr>
      <w:rFonts w:ascii="Calibri" w:hAnsi="Calibri" w:eastAsia="宋体" w:cs="宋体"/>
      <w:kern w:val="2"/>
      <w:sz w:val="21"/>
      <w:szCs w:val="24"/>
      <w:lang w:val="en-US" w:eastAsia="zh-CN" w:bidi="ar-SA"/>
    </w:rPr>
  </w:style>
  <w:style w:type="paragraph" w:styleId="5">
    <w:name w:val="Body Text"/>
    <w:basedOn w:val="1"/>
    <w:uiPriority w:val="0"/>
    <w:pPr>
      <w:spacing w:before="30" w:beforeLines="30"/>
    </w:pPr>
    <w:rPr>
      <w:rFonts w:ascii="仿宋_GB2312" w:eastAsia="仿宋_GB2312"/>
      <w:kern w:val="0"/>
      <w:sz w:val="30"/>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page number"/>
    <w:basedOn w:val="9"/>
    <w:uiPriority w:val="0"/>
  </w:style>
  <w:style w:type="paragraph" w:styleId="11">
    <w:name w:val="List Paragraph"/>
    <w:basedOn w:val="1"/>
    <w:qFormat/>
    <w:uiPriority w:val="34"/>
    <w:pPr>
      <w:ind w:firstLine="420" w:firstLineChars="200"/>
    </w:pPr>
  </w:style>
  <w:style w:type="character" w:customStyle="1" w:styleId="12">
    <w:name w:val="页眉 Char"/>
    <w:basedOn w:val="9"/>
    <w:link w:val="7"/>
    <w:qFormat/>
    <w:uiPriority w:val="99"/>
    <w:rPr>
      <w:sz w:val="18"/>
      <w:szCs w:val="18"/>
    </w:rPr>
  </w:style>
  <w:style w:type="character" w:customStyle="1" w:styleId="13">
    <w:name w:val="页脚 Char"/>
    <w:basedOn w:val="9"/>
    <w:link w:val="6"/>
    <w:qFormat/>
    <w:uiPriority w:val="99"/>
    <w:rPr>
      <w:sz w:val="18"/>
      <w:szCs w:val="18"/>
    </w:rPr>
  </w:style>
  <w:style w:type="character" w:customStyle="1" w:styleId="14">
    <w:name w:val="font91"/>
    <w:basedOn w:val="9"/>
    <w:uiPriority w:val="0"/>
    <w:rPr>
      <w:rFonts w:hint="eastAsia" w:ascii="宋体" w:hAnsi="宋体" w:eastAsia="宋体" w:cs="宋体"/>
      <w:color w:val="000000"/>
      <w:sz w:val="22"/>
      <w:szCs w:val="22"/>
      <w:u w:val="none"/>
    </w:rPr>
  </w:style>
  <w:style w:type="character" w:customStyle="1" w:styleId="15">
    <w:name w:val="font1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2"/>
      <w:szCs w:val="22"/>
      <w:u w:val="none"/>
    </w:rPr>
  </w:style>
  <w:style w:type="character" w:customStyle="1" w:styleId="17">
    <w:name w:val="font81"/>
    <w:basedOn w:val="9"/>
    <w:uiPriority w:val="0"/>
    <w:rPr>
      <w:rFonts w:hint="eastAsia" w:ascii="宋体" w:hAnsi="宋体" w:eastAsia="宋体" w:cs="宋体"/>
      <w:color w:val="000000"/>
      <w:sz w:val="22"/>
      <w:szCs w:val="22"/>
      <w:u w:val="none"/>
    </w:rPr>
  </w:style>
  <w:style w:type="character" w:customStyle="1" w:styleId="18">
    <w:name w:val="font111"/>
    <w:basedOn w:val="9"/>
    <w:qFormat/>
    <w:uiPriority w:val="0"/>
    <w:rPr>
      <w:rFonts w:ascii="Dialog . plain" w:hAnsi="Dialog . plain" w:eastAsia="Dialog . plain" w:cs="Dialog . plain"/>
      <w:color w:val="000000"/>
      <w:sz w:val="22"/>
      <w:szCs w:val="22"/>
      <w:u w:val="none"/>
    </w:rPr>
  </w:style>
  <w:style w:type="character" w:customStyle="1" w:styleId="19">
    <w:name w:val="font121"/>
    <w:basedOn w:val="9"/>
    <w:qFormat/>
    <w:uiPriority w:val="0"/>
    <w:rPr>
      <w:rFonts w:ascii="Dialog . bold" w:hAnsi="Dialog . bold" w:eastAsia="Dialog . bold" w:cs="Dialog . bold"/>
      <w:b/>
      <w:bCs/>
      <w:color w:val="000000"/>
      <w:sz w:val="22"/>
      <w:szCs w:val="22"/>
      <w:u w:val="none"/>
    </w:rPr>
  </w:style>
  <w:style w:type="character" w:customStyle="1" w:styleId="20">
    <w:name w:val="font112"/>
    <w:basedOn w:val="9"/>
    <w:qFormat/>
    <w:uiPriority w:val="0"/>
    <w:rPr>
      <w:rFonts w:ascii="Dialog . plain" w:hAnsi="Dialog . plain" w:eastAsia="Dialog . plain" w:cs="Dialog . plain"/>
      <w:color w:val="000000"/>
      <w:sz w:val="22"/>
      <w:szCs w:val="22"/>
      <w:u w:val="none"/>
    </w:rPr>
  </w:style>
  <w:style w:type="character" w:customStyle="1" w:styleId="21">
    <w:name w:val="font131"/>
    <w:basedOn w:val="9"/>
    <w:uiPriority w:val="0"/>
    <w:rPr>
      <w:rFonts w:ascii="Dialog . bold" w:hAnsi="Dialog . bold" w:eastAsia="Dialog . bold" w:cs="Dialog . bold"/>
      <w:color w:val="000000"/>
      <w:sz w:val="22"/>
      <w:szCs w:val="22"/>
      <w:u w:val="none"/>
    </w:rPr>
  </w:style>
  <w:style w:type="character" w:customStyle="1" w:styleId="22">
    <w:name w:val="font122"/>
    <w:basedOn w:val="9"/>
    <w:uiPriority w:val="0"/>
    <w:rPr>
      <w:rFonts w:ascii="Dialog . plain" w:hAnsi="Dialog . plain" w:eastAsia="Dialog . plain" w:cs="Dialog . plain"/>
      <w:color w:val="000000"/>
      <w:sz w:val="22"/>
      <w:szCs w:val="22"/>
      <w:u w:val="none"/>
    </w:rPr>
  </w:style>
  <w:style w:type="character" w:customStyle="1" w:styleId="23">
    <w:name w:val="font132"/>
    <w:basedOn w:val="9"/>
    <w:uiPriority w:val="0"/>
    <w:rPr>
      <w:rFonts w:ascii="Dialog . bold" w:hAnsi="Dialog . bold" w:eastAsia="Dialog . bold" w:cs="Dialog . bold"/>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7420</Words>
  <Characters>9003</Characters>
  <Lines>35</Lines>
  <Paragraphs>9</Paragraphs>
  <TotalTime>14</TotalTime>
  <ScaleCrop>false</ScaleCrop>
  <LinksUpToDate>false</LinksUpToDate>
  <CharactersWithSpaces>9396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SH</cp:lastModifiedBy>
  <dcterms:modified xsi:type="dcterms:W3CDTF">2026-03-24T02:23:25Z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2761905371394ADFA5BF6260C2BCA1B6</vt:lpwstr>
  </property>
</Properties>
</file>