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CN"/>
        </w:rPr>
      </w:pP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default" w:ascii="方正小标宋简体" w:hAnsi="黑体" w:eastAsia="方正小标宋简体"/>
          <w:sz w:val="84"/>
          <w:szCs w:val="84"/>
          <w:highlight w:val="none"/>
          <w:lang w:val="en-US" w:eastAsia="zh-CN"/>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val="en-US" w:eastAsia="zh-CN"/>
        </w:rPr>
        <w:t>九寨沟县妇女儿童服务中心</w:t>
      </w: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6</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CN"/>
        </w:rPr>
        <w:t>预算公开</w:t>
      </w:r>
    </w:p>
    <w:p>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val="en-US" w:eastAsia="zh-CN"/>
        </w:rPr>
        <w:t>九寨沟县妇女儿童服务中心</w:t>
      </w:r>
      <w:r>
        <w:rPr>
          <w:rFonts w:hint="eastAsia" w:ascii="黑体" w:hAnsi="黑体" w:eastAsia="黑体"/>
          <w:sz w:val="32"/>
          <w:szCs w:val="32"/>
          <w:highlight w:val="none"/>
        </w:rPr>
        <w:t>概况</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一、基本职能及主要工作</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九寨沟县妇女儿童服务中心</w:t>
      </w:r>
      <w:r>
        <w:rPr>
          <w:rFonts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CN"/>
        </w:rPr>
        <w:t>预算</w:t>
      </w:r>
      <w:r>
        <w:rPr>
          <w:rFonts w:hint="eastAsia" w:ascii="黑体" w:hAnsi="黑体" w:eastAsia="黑体"/>
          <w:sz w:val="32"/>
          <w:szCs w:val="32"/>
          <w:highlight w:val="none"/>
        </w:rPr>
        <w:t>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部门收入总表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1-2</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部门支出总表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2</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财政拨款收支预算总表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2-1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财政拨款支出预算表（部门经济分类科目）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3-2</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一般公共预算项目支出预算表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3-3</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一般公共预算“三公”经费支出预算表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4</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政府性基金预算支出表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CN"/>
        </w:rPr>
        <w:t>表4-1</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政府性基金预算“三公”经费支出预算表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5</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rPr>
        <w:t>国有资本经营预算支出表</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val="en-US" w:eastAsia="zh-CN"/>
        </w:rPr>
        <w:t>九寨沟县妇女儿童服务中心</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CN"/>
        </w:rPr>
        <w:t>部门预算</w:t>
      </w:r>
      <w:r>
        <w:rPr>
          <w:rFonts w:hint="eastAsia" w:ascii="黑体" w:hAnsi="黑体" w:eastAsia="黑体"/>
          <w:sz w:val="32"/>
          <w:szCs w:val="32"/>
          <w:highlight w:val="none"/>
        </w:rPr>
        <w:t>情况说明</w:t>
      </w:r>
    </w:p>
    <w:p>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pPr>
        <w:rPr>
          <w:rFonts w:hint="eastAsia" w:ascii="黑体" w:hAnsi="黑体" w:eastAsia="黑体"/>
          <w:sz w:val="32"/>
          <w:szCs w:val="32"/>
          <w:highlight w:val="none"/>
        </w:rPr>
      </w:pPr>
      <w:r>
        <w:rPr>
          <w:rFonts w:hint="eastAsia" w:ascii="黑体" w:hAnsi="黑体" w:eastAsia="黑体"/>
          <w:sz w:val="32"/>
          <w:szCs w:val="32"/>
          <w:highlight w:val="none"/>
        </w:rPr>
        <w:br w:type="page"/>
      </w:r>
    </w:p>
    <w:p>
      <w:pPr>
        <w:ind w:left="880" w:hanging="880" w:hangingChars="200"/>
        <w:jc w:val="both"/>
        <w:rPr>
          <w:rFonts w:hint="eastAsia" w:ascii="方正楷体_GBK" w:hAnsi="方正楷体_GBK" w:eastAsia="方正楷体_GBK" w:cs="方正楷体_GBK"/>
          <w:b/>
          <w:bCs/>
          <w:sz w:val="32"/>
          <w:szCs w:val="32"/>
          <w:shd w:val="clear" w:color="auto" w:fill="FFFFFF"/>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九寨沟县妇女儿童服务中心</w:t>
      </w:r>
      <w:r>
        <w:rPr>
          <w:rFonts w:hint="eastAsia" w:ascii="方正小标宋简体" w:hAnsi="黑体" w:eastAsia="方正小标宋简体"/>
          <w:sz w:val="44"/>
          <w:szCs w:val="44"/>
          <w:highlight w:val="none"/>
        </w:rPr>
        <w:t>概况</w:t>
      </w:r>
      <w:r>
        <w:rPr>
          <w:rFonts w:hint="eastAsia" w:ascii="方正楷体_GBK" w:hAnsi="方正楷体_GBK" w:eastAsia="方正楷体_GBK" w:cs="方正楷体_GBK"/>
          <w:b/>
          <w:bCs/>
          <w:sz w:val="32"/>
          <w:szCs w:val="32"/>
          <w:shd w:val="clear" w:color="auto" w:fill="FFFFFF"/>
        </w:rPr>
        <w:t>一、基本职能及主要工作</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九寨沟县妇女儿童服务中心是县妇女儿童服务中心下属的公益一类事业单位，核心是承接妇联面向妇女儿童的综合服务、权益保障、活动组织、阵地运营等具体事务，以下为其职能职责与主要工作：</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3" w:firstLineChars="200"/>
        <w:jc w:val="left"/>
        <w:rPr>
          <w:rFonts w:hint="eastAsia" w:ascii="方正楷体_GBK" w:hAnsi="方正楷体_GBK" w:eastAsia="方正楷体_GBK" w:cs="方正楷体_GBK"/>
          <w:b/>
          <w:bCs/>
          <w:kern w:val="2"/>
          <w:sz w:val="32"/>
          <w:szCs w:val="32"/>
          <w:shd w:val="clear" w:color="auto" w:fill="FFFFFF"/>
          <w:lang w:val="en-US" w:eastAsia="zh-CN" w:bidi="ar-SA"/>
        </w:rPr>
      </w:pPr>
      <w:r>
        <w:rPr>
          <w:rFonts w:hint="eastAsia" w:ascii="方正楷体_GBK" w:hAnsi="方正楷体_GBK" w:eastAsia="方正楷体_GBK" w:cs="方正楷体_GBK"/>
          <w:b/>
          <w:bCs/>
          <w:kern w:val="2"/>
          <w:sz w:val="32"/>
          <w:szCs w:val="32"/>
          <w:shd w:val="clear" w:color="auto" w:fill="FFFFFF"/>
          <w:lang w:val="en-US" w:eastAsia="zh-CN" w:bidi="ar-SA"/>
        </w:rPr>
        <w:t>核心职能职责</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200" w:right="0" w:rightChars="0"/>
        <w:jc w:val="left"/>
        <w:outlineLvl w:val="2"/>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w:t>
      </w:r>
      <w:r>
        <w:rPr>
          <w:rFonts w:hint="eastAsia" w:ascii="仿宋_GB2312" w:hAnsi="仿宋" w:eastAsia="仿宋_GB2312" w:cstheme="minorBidi"/>
          <w:b w:val="0"/>
          <w:bCs w:val="0"/>
          <w:kern w:val="2"/>
          <w:sz w:val="32"/>
          <w:szCs w:val="32"/>
          <w:highlight w:val="none"/>
          <w:lang w:val="en-US" w:eastAsia="zh-CN" w:bidi="ar-SA"/>
        </w:rPr>
        <w:t>一</w:t>
      </w:r>
      <w:r>
        <w:rPr>
          <w:rFonts w:hint="eastAsia" w:ascii="仿宋_GB2312" w:hAnsi="仿宋" w:eastAsia="仿宋_GB2312" w:cstheme="minorBidi"/>
          <w:b w:val="0"/>
          <w:bCs w:val="0"/>
          <w:kern w:val="2"/>
          <w:sz w:val="32"/>
          <w:szCs w:val="32"/>
          <w:highlight w:val="none"/>
          <w:lang w:val="en-US" w:eastAsia="zh-CN" w:bidi="ar-SA"/>
        </w:rPr>
        <w:t>）妇女综合服务</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1.开展妇女思想引领、政策宣传、技能培训、就业创业指导与帮扶。</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2.实施 “格桑花开” 单亲母亲关爱、巾帼建功、最美家庭评选等品牌项目。</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3.提供婚姻家庭关系调适、心理疏导、法律咨询与维权服务。</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（二）儿童关爱保护</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1.落实 “爱心爸妈” 结对帮扶、困境儿童救助、儿童早期发展指导。</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2.开展儿童安全自护教育、心理健康服务、家庭教育指导。</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3.协助做好留守儿童、孤残儿童、事实无人抚养儿童关爱与权益保障。</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（三）阵地建设与运营</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1.负责县、乡、村三级 “妇女之家”“儿童之家” 建设、管理与服务。</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2.组织开展妇女儿童文体活动、亲子活动、主题宣传教育活动。</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（四）基层指导与协同</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1.指导乡镇、村（社区）妇联及服务站点开展工作。</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2.联动卫健、教育、民政、司法等部门，推进妇女儿童发展规划实施。</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（五）数据与项目管理</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1.建立妇女儿童信息台账，开展需求调研、数据统计与分析。</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2.承接实施妇女儿童公益项目、民生项目，做好项目申报、执行与验收。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 w:eastAsia="仿宋_GB2312" w:cstheme="minorBidi"/>
          <w:b w:val="0"/>
          <w:bCs w:val="0"/>
          <w:kern w:val="2"/>
          <w:sz w:val="32"/>
          <w:szCs w:val="32"/>
          <w:highlight w:val="none"/>
          <w:lang w:val="en-US" w:eastAsia="zh-CN" w:bidi="ar-SA"/>
        </w:rPr>
      </w:pPr>
      <w:r>
        <w:rPr>
          <w:rFonts w:hint="eastAsia" w:ascii="方正楷体_GBK" w:hAnsi="方正楷体_GBK" w:eastAsia="方正楷体_GBK" w:cs="方正楷体_GBK"/>
          <w:b/>
          <w:bCs/>
          <w:kern w:val="2"/>
          <w:sz w:val="32"/>
          <w:szCs w:val="32"/>
          <w:shd w:val="clear" w:color="auto" w:fill="FFFFFF"/>
          <w:lang w:val="en-US" w:eastAsia="zh-CN" w:bidi="ar-SA"/>
        </w:rPr>
        <w:t>二、年度主要工作</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（一）妇女发展服务</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1.开展家政、电商、手工等技能培训，助力妇女就业创业。</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2.推进 “格桑花开” 单亲母亲帮扶，提供资金慰问、技能对接、心理支持。</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3.深化 “最美家庭”“五好家庭” 评选，弘扬优良家风。</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（二）儿童关爱行动</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1.落实 “爱心爸妈” 结对帮扶，实现困境儿童全覆盖。</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2.开展 “六一” 慰问、暑期托管、安全自护、法治教育等活动。</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3.推进儿童早期发展服务，开展亲子阅读、家庭教育指导。</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（三）权益保障与维权</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1.开展《妇女权益保障法》《反家庭暴力法》《家庭教育促进法》宣传。</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2.受理妇女儿童信访、投诉，提供法律援助与维权服务。</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3.参与反家暴、女童保护、校园欺凌防治等专项行动。</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（四）阵地与活动建设</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1.提升 “妇女之家”“儿童之家” 服务能力，打造示范站点。</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2.组织三八节、母亲节、儿童节等主题活动，丰富妇女儿童文化生活。</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（五）基层与项目工作</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1.指导乡镇妇联开展工作，培训基层妇联干部与志愿者。</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eastAsia" w:ascii="仿宋_GB2312" w:hAnsi="仿宋" w:eastAsia="仿宋_GB2312" w:cstheme="minorBidi"/>
          <w:b w:val="0"/>
          <w:bCs w:val="0"/>
          <w:kern w:val="2"/>
          <w:sz w:val="32"/>
          <w:szCs w:val="32"/>
          <w:highlight w:val="none"/>
          <w:lang w:val="en-US" w:eastAsia="zh-CN" w:bidi="ar-SA"/>
        </w:rPr>
      </w:pPr>
      <w:r>
        <w:rPr>
          <w:rFonts w:hint="eastAsia" w:ascii="仿宋_GB2312" w:hAnsi="仿宋" w:eastAsia="仿宋_GB2312" w:cstheme="minorBidi"/>
          <w:b w:val="0"/>
          <w:bCs w:val="0"/>
          <w:kern w:val="2"/>
          <w:sz w:val="32"/>
          <w:szCs w:val="32"/>
          <w:highlight w:val="none"/>
          <w:lang w:val="en-US" w:eastAsia="zh-CN" w:bidi="ar-SA"/>
        </w:rPr>
        <w:t>2.申报、实施妇女儿童公益项目，做好资金管理与绩效评估。</w:t>
      </w:r>
    </w:p>
    <w:p>
      <w:pPr>
        <w:widowControl w:val="0"/>
        <w:spacing w:after="0" w:line="576" w:lineRule="exact"/>
        <w:ind w:left="420" w:leftChars="200"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p>
    <w:p>
      <w:pPr>
        <w:widowControl w:val="0"/>
        <w:spacing w:after="0" w:line="576" w:lineRule="exact"/>
        <w:ind w:left="420" w:leftChars="200" w:firstLine="640" w:firstLineChars="200"/>
        <w:jc w:val="both"/>
        <w:rPr>
          <w:rFonts w:hint="eastAsia" w:ascii="仿宋_GB2312" w:hAnsi="仿宋_GB2312" w:eastAsia="仿宋_GB2312" w:cs="仿宋_GB2312"/>
          <w:color w:val="000000"/>
          <w:kern w:val="2"/>
          <w:sz w:val="32"/>
          <w:szCs w:val="32"/>
          <w:shd w:val="clear" w:color="auto" w:fill="FFFFFF"/>
          <w:lang w:val="en-US" w:eastAsia="zh-CN" w:bidi="ar-SA"/>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numPr>
          <w:ilvl w:val="0"/>
          <w:numId w:val="2"/>
        </w:numPr>
        <w:jc w:val="cente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 </w:t>
      </w:r>
      <w:r>
        <w:rPr>
          <w:rFonts w:hint="eastAsia" w:ascii="方正小标宋简体" w:hAnsi="黑体" w:eastAsia="方正小标宋简体"/>
          <w:sz w:val="44"/>
          <w:szCs w:val="44"/>
          <w:highlight w:val="none"/>
          <w:lang w:val="en-US" w:eastAsia="zh-CN"/>
        </w:rPr>
        <w:t xml:space="preserve">县妇女儿童服务中心       </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6</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CN"/>
        </w:rPr>
        <w:t>部门预算</w:t>
      </w:r>
      <w:r>
        <w:rPr>
          <w:rFonts w:ascii="方正小标宋简体" w:hAnsi="黑体" w:eastAsia="方正小标宋简体"/>
          <w:sz w:val="44"/>
          <w:szCs w:val="44"/>
          <w:highlight w:val="none"/>
        </w:rPr>
        <w:t>表</w:t>
      </w:r>
    </w:p>
    <w:tbl>
      <w:tblPr>
        <w:tblStyle w:val="9"/>
        <w:tblpPr w:leftFromText="180" w:rightFromText="180" w:vertAnchor="text" w:horzAnchor="page" w:tblpX="1725" w:tblpY="456"/>
        <w:tblOverlap w:val="never"/>
        <w:tblW w:w="94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
        <w:gridCol w:w="3112"/>
        <w:gridCol w:w="1244"/>
        <w:gridCol w:w="3112"/>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11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4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11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74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9214"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24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11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46"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435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4858"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24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311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4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 xml:space="preserve">一、一般公共预算拨款收入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一、一般公共服务支出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 xml:space="preserve">二、政府性基金预算拨款收入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二、外交支出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 xml:space="preserve">三、国有资本经营预算拨款收入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三、国防支出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 xml:space="preserve">四、事业收入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四、公共安全支出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 xml:space="preserve">五、事业单位经营收入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五、教育支出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 xml:space="preserve">六、其他收入 </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六、科学技术支出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七、文化旅游体育与传媒支出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八、社会保障和就业支出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九、社会保险基金支出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十、卫生健康支出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十一、节能环保支出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十二、城乡社区支出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十三、农林水支出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十四、交通运输支出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十五、资源勘探工业信息等支出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十六、商业服务业等支出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十七、金融支出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十八、援助其他地区支出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十九、自然资源海洋气象等支出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二十、住房保障支出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二十一、粮油物资储备支出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二十二、国有资本经营预算支出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二十三、灾害防治及应急管理支出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二十四、其他支出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二十五、债务还本支出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二十六、债务付息支出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二十七、债务发行费用支出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23"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6"/>
                <w:lang w:val="en-US" w:eastAsia="zh-CN" w:bidi="ar"/>
              </w:rPr>
              <w:t>二十八、抗疫特别国债安排的支出</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i w:val="0"/>
                <w:iCs w:val="0"/>
                <w:color w:val="000000"/>
                <w:kern w:val="0"/>
                <w:sz w:val="22"/>
                <w:szCs w:val="22"/>
                <w:u w:val="none"/>
                <w:lang w:val="en-US" w:eastAsia="zh-CN" w:bidi="ar"/>
              </w:rPr>
              <w:t>本 年 收 入 合 计</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311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i w:val="0"/>
                <w:iCs w:val="0"/>
                <w:color w:val="000000"/>
                <w:kern w:val="0"/>
                <w:sz w:val="22"/>
                <w:szCs w:val="22"/>
                <w:u w:val="none"/>
                <w:lang w:val="en-US" w:eastAsia="zh-CN" w:bidi="ar"/>
              </w:rPr>
              <w:t>本 年 支 出 合 计</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Hiragino Sans GB" w:hAnsi="Hiragino Sans GB" w:eastAsia="Hiragino Sans GB" w:cs="Hiragino Sans GB"/>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default" w:ascii="Hiragino Sans GB" w:hAnsi="Hiragino Sans GB" w:eastAsia="Hiragino Sans GB" w:cs="Hiragino Sans GB"/>
                <w:b/>
                <w:bCs/>
                <w:i w:val="0"/>
                <w:iCs w:val="0"/>
                <w:color w:val="000000"/>
                <w:sz w:val="18"/>
                <w:szCs w:val="18"/>
                <w:u w:val="none"/>
              </w:rPr>
            </w:pP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12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311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17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r>
    </w:tbl>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r>
        <w:rPr>
          <w:rFonts w:ascii="方正小标宋简体" w:hAnsi="黑体" w:eastAsia="方正小标宋简体"/>
          <w:sz w:val="44"/>
          <w:szCs w:val="44"/>
          <w:highlight w:val="none"/>
        </w:rPr>
        <w:br w:type="page"/>
      </w:r>
    </w:p>
    <w:p>
      <w:pPr>
        <w:rPr>
          <w:rFonts w:hint="default" w:ascii="仿宋_GB2312" w:hAnsi="黑体" w:eastAsia="仿宋_GB2312"/>
          <w:sz w:val="32"/>
          <w:szCs w:val="32"/>
          <w:highlight w:val="none"/>
          <w:lang w:eastAsia="zh-Hans"/>
        </w:rPr>
        <w:sectPr>
          <w:footerReference r:id="rId3" w:type="default"/>
          <w:pgSz w:w="11906" w:h="16838"/>
          <w:pgMar w:top="1440" w:right="1800" w:bottom="1440" w:left="1800" w:header="851" w:footer="992" w:gutter="0"/>
          <w:cols w:space="425" w:num="1"/>
          <w:docGrid w:type="lines" w:linePitch="312" w:charSpace="0"/>
        </w:sectPr>
      </w:pPr>
    </w:p>
    <w:tbl>
      <w:tblPr>
        <w:tblStyle w:val="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902"/>
        <w:gridCol w:w="2288"/>
        <w:gridCol w:w="882"/>
        <w:gridCol w:w="873"/>
        <w:gridCol w:w="882"/>
        <w:gridCol w:w="873"/>
        <w:gridCol w:w="878"/>
        <w:gridCol w:w="878"/>
        <w:gridCol w:w="878"/>
        <w:gridCol w:w="878"/>
        <w:gridCol w:w="878"/>
        <w:gridCol w:w="878"/>
        <w:gridCol w:w="1756"/>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0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28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56"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968" w:type="dxa"/>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175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 xml:space="preserve"> </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02"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2288" w:type="dxa"/>
            <w:tcBorders>
              <w:top w:val="single" w:color="FFFFFF" w:sz="4" w:space="0"/>
              <w:left w:val="single" w:color="FFFFFF" w:sz="4" w:space="0"/>
              <w:bottom w:val="nil"/>
              <w:right w:val="single" w:color="FFFFFF" w:sz="4" w:space="0"/>
            </w:tcBorders>
            <w:shd w:val="clear" w:color="auto" w:fill="auto"/>
            <w:noWrap/>
            <w:vAlign w:val="center"/>
          </w:tcPr>
          <w:p/>
        </w:tc>
        <w:tc>
          <w:tcPr>
            <w:tcW w:w="88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8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3"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56"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19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8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7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88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87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8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7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8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8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8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75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8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8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873"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873"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hint="eastAsia" w:ascii="宋体" w:hAnsi="宋体" w:eastAsia="宋体" w:cs="宋体"/>
                <w:b/>
                <w:bCs/>
                <w:i w:val="0"/>
                <w:iCs w:val="0"/>
                <w:color w:val="000000"/>
                <w:sz w:val="22"/>
                <w:szCs w:val="22"/>
                <w:u w:val="none"/>
              </w:rPr>
            </w:pPr>
          </w:p>
        </w:tc>
        <w:tc>
          <w:tcPr>
            <w:tcW w:w="22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left"/>
              <w:rPr>
                <w:rFonts w:hint="eastAsia" w:ascii="宋体" w:hAnsi="宋体" w:eastAsia="宋体" w:cs="宋体"/>
                <w:b/>
                <w:bCs/>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36.18</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36.18</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22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妇女儿童服务中心</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36.18</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8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0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22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8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rPr>
                <w:rFonts w:hint="eastAsia" w:ascii="宋体" w:hAns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bl>
    <w:p>
      <w:pPr>
        <w:pStyle w:val="3"/>
        <w:ind w:left="0" w:leftChars="0" w:firstLine="0" w:firstLineChars="0"/>
        <w:rPr>
          <w:rFonts w:hint="default"/>
          <w:lang w:eastAsia="zh-Hans"/>
        </w:rPr>
        <w:sectPr>
          <w:pgSz w:w="16838" w:h="11906" w:orient="landscape"/>
          <w:pgMar w:top="1800" w:right="1440" w:bottom="1800" w:left="1440" w:header="851" w:footer="992" w:gutter="0"/>
          <w:cols w:space="425" w:num="1"/>
          <w:docGrid w:type="lines" w:linePitch="312" w:charSpace="0"/>
        </w:sectPr>
      </w:pPr>
    </w:p>
    <w:tbl>
      <w:tblPr>
        <w:tblStyle w:val="9"/>
        <w:tblW w:w="466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9"/>
        <w:gridCol w:w="546"/>
        <w:gridCol w:w="437"/>
        <w:gridCol w:w="2723"/>
        <w:gridCol w:w="1564"/>
        <w:gridCol w:w="3888"/>
        <w:gridCol w:w="1541"/>
        <w:gridCol w:w="1541"/>
        <w:gridCol w:w="15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8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851"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6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88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8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926"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289"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303"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541"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1" w:type="dxa"/>
            <w:tcBorders>
              <w:top w:val="single" w:color="FFFFFF" w:sz="4" w:space="0"/>
              <w:left w:val="single" w:color="FFFFFF" w:sz="4" w:space="0"/>
              <w:bottom w:val="nil"/>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8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8303"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5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54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85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56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88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6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款</w:t>
            </w:r>
          </w:p>
        </w:tc>
        <w:tc>
          <w:tcPr>
            <w:tcW w:w="2723"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56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88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pPr>
          </w:p>
        </w:tc>
        <w:tc>
          <w:tcPr>
            <w:tcW w:w="27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5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8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36.18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36.18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289"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妇女儿童服务中心</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36.18</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289" w:type="dxa"/>
            <w:vMerge w:val="restart"/>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09</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8.40</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8.40</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29</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16.88</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3.65</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2.04</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1.78</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27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38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15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0.36</w:t>
            </w:r>
          </w:p>
        </w:tc>
        <w:tc>
          <w:tcPr>
            <w:tcW w:w="15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rPr>
          <w:rFonts w:hint="default"/>
          <w:lang w:eastAsia="zh-Hans"/>
        </w:rPr>
        <w:sectPr>
          <w:pgSz w:w="16838" w:h="11906" w:orient="landscape"/>
          <w:pgMar w:top="1800" w:right="1440" w:bottom="1800" w:left="1440" w:header="851" w:footer="992" w:gutter="0"/>
          <w:cols w:space="425" w:num="1"/>
          <w:docGrid w:type="lines" w:linePitch="312" w:charSpace="0"/>
        </w:sect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1259"/>
        <w:gridCol w:w="738"/>
        <w:gridCol w:w="1260"/>
        <w:gridCol w:w="737"/>
        <w:gridCol w:w="1264"/>
        <w:gridCol w:w="1439"/>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5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3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5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73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1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300"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994"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25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3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3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13"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994"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6306"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25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3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6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14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161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36.18</w:t>
            </w:r>
          </w:p>
        </w:tc>
        <w:tc>
          <w:tcPr>
            <w:tcW w:w="12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25.28</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25.28</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5.69</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5.69</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2.15</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2.15</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3.06</w:t>
            </w: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3.06</w:t>
            </w: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25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5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6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1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bl>
    <w:p>
      <w:pPr>
        <w:pStyle w:val="3"/>
        <w:ind w:left="0" w:leftChars="0" w:firstLine="0" w:firstLineChars="0"/>
        <w:rPr>
          <w:rFonts w:hint="eastAsia" w:eastAsia="宋体"/>
          <w:lang w:eastAsia="zh-CN"/>
        </w:rPr>
      </w:pPr>
    </w:p>
    <w:p>
      <w:pPr>
        <w:jc w:val="both"/>
        <w:rPr>
          <w:rFonts w:ascii="方正小标宋简体" w:hAnsi="黑体" w:eastAsia="方正小标宋简体"/>
          <w:sz w:val="44"/>
          <w:szCs w:val="44"/>
          <w:highlight w:val="none"/>
        </w:rPr>
        <w:sectPr>
          <w:pgSz w:w="11906" w:h="16838"/>
          <w:pgMar w:top="1440" w:right="1800" w:bottom="1440" w:left="1800" w:header="851" w:footer="992" w:gutter="0"/>
          <w:cols w:space="425" w:num="1"/>
          <w:docGrid w:type="lines" w:linePitch="312" w:charSpace="0"/>
        </w:sect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8"/>
        <w:gridCol w:w="470"/>
        <w:gridCol w:w="391"/>
        <w:gridCol w:w="564"/>
        <w:gridCol w:w="449"/>
        <w:gridCol w:w="508"/>
        <w:gridCol w:w="509"/>
        <w:gridCol w:w="509"/>
        <w:gridCol w:w="509"/>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1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33"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8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955" w:type="dxa"/>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19"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814" w:type="dxa"/>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4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8" w:type="dxa"/>
            <w:tcBorders>
              <w:top w:val="single" w:color="FFFFFF" w:sz="4" w:space="0"/>
              <w:left w:val="single" w:color="FFFFFF" w:sz="4" w:space="0"/>
              <w:bottom w:val="nil"/>
              <w:right w:val="single" w:color="FFFFFF"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4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3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08"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7"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814"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037"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3260" w:type="dxa"/>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4296" w:type="dxa"/>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833"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3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54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33"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2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2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97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979"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35"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54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3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4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4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3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32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8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妇女儿童服务中心</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工资福利支出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33.91</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基本工资</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津贴补贴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艰苦边远地区津贴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高海拔地区折算工龄补贴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其他国家津补贴</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奖金</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restar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年终一次性奖金</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基础绩效奖</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07</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绩效工资</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08</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机关事业单位基本养老保险缴费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09</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职业年金缴费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10</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职工基本医疗保险缴费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11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公务员医疗补助缴费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12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其他社会保障缴费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restar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12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工伤保险</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12</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失业保险</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13</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住房公积金</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商品和服务支出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01</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办公费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28</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工会经费</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99</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其他商品和服务支出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4"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302</w:t>
            </w:r>
          </w:p>
        </w:tc>
        <w:tc>
          <w:tcPr>
            <w:tcW w:w="54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27"/>
                <w:lang w:val="en-US" w:eastAsia="zh-CN" w:bidi="ar"/>
              </w:rPr>
              <w:t>99</w:t>
            </w: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7"/>
                <w:lang w:val="en-US" w:eastAsia="zh-CN" w:bidi="ar"/>
              </w:rPr>
              <w:t xml:space="preserve">    其他商品和服务支出</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3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5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36" w:type="dxa"/>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3955" w:type="dxa"/>
            <w:gridSpan w:val="38"/>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814"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4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2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08"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bl>
    <w:p>
      <w:pPr>
        <w:pStyle w:val="3"/>
        <w:sectPr>
          <w:pgSz w:w="16838" w:h="11906" w:orient="landscape"/>
          <w:pgMar w:top="1800" w:right="1440" w:bottom="1800" w:left="1440" w:header="851" w:footer="992" w:gutter="0"/>
          <w:cols w:space="425" w:num="1"/>
          <w:docGrid w:type="lines" w:linePitch="312" w:charSpace="0"/>
        </w:sectPr>
      </w:pPr>
    </w:p>
    <w:tbl>
      <w:tblPr>
        <w:tblStyle w:val="9"/>
        <w:tblW w:w="50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546"/>
        <w:gridCol w:w="437"/>
        <w:gridCol w:w="2800"/>
        <w:gridCol w:w="1320"/>
        <w:gridCol w:w="3194"/>
        <w:gridCol w:w="771"/>
        <w:gridCol w:w="1291"/>
        <w:gridCol w:w="3809"/>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673"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32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19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787"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974"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187"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87"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91"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809"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22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187"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8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9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380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67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32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19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8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9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380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8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款</w:t>
            </w:r>
          </w:p>
        </w:tc>
        <w:tc>
          <w:tcPr>
            <w:tcW w:w="280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3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19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8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9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380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4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8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pPr>
          </w:p>
        </w:tc>
        <w:tc>
          <w:tcPr>
            <w:tcW w:w="28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3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19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36.18</w:t>
            </w:r>
          </w:p>
        </w:tc>
        <w:tc>
          <w:tcPr>
            <w:tcW w:w="12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380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2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1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6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12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380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2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1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妇女联合会部门</w:t>
            </w:r>
          </w:p>
        </w:tc>
        <w:tc>
          <w:tcPr>
            <w:tcW w:w="6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12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380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2" w:type="dxa"/>
            <w:vMerge w:val="restart"/>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09</w:t>
            </w:r>
          </w:p>
        </w:tc>
        <w:tc>
          <w:tcPr>
            <w:tcW w:w="2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1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6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8.40</w:t>
            </w:r>
          </w:p>
        </w:tc>
        <w:tc>
          <w:tcPr>
            <w:tcW w:w="12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38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restart"/>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29</w:t>
            </w:r>
          </w:p>
        </w:tc>
        <w:tc>
          <w:tcPr>
            <w:tcW w:w="2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1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6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16.88</w:t>
            </w:r>
          </w:p>
        </w:tc>
        <w:tc>
          <w:tcPr>
            <w:tcW w:w="12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16.88</w:t>
            </w:r>
          </w:p>
        </w:tc>
        <w:tc>
          <w:tcPr>
            <w:tcW w:w="38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2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3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1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6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3.65</w:t>
            </w:r>
          </w:p>
        </w:tc>
        <w:tc>
          <w:tcPr>
            <w:tcW w:w="12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38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05</w:t>
            </w:r>
          </w:p>
        </w:tc>
        <w:tc>
          <w:tcPr>
            <w:tcW w:w="2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3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1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6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2.04</w:t>
            </w:r>
          </w:p>
        </w:tc>
        <w:tc>
          <w:tcPr>
            <w:tcW w:w="12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38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2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3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1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6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1.78</w:t>
            </w:r>
          </w:p>
        </w:tc>
        <w:tc>
          <w:tcPr>
            <w:tcW w:w="12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38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222" w:type="dxa"/>
            <w:vMerge w:val="continue"/>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8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11</w:t>
            </w:r>
          </w:p>
        </w:tc>
        <w:tc>
          <w:tcPr>
            <w:tcW w:w="2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3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31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6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0.36</w:t>
            </w:r>
          </w:p>
        </w:tc>
        <w:tc>
          <w:tcPr>
            <w:tcW w:w="12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380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222" w:type="dxa"/>
            <w:vMerge w:val="continue"/>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485" w:type="dxa"/>
            <w:tcBorders>
              <w:top w:val="nil"/>
              <w:left w:val="single" w:color="FFFFFF" w:sz="4" w:space="0"/>
              <w:bottom w:val="nil"/>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221</w:t>
            </w:r>
          </w:p>
        </w:tc>
        <w:tc>
          <w:tcPr>
            <w:tcW w:w="388" w:type="dxa"/>
            <w:tcBorders>
              <w:top w:val="nil"/>
              <w:left w:val="single" w:color="FFFFFF" w:sz="4" w:space="0"/>
              <w:bottom w:val="nil"/>
              <w:right w:val="single" w:color="FFFFFF" w:sz="4" w:space="0"/>
            </w:tcBorders>
            <w:shd w:val="clear" w:color="auto" w:fill="auto"/>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02</w:t>
            </w:r>
          </w:p>
        </w:tc>
        <w:tc>
          <w:tcPr>
            <w:tcW w:w="2800" w:type="dxa"/>
            <w:tcBorders>
              <w:top w:val="nil"/>
              <w:left w:val="single" w:color="FFFFFF" w:sz="4" w:space="0"/>
              <w:bottom w:val="nil"/>
              <w:right w:val="single" w:color="FFFFFF" w:sz="4" w:space="0"/>
            </w:tcBorders>
            <w:shd w:val="clear" w:color="auto" w:fill="auto"/>
            <w:vAlign w:val="center"/>
          </w:tcPr>
          <w:p>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01</w:t>
            </w:r>
          </w:p>
        </w:tc>
        <w:tc>
          <w:tcPr>
            <w:tcW w:w="1320" w:type="dxa"/>
            <w:tcBorders>
              <w:top w:val="nil"/>
              <w:left w:val="single" w:color="FFFFFF" w:sz="4" w:space="0"/>
              <w:bottom w:val="nil"/>
              <w:right w:val="single" w:color="FFFFFF"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602</w:t>
            </w:r>
          </w:p>
        </w:tc>
        <w:tc>
          <w:tcPr>
            <w:tcW w:w="3194" w:type="dxa"/>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687" w:type="dxa"/>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3.06</w:t>
            </w:r>
          </w:p>
        </w:tc>
        <w:tc>
          <w:tcPr>
            <w:tcW w:w="1291" w:type="dxa"/>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3.06</w:t>
            </w:r>
          </w:p>
        </w:tc>
        <w:tc>
          <w:tcPr>
            <w:tcW w:w="3809" w:type="dxa"/>
            <w:tcBorders>
              <w:top w:val="nil"/>
              <w:left w:val="single" w:color="FFFFFF" w:sz="4" w:space="0"/>
              <w:bottom w:val="nil"/>
              <w:right w:val="single" w:color="FFFFFF" w:sz="4" w:space="0"/>
            </w:tcBorders>
            <w:shd w:val="clear" w:color="auto" w:fill="auto"/>
            <w:noWrap/>
            <w:vAlign w:val="center"/>
          </w:tcPr>
          <w:p>
            <w:pPr>
              <w:jc w:val="right"/>
            </w:pPr>
          </w:p>
        </w:tc>
        <w:tc>
          <w:tcPr>
            <w:tcW w:w="222" w:type="dxa"/>
            <w:vMerge w:val="continue"/>
            <w:tcBorders>
              <w:top w:val="single" w:color="FFFFFF" w:sz="4" w:space="0"/>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sectPr>
          <w:pgSz w:w="16838" w:h="11906" w:orient="landscape"/>
          <w:pgMar w:top="1800" w:right="1440" w:bottom="1800" w:left="1440" w:header="851" w:footer="992" w:gutter="0"/>
          <w:cols w:space="425" w:num="1"/>
          <w:docGrid w:type="lines" w:linePitch="312" w:charSpace="0"/>
        </w:sect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
        <w:gridCol w:w="695"/>
        <w:gridCol w:w="1268"/>
        <w:gridCol w:w="981"/>
        <w:gridCol w:w="1750"/>
        <w:gridCol w:w="870"/>
        <w:gridCol w:w="975"/>
        <w:gridCol w:w="1540"/>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937"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7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078"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4677" w:type="dxa"/>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7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980"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47"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4677"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40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93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98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76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74"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8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54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27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98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76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74"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98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4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7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33.91</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2.27</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33.91</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妇女儿童服务中心</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33.91</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33.91</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restart"/>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restart"/>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restart"/>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vMerge w:val="continue"/>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127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93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60" w:type="dxa"/>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8078" w:type="dxa"/>
            <w:gridSpan w:val="7"/>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675"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5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22" w:type="dxa"/>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4675" w:type="dxa"/>
            <w:gridSpan w:val="4"/>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项    目</w:t>
            </w:r>
          </w:p>
        </w:tc>
        <w:tc>
          <w:tcPr>
            <w:tcW w:w="3403" w:type="dxa"/>
            <w:gridSpan w:val="3"/>
            <w:tcBorders>
              <w:top w:val="nil"/>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基本支出</w:t>
            </w:r>
          </w:p>
        </w:tc>
        <w:tc>
          <w:tcPr>
            <w:tcW w:w="222" w:type="dxa"/>
            <w:tcBorders>
              <w:top w:val="nil"/>
              <w:left w:val="single" w:color="FFFFFF" w:sz="4" w:space="0"/>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pStyle w:val="3"/>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sectPr>
          <w:pgSz w:w="11906" w:h="16838"/>
          <w:pgMar w:top="1440" w:right="1800" w:bottom="1440" w:left="1800" w:header="851" w:footer="992" w:gutter="0"/>
          <w:cols w:space="425" w:num="1"/>
          <w:docGrid w:type="lines" w:linePitch="312" w:charSpace="0"/>
        </w:sectPr>
      </w:pPr>
    </w:p>
    <w:tbl>
      <w:tblPr>
        <w:tblStyle w:val="9"/>
        <w:tblW w:w="90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7"/>
        <w:gridCol w:w="437"/>
        <w:gridCol w:w="1594"/>
        <w:gridCol w:w="1198"/>
        <w:gridCol w:w="3658"/>
        <w:gridCol w:w="1481"/>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25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9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65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81"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593"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7112" w:type="dxa"/>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481"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222" w:type="dxa"/>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256"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19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65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481"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3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22"/>
                <w:szCs w:val="22"/>
                <w:u w:val="none"/>
                <w:lang w:val="en-US" w:eastAsia="zh-CN" w:bidi="ar"/>
              </w:rPr>
              <w:t>款</w:t>
            </w:r>
          </w:p>
        </w:tc>
        <w:tc>
          <w:tcPr>
            <w:tcW w:w="159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19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65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481"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pPr>
          </w:p>
        </w:tc>
        <w:tc>
          <w:tcPr>
            <w:tcW w:w="159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pPr>
          </w:p>
        </w:tc>
        <w:tc>
          <w:tcPr>
            <w:tcW w:w="15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65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pStyle w:val="3"/>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lang w:val="en-US" w:eastAsia="zh-CN"/>
        </w:rPr>
        <w:t>此表无数据</w:t>
      </w:r>
    </w:p>
    <w:tbl>
      <w:tblPr>
        <w:tblStyle w:val="9"/>
        <w:tblW w:w="187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0"/>
        <w:gridCol w:w="1582"/>
        <w:gridCol w:w="4893"/>
        <w:gridCol w:w="1955"/>
        <w:gridCol w:w="1957"/>
        <w:gridCol w:w="1955"/>
        <w:gridCol w:w="1967"/>
        <w:gridCol w:w="1967"/>
        <w:gridCol w:w="196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58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89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p>
            <w:pPr>
              <w:rPr>
                <w:rFonts w:hint="eastAsia"/>
              </w:rPr>
            </w:pPr>
          </w:p>
          <w:p>
            <w:pPr>
              <w:pStyle w:val="3"/>
              <w:rPr>
                <w:rFonts w:hint="eastAsia"/>
              </w:rPr>
            </w:pPr>
          </w:p>
        </w:tc>
        <w:tc>
          <w:tcPr>
            <w:tcW w:w="19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5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6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6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67"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bl>
    <w:p>
      <w:pPr>
        <w:jc w:val="both"/>
        <w:rPr>
          <w:rFonts w:hint="eastAsia" w:ascii="方正小标宋简体" w:hAnsi="黑体" w:eastAsia="方正小标宋简体"/>
          <w:sz w:val="44"/>
          <w:szCs w:val="44"/>
          <w:highlight w:val="none"/>
        </w:rPr>
      </w:pPr>
    </w:p>
    <w:tbl>
      <w:tblPr>
        <w:tblStyle w:val="9"/>
        <w:tblW w:w="50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
        <w:gridCol w:w="876"/>
        <w:gridCol w:w="2045"/>
        <w:gridCol w:w="835"/>
        <w:gridCol w:w="879"/>
        <w:gridCol w:w="835"/>
        <w:gridCol w:w="1068"/>
        <w:gridCol w:w="1068"/>
        <w:gridCol w:w="10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2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70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4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4"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22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454"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223"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749"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35"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35"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35"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68"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68" w:type="dxa"/>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64" w:type="dxa"/>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70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204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5705"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0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0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3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297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06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9"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0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04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3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06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06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06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23"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7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0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0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4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223"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0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602002</w:t>
            </w:r>
          </w:p>
        </w:tc>
        <w:tc>
          <w:tcPr>
            <w:tcW w:w="204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妇女儿童服务中心</w:t>
            </w:r>
          </w:p>
        </w:tc>
        <w:tc>
          <w:tcPr>
            <w:tcW w:w="8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8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0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0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0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pStyle w:val="3"/>
        <w:rPr>
          <w:rFonts w:hint="eastAsia"/>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此表无数据</w:t>
      </w: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rPr>
      </w:pPr>
    </w:p>
    <w:p>
      <w:pPr>
        <w:jc w:val="both"/>
        <w:rPr>
          <w:rFonts w:hint="eastAsia" w:ascii="方正小标宋简体" w:hAnsi="黑体" w:eastAsia="方正小标宋简体"/>
          <w:sz w:val="44"/>
          <w:szCs w:val="44"/>
          <w:highlight w:val="none"/>
        </w:rPr>
      </w:pPr>
    </w:p>
    <w:tbl>
      <w:tblPr>
        <w:tblStyle w:val="9"/>
        <w:tblW w:w="81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7"/>
        <w:gridCol w:w="437"/>
        <w:gridCol w:w="437"/>
        <w:gridCol w:w="1100"/>
        <w:gridCol w:w="2012"/>
        <w:gridCol w:w="675"/>
        <w:gridCol w:w="1100"/>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13"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6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66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6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73"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6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6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6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此表无数据</w:t>
      </w: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rPr>
      </w:pPr>
    </w:p>
    <w:p>
      <w:pPr>
        <w:rPr>
          <w:rFonts w:hint="eastAsia" w:ascii="方正小标宋简体" w:hAnsi="黑体" w:eastAsia="方正小标宋简体"/>
          <w:sz w:val="44"/>
          <w:szCs w:val="44"/>
          <w:highlight w:val="none"/>
        </w:rPr>
      </w:pPr>
    </w:p>
    <w:tbl>
      <w:tblPr>
        <w:tblStyle w:val="9"/>
        <w:tblW w:w="803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
        <w:gridCol w:w="843"/>
        <w:gridCol w:w="1469"/>
        <w:gridCol w:w="529"/>
        <w:gridCol w:w="686"/>
        <w:gridCol w:w="529"/>
        <w:gridCol w:w="1313"/>
        <w:gridCol w:w="1313"/>
        <w:gridCol w:w="1308"/>
        <w:gridCol w:w="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6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9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3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表4-1</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3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73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78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22" w:type="dxa"/>
            <w:tcBorders>
              <w:top w:val="nil"/>
              <w:left w:val="single" w:color="FFFFFF" w:sz="4" w:space="0"/>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bl>
    <w:p>
      <w:pPr>
        <w:rPr>
          <w:rFonts w:hint="eastAsia"/>
        </w:rPr>
      </w:pPr>
    </w:p>
    <w:p>
      <w:pPr>
        <w:jc w:val="both"/>
        <w:rPr>
          <w:rFonts w:hint="eastAsia" w:ascii="方正小标宋简体" w:hAnsi="黑体" w:eastAsia="方正小标宋简体"/>
          <w:sz w:val="44"/>
          <w:szCs w:val="44"/>
          <w:highlight w:val="none"/>
        </w:rPr>
      </w:pPr>
    </w:p>
    <w:p>
      <w:pPr>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此表无数据</w:t>
      </w:r>
    </w:p>
    <w:p>
      <w:pPr>
        <w:pStyle w:val="3"/>
        <w:ind w:left="0" w:leftChars="0" w:firstLine="0" w:firstLineChars="0"/>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ascii="方正小标宋简体" w:hAnsi="黑体" w:eastAsia="方正小标宋简体"/>
          <w:sz w:val="44"/>
          <w:szCs w:val="44"/>
          <w:highlight w:val="none"/>
        </w:rPr>
      </w:pPr>
    </w:p>
    <w:p>
      <w:pPr>
        <w:pStyle w:val="3"/>
        <w:rPr>
          <w:rFonts w:hint="eastAsia" w:ascii="方正小标宋简体" w:hAnsi="黑体" w:eastAsia="方正小标宋简体"/>
          <w:sz w:val="44"/>
          <w:szCs w:val="44"/>
          <w:highlight w:val="none"/>
        </w:rPr>
      </w:pPr>
    </w:p>
    <w:p>
      <w:pPr>
        <w:rPr>
          <w:rFonts w:hint="eastAsia"/>
        </w:rPr>
      </w:pPr>
    </w:p>
    <w:tbl>
      <w:tblPr>
        <w:tblStyle w:val="9"/>
        <w:tblW w:w="84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2"/>
        <w:gridCol w:w="437"/>
        <w:gridCol w:w="437"/>
        <w:gridCol w:w="437"/>
        <w:gridCol w:w="1100"/>
        <w:gridCol w:w="2073"/>
        <w:gridCol w:w="712"/>
        <w:gridCol w:w="1100"/>
        <w:gridCol w:w="1756"/>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3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68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8"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表5</w:t>
            </w:r>
          </w:p>
        </w:tc>
        <w:tc>
          <w:tcPr>
            <w:tcW w:w="222" w:type="dxa"/>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pPr>
              <w:rPr>
                <w:rFonts w:hint="eastAsia" w:ascii="宋体" w:hAnsi="宋体" w:eastAsia="宋体" w:cs="宋体"/>
                <w:b/>
                <w:bCs/>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8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8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68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rPr>
          <w:rFonts w:hint="eastAsia"/>
        </w:rPr>
      </w:pPr>
    </w:p>
    <w:p>
      <w:pPr>
        <w:jc w:val="both"/>
        <w:rPr>
          <w:rFonts w:hint="eastAsia" w:ascii="方正小标宋简体" w:hAnsi="黑体" w:eastAsia="方正小标宋简体"/>
          <w:sz w:val="44"/>
          <w:szCs w:val="44"/>
          <w:highlight w:val="none"/>
        </w:rPr>
      </w:pPr>
    </w:p>
    <w:p>
      <w:pPr>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此表无数据</w:t>
      </w:r>
    </w:p>
    <w:tbl>
      <w:tblPr>
        <w:tblStyle w:val="9"/>
        <w:tblW w:w="13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
        <w:gridCol w:w="7881"/>
        <w:gridCol w:w="1477"/>
        <w:gridCol w:w="36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8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w:t>
            </w:r>
          </w:p>
        </w:tc>
        <w:tc>
          <w:tcPr>
            <w:tcW w:w="147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66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0"/>
                <w:szCs w:val="20"/>
                <w:u w:val="none"/>
              </w:rPr>
            </w:pPr>
          </w:p>
        </w:tc>
      </w:tr>
    </w:tbl>
    <w:p>
      <w:pPr>
        <w:pStyle w:val="3"/>
        <w:ind w:left="0" w:leftChars="0" w:firstLine="0" w:firstLineChars="0"/>
        <w:rPr>
          <w:rFonts w:hint="eastAsia"/>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p>
    <w:p>
      <w:pPr>
        <w:pStyle w:val="2"/>
        <w:rPr>
          <w:rFonts w:hint="eastAsia" w:ascii="方正小标宋简体" w:hAnsi="黑体" w:eastAsia="方正小标宋简体"/>
          <w:sz w:val="44"/>
          <w:szCs w:val="44"/>
          <w:highlight w:val="none"/>
        </w:rPr>
      </w:pPr>
    </w:p>
    <w:p>
      <w:pPr>
        <w:pStyle w:val="3"/>
        <w:ind w:left="0" w:leftChars="0" w:firstLine="0" w:firstLineChars="0"/>
        <w:rPr>
          <w:rFonts w:hint="eastAsia" w:ascii="方正小标宋简体" w:hAnsi="黑体" w:eastAsia="方正小标宋简体"/>
          <w:sz w:val="44"/>
          <w:szCs w:val="44"/>
          <w:highlight w:val="none"/>
        </w:rPr>
      </w:pPr>
    </w:p>
    <w:p>
      <w:pPr>
        <w:rPr>
          <w:rFonts w:hint="eastAsia"/>
        </w:rPr>
      </w:pPr>
    </w:p>
    <w:p>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第三部分 </w:t>
      </w:r>
      <w:r>
        <w:rPr>
          <w:rFonts w:hint="eastAsia" w:ascii="方正小标宋简体" w:hAnsi="黑体" w:eastAsia="方正小标宋简体"/>
          <w:sz w:val="44"/>
          <w:szCs w:val="44"/>
          <w:highlight w:val="none"/>
          <w:lang w:val="en-US" w:eastAsia="zh-CN"/>
        </w:rPr>
        <w:t>县妇女儿童服务中心</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6</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CN"/>
        </w:rPr>
        <w:t>部门预算</w:t>
      </w:r>
      <w:r>
        <w:rPr>
          <w:rFonts w:hint="eastAsia" w:ascii="方正小标宋简体" w:hAnsi="黑体" w:eastAsia="方正小标宋简体"/>
          <w:sz w:val="44"/>
          <w:szCs w:val="44"/>
          <w:highlight w:val="none"/>
        </w:rPr>
        <w:t>情况说明</w:t>
      </w:r>
    </w:p>
    <w:p>
      <w:pPr>
        <w:ind w:firstLine="640" w:firstLineChars="200"/>
        <w:rPr>
          <w:rFonts w:ascii="黑体" w:hAnsi="黑体" w:eastAsia="黑体"/>
          <w:sz w:val="32"/>
          <w:szCs w:val="32"/>
          <w:highlight w:val="none"/>
        </w:rPr>
      </w:pPr>
      <w:r>
        <w:rPr>
          <w:rFonts w:hint="eastAsia" w:ascii="黑体" w:hAnsi="黑体" w:eastAsia="黑体"/>
          <w:sz w:val="32"/>
          <w:szCs w:val="32"/>
          <w:highlight w:val="none"/>
        </w:rPr>
        <w:t>一、收支预算情况说明</w:t>
      </w:r>
    </w:p>
    <w:p>
      <w:pPr>
        <w:ind w:firstLine="640" w:firstLineChars="200"/>
        <w:jc w:val="both"/>
        <w:rPr>
          <w:rFonts w:hint="default" w:ascii="仿宋_GB2312" w:hAnsi="黑体" w:eastAsia="仿宋_GB2312"/>
          <w:sz w:val="32"/>
          <w:szCs w:val="32"/>
          <w:highlight w:val="none"/>
          <w:lang w:val="en-US"/>
        </w:rPr>
      </w:pPr>
      <w:r>
        <w:rPr>
          <w:rFonts w:hint="eastAsia" w:ascii="仿宋_GB2312" w:hAnsi="黑体" w:eastAsia="仿宋_GB2312"/>
          <w:sz w:val="32"/>
          <w:szCs w:val="32"/>
          <w:highlight w:val="none"/>
        </w:rPr>
        <w:t>按照综合预算的原则，</w:t>
      </w: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eastAsia="zh-CN"/>
        </w:rPr>
        <w:t>部门预算</w:t>
      </w:r>
      <w:r>
        <w:rPr>
          <w:rFonts w:hint="eastAsia" w:ascii="仿宋_GB2312" w:hAnsi="黑体" w:eastAsia="仿宋_GB2312"/>
          <w:sz w:val="32"/>
          <w:szCs w:val="32"/>
          <w:highlight w:val="none"/>
        </w:rPr>
        <w:t>管理。收入包括：一般公共预算拨款收入</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支出包括：一般公共服务支出、社会保障和就业支出、卫生健康支出、住房保障支出。</w:t>
      </w: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36.18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36.18</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36.18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36.18</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36.18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36.18</w:t>
      </w:r>
      <w:r>
        <w:rPr>
          <w:rFonts w:hint="eastAsia" w:ascii="仿宋_GB2312" w:hAnsi="黑体" w:eastAsia="仿宋_GB2312"/>
          <w:sz w:val="32"/>
          <w:szCs w:val="32"/>
          <w:highlight w:val="none"/>
        </w:rPr>
        <w:t>万元。</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36.18</w:t>
      </w:r>
      <w:r>
        <w:rPr>
          <w:rFonts w:hint="eastAsia" w:ascii="仿宋_GB2312" w:hAnsi="黑体" w:eastAsia="仿宋_GB2312"/>
          <w:sz w:val="32"/>
          <w:szCs w:val="32"/>
          <w:highlight w:val="none"/>
        </w:rPr>
        <w:t>万元、支出包括：一般公共服务支出</w:t>
      </w:r>
      <w:r>
        <w:rPr>
          <w:rFonts w:hint="eastAsia" w:ascii="仿宋_GB2312" w:hAnsi="黑体" w:eastAsia="仿宋_GB2312"/>
          <w:sz w:val="32"/>
          <w:szCs w:val="32"/>
          <w:highlight w:val="none"/>
          <w:lang w:val="en-US" w:eastAsia="zh-CN"/>
        </w:rPr>
        <w:t>25.28</w:t>
      </w:r>
      <w:r>
        <w:rPr>
          <w:rFonts w:hint="eastAsia" w:ascii="仿宋_GB2312" w:hAnsi="黑体" w:eastAsia="仿宋_GB2312"/>
          <w:sz w:val="32"/>
          <w:szCs w:val="32"/>
          <w:highlight w:val="none"/>
        </w:rPr>
        <w:t>万元、社会保障和就业支出</w:t>
      </w:r>
      <w:r>
        <w:rPr>
          <w:rFonts w:hint="eastAsia" w:ascii="仿宋_GB2312" w:hAnsi="黑体" w:eastAsia="仿宋_GB2312"/>
          <w:sz w:val="32"/>
          <w:szCs w:val="32"/>
          <w:highlight w:val="none"/>
          <w:lang w:val="en-US" w:eastAsia="zh-CN"/>
        </w:rPr>
        <w:t>5.69</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2.15</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3.06</w:t>
      </w:r>
      <w:r>
        <w:rPr>
          <w:rFonts w:hint="eastAsia" w:ascii="仿宋_GB2312" w:hAnsi="黑体" w:eastAsia="仿宋_GB2312"/>
          <w:sz w:val="32"/>
          <w:szCs w:val="32"/>
          <w:highlight w:val="none"/>
        </w:rPr>
        <w:t>万元。</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pPr>
        <w:ind w:firstLine="640" w:firstLineChars="200"/>
        <w:jc w:val="both"/>
        <w:rPr>
          <w:rFonts w:hint="default" w:ascii="仿宋_GB2312" w:hAnsi="黑体" w:eastAsia="仿宋_GB2312"/>
          <w:sz w:val="32"/>
          <w:szCs w:val="32"/>
          <w:highlight w:val="none"/>
          <w:lang w:val="en-US"/>
        </w:rPr>
      </w:pP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36.18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一般公共服务支出</w:t>
      </w:r>
      <w:r>
        <w:rPr>
          <w:rFonts w:hint="eastAsia" w:ascii="仿宋_GB2312" w:hAnsi="黑体" w:eastAsia="仿宋_GB2312"/>
          <w:sz w:val="32"/>
          <w:szCs w:val="32"/>
          <w:highlight w:val="none"/>
          <w:lang w:val="en-US" w:eastAsia="zh-CN"/>
        </w:rPr>
        <w:t>25.28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69.87</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5.69</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15.73</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2.15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5.94</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3.06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8.46</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1.一般公共服务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类）财改事务（款）行政运行（项）202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25.28</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单位正常运转的基本支出，包括基本工资、津贴补贴等人员经费以及办公费、印刷费、水电费等日常公用经费，保障正常运转。</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.社会保障和就业（类）行政事业单位养老支出（款）机关事业单位基本养老保险缴费支出（项）202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3.65</w:t>
      </w:r>
      <w:r>
        <w:rPr>
          <w:rFonts w:hint="eastAsia" w:ascii="仿宋_GB2312" w:hAnsi="黑体" w:eastAsia="仿宋_GB2312"/>
          <w:sz w:val="32"/>
          <w:szCs w:val="32"/>
          <w:highlight w:val="none"/>
        </w:rPr>
        <w:t>万元，主要用于：实施养老保险制度由单位缴纳的基本养老保险支出。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7</w:t>
      </w:r>
      <w:r>
        <w:rPr>
          <w:rFonts w:hint="eastAsia" w:ascii="仿宋_GB2312" w:hAnsi="黑体" w:eastAsia="仿宋_GB2312"/>
          <w:sz w:val="32"/>
          <w:szCs w:val="32"/>
          <w:highlight w:val="none"/>
        </w:rPr>
        <w:t>.社会保障和就业（类）行政事业单位养老支出（款）机关事业单位职业年金缴费支出（项）202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2.04</w:t>
      </w:r>
      <w:r>
        <w:rPr>
          <w:rFonts w:hint="eastAsia" w:ascii="仿宋_GB2312" w:hAnsi="黑体" w:eastAsia="仿宋_GB2312"/>
          <w:sz w:val="32"/>
          <w:szCs w:val="32"/>
          <w:highlight w:val="none"/>
        </w:rPr>
        <w:t>万元，主要用于：实施养老保险制度由单位缴纳的职业年金支出。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8</w:t>
      </w:r>
      <w:r>
        <w:rPr>
          <w:rFonts w:hint="eastAsia" w:ascii="仿宋_GB2312" w:hAnsi="黑体" w:eastAsia="仿宋_GB2312"/>
          <w:sz w:val="32"/>
          <w:szCs w:val="32"/>
          <w:highlight w:val="none"/>
        </w:rPr>
        <w:t>.卫生健康（类）行政事业单位医疗（款）行政单位医疗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1.78</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按规定由单位缴纳的基本医疗保险支出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10</w:t>
      </w:r>
      <w:r>
        <w:rPr>
          <w:rFonts w:hint="eastAsia" w:ascii="仿宋_GB2312" w:hAnsi="黑体" w:eastAsia="仿宋_GB2312"/>
          <w:sz w:val="32"/>
          <w:szCs w:val="32"/>
          <w:highlight w:val="none"/>
        </w:rPr>
        <w:t>.卫生健康（类）行政事业单位医疗（款）公务员医疗补功（项）202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0.36</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集中缴纳公务员医疗补助支出。</w:t>
      </w:r>
    </w:p>
    <w:p>
      <w:pPr>
        <w:ind w:firstLine="640" w:firstLineChars="200"/>
        <w:jc w:val="both"/>
        <w:rPr>
          <w:rFonts w:ascii="仿宋_GB2312" w:hAnsi="黑体" w:eastAsia="仿宋_GB2312"/>
          <w:sz w:val="32"/>
          <w:szCs w:val="32"/>
          <w:highlight w:val="none"/>
        </w:rPr>
      </w:pPr>
      <w:r>
        <w:rPr>
          <w:rFonts w:ascii="仿宋_GB2312" w:hAnsi="黑体" w:eastAsia="仿宋_GB2312"/>
          <w:sz w:val="32"/>
          <w:szCs w:val="32"/>
          <w:highlight w:val="none"/>
        </w:rPr>
        <w:t>11</w:t>
      </w:r>
      <w:r>
        <w:rPr>
          <w:rFonts w:hint="eastAsia" w:ascii="仿宋_GB2312" w:hAnsi="黑体" w:eastAsia="仿宋_GB2312"/>
          <w:sz w:val="32"/>
          <w:szCs w:val="32"/>
          <w:highlight w:val="none"/>
        </w:rPr>
        <w:t>.住房保障（类）住房改革支出（款）住房公积金（项）202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3.06</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按规定为职工缴纳的住房公积金支出。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36.18</w:t>
      </w:r>
      <w:r>
        <w:rPr>
          <w:rFonts w:hint="eastAsia" w:ascii="仿宋_GB2312" w:hAnsi="黑体" w:eastAsia="仿宋_GB2312"/>
          <w:sz w:val="32"/>
          <w:szCs w:val="32"/>
          <w:highlight w:val="none"/>
        </w:rPr>
        <w:t>万元，其中：</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33.91</w:t>
      </w:r>
      <w:r>
        <w:rPr>
          <w:rFonts w:hint="eastAsia" w:ascii="仿宋_GB2312" w:hAnsi="黑体" w:eastAsia="仿宋_GB2312"/>
          <w:sz w:val="32"/>
          <w:szCs w:val="32"/>
          <w:highlight w:val="none"/>
        </w:rPr>
        <w:t>万元，主要包括：基本工资、津贴补贴、奖金、社会保险缴费、离休费、住房公积金、福利费、工会经费、其他交通费用等支出。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2.27</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hint="eastAsia" w:ascii="楷体" w:hAnsi="楷体" w:eastAsia="楷体"/>
          <w:b/>
          <w:sz w:val="32"/>
          <w:szCs w:val="32"/>
          <w:highlight w:val="none"/>
          <w:lang w:eastAsia="zh-CN"/>
        </w:rPr>
      </w:pPr>
      <w:r>
        <w:rPr>
          <w:rFonts w:hint="eastAsia" w:ascii="楷体" w:hAnsi="楷体" w:eastAsia="楷体"/>
          <w:b/>
          <w:sz w:val="32"/>
          <w:szCs w:val="32"/>
          <w:highlight w:val="none"/>
        </w:rPr>
        <w:t>（一）公务接待费与（较</w:t>
      </w:r>
      <w:r>
        <w:rPr>
          <w:rFonts w:ascii="楷体" w:hAnsi="楷体" w:eastAsia="楷体"/>
          <w:b/>
          <w:sz w:val="32"/>
          <w:szCs w:val="32"/>
          <w:highlight w:val="none"/>
        </w:rPr>
        <w:t>）</w:t>
      </w:r>
      <w:r>
        <w:rPr>
          <w:rFonts w:hint="eastAsia" w:ascii="楷体" w:hAnsi="楷体" w:eastAsia="楷体"/>
          <w:b/>
          <w:sz w:val="32"/>
          <w:szCs w:val="32"/>
          <w:highlight w:val="none"/>
        </w:rPr>
        <w:t>202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年预算持平</w:t>
      </w:r>
      <w:r>
        <w:rPr>
          <w:rFonts w:hint="eastAsia" w:ascii="楷体" w:hAnsi="楷体" w:eastAsia="楷体"/>
          <w:b/>
          <w:sz w:val="32"/>
          <w:szCs w:val="32"/>
          <w:highlight w:val="none"/>
          <w:lang w:eastAsia="zh-CN"/>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年公务接待费计划用于执行等。</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（二）公务用车购置及运行维护费与（较）202</w:t>
      </w:r>
      <w:r>
        <w:rPr>
          <w:rFonts w:hint="eastAsia" w:ascii="楷体" w:hAnsi="楷体" w:eastAsia="楷体"/>
          <w:b/>
          <w:sz w:val="32"/>
          <w:szCs w:val="32"/>
          <w:highlight w:val="none"/>
          <w:lang w:val="en-US" w:eastAsia="zh-CN"/>
        </w:rPr>
        <w:t>5</w:t>
      </w:r>
      <w:r>
        <w:rPr>
          <w:rFonts w:hint="eastAsia" w:ascii="楷体" w:hAnsi="楷体" w:eastAsia="楷体"/>
          <w:b/>
          <w:sz w:val="32"/>
          <w:szCs w:val="32"/>
          <w:highlight w:val="none"/>
        </w:rPr>
        <w:t>年预算持平。</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辆公务用车燃油、过路（桥）、维修、保险等方面支出，主要保障</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工作开展。</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r>
        <w:rPr>
          <w:rFonts w:ascii="仿宋_GB2312" w:hAnsi="黑体" w:eastAsia="仿宋_GB2312"/>
          <w:sz w:val="32"/>
          <w:szCs w:val="32"/>
          <w:highlight w:val="none"/>
        </w:rPr>
        <w:t>，</w:t>
      </w:r>
      <w:r>
        <w:rPr>
          <w:rFonts w:hint="eastAsia" w:ascii="仿宋_GB2312" w:hAnsi="黑体" w:eastAsia="仿宋_GB2312"/>
          <w:sz w:val="32"/>
          <w:szCs w:val="32"/>
          <w:highlight w:val="none"/>
        </w:rPr>
        <w:t>没有使用政府性基金预算拨款安排的支出。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万元，没有使用国有资本经营预算拨款安排的支出。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2.27</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w:t>
      </w:r>
      <w:r>
        <w:rPr>
          <w:rFonts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单位共有车辆</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辆，其中，</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领导干部用车</w:t>
      </w:r>
      <w:r>
        <w:rPr>
          <w:rFonts w:hint="eastAsia" w:ascii="仿宋_GB2312" w:hAnsi="黑体" w:eastAsia="仿宋_GB2312"/>
          <w:sz w:val="32"/>
          <w:szCs w:val="32"/>
          <w:highlight w:val="none"/>
          <w:lang w:val="en-US" w:eastAsia="zh-CN"/>
        </w:rPr>
        <w:t>0</w:t>
      </w:r>
      <w:bookmarkStart w:id="0" w:name="_GoBack"/>
      <w:bookmarkEnd w:id="0"/>
      <w:r>
        <w:rPr>
          <w:rFonts w:hint="eastAsia" w:ascii="仿宋_GB2312" w:hAnsi="黑体" w:eastAsia="仿宋_GB2312"/>
          <w:sz w:val="32"/>
          <w:szCs w:val="32"/>
          <w:highlight w:val="none"/>
        </w:rPr>
        <w:t>辆、定向保障用车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辆、执法执勤用车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台</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部门预算没有</w:t>
      </w:r>
      <w:r>
        <w:rPr>
          <w:rFonts w:hint="eastAsia" w:ascii="仿宋_GB2312" w:hAnsi="黑体" w:eastAsia="仿宋_GB2312"/>
          <w:sz w:val="32"/>
          <w:szCs w:val="32"/>
          <w:highlight w:val="none"/>
        </w:rPr>
        <w:t>安排购置车辆及单位价值200万元以上大型设备。</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pPr>
        <w:ind w:firstLine="640" w:firstLineChars="200"/>
        <w:jc w:val="both"/>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县妇女儿童服务中心</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p>
    <w:p>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pPr>
        <w:numPr>
          <w:ilvl w:val="0"/>
          <w:numId w:val="3"/>
        </w:num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 名词解释</w:t>
      </w:r>
    </w:p>
    <w:p>
      <w:pPr>
        <w:numPr>
          <w:ilvl w:val="0"/>
          <w:numId w:val="0"/>
        </w:num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（一）一般公共预算拨款收入：指县级财政当年拨付的</w:t>
      </w:r>
    </w:p>
    <w:p>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（二）政府性基金预算收入：指按规定收取、转入或通过当年财政安排，纳入政府预算管理，具有指定用途的政府性基金收入。</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ascii="仿宋_GB2312" w:hAnsi="黑体" w:eastAsia="仿宋_GB2312"/>
          <w:sz w:val="32"/>
          <w:szCs w:val="32"/>
          <w:highlight w:val="none"/>
        </w:rPr>
        <w:t>）</w:t>
      </w:r>
      <w:r>
        <w:rPr>
          <w:rFonts w:hint="eastAsia" w:ascii="仿宋_GB2312" w:hAnsi="黑体" w:eastAsia="仿宋_GB2312"/>
          <w:sz w:val="32"/>
          <w:szCs w:val="32"/>
          <w:highlight w:val="none"/>
        </w:rPr>
        <w:t>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人大事务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行政运行</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单位用于保障机构正常运行、开展日常工作的基本支出。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ascii="仿宋_GB2312" w:hAnsi="黑体" w:eastAsia="仿宋_GB2312"/>
          <w:sz w:val="32"/>
          <w:szCs w:val="32"/>
          <w:highlight w:val="none"/>
        </w:rPr>
        <w:t>）</w:t>
      </w:r>
      <w:r>
        <w:rPr>
          <w:rFonts w:hint="eastAsia" w:ascii="仿宋_GB2312" w:hAnsi="黑体" w:eastAsia="仿宋_GB2312"/>
          <w:sz w:val="32"/>
          <w:szCs w:val="32"/>
          <w:highlight w:val="none"/>
        </w:rPr>
        <w:t>一般公共服务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财政事务</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行政运行</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pPr>
        <w:jc w:val="both"/>
        <w:rPr>
          <w:rFonts w:ascii="仿宋_GB2312" w:hAnsi="黑体" w:eastAsia="仿宋_GB2312"/>
          <w:sz w:val="32"/>
          <w:szCs w:val="32"/>
          <w:highlight w:val="none"/>
        </w:rPr>
      </w:pP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单位用于保障机构正常运行、开展日常工作的基本支出。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）社会保障和就业（类）行政事业单位养老支出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款）事业单位离退休（项）：指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的离退休人员的变出。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六</w:t>
      </w:r>
      <w:r>
        <w:rPr>
          <w:rFonts w:hint="eastAsia" w:ascii="仿宋_GB2312" w:hAnsi="黑体" w:eastAsia="仿宋_GB2312"/>
          <w:sz w:val="32"/>
          <w:szCs w:val="32"/>
          <w:highlight w:val="none"/>
        </w:rPr>
        <w:t>）社会保障和就业（类）行政事业单位养老支出（款）行政单位</w:t>
      </w:r>
      <w:r>
        <w:rPr>
          <w:rFonts w:hint="eastAsia" w:ascii="仿宋_GB2312" w:hAnsi="黑体" w:eastAsia="仿宋_GB2312"/>
          <w:sz w:val="32"/>
          <w:szCs w:val="32"/>
          <w:highlight w:val="none"/>
          <w:lang w:val="en-US" w:eastAsia="zh-Hans"/>
        </w:rPr>
        <w:t>离</w:t>
      </w:r>
      <w:r>
        <w:rPr>
          <w:rFonts w:hint="eastAsia" w:ascii="仿宋_GB2312" w:hAnsi="黑体" w:eastAsia="仿宋_GB2312"/>
          <w:sz w:val="32"/>
          <w:szCs w:val="32"/>
          <w:highlight w:val="none"/>
        </w:rPr>
        <w:t>退休（项）：指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机关及参公管理事业</w:t>
      </w:r>
      <w:r>
        <w:rPr>
          <w:rFonts w:hint="eastAsia" w:ascii="仿宋_GB2312" w:hAnsi="黑体" w:eastAsia="仿宋_GB2312"/>
          <w:sz w:val="32"/>
          <w:szCs w:val="32"/>
          <w:highlight w:val="none"/>
          <w:lang w:val="en-US" w:eastAsia="zh-Hans"/>
        </w:rPr>
        <w:t>单</w:t>
      </w:r>
      <w:r>
        <w:rPr>
          <w:rFonts w:hint="eastAsia" w:ascii="仿宋_GB2312" w:hAnsi="黑体" w:eastAsia="仿宋_GB2312"/>
          <w:sz w:val="32"/>
          <w:szCs w:val="32"/>
          <w:highlight w:val="none"/>
        </w:rPr>
        <w:t>位离退休人员的支出。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七</w:t>
      </w:r>
      <w:r>
        <w:rPr>
          <w:rFonts w:hint="eastAsia" w:ascii="仿宋_GB2312" w:hAnsi="黑体" w:eastAsia="仿宋_GB2312"/>
          <w:sz w:val="32"/>
          <w:szCs w:val="32"/>
          <w:highlight w:val="none"/>
        </w:rPr>
        <w:t>）社会保障和就业（类）行政事业单位养老支出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机关事业单位基本养老保险缴费支出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：指</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实施养老保险制度由单位缴纳的养老保险的支出。</w:t>
      </w:r>
    </w:p>
    <w:p>
      <w:pPr>
        <w:ind w:firstLine="640" w:firstLineChars="200"/>
        <w:jc w:val="both"/>
        <w:rPr>
          <w:rFonts w:hint="default"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八</w:t>
      </w:r>
      <w:r>
        <w:rPr>
          <w:rFonts w:hint="eastAsia" w:ascii="仿宋_GB2312" w:hAnsi="黑体" w:eastAsia="仿宋_GB2312"/>
          <w:sz w:val="32"/>
          <w:szCs w:val="32"/>
          <w:highlight w:val="none"/>
        </w:rPr>
        <w:t>）社会保障和就业（类）行政事业单位养老支出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款）机关事业单位职业年金缴费支出（项）：指</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实施养老保险制度由</w:t>
      </w:r>
      <w:r>
        <w:rPr>
          <w:rFonts w:hint="eastAsia" w:ascii="仿宋_GB2312" w:hAnsi="黑体" w:eastAsia="仿宋_GB2312"/>
          <w:sz w:val="32"/>
          <w:szCs w:val="32"/>
          <w:highlight w:val="none"/>
          <w:lang w:val="en-US" w:eastAsia="zh-Hans"/>
        </w:rPr>
        <w:t>单</w:t>
      </w:r>
      <w:r>
        <w:rPr>
          <w:rFonts w:hint="eastAsia" w:ascii="仿宋_GB2312" w:hAnsi="黑体" w:eastAsia="仿宋_GB2312"/>
          <w:sz w:val="32"/>
          <w:szCs w:val="32"/>
          <w:highlight w:val="none"/>
        </w:rPr>
        <w:t>位缴纳的职业年金的支出。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卫生健康</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类）行政率业单位医疗（款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行政单位医疗（项）：指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机关及参公管理事业单位用于单位应缴纳基本医疗保险支出。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w:t>
      </w:r>
      <w:r>
        <w:rPr>
          <w:rFonts w:hint="eastAsia" w:ascii="仿宋_GB2312" w:hAnsi="黑体" w:eastAsia="仿宋_GB2312"/>
          <w:sz w:val="32"/>
          <w:szCs w:val="32"/>
          <w:highlight w:val="none"/>
        </w:rPr>
        <w:t>）卫生健康（类）行政事业单位医疗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事业单位医疗（项）：指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单位用于单位应缴纳基本医疗保险支出。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）卫生健康（类）行政事业单位医疗（款）公务员医疗补助（项）：指</w:t>
      </w:r>
      <w:r>
        <w:rPr>
          <w:rFonts w:hint="eastAsia" w:ascii="仿宋_GB2312" w:hAnsi="黑体" w:eastAsia="仿宋_GB2312"/>
          <w:sz w:val="32"/>
          <w:szCs w:val="32"/>
          <w:highlight w:val="none"/>
          <w:lang w:val="en-US" w:eastAsia="zh-CN"/>
        </w:rPr>
        <w:t>妇联</w:t>
      </w:r>
      <w:r>
        <w:rPr>
          <w:rFonts w:hint="eastAsia" w:ascii="仿宋_GB2312" w:hAnsi="黑体" w:eastAsia="仿宋_GB2312"/>
          <w:sz w:val="32"/>
          <w:szCs w:val="32"/>
          <w:highlight w:val="none"/>
        </w:rPr>
        <w:t>机关及参公管理事业单位用于集中缴纳公务员医疗补助支出。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二</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住房保障</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住房改革支出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住房公积金（项）：指按照《住房公积金管理条例》的规定，由单位及其在职职工缴存的长期住房储金。</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三</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住房保障</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类）住房改革支出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款</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购房补贴（项）：指按房改政策规定的标准，向符合条件职工发放的用于购买住房的补贴。</w:t>
      </w:r>
    </w:p>
    <w:p>
      <w:pPr>
        <w:ind w:firstLine="480" w:firstLineChars="15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十四</w:t>
      </w:r>
      <w:r>
        <w:rPr>
          <w:rFonts w:hint="eastAsia" w:ascii="仿宋_GB2312" w:hAnsi="黑体" w:eastAsia="仿宋_GB2312"/>
          <w:sz w:val="32"/>
          <w:szCs w:val="32"/>
          <w:highlight w:val="none"/>
        </w:rPr>
        <w:t>）基本支出：指为保证机构正常运转，完成日常工作任务而发生的人员支出和公用支出。</w:t>
      </w:r>
    </w:p>
    <w:p>
      <w:pPr>
        <w:ind w:firstLine="640" w:firstLineChars="200"/>
        <w:jc w:val="both"/>
        <w:rPr>
          <w:rFonts w:ascii="仿宋_GB2312" w:hAnsi="黑体" w:eastAsia="仿宋_GB2312"/>
          <w:sz w:val="32"/>
          <w:szCs w:val="32"/>
          <w:highlight w:val="none"/>
        </w:rPr>
      </w:pP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十五</w:t>
      </w:r>
      <w:r>
        <w:rPr>
          <w:rFonts w:hint="eastAsia" w:ascii="仿宋_GB2312" w:hAnsi="黑体" w:eastAsia="仿宋_GB2312"/>
          <w:sz w:val="32"/>
          <w:szCs w:val="32"/>
          <w:highlight w:val="none"/>
        </w:rPr>
        <w:t>）项目支出；指在基本支出之外为完成特定行政任务和事业发展目标所发生的支出。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十六</w:t>
      </w:r>
      <w:r>
        <w:rPr>
          <w:rFonts w:hint="eastAsia" w:ascii="仿宋_GB2312" w:hAnsi="黑体" w:eastAsia="仿宋_GB2312"/>
          <w:sz w:val="32"/>
          <w:szCs w:val="32"/>
          <w:highlight w:val="none"/>
        </w:rPr>
        <w:t>）“三公”经费：纳入</w:t>
      </w:r>
      <w:r>
        <w:rPr>
          <w:rFonts w:hint="eastAsia" w:ascii="仿宋_GB2312" w:hAnsi="黑体" w:eastAsia="仿宋_GB2312"/>
          <w:sz w:val="32"/>
          <w:szCs w:val="32"/>
          <w:highlight w:val="none"/>
          <w:lang w:val="en-US" w:eastAsia="zh-CN"/>
        </w:rPr>
        <w:t>九寨沟县妇女儿童服务中心</w:t>
      </w:r>
      <w:r>
        <w:rPr>
          <w:rFonts w:hint="eastAsia" w:ascii="仿宋_GB2312" w:hAnsi="黑体" w:eastAsia="仿宋_GB2312"/>
          <w:sz w:val="32"/>
          <w:szCs w:val="32"/>
          <w:highlight w:val="none"/>
        </w:rPr>
        <w:t>预算管理的“三公”经费，是指</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十七</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284"/>
      <w:rPr>
        <w:rStyle w:val="12"/>
        <w:rFonts w:hint="eastAsia" w:eastAsia="宋体"/>
        <w:lang w:val="en-US" w:eastAsia="zh-CN"/>
      </w:rPr>
    </w:pPr>
    <w:r>
      <w:rPr>
        <w:rStyle w:val="12"/>
        <w:sz w:val="28"/>
      </w:rPr>
      <w:t xml:space="preserve"> </w:t>
    </w:r>
    <w:r>
      <w:rPr>
        <w:rStyle w:val="12"/>
        <w:rFonts w:hint="eastAsia" w:ascii="仿宋_GB2312" w:hAnsi="仿宋_GB2312" w:eastAsia="仿宋_GB2312" w:cs="仿宋_GB2312"/>
        <w:sz w:val="28"/>
        <w:lang w:eastAsia="zh-CN"/>
      </w:rPr>
      <w:t>—</w:t>
    </w:r>
    <w:r>
      <w:rPr>
        <w:rStyle w:val="12"/>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12"/>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12"/>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7"/>
      <w:ind w:right="360" w:firstLine="360"/>
    </w:pP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1F3CE"/>
    <w:multiLevelType w:val="singleLevel"/>
    <w:tmpl w:val="A6F1F3CE"/>
    <w:lvl w:ilvl="0" w:tentative="0">
      <w:start w:val="2"/>
      <w:numFmt w:val="chineseCounting"/>
      <w:suff w:val="space"/>
      <w:lvlText w:val="第%1部分"/>
      <w:lvlJc w:val="left"/>
      <w:rPr>
        <w:rFonts w:hint="eastAsia"/>
      </w:rPr>
    </w:lvl>
  </w:abstractNum>
  <w:abstractNum w:abstractNumId="1">
    <w:nsid w:val="E61154E6"/>
    <w:multiLevelType w:val="singleLevel"/>
    <w:tmpl w:val="E61154E6"/>
    <w:lvl w:ilvl="0" w:tentative="0">
      <w:start w:val="1"/>
      <w:numFmt w:val="chineseCounting"/>
      <w:suff w:val="nothing"/>
      <w:lvlText w:val="%1、"/>
      <w:lvlJc w:val="left"/>
      <w:rPr>
        <w:rFonts w:hint="eastAsia"/>
      </w:rPr>
    </w:lvl>
  </w:abstractNum>
  <w:abstractNum w:abstractNumId="2">
    <w:nsid w:val="2892F6B8"/>
    <w:multiLevelType w:val="singleLevel"/>
    <w:tmpl w:val="2892F6B8"/>
    <w:lvl w:ilvl="0" w:tentative="0">
      <w:start w:val="4"/>
      <w:numFmt w:val="chineseCounting"/>
      <w:suff w:val="space"/>
      <w:lvlText w:val="第%1部分"/>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JhZTZhMTI1NWI5OWJkMDU0NDMzYWMyOWY3MGE5MjE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5FEC680"/>
    <w:rsid w:val="096F0FA0"/>
    <w:rsid w:val="0ECDBE52"/>
    <w:rsid w:val="0FFFB353"/>
    <w:rsid w:val="176D963B"/>
    <w:rsid w:val="1B7F798D"/>
    <w:rsid w:val="1DCA7AC1"/>
    <w:rsid w:val="1F3B0AC1"/>
    <w:rsid w:val="1F5E9DB6"/>
    <w:rsid w:val="2117AD81"/>
    <w:rsid w:val="21972FF7"/>
    <w:rsid w:val="21F75307"/>
    <w:rsid w:val="27FB2020"/>
    <w:rsid w:val="288D1499"/>
    <w:rsid w:val="2BEE6E8A"/>
    <w:rsid w:val="2E7ACAF3"/>
    <w:rsid w:val="2EFFE7AD"/>
    <w:rsid w:val="2FEDA3F1"/>
    <w:rsid w:val="3257C860"/>
    <w:rsid w:val="33FFF3CD"/>
    <w:rsid w:val="352A11F6"/>
    <w:rsid w:val="377571F4"/>
    <w:rsid w:val="37ED2099"/>
    <w:rsid w:val="37FE0A31"/>
    <w:rsid w:val="39D792D9"/>
    <w:rsid w:val="3AFBF1C6"/>
    <w:rsid w:val="3BBFDE14"/>
    <w:rsid w:val="3CB393A4"/>
    <w:rsid w:val="3CFE796A"/>
    <w:rsid w:val="3DF3E130"/>
    <w:rsid w:val="3EED8CAE"/>
    <w:rsid w:val="3EFFEFC0"/>
    <w:rsid w:val="3FA6181B"/>
    <w:rsid w:val="3FB5E172"/>
    <w:rsid w:val="3FDF2925"/>
    <w:rsid w:val="3FDFA91F"/>
    <w:rsid w:val="3FE1DEFB"/>
    <w:rsid w:val="3FE5F325"/>
    <w:rsid w:val="3FEF3B35"/>
    <w:rsid w:val="3FFADC58"/>
    <w:rsid w:val="47FF5D5C"/>
    <w:rsid w:val="4B3E44B7"/>
    <w:rsid w:val="4FDE78CE"/>
    <w:rsid w:val="4FFFAA23"/>
    <w:rsid w:val="52A200E3"/>
    <w:rsid w:val="53A88E30"/>
    <w:rsid w:val="53FAD87A"/>
    <w:rsid w:val="54FFF2CF"/>
    <w:rsid w:val="567D553A"/>
    <w:rsid w:val="569237F7"/>
    <w:rsid w:val="56DBADA4"/>
    <w:rsid w:val="579CE624"/>
    <w:rsid w:val="59C708E9"/>
    <w:rsid w:val="5A35532B"/>
    <w:rsid w:val="5A7BF1E5"/>
    <w:rsid w:val="5BA78D5E"/>
    <w:rsid w:val="5BB87DBA"/>
    <w:rsid w:val="5BE762D4"/>
    <w:rsid w:val="5DDDD882"/>
    <w:rsid w:val="5DE7BCA1"/>
    <w:rsid w:val="5DFFBFAA"/>
    <w:rsid w:val="5EFFDDE2"/>
    <w:rsid w:val="5F763C0F"/>
    <w:rsid w:val="5F7A982F"/>
    <w:rsid w:val="5FBF1457"/>
    <w:rsid w:val="5FED60AA"/>
    <w:rsid w:val="5FEFF4C2"/>
    <w:rsid w:val="63F385C0"/>
    <w:rsid w:val="63F5FE37"/>
    <w:rsid w:val="647F6670"/>
    <w:rsid w:val="67F5B1D0"/>
    <w:rsid w:val="69A71AE0"/>
    <w:rsid w:val="6A4FC826"/>
    <w:rsid w:val="6ADF4B0D"/>
    <w:rsid w:val="6AF76FF0"/>
    <w:rsid w:val="6B95175B"/>
    <w:rsid w:val="6BDF5376"/>
    <w:rsid w:val="6BE53CCB"/>
    <w:rsid w:val="6C7B5F76"/>
    <w:rsid w:val="6CEF960A"/>
    <w:rsid w:val="6D235CF7"/>
    <w:rsid w:val="6DDE03AF"/>
    <w:rsid w:val="6DFD6765"/>
    <w:rsid w:val="6E7E5440"/>
    <w:rsid w:val="6ED5ABCE"/>
    <w:rsid w:val="6EFF482F"/>
    <w:rsid w:val="6F632200"/>
    <w:rsid w:val="6F6DD354"/>
    <w:rsid w:val="6F850745"/>
    <w:rsid w:val="6FBBC877"/>
    <w:rsid w:val="6FF9921E"/>
    <w:rsid w:val="6FFC7CC5"/>
    <w:rsid w:val="6FFD7550"/>
    <w:rsid w:val="6FFDCB73"/>
    <w:rsid w:val="72AF49AA"/>
    <w:rsid w:val="72DF0FFC"/>
    <w:rsid w:val="72E75F44"/>
    <w:rsid w:val="733F7231"/>
    <w:rsid w:val="7396C1D0"/>
    <w:rsid w:val="73EFEF94"/>
    <w:rsid w:val="73F99EB8"/>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FFA147"/>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uiPriority w:val="0"/>
    <w:pPr>
      <w:snapToGrid w:val="0"/>
      <w:jc w:val="left"/>
    </w:pPr>
    <w:rPr>
      <w:sz w:val="18"/>
      <w:szCs w:val="18"/>
    </w:rPr>
  </w:style>
  <w:style w:type="paragraph" w:styleId="3">
    <w:name w:val="Body Text First Indent 2"/>
    <w:basedOn w:val="4"/>
    <w:next w:val="1"/>
    <w:qFormat/>
    <w:uiPriority w:val="0"/>
    <w:pPr>
      <w:widowControl w:val="0"/>
      <w:spacing w:after="120"/>
      <w:ind w:left="420" w:leftChars="200" w:firstLine="420" w:firstLineChars="200"/>
      <w:jc w:val="both"/>
    </w:pPr>
    <w:rPr>
      <w:rFonts w:hint="eastAsia" w:ascii="Times New Roman" w:hAnsi="Times New Roman" w:eastAsia="宋体" w:cs="Times New Roman"/>
      <w:kern w:val="2"/>
      <w:sz w:val="21"/>
      <w:szCs w:val="24"/>
      <w:lang w:val="en-US" w:eastAsia="zh-CN" w:bidi="ar-SA"/>
    </w:rPr>
  </w:style>
  <w:style w:type="paragraph" w:styleId="4">
    <w:name w:val="Body Text Indent"/>
    <w:basedOn w:val="1"/>
    <w:next w:val="3"/>
    <w:qFormat/>
    <w:uiPriority w:val="0"/>
    <w:pPr>
      <w:widowControl w:val="0"/>
      <w:spacing w:after="120"/>
      <w:ind w:left="420" w:leftChars="200"/>
      <w:jc w:val="both"/>
    </w:pPr>
    <w:rPr>
      <w:rFonts w:ascii="Calibri" w:hAnsi="Calibri" w:eastAsia="宋体" w:cs="宋体"/>
      <w:kern w:val="2"/>
      <w:sz w:val="21"/>
      <w:szCs w:val="24"/>
      <w:lang w:val="en-US" w:eastAsia="zh-CN" w:bidi="ar-SA"/>
    </w:rPr>
  </w:style>
  <w:style w:type="paragraph" w:styleId="6">
    <w:name w:val="Body Text"/>
    <w:basedOn w:val="1"/>
    <w:uiPriority w:val="0"/>
    <w:pPr>
      <w:spacing w:before="30" w:beforeLines="30"/>
    </w:pPr>
    <w:rPr>
      <w:rFonts w:ascii="仿宋_GB2312" w:eastAsia="仿宋_GB2312"/>
      <w:kern w:val="0"/>
      <w:sz w:val="30"/>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22"/>
    <w:rPr>
      <w:b/>
    </w:rPr>
  </w:style>
  <w:style w:type="character" w:styleId="12">
    <w:name w:val="page number"/>
    <w:basedOn w:val="10"/>
    <w:uiPriority w:val="0"/>
  </w:style>
  <w:style w:type="paragraph" w:styleId="13">
    <w:name w:val="List Paragraph"/>
    <w:basedOn w:val="1"/>
    <w:qFormat/>
    <w:uiPriority w:val="34"/>
    <w:pPr>
      <w:ind w:firstLine="420" w:firstLineChars="200"/>
    </w:pPr>
  </w:style>
  <w:style w:type="character" w:customStyle="1" w:styleId="14">
    <w:name w:val="页眉 Char"/>
    <w:basedOn w:val="10"/>
    <w:link w:val="8"/>
    <w:qFormat/>
    <w:uiPriority w:val="99"/>
    <w:rPr>
      <w:sz w:val="18"/>
      <w:szCs w:val="18"/>
    </w:rPr>
  </w:style>
  <w:style w:type="character" w:customStyle="1" w:styleId="15">
    <w:name w:val="页脚 Char"/>
    <w:basedOn w:val="10"/>
    <w:link w:val="7"/>
    <w:qFormat/>
    <w:uiPriority w:val="99"/>
    <w:rPr>
      <w:sz w:val="18"/>
      <w:szCs w:val="18"/>
    </w:rPr>
  </w:style>
  <w:style w:type="character" w:customStyle="1" w:styleId="16">
    <w:name w:val="font91"/>
    <w:basedOn w:val="10"/>
    <w:uiPriority w:val="0"/>
    <w:rPr>
      <w:rFonts w:hint="eastAsia" w:ascii="宋体" w:hAnsi="宋体" w:eastAsia="宋体" w:cs="宋体"/>
      <w:color w:val="000000"/>
      <w:sz w:val="22"/>
      <w:szCs w:val="22"/>
      <w:u w:val="none"/>
    </w:rPr>
  </w:style>
  <w:style w:type="character" w:customStyle="1" w:styleId="17">
    <w:name w:val="font1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2"/>
      <w:szCs w:val="22"/>
      <w:u w:val="none"/>
    </w:rPr>
  </w:style>
  <w:style w:type="character" w:customStyle="1" w:styleId="19">
    <w:name w:val="font81"/>
    <w:basedOn w:val="10"/>
    <w:uiPriority w:val="0"/>
    <w:rPr>
      <w:rFonts w:hint="eastAsia" w:ascii="宋体" w:hAnsi="宋体" w:eastAsia="宋体" w:cs="宋体"/>
      <w:color w:val="000000"/>
      <w:sz w:val="22"/>
      <w:szCs w:val="22"/>
      <w:u w:val="none"/>
    </w:rPr>
  </w:style>
  <w:style w:type="character" w:customStyle="1" w:styleId="20">
    <w:name w:val="font111"/>
    <w:basedOn w:val="10"/>
    <w:qFormat/>
    <w:uiPriority w:val="0"/>
    <w:rPr>
      <w:rFonts w:ascii="Dialog . plain" w:hAnsi="Dialog . plain" w:eastAsia="Dialog . plain" w:cs="Dialog . plain"/>
      <w:color w:val="000000"/>
      <w:sz w:val="22"/>
      <w:szCs w:val="22"/>
      <w:u w:val="none"/>
    </w:rPr>
  </w:style>
  <w:style w:type="character" w:customStyle="1" w:styleId="21">
    <w:name w:val="font121"/>
    <w:basedOn w:val="10"/>
    <w:qFormat/>
    <w:uiPriority w:val="0"/>
    <w:rPr>
      <w:rFonts w:ascii="Dialog . bold" w:hAnsi="Dialog . bold" w:eastAsia="Dialog . bold" w:cs="Dialog . bold"/>
      <w:b/>
      <w:bCs/>
      <w:color w:val="000000"/>
      <w:sz w:val="22"/>
      <w:szCs w:val="22"/>
      <w:u w:val="none"/>
    </w:rPr>
  </w:style>
  <w:style w:type="character" w:customStyle="1" w:styleId="22">
    <w:name w:val="font112"/>
    <w:basedOn w:val="10"/>
    <w:qFormat/>
    <w:uiPriority w:val="0"/>
    <w:rPr>
      <w:rFonts w:ascii="Dialog . plain" w:hAnsi="Dialog . plain" w:eastAsia="Dialog . plain" w:cs="Dialog . plain"/>
      <w:color w:val="000000"/>
      <w:sz w:val="22"/>
      <w:szCs w:val="22"/>
      <w:u w:val="none"/>
    </w:rPr>
  </w:style>
  <w:style w:type="character" w:customStyle="1" w:styleId="23">
    <w:name w:val="font131"/>
    <w:basedOn w:val="10"/>
    <w:uiPriority w:val="0"/>
    <w:rPr>
      <w:rFonts w:ascii="Dialog . bold" w:hAnsi="Dialog . bold" w:eastAsia="Dialog . bold" w:cs="Dialog . bold"/>
      <w:color w:val="000000"/>
      <w:sz w:val="22"/>
      <w:szCs w:val="22"/>
      <w:u w:val="none"/>
    </w:rPr>
  </w:style>
  <w:style w:type="character" w:customStyle="1" w:styleId="24">
    <w:name w:val="font122"/>
    <w:basedOn w:val="10"/>
    <w:uiPriority w:val="0"/>
    <w:rPr>
      <w:rFonts w:ascii="Dialog . plain" w:hAnsi="Dialog . plain" w:eastAsia="Dialog . plain" w:cs="Dialog . plain"/>
      <w:color w:val="000000"/>
      <w:sz w:val="22"/>
      <w:szCs w:val="22"/>
      <w:u w:val="none"/>
    </w:rPr>
  </w:style>
  <w:style w:type="character" w:customStyle="1" w:styleId="25">
    <w:name w:val="font132"/>
    <w:basedOn w:val="10"/>
    <w:uiPriority w:val="0"/>
    <w:rPr>
      <w:rFonts w:ascii="Dialog . bold" w:hAnsi="Dialog . bold" w:eastAsia="Dialog . bold" w:cs="Dialog . bold"/>
      <w:color w:val="000000"/>
      <w:sz w:val="22"/>
      <w:szCs w:val="22"/>
      <w:u w:val="none"/>
    </w:rPr>
  </w:style>
  <w:style w:type="character" w:customStyle="1" w:styleId="26">
    <w:name w:val="font41"/>
    <w:basedOn w:val="10"/>
    <w:uiPriority w:val="0"/>
    <w:rPr>
      <w:rFonts w:ascii="Dialog . plain" w:hAnsi="Dialog . plain" w:eastAsia="Dialog . plain" w:cs="Dialog . plain"/>
      <w:color w:val="000000"/>
      <w:sz w:val="22"/>
      <w:szCs w:val="22"/>
      <w:u w:val="none"/>
    </w:rPr>
  </w:style>
  <w:style w:type="character" w:customStyle="1" w:styleId="27">
    <w:name w:val="font31"/>
    <w:basedOn w:val="10"/>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7420</Words>
  <Characters>9003</Characters>
  <Lines>35</Lines>
  <Paragraphs>9</Paragraphs>
  <TotalTime>7</TotalTime>
  <ScaleCrop>false</ScaleCrop>
  <LinksUpToDate>false</LinksUpToDate>
  <CharactersWithSpaces>9396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SH</cp:lastModifiedBy>
  <dcterms:modified xsi:type="dcterms:W3CDTF">2026-03-24T02:47:52Z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A3E4E6FEFF98430D80BD6D46D97D4C8B</vt:lpwstr>
  </property>
</Properties>
</file>