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09A7C">
      <w:pPr>
        <w:spacing w:line="600" w:lineRule="exact"/>
        <w:jc w:val="center"/>
        <w:outlineLvl w:val="0"/>
        <w:rPr>
          <w:rFonts w:hint="eastAsia" w:ascii="方正小标宋简体" w:hAnsi="宋体" w:eastAsia="方正小标宋简体"/>
          <w:color w:val="000000"/>
          <w:sz w:val="72"/>
          <w:szCs w:val="72"/>
        </w:rPr>
      </w:pPr>
      <w:bookmarkStart w:id="0" w:name="_Toc15306267"/>
    </w:p>
    <w:p w14:paraId="7CD5CB95">
      <w:pPr>
        <w:spacing w:line="600" w:lineRule="exact"/>
        <w:jc w:val="center"/>
        <w:outlineLvl w:val="0"/>
        <w:rPr>
          <w:rFonts w:ascii="方正小标宋简体" w:hAnsi="宋体" w:eastAsia="方正小标宋简体"/>
          <w:color w:val="000000"/>
          <w:sz w:val="72"/>
          <w:szCs w:val="72"/>
        </w:rPr>
      </w:pPr>
    </w:p>
    <w:p w14:paraId="07C86D38">
      <w:pPr>
        <w:spacing w:line="600" w:lineRule="exact"/>
        <w:jc w:val="center"/>
        <w:outlineLvl w:val="0"/>
        <w:rPr>
          <w:rFonts w:ascii="方正小标宋简体" w:hAnsi="宋体" w:eastAsia="方正小标宋简体"/>
          <w:color w:val="000000"/>
          <w:sz w:val="72"/>
          <w:szCs w:val="72"/>
        </w:rPr>
      </w:pPr>
    </w:p>
    <w:p w14:paraId="5E7856EB">
      <w:pPr>
        <w:spacing w:line="600" w:lineRule="exact"/>
        <w:jc w:val="center"/>
        <w:outlineLvl w:val="0"/>
        <w:rPr>
          <w:rFonts w:ascii="方正小标宋简体" w:hAnsi="宋体" w:eastAsia="方正小标宋简体"/>
          <w:color w:val="000000"/>
          <w:sz w:val="72"/>
          <w:szCs w:val="72"/>
        </w:rPr>
      </w:pPr>
    </w:p>
    <w:p w14:paraId="3A10A529">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597"/>
      <w:bookmarkStart w:id="4" w:name="_Toc15378441"/>
      <w:bookmarkStart w:id="5"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0AF775AB">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06268"/>
      <w:bookmarkStart w:id="8" w:name="_Toc15396598"/>
      <w:bookmarkStart w:id="9" w:name="_Toc15377194"/>
      <w:bookmarkStart w:id="10" w:name="_Toc15396476"/>
      <w:bookmarkStart w:id="11" w:name="_Toc15377426"/>
      <w:r>
        <w:rPr>
          <w:rFonts w:hint="eastAsia" w:ascii="方正小标宋简体" w:hAnsi="宋体" w:eastAsia="方正小标宋简体"/>
          <w:color w:val="000000"/>
          <w:sz w:val="72"/>
          <w:szCs w:val="72"/>
        </w:rPr>
        <w:t>九寨沟县红十字会部门决算</w:t>
      </w:r>
      <w:bookmarkEnd w:id="6"/>
      <w:bookmarkEnd w:id="7"/>
      <w:bookmarkEnd w:id="8"/>
      <w:bookmarkEnd w:id="9"/>
      <w:bookmarkEnd w:id="10"/>
      <w:bookmarkEnd w:id="11"/>
    </w:p>
    <w:p w14:paraId="00D384E4">
      <w:pPr>
        <w:widowControl/>
        <w:jc w:val="center"/>
        <w:rPr>
          <w:rFonts w:ascii="黑体" w:hAnsi="黑体" w:eastAsia="黑体"/>
          <w:color w:val="000000"/>
          <w:sz w:val="48"/>
          <w:szCs w:val="48"/>
        </w:rPr>
      </w:pPr>
    </w:p>
    <w:p w14:paraId="77666741">
      <w:pPr>
        <w:widowControl/>
        <w:jc w:val="center"/>
        <w:rPr>
          <w:rFonts w:ascii="黑体" w:hAnsi="黑体" w:eastAsia="黑体"/>
          <w:color w:val="000000"/>
          <w:sz w:val="48"/>
          <w:szCs w:val="48"/>
        </w:rPr>
      </w:pPr>
    </w:p>
    <w:p w14:paraId="7FA48CC4">
      <w:pPr>
        <w:widowControl/>
        <w:jc w:val="center"/>
        <w:rPr>
          <w:rFonts w:ascii="黑体" w:hAnsi="黑体" w:eastAsia="黑体"/>
          <w:color w:val="000000"/>
          <w:sz w:val="48"/>
          <w:szCs w:val="48"/>
        </w:rPr>
      </w:pPr>
    </w:p>
    <w:p w14:paraId="1713521A">
      <w:pPr>
        <w:widowControl/>
        <w:jc w:val="center"/>
        <w:rPr>
          <w:rFonts w:ascii="黑体" w:hAnsi="黑体" w:eastAsia="黑体"/>
          <w:color w:val="000000"/>
          <w:sz w:val="48"/>
          <w:szCs w:val="48"/>
        </w:rPr>
      </w:pPr>
    </w:p>
    <w:p w14:paraId="6AB46303">
      <w:pPr>
        <w:widowControl/>
        <w:jc w:val="center"/>
        <w:rPr>
          <w:rFonts w:ascii="黑体" w:hAnsi="黑体" w:eastAsia="黑体"/>
          <w:color w:val="000000"/>
          <w:sz w:val="48"/>
          <w:szCs w:val="48"/>
        </w:rPr>
      </w:pPr>
    </w:p>
    <w:p w14:paraId="634E5469">
      <w:pPr>
        <w:widowControl/>
        <w:jc w:val="center"/>
        <w:rPr>
          <w:rFonts w:ascii="黑体" w:hAnsi="黑体" w:eastAsia="黑体"/>
          <w:color w:val="000000"/>
          <w:sz w:val="48"/>
          <w:szCs w:val="48"/>
        </w:rPr>
      </w:pPr>
    </w:p>
    <w:p w14:paraId="79B6E9D2">
      <w:pPr>
        <w:widowControl/>
        <w:jc w:val="center"/>
        <w:rPr>
          <w:rFonts w:ascii="黑体" w:hAnsi="黑体" w:eastAsia="黑体"/>
          <w:color w:val="000000"/>
          <w:sz w:val="48"/>
          <w:szCs w:val="48"/>
        </w:rPr>
      </w:pPr>
    </w:p>
    <w:p w14:paraId="0DE0C6C5">
      <w:pPr>
        <w:widowControl/>
        <w:jc w:val="center"/>
        <w:rPr>
          <w:rFonts w:ascii="黑体" w:hAnsi="黑体" w:eastAsia="黑体"/>
          <w:color w:val="000000"/>
          <w:sz w:val="48"/>
          <w:szCs w:val="48"/>
        </w:rPr>
      </w:pPr>
    </w:p>
    <w:p w14:paraId="5E0D4BD0">
      <w:pPr>
        <w:widowControl/>
        <w:jc w:val="center"/>
        <w:rPr>
          <w:rFonts w:ascii="黑体" w:hAnsi="黑体" w:eastAsia="黑体"/>
          <w:color w:val="000000"/>
          <w:sz w:val="48"/>
          <w:szCs w:val="48"/>
        </w:rPr>
      </w:pPr>
    </w:p>
    <w:p w14:paraId="4A1CA3E6">
      <w:pPr>
        <w:widowControl/>
        <w:jc w:val="center"/>
        <w:rPr>
          <w:rFonts w:ascii="黑体" w:hAnsi="黑体" w:eastAsia="黑体"/>
          <w:color w:val="000000"/>
          <w:sz w:val="48"/>
          <w:szCs w:val="48"/>
        </w:rPr>
      </w:pPr>
    </w:p>
    <w:p w14:paraId="5928E7E6">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266B8605">
      <w:pPr>
        <w:widowControl/>
        <w:jc w:val="center"/>
        <w:rPr>
          <w:rFonts w:ascii="黑体" w:hAnsi="黑体" w:eastAsia="黑体" w:cs="Arial"/>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5BD18E01"/>
    <w:p w14:paraId="0CFEBE9C">
      <w:pPr>
        <w:pStyle w:val="11"/>
        <w:rPr>
          <w:rFonts w:cs="Arial"/>
        </w:rPr>
      </w:pPr>
      <w:r>
        <w:fldChar w:fldCharType="begin"/>
      </w:r>
      <w:r>
        <w:instrText xml:space="preserve">Hyperlink \l "_Toc15396599"</w:instrText>
      </w:r>
      <w:r>
        <w:fldChar w:fldCharType="separate"/>
      </w:r>
      <w:r>
        <w:rPr>
          <w:rFonts w:hint="eastAsia"/>
        </w:rPr>
        <w:t>第一部分部门概况</w:t>
      </w:r>
      <w:r>
        <w:tab/>
      </w:r>
      <w:r>
        <w:rPr>
          <w:rFonts w:hint="eastAsia"/>
        </w:rPr>
        <w:t>4</w:t>
      </w:r>
      <w:r>
        <w:fldChar w:fldCharType="end"/>
      </w:r>
    </w:p>
    <w:p w14:paraId="10698463">
      <w:pPr>
        <w:pStyle w:val="12"/>
        <w:rPr>
          <w:rFonts w:ascii="仿宋" w:hAnsi="仿宋" w:eastAsia="仿宋" w:cs="Arial"/>
          <w:sz w:val="28"/>
          <w:szCs w:val="28"/>
        </w:rPr>
      </w:pPr>
      <w:r>
        <w:fldChar w:fldCharType="begin"/>
      </w:r>
      <w:r>
        <w:instrText xml:space="preserve">Hyperlink \l "_Toc15396600"</w:instrText>
      </w:r>
      <w:r>
        <w:fldChar w:fldCharType="separate"/>
      </w:r>
      <w:r>
        <w:rPr>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fldChar w:fldCharType="end"/>
      </w:r>
    </w:p>
    <w:p w14:paraId="39076B1D">
      <w:pPr>
        <w:pStyle w:val="12"/>
        <w:rPr>
          <w:rFonts w:ascii="仿宋" w:hAnsi="仿宋" w:eastAsia="仿宋" w:cs="Arial"/>
          <w:sz w:val="28"/>
          <w:szCs w:val="28"/>
        </w:rPr>
      </w:pPr>
      <w:r>
        <w:fldChar w:fldCharType="begin"/>
      </w:r>
      <w:r>
        <w:instrText xml:space="preserve">Hyperlink \l "_Toc15396601"</w:instrText>
      </w:r>
      <w:r>
        <w:fldChar w:fldCharType="separate"/>
      </w:r>
      <w:r>
        <w:rPr>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fldChar w:fldCharType="end"/>
      </w:r>
    </w:p>
    <w:p w14:paraId="502194D3">
      <w:pPr>
        <w:pStyle w:val="11"/>
      </w:pPr>
      <w:r>
        <w:fldChar w:fldCharType="begin"/>
      </w:r>
      <w:r>
        <w:instrText xml:space="preserve">Hyperlink \l "_Toc15396602"</w:instrText>
      </w:r>
      <w:r>
        <w:fldChar w:fldCharType="separate"/>
      </w:r>
      <w:r>
        <w:rPr>
          <w:rFonts w:hint="eastAsia"/>
        </w:rPr>
        <w:t>第二部分</w:t>
      </w:r>
      <w:r>
        <w:t xml:space="preserve"> 2018</w:t>
      </w:r>
      <w:r>
        <w:rPr>
          <w:rFonts w:hint="eastAsia"/>
        </w:rPr>
        <w:t>年度部门决算情况说明</w:t>
      </w:r>
      <w:r>
        <w:tab/>
      </w:r>
      <w:r>
        <w:fldChar w:fldCharType="begin"/>
      </w:r>
      <w:r>
        <w:instrText xml:space="preserve"> PAGEREF _Toc15396602 \h </w:instrText>
      </w:r>
      <w:r>
        <w:fldChar w:fldCharType="separate"/>
      </w:r>
      <w:r>
        <w:t>8</w:t>
      </w:r>
      <w:r>
        <w:fldChar w:fldCharType="end"/>
      </w:r>
      <w:r>
        <w:fldChar w:fldCharType="end"/>
      </w:r>
    </w:p>
    <w:p w14:paraId="64EE0736">
      <w:pPr>
        <w:pStyle w:val="12"/>
        <w:rPr>
          <w:rFonts w:ascii="仿宋" w:hAnsi="仿宋" w:eastAsia="仿宋" w:cs="Arial"/>
          <w:sz w:val="28"/>
          <w:szCs w:val="28"/>
        </w:rPr>
      </w:pPr>
      <w:r>
        <w:fldChar w:fldCharType="begin"/>
      </w:r>
      <w:r>
        <w:instrText xml:space="preserve">Hyperlink \l "_Toc15396603"</w:instrText>
      </w:r>
      <w:r>
        <w:fldChar w:fldCharType="separate"/>
      </w:r>
      <w:r>
        <w:rPr>
          <w:rFonts w:hint="eastAsia" w:ascii="仿宋" w:hAnsi="仿宋" w:eastAsia="仿宋" w:cs="Times New Roman"/>
          <w:bCs/>
          <w:sz w:val="28"/>
          <w:szCs w:val="28"/>
        </w:rPr>
        <w:t>一、</w:t>
      </w:r>
      <w:r>
        <w:rPr>
          <w:rFonts w:hint="eastAsia" w:ascii="仿宋" w:hAnsi="仿宋" w:eastAsia="仿宋"/>
          <w:sz w:val="28"/>
          <w:szCs w:val="28"/>
        </w:rPr>
        <w:t>收</w:t>
      </w:r>
      <w:r>
        <w:rPr>
          <w:rFonts w:hint="eastAsia" w:ascii="仿宋" w:hAnsi="仿宋" w:eastAsia="仿宋" w:cs="Times New Roman"/>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14:paraId="7ABE6A6C">
      <w:pPr>
        <w:pStyle w:val="12"/>
        <w:rPr>
          <w:rFonts w:ascii="仿宋" w:hAnsi="仿宋" w:eastAsia="仿宋" w:cs="Arial"/>
          <w:sz w:val="28"/>
          <w:szCs w:val="28"/>
        </w:rPr>
      </w:pPr>
      <w:r>
        <w:fldChar w:fldCharType="begin"/>
      </w:r>
      <w:r>
        <w:instrText xml:space="preserve">Hyperlink \l "_Toc15396604"</w:instrText>
      </w:r>
      <w:r>
        <w:fldChar w:fldCharType="separate"/>
      </w:r>
      <w:r>
        <w:rPr>
          <w:rFonts w:hint="eastAsia" w:ascii="仿宋" w:hAnsi="仿宋" w:eastAsia="仿宋" w:cs="Times New Roman"/>
          <w:bCs/>
          <w:sz w:val="28"/>
          <w:szCs w:val="28"/>
        </w:rPr>
        <w:t>二、</w:t>
      </w:r>
      <w:r>
        <w:rPr>
          <w:rFonts w:hint="eastAsia" w:ascii="仿宋" w:hAnsi="仿宋" w:eastAsia="仿宋"/>
          <w:sz w:val="28"/>
          <w:szCs w:val="28"/>
        </w:rPr>
        <w:t>收</w:t>
      </w:r>
      <w:r>
        <w:rPr>
          <w:rFonts w:hint="eastAsia" w:ascii="仿宋" w:hAnsi="仿宋" w:eastAsia="仿宋" w:cs="Times New Roman"/>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14:paraId="16663D08">
      <w:pPr>
        <w:pStyle w:val="12"/>
        <w:rPr>
          <w:rFonts w:ascii="仿宋" w:hAnsi="仿宋" w:eastAsia="仿宋" w:cs="Arial"/>
          <w:sz w:val="28"/>
          <w:szCs w:val="28"/>
        </w:rPr>
      </w:pPr>
      <w:r>
        <w:fldChar w:fldCharType="begin"/>
      </w:r>
      <w:r>
        <w:instrText xml:space="preserve">Hyperlink \l "_Toc15396605"</w:instrText>
      </w:r>
      <w:r>
        <w:fldChar w:fldCharType="separate"/>
      </w:r>
      <w:r>
        <w:rPr>
          <w:rFonts w:hint="eastAsia" w:ascii="仿宋" w:hAnsi="仿宋" w:eastAsia="仿宋" w:cs="Times New Roman"/>
          <w:bCs/>
          <w:sz w:val="28"/>
          <w:szCs w:val="28"/>
        </w:rPr>
        <w:t>三、</w:t>
      </w:r>
      <w:r>
        <w:rPr>
          <w:rFonts w:hint="eastAsia" w:ascii="仿宋" w:hAnsi="仿宋" w:eastAsia="仿宋"/>
          <w:sz w:val="28"/>
          <w:szCs w:val="28"/>
        </w:rPr>
        <w:t>支</w:t>
      </w:r>
      <w:r>
        <w:rPr>
          <w:rFonts w:hint="eastAsia" w:ascii="仿宋" w:hAnsi="仿宋" w:eastAsia="仿宋" w:cs="Times New Roman"/>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14:paraId="2B4FB8B6">
      <w:pPr>
        <w:pStyle w:val="12"/>
        <w:rPr>
          <w:rFonts w:ascii="仿宋" w:hAnsi="仿宋" w:eastAsia="仿宋" w:cs="Arial"/>
          <w:sz w:val="28"/>
          <w:szCs w:val="28"/>
        </w:rPr>
      </w:pPr>
      <w:r>
        <w:fldChar w:fldCharType="begin"/>
      </w:r>
      <w:r>
        <w:instrText xml:space="preserve">Hyperlink \l "_Toc15396606"</w:instrText>
      </w:r>
      <w:r>
        <w:fldChar w:fldCharType="separate"/>
      </w:r>
      <w:r>
        <w:rPr>
          <w:rFonts w:hint="eastAsia" w:ascii="仿宋" w:hAnsi="仿宋" w:eastAsia="仿宋"/>
          <w:sz w:val="28"/>
          <w:szCs w:val="28"/>
        </w:rPr>
        <w:t>四、财</w:t>
      </w:r>
      <w:r>
        <w:rPr>
          <w:rFonts w:hint="eastAsia" w:ascii="仿宋" w:hAnsi="仿宋" w:eastAsia="仿宋" w:cs="Times New Roman"/>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14:paraId="5982E881">
      <w:pPr>
        <w:pStyle w:val="12"/>
        <w:rPr>
          <w:rFonts w:ascii="仿宋" w:hAnsi="仿宋" w:eastAsia="仿宋" w:cs="Arial"/>
          <w:sz w:val="28"/>
          <w:szCs w:val="28"/>
        </w:rPr>
      </w:pPr>
      <w:r>
        <w:fldChar w:fldCharType="begin"/>
      </w:r>
      <w:r>
        <w:instrText xml:space="preserve">Hyperlink \l "_Toc15396607"</w:instrText>
      </w:r>
      <w:r>
        <w:fldChar w:fldCharType="separate"/>
      </w:r>
      <w:r>
        <w:rPr>
          <w:rFonts w:hint="eastAsia" w:ascii="仿宋" w:hAnsi="仿宋" w:eastAsia="仿宋"/>
          <w:sz w:val="28"/>
          <w:szCs w:val="28"/>
        </w:rPr>
        <w:t>五、一</w:t>
      </w:r>
      <w:r>
        <w:rPr>
          <w:rFonts w:hint="eastAsia" w:ascii="仿宋" w:hAnsi="仿宋" w:eastAsia="仿宋" w:cs="Times New Roman"/>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fldChar w:fldCharType="end"/>
      </w:r>
    </w:p>
    <w:p w14:paraId="4B124B47">
      <w:pPr>
        <w:pStyle w:val="12"/>
        <w:rPr>
          <w:rFonts w:ascii="仿宋" w:hAnsi="仿宋" w:eastAsia="仿宋" w:cs="Arial"/>
          <w:sz w:val="28"/>
          <w:szCs w:val="28"/>
        </w:rPr>
      </w:pPr>
      <w:r>
        <w:fldChar w:fldCharType="begin"/>
      </w:r>
      <w:r>
        <w:instrText xml:space="preserve">Hyperlink \l "_Toc15396608"</w:instrText>
      </w:r>
      <w:r>
        <w:fldChar w:fldCharType="separate"/>
      </w:r>
      <w:r>
        <w:rPr>
          <w:rFonts w:hint="eastAsia" w:ascii="仿宋" w:hAnsi="仿宋" w:eastAsia="仿宋"/>
          <w:sz w:val="28"/>
          <w:szCs w:val="28"/>
        </w:rPr>
        <w:t>六、一</w:t>
      </w:r>
      <w:r>
        <w:rPr>
          <w:rFonts w:hint="eastAsia" w:ascii="仿宋" w:hAnsi="仿宋" w:eastAsia="仿宋" w:cs="Times New Roman"/>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fldChar w:fldCharType="end"/>
      </w:r>
    </w:p>
    <w:p w14:paraId="4D3BDDF9">
      <w:pPr>
        <w:pStyle w:val="12"/>
        <w:rPr>
          <w:rFonts w:ascii="仿宋" w:hAnsi="仿宋" w:eastAsia="仿宋" w:cs="Arial"/>
          <w:sz w:val="28"/>
          <w:szCs w:val="28"/>
        </w:rPr>
      </w:pPr>
      <w:r>
        <w:fldChar w:fldCharType="begin"/>
      </w:r>
      <w:r>
        <w:instrText xml:space="preserve">Hyperlink \l "_Toc15396609"</w:instrText>
      </w:r>
      <w:r>
        <w:fldChar w:fldCharType="separate"/>
      </w:r>
      <w:r>
        <w:rPr>
          <w:rFonts w:hint="eastAsia" w:ascii="仿宋" w:hAnsi="仿宋" w:eastAsia="仿宋"/>
          <w:sz w:val="28"/>
          <w:szCs w:val="28"/>
        </w:rPr>
        <w:t>七、</w:t>
      </w:r>
      <w:r>
        <w:rPr>
          <w:rFonts w:ascii="仿宋" w:hAnsi="仿宋" w:eastAsia="仿宋"/>
          <w:sz w:val="28"/>
          <w:szCs w:val="28"/>
        </w:rPr>
        <w:t>“</w:t>
      </w:r>
      <w:r>
        <w:rPr>
          <w:rFonts w:hint="eastAsia" w:ascii="仿宋" w:hAnsi="仿宋" w:eastAsia="仿宋" w:cs="Times New Roman"/>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fldChar w:fldCharType="end"/>
      </w:r>
    </w:p>
    <w:p w14:paraId="33F17D8F">
      <w:pPr>
        <w:pStyle w:val="12"/>
        <w:rPr>
          <w:rFonts w:ascii="仿宋" w:hAnsi="仿宋" w:eastAsia="仿宋" w:cs="Arial"/>
          <w:sz w:val="28"/>
          <w:szCs w:val="28"/>
        </w:rPr>
      </w:pPr>
      <w:r>
        <w:fldChar w:fldCharType="begin"/>
      </w:r>
      <w:r>
        <w:instrText xml:space="preserve">Hyperlink \l "_Toc15396610"</w:instrText>
      </w:r>
      <w:r>
        <w:fldChar w:fldCharType="separate"/>
      </w:r>
      <w:r>
        <w:rPr>
          <w:rFonts w:hint="eastAsia" w:ascii="仿宋" w:hAnsi="仿宋" w:eastAsia="仿宋"/>
          <w:sz w:val="28"/>
          <w:szCs w:val="28"/>
        </w:rPr>
        <w:t>八、</w:t>
      </w:r>
      <w:r>
        <w:rPr>
          <w:rFonts w:hint="eastAsia" w:ascii="仿宋" w:hAnsi="仿宋" w:eastAsia="仿宋" w:cs="Times New Roman"/>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fldChar w:fldCharType="end"/>
      </w:r>
    </w:p>
    <w:p w14:paraId="3AE2A321">
      <w:pPr>
        <w:pStyle w:val="12"/>
        <w:rPr>
          <w:rFonts w:ascii="仿宋" w:hAnsi="仿宋" w:eastAsia="仿宋" w:cs="Arial"/>
          <w:sz w:val="28"/>
          <w:szCs w:val="28"/>
        </w:rPr>
      </w:pPr>
      <w:r>
        <w:fldChar w:fldCharType="begin"/>
      </w:r>
      <w:r>
        <w:instrText xml:space="preserve">Hyperlink \l "_Toc15396611"</w:instrText>
      </w:r>
      <w:r>
        <w:fldChar w:fldCharType="separate"/>
      </w:r>
      <w:r>
        <w:rPr>
          <w:rFonts w:hint="eastAsia" w:ascii="仿宋" w:hAnsi="仿宋" w:eastAsia="仿宋" w:cs="Times New Roman"/>
          <w:bCs/>
          <w:sz w:val="28"/>
          <w:szCs w:val="28"/>
        </w:rPr>
        <w:t>九、</w:t>
      </w:r>
      <w:r>
        <w:rPr>
          <w:rFonts w:hint="eastAsia" w:ascii="仿宋" w:hAnsi="仿宋" w:eastAsia="仿宋"/>
          <w:sz w:val="28"/>
          <w:szCs w:val="28"/>
        </w:rPr>
        <w:t xml:space="preserve"> 国</w:t>
      </w:r>
      <w:r>
        <w:rPr>
          <w:rFonts w:hint="eastAsia" w:ascii="仿宋" w:hAnsi="仿宋" w:eastAsia="仿宋" w:cs="Times New Roman"/>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fldChar w:fldCharType="end"/>
      </w:r>
    </w:p>
    <w:p w14:paraId="36825DCF">
      <w:pPr>
        <w:pStyle w:val="12"/>
        <w:rPr>
          <w:rFonts w:ascii="仿宋" w:hAnsi="仿宋" w:eastAsia="仿宋" w:cs="Arial"/>
          <w:sz w:val="28"/>
          <w:szCs w:val="28"/>
        </w:rPr>
      </w:pPr>
      <w:r>
        <w:fldChar w:fldCharType="begin"/>
      </w:r>
      <w:r>
        <w:instrText xml:space="preserve">Hyperlink \l "_Toc15396612"</w:instrText>
      </w:r>
      <w:r>
        <w:fldChar w:fldCharType="separate"/>
      </w:r>
      <w:r>
        <w:rPr>
          <w:rFonts w:hint="eastAsia" w:ascii="仿宋" w:hAnsi="仿宋" w:eastAsia="仿宋"/>
          <w:sz w:val="28"/>
          <w:szCs w:val="28"/>
        </w:rPr>
        <w:t>十</w:t>
      </w:r>
      <w:r>
        <w:rPr>
          <w:rFonts w:hint="eastAsia" w:ascii="仿宋" w:hAnsi="仿宋" w:eastAsia="仿宋" w:cs="Times New Roman"/>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fldChar w:fldCharType="end"/>
      </w:r>
    </w:p>
    <w:p w14:paraId="33A31451">
      <w:pPr>
        <w:pStyle w:val="11"/>
        <w:rPr>
          <w:rFonts w:cs="Arial"/>
        </w:rPr>
      </w:pPr>
      <w:r>
        <w:fldChar w:fldCharType="begin"/>
      </w:r>
      <w:r>
        <w:instrText xml:space="preserve">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begin"/>
      </w:r>
      <w:r>
        <w:instrText xml:space="preserve"> PAGEREF _Toc15396613 \h </w:instrText>
      </w:r>
      <w:r>
        <w:fldChar w:fldCharType="separate"/>
      </w:r>
      <w:r>
        <w:t>14</w:t>
      </w:r>
      <w:r>
        <w:fldChar w:fldCharType="end"/>
      </w:r>
      <w:r>
        <w:fldChar w:fldCharType="end"/>
      </w:r>
    </w:p>
    <w:p w14:paraId="50FDC93D">
      <w:pPr>
        <w:pStyle w:val="11"/>
        <w:rPr>
          <w:rFonts w:cs="Arial"/>
        </w:rPr>
      </w:pPr>
      <w:r>
        <w:fldChar w:fldCharType="begin"/>
      </w:r>
      <w:r>
        <w:instrText xml:space="preserve">Hyperlink \l "_Toc15396614"</w:instrText>
      </w:r>
      <w:r>
        <w:fldChar w:fldCharType="separate"/>
      </w:r>
      <w:r>
        <w:rPr>
          <w:rFonts w:hint="eastAsia"/>
        </w:rPr>
        <w:t>第</w:t>
      </w:r>
      <w:r>
        <w:rPr>
          <w:rFonts w:hint="eastAsia"/>
          <w:bCs/>
          <w:kern w:val="44"/>
        </w:rPr>
        <w:t>四部分附件</w:t>
      </w:r>
      <w:r>
        <w:tab/>
      </w:r>
      <w:r>
        <w:fldChar w:fldCharType="begin"/>
      </w:r>
      <w:r>
        <w:instrText xml:space="preserve"> PAGEREF _Toc15396614 \h </w:instrText>
      </w:r>
      <w:r>
        <w:fldChar w:fldCharType="separate"/>
      </w:r>
      <w:r>
        <w:t>16</w:t>
      </w:r>
      <w:r>
        <w:fldChar w:fldCharType="end"/>
      </w:r>
      <w:r>
        <w:fldChar w:fldCharType="end"/>
      </w:r>
    </w:p>
    <w:p w14:paraId="3814668D">
      <w:pPr>
        <w:pStyle w:val="12"/>
        <w:rPr>
          <w:rFonts w:ascii="仿宋" w:hAnsi="仿宋" w:eastAsia="仿宋" w:cs="Arial"/>
          <w:sz w:val="28"/>
          <w:szCs w:val="28"/>
        </w:rPr>
      </w:pPr>
      <w:r>
        <w:fldChar w:fldCharType="begin"/>
      </w:r>
      <w:r>
        <w:instrText xml:space="preserve">Hyperlink \l "_Toc15396615"</w:instrText>
      </w:r>
      <w:r>
        <w:fldChar w:fldCharType="separate"/>
      </w:r>
      <w:r>
        <w:rPr>
          <w:rFonts w:hint="eastAsia" w:ascii="仿宋" w:hAnsi="仿宋" w:eastAsia="仿宋"/>
          <w:kern w:val="44"/>
          <w:sz w:val="28"/>
          <w:szCs w:val="28"/>
        </w:rPr>
        <w:t>附件</w:t>
      </w:r>
      <w:r>
        <w:rPr>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fldChar w:fldCharType="end"/>
      </w:r>
    </w:p>
    <w:p w14:paraId="7FF67EDA">
      <w:pPr>
        <w:pStyle w:val="12"/>
        <w:ind w:left="0" w:leftChars="0"/>
        <w:rPr>
          <w:rFonts w:ascii="仿宋" w:hAnsi="仿宋" w:eastAsia="仿宋" w:cs="Arial"/>
          <w:sz w:val="28"/>
          <w:szCs w:val="28"/>
        </w:rPr>
      </w:pPr>
    </w:p>
    <w:p w14:paraId="017244CE">
      <w:pPr>
        <w:pStyle w:val="11"/>
        <w:rPr>
          <w:rFonts w:cs="Arial"/>
        </w:rPr>
      </w:pPr>
      <w:r>
        <w:fldChar w:fldCharType="begin"/>
      </w:r>
      <w:r>
        <w:instrText xml:space="preserve">Hyperlink \l "_Toc15396618"</w:instrText>
      </w:r>
      <w:r>
        <w:fldChar w:fldCharType="separate"/>
      </w:r>
      <w:r>
        <w:rPr>
          <w:rFonts w:hint="eastAsia"/>
        </w:rPr>
        <w:t>第</w:t>
      </w:r>
      <w:r>
        <w:rPr>
          <w:rFonts w:hint="eastAsia"/>
          <w:bCs/>
          <w:kern w:val="44"/>
        </w:rPr>
        <w:t>五部分附表</w:t>
      </w:r>
      <w:r>
        <w:tab/>
      </w:r>
      <w:r>
        <w:fldChar w:fldCharType="begin"/>
      </w:r>
      <w:r>
        <w:instrText xml:space="preserve"> PAGEREF _Toc15396618 \h </w:instrText>
      </w:r>
      <w:r>
        <w:fldChar w:fldCharType="separate"/>
      </w:r>
      <w:r>
        <w:t>19</w:t>
      </w:r>
      <w:r>
        <w:fldChar w:fldCharType="end"/>
      </w:r>
      <w:r>
        <w:fldChar w:fldCharType="end"/>
      </w:r>
    </w:p>
    <w:p w14:paraId="3DE6F2A2">
      <w:pPr>
        <w:pStyle w:val="12"/>
        <w:rPr>
          <w:rFonts w:ascii="仿宋" w:hAnsi="仿宋" w:eastAsia="仿宋" w:cs="Arial"/>
          <w:sz w:val="28"/>
          <w:szCs w:val="28"/>
        </w:rPr>
      </w:pPr>
      <w:r>
        <w:rPr>
          <w:rFonts w:hint="eastAsia" w:ascii="仿宋" w:hAnsi="仿宋" w:eastAsia="仿宋"/>
          <w:sz w:val="28"/>
          <w:szCs w:val="28"/>
        </w:rPr>
        <w:t>一、</w:t>
      </w:r>
      <w:r>
        <w:fldChar w:fldCharType="begin"/>
      </w:r>
      <w:r>
        <w:instrText xml:space="preserve">Hyperlink \l "_Toc15396619"</w:instrText>
      </w:r>
      <w:r>
        <w:fldChar w:fldCharType="separate"/>
      </w:r>
      <w:r>
        <w:rPr>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6266864A">
      <w:pPr>
        <w:pStyle w:val="12"/>
        <w:rPr>
          <w:rFonts w:ascii="仿宋" w:hAnsi="仿宋" w:eastAsia="仿宋" w:cs="Arial"/>
          <w:sz w:val="28"/>
          <w:szCs w:val="28"/>
        </w:rPr>
      </w:pPr>
      <w:r>
        <w:rPr>
          <w:rFonts w:hint="eastAsia" w:ascii="仿宋" w:hAnsi="仿宋" w:eastAsia="仿宋"/>
          <w:sz w:val="28"/>
          <w:szCs w:val="28"/>
        </w:rPr>
        <w:t>二、</w:t>
      </w:r>
      <w:r>
        <w:fldChar w:fldCharType="begin"/>
      </w:r>
      <w:r>
        <w:instrText xml:space="preserve">Hyperlink \l "_Toc15396620"</w:instrText>
      </w:r>
      <w:r>
        <w:fldChar w:fldCharType="separate"/>
      </w:r>
      <w:r>
        <w:rPr>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441A6F0A">
      <w:pPr>
        <w:pStyle w:val="12"/>
        <w:rPr>
          <w:rFonts w:ascii="仿宋" w:hAnsi="仿宋" w:eastAsia="仿宋" w:cs="Arial"/>
          <w:sz w:val="28"/>
          <w:szCs w:val="28"/>
        </w:rPr>
      </w:pPr>
      <w:r>
        <w:rPr>
          <w:rFonts w:hint="eastAsia" w:ascii="仿宋" w:hAnsi="仿宋" w:eastAsia="仿宋"/>
          <w:sz w:val="28"/>
          <w:szCs w:val="28"/>
        </w:rPr>
        <w:t>三、</w:t>
      </w:r>
      <w:r>
        <w:fldChar w:fldCharType="begin"/>
      </w:r>
      <w:r>
        <w:instrText xml:space="preserve">Hyperlink \l "_Toc15396621"</w:instrText>
      </w:r>
      <w:r>
        <w:fldChar w:fldCharType="separate"/>
      </w:r>
      <w:r>
        <w:rPr>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219938E7">
      <w:pPr>
        <w:pStyle w:val="12"/>
        <w:rPr>
          <w:rFonts w:ascii="仿宋" w:hAnsi="仿宋" w:eastAsia="仿宋" w:cs="Arial"/>
          <w:sz w:val="28"/>
          <w:szCs w:val="28"/>
        </w:rPr>
      </w:pPr>
      <w:r>
        <w:rPr>
          <w:rFonts w:hint="eastAsia" w:ascii="仿宋" w:hAnsi="仿宋" w:eastAsia="仿宋"/>
          <w:sz w:val="28"/>
          <w:szCs w:val="28"/>
        </w:rPr>
        <w:t>四、</w:t>
      </w:r>
      <w:r>
        <w:fldChar w:fldCharType="begin"/>
      </w:r>
      <w:r>
        <w:instrText xml:space="preserve">Hyperlink \l "_Toc15396622"</w:instrText>
      </w:r>
      <w:r>
        <w:fldChar w:fldCharType="separate"/>
      </w:r>
      <w:r>
        <w:rPr>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12497EF0">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Hyperlink \l "_Toc15396623"</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20C752FA">
      <w:pPr>
        <w:pStyle w:val="12"/>
        <w:rPr>
          <w:rFonts w:ascii="仿宋" w:hAnsi="仿宋" w:eastAsia="仿宋" w:cs="Arial"/>
          <w:sz w:val="28"/>
          <w:szCs w:val="28"/>
        </w:rPr>
      </w:pPr>
      <w:r>
        <w:rPr>
          <w:rFonts w:hint="eastAsia" w:ascii="仿宋" w:hAnsi="仿宋" w:eastAsia="仿宋"/>
          <w:sz w:val="28"/>
          <w:szCs w:val="28"/>
        </w:rPr>
        <w:t>六、</w:t>
      </w:r>
      <w:r>
        <w:fldChar w:fldCharType="begin"/>
      </w:r>
      <w:r>
        <w:instrText xml:space="preserve">Hyperlink \l "_Toc15396624"</w:instrText>
      </w:r>
      <w:r>
        <w:fldChar w:fldCharType="separate"/>
      </w:r>
      <w:r>
        <w:rPr>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0E8A19D2">
      <w:pPr>
        <w:pStyle w:val="12"/>
        <w:rPr>
          <w:rFonts w:ascii="仿宋" w:hAnsi="仿宋" w:eastAsia="仿宋" w:cs="Arial"/>
          <w:sz w:val="28"/>
          <w:szCs w:val="28"/>
        </w:rPr>
      </w:pPr>
      <w:r>
        <w:rPr>
          <w:rFonts w:hint="eastAsia" w:ascii="仿宋" w:hAnsi="仿宋" w:eastAsia="仿宋"/>
          <w:sz w:val="28"/>
          <w:szCs w:val="28"/>
        </w:rPr>
        <w:t>七、</w:t>
      </w:r>
      <w:r>
        <w:fldChar w:fldCharType="begin"/>
      </w:r>
      <w:r>
        <w:instrText xml:space="preserve">Hyperlink \l "_Toc15396625"</w:instrText>
      </w:r>
      <w:r>
        <w:fldChar w:fldCharType="separate"/>
      </w:r>
      <w:r>
        <w:rPr>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0A0C99EA">
      <w:pPr>
        <w:pStyle w:val="12"/>
        <w:rPr>
          <w:rFonts w:ascii="仿宋" w:hAnsi="仿宋" w:eastAsia="仿宋" w:cs="Arial"/>
          <w:sz w:val="28"/>
          <w:szCs w:val="28"/>
        </w:rPr>
      </w:pPr>
      <w:r>
        <w:rPr>
          <w:rFonts w:hint="eastAsia" w:ascii="仿宋" w:hAnsi="仿宋" w:eastAsia="仿宋"/>
          <w:sz w:val="28"/>
          <w:szCs w:val="28"/>
        </w:rPr>
        <w:t>八、</w:t>
      </w:r>
      <w:r>
        <w:fldChar w:fldCharType="begin"/>
      </w:r>
      <w:r>
        <w:instrText xml:space="preserve">Hyperlink \l "_Toc15396626"</w:instrText>
      </w:r>
      <w:r>
        <w:fldChar w:fldCharType="separate"/>
      </w:r>
      <w:r>
        <w:rPr>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3904DCB9">
      <w:pPr>
        <w:pStyle w:val="12"/>
        <w:rPr>
          <w:rFonts w:ascii="仿宋" w:hAnsi="仿宋" w:eastAsia="仿宋" w:cs="Arial"/>
          <w:sz w:val="28"/>
          <w:szCs w:val="28"/>
        </w:rPr>
      </w:pPr>
      <w:r>
        <w:rPr>
          <w:rFonts w:hint="eastAsia" w:ascii="仿宋" w:hAnsi="仿宋" w:eastAsia="仿宋"/>
          <w:sz w:val="28"/>
          <w:szCs w:val="28"/>
        </w:rPr>
        <w:t>九、</w:t>
      </w:r>
      <w:r>
        <w:fldChar w:fldCharType="begin"/>
      </w:r>
      <w:r>
        <w:instrText xml:space="preserve">Hyperlink \l "_Toc15396627"</w:instrText>
      </w:r>
      <w:r>
        <w:fldChar w:fldCharType="separate"/>
      </w:r>
      <w:r>
        <w:rPr>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68748E31">
      <w:pPr>
        <w:pStyle w:val="12"/>
        <w:rPr>
          <w:rFonts w:ascii="仿宋" w:hAnsi="仿宋" w:eastAsia="仿宋" w:cs="Arial"/>
          <w:sz w:val="28"/>
          <w:szCs w:val="28"/>
        </w:rPr>
      </w:pPr>
      <w:r>
        <w:rPr>
          <w:rFonts w:hint="eastAsia" w:ascii="仿宋" w:hAnsi="仿宋" w:eastAsia="仿宋"/>
          <w:sz w:val="28"/>
          <w:szCs w:val="28"/>
        </w:rPr>
        <w:t>十、</w:t>
      </w:r>
      <w:r>
        <w:fldChar w:fldCharType="begin"/>
      </w:r>
      <w:r>
        <w:instrText xml:space="preserve">Hyperlink \l "_Toc15396628"</w:instrText>
      </w:r>
      <w:r>
        <w:fldChar w:fldCharType="separate"/>
      </w:r>
      <w:r>
        <w:rPr>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211C6DA6">
      <w:pPr>
        <w:pStyle w:val="12"/>
        <w:rPr>
          <w:rFonts w:ascii="仿宋" w:hAnsi="仿宋" w:eastAsia="仿宋" w:cs="Arial"/>
          <w:sz w:val="28"/>
          <w:szCs w:val="28"/>
        </w:rPr>
      </w:pPr>
      <w:r>
        <w:rPr>
          <w:rFonts w:hint="eastAsia" w:ascii="仿宋" w:hAnsi="仿宋" w:eastAsia="仿宋"/>
          <w:sz w:val="28"/>
          <w:szCs w:val="28"/>
        </w:rPr>
        <w:t>十一、</w:t>
      </w:r>
      <w:r>
        <w:fldChar w:fldCharType="begin"/>
      </w:r>
      <w:r>
        <w:instrText xml:space="preserve">Hyperlink \l "_Toc15396629"</w:instrText>
      </w:r>
      <w:r>
        <w:fldChar w:fldCharType="separate"/>
      </w:r>
      <w:r>
        <w:rPr>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292F7EE5">
      <w:pPr>
        <w:pStyle w:val="12"/>
        <w:rPr>
          <w:rFonts w:ascii="仿宋" w:hAnsi="仿宋" w:eastAsia="仿宋" w:cs="Arial"/>
          <w:sz w:val="28"/>
          <w:szCs w:val="28"/>
        </w:rPr>
      </w:pPr>
      <w:r>
        <w:rPr>
          <w:rFonts w:hint="eastAsia" w:ascii="仿宋" w:hAnsi="仿宋" w:eastAsia="仿宋"/>
          <w:sz w:val="28"/>
          <w:szCs w:val="28"/>
        </w:rPr>
        <w:t>十二、</w:t>
      </w:r>
      <w:r>
        <w:fldChar w:fldCharType="begin"/>
      </w:r>
      <w:r>
        <w:instrText xml:space="preserve">Hyperlink \l "_Toc15396630"</w:instrText>
      </w:r>
      <w:r>
        <w:fldChar w:fldCharType="separate"/>
      </w:r>
      <w:r>
        <w:rPr>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60D83AE1">
      <w:pPr>
        <w:pStyle w:val="12"/>
        <w:rPr>
          <w:rFonts w:ascii="仿宋" w:hAnsi="仿宋" w:eastAsia="仿宋" w:cs="Arial"/>
          <w:sz w:val="24"/>
        </w:rPr>
      </w:pPr>
      <w:r>
        <w:rPr>
          <w:rFonts w:hint="eastAsia" w:ascii="仿宋" w:hAnsi="仿宋" w:eastAsia="仿宋"/>
          <w:sz w:val="28"/>
          <w:szCs w:val="28"/>
        </w:rPr>
        <w:t>十三、</w:t>
      </w:r>
      <w:r>
        <w:fldChar w:fldCharType="begin"/>
      </w:r>
      <w:r>
        <w:instrText xml:space="preserve">Hyperlink \l "_Toc15396631"</w:instrText>
      </w:r>
      <w:r>
        <w:fldChar w:fldCharType="separate"/>
      </w:r>
      <w:r>
        <w:rPr>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14:paraId="6D7E7EC7">
      <w:pPr>
        <w:widowControl/>
        <w:jc w:val="left"/>
        <w:rPr>
          <w:rFonts w:ascii="仿宋" w:hAnsi="仿宋" w:eastAsia="仿宋"/>
          <w:color w:val="000000"/>
          <w:sz w:val="24"/>
        </w:rPr>
      </w:pPr>
      <w:r>
        <w:rPr>
          <w:rFonts w:ascii="仿宋" w:hAnsi="仿宋" w:eastAsia="仿宋"/>
          <w:color w:val="000000"/>
          <w:sz w:val="24"/>
        </w:rPr>
        <w:fldChar w:fldCharType="end"/>
      </w:r>
    </w:p>
    <w:p w14:paraId="387F9B2A">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7D2C4878">
      <w:pPr>
        <w:pStyle w:val="2"/>
        <w:jc w:val="center"/>
        <w:rPr>
          <w:rStyle w:val="19"/>
          <w:rFonts w:ascii="黑体" w:hAnsi="黑体" w:eastAsia="黑体"/>
          <w:b/>
          <w:bCs w:val="0"/>
        </w:rPr>
      </w:pPr>
      <w:r>
        <w:rPr>
          <w:rFonts w:hint="eastAsia" w:ascii="黑体" w:hAnsi="黑体" w:eastAsia="黑体"/>
          <w:b w:val="0"/>
        </w:rPr>
        <w:t xml:space="preserve">第一部分 </w:t>
      </w:r>
      <w:r>
        <w:rPr>
          <w:rStyle w:val="19"/>
          <w:rFonts w:hint="eastAsia" w:ascii="黑体" w:hAnsi="黑体" w:eastAsia="黑体"/>
          <w:b w:val="0"/>
          <w:bCs w:val="0"/>
        </w:rPr>
        <w:t>部门概况</w:t>
      </w:r>
      <w:bookmarkEnd w:id="12"/>
      <w:bookmarkEnd w:id="13"/>
    </w:p>
    <w:p w14:paraId="3372EECF">
      <w:pPr>
        <w:widowControl/>
        <w:jc w:val="left"/>
        <w:rPr>
          <w:rFonts w:ascii="黑体" w:eastAsia="黑体"/>
          <w:color w:val="000000"/>
          <w:sz w:val="32"/>
          <w:szCs w:val="32"/>
        </w:rPr>
      </w:pPr>
    </w:p>
    <w:p w14:paraId="0C1A09A6">
      <w:pPr>
        <w:pStyle w:val="3"/>
        <w:rPr>
          <w:rStyle w:val="20"/>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4"/>
      <w:bookmarkEnd w:id="15"/>
    </w:p>
    <w:p w14:paraId="099ADD53">
      <w:pPr>
        <w:pStyle w:val="5"/>
        <w:adjustRightInd w:val="0"/>
        <w:snapToGrid w:val="0"/>
        <w:spacing w:before="93" w:beforeLines="0" w:line="600" w:lineRule="exact"/>
        <w:ind w:firstLine="665" w:firstLineChars="208"/>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（一）主要职能。（职能参照省政府批准的三定方案）</w:t>
      </w:r>
      <w:bookmarkEnd w:id="16"/>
      <w:bookmarkEnd w:id="17"/>
    </w:p>
    <w:p w14:paraId="6497801B">
      <w:pPr>
        <w:ind w:left="6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（一）基本职能</w:t>
      </w:r>
    </w:p>
    <w:p w14:paraId="5FF8E9D9">
      <w:pPr>
        <w:widowControl/>
        <w:spacing w:line="570" w:lineRule="atLeast"/>
        <w:ind w:firstLine="480"/>
        <w:jc w:val="left"/>
        <w:rPr>
          <w:rFonts w:ascii="仿宋_GB2312" w:eastAsia="仿宋_GB2312"/>
          <w:color w:val="333333"/>
          <w:kern w:val="0"/>
          <w:sz w:val="32"/>
          <w:szCs w:val="32"/>
        </w:rPr>
      </w:pPr>
      <w:r>
        <w:rPr>
          <w:rFonts w:ascii="仿宋_GB2312" w:eastAsia="仿宋_GB2312" w:cs="仿宋_GB2312"/>
          <w:color w:val="000000"/>
          <w:kern w:val="0"/>
          <w:sz w:val="32"/>
          <w:szCs w:val="32"/>
        </w:rPr>
        <w:t>（</w:t>
      </w:r>
      <w:r>
        <w:rPr>
          <w:rFonts w:ascii="仿宋_GB2312" w:eastAsia="仿宋_GB2312"/>
          <w:color w:val="333333"/>
          <w:kern w:val="0"/>
          <w:sz w:val="32"/>
          <w:szCs w:val="32"/>
        </w:rPr>
        <w:t>1）传播国际红十字运动知识和国际人道主义法，宣传和执行《中华人民共和国红十字会法》和《四川省实施＜中华人民共和国红十字会法＞办法》等法律、法规，遵循《中国红十字会章程》，依法建会、治会、兴会。</w:t>
      </w:r>
    </w:p>
    <w:p w14:paraId="12A4A589">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（2）开展备灾救灾工作。建立应急救援队伍；储备救灾物资，建设和管理备灾救灾设施；在自然灾害和突发事件中，开展救护和救助工作；根据自然灾害和突发事件的具体情况，在辖区内发出呼吁，依法接受</w:t>
      </w:r>
      <w:r>
        <w:rPr>
          <w:rFonts w:hint="eastAsia" w:ascii="仿宋_GB2312" w:eastAsia="仿宋_GB2312"/>
          <w:color w:val="333333"/>
          <w:kern w:val="0"/>
          <w:sz w:val="32"/>
          <w:szCs w:val="32"/>
        </w:rPr>
        <w:t>单位</w:t>
      </w:r>
      <w:r>
        <w:rPr>
          <w:rFonts w:ascii="仿宋_GB2312" w:eastAsia="仿宋_GB2312"/>
          <w:color w:val="333333"/>
          <w:kern w:val="0"/>
          <w:sz w:val="32"/>
          <w:szCs w:val="32"/>
        </w:rPr>
        <w:t>和个人的捐赠；及时向灾区群众和受难者提供急需的人道救助，参与灾后重建。</w:t>
      </w:r>
    </w:p>
    <w:p w14:paraId="38A7EAD6">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（3）开展应急救护和防病知识的宣传、普及、培训；组织群众参加意外伤害和自然灾害的现场救护。</w:t>
      </w:r>
    </w:p>
    <w:p w14:paraId="0889F469">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（4）发展红十字基层组织，开展红十字青少年工作和红十字志愿服务活动。</w:t>
      </w:r>
    </w:p>
    <w:p w14:paraId="36957973">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（5）开展无偿献血的宣传动员工作；开展捐献造血干细胞的宣传动员；依法开展和推动人体器官（组织）捐献有关工作；开展预防艾滋病宣传工作。</w:t>
      </w:r>
    </w:p>
    <w:p w14:paraId="71C2FBC6">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（6）开展人道救助和相关服务工作。为易受损人群进行救助，为困难群众提供服务。</w:t>
      </w:r>
    </w:p>
    <w:p w14:paraId="2A511012">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（7）依法开展募捐活动福利事业；指导和监督实施红十字会援建项目。</w:t>
      </w:r>
    </w:p>
    <w:p w14:paraId="6191EDA5">
      <w:pPr>
        <w:pStyle w:val="5"/>
        <w:adjustRightInd w:val="0"/>
        <w:snapToGrid w:val="0"/>
        <w:spacing w:before="93" w:beforeLines="0" w:line="600" w:lineRule="exact"/>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14:paraId="1F7DAFBE">
      <w:pPr>
        <w:spacing w:line="560" w:lineRule="exact"/>
        <w:ind w:firstLine="640" w:firstLineChars="200"/>
        <w:rPr>
          <w:rFonts w:ascii="仿宋_GB2312" w:hAnsi="Adobe 楷体 Std R" w:eastAsia="仿宋_GB2312"/>
          <w:color w:val="000000"/>
          <w:sz w:val="32"/>
          <w:szCs w:val="32"/>
        </w:rPr>
      </w:pPr>
      <w:r>
        <w:rPr>
          <w:rFonts w:hint="eastAsia" w:ascii="仿宋_GB2312" w:eastAsia="仿宋_GB2312"/>
          <w:color w:val="333333"/>
          <w:kern w:val="0"/>
          <w:sz w:val="32"/>
          <w:szCs w:val="32"/>
        </w:rPr>
        <w:t>2018年，我会将按照省、州红十字会的具体工作安排，以</w:t>
      </w:r>
      <w:r>
        <w:rPr>
          <w:rFonts w:hint="eastAsia" w:ascii="仿宋_GB2312" w:eastAsia="仿宋_GB2312"/>
          <w:color w:val="333333"/>
          <w:kern w:val="0"/>
          <w:sz w:val="32"/>
          <w:szCs w:val="32"/>
          <w:lang w:val="en-US" w:eastAsia="zh-CN"/>
        </w:rPr>
        <w:t>党的</w:t>
      </w:r>
      <w:r>
        <w:rPr>
          <w:rFonts w:hint="eastAsia" w:ascii="仿宋_GB2312" w:eastAsia="仿宋_GB2312"/>
          <w:color w:val="333333"/>
          <w:kern w:val="0"/>
          <w:sz w:val="32"/>
          <w:szCs w:val="32"/>
        </w:rPr>
        <w:t>十九大精神为指导，扎实开展红十字会各项工作，努力推进我县红十字事业快速发展。我会重点开展以下工作</w:t>
      </w:r>
      <w:r>
        <w:rPr>
          <w:rFonts w:hint="eastAsia" w:ascii="仿宋_GB2312" w:hAnsi="Adobe 楷体 Std R" w:eastAsia="仿宋_GB2312"/>
          <w:color w:val="000000"/>
          <w:sz w:val="32"/>
          <w:szCs w:val="32"/>
        </w:rPr>
        <w:t>：</w:t>
      </w:r>
    </w:p>
    <w:p w14:paraId="6EE8E721">
      <w:pPr>
        <w:spacing w:line="560" w:lineRule="exact"/>
        <w:ind w:firstLine="643" w:firstLineChars="200"/>
        <w:rPr>
          <w:rFonts w:ascii="黑体" w:hAnsi="Adobe 宋体 Std L" w:eastAsia="黑体" w:cs="仿宋_GB2312"/>
          <w:b/>
          <w:bCs/>
          <w:color w:val="000000"/>
          <w:sz w:val="32"/>
          <w:szCs w:val="32"/>
        </w:rPr>
      </w:pPr>
      <w:r>
        <w:rPr>
          <w:rFonts w:hint="eastAsia" w:ascii="黑体" w:hAnsi="Adobe 宋体 Std L" w:eastAsia="黑体" w:cs="仿宋_GB2312"/>
          <w:b/>
          <w:bCs/>
          <w:color w:val="000000"/>
          <w:sz w:val="32"/>
          <w:szCs w:val="32"/>
        </w:rPr>
        <w:t>1、深入贯彻党的十九大精神|中共十九大精神，促进人道工作深入开展</w:t>
      </w:r>
    </w:p>
    <w:p w14:paraId="7B2471D2">
      <w:pPr>
        <w:spacing w:line="560" w:lineRule="exac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认真学习党的十九大以来各次全会精神，深刻理解</w:t>
      </w:r>
      <w:r>
        <w:rPr>
          <w:rFonts w:hint="eastAsia" w:ascii="仿宋_GB2312" w:eastAsia="仿宋_GB2312"/>
          <w:color w:val="333333"/>
          <w:kern w:val="0"/>
          <w:sz w:val="32"/>
          <w:szCs w:val="32"/>
          <w:lang w:val="en-US" w:eastAsia="zh-CN"/>
        </w:rPr>
        <w:t>党的</w:t>
      </w:r>
      <w:bookmarkStart w:id="75" w:name="_GoBack"/>
      <w:bookmarkEnd w:id="75"/>
      <w:r>
        <w:rPr>
          <w:rFonts w:hint="eastAsia" w:ascii="仿宋_GB2312" w:eastAsia="仿宋_GB2312"/>
          <w:color w:val="333333"/>
          <w:kern w:val="0"/>
          <w:sz w:val="32"/>
          <w:szCs w:val="32"/>
        </w:rPr>
        <w:t>十九大以来提出的一系列新思想、新观点、新论断，把思想和行动统一到县委县政府的坚强领导上来；开展“不忘初心、牢记使命”主题教育。把学习宣传贯彻党的十九大精神与推动红十字工作紧密结合起来。不断创新进取，更好地开展好红十字会业务工作，为改革事业的推进做出积极贡献，同时做好帮扶工作。</w:t>
      </w:r>
    </w:p>
    <w:p w14:paraId="68DD0FE3">
      <w:pPr>
        <w:spacing w:line="560" w:lineRule="exact"/>
        <w:ind w:firstLine="643" w:firstLineChars="200"/>
        <w:rPr>
          <w:rFonts w:ascii="黑体" w:hAnsi="Adobe 宋体 Std L" w:eastAsia="黑体"/>
          <w:b/>
          <w:bCs/>
          <w:color w:val="000000"/>
          <w:sz w:val="32"/>
          <w:szCs w:val="32"/>
        </w:rPr>
      </w:pPr>
      <w:r>
        <w:rPr>
          <w:rFonts w:hint="eastAsia" w:ascii="黑体" w:hAnsi="Adobe 宋体 Std L" w:eastAsia="黑体" w:cs="仿宋_GB2312"/>
          <w:b/>
          <w:bCs/>
          <w:color w:val="000000"/>
          <w:sz w:val="32"/>
          <w:szCs w:val="32"/>
        </w:rPr>
        <w:t>2、</w:t>
      </w:r>
      <w:r>
        <w:rPr>
          <w:rFonts w:hint="eastAsia" w:ascii="黑体" w:hAnsi="Adobe 宋体 Std L" w:eastAsia="黑体"/>
          <w:b/>
          <w:bCs/>
          <w:color w:val="000000"/>
          <w:sz w:val="32"/>
          <w:szCs w:val="32"/>
        </w:rPr>
        <w:t>“开展博爱送万家”活动</w:t>
      </w:r>
    </w:p>
    <w:p w14:paraId="0E1CB4EF">
      <w:pPr>
        <w:pStyle w:val="14"/>
        <w:ind w:left="0" w:leftChars="0" w:firstLine="640" w:firstLineChars="0"/>
        <w:rPr>
          <w:rFonts w:ascii="仿宋_GB2312" w:hAnsi="仿宋" w:eastAsia="仿宋_GB2312"/>
          <w:bCs/>
          <w:sz w:val="32"/>
          <w:szCs w:val="32"/>
        </w:rPr>
      </w:pPr>
      <w:r>
        <w:rPr>
          <w:rFonts w:hint="eastAsia" w:ascii="仿宋_GB2312" w:hAnsi="仿宋" w:eastAsia="仿宋_GB2312" w:cs="仿宋"/>
          <w:sz w:val="32"/>
          <w:szCs w:val="32"/>
        </w:rPr>
        <w:t>深入乡镇、村宣传县委四届五次全会精神，深入了解群众生产生活需求及各项意见，全年为困难群众</w:t>
      </w:r>
      <w:r>
        <w:rPr>
          <w:rFonts w:hint="eastAsia" w:ascii="仿宋_GB2312" w:hAnsi="仿宋" w:eastAsia="仿宋_GB2312"/>
          <w:bCs/>
          <w:sz w:val="32"/>
          <w:szCs w:val="32"/>
        </w:rPr>
        <w:t>发放毛毯315床，棉絮295床，折合资金8万</w:t>
      </w:r>
      <w:r>
        <w:rPr>
          <w:rFonts w:hint="eastAsia" w:ascii="仿宋_GB2312" w:hAnsi="仿宋_GB2312" w:eastAsia="仿宋_GB2312" w:cs="仿宋_GB2312"/>
          <w:color w:val="000000"/>
          <w:sz w:val="32"/>
          <w:szCs w:val="32"/>
        </w:rPr>
        <w:t>余</w:t>
      </w:r>
      <w:r>
        <w:rPr>
          <w:rFonts w:hint="eastAsia" w:ascii="仿宋_GB2312" w:hAnsi="仿宋" w:eastAsia="仿宋_GB2312"/>
          <w:bCs/>
          <w:sz w:val="32"/>
          <w:szCs w:val="32"/>
        </w:rPr>
        <w:t>元；发放大衣35件、博爱箱40件、益生菌15300盒。</w:t>
      </w:r>
    </w:p>
    <w:p w14:paraId="3CC62231">
      <w:pPr>
        <w:spacing w:line="560" w:lineRule="exact"/>
        <w:ind w:firstLine="643" w:firstLineChars="200"/>
        <w:rPr>
          <w:rFonts w:ascii="仿宋_GB2312" w:eastAsia="仿宋_GB2312"/>
          <w:b/>
          <w:bCs/>
          <w:sz w:val="32"/>
          <w:szCs w:val="32"/>
        </w:rPr>
      </w:pPr>
      <w:r>
        <w:rPr>
          <w:rFonts w:hint="eastAsia" w:ascii="黑体" w:hAnsi="Adobe 宋体 Std L" w:eastAsia="黑体" w:cs="仿宋_GB2312"/>
          <w:b/>
          <w:bCs/>
          <w:color w:val="000000"/>
          <w:sz w:val="32"/>
          <w:szCs w:val="32"/>
        </w:rPr>
        <w:t>3</w:t>
      </w:r>
      <w:r>
        <w:rPr>
          <w:rFonts w:hint="eastAsia" w:ascii="仿宋_GB2312" w:eastAsia="仿宋_GB2312"/>
          <w:b/>
          <w:bCs/>
          <w:sz w:val="32"/>
          <w:szCs w:val="32"/>
        </w:rPr>
        <w:t>、救护普及培训和救护员培训工作。</w:t>
      </w:r>
    </w:p>
    <w:p w14:paraId="434E3DA8">
      <w:pPr>
        <w:spacing w:line="360" w:lineRule="auto"/>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kern w:val="0"/>
          <w:sz w:val="32"/>
          <w:szCs w:val="32"/>
        </w:rPr>
        <w:t>灵活开展普及培训，针对性开展救护员培训。一是联合党校，将普及培训作为乡村干部培训的课程设置，红会派出培训师资进行授课、献课，开展了4批次共培训400余人次。二</w:t>
      </w:r>
      <w:r>
        <w:rPr>
          <w:rFonts w:hint="eastAsia" w:ascii="仿宋_GB2312" w:hAnsi="仿宋_GB2312" w:eastAsia="仿宋_GB2312" w:cs="仿宋_GB2312"/>
          <w:color w:val="000000"/>
          <w:sz w:val="32"/>
          <w:szCs w:val="32"/>
          <w:shd w:val="clear" w:color="auto" w:fill="FFFFFF"/>
        </w:rPr>
        <w:t>8月在南坪中学开展了应急救护知识公益培训活动，正在军训的500余名初一新生接受了培训。</w:t>
      </w:r>
      <w:r>
        <w:rPr>
          <w:rFonts w:hint="eastAsia" w:ascii="仿宋_GB2312" w:hAnsi="仿宋_GB2312" w:eastAsia="仿宋_GB2312" w:cs="仿宋_GB2312"/>
          <w:color w:val="000000"/>
          <w:kern w:val="0"/>
          <w:sz w:val="32"/>
          <w:szCs w:val="32"/>
        </w:rPr>
        <w:t>三是联手县卫计局，将90余人次乡村医生纳入急救员培训，经考试81人取得了急救员证书。四是对南中、一小对教师开展急救员培训工作，培训180</w:t>
      </w:r>
      <w:r>
        <w:rPr>
          <w:rFonts w:hint="eastAsia" w:ascii="仿宋_GB2312" w:hAnsi="仿宋_GB2312" w:eastAsia="仿宋_GB2312" w:cs="仿宋_GB2312"/>
          <w:color w:val="000000"/>
          <w:sz w:val="32"/>
          <w:szCs w:val="32"/>
          <w:shd w:val="clear" w:color="auto" w:fill="FFFFFF"/>
        </w:rPr>
        <w:t>余人次。五是</w:t>
      </w:r>
      <w:r>
        <w:rPr>
          <w:rFonts w:hint="eastAsia" w:ascii="仿宋_GB2312" w:hAnsi="仿宋_GB2312" w:eastAsia="仿宋_GB2312" w:cs="仿宋_GB2312"/>
          <w:sz w:val="32"/>
          <w:szCs w:val="32"/>
          <w:shd w:val="clear" w:color="auto" w:fill="FFFFFF"/>
        </w:rPr>
        <w:t>在第十九个世界急救日期间，县红会积极行动，走上街头对过往群众进行交通安全应急救护知识普及宣传活动。共发放宣传资料300余份，通过活动提升了群众应对突发事件和互救的能力。</w:t>
      </w:r>
    </w:p>
    <w:p w14:paraId="7F055724">
      <w:pPr>
        <w:widowControl/>
        <w:shd w:val="clear" w:color="auto" w:fill="FFFFFF"/>
        <w:spacing w:line="560" w:lineRule="atLeast"/>
        <w:ind w:firstLine="562"/>
        <w:jc w:val="left"/>
        <w:rPr>
          <w:rFonts w:ascii="仿宋_GB2312" w:eastAsia="仿宋_GB2312"/>
          <w:b/>
          <w:bCs/>
          <w:sz w:val="32"/>
          <w:szCs w:val="32"/>
        </w:rPr>
      </w:pPr>
      <w:r>
        <w:rPr>
          <w:rFonts w:hint="eastAsia" w:ascii="仿宋_GB2312" w:eastAsia="仿宋_GB2312"/>
          <w:b/>
          <w:bCs/>
          <w:sz w:val="32"/>
          <w:szCs w:val="32"/>
        </w:rPr>
        <w:t>4、继续加强宣传动员，推进会员和基层组织发展。</w:t>
      </w:r>
    </w:p>
    <w:p w14:paraId="00C04BCF">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加强宣传动员，推进会员和基层组织发展。主动到县级部门和乡镇机关发展会员和志愿者，鼓励城乡有志青年踊跃加入红十字组织，到17个乡镇开展建立红会基层组织的筹备工作。今年共发展红十字会员16个，志愿者22人，建立3个基层组织，分别为应急</w:t>
      </w:r>
      <w:r>
        <w:rPr>
          <w:rFonts w:ascii="仿宋_GB2312" w:hAnsi="仿宋_GB2312" w:eastAsia="仿宋_GB2312" w:cs="仿宋_GB2312"/>
          <w:color w:val="000000"/>
          <w:sz w:val="32"/>
          <w:szCs w:val="32"/>
        </w:rPr>
        <w:t>救援</w:t>
      </w:r>
      <w:r>
        <w:rPr>
          <w:rFonts w:hint="eastAsia" w:ascii="仿宋_GB2312" w:hAnsi="仿宋_GB2312" w:eastAsia="仿宋_GB2312" w:cs="仿宋_GB2312"/>
          <w:color w:val="000000"/>
          <w:sz w:val="32"/>
          <w:szCs w:val="32"/>
        </w:rPr>
        <w:t>、救护、学校及社会需要的志愿者提供帮助和服务。</w:t>
      </w:r>
    </w:p>
    <w:p w14:paraId="4CF2FC35">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5、加强物资储备，做好灾害应对。</w:t>
      </w:r>
    </w:p>
    <w:p w14:paraId="74048826">
      <w:pPr>
        <w:spacing w:line="560" w:lineRule="exact"/>
        <w:ind w:firstLine="640" w:firstLineChars="200"/>
        <w:rPr>
          <w:rFonts w:ascii="仿宋_GB2312" w:eastAsia="仿宋_GB2312"/>
          <w:sz w:val="32"/>
          <w:szCs w:val="32"/>
        </w:rPr>
      </w:pPr>
      <w:r>
        <w:rPr>
          <w:rFonts w:hint="eastAsia" w:ascii="仿宋_GB2312" w:eastAsia="仿宋_GB2312"/>
          <w:sz w:val="32"/>
          <w:szCs w:val="32"/>
        </w:rPr>
        <w:t>每年的7、8月是洪灾、泥石流的易发期。我会将及时了解上报灾情，积极争取上级红十字会的救灾援助；做好被子、毯子、衣物、生活包等物资的储备，从物资上、组织上和人员上做好应对灾害的准备。</w:t>
      </w:r>
    </w:p>
    <w:p w14:paraId="01B10C9A">
      <w:pPr>
        <w:pStyle w:val="13"/>
        <w:spacing w:before="0" w:beforeAutospacing="0" w:after="0" w:afterAutospacing="0" w:line="560" w:lineRule="exact"/>
        <w:ind w:firstLine="633" w:firstLineChars="197"/>
        <w:rPr>
          <w:rFonts w:ascii="仿宋_GB2312" w:eastAsia="仿宋_GB2312"/>
          <w:b/>
          <w:bCs/>
          <w:kern w:val="2"/>
          <w:sz w:val="32"/>
          <w:szCs w:val="32"/>
        </w:rPr>
      </w:pPr>
      <w:r>
        <w:rPr>
          <w:rFonts w:hint="eastAsia" w:ascii="仿宋_GB2312" w:eastAsia="仿宋_GB2312"/>
          <w:b/>
          <w:bCs/>
          <w:kern w:val="2"/>
          <w:sz w:val="32"/>
          <w:szCs w:val="32"/>
        </w:rPr>
        <w:t>6、继续加强项目实施和督导工作。</w:t>
      </w:r>
    </w:p>
    <w:p w14:paraId="1062E1F0">
      <w:pPr>
        <w:pStyle w:val="14"/>
        <w:ind w:left="0" w:leftChars="0" w:firstLine="480" w:firstLineChars="15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全力参与灾后重建、博家项目建设。积极参与县</w:t>
      </w:r>
      <w:r>
        <w:rPr>
          <w:rFonts w:hint="eastAsia" w:ascii="仿宋_GB2312" w:hAnsi="仿宋_GB2312" w:eastAsia="仿宋_GB2312" w:cs="仿宋_GB2312"/>
          <w:sz w:val="32"/>
          <w:szCs w:val="32"/>
        </w:rPr>
        <w:t>第一小学和七一南坪中学</w:t>
      </w:r>
      <w:r>
        <w:rPr>
          <w:rFonts w:hint="eastAsia" w:ascii="仿宋_GB2312" w:hAnsi="仿宋_GB2312" w:eastAsia="仿宋_GB2312" w:cs="仿宋_GB2312"/>
          <w:color w:val="000000"/>
          <w:kern w:val="0"/>
          <w:sz w:val="32"/>
          <w:szCs w:val="32"/>
        </w:rPr>
        <w:t>重建项目建设（</w:t>
      </w:r>
      <w:r>
        <w:rPr>
          <w:rFonts w:hint="eastAsia" w:ascii="仿宋_GB2312" w:hAnsi="仿宋_GB2312" w:eastAsia="仿宋_GB2312" w:cs="仿宋_GB2312"/>
          <w:sz w:val="32"/>
          <w:szCs w:val="32"/>
        </w:rPr>
        <w:t>投入资金约2500万元</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目前两项目正在有序建设中。投入25万元建设扒拉沟博爱家园建设卫生室、培训场所，现已验收合格并投入使用，完成21万元捐建大录村防护栏建设，现已基本完工；继续加强对羊足山、上安乐村博爱家园生计项目的监管和督导。</w:t>
      </w:r>
    </w:p>
    <w:p w14:paraId="0E02761A">
      <w:pPr>
        <w:spacing w:line="560" w:lineRule="exact"/>
        <w:ind w:firstLine="633" w:firstLineChars="197"/>
        <w:rPr>
          <w:rFonts w:ascii="仿宋_GB2312" w:eastAsia="仿宋_GB2312"/>
          <w:b/>
          <w:bCs/>
          <w:sz w:val="32"/>
          <w:szCs w:val="32"/>
        </w:rPr>
      </w:pPr>
      <w:r>
        <w:rPr>
          <w:rFonts w:hint="eastAsia" w:ascii="仿宋_GB2312" w:eastAsia="仿宋_GB2312"/>
          <w:b/>
          <w:bCs/>
          <w:sz w:val="32"/>
          <w:szCs w:val="32"/>
        </w:rPr>
        <w:t>7、做好特殊困难家庭的人道救助。</w:t>
      </w:r>
    </w:p>
    <w:p w14:paraId="77CB8428">
      <w:pPr>
        <w:spacing w:line="360" w:lineRule="auto"/>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支持配合勿角乡白血病患儿周鑫申报小天使基金资助，回访大病患者家庭30人次，收集掌握新的患者求助基本情况，积极实施人道主义援助，今年以来，救助大病患者29人次，发放救助款55000.00元，为我县脱贫攻坚贡献了力量。</w:t>
      </w:r>
    </w:p>
    <w:p w14:paraId="4122A953">
      <w:pPr>
        <w:pStyle w:val="3"/>
        <w:rPr>
          <w:rStyle w:val="20"/>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20"/>
      <w:bookmarkEnd w:id="21"/>
    </w:p>
    <w:p w14:paraId="47A0DC0A">
      <w:pPr>
        <w:spacing w:line="240"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我会成立于2008年，是参照公务员管理的事业单位，内设机构编制两个,人员编制5人，现有职工5人,科级领导干部2人、核定车辆数1辆 。财政供养人员编制为5名， 2019年实际财政供养人员5人，较上年无变化。在职 5人， 离退休0人。</w:t>
      </w:r>
    </w:p>
    <w:p w14:paraId="30D24E39">
      <w:pPr>
        <w:pStyle w:val="2"/>
        <w:ind w:right="440"/>
        <w:jc w:val="right"/>
        <w:rPr>
          <w:rStyle w:val="19"/>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19"/>
          <w:rFonts w:hint="eastAsia" w:ascii="黑体" w:hAnsi="黑体" w:eastAsia="黑体"/>
          <w:b w:val="0"/>
          <w:bCs w:val="0"/>
        </w:rPr>
        <w:t>2018年度部门决算情况说明</w:t>
      </w:r>
      <w:bookmarkEnd w:id="22"/>
      <w:bookmarkEnd w:id="23"/>
    </w:p>
    <w:p w14:paraId="3B980D9B"/>
    <w:p w14:paraId="613D9428">
      <w:pPr>
        <w:pStyle w:val="26"/>
        <w:numPr>
          <w:ilvl w:val="0"/>
          <w:numId w:val="1"/>
        </w:numPr>
        <w:spacing w:line="600" w:lineRule="exact"/>
        <w:ind w:firstLineChars="0"/>
        <w:outlineLvl w:val="1"/>
        <w:rPr>
          <w:rStyle w:val="2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24"/>
      <w:bookmarkEnd w:id="25"/>
    </w:p>
    <w:p w14:paraId="6030E423">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2018年度收、支总计85.42万元。与2017年相比，收、支总计各增加1.22万元，增长1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。主要变动原因是工资增长</w:t>
      </w:r>
    </w:p>
    <w:p w14:paraId="2EA311C8">
      <w:pPr>
        <w:pStyle w:val="26"/>
        <w:numPr>
          <w:ilvl w:val="0"/>
          <w:numId w:val="1"/>
        </w:numPr>
        <w:spacing w:line="600" w:lineRule="exact"/>
        <w:ind w:firstLineChars="0"/>
        <w:outlineLvl w:val="1"/>
        <w:rPr>
          <w:rStyle w:val="2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0"/>
          <w:rFonts w:hint="eastAsia" w:ascii="黑体" w:hAnsi="黑体" w:eastAsia="黑体"/>
          <w:b w:val="0"/>
        </w:rPr>
        <w:t>入决算情况说明</w:t>
      </w:r>
      <w:bookmarkEnd w:id="26"/>
      <w:bookmarkEnd w:id="27"/>
    </w:p>
    <w:p w14:paraId="6A46A638">
      <w:pPr>
        <w:spacing w:line="600" w:lineRule="exact"/>
        <w:ind w:firstLine="640" w:firstLineChars="2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8年本年收入合计85.42万元，其中：一般公共预算财政拨款收入85.42万元，占100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；政府性基金预算财政拨款收入0万元，占0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；国有资本经营预算财政拨款收入0万元，占0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；事业收入0万元，占0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；经营收入0万元，占0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；附属单位上缴收入0万元，占0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；其他收入0万元，占0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7029F480">
      <w:pPr>
        <w:pStyle w:val="26"/>
        <w:numPr>
          <w:ilvl w:val="0"/>
          <w:numId w:val="1"/>
        </w:numPr>
        <w:spacing w:line="600" w:lineRule="exact"/>
        <w:ind w:firstLineChars="0"/>
        <w:outlineLvl w:val="1"/>
        <w:rPr>
          <w:rStyle w:val="20"/>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0"/>
          <w:rFonts w:hint="eastAsia" w:ascii="黑体" w:hAnsi="黑体" w:eastAsia="黑体"/>
          <w:b w:val="0"/>
        </w:rPr>
        <w:t>出决算情况说明</w:t>
      </w:r>
      <w:bookmarkEnd w:id="28"/>
      <w:bookmarkEnd w:id="29"/>
    </w:p>
    <w:p w14:paraId="45CA6969">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8年本年支出合计85.42万元，其中：基本支出85.42万元，占100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；上缴上级支出0万元，占0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；经营支出0万元，占0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；对附属单位补助支出0万元，占0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5D3E03CD">
      <w:pPr>
        <w:spacing w:line="600" w:lineRule="exact"/>
        <w:ind w:firstLine="640" w:firstLineChars="200"/>
        <w:outlineLvl w:val="1"/>
        <w:rPr>
          <w:rStyle w:val="20"/>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30"/>
      <w:bookmarkEnd w:id="31"/>
    </w:p>
    <w:p w14:paraId="1C584C2F">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8年财政拨款收、支总计85.42万元。与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7年相比，财政拨款收、支总计各增加1.22万元，增长1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。主要变动原因是工资增长。</w:t>
      </w:r>
    </w:p>
    <w:p w14:paraId="0F68068E">
      <w:pPr>
        <w:spacing w:line="600" w:lineRule="exact"/>
        <w:ind w:firstLine="640" w:firstLineChars="200"/>
        <w:outlineLvl w:val="1"/>
        <w:rPr>
          <w:rStyle w:val="2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32"/>
      <w:bookmarkEnd w:id="33"/>
    </w:p>
    <w:p w14:paraId="14305675">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4689345D">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8年一般公共预算财政拨款支出85.42万元，占本年支出合计的100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7年相比，一般公共预算财政拨款增加1.22万元，增长1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。主要变动原因是工资增长。</w:t>
      </w:r>
    </w:p>
    <w:p w14:paraId="6283011B">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5CB82DBF">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8年一般公共预算财政拨款支出85.42万元，主要用于以下方面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一般公共服务（类）支出0万元，占0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；教育支出（类）0万元，占0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；科学技术（类）支出0万元，占0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；社会保障和就业（类）支出74.55万元，占87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；医疗卫生支出4.75万元，占6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；住房保障支出6.12万元，占7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5516C601">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53AAEAB8">
      <w:pPr>
        <w:spacing w:line="600" w:lineRule="exact"/>
        <w:ind w:firstLine="640"/>
        <w:rPr>
          <w:rFonts w:ascii="仿宋_GB2312" w:hAnsi="仿宋_GB2312" w:eastAsia="仿宋_GB2312" w:cs="仿宋_GB2312"/>
          <w:color w:val="000000"/>
          <w:sz w:val="32"/>
          <w:szCs w:val="32"/>
        </w:rPr>
      </w:pPr>
      <w:bookmarkStart w:id="37" w:name="_Toc15377213"/>
      <w:bookmarkStart w:id="38" w:name="_Toc15378460"/>
      <w:bookmarkStart w:id="39" w:name="_Toc15377444"/>
      <w:r>
        <w:rPr>
          <w:rFonts w:hint="eastAsia" w:ascii="仿宋_GB2312" w:hAnsi="仿宋_GB2312" w:eastAsia="仿宋_GB2312" w:cs="仿宋_GB2312"/>
          <w:color w:val="000000"/>
          <w:sz w:val="32"/>
          <w:szCs w:val="32"/>
        </w:rPr>
        <w:t>2018年般公共预算支出决算数为85.42，</w:t>
      </w:r>
      <w:r>
        <w:rPr>
          <w:rFonts w:hint="eastAsia" w:ascii="仿宋_GB2312" w:hAnsi="仿宋_GB2312" w:eastAsia="仿宋_GB2312" w:cs="仿宋_GB2312"/>
          <w:b/>
          <w:color w:val="000000"/>
        </w:rPr>
        <w:t>完</w:t>
      </w:r>
      <w:r>
        <w:rPr>
          <w:rFonts w:hint="eastAsia" w:ascii="仿宋_GB2312" w:hAnsi="仿宋_GB2312" w:eastAsia="仿宋_GB2312" w:cs="仿宋_GB2312"/>
          <w:color w:val="000000"/>
          <w:sz w:val="32"/>
          <w:szCs w:val="32"/>
        </w:rPr>
        <w:t>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。其中：</w:t>
      </w:r>
      <w:bookmarkEnd w:id="37"/>
      <w:bookmarkEnd w:id="38"/>
      <w:bookmarkEnd w:id="39"/>
    </w:p>
    <w:p w14:paraId="4D04D1DB">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sz w:val="32"/>
          <w:szCs w:val="32"/>
          <w:shd w:val="clear" w:color="auto" w:fill="FFFFFF"/>
        </w:rPr>
        <w:t xml:space="preserve"> 社会保障和就业（208）红十字事业（16）行政运行（01）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支出决算为74.55万元，完成预算100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1B4889D9">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sz w:val="32"/>
          <w:szCs w:val="32"/>
          <w:shd w:val="clear" w:color="auto" w:fill="FFFFFF"/>
        </w:rPr>
        <w:t xml:space="preserve"> 医疗卫生与计划生育（210）行政事业单位医疗（11）行政单位医疗（01）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支出决算为4.75万元，完成预算100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7B976BAB">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3.住房保障（221）住房改革支出（02）住房公积金（01）:支出决算为6.12万元，完成预算100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r>
        <w:rPr>
          <w:rFonts w:hint="eastAsia" w:ascii="仿宋_GB2312" w:hAnsi="仿宋_GB2312" w:eastAsia="仿宋_GB2312" w:cs="仿宋_GB2312"/>
        </w:rPr>
        <w:t>。</w:t>
      </w:r>
    </w:p>
    <w:p w14:paraId="1A8F65B1">
      <w:pPr>
        <w:tabs>
          <w:tab w:val="right" w:pos="8306"/>
        </w:tabs>
        <w:spacing w:line="600" w:lineRule="exact"/>
        <w:ind w:firstLine="640"/>
        <w:outlineLvl w:val="1"/>
        <w:rPr>
          <w:rStyle w:val="2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40"/>
      <w:bookmarkEnd w:id="41"/>
      <w:r>
        <w:rPr>
          <w:rStyle w:val="20"/>
          <w:rFonts w:ascii="黑体" w:hAnsi="黑体" w:eastAsia="黑体"/>
          <w:b w:val="0"/>
        </w:rPr>
        <w:tab/>
      </w:r>
    </w:p>
    <w:p w14:paraId="0E661EE2">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8年一般公共预算财政拨款基本支出85.42万元，其中：</w:t>
      </w:r>
    </w:p>
    <w:p w14:paraId="301B70BC">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78.05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7.38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DE21506">
      <w:pPr>
        <w:spacing w:line="600" w:lineRule="exact"/>
        <w:ind w:firstLine="640"/>
        <w:outlineLvl w:val="1"/>
        <w:rPr>
          <w:rStyle w:val="20"/>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42"/>
      <w:bookmarkEnd w:id="43"/>
    </w:p>
    <w:p w14:paraId="75294CF5">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757BE538">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8年“三公”经费财政拨款支出决算为1.05万元，完成预算40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，决算数小于预算数（或与预算数持平）的主要原因是车辆损坏，改为租车。</w:t>
      </w:r>
    </w:p>
    <w:p w14:paraId="0DF8ADB6">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7BC37E26">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8年“三公”经费财政拨款支出决算中，因公出国（境）费支出决算0万元，占0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；公务用车购置及运行维护费支出决算0.91万元，占86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；公务接待费支出决算0.14万元，占14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14:paraId="2FDD4361">
      <w:pPr>
        <w:spacing w:line="600" w:lineRule="exact"/>
        <w:ind w:firstLine="640"/>
        <w:rPr>
          <w:rFonts w:ascii="仿宋_GB2312" w:hAnsi="仿宋_GB2312" w:eastAsia="仿宋_GB2312" w:cs="仿宋_GB2312"/>
          <w:color w:val="000000"/>
          <w:sz w:val="32"/>
          <w:szCs w:val="32"/>
        </w:rPr>
      </w:pPr>
      <w:r>
        <w:rPr>
          <w:rFonts w:ascii="仿宋_GB2312" w:eastAsia="仿宋_GB2312"/>
          <w:b/>
          <w:color w:val="000000"/>
          <w:sz w:val="32"/>
          <w:szCs w:val="32"/>
        </w:rPr>
        <w:t>1.</w:t>
      </w:r>
      <w:r>
        <w:rPr>
          <w:rFonts w:hint="eastAsia" w:ascii="仿宋_GB2312" w:hAnsi="仿宋_GB2312" w:eastAsia="仿宋_GB2312" w:cs="仿宋_GB2312"/>
          <w:color w:val="000000"/>
          <w:sz w:val="32"/>
          <w:szCs w:val="32"/>
        </w:rPr>
        <w:t>因公出国（境）经费支出0万元，</w:t>
      </w:r>
      <w:r>
        <w:rPr>
          <w:rFonts w:hint="eastAsia" w:ascii="仿宋_GB2312" w:hAnsi="仿宋_GB2312" w:eastAsia="仿宋_GB2312" w:cs="仿宋_GB2312"/>
        </w:rPr>
        <w:t>完成预算100</w:t>
      </w:r>
      <w:r>
        <w:rPr>
          <w:rFonts w:ascii="仿宋_GB2312" w:hAnsi="仿宋_GB2312" w:eastAsia="仿宋_GB2312" w:cs="仿宋_GB231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全年安排因公出国（境）团组0次，出国（境）0人。因公出国（境）支出决算与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7年持平。</w:t>
      </w:r>
    </w:p>
    <w:p w14:paraId="78086BAC">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公务用车购置及运行维护费支出0.91万元,</w:t>
      </w:r>
      <w:r>
        <w:rPr>
          <w:rFonts w:hint="eastAsia" w:ascii="仿宋_GB2312" w:hAnsi="仿宋_GB2312" w:eastAsia="仿宋_GB2312" w:cs="仿宋_GB2312"/>
        </w:rPr>
        <w:t>完成预算36</w:t>
      </w:r>
      <w:r>
        <w:rPr>
          <w:rFonts w:ascii="仿宋_GB2312" w:hAnsi="仿宋_GB2312" w:eastAsia="仿宋_GB2312" w:cs="仿宋_GB231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公务用车购置及运行维护费支出决算比</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7年减少1.59万元，下降64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。主要原因是车辆损坏，改为租车。</w:t>
      </w:r>
    </w:p>
    <w:p w14:paraId="3A9A37D4">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其中：公务用车购置支出0万元。全年按规定更新购置公务用车0辆，其中：轿车0辆、金额0万元，越野车0辆、金额0万元，载客汽车0辆、金额0万元。截至</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月底，单位共有公务用车1辆，其中：轿车0辆、越野车0辆、微型汽车1辆。</w:t>
      </w:r>
    </w:p>
    <w:p w14:paraId="15CE7948">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公务用车运行维护费支出0.91万元。主要用于培训、宣传等所需的公务用车燃料费、维修费、过路过桥费、保险费等支出。</w:t>
      </w:r>
    </w:p>
    <w:p w14:paraId="6C9B4C89">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公务接待费支出0.14万元，</w:t>
      </w:r>
      <w:r>
        <w:rPr>
          <w:rFonts w:hint="eastAsia" w:ascii="仿宋_GB2312" w:hAnsi="仿宋_GB2312" w:eastAsia="仿宋_GB2312" w:cs="仿宋_GB2312"/>
        </w:rPr>
        <w:t>完成预算100</w:t>
      </w:r>
      <w:r>
        <w:rPr>
          <w:rFonts w:ascii="仿宋_GB2312" w:hAnsi="仿宋_GB2312" w:eastAsia="仿宋_GB2312" w:cs="仿宋_GB231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公务接待费支出决算与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7年持平。</w:t>
      </w:r>
    </w:p>
    <w:p w14:paraId="4D37A89C">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主要用于执行公务、开展业务活动开支的交通费、住宿费、用餐费等。国内公务接待3批次，15人次（不包括陪同人员），共计支出0.14万元。其中：</w:t>
      </w:r>
    </w:p>
    <w:p w14:paraId="1E9977A8">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万元，外事接待0批次，0人，共计支出0万元，主要用于接待0（具体项目）。主要用于0</w:t>
      </w:r>
    </w:p>
    <w:p w14:paraId="6EB00F08">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517A4505">
      <w:pPr>
        <w:spacing w:line="600" w:lineRule="exact"/>
        <w:ind w:firstLine="640" w:firstLineChars="200"/>
        <w:outlineLvl w:val="1"/>
        <w:rPr>
          <w:rStyle w:val="20"/>
          <w:rFonts w:ascii="黑体" w:hAnsi="黑体" w:eastAsia="黑体"/>
        </w:rPr>
      </w:pPr>
      <w:bookmarkStart w:id="46" w:name="_Toc15396610"/>
      <w:bookmarkStart w:id="47" w:name="_Toc15377218"/>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46"/>
      <w:bookmarkEnd w:id="47"/>
    </w:p>
    <w:p w14:paraId="2075BDD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61732724">
      <w:pPr>
        <w:numPr>
          <w:ilvl w:val="0"/>
          <w:numId w:val="2"/>
        </w:numPr>
        <w:spacing w:line="600" w:lineRule="exact"/>
        <w:ind w:left="0" w:firstLine="640"/>
        <w:outlineLvl w:val="1"/>
        <w:rPr>
          <w:rStyle w:val="20"/>
          <w:rFonts w:ascii="黑体" w:hAnsi="黑体" w:eastAsia="黑体"/>
          <w:b w:val="0"/>
        </w:rPr>
      </w:pPr>
      <w:bookmarkStart w:id="48" w:name="_Toc15377219"/>
      <w:bookmarkStart w:id="49" w:name="_Toc15396611"/>
      <w:r>
        <w:rPr>
          <w:rStyle w:val="20"/>
          <w:rFonts w:hint="eastAsia" w:ascii="黑体" w:hAnsi="黑体" w:eastAsia="黑体"/>
          <w:b w:val="0"/>
        </w:rPr>
        <w:t>国有资本经营预算支出决算情况说明</w:t>
      </w:r>
      <w:bookmarkEnd w:id="48"/>
      <w:bookmarkEnd w:id="49"/>
    </w:p>
    <w:p w14:paraId="43EE906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45E90602">
      <w:pPr>
        <w:pStyle w:val="26"/>
        <w:numPr>
          <w:ilvl w:val="0"/>
          <w:numId w:val="3"/>
        </w:numPr>
        <w:spacing w:line="580" w:lineRule="exact"/>
        <w:ind w:firstLineChars="0"/>
        <w:rPr>
          <w:rStyle w:val="20"/>
          <w:rFonts w:ascii="黑体" w:hAnsi="黑体" w:eastAsia="黑体"/>
          <w:b w:val="0"/>
        </w:rPr>
      </w:pPr>
      <w:r>
        <w:rPr>
          <w:rStyle w:val="20"/>
          <w:rFonts w:hint="eastAsia" w:ascii="黑体" w:hAnsi="黑体" w:eastAsia="黑体"/>
          <w:b w:val="0"/>
        </w:rPr>
        <w:t>预算绩效情况说明</w:t>
      </w:r>
    </w:p>
    <w:p w14:paraId="75A79C08">
      <w:pPr>
        <w:numPr>
          <w:ilvl w:val="0"/>
          <w:numId w:val="4"/>
        </w:numPr>
        <w:spacing w:line="580" w:lineRule="exact"/>
        <w:ind w:left="0"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0457B048">
      <w:pPr>
        <w:pStyle w:val="26"/>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14:paraId="0A504ECD">
      <w:pPr>
        <w:pStyle w:val="26"/>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完成了2018年重点工作：狠抓机关队伍建设，强化为民服务意识；加强宣传和青少年工作，发放红十字运动基本知识、防灾减灾知识、应急救护知识等宣传资料1000余份，组织县第一小学、第四小学、第二小学2000名学生参加了全国红十字防灾避险知识竞赛活动；灵活开展普及培训，针对性开展救护员培训，救护员培训260人及普及培训1279人；申请博爱家园项目1个；人道救助和博爱送万家265人；按合同要求按质按量完成工程进度；基层组织建设3个；</w:t>
      </w:r>
    </w:p>
    <w:p w14:paraId="49930C9D">
      <w:pPr>
        <w:spacing w:line="360" w:lineRule="auto"/>
        <w:ind w:left="479" w:leftChars="228"/>
        <w:rPr>
          <w:rFonts w:ascii="仿宋_GB2312" w:hAnsi="仿宋_GB2312" w:eastAsia="仿宋_GB2312" w:cs="仿宋_GB2312"/>
          <w:sz w:val="32"/>
          <w:szCs w:val="32"/>
        </w:rPr>
      </w:pPr>
      <w:r>
        <w:rPr>
          <w:rFonts w:hint="eastAsia" w:ascii="仿宋_GB2312" w:hAnsi="仿宋_GB2312" w:eastAsia="仿宋_GB2312" w:cs="仿宋_GB2312"/>
          <w:sz w:val="32"/>
          <w:szCs w:val="32"/>
        </w:rPr>
        <w:t>根据实际需要开展工作。完成各项目标责任制；完成其他政府工作。总的来看2018年度单位在规定时间内保质保量完成了所有工作任务，并保证了单位良好运行情况。本部门还自行组织了0个项目绩效评价。</w:t>
      </w:r>
    </w:p>
    <w:p w14:paraId="06369086">
      <w:pPr>
        <w:autoSpaceDN w:val="0"/>
        <w:spacing w:line="580" w:lineRule="exact"/>
        <w:ind w:firstLine="803" w:firstLineChars="250"/>
        <w:jc w:val="left"/>
        <w:textAlignment w:val="center"/>
        <w:rPr>
          <w:rFonts w:ascii="仿宋_GB2312" w:hAnsi="仿宋_GB2312" w:eastAsia="仿宋_GB2312" w:cs="仿宋_GB2312"/>
          <w:sz w:val="32"/>
          <w:szCs w:val="32"/>
        </w:rPr>
      </w:pPr>
      <w:r>
        <w:rPr>
          <w:rFonts w:hint="eastAsia" w:ascii="仿宋" w:hAnsi="仿宋" w:eastAsia="仿宋" w:cs="楷体_GB2312"/>
          <w:b/>
          <w:bCs/>
          <w:sz w:val="32"/>
          <w:szCs w:val="32"/>
        </w:rPr>
        <w:t>（二）项目绩效目标完成情况。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本部门在2018年度部门决算中反映0个项目绩效目标实际完成情况。</w:t>
      </w:r>
    </w:p>
    <w:p w14:paraId="62C27F0F">
      <w:pPr>
        <w:spacing w:line="580" w:lineRule="exact"/>
        <w:ind w:firstLine="480" w:firstLineChars="150"/>
        <w:rPr>
          <w:rFonts w:ascii="仿宋" w:hAnsi="仿宋" w:eastAsia="仿宋" w:cs="仿宋_GB2312"/>
          <w:sz w:val="32"/>
          <w:szCs w:val="32"/>
        </w:rPr>
      </w:pPr>
      <w:r>
        <w:rPr>
          <w:rFonts w:hint="eastAsia" w:ascii="黑体" w:hAnsi="Calibri" w:eastAsia="黑体"/>
          <w:sz w:val="32"/>
          <w:szCs w:val="32"/>
        </w:rPr>
        <w:t>（三）</w:t>
      </w:r>
      <w:r>
        <w:rPr>
          <w:rFonts w:hint="eastAsia" w:ascii="仿宋" w:hAnsi="仿宋" w:eastAsia="仿宋" w:cs="楷体_GB2312"/>
          <w:b/>
          <w:bCs/>
          <w:sz w:val="32"/>
          <w:szCs w:val="32"/>
        </w:rPr>
        <w:t>部门开展绩效评价结果。</w:t>
      </w:r>
    </w:p>
    <w:p w14:paraId="7209C93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本部门按要求对2018年部门整体支出绩效评价情况开展自评，《中共九寨沟县红十字会2018年部门整体支出绩效评价报告》见附件。</w:t>
      </w:r>
    </w:p>
    <w:p w14:paraId="1929D8A1">
      <w:pPr>
        <w:spacing w:line="600" w:lineRule="exact"/>
        <w:ind w:firstLine="640" w:firstLineChars="200"/>
        <w:outlineLvl w:val="1"/>
        <w:rPr>
          <w:rStyle w:val="20"/>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0"/>
          <w:rFonts w:hint="eastAsia" w:ascii="黑体" w:hAnsi="黑体" w:eastAsia="黑体"/>
        </w:rPr>
        <w:t>一、</w:t>
      </w:r>
      <w:r>
        <w:rPr>
          <w:rStyle w:val="20"/>
          <w:rFonts w:hint="eastAsia" w:ascii="黑体" w:hAnsi="黑体" w:eastAsia="黑体"/>
          <w:b w:val="0"/>
        </w:rPr>
        <w:t>其他重要事项的情况说明</w:t>
      </w:r>
      <w:bookmarkEnd w:id="50"/>
      <w:bookmarkEnd w:id="51"/>
    </w:p>
    <w:p w14:paraId="3830D5E2">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7036592A">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8年，红十字会机关运行经费支出85.42万元，比</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7年增加1.22万元，增长1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。主要原因是工资增长。</w:t>
      </w:r>
    </w:p>
    <w:p w14:paraId="7B44CAF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1CB27387">
      <w:pPr>
        <w:spacing w:line="600" w:lineRule="exact"/>
        <w:ind w:firstLine="640" w:firstLineChars="200"/>
        <w:rPr>
          <w:rFonts w:ascii="仿宋_GB2312" w:eastAsia="仿宋_GB2312"/>
          <w:color w:val="000000"/>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8年，红十字会政府采购支出总额0万元</w:t>
      </w:r>
      <w:r>
        <w:rPr>
          <w:rFonts w:hint="eastAsia" w:ascii="仿宋_GB2312" w:eastAsia="仿宋_GB2312"/>
          <w:color w:val="000000"/>
          <w:sz w:val="32"/>
          <w:szCs w:val="32"/>
        </w:rPr>
        <w:t>。</w:t>
      </w:r>
    </w:p>
    <w:p w14:paraId="3005FC3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5D7AF50D">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hAnsi="仿宋_GB2312" w:eastAsia="仿宋_GB2312" w:cs="仿宋_GB2312"/>
          <w:sz w:val="32"/>
          <w:szCs w:val="32"/>
        </w:rPr>
        <w:t>截至</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8年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日，红十字会共有车辆1辆，其中：部级领导干部用车0辆、一般公务用车1辆、一般执法执勤用车0辆、特种专业技术用车0辆、其他用车0辆，单价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万元以上通用设备0台（套），单价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万元以上专用设备0台（套</w:t>
      </w:r>
      <w:r>
        <w:rPr>
          <w:rFonts w:hint="eastAsia" w:ascii="仿宋_GB2312" w:eastAsia="仿宋_GB2312"/>
          <w:color w:val="000000"/>
          <w:sz w:val="32"/>
          <w:szCs w:val="32"/>
        </w:rPr>
        <w:t>）。</w:t>
      </w:r>
    </w:p>
    <w:p w14:paraId="1B913529">
      <w:pPr>
        <w:spacing w:line="600" w:lineRule="atLeast"/>
        <w:ind w:firstLine="643" w:firstLineChars="200"/>
        <w:rPr>
          <w:rFonts w:ascii="仿宋_GB2312" w:eastAsia="仿宋_GB2312"/>
          <w:b/>
          <w:color w:val="000000"/>
          <w:sz w:val="32"/>
          <w:szCs w:val="32"/>
        </w:rPr>
      </w:pPr>
    </w:p>
    <w:p w14:paraId="5CF1CED6">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8E6CB5">
      <w:pPr>
        <w:numPr>
          <w:ilvl w:val="0"/>
          <w:numId w:val="5"/>
        </w:numPr>
        <w:spacing w:line="600" w:lineRule="exact"/>
        <w:ind w:left="0" w:firstLine="663" w:firstLineChars="150"/>
        <w:jc w:val="center"/>
        <w:outlineLvl w:val="0"/>
        <w:rPr>
          <w:rStyle w:val="19"/>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19"/>
          <w:rFonts w:hint="eastAsia" w:ascii="黑体" w:hAnsi="黑体" w:eastAsia="黑体"/>
          <w:b w:val="0"/>
        </w:rPr>
        <w:t>词解释</w:t>
      </w:r>
      <w:bookmarkEnd w:id="55"/>
      <w:bookmarkEnd w:id="56"/>
    </w:p>
    <w:p w14:paraId="2347DE17">
      <w:pPr>
        <w:spacing w:line="600" w:lineRule="exact"/>
        <w:jc w:val="left"/>
        <w:rPr>
          <w:rFonts w:ascii="宋体"/>
          <w:b/>
          <w:color w:val="000000"/>
          <w:sz w:val="44"/>
          <w:szCs w:val="44"/>
        </w:rPr>
      </w:pPr>
    </w:p>
    <w:p w14:paraId="44338C23">
      <w:pPr>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1.一般公共预算拨款收入：指县级财政当年拨付的资金。</w:t>
      </w:r>
    </w:p>
    <w:p w14:paraId="163390FE">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2.上年结转：指以前年度尚未完成，结转到本年仍按原规定用途继续使用的资金。</w:t>
      </w:r>
    </w:p>
    <w:p w14:paraId="33CFA3B8">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3. 社会保障和就业（208）行政事业单位离退休（05）机关事业单位基本养老保险缴费支出（05）：指部门实施养老保险制度由单位缴纳的养老保险费的支出。</w:t>
      </w:r>
    </w:p>
    <w:p w14:paraId="12778CDD">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4. 社会保障和就业（208）行政事业单位离退休（05）机关事业单位基本养老保险缴费支出（06）：指部门实施养老保险制度由单位缴纳的职业年金的支出。</w:t>
      </w:r>
    </w:p>
    <w:p w14:paraId="57F9DFD6">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shd w:val="clear" w:color="auto" w:fill="FFFFFF"/>
        </w:rPr>
        <w:t>5. 社会保障和就业（208）红十字事业（16）行政运行（01）</w:t>
      </w:r>
      <w:r>
        <w:rPr>
          <w:rFonts w:hint="eastAsia" w:ascii="仿宋_GB2312" w:hAnsi="仿宋_GB2312" w:eastAsia="仿宋_GB2312" w:cs="仿宋_GB2312"/>
          <w:color w:val="000000"/>
          <w:sz w:val="32"/>
          <w:szCs w:val="32"/>
        </w:rPr>
        <w:t>：指红十字事业行政运行支出，社会保障和就业（类）（款）（项）：指机关事业单位基本养老保险缴费支出。</w:t>
      </w:r>
    </w:p>
    <w:p w14:paraId="513ED2AF">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6. 医疗卫生与计划生育（210）行政事业单位医疗（11）行政单位医疗（01）：行政单位用于缴纳单位基本医疗保险支出。</w:t>
      </w:r>
    </w:p>
    <w:p w14:paraId="523B2F4C">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7. 医疗卫生与计划生育（210）行政事业单位医疗（11）公务员医疗补助（03）：指行政单位用于集中缴纳公务员医疗补助支出。</w:t>
      </w:r>
    </w:p>
    <w:p w14:paraId="448EF772">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8. 住房保障（221）住房改革支出（02）住房公积金（01）：指按照《住房公积金管理条例》的规定，由单位及其在职职工缴存的长期住房储金。</w:t>
      </w:r>
    </w:p>
    <w:p w14:paraId="6C6A5FB0">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9.基本支出：指为保证机构正常运转，完成日常工作任务而发生的人员支出和公用支出。</w:t>
      </w:r>
    </w:p>
    <w:p w14:paraId="310DC53F">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10.项目支出：指在基本支出之外为完成特定行政任务和事业发展目标所发生的支出。</w:t>
      </w:r>
    </w:p>
    <w:p w14:paraId="3C5D8B41">
      <w:pPr>
        <w:pStyle w:val="25"/>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shd w:val="clear" w:color="auto" w:fill="FFFFFF"/>
        </w:rPr>
        <w:t>　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EC186DE">
      <w:pPr>
        <w:pStyle w:val="25"/>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shd w:val="clear" w:color="auto" w:fill="FFFFFF"/>
        </w:rPr>
        <w:t>12.机关运行经费：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D67A56">
      <w:pPr>
        <w:spacing w:line="600" w:lineRule="exact"/>
        <w:jc w:val="center"/>
        <w:outlineLvl w:val="0"/>
        <w:rPr>
          <w:rStyle w:val="19"/>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9"/>
          <w:rFonts w:hint="eastAsia" w:ascii="黑体" w:hAnsi="黑体" w:eastAsia="黑体"/>
          <w:b w:val="0"/>
        </w:rPr>
        <w:t>四部分 附件</w:t>
      </w:r>
      <w:bookmarkEnd w:id="58"/>
    </w:p>
    <w:p w14:paraId="281CAC1D">
      <w:pPr>
        <w:spacing w:line="600" w:lineRule="exact"/>
        <w:jc w:val="center"/>
        <w:outlineLvl w:val="0"/>
        <w:rPr>
          <w:rStyle w:val="19"/>
        </w:rPr>
      </w:pPr>
    </w:p>
    <w:p w14:paraId="7003DCA3">
      <w:pPr>
        <w:pStyle w:val="3"/>
        <w:rPr>
          <w:rStyle w:val="19"/>
          <w:rFonts w:ascii="仿宋" w:hAnsi="仿宋" w:eastAsia="仿宋"/>
          <w:b w:val="0"/>
          <w:bCs w:val="0"/>
          <w:sz w:val="32"/>
          <w:szCs w:val="32"/>
        </w:rPr>
      </w:pPr>
      <w:bookmarkStart w:id="59" w:name="_Toc15396615"/>
      <w:r>
        <w:rPr>
          <w:rStyle w:val="19"/>
          <w:rFonts w:hint="eastAsia" w:ascii="仿宋" w:hAnsi="仿宋" w:eastAsia="仿宋"/>
          <w:b w:val="0"/>
          <w:bCs w:val="0"/>
          <w:sz w:val="32"/>
          <w:szCs w:val="32"/>
        </w:rPr>
        <w:t>附件1</w:t>
      </w:r>
      <w:bookmarkEnd w:id="59"/>
    </w:p>
    <w:p w14:paraId="128F7A9B">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九寨沟县2018年部门整体支出绩效评价报告</w:t>
      </w:r>
      <w:bookmarkEnd w:id="60"/>
    </w:p>
    <w:p w14:paraId="492324BD">
      <w:pPr>
        <w:spacing w:line="600" w:lineRule="exact"/>
        <w:jc w:val="center"/>
        <w:outlineLvl w:val="0"/>
        <w:rPr>
          <w:rFonts w:ascii="黑体" w:hAnsi="黑体" w:eastAsia="黑体" w:cs="方正小标宋简体"/>
          <w:sz w:val="36"/>
          <w:szCs w:val="36"/>
        </w:rPr>
      </w:pPr>
    </w:p>
    <w:p w14:paraId="2338F562">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46A4DB26">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（一）机构组成。</w:t>
      </w:r>
      <w:r>
        <w:rPr>
          <w:rFonts w:hint="eastAsia" w:ascii="仿宋_GB2312" w:hAnsi="Calibri" w:eastAsia="仿宋_GB2312"/>
          <w:sz w:val="32"/>
          <w:szCs w:val="32"/>
        </w:rPr>
        <w:t>九寨沟县红十字会属于参照公务员管理的县级一级预算单位。编制为5人。科级领导干部2人、核定车辆数1辆 ，内设机构2个。</w:t>
      </w:r>
    </w:p>
    <w:p w14:paraId="1A2EC4AF">
      <w:pPr>
        <w:ind w:firstLine="640" w:firstLineChars="200"/>
        <w:rPr>
          <w:rFonts w:ascii="仿宋_GB2312" w:hAnsi="Calibri" w:eastAsia="仿宋_GB2312"/>
          <w:sz w:val="32"/>
          <w:szCs w:val="32"/>
        </w:rPr>
      </w:pPr>
      <w:r>
        <w:rPr>
          <w:rFonts w:ascii="仿宋" w:hAnsi="仿宋" w:eastAsia="仿宋" w:cs="仿宋_GB2312"/>
          <w:sz w:val="32"/>
          <w:szCs w:val="32"/>
        </w:rPr>
        <w:t>（二）机构职能。</w:t>
      </w:r>
      <w:r>
        <w:rPr>
          <w:rFonts w:hint="eastAsia" w:ascii="仿宋_GB2312" w:hAnsi="Calibri" w:eastAsia="仿宋_GB2312"/>
          <w:sz w:val="32"/>
          <w:szCs w:val="32"/>
        </w:rPr>
        <w:t>依法独立从事人道主义的社会救助团体。开展备灾.救灾工作，开展救护培训.组织群众参加现场救护等工作。</w:t>
      </w:r>
    </w:p>
    <w:p w14:paraId="082524DD">
      <w:pPr>
        <w:widowControl/>
        <w:wordWrap w:val="0"/>
        <w:spacing w:line="640" w:lineRule="atLeast"/>
        <w:ind w:firstLine="640" w:firstLineChars="200"/>
        <w:jc w:val="left"/>
        <w:rPr>
          <w:rFonts w:ascii="仿宋_GB2312" w:hAnsi="Calibri" w:eastAsia="仿宋_GB2312"/>
          <w:sz w:val="32"/>
          <w:szCs w:val="32"/>
        </w:rPr>
      </w:pPr>
      <w:r>
        <w:rPr>
          <w:rFonts w:ascii="仿宋" w:hAnsi="仿宋" w:eastAsia="仿宋" w:cs="仿宋_GB2312"/>
          <w:sz w:val="32"/>
          <w:szCs w:val="32"/>
        </w:rPr>
        <w:t>（三）人员概况。</w:t>
      </w:r>
      <w:r>
        <w:rPr>
          <w:rFonts w:hint="eastAsia" w:ascii="仿宋_GB2312" w:hAnsi="Calibri" w:eastAsia="仿宋_GB2312"/>
          <w:sz w:val="32"/>
          <w:szCs w:val="32"/>
        </w:rPr>
        <w:t>我会现有在职退休人员情况：在职职工5人（其中科级领导干部2人，参公人员3人。</w:t>
      </w:r>
    </w:p>
    <w:p w14:paraId="1F0BADC6">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70FA8770">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（一）部门财政资金收入情况。</w:t>
      </w:r>
      <w:r>
        <w:rPr>
          <w:rFonts w:hint="eastAsia" w:ascii="仿宋_GB2312" w:hAnsi="Calibri" w:eastAsia="仿宋_GB2312"/>
          <w:sz w:val="32"/>
          <w:szCs w:val="32"/>
        </w:rPr>
        <w:t>2018年本年收入合计85.42万元，其中：一般公共预算财政拨款收入85.42万元，占100%。</w:t>
      </w:r>
    </w:p>
    <w:p w14:paraId="595A8A31">
      <w:pPr>
        <w:spacing w:line="580" w:lineRule="exact"/>
        <w:ind w:firstLine="480" w:firstLineChars="150"/>
        <w:rPr>
          <w:rFonts w:ascii="仿宋_GB2312" w:hAnsi="Calibri" w:eastAsia="仿宋_GB2312"/>
          <w:sz w:val="32"/>
          <w:szCs w:val="32"/>
        </w:rPr>
      </w:pPr>
      <w:r>
        <w:rPr>
          <w:rFonts w:ascii="仿宋" w:hAnsi="仿宋" w:eastAsia="仿宋" w:cs="仿宋_GB2312"/>
          <w:sz w:val="32"/>
          <w:szCs w:val="32"/>
        </w:rPr>
        <w:t>（二）部门财政资金支出情况。</w:t>
      </w:r>
      <w:r>
        <w:rPr>
          <w:rFonts w:ascii="仿宋_GB2312" w:hAnsi="Calibri" w:eastAsia="仿宋_GB2312"/>
          <w:sz w:val="32"/>
          <w:szCs w:val="32"/>
        </w:rPr>
        <w:t>201</w:t>
      </w:r>
      <w:r>
        <w:rPr>
          <w:rFonts w:hint="eastAsia" w:ascii="仿宋_GB2312" w:hAnsi="Calibri" w:eastAsia="仿宋_GB2312"/>
          <w:sz w:val="32"/>
          <w:szCs w:val="32"/>
        </w:rPr>
        <w:t>8年一般公共预算财政拨款支出85.42万元，主要用于以下方面</w:t>
      </w:r>
      <w:r>
        <w:rPr>
          <w:rFonts w:ascii="仿宋_GB2312" w:hAnsi="Calibri" w:eastAsia="仿宋_GB2312"/>
          <w:sz w:val="32"/>
          <w:szCs w:val="32"/>
        </w:rPr>
        <w:t>:</w:t>
      </w:r>
      <w:r>
        <w:rPr>
          <w:rFonts w:hint="eastAsia" w:ascii="仿宋_GB2312" w:hAnsi="Calibri" w:eastAsia="仿宋_GB2312"/>
          <w:sz w:val="32"/>
          <w:szCs w:val="32"/>
        </w:rPr>
        <w:t>社会保障和就业支出74.55万元，占87</w:t>
      </w:r>
      <w:r>
        <w:rPr>
          <w:rFonts w:ascii="仿宋_GB2312" w:hAnsi="Calibri" w:eastAsia="仿宋_GB2312"/>
          <w:sz w:val="32"/>
          <w:szCs w:val="32"/>
        </w:rPr>
        <w:t>%</w:t>
      </w:r>
      <w:r>
        <w:rPr>
          <w:rFonts w:hint="eastAsia" w:ascii="仿宋_GB2312" w:hAnsi="Calibri" w:eastAsia="仿宋_GB2312"/>
          <w:sz w:val="32"/>
          <w:szCs w:val="32"/>
        </w:rPr>
        <w:t>；医疗卫生支出4.75万元，占6</w:t>
      </w:r>
      <w:r>
        <w:rPr>
          <w:rFonts w:ascii="仿宋_GB2312" w:hAnsi="Calibri" w:eastAsia="仿宋_GB2312"/>
          <w:sz w:val="32"/>
          <w:szCs w:val="32"/>
        </w:rPr>
        <w:t>%</w:t>
      </w:r>
      <w:r>
        <w:rPr>
          <w:rFonts w:hint="eastAsia" w:ascii="仿宋_GB2312" w:hAnsi="Calibri" w:eastAsia="仿宋_GB2312"/>
          <w:sz w:val="32"/>
          <w:szCs w:val="32"/>
        </w:rPr>
        <w:t>；住房保障支出6.12万元</w:t>
      </w:r>
    </w:p>
    <w:p w14:paraId="11AE44F4">
      <w:pPr>
        <w:pStyle w:val="13"/>
        <w:shd w:val="clear" w:color="auto" w:fill="FFFFFF"/>
        <w:spacing w:before="0" w:beforeAutospacing="0" w:after="0" w:afterAutospacing="0"/>
        <w:ind w:firstLine="628"/>
        <w:jc w:val="both"/>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14:paraId="778E367E">
      <w:pPr>
        <w:pStyle w:val="13"/>
        <w:shd w:val="clear" w:color="auto" w:fill="FFFFFF"/>
        <w:spacing w:before="0" w:beforeAutospacing="0" w:after="0" w:afterAutospacing="0"/>
        <w:ind w:firstLine="628"/>
        <w:jc w:val="both"/>
        <w:rPr>
          <w:rFonts w:ascii="黑体" w:hAnsi="黑体" w:eastAsia="黑体" w:cs="黑体"/>
          <w:sz w:val="32"/>
          <w:szCs w:val="32"/>
        </w:rPr>
      </w:pPr>
      <w:r>
        <w:rPr>
          <w:rFonts w:ascii="仿宋" w:hAnsi="仿宋" w:eastAsia="仿宋" w:cs="仿宋_GB2312"/>
          <w:sz w:val="32"/>
          <w:szCs w:val="32"/>
        </w:rPr>
        <w:t>（一）部门预算管理。</w:t>
      </w:r>
    </w:p>
    <w:p w14:paraId="049598F4">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1.“三公”经费控制率100%。“三公”经费预算本年列支0万元，经费支出未超标。</w:t>
      </w:r>
    </w:p>
    <w:p w14:paraId="58C51424">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14:paraId="6952BF10">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14:paraId="4A676C6D">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14:paraId="27E2258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14:paraId="1BE631F1">
      <w:pPr>
        <w:autoSpaceDN w:val="0"/>
        <w:spacing w:line="580" w:lineRule="exact"/>
        <w:ind w:firstLine="800" w:firstLineChars="25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本部门在2018年度决算中反映0个专项预算。</w:t>
      </w:r>
    </w:p>
    <w:p w14:paraId="37DC3BBB">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14:paraId="47D4960A">
      <w:pPr>
        <w:spacing w:line="58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我会按要求对2018年部门整体支出绩效评价情况开展自评，从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r>
        <w:rPr>
          <w:rFonts w:ascii="黑体" w:hAnsi="黑体" w:eastAsia="黑体" w:cs="黑体"/>
          <w:sz w:val="32"/>
          <w:szCs w:val="32"/>
        </w:rPr>
        <w:t>四、评价结论及建议</w:t>
      </w:r>
    </w:p>
    <w:p w14:paraId="0F0AB9D2">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_GB2312" w:hAnsi="仿宋_GB2312" w:eastAsia="仿宋_GB2312" w:cs="仿宋_GB2312"/>
          <w:sz w:val="32"/>
          <w:szCs w:val="32"/>
        </w:rPr>
        <w:t>我会按要求对2018年部门整体支出绩效评价情况开展自评，自评结论为优秀。</w:t>
      </w:r>
    </w:p>
    <w:p w14:paraId="3A85B3B4">
      <w:pPr>
        <w:ind w:firstLine="640" w:firstLineChars="200"/>
        <w:rPr>
          <w:rFonts w:ascii="仿宋_GB2312" w:hAnsi="仿宋_GB2312" w:eastAsia="仿宋_GB2312" w:cs="仿宋_GB2312"/>
          <w:sz w:val="32"/>
          <w:szCs w:val="32"/>
        </w:rPr>
      </w:pPr>
      <w:r>
        <w:rPr>
          <w:rFonts w:ascii="仿宋" w:hAnsi="仿宋" w:eastAsia="仿宋" w:cs="仿宋_GB2312"/>
          <w:sz w:val="32"/>
          <w:szCs w:val="32"/>
        </w:rPr>
        <w:t>（二）存在问题。</w:t>
      </w:r>
      <w:r>
        <w:rPr>
          <w:rFonts w:hint="eastAsia" w:ascii="仿宋_GB2312" w:hAnsi="仿宋_GB2312" w:eastAsia="仿宋_GB2312" w:cs="仿宋_GB2312"/>
          <w:sz w:val="32"/>
          <w:szCs w:val="32"/>
        </w:rPr>
        <w:t>一是机关运行经费所占比例太少，对争取项目处于被动。二是因为机关人员少，对财务监督管理力度不够。三是因为机关人员少，没有单独的财务人员，制度执行力有待加强</w:t>
      </w:r>
      <w:r>
        <w:rPr>
          <w:rFonts w:hint="eastAsia" w:ascii="仿宋_GB2312" w:hAnsi="仿宋_GB2312" w:eastAsia="仿宋_GB2312" w:cs="仿宋_GB2312"/>
          <w:color w:val="000000"/>
          <w:kern w:val="0"/>
          <w:sz w:val="24"/>
        </w:rPr>
        <w:t>。</w:t>
      </w:r>
    </w:p>
    <w:p w14:paraId="3F8C2E95">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ascii="仿宋" w:hAnsi="仿宋" w:eastAsia="仿宋" w:cs="仿宋_GB2312"/>
          <w:sz w:val="32"/>
          <w:szCs w:val="32"/>
        </w:rPr>
        <w:t>（三）改进建议。</w:t>
      </w:r>
      <w:r>
        <w:rPr>
          <w:rFonts w:hint="eastAsia" w:ascii="仿宋_GB2312" w:hAnsi="仿宋" w:eastAsia="仿宋_GB2312" w:cs="仿宋_GB2312"/>
          <w:sz w:val="32"/>
          <w:szCs w:val="32"/>
        </w:rPr>
        <w:t>一是</w:t>
      </w:r>
      <w:r>
        <w:rPr>
          <w:rFonts w:hint="eastAsia" w:ascii="仿宋_GB2312" w:hAnsi="Times New Roman" w:eastAsia="仿宋_GB2312"/>
          <w:color w:val="000000"/>
          <w:sz w:val="32"/>
          <w:szCs w:val="32"/>
        </w:rPr>
        <w:t>将财务制度落实到位，规范财经纪律，严格控制非生产性开；二是加强对财务监管力度，多组织财务业务培训学习</w:t>
      </w:r>
      <w:r>
        <w:rPr>
          <w:rFonts w:hint="eastAsia" w:ascii="Times New Roman" w:hAnsi="Times New Roman"/>
          <w:color w:val="333333"/>
          <w:sz w:val="21"/>
          <w:szCs w:val="21"/>
        </w:rPr>
        <w:t>。</w:t>
      </w:r>
    </w:p>
    <w:p w14:paraId="3661DA9C">
      <w:pPr>
        <w:spacing w:line="580" w:lineRule="exact"/>
        <w:ind w:firstLine="640" w:firstLineChars="200"/>
        <w:rPr>
          <w:rFonts w:ascii="仿宋" w:hAnsi="仿宋" w:eastAsia="仿宋" w:cs="仿宋_GB2312"/>
          <w:sz w:val="32"/>
          <w:szCs w:val="32"/>
        </w:rPr>
      </w:pPr>
    </w:p>
    <w:p w14:paraId="061B08FD">
      <w:pPr>
        <w:spacing w:line="580" w:lineRule="exact"/>
        <w:ind w:firstLine="640" w:firstLineChars="200"/>
        <w:rPr>
          <w:rFonts w:ascii="仿宋_GB2312" w:hAnsi="仿宋_GB2312" w:eastAsia="仿宋_GB2312" w:cs="仿宋_GB2312"/>
          <w:sz w:val="32"/>
          <w:szCs w:val="32"/>
        </w:rPr>
      </w:pPr>
    </w:p>
    <w:p w14:paraId="74EC6201">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119DBE12">
      <w:pPr>
        <w:spacing w:line="600" w:lineRule="exact"/>
        <w:jc w:val="center"/>
        <w:outlineLvl w:val="0"/>
        <w:rPr>
          <w:rStyle w:val="19"/>
          <w:rFonts w:ascii="黑体" w:hAnsi="黑体" w:eastAsia="黑体"/>
          <w:b w:val="0"/>
        </w:rPr>
      </w:pPr>
      <w:bookmarkStart w:id="61" w:name="_Toc15396618"/>
      <w:r>
        <w:rPr>
          <w:rFonts w:hint="eastAsia" w:ascii="黑体" w:hAnsi="黑体" w:eastAsia="黑体"/>
          <w:color w:val="000000"/>
          <w:sz w:val="44"/>
          <w:szCs w:val="44"/>
        </w:rPr>
        <w:t>第</w:t>
      </w:r>
      <w:r>
        <w:rPr>
          <w:rStyle w:val="19"/>
          <w:rFonts w:hint="eastAsia" w:ascii="黑体" w:hAnsi="黑体" w:eastAsia="黑体"/>
          <w:b w:val="0"/>
        </w:rPr>
        <w:t>五部分 附表</w:t>
      </w:r>
      <w:bookmarkEnd w:id="57"/>
      <w:bookmarkEnd w:id="61"/>
    </w:p>
    <w:p w14:paraId="62C89A11">
      <w:pPr>
        <w:spacing w:line="600" w:lineRule="exact"/>
        <w:jc w:val="center"/>
        <w:outlineLvl w:val="0"/>
        <w:rPr>
          <w:rFonts w:ascii="仿宋" w:hAnsi="仿宋" w:eastAsia="仿宋"/>
          <w:b/>
          <w:color w:val="000000"/>
          <w:sz w:val="44"/>
          <w:szCs w:val="44"/>
        </w:rPr>
      </w:pPr>
    </w:p>
    <w:p w14:paraId="3E9C3CD4">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20"/>
          <w:rFonts w:hint="eastAsia" w:ascii="仿宋" w:hAnsi="仿宋" w:eastAsia="仿宋"/>
          <w:b w:val="0"/>
          <w:bCs w:val="0"/>
        </w:rPr>
        <w:t>入支出决算总表</w:t>
      </w:r>
      <w:bookmarkEnd w:id="62"/>
    </w:p>
    <w:p w14:paraId="41D74532">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20"/>
          <w:rFonts w:hint="eastAsia" w:ascii="仿宋" w:hAnsi="仿宋" w:eastAsia="仿宋"/>
          <w:b w:val="0"/>
          <w:bCs w:val="0"/>
        </w:rPr>
        <w:t>入总表</w:t>
      </w:r>
      <w:bookmarkEnd w:id="63"/>
    </w:p>
    <w:p w14:paraId="7B366D02">
      <w:pPr>
        <w:pStyle w:val="3"/>
        <w:rPr>
          <w:rFonts w:ascii="仿宋" w:hAnsi="仿宋" w:eastAsia="仿宋"/>
          <w:color w:val="000000"/>
        </w:rPr>
      </w:pPr>
      <w:bookmarkStart w:id="64" w:name="_Toc15396621"/>
      <w:r>
        <w:rPr>
          <w:rStyle w:val="20"/>
          <w:rFonts w:hint="eastAsia" w:ascii="仿宋" w:hAnsi="仿宋" w:eastAsia="仿宋"/>
          <w:b w:val="0"/>
          <w:bCs w:val="0"/>
        </w:rPr>
        <w:t>三、</w:t>
      </w:r>
      <w:r>
        <w:rPr>
          <w:rFonts w:hint="eastAsia" w:ascii="仿宋" w:hAnsi="仿宋" w:eastAsia="仿宋"/>
          <w:b w:val="0"/>
          <w:color w:val="000000"/>
        </w:rPr>
        <w:t>支</w:t>
      </w:r>
      <w:r>
        <w:rPr>
          <w:rStyle w:val="20"/>
          <w:rFonts w:hint="eastAsia" w:ascii="仿宋" w:hAnsi="仿宋" w:eastAsia="仿宋"/>
          <w:b w:val="0"/>
          <w:bCs w:val="0"/>
        </w:rPr>
        <w:t>出总表</w:t>
      </w:r>
      <w:bookmarkEnd w:id="64"/>
    </w:p>
    <w:p w14:paraId="29F13E2A">
      <w:pPr>
        <w:pStyle w:val="3"/>
        <w:rPr>
          <w:rFonts w:ascii="仿宋" w:hAnsi="仿宋" w:eastAsia="仿宋"/>
          <w:b w:val="0"/>
          <w:color w:val="000000"/>
        </w:rPr>
      </w:pPr>
      <w:bookmarkStart w:id="65" w:name="_Toc15396622"/>
      <w:r>
        <w:rPr>
          <w:rStyle w:val="20"/>
          <w:rFonts w:hint="eastAsia" w:ascii="仿宋" w:hAnsi="仿宋" w:eastAsia="仿宋"/>
          <w:b w:val="0"/>
          <w:bCs w:val="0"/>
        </w:rPr>
        <w:t>四、</w:t>
      </w:r>
      <w:r>
        <w:rPr>
          <w:rFonts w:hint="eastAsia" w:ascii="仿宋" w:hAnsi="仿宋" w:eastAsia="仿宋"/>
          <w:b w:val="0"/>
          <w:color w:val="000000"/>
        </w:rPr>
        <w:t>财</w:t>
      </w:r>
      <w:r>
        <w:rPr>
          <w:rStyle w:val="20"/>
          <w:rFonts w:hint="eastAsia" w:ascii="仿宋" w:hAnsi="仿宋" w:eastAsia="仿宋"/>
          <w:b w:val="0"/>
          <w:bCs w:val="0"/>
        </w:rPr>
        <w:t>政拨款收入支出决算总表</w:t>
      </w:r>
      <w:bookmarkEnd w:id="65"/>
    </w:p>
    <w:p w14:paraId="227F6273">
      <w:pPr>
        <w:pStyle w:val="3"/>
        <w:rPr>
          <w:rFonts w:ascii="仿宋" w:hAnsi="仿宋" w:eastAsia="仿宋"/>
          <w:color w:val="000000"/>
        </w:rPr>
      </w:pPr>
      <w:bookmarkStart w:id="66" w:name="_Toc15396623"/>
      <w:r>
        <w:rPr>
          <w:rStyle w:val="20"/>
          <w:rFonts w:hint="eastAsia" w:ascii="仿宋" w:hAnsi="仿宋" w:eastAsia="仿宋"/>
          <w:b w:val="0"/>
          <w:bCs w:val="0"/>
        </w:rPr>
        <w:t>五、</w:t>
      </w:r>
      <w:r>
        <w:rPr>
          <w:rFonts w:hint="eastAsia" w:ascii="仿宋" w:hAnsi="仿宋" w:eastAsia="仿宋"/>
          <w:b w:val="0"/>
          <w:color w:val="000000"/>
        </w:rPr>
        <w:t>财</w:t>
      </w:r>
      <w:r>
        <w:rPr>
          <w:rStyle w:val="20"/>
          <w:rFonts w:hint="eastAsia" w:ascii="仿宋" w:hAnsi="仿宋" w:eastAsia="仿宋"/>
          <w:b w:val="0"/>
          <w:bCs w:val="0"/>
        </w:rPr>
        <w:t>政拨款支出决算明细表（政府经济分类科目）</w:t>
      </w:r>
      <w:bookmarkEnd w:id="66"/>
    </w:p>
    <w:p w14:paraId="61068FA4">
      <w:pPr>
        <w:pStyle w:val="3"/>
        <w:rPr>
          <w:rFonts w:ascii="仿宋" w:hAnsi="仿宋" w:eastAsia="仿宋"/>
          <w:color w:val="000000"/>
        </w:rPr>
      </w:pPr>
      <w:bookmarkStart w:id="67" w:name="_Toc15396624"/>
      <w:r>
        <w:rPr>
          <w:rStyle w:val="20"/>
          <w:rFonts w:hint="eastAsia" w:ascii="仿宋" w:hAnsi="仿宋" w:eastAsia="仿宋"/>
          <w:b w:val="0"/>
          <w:bCs w:val="0"/>
        </w:rPr>
        <w:t>六、</w:t>
      </w:r>
      <w:r>
        <w:rPr>
          <w:rFonts w:hint="eastAsia" w:ascii="仿宋" w:hAnsi="仿宋" w:eastAsia="仿宋"/>
          <w:b w:val="0"/>
          <w:color w:val="000000"/>
        </w:rPr>
        <w:t>一</w:t>
      </w:r>
      <w:r>
        <w:rPr>
          <w:rStyle w:val="20"/>
          <w:rFonts w:hint="eastAsia" w:ascii="仿宋" w:hAnsi="仿宋" w:eastAsia="仿宋"/>
          <w:b w:val="0"/>
          <w:bCs w:val="0"/>
        </w:rPr>
        <w:t>般公共预算财政拨款支出决算表</w:t>
      </w:r>
      <w:bookmarkEnd w:id="67"/>
    </w:p>
    <w:p w14:paraId="7D88BC25">
      <w:pPr>
        <w:pStyle w:val="3"/>
        <w:rPr>
          <w:rFonts w:ascii="仿宋" w:hAnsi="仿宋" w:eastAsia="仿宋"/>
          <w:color w:val="000000"/>
        </w:rPr>
      </w:pPr>
      <w:bookmarkStart w:id="68" w:name="_Toc15396625"/>
      <w:r>
        <w:rPr>
          <w:rStyle w:val="20"/>
          <w:rFonts w:hint="eastAsia" w:ascii="仿宋" w:hAnsi="仿宋" w:eastAsia="仿宋"/>
          <w:b w:val="0"/>
          <w:bCs w:val="0"/>
        </w:rPr>
        <w:t>七、</w:t>
      </w:r>
      <w:r>
        <w:rPr>
          <w:rFonts w:hint="eastAsia" w:ascii="仿宋" w:hAnsi="仿宋" w:eastAsia="仿宋"/>
          <w:b w:val="0"/>
          <w:color w:val="000000"/>
        </w:rPr>
        <w:t>一</w:t>
      </w:r>
      <w:r>
        <w:rPr>
          <w:rStyle w:val="20"/>
          <w:rFonts w:hint="eastAsia" w:ascii="仿宋" w:hAnsi="仿宋" w:eastAsia="仿宋"/>
          <w:b w:val="0"/>
          <w:bCs w:val="0"/>
        </w:rPr>
        <w:t>般公共预算财政拨款支出决算明细表</w:t>
      </w:r>
      <w:bookmarkEnd w:id="68"/>
    </w:p>
    <w:p w14:paraId="5930FEE5">
      <w:pPr>
        <w:pStyle w:val="3"/>
        <w:rPr>
          <w:rFonts w:ascii="仿宋" w:hAnsi="仿宋" w:eastAsia="仿宋"/>
          <w:color w:val="000000"/>
        </w:rPr>
      </w:pPr>
      <w:bookmarkStart w:id="69" w:name="_Toc15396626"/>
      <w:r>
        <w:rPr>
          <w:rStyle w:val="20"/>
          <w:rFonts w:hint="eastAsia" w:ascii="仿宋" w:hAnsi="仿宋" w:eastAsia="仿宋"/>
          <w:b w:val="0"/>
          <w:bCs w:val="0"/>
        </w:rPr>
        <w:t>八、</w:t>
      </w:r>
      <w:r>
        <w:rPr>
          <w:rFonts w:hint="eastAsia" w:ascii="仿宋" w:hAnsi="仿宋" w:eastAsia="仿宋"/>
          <w:b w:val="0"/>
          <w:color w:val="000000"/>
        </w:rPr>
        <w:t>一</w:t>
      </w:r>
      <w:r>
        <w:rPr>
          <w:rStyle w:val="20"/>
          <w:rFonts w:hint="eastAsia" w:ascii="仿宋" w:hAnsi="仿宋" w:eastAsia="仿宋"/>
          <w:b w:val="0"/>
          <w:bCs w:val="0"/>
        </w:rPr>
        <w:t>般公共预算财政拨款基本支出决算表</w:t>
      </w:r>
      <w:bookmarkEnd w:id="69"/>
    </w:p>
    <w:p w14:paraId="3AB0B4DF">
      <w:pPr>
        <w:pStyle w:val="3"/>
        <w:rPr>
          <w:rFonts w:ascii="仿宋" w:hAnsi="仿宋" w:eastAsia="仿宋"/>
          <w:color w:val="000000"/>
        </w:rPr>
      </w:pPr>
      <w:bookmarkStart w:id="70" w:name="_Toc15396627"/>
      <w:r>
        <w:rPr>
          <w:rStyle w:val="20"/>
          <w:rFonts w:hint="eastAsia" w:ascii="仿宋" w:hAnsi="仿宋" w:eastAsia="仿宋"/>
          <w:b w:val="0"/>
          <w:bCs w:val="0"/>
        </w:rPr>
        <w:t>九、</w:t>
      </w:r>
      <w:r>
        <w:rPr>
          <w:rFonts w:hint="eastAsia" w:ascii="仿宋" w:hAnsi="仿宋" w:eastAsia="仿宋"/>
          <w:b w:val="0"/>
          <w:color w:val="000000"/>
        </w:rPr>
        <w:t>一</w:t>
      </w:r>
      <w:r>
        <w:rPr>
          <w:rStyle w:val="20"/>
          <w:rFonts w:hint="eastAsia" w:ascii="仿宋" w:hAnsi="仿宋" w:eastAsia="仿宋"/>
          <w:b w:val="0"/>
          <w:bCs w:val="0"/>
        </w:rPr>
        <w:t>般公共预算财政拨款项目支出决算表</w:t>
      </w:r>
      <w:bookmarkEnd w:id="70"/>
    </w:p>
    <w:p w14:paraId="58DC8E07">
      <w:pPr>
        <w:pStyle w:val="3"/>
        <w:rPr>
          <w:rFonts w:ascii="仿宋" w:hAnsi="仿宋" w:eastAsia="仿宋"/>
          <w:color w:val="000000"/>
        </w:rPr>
      </w:pPr>
      <w:bookmarkStart w:id="71" w:name="_Toc15396628"/>
      <w:r>
        <w:rPr>
          <w:rStyle w:val="20"/>
          <w:rFonts w:hint="eastAsia" w:ascii="仿宋" w:hAnsi="仿宋" w:eastAsia="仿宋"/>
          <w:b w:val="0"/>
          <w:bCs w:val="0"/>
        </w:rPr>
        <w:t>十、</w:t>
      </w:r>
      <w:r>
        <w:rPr>
          <w:rFonts w:hint="eastAsia" w:ascii="仿宋" w:hAnsi="仿宋" w:eastAsia="仿宋"/>
          <w:b w:val="0"/>
          <w:color w:val="000000"/>
        </w:rPr>
        <w:t>一</w:t>
      </w:r>
      <w:r>
        <w:rPr>
          <w:rStyle w:val="20"/>
          <w:rFonts w:hint="eastAsia" w:ascii="仿宋" w:hAnsi="仿宋" w:eastAsia="仿宋"/>
          <w:b w:val="0"/>
          <w:bCs w:val="0"/>
        </w:rPr>
        <w:t>般公共预算财政拨款“三公”经费支出决算表</w:t>
      </w:r>
      <w:bookmarkEnd w:id="71"/>
    </w:p>
    <w:p w14:paraId="0142E369">
      <w:pPr>
        <w:pStyle w:val="3"/>
        <w:rPr>
          <w:rFonts w:ascii="仿宋" w:hAnsi="仿宋" w:eastAsia="仿宋"/>
          <w:color w:val="000000"/>
        </w:rPr>
      </w:pPr>
      <w:bookmarkStart w:id="72" w:name="_Toc15396629"/>
      <w:r>
        <w:rPr>
          <w:rStyle w:val="20"/>
          <w:rFonts w:hint="eastAsia" w:ascii="仿宋" w:hAnsi="仿宋" w:eastAsia="仿宋"/>
          <w:b w:val="0"/>
          <w:bCs w:val="0"/>
        </w:rPr>
        <w:t>十一、</w:t>
      </w:r>
      <w:r>
        <w:rPr>
          <w:rFonts w:hint="eastAsia" w:ascii="仿宋" w:hAnsi="仿宋" w:eastAsia="仿宋"/>
          <w:b w:val="0"/>
          <w:color w:val="000000"/>
        </w:rPr>
        <w:t>政</w:t>
      </w:r>
      <w:r>
        <w:rPr>
          <w:rStyle w:val="20"/>
          <w:rFonts w:hint="eastAsia" w:ascii="仿宋" w:hAnsi="仿宋" w:eastAsia="仿宋"/>
          <w:b w:val="0"/>
          <w:bCs w:val="0"/>
        </w:rPr>
        <w:t>府性基金预算财政拨款收入支出决算表</w:t>
      </w:r>
      <w:bookmarkEnd w:id="72"/>
    </w:p>
    <w:p w14:paraId="7DCD02A4">
      <w:pPr>
        <w:pStyle w:val="3"/>
        <w:rPr>
          <w:rFonts w:ascii="仿宋" w:hAnsi="仿宋" w:eastAsia="仿宋"/>
          <w:color w:val="000000"/>
        </w:rPr>
      </w:pPr>
      <w:bookmarkStart w:id="73" w:name="_Toc15396630"/>
      <w:r>
        <w:rPr>
          <w:rStyle w:val="20"/>
          <w:rFonts w:hint="eastAsia" w:ascii="仿宋" w:hAnsi="仿宋" w:eastAsia="仿宋"/>
          <w:b w:val="0"/>
          <w:bCs w:val="0"/>
        </w:rPr>
        <w:t>十二、</w:t>
      </w:r>
      <w:r>
        <w:rPr>
          <w:rFonts w:hint="eastAsia" w:ascii="仿宋" w:hAnsi="仿宋" w:eastAsia="仿宋"/>
          <w:b w:val="0"/>
          <w:color w:val="000000"/>
        </w:rPr>
        <w:t>政</w:t>
      </w:r>
      <w:r>
        <w:rPr>
          <w:rStyle w:val="20"/>
          <w:rFonts w:hint="eastAsia" w:ascii="仿宋" w:hAnsi="仿宋" w:eastAsia="仿宋"/>
          <w:b w:val="0"/>
          <w:bCs w:val="0"/>
        </w:rPr>
        <w:t>府性基金预算财政拨款“三公”经费支出决算表</w:t>
      </w:r>
      <w:bookmarkEnd w:id="73"/>
    </w:p>
    <w:p w14:paraId="2D1465E7">
      <w:pPr>
        <w:pStyle w:val="3"/>
        <w:rPr>
          <w:rFonts w:ascii="仿宋" w:hAnsi="仿宋" w:eastAsia="仿宋"/>
          <w:color w:val="000000"/>
        </w:rPr>
      </w:pPr>
      <w:bookmarkStart w:id="74" w:name="_Toc15396631"/>
      <w:r>
        <w:rPr>
          <w:rStyle w:val="20"/>
          <w:rFonts w:hint="eastAsia" w:ascii="仿宋" w:hAnsi="仿宋" w:eastAsia="仿宋"/>
          <w:b w:val="0"/>
          <w:bCs w:val="0"/>
        </w:rPr>
        <w:t>十三、</w:t>
      </w:r>
      <w:r>
        <w:rPr>
          <w:rFonts w:hint="eastAsia" w:ascii="仿宋" w:hAnsi="仿宋" w:eastAsia="仿宋"/>
          <w:b w:val="0"/>
          <w:color w:val="000000"/>
        </w:rPr>
        <w:t>国</w:t>
      </w:r>
      <w:r>
        <w:rPr>
          <w:rStyle w:val="20"/>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Adobe 楷体 Std R">
    <w:altName w:val="楷体_GB2312"/>
    <w:panose1 w:val="02020400000000000000"/>
    <w:charset w:val="86"/>
    <w:family w:val="script"/>
    <w:pitch w:val="default"/>
    <w:sig w:usb0="00000000" w:usb1="00000000" w:usb2="00000016" w:usb3="00000000" w:csb0="00060007" w:csb1="00000000"/>
  </w:font>
  <w:font w:name="Adobe 宋体 Std L">
    <w:altName w:val="宋体"/>
    <w:panose1 w:val="02020300000000000000"/>
    <w:charset w:val="86"/>
    <w:family w:val="script"/>
    <w:pitch w:val="default"/>
    <w:sig w:usb0="00000000" w:usb1="00000000" w:usb2="00000016" w:usb3="00000000" w:csb0="00060007"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7406063"/>
      <w:docPartObj>
        <w:docPartGallery w:val="AutoText"/>
      </w:docPartObj>
    </w:sdtPr>
    <w:sdtContent>
      <w:p w14:paraId="7C363A37">
        <w:pPr>
          <w:pStyle w:val="9"/>
          <w:jc w:val="center"/>
        </w:pPr>
        <w:r>
          <w:fldChar w:fldCharType="begin"/>
        </w:r>
        <w:r>
          <w:instrText xml:space="preserve">PAGE   \* MERGEFORMAT</w:instrText>
        </w:r>
        <w:r>
          <w:fldChar w:fldCharType="separate"/>
        </w:r>
        <w:r>
          <w:rPr>
            <w:lang w:val="zh-CN"/>
          </w:rPr>
          <w:t>19</w:t>
        </w:r>
        <w:r>
          <w:rPr>
            <w:lang w:val="zh-CN"/>
          </w:rPr>
          <w:fldChar w:fldCharType="end"/>
        </w:r>
      </w:p>
    </w:sdtContent>
  </w:sdt>
  <w:p w14:paraId="773482A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0606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7CBF20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4">
    <w:name w:val="heading 3"/>
    <w:basedOn w:val="1"/>
    <w:next w:val="1"/>
    <w:link w:val="21"/>
    <w:qFormat/>
    <w:uiPriority w:val="0"/>
    <w:pPr>
      <w:keepNext/>
      <w:keepLines/>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Body Text Indent"/>
    <w:basedOn w:val="1"/>
    <w:qFormat/>
    <w:uiPriority w:val="0"/>
    <w:pPr>
      <w:spacing w:after="120"/>
      <w:ind w:left="200" w:leftChars="200"/>
    </w:pPr>
  </w:style>
  <w:style w:type="paragraph" w:styleId="7">
    <w:name w:val="toc 3"/>
    <w:basedOn w:val="1"/>
    <w:next w:val="1"/>
    <w:autoRedefine/>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autoRedefine/>
    <w:qFormat/>
    <w:uiPriority w:val="0"/>
    <w:pPr>
      <w:tabs>
        <w:tab w:val="right" w:leader="dot" w:pos="8296"/>
      </w:tabs>
      <w:spacing w:before="93"/>
      <w:jc w:val="center"/>
    </w:pPr>
    <w:rPr>
      <w:rFonts w:ascii="仿宋" w:hAnsi="仿宋" w:eastAsia="仿宋"/>
      <w:sz w:val="28"/>
      <w:szCs w:val="28"/>
    </w:rPr>
  </w:style>
  <w:style w:type="paragraph" w:styleId="12">
    <w:name w:val="toc 2"/>
    <w:basedOn w:val="1"/>
    <w:next w:val="1"/>
    <w:autoRedefine/>
    <w:qFormat/>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hAnsi="宋体"/>
      <w:kern w:val="0"/>
      <w:sz w:val="24"/>
    </w:rPr>
  </w:style>
  <w:style w:type="paragraph" w:styleId="14">
    <w:name w:val="Body Text First Indent 2"/>
    <w:basedOn w:val="6"/>
    <w:qFormat/>
    <w:uiPriority w:val="0"/>
    <w:pPr>
      <w:ind w:firstLine="200" w:firstLineChars="200"/>
    </w:p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2"/>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3"/>
    <w:uiPriority w:val="0"/>
    <w:rPr>
      <w:rFonts w:ascii="Cambria" w:hAnsi="Cambria" w:eastAsia="宋体" w:cs="Times New Roman"/>
      <w:b/>
      <w:bCs/>
      <w:kern w:val="2"/>
      <w:sz w:val="32"/>
      <w:szCs w:val="32"/>
      <w:lang w:val="en-US" w:eastAsia="zh-CN" w:bidi="ar-SA"/>
    </w:rPr>
  </w:style>
  <w:style w:type="character" w:customStyle="1" w:styleId="21">
    <w:name w:val="heading 3 Char"/>
    <w:basedOn w:val="16"/>
    <w:link w:val="4"/>
    <w:uiPriority w:val="0"/>
    <w:rPr>
      <w:rFonts w:ascii="Times New Roman" w:hAnsi="Times New Roman" w:eastAsia="宋体" w:cs="Times New Roman"/>
      <w:b/>
      <w:bCs/>
      <w:kern w:val="2"/>
      <w:sz w:val="32"/>
      <w:szCs w:val="32"/>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8">
    <w:name w:val="p"/>
    <w:basedOn w:val="1"/>
    <w:qFormat/>
    <w:uiPriority w:val="0"/>
    <w:pPr>
      <w:spacing w:line="525" w:lineRule="atLeast"/>
      <w:ind w:firstLine="375"/>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D786980C-9A58-48A7-B6E5-61B565291F77}">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7158</Words>
  <Characters>7623</Characters>
  <Lines>0</Lines>
  <Paragraphs>197</Paragraphs>
  <TotalTime>381</TotalTime>
  <ScaleCrop>false</ScaleCrop>
  <LinksUpToDate>false</LinksUpToDate>
  <CharactersWithSpaces>7698</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2019-09-26T08:21:00Z</cp:lastPrinted>
  <dcterms:modified xsi:type="dcterms:W3CDTF">2025-06-23T09:47:46Z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eyJoZGlkIjoiNmI5ZGYwNjVkNTMwZDc1MDE3N2M5ZmQ5MDE1OWQ5ZDQifQ==</vt:lpwstr>
  </property>
  <property fmtid="{D5CDD505-2E9C-101B-9397-08002B2CF9AE}" pid="4" name="ICV">
    <vt:lpwstr>14EAEE85494B4B7A9C7EACEEA754EA53_12</vt:lpwstr>
  </property>
</Properties>
</file>