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FFDBCC">
      <w:pPr>
        <w:spacing w:line="600" w:lineRule="exact"/>
        <w:jc w:val="center"/>
        <w:outlineLvl w:val="0"/>
        <w:rPr>
          <w:rFonts w:ascii="方正小标宋简体" w:hAnsi="宋体" w:eastAsia="方正小标宋简体"/>
          <w:color w:val="000000"/>
          <w:sz w:val="72"/>
          <w:szCs w:val="72"/>
        </w:rPr>
      </w:pPr>
      <w:bookmarkStart w:id="0" w:name="_Toc15306267"/>
    </w:p>
    <w:p w14:paraId="4AEF61F2">
      <w:pPr>
        <w:spacing w:line="600" w:lineRule="exact"/>
        <w:jc w:val="center"/>
        <w:outlineLvl w:val="0"/>
        <w:rPr>
          <w:rFonts w:ascii="方正小标宋简体" w:hAnsi="宋体" w:eastAsia="方正小标宋简体"/>
          <w:color w:val="000000"/>
          <w:sz w:val="72"/>
          <w:szCs w:val="72"/>
        </w:rPr>
      </w:pPr>
    </w:p>
    <w:p w14:paraId="76381AA3">
      <w:pPr>
        <w:spacing w:line="600" w:lineRule="exact"/>
        <w:jc w:val="center"/>
        <w:outlineLvl w:val="0"/>
        <w:rPr>
          <w:rFonts w:ascii="方正小标宋简体" w:hAnsi="宋体" w:eastAsia="方正小标宋简体"/>
          <w:color w:val="000000"/>
          <w:sz w:val="72"/>
          <w:szCs w:val="72"/>
        </w:rPr>
      </w:pPr>
    </w:p>
    <w:p w14:paraId="16AB99F9">
      <w:pPr>
        <w:spacing w:line="600" w:lineRule="exact"/>
        <w:jc w:val="center"/>
        <w:outlineLvl w:val="0"/>
        <w:rPr>
          <w:rFonts w:ascii="方正小标宋简体" w:hAnsi="宋体" w:eastAsia="方正小标宋简体"/>
          <w:color w:val="000000"/>
          <w:sz w:val="72"/>
          <w:szCs w:val="72"/>
        </w:rPr>
      </w:pPr>
    </w:p>
    <w:p w14:paraId="1A869E5D">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8441"/>
      <w:bookmarkStart w:id="2" w:name="_Toc15377193"/>
      <w:bookmarkStart w:id="3" w:name="_Toc15396597"/>
      <w:bookmarkStart w:id="4" w:name="_Toc15396475"/>
      <w:bookmarkStart w:id="5" w:name="_Toc15377425"/>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14:paraId="775FF776">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194"/>
      <w:bookmarkStart w:id="7" w:name="_Toc15377426"/>
      <w:bookmarkStart w:id="8" w:name="_Toc15396598"/>
      <w:bookmarkStart w:id="9" w:name="_Toc15396476"/>
      <w:bookmarkStart w:id="10" w:name="_Toc15378442"/>
      <w:r>
        <w:rPr>
          <w:rFonts w:hint="eastAsia" w:ascii="方正小标宋简体" w:hAnsi="宋体" w:eastAsia="方正小标宋简体"/>
          <w:color w:val="000000"/>
          <w:sz w:val="72"/>
          <w:szCs w:val="72"/>
        </w:rPr>
        <w:t>四川省</w:t>
      </w:r>
      <w:bookmarkEnd w:id="0"/>
      <w:bookmarkStart w:id="11" w:name="_Toc15306268"/>
      <w:r>
        <w:rPr>
          <w:rFonts w:hint="eastAsia" w:ascii="方正小标宋简体" w:hAnsi="宋体" w:eastAsia="方正小标宋简体"/>
          <w:color w:val="000000"/>
          <w:sz w:val="72"/>
          <w:szCs w:val="72"/>
        </w:rPr>
        <w:t>九寨沟县红十字会部门决算</w:t>
      </w:r>
      <w:bookmarkEnd w:id="6"/>
      <w:bookmarkEnd w:id="7"/>
      <w:bookmarkEnd w:id="8"/>
      <w:bookmarkEnd w:id="9"/>
      <w:bookmarkEnd w:id="10"/>
      <w:bookmarkEnd w:id="11"/>
    </w:p>
    <w:p w14:paraId="67E9D451">
      <w:pPr>
        <w:widowControl/>
        <w:jc w:val="center"/>
        <w:rPr>
          <w:rFonts w:ascii="方正小标宋简体" w:hAnsi="宋体" w:eastAsia="方正小标宋简体"/>
          <w:color w:val="000000"/>
          <w:sz w:val="36"/>
          <w:szCs w:val="36"/>
        </w:rPr>
      </w:pPr>
    </w:p>
    <w:p w14:paraId="3CD6F703">
      <w:pPr>
        <w:rPr>
          <w:rFonts w:ascii="方正小标宋简体" w:hAnsi="宋体" w:eastAsia="方正小标宋简体"/>
          <w:sz w:val="36"/>
          <w:szCs w:val="36"/>
        </w:rPr>
      </w:pPr>
    </w:p>
    <w:p w14:paraId="1A8F10EE">
      <w:pPr>
        <w:rPr>
          <w:rFonts w:ascii="方正小标宋简体" w:hAnsi="宋体" w:eastAsia="方正小标宋简体"/>
          <w:sz w:val="36"/>
          <w:szCs w:val="36"/>
        </w:rPr>
      </w:pPr>
    </w:p>
    <w:p w14:paraId="684570C0">
      <w:pPr>
        <w:rPr>
          <w:rFonts w:ascii="方正小标宋简体" w:hAnsi="宋体" w:eastAsia="方正小标宋简体"/>
          <w:sz w:val="36"/>
          <w:szCs w:val="36"/>
        </w:rPr>
      </w:pPr>
    </w:p>
    <w:p w14:paraId="56214993">
      <w:pPr>
        <w:rPr>
          <w:rFonts w:ascii="方正小标宋简体" w:hAnsi="宋体" w:eastAsia="方正小标宋简体"/>
          <w:sz w:val="36"/>
          <w:szCs w:val="36"/>
        </w:rPr>
      </w:pPr>
    </w:p>
    <w:p w14:paraId="1FA171BC">
      <w:pPr>
        <w:rPr>
          <w:rFonts w:ascii="方正小标宋简体" w:hAnsi="宋体" w:eastAsia="方正小标宋简体"/>
          <w:sz w:val="36"/>
          <w:szCs w:val="36"/>
        </w:rPr>
      </w:pPr>
    </w:p>
    <w:p w14:paraId="1284CA97">
      <w:pPr>
        <w:rPr>
          <w:rFonts w:ascii="方正小标宋简体" w:hAnsi="宋体" w:eastAsia="方正小标宋简体"/>
          <w:sz w:val="36"/>
          <w:szCs w:val="36"/>
        </w:rPr>
      </w:pPr>
    </w:p>
    <w:p w14:paraId="4047D13B">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14:paraId="5DF8C86D">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14:paraId="340BC314">
      <w:pPr>
        <w:widowControl/>
        <w:jc w:val="center"/>
        <w:rPr>
          <w:rFonts w:ascii="方正小标宋简体" w:hAnsi="宋体" w:eastAsia="方正小标宋简体"/>
          <w:sz w:val="36"/>
          <w:szCs w:val="36"/>
        </w:rPr>
      </w:pPr>
    </w:p>
    <w:p w14:paraId="0019215E">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14:paraId="682ACBC5">
      <w:pPr>
        <w:widowControl/>
        <w:jc w:val="center"/>
        <w:rPr>
          <w:rFonts w:ascii="黑体" w:hAnsi="黑体" w:eastAsia="黑体" w:cstheme="minorBidi"/>
          <w:sz w:val="28"/>
          <w:szCs w:val="28"/>
        </w:rPr>
      </w:pPr>
    </w:p>
    <w:p w14:paraId="24D70B17">
      <w:pPr>
        <w:pStyle w:val="11"/>
      </w:pPr>
      <w:r>
        <w:rPr>
          <w:rFonts w:hint="eastAsia"/>
        </w:rPr>
        <w:t>公开时间：2020年8月</w:t>
      </w:r>
      <w:r>
        <w:t>25</w:t>
      </w:r>
      <w:r>
        <w:rPr>
          <w:rFonts w:hint="eastAsia"/>
        </w:rPr>
        <w:t>日</w:t>
      </w:r>
    </w:p>
    <w:p w14:paraId="312D4057"/>
    <w:p w14:paraId="68868EEC">
      <w:pPr>
        <w:pStyle w:val="11"/>
        <w:adjustRightInd w:val="0"/>
        <w:snapToGrid w:val="0"/>
        <w:spacing w:before="0" w:line="440" w:lineRule="exact"/>
        <w:jc w:val="left"/>
        <w:rPr>
          <w:rFonts w:cstheme="minorBidi"/>
          <w:sz w:val="24"/>
          <w:szCs w:val="24"/>
        </w:rPr>
      </w:pPr>
      <w:r>
        <w:rPr>
          <w:rFonts w:hint="eastAsia"/>
          <w:sz w:val="24"/>
        </w:rPr>
        <w:t>第一部分部门概况</w:t>
      </w:r>
    </w:p>
    <w:p w14:paraId="7E2028F8">
      <w:pPr>
        <w:pStyle w:val="12"/>
        <w:adjustRightInd w:val="0"/>
        <w:snapToGrid w:val="0"/>
        <w:spacing w:line="440" w:lineRule="exact"/>
        <w:jc w:val="left"/>
        <w:rPr>
          <w:rFonts w:ascii="仿宋" w:hAnsi="仿宋" w:eastAsia="仿宋"/>
          <w:sz w:val="24"/>
          <w:u w:val="single"/>
        </w:rPr>
      </w:pPr>
      <w:r>
        <w:rPr>
          <w:rFonts w:hint="eastAsia"/>
          <w:sz w:val="24"/>
        </w:rPr>
        <w:t>一、基本职能及主要工作</w:t>
      </w:r>
      <w:r>
        <w:rPr>
          <w:rFonts w:hint="eastAsia"/>
          <w:b/>
          <w:sz w:val="24"/>
        </w:rPr>
        <w:t xml:space="preserve">5-7 </w:t>
      </w:r>
    </w:p>
    <w:p w14:paraId="109F6880">
      <w:pPr>
        <w:pStyle w:val="12"/>
        <w:adjustRightInd w:val="0"/>
        <w:snapToGrid w:val="0"/>
        <w:spacing w:line="440" w:lineRule="exact"/>
        <w:jc w:val="left"/>
        <w:rPr>
          <w:rFonts w:ascii="仿宋" w:hAnsi="仿宋" w:eastAsia="仿宋" w:cstheme="minorBidi"/>
          <w:sz w:val="24"/>
        </w:rPr>
      </w:pPr>
      <w:r>
        <w:rPr>
          <w:rFonts w:hint="eastAsia"/>
          <w:sz w:val="24"/>
        </w:rPr>
        <w:t>二、机构设置  8</w:t>
      </w:r>
    </w:p>
    <w:p w14:paraId="21FE737F">
      <w:pPr>
        <w:pStyle w:val="11"/>
        <w:adjustRightInd w:val="0"/>
        <w:snapToGrid w:val="0"/>
        <w:spacing w:before="0" w:line="440" w:lineRule="exact"/>
        <w:jc w:val="left"/>
        <w:rPr>
          <w:sz w:val="24"/>
          <w:szCs w:val="24"/>
        </w:rPr>
      </w:pPr>
      <w:r>
        <w:rPr>
          <w:rFonts w:hint="eastAsia"/>
          <w:sz w:val="24"/>
        </w:rPr>
        <w:t>第二部分度部门决算情况说明</w:t>
      </w:r>
    </w:p>
    <w:p w14:paraId="6A1CD3D9">
      <w:pPr>
        <w:pStyle w:val="12"/>
        <w:adjustRightInd w:val="0"/>
        <w:snapToGrid w:val="0"/>
        <w:spacing w:line="440" w:lineRule="exact"/>
        <w:jc w:val="left"/>
        <w:rPr>
          <w:rFonts w:ascii="仿宋" w:hAnsi="仿宋" w:eastAsia="仿宋" w:cstheme="minorBidi"/>
          <w:sz w:val="24"/>
        </w:rPr>
      </w:pPr>
      <w:r>
        <w:rPr>
          <w:rFonts w:hint="eastAsia"/>
          <w:sz w:val="24"/>
        </w:rPr>
        <w:t>一、收入支出决算总体情况说明 9</w:t>
      </w:r>
    </w:p>
    <w:p w14:paraId="58148F3E">
      <w:pPr>
        <w:pStyle w:val="12"/>
        <w:adjustRightInd w:val="0"/>
        <w:snapToGrid w:val="0"/>
        <w:spacing w:line="440" w:lineRule="exact"/>
        <w:jc w:val="left"/>
        <w:rPr>
          <w:rFonts w:ascii="仿宋" w:hAnsi="仿宋" w:eastAsia="仿宋" w:cstheme="minorBidi"/>
          <w:sz w:val="24"/>
        </w:rPr>
      </w:pPr>
      <w:r>
        <w:rPr>
          <w:rFonts w:hint="eastAsia"/>
          <w:sz w:val="24"/>
        </w:rPr>
        <w:t>二、收入决算情况说明 9</w:t>
      </w:r>
    </w:p>
    <w:p w14:paraId="1DFDF5B0">
      <w:pPr>
        <w:pStyle w:val="12"/>
        <w:adjustRightInd w:val="0"/>
        <w:snapToGrid w:val="0"/>
        <w:spacing w:line="440" w:lineRule="exact"/>
        <w:jc w:val="left"/>
        <w:rPr>
          <w:rFonts w:ascii="仿宋" w:hAnsi="仿宋" w:eastAsia="仿宋" w:cstheme="minorBidi"/>
          <w:sz w:val="24"/>
        </w:rPr>
      </w:pPr>
      <w:r>
        <w:rPr>
          <w:rFonts w:hint="eastAsia"/>
          <w:sz w:val="24"/>
        </w:rPr>
        <w:t xml:space="preserve">三、支出决算情况说明 9   </w:t>
      </w:r>
    </w:p>
    <w:p w14:paraId="212AF41E">
      <w:pPr>
        <w:pStyle w:val="12"/>
        <w:adjustRightInd w:val="0"/>
        <w:snapToGrid w:val="0"/>
        <w:spacing w:line="440" w:lineRule="exact"/>
        <w:jc w:val="left"/>
        <w:rPr>
          <w:rFonts w:ascii="仿宋" w:hAnsi="仿宋" w:eastAsia="仿宋" w:cstheme="minorBidi"/>
          <w:sz w:val="24"/>
        </w:rPr>
      </w:pPr>
      <w:r>
        <w:rPr>
          <w:rFonts w:hint="eastAsia"/>
          <w:sz w:val="24"/>
        </w:rPr>
        <w:t>四、财政拨款收入支出决算总体情况说明 9</w:t>
      </w:r>
    </w:p>
    <w:p w14:paraId="3BA27188">
      <w:pPr>
        <w:pStyle w:val="12"/>
        <w:adjustRightInd w:val="0"/>
        <w:snapToGrid w:val="0"/>
        <w:spacing w:line="440" w:lineRule="exact"/>
        <w:jc w:val="left"/>
        <w:rPr>
          <w:rFonts w:ascii="仿宋" w:hAnsi="仿宋" w:eastAsia="仿宋" w:cstheme="minorBidi"/>
          <w:sz w:val="24"/>
        </w:rPr>
      </w:pPr>
      <w:r>
        <w:rPr>
          <w:rFonts w:hint="eastAsia"/>
          <w:sz w:val="24"/>
        </w:rPr>
        <w:t>五、一般公共预算财政拨款支出决算情况说明 10</w:t>
      </w:r>
    </w:p>
    <w:p w14:paraId="2663E5CA">
      <w:pPr>
        <w:pStyle w:val="12"/>
        <w:adjustRightInd w:val="0"/>
        <w:snapToGrid w:val="0"/>
        <w:spacing w:line="440" w:lineRule="exact"/>
        <w:jc w:val="left"/>
        <w:rPr>
          <w:rFonts w:ascii="仿宋" w:hAnsi="仿宋" w:eastAsia="仿宋" w:cstheme="minorBidi"/>
          <w:sz w:val="24"/>
        </w:rPr>
      </w:pPr>
      <w:r>
        <w:rPr>
          <w:rFonts w:hint="eastAsia"/>
          <w:sz w:val="24"/>
        </w:rPr>
        <w:t>六、一般公共预算财政拨款基本支出决算情况说明 10-11</w:t>
      </w:r>
    </w:p>
    <w:p w14:paraId="29EC33E8">
      <w:pPr>
        <w:pStyle w:val="12"/>
        <w:adjustRightInd w:val="0"/>
        <w:snapToGrid w:val="0"/>
        <w:spacing w:line="440" w:lineRule="exact"/>
        <w:jc w:val="left"/>
        <w:rPr>
          <w:rFonts w:ascii="仿宋" w:hAnsi="仿宋" w:eastAsia="仿宋" w:cstheme="minorBidi"/>
          <w:sz w:val="24"/>
        </w:rPr>
      </w:pPr>
      <w:r>
        <w:rPr>
          <w:rFonts w:hint="eastAsia"/>
          <w:sz w:val="24"/>
        </w:rPr>
        <w:t>七、</w:t>
      </w:r>
      <w:r>
        <w:rPr>
          <w:sz w:val="24"/>
        </w:rPr>
        <w:t>“</w:t>
      </w:r>
      <w:r>
        <w:rPr>
          <w:rFonts w:hint="eastAsia"/>
          <w:sz w:val="24"/>
        </w:rPr>
        <w:t>三公”经费财政拨款支出决算情况说明 11-12</w:t>
      </w:r>
    </w:p>
    <w:p w14:paraId="4F2F1547">
      <w:pPr>
        <w:pStyle w:val="12"/>
        <w:adjustRightInd w:val="0"/>
        <w:snapToGrid w:val="0"/>
        <w:spacing w:line="440" w:lineRule="exact"/>
        <w:jc w:val="left"/>
        <w:rPr>
          <w:rFonts w:ascii="仿宋" w:hAnsi="仿宋" w:eastAsia="仿宋" w:cstheme="minorBidi"/>
          <w:sz w:val="24"/>
        </w:rPr>
      </w:pPr>
      <w:r>
        <w:rPr>
          <w:rFonts w:hint="eastAsia"/>
          <w:sz w:val="24"/>
        </w:rPr>
        <w:t>八、政府性基金预算支出决算情况说明  12</w:t>
      </w:r>
    </w:p>
    <w:p w14:paraId="5C25560D">
      <w:pPr>
        <w:pStyle w:val="12"/>
        <w:adjustRightInd w:val="0"/>
        <w:snapToGrid w:val="0"/>
        <w:spacing w:line="440" w:lineRule="exact"/>
        <w:ind w:leftChars="0"/>
        <w:jc w:val="left"/>
        <w:rPr>
          <w:rFonts w:ascii="仿宋" w:hAnsi="仿宋" w:eastAsia="仿宋"/>
          <w:sz w:val="24"/>
        </w:rPr>
      </w:pPr>
      <w:r>
        <w:rPr>
          <w:rFonts w:hint="eastAsia" w:ascii="仿宋" w:hAnsi="仿宋" w:eastAsia="仿宋"/>
          <w:sz w:val="24"/>
        </w:rPr>
        <w:t>九、</w:t>
      </w:r>
      <w:r>
        <w:rPr>
          <w:sz w:val="24"/>
        </w:rPr>
        <w:t>国</w:t>
      </w:r>
      <w:r>
        <w:rPr>
          <w:rFonts w:hint="eastAsia"/>
          <w:sz w:val="24"/>
        </w:rPr>
        <w:t>有资本经营预算支出决算情况说明  12</w:t>
      </w:r>
    </w:p>
    <w:p w14:paraId="19EC5817">
      <w:pPr>
        <w:adjustRightInd w:val="0"/>
        <w:snapToGrid w:val="0"/>
        <w:spacing w:line="440" w:lineRule="exact"/>
        <w:ind w:firstLine="480" w:firstLineChars="200"/>
        <w:jc w:val="left"/>
        <w:rPr>
          <w:rFonts w:ascii="仿宋" w:hAnsi="仿宋" w:eastAsia="仿宋" w:cstheme="minorBidi"/>
          <w:sz w:val="24"/>
        </w:rPr>
      </w:pPr>
      <w:r>
        <w:rPr>
          <w:rStyle w:val="18"/>
          <w:rFonts w:hint="eastAsia" w:ascii="仿宋" w:hAnsi="仿宋" w:eastAsia="仿宋"/>
          <w:color w:val="000000" w:themeColor="text1"/>
          <w:sz w:val="24"/>
          <w:u w:val="none"/>
        </w:rPr>
        <w:t>十、</w:t>
      </w:r>
      <w:r>
        <w:rPr>
          <w:rFonts w:hint="eastAsia"/>
          <w:sz w:val="24"/>
        </w:rPr>
        <w:t>其他重要事项的情况说明</w:t>
      </w:r>
      <w:r>
        <w:rPr>
          <w:rFonts w:ascii="仿宋" w:hAnsi="仿宋" w:eastAsia="仿宋"/>
          <w:sz w:val="24"/>
        </w:rPr>
        <w:tab/>
      </w:r>
      <w:r>
        <w:rPr>
          <w:rFonts w:hint="eastAsia" w:ascii="仿宋" w:hAnsi="仿宋" w:eastAsia="仿宋"/>
          <w:sz w:val="24"/>
        </w:rPr>
        <w:t xml:space="preserve">  13</w:t>
      </w:r>
    </w:p>
    <w:p w14:paraId="20DC6DC1">
      <w:pPr>
        <w:pStyle w:val="11"/>
        <w:adjustRightInd w:val="0"/>
        <w:snapToGrid w:val="0"/>
        <w:spacing w:before="0" w:line="440" w:lineRule="exact"/>
        <w:jc w:val="left"/>
        <w:rPr>
          <w:rFonts w:cstheme="minorBidi"/>
          <w:sz w:val="24"/>
          <w:szCs w:val="24"/>
        </w:rPr>
      </w:pPr>
      <w:r>
        <w:rPr>
          <w:rFonts w:hint="eastAsia"/>
          <w:sz w:val="24"/>
        </w:rPr>
        <w:t>第三部分名词解释 14-16</w:t>
      </w:r>
    </w:p>
    <w:p w14:paraId="7BA442D1">
      <w:pPr>
        <w:pStyle w:val="11"/>
        <w:adjustRightInd w:val="0"/>
        <w:snapToGrid w:val="0"/>
        <w:spacing w:before="0" w:line="440" w:lineRule="exact"/>
        <w:jc w:val="left"/>
        <w:rPr>
          <w:rFonts w:cstheme="minorBidi"/>
          <w:sz w:val="24"/>
          <w:szCs w:val="24"/>
        </w:rPr>
      </w:pPr>
      <w:r>
        <w:rPr>
          <w:rFonts w:hint="eastAsia"/>
          <w:sz w:val="24"/>
        </w:rPr>
        <w:t>第四部分附件</w:t>
      </w:r>
    </w:p>
    <w:p w14:paraId="691BEF36">
      <w:pPr>
        <w:pStyle w:val="12"/>
        <w:adjustRightInd w:val="0"/>
        <w:snapToGrid w:val="0"/>
        <w:spacing w:line="440" w:lineRule="exact"/>
        <w:jc w:val="left"/>
        <w:rPr>
          <w:rFonts w:ascii="仿宋" w:hAnsi="仿宋" w:eastAsia="仿宋" w:cstheme="minorBidi"/>
          <w:sz w:val="24"/>
        </w:rPr>
      </w:pPr>
      <w:r>
        <w:rPr>
          <w:rFonts w:hint="eastAsia"/>
          <w:sz w:val="24"/>
        </w:rPr>
        <w:t>附件</w:t>
      </w:r>
      <w:r>
        <w:rPr>
          <w:sz w:val="24"/>
        </w:rPr>
        <w:t>1</w:t>
      </w:r>
      <w:r>
        <w:rPr>
          <w:rFonts w:hint="eastAsia"/>
          <w:sz w:val="24"/>
        </w:rPr>
        <w:t xml:space="preserve"> 17-19</w:t>
      </w:r>
    </w:p>
    <w:p w14:paraId="45A7F1A0">
      <w:pPr>
        <w:pStyle w:val="11"/>
        <w:adjustRightInd w:val="0"/>
        <w:snapToGrid w:val="0"/>
        <w:spacing w:before="0" w:line="440" w:lineRule="exact"/>
        <w:jc w:val="left"/>
        <w:rPr>
          <w:rFonts w:cstheme="minorBidi"/>
          <w:sz w:val="24"/>
          <w:szCs w:val="24"/>
        </w:rPr>
      </w:pPr>
      <w:r>
        <w:rPr>
          <w:rFonts w:hint="eastAsia"/>
          <w:sz w:val="24"/>
        </w:rPr>
        <w:t>第五部分附表</w:t>
      </w:r>
    </w:p>
    <w:p w14:paraId="4CF0A144">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一、</w:t>
      </w:r>
      <w:r>
        <w:rPr>
          <w:rFonts w:hint="eastAsia"/>
          <w:sz w:val="24"/>
        </w:rPr>
        <w:t>收入支出决算总表</w:t>
      </w:r>
    </w:p>
    <w:p w14:paraId="25487735">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p>
    <w:p w14:paraId="47AEE870">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w:t>
      </w:r>
    </w:p>
    <w:p w14:paraId="4785AA0B">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四、</w:t>
      </w:r>
      <w:r>
        <w:rPr>
          <w:rFonts w:hint="eastAsia"/>
          <w:sz w:val="24"/>
        </w:rPr>
        <w:t>财政拨款收入支出决算总表</w:t>
      </w:r>
    </w:p>
    <w:p w14:paraId="6A3BDC09">
      <w:pPr>
        <w:pStyle w:val="12"/>
        <w:adjustRightInd w:val="0"/>
        <w:snapToGrid w:val="0"/>
        <w:spacing w:line="440" w:lineRule="exact"/>
        <w:jc w:val="left"/>
        <w:rPr>
          <w:rFonts w:ascii="仿宋" w:hAnsi="仿宋" w:eastAsia="仿宋"/>
          <w:sz w:val="24"/>
        </w:rPr>
      </w:pPr>
      <w:r>
        <w:rPr>
          <w:rFonts w:hint="eastAsia" w:ascii="仿宋" w:hAnsi="仿宋" w:eastAsia="仿宋"/>
          <w:sz w:val="24"/>
        </w:rPr>
        <w:t>五、财政拨款支出决算明细表</w:t>
      </w:r>
    </w:p>
    <w:p w14:paraId="38A14338">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六、</w:t>
      </w:r>
      <w:r>
        <w:rPr>
          <w:rFonts w:hint="eastAsia"/>
          <w:sz w:val="24"/>
        </w:rPr>
        <w:t>一般公共预算财政拨款支出决算表</w:t>
      </w:r>
    </w:p>
    <w:p w14:paraId="434D7657">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七、</w:t>
      </w:r>
      <w:r>
        <w:rPr>
          <w:rFonts w:hint="eastAsia"/>
          <w:sz w:val="24"/>
        </w:rPr>
        <w:t>一般公共预算财政拨款支出决算明细表</w:t>
      </w:r>
    </w:p>
    <w:p w14:paraId="6B162259">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八、</w:t>
      </w:r>
      <w:r>
        <w:rPr>
          <w:rFonts w:hint="eastAsia"/>
          <w:sz w:val="24"/>
        </w:rPr>
        <w:t>一般公共预算财政拨款基本支出决算表</w:t>
      </w:r>
    </w:p>
    <w:p w14:paraId="49950E77">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九、</w:t>
      </w:r>
      <w:r>
        <w:rPr>
          <w:rFonts w:hint="eastAsia"/>
          <w:sz w:val="24"/>
        </w:rPr>
        <w:t>一般公共预算财政拨款项目支出决算表</w:t>
      </w:r>
    </w:p>
    <w:p w14:paraId="520F593C">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十、</w:t>
      </w:r>
      <w:r>
        <w:rPr>
          <w:rFonts w:hint="eastAsia"/>
          <w:sz w:val="24"/>
        </w:rPr>
        <w:t>一般公共预算财政拨款“三公”经费支出决算表</w:t>
      </w:r>
    </w:p>
    <w:p w14:paraId="1F11A12D">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十一、</w:t>
      </w:r>
      <w:r>
        <w:rPr>
          <w:rFonts w:hint="eastAsia"/>
          <w:sz w:val="24"/>
        </w:rPr>
        <w:t>政府性基金预算财政拨款收入支出决算表</w:t>
      </w:r>
    </w:p>
    <w:p w14:paraId="74A183CC">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十二、</w:t>
      </w:r>
      <w:r>
        <w:rPr>
          <w:rFonts w:hint="eastAsia"/>
          <w:sz w:val="24"/>
        </w:rPr>
        <w:t>政府性基金预算财政拨款“三公”经费支出决算表</w:t>
      </w:r>
    </w:p>
    <w:p w14:paraId="24427E12">
      <w:pPr>
        <w:pStyle w:val="12"/>
        <w:adjustRightInd w:val="0"/>
        <w:snapToGrid w:val="0"/>
        <w:spacing w:line="440" w:lineRule="exact"/>
        <w:jc w:val="left"/>
        <w:rPr>
          <w:rFonts w:ascii="仿宋" w:hAnsi="仿宋" w:eastAsia="仿宋" w:cstheme="minorBidi"/>
          <w:sz w:val="24"/>
        </w:rPr>
      </w:pPr>
      <w:r>
        <w:rPr>
          <w:rFonts w:hint="eastAsia" w:ascii="仿宋" w:hAnsi="仿宋" w:eastAsia="仿宋"/>
          <w:sz w:val="24"/>
        </w:rPr>
        <w:t>十三、</w:t>
      </w:r>
      <w:r>
        <w:rPr>
          <w:rFonts w:hint="eastAsia"/>
          <w:sz w:val="24"/>
        </w:rPr>
        <w:t>国有资本经营预算支出决算表</w:t>
      </w:r>
    </w:p>
    <w:p w14:paraId="64EFA0C8">
      <w:pPr>
        <w:widowControl/>
        <w:adjustRightInd w:val="0"/>
        <w:snapToGrid w:val="0"/>
        <w:spacing w:line="440" w:lineRule="exact"/>
        <w:ind w:firstLine="1320" w:firstLineChars="550"/>
        <w:jc w:val="left"/>
        <w:rPr>
          <w:rFonts w:ascii="仿宋" w:hAnsi="仿宋" w:eastAsia="仿宋"/>
          <w:color w:val="FF0000"/>
          <w:sz w:val="24"/>
        </w:rPr>
      </w:pPr>
      <w:r>
        <w:rPr>
          <w:rFonts w:ascii="仿宋" w:hAnsi="仿宋" w:eastAsia="仿宋"/>
          <w:color w:val="FF0000"/>
          <w:sz w:val="24"/>
        </w:rPr>
        <w:t>(注：</w:t>
      </w:r>
      <w:r>
        <w:rPr>
          <w:rFonts w:hint="eastAsia" w:ascii="仿宋" w:hAnsi="仿宋" w:eastAsia="仿宋"/>
          <w:color w:val="FF0000"/>
          <w:sz w:val="24"/>
        </w:rPr>
        <w:t>请部门根据实际注明页码</w:t>
      </w:r>
      <w:r>
        <w:rPr>
          <w:rFonts w:ascii="仿宋" w:hAnsi="仿宋" w:eastAsia="仿宋"/>
          <w:color w:val="FF0000"/>
          <w:sz w:val="24"/>
        </w:rPr>
        <w:t>)</w:t>
      </w:r>
    </w:p>
    <w:p w14:paraId="7DFBC0F8">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14:paraId="50A025A4">
      <w:pPr>
        <w:pStyle w:val="2"/>
        <w:jc w:val="center"/>
        <w:rPr>
          <w:rStyle w:val="27"/>
          <w:rFonts w:ascii="黑体" w:hAnsi="黑体" w:eastAsia="黑体"/>
          <w:b/>
          <w:bCs w:val="0"/>
        </w:rPr>
      </w:pPr>
      <w:r>
        <w:rPr>
          <w:rFonts w:hint="eastAsia" w:ascii="黑体" w:hAnsi="黑体" w:eastAsia="黑体"/>
          <w:b w:val="0"/>
        </w:rPr>
        <w:t xml:space="preserve">第一部分 </w:t>
      </w:r>
      <w:r>
        <w:rPr>
          <w:rStyle w:val="27"/>
          <w:rFonts w:hint="eastAsia" w:ascii="黑体" w:hAnsi="黑体" w:eastAsia="黑体"/>
          <w:b w:val="0"/>
          <w:bCs w:val="0"/>
        </w:rPr>
        <w:t>部门概况</w:t>
      </w:r>
      <w:bookmarkEnd w:id="12"/>
      <w:bookmarkEnd w:id="13"/>
    </w:p>
    <w:p w14:paraId="141CB834">
      <w:pPr>
        <w:pStyle w:val="3"/>
        <w:rPr>
          <w:rStyle w:val="28"/>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8"/>
          <w:rFonts w:hint="eastAsia" w:ascii="黑体" w:hAnsi="黑体" w:eastAsia="黑体"/>
          <w:b w:val="0"/>
          <w:bCs w:val="0"/>
        </w:rPr>
        <w:t>本职能及主要工作</w:t>
      </w:r>
      <w:bookmarkEnd w:id="14"/>
      <w:bookmarkEnd w:id="15"/>
    </w:p>
    <w:p w14:paraId="57778475">
      <w:pPr>
        <w:pStyle w:val="5"/>
        <w:adjustRightInd w:val="0"/>
        <w:snapToGrid w:val="0"/>
        <w:spacing w:before="93" w:line="600" w:lineRule="exact"/>
        <w:ind w:firstLine="672" w:firstLineChars="210"/>
        <w:outlineLvl w:val="2"/>
        <w:rPr>
          <w:rFonts w:ascii="仿宋" w:hAnsi="仿宋" w:eastAsia="仿宋"/>
          <w:bCs/>
          <w:color w:val="000000"/>
          <w:sz w:val="32"/>
          <w:szCs w:val="32"/>
        </w:rPr>
      </w:pPr>
      <w:bookmarkStart w:id="16" w:name="_Toc15377198"/>
      <w:bookmarkStart w:id="17" w:name="_Toc15378445"/>
      <w:r>
        <w:rPr>
          <w:rFonts w:hint="eastAsia" w:ascii="仿宋" w:hAnsi="仿宋" w:eastAsia="仿宋"/>
          <w:bCs/>
          <w:color w:val="000000"/>
          <w:sz w:val="32"/>
          <w:szCs w:val="32"/>
        </w:rPr>
        <w:t>（一）主要职能。（职能参照省政府批准的三定方案）</w:t>
      </w:r>
      <w:bookmarkEnd w:id="16"/>
      <w:bookmarkEnd w:id="17"/>
    </w:p>
    <w:p w14:paraId="4919E18A">
      <w:pPr>
        <w:ind w:left="600"/>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（一）基本职能</w:t>
      </w:r>
    </w:p>
    <w:p w14:paraId="284B131C">
      <w:pPr>
        <w:widowControl/>
        <w:spacing w:line="570" w:lineRule="atLeast"/>
        <w:ind w:firstLine="480"/>
        <w:jc w:val="left"/>
        <w:rPr>
          <w:rFonts w:ascii="仿宋_GB2312" w:eastAsia="仿宋_GB2312"/>
          <w:color w:val="333333"/>
          <w:kern w:val="0"/>
          <w:sz w:val="32"/>
          <w:szCs w:val="32"/>
        </w:rPr>
      </w:pPr>
      <w:r>
        <w:rPr>
          <w:rFonts w:ascii="仿宋_GB2312" w:eastAsia="仿宋_GB2312" w:cs="仿宋_GB2312"/>
          <w:color w:val="000000"/>
          <w:kern w:val="0"/>
          <w:sz w:val="32"/>
          <w:szCs w:val="32"/>
        </w:rPr>
        <w:t>（</w:t>
      </w:r>
      <w:r>
        <w:rPr>
          <w:rFonts w:ascii="仿宋_GB2312" w:eastAsia="仿宋_GB2312"/>
          <w:color w:val="333333"/>
          <w:kern w:val="0"/>
          <w:sz w:val="32"/>
          <w:szCs w:val="32"/>
        </w:rPr>
        <w:t>1）传播国际红十字运动知识和国际人道主义法，宣传和执行《中华人民共和国红十字会法》和《四川省实施＜中华人民共和国红十字会法＞办法》等法律、法规，遵循《中国红十字会章程》，依法建会、治会、兴会。</w:t>
      </w:r>
    </w:p>
    <w:p w14:paraId="767770DD">
      <w:pPr>
        <w:widowControl/>
        <w:spacing w:line="570" w:lineRule="atLeast"/>
        <w:ind w:firstLine="480"/>
        <w:jc w:val="left"/>
        <w:rPr>
          <w:rFonts w:ascii="仿宋_GB2312" w:eastAsia="仿宋_GB2312"/>
          <w:color w:val="333333"/>
          <w:kern w:val="0"/>
          <w:sz w:val="32"/>
          <w:szCs w:val="32"/>
        </w:rPr>
      </w:pPr>
      <w:r>
        <w:rPr>
          <w:rFonts w:ascii="仿宋_GB2312" w:eastAsia="仿宋_GB2312"/>
          <w:color w:val="333333"/>
          <w:kern w:val="0"/>
          <w:sz w:val="32"/>
          <w:szCs w:val="32"/>
        </w:rPr>
        <w:t>（2）开展备灾救灾工作。建立应急救援队伍；储备救灾物资，建设和管理备灾救灾设施；在自然灾害和突发事件中，开展救护和救助工作；根据自然灾害和突发事件的具体情况，在辖区内发出呼吁，依法接受</w:t>
      </w:r>
      <w:r>
        <w:rPr>
          <w:rFonts w:hint="eastAsia" w:ascii="仿宋_GB2312" w:eastAsia="仿宋_GB2312"/>
          <w:color w:val="333333"/>
          <w:kern w:val="0"/>
          <w:sz w:val="32"/>
          <w:szCs w:val="32"/>
        </w:rPr>
        <w:t>单位</w:t>
      </w:r>
      <w:r>
        <w:rPr>
          <w:rFonts w:ascii="仿宋_GB2312" w:eastAsia="仿宋_GB2312"/>
          <w:color w:val="333333"/>
          <w:kern w:val="0"/>
          <w:sz w:val="32"/>
          <w:szCs w:val="32"/>
        </w:rPr>
        <w:t>和个人的捐赠；及时向灾区群众和受难者提供急需的人道救助，参与灾后重建。</w:t>
      </w:r>
    </w:p>
    <w:p w14:paraId="24EF168E">
      <w:pPr>
        <w:widowControl/>
        <w:spacing w:line="570" w:lineRule="atLeast"/>
        <w:ind w:firstLine="480"/>
        <w:jc w:val="left"/>
        <w:rPr>
          <w:rFonts w:ascii="仿宋_GB2312" w:eastAsia="仿宋_GB2312"/>
          <w:color w:val="333333"/>
          <w:kern w:val="0"/>
          <w:sz w:val="32"/>
          <w:szCs w:val="32"/>
        </w:rPr>
      </w:pPr>
      <w:r>
        <w:rPr>
          <w:rFonts w:ascii="仿宋_GB2312" w:eastAsia="仿宋_GB2312"/>
          <w:color w:val="333333"/>
          <w:kern w:val="0"/>
          <w:sz w:val="32"/>
          <w:szCs w:val="32"/>
        </w:rPr>
        <w:t>（3）开展应急救护和防病知识的宣传、普及、培训；组织群众参加意外伤害和自然灾害的现场救护。</w:t>
      </w:r>
    </w:p>
    <w:p w14:paraId="42A52BB0">
      <w:pPr>
        <w:widowControl/>
        <w:spacing w:line="570" w:lineRule="atLeast"/>
        <w:ind w:firstLine="480"/>
        <w:jc w:val="left"/>
        <w:rPr>
          <w:rFonts w:ascii="仿宋_GB2312" w:eastAsia="仿宋_GB2312"/>
          <w:color w:val="333333"/>
          <w:kern w:val="0"/>
          <w:sz w:val="32"/>
          <w:szCs w:val="32"/>
        </w:rPr>
      </w:pPr>
      <w:r>
        <w:rPr>
          <w:rFonts w:ascii="仿宋_GB2312" w:eastAsia="仿宋_GB2312"/>
          <w:color w:val="333333"/>
          <w:kern w:val="0"/>
          <w:sz w:val="32"/>
          <w:szCs w:val="32"/>
        </w:rPr>
        <w:t>（4）发展红十字基层组织，开展红十字青少年工作和红十字志愿服务活动。</w:t>
      </w:r>
    </w:p>
    <w:p w14:paraId="3E158CAE">
      <w:pPr>
        <w:widowControl/>
        <w:spacing w:line="570" w:lineRule="atLeast"/>
        <w:ind w:firstLine="480"/>
        <w:jc w:val="left"/>
        <w:rPr>
          <w:rFonts w:ascii="仿宋_GB2312" w:eastAsia="仿宋_GB2312"/>
          <w:color w:val="333333"/>
          <w:kern w:val="0"/>
          <w:sz w:val="32"/>
          <w:szCs w:val="32"/>
        </w:rPr>
      </w:pPr>
      <w:r>
        <w:rPr>
          <w:rFonts w:ascii="仿宋_GB2312" w:eastAsia="仿宋_GB2312"/>
          <w:color w:val="333333"/>
          <w:kern w:val="0"/>
          <w:sz w:val="32"/>
          <w:szCs w:val="32"/>
        </w:rPr>
        <w:t>（5）开展无偿献血的宣传动员工作；开展捐献造血干细胞的宣传动员；依法开展和推动人体器官（组织）捐献有关工作；开展预防艾滋病宣传工作。</w:t>
      </w:r>
    </w:p>
    <w:p w14:paraId="43C280AA">
      <w:pPr>
        <w:widowControl/>
        <w:spacing w:line="570" w:lineRule="atLeast"/>
        <w:ind w:firstLine="480"/>
        <w:jc w:val="left"/>
        <w:rPr>
          <w:rFonts w:ascii="仿宋_GB2312" w:eastAsia="仿宋_GB2312"/>
          <w:color w:val="333333"/>
          <w:kern w:val="0"/>
          <w:sz w:val="32"/>
          <w:szCs w:val="32"/>
        </w:rPr>
      </w:pPr>
      <w:r>
        <w:rPr>
          <w:rFonts w:ascii="仿宋_GB2312" w:eastAsia="仿宋_GB2312"/>
          <w:color w:val="333333"/>
          <w:kern w:val="0"/>
          <w:sz w:val="32"/>
          <w:szCs w:val="32"/>
        </w:rPr>
        <w:t>（6）开展人道救助和相关服务工作。为易受损人群进行救助，为困难群众提供服务。</w:t>
      </w:r>
    </w:p>
    <w:p w14:paraId="476F29DB">
      <w:pPr>
        <w:widowControl/>
        <w:spacing w:line="570" w:lineRule="atLeast"/>
        <w:ind w:firstLine="480"/>
        <w:jc w:val="left"/>
        <w:rPr>
          <w:rFonts w:ascii="仿宋_GB2312" w:eastAsia="仿宋_GB2312"/>
          <w:color w:val="333333"/>
          <w:kern w:val="0"/>
          <w:sz w:val="32"/>
          <w:szCs w:val="32"/>
        </w:rPr>
      </w:pPr>
      <w:r>
        <w:rPr>
          <w:rFonts w:ascii="仿宋_GB2312" w:eastAsia="仿宋_GB2312"/>
          <w:color w:val="333333"/>
          <w:kern w:val="0"/>
          <w:sz w:val="32"/>
          <w:szCs w:val="32"/>
        </w:rPr>
        <w:t>（7）依法开展募捐活动福利事业；指导和监督实施红十字会援建项目。</w:t>
      </w:r>
    </w:p>
    <w:p w14:paraId="2866047F">
      <w:pPr>
        <w:pStyle w:val="5"/>
        <w:adjustRightInd w:val="0"/>
        <w:snapToGrid w:val="0"/>
        <w:spacing w:before="93" w:line="600" w:lineRule="exact"/>
        <w:outlineLvl w:val="2"/>
        <w:rPr>
          <w:rFonts w:ascii="仿宋" w:hAnsi="仿宋" w:eastAsia="仿宋"/>
          <w:bCs/>
          <w:color w:val="000000"/>
          <w:sz w:val="32"/>
          <w:szCs w:val="32"/>
        </w:rPr>
      </w:pPr>
      <w:bookmarkStart w:id="18" w:name="_Toc15378446"/>
      <w:bookmarkStart w:id="19" w:name="_Toc15377199"/>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18"/>
      <w:bookmarkEnd w:id="19"/>
    </w:p>
    <w:p w14:paraId="4DC17FAB">
      <w:pPr>
        <w:spacing w:line="560" w:lineRule="exact"/>
        <w:ind w:firstLine="640" w:firstLineChars="200"/>
        <w:rPr>
          <w:rFonts w:ascii="仿宋_GB2312" w:hAnsi="Adobe 楷体 Std R" w:eastAsia="仿宋_GB2312"/>
          <w:color w:val="000000"/>
          <w:sz w:val="32"/>
          <w:szCs w:val="32"/>
        </w:rPr>
      </w:pPr>
      <w:r>
        <w:rPr>
          <w:rFonts w:hint="eastAsia" w:ascii="仿宋_GB2312" w:eastAsia="仿宋_GB2312"/>
          <w:color w:val="333333"/>
          <w:kern w:val="0"/>
          <w:sz w:val="32"/>
          <w:szCs w:val="32"/>
        </w:rPr>
        <w:t>2019年，我会将按照省、州红十字会的具体工作安排，以</w:t>
      </w:r>
      <w:r>
        <w:rPr>
          <w:rFonts w:hint="eastAsia" w:ascii="仿宋_GB2312" w:eastAsia="仿宋_GB2312"/>
          <w:color w:val="333333"/>
          <w:kern w:val="0"/>
          <w:sz w:val="32"/>
          <w:szCs w:val="32"/>
          <w:lang w:val="en-US" w:eastAsia="zh-CN"/>
        </w:rPr>
        <w:t>党的</w:t>
      </w:r>
      <w:bookmarkStart w:id="60" w:name="_GoBack"/>
      <w:bookmarkEnd w:id="60"/>
      <w:r>
        <w:rPr>
          <w:rFonts w:hint="eastAsia" w:ascii="仿宋_GB2312" w:eastAsia="仿宋_GB2312"/>
          <w:color w:val="333333"/>
          <w:kern w:val="0"/>
          <w:sz w:val="32"/>
          <w:szCs w:val="32"/>
        </w:rPr>
        <w:t>十九大精神为指导，扎实开展红十字会各项工作，努力推进我县红十字事业快速发展。我会重点开展以下工作</w:t>
      </w:r>
      <w:r>
        <w:rPr>
          <w:rFonts w:hint="eastAsia" w:ascii="仿宋_GB2312" w:hAnsi="Adobe 楷体 Std R" w:eastAsia="仿宋_GB2312"/>
          <w:color w:val="000000"/>
          <w:sz w:val="32"/>
          <w:szCs w:val="32"/>
        </w:rPr>
        <w:t>：</w:t>
      </w:r>
    </w:p>
    <w:p w14:paraId="0BF0215E">
      <w:pPr>
        <w:widowControl/>
        <w:shd w:val="clear" w:color="auto" w:fill="FFFFFF"/>
        <w:spacing w:line="560" w:lineRule="atLeast"/>
        <w:ind w:firstLine="320" w:firstLineChars="100"/>
        <w:jc w:val="left"/>
        <w:rPr>
          <w:rFonts w:ascii="仿宋_GB2312" w:eastAsia="仿宋_GB2312"/>
          <w:color w:val="333333"/>
          <w:kern w:val="0"/>
          <w:sz w:val="32"/>
          <w:szCs w:val="32"/>
        </w:rPr>
      </w:pPr>
      <w:bookmarkStart w:id="20" w:name="_Toc15377200"/>
      <w:bookmarkStart w:id="21" w:name="_Toc15396601"/>
      <w:r>
        <w:rPr>
          <w:rFonts w:hint="eastAsia" w:ascii="仿宋_GB2312" w:eastAsia="仿宋_GB2312"/>
          <w:color w:val="333333"/>
          <w:kern w:val="0"/>
          <w:sz w:val="32"/>
          <w:szCs w:val="32"/>
        </w:rPr>
        <w:t>1.狠抓机关队伍建设，强化为民服务意识。今年以来，红十字会按照群团改革要求，强“三性”、去“四化”，建立健全规章制度，依法依规公开办事，简化办事程序，提高办事效率，提升服务水平；严格落实廉政勤政规定，严明组织纪律、工作纪律、财经纪律、生活纪律，在群团党组的领导下，积极投身巡回服务，眼睛向下、力量下沉，密切保持与群众的血肉联系，切实为群众办实事、解难事，充分发挥党和政府在人道救助领域的助手作用，以新作风、新成效、新形象全面推进红十字会各项工作，不断提高红十字会的影响力、公信力。</w:t>
      </w:r>
    </w:p>
    <w:p w14:paraId="40705480">
      <w:pPr>
        <w:spacing w:line="360" w:lineRule="auto"/>
        <w:ind w:firstLine="480" w:firstLineChars="150"/>
        <w:rPr>
          <w:rFonts w:ascii="仿宋_GB2312" w:eastAsia="仿宋_GB2312"/>
          <w:color w:val="333333"/>
          <w:kern w:val="0"/>
          <w:sz w:val="32"/>
          <w:szCs w:val="32"/>
        </w:rPr>
      </w:pPr>
      <w:r>
        <w:rPr>
          <w:rFonts w:hint="eastAsia" w:ascii="仿宋_GB2312" w:eastAsia="仿宋_GB2312"/>
          <w:color w:val="333333"/>
          <w:kern w:val="0"/>
          <w:sz w:val="32"/>
          <w:szCs w:val="32"/>
        </w:rPr>
        <w:t>2.加强宣传和青少年工作。2019年5月开展助残博爱脱贫奔康到乡镇，选拔运动员 。</w:t>
      </w:r>
    </w:p>
    <w:p w14:paraId="42F215D5">
      <w:pPr>
        <w:spacing w:line="360" w:lineRule="auto"/>
        <w:ind w:firstLine="480" w:firstLineChars="150"/>
        <w:rPr>
          <w:rFonts w:ascii="仿宋_GB2312" w:eastAsia="仿宋_GB2312"/>
          <w:color w:val="333333"/>
          <w:kern w:val="0"/>
          <w:sz w:val="32"/>
          <w:szCs w:val="32"/>
        </w:rPr>
      </w:pPr>
      <w:r>
        <w:rPr>
          <w:rFonts w:hint="eastAsia" w:ascii="仿宋_GB2312" w:eastAsia="仿宋_GB2312"/>
          <w:color w:val="333333"/>
          <w:kern w:val="0"/>
          <w:sz w:val="32"/>
          <w:szCs w:val="32"/>
        </w:rPr>
        <w:t>3.灵活开展普及培训，针对性开展救护员培训。开展989人次普及培训，开展五次救护员培训，401人获得救护员证书。</w:t>
      </w:r>
    </w:p>
    <w:p w14:paraId="1E6D016D">
      <w:pPr>
        <w:spacing w:line="360" w:lineRule="auto"/>
        <w:ind w:firstLine="800" w:firstLineChars="250"/>
        <w:rPr>
          <w:rFonts w:ascii="仿宋_GB2312" w:eastAsia="仿宋_GB2312"/>
          <w:color w:val="333333"/>
          <w:kern w:val="0"/>
          <w:sz w:val="32"/>
          <w:szCs w:val="32"/>
        </w:rPr>
      </w:pPr>
      <w:r>
        <w:rPr>
          <w:rFonts w:hint="eastAsia" w:ascii="仿宋_GB2312" w:eastAsia="仿宋_GB2312"/>
          <w:color w:val="333333"/>
          <w:kern w:val="0"/>
          <w:sz w:val="32"/>
          <w:szCs w:val="32"/>
        </w:rPr>
        <w:t>4.会员志愿者工作。加强宣传动员，推进会员和基层组织发展。主动到县级部门和乡镇机关发展会员和志愿者，鼓励城乡有志青年踊跃加入红十字组织，到17个乡镇开展建立红会基层组织的筹备工作。今年共发展红十字会员16个，志愿者22人，发展18个团体会员，分别为应急救援、救护、学校及社会需要的志愿者提供帮助和服务。</w:t>
      </w:r>
    </w:p>
    <w:p w14:paraId="050E603C">
      <w:pPr>
        <w:shd w:val="clear" w:color="auto" w:fill="FFFFFF"/>
        <w:spacing w:line="360" w:lineRule="auto"/>
        <w:ind w:firstLine="640" w:firstLineChars="200"/>
        <w:rPr>
          <w:rFonts w:ascii="仿宋_GB2312" w:eastAsia="仿宋_GB2312"/>
          <w:color w:val="333333"/>
          <w:kern w:val="0"/>
          <w:sz w:val="32"/>
          <w:szCs w:val="32"/>
        </w:rPr>
      </w:pPr>
      <w:r>
        <w:rPr>
          <w:rFonts w:hint="eastAsia" w:ascii="仿宋_GB2312" w:eastAsia="仿宋_GB2312"/>
          <w:color w:val="333333"/>
          <w:kern w:val="0"/>
          <w:sz w:val="32"/>
          <w:szCs w:val="32"/>
        </w:rPr>
        <w:t>5. 募集扶贫捐款104701元，争取发放救灾物资12万元；争取邛崃市红会捐赠培训器材24900元。</w:t>
      </w:r>
    </w:p>
    <w:p w14:paraId="408B672D">
      <w:pPr>
        <w:spacing w:line="360" w:lineRule="auto"/>
        <w:ind w:firstLine="672"/>
        <w:rPr>
          <w:rFonts w:ascii="仿宋_GB2312" w:eastAsia="仿宋_GB2312"/>
          <w:color w:val="333333"/>
          <w:kern w:val="0"/>
          <w:sz w:val="32"/>
          <w:szCs w:val="32"/>
        </w:rPr>
      </w:pPr>
      <w:r>
        <w:rPr>
          <w:rFonts w:hint="eastAsia" w:ascii="仿宋_GB2312" w:eastAsia="仿宋_GB2312"/>
          <w:color w:val="333333"/>
          <w:kern w:val="0"/>
          <w:sz w:val="32"/>
          <w:szCs w:val="32"/>
        </w:rPr>
        <w:t>6. 积极开展人道主义、博家送万家，帮扶等工作深入乡镇，通过乡镇及机关单位发放了博爱箱80个，家庭包72，棉衣680件，棉被550床，毛毯769床；争取州红会资金40000元，慰问80户困难户。</w:t>
      </w:r>
    </w:p>
    <w:p w14:paraId="016D79A5">
      <w:pPr>
        <w:spacing w:line="360" w:lineRule="auto"/>
        <w:ind w:firstLine="640" w:firstLineChars="200"/>
        <w:rPr>
          <w:rFonts w:ascii="仿宋_GB2312" w:eastAsia="仿宋_GB2312"/>
          <w:color w:val="333333"/>
          <w:kern w:val="0"/>
          <w:sz w:val="32"/>
          <w:szCs w:val="32"/>
        </w:rPr>
      </w:pPr>
      <w:r>
        <w:rPr>
          <w:rFonts w:hint="eastAsia" w:ascii="仿宋_GB2312" w:eastAsia="仿宋_GB2312"/>
          <w:color w:val="333333"/>
          <w:kern w:val="0"/>
          <w:sz w:val="32"/>
          <w:szCs w:val="32"/>
        </w:rPr>
        <w:t>7.全力参与灾后重建、博爱家园项目建设。积极参与县第一小学和七一南坪中学重建项目建设（投入资金约2500万元），目前两项目正在有序建设中。投入25万元建设扒拉沟博爱家园建设卫生室、培训场所，现已验收合格并投入使用，完成21万元捐建大录村防护栏建设，现已基本完工；继续加强对羊足山、上安乐村博爱家园生计项目的监管和督导。</w:t>
      </w:r>
    </w:p>
    <w:p w14:paraId="3474671A">
      <w:pPr>
        <w:ind w:firstLine="480" w:firstLineChars="150"/>
        <w:rPr>
          <w:rFonts w:ascii="仿宋_GB2312" w:eastAsia="仿宋_GB2312"/>
          <w:color w:val="333333"/>
          <w:kern w:val="0"/>
          <w:sz w:val="32"/>
          <w:szCs w:val="32"/>
        </w:rPr>
      </w:pPr>
      <w:r>
        <w:rPr>
          <w:rFonts w:hint="eastAsia" w:ascii="仿宋_GB2312" w:eastAsia="仿宋_GB2312"/>
          <w:color w:val="333333"/>
          <w:kern w:val="0"/>
          <w:sz w:val="32"/>
          <w:szCs w:val="32"/>
        </w:rPr>
        <w:t>8.协助完成献血任务。配合县卫计局开展无偿献血活动。</w:t>
      </w:r>
    </w:p>
    <w:p w14:paraId="5E84D0BC">
      <w:pPr>
        <w:pStyle w:val="3"/>
        <w:rPr>
          <w:rStyle w:val="28"/>
          <w:b w:val="0"/>
          <w:bCs w:val="0"/>
        </w:rPr>
      </w:pPr>
      <w:r>
        <w:rPr>
          <w:rFonts w:hint="eastAsia" w:ascii="黑体" w:eastAsia="黑体"/>
          <w:b w:val="0"/>
          <w:color w:val="000000"/>
        </w:rPr>
        <w:t>二、</w:t>
      </w:r>
      <w:r>
        <w:rPr>
          <w:rFonts w:hint="eastAsia" w:ascii="黑体" w:hAnsi="黑体" w:eastAsia="黑体"/>
          <w:b w:val="0"/>
          <w:color w:val="000000"/>
        </w:rPr>
        <w:t>机</w:t>
      </w:r>
      <w:r>
        <w:rPr>
          <w:rStyle w:val="28"/>
          <w:rFonts w:hint="eastAsia" w:ascii="黑体" w:hAnsi="黑体" w:eastAsia="黑体"/>
          <w:b w:val="0"/>
          <w:bCs w:val="0"/>
        </w:rPr>
        <w:t>构设置</w:t>
      </w:r>
      <w:bookmarkEnd w:id="20"/>
      <w:bookmarkEnd w:id="21"/>
    </w:p>
    <w:p w14:paraId="3F3E0CB5">
      <w:pPr>
        <w:spacing w:line="240" w:lineRule="atLeast"/>
        <w:ind w:firstLine="640" w:firstLineChars="200"/>
        <w:rPr>
          <w:rFonts w:ascii="仿宋_GB2312" w:eastAsia="仿宋_GB2312"/>
          <w:color w:val="333333"/>
          <w:kern w:val="0"/>
          <w:sz w:val="32"/>
          <w:szCs w:val="32"/>
        </w:rPr>
      </w:pPr>
      <w:r>
        <w:rPr>
          <w:rFonts w:hint="eastAsia" w:ascii="仿宋_GB2312" w:eastAsia="仿宋_GB2312"/>
          <w:color w:val="333333"/>
          <w:kern w:val="0"/>
          <w:sz w:val="32"/>
          <w:szCs w:val="32"/>
        </w:rPr>
        <w:t>我会成立于2008年，是参照公务员管理的事业单位，内设机构编制两个,人员编制5人，现有职工6人,科级领导干部2人、核定车辆数1辆 。财政供养人员编制为5名， 2019年实际财政供养人员6人，较上年增加1人。在职 6人， 离退休0人。</w:t>
      </w:r>
    </w:p>
    <w:p w14:paraId="120CE178">
      <w:pPr>
        <w:widowControl/>
        <w:jc w:val="left"/>
        <w:rPr>
          <w:rFonts w:ascii="仿宋_GB2312" w:eastAsia="仿宋_GB2312"/>
          <w:color w:val="333333"/>
          <w:kern w:val="0"/>
          <w:sz w:val="32"/>
          <w:szCs w:val="32"/>
        </w:rPr>
      </w:pPr>
      <w:r>
        <w:rPr>
          <w:rFonts w:ascii="仿宋_GB2312" w:eastAsia="仿宋_GB2312"/>
          <w:color w:val="333333"/>
          <w:kern w:val="0"/>
          <w:sz w:val="32"/>
          <w:szCs w:val="32"/>
        </w:rPr>
        <w:br w:type="page"/>
      </w:r>
    </w:p>
    <w:p w14:paraId="2AE02B49">
      <w:pPr>
        <w:pStyle w:val="2"/>
        <w:ind w:right="1320"/>
        <w:jc w:val="center"/>
        <w:rPr>
          <w:rStyle w:val="27"/>
          <w:rFonts w:ascii="黑体" w:hAnsi="黑体" w:eastAsia="黑体"/>
          <w:b w:val="0"/>
          <w:bCs w:val="0"/>
        </w:rPr>
      </w:pPr>
      <w:bookmarkStart w:id="22" w:name="_Toc15377204"/>
      <w:bookmarkStart w:id="23" w:name="_Toc15396602"/>
      <w:r>
        <w:rPr>
          <w:rFonts w:hint="eastAsia" w:ascii="黑体" w:hAnsi="黑体" w:eastAsia="黑体"/>
          <w:b w:val="0"/>
          <w:color w:val="000000"/>
        </w:rPr>
        <w:t>第二部分</w:t>
      </w:r>
      <w:r>
        <w:rPr>
          <w:rStyle w:val="27"/>
          <w:rFonts w:hint="eastAsia" w:ascii="黑体" w:hAnsi="黑体" w:eastAsia="黑体"/>
          <w:b w:val="0"/>
          <w:bCs w:val="0"/>
        </w:rPr>
        <w:t>2019年度部门决算情况说明</w:t>
      </w:r>
      <w:bookmarkEnd w:id="22"/>
      <w:bookmarkEnd w:id="23"/>
    </w:p>
    <w:p w14:paraId="3EA90523"/>
    <w:p w14:paraId="664B26E9">
      <w:pPr>
        <w:pStyle w:val="26"/>
        <w:numPr>
          <w:ilvl w:val="0"/>
          <w:numId w:val="1"/>
        </w:numPr>
        <w:spacing w:line="600" w:lineRule="exact"/>
        <w:ind w:firstLineChars="0"/>
        <w:outlineLvl w:val="1"/>
        <w:rPr>
          <w:rStyle w:val="28"/>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24"/>
      <w:bookmarkEnd w:id="25"/>
    </w:p>
    <w:p w14:paraId="0E7E899F">
      <w:pPr>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2019年度收、支总计90.03万元。与2018年相比，收、支总计各增加4.61万元，增长5</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。主要变动原因是人员增加。</w:t>
      </w:r>
    </w:p>
    <w:p w14:paraId="1A84CB27">
      <w:pPr>
        <w:pStyle w:val="26"/>
        <w:numPr>
          <w:ilvl w:val="0"/>
          <w:numId w:val="1"/>
        </w:numPr>
        <w:spacing w:line="600" w:lineRule="exact"/>
        <w:ind w:firstLineChars="0"/>
        <w:outlineLvl w:val="1"/>
        <w:rPr>
          <w:rStyle w:val="28"/>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28"/>
          <w:rFonts w:hint="eastAsia" w:ascii="黑体" w:hAnsi="黑体" w:eastAsia="黑体"/>
        </w:rPr>
        <w:t>入决算情况说明</w:t>
      </w:r>
      <w:bookmarkEnd w:id="26"/>
      <w:bookmarkEnd w:id="27"/>
    </w:p>
    <w:p w14:paraId="7C8F7B88">
      <w:pPr>
        <w:spacing w:line="600" w:lineRule="exact"/>
        <w:ind w:firstLine="640" w:firstLineChars="200"/>
        <w:outlineLvl w:val="1"/>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rPr>
        <w:t>9年本年收入合计90.03万元，其中：一般公共预算财政拨款收入90.03万元，占100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w:t>
      </w:r>
    </w:p>
    <w:p w14:paraId="2F246DDB">
      <w:pPr>
        <w:pStyle w:val="26"/>
        <w:numPr>
          <w:ilvl w:val="0"/>
          <w:numId w:val="1"/>
        </w:numPr>
        <w:spacing w:line="600" w:lineRule="exact"/>
        <w:ind w:firstLineChars="0"/>
        <w:outlineLvl w:val="1"/>
        <w:rPr>
          <w:rStyle w:val="28"/>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8"/>
          <w:rFonts w:hint="eastAsia" w:ascii="黑体" w:hAnsi="黑体" w:eastAsia="黑体"/>
        </w:rPr>
        <w:t>出决算情况说明</w:t>
      </w:r>
      <w:bookmarkEnd w:id="28"/>
      <w:bookmarkEnd w:id="29"/>
    </w:p>
    <w:p w14:paraId="3DE218FB">
      <w:pPr>
        <w:spacing w:line="600" w:lineRule="exact"/>
        <w:ind w:firstLine="64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rPr>
        <w:t>9年本年支出合计90.03万元，其中：基本支出90.03万元，占100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w:t>
      </w:r>
    </w:p>
    <w:p w14:paraId="20547913">
      <w:pPr>
        <w:spacing w:line="600" w:lineRule="exact"/>
        <w:ind w:firstLine="640" w:firstLineChars="200"/>
        <w:outlineLvl w:val="1"/>
        <w:rPr>
          <w:rStyle w:val="28"/>
          <w:rFonts w:ascii="黑体" w:hAnsi="黑体" w:eastAsia="黑体"/>
          <w:b w:val="0"/>
        </w:rPr>
      </w:pPr>
      <w:bookmarkStart w:id="30" w:name="_Toc15377208"/>
      <w:bookmarkStart w:id="31" w:name="_Toc15396606"/>
      <w:r>
        <w:rPr>
          <w:rFonts w:hint="eastAsia" w:ascii="黑体" w:hAnsi="黑体" w:eastAsia="黑体"/>
          <w:color w:val="000000"/>
          <w:sz w:val="32"/>
          <w:szCs w:val="32"/>
        </w:rPr>
        <w:t>四、财</w:t>
      </w:r>
      <w:r>
        <w:rPr>
          <w:rStyle w:val="28"/>
          <w:rFonts w:hint="eastAsia" w:ascii="黑体" w:hAnsi="黑体" w:eastAsia="黑体"/>
        </w:rPr>
        <w:t>政拨款收入支出决算总体情况说明</w:t>
      </w:r>
      <w:bookmarkEnd w:id="30"/>
      <w:bookmarkEnd w:id="31"/>
    </w:p>
    <w:p w14:paraId="29B64BFC">
      <w:pPr>
        <w:spacing w:line="600" w:lineRule="exact"/>
        <w:ind w:firstLine="64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rPr>
        <w:t>9年财政拨款收、支总计90.03万元。与</w:t>
      </w: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rPr>
        <w:t>8年相比，财政拨款收、支总计各增加4.61万元，增长5</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。主要变动原因是人员增加。</w:t>
      </w:r>
    </w:p>
    <w:p w14:paraId="4580C77F">
      <w:pPr>
        <w:spacing w:line="600" w:lineRule="exact"/>
        <w:ind w:firstLine="640" w:firstLineChars="200"/>
        <w:outlineLvl w:val="1"/>
        <w:rPr>
          <w:rStyle w:val="28"/>
          <w:rFonts w:ascii="黑体" w:hAnsi="黑体" w:eastAsia="黑体"/>
          <w:b w:val="0"/>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rPr>
        <w:t>般公共预算财政拨款支出决算情况说明</w:t>
      </w:r>
      <w:bookmarkEnd w:id="32"/>
      <w:bookmarkEnd w:id="33"/>
    </w:p>
    <w:p w14:paraId="22AF6E30">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14:paraId="15F296DF">
      <w:pPr>
        <w:spacing w:line="600"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rPr>
        <w:t>9年一般公共预算财政拨款支出90.03万元，占本年支出合计的100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。与</w:t>
      </w: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rPr>
        <w:t>8年相比，一般公共预算财政拨款增加4.61万元，增长5</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。主要变动原因是人员增加。</w:t>
      </w:r>
    </w:p>
    <w:p w14:paraId="03987849">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14:paraId="65751588">
      <w:pPr>
        <w:spacing w:line="600" w:lineRule="exact"/>
        <w:ind w:firstLine="64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rPr>
        <w:t>9年一般公共预算财政拨款支出90.03万元，主要用于以下方面</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社会保障和就业（208）支出77.3万元，占86</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；卫生健康支出（210）支出5.27万元，占6</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；住房保障（221）支出7.46万元，占8</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w:t>
      </w:r>
    </w:p>
    <w:p w14:paraId="754AC589">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14:paraId="7AF86E85">
      <w:pPr>
        <w:spacing w:line="600" w:lineRule="exact"/>
        <w:ind w:firstLine="640"/>
        <w:rPr>
          <w:rFonts w:ascii="仿宋_GB2312" w:hAnsi="仿宋_GB2312" w:eastAsia="仿宋_GB2312" w:cs="仿宋_GB2312"/>
          <w:color w:val="000000"/>
          <w:sz w:val="32"/>
          <w:szCs w:val="32"/>
        </w:rPr>
      </w:pPr>
      <w:bookmarkStart w:id="37" w:name="_Toc15377213"/>
      <w:bookmarkStart w:id="38" w:name="_Toc15377444"/>
      <w:bookmarkStart w:id="39" w:name="_Toc15378460"/>
      <w:r>
        <w:rPr>
          <w:rFonts w:hint="eastAsia" w:ascii="仿宋_GB2312" w:hAnsi="仿宋_GB2312" w:eastAsia="仿宋_GB2312" w:cs="仿宋_GB2312"/>
          <w:color w:val="000000"/>
          <w:sz w:val="32"/>
          <w:szCs w:val="32"/>
        </w:rPr>
        <w:t>2019年般公共预算支出决算数为90.03，完成预算100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。其中：</w:t>
      </w:r>
      <w:bookmarkEnd w:id="37"/>
      <w:bookmarkEnd w:id="38"/>
      <w:bookmarkEnd w:id="39"/>
    </w:p>
    <w:p w14:paraId="7018979E">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社会保障和就业（208）红十字事业（16）行政运行（01）</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支出决算为77.3万元，完成预算100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，决算数等于预算数。</w:t>
      </w:r>
    </w:p>
    <w:p w14:paraId="5EA38427">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卫生健康支出（210）行政事业单位医疗（11）事业单位医疗（02）</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支出决算为5.27万元，完成预算100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，决算数等于预算数。</w:t>
      </w:r>
    </w:p>
    <w:p w14:paraId="73558CE7">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3.住房保障（221）住房改革支出（02）住房公积金（01）:支出决算为7.46万元，完成预算100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，决算数等于预算数</w:t>
      </w:r>
      <w:r>
        <w:rPr>
          <w:rFonts w:hint="eastAsia" w:ascii="仿宋_GB2312" w:hAnsi="仿宋_GB2312" w:eastAsia="仿宋_GB2312" w:cs="仿宋_GB2312"/>
        </w:rPr>
        <w:t>。</w:t>
      </w:r>
    </w:p>
    <w:p w14:paraId="756604EC">
      <w:pPr>
        <w:tabs>
          <w:tab w:val="right" w:pos="8306"/>
        </w:tabs>
        <w:spacing w:line="600" w:lineRule="exact"/>
        <w:ind w:firstLine="640"/>
        <w:outlineLvl w:val="1"/>
        <w:rPr>
          <w:rStyle w:val="28"/>
        </w:rPr>
      </w:pPr>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rPr>
        <w:t>般公共预算财政拨款基本支出决算情况说明</w:t>
      </w:r>
      <w:r>
        <w:rPr>
          <w:rStyle w:val="28"/>
          <w:rFonts w:ascii="黑体" w:hAnsi="黑体" w:eastAsia="黑体"/>
        </w:rPr>
        <w:tab/>
      </w:r>
    </w:p>
    <w:p w14:paraId="7E3DA859">
      <w:pPr>
        <w:spacing w:line="600" w:lineRule="exact"/>
        <w:ind w:firstLine="645"/>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rPr>
        <w:t>9年一般公共预算财政拨款基本支出90.03万元，其中：</w:t>
      </w:r>
    </w:p>
    <w:p w14:paraId="183A60F7">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82.6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公用经费7.43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302AF585">
      <w:pPr>
        <w:spacing w:line="600" w:lineRule="exact"/>
        <w:ind w:firstLine="640"/>
        <w:outlineLvl w:val="1"/>
        <w:rPr>
          <w:rStyle w:val="28"/>
          <w:rFonts w:ascii="黑体" w:hAnsi="黑体" w:eastAsia="黑体"/>
          <w:b w:val="0"/>
        </w:rPr>
      </w:pPr>
      <w:r>
        <w:rPr>
          <w:rFonts w:hint="eastAsia" w:ascii="黑体" w:eastAsia="黑体"/>
          <w:color w:val="000000"/>
          <w:sz w:val="32"/>
          <w:szCs w:val="32"/>
        </w:rPr>
        <w:t>七、</w:t>
      </w:r>
      <w:r>
        <w:rPr>
          <w:rStyle w:val="28"/>
          <w:rFonts w:hint="eastAsia" w:ascii="黑体" w:hAnsi="黑体" w:eastAsia="黑体"/>
        </w:rPr>
        <w:t>“三公”经费财政拨款支出决算情况说明</w:t>
      </w:r>
    </w:p>
    <w:p w14:paraId="51FEE4BB">
      <w:pPr>
        <w:spacing w:line="600" w:lineRule="exact"/>
        <w:ind w:firstLine="640"/>
        <w:outlineLvl w:val="2"/>
        <w:rPr>
          <w:rFonts w:ascii="仿宋" w:hAnsi="仿宋" w:eastAsia="仿宋"/>
          <w:b/>
          <w:color w:val="000000"/>
          <w:sz w:val="32"/>
          <w:szCs w:val="32"/>
        </w:rPr>
      </w:pPr>
      <w:r>
        <w:rPr>
          <w:rFonts w:hint="eastAsia" w:ascii="仿宋" w:hAnsi="仿宋" w:eastAsia="仿宋"/>
          <w:b/>
          <w:color w:val="000000"/>
          <w:sz w:val="32"/>
          <w:szCs w:val="32"/>
        </w:rPr>
        <w:t>（一）“三公”经费财政拨款支出决算总体情况说明</w:t>
      </w:r>
    </w:p>
    <w:p w14:paraId="034960DB">
      <w:pPr>
        <w:spacing w:line="600" w:lineRule="exact"/>
        <w:ind w:firstLine="64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rPr>
        <w:t>9年“三公”经费财政拨款支出决算为0.37万元，完成预算14</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，决算数小于预算数（或与预算数持平）的主要原因是车辆损坏，改为群团统一派车。</w:t>
      </w:r>
    </w:p>
    <w:p w14:paraId="2A69F2C3">
      <w:pPr>
        <w:spacing w:line="600" w:lineRule="exact"/>
        <w:ind w:firstLine="640"/>
        <w:outlineLvl w:val="2"/>
        <w:rPr>
          <w:rFonts w:ascii="仿宋" w:hAnsi="仿宋" w:eastAsia="仿宋"/>
          <w:b/>
          <w:color w:val="000000"/>
          <w:sz w:val="32"/>
          <w:szCs w:val="32"/>
        </w:rPr>
      </w:pPr>
      <w:r>
        <w:rPr>
          <w:rFonts w:hint="eastAsia" w:ascii="仿宋" w:hAnsi="仿宋" w:eastAsia="仿宋"/>
          <w:b/>
          <w:color w:val="000000"/>
          <w:sz w:val="32"/>
          <w:szCs w:val="32"/>
        </w:rPr>
        <w:t>（二）“三公”经费财政拨款支出决算具体情况说明</w:t>
      </w:r>
    </w:p>
    <w:p w14:paraId="6C5E31CC">
      <w:pPr>
        <w:spacing w:line="600" w:lineRule="exact"/>
        <w:ind w:firstLine="64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rPr>
        <w:t>9年“三公”经费财政拨款支出决算中，因公出国（境）费支出决算0万元，占0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；公务用车购置及运行维护费支出决算0.37万元，占15</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；公务接待费支出决算0万元，占0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。具体情况如下：</w:t>
      </w:r>
    </w:p>
    <w:p w14:paraId="692C094F">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（图8：“三公”经费财政拨款支出结构）（饼状图）</w:t>
      </w:r>
    </w:p>
    <w:p w14:paraId="077591DF">
      <w:pPr>
        <w:spacing w:line="600" w:lineRule="exact"/>
        <w:ind w:firstLine="640"/>
        <w:rPr>
          <w:rFonts w:ascii="仿宋_GB2312" w:hAnsi="仿宋_GB2312" w:eastAsia="仿宋_GB2312" w:cs="仿宋_GB2312"/>
          <w:color w:val="000000"/>
          <w:sz w:val="32"/>
          <w:szCs w:val="32"/>
        </w:rPr>
      </w:pPr>
      <w:r>
        <w:rPr>
          <w:rFonts w:ascii="仿宋_GB2312" w:eastAsia="仿宋_GB2312"/>
          <w:b/>
          <w:color w:val="000000"/>
          <w:sz w:val="32"/>
          <w:szCs w:val="32"/>
        </w:rPr>
        <w:t>1.</w:t>
      </w:r>
      <w:r>
        <w:rPr>
          <w:rFonts w:hint="eastAsia" w:ascii="仿宋_GB2312" w:hAnsi="仿宋_GB2312" w:eastAsia="仿宋_GB2312" w:cs="仿宋_GB2312"/>
          <w:color w:val="000000"/>
          <w:sz w:val="32"/>
          <w:szCs w:val="32"/>
        </w:rPr>
        <w:t>因公出国（境）经费支出0万元，完成预算100</w:t>
      </w:r>
      <w:r>
        <w:rPr>
          <w:rFonts w:ascii="仿宋_GB2312" w:hAnsi="仿宋_GB2312" w:eastAsia="仿宋_GB2312" w:cs="仿宋_GB2312"/>
          <w:color w:val="000000"/>
          <w:sz w:val="32"/>
          <w:szCs w:val="32"/>
        </w:rPr>
        <w:t>%</w:t>
      </w:r>
      <w:r>
        <w:rPr>
          <w:rFonts w:hint="eastAsia" w:ascii="仿宋_GB2312" w:hAnsi="仿宋_GB2312" w:eastAsia="仿宋_GB2312" w:cs="仿宋_GB2312"/>
        </w:rPr>
        <w:t>。</w:t>
      </w:r>
      <w:r>
        <w:rPr>
          <w:rFonts w:hint="eastAsia" w:ascii="仿宋_GB2312" w:hAnsi="仿宋_GB2312" w:eastAsia="仿宋_GB2312" w:cs="仿宋_GB2312"/>
          <w:color w:val="000000"/>
          <w:sz w:val="32"/>
          <w:szCs w:val="32"/>
        </w:rPr>
        <w:t>全年安排因公出国（境）团组0次，出国（境）0人。因公出国（境）支出决算与</w:t>
      </w: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rPr>
        <w:t>8年持平。</w:t>
      </w:r>
    </w:p>
    <w:p w14:paraId="464F4A50">
      <w:pPr>
        <w:spacing w:line="600" w:lineRule="exact"/>
        <w:ind w:firstLine="64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公务用车购置及运行维护费支出0.37万元,完成预算15</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。公务用车购置及运行维护费支出决算比</w:t>
      </w: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rPr>
        <w:t>8年减少0.54万元，下降21</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。主要原因是车辆损坏，改为群团统一派车。</w:t>
      </w:r>
    </w:p>
    <w:p w14:paraId="746803E8">
      <w:pPr>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其中：公务用车购置支出0万元。全年按规定更新购置公务用车0辆，其中：轿车0辆、金额0万元，越野车0辆、金额0万元，载客汽车0辆、金额0万元。截至</w:t>
      </w: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rPr>
        <w:t>9年</w:t>
      </w:r>
      <w:r>
        <w:rPr>
          <w:rFonts w:ascii="仿宋_GB2312" w:hAnsi="仿宋_GB2312" w:eastAsia="仿宋_GB2312" w:cs="仿宋_GB2312"/>
          <w:color w:val="000000"/>
          <w:sz w:val="32"/>
          <w:szCs w:val="32"/>
        </w:rPr>
        <w:t>12</w:t>
      </w:r>
      <w:r>
        <w:rPr>
          <w:rFonts w:hint="eastAsia" w:ascii="仿宋_GB2312" w:hAnsi="仿宋_GB2312" w:eastAsia="仿宋_GB2312" w:cs="仿宋_GB2312"/>
          <w:color w:val="000000"/>
          <w:sz w:val="32"/>
          <w:szCs w:val="32"/>
        </w:rPr>
        <w:t>月底，单位共有公务用车1辆，其中：轿车0辆、越野车0辆、微型汽车1辆。</w:t>
      </w:r>
    </w:p>
    <w:p w14:paraId="1B249B15">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公务用车运行维护费支出0.37万元。主要用于培训、宣传等所需的公务用车燃料费、维修费、过路过桥费、保险费等支出。</w:t>
      </w:r>
    </w:p>
    <w:p w14:paraId="38A48151">
      <w:pPr>
        <w:spacing w:line="600" w:lineRule="exact"/>
        <w:ind w:firstLine="64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公务接待费支出0万元，完成预算100</w:t>
      </w:r>
      <w:r>
        <w:rPr>
          <w:rFonts w:ascii="仿宋_GB2312" w:hAnsi="仿宋_GB2312" w:eastAsia="仿宋_GB2312" w:cs="仿宋_GB2312"/>
          <w:color w:val="000000"/>
          <w:sz w:val="32"/>
          <w:szCs w:val="32"/>
        </w:rPr>
        <w:t>%</w:t>
      </w:r>
      <w:r>
        <w:rPr>
          <w:rFonts w:hint="eastAsia" w:ascii="仿宋_GB2312" w:hAnsi="仿宋_GB2312" w:eastAsia="仿宋_GB2312" w:cs="仿宋_GB2312"/>
        </w:rPr>
        <w:t>。</w:t>
      </w:r>
      <w:r>
        <w:rPr>
          <w:rFonts w:hint="eastAsia" w:ascii="仿宋_GB2312" w:hAnsi="仿宋_GB2312" w:eastAsia="仿宋_GB2312" w:cs="仿宋_GB2312"/>
          <w:color w:val="000000"/>
          <w:sz w:val="32"/>
          <w:szCs w:val="32"/>
        </w:rPr>
        <w:t>公务接待费支出决算与</w:t>
      </w:r>
      <w:r>
        <w:rPr>
          <w:rFonts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rPr>
        <w:t>8年持平。</w:t>
      </w:r>
    </w:p>
    <w:p w14:paraId="0387150D">
      <w:pPr>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主要用于执行公务、开展业务活动开支的交通费、住宿费、用餐费等。国内公务接待0批次，其中：</w:t>
      </w:r>
    </w:p>
    <w:p w14:paraId="0765005A">
      <w:pPr>
        <w:spacing w:line="600" w:lineRule="exact"/>
        <w:ind w:firstLine="643" w:firstLineChars="200"/>
        <w:rPr>
          <w:rFonts w:ascii="仿宋_GB2312" w:eastAsia="仿宋_GB2312"/>
          <w:color w:val="000000" w:themeColor="text1"/>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，外事接待0批次，0人，共计支出0万元，主要用于接待0（具体项目）。主要用于0</w:t>
      </w:r>
    </w:p>
    <w:p w14:paraId="2E1CED7A">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其他国内公务接待支出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p>
    <w:p w14:paraId="1CE5653C">
      <w:pPr>
        <w:spacing w:line="600" w:lineRule="exact"/>
        <w:ind w:firstLine="640" w:firstLineChars="200"/>
        <w:outlineLvl w:val="1"/>
        <w:rPr>
          <w:rStyle w:val="28"/>
          <w:rFonts w:ascii="黑体" w:hAnsi="黑体" w:eastAsia="黑体"/>
        </w:rPr>
      </w:pPr>
      <w:r>
        <w:rPr>
          <w:rFonts w:hint="eastAsia" w:ascii="黑体" w:eastAsia="黑体"/>
          <w:color w:val="000000"/>
          <w:sz w:val="32"/>
          <w:szCs w:val="32"/>
        </w:rPr>
        <w:t>八、</w:t>
      </w:r>
      <w:r>
        <w:rPr>
          <w:rStyle w:val="28"/>
          <w:rFonts w:hint="eastAsia" w:ascii="黑体" w:hAnsi="黑体" w:eastAsia="黑体"/>
        </w:rPr>
        <w:t>政府性基金预算支出决算情况说明</w:t>
      </w:r>
    </w:p>
    <w:p w14:paraId="382DB2B7">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9年政府性基金预算拨款支出0万元。</w:t>
      </w:r>
    </w:p>
    <w:p w14:paraId="3F1FCA9D">
      <w:pPr>
        <w:numPr>
          <w:ilvl w:val="0"/>
          <w:numId w:val="2"/>
        </w:numPr>
        <w:spacing w:line="600" w:lineRule="exact"/>
        <w:ind w:firstLine="640"/>
        <w:outlineLvl w:val="1"/>
        <w:rPr>
          <w:rStyle w:val="28"/>
          <w:rFonts w:ascii="黑体" w:hAnsi="黑体" w:eastAsia="黑体"/>
          <w:b w:val="0"/>
        </w:rPr>
      </w:pPr>
      <w:r>
        <w:rPr>
          <w:rStyle w:val="28"/>
          <w:rFonts w:hint="eastAsia" w:ascii="黑体" w:hAnsi="黑体" w:eastAsia="黑体"/>
        </w:rPr>
        <w:t>国有资本经营预算支出决算情况说明</w:t>
      </w:r>
    </w:p>
    <w:p w14:paraId="27DAD333">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9年国有资本经营预算拨款支出0万元。</w:t>
      </w:r>
    </w:p>
    <w:p w14:paraId="2DD41671">
      <w:pPr>
        <w:pStyle w:val="26"/>
        <w:numPr>
          <w:ilvl w:val="0"/>
          <w:numId w:val="3"/>
        </w:numPr>
        <w:spacing w:line="580" w:lineRule="exact"/>
        <w:ind w:firstLineChars="0"/>
        <w:rPr>
          <w:rStyle w:val="28"/>
          <w:rFonts w:ascii="黑体" w:hAnsi="黑体" w:eastAsia="黑体"/>
          <w:b w:val="0"/>
        </w:rPr>
      </w:pPr>
      <w:r>
        <w:rPr>
          <w:rStyle w:val="28"/>
          <w:rFonts w:hint="eastAsia" w:ascii="黑体" w:hAnsi="黑体" w:eastAsia="黑体"/>
        </w:rPr>
        <w:t>预算绩效情况说明</w:t>
      </w:r>
    </w:p>
    <w:p w14:paraId="258F077D">
      <w:pPr>
        <w:numPr>
          <w:ilvl w:val="0"/>
          <w:numId w:val="4"/>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14:paraId="3460F82E">
      <w:pPr>
        <w:pStyle w:val="26"/>
        <w:spacing w:line="580" w:lineRule="exact"/>
        <w:ind w:left="420" w:leftChars="200"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0个项目开展了预算事前绩效评估，对0个项目编制了绩效目标，预算执行过程中，选取0个项目开展绩效监控，年终执行完毕后，对0个项目开展了绩效目标完成情况梳理填报。</w:t>
      </w:r>
    </w:p>
    <w:p w14:paraId="2A053E19">
      <w:pPr>
        <w:pStyle w:val="26"/>
        <w:spacing w:line="580" w:lineRule="exact"/>
        <w:ind w:left="420" w:leftChars="200"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开展绩效自评，从评价情况来看完成了2019年重点工作：狠抓机关队伍建设，强化为民服务意识；加强宣传和青少年工作，发放红十字运动基本知识、防灾减灾知识、应急救护知识等宣传资料1000余份，组织县第一小学、第四小学、第二小学2000名学生参加了全国红十字防灾避险知识竞赛活动；灵活开展普及培训，针对性开展救护员培训，救护员培训260人及普及培训1279人；申请博爱家园项目1个；人道救助和博爱送万家265人；按合同要求按质按量完成工程进度；基层组织建设3个；</w:t>
      </w:r>
    </w:p>
    <w:p w14:paraId="08AE4BEA">
      <w:pPr>
        <w:spacing w:line="360" w:lineRule="auto"/>
        <w:ind w:left="479" w:leftChars="228"/>
        <w:rPr>
          <w:rFonts w:ascii="仿宋_GB2312" w:hAnsi="仿宋_GB2312" w:eastAsia="仿宋_GB2312" w:cs="仿宋_GB2312"/>
          <w:sz w:val="32"/>
          <w:szCs w:val="32"/>
        </w:rPr>
      </w:pPr>
      <w:r>
        <w:rPr>
          <w:rFonts w:hint="eastAsia" w:ascii="仿宋_GB2312" w:hAnsi="仿宋_GB2312" w:eastAsia="仿宋_GB2312" w:cs="仿宋_GB2312"/>
          <w:sz w:val="32"/>
          <w:szCs w:val="32"/>
        </w:rPr>
        <w:t>根据实际需要开展工作。完成各项目标责任制；完成其他政府工作。总的来看2019年度单位在规定时间内保质保量完成了所有工作任务，并保证了单位良好运行情况。本部门还自行组织了0个项目绩效评价。</w:t>
      </w:r>
    </w:p>
    <w:p w14:paraId="777D70B4">
      <w:pPr>
        <w:autoSpaceDN w:val="0"/>
        <w:spacing w:line="580" w:lineRule="exact"/>
        <w:ind w:firstLine="803" w:firstLineChars="250"/>
        <w:jc w:val="left"/>
        <w:textAlignment w:val="center"/>
        <w:rPr>
          <w:rFonts w:ascii="仿宋_GB2312" w:hAnsi="仿宋_GB2312" w:eastAsia="仿宋_GB2312" w:cs="仿宋_GB2312"/>
          <w:sz w:val="32"/>
          <w:szCs w:val="32"/>
        </w:rPr>
      </w:pPr>
      <w:r>
        <w:rPr>
          <w:rFonts w:hint="eastAsia" w:ascii="仿宋" w:hAnsi="仿宋" w:eastAsia="仿宋" w:cs="楷体_GB2312"/>
          <w:b/>
          <w:bCs/>
          <w:sz w:val="32"/>
          <w:szCs w:val="32"/>
        </w:rPr>
        <w:t>（二）项目绩效目标完成情况。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本部门在2019年度部门决算中反映0个项目绩效目标实际完成情况。</w:t>
      </w:r>
    </w:p>
    <w:p w14:paraId="38E2B6F5">
      <w:pPr>
        <w:spacing w:line="580" w:lineRule="exact"/>
        <w:ind w:firstLine="480" w:firstLineChars="150"/>
        <w:rPr>
          <w:rFonts w:ascii="仿宋" w:hAnsi="仿宋" w:eastAsia="仿宋" w:cs="仿宋_GB2312"/>
          <w:sz w:val="32"/>
          <w:szCs w:val="32"/>
        </w:rPr>
      </w:pPr>
      <w:r>
        <w:rPr>
          <w:rFonts w:hint="eastAsia" w:ascii="黑体" w:hAnsi="Calibri" w:eastAsia="黑体"/>
          <w:sz w:val="32"/>
          <w:szCs w:val="32"/>
        </w:rPr>
        <w:t>（三）</w:t>
      </w:r>
      <w:r>
        <w:rPr>
          <w:rFonts w:hint="eastAsia" w:ascii="仿宋" w:hAnsi="仿宋" w:eastAsia="仿宋" w:cs="楷体_GB2312"/>
          <w:b/>
          <w:bCs/>
          <w:sz w:val="32"/>
          <w:szCs w:val="32"/>
        </w:rPr>
        <w:t>部门开展绩效评价结果。</w:t>
      </w:r>
    </w:p>
    <w:p w14:paraId="49815A54">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本部门按要求对2019年部门整体支出绩效评价情况开展自评，《中共九寨沟县红十字会2019年部门整体支出绩效评价报告》见附件。</w:t>
      </w:r>
    </w:p>
    <w:p w14:paraId="528A1410">
      <w:pPr>
        <w:spacing w:line="600" w:lineRule="exact"/>
        <w:ind w:firstLine="640" w:firstLineChars="200"/>
        <w:outlineLvl w:val="1"/>
        <w:rPr>
          <w:rStyle w:val="28"/>
          <w:rFonts w:ascii="黑体" w:hAnsi="黑体" w:eastAsia="黑体"/>
        </w:rPr>
      </w:pPr>
      <w:r>
        <w:rPr>
          <w:rFonts w:hint="eastAsia" w:ascii="黑体" w:hAnsi="黑体" w:eastAsia="黑体"/>
          <w:color w:val="000000"/>
          <w:sz w:val="32"/>
          <w:szCs w:val="32"/>
        </w:rPr>
        <w:t>十</w:t>
      </w:r>
      <w:r>
        <w:rPr>
          <w:rStyle w:val="28"/>
          <w:rFonts w:hint="eastAsia" w:ascii="黑体" w:hAnsi="黑体" w:eastAsia="黑体"/>
        </w:rPr>
        <w:t>一、其他重要事项的情况说明</w:t>
      </w:r>
    </w:p>
    <w:p w14:paraId="76F4A561">
      <w:pPr>
        <w:spacing w:line="600" w:lineRule="exact"/>
        <w:ind w:firstLine="643" w:firstLineChars="200"/>
        <w:outlineLvl w:val="2"/>
        <w:rPr>
          <w:rFonts w:ascii="仿宋" w:hAnsi="仿宋" w:eastAsia="仿宋"/>
          <w:color w:val="000000"/>
          <w:sz w:val="32"/>
          <w:szCs w:val="32"/>
        </w:rPr>
      </w:pPr>
      <w:r>
        <w:rPr>
          <w:rFonts w:hint="eastAsia" w:ascii="仿宋" w:hAnsi="仿宋" w:eastAsia="仿宋"/>
          <w:b/>
          <w:color w:val="000000"/>
          <w:sz w:val="32"/>
          <w:szCs w:val="32"/>
        </w:rPr>
        <w:t>（一）机关运行经费支出情况</w:t>
      </w:r>
    </w:p>
    <w:p w14:paraId="4801E9FB">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201</w:t>
      </w:r>
      <w:r>
        <w:rPr>
          <w:rFonts w:hint="eastAsia" w:ascii="仿宋_GB2312" w:hAnsi="仿宋_GB2312" w:eastAsia="仿宋_GB2312" w:cs="仿宋_GB2312"/>
          <w:sz w:val="32"/>
          <w:szCs w:val="32"/>
        </w:rPr>
        <w:t>9年，红十字会机关运行经费支出90.03万元，比</w:t>
      </w:r>
      <w:r>
        <w:rPr>
          <w:rFonts w:ascii="仿宋_GB2312" w:hAnsi="仿宋_GB2312" w:eastAsia="仿宋_GB2312" w:cs="仿宋_GB2312"/>
          <w:sz w:val="32"/>
          <w:szCs w:val="32"/>
        </w:rPr>
        <w:t>201</w:t>
      </w:r>
      <w:r>
        <w:rPr>
          <w:rFonts w:hint="eastAsia" w:ascii="仿宋_GB2312" w:hAnsi="仿宋_GB2312" w:eastAsia="仿宋_GB2312" w:cs="仿宋_GB2312"/>
          <w:sz w:val="32"/>
          <w:szCs w:val="32"/>
        </w:rPr>
        <w:t>8年增加4.61万元，增长5</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。主要原因是人员增加。</w:t>
      </w:r>
    </w:p>
    <w:p w14:paraId="6F8E99F4">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（二）政府采购支出情况</w:t>
      </w:r>
    </w:p>
    <w:p w14:paraId="2F97ED69">
      <w:pPr>
        <w:spacing w:line="600" w:lineRule="exact"/>
        <w:ind w:firstLine="640" w:firstLineChars="200"/>
        <w:rPr>
          <w:rFonts w:ascii="仿宋_GB2312" w:eastAsia="仿宋_GB2312"/>
          <w:color w:val="000000"/>
          <w:sz w:val="32"/>
          <w:szCs w:val="32"/>
        </w:rPr>
      </w:pPr>
      <w:r>
        <w:rPr>
          <w:rFonts w:ascii="仿宋_GB2312" w:hAnsi="仿宋_GB2312" w:eastAsia="仿宋_GB2312" w:cs="仿宋_GB2312"/>
          <w:sz w:val="32"/>
          <w:szCs w:val="32"/>
        </w:rPr>
        <w:t>201</w:t>
      </w:r>
      <w:r>
        <w:rPr>
          <w:rFonts w:hint="eastAsia" w:ascii="仿宋_GB2312" w:hAnsi="仿宋_GB2312" w:eastAsia="仿宋_GB2312" w:cs="仿宋_GB2312"/>
          <w:sz w:val="32"/>
          <w:szCs w:val="32"/>
        </w:rPr>
        <w:t>9年，红十字会政府采购支出总额0万元</w:t>
      </w:r>
      <w:r>
        <w:rPr>
          <w:rFonts w:hint="eastAsia" w:ascii="仿宋_GB2312" w:eastAsia="仿宋_GB2312"/>
          <w:color w:val="000000"/>
          <w:sz w:val="32"/>
          <w:szCs w:val="32"/>
        </w:rPr>
        <w:t>。</w:t>
      </w:r>
    </w:p>
    <w:p w14:paraId="2086BD6E">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（三）国有资产占有使用情况</w:t>
      </w:r>
    </w:p>
    <w:p w14:paraId="533CCEE8">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hAnsi="仿宋_GB2312" w:eastAsia="仿宋_GB2312" w:cs="仿宋_GB2312"/>
          <w:sz w:val="32"/>
          <w:szCs w:val="32"/>
        </w:rPr>
        <w:t>截至</w:t>
      </w:r>
      <w:r>
        <w:rPr>
          <w:rFonts w:ascii="仿宋_GB2312" w:hAnsi="仿宋_GB2312" w:eastAsia="仿宋_GB2312" w:cs="仿宋_GB2312"/>
          <w:sz w:val="32"/>
          <w:szCs w:val="32"/>
        </w:rPr>
        <w:t>201</w:t>
      </w:r>
      <w:r>
        <w:rPr>
          <w:rFonts w:hint="eastAsia" w:ascii="仿宋_GB2312" w:hAnsi="仿宋_GB2312" w:eastAsia="仿宋_GB2312" w:cs="仿宋_GB2312"/>
          <w:sz w:val="32"/>
          <w:szCs w:val="32"/>
        </w:rPr>
        <w:t>9年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日，红十字会共有车辆1辆，其中：部级领导干部用车0辆、一般公务用车1辆、一般执法执勤用车0辆、特种专业技术用车0辆、其他用车0辆，单价</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万元以上通用设备0台（套），单价</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万元以上专用设备0台（套</w:t>
      </w:r>
      <w:r>
        <w:rPr>
          <w:rFonts w:hint="eastAsia" w:ascii="仿宋_GB2312" w:eastAsia="仿宋_GB2312"/>
          <w:color w:val="000000"/>
          <w:sz w:val="32"/>
          <w:szCs w:val="32"/>
        </w:rPr>
        <w:t>）。</w:t>
      </w:r>
    </w:p>
    <w:p w14:paraId="1F3B9BBF">
      <w:pPr>
        <w:spacing w:line="600" w:lineRule="atLeast"/>
        <w:ind w:firstLine="643" w:firstLineChars="200"/>
        <w:rPr>
          <w:rFonts w:ascii="仿宋_GB2312" w:eastAsia="仿宋_GB2312"/>
          <w:b/>
          <w:color w:val="000000"/>
          <w:sz w:val="32"/>
          <w:szCs w:val="32"/>
        </w:rPr>
      </w:pPr>
    </w:p>
    <w:p w14:paraId="440796C5">
      <w:pPr>
        <w:spacing w:line="600" w:lineRule="atLeast"/>
        <w:ind w:firstLine="643" w:firstLineChars="200"/>
        <w:rPr>
          <w:rFonts w:ascii="仿宋_GB2312" w:eastAsia="仿宋_GB2312"/>
          <w:b/>
          <w:color w:val="000000"/>
          <w:sz w:val="32"/>
          <w:szCs w:val="32"/>
        </w:rPr>
      </w:pPr>
    </w:p>
    <w:p w14:paraId="611714A2">
      <w:pPr>
        <w:spacing w:line="600" w:lineRule="atLeast"/>
        <w:ind w:firstLine="643" w:firstLineChars="200"/>
        <w:rPr>
          <w:rFonts w:ascii="仿宋_GB2312" w:eastAsia="仿宋_GB2312"/>
          <w:b/>
          <w:color w:val="000000"/>
          <w:sz w:val="32"/>
          <w:szCs w:val="32"/>
        </w:rPr>
      </w:pPr>
    </w:p>
    <w:p w14:paraId="15E7A3F5">
      <w:pPr>
        <w:spacing w:line="600" w:lineRule="atLeast"/>
        <w:ind w:firstLine="643" w:firstLineChars="200"/>
        <w:rPr>
          <w:rFonts w:ascii="仿宋_GB2312" w:eastAsia="仿宋_GB2312"/>
          <w:b/>
          <w:color w:val="000000"/>
          <w:sz w:val="32"/>
          <w:szCs w:val="32"/>
        </w:rPr>
      </w:pPr>
    </w:p>
    <w:p w14:paraId="7B69F532">
      <w:pPr>
        <w:spacing w:line="600" w:lineRule="atLeast"/>
        <w:ind w:firstLine="643" w:firstLineChars="200"/>
        <w:rPr>
          <w:rFonts w:ascii="仿宋_GB2312" w:eastAsia="仿宋_GB2312"/>
          <w:b/>
          <w:color w:val="000000"/>
          <w:sz w:val="32"/>
          <w:szCs w:val="32"/>
        </w:rPr>
      </w:pPr>
    </w:p>
    <w:p w14:paraId="6532A319">
      <w:pPr>
        <w:numPr>
          <w:ilvl w:val="0"/>
          <w:numId w:val="5"/>
        </w:numPr>
        <w:spacing w:line="600" w:lineRule="exact"/>
        <w:ind w:firstLine="663" w:firstLineChars="150"/>
        <w:jc w:val="center"/>
        <w:outlineLvl w:val="0"/>
        <w:rPr>
          <w:rStyle w:val="27"/>
          <w:rFonts w:ascii="黑体" w:hAnsi="黑体" w:eastAsia="黑体"/>
          <w:b w:val="0"/>
        </w:rPr>
      </w:pPr>
      <w:bookmarkStart w:id="40" w:name="_Toc15377225"/>
      <w:bookmarkStart w:id="41" w:name="_Toc15396613"/>
      <w:bookmarkStart w:id="42" w:name="_Toc15377226"/>
      <w:r>
        <w:rPr>
          <w:rFonts w:hint="eastAsia" w:ascii="黑体" w:hAnsi="黑体" w:eastAsia="黑体"/>
          <w:b/>
          <w:color w:val="000000"/>
          <w:sz w:val="44"/>
          <w:szCs w:val="44"/>
        </w:rPr>
        <w:t>名</w:t>
      </w:r>
      <w:r>
        <w:rPr>
          <w:rStyle w:val="27"/>
          <w:rFonts w:hint="eastAsia" w:ascii="黑体" w:hAnsi="黑体" w:eastAsia="黑体"/>
        </w:rPr>
        <w:t>词解释</w:t>
      </w:r>
      <w:bookmarkEnd w:id="40"/>
      <w:bookmarkEnd w:id="41"/>
    </w:p>
    <w:p w14:paraId="1CB78AA4">
      <w:pPr>
        <w:spacing w:line="600" w:lineRule="exact"/>
        <w:jc w:val="left"/>
        <w:rPr>
          <w:rFonts w:ascii="宋体"/>
          <w:b/>
          <w:color w:val="000000"/>
          <w:sz w:val="44"/>
          <w:szCs w:val="44"/>
        </w:rPr>
      </w:pPr>
    </w:p>
    <w:p w14:paraId="258C1B8E">
      <w:pPr>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1.一般公共预算拨款收入：指县级财政当年拨付的资金。</w:t>
      </w:r>
    </w:p>
    <w:p w14:paraId="232A676F">
      <w:pPr>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　　2.上年结转：指以前年度尚未完成，结转到本年仍按原规定用途继续使用的资金。</w:t>
      </w:r>
    </w:p>
    <w:p w14:paraId="308DDC33">
      <w:pPr>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　  3.</w:t>
      </w:r>
      <w:r>
        <w:rPr>
          <w:rFonts w:hint="eastAsia" w:ascii="仿宋_GB2312" w:hAnsi="仿宋_GB2312" w:eastAsia="仿宋_GB2312" w:cs="仿宋_GB2312"/>
          <w:color w:val="000000"/>
          <w:sz w:val="32"/>
          <w:szCs w:val="32"/>
        </w:rPr>
        <w:t>社会保障和就业（208）行政事业单位离退休（05）  机关事业单位基本养老保险缴费支出（05）</w:t>
      </w:r>
      <w:r>
        <w:rPr>
          <w:rFonts w:hint="eastAsia" w:ascii="仿宋_GB2312" w:hAnsi="仿宋_GB2312" w:eastAsia="仿宋_GB2312" w:cs="仿宋_GB2312"/>
          <w:sz w:val="32"/>
          <w:szCs w:val="32"/>
          <w:shd w:val="clear" w:color="auto" w:fill="FFFFFF"/>
        </w:rPr>
        <w:t>：指部门实施养老保险制度由单位缴纳的养老保险费的支出。</w:t>
      </w:r>
    </w:p>
    <w:p w14:paraId="792FDB36">
      <w:pPr>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　　4.</w:t>
      </w:r>
      <w:r>
        <w:rPr>
          <w:rFonts w:hint="eastAsia" w:ascii="仿宋_GB2312" w:hAnsi="仿宋_GB2312" w:eastAsia="仿宋_GB2312" w:cs="仿宋_GB2312"/>
          <w:color w:val="000000"/>
          <w:sz w:val="32"/>
          <w:szCs w:val="32"/>
        </w:rPr>
        <w:t>社会保障和就业（208）行政事业单位离退休（05）  机关事业单位基本养老保险缴费支出（05）</w:t>
      </w:r>
      <w:r>
        <w:rPr>
          <w:rFonts w:hint="eastAsia" w:ascii="仿宋_GB2312" w:hAnsi="仿宋_GB2312" w:eastAsia="仿宋_GB2312" w:cs="仿宋_GB2312"/>
          <w:sz w:val="32"/>
          <w:szCs w:val="32"/>
          <w:shd w:val="clear" w:color="auto" w:fill="FFFFFF"/>
        </w:rPr>
        <w:t>：指部门实施养老保险制度由单位缴纳的职业年金的支出。</w:t>
      </w:r>
    </w:p>
    <w:p w14:paraId="7FBE9EE3">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shd w:val="clear" w:color="auto" w:fill="FFFFFF"/>
        </w:rPr>
        <w:t>5.</w:t>
      </w:r>
      <w:r>
        <w:rPr>
          <w:rFonts w:hint="eastAsia" w:ascii="仿宋_GB2312" w:hAnsi="仿宋_GB2312" w:eastAsia="仿宋_GB2312" w:cs="仿宋_GB2312"/>
          <w:color w:val="000000"/>
          <w:sz w:val="32"/>
          <w:szCs w:val="32"/>
        </w:rPr>
        <w:t>社会保障和就业（208）红十字事业（16）行政运行（01）：指红十字事业行政运行支出。</w:t>
      </w:r>
    </w:p>
    <w:p w14:paraId="1B8F4596">
      <w:pPr>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　　6.</w:t>
      </w:r>
      <w:r>
        <w:rPr>
          <w:rFonts w:hint="eastAsia" w:ascii="仿宋_GB2312" w:hAnsi="仿宋_GB2312" w:eastAsia="仿宋_GB2312" w:cs="仿宋_GB2312"/>
          <w:color w:val="000000"/>
          <w:sz w:val="32"/>
          <w:szCs w:val="32"/>
        </w:rPr>
        <w:t>卫生健康支出（210）行政事业单位医疗（11）事业单位医疗（02）</w:t>
      </w:r>
      <w:r>
        <w:rPr>
          <w:rFonts w:hint="eastAsia" w:ascii="仿宋_GB2312" w:hAnsi="仿宋_GB2312" w:eastAsia="仿宋_GB2312" w:cs="仿宋_GB2312"/>
          <w:sz w:val="32"/>
          <w:szCs w:val="32"/>
          <w:shd w:val="clear" w:color="auto" w:fill="FFFFFF"/>
        </w:rPr>
        <w:t>：行政单位用于缴纳单位基本医疗保险支出。</w:t>
      </w:r>
    </w:p>
    <w:p w14:paraId="69E0E99D">
      <w:pPr>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　　7.</w:t>
      </w:r>
      <w:r>
        <w:rPr>
          <w:rFonts w:hint="eastAsia" w:ascii="仿宋_GB2312" w:hAnsi="仿宋_GB2312" w:eastAsia="仿宋_GB2312" w:cs="仿宋_GB2312"/>
          <w:color w:val="000000"/>
          <w:sz w:val="32"/>
          <w:szCs w:val="32"/>
        </w:rPr>
        <w:t>卫生健康支出（210）行政事业单位医疗（11）事业单位医疗（03）</w:t>
      </w:r>
      <w:r>
        <w:rPr>
          <w:rFonts w:hint="eastAsia" w:ascii="仿宋_GB2312" w:hAnsi="仿宋_GB2312" w:eastAsia="仿宋_GB2312" w:cs="仿宋_GB2312"/>
          <w:sz w:val="32"/>
          <w:szCs w:val="32"/>
          <w:shd w:val="clear" w:color="auto" w:fill="FFFFFF"/>
        </w:rPr>
        <w:t>：指行政单位用于集中缴纳公务员医疗补助支出。</w:t>
      </w:r>
    </w:p>
    <w:p w14:paraId="27A59E2D">
      <w:pPr>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　　8.</w:t>
      </w:r>
      <w:r>
        <w:rPr>
          <w:rFonts w:hint="eastAsia" w:ascii="仿宋_GB2312" w:hAnsi="仿宋_GB2312" w:eastAsia="仿宋_GB2312" w:cs="仿宋_GB2312"/>
          <w:color w:val="000000"/>
          <w:sz w:val="32"/>
          <w:szCs w:val="32"/>
        </w:rPr>
        <w:t>住房保障（221）住房改革支出（02）住房公积金（01）</w:t>
      </w:r>
      <w:r>
        <w:rPr>
          <w:rFonts w:hint="eastAsia" w:ascii="仿宋_GB2312" w:hAnsi="仿宋_GB2312" w:eastAsia="仿宋_GB2312" w:cs="仿宋_GB2312"/>
          <w:sz w:val="32"/>
          <w:szCs w:val="32"/>
          <w:shd w:val="clear" w:color="auto" w:fill="FFFFFF"/>
        </w:rPr>
        <w:t>：指按照《住房公积金管理条例》的规定，由单位及其在职职工缴存的长期住房储金。</w:t>
      </w:r>
    </w:p>
    <w:p w14:paraId="1C10DF5B">
      <w:pPr>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　　9.基本支出：指为保证机构正常运转，完成日常工作任务而发生的人员支出和公用支出。</w:t>
      </w:r>
    </w:p>
    <w:p w14:paraId="4E420A07">
      <w:pPr>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　　10.项目支出：指在基本支出之外为完成特定行政任务和事业发展目标所发生的支出。</w:t>
      </w:r>
    </w:p>
    <w:p w14:paraId="60AD997D">
      <w:pPr>
        <w:pStyle w:val="25"/>
        <w:spacing w:line="560" w:lineRule="exact"/>
        <w:ind w:firstLine="640" w:firstLineChars="200"/>
        <w:rPr>
          <w:rFonts w:ascii="仿宋_GB2312" w:eastAsia="仿宋_GB2312"/>
          <w:sz w:val="32"/>
          <w:szCs w:val="32"/>
        </w:rPr>
      </w:pPr>
      <w:r>
        <w:rPr>
          <w:rFonts w:hint="eastAsia" w:ascii="仿宋_GB2312" w:hAnsi="仿宋_GB2312" w:eastAsia="仿宋_GB2312" w:cs="仿宋_GB2312"/>
          <w:sz w:val="32"/>
          <w:szCs w:val="32"/>
          <w:shd w:val="clear" w:color="auto" w:fill="FFFFFF"/>
        </w:rPr>
        <w:t>　11.“</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288776D">
      <w:pPr>
        <w:pStyle w:val="25"/>
        <w:spacing w:line="560" w:lineRule="exact"/>
        <w:ind w:firstLine="640" w:firstLineChars="200"/>
        <w:rPr>
          <w:rFonts w:ascii="仿宋_GB2312" w:eastAsia="仿宋_GB2312"/>
          <w:sz w:val="32"/>
          <w:szCs w:val="32"/>
        </w:rPr>
      </w:pPr>
      <w:r>
        <w:rPr>
          <w:rFonts w:hint="eastAsia" w:ascii="仿宋_GB2312" w:hAnsi="仿宋_GB2312" w:eastAsia="仿宋_GB2312" w:cs="仿宋_GB2312"/>
          <w:sz w:val="32"/>
          <w:szCs w:val="32"/>
          <w:shd w:val="clear" w:color="auto" w:fill="FFFFFF"/>
        </w:rPr>
        <w:t>12.机关运行经费：</w:t>
      </w:r>
      <w:r>
        <w:rPr>
          <w:rFonts w:hint="eastAsia" w:ascii="仿宋_GB2312" w:eastAsia="仿宋_GB2312"/>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B1430BC">
      <w:pPr>
        <w:spacing w:line="600" w:lineRule="exact"/>
        <w:jc w:val="center"/>
        <w:outlineLvl w:val="0"/>
        <w:rPr>
          <w:rStyle w:val="27"/>
          <w:rFonts w:ascii="黑体" w:hAnsi="黑体" w:eastAsia="黑体"/>
          <w:b w:val="0"/>
        </w:rPr>
      </w:pPr>
      <w:r>
        <w:rPr>
          <w:rFonts w:ascii="宋体"/>
          <w:b/>
          <w:color w:val="000000"/>
          <w:sz w:val="44"/>
          <w:szCs w:val="44"/>
        </w:rPr>
        <w:br w:type="page"/>
      </w:r>
      <w:bookmarkStart w:id="43" w:name="_Toc15396614"/>
      <w:r>
        <w:rPr>
          <w:rFonts w:hint="eastAsia" w:ascii="黑体" w:hAnsi="黑体" w:eastAsia="黑体"/>
          <w:color w:val="000000"/>
          <w:sz w:val="44"/>
          <w:szCs w:val="44"/>
        </w:rPr>
        <w:t>第</w:t>
      </w:r>
      <w:r>
        <w:rPr>
          <w:rStyle w:val="27"/>
          <w:rFonts w:hint="eastAsia" w:ascii="黑体" w:hAnsi="黑体" w:eastAsia="黑体"/>
        </w:rPr>
        <w:t>四部分 附件</w:t>
      </w:r>
      <w:bookmarkEnd w:id="43"/>
    </w:p>
    <w:p w14:paraId="11D6814D">
      <w:pPr>
        <w:spacing w:line="600" w:lineRule="exact"/>
        <w:jc w:val="center"/>
        <w:outlineLvl w:val="0"/>
        <w:rPr>
          <w:rStyle w:val="27"/>
        </w:rPr>
      </w:pPr>
    </w:p>
    <w:p w14:paraId="1761A5A6">
      <w:pPr>
        <w:pStyle w:val="3"/>
        <w:rPr>
          <w:rStyle w:val="27"/>
          <w:rFonts w:ascii="仿宋" w:hAnsi="仿宋" w:eastAsia="仿宋"/>
          <w:b w:val="0"/>
          <w:bCs w:val="0"/>
          <w:sz w:val="32"/>
        </w:rPr>
      </w:pPr>
      <w:bookmarkStart w:id="44" w:name="_Toc15396615"/>
      <w:r>
        <w:rPr>
          <w:rStyle w:val="27"/>
          <w:rFonts w:hint="eastAsia" w:ascii="仿宋" w:hAnsi="仿宋" w:eastAsia="仿宋"/>
          <w:b w:val="0"/>
          <w:bCs w:val="0"/>
          <w:sz w:val="32"/>
        </w:rPr>
        <w:t>附件1</w:t>
      </w:r>
      <w:bookmarkEnd w:id="44"/>
    </w:p>
    <w:p w14:paraId="3D6D750F">
      <w:pPr>
        <w:spacing w:line="600" w:lineRule="exact"/>
        <w:jc w:val="center"/>
        <w:outlineLvl w:val="0"/>
        <w:rPr>
          <w:rFonts w:ascii="黑体" w:hAnsi="黑体" w:eastAsia="黑体" w:cs="方正小标宋简体"/>
          <w:sz w:val="36"/>
          <w:szCs w:val="36"/>
        </w:rPr>
      </w:pPr>
      <w:bookmarkStart w:id="45" w:name="_Toc15396616"/>
      <w:r>
        <w:rPr>
          <w:rFonts w:hint="eastAsia" w:ascii="黑体" w:hAnsi="黑体" w:eastAsia="黑体" w:cs="方正小标宋简体"/>
          <w:sz w:val="36"/>
          <w:szCs w:val="36"/>
        </w:rPr>
        <w:t>九寨沟县2019年部门整体支出绩效评价报告</w:t>
      </w:r>
      <w:bookmarkEnd w:id="45"/>
    </w:p>
    <w:p w14:paraId="045246E7">
      <w:pPr>
        <w:spacing w:line="600" w:lineRule="exact"/>
        <w:jc w:val="center"/>
        <w:outlineLvl w:val="0"/>
        <w:rPr>
          <w:rFonts w:ascii="黑体" w:hAnsi="黑体" w:eastAsia="黑体" w:cs="方正小标宋简体"/>
          <w:sz w:val="36"/>
          <w:szCs w:val="36"/>
        </w:rPr>
      </w:pPr>
    </w:p>
    <w:p w14:paraId="42428509">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一、部门（单位）概况</w:t>
      </w:r>
    </w:p>
    <w:p w14:paraId="3873B12A">
      <w:pPr>
        <w:spacing w:line="580" w:lineRule="exact"/>
        <w:ind w:firstLine="640" w:firstLineChars="200"/>
        <w:rPr>
          <w:rFonts w:ascii="仿宋_GB2312" w:hAnsi="Calibri" w:eastAsia="仿宋_GB2312"/>
          <w:sz w:val="32"/>
          <w:szCs w:val="32"/>
        </w:rPr>
      </w:pPr>
      <w:r>
        <w:rPr>
          <w:rFonts w:ascii="仿宋" w:hAnsi="仿宋" w:eastAsia="仿宋" w:cs="仿宋_GB2312"/>
          <w:sz w:val="32"/>
          <w:szCs w:val="32"/>
        </w:rPr>
        <w:t>（一）机构组成。</w:t>
      </w:r>
      <w:r>
        <w:rPr>
          <w:rFonts w:hint="eastAsia" w:ascii="仿宋_GB2312" w:hAnsi="Calibri" w:eastAsia="仿宋_GB2312"/>
          <w:sz w:val="32"/>
          <w:szCs w:val="32"/>
        </w:rPr>
        <w:t>九寨沟县红十字会属于参照公务员管理的县级一级预算单位。编制为5人。科级领导干部2人、核定车辆数1辆 ，内设机构2个。</w:t>
      </w:r>
    </w:p>
    <w:p w14:paraId="511A8A9A">
      <w:pPr>
        <w:ind w:firstLine="640" w:firstLineChars="200"/>
        <w:rPr>
          <w:rFonts w:ascii="仿宋_GB2312" w:hAnsi="Calibri" w:eastAsia="仿宋_GB2312"/>
          <w:sz w:val="32"/>
          <w:szCs w:val="32"/>
        </w:rPr>
      </w:pPr>
      <w:r>
        <w:rPr>
          <w:rFonts w:ascii="仿宋" w:hAnsi="仿宋" w:eastAsia="仿宋" w:cs="仿宋_GB2312"/>
          <w:sz w:val="32"/>
          <w:szCs w:val="32"/>
        </w:rPr>
        <w:t>（二）机构职能。</w:t>
      </w:r>
      <w:r>
        <w:rPr>
          <w:rFonts w:hint="eastAsia" w:ascii="仿宋_GB2312" w:hAnsi="Calibri" w:eastAsia="仿宋_GB2312"/>
          <w:sz w:val="32"/>
          <w:szCs w:val="32"/>
        </w:rPr>
        <w:t>依法独立从事人道主义的社会救助团体。开展备灾.救灾工作，开展救护培训.组织群众参加现场救护等工作。</w:t>
      </w:r>
    </w:p>
    <w:p w14:paraId="3701516C">
      <w:pPr>
        <w:widowControl/>
        <w:wordWrap w:val="0"/>
        <w:spacing w:line="640" w:lineRule="atLeast"/>
        <w:ind w:firstLine="640" w:firstLineChars="200"/>
        <w:jc w:val="left"/>
        <w:rPr>
          <w:rFonts w:ascii="仿宋_GB2312" w:hAnsi="Calibri" w:eastAsia="仿宋_GB2312"/>
          <w:sz w:val="32"/>
          <w:szCs w:val="32"/>
        </w:rPr>
      </w:pPr>
      <w:r>
        <w:rPr>
          <w:rFonts w:ascii="仿宋" w:hAnsi="仿宋" w:eastAsia="仿宋" w:cs="仿宋_GB2312"/>
          <w:sz w:val="32"/>
          <w:szCs w:val="32"/>
        </w:rPr>
        <w:t>（三）人员概况。</w:t>
      </w:r>
      <w:r>
        <w:rPr>
          <w:rFonts w:hint="eastAsia" w:ascii="仿宋_GB2312" w:hAnsi="Calibri" w:eastAsia="仿宋_GB2312"/>
          <w:sz w:val="32"/>
          <w:szCs w:val="32"/>
        </w:rPr>
        <w:t>我会现有在职退休人员情况：在职职工6人（其中科级领导干部2人，参公人员4人）。</w:t>
      </w:r>
    </w:p>
    <w:p w14:paraId="6AABE19F">
      <w:pPr>
        <w:spacing w:line="580" w:lineRule="exact"/>
        <w:ind w:firstLine="640" w:firstLineChars="200"/>
        <w:rPr>
          <w:rFonts w:ascii="黑体" w:hAnsi="黑体" w:eastAsia="黑体" w:cs="黑体"/>
          <w:sz w:val="32"/>
          <w:szCs w:val="32"/>
        </w:rPr>
      </w:pPr>
      <w:r>
        <w:rPr>
          <w:rFonts w:ascii="黑体" w:hAnsi="黑体" w:eastAsia="黑体" w:cs="黑体"/>
          <w:sz w:val="32"/>
          <w:szCs w:val="32"/>
        </w:rPr>
        <w:t>二、部门财政资金收支情况</w:t>
      </w:r>
    </w:p>
    <w:p w14:paraId="129F7237">
      <w:pPr>
        <w:spacing w:line="580" w:lineRule="exact"/>
        <w:ind w:firstLine="640" w:firstLineChars="200"/>
        <w:rPr>
          <w:rFonts w:ascii="仿宋_GB2312" w:hAnsi="Calibri" w:eastAsia="仿宋_GB2312"/>
          <w:sz w:val="32"/>
          <w:szCs w:val="32"/>
        </w:rPr>
      </w:pPr>
      <w:r>
        <w:rPr>
          <w:rFonts w:ascii="仿宋" w:hAnsi="仿宋" w:eastAsia="仿宋" w:cs="仿宋_GB2312"/>
          <w:sz w:val="32"/>
          <w:szCs w:val="32"/>
        </w:rPr>
        <w:t>（一）部门财政资金收入情况。</w:t>
      </w:r>
      <w:r>
        <w:rPr>
          <w:rFonts w:hint="eastAsia" w:ascii="仿宋_GB2312" w:hAnsi="Calibri" w:eastAsia="仿宋_GB2312"/>
          <w:sz w:val="32"/>
          <w:szCs w:val="32"/>
        </w:rPr>
        <w:t>2019年本年收入合计9.03万元，其中：一般公共预算财政拨款收入90.03万元，占100%。</w:t>
      </w:r>
    </w:p>
    <w:p w14:paraId="644C37FF">
      <w:pPr>
        <w:spacing w:line="580" w:lineRule="exact"/>
        <w:ind w:firstLine="480" w:firstLineChars="150"/>
        <w:rPr>
          <w:rFonts w:ascii="仿宋_GB2312" w:hAnsi="Calibri" w:eastAsia="仿宋_GB2312"/>
          <w:sz w:val="32"/>
          <w:szCs w:val="32"/>
        </w:rPr>
      </w:pPr>
      <w:r>
        <w:rPr>
          <w:rFonts w:ascii="仿宋" w:hAnsi="仿宋" w:eastAsia="仿宋" w:cs="仿宋_GB2312"/>
          <w:sz w:val="32"/>
          <w:szCs w:val="32"/>
        </w:rPr>
        <w:t>（二）部门财政资金支出情况。</w:t>
      </w:r>
      <w:r>
        <w:rPr>
          <w:rFonts w:ascii="仿宋_GB2312" w:hAnsi="Calibri" w:eastAsia="仿宋_GB2312"/>
          <w:sz w:val="32"/>
          <w:szCs w:val="32"/>
        </w:rPr>
        <w:t>201</w:t>
      </w:r>
      <w:r>
        <w:rPr>
          <w:rFonts w:hint="eastAsia" w:ascii="仿宋_GB2312" w:hAnsi="Calibri" w:eastAsia="仿宋_GB2312"/>
          <w:sz w:val="32"/>
          <w:szCs w:val="32"/>
        </w:rPr>
        <w:t>9年一般公共预算财政拨款支出90.03万元，主要用于以下方面</w:t>
      </w:r>
      <w:r>
        <w:rPr>
          <w:rFonts w:ascii="仿宋_GB2312" w:hAnsi="Calibri" w:eastAsia="仿宋_GB2312"/>
          <w:sz w:val="32"/>
          <w:szCs w:val="32"/>
        </w:rPr>
        <w:t>:</w:t>
      </w:r>
      <w:r>
        <w:rPr>
          <w:rFonts w:hint="eastAsia" w:ascii="仿宋_GB2312" w:hAnsi="Calibri" w:eastAsia="仿宋_GB2312"/>
          <w:sz w:val="32"/>
          <w:szCs w:val="32"/>
        </w:rPr>
        <w:t>社会保障和就业支出77.3万元，占86</w:t>
      </w:r>
      <w:r>
        <w:rPr>
          <w:rFonts w:ascii="仿宋_GB2312" w:hAnsi="Calibri" w:eastAsia="仿宋_GB2312"/>
          <w:sz w:val="32"/>
          <w:szCs w:val="32"/>
        </w:rPr>
        <w:t>%</w:t>
      </w:r>
      <w:r>
        <w:rPr>
          <w:rFonts w:hint="eastAsia" w:ascii="仿宋_GB2312" w:hAnsi="Calibri" w:eastAsia="仿宋_GB2312"/>
          <w:sz w:val="32"/>
          <w:szCs w:val="32"/>
        </w:rPr>
        <w:t>；医疗卫生支出5.27万元，占6</w:t>
      </w:r>
      <w:r>
        <w:rPr>
          <w:rFonts w:ascii="仿宋_GB2312" w:hAnsi="Calibri" w:eastAsia="仿宋_GB2312"/>
          <w:sz w:val="32"/>
          <w:szCs w:val="32"/>
        </w:rPr>
        <w:t>%</w:t>
      </w:r>
      <w:r>
        <w:rPr>
          <w:rFonts w:hint="eastAsia" w:ascii="仿宋_GB2312" w:hAnsi="Calibri" w:eastAsia="仿宋_GB2312"/>
          <w:sz w:val="32"/>
          <w:szCs w:val="32"/>
        </w:rPr>
        <w:t>；住房保障支出7.46万元，占8</w:t>
      </w:r>
      <w:r>
        <w:rPr>
          <w:rFonts w:ascii="仿宋_GB2312" w:hAnsi="Calibri" w:eastAsia="仿宋_GB2312"/>
          <w:sz w:val="32"/>
          <w:szCs w:val="32"/>
        </w:rPr>
        <w:t>%</w:t>
      </w:r>
      <w:r>
        <w:rPr>
          <w:rFonts w:hint="eastAsia" w:ascii="仿宋_GB2312" w:hAnsi="Calibri" w:eastAsia="仿宋_GB2312"/>
          <w:sz w:val="32"/>
          <w:szCs w:val="32"/>
        </w:rPr>
        <w:t>。</w:t>
      </w:r>
    </w:p>
    <w:p w14:paraId="74D13EDF">
      <w:pPr>
        <w:pStyle w:val="13"/>
        <w:shd w:val="clear" w:color="auto" w:fill="FFFFFF"/>
        <w:spacing w:before="0" w:beforeAutospacing="0" w:after="0" w:afterAutospacing="0"/>
        <w:ind w:firstLine="628"/>
        <w:jc w:val="both"/>
        <w:rPr>
          <w:rFonts w:ascii="黑体" w:hAnsi="黑体" w:eastAsia="黑体" w:cs="黑体"/>
          <w:sz w:val="32"/>
          <w:szCs w:val="32"/>
        </w:rPr>
      </w:pPr>
      <w:r>
        <w:rPr>
          <w:rFonts w:ascii="黑体" w:hAnsi="黑体" w:eastAsia="黑体" w:cs="黑体"/>
          <w:sz w:val="32"/>
          <w:szCs w:val="32"/>
        </w:rPr>
        <w:t>三、部门整体预算绩效管理情况（根据适用指标体系进行调整）</w:t>
      </w:r>
    </w:p>
    <w:p w14:paraId="27B28CE3">
      <w:pPr>
        <w:pStyle w:val="13"/>
        <w:shd w:val="clear" w:color="auto" w:fill="FFFFFF"/>
        <w:spacing w:before="0" w:beforeAutospacing="0" w:after="0" w:afterAutospacing="0"/>
        <w:ind w:firstLine="628"/>
        <w:jc w:val="both"/>
        <w:rPr>
          <w:rFonts w:ascii="黑体" w:hAnsi="黑体" w:eastAsia="黑体" w:cs="黑体"/>
          <w:sz w:val="32"/>
          <w:szCs w:val="32"/>
        </w:rPr>
      </w:pPr>
      <w:r>
        <w:rPr>
          <w:rFonts w:ascii="仿宋" w:hAnsi="仿宋" w:eastAsia="仿宋" w:cs="仿宋_GB2312"/>
          <w:sz w:val="32"/>
          <w:szCs w:val="32"/>
        </w:rPr>
        <w:t>（一）部门预算管理。</w:t>
      </w:r>
    </w:p>
    <w:p w14:paraId="05B5A253">
      <w:pPr>
        <w:pStyle w:val="13"/>
        <w:shd w:val="clear" w:color="auto" w:fill="FFFFFF"/>
        <w:spacing w:before="0" w:beforeAutospacing="0" w:after="0" w:afterAutospacing="0"/>
        <w:ind w:firstLine="628"/>
        <w:jc w:val="both"/>
        <w:rPr>
          <w:rFonts w:ascii="Times New Roman" w:hAnsi="Times New Roman"/>
          <w:color w:val="333333"/>
          <w:sz w:val="21"/>
          <w:szCs w:val="21"/>
        </w:rPr>
      </w:pPr>
      <w:r>
        <w:rPr>
          <w:rFonts w:hint="eastAsia" w:ascii="仿宋_GB2312" w:hAnsi="Times New Roman" w:eastAsia="仿宋_GB2312"/>
          <w:color w:val="000000"/>
          <w:sz w:val="32"/>
          <w:szCs w:val="32"/>
        </w:rPr>
        <w:t>1.“三公”经费控制率100%。“三公”经费预算本年列支0万元，经费支出未超标。</w:t>
      </w:r>
    </w:p>
    <w:p w14:paraId="4C649D51">
      <w:pPr>
        <w:pStyle w:val="13"/>
        <w:shd w:val="clear" w:color="auto" w:fill="FFFFFF"/>
        <w:spacing w:before="0" w:beforeAutospacing="0" w:after="0" w:afterAutospacing="0"/>
        <w:ind w:firstLine="628"/>
        <w:jc w:val="both"/>
        <w:rPr>
          <w:rFonts w:ascii="Times New Roman" w:hAnsi="Times New Roman"/>
          <w:color w:val="333333"/>
          <w:sz w:val="21"/>
          <w:szCs w:val="21"/>
        </w:rPr>
      </w:pPr>
      <w:r>
        <w:rPr>
          <w:rFonts w:hint="eastAsia" w:ascii="仿宋_GB2312" w:hAnsi="Times New Roman" w:eastAsia="仿宋_GB2312"/>
          <w:color w:val="000000"/>
          <w:sz w:val="32"/>
          <w:szCs w:val="32"/>
        </w:rPr>
        <w:t>2.管理制度进一步健全。2019年我单位制定了财务管理制度和会计核算等管理制度，明确了财务职责，制定了厉行节约制度，管理制度依照有关国家法律法规而制定的，具有合法性、合规性、完整性、同时相关制度得到认真执行。</w:t>
      </w:r>
    </w:p>
    <w:p w14:paraId="52A65B53">
      <w:pPr>
        <w:pStyle w:val="13"/>
        <w:shd w:val="clear" w:color="auto" w:fill="FFFFFF"/>
        <w:spacing w:before="0" w:beforeAutospacing="0" w:after="0" w:afterAutospacing="0"/>
        <w:ind w:firstLine="628"/>
        <w:jc w:val="both"/>
        <w:rPr>
          <w:rFonts w:ascii="Times New Roman" w:hAnsi="Times New Roman"/>
          <w:color w:val="333333"/>
          <w:sz w:val="21"/>
          <w:szCs w:val="21"/>
        </w:rPr>
      </w:pPr>
      <w:r>
        <w:rPr>
          <w:rFonts w:hint="eastAsia" w:ascii="仿宋_GB2312" w:hAnsi="Times New Roman" w:eastAsia="仿宋_GB2312"/>
          <w:color w:val="000000"/>
          <w:sz w:val="32"/>
          <w:szCs w:val="32"/>
        </w:rPr>
        <w:t>4.资金使用合规性。一切支出按照国家财经法规和财务管理制度规定及专项资金管理办法的规定办理。财务人员认真审核每笔业务的合法性、真实性、手续完整性和资料的准确性。健全会计核算，按照国家统一会计制度规定设置会计账簿，依照规定进行会计处理，保证会计指标口径一致。资金拨付有完善的审批程序和手续，支出符合部门预算批复的用途、资金使用无截留、挤占、挪用、虚列开支等情况。</w:t>
      </w:r>
    </w:p>
    <w:p w14:paraId="75ADAEA8">
      <w:pPr>
        <w:spacing w:line="580" w:lineRule="exact"/>
        <w:ind w:firstLine="640" w:firstLineChars="200"/>
        <w:rPr>
          <w:rFonts w:ascii="黑体" w:hAnsi="黑体" w:eastAsia="黑体" w:cs="黑体"/>
          <w:sz w:val="32"/>
          <w:szCs w:val="32"/>
        </w:rPr>
      </w:pPr>
      <w:r>
        <w:rPr>
          <w:rFonts w:hint="eastAsia" w:ascii="仿宋_GB2312" w:eastAsia="仿宋_GB2312"/>
          <w:color w:val="000000"/>
          <w:sz w:val="32"/>
          <w:szCs w:val="32"/>
        </w:rPr>
        <w:t>5.预算信息公开性。按照规定的内容、时间公开预算信息，做到基础数据信息和会计资金真实、完整、准确。</w:t>
      </w:r>
    </w:p>
    <w:p w14:paraId="0232310E">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（二）专项预算管理。</w:t>
      </w:r>
    </w:p>
    <w:p w14:paraId="50CDF596">
      <w:pPr>
        <w:autoSpaceDN w:val="0"/>
        <w:spacing w:line="580" w:lineRule="exact"/>
        <w:ind w:firstLine="800" w:firstLineChars="250"/>
        <w:jc w:val="left"/>
        <w:textAlignment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本部门在2019年度决算中反映0个专项预算。</w:t>
      </w:r>
    </w:p>
    <w:p w14:paraId="4F5D1828">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（三）结果应用情况。</w:t>
      </w:r>
    </w:p>
    <w:p w14:paraId="26AAC5AF">
      <w:pPr>
        <w:spacing w:line="580" w:lineRule="exact"/>
        <w:ind w:firstLine="640" w:firstLineChars="200"/>
        <w:rPr>
          <w:rFonts w:ascii="黑体" w:hAnsi="黑体" w:eastAsia="黑体" w:cs="黑体"/>
          <w:sz w:val="32"/>
          <w:szCs w:val="32"/>
        </w:rPr>
      </w:pPr>
      <w:r>
        <w:rPr>
          <w:rFonts w:hint="eastAsia" w:ascii="仿宋_GB2312" w:hAnsi="仿宋_GB2312" w:eastAsia="仿宋_GB2312" w:cs="仿宋_GB2312"/>
          <w:sz w:val="32"/>
          <w:szCs w:val="32"/>
        </w:rPr>
        <w:t>我会按要求对2019年部门整体支出绩效评价情况开展自评，从</w:t>
      </w:r>
      <w:r>
        <w:rPr>
          <w:rFonts w:hint="eastAsia" w:ascii="仿宋_GB2312" w:hAnsi="仿宋_GB2312" w:eastAsia="仿宋_GB2312" w:cs="仿宋_GB2312"/>
          <w:color w:val="000000"/>
          <w:sz w:val="32"/>
          <w:szCs w:val="32"/>
        </w:rPr>
        <w:t>质量指标、数量指标、时效指标、成本指标、社会效益、经济效益、生态效益、社会公众或服务对象满意度</w:t>
      </w:r>
      <w:r>
        <w:rPr>
          <w:rFonts w:hint="eastAsia" w:ascii="仿宋_GB2312" w:hAnsi="仿宋_GB2312" w:eastAsia="仿宋_GB2312" w:cs="仿宋_GB2312"/>
          <w:sz w:val="32"/>
          <w:szCs w:val="32"/>
        </w:rPr>
        <w:t>指标进行了综合评价，圆满完成工作任务，实现绩效评价与部门预算的有机结合，促进财政资金的合理分配与有效使用。</w:t>
      </w:r>
      <w:r>
        <w:rPr>
          <w:rFonts w:ascii="黑体" w:hAnsi="黑体" w:eastAsia="黑体" w:cs="黑体"/>
          <w:sz w:val="32"/>
          <w:szCs w:val="32"/>
        </w:rPr>
        <w:t>四、评价结论及建议</w:t>
      </w:r>
    </w:p>
    <w:p w14:paraId="6EE3A4DA">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（一）评价结论。</w:t>
      </w:r>
      <w:r>
        <w:rPr>
          <w:rFonts w:hint="eastAsia" w:ascii="仿宋_GB2312" w:hAnsi="仿宋_GB2312" w:eastAsia="仿宋_GB2312" w:cs="仿宋_GB2312"/>
          <w:sz w:val="32"/>
          <w:szCs w:val="32"/>
        </w:rPr>
        <w:t>我会按要求对2019年部门整体支出绩效评价情况开展自评，自评结论为优秀。</w:t>
      </w:r>
    </w:p>
    <w:p w14:paraId="34EDB4F3">
      <w:pPr>
        <w:ind w:firstLine="640" w:firstLineChars="200"/>
        <w:rPr>
          <w:rFonts w:ascii="仿宋_GB2312" w:hAnsi="仿宋_GB2312" w:eastAsia="仿宋_GB2312" w:cs="仿宋_GB2312"/>
          <w:sz w:val="32"/>
          <w:szCs w:val="32"/>
        </w:rPr>
      </w:pPr>
      <w:r>
        <w:rPr>
          <w:rFonts w:ascii="仿宋" w:hAnsi="仿宋" w:eastAsia="仿宋" w:cs="仿宋_GB2312"/>
          <w:sz w:val="32"/>
          <w:szCs w:val="32"/>
        </w:rPr>
        <w:t>（二）存在问题。</w:t>
      </w:r>
      <w:r>
        <w:rPr>
          <w:rFonts w:hint="eastAsia" w:ascii="仿宋_GB2312" w:hAnsi="仿宋_GB2312" w:eastAsia="仿宋_GB2312" w:cs="仿宋_GB2312"/>
          <w:sz w:val="32"/>
          <w:szCs w:val="32"/>
        </w:rPr>
        <w:t>一是机关运行经费所占比例太少，对争取项目处于被动。二是因为机关人员少，对财务监督管理力度不够。三是因为机关人员少，没有单独的财务人员，制度执行力有待加强</w:t>
      </w:r>
      <w:r>
        <w:rPr>
          <w:rFonts w:hint="eastAsia" w:ascii="仿宋_GB2312" w:hAnsi="仿宋_GB2312" w:eastAsia="仿宋_GB2312" w:cs="仿宋_GB2312"/>
          <w:color w:val="000000"/>
          <w:kern w:val="0"/>
          <w:sz w:val="24"/>
        </w:rPr>
        <w:t>。</w:t>
      </w:r>
    </w:p>
    <w:p w14:paraId="290E9461">
      <w:pPr>
        <w:pStyle w:val="13"/>
        <w:shd w:val="clear" w:color="auto" w:fill="FFFFFF"/>
        <w:spacing w:before="0" w:beforeAutospacing="0" w:after="0" w:afterAutospacing="0"/>
        <w:ind w:firstLine="628"/>
        <w:jc w:val="both"/>
        <w:rPr>
          <w:rFonts w:ascii="Times New Roman" w:hAnsi="Times New Roman"/>
          <w:color w:val="333333"/>
          <w:sz w:val="21"/>
          <w:szCs w:val="21"/>
        </w:rPr>
      </w:pPr>
      <w:r>
        <w:rPr>
          <w:rFonts w:ascii="仿宋" w:hAnsi="仿宋" w:eastAsia="仿宋" w:cs="仿宋_GB2312"/>
          <w:sz w:val="32"/>
          <w:szCs w:val="32"/>
        </w:rPr>
        <w:t>（三）改进建议。</w:t>
      </w:r>
      <w:r>
        <w:rPr>
          <w:rFonts w:hint="eastAsia" w:ascii="仿宋_GB2312" w:hAnsi="仿宋" w:eastAsia="仿宋_GB2312" w:cs="仿宋_GB2312"/>
          <w:sz w:val="32"/>
          <w:szCs w:val="32"/>
        </w:rPr>
        <w:t>一是</w:t>
      </w:r>
      <w:r>
        <w:rPr>
          <w:rFonts w:hint="eastAsia" w:ascii="仿宋_GB2312" w:hAnsi="Times New Roman" w:eastAsia="仿宋_GB2312"/>
          <w:color w:val="000000"/>
          <w:sz w:val="32"/>
          <w:szCs w:val="32"/>
        </w:rPr>
        <w:t>将财务制度落实到位，规范财经纪律，严格控制非生产性开；二是加强对财务监管力度，多组织财务业务培训学习</w:t>
      </w:r>
      <w:r>
        <w:rPr>
          <w:rFonts w:hint="eastAsia" w:ascii="Times New Roman" w:hAnsi="Times New Roman"/>
          <w:color w:val="333333"/>
          <w:sz w:val="21"/>
          <w:szCs w:val="21"/>
        </w:rPr>
        <w:t>。</w:t>
      </w:r>
    </w:p>
    <w:p w14:paraId="1D9D50F3">
      <w:pPr>
        <w:spacing w:line="580" w:lineRule="exact"/>
        <w:ind w:firstLine="640" w:firstLineChars="200"/>
        <w:rPr>
          <w:rFonts w:ascii="仿宋" w:hAnsi="仿宋" w:eastAsia="仿宋" w:cs="仿宋_GB2312"/>
          <w:sz w:val="32"/>
          <w:szCs w:val="32"/>
        </w:rPr>
      </w:pPr>
    </w:p>
    <w:p w14:paraId="52A804A7">
      <w:pPr>
        <w:spacing w:line="580" w:lineRule="exact"/>
        <w:ind w:firstLine="640" w:firstLineChars="200"/>
        <w:rPr>
          <w:rFonts w:ascii="仿宋_GB2312" w:hAnsi="仿宋_GB2312" w:eastAsia="仿宋_GB2312" w:cs="仿宋_GB2312"/>
          <w:sz w:val="32"/>
          <w:szCs w:val="32"/>
        </w:rPr>
      </w:pPr>
    </w:p>
    <w:p w14:paraId="7D04C965">
      <w:pPr>
        <w:widowControl/>
        <w:jc w:val="left"/>
        <w:rPr>
          <w:rFonts w:ascii="仿宋_GB2312" w:hAnsi="仿宋_GB2312" w:eastAsia="仿宋_GB2312" w:cs="仿宋_GB2312"/>
          <w:sz w:val="32"/>
          <w:szCs w:val="32"/>
        </w:rPr>
      </w:pPr>
      <w:r>
        <w:rPr>
          <w:rFonts w:ascii="仿宋_GB2312" w:hAnsi="仿宋_GB2312" w:eastAsia="仿宋_GB2312" w:cs="仿宋_GB2312"/>
          <w:sz w:val="32"/>
          <w:szCs w:val="32"/>
        </w:rPr>
        <w:br w:type="page"/>
      </w:r>
    </w:p>
    <w:p w14:paraId="421EB1E8">
      <w:pPr>
        <w:spacing w:line="600" w:lineRule="exact"/>
        <w:jc w:val="center"/>
        <w:outlineLvl w:val="0"/>
        <w:rPr>
          <w:rStyle w:val="27"/>
          <w:rFonts w:ascii="黑体" w:hAnsi="黑体" w:eastAsia="黑体"/>
          <w:b w:val="0"/>
        </w:rPr>
      </w:pPr>
      <w:bookmarkStart w:id="46" w:name="_Toc15396618"/>
      <w:r>
        <w:rPr>
          <w:rFonts w:hint="eastAsia" w:ascii="黑体" w:hAnsi="黑体" w:eastAsia="黑体"/>
          <w:color w:val="000000"/>
          <w:sz w:val="44"/>
          <w:szCs w:val="44"/>
        </w:rPr>
        <w:t>第</w:t>
      </w:r>
      <w:r>
        <w:rPr>
          <w:rStyle w:val="27"/>
          <w:rFonts w:hint="eastAsia" w:ascii="黑体" w:hAnsi="黑体" w:eastAsia="黑体"/>
          <w:b w:val="0"/>
        </w:rPr>
        <w:t>五部分 附表</w:t>
      </w:r>
      <w:bookmarkEnd w:id="42"/>
      <w:bookmarkEnd w:id="46"/>
    </w:p>
    <w:p w14:paraId="11F3887D">
      <w:pPr>
        <w:spacing w:line="600" w:lineRule="exact"/>
        <w:jc w:val="center"/>
        <w:outlineLvl w:val="0"/>
        <w:rPr>
          <w:rFonts w:ascii="仿宋" w:hAnsi="仿宋" w:eastAsia="仿宋"/>
          <w:b/>
          <w:color w:val="000000"/>
          <w:sz w:val="44"/>
          <w:szCs w:val="44"/>
        </w:rPr>
      </w:pPr>
    </w:p>
    <w:p w14:paraId="0BFCDEB8">
      <w:pPr>
        <w:pStyle w:val="3"/>
        <w:rPr>
          <w:rFonts w:ascii="仿宋" w:hAnsi="仿宋" w:eastAsia="仿宋"/>
          <w:color w:val="000000"/>
        </w:rPr>
      </w:pPr>
      <w:bookmarkStart w:id="47" w:name="_Toc15396619"/>
      <w:r>
        <w:rPr>
          <w:rFonts w:hint="eastAsia" w:ascii="仿宋" w:hAnsi="仿宋" w:eastAsia="仿宋"/>
          <w:b w:val="0"/>
          <w:color w:val="000000"/>
        </w:rPr>
        <w:t>一、收</w:t>
      </w:r>
      <w:r>
        <w:rPr>
          <w:rStyle w:val="28"/>
          <w:rFonts w:hint="eastAsia" w:ascii="仿宋" w:hAnsi="仿宋" w:eastAsia="仿宋"/>
          <w:b w:val="0"/>
          <w:bCs w:val="0"/>
        </w:rPr>
        <w:t>入支出决算总表</w:t>
      </w:r>
      <w:bookmarkEnd w:id="47"/>
    </w:p>
    <w:p w14:paraId="68C16D3C">
      <w:pPr>
        <w:pStyle w:val="3"/>
        <w:rPr>
          <w:rFonts w:ascii="仿宋" w:hAnsi="仿宋" w:eastAsia="仿宋"/>
          <w:color w:val="000000"/>
        </w:rPr>
      </w:pPr>
      <w:bookmarkStart w:id="48" w:name="_Toc15396620"/>
      <w:r>
        <w:rPr>
          <w:rFonts w:hint="eastAsia" w:ascii="仿宋" w:hAnsi="仿宋" w:eastAsia="仿宋"/>
          <w:b w:val="0"/>
          <w:color w:val="000000"/>
        </w:rPr>
        <w:t>二、收</w:t>
      </w:r>
      <w:r>
        <w:rPr>
          <w:rStyle w:val="28"/>
          <w:rFonts w:hint="eastAsia" w:ascii="仿宋" w:hAnsi="仿宋" w:eastAsia="仿宋"/>
          <w:b w:val="0"/>
          <w:bCs w:val="0"/>
        </w:rPr>
        <w:t>入决算表</w:t>
      </w:r>
      <w:bookmarkEnd w:id="48"/>
    </w:p>
    <w:p w14:paraId="18661E64">
      <w:pPr>
        <w:pStyle w:val="3"/>
        <w:rPr>
          <w:rFonts w:ascii="仿宋" w:hAnsi="仿宋" w:eastAsia="仿宋"/>
          <w:color w:val="000000"/>
        </w:rPr>
      </w:pPr>
      <w:bookmarkStart w:id="49" w:name="_Toc15396621"/>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出决算表</w:t>
      </w:r>
      <w:bookmarkEnd w:id="49"/>
    </w:p>
    <w:p w14:paraId="3CBF7A8D">
      <w:pPr>
        <w:pStyle w:val="3"/>
        <w:rPr>
          <w:rFonts w:ascii="仿宋" w:hAnsi="仿宋" w:eastAsia="仿宋"/>
          <w:b w:val="0"/>
          <w:color w:val="000000"/>
        </w:rPr>
      </w:pPr>
      <w:bookmarkStart w:id="50" w:name="_Toc15396622"/>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50"/>
    </w:p>
    <w:p w14:paraId="46E02101">
      <w:pPr>
        <w:pStyle w:val="3"/>
        <w:rPr>
          <w:rStyle w:val="28"/>
          <w:rFonts w:ascii="仿宋" w:hAnsi="仿宋" w:eastAsia="仿宋"/>
          <w:b w:val="0"/>
          <w:bCs w:val="0"/>
        </w:rPr>
      </w:pPr>
      <w:bookmarkStart w:id="51" w:name="_Toc15396623"/>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w:t>
      </w:r>
      <w:bookmarkEnd w:id="51"/>
      <w:bookmarkStart w:id="52" w:name="_Toc15396624"/>
    </w:p>
    <w:p w14:paraId="726EDD80">
      <w:pPr>
        <w:pStyle w:val="3"/>
        <w:rPr>
          <w:rFonts w:ascii="仿宋" w:hAnsi="仿宋" w:eastAsia="仿宋"/>
          <w:color w:val="000000"/>
        </w:rPr>
      </w:pPr>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52"/>
    </w:p>
    <w:p w14:paraId="12FBDE12">
      <w:pPr>
        <w:pStyle w:val="3"/>
        <w:rPr>
          <w:rFonts w:ascii="仿宋" w:hAnsi="仿宋" w:eastAsia="仿宋"/>
          <w:color w:val="000000"/>
        </w:rPr>
      </w:pPr>
      <w:bookmarkStart w:id="53" w:name="_Toc15396625"/>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53"/>
    </w:p>
    <w:p w14:paraId="614F6886">
      <w:pPr>
        <w:pStyle w:val="3"/>
        <w:rPr>
          <w:rFonts w:ascii="仿宋" w:hAnsi="仿宋" w:eastAsia="仿宋"/>
          <w:color w:val="000000"/>
        </w:rPr>
      </w:pPr>
      <w:bookmarkStart w:id="54" w:name="_Toc15396626"/>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54"/>
    </w:p>
    <w:p w14:paraId="21FB1B82">
      <w:pPr>
        <w:pStyle w:val="3"/>
        <w:rPr>
          <w:rFonts w:ascii="仿宋" w:hAnsi="仿宋" w:eastAsia="仿宋"/>
          <w:color w:val="000000"/>
        </w:rPr>
      </w:pPr>
      <w:bookmarkStart w:id="55" w:name="_Toc15396627"/>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55"/>
    </w:p>
    <w:p w14:paraId="68D9424D">
      <w:pPr>
        <w:pStyle w:val="3"/>
        <w:rPr>
          <w:rFonts w:ascii="仿宋" w:hAnsi="仿宋" w:eastAsia="仿宋"/>
          <w:color w:val="000000"/>
        </w:rPr>
      </w:pPr>
      <w:bookmarkStart w:id="56" w:name="_Toc15396628"/>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56"/>
    </w:p>
    <w:p w14:paraId="2FC1C2E5">
      <w:pPr>
        <w:pStyle w:val="3"/>
        <w:rPr>
          <w:rFonts w:ascii="仿宋" w:hAnsi="仿宋" w:eastAsia="仿宋"/>
          <w:color w:val="000000"/>
        </w:rPr>
      </w:pPr>
      <w:bookmarkStart w:id="57" w:name="_Toc15396629"/>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57"/>
    </w:p>
    <w:p w14:paraId="36495065">
      <w:pPr>
        <w:pStyle w:val="3"/>
        <w:rPr>
          <w:rFonts w:ascii="仿宋" w:hAnsi="仿宋" w:eastAsia="仿宋"/>
          <w:color w:val="000000"/>
        </w:rPr>
      </w:pPr>
      <w:bookmarkStart w:id="58" w:name="_Toc15396630"/>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bookmarkEnd w:id="58"/>
    </w:p>
    <w:p w14:paraId="598BE27E">
      <w:pPr>
        <w:pStyle w:val="3"/>
        <w:rPr>
          <w:rFonts w:ascii="仿宋" w:hAnsi="仿宋" w:eastAsia="仿宋"/>
          <w:color w:val="000000" w:themeColor="text1"/>
        </w:rPr>
      </w:pPr>
      <w:bookmarkStart w:id="59" w:name="_Toc15396631"/>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有资本经营预算支出决算表</w:t>
      </w:r>
      <w:bookmarkEnd w:id="59"/>
    </w:p>
    <w:sectPr>
      <w:footerReference r:id="rId5" w:type="first"/>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Adobe 楷体 Std R">
    <w:altName w:val="宋体"/>
    <w:panose1 w:val="00000000000000000000"/>
    <w:charset w:val="00"/>
    <w:family w:val="auto"/>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6C747594">
        <w:pPr>
          <w:pStyle w:val="9"/>
          <w:jc w:val="center"/>
        </w:pPr>
        <w:r>
          <w:fldChar w:fldCharType="begin"/>
        </w:r>
        <w:r>
          <w:instrText xml:space="preserve">PAGE   \* MERGEFORMAT</w:instrText>
        </w:r>
        <w:r>
          <w:fldChar w:fldCharType="separate"/>
        </w:r>
        <w:r>
          <w:rPr>
            <w:lang w:val="zh-CN"/>
          </w:rPr>
          <w:t>7</w:t>
        </w:r>
        <w:r>
          <w:rPr>
            <w:lang w:val="zh-CN"/>
          </w:rPr>
          <w:fldChar w:fldCharType="end"/>
        </w:r>
      </w:p>
    </w:sdtContent>
  </w:sdt>
  <w:p w14:paraId="6D7CAF7E">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9856141"/>
      <w:docPartObj>
        <w:docPartGallery w:val="AutoText"/>
      </w:docPartObj>
    </w:sdtPr>
    <w:sdtContent>
      <w:p w14:paraId="7055C8FE">
        <w:pPr>
          <w:pStyle w:val="9"/>
          <w:ind w:firstLine="3870" w:firstLineChars="2150"/>
        </w:pPr>
        <w:r>
          <w:fldChar w:fldCharType="begin"/>
        </w:r>
        <w:r>
          <w:instrText xml:space="preserve"> PAGE   \* MERGEFORMAT </w:instrText>
        </w:r>
        <w:r>
          <w:fldChar w:fldCharType="separate"/>
        </w:r>
        <w:r>
          <w:rPr>
            <w:lang w:val="zh-CN"/>
          </w:rPr>
          <w:t>1</w:t>
        </w:r>
        <w:r>
          <w:rPr>
            <w:lang w:val="zh-CN"/>
          </w:rPr>
          <w:fldChar w:fldCharType="end"/>
        </w:r>
      </w:p>
    </w:sdtContent>
  </w:sdt>
  <w:p w14:paraId="2C529D4D">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42D79">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0BC6"/>
    <w:rsid w:val="000768F2"/>
    <w:rsid w:val="000819D8"/>
    <w:rsid w:val="0009184B"/>
    <w:rsid w:val="000932F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35D04"/>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06AD7"/>
    <w:rsid w:val="0021101A"/>
    <w:rsid w:val="0021798C"/>
    <w:rsid w:val="00220536"/>
    <w:rsid w:val="00235629"/>
    <w:rsid w:val="00260C38"/>
    <w:rsid w:val="002616C0"/>
    <w:rsid w:val="00265372"/>
    <w:rsid w:val="002662AA"/>
    <w:rsid w:val="00280496"/>
    <w:rsid w:val="00294DC9"/>
    <w:rsid w:val="00295495"/>
    <w:rsid w:val="002A31DE"/>
    <w:rsid w:val="002B2613"/>
    <w:rsid w:val="002D19B0"/>
    <w:rsid w:val="002D6D05"/>
    <w:rsid w:val="002E200B"/>
    <w:rsid w:val="002F1818"/>
    <w:rsid w:val="002F567B"/>
    <w:rsid w:val="00307930"/>
    <w:rsid w:val="003216A9"/>
    <w:rsid w:val="00335A74"/>
    <w:rsid w:val="0036561B"/>
    <w:rsid w:val="0037013F"/>
    <w:rsid w:val="00380C92"/>
    <w:rsid w:val="003A484F"/>
    <w:rsid w:val="003A4883"/>
    <w:rsid w:val="003B0BE0"/>
    <w:rsid w:val="003B0C1B"/>
    <w:rsid w:val="003B688C"/>
    <w:rsid w:val="003C0291"/>
    <w:rsid w:val="003C0E58"/>
    <w:rsid w:val="003C39AE"/>
    <w:rsid w:val="003C7B60"/>
    <w:rsid w:val="003D0C0F"/>
    <w:rsid w:val="003D1FB2"/>
    <w:rsid w:val="003D66DA"/>
    <w:rsid w:val="003E1310"/>
    <w:rsid w:val="003E6F55"/>
    <w:rsid w:val="003F6619"/>
    <w:rsid w:val="00406254"/>
    <w:rsid w:val="00416CD4"/>
    <w:rsid w:val="004223DE"/>
    <w:rsid w:val="00430F75"/>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862FF"/>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7717"/>
    <w:rsid w:val="0066343B"/>
    <w:rsid w:val="00664777"/>
    <w:rsid w:val="006748A4"/>
    <w:rsid w:val="00681A31"/>
    <w:rsid w:val="00683E73"/>
    <w:rsid w:val="006A3141"/>
    <w:rsid w:val="006A5E34"/>
    <w:rsid w:val="006B2422"/>
    <w:rsid w:val="006B2B9A"/>
    <w:rsid w:val="006C1937"/>
    <w:rsid w:val="006F020C"/>
    <w:rsid w:val="007035D9"/>
    <w:rsid w:val="00706C04"/>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142D7"/>
    <w:rsid w:val="008253BB"/>
    <w:rsid w:val="00833962"/>
    <w:rsid w:val="0083706E"/>
    <w:rsid w:val="008408F6"/>
    <w:rsid w:val="008423A5"/>
    <w:rsid w:val="00850625"/>
    <w:rsid w:val="00853718"/>
    <w:rsid w:val="00855221"/>
    <w:rsid w:val="00860645"/>
    <w:rsid w:val="00871F71"/>
    <w:rsid w:val="00872FD8"/>
    <w:rsid w:val="00881752"/>
    <w:rsid w:val="00885AF4"/>
    <w:rsid w:val="0088731E"/>
    <w:rsid w:val="008939CD"/>
    <w:rsid w:val="008B768C"/>
    <w:rsid w:val="008C4DB1"/>
    <w:rsid w:val="008C4EAF"/>
    <w:rsid w:val="008C5176"/>
    <w:rsid w:val="008C7FD0"/>
    <w:rsid w:val="008E1DE7"/>
    <w:rsid w:val="008E707C"/>
    <w:rsid w:val="00900B08"/>
    <w:rsid w:val="00902155"/>
    <w:rsid w:val="00902FA3"/>
    <w:rsid w:val="00923564"/>
    <w:rsid w:val="0092392E"/>
    <w:rsid w:val="00926905"/>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85566"/>
    <w:rsid w:val="00A91760"/>
    <w:rsid w:val="00A93B00"/>
    <w:rsid w:val="00A93C21"/>
    <w:rsid w:val="00A97D03"/>
    <w:rsid w:val="00AB64C9"/>
    <w:rsid w:val="00AC3C6A"/>
    <w:rsid w:val="00AD0AD1"/>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638C6"/>
    <w:rsid w:val="00B77EA6"/>
    <w:rsid w:val="00B81598"/>
    <w:rsid w:val="00B841F1"/>
    <w:rsid w:val="00B93F6D"/>
    <w:rsid w:val="00B944D6"/>
    <w:rsid w:val="00BB4DF0"/>
    <w:rsid w:val="00BC09B7"/>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92C58"/>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4A6C"/>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0D9"/>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10C055FF"/>
    <w:rsid w:val="16BB723D"/>
    <w:rsid w:val="240371BF"/>
    <w:rsid w:val="29FD04D3"/>
    <w:rsid w:val="319F7F4E"/>
    <w:rsid w:val="4ECE2238"/>
    <w:rsid w:val="64670928"/>
    <w:rsid w:val="72734D9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4"/>
    <w:uiPriority w:val="99"/>
    <w:pPr>
      <w:spacing w:beforeLines="30"/>
    </w:pPr>
    <w:rPr>
      <w:rFonts w:ascii="仿宋_GB2312" w:eastAsia="仿宋_GB2312"/>
      <w:kern w:val="0"/>
      <w:sz w:val="30"/>
    </w:rPr>
  </w:style>
  <w:style w:type="paragraph" w:styleId="6">
    <w:name w:val="Body Text Indent"/>
    <w:basedOn w:val="1"/>
    <w:link w:val="33"/>
    <w:semiHidden/>
    <w:unhideWhenUsed/>
    <w:qFormat/>
    <w:uiPriority w:val="99"/>
    <w:pPr>
      <w:spacing w:after="120"/>
      <w:ind w:left="420" w:leftChars="200"/>
    </w:p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30"/>
    <w:semiHidden/>
    <w:unhideWhenUsed/>
    <w:qFormat/>
    <w:uiPriority w:val="99"/>
    <w:rPr>
      <w:sz w:val="18"/>
      <w:szCs w:val="18"/>
    </w:rPr>
  </w:style>
  <w:style w:type="paragraph" w:styleId="9">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qFormat/>
    <w:uiPriority w:val="99"/>
    <w:pPr>
      <w:widowControl/>
      <w:spacing w:before="100" w:beforeAutospacing="1" w:after="100" w:afterAutospacing="1"/>
      <w:jc w:val="left"/>
    </w:pPr>
    <w:rPr>
      <w:rFonts w:ascii="宋体" w:hAnsi="宋体"/>
      <w:kern w:val="0"/>
      <w:sz w:val="24"/>
    </w:rPr>
  </w:style>
  <w:style w:type="paragraph" w:styleId="14">
    <w:name w:val="Body Text First Indent 2"/>
    <w:basedOn w:val="6"/>
    <w:link w:val="34"/>
    <w:semiHidden/>
    <w:unhideWhenUsed/>
    <w:qFormat/>
    <w:uiPriority w:val="99"/>
    <w:pPr>
      <w:ind w:firstLine="420" w:firstLine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rPr>
  </w:style>
  <w:style w:type="character" w:customStyle="1" w:styleId="19">
    <w:name w:val="Header Char"/>
    <w:basedOn w:val="16"/>
    <w:semiHidden/>
    <w:qFormat/>
    <w:uiPriority w:val="99"/>
    <w:rPr>
      <w:rFonts w:ascii="Times New Roman" w:hAnsi="Times New Roman"/>
      <w:sz w:val="18"/>
      <w:szCs w:val="18"/>
    </w:rPr>
  </w:style>
  <w:style w:type="character" w:customStyle="1" w:styleId="20">
    <w:name w:val="页眉 Char"/>
    <w:link w:val="10"/>
    <w:semiHidden/>
    <w:qFormat/>
    <w:locked/>
    <w:uiPriority w:val="99"/>
    <w:rPr>
      <w:sz w:val="18"/>
    </w:rPr>
  </w:style>
  <w:style w:type="character" w:customStyle="1" w:styleId="21">
    <w:name w:val="Footer Char"/>
    <w:basedOn w:val="16"/>
    <w:semiHidden/>
    <w:qFormat/>
    <w:uiPriority w:val="99"/>
    <w:rPr>
      <w:rFonts w:ascii="Times New Roman" w:hAnsi="Times New Roman"/>
      <w:sz w:val="18"/>
      <w:szCs w:val="18"/>
    </w:rPr>
  </w:style>
  <w:style w:type="character" w:customStyle="1" w:styleId="22">
    <w:name w:val="页脚 Char"/>
    <w:link w:val="9"/>
    <w:qFormat/>
    <w:locked/>
    <w:uiPriority w:val="99"/>
    <w:rPr>
      <w:sz w:val="18"/>
    </w:rPr>
  </w:style>
  <w:style w:type="character" w:customStyle="1" w:styleId="23">
    <w:name w:val="Body Text Char"/>
    <w:basedOn w:val="16"/>
    <w:semiHidden/>
    <w:qFormat/>
    <w:uiPriority w:val="99"/>
    <w:rPr>
      <w:rFonts w:ascii="Times New Roman" w:hAnsi="Times New Roman"/>
      <w:szCs w:val="24"/>
    </w:rPr>
  </w:style>
  <w:style w:type="character" w:customStyle="1" w:styleId="24">
    <w:name w:val="正文文本 Char"/>
    <w:link w:val="5"/>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Char"/>
    <w:basedOn w:val="16"/>
    <w:link w:val="2"/>
    <w:qFormat/>
    <w:uiPriority w:val="9"/>
    <w:rPr>
      <w:rFonts w:ascii="Times New Roman" w:hAnsi="Times New Roman"/>
      <w:b/>
      <w:bCs/>
      <w:kern w:val="44"/>
      <w:sz w:val="44"/>
      <w:szCs w:val="44"/>
    </w:rPr>
  </w:style>
  <w:style w:type="character" w:customStyle="1" w:styleId="28">
    <w:name w:val="标题 2 Char"/>
    <w:basedOn w:val="16"/>
    <w:link w:val="3"/>
    <w:qFormat/>
    <w:uiPriority w:val="9"/>
    <w:rPr>
      <w:rFonts w:asciiTheme="majorHAnsi" w:hAnsiTheme="majorHAnsi" w:eastAsiaTheme="majorEastAsia" w:cstheme="majorBidi"/>
      <w:b/>
      <w:bCs/>
      <w:kern w:val="2"/>
      <w:sz w:val="32"/>
      <w:szCs w:val="32"/>
    </w:rPr>
  </w:style>
  <w:style w:type="paragraph" w:customStyle="1" w:styleId="29">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0">
    <w:name w:val="批注框文本 Char"/>
    <w:basedOn w:val="16"/>
    <w:link w:val="8"/>
    <w:semiHidden/>
    <w:qFormat/>
    <w:uiPriority w:val="99"/>
    <w:rPr>
      <w:rFonts w:ascii="Times New Roman" w:hAnsi="Times New Roman"/>
      <w:kern w:val="2"/>
      <w:sz w:val="18"/>
      <w:szCs w:val="18"/>
    </w:rPr>
  </w:style>
  <w:style w:type="character" w:customStyle="1" w:styleId="31">
    <w:name w:val="标题 3 Char"/>
    <w:basedOn w:val="16"/>
    <w:link w:val="4"/>
    <w:qFormat/>
    <w:uiPriority w:val="9"/>
    <w:rPr>
      <w:rFonts w:ascii="Times New Roman" w:hAnsi="Times New Roman"/>
      <w:b/>
      <w:bCs/>
      <w:kern w:val="2"/>
      <w:sz w:val="32"/>
      <w:szCs w:val="32"/>
    </w:rPr>
  </w:style>
  <w:style w:type="paragraph" w:customStyle="1" w:styleId="32">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3">
    <w:name w:val="正文文本缩进 Char"/>
    <w:basedOn w:val="16"/>
    <w:link w:val="6"/>
    <w:semiHidden/>
    <w:qFormat/>
    <w:uiPriority w:val="99"/>
    <w:rPr>
      <w:rFonts w:ascii="Times New Roman" w:hAnsi="Times New Roman"/>
      <w:kern w:val="2"/>
      <w:sz w:val="21"/>
      <w:szCs w:val="24"/>
    </w:rPr>
  </w:style>
  <w:style w:type="character" w:customStyle="1" w:styleId="34">
    <w:name w:val="正文首行缩进 2 Char"/>
    <w:basedOn w:val="33"/>
    <w:link w:val="14"/>
    <w:semiHidden/>
    <w:uiPriority w:val="99"/>
    <w:rPr>
      <w:rFonts w:ascii="Times New Roman" w:hAnsi="Times New Roman"/>
      <w:kern w:val="2"/>
      <w:sz w:val="21"/>
      <w:szCs w:val="24"/>
    </w:rPr>
  </w:style>
  <w:style w:type="paragraph" w:customStyle="1" w:styleId="35">
    <w:name w:val="p"/>
    <w:basedOn w:val="1"/>
    <w:qFormat/>
    <w:uiPriority w:val="0"/>
    <w:pPr>
      <w:spacing w:line="525" w:lineRule="atLeast"/>
      <w:ind w:firstLine="375"/>
    </w:pPr>
    <w:rPr>
      <w:rFonts w:ascii="Calibri" w:hAnsi="Calibri"/>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EF4498-D485-4A4F-97AC-918F8AB6A9C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19</Pages>
  <Words>6629</Words>
  <Characters>7084</Characters>
  <Lines>52</Lines>
  <Paragraphs>14</Paragraphs>
  <TotalTime>2</TotalTime>
  <ScaleCrop>false</ScaleCrop>
  <LinksUpToDate>false</LinksUpToDate>
  <CharactersWithSpaces>7142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2021-03-09T02:45:00Z</dcterms:created>
  <dc:creator>曹颖</dc:creator>
  <cp:lastModifiedBy>LENOVO</cp:lastModifiedBy>
  <cp:lastPrinted>2020-07-23T02:58:00Z</cp:lastPrinted>
  <dcterms:modified xsi:type="dcterms:W3CDTF">2025-06-23T09:17:40Z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eyJoZGlkIjoiNmI5ZGYwNjVkNTMwZDc1MDE3N2M5ZmQ5MDE1OWQ5ZDQifQ==</vt:lpwstr>
  </property>
  <property fmtid="{D5CDD505-2E9C-101B-9397-08002B2CF9AE}" pid="4" name="ICV">
    <vt:lpwstr>DBFACFF88DF54A47B393E52AF7355EE6_12</vt:lpwstr>
  </property>
</Properties>
</file>