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B18E9">
      <w:pPr>
        <w:spacing w:line="600" w:lineRule="exact"/>
        <w:jc w:val="center"/>
        <w:outlineLvl w:val="0"/>
        <w:rPr>
          <w:rFonts w:ascii="方正小标宋简体" w:hAnsi="宋体" w:eastAsia="方正小标宋简体"/>
          <w:color w:val="000000"/>
          <w:sz w:val="72"/>
          <w:szCs w:val="72"/>
        </w:rPr>
      </w:pPr>
      <w:bookmarkStart w:id="0" w:name="_Toc15306267"/>
    </w:p>
    <w:p w14:paraId="291EA4E5">
      <w:pPr>
        <w:spacing w:line="600" w:lineRule="exact"/>
        <w:jc w:val="center"/>
        <w:outlineLvl w:val="0"/>
        <w:rPr>
          <w:rFonts w:ascii="方正小标宋简体" w:hAnsi="宋体" w:eastAsia="方正小标宋简体"/>
          <w:color w:val="000000"/>
          <w:sz w:val="72"/>
          <w:szCs w:val="72"/>
        </w:rPr>
      </w:pPr>
    </w:p>
    <w:p w14:paraId="39FF8611">
      <w:pPr>
        <w:spacing w:line="600" w:lineRule="exact"/>
        <w:jc w:val="center"/>
        <w:outlineLvl w:val="0"/>
        <w:rPr>
          <w:rFonts w:ascii="方正小标宋简体" w:hAnsi="宋体" w:eastAsia="方正小标宋简体"/>
          <w:color w:val="000000"/>
          <w:sz w:val="72"/>
          <w:szCs w:val="72"/>
        </w:rPr>
      </w:pPr>
    </w:p>
    <w:bookmarkEnd w:id="0"/>
    <w:p w14:paraId="5240DE08">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7193"/>
      <w:bookmarkStart w:id="4" w:name="_Toc15396597"/>
      <w:bookmarkStart w:id="5" w:name="_Toc15378441"/>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369CE6A8">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96476"/>
      <w:bookmarkStart w:id="8" w:name="_Toc15378442"/>
      <w:bookmarkStart w:id="9" w:name="_Toc15377426"/>
      <w:bookmarkStart w:id="10" w:name="_Toc15377194"/>
      <w:r>
        <w:rPr>
          <w:rFonts w:hint="eastAsia" w:ascii="方正小标宋简体" w:hAnsi="宋体" w:eastAsia="方正小标宋简体"/>
          <w:color w:val="000000"/>
          <w:sz w:val="72"/>
          <w:szCs w:val="72"/>
        </w:rPr>
        <w:t>四川省</w:t>
      </w:r>
      <w:bookmarkStart w:id="11" w:name="_Toc15306268"/>
      <w:r>
        <w:rPr>
          <w:rFonts w:hint="eastAsia" w:ascii="方正小标宋简体" w:hAnsi="宋体" w:eastAsia="方正小标宋简体"/>
          <w:color w:val="000000"/>
          <w:sz w:val="72"/>
          <w:szCs w:val="72"/>
        </w:rPr>
        <w:t>九寨沟县红十字会部门决算</w:t>
      </w:r>
      <w:bookmarkEnd w:id="6"/>
      <w:bookmarkEnd w:id="7"/>
      <w:bookmarkEnd w:id="8"/>
      <w:bookmarkEnd w:id="9"/>
      <w:bookmarkEnd w:id="10"/>
      <w:bookmarkEnd w:id="11"/>
    </w:p>
    <w:p w14:paraId="6E66CFC7">
      <w:pPr>
        <w:widowControl/>
        <w:jc w:val="center"/>
        <w:rPr>
          <w:rFonts w:ascii="方正小标宋简体" w:hAnsi="宋体" w:eastAsia="方正小标宋简体"/>
          <w:color w:val="000000"/>
          <w:sz w:val="36"/>
          <w:szCs w:val="36"/>
        </w:rPr>
      </w:pPr>
    </w:p>
    <w:p w14:paraId="1B6EFBCE">
      <w:pPr>
        <w:rPr>
          <w:rFonts w:ascii="方正小标宋简体" w:hAnsi="宋体" w:eastAsia="方正小标宋简体"/>
          <w:sz w:val="36"/>
          <w:szCs w:val="36"/>
        </w:rPr>
      </w:pPr>
    </w:p>
    <w:p w14:paraId="0F5247A6">
      <w:pPr>
        <w:rPr>
          <w:rFonts w:ascii="方正小标宋简体" w:hAnsi="宋体" w:eastAsia="方正小标宋简体"/>
          <w:sz w:val="36"/>
          <w:szCs w:val="36"/>
        </w:rPr>
      </w:pPr>
    </w:p>
    <w:p w14:paraId="5235F5E4">
      <w:pPr>
        <w:rPr>
          <w:rFonts w:ascii="方正小标宋简体" w:hAnsi="宋体" w:eastAsia="方正小标宋简体"/>
          <w:sz w:val="36"/>
          <w:szCs w:val="36"/>
        </w:rPr>
      </w:pPr>
    </w:p>
    <w:p w14:paraId="74E15273">
      <w:pPr>
        <w:rPr>
          <w:rFonts w:ascii="方正小标宋简体" w:hAnsi="宋体" w:eastAsia="方正小标宋简体"/>
          <w:sz w:val="36"/>
          <w:szCs w:val="36"/>
        </w:rPr>
      </w:pPr>
    </w:p>
    <w:p w14:paraId="15FE815F">
      <w:pPr>
        <w:rPr>
          <w:rFonts w:ascii="方正小标宋简体" w:hAnsi="宋体" w:eastAsia="方正小标宋简体"/>
          <w:sz w:val="36"/>
          <w:szCs w:val="36"/>
        </w:rPr>
      </w:pPr>
    </w:p>
    <w:p w14:paraId="5FF4070C">
      <w:pPr>
        <w:rPr>
          <w:rFonts w:ascii="方正小标宋简体" w:hAnsi="宋体" w:eastAsia="方正小标宋简体"/>
          <w:sz w:val="36"/>
          <w:szCs w:val="36"/>
        </w:rPr>
      </w:pPr>
    </w:p>
    <w:p w14:paraId="2372D28A">
      <w:pPr>
        <w:rPr>
          <w:rFonts w:ascii="方正小标宋简体" w:hAnsi="宋体" w:eastAsia="方正小标宋简体"/>
          <w:sz w:val="36"/>
          <w:szCs w:val="36"/>
        </w:rPr>
      </w:pPr>
    </w:p>
    <w:p w14:paraId="56695CAD">
      <w:pPr>
        <w:rPr>
          <w:rFonts w:ascii="方正小标宋简体" w:hAnsi="宋体" w:eastAsia="方正小标宋简体"/>
          <w:sz w:val="36"/>
          <w:szCs w:val="36"/>
        </w:rPr>
      </w:pPr>
    </w:p>
    <w:p w14:paraId="773856F1">
      <w:pPr>
        <w:rPr>
          <w:rFonts w:ascii="方正小标宋简体" w:hAnsi="宋体" w:eastAsia="方正小标宋简体"/>
          <w:sz w:val="36"/>
          <w:szCs w:val="36"/>
        </w:rPr>
      </w:pPr>
    </w:p>
    <w:p w14:paraId="6B60D35A">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72E6E094">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0DCC72B9">
      <w:pPr>
        <w:widowControl/>
        <w:jc w:val="center"/>
        <w:rPr>
          <w:rFonts w:ascii="方正小标宋简体" w:hAnsi="宋体" w:eastAsia="方正小标宋简体"/>
          <w:color w:val="000000"/>
          <w:sz w:val="36"/>
          <w:szCs w:val="36"/>
        </w:rPr>
      </w:pPr>
    </w:p>
    <w:p w14:paraId="44551C52">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AC5F9E8">
      <w:pPr>
        <w:pStyle w:val="13"/>
        <w:jc w:val="center"/>
        <w:rPr>
          <w:rFonts w:hAnsiTheme="minorHAnsi"/>
          <w:b w:val="0"/>
          <w:bCs w:val="0"/>
          <w:sz w:val="24"/>
          <w:szCs w:val="24"/>
        </w:rPr>
      </w:pPr>
      <w:r>
        <w:rPr>
          <w:rFonts w:hint="eastAsia" w:hAnsiTheme="minorHAnsi"/>
          <w:b w:val="0"/>
          <w:bCs w:val="0"/>
          <w:sz w:val="24"/>
          <w:szCs w:val="24"/>
        </w:rPr>
        <w:t>公开时间：2021年9月13日</w:t>
      </w:r>
    </w:p>
    <w:p w14:paraId="7C681AEF">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rPr>
        <w:t>6-9</w:t>
      </w:r>
    </w:p>
    <w:p w14:paraId="078954B4">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6-8</w:t>
      </w:r>
    </w:p>
    <w:p w14:paraId="4C7D69AD">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rPr>
        <w:t>6-7</w:t>
      </w:r>
    </w:p>
    <w:p w14:paraId="1E06B8DA">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rPr>
          <w:rFonts w:hint="eastAsia"/>
        </w:rPr>
        <w:t>7-8</w:t>
      </w:r>
    </w:p>
    <w:p w14:paraId="13CACDE1">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rPr>
        <w:t>8-9</w:t>
      </w:r>
    </w:p>
    <w:p w14:paraId="0E321D85">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74F45BC8">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14158CB1">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67F1A56A">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b w:val="0"/>
          <w:bCs w:val="0"/>
        </w:rPr>
        <w:t>2020年度部门决算情况说明</w:t>
      </w:r>
      <w:r>
        <w:tab/>
      </w:r>
      <w:r>
        <w:rPr>
          <w:rFonts w:hint="eastAsia"/>
        </w:rPr>
        <w:t>10-15</w:t>
      </w:r>
    </w:p>
    <w:p w14:paraId="37D3D619">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10</w:t>
      </w:r>
    </w:p>
    <w:p w14:paraId="556B4A9C">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10</w:t>
      </w:r>
    </w:p>
    <w:p w14:paraId="493F80A2">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10</w:t>
      </w:r>
    </w:p>
    <w:p w14:paraId="4979E1D1">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rPr>
        <w:t>10</w:t>
      </w:r>
    </w:p>
    <w:p w14:paraId="268E5F29">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rPr>
        <w:t>10-11</w:t>
      </w:r>
    </w:p>
    <w:p w14:paraId="345069CC">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rPr>
          <w:rFonts w:hint="eastAsia"/>
        </w:rPr>
        <w:t>10</w:t>
      </w:r>
    </w:p>
    <w:p w14:paraId="40B0F6C4">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rPr>
          <w:rFonts w:hint="eastAsia"/>
        </w:rPr>
        <w:t>10-11</w:t>
      </w:r>
    </w:p>
    <w:p w14:paraId="764DA24B">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rPr>
          <w:rFonts w:hint="eastAsia"/>
        </w:rPr>
        <w:t>11</w:t>
      </w:r>
    </w:p>
    <w:p w14:paraId="0C7881A4">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rPr>
        <w:t>11-12</w:t>
      </w:r>
    </w:p>
    <w:p w14:paraId="36B7A208">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rPr>
        <w:t>12-13</w:t>
      </w:r>
    </w:p>
    <w:p w14:paraId="1DB8E443">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rPr>
          <w:rFonts w:hint="eastAsia"/>
        </w:rPr>
        <w:t>12</w:t>
      </w:r>
    </w:p>
    <w:p w14:paraId="302D9262">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rPr>
          <w:rFonts w:hint="eastAsia"/>
        </w:rPr>
        <w:t>12-13</w:t>
      </w:r>
    </w:p>
    <w:p w14:paraId="232A02C9">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rPr>
          <w:rFonts w:hint="eastAsia"/>
        </w:rPr>
        <w:t>13</w:t>
      </w:r>
    </w:p>
    <w:p w14:paraId="4B3C02AE">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rPr>
          <w:rFonts w:hint="eastAsia"/>
        </w:rPr>
        <w:t>13</w:t>
      </w:r>
    </w:p>
    <w:p w14:paraId="7C0B49E5">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rPr>
        <w:t>13-15</w:t>
      </w:r>
    </w:p>
    <w:p w14:paraId="2822CEB3">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rPr>
          <w:rFonts w:hint="eastAsia"/>
        </w:rPr>
        <w:t>13</w:t>
      </w:r>
    </w:p>
    <w:p w14:paraId="15C31B4D">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rPr>
          <w:rFonts w:hint="eastAsia"/>
        </w:rPr>
        <w:t>13-14</w:t>
      </w:r>
    </w:p>
    <w:p w14:paraId="032AE829">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rPr>
          <w:rFonts w:hint="eastAsia"/>
        </w:rPr>
        <w:t>14</w:t>
      </w:r>
    </w:p>
    <w:p w14:paraId="0EA811B2">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rPr>
          <w:rFonts w:hint="eastAsia"/>
        </w:rPr>
        <w:t>14-15</w:t>
      </w:r>
    </w:p>
    <w:p w14:paraId="664926E5">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r>
        <w:rPr>
          <w:rFonts w:hint="eastAsia"/>
        </w:rPr>
        <w:t>-17</w:t>
      </w:r>
    </w:p>
    <w:p w14:paraId="5AE00831">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rPr>
        <w:t>18-20</w:t>
      </w:r>
    </w:p>
    <w:p w14:paraId="60141CF9">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rPr>
          <w:rFonts w:hint="eastAsia"/>
        </w:rPr>
        <w:t>18</w:t>
      </w:r>
    </w:p>
    <w:p w14:paraId="5478BD8E">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rPr>
          <w:rFonts w:hint="eastAsia"/>
          <w:b w:val="0"/>
          <w:bCs w:val="0"/>
        </w:rPr>
        <w:t>错误！未定义书签。</w:t>
      </w:r>
      <w:r>
        <w:fldChar w:fldCharType="end"/>
      </w:r>
    </w:p>
    <w:p w14:paraId="5B22D0A9">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p>
    <w:p w14:paraId="3E7563BA">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p>
    <w:p w14:paraId="092C5372">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21</w:t>
      </w:r>
      <w:r>
        <w:fldChar w:fldCharType="end"/>
      </w:r>
    </w:p>
    <w:p w14:paraId="4253CEA9">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21</w:t>
      </w:r>
      <w:r>
        <w:fldChar w:fldCharType="end"/>
      </w:r>
    </w:p>
    <w:p w14:paraId="4BB97087">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21</w:t>
      </w:r>
      <w:r>
        <w:fldChar w:fldCharType="end"/>
      </w:r>
    </w:p>
    <w:p w14:paraId="7FB1F9C9">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21</w:t>
      </w:r>
      <w:r>
        <w:fldChar w:fldCharType="end"/>
      </w:r>
    </w:p>
    <w:p w14:paraId="4D79C325">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21</w:t>
      </w:r>
      <w:r>
        <w:fldChar w:fldCharType="end"/>
      </w:r>
    </w:p>
    <w:p w14:paraId="3D95F586">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rPr>
        <w:t>21</w:t>
      </w:r>
    </w:p>
    <w:p w14:paraId="152B7A54">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21</w:t>
      </w:r>
      <w:r>
        <w:fldChar w:fldCharType="end"/>
      </w:r>
    </w:p>
    <w:p w14:paraId="055B5640">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21</w:t>
      </w:r>
      <w:r>
        <w:fldChar w:fldCharType="end"/>
      </w:r>
    </w:p>
    <w:p w14:paraId="71FEC9F8">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21</w:t>
      </w:r>
      <w:r>
        <w:fldChar w:fldCharType="end"/>
      </w:r>
    </w:p>
    <w:p w14:paraId="395D618B">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21</w:t>
      </w:r>
      <w:r>
        <w:fldChar w:fldCharType="end"/>
      </w:r>
    </w:p>
    <w:p w14:paraId="55C76AFE">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rPr>
        <w:t>21</w:t>
      </w:r>
    </w:p>
    <w:p w14:paraId="1D389AF7">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21</w:t>
      </w:r>
      <w:r>
        <w:fldChar w:fldCharType="end"/>
      </w:r>
    </w:p>
    <w:p w14:paraId="0968188B">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21</w:t>
      </w:r>
      <w:r>
        <w:fldChar w:fldCharType="end"/>
      </w:r>
    </w:p>
    <w:p w14:paraId="60CC4991">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21</w:t>
      </w:r>
      <w:r>
        <w:fldChar w:fldCharType="end"/>
      </w:r>
    </w:p>
    <w:p w14:paraId="4C8C4E5F">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21</w:t>
      </w:r>
      <w:r>
        <w:fldChar w:fldCharType="end"/>
      </w:r>
    </w:p>
    <w:p w14:paraId="383E22C2">
      <w:r>
        <w:rPr>
          <w:rFonts w:asciiTheme="minorHAnsi" w:eastAsiaTheme="minorHAnsi"/>
          <w:b/>
          <w:bCs/>
          <w:caps/>
          <w:sz w:val="20"/>
          <w:szCs w:val="20"/>
        </w:rPr>
        <w:fldChar w:fldCharType="end"/>
      </w:r>
    </w:p>
    <w:p w14:paraId="68256A95">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14:paraId="39259A1B">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0EB597B0">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Style w:val="23"/>
          <w:rFonts w:hint="eastAsia" w:ascii="黑体" w:hAnsi="黑体" w:eastAsia="黑体"/>
          <w:b w:val="0"/>
          <w:bCs w:val="0"/>
        </w:rPr>
        <w:t>部门概况</w:t>
      </w:r>
      <w:bookmarkEnd w:id="12"/>
      <w:bookmarkEnd w:id="13"/>
      <w:bookmarkEnd w:id="14"/>
      <w:bookmarkEnd w:id="15"/>
    </w:p>
    <w:p w14:paraId="4DE178F8">
      <w:pPr>
        <w:widowControl/>
        <w:jc w:val="left"/>
        <w:rPr>
          <w:rFonts w:ascii="黑体" w:eastAsia="黑体"/>
          <w:color w:val="000000"/>
          <w:sz w:val="32"/>
          <w:szCs w:val="32"/>
        </w:rPr>
      </w:pPr>
    </w:p>
    <w:p w14:paraId="732F36FB">
      <w:pPr>
        <w:pStyle w:val="3"/>
        <w:rPr>
          <w:rStyle w:val="24"/>
          <w:rFonts w:ascii="仿宋" w:hAnsi="仿宋" w:eastAsia="仿宋"/>
          <w:b w:val="0"/>
          <w:bCs w:val="0"/>
        </w:rPr>
      </w:pPr>
      <w:bookmarkStart w:id="16" w:name="_Toc79163852"/>
      <w:bookmarkStart w:id="17" w:name="_Toc15377197"/>
      <w:bookmarkStart w:id="18" w:name="_Toc79163602"/>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14:paraId="30DB117C">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2AE6C33C">
      <w:pPr>
        <w:widowControl/>
        <w:spacing w:line="570" w:lineRule="atLeast"/>
        <w:ind w:firstLine="480"/>
        <w:jc w:val="left"/>
        <w:rPr>
          <w:rFonts w:ascii="仿宋_GB2312" w:eastAsia="仿宋_GB2312"/>
          <w:color w:val="333333"/>
          <w:kern w:val="0"/>
          <w:sz w:val="32"/>
          <w:szCs w:val="32"/>
        </w:rPr>
      </w:pPr>
      <w:bookmarkStart w:id="24" w:name="_Toc15377199"/>
      <w:bookmarkStart w:id="25" w:name="_Toc15378446"/>
      <w:bookmarkStart w:id="26" w:name="_Toc79163604"/>
      <w:bookmarkStart w:id="27" w:name="_Toc79163854"/>
      <w:r>
        <w:rPr>
          <w:rFonts w:ascii="仿宋_GB2312" w:eastAsia="仿宋_GB2312" w:cs="仿宋_GB2312"/>
          <w:color w:val="000000"/>
          <w:kern w:val="0"/>
          <w:sz w:val="32"/>
          <w:szCs w:val="32"/>
        </w:rPr>
        <w:t>（</w:t>
      </w:r>
      <w:r>
        <w:rPr>
          <w:rFonts w:ascii="仿宋_GB2312" w:eastAsia="仿宋_GB2312"/>
          <w:color w:val="333333"/>
          <w:kern w:val="0"/>
          <w:sz w:val="32"/>
          <w:szCs w:val="32"/>
        </w:rPr>
        <w:t>1）传播国际红十字运动知识和国际人道主义法，宣传和执行《中华人民共和国红十字会法》和《四川省实施＜中华人民共和国红十字会法＞办法》等法律、法规，遵循《中国红十字会章程》，依法建会、治会、兴会。</w:t>
      </w:r>
    </w:p>
    <w:p w14:paraId="24843E8B">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（2）开展备灾救灾工作。建立应急救援队伍；储备救灾物资，建设和管理备灾救灾设施；在自然灾害和突发事件中，开展救护和救助工作；根据自然灾害和突发事件的具体情况，在辖区内发出呼吁，依法接受</w:t>
      </w:r>
      <w:r>
        <w:rPr>
          <w:rFonts w:hint="eastAsia" w:ascii="仿宋_GB2312" w:eastAsia="仿宋_GB2312"/>
          <w:color w:val="333333"/>
          <w:kern w:val="0"/>
          <w:sz w:val="32"/>
          <w:szCs w:val="32"/>
        </w:rPr>
        <w:t>单位</w:t>
      </w:r>
      <w:r>
        <w:rPr>
          <w:rFonts w:ascii="仿宋_GB2312" w:eastAsia="仿宋_GB2312"/>
          <w:color w:val="333333"/>
          <w:kern w:val="0"/>
          <w:sz w:val="32"/>
          <w:szCs w:val="32"/>
        </w:rPr>
        <w:t>和个人的捐赠；及时向灾区群众和受难者提供急需的人道救助，参与灾后重建。</w:t>
      </w:r>
    </w:p>
    <w:p w14:paraId="58B59C2F">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（3）开展应急救护和防病知识的宣传、普及、培训；组织群众参加意外伤害和自然灾害的现场救护。</w:t>
      </w:r>
    </w:p>
    <w:p w14:paraId="153B794D">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（4）发展红十字基层组织，开展红十字青少年工作和红十字志愿服务活动。</w:t>
      </w:r>
    </w:p>
    <w:p w14:paraId="34081CCE">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（5）开展无偿献血的宣传动员工作；开展捐献造血干细胞的宣传动员；依法开展和推动人体器官（组织）捐献有关工作；开展预防艾滋病宣传工作。</w:t>
      </w:r>
    </w:p>
    <w:p w14:paraId="4B1749E7">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（6）开展人道救助和相关服务工作。为易受损人群进行救助，为困难群众提供服务。</w:t>
      </w:r>
    </w:p>
    <w:p w14:paraId="43E1D616">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（7）依法开展募捐活动福利事业；指导和监督实施红十字会援建项目。</w:t>
      </w:r>
    </w:p>
    <w:p w14:paraId="466FD805">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15C1E1F1">
      <w:pPr>
        <w:spacing w:line="560" w:lineRule="exact"/>
        <w:ind w:firstLine="640" w:firstLineChars="200"/>
        <w:rPr>
          <w:rFonts w:ascii="仿宋_GB2312" w:hAnsi="Adobe 楷体 Std R" w:eastAsia="仿宋_GB2312"/>
          <w:color w:val="000000"/>
          <w:sz w:val="32"/>
          <w:szCs w:val="32"/>
        </w:rPr>
      </w:pPr>
      <w:r>
        <w:rPr>
          <w:rFonts w:hint="eastAsia" w:ascii="仿宋_GB2312" w:eastAsia="仿宋_GB2312"/>
          <w:color w:val="333333"/>
          <w:kern w:val="0"/>
          <w:sz w:val="32"/>
          <w:szCs w:val="32"/>
        </w:rPr>
        <w:t>2020年，我会按照省、州红十字会的具体工作安排，以</w:t>
      </w:r>
      <w:r>
        <w:rPr>
          <w:rFonts w:hint="eastAsia" w:ascii="仿宋_GB2312" w:eastAsia="仿宋_GB2312"/>
          <w:color w:val="333333"/>
          <w:kern w:val="0"/>
          <w:sz w:val="32"/>
          <w:szCs w:val="32"/>
          <w:lang w:val="en-US" w:eastAsia="zh-CN"/>
        </w:rPr>
        <w:t>党的</w:t>
      </w:r>
      <w:r>
        <w:rPr>
          <w:rFonts w:hint="eastAsia" w:ascii="仿宋_GB2312" w:eastAsia="仿宋_GB2312"/>
          <w:color w:val="333333"/>
          <w:kern w:val="0"/>
          <w:sz w:val="32"/>
          <w:szCs w:val="32"/>
        </w:rPr>
        <w:t>十九大精神为指导，扎实开展红十字会各项工作，努力推进我县红十字事业快速发展。我会重点开展了以下工作</w:t>
      </w:r>
      <w:r>
        <w:rPr>
          <w:rFonts w:hint="eastAsia" w:ascii="仿宋_GB2312" w:hAnsi="Adobe 楷体 Std R" w:eastAsia="仿宋_GB2312"/>
          <w:color w:val="000000"/>
          <w:sz w:val="32"/>
          <w:szCs w:val="32"/>
        </w:rPr>
        <w:t>：</w:t>
      </w:r>
    </w:p>
    <w:p w14:paraId="2639BCFC">
      <w:pPr>
        <w:spacing w:line="560" w:lineRule="exac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1</w:t>
      </w:r>
      <w:r>
        <w:rPr>
          <w:rFonts w:hint="eastAsia" w:ascii="黑体" w:hAnsi="Adobe 宋体 Std L" w:eastAsia="黑体" w:cs="仿宋_GB2312"/>
          <w:b/>
          <w:bCs/>
          <w:color w:val="000000"/>
          <w:sz w:val="28"/>
          <w:szCs w:val="28"/>
        </w:rPr>
        <w:t>、</w:t>
      </w:r>
      <w:r>
        <w:rPr>
          <w:rFonts w:hint="eastAsia" w:ascii="仿宋_GB2312" w:eastAsia="仿宋_GB2312"/>
          <w:color w:val="333333"/>
          <w:kern w:val="0"/>
          <w:sz w:val="32"/>
          <w:szCs w:val="32"/>
        </w:rPr>
        <w:t>认真学习党的十九大以来各次全会精神，深刻理解</w:t>
      </w:r>
      <w:r>
        <w:rPr>
          <w:rFonts w:hint="eastAsia" w:ascii="仿宋_GB2312" w:eastAsia="仿宋_GB2312"/>
          <w:color w:val="333333"/>
          <w:kern w:val="0"/>
          <w:sz w:val="32"/>
          <w:szCs w:val="32"/>
          <w:lang w:val="en-US" w:eastAsia="zh-CN"/>
        </w:rPr>
        <w:t>党的</w:t>
      </w:r>
      <w:bookmarkStart w:id="157" w:name="_GoBack"/>
      <w:bookmarkEnd w:id="157"/>
      <w:r>
        <w:rPr>
          <w:rFonts w:hint="eastAsia" w:ascii="仿宋_GB2312" w:eastAsia="仿宋_GB2312"/>
          <w:color w:val="333333"/>
          <w:kern w:val="0"/>
          <w:sz w:val="32"/>
          <w:szCs w:val="32"/>
        </w:rPr>
        <w:t>十九大以来提出的一系列新思想、新观点、新论断，把思想和行动统一到县委县政府的坚强领导上来；开展“不忘初心、牢记使命”主题教育。把学习宣传贯彻党的十九大精神与推动红十字工作紧密结合起来。不断创新进取，更好地开展好红十字会业务工作，为改革事业的推进做出积极贡献，同时做好帮扶工作。</w:t>
      </w:r>
    </w:p>
    <w:p w14:paraId="5BB1C1EB">
      <w:pPr>
        <w:spacing w:line="560" w:lineRule="exac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2</w:t>
      </w:r>
      <w:r>
        <w:rPr>
          <w:rFonts w:hint="eastAsia" w:ascii="黑体" w:hAnsi="Adobe 宋体 Std L" w:eastAsia="黑体" w:cs="仿宋_GB2312"/>
          <w:b/>
          <w:bCs/>
          <w:color w:val="000000"/>
          <w:sz w:val="28"/>
          <w:szCs w:val="28"/>
        </w:rPr>
        <w:t>、</w:t>
      </w:r>
      <w:r>
        <w:rPr>
          <w:rFonts w:hint="eastAsia" w:ascii="仿宋_GB2312" w:eastAsia="仿宋_GB2312"/>
          <w:color w:val="333333"/>
          <w:kern w:val="0"/>
          <w:sz w:val="32"/>
          <w:szCs w:val="32"/>
        </w:rPr>
        <w:t>继续开展“博爱送万家”、关爱经社区、慰问贫困群众和三老干部等活动，全年开展大病救助40余户，看望三老干部144名和特困户32户，把救助资金和物资亲手送到贫困户和三老干部手中，解决他们临时困难，做好特殊困难家庭的帮助和救助，积极协调相关部门，争取社会爱心援助，努力帮助特殊困难家庭解决困难。</w:t>
      </w:r>
    </w:p>
    <w:p w14:paraId="21ED88E0">
      <w:pPr>
        <w:spacing w:line="360" w:lineRule="auto"/>
        <w:ind w:firstLine="480" w:firstLineChars="150"/>
        <w:rPr>
          <w:rFonts w:ascii="仿宋_GB2312" w:eastAsia="仿宋_GB2312"/>
          <w:color w:val="333333"/>
          <w:kern w:val="0"/>
          <w:sz w:val="32"/>
          <w:szCs w:val="32"/>
        </w:rPr>
      </w:pPr>
      <w:r>
        <w:rPr>
          <w:rFonts w:hint="eastAsia" w:ascii="仿宋_GB2312" w:eastAsia="仿宋_GB2312"/>
          <w:color w:val="333333"/>
          <w:kern w:val="0"/>
          <w:sz w:val="32"/>
          <w:szCs w:val="32"/>
        </w:rPr>
        <w:t>3、灵活开展普及培训，针对性开展救护员培训。开展900人次普及培训，开展三次救护员培训，156人获得救护员证书。</w:t>
      </w:r>
    </w:p>
    <w:p w14:paraId="24478048">
      <w:pPr>
        <w:spacing w:line="360" w:lineRule="auto"/>
        <w:ind w:firstLine="800" w:firstLineChars="250"/>
        <w:rPr>
          <w:rFonts w:ascii="仿宋_GB2312" w:eastAsia="仿宋_GB2312"/>
          <w:color w:val="333333"/>
          <w:kern w:val="0"/>
          <w:sz w:val="32"/>
          <w:szCs w:val="32"/>
        </w:rPr>
      </w:pPr>
      <w:r>
        <w:rPr>
          <w:rFonts w:hint="eastAsia" w:ascii="仿宋_GB2312" w:eastAsia="仿宋_GB2312"/>
          <w:color w:val="333333"/>
          <w:kern w:val="0"/>
          <w:sz w:val="32"/>
          <w:szCs w:val="32"/>
        </w:rPr>
        <w:t>4、会员志愿者工作。加强宣传动员，推进会员和基层组织发展。主动到县级部门和乡镇机关发展会员和志愿者，鼓励城乡有志青年踊跃加入红十字组织，到17个乡镇开展建立红会基层组织的筹备工作。今年共发展红十字会员55个，志愿者30人，发展18个团体会员，分别为应急救援、救护、学校及社会需要的志愿者提供帮助和服务。</w:t>
      </w:r>
    </w:p>
    <w:p w14:paraId="475799E3">
      <w:pPr>
        <w:spacing w:line="360" w:lineRule="auto"/>
        <w:ind w:firstLine="800" w:firstLineChars="250"/>
        <w:rPr>
          <w:rFonts w:ascii="仿宋_GB2312" w:eastAsia="仿宋_GB2312"/>
          <w:color w:val="333333"/>
          <w:kern w:val="0"/>
          <w:sz w:val="32"/>
          <w:szCs w:val="32"/>
        </w:rPr>
      </w:pPr>
      <w:r>
        <w:rPr>
          <w:rFonts w:hint="eastAsia" w:ascii="仿宋_GB2312" w:eastAsia="仿宋_GB2312"/>
          <w:color w:val="333333"/>
          <w:kern w:val="0"/>
          <w:sz w:val="32"/>
          <w:szCs w:val="32"/>
        </w:rPr>
        <w:t>5、募集防控捐款330余万元，募集防控物资350余万，募集扶贫捐款2.88万元</w:t>
      </w:r>
    </w:p>
    <w:p w14:paraId="4357B790">
      <w:pPr>
        <w:spacing w:line="560" w:lineRule="exac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6、加强物资储备，做好灾害应对。每年的7、8月是洪灾、泥石流的易发期。我会将及时了解上报灾情，积极争取上级红十字会的救灾援助；做好被子、毯子、衣物、生活包等物资的储备，从物资上、组织上和人员上做好应对灾害的准备。</w:t>
      </w:r>
    </w:p>
    <w:p w14:paraId="228875D9">
      <w:pPr>
        <w:pStyle w:val="18"/>
        <w:spacing w:line="560" w:lineRule="exact"/>
        <w:ind w:firstLine="630" w:firstLineChars="197"/>
        <w:rPr>
          <w:rFonts w:ascii="仿宋_GB2312" w:eastAsia="仿宋_GB2312"/>
          <w:color w:val="333333"/>
          <w:kern w:val="0"/>
          <w:sz w:val="32"/>
          <w:szCs w:val="32"/>
        </w:rPr>
      </w:pPr>
      <w:r>
        <w:rPr>
          <w:rFonts w:hint="eastAsia" w:ascii="仿宋_GB2312" w:eastAsia="仿宋_GB2312"/>
          <w:color w:val="333333"/>
          <w:kern w:val="0"/>
          <w:sz w:val="32"/>
          <w:szCs w:val="32"/>
        </w:rPr>
        <w:t>7、继续加强项目实施和督导工作</w:t>
      </w:r>
    </w:p>
    <w:p w14:paraId="442B55D5">
      <w:pPr>
        <w:pStyle w:val="18"/>
        <w:spacing w:line="560" w:lineRule="exact"/>
        <w:ind w:firstLine="630" w:firstLineChars="197"/>
        <w:rPr>
          <w:rFonts w:ascii="仿宋_GB2312" w:eastAsia="仿宋_GB2312"/>
          <w:color w:val="333333"/>
          <w:kern w:val="0"/>
          <w:sz w:val="32"/>
          <w:szCs w:val="32"/>
        </w:rPr>
      </w:pPr>
      <w:r>
        <w:rPr>
          <w:rFonts w:hint="eastAsia" w:ascii="仿宋_GB2312" w:eastAsia="仿宋_GB2312"/>
          <w:color w:val="333333"/>
          <w:kern w:val="0"/>
          <w:sz w:val="32"/>
          <w:szCs w:val="32"/>
        </w:rPr>
        <w:t>抓紧实施一小、南中灾后重建项目，继续加强大录村援建项目的管理和指导，博爱家园项目推进。</w:t>
      </w:r>
    </w:p>
    <w:p w14:paraId="5CBEEFE7">
      <w:pPr>
        <w:spacing w:line="560" w:lineRule="exact"/>
        <w:ind w:firstLine="630" w:firstLineChars="197"/>
        <w:rPr>
          <w:rFonts w:ascii="仿宋_GB2312" w:eastAsia="仿宋_GB2312"/>
          <w:color w:val="333333"/>
          <w:kern w:val="0"/>
          <w:sz w:val="32"/>
          <w:szCs w:val="32"/>
        </w:rPr>
      </w:pPr>
      <w:r>
        <w:rPr>
          <w:rFonts w:hint="eastAsia" w:ascii="仿宋_GB2312" w:eastAsia="仿宋_GB2312"/>
          <w:color w:val="333333"/>
          <w:kern w:val="0"/>
          <w:sz w:val="32"/>
          <w:szCs w:val="32"/>
        </w:rPr>
        <w:t>8、做好特殊困难家庭的人道救助</w:t>
      </w:r>
    </w:p>
    <w:p w14:paraId="4FC0B07F">
      <w:pPr>
        <w:spacing w:line="560" w:lineRule="exact"/>
        <w:ind w:firstLine="630" w:firstLineChars="197"/>
        <w:rPr>
          <w:rFonts w:ascii="仿宋_GB2312" w:eastAsia="仿宋_GB2312"/>
          <w:szCs w:val="32"/>
          <w:shd w:val="clear" w:color="auto" w:fill="FFFFFF"/>
        </w:rPr>
      </w:pPr>
      <w:r>
        <w:rPr>
          <w:rFonts w:hint="eastAsia" w:ascii="仿宋_GB2312" w:eastAsia="仿宋_GB2312"/>
          <w:color w:val="333333"/>
          <w:kern w:val="0"/>
          <w:sz w:val="32"/>
          <w:szCs w:val="32"/>
        </w:rPr>
        <w:t>积极协调相关部门，争取社会爱心援助，努力为特殊困难家庭实施人道援助</w:t>
      </w:r>
      <w:r>
        <w:rPr>
          <w:rFonts w:hint="eastAsia" w:ascii="仿宋_GB2312" w:eastAsia="仿宋_GB2312"/>
          <w:szCs w:val="32"/>
          <w:shd w:val="clear" w:color="auto" w:fill="FFFFFF"/>
        </w:rPr>
        <w:t>。</w:t>
      </w:r>
    </w:p>
    <w:p w14:paraId="5B48777A">
      <w:pPr>
        <w:pStyle w:val="3"/>
        <w:rPr>
          <w:rStyle w:val="24"/>
          <w:rFonts w:ascii="黑体" w:hAnsi="黑体" w:eastAsia="黑体"/>
          <w:b w:val="0"/>
          <w:bCs w:val="0"/>
        </w:rPr>
      </w:pPr>
      <w:bookmarkStart w:id="28" w:name="_Toc15396601"/>
      <w:bookmarkStart w:id="29" w:name="_Toc79163855"/>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14:paraId="570768BF">
      <w:pPr>
        <w:spacing w:line="240" w:lineRule="atLeas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我会成立于2008年，是参照公务员管理的事业单位，内设机构编制两个,人员编制5人，现有职工6人,科级领导干部2人、核定车辆数1辆 。财政供养人员编制为5名， 2020年实际财政供养人员6人，较上年无变动人。在职 6人， 离退休0人</w:t>
      </w:r>
    </w:p>
    <w:p w14:paraId="679D81D9">
      <w:pPr>
        <w:rPr>
          <w:rFonts w:ascii="仿宋_GB2312" w:eastAsia="仿宋_GB2312"/>
          <w:color w:val="333333"/>
          <w:kern w:val="0"/>
          <w:sz w:val="32"/>
          <w:szCs w:val="32"/>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eastAsia" w:ascii="仿宋_GB2312" w:eastAsia="仿宋_GB2312"/>
          <w:color w:val="333333"/>
          <w:kern w:val="0"/>
          <w:sz w:val="32"/>
          <w:szCs w:val="32"/>
        </w:rPr>
        <w:br w:type="page"/>
      </w:r>
    </w:p>
    <w:p w14:paraId="0C201729">
      <w:pPr>
        <w:pStyle w:val="2"/>
        <w:ind w:right="440" w:firstLine="440" w:firstLineChars="100"/>
        <w:rPr>
          <w:rStyle w:val="23"/>
          <w:rFonts w:ascii="黑体" w:hAnsi="黑体" w:eastAsia="黑体"/>
          <w:b w:val="0"/>
          <w:bCs w:val="0"/>
        </w:rPr>
      </w:pPr>
      <w:bookmarkStart w:id="32" w:name="_Toc79163859"/>
      <w:bookmarkStart w:id="33" w:name="_Toc79163609"/>
      <w:bookmarkStart w:id="34" w:name="_Toc15377204"/>
      <w:bookmarkStart w:id="35" w:name="_Toc15396602"/>
      <w:r>
        <w:rPr>
          <w:rFonts w:hint="eastAsia" w:ascii="黑体" w:hAnsi="黑体" w:eastAsia="黑体"/>
          <w:b w:val="0"/>
          <w:color w:val="000000"/>
        </w:rPr>
        <w:t>第二部分</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14:paraId="408DF91C"/>
    <w:p w14:paraId="3ACE57FD">
      <w:pPr>
        <w:pStyle w:val="34"/>
        <w:numPr>
          <w:ilvl w:val="0"/>
          <w:numId w:val="1"/>
        </w:numPr>
        <w:spacing w:line="600" w:lineRule="exact"/>
        <w:ind w:firstLineChars="0"/>
        <w:outlineLvl w:val="1"/>
        <w:rPr>
          <w:rStyle w:val="24"/>
          <w:rFonts w:ascii="黑体" w:hAnsi="黑体" w:eastAsia="黑体"/>
          <w:b w:val="0"/>
        </w:rPr>
      </w:pPr>
      <w:bookmarkStart w:id="36" w:name="_Toc15396603"/>
      <w:bookmarkStart w:id="37" w:name="_Toc79163610"/>
      <w:bookmarkStart w:id="38" w:name="_Toc79163860"/>
      <w:bookmarkStart w:id="39"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14:paraId="0DD78E3D">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年度收、支总计104.96万元。与</w:t>
      </w:r>
      <w:r>
        <w:rPr>
          <w:rFonts w:ascii="仿宋_GB2312" w:eastAsia="仿宋_GB2312"/>
          <w:color w:val="333333"/>
          <w:kern w:val="0"/>
          <w:sz w:val="32"/>
          <w:szCs w:val="32"/>
        </w:rPr>
        <w:t>2019</w:t>
      </w:r>
      <w:r>
        <w:rPr>
          <w:rFonts w:hint="eastAsia" w:ascii="仿宋_GB2312" w:eastAsia="仿宋_GB2312"/>
          <w:color w:val="333333"/>
          <w:kern w:val="0"/>
          <w:sz w:val="32"/>
          <w:szCs w:val="32"/>
        </w:rPr>
        <w:t>年相比，收、支总计各增加14.93万元，增长14</w:t>
      </w:r>
      <w:r>
        <w:rPr>
          <w:rFonts w:ascii="仿宋_GB2312" w:eastAsia="仿宋_GB2312"/>
          <w:color w:val="333333"/>
          <w:kern w:val="0"/>
          <w:sz w:val="32"/>
          <w:szCs w:val="32"/>
        </w:rPr>
        <w:t>%</w:t>
      </w:r>
      <w:r>
        <w:rPr>
          <w:rFonts w:hint="eastAsia" w:ascii="仿宋_GB2312" w:eastAsia="仿宋_GB2312"/>
          <w:color w:val="333333"/>
          <w:kern w:val="0"/>
          <w:sz w:val="32"/>
          <w:szCs w:val="32"/>
        </w:rPr>
        <w:t>。主要变动原因是工资增加。</w:t>
      </w:r>
    </w:p>
    <w:p w14:paraId="09471043">
      <w:pPr>
        <w:pStyle w:val="34"/>
        <w:numPr>
          <w:ilvl w:val="0"/>
          <w:numId w:val="1"/>
        </w:numPr>
        <w:spacing w:line="600" w:lineRule="exact"/>
        <w:ind w:firstLineChars="0"/>
        <w:outlineLvl w:val="1"/>
        <w:rPr>
          <w:rStyle w:val="24"/>
          <w:rFonts w:ascii="黑体" w:hAnsi="黑体" w:eastAsia="黑体"/>
          <w:b w:val="0"/>
        </w:rPr>
      </w:pPr>
      <w:bookmarkStart w:id="40" w:name="_Toc15377206"/>
      <w:bookmarkStart w:id="41" w:name="_Toc79163861"/>
      <w:bookmarkStart w:id="42" w:name="_Toc15396604"/>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14:paraId="45520EA9">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年本年收入合计104.96万元，其中：一般公共预算财政拨款收入104.96万元，占100</w:t>
      </w:r>
      <w:r>
        <w:rPr>
          <w:rFonts w:ascii="仿宋_GB2312" w:eastAsia="仿宋_GB2312"/>
          <w:color w:val="333333"/>
          <w:kern w:val="0"/>
          <w:sz w:val="32"/>
          <w:szCs w:val="32"/>
        </w:rPr>
        <w:t>%</w:t>
      </w:r>
      <w:r>
        <w:rPr>
          <w:rFonts w:hint="eastAsia" w:ascii="仿宋_GB2312" w:eastAsia="仿宋_GB2312"/>
          <w:color w:val="333333"/>
          <w:kern w:val="0"/>
          <w:sz w:val="32"/>
          <w:szCs w:val="32"/>
        </w:rPr>
        <w:t>。</w:t>
      </w:r>
    </w:p>
    <w:p w14:paraId="4126C866">
      <w:pPr>
        <w:pStyle w:val="34"/>
        <w:numPr>
          <w:ilvl w:val="0"/>
          <w:numId w:val="1"/>
        </w:numPr>
        <w:spacing w:line="600" w:lineRule="exact"/>
        <w:ind w:firstLineChars="0"/>
        <w:outlineLvl w:val="1"/>
        <w:rPr>
          <w:rStyle w:val="24"/>
          <w:rFonts w:ascii="黑体" w:hAnsi="黑体" w:eastAsia="黑体"/>
          <w:b w:val="0"/>
        </w:rPr>
      </w:pPr>
      <w:bookmarkStart w:id="44" w:name="_Toc15377207"/>
      <w:bookmarkStart w:id="45" w:name="_Toc79163612"/>
      <w:bookmarkStart w:id="46" w:name="_Toc79163862"/>
      <w:bookmarkStart w:id="47" w:name="_Toc15396605"/>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14:paraId="49E436C5">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年本年支出合计104.96万元，其中：基本支出101.88万元，占97</w:t>
      </w:r>
      <w:r>
        <w:rPr>
          <w:rFonts w:ascii="仿宋_GB2312" w:eastAsia="仿宋_GB2312"/>
          <w:color w:val="333333"/>
          <w:kern w:val="0"/>
          <w:sz w:val="32"/>
          <w:szCs w:val="32"/>
        </w:rPr>
        <w:t>%</w:t>
      </w:r>
      <w:r>
        <w:rPr>
          <w:rFonts w:hint="eastAsia" w:ascii="仿宋_GB2312" w:eastAsia="仿宋_GB2312"/>
          <w:color w:val="333333"/>
          <w:kern w:val="0"/>
          <w:sz w:val="32"/>
          <w:szCs w:val="32"/>
        </w:rPr>
        <w:t>；项目支出3.08万元，占3</w:t>
      </w:r>
      <w:r>
        <w:rPr>
          <w:rFonts w:ascii="仿宋_GB2312" w:eastAsia="仿宋_GB2312"/>
          <w:color w:val="333333"/>
          <w:kern w:val="0"/>
          <w:sz w:val="32"/>
          <w:szCs w:val="32"/>
        </w:rPr>
        <w:t>%</w:t>
      </w:r>
      <w:r>
        <w:rPr>
          <w:rFonts w:hint="eastAsia" w:ascii="仿宋_GB2312" w:eastAsia="仿宋_GB2312"/>
          <w:color w:val="333333"/>
          <w:kern w:val="0"/>
          <w:sz w:val="32"/>
          <w:szCs w:val="32"/>
        </w:rPr>
        <w:t>。</w:t>
      </w:r>
    </w:p>
    <w:p w14:paraId="53B2799D">
      <w:pPr>
        <w:spacing w:line="600" w:lineRule="exact"/>
        <w:ind w:firstLine="640" w:firstLineChars="200"/>
        <w:outlineLvl w:val="1"/>
        <w:rPr>
          <w:rStyle w:val="24"/>
          <w:rFonts w:ascii="黑体" w:hAnsi="黑体" w:eastAsia="黑体"/>
          <w:b w:val="0"/>
        </w:rPr>
      </w:pPr>
      <w:bookmarkStart w:id="48" w:name="_Toc15377208"/>
      <w:bookmarkStart w:id="49" w:name="_Toc79163863"/>
      <w:bookmarkStart w:id="50" w:name="_Toc79163613"/>
      <w:bookmarkStart w:id="51" w:name="_Toc1539660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14:paraId="755D7EFC">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年财政拨款收、支总计104.96万元。与</w:t>
      </w:r>
      <w:r>
        <w:rPr>
          <w:rFonts w:ascii="仿宋_GB2312" w:eastAsia="仿宋_GB2312"/>
          <w:color w:val="333333"/>
          <w:kern w:val="0"/>
          <w:sz w:val="32"/>
          <w:szCs w:val="32"/>
        </w:rPr>
        <w:t>2019</w:t>
      </w:r>
      <w:r>
        <w:rPr>
          <w:rFonts w:hint="eastAsia" w:ascii="仿宋_GB2312" w:eastAsia="仿宋_GB2312"/>
          <w:color w:val="333333"/>
          <w:kern w:val="0"/>
          <w:sz w:val="32"/>
          <w:szCs w:val="32"/>
        </w:rPr>
        <w:t>年相比，收、支总计各增加14.93万元，增长14</w:t>
      </w:r>
      <w:r>
        <w:rPr>
          <w:rFonts w:ascii="仿宋_GB2312" w:eastAsia="仿宋_GB2312"/>
          <w:color w:val="333333"/>
          <w:kern w:val="0"/>
          <w:sz w:val="32"/>
          <w:szCs w:val="32"/>
        </w:rPr>
        <w:t>%</w:t>
      </w:r>
      <w:r>
        <w:rPr>
          <w:rFonts w:hint="eastAsia" w:ascii="仿宋_GB2312" w:eastAsia="仿宋_GB2312"/>
          <w:color w:val="333333"/>
          <w:kern w:val="0"/>
          <w:sz w:val="32"/>
          <w:szCs w:val="32"/>
        </w:rPr>
        <w:t>。主要变动原因是工资增加。</w:t>
      </w:r>
    </w:p>
    <w:p w14:paraId="6FF7D513">
      <w:pPr>
        <w:spacing w:line="600" w:lineRule="exact"/>
        <w:ind w:firstLine="640" w:firstLineChars="200"/>
        <w:outlineLvl w:val="1"/>
        <w:rPr>
          <w:rStyle w:val="24"/>
          <w:rFonts w:ascii="黑体" w:hAnsi="黑体" w:eastAsia="黑体"/>
          <w:b w:val="0"/>
        </w:rPr>
      </w:pPr>
      <w:bookmarkStart w:id="52" w:name="_Toc15396607"/>
      <w:bookmarkStart w:id="53" w:name="_Toc79163614"/>
      <w:bookmarkStart w:id="54" w:name="_Toc15377209"/>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14:paraId="6B614FC9">
      <w:pPr>
        <w:spacing w:line="600" w:lineRule="exact"/>
        <w:ind w:firstLine="643" w:firstLineChars="200"/>
        <w:outlineLvl w:val="2"/>
        <w:rPr>
          <w:rFonts w:ascii="仿宋" w:hAnsi="仿宋" w:eastAsia="仿宋"/>
          <w:b/>
          <w:color w:val="000000"/>
          <w:sz w:val="32"/>
          <w:szCs w:val="32"/>
        </w:rPr>
      </w:pPr>
      <w:bookmarkStart w:id="56" w:name="_Toc15377210"/>
      <w:bookmarkStart w:id="57" w:name="_Toc79163865"/>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14:paraId="5A902D27">
      <w:pPr>
        <w:spacing w:line="600" w:lineRule="exact"/>
        <w:ind w:firstLine="640" w:firstLineChars="200"/>
        <w:rPr>
          <w:rFonts w:ascii="仿宋" w:hAnsi="仿宋" w:eastAsia="仿宋"/>
          <w:color w:val="00000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年一般公共预算财政拨款支出104.96万元，占本年支出合计的100</w:t>
      </w:r>
      <w:r>
        <w:rPr>
          <w:rFonts w:ascii="仿宋_GB2312" w:eastAsia="仿宋_GB2312"/>
          <w:color w:val="333333"/>
          <w:kern w:val="0"/>
          <w:sz w:val="32"/>
          <w:szCs w:val="32"/>
        </w:rPr>
        <w:t>%</w:t>
      </w:r>
      <w:r>
        <w:rPr>
          <w:rFonts w:hint="eastAsia" w:ascii="仿宋_GB2312" w:eastAsia="仿宋_GB2312"/>
          <w:color w:val="333333"/>
          <w:kern w:val="0"/>
          <w:sz w:val="32"/>
          <w:szCs w:val="32"/>
        </w:rPr>
        <w:t>。与</w:t>
      </w:r>
      <w:r>
        <w:rPr>
          <w:rFonts w:ascii="仿宋_GB2312" w:eastAsia="仿宋_GB2312"/>
          <w:color w:val="333333"/>
          <w:kern w:val="0"/>
          <w:sz w:val="32"/>
          <w:szCs w:val="32"/>
        </w:rPr>
        <w:t>2019</w:t>
      </w:r>
      <w:r>
        <w:rPr>
          <w:rFonts w:hint="eastAsia" w:ascii="仿宋_GB2312" w:eastAsia="仿宋_GB2312"/>
          <w:color w:val="333333"/>
          <w:kern w:val="0"/>
          <w:sz w:val="32"/>
          <w:szCs w:val="32"/>
        </w:rPr>
        <w:t>年相比，一般公共预算财政拨款增加14.93万元，增长14</w:t>
      </w:r>
      <w:r>
        <w:rPr>
          <w:rFonts w:ascii="仿宋_GB2312" w:eastAsia="仿宋_GB2312"/>
          <w:color w:val="333333"/>
          <w:kern w:val="0"/>
          <w:sz w:val="32"/>
          <w:szCs w:val="32"/>
        </w:rPr>
        <w:t>%</w:t>
      </w:r>
      <w:r>
        <w:rPr>
          <w:rFonts w:hint="eastAsia" w:ascii="仿宋_GB2312" w:eastAsia="仿宋_GB2312"/>
          <w:color w:val="333333"/>
          <w:kern w:val="0"/>
          <w:sz w:val="32"/>
          <w:szCs w:val="32"/>
        </w:rPr>
        <w:t>。主要变动原因是工资增加。</w:t>
      </w:r>
    </w:p>
    <w:p w14:paraId="585CA2DF">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14:paraId="6BA4A909">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w:t>
      </w:r>
      <w:r>
        <w:rPr>
          <w:rFonts w:hint="eastAsia" w:ascii="仿宋_GB2312" w:eastAsia="仿宋_GB2312"/>
          <w:color w:val="333333"/>
          <w:kern w:val="0"/>
          <w:sz w:val="32"/>
          <w:szCs w:val="32"/>
        </w:rPr>
        <w:t>20年一般公共预算财政拨款支出104.96万元，</w:t>
      </w:r>
      <w:bookmarkStart w:id="62" w:name="_Toc15377212"/>
      <w:bookmarkStart w:id="63" w:name="_Toc79163867"/>
      <w:bookmarkStart w:id="64" w:name="_Toc79163617"/>
      <w:r>
        <w:rPr>
          <w:rFonts w:hint="eastAsia" w:ascii="仿宋_GB2312" w:eastAsia="仿宋_GB2312"/>
          <w:color w:val="333333"/>
          <w:kern w:val="0"/>
          <w:sz w:val="32"/>
          <w:szCs w:val="32"/>
        </w:rPr>
        <w:t>主要用于以下方面</w:t>
      </w:r>
      <w:r>
        <w:rPr>
          <w:rFonts w:ascii="仿宋_GB2312" w:eastAsia="仿宋_GB2312"/>
          <w:color w:val="333333"/>
          <w:kern w:val="0"/>
          <w:sz w:val="32"/>
          <w:szCs w:val="32"/>
        </w:rPr>
        <w:t>:</w:t>
      </w:r>
      <w:r>
        <w:rPr>
          <w:rFonts w:hint="eastAsia" w:ascii="仿宋_GB2312" w:eastAsia="仿宋_GB2312"/>
          <w:color w:val="333333"/>
          <w:kern w:val="0"/>
          <w:sz w:val="32"/>
          <w:szCs w:val="32"/>
        </w:rPr>
        <w:t>社会保障和就业（208）支出86.98万元，占83</w:t>
      </w:r>
      <w:r>
        <w:rPr>
          <w:rFonts w:ascii="仿宋_GB2312" w:eastAsia="仿宋_GB2312"/>
          <w:color w:val="333333"/>
          <w:kern w:val="0"/>
          <w:sz w:val="32"/>
          <w:szCs w:val="32"/>
        </w:rPr>
        <w:t>%</w:t>
      </w:r>
      <w:r>
        <w:rPr>
          <w:rFonts w:hint="eastAsia" w:ascii="仿宋_GB2312" w:eastAsia="仿宋_GB2312"/>
          <w:color w:val="333333"/>
          <w:kern w:val="0"/>
          <w:sz w:val="32"/>
          <w:szCs w:val="32"/>
        </w:rPr>
        <w:t>；卫生健康支出（210）支出9.37万元，占9</w:t>
      </w:r>
      <w:r>
        <w:rPr>
          <w:rFonts w:ascii="仿宋_GB2312" w:eastAsia="仿宋_GB2312"/>
          <w:color w:val="333333"/>
          <w:kern w:val="0"/>
          <w:sz w:val="32"/>
          <w:szCs w:val="32"/>
        </w:rPr>
        <w:t>%</w:t>
      </w:r>
      <w:r>
        <w:rPr>
          <w:rFonts w:hint="eastAsia" w:ascii="仿宋_GB2312" w:eastAsia="仿宋_GB2312"/>
          <w:color w:val="333333"/>
          <w:kern w:val="0"/>
          <w:sz w:val="32"/>
          <w:szCs w:val="32"/>
        </w:rPr>
        <w:t>；住房保障（221）支出8.61万元，占8</w:t>
      </w:r>
      <w:r>
        <w:rPr>
          <w:rFonts w:ascii="仿宋_GB2312" w:eastAsia="仿宋_GB2312"/>
          <w:color w:val="333333"/>
          <w:kern w:val="0"/>
          <w:sz w:val="32"/>
          <w:szCs w:val="32"/>
        </w:rPr>
        <w:t>%</w:t>
      </w:r>
      <w:r>
        <w:rPr>
          <w:rFonts w:hint="eastAsia" w:ascii="仿宋_GB2312" w:eastAsia="仿宋_GB2312"/>
          <w:color w:val="333333"/>
          <w:kern w:val="0"/>
          <w:sz w:val="32"/>
          <w:szCs w:val="32"/>
        </w:rPr>
        <w:t>。</w:t>
      </w:r>
    </w:p>
    <w:p w14:paraId="7063E2C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14:paraId="58DFD30D">
      <w:pPr>
        <w:spacing w:line="600" w:lineRule="exact"/>
        <w:ind w:firstLine="640"/>
        <w:rPr>
          <w:rFonts w:ascii="仿宋_GB2312" w:hAnsi="仿宋_GB2312" w:eastAsia="仿宋_GB2312" w:cs="仿宋_GB2312"/>
          <w:color w:val="000000"/>
          <w:sz w:val="32"/>
          <w:szCs w:val="32"/>
        </w:rPr>
      </w:pPr>
      <w:bookmarkStart w:id="65" w:name="_Toc15377214"/>
      <w:bookmarkStart w:id="66" w:name="_Toc15396608"/>
      <w:bookmarkStart w:id="67" w:name="_Toc79163868"/>
      <w:bookmarkStart w:id="68" w:name="_Toc79163618"/>
      <w:r>
        <w:rPr>
          <w:rFonts w:hint="eastAsia" w:ascii="仿宋_GB2312" w:hAnsi="仿宋_GB2312" w:eastAsia="仿宋_GB2312" w:cs="仿宋_GB2312"/>
          <w:color w:val="000000"/>
          <w:sz w:val="32"/>
          <w:szCs w:val="32"/>
        </w:rPr>
        <w:t>2020年般公共预算支出决算数为104.96，完成预算100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。其中：</w:t>
      </w:r>
    </w:p>
    <w:p w14:paraId="05CB825A">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社会保障和就业（208）红十字事业（16）行政运行（01）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支出决算为86.98万元，完成预算100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54308616">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卫生健康支出（210）行政事业单位医疗（11）事业单位医疗（02）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支出决算为9.37万元，完成预算100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035F9464">
      <w:pPr>
        <w:spacing w:line="600" w:lineRule="exact"/>
        <w:ind w:firstLine="640"/>
        <w:rPr>
          <w:rFonts w:ascii="仿宋" w:hAnsi="仿宋" w:eastAsia="仿宋"/>
          <w:color w:val="000000"/>
          <w:sz w:val="32"/>
          <w:szCs w:val="32"/>
        </w:rPr>
      </w:pPr>
      <w:r>
        <w:rPr>
          <w:rFonts w:hint="eastAsia" w:ascii="仿宋_GB2312" w:hAnsi="仿宋_GB2312" w:eastAsia="仿宋_GB2312" w:cs="仿宋_GB2312"/>
          <w:color w:val="000000"/>
          <w:sz w:val="32"/>
          <w:szCs w:val="32"/>
        </w:rPr>
        <w:t>3.住房保障（221）住房改革支出（02）住房公积金（01）:支出决算为8.61万元，完成预算100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0D507D9B">
      <w:pPr>
        <w:tabs>
          <w:tab w:val="right" w:pos="8306"/>
        </w:tabs>
        <w:spacing w:line="600" w:lineRule="exact"/>
        <w:ind w:firstLine="640"/>
        <w:outlineLvl w:val="1"/>
        <w:rPr>
          <w:rStyle w:val="24"/>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5"/>
      <w:bookmarkEnd w:id="66"/>
      <w:bookmarkEnd w:id="67"/>
      <w:bookmarkEnd w:id="68"/>
      <w:r>
        <w:rPr>
          <w:rStyle w:val="24"/>
          <w:rFonts w:ascii="黑体" w:hAnsi="黑体" w:eastAsia="黑体"/>
          <w:b w:val="0"/>
        </w:rPr>
        <w:tab/>
      </w:r>
    </w:p>
    <w:p w14:paraId="37B454BC">
      <w:pPr>
        <w:spacing w:line="600" w:lineRule="exact"/>
        <w:ind w:firstLine="640" w:firstLineChars="20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年一般公共预算财政拨款基本支出104.96万元，其中：</w:t>
      </w:r>
    </w:p>
    <w:p w14:paraId="00497097">
      <w:pPr>
        <w:spacing w:line="600" w:lineRule="exac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人员经费93.48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color w:val="333333"/>
          <w:kern w:val="0"/>
          <w:sz w:val="32"/>
          <w:szCs w:val="32"/>
        </w:rPr>
        <w:br w:type="textWrapping"/>
      </w:r>
      <w:r>
        <w:rPr>
          <w:rFonts w:hint="eastAsia" w:ascii="仿宋_GB2312" w:eastAsia="仿宋_GB2312"/>
          <w:color w:val="333333"/>
          <w:kern w:val="0"/>
          <w:sz w:val="32"/>
          <w:szCs w:val="32"/>
        </w:rPr>
        <w:t>　　日常公用经费8.4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2A96358">
      <w:pPr>
        <w:spacing w:line="600" w:lineRule="exact"/>
        <w:ind w:firstLine="640"/>
        <w:outlineLvl w:val="1"/>
        <w:rPr>
          <w:rStyle w:val="24"/>
          <w:rFonts w:ascii="黑体" w:hAnsi="黑体" w:eastAsia="黑体"/>
          <w:b w:val="0"/>
        </w:rPr>
      </w:pPr>
      <w:bookmarkStart w:id="69" w:name="_Toc15377215"/>
      <w:bookmarkStart w:id="70" w:name="_Toc15396609"/>
      <w:bookmarkStart w:id="71" w:name="_Toc79163619"/>
      <w:bookmarkStart w:id="72"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69"/>
      <w:bookmarkEnd w:id="70"/>
      <w:bookmarkEnd w:id="71"/>
      <w:bookmarkEnd w:id="72"/>
    </w:p>
    <w:p w14:paraId="607590E3">
      <w:pPr>
        <w:spacing w:line="600" w:lineRule="exact"/>
        <w:ind w:firstLine="640"/>
        <w:outlineLvl w:val="2"/>
        <w:rPr>
          <w:rFonts w:ascii="仿宋" w:hAnsi="仿宋" w:eastAsia="仿宋"/>
          <w:b/>
          <w:color w:val="000000"/>
          <w:sz w:val="32"/>
          <w:szCs w:val="32"/>
        </w:rPr>
      </w:pPr>
      <w:bookmarkStart w:id="73" w:name="_Toc79163870"/>
      <w:bookmarkStart w:id="74" w:name="_Toc79163620"/>
      <w:bookmarkStart w:id="75" w:name="_Toc15377216"/>
      <w:r>
        <w:rPr>
          <w:rFonts w:hint="eastAsia" w:ascii="仿宋" w:hAnsi="仿宋" w:eastAsia="仿宋"/>
          <w:b/>
          <w:color w:val="000000"/>
          <w:sz w:val="32"/>
          <w:szCs w:val="32"/>
        </w:rPr>
        <w:t>（一）“三公”经费财政拨款支出决算总体情况说明</w:t>
      </w:r>
      <w:bookmarkEnd w:id="73"/>
      <w:bookmarkEnd w:id="74"/>
      <w:bookmarkEnd w:id="75"/>
    </w:p>
    <w:p w14:paraId="5468B827">
      <w:pPr>
        <w:spacing w:line="600" w:lineRule="exact"/>
        <w:ind w:firstLine="640"/>
        <w:rPr>
          <w:rFonts w:ascii="仿宋" w:hAnsi="仿宋" w:eastAsia="仿宋"/>
          <w:b/>
          <w:color w:val="FF000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年“三公”经费财政拨款支出决算为2.12万元，完成预算79</w:t>
      </w:r>
      <w:r>
        <w:rPr>
          <w:rFonts w:ascii="仿宋_GB2312" w:eastAsia="仿宋_GB2312"/>
          <w:color w:val="333333"/>
          <w:kern w:val="0"/>
          <w:sz w:val="32"/>
          <w:szCs w:val="32"/>
        </w:rPr>
        <w:t>%</w:t>
      </w:r>
      <w:r>
        <w:rPr>
          <w:rFonts w:hint="eastAsia" w:ascii="仿宋_GB2312" w:eastAsia="仿宋_GB2312"/>
          <w:color w:val="333333"/>
          <w:kern w:val="0"/>
          <w:sz w:val="32"/>
          <w:szCs w:val="32"/>
        </w:rPr>
        <w:t>，决算数小于预算数（或与预算数持平）的主要原因是车辆损坏，改为租车</w:t>
      </w:r>
      <w:r>
        <w:rPr>
          <w:rFonts w:hint="eastAsia" w:ascii="仿宋_GB2312" w:hAnsi="仿宋_GB2312" w:eastAsia="仿宋_GB2312" w:cs="仿宋_GB2312"/>
          <w:color w:val="000000"/>
          <w:sz w:val="32"/>
          <w:szCs w:val="32"/>
        </w:rPr>
        <w:t>。</w:t>
      </w:r>
    </w:p>
    <w:p w14:paraId="78B977C6">
      <w:pPr>
        <w:spacing w:line="600" w:lineRule="exact"/>
        <w:ind w:firstLine="640"/>
        <w:outlineLvl w:val="2"/>
        <w:rPr>
          <w:rFonts w:ascii="仿宋" w:hAnsi="仿宋" w:eastAsia="仿宋"/>
          <w:b/>
          <w:color w:val="000000"/>
          <w:sz w:val="32"/>
          <w:szCs w:val="32"/>
        </w:rPr>
      </w:pPr>
      <w:bookmarkStart w:id="76" w:name="_Toc15377217"/>
      <w:bookmarkStart w:id="77" w:name="_Toc79163621"/>
      <w:bookmarkStart w:id="78" w:name="_Toc79163871"/>
      <w:r>
        <w:rPr>
          <w:rFonts w:hint="eastAsia" w:ascii="仿宋" w:hAnsi="仿宋" w:eastAsia="仿宋"/>
          <w:b/>
          <w:color w:val="000000"/>
          <w:sz w:val="32"/>
          <w:szCs w:val="32"/>
        </w:rPr>
        <w:t>（二）“三公”经费财政拨款支出决算具体情况说明</w:t>
      </w:r>
      <w:bookmarkEnd w:id="76"/>
      <w:bookmarkEnd w:id="77"/>
      <w:bookmarkEnd w:id="78"/>
    </w:p>
    <w:p w14:paraId="3B43FE64">
      <w:pPr>
        <w:spacing w:line="600" w:lineRule="exact"/>
        <w:ind w:firstLine="64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年“三公”经费财政拨款支出决算中，因公出国（境）费支出决算0万元，占0</w:t>
      </w:r>
      <w:r>
        <w:rPr>
          <w:rFonts w:ascii="仿宋_GB2312" w:eastAsia="仿宋_GB2312"/>
          <w:color w:val="333333"/>
          <w:kern w:val="0"/>
          <w:sz w:val="32"/>
          <w:szCs w:val="32"/>
        </w:rPr>
        <w:t>%</w:t>
      </w:r>
      <w:r>
        <w:rPr>
          <w:rFonts w:hint="eastAsia" w:ascii="仿宋_GB2312" w:eastAsia="仿宋_GB2312"/>
          <w:color w:val="333333"/>
          <w:kern w:val="0"/>
          <w:sz w:val="32"/>
          <w:szCs w:val="32"/>
        </w:rPr>
        <w:t>；公务用车购置及运行维护费支出决算1.96万元，占92</w:t>
      </w:r>
      <w:r>
        <w:rPr>
          <w:rFonts w:ascii="仿宋_GB2312" w:eastAsia="仿宋_GB2312"/>
          <w:color w:val="333333"/>
          <w:kern w:val="0"/>
          <w:sz w:val="32"/>
          <w:szCs w:val="32"/>
        </w:rPr>
        <w:t>%</w:t>
      </w:r>
      <w:r>
        <w:rPr>
          <w:rFonts w:hint="eastAsia" w:ascii="仿宋_GB2312" w:eastAsia="仿宋_GB2312"/>
          <w:color w:val="333333"/>
          <w:kern w:val="0"/>
          <w:sz w:val="32"/>
          <w:szCs w:val="32"/>
        </w:rPr>
        <w:t>；公务接待费支出决算0.16万元，占8</w:t>
      </w:r>
      <w:r>
        <w:rPr>
          <w:rFonts w:ascii="仿宋_GB2312" w:eastAsia="仿宋_GB2312"/>
          <w:color w:val="333333"/>
          <w:kern w:val="0"/>
          <w:sz w:val="32"/>
          <w:szCs w:val="32"/>
        </w:rPr>
        <w:t>%</w:t>
      </w:r>
      <w:r>
        <w:rPr>
          <w:rFonts w:hint="eastAsia" w:ascii="仿宋_GB2312" w:eastAsia="仿宋_GB2312"/>
          <w:color w:val="333333"/>
          <w:kern w:val="0"/>
          <w:sz w:val="32"/>
          <w:szCs w:val="32"/>
        </w:rPr>
        <w:t>。具体情况如下：</w:t>
      </w:r>
    </w:p>
    <w:p w14:paraId="3DC76360">
      <w:pPr>
        <w:spacing w:line="600" w:lineRule="exact"/>
        <w:ind w:firstLine="640"/>
        <w:rPr>
          <w:rFonts w:ascii="仿宋_GB2312" w:hAnsi="仿宋_GB2312" w:eastAsia="仿宋_GB2312" w:cs="仿宋_GB2312"/>
          <w:color w:val="000000"/>
          <w:sz w:val="32"/>
          <w:szCs w:val="32"/>
        </w:rPr>
      </w:pPr>
      <w:r>
        <w:rPr>
          <w:rFonts w:ascii="仿宋_GB2312" w:eastAsia="仿宋_GB2312"/>
          <w:b/>
          <w:color w:val="000000"/>
          <w:sz w:val="32"/>
          <w:szCs w:val="32"/>
        </w:rPr>
        <w:t>1.</w:t>
      </w:r>
      <w:r>
        <w:rPr>
          <w:rFonts w:hint="eastAsia" w:ascii="仿宋_GB2312" w:hAnsi="仿宋_GB2312" w:eastAsia="仿宋_GB2312" w:cs="仿宋_GB2312"/>
          <w:color w:val="000000"/>
          <w:sz w:val="32"/>
          <w:szCs w:val="32"/>
        </w:rPr>
        <w:t>因公出国（境）经费支出0万元，完成预算100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全年安排因公出国（境）团组0次，出国（境）0人。因公出国（境）支出决算与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9年持平。</w:t>
      </w:r>
    </w:p>
    <w:p w14:paraId="1A804443">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公务用车购置及运行维护费支出1.96万元,完成预算78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9年增加1.59万元，增加81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。主要原因是2019年群团统一派车，2020年改为租车。</w:t>
      </w:r>
    </w:p>
    <w:p w14:paraId="39536E69">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其中：公务用车购置支出0万元。全年按规定更新购置公务用车0辆，其中：轿车0辆、金额0万元，越野车0辆、金额0万元，载客汽车0辆、金额0万元。截至</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月底，单位共有公务用车1辆，其中：轿车0辆、越野车0辆、微型汽车1辆。</w:t>
      </w:r>
    </w:p>
    <w:p w14:paraId="3D04DAC2">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公务用车运行维护费支出1.96万元。主要用于培训、宣传等所需的公务用车燃料费、维修费、过路过桥费、租车等支出。</w:t>
      </w:r>
    </w:p>
    <w:p w14:paraId="75A9B9AF">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国内公务接待费支出0.16万元，完成预算100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公务接待费支出决算与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9年持平。</w:t>
      </w:r>
    </w:p>
    <w:p w14:paraId="10357F0F">
      <w:pPr>
        <w:spacing w:line="600"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主要用于执行公务、开展业务活动开支的交通费、住宿费、用餐费等。国内公务接待3批次，10人次。</w:t>
      </w:r>
    </w:p>
    <w:p w14:paraId="46A8B382">
      <w:pPr>
        <w:spacing w:line="600" w:lineRule="exact"/>
        <w:ind w:firstLine="640"/>
        <w:outlineLvl w:val="1"/>
        <w:rPr>
          <w:rStyle w:val="24"/>
          <w:rFonts w:ascii="黑体" w:hAnsi="黑体" w:eastAsia="黑体"/>
        </w:rPr>
      </w:pPr>
      <w:bookmarkStart w:id="79" w:name="_Toc79163872"/>
      <w:bookmarkStart w:id="80" w:name="_Toc79163622"/>
      <w:bookmarkStart w:id="81" w:name="_Toc15396610"/>
      <w:bookmarkStart w:id="82"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79"/>
      <w:bookmarkEnd w:id="80"/>
      <w:bookmarkEnd w:id="81"/>
      <w:bookmarkEnd w:id="82"/>
    </w:p>
    <w:p w14:paraId="493B6547">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14:paraId="0FD6EE40">
      <w:pPr>
        <w:numPr>
          <w:ilvl w:val="0"/>
          <w:numId w:val="2"/>
        </w:numPr>
        <w:spacing w:line="600" w:lineRule="exact"/>
        <w:ind w:firstLine="640"/>
        <w:outlineLvl w:val="1"/>
        <w:rPr>
          <w:rStyle w:val="24"/>
          <w:rFonts w:ascii="黑体" w:hAnsi="黑体" w:eastAsia="黑体"/>
          <w:b w:val="0"/>
        </w:rPr>
      </w:pPr>
      <w:bookmarkStart w:id="83" w:name="_Toc15396611"/>
      <w:bookmarkStart w:id="84" w:name="_Toc79163623"/>
      <w:bookmarkStart w:id="85" w:name="_Toc15377219"/>
      <w:bookmarkStart w:id="86" w:name="_Toc79163873"/>
      <w:r>
        <w:rPr>
          <w:rStyle w:val="24"/>
          <w:rFonts w:hint="eastAsia" w:ascii="黑体" w:hAnsi="黑体" w:eastAsia="黑体"/>
          <w:b w:val="0"/>
        </w:rPr>
        <w:t>国有资本经营预算支出决算情况说明</w:t>
      </w:r>
      <w:bookmarkEnd w:id="83"/>
      <w:bookmarkEnd w:id="84"/>
      <w:bookmarkEnd w:id="85"/>
      <w:bookmarkEnd w:id="86"/>
    </w:p>
    <w:p w14:paraId="727A3F68">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14:paraId="6DBAF438">
      <w:pPr>
        <w:spacing w:line="600" w:lineRule="exact"/>
        <w:ind w:firstLine="800" w:firstLineChars="250"/>
        <w:outlineLvl w:val="1"/>
        <w:rPr>
          <w:rStyle w:val="24"/>
          <w:rFonts w:ascii="黑体" w:hAnsi="黑体" w:eastAsia="黑体"/>
        </w:rPr>
      </w:pPr>
      <w:bookmarkStart w:id="87" w:name="_Toc79163874"/>
      <w:bookmarkStart w:id="88" w:name="_Toc15377221"/>
      <w:bookmarkStart w:id="89" w:name="_Toc79163624"/>
      <w:bookmarkStart w:id="90"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7"/>
      <w:bookmarkEnd w:id="88"/>
      <w:bookmarkEnd w:id="89"/>
      <w:bookmarkEnd w:id="90"/>
    </w:p>
    <w:p w14:paraId="36E24C27">
      <w:pPr>
        <w:spacing w:line="600" w:lineRule="exact"/>
        <w:ind w:firstLine="643" w:firstLineChars="200"/>
        <w:outlineLvl w:val="2"/>
        <w:rPr>
          <w:rFonts w:ascii="仿宋" w:hAnsi="仿宋" w:eastAsia="仿宋"/>
          <w:color w:val="000000"/>
          <w:sz w:val="32"/>
          <w:szCs w:val="32"/>
        </w:rPr>
      </w:pPr>
      <w:bookmarkStart w:id="91" w:name="_Toc79163875"/>
      <w:bookmarkStart w:id="92" w:name="_Toc15377222"/>
      <w:bookmarkStart w:id="93" w:name="_Toc79163625"/>
      <w:r>
        <w:rPr>
          <w:rFonts w:hint="eastAsia" w:ascii="仿宋" w:hAnsi="仿宋" w:eastAsia="仿宋"/>
          <w:b/>
          <w:color w:val="000000"/>
          <w:sz w:val="32"/>
          <w:szCs w:val="32"/>
        </w:rPr>
        <w:t>（一）机关运行经费支出情况</w:t>
      </w:r>
      <w:bookmarkEnd w:id="91"/>
      <w:bookmarkEnd w:id="92"/>
      <w:bookmarkEnd w:id="93"/>
    </w:p>
    <w:p w14:paraId="787459DD">
      <w:pPr>
        <w:spacing w:line="600" w:lineRule="exact"/>
        <w:ind w:firstLine="640"/>
        <w:rPr>
          <w:rFonts w:ascii="仿宋_GB2312" w:eastAsia="仿宋_GB2312"/>
          <w:color w:val="333333"/>
          <w:kern w:val="0"/>
          <w:sz w:val="32"/>
          <w:szCs w:val="32"/>
        </w:rPr>
      </w:pPr>
      <w:r>
        <w:rPr>
          <w:rFonts w:ascii="仿宋_GB2312" w:eastAsia="仿宋_GB2312"/>
          <w:color w:val="333333"/>
          <w:kern w:val="0"/>
          <w:sz w:val="32"/>
          <w:szCs w:val="32"/>
        </w:rPr>
        <w:t>2020</w:t>
      </w:r>
      <w:r>
        <w:rPr>
          <w:rFonts w:hint="eastAsia" w:ascii="仿宋_GB2312" w:eastAsia="仿宋_GB2312"/>
          <w:color w:val="333333"/>
          <w:kern w:val="0"/>
          <w:sz w:val="32"/>
          <w:szCs w:val="32"/>
        </w:rPr>
        <w:t>年，</w:t>
      </w:r>
      <w:bookmarkStart w:id="94" w:name="_Toc15377223"/>
      <w:bookmarkStart w:id="95" w:name="_Toc79163876"/>
      <w:bookmarkStart w:id="96" w:name="_Toc79163626"/>
      <w:r>
        <w:rPr>
          <w:rFonts w:hint="eastAsia" w:ascii="仿宋_GB2312" w:eastAsia="仿宋_GB2312"/>
          <w:color w:val="333333"/>
          <w:kern w:val="0"/>
          <w:sz w:val="32"/>
          <w:szCs w:val="32"/>
        </w:rPr>
        <w:t>红十字会机关运行经费支出104.96万元。与</w:t>
      </w:r>
      <w:r>
        <w:rPr>
          <w:rFonts w:ascii="仿宋_GB2312" w:eastAsia="仿宋_GB2312"/>
          <w:color w:val="333333"/>
          <w:kern w:val="0"/>
          <w:sz w:val="32"/>
          <w:szCs w:val="32"/>
        </w:rPr>
        <w:t>2019</w:t>
      </w:r>
      <w:r>
        <w:rPr>
          <w:rFonts w:hint="eastAsia" w:ascii="仿宋_GB2312" w:eastAsia="仿宋_GB2312"/>
          <w:color w:val="333333"/>
          <w:kern w:val="0"/>
          <w:sz w:val="32"/>
          <w:szCs w:val="32"/>
        </w:rPr>
        <w:t>年相比，收、支总计各增加14.93万元，增长14</w:t>
      </w:r>
      <w:r>
        <w:rPr>
          <w:rFonts w:ascii="仿宋_GB2312" w:eastAsia="仿宋_GB2312"/>
          <w:color w:val="333333"/>
          <w:kern w:val="0"/>
          <w:sz w:val="32"/>
          <w:szCs w:val="32"/>
        </w:rPr>
        <w:t>%</w:t>
      </w:r>
      <w:r>
        <w:rPr>
          <w:rFonts w:hint="eastAsia" w:ascii="仿宋_GB2312" w:eastAsia="仿宋_GB2312"/>
          <w:color w:val="333333"/>
          <w:kern w:val="0"/>
          <w:sz w:val="32"/>
          <w:szCs w:val="32"/>
        </w:rPr>
        <w:t>。主要变动原因是工资增加。</w:t>
      </w:r>
    </w:p>
    <w:p w14:paraId="218F6F4D">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94"/>
      <w:bookmarkEnd w:id="95"/>
      <w:bookmarkEnd w:id="96"/>
    </w:p>
    <w:p w14:paraId="3F51876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hAnsi="仿宋_GB2312" w:eastAsia="仿宋_GB2312" w:cs="仿宋_GB2312"/>
          <w:sz w:val="32"/>
          <w:szCs w:val="32"/>
        </w:rPr>
        <w:t>红十字会政府采购支出总额0万元</w:t>
      </w:r>
    </w:p>
    <w:p w14:paraId="56DF4FA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7"/>
      <w:bookmarkStart w:id="98" w:name="_Toc15377224"/>
      <w:bookmarkStart w:id="99" w:name="_Toc79163627"/>
      <w:r>
        <w:rPr>
          <w:rFonts w:hint="eastAsia" w:ascii="仿宋" w:hAnsi="仿宋" w:eastAsia="仿宋"/>
          <w:b/>
          <w:color w:val="000000"/>
          <w:sz w:val="32"/>
          <w:szCs w:val="32"/>
        </w:rPr>
        <w:t>（三）国有资产占有使用情况</w:t>
      </w:r>
      <w:bookmarkEnd w:id="97"/>
      <w:bookmarkEnd w:id="98"/>
      <w:bookmarkEnd w:id="99"/>
    </w:p>
    <w:p w14:paraId="205B80B3">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00" w:name="_Toc79163878"/>
      <w:bookmarkStart w:id="101" w:name="_Toc79163628"/>
      <w:r>
        <w:rPr>
          <w:rFonts w:hint="eastAsia" w:ascii="仿宋_GB2312" w:hAnsi="仿宋_GB2312" w:eastAsia="仿宋_GB2312" w:cs="仿宋_GB2312"/>
          <w:sz w:val="32"/>
          <w:szCs w:val="32"/>
        </w:rPr>
        <w:t>红十字会共有车辆1辆，其中：部级领导干部用车0辆、一般公务用车1辆、一般执法执勤用车0辆、特种专业技术用车0辆、其他用车0辆，单价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万元以上通用设备0台（套），单价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万元以上专用设备0台（套</w:t>
      </w:r>
      <w:r>
        <w:rPr>
          <w:rFonts w:hint="eastAsia" w:ascii="仿宋_GB2312" w:eastAsia="仿宋_GB2312"/>
          <w:color w:val="000000"/>
          <w:sz w:val="32"/>
          <w:szCs w:val="32"/>
        </w:rPr>
        <w:t>）</w:t>
      </w:r>
    </w:p>
    <w:p w14:paraId="5DD2DA0D">
      <w:pPr>
        <w:autoSpaceDE w:val="0"/>
        <w:autoSpaceDN w:val="0"/>
        <w:adjustRightInd w:val="0"/>
        <w:spacing w:line="600" w:lineRule="exact"/>
        <w:ind w:firstLine="643" w:firstLineChars="200"/>
        <w:jc w:val="left"/>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100"/>
      <w:bookmarkEnd w:id="101"/>
    </w:p>
    <w:p w14:paraId="233F29EF">
      <w:pPr>
        <w:pStyle w:val="38"/>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1个项目开展了预算事前绩效评估，对1个项目编制了绩效目标，预算执行过程中，选取1个项目开展绩效监控，年终执行完毕后，对1个项目开展了绩效目标完成情况梳理填报。</w:t>
      </w:r>
    </w:p>
    <w:p w14:paraId="4734A4D5">
      <w:pPr>
        <w:pStyle w:val="38"/>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完成了2020年重点工作：狠抓机关队伍建设，强化为民服务意识；加强宣传和青少年工作，发放红十字运动基本知识、防灾减灾知识、应急救护知识等宣传资料1500余份，组织县第三小学、第四小学、2000名学生参加了全国红十字防灾避险知识竞赛活动；灵活开展普及培训，针对性开展救护员培训，救护员培训156人及普及培训900人；人道救助和博爱送万家265人；按合同要求按质按量完成工程进度；基层组织建设3个；</w:t>
      </w:r>
    </w:p>
    <w:p w14:paraId="35C84410">
      <w:pPr>
        <w:spacing w:line="360" w:lineRule="auto"/>
        <w:ind w:left="479" w:leftChars="228"/>
        <w:rPr>
          <w:rFonts w:ascii="仿宋_GB2312" w:hAnsi="仿宋_GB2312" w:eastAsia="仿宋_GB2312" w:cs="仿宋_GB2312"/>
          <w:sz w:val="32"/>
          <w:szCs w:val="32"/>
        </w:rPr>
      </w:pPr>
      <w:r>
        <w:rPr>
          <w:rFonts w:hint="eastAsia" w:ascii="仿宋_GB2312" w:hAnsi="仿宋_GB2312" w:eastAsia="仿宋_GB2312" w:cs="仿宋_GB2312"/>
          <w:sz w:val="32"/>
          <w:szCs w:val="32"/>
        </w:rPr>
        <w:t>根据实际需要开展工作。完成各项目标责任制；完成其他政府工作。总的来看2020年度单位在规定时间内保质保量完成了所有工作任务，并保证了单位良好运行情况。本部门还自行组织了1个项目绩效评价。</w:t>
      </w:r>
    </w:p>
    <w:p w14:paraId="35BE1B42">
      <w:pPr>
        <w:adjustRightInd w:val="0"/>
        <w:snapToGrid w:val="0"/>
        <w:spacing w:line="600" w:lineRule="exact"/>
        <w:ind w:left="479" w:leftChars="228" w:right="441" w:firstLine="241" w:firstLineChars="75"/>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(一)防疫经费。 该防疫资金为我单位抗疫提供了物质保障，有利于我单位抗疫工作开展。我单位在疫情期间，接受捐赠资金331余万元，接受捐赠物资379万元，为我县疫情防御工作起到了积极作用。</w:t>
      </w:r>
    </w:p>
    <w:p w14:paraId="1288DD05">
      <w:pPr>
        <w:autoSpaceDN w:val="0"/>
        <w:spacing w:line="580" w:lineRule="exact"/>
        <w:ind w:firstLine="800" w:firstLineChars="250"/>
        <w:jc w:val="left"/>
        <w:textAlignment w:val="center"/>
        <w:rPr>
          <w:rFonts w:ascii="仿宋_GB2312" w:hAnsi="仿宋_GB2312" w:eastAsia="仿宋_GB2312" w:cs="仿宋_GB2312"/>
          <w:sz w:val="32"/>
          <w:szCs w:val="32"/>
        </w:rPr>
      </w:pPr>
    </w:p>
    <w:p w14:paraId="00036E3B">
      <w:pPr>
        <w:spacing w:line="360" w:lineRule="auto"/>
        <w:ind w:left="479" w:leftChars="228"/>
        <w:rPr>
          <w:rFonts w:ascii="仿宋_GB2312" w:hAnsi="仿宋_GB2312" w:eastAsia="仿宋_GB2312" w:cs="仿宋_GB2312"/>
          <w:sz w:val="32"/>
          <w:szCs w:val="32"/>
        </w:rPr>
      </w:pPr>
    </w:p>
    <w:p w14:paraId="121E6D12">
      <w:pPr>
        <w:spacing w:line="360" w:lineRule="auto"/>
        <w:ind w:left="479" w:leftChars="228"/>
        <w:rPr>
          <w:rFonts w:ascii="仿宋_GB2312" w:hAnsi="仿宋_GB2312" w:eastAsia="仿宋_GB2312" w:cs="仿宋_GB2312"/>
          <w:sz w:val="32"/>
          <w:szCs w:val="32"/>
        </w:rPr>
      </w:pPr>
    </w:p>
    <w:p w14:paraId="4BFCED2D">
      <w:pPr>
        <w:spacing w:line="360" w:lineRule="auto"/>
        <w:ind w:left="479" w:leftChars="228"/>
        <w:rPr>
          <w:rFonts w:ascii="仿宋_GB2312" w:hAnsi="仿宋_GB2312" w:eastAsia="仿宋_GB2312" w:cs="仿宋_GB2312"/>
          <w:sz w:val="32"/>
          <w:szCs w:val="32"/>
        </w:rPr>
      </w:pPr>
    </w:p>
    <w:p w14:paraId="66D47C26">
      <w:pPr>
        <w:spacing w:line="360" w:lineRule="auto"/>
        <w:ind w:left="479" w:leftChars="228"/>
        <w:rPr>
          <w:rFonts w:ascii="仿宋_GB2312" w:hAnsi="仿宋_GB2312" w:eastAsia="仿宋_GB2312" w:cs="仿宋_GB2312"/>
          <w:sz w:val="32"/>
          <w:szCs w:val="32"/>
        </w:rPr>
      </w:pPr>
    </w:p>
    <w:p w14:paraId="5E3F45B8">
      <w:pPr>
        <w:spacing w:line="360" w:lineRule="auto"/>
        <w:ind w:left="479" w:leftChars="228"/>
        <w:rPr>
          <w:rFonts w:ascii="仿宋_GB2312" w:hAnsi="仿宋_GB2312" w:eastAsia="仿宋_GB2312" w:cs="仿宋_GB2312"/>
          <w:sz w:val="32"/>
          <w:szCs w:val="32"/>
        </w:rPr>
      </w:pPr>
    </w:p>
    <w:p w14:paraId="782444B4">
      <w:pPr>
        <w:spacing w:line="360" w:lineRule="auto"/>
        <w:ind w:left="479" w:leftChars="228"/>
        <w:rPr>
          <w:rFonts w:ascii="仿宋_GB2312" w:hAnsi="仿宋_GB2312" w:eastAsia="仿宋_GB2312" w:cs="仿宋_GB2312"/>
          <w:sz w:val="32"/>
          <w:szCs w:val="32"/>
        </w:rPr>
      </w:pPr>
    </w:p>
    <w:p w14:paraId="7AD5E3DE">
      <w:pPr>
        <w:spacing w:line="360" w:lineRule="auto"/>
        <w:ind w:left="479" w:leftChars="228"/>
        <w:rPr>
          <w:rFonts w:ascii="仿宋_GB2312" w:hAnsi="仿宋_GB2312" w:eastAsia="仿宋_GB2312" w:cs="仿宋_GB2312"/>
          <w:sz w:val="32"/>
          <w:szCs w:val="32"/>
        </w:rPr>
      </w:pPr>
    </w:p>
    <w:p w14:paraId="75534090">
      <w:pPr>
        <w:spacing w:line="360" w:lineRule="auto"/>
        <w:ind w:left="479" w:leftChars="228"/>
        <w:rPr>
          <w:rFonts w:ascii="仿宋_GB2312" w:hAnsi="仿宋_GB2312" w:eastAsia="仿宋_GB2312" w:cs="仿宋_GB2312"/>
          <w:sz w:val="32"/>
          <w:szCs w:val="32"/>
        </w:rPr>
      </w:pPr>
    </w:p>
    <w:p w14:paraId="02C4B33D">
      <w:pPr>
        <w:spacing w:line="360" w:lineRule="auto"/>
        <w:ind w:left="479" w:leftChars="228"/>
        <w:rPr>
          <w:rFonts w:ascii="仿宋_GB2312" w:hAnsi="仿宋_GB2312" w:eastAsia="仿宋_GB2312" w:cs="仿宋_GB2312"/>
          <w:sz w:val="32"/>
          <w:szCs w:val="32"/>
        </w:rPr>
      </w:pPr>
    </w:p>
    <w:p w14:paraId="1EA5FEF2">
      <w:pPr>
        <w:spacing w:line="360" w:lineRule="auto"/>
        <w:ind w:left="479" w:leftChars="228"/>
        <w:rPr>
          <w:rFonts w:ascii="仿宋_GB2312" w:hAnsi="仿宋_GB2312" w:eastAsia="仿宋_GB2312" w:cs="仿宋_GB2312"/>
          <w:sz w:val="32"/>
          <w:szCs w:val="32"/>
        </w:rPr>
      </w:pPr>
    </w:p>
    <w:p w14:paraId="688CDA12">
      <w:pPr>
        <w:spacing w:line="360" w:lineRule="auto"/>
        <w:ind w:left="479" w:leftChars="228"/>
        <w:rPr>
          <w:rFonts w:ascii="仿宋_GB2312" w:hAnsi="仿宋_GB2312" w:eastAsia="仿宋_GB2312" w:cs="仿宋_GB2312"/>
          <w:sz w:val="32"/>
          <w:szCs w:val="32"/>
        </w:rPr>
      </w:pPr>
    </w:p>
    <w:p w14:paraId="447E5AC9">
      <w:pPr>
        <w:spacing w:line="360" w:lineRule="auto"/>
        <w:ind w:left="479" w:leftChars="228"/>
        <w:rPr>
          <w:rFonts w:ascii="仿宋_GB2312" w:hAnsi="仿宋_GB2312" w:eastAsia="仿宋_GB2312" w:cs="仿宋_GB2312"/>
          <w:sz w:val="32"/>
          <w:szCs w:val="32"/>
        </w:rPr>
      </w:pPr>
    </w:p>
    <w:p w14:paraId="1562D5C9">
      <w:pPr>
        <w:spacing w:line="360" w:lineRule="auto"/>
        <w:ind w:left="479" w:leftChars="228"/>
        <w:rPr>
          <w:rFonts w:ascii="仿宋_GB2312" w:hAnsi="仿宋_GB2312" w:eastAsia="仿宋_GB2312" w:cs="仿宋_GB2312"/>
          <w:sz w:val="32"/>
          <w:szCs w:val="32"/>
        </w:rPr>
      </w:pPr>
    </w:p>
    <w:p w14:paraId="167D48A9">
      <w:pPr>
        <w:spacing w:line="360" w:lineRule="auto"/>
        <w:ind w:left="479" w:leftChars="228"/>
        <w:rPr>
          <w:rFonts w:ascii="仿宋_GB2312" w:hAnsi="仿宋_GB2312" w:eastAsia="仿宋_GB2312" w:cs="仿宋_GB2312"/>
          <w:sz w:val="32"/>
          <w:szCs w:val="32"/>
        </w:rPr>
      </w:pPr>
    </w:p>
    <w:p w14:paraId="04C734E7">
      <w:pPr>
        <w:spacing w:line="360" w:lineRule="auto"/>
        <w:ind w:left="479" w:leftChars="228"/>
        <w:rPr>
          <w:rFonts w:ascii="仿宋_GB2312" w:hAnsi="仿宋_GB2312" w:eastAsia="仿宋_GB2312" w:cs="仿宋_GB2312"/>
          <w:sz w:val="32"/>
          <w:szCs w:val="32"/>
        </w:rPr>
      </w:pPr>
    </w:p>
    <w:p w14:paraId="3488A0D7">
      <w:pPr>
        <w:spacing w:line="360" w:lineRule="auto"/>
        <w:ind w:left="479" w:leftChars="228"/>
        <w:rPr>
          <w:rFonts w:ascii="仿宋_GB2312" w:hAnsi="仿宋_GB2312" w:eastAsia="仿宋_GB2312" w:cs="仿宋_GB2312"/>
          <w:sz w:val="32"/>
          <w:szCs w:val="32"/>
        </w:rPr>
      </w:pPr>
    </w:p>
    <w:p w14:paraId="74B6669F">
      <w:pPr>
        <w:spacing w:line="360" w:lineRule="auto"/>
        <w:rPr>
          <w:rFonts w:ascii="仿宋_GB2312" w:hAnsi="仿宋_GB2312" w:eastAsia="仿宋_GB2312" w:cs="仿宋_GB2312"/>
          <w:sz w:val="32"/>
          <w:szCs w:val="32"/>
        </w:rPr>
      </w:pPr>
    </w:p>
    <w:p w14:paraId="12489FC5">
      <w:pPr>
        <w:numPr>
          <w:ilvl w:val="0"/>
          <w:numId w:val="3"/>
        </w:numPr>
        <w:spacing w:line="600" w:lineRule="exact"/>
        <w:ind w:firstLine="660" w:firstLineChars="150"/>
        <w:jc w:val="center"/>
        <w:outlineLvl w:val="0"/>
        <w:rPr>
          <w:rStyle w:val="23"/>
          <w:rFonts w:ascii="黑体" w:hAnsi="黑体" w:eastAsia="黑体"/>
          <w:b w:val="0"/>
        </w:rPr>
      </w:pPr>
      <w:bookmarkStart w:id="102" w:name="_Toc15377225"/>
      <w:bookmarkStart w:id="103" w:name="_Toc15396613"/>
      <w:bookmarkStart w:id="104" w:name="_Toc79163629"/>
      <w:bookmarkStart w:id="105"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102"/>
      <w:bookmarkEnd w:id="103"/>
      <w:bookmarkEnd w:id="104"/>
      <w:bookmarkEnd w:id="105"/>
    </w:p>
    <w:p w14:paraId="2AF0A448">
      <w:pPr>
        <w:spacing w:line="600" w:lineRule="exact"/>
        <w:jc w:val="left"/>
        <w:rPr>
          <w:rFonts w:ascii="宋体"/>
          <w:b/>
          <w:color w:val="000000"/>
          <w:sz w:val="44"/>
          <w:szCs w:val="44"/>
        </w:rPr>
      </w:pPr>
    </w:p>
    <w:p w14:paraId="62DDEEEC">
      <w:pPr>
        <w:ind w:firstLine="640" w:firstLineChars="200"/>
        <w:rPr>
          <w:rFonts w:ascii="仿宋_GB2312" w:hAnsi="仿宋_GB2312" w:eastAsia="仿宋_GB2312" w:cs="仿宋_GB2312"/>
          <w:color w:val="000000"/>
          <w:sz w:val="32"/>
          <w:szCs w:val="32"/>
        </w:rPr>
      </w:pPr>
      <w:bookmarkStart w:id="106" w:name="_Toc79163630"/>
      <w:bookmarkStart w:id="107" w:name="_Toc79163880"/>
      <w:bookmarkStart w:id="108" w:name="_Toc15396614"/>
      <w:bookmarkStart w:id="109" w:name="_Toc15377226"/>
      <w:r>
        <w:rPr>
          <w:rFonts w:hint="eastAsia" w:ascii="仿宋_GB2312" w:hAnsi="仿宋_GB2312" w:eastAsia="仿宋_GB2312" w:cs="仿宋_GB2312"/>
          <w:color w:val="000000"/>
          <w:sz w:val="32"/>
          <w:szCs w:val="32"/>
        </w:rPr>
        <w:t>1.一般公共预算拨款收入：指县级财政当年拨付的资金。</w:t>
      </w:r>
    </w:p>
    <w:p w14:paraId="216C5F79">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2.上年结转：指以前年度尚未完成，结转到本年仍按原规定用途继续使用的资金。</w:t>
      </w:r>
    </w:p>
    <w:p w14:paraId="5D8DB838">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3.社会保障和就业（208）行政事业单位离退休（05）  机关事业单位基本养老保险缴费支出（05）：指部门实施养老保险制度由单位缴纳的养老保险费的支出。</w:t>
      </w:r>
    </w:p>
    <w:p w14:paraId="7F658B66">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4.社会保障和就业（208）行政事业单位离退休（05）  机关事业单位基本养老保险缴费支出（05）：指部门实施养老保险制度由单位缴纳的职业年金的支出。</w:t>
      </w:r>
    </w:p>
    <w:p w14:paraId="50EA92CB">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5.社会保障和就业（208）红十字事业（16）行政运行（01）：指红十字事业行政运行支出。</w:t>
      </w:r>
    </w:p>
    <w:p w14:paraId="352368AF">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6.卫生健康支出（210）行政事业单位医疗（11）事业单位医疗（02）：行政单位用于缴纳单位基本医疗保险支出。</w:t>
      </w:r>
    </w:p>
    <w:p w14:paraId="0F49C0D8">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7.卫生健康支出（210）行政事业单位医疗（11）事业单位医疗（03）：指行政单位用于集中缴纳公务员医疗补助支出。</w:t>
      </w:r>
    </w:p>
    <w:p w14:paraId="3388BBE7">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8.住房保障（221）住房改革支出（02）住房公积金（01）：指按照《住房公积金管理条例》的规定，由单位及其在职职工缴存的长期住房储金。</w:t>
      </w:r>
    </w:p>
    <w:p w14:paraId="3E95695E">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9.基本支出：指为保证机构正常运转，完成日常工作任务而发生的人员支出和公用支出。</w:t>
      </w:r>
    </w:p>
    <w:p w14:paraId="14D80FF0">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10.项目支出：指在基本支出之外为完成特定行政任务和事业发展目标所发生的支出。</w:t>
      </w:r>
    </w:p>
    <w:p w14:paraId="200D5C5C">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F5F7F9A">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27B359">
      <w:pPr>
        <w:ind w:firstLine="2400" w:firstLineChars="750"/>
        <w:rPr>
          <w:rStyle w:val="23"/>
          <w:rFonts w:ascii="黑体" w:hAnsi="黑体" w:eastAsia="黑体"/>
          <w:b w:val="0"/>
        </w:rPr>
      </w:pPr>
      <w:r>
        <w:rPr>
          <w:rFonts w:ascii="仿宋_GB2312" w:hAnsi="仿宋_GB2312" w:eastAsia="仿宋_GB2312" w:cs="仿宋_GB2312"/>
          <w:color w:val="000000"/>
          <w:sz w:val="32"/>
          <w:szCs w:val="32"/>
        </w:rPr>
        <w:br w:type="page"/>
      </w:r>
      <w:r>
        <w:rPr>
          <w:rFonts w:hint="eastAsia" w:ascii="黑体" w:hAnsi="黑体" w:eastAsia="黑体"/>
          <w:color w:val="000000"/>
          <w:sz w:val="44"/>
          <w:szCs w:val="44"/>
        </w:rPr>
        <w:t>第</w:t>
      </w:r>
      <w:r>
        <w:rPr>
          <w:rStyle w:val="23"/>
          <w:rFonts w:hint="eastAsia" w:ascii="黑体" w:hAnsi="黑体" w:eastAsia="黑体"/>
          <w:b w:val="0"/>
        </w:rPr>
        <w:t>四部分附件</w:t>
      </w:r>
      <w:bookmarkEnd w:id="106"/>
      <w:bookmarkEnd w:id="107"/>
      <w:bookmarkEnd w:id="108"/>
    </w:p>
    <w:p w14:paraId="19203F6D">
      <w:pPr>
        <w:spacing w:line="600" w:lineRule="exact"/>
        <w:jc w:val="left"/>
        <w:outlineLvl w:val="0"/>
        <w:rPr>
          <w:rFonts w:ascii="方正小标宋简体" w:hAnsi="方正小标宋简体" w:eastAsia="方正小标宋简体" w:cs="方正小标宋简体"/>
          <w:sz w:val="32"/>
          <w:szCs w:val="32"/>
        </w:rPr>
      </w:pPr>
      <w:bookmarkStart w:id="110" w:name="_Toc79163631"/>
      <w:bookmarkStart w:id="111" w:name="_Toc79163881"/>
      <w:r>
        <w:rPr>
          <w:rFonts w:hint="eastAsia" w:ascii="黑体" w:hAnsi="黑体" w:eastAsia="黑体" w:cs="黑体"/>
          <w:sz w:val="32"/>
          <w:szCs w:val="32"/>
        </w:rPr>
        <w:t>附件</w:t>
      </w:r>
      <w:r>
        <w:rPr>
          <w:rFonts w:ascii="黑体" w:hAnsi="黑体" w:eastAsia="黑体" w:cs="黑体"/>
          <w:sz w:val="32"/>
          <w:szCs w:val="32"/>
        </w:rPr>
        <w:t>1</w:t>
      </w:r>
      <w:bookmarkEnd w:id="110"/>
      <w:bookmarkEnd w:id="111"/>
    </w:p>
    <w:p w14:paraId="1CBA762E">
      <w:pPr>
        <w:spacing w:line="580" w:lineRule="exact"/>
        <w:jc w:val="center"/>
        <w:rPr>
          <w:rFonts w:ascii="方正小标宋简体" w:hAnsi="方正小标宋简体" w:eastAsia="方正小标宋简体" w:cs="方正小标宋简体"/>
          <w:sz w:val="44"/>
          <w:szCs w:val="44"/>
        </w:rPr>
      </w:pPr>
    </w:p>
    <w:p w14:paraId="175A6493">
      <w:pPr>
        <w:spacing w:line="600" w:lineRule="exact"/>
        <w:jc w:val="center"/>
        <w:outlineLvl w:val="0"/>
        <w:rPr>
          <w:rFonts w:ascii="黑体" w:hAnsi="黑体" w:eastAsia="黑体" w:cs="方正小标宋简体"/>
          <w:sz w:val="36"/>
          <w:szCs w:val="36"/>
        </w:rPr>
      </w:pPr>
      <w:bookmarkStart w:id="112" w:name="_Toc15396616"/>
      <w:r>
        <w:rPr>
          <w:rFonts w:hint="eastAsia" w:ascii="黑体" w:hAnsi="黑体" w:eastAsia="黑体" w:cs="方正小标宋简体"/>
          <w:sz w:val="36"/>
          <w:szCs w:val="36"/>
        </w:rPr>
        <w:t>九寨沟县2020年部门整体支出绩效评价报告</w:t>
      </w:r>
      <w:bookmarkEnd w:id="112"/>
    </w:p>
    <w:p w14:paraId="068AC55E">
      <w:pPr>
        <w:spacing w:line="600" w:lineRule="exact"/>
        <w:jc w:val="center"/>
        <w:outlineLvl w:val="0"/>
        <w:rPr>
          <w:rFonts w:ascii="黑体" w:hAnsi="黑体" w:eastAsia="黑体" w:cs="方正小标宋简体"/>
          <w:sz w:val="36"/>
          <w:szCs w:val="36"/>
        </w:rPr>
      </w:pPr>
    </w:p>
    <w:p w14:paraId="6E99362F">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6185883B">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w:t>
      </w:r>
      <w:r>
        <w:rPr>
          <w:rFonts w:ascii="仿宋_GB2312" w:hAnsi="仿宋_GB2312" w:eastAsia="仿宋_GB2312" w:cs="仿宋_GB2312"/>
          <w:color w:val="000000"/>
          <w:sz w:val="32"/>
          <w:szCs w:val="32"/>
        </w:rPr>
        <w:t>机构组成</w:t>
      </w:r>
      <w:r>
        <w:rPr>
          <w:rFonts w:ascii="仿宋" w:hAnsi="仿宋" w:eastAsia="仿宋" w:cs="仿宋_GB2312"/>
          <w:sz w:val="32"/>
          <w:szCs w:val="32"/>
        </w:rPr>
        <w:t>。</w:t>
      </w:r>
      <w:r>
        <w:rPr>
          <w:rFonts w:hint="eastAsia" w:ascii="仿宋_GB2312" w:hAnsi="Calibri" w:eastAsia="仿宋_GB2312"/>
          <w:sz w:val="32"/>
          <w:szCs w:val="32"/>
        </w:rPr>
        <w:t>九寨沟县红十字会属于参照公务员管理的县级一级预算单位。编制为5人。科级领导干部2人、核定车辆数1辆 ，内设机构2个。</w:t>
      </w:r>
    </w:p>
    <w:p w14:paraId="726C40C1">
      <w:pPr>
        <w:ind w:firstLine="640" w:firstLineChars="200"/>
        <w:rPr>
          <w:rFonts w:ascii="仿宋_GB2312" w:hAnsi="Calibri" w:eastAsia="仿宋_GB2312"/>
          <w:sz w:val="32"/>
          <w:szCs w:val="32"/>
        </w:rPr>
      </w:pPr>
      <w:r>
        <w:rPr>
          <w:rFonts w:ascii="仿宋" w:hAnsi="仿宋" w:eastAsia="仿宋" w:cs="仿宋_GB2312"/>
          <w:sz w:val="32"/>
          <w:szCs w:val="32"/>
        </w:rPr>
        <w:t>（二）</w:t>
      </w:r>
      <w:r>
        <w:rPr>
          <w:rFonts w:ascii="仿宋_GB2312" w:hAnsi="仿宋_GB2312" w:eastAsia="仿宋_GB2312" w:cs="仿宋_GB2312"/>
          <w:color w:val="000000"/>
          <w:sz w:val="32"/>
          <w:szCs w:val="32"/>
        </w:rPr>
        <w:t>机构职能</w:t>
      </w:r>
      <w:r>
        <w:rPr>
          <w:rFonts w:ascii="仿宋" w:hAnsi="仿宋" w:eastAsia="仿宋" w:cs="仿宋_GB2312"/>
          <w:sz w:val="32"/>
          <w:szCs w:val="32"/>
        </w:rPr>
        <w:t>。</w:t>
      </w:r>
      <w:r>
        <w:rPr>
          <w:rFonts w:hint="eastAsia" w:ascii="仿宋_GB2312" w:hAnsi="Calibri" w:eastAsia="仿宋_GB2312"/>
          <w:sz w:val="32"/>
          <w:szCs w:val="32"/>
        </w:rPr>
        <w:t>依法独立从事人道主义的社会救助团体。开展备灾.救灾工作，开展救护培训.组织群众参加现场救护等工作。</w:t>
      </w:r>
    </w:p>
    <w:p w14:paraId="2F178BA8">
      <w:pPr>
        <w:widowControl/>
        <w:wordWrap w:val="0"/>
        <w:spacing w:line="640" w:lineRule="atLeast"/>
        <w:ind w:firstLine="640" w:firstLineChars="200"/>
        <w:jc w:val="left"/>
        <w:rPr>
          <w:rFonts w:ascii="仿宋_GB2312" w:hAnsi="Calibri" w:eastAsia="仿宋_GB2312"/>
          <w:sz w:val="32"/>
          <w:szCs w:val="32"/>
        </w:rPr>
      </w:pPr>
      <w:r>
        <w:rPr>
          <w:rFonts w:ascii="仿宋" w:hAnsi="仿宋" w:eastAsia="仿宋" w:cs="仿宋_GB2312"/>
          <w:sz w:val="32"/>
          <w:szCs w:val="32"/>
        </w:rPr>
        <w:t>（三）</w:t>
      </w:r>
      <w:r>
        <w:rPr>
          <w:rFonts w:ascii="仿宋_GB2312" w:hAnsi="仿宋_GB2312" w:eastAsia="仿宋_GB2312" w:cs="仿宋_GB2312"/>
          <w:color w:val="000000"/>
          <w:sz w:val="32"/>
          <w:szCs w:val="32"/>
        </w:rPr>
        <w:t>人员概况</w:t>
      </w:r>
      <w:r>
        <w:rPr>
          <w:rFonts w:ascii="仿宋" w:hAnsi="仿宋" w:eastAsia="仿宋" w:cs="仿宋_GB2312"/>
          <w:sz w:val="32"/>
          <w:szCs w:val="32"/>
        </w:rPr>
        <w:t>。</w:t>
      </w:r>
      <w:r>
        <w:rPr>
          <w:rFonts w:hint="eastAsia" w:ascii="仿宋_GB2312" w:hAnsi="Calibri" w:eastAsia="仿宋_GB2312"/>
          <w:sz w:val="32"/>
          <w:szCs w:val="32"/>
        </w:rPr>
        <w:t>我会现有在职退休人员情况：在职职工6人（其中科级领导干部2人，参公人员4人）。</w:t>
      </w:r>
    </w:p>
    <w:p w14:paraId="1B11525E">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5781B04B">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w:t>
      </w:r>
      <w:r>
        <w:rPr>
          <w:rFonts w:ascii="仿宋_GB2312" w:hAnsi="仿宋_GB2312" w:eastAsia="仿宋_GB2312" w:cs="仿宋_GB2312"/>
          <w:color w:val="000000"/>
          <w:sz w:val="32"/>
          <w:szCs w:val="32"/>
        </w:rPr>
        <w:t>部门财政资金收入情况</w:t>
      </w:r>
      <w:r>
        <w:rPr>
          <w:rFonts w:ascii="仿宋" w:hAnsi="仿宋" w:eastAsia="仿宋" w:cs="仿宋_GB2312"/>
          <w:sz w:val="32"/>
          <w:szCs w:val="32"/>
        </w:rPr>
        <w:t>。</w:t>
      </w:r>
      <w:r>
        <w:rPr>
          <w:rFonts w:hint="eastAsia" w:ascii="仿宋_GB2312" w:hAnsi="Calibri" w:eastAsia="仿宋_GB2312"/>
          <w:sz w:val="32"/>
          <w:szCs w:val="32"/>
        </w:rPr>
        <w:t>2020年本年收入合计104.96万元，其中：一般公共预算财政拨款收入104.96万元，占100%。</w:t>
      </w:r>
    </w:p>
    <w:p w14:paraId="53B5DA10">
      <w:pPr>
        <w:spacing w:line="580" w:lineRule="exact"/>
        <w:ind w:firstLine="480" w:firstLineChars="150"/>
        <w:rPr>
          <w:rFonts w:ascii="仿宋_GB2312" w:hAnsi="Calibri" w:eastAsia="仿宋_GB2312"/>
          <w:sz w:val="32"/>
          <w:szCs w:val="32"/>
        </w:rPr>
      </w:pPr>
      <w:r>
        <w:rPr>
          <w:rFonts w:ascii="仿宋" w:hAnsi="仿宋" w:eastAsia="仿宋" w:cs="仿宋_GB2312"/>
          <w:sz w:val="32"/>
          <w:szCs w:val="32"/>
        </w:rPr>
        <w:t>（二）</w:t>
      </w:r>
      <w:r>
        <w:rPr>
          <w:rFonts w:ascii="仿宋_GB2312" w:hAnsi="仿宋_GB2312" w:eastAsia="仿宋_GB2312" w:cs="仿宋_GB2312"/>
          <w:color w:val="000000"/>
          <w:sz w:val="32"/>
          <w:szCs w:val="32"/>
        </w:rPr>
        <w:t>部门财政资金支出情况</w:t>
      </w:r>
      <w:r>
        <w:rPr>
          <w:rFonts w:ascii="仿宋" w:hAnsi="仿宋" w:eastAsia="仿宋" w:cs="仿宋_GB2312"/>
          <w:sz w:val="32"/>
          <w:szCs w:val="32"/>
        </w:rPr>
        <w:t>。</w:t>
      </w:r>
      <w:r>
        <w:rPr>
          <w:rFonts w:ascii="仿宋_GB2312" w:hAnsi="Calibri" w:eastAsia="仿宋_GB2312"/>
          <w:sz w:val="32"/>
          <w:szCs w:val="32"/>
        </w:rPr>
        <w:t>20</w:t>
      </w:r>
      <w:r>
        <w:rPr>
          <w:rFonts w:hint="eastAsia" w:ascii="仿宋_GB2312" w:hAnsi="Calibri" w:eastAsia="仿宋_GB2312"/>
          <w:sz w:val="32"/>
          <w:szCs w:val="32"/>
        </w:rPr>
        <w:t>20年一般公共预算财政拨款支出90.03万元，主要用于以下方面</w:t>
      </w:r>
      <w:r>
        <w:rPr>
          <w:rFonts w:ascii="仿宋_GB2312" w:hAnsi="Calibri" w:eastAsia="仿宋_GB2312"/>
          <w:sz w:val="32"/>
          <w:szCs w:val="32"/>
        </w:rPr>
        <w:t>:</w:t>
      </w:r>
      <w:r>
        <w:rPr>
          <w:rFonts w:hint="eastAsia" w:ascii="仿宋_GB2312" w:hAnsi="Calibri" w:eastAsia="仿宋_GB2312"/>
          <w:sz w:val="32"/>
          <w:szCs w:val="32"/>
        </w:rPr>
        <w:t>社会保障和就业支出77.3万元，占86</w:t>
      </w:r>
      <w:r>
        <w:rPr>
          <w:rFonts w:ascii="仿宋_GB2312" w:hAnsi="Calibri" w:eastAsia="仿宋_GB2312"/>
          <w:sz w:val="32"/>
          <w:szCs w:val="32"/>
        </w:rPr>
        <w:t>%</w:t>
      </w:r>
      <w:r>
        <w:rPr>
          <w:rFonts w:hint="eastAsia" w:ascii="仿宋_GB2312" w:hAnsi="Calibri" w:eastAsia="仿宋_GB2312"/>
          <w:sz w:val="32"/>
          <w:szCs w:val="32"/>
        </w:rPr>
        <w:t>；医疗卫生支出5.27万元，占6</w:t>
      </w:r>
      <w:r>
        <w:rPr>
          <w:rFonts w:ascii="仿宋_GB2312" w:hAnsi="Calibri" w:eastAsia="仿宋_GB2312"/>
          <w:sz w:val="32"/>
          <w:szCs w:val="32"/>
        </w:rPr>
        <w:t>%</w:t>
      </w:r>
      <w:r>
        <w:rPr>
          <w:rFonts w:hint="eastAsia" w:ascii="仿宋_GB2312" w:hAnsi="Calibri" w:eastAsia="仿宋_GB2312"/>
          <w:sz w:val="32"/>
          <w:szCs w:val="32"/>
        </w:rPr>
        <w:t>；住房保障支出7.46万元，占8</w:t>
      </w:r>
      <w:r>
        <w:rPr>
          <w:rFonts w:ascii="仿宋_GB2312" w:hAnsi="Calibri" w:eastAsia="仿宋_GB2312"/>
          <w:sz w:val="32"/>
          <w:szCs w:val="32"/>
        </w:rPr>
        <w:t>%</w:t>
      </w:r>
      <w:r>
        <w:rPr>
          <w:rFonts w:hint="eastAsia" w:ascii="仿宋_GB2312" w:hAnsi="Calibri" w:eastAsia="仿宋_GB2312"/>
          <w:sz w:val="32"/>
          <w:szCs w:val="32"/>
        </w:rPr>
        <w:t>。</w:t>
      </w:r>
    </w:p>
    <w:p w14:paraId="10EFF958">
      <w:pPr>
        <w:spacing w:line="580" w:lineRule="exact"/>
        <w:ind w:firstLine="480" w:firstLineChars="150"/>
        <w:rPr>
          <w:rFonts w:ascii="仿宋_GB2312" w:hAnsi="Calibri" w:eastAsia="仿宋_GB2312"/>
          <w:sz w:val="32"/>
          <w:szCs w:val="32"/>
        </w:rPr>
      </w:pPr>
    </w:p>
    <w:p w14:paraId="6B0B4754">
      <w:pPr>
        <w:pStyle w:val="18"/>
        <w:shd w:val="clear" w:color="auto" w:fill="FFFFFF"/>
        <w:ind w:firstLine="628"/>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14:paraId="005D9583">
      <w:pPr>
        <w:pStyle w:val="18"/>
        <w:shd w:val="clear" w:color="auto" w:fill="FFFFFF"/>
        <w:ind w:firstLine="628"/>
        <w:rPr>
          <w:rFonts w:ascii="黑体" w:hAnsi="黑体" w:eastAsia="黑体" w:cs="黑体"/>
          <w:sz w:val="32"/>
          <w:szCs w:val="32"/>
        </w:rPr>
      </w:pPr>
      <w:r>
        <w:rPr>
          <w:rFonts w:ascii="仿宋" w:hAnsi="仿宋" w:eastAsia="仿宋" w:cs="仿宋_GB2312"/>
          <w:sz w:val="32"/>
          <w:szCs w:val="32"/>
        </w:rPr>
        <w:t>（一）</w:t>
      </w:r>
      <w:r>
        <w:rPr>
          <w:rFonts w:ascii="仿宋_GB2312" w:hAnsi="宋体" w:eastAsia="仿宋_GB2312" w:cs="仿宋_GB2312"/>
          <w:color w:val="000000"/>
          <w:sz w:val="32"/>
          <w:szCs w:val="32"/>
          <w:shd w:val="clear" w:color="auto" w:fill="FFFFFF"/>
        </w:rPr>
        <w:t>部门预算管理</w:t>
      </w:r>
      <w:r>
        <w:rPr>
          <w:rFonts w:ascii="仿宋" w:hAnsi="仿宋" w:eastAsia="仿宋" w:cs="仿宋_GB2312"/>
          <w:sz w:val="32"/>
          <w:szCs w:val="32"/>
        </w:rPr>
        <w:t>。</w:t>
      </w:r>
    </w:p>
    <w:p w14:paraId="492BADFD">
      <w:pPr>
        <w:pStyle w:val="18"/>
        <w:shd w:val="clear" w:color="auto" w:fill="FFFFFF"/>
        <w:ind w:firstLine="628"/>
        <w:rPr>
          <w:rFonts w:ascii="仿宋_GB2312" w:eastAsia="仿宋_GB2312"/>
          <w:sz w:val="32"/>
          <w:szCs w:val="32"/>
        </w:rPr>
      </w:pPr>
      <w:r>
        <w:rPr>
          <w:rFonts w:hint="eastAsia" w:ascii="仿宋_GB2312" w:eastAsia="仿宋_GB2312"/>
          <w:sz w:val="32"/>
          <w:szCs w:val="32"/>
        </w:rPr>
        <w:t>1.“三公”经费控制率100%。“三公”经费预算本年列支0万元，经费支出未超标。</w:t>
      </w:r>
    </w:p>
    <w:p w14:paraId="6DDD565A">
      <w:pPr>
        <w:pStyle w:val="18"/>
        <w:shd w:val="clear" w:color="auto" w:fill="FFFFFF"/>
        <w:ind w:firstLine="628"/>
        <w:rPr>
          <w:rFonts w:ascii="仿宋_GB2312" w:eastAsia="仿宋_GB2312"/>
          <w:sz w:val="32"/>
          <w:szCs w:val="32"/>
        </w:rPr>
      </w:pPr>
      <w:r>
        <w:rPr>
          <w:rFonts w:hint="eastAsia" w:ascii="仿宋_GB2312" w:eastAsia="仿宋_GB2312"/>
          <w:sz w:val="32"/>
          <w:szCs w:val="32"/>
        </w:rPr>
        <w:t>2.管理制度进一步健全。2020年我单位制定了财务管理制度和会计核算等管理制度，明确了财务职责，制定了厉行节约制度，管理制度依照有关国家法律法规而制定的，具有合法性、合规性、完整性、同时相关制度得到认真执行。</w:t>
      </w:r>
    </w:p>
    <w:p w14:paraId="089E4C82">
      <w:pPr>
        <w:pStyle w:val="18"/>
        <w:shd w:val="clear" w:color="auto" w:fill="FFFFFF"/>
        <w:ind w:firstLine="628"/>
        <w:rPr>
          <w:rFonts w:ascii="Times New Roman" w:hAnsi="Times New Roman"/>
          <w:color w:val="333333"/>
          <w:sz w:val="21"/>
          <w:szCs w:val="21"/>
        </w:rPr>
      </w:pPr>
      <w:r>
        <w:rPr>
          <w:rFonts w:hint="eastAsia" w:ascii="仿宋_GB2312" w:eastAsia="仿宋_GB2312"/>
          <w:sz w:val="32"/>
          <w:szCs w:val="32"/>
        </w:rPr>
        <w:t>3.资金使用合规性。一切支出按照国家财经法规和财务管理制度规定及专项资金管理办法的规定办理。财务人员认</w:t>
      </w:r>
      <w:r>
        <w:rPr>
          <w:rFonts w:hint="eastAsia" w:ascii="仿宋_GB2312" w:hAnsi="Times New Roman" w:eastAsia="仿宋_GB2312"/>
          <w:color w:val="000000"/>
          <w:sz w:val="32"/>
          <w:szCs w:val="32"/>
        </w:rPr>
        <w:t>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14:paraId="59E2D457">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4.预算信息公开性。按照规定的内容、时间公开预算信息，做到基础数据信息和会计资金真实、完整、准确。</w:t>
      </w:r>
    </w:p>
    <w:p w14:paraId="14C7E97F">
      <w:pPr>
        <w:widowControl/>
        <w:adjustRightInd w:val="0"/>
        <w:snapToGrid w:val="0"/>
        <w:spacing w:line="480" w:lineRule="exact"/>
        <w:ind w:firstLine="720"/>
        <w:jc w:val="left"/>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（二）执行管理情况。</w:t>
      </w:r>
      <w:r>
        <w:rPr>
          <w:rFonts w:hint="eastAsia" w:ascii="仿宋_GB2312" w:hAnsi="宋体" w:eastAsia="仿宋_GB2312" w:cs="仿宋_GB2312"/>
          <w:color w:val="000000"/>
          <w:sz w:val="32"/>
          <w:szCs w:val="32"/>
          <w:shd w:val="clear" w:color="auto" w:fill="FFFFFF"/>
        </w:rPr>
        <w:tab/>
      </w:r>
    </w:p>
    <w:p w14:paraId="6B0BAE39">
      <w:pPr>
        <w:widowControl/>
        <w:adjustRightInd w:val="0"/>
        <w:snapToGrid w:val="0"/>
        <w:spacing w:line="480" w:lineRule="exact"/>
        <w:ind w:firstLine="720"/>
        <w:jc w:val="left"/>
        <w:rPr>
          <w:rFonts w:eastAsia="仿宋_GB2312"/>
          <w:color w:val="000000"/>
          <w:szCs w:val="21"/>
        </w:rPr>
      </w:pPr>
      <w:r>
        <w:rPr>
          <w:rFonts w:hint="eastAsia" w:ascii="仿宋_GB2312" w:hAnsi="宋体" w:eastAsia="仿宋_GB2312" w:cs="仿宋_GB2312"/>
          <w:color w:val="000000"/>
          <w:sz w:val="32"/>
          <w:szCs w:val="32"/>
          <w:shd w:val="clear" w:color="auto" w:fill="FFFFFF"/>
        </w:rPr>
        <w:t>我单位格执行中央八项规定厉行节约规范使用预算资金。收入上，严格执行</w:t>
      </w:r>
      <w:r>
        <w:rPr>
          <w:rFonts w:hint="eastAsia" w:ascii="宋体" w:hAnsi="宋体" w:cs="宋体"/>
          <w:color w:val="000000"/>
          <w:sz w:val="32"/>
          <w:szCs w:val="32"/>
          <w:shd w:val="clear" w:color="auto" w:fill="FFFFFF"/>
        </w:rPr>
        <w:t xml:space="preserve"> </w:t>
      </w:r>
      <w:r>
        <w:rPr>
          <w:rFonts w:hint="eastAsia" w:ascii="仿宋_GB2312" w:hAnsi="宋体" w:eastAsia="仿宋_GB2312" w:cs="仿宋_GB2312"/>
          <w:color w:val="000000"/>
          <w:sz w:val="32"/>
          <w:szCs w:val="32"/>
          <w:shd w:val="clear" w:color="auto" w:fill="FFFFFF"/>
        </w:rPr>
        <w:t>"收支两条线"管理制度，无隐瞒收入和其他违反国家收费管理规定的行</w:t>
      </w:r>
      <w:r>
        <w:rPr>
          <w:rFonts w:hint="eastAsia" w:ascii="仿宋_GB2312" w:eastAsia="仿宋_GB2312" w:cs="仿宋_GB2312"/>
          <w:color w:val="000000"/>
          <w:sz w:val="32"/>
          <w:szCs w:val="32"/>
          <w:shd w:val="clear" w:color="auto" w:fill="FFFFFF"/>
        </w:rPr>
        <w:t>为。在支出管理中,</w:t>
      </w:r>
      <w:r>
        <w:rPr>
          <w:rFonts w:eastAsia="仿宋_GB2312"/>
          <w:color w:val="000000"/>
          <w:sz w:val="32"/>
          <w:szCs w:val="32"/>
          <w:shd w:val="clear" w:color="auto" w:fill="FFFFFF"/>
        </w:rPr>
        <w:t xml:space="preserve"> </w:t>
      </w:r>
      <w:r>
        <w:rPr>
          <w:rFonts w:hint="eastAsia" w:ascii="仿宋_GB2312" w:eastAsia="仿宋_GB2312" w:cs="仿宋_GB2312"/>
          <w:color w:val="000000"/>
          <w:sz w:val="32"/>
          <w:szCs w:val="32"/>
          <w:shd w:val="clear" w:color="auto" w:fill="FFFFFF"/>
        </w:rPr>
        <w:t>认真执行国库集中支付、政府采购、公务卡报销、重点工作和大额支付上会集体决策等相关财务管理制度。认真做好每月与银行、财政国库科的对账工作，加强动态监控，保障机关各项工作顺利开展。</w:t>
      </w:r>
    </w:p>
    <w:p w14:paraId="06556053">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w:t>
      </w:r>
      <w:r>
        <w:rPr>
          <w:rFonts w:ascii="仿宋_GB2312" w:hAnsi="宋体" w:eastAsia="仿宋_GB2312" w:cs="仿宋_GB2312"/>
          <w:color w:val="000000"/>
          <w:sz w:val="32"/>
          <w:szCs w:val="32"/>
          <w:shd w:val="clear" w:color="auto" w:fill="FFFFFF"/>
        </w:rPr>
        <w:t>结果应用情况</w:t>
      </w:r>
      <w:r>
        <w:rPr>
          <w:rFonts w:ascii="仿宋" w:hAnsi="仿宋" w:eastAsia="仿宋" w:cs="仿宋_GB2312"/>
          <w:sz w:val="32"/>
          <w:szCs w:val="32"/>
        </w:rPr>
        <w:t>。</w:t>
      </w:r>
    </w:p>
    <w:p w14:paraId="7B834D52">
      <w:pPr>
        <w:spacing w:line="58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我会按要求对2020年部门整体支出绩效评价情况开展自评，从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r>
        <w:rPr>
          <w:rFonts w:ascii="黑体" w:hAnsi="黑体" w:eastAsia="黑体" w:cs="黑体"/>
          <w:sz w:val="32"/>
          <w:szCs w:val="32"/>
        </w:rPr>
        <w:t>四、评价结论及建议</w:t>
      </w:r>
    </w:p>
    <w:p w14:paraId="6F0488AD">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w:t>
      </w:r>
      <w:r>
        <w:rPr>
          <w:rFonts w:ascii="仿宋_GB2312" w:eastAsia="仿宋_GB2312"/>
          <w:color w:val="333333"/>
          <w:kern w:val="0"/>
          <w:sz w:val="32"/>
          <w:szCs w:val="32"/>
        </w:rPr>
        <w:t>评价结论</w:t>
      </w:r>
      <w:r>
        <w:rPr>
          <w:rFonts w:ascii="仿宋" w:hAnsi="仿宋" w:eastAsia="仿宋" w:cs="仿宋_GB2312"/>
          <w:sz w:val="32"/>
          <w:szCs w:val="32"/>
        </w:rPr>
        <w:t>。</w:t>
      </w:r>
      <w:r>
        <w:rPr>
          <w:rFonts w:hint="eastAsia" w:ascii="仿宋_GB2312" w:hAnsi="仿宋_GB2312" w:eastAsia="仿宋_GB2312" w:cs="仿宋_GB2312"/>
          <w:sz w:val="32"/>
          <w:szCs w:val="32"/>
        </w:rPr>
        <w:t>我会按要求对2020年部门整体支出绩效评价情况开展自评，自评结论为优秀。</w:t>
      </w:r>
    </w:p>
    <w:p w14:paraId="018F51BD">
      <w:pPr>
        <w:ind w:firstLine="640" w:firstLineChars="200"/>
        <w:rPr>
          <w:rFonts w:ascii="仿宋_GB2312" w:hAnsi="仿宋_GB2312" w:eastAsia="仿宋_GB2312" w:cs="仿宋_GB2312"/>
          <w:sz w:val="32"/>
          <w:szCs w:val="32"/>
        </w:rPr>
      </w:pPr>
      <w:r>
        <w:rPr>
          <w:rFonts w:ascii="仿宋" w:hAnsi="仿宋" w:eastAsia="仿宋" w:cs="仿宋_GB2312"/>
          <w:sz w:val="32"/>
          <w:szCs w:val="32"/>
        </w:rPr>
        <w:t>（二）</w:t>
      </w:r>
      <w:r>
        <w:rPr>
          <w:rFonts w:ascii="仿宋_GB2312" w:eastAsia="仿宋_GB2312"/>
          <w:color w:val="333333"/>
          <w:kern w:val="0"/>
          <w:sz w:val="32"/>
          <w:szCs w:val="32"/>
        </w:rPr>
        <w:t>存在问题</w:t>
      </w:r>
      <w:r>
        <w:rPr>
          <w:rFonts w:ascii="仿宋" w:hAnsi="仿宋" w:eastAsia="仿宋" w:cs="仿宋_GB2312"/>
          <w:sz w:val="32"/>
          <w:szCs w:val="32"/>
        </w:rPr>
        <w:t>。</w:t>
      </w:r>
      <w:r>
        <w:rPr>
          <w:rFonts w:hint="eastAsia" w:ascii="仿宋_GB2312" w:hAnsi="仿宋_GB2312" w:eastAsia="仿宋_GB2312" w:cs="仿宋_GB2312"/>
          <w:sz w:val="32"/>
          <w:szCs w:val="32"/>
        </w:rPr>
        <w:t>一是机关运行经费所占比例太少，对争取项目处于被动。二是因为机关人员少，对财务监督管理力度不够。三是因为机关人员少，没有单独的财务人员，制度执行力有待加强</w:t>
      </w:r>
      <w:r>
        <w:rPr>
          <w:rFonts w:hint="eastAsia" w:ascii="仿宋_GB2312" w:hAnsi="仿宋_GB2312" w:eastAsia="仿宋_GB2312" w:cs="仿宋_GB2312"/>
          <w:color w:val="000000"/>
          <w:kern w:val="0"/>
          <w:sz w:val="24"/>
        </w:rPr>
        <w:t>。</w:t>
      </w:r>
    </w:p>
    <w:p w14:paraId="26EE6904">
      <w:pPr>
        <w:ind w:firstLine="640" w:firstLineChars="200"/>
        <w:rPr>
          <w:rFonts w:ascii="仿宋_GB2312" w:hAnsi="仿宋_GB2312" w:eastAsia="仿宋_GB2312" w:cs="仿宋_GB2312"/>
          <w:sz w:val="32"/>
          <w:szCs w:val="32"/>
        </w:rPr>
      </w:pPr>
      <w:r>
        <w:rPr>
          <w:rFonts w:ascii="仿宋" w:hAnsi="仿宋" w:eastAsia="仿宋" w:cs="仿宋_GB2312"/>
          <w:sz w:val="32"/>
          <w:szCs w:val="32"/>
        </w:rPr>
        <w:t>（三）</w:t>
      </w:r>
      <w:r>
        <w:rPr>
          <w:rFonts w:ascii="仿宋_GB2312" w:eastAsia="仿宋_GB2312"/>
          <w:color w:val="333333"/>
          <w:kern w:val="0"/>
          <w:sz w:val="32"/>
          <w:szCs w:val="32"/>
        </w:rPr>
        <w:t>改进建议</w:t>
      </w:r>
      <w:r>
        <w:rPr>
          <w:rFonts w:ascii="仿宋" w:hAnsi="仿宋" w:eastAsia="仿宋" w:cs="仿宋_GB2312"/>
          <w:sz w:val="32"/>
          <w:szCs w:val="32"/>
        </w:rPr>
        <w:t>。</w:t>
      </w:r>
      <w:r>
        <w:rPr>
          <w:rFonts w:hint="eastAsia" w:ascii="仿宋_GB2312" w:hAnsi="仿宋_GB2312" w:eastAsia="仿宋_GB2312" w:cs="仿宋_GB2312"/>
          <w:sz w:val="32"/>
          <w:szCs w:val="32"/>
        </w:rPr>
        <w:t>一是将财务制度落实到位，规范财经纪律，严格控制非生产性开；二是加强对财务监管力度，多组织财务业务培训学习。</w:t>
      </w:r>
    </w:p>
    <w:p w14:paraId="3F98F966">
      <w:pPr>
        <w:spacing w:line="580" w:lineRule="exact"/>
        <w:ind w:firstLine="640" w:firstLineChars="200"/>
        <w:rPr>
          <w:rFonts w:ascii="仿宋" w:hAnsi="仿宋" w:eastAsia="仿宋" w:cs="仿宋_GB2312"/>
          <w:sz w:val="32"/>
          <w:szCs w:val="32"/>
        </w:rPr>
      </w:pPr>
    </w:p>
    <w:p w14:paraId="21625AF9">
      <w:pPr>
        <w:spacing w:line="580" w:lineRule="exact"/>
        <w:ind w:firstLine="640" w:firstLineChars="200"/>
        <w:rPr>
          <w:rFonts w:ascii="仿宋_GB2312" w:hAnsi="仿宋_GB2312" w:eastAsia="仿宋_GB2312" w:cs="仿宋_GB2312"/>
          <w:sz w:val="32"/>
          <w:szCs w:val="32"/>
        </w:rPr>
      </w:pPr>
    </w:p>
    <w:p w14:paraId="511B8DDD">
      <w:pPr>
        <w:spacing w:line="600" w:lineRule="exact"/>
        <w:outlineLvl w:val="0"/>
        <w:rPr>
          <w:rFonts w:ascii="黑体" w:hAnsi="黑体" w:eastAsia="黑体"/>
          <w:color w:val="000000"/>
          <w:sz w:val="44"/>
          <w:szCs w:val="44"/>
        </w:rPr>
      </w:pPr>
      <w:bookmarkStart w:id="113" w:name="_Toc15396618"/>
      <w:bookmarkStart w:id="114" w:name="_Toc79163635"/>
      <w:bookmarkStart w:id="115" w:name="_Toc79163885"/>
    </w:p>
    <w:p w14:paraId="44D60C1F">
      <w:pPr>
        <w:spacing w:line="600" w:lineRule="exact"/>
        <w:outlineLvl w:val="0"/>
        <w:rPr>
          <w:rFonts w:ascii="黑体" w:hAnsi="黑体" w:eastAsia="黑体"/>
          <w:color w:val="000000"/>
          <w:sz w:val="44"/>
          <w:szCs w:val="44"/>
        </w:rPr>
      </w:pPr>
    </w:p>
    <w:p w14:paraId="35D6EFCE">
      <w:pPr>
        <w:spacing w:line="600" w:lineRule="exact"/>
        <w:ind w:firstLine="1540" w:firstLineChars="350"/>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   附表</w:t>
      </w:r>
      <w:bookmarkEnd w:id="109"/>
      <w:bookmarkEnd w:id="113"/>
      <w:bookmarkEnd w:id="114"/>
      <w:bookmarkEnd w:id="115"/>
    </w:p>
    <w:p w14:paraId="332F05F7">
      <w:pPr>
        <w:pStyle w:val="3"/>
        <w:rPr>
          <w:rFonts w:ascii="仿宋" w:hAnsi="仿宋" w:eastAsia="仿宋"/>
          <w:color w:val="000000"/>
        </w:rPr>
      </w:pPr>
      <w:bookmarkStart w:id="116" w:name="_Toc15396619"/>
      <w:bookmarkStart w:id="117" w:name="_Toc79163636"/>
      <w:bookmarkStart w:id="118"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16"/>
      <w:bookmarkEnd w:id="117"/>
      <w:bookmarkEnd w:id="118"/>
    </w:p>
    <w:p w14:paraId="6C577E58">
      <w:pPr>
        <w:pStyle w:val="3"/>
        <w:rPr>
          <w:rFonts w:ascii="仿宋" w:hAnsi="仿宋" w:eastAsia="仿宋"/>
          <w:color w:val="000000"/>
        </w:rPr>
      </w:pPr>
      <w:bookmarkStart w:id="119" w:name="_Toc15396620"/>
      <w:bookmarkStart w:id="120" w:name="_Toc79163637"/>
      <w:bookmarkStart w:id="121"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19"/>
      <w:bookmarkEnd w:id="120"/>
      <w:bookmarkEnd w:id="121"/>
    </w:p>
    <w:p w14:paraId="3B7817B6">
      <w:pPr>
        <w:pStyle w:val="3"/>
        <w:rPr>
          <w:rFonts w:ascii="仿宋" w:hAnsi="仿宋" w:eastAsia="仿宋"/>
          <w:color w:val="000000"/>
        </w:rPr>
      </w:pPr>
      <w:bookmarkStart w:id="122" w:name="_Toc15396621"/>
      <w:bookmarkStart w:id="123" w:name="_Toc79163888"/>
      <w:bookmarkStart w:id="124" w:name="_Toc7916363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2"/>
      <w:bookmarkEnd w:id="123"/>
      <w:bookmarkEnd w:id="124"/>
    </w:p>
    <w:p w14:paraId="78FC2F51">
      <w:pPr>
        <w:pStyle w:val="3"/>
        <w:rPr>
          <w:rFonts w:ascii="仿宋" w:hAnsi="仿宋" w:eastAsia="仿宋"/>
          <w:b w:val="0"/>
          <w:color w:val="000000"/>
        </w:rPr>
      </w:pPr>
      <w:bookmarkStart w:id="125" w:name="_Toc15396622"/>
      <w:bookmarkStart w:id="126" w:name="_Toc79163639"/>
      <w:bookmarkStart w:id="127"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5"/>
      <w:bookmarkEnd w:id="126"/>
      <w:bookmarkEnd w:id="127"/>
    </w:p>
    <w:p w14:paraId="21E10614">
      <w:pPr>
        <w:pStyle w:val="3"/>
        <w:rPr>
          <w:rStyle w:val="24"/>
          <w:rFonts w:ascii="仿宋" w:hAnsi="仿宋" w:eastAsia="仿宋"/>
          <w:b w:val="0"/>
          <w:bCs w:val="0"/>
        </w:rPr>
      </w:pPr>
      <w:bookmarkStart w:id="128" w:name="_Toc79163640"/>
      <w:bookmarkStart w:id="129" w:name="_Toc15396623"/>
      <w:bookmarkStart w:id="130"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28"/>
      <w:bookmarkEnd w:id="129"/>
      <w:bookmarkEnd w:id="130"/>
      <w:bookmarkStart w:id="131" w:name="_Toc15396624"/>
    </w:p>
    <w:p w14:paraId="0F693324">
      <w:pPr>
        <w:pStyle w:val="3"/>
        <w:rPr>
          <w:rFonts w:ascii="仿宋" w:hAnsi="仿宋" w:eastAsia="仿宋"/>
          <w:color w:val="000000"/>
        </w:rPr>
      </w:pPr>
      <w:bookmarkStart w:id="132" w:name="_Toc79163891"/>
      <w:bookmarkStart w:id="133"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1"/>
      <w:bookmarkEnd w:id="132"/>
      <w:bookmarkEnd w:id="133"/>
    </w:p>
    <w:p w14:paraId="72DE94FB">
      <w:pPr>
        <w:pStyle w:val="3"/>
        <w:rPr>
          <w:rFonts w:ascii="仿宋" w:hAnsi="仿宋" w:eastAsia="仿宋"/>
          <w:color w:val="000000"/>
        </w:rPr>
      </w:pPr>
      <w:bookmarkStart w:id="134" w:name="_Toc79163642"/>
      <w:bookmarkStart w:id="135" w:name="_Toc15396625"/>
      <w:bookmarkStart w:id="136"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4"/>
      <w:bookmarkEnd w:id="135"/>
      <w:bookmarkEnd w:id="136"/>
    </w:p>
    <w:p w14:paraId="116117B5">
      <w:pPr>
        <w:pStyle w:val="3"/>
        <w:rPr>
          <w:rFonts w:ascii="仿宋" w:hAnsi="仿宋" w:eastAsia="仿宋"/>
          <w:color w:val="000000"/>
        </w:rPr>
      </w:pPr>
      <w:bookmarkStart w:id="137" w:name="_Toc15396626"/>
      <w:bookmarkStart w:id="138" w:name="_Toc79163643"/>
      <w:bookmarkStart w:id="139"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7"/>
      <w:bookmarkEnd w:id="138"/>
      <w:bookmarkEnd w:id="139"/>
    </w:p>
    <w:p w14:paraId="34572F1A">
      <w:pPr>
        <w:pStyle w:val="3"/>
        <w:rPr>
          <w:rFonts w:ascii="仿宋" w:hAnsi="仿宋" w:eastAsia="仿宋"/>
          <w:color w:val="000000"/>
        </w:rPr>
      </w:pPr>
      <w:bookmarkStart w:id="140" w:name="_Toc79163644"/>
      <w:bookmarkStart w:id="141" w:name="_Toc15396627"/>
      <w:bookmarkStart w:id="142"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0"/>
      <w:bookmarkEnd w:id="141"/>
      <w:bookmarkEnd w:id="142"/>
    </w:p>
    <w:p w14:paraId="39C22085">
      <w:pPr>
        <w:pStyle w:val="3"/>
        <w:rPr>
          <w:rFonts w:ascii="仿宋" w:hAnsi="仿宋" w:eastAsia="仿宋"/>
          <w:color w:val="000000"/>
        </w:rPr>
      </w:pPr>
      <w:bookmarkStart w:id="143" w:name="_Toc79163645"/>
      <w:bookmarkStart w:id="144" w:name="_Toc15396628"/>
      <w:bookmarkStart w:id="145"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3"/>
      <w:bookmarkEnd w:id="144"/>
      <w:bookmarkEnd w:id="145"/>
    </w:p>
    <w:p w14:paraId="2C72B13D">
      <w:pPr>
        <w:pStyle w:val="3"/>
        <w:rPr>
          <w:rFonts w:ascii="仿宋" w:hAnsi="仿宋" w:eastAsia="仿宋"/>
          <w:color w:val="000000"/>
        </w:rPr>
      </w:pPr>
      <w:bookmarkStart w:id="146" w:name="_Toc79163896"/>
      <w:bookmarkStart w:id="147" w:name="_Toc15396629"/>
      <w:bookmarkStart w:id="148" w:name="_Toc7916364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6"/>
      <w:bookmarkEnd w:id="147"/>
      <w:bookmarkEnd w:id="148"/>
    </w:p>
    <w:p w14:paraId="2239D0BB">
      <w:pPr>
        <w:pStyle w:val="3"/>
        <w:rPr>
          <w:rFonts w:ascii="仿宋" w:hAnsi="仿宋" w:eastAsia="仿宋"/>
          <w:color w:val="000000"/>
        </w:rPr>
      </w:pPr>
      <w:bookmarkStart w:id="149" w:name="_Toc79163647"/>
      <w:bookmarkStart w:id="150" w:name="_Toc15396630"/>
      <w:bookmarkStart w:id="151"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49"/>
      <w:bookmarkEnd w:id="150"/>
      <w:bookmarkEnd w:id="151"/>
    </w:p>
    <w:p w14:paraId="5E57CA47">
      <w:pPr>
        <w:pStyle w:val="3"/>
        <w:rPr>
          <w:rStyle w:val="24"/>
          <w:rFonts w:ascii="仿宋" w:hAnsi="仿宋" w:eastAsia="仿宋"/>
          <w:b w:val="0"/>
          <w:bCs w:val="0"/>
        </w:rPr>
      </w:pPr>
      <w:bookmarkStart w:id="152" w:name="_Toc15396631"/>
      <w:bookmarkStart w:id="153" w:name="_Toc79163648"/>
      <w:bookmarkStart w:id="154"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2"/>
      <w:bookmarkEnd w:id="153"/>
      <w:bookmarkEnd w:id="154"/>
    </w:p>
    <w:p w14:paraId="05339F44">
      <w:pPr>
        <w:pStyle w:val="3"/>
        <w:rPr>
          <w:rStyle w:val="24"/>
          <w:rFonts w:ascii="仿宋" w:hAnsi="仿宋" w:eastAsia="仿宋"/>
          <w:b w:val="0"/>
          <w:bCs w:val="0"/>
        </w:rPr>
      </w:pPr>
      <w:bookmarkStart w:id="155" w:name="_Toc79163899"/>
      <w:bookmarkStart w:id="156" w:name="_Toc79163649"/>
      <w:r>
        <w:rPr>
          <w:rStyle w:val="24"/>
          <w:rFonts w:hint="eastAsia" w:ascii="仿宋" w:hAnsi="仿宋" w:eastAsia="仿宋"/>
          <w:b w:val="0"/>
          <w:bCs w:val="0"/>
        </w:rPr>
        <w:t>十四、国有资本经营预算财政拨款支出决算表</w:t>
      </w:r>
      <w:bookmarkEnd w:id="155"/>
      <w:bookmarkEnd w:id="156"/>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Adobe 楷体 Std R">
    <w:altName w:val="宋体"/>
    <w:panose1 w:val="00000000000000000000"/>
    <w:charset w:val="00"/>
    <w:family w:val="auto"/>
    <w:pitch w:val="default"/>
    <w:sig w:usb0="00000000" w:usb1="00000000" w:usb2="00000000" w:usb3="00000000" w:csb0="00040001" w:csb1="00000000"/>
  </w:font>
  <w:font w:name="Adobe 宋体 Std L">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18754">
    <w:pPr>
      <w:pStyle w:val="11"/>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BC4AEBA">
                <w:pPr>
                  <w:pStyle w:val="11"/>
                  <w:jc w:val="center"/>
                </w:pPr>
                <w:r>
                  <w:fldChar w:fldCharType="begin"/>
                </w:r>
                <w:r>
                  <w:instrText xml:space="preserve">PAGE   \* MERGEFORMAT</w:instrText>
                </w:r>
                <w:r>
                  <w:fldChar w:fldCharType="separate"/>
                </w:r>
                <w:r>
                  <w:rPr>
                    <w:lang w:val="zh-CN"/>
                  </w:rPr>
                  <w:t>4</w:t>
                </w:r>
                <w:r>
                  <w:rPr>
                    <w:lang w:val="zh-CN"/>
                  </w:rPr>
                  <w:fldChar w:fldCharType="end"/>
                </w:r>
              </w:p>
            </w:txbxContent>
          </v:textbox>
        </v:shape>
      </w:pict>
    </w:r>
  </w:p>
  <w:p w14:paraId="39CA27E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7C1EE">
    <w:pPr>
      <w:pStyle w:val="11"/>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FFA4CB7">
                <w:pPr>
                  <w:pStyle w:val="11"/>
                </w:pPr>
                <w:r>
                  <w:fldChar w:fldCharType="begin"/>
                </w:r>
                <w:r>
                  <w:instrText xml:space="preserve"> PAGE  \* MERGEFORMAT </w:instrText>
                </w:r>
                <w:r>
                  <w:fldChar w:fldCharType="separate"/>
                </w:r>
                <w:r>
                  <w:t>10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A2E5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4785"/>
    <w:rsid w:val="00043867"/>
    <w:rsid w:val="000468DB"/>
    <w:rsid w:val="0006487A"/>
    <w:rsid w:val="00065F8F"/>
    <w:rsid w:val="00070A43"/>
    <w:rsid w:val="000768F2"/>
    <w:rsid w:val="0009184B"/>
    <w:rsid w:val="00094236"/>
    <w:rsid w:val="0009593C"/>
    <w:rsid w:val="00097322"/>
    <w:rsid w:val="000A6A92"/>
    <w:rsid w:val="000B047F"/>
    <w:rsid w:val="000B377E"/>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60A4"/>
    <w:rsid w:val="00157BAB"/>
    <w:rsid w:val="001654D1"/>
    <w:rsid w:val="00174518"/>
    <w:rsid w:val="001805A6"/>
    <w:rsid w:val="0018106D"/>
    <w:rsid w:val="001877A7"/>
    <w:rsid w:val="00191536"/>
    <w:rsid w:val="00196687"/>
    <w:rsid w:val="001C0962"/>
    <w:rsid w:val="001D7531"/>
    <w:rsid w:val="001E737D"/>
    <w:rsid w:val="001F0592"/>
    <w:rsid w:val="001F7506"/>
    <w:rsid w:val="002006CD"/>
    <w:rsid w:val="002008AA"/>
    <w:rsid w:val="00202B36"/>
    <w:rsid w:val="00204B7A"/>
    <w:rsid w:val="00204CDE"/>
    <w:rsid w:val="0021101A"/>
    <w:rsid w:val="00217C8E"/>
    <w:rsid w:val="00220536"/>
    <w:rsid w:val="00235629"/>
    <w:rsid w:val="00256262"/>
    <w:rsid w:val="00260C38"/>
    <w:rsid w:val="002616C0"/>
    <w:rsid w:val="00265372"/>
    <w:rsid w:val="002662AA"/>
    <w:rsid w:val="0027224D"/>
    <w:rsid w:val="00280496"/>
    <w:rsid w:val="00294DC9"/>
    <w:rsid w:val="00295495"/>
    <w:rsid w:val="002A31DE"/>
    <w:rsid w:val="002B18A5"/>
    <w:rsid w:val="002B2613"/>
    <w:rsid w:val="002D6D05"/>
    <w:rsid w:val="002E1212"/>
    <w:rsid w:val="002F1818"/>
    <w:rsid w:val="002F567B"/>
    <w:rsid w:val="003216A9"/>
    <w:rsid w:val="00335A74"/>
    <w:rsid w:val="0036561B"/>
    <w:rsid w:val="0037013F"/>
    <w:rsid w:val="00380C92"/>
    <w:rsid w:val="003900AE"/>
    <w:rsid w:val="00390699"/>
    <w:rsid w:val="003A484F"/>
    <w:rsid w:val="003A4883"/>
    <w:rsid w:val="003B0BE0"/>
    <w:rsid w:val="003B0C1B"/>
    <w:rsid w:val="003B688C"/>
    <w:rsid w:val="003C0291"/>
    <w:rsid w:val="003C39AE"/>
    <w:rsid w:val="003C516D"/>
    <w:rsid w:val="003C7B60"/>
    <w:rsid w:val="003D0C0F"/>
    <w:rsid w:val="003D1FB2"/>
    <w:rsid w:val="003D66DA"/>
    <w:rsid w:val="003E1310"/>
    <w:rsid w:val="003E6F55"/>
    <w:rsid w:val="003E6FE4"/>
    <w:rsid w:val="004012AB"/>
    <w:rsid w:val="00406254"/>
    <w:rsid w:val="004107A7"/>
    <w:rsid w:val="004223DE"/>
    <w:rsid w:val="00434489"/>
    <w:rsid w:val="00437085"/>
    <w:rsid w:val="00443880"/>
    <w:rsid w:val="00445607"/>
    <w:rsid w:val="004464F4"/>
    <w:rsid w:val="00471401"/>
    <w:rsid w:val="00473F31"/>
    <w:rsid w:val="0048263A"/>
    <w:rsid w:val="00487E5D"/>
    <w:rsid w:val="004A00CE"/>
    <w:rsid w:val="004A711F"/>
    <w:rsid w:val="004B199D"/>
    <w:rsid w:val="004B4690"/>
    <w:rsid w:val="004D5479"/>
    <w:rsid w:val="004E0A2D"/>
    <w:rsid w:val="004E206B"/>
    <w:rsid w:val="004E4216"/>
    <w:rsid w:val="004E6DF7"/>
    <w:rsid w:val="004F0FBD"/>
    <w:rsid w:val="004F50D6"/>
    <w:rsid w:val="004F7CEF"/>
    <w:rsid w:val="00505A47"/>
    <w:rsid w:val="00512FDA"/>
    <w:rsid w:val="00520DA0"/>
    <w:rsid w:val="00521132"/>
    <w:rsid w:val="005269A7"/>
    <w:rsid w:val="005269D7"/>
    <w:rsid w:val="005664BB"/>
    <w:rsid w:val="00566FFA"/>
    <w:rsid w:val="0057481D"/>
    <w:rsid w:val="0058486E"/>
    <w:rsid w:val="00585B33"/>
    <w:rsid w:val="0059014D"/>
    <w:rsid w:val="005A4081"/>
    <w:rsid w:val="005A5DAB"/>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4F1D"/>
    <w:rsid w:val="0066343B"/>
    <w:rsid w:val="00664777"/>
    <w:rsid w:val="006748A4"/>
    <w:rsid w:val="00681A31"/>
    <w:rsid w:val="00683E73"/>
    <w:rsid w:val="006A3141"/>
    <w:rsid w:val="006A5E34"/>
    <w:rsid w:val="006B2422"/>
    <w:rsid w:val="006B2B9A"/>
    <w:rsid w:val="006C1937"/>
    <w:rsid w:val="006F020C"/>
    <w:rsid w:val="007127B7"/>
    <w:rsid w:val="00717979"/>
    <w:rsid w:val="0071798E"/>
    <w:rsid w:val="007416B6"/>
    <w:rsid w:val="00746F48"/>
    <w:rsid w:val="0075404D"/>
    <w:rsid w:val="00755881"/>
    <w:rsid w:val="0076182A"/>
    <w:rsid w:val="00767B7E"/>
    <w:rsid w:val="007770C3"/>
    <w:rsid w:val="00784D24"/>
    <w:rsid w:val="00785FBA"/>
    <w:rsid w:val="00786E4A"/>
    <w:rsid w:val="007875EB"/>
    <w:rsid w:val="0079426B"/>
    <w:rsid w:val="007B36A6"/>
    <w:rsid w:val="007C668A"/>
    <w:rsid w:val="007D1682"/>
    <w:rsid w:val="007D312A"/>
    <w:rsid w:val="007D3F19"/>
    <w:rsid w:val="007E23B0"/>
    <w:rsid w:val="007E23E5"/>
    <w:rsid w:val="007E448C"/>
    <w:rsid w:val="007F1991"/>
    <w:rsid w:val="007F2C2F"/>
    <w:rsid w:val="007F55FC"/>
    <w:rsid w:val="007F5665"/>
    <w:rsid w:val="00800112"/>
    <w:rsid w:val="00813348"/>
    <w:rsid w:val="008253BB"/>
    <w:rsid w:val="0083706E"/>
    <w:rsid w:val="008408F6"/>
    <w:rsid w:val="008423A5"/>
    <w:rsid w:val="00850625"/>
    <w:rsid w:val="00853718"/>
    <w:rsid w:val="00855221"/>
    <w:rsid w:val="008554C5"/>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1787"/>
    <w:rsid w:val="00902155"/>
    <w:rsid w:val="00902BBA"/>
    <w:rsid w:val="00902FA3"/>
    <w:rsid w:val="00923564"/>
    <w:rsid w:val="0092392E"/>
    <w:rsid w:val="009315F9"/>
    <w:rsid w:val="00933499"/>
    <w:rsid w:val="009334D8"/>
    <w:rsid w:val="00935C98"/>
    <w:rsid w:val="00946945"/>
    <w:rsid w:val="00951248"/>
    <w:rsid w:val="0095152F"/>
    <w:rsid w:val="009540AE"/>
    <w:rsid w:val="00954C49"/>
    <w:rsid w:val="00955E37"/>
    <w:rsid w:val="0095617C"/>
    <w:rsid w:val="00962656"/>
    <w:rsid w:val="0097099F"/>
    <w:rsid w:val="00971997"/>
    <w:rsid w:val="00971FFC"/>
    <w:rsid w:val="00984897"/>
    <w:rsid w:val="0098660A"/>
    <w:rsid w:val="009931C3"/>
    <w:rsid w:val="00994656"/>
    <w:rsid w:val="009A4BE9"/>
    <w:rsid w:val="009B2C43"/>
    <w:rsid w:val="009B4EAE"/>
    <w:rsid w:val="009B7573"/>
    <w:rsid w:val="009C22F4"/>
    <w:rsid w:val="009C2A4B"/>
    <w:rsid w:val="009C2E98"/>
    <w:rsid w:val="009D1C11"/>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4E63"/>
    <w:rsid w:val="00A91760"/>
    <w:rsid w:val="00A93204"/>
    <w:rsid w:val="00A93B00"/>
    <w:rsid w:val="00A93C21"/>
    <w:rsid w:val="00AB64C9"/>
    <w:rsid w:val="00AC3C6A"/>
    <w:rsid w:val="00AD5620"/>
    <w:rsid w:val="00AD656B"/>
    <w:rsid w:val="00AD7C1B"/>
    <w:rsid w:val="00AE16BA"/>
    <w:rsid w:val="00AE1EBE"/>
    <w:rsid w:val="00AE52FD"/>
    <w:rsid w:val="00AF1FE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46EB"/>
    <w:rsid w:val="00B77EA6"/>
    <w:rsid w:val="00B81598"/>
    <w:rsid w:val="00B841F1"/>
    <w:rsid w:val="00B90E4E"/>
    <w:rsid w:val="00B944D6"/>
    <w:rsid w:val="00B965DC"/>
    <w:rsid w:val="00BA394C"/>
    <w:rsid w:val="00BB4DF0"/>
    <w:rsid w:val="00BC289F"/>
    <w:rsid w:val="00BC2D50"/>
    <w:rsid w:val="00BC5361"/>
    <w:rsid w:val="00BC5460"/>
    <w:rsid w:val="00BC6B50"/>
    <w:rsid w:val="00BD0E25"/>
    <w:rsid w:val="00BE5F05"/>
    <w:rsid w:val="00BF5BD6"/>
    <w:rsid w:val="00BF768A"/>
    <w:rsid w:val="00C03E31"/>
    <w:rsid w:val="00C33E72"/>
    <w:rsid w:val="00C354B2"/>
    <w:rsid w:val="00C35554"/>
    <w:rsid w:val="00C42709"/>
    <w:rsid w:val="00C5114B"/>
    <w:rsid w:val="00C533CC"/>
    <w:rsid w:val="00C5751C"/>
    <w:rsid w:val="00C61BFC"/>
    <w:rsid w:val="00C62B85"/>
    <w:rsid w:val="00C65438"/>
    <w:rsid w:val="00C87C1E"/>
    <w:rsid w:val="00C87FD8"/>
    <w:rsid w:val="00C91381"/>
    <w:rsid w:val="00C91CBB"/>
    <w:rsid w:val="00CB4E70"/>
    <w:rsid w:val="00CC09B6"/>
    <w:rsid w:val="00CC666F"/>
    <w:rsid w:val="00CD0BD5"/>
    <w:rsid w:val="00CD1E3F"/>
    <w:rsid w:val="00CE44F6"/>
    <w:rsid w:val="00CE49DA"/>
    <w:rsid w:val="00CE7B61"/>
    <w:rsid w:val="00D00095"/>
    <w:rsid w:val="00D114F0"/>
    <w:rsid w:val="00D20620"/>
    <w:rsid w:val="00D254F7"/>
    <w:rsid w:val="00D26091"/>
    <w:rsid w:val="00D2685C"/>
    <w:rsid w:val="00D31ECA"/>
    <w:rsid w:val="00D34E7C"/>
    <w:rsid w:val="00D35489"/>
    <w:rsid w:val="00D36AFE"/>
    <w:rsid w:val="00D51276"/>
    <w:rsid w:val="00D6363F"/>
    <w:rsid w:val="00D7035F"/>
    <w:rsid w:val="00D975B5"/>
    <w:rsid w:val="00DA634F"/>
    <w:rsid w:val="00DA65AC"/>
    <w:rsid w:val="00DB1913"/>
    <w:rsid w:val="00DC410D"/>
    <w:rsid w:val="00DC5A81"/>
    <w:rsid w:val="00DC68CA"/>
    <w:rsid w:val="00DC74B0"/>
    <w:rsid w:val="00DC7CBA"/>
    <w:rsid w:val="00DD73B7"/>
    <w:rsid w:val="00DF28BC"/>
    <w:rsid w:val="00DF34B9"/>
    <w:rsid w:val="00E01053"/>
    <w:rsid w:val="00E07ACF"/>
    <w:rsid w:val="00E209E3"/>
    <w:rsid w:val="00E32CAD"/>
    <w:rsid w:val="00E331A1"/>
    <w:rsid w:val="00E33202"/>
    <w:rsid w:val="00E336A9"/>
    <w:rsid w:val="00E3384B"/>
    <w:rsid w:val="00E472B1"/>
    <w:rsid w:val="00E50624"/>
    <w:rsid w:val="00E568DF"/>
    <w:rsid w:val="00E64269"/>
    <w:rsid w:val="00E70975"/>
    <w:rsid w:val="00E80392"/>
    <w:rsid w:val="00E82267"/>
    <w:rsid w:val="00E853CE"/>
    <w:rsid w:val="00E867B6"/>
    <w:rsid w:val="00E92F07"/>
    <w:rsid w:val="00EA010F"/>
    <w:rsid w:val="00EA6F45"/>
    <w:rsid w:val="00ED1B63"/>
    <w:rsid w:val="00ED32D4"/>
    <w:rsid w:val="00ED3C1F"/>
    <w:rsid w:val="00ED4085"/>
    <w:rsid w:val="00ED420E"/>
    <w:rsid w:val="00ED6FBE"/>
    <w:rsid w:val="00EE2F57"/>
    <w:rsid w:val="00EF4C34"/>
    <w:rsid w:val="00EF60EF"/>
    <w:rsid w:val="00EF77C6"/>
    <w:rsid w:val="00F05438"/>
    <w:rsid w:val="00F056CF"/>
    <w:rsid w:val="00F1361C"/>
    <w:rsid w:val="00F14ABC"/>
    <w:rsid w:val="00F156F0"/>
    <w:rsid w:val="00F160C7"/>
    <w:rsid w:val="00F2408F"/>
    <w:rsid w:val="00F240E9"/>
    <w:rsid w:val="00F30E76"/>
    <w:rsid w:val="00F36D8F"/>
    <w:rsid w:val="00F417B1"/>
    <w:rsid w:val="00F45853"/>
    <w:rsid w:val="00F602DF"/>
    <w:rsid w:val="00F754A1"/>
    <w:rsid w:val="00F81FD9"/>
    <w:rsid w:val="00F841AA"/>
    <w:rsid w:val="00F84A94"/>
    <w:rsid w:val="00F869DA"/>
    <w:rsid w:val="00F87E96"/>
    <w:rsid w:val="00FA23E8"/>
    <w:rsid w:val="00FA3D04"/>
    <w:rsid w:val="00FD3CC1"/>
    <w:rsid w:val="00FF1E02"/>
    <w:rsid w:val="00FF30B4"/>
    <w:rsid w:val="066149AA"/>
    <w:rsid w:val="0A2032A3"/>
    <w:rsid w:val="10C055FF"/>
    <w:rsid w:val="118107EC"/>
    <w:rsid w:val="16BB723D"/>
    <w:rsid w:val="1D155CEE"/>
    <w:rsid w:val="240371BF"/>
    <w:rsid w:val="29FD04D3"/>
    <w:rsid w:val="319F7F4E"/>
    <w:rsid w:val="3C967987"/>
    <w:rsid w:val="49BE6DDF"/>
    <w:rsid w:val="4ECE2238"/>
    <w:rsid w:val="6C4A05C8"/>
    <w:rsid w:val="72734D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99"/>
    <w:rPr>
      <w:rFonts w:ascii="Calibri" w:hAnsi="Calibri"/>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517D55" w:themeColor="accent1" w:themeShade="BF"/>
      <w:kern w:val="0"/>
      <w:sz w:val="32"/>
      <w:szCs w:val="32"/>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E162CA-DA81-486D-81E4-6D6924C5924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6917</Words>
  <Characters>7464</Characters>
  <Lines>58</Lines>
  <Paragraphs>16</Paragraphs>
  <TotalTime>1</TotalTime>
  <ScaleCrop>false</ScaleCrop>
  <LinksUpToDate>false</LinksUpToDate>
  <CharactersWithSpaces>7561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2021-09-13T08:58:00Z</dcterms:created>
  <dc:creator>曹颖</dc:creator>
  <cp:lastModifiedBy>LENOVO</cp:lastModifiedBy>
  <cp:lastPrinted>2021-09-15T07:23:00Z</cp:lastPrinted>
  <dcterms:modified xsi:type="dcterms:W3CDTF">2025-06-23T09:31:51Z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3FD5C58E494E4590B9DE0CF3E30A7376</vt:lpwstr>
  </property>
  <property fmtid="{D5CDD505-2E9C-101B-9397-08002B2CF9AE}" pid="4" name="KSOTemplateDocerSaveRecord">
    <vt:lpwstr>eyJoZGlkIjoiNmI5ZGYwNjVkNTMwZDc1MDE3N2M5ZmQ5MDE1OWQ5ZDQifQ==</vt:lpwstr>
  </property>
</Properties>
</file>