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60E19">
      <w:pPr>
        <w:spacing w:line="600" w:lineRule="exact"/>
        <w:jc w:val="left"/>
        <w:outlineLvl w:val="0"/>
        <w:rPr>
          <w:rFonts w:ascii="方正小标宋简体" w:hAnsi="宋体" w:eastAsia="方正小标宋简体"/>
          <w:szCs w:val="21"/>
        </w:rPr>
      </w:pPr>
      <w:bookmarkStart w:id="0" w:name="_Toc15306267"/>
    </w:p>
    <w:p w14:paraId="0F319511">
      <w:pPr>
        <w:pStyle w:val="5"/>
        <w:spacing w:before="93"/>
      </w:pPr>
    </w:p>
    <w:p w14:paraId="564D86DF">
      <w:pPr>
        <w:spacing w:line="600" w:lineRule="exact"/>
        <w:jc w:val="center"/>
        <w:outlineLvl w:val="0"/>
        <w:rPr>
          <w:rFonts w:ascii="方正小标宋简体" w:hAnsi="宋体" w:eastAsia="方正小标宋简体"/>
          <w:sz w:val="72"/>
          <w:szCs w:val="72"/>
        </w:rPr>
      </w:pPr>
    </w:p>
    <w:p w14:paraId="12ED3CED">
      <w:pPr>
        <w:spacing w:line="600" w:lineRule="exact"/>
        <w:jc w:val="center"/>
        <w:outlineLvl w:val="0"/>
        <w:rPr>
          <w:rFonts w:ascii="方正小标宋简体" w:hAnsi="宋体" w:eastAsia="方正小标宋简体"/>
          <w:sz w:val="72"/>
          <w:szCs w:val="72"/>
        </w:rPr>
      </w:pPr>
    </w:p>
    <w:p w14:paraId="6C3C319D">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475"/>
      <w:bookmarkStart w:id="2" w:name="_Toc15396597"/>
      <w:bookmarkStart w:id="3" w:name="_Toc15377193"/>
      <w:bookmarkStart w:id="4" w:name="_Toc15377425"/>
      <w:bookmarkStart w:id="5" w:name="_Toc15378441"/>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p>
    <w:p w14:paraId="387EE23D">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194"/>
      <w:bookmarkStart w:id="7" w:name="_Toc15396476"/>
      <w:bookmarkStart w:id="8" w:name="_Toc15378442"/>
      <w:bookmarkStart w:id="9" w:name="_Toc15377426"/>
      <w:bookmarkStart w:id="10" w:name="_Toc15396598"/>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lang w:val="en-US" w:eastAsia="zh-CN"/>
        </w:rPr>
        <w:t>九寨沟县节能和无线电监测中心</w:t>
      </w:r>
      <w:r>
        <w:rPr>
          <w:rFonts w:hint="eastAsia" w:ascii="方正小标宋简体" w:hAnsi="方正小标宋简体" w:eastAsia="方正小标宋简体" w:cs="方正小标宋简体"/>
          <w:sz w:val="72"/>
          <w:szCs w:val="72"/>
        </w:rPr>
        <w:t>决算</w:t>
      </w:r>
      <w:bookmarkEnd w:id="6"/>
      <w:bookmarkEnd w:id="7"/>
      <w:bookmarkEnd w:id="8"/>
      <w:bookmarkEnd w:id="9"/>
      <w:bookmarkEnd w:id="10"/>
      <w:bookmarkEnd w:id="11"/>
    </w:p>
    <w:p w14:paraId="795FBBDE">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013C478C">
      <w:pPr>
        <w:widowControl/>
        <w:jc w:val="center"/>
        <w:rPr>
          <w:rFonts w:ascii="黑体" w:hAnsi="黑体" w:eastAsia="黑体" w:cstheme="minorBidi"/>
          <w:sz w:val="28"/>
          <w:szCs w:val="28"/>
        </w:rPr>
      </w:pPr>
    </w:p>
    <w:p w14:paraId="64520170">
      <w:pPr>
        <w:pStyle w:val="11"/>
      </w:pPr>
      <w:r>
        <w:rPr>
          <w:rFonts w:hint="eastAsia"/>
        </w:rPr>
        <w:t>公开时间：2023年9月6日</w:t>
      </w:r>
    </w:p>
    <w:p w14:paraId="642759A3"/>
    <w:p w14:paraId="2EBE0855">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第一部分单位概况</w:t>
      </w:r>
      <w:r>
        <w:rPr>
          <w:rFonts w:hint="eastAsia"/>
          <w:sz w:val="24"/>
          <w:lang w:val="en-US" w:eastAsia="zh-CN"/>
        </w:rPr>
        <w:t>--------------------------------------------4</w:t>
      </w:r>
    </w:p>
    <w:p w14:paraId="41BA0332">
      <w:pPr>
        <w:pStyle w:val="12"/>
        <w:adjustRightInd w:val="0"/>
        <w:snapToGrid w:val="0"/>
        <w:spacing w:line="440" w:lineRule="exact"/>
        <w:jc w:val="left"/>
        <w:rPr>
          <w:rFonts w:hint="default" w:eastAsia="宋体"/>
          <w:sz w:val="24"/>
          <w:lang w:val="en-US" w:eastAsia="zh-CN"/>
        </w:rPr>
      </w:pPr>
      <w:r>
        <w:rPr>
          <w:rFonts w:hint="eastAsia"/>
          <w:sz w:val="24"/>
        </w:rPr>
        <w:t>一、主要职责</w:t>
      </w:r>
      <w:r>
        <w:rPr>
          <w:rFonts w:hint="eastAsia"/>
          <w:sz w:val="24"/>
          <w:lang w:val="en-US" w:eastAsia="zh-CN"/>
        </w:rPr>
        <w:t>-------------------------------------------------------------------4</w:t>
      </w:r>
    </w:p>
    <w:p w14:paraId="0EDA3CB2">
      <w:pPr>
        <w:pStyle w:val="12"/>
        <w:adjustRightInd w:val="0"/>
        <w:snapToGrid w:val="0"/>
        <w:spacing w:line="440" w:lineRule="exact"/>
        <w:jc w:val="left"/>
        <w:rPr>
          <w:rFonts w:hint="default" w:eastAsia="宋体"/>
          <w:lang w:val="en-US" w:eastAsia="zh-CN"/>
        </w:rPr>
      </w:pPr>
      <w:r>
        <w:rPr>
          <w:rFonts w:hint="eastAsia"/>
          <w:sz w:val="24"/>
        </w:rPr>
        <w:t>二、机构设置</w:t>
      </w:r>
      <w:r>
        <w:rPr>
          <w:rFonts w:hint="eastAsia"/>
          <w:sz w:val="24"/>
          <w:lang w:val="en-US" w:eastAsia="zh-CN"/>
        </w:rPr>
        <w:t>-------------------------------------------------------------------4</w:t>
      </w:r>
    </w:p>
    <w:p w14:paraId="672B6887">
      <w:pPr>
        <w:pStyle w:val="11"/>
        <w:adjustRightInd w:val="0"/>
        <w:snapToGrid w:val="0"/>
        <w:spacing w:before="0" w:line="440" w:lineRule="exact"/>
        <w:jc w:val="left"/>
        <w:rPr>
          <w:rFonts w:hint="default" w:eastAsia="仿宋"/>
          <w:sz w:val="24"/>
          <w:szCs w:val="24"/>
          <w:lang w:val="en-US" w:eastAsia="zh-CN"/>
        </w:rPr>
      </w:pPr>
      <w:r>
        <w:rPr>
          <w:rFonts w:hint="eastAsia"/>
          <w:sz w:val="24"/>
        </w:rPr>
        <w:t>第二部分 2023年度单位决算情况说明</w:t>
      </w:r>
      <w:r>
        <w:rPr>
          <w:rFonts w:hint="eastAsia"/>
          <w:sz w:val="24"/>
          <w:lang w:val="en-US" w:eastAsia="zh-CN"/>
        </w:rPr>
        <w:t>---------------------------5</w:t>
      </w:r>
    </w:p>
    <w:p w14:paraId="6876709E">
      <w:pPr>
        <w:pStyle w:val="12"/>
        <w:adjustRightInd w:val="0"/>
        <w:snapToGrid w:val="0"/>
        <w:spacing w:line="440" w:lineRule="exact"/>
        <w:jc w:val="left"/>
        <w:rPr>
          <w:rFonts w:hint="eastAsia" w:ascii="仿宋" w:hAnsi="仿宋" w:cstheme="minorBidi"/>
          <w:sz w:val="24"/>
          <w:lang w:val="en-US" w:eastAsia="zh-CN"/>
        </w:rPr>
      </w:pPr>
      <w:r>
        <w:rPr>
          <w:rFonts w:hint="eastAsia"/>
          <w:sz w:val="24"/>
        </w:rPr>
        <w:t>一、收入支出决算总体情况说明</w:t>
      </w:r>
      <w:r>
        <w:rPr>
          <w:rFonts w:hint="eastAsia"/>
          <w:sz w:val="24"/>
          <w:lang w:val="en-US" w:eastAsia="zh-CN"/>
        </w:rPr>
        <w:t>--------------------------------------------</w:t>
      </w:r>
      <w:r>
        <w:rPr>
          <w:rFonts w:hint="eastAsia" w:ascii="仿宋" w:hAnsi="仿宋" w:cstheme="minorBidi"/>
          <w:sz w:val="24"/>
          <w:lang w:val="en-US" w:eastAsia="zh-CN"/>
        </w:rPr>
        <w:t>5</w:t>
      </w:r>
    </w:p>
    <w:p w14:paraId="6514EE5F">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--------------------------------------------------------5</w:t>
      </w:r>
    </w:p>
    <w:p w14:paraId="05BF135A">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--------------------------------------------------------5</w:t>
      </w:r>
    </w:p>
    <w:p w14:paraId="4D7BCA74">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--------------------------------5</w:t>
      </w:r>
    </w:p>
    <w:p w14:paraId="3448E6D4">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--------------------------6</w:t>
      </w:r>
    </w:p>
    <w:p w14:paraId="09BFEA9C">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--------------------7</w:t>
      </w:r>
    </w:p>
    <w:p w14:paraId="28683587">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七、财政拨款“三公”经费支出决算情况说明</w:t>
      </w:r>
      <w:r>
        <w:rPr>
          <w:rFonts w:hint="eastAsia"/>
          <w:sz w:val="24"/>
          <w:lang w:val="en-US" w:eastAsia="zh-CN"/>
        </w:rPr>
        <w:t>--------------------------7</w:t>
      </w:r>
    </w:p>
    <w:p w14:paraId="5EB54944">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-----------------------------------9</w:t>
      </w:r>
    </w:p>
    <w:p w14:paraId="0EE55333">
      <w:pPr>
        <w:pStyle w:val="12"/>
        <w:adjustRightInd w:val="0"/>
        <w:snapToGrid w:val="0"/>
        <w:spacing w:line="440" w:lineRule="exact"/>
        <w:jc w:val="left"/>
        <w:rPr>
          <w:rFonts w:hint="default" w:eastAsia="宋体"/>
          <w:sz w:val="24"/>
          <w:lang w:val="en-US" w:eastAsia="zh-CN"/>
        </w:rPr>
      </w:pPr>
      <w:r>
        <w:rPr>
          <w:rFonts w:hint="eastAsia"/>
          <w:sz w:val="24"/>
        </w:rPr>
        <w:t>九、国有资本经营预算支出决算情况说明</w:t>
      </w:r>
      <w:r>
        <w:rPr>
          <w:rFonts w:hint="eastAsia"/>
          <w:sz w:val="24"/>
          <w:lang w:val="en-US" w:eastAsia="zh-CN"/>
        </w:rPr>
        <w:t>--------------------------------9</w:t>
      </w:r>
    </w:p>
    <w:p w14:paraId="361123CA">
      <w:pPr>
        <w:pStyle w:val="12"/>
        <w:adjustRightInd w:val="0"/>
        <w:snapToGrid w:val="0"/>
        <w:spacing w:line="440" w:lineRule="exact"/>
        <w:jc w:val="left"/>
        <w:rPr>
          <w:rFonts w:hint="default" w:eastAsia="宋体"/>
          <w:sz w:val="24"/>
          <w:lang w:val="en-US" w:eastAsia="zh-CN"/>
        </w:rPr>
      </w:pPr>
      <w:r>
        <w:rPr>
          <w:rFonts w:hint="eastAsia"/>
          <w:sz w:val="24"/>
        </w:rPr>
        <w:t>十、其他重要事项的情况说明</w:t>
      </w:r>
      <w:r>
        <w:rPr>
          <w:rFonts w:hint="eastAsia"/>
          <w:sz w:val="24"/>
          <w:lang w:val="en-US" w:eastAsia="zh-CN"/>
        </w:rPr>
        <w:t>-----------------------------------------------9</w:t>
      </w:r>
    </w:p>
    <w:p w14:paraId="1831B501">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第三部分名词解释</w:t>
      </w:r>
      <w:r>
        <w:rPr>
          <w:rFonts w:hint="eastAsia"/>
          <w:sz w:val="24"/>
          <w:lang w:val="en-US" w:eastAsia="zh-CN"/>
        </w:rPr>
        <w:t>--------------------------------------------11</w:t>
      </w:r>
    </w:p>
    <w:p w14:paraId="0E97E42B">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第四部分附件</w:t>
      </w:r>
      <w:r>
        <w:rPr>
          <w:rFonts w:hint="eastAsia"/>
          <w:sz w:val="24"/>
          <w:lang w:val="en-US" w:eastAsia="zh-CN"/>
        </w:rPr>
        <w:t>------------------------------------------------13</w:t>
      </w:r>
    </w:p>
    <w:p w14:paraId="7C3284CB">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第五部分附表</w:t>
      </w:r>
      <w:r>
        <w:rPr>
          <w:rFonts w:hint="eastAsia"/>
          <w:sz w:val="24"/>
          <w:lang w:val="en-US" w:eastAsia="zh-CN"/>
        </w:rPr>
        <w:t>------------------------------------------------16</w:t>
      </w:r>
    </w:p>
    <w:p w14:paraId="690F5E2C">
      <w:pPr>
        <w:pStyle w:val="12"/>
        <w:adjustRightInd w:val="0"/>
        <w:snapToGrid w:val="0"/>
        <w:spacing w:line="440" w:lineRule="exact"/>
        <w:jc w:val="left"/>
        <w:rPr>
          <w:rFonts w:hint="default" w:eastAsia="宋体"/>
          <w:sz w:val="24"/>
          <w:lang w:val="en-US" w:eastAsia="zh-CN"/>
        </w:rPr>
      </w:pPr>
      <w:r>
        <w:rPr>
          <w:rFonts w:hint="eastAsia"/>
          <w:sz w:val="24"/>
        </w:rPr>
        <w:t>一、收入支出决算总表</w:t>
      </w:r>
      <w:r>
        <w:rPr>
          <w:rFonts w:hint="eastAsia"/>
          <w:sz w:val="24"/>
          <w:lang w:val="en-US" w:eastAsia="zh-CN"/>
        </w:rPr>
        <w:t>-------------------------------------------------------17</w:t>
      </w:r>
    </w:p>
    <w:p w14:paraId="7BBB2349">
      <w:pPr>
        <w:pStyle w:val="12"/>
        <w:adjustRightInd w:val="0"/>
        <w:snapToGrid w:val="0"/>
        <w:spacing w:line="440" w:lineRule="exact"/>
        <w:jc w:val="left"/>
        <w:rPr>
          <w:rFonts w:hint="default" w:eastAsia="宋体"/>
          <w:sz w:val="24"/>
          <w:lang w:val="en-US" w:eastAsia="zh-CN"/>
        </w:rPr>
      </w:pPr>
      <w:r>
        <w:rPr>
          <w:rFonts w:hint="eastAsia"/>
          <w:sz w:val="24"/>
        </w:rPr>
        <w:t>二、收入决算表</w:t>
      </w:r>
      <w:r>
        <w:rPr>
          <w:rFonts w:hint="eastAsia"/>
          <w:sz w:val="24"/>
          <w:lang w:val="en-US" w:eastAsia="zh-CN"/>
        </w:rPr>
        <w:t>----------------------------------------------------------------17</w:t>
      </w:r>
    </w:p>
    <w:p w14:paraId="2CA2061E">
      <w:pPr>
        <w:pStyle w:val="12"/>
        <w:adjustRightInd w:val="0"/>
        <w:snapToGrid w:val="0"/>
        <w:spacing w:line="440" w:lineRule="exact"/>
        <w:jc w:val="left"/>
        <w:rPr>
          <w:rFonts w:hint="default" w:eastAsia="宋体"/>
          <w:sz w:val="24"/>
          <w:lang w:val="en-US" w:eastAsia="zh-CN"/>
        </w:rPr>
      </w:pPr>
      <w:r>
        <w:rPr>
          <w:rFonts w:hint="eastAsia"/>
          <w:sz w:val="24"/>
        </w:rPr>
        <w:t>三、支出决算表</w:t>
      </w:r>
      <w:r>
        <w:rPr>
          <w:rFonts w:hint="eastAsia"/>
          <w:sz w:val="24"/>
          <w:lang w:val="en-US" w:eastAsia="zh-CN"/>
        </w:rPr>
        <w:t>----------------------------------------------------------------17</w:t>
      </w:r>
    </w:p>
    <w:p w14:paraId="547EE8F5">
      <w:pPr>
        <w:pStyle w:val="12"/>
        <w:adjustRightInd w:val="0"/>
        <w:snapToGrid w:val="0"/>
        <w:spacing w:line="440" w:lineRule="exact"/>
        <w:jc w:val="left"/>
        <w:rPr>
          <w:rFonts w:hint="default" w:eastAsia="宋体"/>
          <w:sz w:val="24"/>
          <w:lang w:val="en-US" w:eastAsia="zh-CN"/>
        </w:rPr>
      </w:pPr>
      <w:r>
        <w:rPr>
          <w:rFonts w:hint="eastAsia"/>
          <w:sz w:val="24"/>
        </w:rPr>
        <w:t>四、财政拨款收入支出决算总表</w:t>
      </w:r>
      <w:r>
        <w:rPr>
          <w:rFonts w:hint="eastAsia"/>
          <w:sz w:val="24"/>
          <w:lang w:val="en-US" w:eastAsia="zh-CN"/>
        </w:rPr>
        <w:t>-------------------------------------------17</w:t>
      </w:r>
    </w:p>
    <w:p w14:paraId="5EFF0558">
      <w:pPr>
        <w:pStyle w:val="12"/>
        <w:adjustRightInd w:val="0"/>
        <w:snapToGrid w:val="0"/>
        <w:spacing w:line="440" w:lineRule="exact"/>
        <w:jc w:val="left"/>
        <w:rPr>
          <w:rFonts w:hint="default" w:eastAsia="宋体"/>
          <w:sz w:val="24"/>
          <w:lang w:val="en-US" w:eastAsia="zh-CN"/>
        </w:rPr>
      </w:pPr>
      <w:r>
        <w:rPr>
          <w:rFonts w:hint="eastAsia"/>
          <w:sz w:val="24"/>
        </w:rPr>
        <w:t>五、财政拨款支出决算明细表</w:t>
      </w:r>
      <w:r>
        <w:rPr>
          <w:rFonts w:hint="eastAsia"/>
          <w:sz w:val="24"/>
          <w:lang w:val="en-US" w:eastAsia="zh-CN"/>
        </w:rPr>
        <w:t>----------------------------------------------17</w:t>
      </w:r>
    </w:p>
    <w:p w14:paraId="210E3E92">
      <w:pPr>
        <w:pStyle w:val="12"/>
        <w:adjustRightInd w:val="0"/>
        <w:snapToGrid w:val="0"/>
        <w:spacing w:line="440" w:lineRule="exact"/>
        <w:jc w:val="left"/>
        <w:rPr>
          <w:rFonts w:hint="default" w:eastAsia="宋体"/>
          <w:sz w:val="24"/>
          <w:lang w:val="en-US" w:eastAsia="zh-CN"/>
        </w:rPr>
      </w:pPr>
      <w:r>
        <w:rPr>
          <w:rFonts w:hint="eastAsia"/>
          <w:sz w:val="24"/>
        </w:rPr>
        <w:t>六、一般公共预算财政拨款支出决算表</w:t>
      </w:r>
      <w:r>
        <w:rPr>
          <w:rFonts w:hint="eastAsia"/>
          <w:sz w:val="24"/>
          <w:lang w:val="en-US" w:eastAsia="zh-CN"/>
        </w:rPr>
        <w:t>----------------------------------17</w:t>
      </w:r>
    </w:p>
    <w:p w14:paraId="7A9A1255">
      <w:pPr>
        <w:pStyle w:val="12"/>
        <w:adjustRightInd w:val="0"/>
        <w:snapToGrid w:val="0"/>
        <w:spacing w:line="440" w:lineRule="exact"/>
        <w:jc w:val="left"/>
        <w:rPr>
          <w:rFonts w:hint="default" w:eastAsia="宋体"/>
          <w:sz w:val="24"/>
          <w:lang w:val="en-US" w:eastAsia="zh-CN"/>
        </w:rPr>
      </w:pPr>
      <w:r>
        <w:rPr>
          <w:rFonts w:hint="eastAsia"/>
          <w:sz w:val="24"/>
        </w:rPr>
        <w:t>七、一般公共预算财政拨款支出决算明细表</w:t>
      </w:r>
      <w:r>
        <w:rPr>
          <w:rFonts w:hint="eastAsia"/>
          <w:sz w:val="24"/>
          <w:lang w:val="en-US" w:eastAsia="zh-CN"/>
        </w:rPr>
        <w:t>----------------------------17</w:t>
      </w:r>
    </w:p>
    <w:p w14:paraId="28DF844A">
      <w:pPr>
        <w:pStyle w:val="12"/>
        <w:adjustRightInd w:val="0"/>
        <w:snapToGrid w:val="0"/>
        <w:spacing w:line="440" w:lineRule="exact"/>
        <w:jc w:val="left"/>
        <w:rPr>
          <w:rFonts w:hint="default" w:eastAsia="宋体"/>
          <w:sz w:val="24"/>
          <w:lang w:val="en-US" w:eastAsia="zh-CN"/>
        </w:rPr>
      </w:pPr>
      <w:r>
        <w:rPr>
          <w:rFonts w:hint="eastAsia"/>
          <w:sz w:val="24"/>
        </w:rPr>
        <w:t>八、一般公共预算财政拨款基本支出决算明细表</w:t>
      </w:r>
      <w:r>
        <w:rPr>
          <w:rFonts w:hint="eastAsia"/>
          <w:sz w:val="24"/>
          <w:lang w:val="en-US" w:eastAsia="zh-CN"/>
        </w:rPr>
        <w:t>----------------------17</w:t>
      </w:r>
    </w:p>
    <w:p w14:paraId="4EDFC0AD">
      <w:pPr>
        <w:pStyle w:val="12"/>
        <w:adjustRightInd w:val="0"/>
        <w:snapToGrid w:val="0"/>
        <w:spacing w:line="440" w:lineRule="exact"/>
        <w:jc w:val="left"/>
        <w:rPr>
          <w:rFonts w:hint="default" w:eastAsia="宋体"/>
          <w:sz w:val="24"/>
          <w:lang w:val="en-US" w:eastAsia="zh-CN"/>
        </w:rPr>
      </w:pPr>
      <w:r>
        <w:rPr>
          <w:rFonts w:hint="eastAsia"/>
          <w:sz w:val="24"/>
        </w:rPr>
        <w:t>九、一般公共预算财政拨款项目支出决算表</w:t>
      </w:r>
      <w:r>
        <w:rPr>
          <w:rFonts w:hint="eastAsia"/>
          <w:sz w:val="24"/>
          <w:lang w:val="en-US" w:eastAsia="zh-CN"/>
        </w:rPr>
        <w:t>----------------------------17</w:t>
      </w:r>
    </w:p>
    <w:p w14:paraId="7A7CB7EA">
      <w:pPr>
        <w:pStyle w:val="12"/>
        <w:adjustRightInd w:val="0"/>
        <w:snapToGrid w:val="0"/>
        <w:spacing w:line="440" w:lineRule="exact"/>
        <w:jc w:val="left"/>
        <w:rPr>
          <w:rFonts w:hint="default" w:eastAsia="宋体"/>
          <w:sz w:val="24"/>
          <w:lang w:val="en-US" w:eastAsia="zh-CN"/>
        </w:rPr>
      </w:pPr>
      <w:r>
        <w:rPr>
          <w:rFonts w:hint="eastAsia"/>
          <w:sz w:val="24"/>
        </w:rPr>
        <w:t>十、政府性基金预算财政拨款收入支出决算表</w:t>
      </w:r>
      <w:r>
        <w:rPr>
          <w:rFonts w:hint="eastAsia"/>
          <w:sz w:val="24"/>
          <w:lang w:val="en-US" w:eastAsia="zh-CN"/>
        </w:rPr>
        <w:t>-----------------------17</w:t>
      </w:r>
    </w:p>
    <w:p w14:paraId="42B2BAE8">
      <w:pPr>
        <w:pStyle w:val="12"/>
        <w:adjustRightInd w:val="0"/>
        <w:snapToGrid w:val="0"/>
        <w:spacing w:line="440" w:lineRule="exact"/>
        <w:jc w:val="left"/>
        <w:rPr>
          <w:rFonts w:hint="default" w:eastAsia="宋体"/>
          <w:sz w:val="24"/>
          <w:lang w:val="en-US" w:eastAsia="zh-CN"/>
        </w:rPr>
      </w:pPr>
      <w:r>
        <w:rPr>
          <w:rFonts w:hint="eastAsia"/>
          <w:sz w:val="24"/>
        </w:rPr>
        <w:t>十一、国有资本经营预算财政拨款收入支出决算表</w:t>
      </w:r>
      <w:r>
        <w:rPr>
          <w:rFonts w:hint="eastAsia"/>
          <w:sz w:val="24"/>
          <w:lang w:val="en-US" w:eastAsia="zh-CN"/>
        </w:rPr>
        <w:t>-----------------17</w:t>
      </w:r>
    </w:p>
    <w:p w14:paraId="34337BF9">
      <w:pPr>
        <w:pStyle w:val="12"/>
        <w:adjustRightInd w:val="0"/>
        <w:snapToGrid w:val="0"/>
        <w:spacing w:line="440" w:lineRule="exact"/>
        <w:jc w:val="left"/>
        <w:rPr>
          <w:rFonts w:hint="default" w:eastAsia="宋体"/>
          <w:sz w:val="24"/>
          <w:lang w:val="en-US" w:eastAsia="zh-CN"/>
        </w:rPr>
      </w:pPr>
      <w:r>
        <w:rPr>
          <w:rFonts w:hint="eastAsia"/>
          <w:sz w:val="24"/>
        </w:rPr>
        <w:t>十二、国有资本经营预算财政拨款支出决算表</w:t>
      </w:r>
      <w:r>
        <w:rPr>
          <w:rFonts w:hint="eastAsia"/>
          <w:sz w:val="24"/>
          <w:lang w:val="en-US" w:eastAsia="zh-CN"/>
        </w:rPr>
        <w:t>-----------------------17</w:t>
      </w:r>
    </w:p>
    <w:p w14:paraId="51D902D9">
      <w:pPr>
        <w:pStyle w:val="12"/>
        <w:adjustRightInd w:val="0"/>
        <w:snapToGrid w:val="0"/>
        <w:spacing w:line="440" w:lineRule="exact"/>
        <w:jc w:val="left"/>
        <w:rPr>
          <w:rFonts w:hint="default" w:eastAsia="宋体"/>
          <w:sz w:val="24"/>
          <w:lang w:val="en-US" w:eastAsia="zh-CN"/>
        </w:rPr>
      </w:pPr>
      <w:r>
        <w:rPr>
          <w:rFonts w:hint="eastAsia"/>
          <w:sz w:val="24"/>
        </w:rPr>
        <w:t>十三、财政拨款“三公”经费支出决算表</w:t>
      </w:r>
      <w:r>
        <w:rPr>
          <w:rFonts w:hint="eastAsia"/>
          <w:sz w:val="24"/>
          <w:lang w:val="en-US" w:eastAsia="zh-CN"/>
        </w:rPr>
        <w:t>-----------------------------17</w:t>
      </w:r>
    </w:p>
    <w:p w14:paraId="31C02F1C">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bookmarkStart w:id="79" w:name="_GoBack"/>
      <w:bookmarkEnd w:id="79"/>
    </w:p>
    <w:p w14:paraId="2740B054">
      <w:pPr>
        <w:pStyle w:val="2"/>
        <w:jc w:val="center"/>
        <w:rPr>
          <w:rStyle w:val="27"/>
          <w:rFonts w:ascii="黑体" w:hAnsi="黑体" w:eastAsia="黑体"/>
          <w:b/>
          <w:bCs w:val="0"/>
        </w:rPr>
      </w:pPr>
      <w:r>
        <w:rPr>
          <w:rFonts w:hint="eastAsia" w:ascii="黑体" w:hAnsi="黑体" w:eastAsia="黑体"/>
          <w:b w:val="0"/>
        </w:rPr>
        <w:t>第一部分 单位</w:t>
      </w:r>
      <w:r>
        <w:rPr>
          <w:rStyle w:val="27"/>
          <w:rFonts w:hint="eastAsia" w:ascii="黑体" w:hAnsi="黑体" w:eastAsia="黑体"/>
          <w:b w:val="0"/>
          <w:bCs w:val="0"/>
        </w:rPr>
        <w:t>概况</w:t>
      </w:r>
      <w:bookmarkEnd w:id="12"/>
      <w:bookmarkEnd w:id="13"/>
    </w:p>
    <w:p w14:paraId="593563F5">
      <w:pPr>
        <w:widowControl/>
        <w:jc w:val="left"/>
        <w:rPr>
          <w:rFonts w:ascii="黑体" w:eastAsia="黑体"/>
          <w:sz w:val="32"/>
          <w:szCs w:val="32"/>
        </w:rPr>
      </w:pPr>
    </w:p>
    <w:p w14:paraId="62873F43">
      <w:pPr>
        <w:pStyle w:val="3"/>
        <w:numPr>
          <w:ilvl w:val="0"/>
          <w:numId w:val="1"/>
        </w:numPr>
        <w:rPr>
          <w:rStyle w:val="28"/>
          <w:rFonts w:ascii="黑体" w:hAnsi="黑体" w:eastAsia="黑体"/>
          <w:b w:val="0"/>
          <w:bCs w:val="0"/>
        </w:rPr>
      </w:pPr>
      <w:bookmarkStart w:id="14" w:name="_Toc15377197"/>
      <w:bookmarkStart w:id="15" w:name="_Toc15396600"/>
      <w:r>
        <w:rPr>
          <w:rStyle w:val="28"/>
          <w:rFonts w:hint="eastAsia" w:ascii="黑体" w:hAnsi="黑体" w:eastAsia="黑体"/>
          <w:b w:val="0"/>
          <w:bCs w:val="0"/>
        </w:rPr>
        <w:t>主要职责</w:t>
      </w:r>
    </w:p>
    <w:p w14:paraId="2D0A2A33">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79163603"/>
      <w:bookmarkStart w:id="17" w:name="_Toc79163853"/>
      <w:bookmarkStart w:id="18" w:name="_Toc15377198"/>
      <w:bookmarkStart w:id="19" w:name="_Toc15378445"/>
      <w:r>
        <w:rPr>
          <w:rFonts w:hint="eastAsia" w:ascii="仿宋" w:hAnsi="仿宋" w:eastAsia="仿宋"/>
          <w:bCs/>
          <w:color w:val="000000"/>
          <w:sz w:val="32"/>
          <w:szCs w:val="32"/>
        </w:rPr>
        <w:t>（一）主要职能。</w:t>
      </w:r>
      <w:bookmarkEnd w:id="16"/>
      <w:bookmarkEnd w:id="17"/>
    </w:p>
    <w:bookmarkEnd w:id="18"/>
    <w:bookmarkEnd w:id="19"/>
    <w:p w14:paraId="7E9C9E58">
      <w:pPr>
        <w:pStyle w:val="5"/>
        <w:adjustRightInd w:val="0"/>
        <w:snapToGrid w:val="0"/>
        <w:spacing w:before="93" w:line="600" w:lineRule="exact"/>
        <w:ind w:firstLine="672" w:firstLineChars="210"/>
        <w:outlineLvl w:val="2"/>
        <w:rPr>
          <w:rFonts w:ascii="仿宋" w:eastAsia="仿宋"/>
          <w:sz w:val="32"/>
          <w:szCs w:val="32"/>
        </w:rPr>
      </w:pPr>
      <w:bookmarkStart w:id="20" w:name="_Toc15377199"/>
      <w:bookmarkStart w:id="21" w:name="_Toc79163604"/>
      <w:bookmarkStart w:id="22" w:name="_Toc15378446"/>
      <w:bookmarkStart w:id="23" w:name="_Toc79163854"/>
      <w:r>
        <w:rPr>
          <w:rFonts w:ascii="仿宋" w:eastAsia="仿宋"/>
          <w:sz w:val="32"/>
          <w:szCs w:val="32"/>
        </w:rPr>
        <w:t>负责节能产品的认证、指导和无线电站（台）技术指标测定等工作。</w:t>
      </w:r>
    </w:p>
    <w:p w14:paraId="184E1B39">
      <w:pPr>
        <w:pStyle w:val="5"/>
        <w:adjustRightInd w:val="0"/>
        <w:snapToGrid w:val="0"/>
        <w:spacing w:before="93" w:beforeLines="0" w:line="600" w:lineRule="exact"/>
        <w:ind w:firstLine="665" w:firstLineChars="208"/>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w:t>
      </w: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年重点工作完成情况。</w:t>
      </w:r>
      <w:bookmarkEnd w:id="20"/>
      <w:bookmarkEnd w:id="21"/>
      <w:bookmarkEnd w:id="22"/>
      <w:bookmarkEnd w:id="23"/>
    </w:p>
    <w:p w14:paraId="11C56103">
      <w:pPr>
        <w:pStyle w:val="5"/>
        <w:adjustRightInd w:val="0"/>
        <w:snapToGrid w:val="0"/>
        <w:spacing w:before="93" w:beforeLines="0" w:line="600" w:lineRule="exact"/>
        <w:ind w:firstLine="665" w:firstLineChars="208"/>
        <w:outlineLvl w:val="2"/>
        <w:rPr>
          <w:rFonts w:ascii="仿宋" w:eastAsia="仿宋"/>
          <w:bCs/>
          <w:color w:val="000000"/>
          <w:sz w:val="32"/>
          <w:szCs w:val="32"/>
        </w:rPr>
      </w:pPr>
      <w:r>
        <w:rPr>
          <w:rFonts w:hint="eastAsia" w:ascii="仿宋" w:eastAsia="仿宋"/>
          <w:bCs/>
          <w:color w:val="000000"/>
          <w:sz w:val="32"/>
          <w:szCs w:val="32"/>
          <w:lang w:val="en-US" w:eastAsia="zh-CN"/>
        </w:rPr>
        <w:t>不断改善</w:t>
      </w:r>
      <w:r>
        <w:rPr>
          <w:rFonts w:ascii="仿宋" w:eastAsia="仿宋"/>
          <w:bCs/>
          <w:color w:val="000000"/>
          <w:sz w:val="32"/>
          <w:szCs w:val="32"/>
          <w:lang w:val="en-US" w:eastAsia="zh-CN"/>
        </w:rPr>
        <w:t>提升</w:t>
      </w:r>
      <w:r>
        <w:rPr>
          <w:rFonts w:ascii="仿宋" w:eastAsia="仿宋"/>
          <w:sz w:val="32"/>
          <w:szCs w:val="32"/>
        </w:rPr>
        <w:t>节能产品的认证、指导和无线电站（台）技术指标测定等</w:t>
      </w:r>
      <w:r>
        <w:rPr>
          <w:rFonts w:ascii="仿宋" w:eastAsia="仿宋"/>
          <w:bCs/>
          <w:color w:val="000000"/>
          <w:sz w:val="32"/>
          <w:szCs w:val="32"/>
          <w:lang w:val="en-US" w:eastAsia="zh-CN"/>
        </w:rPr>
        <w:t>事业</w:t>
      </w:r>
      <w:r>
        <w:rPr>
          <w:rFonts w:hint="eastAsia" w:ascii="仿宋" w:eastAsia="仿宋"/>
          <w:bCs/>
          <w:color w:val="000000"/>
          <w:sz w:val="32"/>
          <w:szCs w:val="32"/>
          <w:lang w:val="en-US" w:eastAsia="zh-CN"/>
        </w:rPr>
        <w:t>管理，严格经费与资产管理，改进文风会风，精简会议，提高了行政效率，降低了行政成本。履职尽职的完成了职能工作。</w:t>
      </w:r>
    </w:p>
    <w:p w14:paraId="1607EB27"/>
    <w:p w14:paraId="430F506F">
      <w:pPr>
        <w:pStyle w:val="3"/>
        <w:numPr>
          <w:ilvl w:val="0"/>
          <w:numId w:val="1"/>
        </w:numPr>
        <w:ind w:left="0" w:leftChars="0" w:firstLine="0" w:firstLineChars="0"/>
        <w:rPr>
          <w:rFonts w:hint="eastAsia" w:ascii="黑体" w:hAnsi="黑体" w:eastAsia="黑体"/>
          <w:b w:val="0"/>
        </w:rPr>
      </w:pPr>
      <w:r>
        <w:rPr>
          <w:rFonts w:hint="eastAsia" w:ascii="黑体" w:hAnsi="黑体" w:eastAsia="黑体"/>
          <w:b w:val="0"/>
        </w:rPr>
        <w:t>机构设置</w:t>
      </w:r>
    </w:p>
    <w:bookmarkEnd w:id="14"/>
    <w:bookmarkEnd w:id="15"/>
    <w:p w14:paraId="15D1833B">
      <w:pPr>
        <w:widowControl/>
        <w:ind w:firstLine="640" w:firstLineChars="200"/>
        <w:jc w:val="left"/>
        <w:rPr>
          <w:rFonts w:ascii="仿宋" w:hAnsi="仿宋" w:eastAsia="仿宋"/>
          <w:kern w:val="0"/>
          <w:sz w:val="32"/>
          <w:szCs w:val="32"/>
        </w:rPr>
      </w:pPr>
      <w:r>
        <w:rPr>
          <w:rFonts w:hint="eastAsia" w:ascii="仿宋" w:eastAsia="仿宋"/>
          <w:bCs/>
          <w:sz w:val="32"/>
          <w:szCs w:val="32"/>
          <w:lang w:val="en-US" w:eastAsia="zh-CN"/>
        </w:rPr>
        <w:t>九寨沟县</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ascii="仿宋" w:eastAsia="仿宋"/>
          <w:sz w:val="32"/>
          <w:szCs w:val="32"/>
        </w:rPr>
        <w:t>是</w:t>
      </w:r>
      <w:r>
        <w:rPr>
          <w:rFonts w:hint="eastAsia" w:ascii="仿宋" w:eastAsia="仿宋"/>
          <w:sz w:val="32"/>
          <w:szCs w:val="32"/>
        </w:rPr>
        <w:t>一级预算单位，属</w:t>
      </w:r>
      <w:r>
        <w:rPr>
          <w:rFonts w:hint="eastAsia" w:ascii="仿宋" w:eastAsia="仿宋"/>
          <w:sz w:val="32"/>
          <w:szCs w:val="32"/>
          <w:lang w:val="en-US" w:eastAsia="zh-CN"/>
        </w:rPr>
        <w:t>事业</w:t>
      </w:r>
      <w:r>
        <w:rPr>
          <w:rFonts w:hint="eastAsia" w:ascii="仿宋" w:eastAsia="仿宋"/>
          <w:sz w:val="32"/>
          <w:szCs w:val="32"/>
        </w:rPr>
        <w:t>单位，事业编制</w:t>
      </w:r>
      <w:r>
        <w:rPr>
          <w:rFonts w:ascii="仿宋" w:eastAsia="仿宋"/>
          <w:sz w:val="32"/>
          <w:szCs w:val="32"/>
          <w:lang w:val="en-US" w:eastAsia="zh-CN"/>
        </w:rPr>
        <w:t>6</w:t>
      </w:r>
      <w:r>
        <w:rPr>
          <w:rFonts w:hint="eastAsia" w:ascii="仿宋" w:eastAsia="仿宋"/>
          <w:sz w:val="32"/>
          <w:szCs w:val="32"/>
        </w:rPr>
        <w:t>名</w:t>
      </w:r>
      <w:r>
        <w:rPr>
          <w:rFonts w:ascii="仿宋" w:eastAsia="仿宋"/>
          <w:sz w:val="32"/>
          <w:szCs w:val="32"/>
        </w:rPr>
        <w:t>，</w:t>
      </w:r>
      <w:r>
        <w:rPr>
          <w:rFonts w:hint="eastAsia" w:ascii="仿宋" w:eastAsia="仿宋"/>
          <w:sz w:val="32"/>
          <w:szCs w:val="32"/>
        </w:rPr>
        <w:t>在职职工</w:t>
      </w:r>
      <w:r>
        <w:rPr>
          <w:rFonts w:hint="eastAsia" w:ascii="仿宋" w:eastAsia="仿宋"/>
          <w:sz w:val="32"/>
          <w:szCs w:val="32"/>
          <w:lang w:val="en-US" w:eastAsia="zh-CN"/>
        </w:rPr>
        <w:t>7</w:t>
      </w:r>
      <w:r>
        <w:rPr>
          <w:rFonts w:hint="eastAsia" w:ascii="仿宋" w:eastAsia="仿宋"/>
          <w:sz w:val="32"/>
          <w:szCs w:val="32"/>
        </w:rPr>
        <w:t>名</w:t>
      </w:r>
      <w:r>
        <w:rPr>
          <w:rFonts w:ascii="仿宋" w:eastAsia="仿宋"/>
          <w:sz w:val="32"/>
          <w:szCs w:val="32"/>
        </w:rPr>
        <w:t>。</w:t>
      </w:r>
      <w:r>
        <w:rPr>
          <w:rFonts w:ascii="仿宋" w:hAnsi="仿宋" w:eastAsia="仿宋"/>
          <w:sz w:val="32"/>
          <w:szCs w:val="32"/>
        </w:rPr>
        <w:br w:type="page"/>
      </w:r>
    </w:p>
    <w:p w14:paraId="32A6D9F5">
      <w:pPr>
        <w:pStyle w:val="2"/>
        <w:ind w:right="440"/>
        <w:jc w:val="center"/>
        <w:rPr>
          <w:rStyle w:val="27"/>
          <w:rFonts w:ascii="黑体" w:hAnsi="黑体" w:eastAsia="黑体"/>
          <w:b w:val="0"/>
          <w:bCs/>
        </w:rPr>
      </w:pPr>
      <w:bookmarkStart w:id="24" w:name="_Toc15396602"/>
      <w:bookmarkStart w:id="25" w:name="_Toc15377204"/>
      <w:r>
        <w:rPr>
          <w:rFonts w:hint="eastAsia" w:ascii="黑体" w:hAnsi="黑体" w:eastAsia="黑体"/>
          <w:b w:val="0"/>
        </w:rPr>
        <w:t>第二部分 2023年度</w:t>
      </w:r>
      <w:r>
        <w:rPr>
          <w:rStyle w:val="27"/>
          <w:rFonts w:hint="eastAsia" w:ascii="黑体" w:hAnsi="黑体" w:eastAsia="黑体"/>
          <w:b w:val="0"/>
          <w:bCs/>
        </w:rPr>
        <w:t>单位决算情况说明</w:t>
      </w:r>
      <w:bookmarkEnd w:id="24"/>
      <w:bookmarkEnd w:id="25"/>
    </w:p>
    <w:p w14:paraId="13686E34"/>
    <w:p w14:paraId="135F576E">
      <w:pPr>
        <w:pStyle w:val="26"/>
        <w:numPr>
          <w:ilvl w:val="0"/>
          <w:numId w:val="2"/>
        </w:numPr>
        <w:spacing w:line="600" w:lineRule="exact"/>
        <w:ind w:firstLineChars="0"/>
        <w:outlineLvl w:val="1"/>
        <w:rPr>
          <w:rStyle w:val="28"/>
          <w:rFonts w:ascii="黑体" w:hAnsi="黑体" w:eastAsia="黑体"/>
          <w:b w:val="0"/>
        </w:rPr>
      </w:pPr>
      <w:bookmarkStart w:id="26" w:name="_Toc15396603"/>
      <w:bookmarkStart w:id="27" w:name="_Toc15377205"/>
      <w:r>
        <w:rPr>
          <w:rFonts w:hint="eastAsia" w:ascii="黑体" w:hAnsi="黑体" w:eastAsia="黑体"/>
          <w:sz w:val="32"/>
          <w:szCs w:val="32"/>
        </w:rPr>
        <w:t>收</w:t>
      </w:r>
      <w:r>
        <w:rPr>
          <w:rStyle w:val="28"/>
          <w:rFonts w:hint="eastAsia" w:ascii="黑体" w:hAnsi="黑体" w:eastAsia="黑体"/>
          <w:b w:val="0"/>
        </w:rPr>
        <w:t>入支出决算总体情况说明</w:t>
      </w:r>
      <w:bookmarkEnd w:id="26"/>
      <w:bookmarkEnd w:id="27"/>
    </w:p>
    <w:p w14:paraId="615FDBF9">
      <w:pPr>
        <w:spacing w:line="600" w:lineRule="exact"/>
        <w:ind w:firstLine="640" w:firstLineChars="200"/>
        <w:rPr>
          <w:rFonts w:ascii="仿宋_GB2312" w:eastAsia="仿宋_GB2312"/>
          <w:sz w:val="32"/>
          <w:szCs w:val="32"/>
        </w:rPr>
      </w:pPr>
      <w:r>
        <w:rPr>
          <w:rFonts w:hint="eastAsia" w:ascii="仿宋" w:hAnsi="仿宋" w:eastAsia="仿宋"/>
          <w:sz w:val="32"/>
          <w:szCs w:val="32"/>
        </w:rPr>
        <w:t>2023年度收、支总计均为</w:t>
      </w:r>
      <w:r>
        <w:rPr>
          <w:rFonts w:hint="eastAsia" w:ascii="仿宋" w:hAnsi="仿宋" w:eastAsia="仿宋"/>
          <w:b/>
          <w:sz w:val="32"/>
          <w:szCs w:val="32"/>
        </w:rPr>
        <w:t>133.21</w:t>
      </w:r>
      <w:r>
        <w:rPr>
          <w:rFonts w:hint="eastAsia" w:ascii="仿宋" w:hAnsi="仿宋" w:eastAsia="仿宋"/>
          <w:sz w:val="32"/>
          <w:szCs w:val="32"/>
        </w:rPr>
        <w:t>万元。与2022年度相比，收、支总计各增加</w:t>
      </w:r>
      <w:r>
        <w:rPr>
          <w:rFonts w:hint="eastAsia" w:ascii="仿宋" w:hAnsi="仿宋" w:eastAsia="仿宋"/>
          <w:sz w:val="32"/>
          <w:szCs w:val="32"/>
          <w:lang w:val="en-US" w:eastAsia="zh-CN"/>
        </w:rPr>
        <w:t>22.38</w:t>
      </w:r>
      <w:r>
        <w:rPr>
          <w:rFonts w:hint="eastAsia" w:ascii="仿宋" w:hAnsi="仿宋" w:eastAsia="仿宋"/>
          <w:sz w:val="32"/>
          <w:szCs w:val="32"/>
        </w:rPr>
        <w:t>万元，增长</w:t>
      </w:r>
      <w:r>
        <w:rPr>
          <w:rFonts w:hint="eastAsia" w:ascii="仿宋" w:hAnsi="仿宋" w:eastAsia="仿宋"/>
          <w:sz w:val="32"/>
          <w:szCs w:val="32"/>
          <w:lang w:val="en-US" w:eastAsia="zh-CN"/>
        </w:rPr>
        <w:t>20.19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新增一名职工</w:t>
      </w:r>
      <w:r>
        <w:rPr>
          <w:rFonts w:hint="eastAsia" w:ascii="仿宋" w:hAnsi="仿宋" w:eastAsia="仿宋"/>
          <w:sz w:val="32"/>
          <w:szCs w:val="32"/>
        </w:rPr>
        <w:t>。</w:t>
      </w:r>
    </w:p>
    <w:p w14:paraId="4A4C804C">
      <w:pPr>
        <w:pStyle w:val="26"/>
        <w:numPr>
          <w:ilvl w:val="0"/>
          <w:numId w:val="2"/>
        </w:numPr>
        <w:spacing w:line="600" w:lineRule="exact"/>
        <w:ind w:firstLineChars="0"/>
        <w:outlineLvl w:val="1"/>
        <w:rPr>
          <w:rStyle w:val="28"/>
          <w:rFonts w:ascii="黑体" w:hAnsi="黑体" w:eastAsia="黑体"/>
          <w:b w:val="0"/>
        </w:rPr>
      </w:pPr>
      <w:bookmarkStart w:id="28" w:name="_Toc15396604"/>
      <w:bookmarkStart w:id="29" w:name="_Toc15377206"/>
      <w:r>
        <w:rPr>
          <w:rFonts w:hint="eastAsia" w:ascii="黑体" w:hAnsi="黑体" w:eastAsia="黑体"/>
          <w:sz w:val="32"/>
          <w:szCs w:val="32"/>
        </w:rPr>
        <w:t>收</w:t>
      </w:r>
      <w:r>
        <w:rPr>
          <w:rStyle w:val="28"/>
          <w:rFonts w:hint="eastAsia" w:ascii="黑体" w:hAnsi="黑体" w:eastAsia="黑体"/>
          <w:b w:val="0"/>
        </w:rPr>
        <w:t>入决算情况说明</w:t>
      </w:r>
      <w:bookmarkEnd w:id="28"/>
      <w:bookmarkEnd w:id="29"/>
    </w:p>
    <w:p w14:paraId="3DE93CDC">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2023年度本年收入合计</w:t>
      </w:r>
      <w:r>
        <w:rPr>
          <w:rFonts w:ascii="仿宋" w:hAnsi="仿宋" w:eastAsia="仿宋"/>
          <w:b/>
          <w:sz w:val="32"/>
          <w:szCs w:val="32"/>
        </w:rPr>
        <w:t>124.44</w:t>
      </w:r>
      <w:r>
        <w:rPr>
          <w:rFonts w:hint="eastAsia" w:ascii="仿宋" w:hAnsi="仿宋" w:eastAsia="仿宋"/>
          <w:sz w:val="32"/>
          <w:szCs w:val="32"/>
        </w:rPr>
        <w:t>万元，其中：一般公共预算财政拨款收入</w:t>
      </w:r>
      <w:r>
        <w:rPr>
          <w:rFonts w:ascii="仿宋" w:hAnsi="仿宋" w:eastAsia="仿宋"/>
          <w:b/>
          <w:sz w:val="32"/>
          <w:szCs w:val="32"/>
        </w:rPr>
        <w:t>124.44</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19AE747F">
      <w:pPr>
        <w:pStyle w:val="26"/>
        <w:numPr>
          <w:ilvl w:val="0"/>
          <w:numId w:val="2"/>
        </w:numPr>
        <w:spacing w:line="600" w:lineRule="exact"/>
        <w:ind w:firstLineChars="0"/>
        <w:outlineLvl w:val="1"/>
        <w:rPr>
          <w:rStyle w:val="28"/>
          <w:rFonts w:ascii="黑体" w:hAnsi="黑体" w:eastAsia="黑体"/>
          <w:b w:val="0"/>
        </w:rPr>
      </w:pPr>
      <w:bookmarkStart w:id="30" w:name="_Toc15396605"/>
      <w:bookmarkStart w:id="31" w:name="_Toc15377207"/>
      <w:r>
        <w:rPr>
          <w:rFonts w:hint="eastAsia" w:ascii="黑体" w:hAnsi="黑体" w:eastAsia="黑体"/>
          <w:sz w:val="32"/>
          <w:szCs w:val="32"/>
        </w:rPr>
        <w:t>支</w:t>
      </w:r>
      <w:r>
        <w:rPr>
          <w:rStyle w:val="28"/>
          <w:rFonts w:hint="eastAsia" w:ascii="黑体" w:hAnsi="黑体" w:eastAsia="黑体"/>
          <w:b w:val="0"/>
        </w:rPr>
        <w:t>出决算情况说明</w:t>
      </w:r>
      <w:bookmarkEnd w:id="30"/>
      <w:bookmarkEnd w:id="31"/>
    </w:p>
    <w:p w14:paraId="34A895CE">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2023年度本年支出合计</w:t>
      </w:r>
      <w:r>
        <w:rPr>
          <w:rFonts w:ascii="仿宋" w:hAnsi="仿宋" w:eastAsia="仿宋"/>
          <w:b/>
          <w:sz w:val="32"/>
          <w:szCs w:val="32"/>
        </w:rPr>
        <w:t>133.21</w:t>
      </w:r>
      <w:r>
        <w:rPr>
          <w:rFonts w:hint="eastAsia" w:ascii="仿宋" w:hAnsi="仿宋" w:eastAsia="仿宋"/>
          <w:sz w:val="32"/>
          <w:szCs w:val="32"/>
        </w:rPr>
        <w:t>万元，其中：基本支出</w:t>
      </w:r>
      <w:r>
        <w:rPr>
          <w:rFonts w:ascii="仿宋" w:hAnsi="仿宋" w:eastAsia="仿宋"/>
          <w:b/>
          <w:sz w:val="32"/>
          <w:szCs w:val="32"/>
        </w:rPr>
        <w:t>133.21</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121332E8">
      <w:pPr>
        <w:spacing w:line="600" w:lineRule="exact"/>
        <w:ind w:firstLine="640" w:firstLineChars="200"/>
        <w:outlineLvl w:val="1"/>
        <w:rPr>
          <w:rStyle w:val="28"/>
          <w:rFonts w:ascii="黑体" w:hAnsi="黑体" w:eastAsia="黑体"/>
          <w:b w:val="0"/>
        </w:rPr>
      </w:pPr>
      <w:bookmarkStart w:id="32" w:name="_Toc15377208"/>
      <w:bookmarkStart w:id="33" w:name="_Toc15396606"/>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32"/>
      <w:bookmarkEnd w:id="33"/>
    </w:p>
    <w:p w14:paraId="306A98D3">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rFonts w:ascii="仿宋" w:hAnsi="仿宋" w:eastAsia="仿宋"/>
          <w:b/>
          <w:sz w:val="32"/>
          <w:szCs w:val="32"/>
        </w:rPr>
        <w:t>133.21</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22.38</w:t>
      </w:r>
      <w:r>
        <w:rPr>
          <w:rFonts w:hint="eastAsia" w:ascii="仿宋" w:hAnsi="仿宋" w:eastAsia="仿宋"/>
          <w:sz w:val="32"/>
          <w:szCs w:val="32"/>
        </w:rPr>
        <w:t>万元，增长</w:t>
      </w:r>
      <w:r>
        <w:rPr>
          <w:rFonts w:hint="eastAsia" w:ascii="仿宋" w:hAnsi="仿宋" w:eastAsia="仿宋"/>
          <w:sz w:val="32"/>
          <w:szCs w:val="32"/>
          <w:lang w:val="en-US" w:eastAsia="zh-CN"/>
        </w:rPr>
        <w:t>20.19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新增一名职工。</w:t>
      </w:r>
    </w:p>
    <w:p w14:paraId="1375E027">
      <w:pPr>
        <w:spacing w:line="600" w:lineRule="exact"/>
        <w:ind w:firstLine="640" w:firstLineChars="200"/>
        <w:outlineLvl w:val="1"/>
        <w:rPr>
          <w:rStyle w:val="28"/>
          <w:rFonts w:ascii="黑体" w:hAnsi="黑体" w:eastAsia="黑体"/>
          <w:b w:val="0"/>
        </w:rPr>
      </w:pPr>
      <w:bookmarkStart w:id="34" w:name="_Toc15377209"/>
      <w:bookmarkStart w:id="35" w:name="_Toc15396607"/>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34"/>
      <w:bookmarkEnd w:id="35"/>
    </w:p>
    <w:p w14:paraId="4B54D9C2">
      <w:pPr>
        <w:spacing w:line="600" w:lineRule="exact"/>
        <w:ind w:firstLine="643" w:firstLineChars="200"/>
        <w:outlineLvl w:val="2"/>
        <w:rPr>
          <w:rFonts w:ascii="仿宋" w:hAnsi="仿宋" w:eastAsia="仿宋"/>
          <w:b/>
          <w:sz w:val="32"/>
          <w:szCs w:val="32"/>
        </w:rPr>
      </w:pPr>
      <w:bookmarkStart w:id="36" w:name="_Toc15377210"/>
      <w:r>
        <w:rPr>
          <w:rFonts w:hint="eastAsia" w:ascii="仿宋" w:hAnsi="仿宋" w:eastAsia="仿宋"/>
          <w:b/>
          <w:sz w:val="32"/>
          <w:szCs w:val="32"/>
        </w:rPr>
        <w:t>（一）一般公共预算财政拨款支出决算总体情况</w:t>
      </w:r>
      <w:bookmarkEnd w:id="36"/>
    </w:p>
    <w:p w14:paraId="43718961">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133.21</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22.38</w:t>
      </w:r>
      <w:r>
        <w:rPr>
          <w:rFonts w:hint="eastAsia" w:ascii="仿宋" w:hAnsi="仿宋" w:eastAsia="仿宋"/>
          <w:sz w:val="32"/>
          <w:szCs w:val="32"/>
        </w:rPr>
        <w:t>万元，增长</w:t>
      </w:r>
      <w:r>
        <w:rPr>
          <w:rFonts w:hint="eastAsia" w:ascii="仿宋" w:hAnsi="仿宋" w:eastAsia="仿宋"/>
          <w:sz w:val="32"/>
          <w:szCs w:val="32"/>
          <w:lang w:val="en-US" w:eastAsia="zh-CN"/>
        </w:rPr>
        <w:t>20.19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新增一名职工</w:t>
      </w:r>
    </w:p>
    <w:p w14:paraId="29CBFFC9">
      <w:pPr>
        <w:spacing w:line="600" w:lineRule="exact"/>
        <w:ind w:firstLine="643" w:firstLineChars="200"/>
        <w:outlineLvl w:val="2"/>
        <w:rPr>
          <w:rFonts w:ascii="仿宋" w:hAnsi="仿宋" w:eastAsia="仿宋"/>
          <w:b/>
          <w:sz w:val="32"/>
          <w:szCs w:val="32"/>
        </w:rPr>
      </w:pPr>
      <w:bookmarkStart w:id="37" w:name="_Toc15377211"/>
      <w:r>
        <w:rPr>
          <w:rFonts w:hint="eastAsia" w:ascii="仿宋" w:hAnsi="仿宋" w:eastAsia="仿宋"/>
          <w:b/>
          <w:sz w:val="32"/>
          <w:szCs w:val="32"/>
        </w:rPr>
        <w:t>（二）一般公共预算财政拨款支出决算结构情况</w:t>
      </w:r>
      <w:bookmarkEnd w:id="37"/>
    </w:p>
    <w:p w14:paraId="223ED55B">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133.21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20.72万元，占</w:t>
      </w:r>
      <w:r>
        <w:rPr>
          <w:rFonts w:hint="eastAsia" w:ascii="仿宋" w:hAnsi="仿宋" w:eastAsia="仿宋"/>
          <w:sz w:val="32"/>
          <w:szCs w:val="32"/>
          <w:lang w:val="en-US" w:eastAsia="zh-CN"/>
        </w:rPr>
        <w:t>15.55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卫生健康支出6.34</w:t>
      </w:r>
      <w:r>
        <w:rPr>
          <w:rFonts w:hint="eastAsia" w:ascii="仿宋" w:hAnsi="仿宋" w:eastAsia="仿宋"/>
          <w:sz w:val="32"/>
          <w:szCs w:val="32"/>
        </w:rPr>
        <w:t>万元，占</w:t>
      </w:r>
      <w:r>
        <w:rPr>
          <w:rFonts w:hint="eastAsia" w:ascii="仿宋" w:hAnsi="仿宋" w:eastAsia="仿宋"/>
          <w:sz w:val="32"/>
          <w:szCs w:val="32"/>
          <w:lang w:val="en-US" w:eastAsia="zh-CN"/>
        </w:rPr>
        <w:t>4.76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10.87</w:t>
      </w:r>
      <w:r>
        <w:rPr>
          <w:rFonts w:hint="eastAsia" w:ascii="仿宋" w:hAnsi="仿宋" w:eastAsia="仿宋"/>
          <w:sz w:val="32"/>
          <w:szCs w:val="32"/>
        </w:rPr>
        <w:t>万元，占</w:t>
      </w:r>
      <w:r>
        <w:rPr>
          <w:rFonts w:hint="eastAsia" w:ascii="仿宋" w:hAnsi="仿宋" w:eastAsia="仿宋"/>
          <w:sz w:val="32"/>
          <w:szCs w:val="32"/>
          <w:lang w:val="en-US" w:eastAsia="zh-CN"/>
        </w:rPr>
        <w:t>8.16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资源勘探工业信息等支出</w:t>
      </w:r>
      <w:r>
        <w:rPr>
          <w:rFonts w:hint="eastAsia" w:ascii="仿宋" w:hAnsi="仿宋" w:eastAsia="仿宋"/>
          <w:b/>
          <w:sz w:val="32"/>
          <w:szCs w:val="32"/>
          <w:lang w:val="en-US" w:eastAsia="zh-CN"/>
        </w:rPr>
        <w:t>95.28</w:t>
      </w:r>
      <w:r>
        <w:rPr>
          <w:rFonts w:hint="eastAsia" w:ascii="仿宋" w:hAnsi="仿宋" w:eastAsia="仿宋"/>
          <w:sz w:val="32"/>
          <w:szCs w:val="32"/>
        </w:rPr>
        <w:t>万元，占</w:t>
      </w:r>
      <w:r>
        <w:rPr>
          <w:rFonts w:hint="eastAsia" w:ascii="仿宋" w:hAnsi="仿宋" w:eastAsia="仿宋"/>
          <w:sz w:val="32"/>
          <w:szCs w:val="32"/>
          <w:lang w:val="en-US" w:eastAsia="zh-CN"/>
        </w:rPr>
        <w:t>71.53</w:t>
      </w:r>
      <w:r>
        <w:rPr>
          <w:rFonts w:ascii="仿宋" w:hAnsi="仿宋" w:eastAsia="仿宋"/>
          <w:sz w:val="32"/>
          <w:szCs w:val="32"/>
        </w:rPr>
        <w:t>%</w:t>
      </w:r>
      <w:r>
        <w:rPr>
          <w:rFonts w:hint="eastAsia" w:ascii="仿宋" w:hAnsi="仿宋" w:eastAsia="仿宋"/>
          <w:sz w:val="32"/>
          <w:szCs w:val="32"/>
        </w:rPr>
        <w:t>。</w:t>
      </w:r>
    </w:p>
    <w:p w14:paraId="6439D715">
      <w:pPr>
        <w:spacing w:line="600" w:lineRule="exact"/>
        <w:ind w:firstLine="643" w:firstLineChars="200"/>
        <w:outlineLvl w:val="2"/>
        <w:rPr>
          <w:rFonts w:ascii="仿宋" w:hAnsi="仿宋" w:eastAsia="仿宋"/>
          <w:b/>
          <w:sz w:val="32"/>
          <w:szCs w:val="32"/>
        </w:rPr>
      </w:pPr>
      <w:bookmarkStart w:id="38" w:name="_Toc15377212"/>
      <w:r>
        <w:rPr>
          <w:rFonts w:hint="eastAsia" w:ascii="仿宋" w:hAnsi="仿宋" w:eastAsia="仿宋"/>
          <w:b/>
          <w:sz w:val="32"/>
          <w:szCs w:val="32"/>
        </w:rPr>
        <w:t>（三）一般公共预算财政拨款支出决算具体情况</w:t>
      </w:r>
      <w:bookmarkEnd w:id="38"/>
    </w:p>
    <w:p w14:paraId="1F06CB98">
      <w:pPr>
        <w:spacing w:line="600" w:lineRule="exact"/>
        <w:ind w:firstLine="643" w:firstLineChars="200"/>
        <w:outlineLvl w:val="2"/>
        <w:rPr>
          <w:rFonts w:ascii="仿宋" w:hAnsi="仿宋" w:eastAsia="仿宋"/>
          <w:sz w:val="32"/>
          <w:szCs w:val="32"/>
        </w:rPr>
      </w:pPr>
      <w:bookmarkStart w:id="39" w:name="_Toc15378460"/>
      <w:bookmarkStart w:id="40" w:name="_Toc15377444"/>
      <w:bookmarkStart w:id="41" w:name="_Toc15377213"/>
      <w:r>
        <w:rPr>
          <w:rFonts w:hint="eastAsia" w:ascii="仿宋" w:hAnsi="仿宋" w:eastAsia="仿宋"/>
          <w:b/>
          <w:sz w:val="32"/>
          <w:szCs w:val="32"/>
        </w:rPr>
        <w:t>2023年度一般公共预算支出决算数为</w:t>
      </w:r>
      <w:r>
        <w:rPr>
          <w:rFonts w:ascii="仿宋" w:hAnsi="仿宋" w:eastAsia="仿宋"/>
          <w:b/>
          <w:sz w:val="32"/>
          <w:szCs w:val="32"/>
        </w:rPr>
        <w:t>133.21</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39"/>
      <w:bookmarkEnd w:id="40"/>
      <w:bookmarkEnd w:id="41"/>
    </w:p>
    <w:p w14:paraId="39EB0B7B">
      <w:pPr>
        <w:numPr>
          <w:ilvl w:val="0"/>
          <w:numId w:val="0"/>
        </w:num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1.</w:t>
      </w:r>
      <w:r>
        <w:rPr>
          <w:rStyle w:val="16"/>
          <w:rFonts w:hint="eastAsia" w:ascii="仿宋" w:hAnsi="仿宋" w:eastAsia="仿宋"/>
          <w:bCs/>
          <w:sz w:val="32"/>
          <w:szCs w:val="32"/>
        </w:rPr>
        <w:t>社会保障和就业（</w:t>
      </w:r>
      <w:r>
        <w:rPr>
          <w:rStyle w:val="16"/>
          <w:rFonts w:hint="eastAsia" w:ascii="仿宋" w:hAnsi="仿宋" w:eastAsia="仿宋"/>
          <w:bCs/>
          <w:sz w:val="32"/>
          <w:szCs w:val="32"/>
          <w:lang w:val="en-US" w:eastAsia="zh-CN"/>
        </w:rPr>
        <w:t>208</w:t>
      </w:r>
      <w:r>
        <w:rPr>
          <w:rStyle w:val="16"/>
          <w:rFonts w:hint="eastAsia" w:ascii="仿宋" w:hAnsi="仿宋" w:eastAsia="仿宋"/>
          <w:bCs/>
          <w:sz w:val="32"/>
          <w:szCs w:val="32"/>
        </w:rPr>
        <w:t>）</w:t>
      </w:r>
      <w:r>
        <w:rPr>
          <w:rStyle w:val="16"/>
          <w:rFonts w:hint="eastAsia" w:ascii="仿宋" w:hAnsi="仿宋" w:eastAsia="仿宋"/>
          <w:bCs/>
          <w:color w:val="000000"/>
          <w:sz w:val="32"/>
          <w:szCs w:val="32"/>
        </w:rPr>
        <w:t>行政事业单位养老支出</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05</w:t>
      </w:r>
      <w:r>
        <w:rPr>
          <w:rStyle w:val="16"/>
          <w:rFonts w:hint="eastAsia" w:ascii="仿宋" w:hAnsi="仿宋" w:eastAsia="仿宋"/>
          <w:bCs/>
          <w:sz w:val="32"/>
          <w:szCs w:val="32"/>
        </w:rPr>
        <w:t>）</w:t>
      </w:r>
      <w:r>
        <w:rPr>
          <w:rStyle w:val="16"/>
          <w:rFonts w:hint="eastAsia" w:ascii="仿宋" w:hAnsi="仿宋" w:eastAsia="仿宋"/>
          <w:bCs/>
          <w:color w:val="000000"/>
          <w:sz w:val="32"/>
          <w:szCs w:val="32"/>
        </w:rPr>
        <w:t>机关事业单位基本养老保险缴费支出</w:t>
      </w:r>
      <w:r>
        <w:rPr>
          <w:rStyle w:val="16"/>
          <w:rFonts w:hint="eastAsia" w:ascii="仿宋" w:hAnsi="仿宋" w:eastAsia="仿宋"/>
          <w:bCs/>
          <w:sz w:val="32"/>
          <w:szCs w:val="32"/>
        </w:rPr>
        <w:t>（</w:t>
      </w:r>
      <w:r>
        <w:rPr>
          <w:rStyle w:val="16"/>
          <w:rFonts w:hint="eastAsia" w:ascii="仿宋" w:hAnsi="仿宋" w:eastAsia="仿宋"/>
          <w:bCs/>
          <w:sz w:val="32"/>
          <w:szCs w:val="32"/>
          <w:lang w:val="en-US" w:eastAsia="zh-CN"/>
        </w:rPr>
        <w:t>05</w:t>
      </w:r>
      <w:r>
        <w:rPr>
          <w:rStyle w:val="16"/>
          <w:rFonts w:hint="eastAsia" w:ascii="仿宋" w:hAnsi="仿宋" w:eastAsia="仿宋"/>
          <w:bCs/>
          <w:sz w:val="32"/>
          <w:szCs w:val="32"/>
        </w:rPr>
        <w:t>）</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13.13</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p>
    <w:p w14:paraId="5AD52056">
      <w:pPr>
        <w:numPr>
          <w:ilvl w:val="0"/>
          <w:numId w:val="0"/>
        </w:num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color w:val="000000"/>
          <w:sz w:val="32"/>
          <w:szCs w:val="32"/>
          <w:lang w:val="en-US" w:eastAsia="zh-CN"/>
        </w:rPr>
        <w:t>2.</w:t>
      </w:r>
      <w:r>
        <w:rPr>
          <w:rStyle w:val="16"/>
          <w:rFonts w:hint="eastAsia" w:ascii="仿宋" w:hAnsi="仿宋" w:eastAsia="仿宋"/>
          <w:bCs/>
          <w:color w:val="000000"/>
          <w:sz w:val="32"/>
          <w:szCs w:val="32"/>
        </w:rPr>
        <w:t>社会保障和就业支出（</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）行政事业单位养老支出（</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 机关事业单位职业年金缴费支出（</w:t>
      </w:r>
      <w:r>
        <w:rPr>
          <w:rStyle w:val="16"/>
          <w:rFonts w:hint="eastAsia" w:ascii="仿宋" w:hAnsi="仿宋" w:eastAsia="仿宋"/>
          <w:bCs/>
          <w:color w:val="000000"/>
          <w:sz w:val="32"/>
          <w:szCs w:val="32"/>
          <w:lang w:val="en-US" w:eastAsia="zh-CN"/>
        </w:rPr>
        <w:t>06</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7.59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C8AF12B">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hint="eastAsia" w:ascii="仿宋" w:hAnsi="仿宋" w:eastAsia="仿宋"/>
          <w:bCs/>
          <w:color w:val="000000"/>
          <w:sz w:val="32"/>
          <w:szCs w:val="32"/>
        </w:rPr>
        <w:t>卫生健康支出（</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）行政事业单位医疗（</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  事业单位医疗（</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6.34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7180A7A9">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hint="eastAsia" w:ascii="仿宋" w:hAnsi="仿宋" w:eastAsia="仿宋"/>
          <w:bCs/>
          <w:color w:val="000000"/>
          <w:sz w:val="32"/>
          <w:szCs w:val="32"/>
        </w:rPr>
        <w:t>资源勘探工业信息等支出（</w:t>
      </w:r>
      <w:r>
        <w:rPr>
          <w:rStyle w:val="16"/>
          <w:rFonts w:hint="eastAsia" w:ascii="仿宋" w:hAnsi="仿宋" w:eastAsia="仿宋"/>
          <w:bCs/>
          <w:color w:val="000000"/>
          <w:sz w:val="32"/>
          <w:szCs w:val="32"/>
          <w:lang w:val="en-US" w:eastAsia="zh-CN"/>
        </w:rPr>
        <w:t>215</w:t>
      </w:r>
      <w:r>
        <w:rPr>
          <w:rStyle w:val="16"/>
          <w:rFonts w:hint="eastAsia" w:ascii="仿宋" w:hAnsi="仿宋" w:eastAsia="仿宋"/>
          <w:bCs/>
          <w:color w:val="000000"/>
          <w:sz w:val="32"/>
          <w:szCs w:val="32"/>
        </w:rPr>
        <w:t>）工业和信息产业监管（</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）事业运行（</w:t>
      </w:r>
      <w:r>
        <w:rPr>
          <w:rStyle w:val="16"/>
          <w:rFonts w:hint="eastAsia" w:ascii="仿宋" w:hAnsi="仿宋" w:eastAsia="仿宋"/>
          <w:bCs/>
          <w:color w:val="000000"/>
          <w:sz w:val="32"/>
          <w:szCs w:val="32"/>
          <w:lang w:val="en-US" w:eastAsia="zh-CN"/>
        </w:rPr>
        <w:t>50</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95.28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08D09847">
      <w:pPr>
        <w:spacing w:line="600" w:lineRule="exact"/>
        <w:ind w:firstLine="643" w:firstLineChars="200"/>
        <w:rPr>
          <w:rFonts w:ascii="仿宋" w:hAnsi="仿宋" w:eastAsia="仿宋"/>
          <w:b/>
          <w:sz w:val="32"/>
          <w:szCs w:val="32"/>
        </w:rPr>
      </w:pPr>
      <w:r>
        <w:rPr>
          <w:rStyle w:val="16"/>
          <w:rFonts w:hint="eastAsia" w:ascii="仿宋" w:hAnsi="仿宋" w:eastAsia="仿宋"/>
          <w:bCs/>
          <w:color w:val="000000"/>
          <w:sz w:val="32"/>
          <w:szCs w:val="32"/>
          <w:lang w:val="en-US" w:eastAsia="zh-CN"/>
        </w:rPr>
        <w:t>5.</w:t>
      </w:r>
      <w:r>
        <w:rPr>
          <w:rStyle w:val="16"/>
          <w:rFonts w:hint="eastAsia" w:ascii="仿宋" w:hAnsi="仿宋" w:eastAsia="仿宋"/>
          <w:bCs/>
          <w:color w:val="000000"/>
          <w:sz w:val="32"/>
          <w:szCs w:val="32"/>
        </w:rPr>
        <w:t>住房保障支出（</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）住房改革支出（</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）住房公积金（</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10.87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306A4518">
      <w:pPr>
        <w:tabs>
          <w:tab w:val="right" w:pos="8306"/>
        </w:tabs>
        <w:spacing w:line="600" w:lineRule="exact"/>
        <w:ind w:firstLine="320" w:firstLineChars="100"/>
        <w:outlineLvl w:val="1"/>
        <w:rPr>
          <w:rStyle w:val="28"/>
        </w:rPr>
      </w:pPr>
      <w:bookmarkStart w:id="42" w:name="_Toc15377214"/>
      <w:bookmarkStart w:id="43"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42"/>
      <w:bookmarkEnd w:id="43"/>
      <w:r>
        <w:rPr>
          <w:rStyle w:val="28"/>
          <w:rFonts w:ascii="黑体" w:hAnsi="黑体" w:eastAsia="黑体"/>
          <w:b w:val="0"/>
        </w:rPr>
        <w:tab/>
      </w:r>
    </w:p>
    <w:p w14:paraId="6F759B3C">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133.21</w:t>
      </w:r>
      <w:r>
        <w:rPr>
          <w:rFonts w:hint="eastAsia" w:ascii="仿宋" w:hAnsi="仿宋" w:eastAsia="仿宋"/>
          <w:sz w:val="32"/>
          <w:szCs w:val="32"/>
        </w:rPr>
        <w:t>万元，其中：</w:t>
      </w:r>
    </w:p>
    <w:p w14:paraId="2FCADD0B">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127.58</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5.64</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FD1D3C2">
      <w:pPr>
        <w:spacing w:line="600" w:lineRule="exact"/>
        <w:ind w:firstLine="640"/>
        <w:outlineLvl w:val="1"/>
        <w:rPr>
          <w:rStyle w:val="28"/>
          <w:rFonts w:ascii="黑体" w:hAnsi="黑体" w:eastAsia="黑体"/>
          <w:b w:val="0"/>
        </w:rPr>
      </w:pPr>
      <w:bookmarkStart w:id="44" w:name="_Toc15396609"/>
      <w:bookmarkStart w:id="45" w:name="_Toc15377215"/>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44"/>
      <w:bookmarkEnd w:id="45"/>
    </w:p>
    <w:p w14:paraId="229BC569">
      <w:pPr>
        <w:spacing w:line="600" w:lineRule="exact"/>
        <w:ind w:firstLine="640"/>
        <w:outlineLvl w:val="2"/>
        <w:rPr>
          <w:rFonts w:ascii="仿宋" w:hAnsi="仿宋" w:eastAsia="仿宋"/>
          <w:b/>
          <w:sz w:val="32"/>
          <w:szCs w:val="32"/>
        </w:rPr>
      </w:pPr>
      <w:bookmarkStart w:id="46" w:name="_Toc15377216"/>
      <w:r>
        <w:rPr>
          <w:rFonts w:hint="eastAsia" w:ascii="仿宋" w:hAnsi="仿宋" w:eastAsia="仿宋"/>
          <w:b/>
          <w:sz w:val="32"/>
          <w:szCs w:val="32"/>
        </w:rPr>
        <w:t>（一）“三公”经费财政拨款支出决算总体情况说明</w:t>
      </w:r>
      <w:bookmarkEnd w:id="46"/>
    </w:p>
    <w:p w14:paraId="72EFA431">
      <w:pPr>
        <w:spacing w:line="600" w:lineRule="exact"/>
        <w:ind w:firstLine="640"/>
        <w:rPr>
          <w:rFonts w:ascii="仿宋" w:hAnsi="仿宋" w:eastAsia="仿宋"/>
          <w:b/>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0</w:t>
      </w:r>
      <w:r>
        <w:rPr>
          <w:rFonts w:hint="eastAsia" w:ascii="仿宋" w:hAnsi="仿宋" w:eastAsia="仿宋"/>
          <w:sz w:val="32"/>
          <w:szCs w:val="32"/>
        </w:rPr>
        <w:t>万元，完成预算</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568364E0">
      <w:pPr>
        <w:spacing w:line="600" w:lineRule="exact"/>
        <w:ind w:firstLine="640"/>
        <w:outlineLvl w:val="2"/>
        <w:rPr>
          <w:rFonts w:ascii="仿宋" w:hAnsi="仿宋" w:eastAsia="仿宋"/>
          <w:b/>
          <w:sz w:val="32"/>
          <w:szCs w:val="32"/>
        </w:rPr>
      </w:pPr>
      <w:bookmarkStart w:id="47" w:name="_Toc15377217"/>
      <w:r>
        <w:rPr>
          <w:rFonts w:hint="eastAsia" w:ascii="仿宋" w:hAnsi="仿宋" w:eastAsia="仿宋"/>
          <w:b/>
          <w:sz w:val="32"/>
          <w:szCs w:val="32"/>
        </w:rPr>
        <w:t>（二）“三公”经费财政拨款支出决算具体情况说明</w:t>
      </w:r>
      <w:bookmarkEnd w:id="47"/>
    </w:p>
    <w:p w14:paraId="6D121616">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3F5CE62F">
      <w:pPr>
        <w:spacing w:line="600" w:lineRule="exact"/>
        <w:ind w:firstLine="640"/>
        <w:rPr>
          <w:rFonts w:ascii="仿宋_GB2312" w:eastAsia="仿宋_GB2312"/>
          <w:sz w:val="32"/>
          <w:szCs w:val="32"/>
        </w:rPr>
      </w:pPr>
      <w:bookmarkStart w:id="48" w:name="_Toc15396610"/>
      <w:bookmarkStart w:id="49" w:name="_Toc15377218"/>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023A59D3">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641969C">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655A3426">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万元。主要用于公务用车燃料费、维修费、过路过桥费、保险费等支出。</w:t>
      </w:r>
    </w:p>
    <w:p w14:paraId="54DD1F7D">
      <w:pPr>
        <w:numPr>
          <w:ilvl w:val="0"/>
          <w:numId w:val="3"/>
        </w:numPr>
        <w:spacing w:line="600" w:lineRule="exact"/>
        <w:ind w:firstLine="640"/>
        <w:rPr>
          <w:rFonts w:hint="eastAsia" w:ascii="仿宋_GB2312" w:eastAsia="仿宋_GB2312"/>
          <w:sz w:val="32"/>
          <w:szCs w:val="32"/>
        </w:rPr>
      </w:pP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0%</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59582D60">
      <w:pPr>
        <w:numPr>
          <w:ilvl w:val="0"/>
          <w:numId w:val="0"/>
        </w:numPr>
        <w:spacing w:line="600" w:lineRule="exact"/>
        <w:ind w:firstLine="964" w:firstLineChars="300"/>
        <w:rPr>
          <w:rFonts w:ascii="仿宋_GB2312" w:eastAsia="仿宋_GB2312"/>
          <w:sz w:val="32"/>
          <w:szCs w:val="32"/>
        </w:rPr>
      </w:pPr>
      <w:r>
        <w:rPr>
          <w:rFonts w:hint="eastAsia" w:ascii="仿宋" w:hAnsi="仿宋" w:eastAsia="仿宋"/>
          <w:b/>
          <w:sz w:val="32"/>
          <w:szCs w:val="32"/>
          <w:lang w:val="en-US" w:eastAsia="zh-CN"/>
        </w:rPr>
        <w:t>其中：</w:t>
      </w: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0A335844">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万元，主要用于接待。外事接待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028BA288">
      <w:pPr>
        <w:spacing w:line="600" w:lineRule="exact"/>
        <w:ind w:firstLine="640"/>
        <w:outlineLvl w:val="1"/>
        <w:rPr>
          <w:rFonts w:ascii="黑体" w:eastAsia="黑体"/>
          <w:sz w:val="32"/>
          <w:szCs w:val="32"/>
        </w:rPr>
      </w:pPr>
    </w:p>
    <w:p w14:paraId="545F8B8C">
      <w:pPr>
        <w:spacing w:line="600" w:lineRule="exact"/>
        <w:ind w:firstLine="640"/>
        <w:outlineLvl w:val="1"/>
        <w:rPr>
          <w:rStyle w:val="28"/>
          <w:rFonts w:ascii="黑体" w:hAnsi="黑体" w:eastAsia="黑体"/>
        </w:rPr>
      </w:pPr>
      <w:r>
        <w:rPr>
          <w:rFonts w:hint="eastAsia" w:ascii="黑体" w:eastAsia="黑体"/>
          <w:sz w:val="32"/>
          <w:szCs w:val="32"/>
        </w:rPr>
        <w:t>八、</w:t>
      </w:r>
      <w:r>
        <w:rPr>
          <w:rStyle w:val="28"/>
          <w:rFonts w:hint="eastAsia" w:ascii="黑体" w:hAnsi="黑体" w:eastAsia="黑体"/>
          <w:b w:val="0"/>
        </w:rPr>
        <w:t>政府性基金预算支出决算情况说明</w:t>
      </w:r>
      <w:bookmarkEnd w:id="48"/>
      <w:bookmarkEnd w:id="49"/>
    </w:p>
    <w:p w14:paraId="57585B03">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7FAC9A93">
      <w:pPr>
        <w:spacing w:line="600" w:lineRule="exact"/>
        <w:ind w:firstLine="640"/>
        <w:rPr>
          <w:rFonts w:ascii="仿宋_GB2312" w:eastAsia="仿宋_GB2312"/>
          <w:sz w:val="32"/>
          <w:szCs w:val="32"/>
        </w:rPr>
      </w:pPr>
    </w:p>
    <w:p w14:paraId="54B463AE">
      <w:pPr>
        <w:numPr>
          <w:ilvl w:val="0"/>
          <w:numId w:val="4"/>
        </w:numPr>
        <w:spacing w:line="600" w:lineRule="exact"/>
        <w:ind w:firstLine="640"/>
        <w:outlineLvl w:val="1"/>
        <w:rPr>
          <w:rStyle w:val="28"/>
          <w:rFonts w:ascii="黑体" w:hAnsi="黑体" w:eastAsia="黑体"/>
          <w:b w:val="0"/>
        </w:rPr>
      </w:pPr>
      <w:bookmarkStart w:id="50" w:name="_Toc15377219"/>
      <w:bookmarkStart w:id="51" w:name="_Toc15396611"/>
      <w:r>
        <w:rPr>
          <w:rStyle w:val="28"/>
          <w:rFonts w:hint="eastAsia" w:ascii="黑体" w:hAnsi="黑体" w:eastAsia="黑体"/>
          <w:b w:val="0"/>
        </w:rPr>
        <w:t>国有资本经营预算支出决算情况说明</w:t>
      </w:r>
      <w:bookmarkEnd w:id="50"/>
      <w:bookmarkEnd w:id="51"/>
    </w:p>
    <w:p w14:paraId="5712F197">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4B77A084">
      <w:pPr>
        <w:spacing w:line="580" w:lineRule="exact"/>
        <w:jc w:val="center"/>
        <w:rPr>
          <w:rFonts w:ascii="方正小标宋简体" w:hAnsi="方正小标宋简体" w:eastAsia="方正小标宋简体" w:cs="方正小标宋简体"/>
          <w:sz w:val="44"/>
          <w:szCs w:val="44"/>
        </w:rPr>
      </w:pPr>
    </w:p>
    <w:p w14:paraId="4C1EBE58">
      <w:pPr>
        <w:numPr>
          <w:ilvl w:val="0"/>
          <w:numId w:val="4"/>
        </w:numPr>
        <w:spacing w:line="600" w:lineRule="exact"/>
        <w:ind w:firstLine="640"/>
        <w:outlineLvl w:val="1"/>
        <w:rPr>
          <w:rStyle w:val="28"/>
          <w:rFonts w:ascii="黑体" w:hAnsi="黑体" w:eastAsia="黑体"/>
          <w:b w:val="0"/>
        </w:rPr>
      </w:pPr>
      <w:bookmarkStart w:id="52" w:name="_Toc15377221"/>
      <w:bookmarkStart w:id="53" w:name="_Toc15396612"/>
      <w:r>
        <w:rPr>
          <w:rStyle w:val="28"/>
          <w:rFonts w:hint="eastAsia" w:ascii="黑体" w:hAnsi="黑体" w:eastAsia="黑体"/>
          <w:b w:val="0"/>
        </w:rPr>
        <w:t>其他重要事项的情况说明</w:t>
      </w:r>
      <w:bookmarkEnd w:id="52"/>
      <w:bookmarkEnd w:id="53"/>
    </w:p>
    <w:p w14:paraId="10D3A731">
      <w:pPr>
        <w:spacing w:line="600" w:lineRule="exact"/>
        <w:ind w:firstLine="643" w:firstLineChars="200"/>
        <w:outlineLvl w:val="2"/>
        <w:rPr>
          <w:rFonts w:ascii="仿宋" w:hAnsi="仿宋" w:eastAsia="仿宋"/>
          <w:sz w:val="32"/>
          <w:szCs w:val="32"/>
        </w:rPr>
      </w:pPr>
      <w:bookmarkStart w:id="54" w:name="_Toc15377222"/>
      <w:r>
        <w:rPr>
          <w:rFonts w:hint="eastAsia" w:ascii="仿宋" w:hAnsi="仿宋" w:eastAsia="仿宋"/>
          <w:b/>
          <w:sz w:val="32"/>
          <w:szCs w:val="32"/>
        </w:rPr>
        <w:t>（一）机关运行经费支出情况</w:t>
      </w:r>
      <w:bookmarkEnd w:id="54"/>
    </w:p>
    <w:p w14:paraId="50665A09">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节能和无线电监测中心</w:t>
      </w:r>
      <w:r>
        <w:rPr>
          <w:rFonts w:hint="eastAsia" w:ascii="仿宋_GB2312" w:eastAsia="仿宋_GB2312"/>
          <w:sz w:val="32"/>
          <w:szCs w:val="32"/>
        </w:rPr>
        <w:t>机关运行经费支出</w:t>
      </w:r>
      <w:r>
        <w:rPr>
          <w:rFonts w:hint="eastAsia" w:ascii="仿宋" w:hAnsi="仿宋" w:eastAsia="仿宋"/>
          <w:b/>
          <w:sz w:val="32"/>
          <w:szCs w:val="32"/>
          <w:lang w:val="en-US" w:eastAsia="zh-CN"/>
        </w:rPr>
        <w:t>5.64</w:t>
      </w:r>
      <w:r>
        <w:rPr>
          <w:rFonts w:hint="eastAsia" w:ascii="仿宋_GB2312" w:eastAsia="仿宋_GB2312"/>
          <w:sz w:val="32"/>
          <w:szCs w:val="32"/>
        </w:rPr>
        <w:t>万元，比2022年度增加</w:t>
      </w:r>
      <w:r>
        <w:rPr>
          <w:rFonts w:hint="eastAsia" w:ascii="仿宋_GB2312" w:eastAsia="仿宋_GB2312"/>
          <w:sz w:val="32"/>
          <w:szCs w:val="32"/>
          <w:lang w:val="en-US" w:eastAsia="zh-CN"/>
        </w:rPr>
        <w:t>5.64</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2022年</w:t>
      </w:r>
      <w:r>
        <w:rPr>
          <w:rFonts w:hint="eastAsia" w:ascii="仿宋_GB2312" w:eastAsia="仿宋_GB2312"/>
          <w:sz w:val="32"/>
          <w:szCs w:val="32"/>
        </w:rPr>
        <w:t>机关运行经费</w:t>
      </w:r>
      <w:r>
        <w:rPr>
          <w:rFonts w:hint="eastAsia" w:ascii="仿宋_GB2312" w:eastAsia="仿宋_GB2312"/>
          <w:sz w:val="32"/>
          <w:szCs w:val="32"/>
          <w:lang w:val="en-US" w:eastAsia="zh-CN"/>
        </w:rPr>
        <w:t>与经济和信息化局共用</w:t>
      </w:r>
      <w:r>
        <w:rPr>
          <w:rFonts w:hint="eastAsia" w:ascii="仿宋_GB2312" w:eastAsia="仿宋_GB2312"/>
          <w:sz w:val="32"/>
          <w:szCs w:val="32"/>
          <w:lang w:eastAsia="zh-CN"/>
        </w:rPr>
        <w:t>，</w:t>
      </w:r>
      <w:r>
        <w:rPr>
          <w:rFonts w:hint="eastAsia" w:ascii="仿宋_GB2312" w:eastAsia="仿宋_GB2312"/>
          <w:sz w:val="32"/>
          <w:szCs w:val="32"/>
          <w:lang w:val="en-US" w:eastAsia="zh-CN"/>
        </w:rPr>
        <w:t>今年独立使用</w:t>
      </w:r>
      <w:r>
        <w:rPr>
          <w:rFonts w:hint="eastAsia" w:ascii="仿宋_GB2312" w:eastAsia="仿宋_GB2312"/>
          <w:sz w:val="32"/>
          <w:szCs w:val="32"/>
        </w:rPr>
        <w:t>机关运行经费。</w:t>
      </w:r>
    </w:p>
    <w:p w14:paraId="06C2EB51">
      <w:pPr>
        <w:autoSpaceDE w:val="0"/>
        <w:autoSpaceDN w:val="0"/>
        <w:adjustRightInd w:val="0"/>
        <w:spacing w:line="600" w:lineRule="exact"/>
        <w:ind w:firstLine="643" w:firstLineChars="200"/>
        <w:jc w:val="left"/>
        <w:outlineLvl w:val="2"/>
        <w:rPr>
          <w:rFonts w:ascii="仿宋" w:hAnsi="仿宋" w:eastAsia="仿宋"/>
          <w:b/>
          <w:sz w:val="32"/>
          <w:szCs w:val="32"/>
        </w:rPr>
      </w:pPr>
      <w:bookmarkStart w:id="55" w:name="_Toc15377223"/>
      <w:r>
        <w:rPr>
          <w:rFonts w:hint="eastAsia" w:ascii="仿宋" w:hAnsi="仿宋" w:eastAsia="仿宋"/>
          <w:b/>
          <w:sz w:val="32"/>
          <w:szCs w:val="32"/>
        </w:rPr>
        <w:t>（二）政府采购支出情况</w:t>
      </w:r>
      <w:bookmarkEnd w:id="55"/>
    </w:p>
    <w:p w14:paraId="6AC43CF1">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节能和无线电监测中心</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61CE50A1">
      <w:pPr>
        <w:autoSpaceDE w:val="0"/>
        <w:autoSpaceDN w:val="0"/>
        <w:adjustRightInd w:val="0"/>
        <w:spacing w:line="600" w:lineRule="exact"/>
        <w:ind w:firstLine="643" w:firstLineChars="200"/>
        <w:jc w:val="left"/>
        <w:outlineLvl w:val="2"/>
        <w:rPr>
          <w:rFonts w:ascii="仿宋" w:hAnsi="仿宋" w:eastAsia="仿宋"/>
          <w:b/>
          <w:sz w:val="32"/>
          <w:szCs w:val="32"/>
        </w:rPr>
      </w:pPr>
      <w:bookmarkStart w:id="56" w:name="_Toc15377224"/>
      <w:r>
        <w:rPr>
          <w:rFonts w:hint="eastAsia" w:ascii="仿宋" w:hAnsi="仿宋" w:eastAsia="仿宋"/>
          <w:b/>
          <w:sz w:val="32"/>
          <w:szCs w:val="32"/>
        </w:rPr>
        <w:t>（三）国有资产占有使用情况</w:t>
      </w:r>
      <w:bookmarkEnd w:id="56"/>
    </w:p>
    <w:p w14:paraId="29DBAFB3">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节能和无线电监测中心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24BD4A34">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64E3A8B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14:paraId="57E5988E">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年部门整体支出开展绩效自评，从评价情况来看我</w:t>
      </w:r>
      <w:r>
        <w:rPr>
          <w:rFonts w:hint="eastAsia" w:ascii="仿宋_GB2312" w:eastAsia="仿宋_GB2312" w:cs="仿宋_GB2312"/>
          <w:sz w:val="32"/>
          <w:szCs w:val="32"/>
          <w:lang w:val="en-US" w:eastAsia="zh-CN"/>
        </w:rPr>
        <w:t>中心</w:t>
      </w:r>
      <w:r>
        <w:rPr>
          <w:rFonts w:hint="eastAsia" w:ascii="仿宋_GB2312" w:eastAsia="仿宋_GB2312"/>
          <w:sz w:val="32"/>
          <w:szCs w:val="32"/>
        </w:rPr>
        <w:t>理清工作思路，明确</w:t>
      </w:r>
      <w:r>
        <w:rPr>
          <w:rFonts w:ascii="仿宋_GB2312" w:eastAsia="仿宋_GB2312"/>
          <w:sz w:val="32"/>
          <w:szCs w:val="32"/>
          <w:lang w:val="en-US" w:eastAsia="zh-CN"/>
        </w:rPr>
        <w:t>监测</w:t>
      </w:r>
      <w:r>
        <w:rPr>
          <w:rFonts w:hint="eastAsia" w:ascii="仿宋_GB2312" w:eastAsia="仿宋_GB2312"/>
          <w:sz w:val="32"/>
          <w:szCs w:val="32"/>
        </w:rPr>
        <w:t>工作重点，科学谋划工作措施,</w:t>
      </w:r>
      <w:r>
        <w:rPr>
          <w:rFonts w:hint="eastAsia" w:ascii="仿宋_GB2312" w:eastAsia="仿宋_GB2312"/>
          <w:bCs/>
          <w:sz w:val="32"/>
          <w:szCs w:val="32"/>
        </w:rPr>
        <w:t xml:space="preserve"> </w:t>
      </w:r>
      <w:r>
        <w:rPr>
          <w:rFonts w:hint="eastAsia" w:ascii="仿宋_GB2312" w:eastAsia="仿宋_GB2312"/>
          <w:sz w:val="32"/>
          <w:szCs w:val="32"/>
        </w:rPr>
        <w:t>坚持以习近平总书记系列重要讲话以及省委、州委、县委有关重大决策部署为引领，</w:t>
      </w:r>
      <w:r>
        <w:rPr>
          <w:rFonts w:hint="eastAsia" w:ascii="仿宋_GB2312" w:eastAsia="仿宋_GB2312" w:cs="宋体"/>
          <w:kern w:val="0"/>
          <w:sz w:val="32"/>
          <w:szCs w:val="32"/>
        </w:rPr>
        <w:t>坚持客观总结，</w:t>
      </w:r>
      <w:r>
        <w:rPr>
          <w:rFonts w:hint="eastAsia" w:ascii="仿宋_GB2312" w:eastAsia="仿宋_GB2312"/>
          <w:sz w:val="32"/>
          <w:szCs w:val="32"/>
        </w:rPr>
        <w:t>提前科学谋划推动</w:t>
      </w: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年的</w:t>
      </w:r>
      <w:r>
        <w:rPr>
          <w:rFonts w:ascii="仿宋_GB2312" w:eastAsia="仿宋_GB2312"/>
          <w:sz w:val="32"/>
          <w:szCs w:val="32"/>
          <w:lang w:val="en-US" w:eastAsia="zh-CN"/>
        </w:rPr>
        <w:t>监测</w:t>
      </w:r>
      <w:r>
        <w:rPr>
          <w:rFonts w:hint="eastAsia" w:ascii="仿宋_GB2312" w:eastAsia="仿宋_GB2312"/>
          <w:sz w:val="32"/>
          <w:szCs w:val="32"/>
        </w:rPr>
        <w:t>工作，确立了全县</w:t>
      </w:r>
      <w:r>
        <w:rPr>
          <w:rFonts w:ascii="仿宋_GB2312" w:eastAsia="仿宋_GB2312"/>
          <w:sz w:val="32"/>
          <w:szCs w:val="32"/>
          <w:lang w:val="en-US" w:eastAsia="zh-CN"/>
        </w:rPr>
        <w:t>监测</w:t>
      </w:r>
      <w:r>
        <w:rPr>
          <w:rFonts w:hint="eastAsia" w:ascii="仿宋_GB2312" w:eastAsia="仿宋_GB2312"/>
          <w:sz w:val="32"/>
          <w:szCs w:val="32"/>
          <w:lang w:val="en-US" w:eastAsia="zh-CN"/>
        </w:rPr>
        <w:t>中心</w:t>
      </w:r>
      <w:r>
        <w:rPr>
          <w:rFonts w:hint="eastAsia" w:ascii="仿宋_GB2312" w:eastAsia="仿宋_GB2312"/>
          <w:sz w:val="32"/>
          <w:szCs w:val="32"/>
        </w:rPr>
        <w:t>机关“围绕</w:t>
      </w:r>
      <w:r>
        <w:rPr>
          <w:rFonts w:hint="eastAsia" w:ascii="仿宋_GB2312" w:eastAsia="仿宋_GB2312"/>
          <w:bCs/>
          <w:sz w:val="32"/>
          <w:szCs w:val="32"/>
        </w:rPr>
        <w:t>灾后恢复重建、脱贫攻坚、</w:t>
      </w:r>
      <w:r>
        <w:rPr>
          <w:rFonts w:ascii="仿宋_GB2312" w:eastAsia="仿宋_GB2312"/>
          <w:bCs/>
          <w:sz w:val="32"/>
          <w:szCs w:val="32"/>
        </w:rPr>
        <w:t>监测</w:t>
      </w:r>
      <w:r>
        <w:rPr>
          <w:rFonts w:hint="eastAsia" w:ascii="仿宋_GB2312" w:eastAsia="仿宋_GB2312"/>
          <w:bCs/>
          <w:sz w:val="32"/>
          <w:szCs w:val="32"/>
        </w:rPr>
        <w:t>三项中心工作，</w:t>
      </w:r>
      <w:r>
        <w:rPr>
          <w:rFonts w:hint="eastAsia" w:ascii="仿宋_GB2312" w:eastAsia="仿宋_GB2312"/>
          <w:sz w:val="32"/>
          <w:szCs w:val="32"/>
        </w:rPr>
        <w:t>主动作为、主动进攻、主动担当，确保</w:t>
      </w:r>
      <w:r>
        <w:rPr>
          <w:rFonts w:ascii="仿宋_GB2312" w:eastAsia="仿宋_GB2312"/>
          <w:sz w:val="32"/>
          <w:szCs w:val="32"/>
        </w:rPr>
        <w:t>节能产品的认证、指导和无线电站（台）技术指标测定等工作</w:t>
      </w:r>
      <w:r>
        <w:rPr>
          <w:rFonts w:hint="eastAsia" w:ascii="仿宋_GB2312" w:eastAsia="仿宋_GB2312"/>
          <w:sz w:val="32"/>
          <w:szCs w:val="32"/>
          <w:lang w:val="en-US" w:eastAsia="zh-CN"/>
        </w:rPr>
        <w:t>顺利完成</w:t>
      </w:r>
    </w:p>
    <w:p w14:paraId="4956B028">
      <w:pPr>
        <w:spacing w:line="60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九寨沟</w:t>
      </w:r>
      <w:r>
        <w:rPr>
          <w:rFonts w:hint="eastAsia" w:ascii="仿宋" w:eastAsia="仿宋"/>
          <w:bCs/>
          <w:sz w:val="32"/>
          <w:szCs w:val="32"/>
          <w:lang w:val="en-US" w:eastAsia="zh-CN"/>
        </w:rPr>
        <w:t>县</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sz w:val="32"/>
          <w:szCs w:val="32"/>
        </w:rPr>
        <w:br w:type="page"/>
      </w:r>
    </w:p>
    <w:p w14:paraId="6DA84178">
      <w:pPr>
        <w:numPr>
          <w:ilvl w:val="0"/>
          <w:numId w:val="5"/>
        </w:numPr>
        <w:spacing w:line="600" w:lineRule="exact"/>
        <w:ind w:firstLine="660" w:firstLineChars="150"/>
        <w:jc w:val="center"/>
        <w:outlineLvl w:val="0"/>
        <w:rPr>
          <w:rStyle w:val="27"/>
          <w:rFonts w:ascii="黑体" w:hAnsi="黑体" w:eastAsia="黑体"/>
          <w:b w:val="0"/>
        </w:rPr>
      </w:pPr>
      <w:bookmarkStart w:id="57" w:name="_Toc15396613"/>
      <w:bookmarkStart w:id="58" w:name="_Toc15377225"/>
      <w:r>
        <w:rPr>
          <w:rFonts w:hint="eastAsia" w:ascii="黑体" w:hAnsi="黑体" w:eastAsia="黑体"/>
          <w:sz w:val="44"/>
          <w:szCs w:val="44"/>
        </w:rPr>
        <w:t>名</w:t>
      </w:r>
      <w:r>
        <w:rPr>
          <w:rStyle w:val="27"/>
          <w:rFonts w:hint="eastAsia" w:ascii="黑体" w:hAnsi="黑体" w:eastAsia="黑体"/>
          <w:b w:val="0"/>
        </w:rPr>
        <w:t>词解释</w:t>
      </w:r>
      <w:bookmarkEnd w:id="57"/>
      <w:bookmarkEnd w:id="58"/>
    </w:p>
    <w:p w14:paraId="7A4F8885">
      <w:pPr>
        <w:spacing w:line="600" w:lineRule="exact"/>
        <w:jc w:val="left"/>
        <w:rPr>
          <w:rFonts w:ascii="宋体"/>
          <w:b/>
          <w:sz w:val="44"/>
          <w:szCs w:val="44"/>
        </w:rPr>
      </w:pPr>
    </w:p>
    <w:p w14:paraId="60AE3AC6">
      <w:pPr>
        <w:pStyle w:val="25"/>
        <w:spacing w:line="560" w:lineRule="exact"/>
        <w:ind w:firstLine="640" w:firstLineChars="200"/>
        <w:rPr>
          <w:rFonts w:ascii="仿宋_GB2312" w:eastAsia="仿宋_GB2312"/>
          <w:sz w:val="32"/>
          <w:szCs w:val="32"/>
        </w:rPr>
      </w:pPr>
      <w:bookmarkStart w:id="59" w:name="_Toc15396614"/>
      <w:bookmarkStart w:id="60"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BBA2243">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F04BA65">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34CEA16">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1576808A">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529BE7F">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4A16B74">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7E7FB661">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F46B3AA">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）行政事业单位养老支出（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ascii="仿宋_GB2312" w:eastAsia="仿宋_GB2312"/>
          <w:color w:val="000000"/>
          <w:sz w:val="32"/>
          <w:szCs w:val="32"/>
          <w:lang w:eastAsia="zh-CN"/>
        </w:rPr>
        <w:t>中心</w:t>
      </w:r>
      <w:r>
        <w:rPr>
          <w:rFonts w:hint="eastAsia" w:ascii="仿宋_GB2312" w:eastAsia="仿宋_GB2312"/>
          <w:color w:val="000000"/>
          <w:sz w:val="32"/>
          <w:szCs w:val="32"/>
          <w:lang w:eastAsia="zh-CN"/>
        </w:rPr>
        <w:t>机关职工养老保险缴费</w:t>
      </w:r>
      <w:r>
        <w:rPr>
          <w:rFonts w:hint="eastAsia" w:ascii="仿宋_GB2312" w:eastAsia="仿宋_GB2312"/>
          <w:color w:val="000000"/>
          <w:sz w:val="32"/>
          <w:szCs w:val="32"/>
        </w:rPr>
        <w:t>支出。</w:t>
      </w:r>
    </w:p>
    <w:p w14:paraId="23ED1049">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）行政事业单位养老支出（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 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指机关事业单位职业年金缴费支出。</w:t>
      </w:r>
    </w:p>
    <w:p w14:paraId="4A270556">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ascii="仿宋_GB2312" w:eastAsia="仿宋_GB2312"/>
          <w:color w:val="000000"/>
          <w:sz w:val="32"/>
          <w:szCs w:val="32"/>
          <w:lang w:eastAsia="zh-CN"/>
        </w:rPr>
        <w:t>中心</w:t>
      </w:r>
      <w:r>
        <w:rPr>
          <w:rFonts w:hint="eastAsia" w:ascii="仿宋_GB2312" w:eastAsia="仿宋_GB2312"/>
          <w:color w:val="000000"/>
          <w:sz w:val="32"/>
          <w:szCs w:val="32"/>
        </w:rPr>
        <w:t>机关集中缴纳在职公务员医疗保险支出。</w:t>
      </w:r>
    </w:p>
    <w:p w14:paraId="4557643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hint="eastAsia" w:ascii="仿宋_GB2312" w:eastAsia="仿宋_GB2312"/>
          <w:sz w:val="32"/>
          <w:szCs w:val="32"/>
          <w:shd w:val="clear" w:color="auto" w:fill="FFFFFF"/>
        </w:rPr>
        <w:t>按照《住房公积金管理条例》的规定，由单位及其在职职工缴存的长期住房储金</w:t>
      </w:r>
      <w:r>
        <w:rPr>
          <w:rFonts w:hint="eastAsia" w:ascii="仿宋_GB2312" w:eastAsia="仿宋_GB2312"/>
          <w:color w:val="000000"/>
          <w:sz w:val="32"/>
          <w:szCs w:val="32"/>
        </w:rPr>
        <w:t>。</w:t>
      </w:r>
    </w:p>
    <w:p w14:paraId="7177C68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399F9F4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9350FE2">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3A7F030F">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C7B5E0A">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3F9FFE5">
      <w:pPr>
        <w:spacing w:line="600" w:lineRule="exact"/>
        <w:jc w:val="center"/>
        <w:outlineLvl w:val="0"/>
        <w:rPr>
          <w:rStyle w:val="27"/>
          <w:rFonts w:ascii="黑体" w:hAnsi="黑体" w:eastAsia="黑体"/>
          <w:b w:val="0"/>
        </w:rPr>
      </w:pPr>
      <w:r>
        <w:rPr>
          <w:rFonts w:hint="eastAsia" w:ascii="黑体" w:hAnsi="黑体" w:eastAsia="黑体"/>
          <w:sz w:val="44"/>
          <w:szCs w:val="44"/>
        </w:rPr>
        <w:t>第</w:t>
      </w:r>
      <w:r>
        <w:rPr>
          <w:rStyle w:val="27"/>
          <w:rFonts w:hint="eastAsia" w:ascii="黑体" w:hAnsi="黑体" w:eastAsia="黑体"/>
          <w:b w:val="0"/>
        </w:rPr>
        <w:t>四部分 附件</w:t>
      </w:r>
      <w:bookmarkEnd w:id="59"/>
    </w:p>
    <w:p w14:paraId="48EB5555">
      <w:pPr>
        <w:spacing w:line="572" w:lineRule="exact"/>
        <w:jc w:val="left"/>
        <w:outlineLvl w:val="0"/>
        <w:rPr>
          <w:rFonts w:ascii="仿宋_GB2312" w:hAnsi="仿宋_GB2312" w:eastAsia="仿宋_GB2312" w:cs="仿宋_GB2312"/>
          <w:sz w:val="32"/>
          <w:szCs w:val="32"/>
        </w:rPr>
      </w:pPr>
    </w:p>
    <w:p w14:paraId="017D4FB7">
      <w:pPr>
        <w:spacing w:line="600" w:lineRule="exact"/>
        <w:jc w:val="left"/>
        <w:outlineLvl w:val="0"/>
        <w:rPr>
          <w:rFonts w:ascii="方正小标宋简体" w:hAnsi="方正小标宋简体" w:eastAsia="方正小标宋简体" w:cs="方正小标宋简体"/>
          <w:sz w:val="32"/>
          <w:szCs w:val="32"/>
        </w:rPr>
      </w:pPr>
      <w:bookmarkStart w:id="61" w:name="_Toc79163881"/>
      <w:bookmarkStart w:id="62" w:name="_Toc79163631"/>
      <w:bookmarkStart w:id="63" w:name="_Toc15396618"/>
      <w:r>
        <w:rPr>
          <w:rFonts w:hint="eastAsia" w:ascii="黑体" w:hAnsi="黑体" w:eastAsia="黑体" w:cs="黑体"/>
          <w:sz w:val="32"/>
          <w:szCs w:val="32"/>
        </w:rPr>
        <w:t>附件</w:t>
      </w:r>
      <w:r>
        <w:rPr>
          <w:rFonts w:ascii="黑体" w:hAnsi="黑体" w:eastAsia="黑体" w:cs="黑体"/>
          <w:sz w:val="32"/>
          <w:szCs w:val="32"/>
        </w:rPr>
        <w:t>1</w:t>
      </w:r>
      <w:bookmarkEnd w:id="61"/>
      <w:bookmarkEnd w:id="62"/>
    </w:p>
    <w:p w14:paraId="16391A25">
      <w:pPr>
        <w:spacing w:line="580" w:lineRule="exact"/>
        <w:jc w:val="center"/>
        <w:rPr>
          <w:rFonts w:ascii="方正小标宋简体" w:hAnsi="方正小标宋简体" w:eastAsia="方正小标宋简体" w:cs="方正小标宋简体"/>
          <w:sz w:val="44"/>
          <w:szCs w:val="44"/>
        </w:rPr>
      </w:pPr>
    </w:p>
    <w:p w14:paraId="11201737">
      <w:pPr>
        <w:spacing w:line="600" w:lineRule="exact"/>
        <w:jc w:val="center"/>
        <w:outlineLvl w:val="0"/>
        <w:rPr>
          <w:rFonts w:hint="eastAsia" w:ascii="方正小标宋简体" w:hAnsi="黑体" w:eastAsia="方正小标宋简体" w:cs="黑体"/>
          <w:sz w:val="44"/>
          <w:szCs w:val="44"/>
        </w:rPr>
      </w:pPr>
      <w:bookmarkStart w:id="64" w:name="_Toc79163632"/>
      <w:bookmarkStart w:id="65" w:name="_Toc79163882"/>
      <w:r>
        <w:rPr>
          <w:rFonts w:hint="eastAsia" w:ascii="方正小标宋简体" w:eastAsia="方正小标宋简体" w:cs="黑体"/>
          <w:sz w:val="44"/>
          <w:szCs w:val="44"/>
          <w:lang w:val="en-US" w:eastAsia="zh-CN"/>
        </w:rPr>
        <w:t>九寨沟</w:t>
      </w:r>
      <w:r>
        <w:rPr>
          <w:rFonts w:ascii="方正小标宋简体" w:eastAsia="方正小标宋简体" w:cs="黑体"/>
          <w:sz w:val="44"/>
          <w:szCs w:val="44"/>
        </w:rPr>
        <w:t>县节能和无线电监测中心</w:t>
      </w:r>
      <w:r>
        <w:rPr>
          <w:rFonts w:hint="eastAsia" w:ascii="方正小标宋简体" w:hAnsi="黑体" w:eastAsia="方正小标宋简体" w:cs="黑体"/>
          <w:sz w:val="44"/>
          <w:szCs w:val="44"/>
        </w:rPr>
        <w:t>部门</w:t>
      </w:r>
    </w:p>
    <w:p w14:paraId="528EF8B6">
      <w:pPr>
        <w:spacing w:line="600" w:lineRule="exact"/>
        <w:jc w:val="center"/>
        <w:outlineLvl w:val="0"/>
        <w:rPr>
          <w:rFonts w:ascii="黑体" w:hAnsi="宋体" w:eastAsia="黑体" w:cs="宋体"/>
          <w:color w:val="000000"/>
          <w:kern w:val="0"/>
          <w:sz w:val="24"/>
          <w:szCs w:val="32"/>
          <w:shd w:val="clear" w:color="auto" w:fill="FFFFFF"/>
        </w:rPr>
      </w:pPr>
      <w:r>
        <w:rPr>
          <w:rFonts w:hint="eastAsia" w:ascii="方正小标宋简体" w:hAnsi="黑体" w:eastAsia="方正小标宋简体" w:cs="黑体"/>
          <w:sz w:val="44"/>
          <w:szCs w:val="44"/>
          <w:lang w:eastAsia="zh-CN"/>
        </w:rPr>
        <w:t>202</w:t>
      </w:r>
      <w:r>
        <w:rPr>
          <w:rFonts w:hint="eastAsia" w:ascii="方正小标宋简体" w:hAnsi="黑体" w:eastAsia="方正小标宋简体" w:cs="黑体"/>
          <w:sz w:val="44"/>
          <w:szCs w:val="44"/>
          <w:lang w:val="en-US" w:eastAsia="zh-CN"/>
        </w:rPr>
        <w:t>3</w:t>
      </w:r>
      <w:r>
        <w:rPr>
          <w:rFonts w:hint="eastAsia" w:ascii="方正小标宋简体" w:hAnsi="黑体" w:eastAsia="方正小标宋简体" w:cs="黑体"/>
          <w:sz w:val="44"/>
          <w:szCs w:val="44"/>
        </w:rPr>
        <w:t>年部门整体支出绩效评价报告</w:t>
      </w:r>
      <w:bookmarkEnd w:id="64"/>
      <w:bookmarkEnd w:id="65"/>
    </w:p>
    <w:p w14:paraId="5363EE71">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48941469">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5DC1FFA0">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eastAsia="zh-CN"/>
        </w:rPr>
        <w:t>县</w:t>
      </w:r>
      <w:r>
        <w:rPr>
          <w:rFonts w:ascii="仿宋_GB2312" w:eastAsia="仿宋_GB2312" w:cs="宋体"/>
          <w:color w:val="000000"/>
          <w:kern w:val="0"/>
          <w:sz w:val="32"/>
          <w:szCs w:val="32"/>
          <w:shd w:val="clear" w:color="auto" w:fill="FFFFFF"/>
          <w:lang w:val="zh-CN" w:eastAsia="zh-CN"/>
        </w:rPr>
        <w:t>节能和无线电监测</w:t>
      </w:r>
      <w:r>
        <w:rPr>
          <w:rFonts w:hint="eastAsia" w:ascii="仿宋_GB2312" w:eastAsia="仿宋_GB2312" w:cs="宋体"/>
          <w:color w:val="000000"/>
          <w:kern w:val="0"/>
          <w:sz w:val="32"/>
          <w:szCs w:val="32"/>
          <w:shd w:val="clear" w:color="auto" w:fill="FFFFFF"/>
          <w:lang w:val="zh-CN" w:eastAsia="zh-CN"/>
        </w:rPr>
        <w:t>中心作为县经济和信息化局所属财政全额拨款公益一类股级事业单位。</w:t>
      </w:r>
    </w:p>
    <w:p w14:paraId="1E4C8F4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3FFDE7A7">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ascii="仿宋_GB2312" w:eastAsia="仿宋_GB2312" w:cs="宋体"/>
          <w:color w:val="000000"/>
          <w:sz w:val="32"/>
          <w:szCs w:val="32"/>
          <w:shd w:val="clear" w:color="auto" w:fill="FFFFFF"/>
        </w:rPr>
        <w:t>负责节能产品的认证、指导和无线电站（台）技术指标测定等工作</w:t>
      </w:r>
      <w:r>
        <w:rPr>
          <w:rFonts w:hint="eastAsia" w:ascii="仿宋_GB2312" w:eastAsia="仿宋_GB2312" w:cs="宋体"/>
          <w:color w:val="000000"/>
          <w:sz w:val="32"/>
          <w:szCs w:val="32"/>
          <w:shd w:val="clear" w:color="auto" w:fill="FFFFFF"/>
          <w:lang w:eastAsia="zh-CN"/>
        </w:rPr>
        <w:t>。</w:t>
      </w:r>
    </w:p>
    <w:p w14:paraId="7E553079">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14:paraId="5492C3F1">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202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年</w:t>
      </w:r>
      <w:r>
        <w:rPr>
          <w:rFonts w:hint="eastAsia" w:ascii="仿宋_GB2312" w:hAnsi="宋体" w:eastAsia="仿宋_GB2312" w:cs="宋体"/>
          <w:color w:val="000000"/>
          <w:kern w:val="0"/>
          <w:sz w:val="32"/>
          <w:szCs w:val="32"/>
          <w:shd w:val="clear" w:color="auto" w:fill="FFFFFF"/>
          <w:lang w:val="zh-CN" w:eastAsia="zh-CN"/>
        </w:rPr>
        <w:t>中心</w:t>
      </w:r>
      <w:r>
        <w:rPr>
          <w:rFonts w:hint="eastAsia" w:ascii="仿宋_GB2312" w:hAnsi="宋体" w:eastAsia="仿宋_GB2312" w:cs="宋体"/>
          <w:color w:val="000000"/>
          <w:kern w:val="0"/>
          <w:sz w:val="32"/>
          <w:szCs w:val="32"/>
          <w:shd w:val="clear" w:color="auto" w:fill="FFFFFF"/>
          <w:lang w:val="zh-CN"/>
        </w:rPr>
        <w:t>编制</w:t>
      </w:r>
      <w:r>
        <w:rPr>
          <w:rFonts w:hint="eastAsia" w:ascii="仿宋_GB2312" w:hAnsi="宋体" w:eastAsia="仿宋_GB2312" w:cs="宋体"/>
          <w:color w:val="000000"/>
          <w:kern w:val="0"/>
          <w:sz w:val="32"/>
          <w:szCs w:val="32"/>
          <w:shd w:val="clear" w:color="auto" w:fill="FFFFFF"/>
          <w:lang w:val="zh-CN" w:eastAsia="zh-CN"/>
        </w:rPr>
        <w:t>6</w:t>
      </w:r>
      <w:r>
        <w:rPr>
          <w:rFonts w:hint="eastAsia" w:ascii="仿宋_GB2312" w:hAnsi="宋体" w:eastAsia="仿宋_GB2312" w:cs="宋体"/>
          <w:color w:val="000000"/>
          <w:kern w:val="0"/>
          <w:sz w:val="32"/>
          <w:szCs w:val="32"/>
          <w:shd w:val="clear" w:color="auto" w:fill="FFFFFF"/>
          <w:lang w:val="zh-CN"/>
        </w:rPr>
        <w:t>名。原有在职职工</w:t>
      </w:r>
      <w:r>
        <w:rPr>
          <w:rFonts w:hint="eastAsia" w:ascii="仿宋_GB2312" w:hAnsi="宋体" w:eastAsia="仿宋_GB2312" w:cs="宋体"/>
          <w:color w:val="000000"/>
          <w:kern w:val="0"/>
          <w:sz w:val="32"/>
          <w:szCs w:val="32"/>
          <w:shd w:val="clear" w:color="auto" w:fill="FFFFFF"/>
          <w:lang w:val="en-US" w:eastAsia="zh-CN"/>
        </w:rPr>
        <w:t>7</w:t>
      </w:r>
      <w:r>
        <w:rPr>
          <w:rFonts w:hint="eastAsia" w:ascii="仿宋_GB2312" w:hAnsi="宋体" w:eastAsia="仿宋_GB2312" w:cs="宋体"/>
          <w:color w:val="000000"/>
          <w:kern w:val="0"/>
          <w:sz w:val="32"/>
          <w:szCs w:val="32"/>
          <w:shd w:val="clear" w:color="auto" w:fill="FFFFFF"/>
          <w:lang w:val="zh-CN"/>
        </w:rPr>
        <w:t>名，其中：事业</w:t>
      </w:r>
      <w:r>
        <w:rPr>
          <w:rFonts w:hint="eastAsia" w:ascii="仿宋_GB2312" w:hAnsi="宋体" w:eastAsia="仿宋_GB2312" w:cs="宋体"/>
          <w:color w:val="000000"/>
          <w:kern w:val="0"/>
          <w:sz w:val="32"/>
          <w:szCs w:val="32"/>
          <w:shd w:val="clear" w:color="auto" w:fill="FFFFFF"/>
          <w:lang w:val="zh-CN" w:eastAsia="zh-CN"/>
        </w:rPr>
        <w:t>管理</w:t>
      </w:r>
      <w:r>
        <w:rPr>
          <w:rFonts w:hint="eastAsia" w:ascii="仿宋_GB2312" w:hAnsi="宋体" w:eastAsia="仿宋_GB2312" w:cs="宋体"/>
          <w:color w:val="000000"/>
          <w:kern w:val="0"/>
          <w:sz w:val="32"/>
          <w:szCs w:val="32"/>
          <w:shd w:val="clear" w:color="auto" w:fill="FFFFFF"/>
          <w:lang w:val="zh-CN"/>
        </w:rPr>
        <w:t>人员</w:t>
      </w: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名</w:t>
      </w: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zh-CN"/>
        </w:rPr>
        <w:t>事业</w:t>
      </w:r>
      <w:r>
        <w:rPr>
          <w:rFonts w:hint="eastAsia" w:ascii="仿宋_GB2312" w:hAnsi="宋体" w:eastAsia="仿宋_GB2312" w:cs="宋体"/>
          <w:color w:val="000000"/>
          <w:kern w:val="0"/>
          <w:sz w:val="32"/>
          <w:szCs w:val="32"/>
          <w:shd w:val="clear" w:color="auto" w:fill="FFFFFF"/>
          <w:lang w:val="zh-CN" w:eastAsia="zh-CN"/>
        </w:rPr>
        <w:t>专技</w:t>
      </w:r>
      <w:r>
        <w:rPr>
          <w:rFonts w:hint="eastAsia" w:ascii="仿宋_GB2312" w:hAnsi="宋体" w:eastAsia="仿宋_GB2312" w:cs="宋体"/>
          <w:color w:val="000000"/>
          <w:kern w:val="0"/>
          <w:sz w:val="32"/>
          <w:szCs w:val="32"/>
          <w:shd w:val="clear" w:color="auto" w:fill="FFFFFF"/>
          <w:lang w:val="zh-CN"/>
        </w:rPr>
        <w:t>人员</w:t>
      </w:r>
      <w:r>
        <w:rPr>
          <w:rFonts w:hint="eastAsia" w:ascii="仿宋_GB2312" w:hAnsi="宋体" w:eastAsia="仿宋_GB2312" w:cs="宋体"/>
          <w:color w:val="000000"/>
          <w:kern w:val="0"/>
          <w:sz w:val="32"/>
          <w:szCs w:val="32"/>
          <w:shd w:val="clear" w:color="auto" w:fill="FFFFFF"/>
          <w:lang w:val="zh-CN" w:eastAsia="zh-CN"/>
        </w:rPr>
        <w:t>1</w:t>
      </w:r>
      <w:r>
        <w:rPr>
          <w:rFonts w:hint="eastAsia" w:ascii="仿宋_GB2312" w:hAnsi="宋体" w:eastAsia="仿宋_GB2312" w:cs="宋体"/>
          <w:color w:val="000000"/>
          <w:kern w:val="0"/>
          <w:sz w:val="32"/>
          <w:szCs w:val="32"/>
          <w:shd w:val="clear" w:color="auto" w:fill="FFFFFF"/>
          <w:lang w:val="zh-CN"/>
        </w:rPr>
        <w:t>名</w:t>
      </w:r>
      <w:r>
        <w:rPr>
          <w:rFonts w:hint="eastAsia" w:ascii="仿宋_GB2312" w:hAnsi="宋体" w:eastAsia="仿宋_GB2312" w:cs="宋体"/>
          <w:color w:val="000000"/>
          <w:kern w:val="0"/>
          <w:sz w:val="32"/>
          <w:szCs w:val="32"/>
          <w:shd w:val="clear" w:color="auto" w:fill="FFFFFF"/>
          <w:lang w:val="zh-CN" w:eastAsia="zh-CN"/>
        </w:rPr>
        <w:t>，工勤人员</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名</w:t>
      </w:r>
      <w:r>
        <w:rPr>
          <w:rFonts w:hint="eastAsia" w:ascii="仿宋_GB2312" w:hAnsi="宋体" w:eastAsia="仿宋_GB2312" w:cs="宋体"/>
          <w:color w:val="000000"/>
          <w:kern w:val="0"/>
          <w:sz w:val="32"/>
          <w:szCs w:val="32"/>
          <w:shd w:val="clear" w:color="auto" w:fill="FFFFFF"/>
          <w:lang w:val="zh-CN"/>
        </w:rPr>
        <w:t>。</w:t>
      </w:r>
    </w:p>
    <w:p w14:paraId="70656A14">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4112AB6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2FA42669">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133.21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133.21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31E2F607">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37051409">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年本年支出合计</w:t>
      </w:r>
      <w:r>
        <w:rPr>
          <w:rFonts w:hint="eastAsia" w:ascii="仿宋_GB2312" w:eastAsia="仿宋_GB2312"/>
          <w:sz w:val="32"/>
          <w:szCs w:val="32"/>
          <w:lang w:val="en-US" w:eastAsia="zh-CN"/>
        </w:rPr>
        <w:t>133.21</w:t>
      </w:r>
      <w:r>
        <w:rPr>
          <w:rFonts w:hint="eastAsia" w:ascii="仿宋_GB2312" w:eastAsia="仿宋_GB2312"/>
          <w:sz w:val="32"/>
          <w:szCs w:val="32"/>
        </w:rPr>
        <w:t>万元，其中：基本支出</w:t>
      </w:r>
      <w:r>
        <w:rPr>
          <w:rFonts w:hint="eastAsia" w:ascii="仿宋_GB2312" w:eastAsia="仿宋_GB2312"/>
          <w:sz w:val="32"/>
          <w:szCs w:val="32"/>
          <w:lang w:val="en-US" w:eastAsia="zh-CN"/>
        </w:rPr>
        <w:t>133.21</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785378A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00AC1FC2">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44187874">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ascii="仿宋_GB2312" w:eastAsia="仿宋_GB2312" w:cs="宋体"/>
          <w:color w:val="000000"/>
          <w:kern w:val="0"/>
          <w:sz w:val="32"/>
          <w:szCs w:val="32"/>
          <w:shd w:val="clear" w:color="auto" w:fill="FFFFFF"/>
          <w:lang w:val="zh-CN" w:eastAsia="zh-CN"/>
        </w:rPr>
        <w:t>一</w:t>
      </w:r>
      <w:r>
        <w:rPr>
          <w:rFonts w:hint="eastAsia" w:ascii="仿宋_GB2312" w:eastAsia="仿宋_GB2312" w:cs="宋体"/>
          <w:color w:val="000000"/>
          <w:kern w:val="0"/>
          <w:sz w:val="32"/>
          <w:szCs w:val="32"/>
          <w:shd w:val="clear" w:color="auto" w:fill="FFFFFF"/>
          <w:lang w:val="zh-CN" w:eastAsia="zh-CN"/>
        </w:rPr>
        <w:t>预算编制情况。</w:t>
      </w:r>
    </w:p>
    <w:p w14:paraId="0FACE8DB">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我中心</w:t>
      </w:r>
      <w:r>
        <w:rPr>
          <w:rFonts w:hint="eastAsia" w:ascii="仿宋_GB2312" w:eastAsia="仿宋_GB2312" w:cs="宋体"/>
          <w:color w:val="000000"/>
          <w:kern w:val="0"/>
          <w:sz w:val="32"/>
          <w:szCs w:val="32"/>
          <w:shd w:val="clear" w:color="auto" w:fill="FFFFFF"/>
          <w:lang w:val="en-US" w:eastAsia="zh-CN"/>
        </w:rPr>
        <w:t>2023</w:t>
      </w:r>
      <w:r>
        <w:rPr>
          <w:rFonts w:hint="eastAsia" w:ascii="仿宋_GB2312" w:eastAsia="仿宋_GB2312" w:cs="宋体"/>
          <w:color w:val="000000"/>
          <w:kern w:val="0"/>
          <w:sz w:val="32"/>
          <w:szCs w:val="32"/>
          <w:shd w:val="clear" w:color="auto" w:fill="FFFFFF"/>
          <w:lang w:val="zh-CN" w:eastAsia="zh-CN"/>
        </w:rPr>
        <w:t>年预算编制严格按照《中华人民共和国预算法》的要求，按照相关填报口径做到科学合理的细化预算编制。</w:t>
      </w:r>
    </w:p>
    <w:p w14:paraId="1FE7262B">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ascii="仿宋_GB2312" w:eastAsia="仿宋_GB2312" w:cs="宋体"/>
          <w:color w:val="000000"/>
          <w:kern w:val="0"/>
          <w:sz w:val="32"/>
          <w:szCs w:val="32"/>
          <w:shd w:val="clear" w:color="auto" w:fill="FFFFFF"/>
          <w:lang w:val="zh-CN" w:eastAsia="zh-CN"/>
        </w:rPr>
        <w:t>二</w:t>
      </w:r>
      <w:r>
        <w:rPr>
          <w:rFonts w:hint="eastAsia" w:ascii="仿宋_GB2312" w:eastAsia="仿宋_GB2312" w:cs="宋体"/>
          <w:color w:val="000000"/>
          <w:kern w:val="0"/>
          <w:sz w:val="32"/>
          <w:szCs w:val="32"/>
          <w:shd w:val="clear" w:color="auto" w:fill="FFFFFF"/>
          <w:lang w:val="zh-CN" w:eastAsia="zh-CN"/>
        </w:rPr>
        <w:t>执行管理情况。</w:t>
      </w:r>
      <w:r>
        <w:rPr>
          <w:rFonts w:hint="eastAsia" w:ascii="仿宋_GB2312" w:eastAsia="仿宋_GB2312" w:cs="宋体"/>
          <w:color w:val="000000"/>
          <w:kern w:val="0"/>
          <w:sz w:val="32"/>
          <w:szCs w:val="32"/>
          <w:shd w:val="clear" w:color="auto" w:fill="FFFFFF"/>
          <w:lang w:val="zh-CN" w:eastAsia="zh-CN"/>
        </w:rPr>
        <w:tab/>
      </w:r>
    </w:p>
    <w:p w14:paraId="66AF79AE">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en-US" w:eastAsia="zh-CN"/>
        </w:rPr>
        <w:t>2023</w:t>
      </w:r>
      <w:r>
        <w:rPr>
          <w:rFonts w:hint="eastAsia" w:ascii="仿宋_GB2312" w:eastAsia="仿宋_GB2312" w:cs="宋体"/>
          <w:color w:val="000000"/>
          <w:kern w:val="0"/>
          <w:sz w:val="32"/>
          <w:szCs w:val="32"/>
          <w:shd w:val="clear" w:color="auto" w:fill="FFFFFF"/>
          <w:lang w:val="zh-CN" w:eastAsia="zh-CN"/>
        </w:rPr>
        <w:t>年我中心所有预算内资金都严格纳入财政</w:t>
      </w:r>
      <w:r>
        <w:rPr>
          <w:rFonts w:hint="eastAsia" w:ascii="仿宋_GB2312" w:eastAsia="仿宋_GB2312" w:cs="宋体"/>
          <w:color w:val="000000"/>
          <w:kern w:val="0"/>
          <w:sz w:val="32"/>
          <w:szCs w:val="32"/>
          <w:shd w:val="clear" w:color="auto" w:fill="FFFFFF"/>
          <w:lang w:val="en-US" w:eastAsia="zh-CN"/>
        </w:rPr>
        <w:t>预算一体化</w:t>
      </w:r>
      <w:r>
        <w:rPr>
          <w:rFonts w:hint="eastAsia" w:ascii="仿宋_GB2312" w:eastAsia="仿宋_GB2312" w:cs="宋体"/>
          <w:color w:val="000000"/>
          <w:kern w:val="0"/>
          <w:sz w:val="32"/>
          <w:szCs w:val="32"/>
          <w:shd w:val="clear" w:color="auto" w:fill="FFFFFF"/>
          <w:lang w:val="zh-CN" w:eastAsia="zh-CN"/>
        </w:rPr>
        <w:t>系统管理，日常支出都严格履行了我中心的报账程序。</w:t>
      </w:r>
    </w:p>
    <w:p w14:paraId="7B482611">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lang w:val="zh-CN"/>
        </w:rPr>
        <w:t>三</w:t>
      </w:r>
      <w:r>
        <w:rPr>
          <w:rFonts w:hint="eastAsia" w:ascii="仿宋_GB2312" w:eastAsia="仿宋_GB2312" w:cs="宋体"/>
          <w:color w:val="000000"/>
          <w:kern w:val="0"/>
          <w:sz w:val="32"/>
          <w:szCs w:val="32"/>
          <w:shd w:val="clear" w:color="auto" w:fill="FFFFFF"/>
          <w:lang w:val="zh-CN"/>
        </w:rPr>
        <w:t>综合管理情况。</w:t>
      </w:r>
    </w:p>
    <w:p w14:paraId="193E06CC">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1. 加强内部控制。2023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w:t>
      </w:r>
    </w:p>
    <w:p w14:paraId="02159D69">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2. 强化制度执行。切实做好厉行节约工作，全面落实各项管理制度要求，努力降低行政成本。严格公务接待费、差旅费、会议费和培训费审核审批程序，加强对公务用车的管理，把“三公”经费较好地控制在预算范围之内。</w:t>
      </w:r>
    </w:p>
    <w:p w14:paraId="2FC38B9A">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3、资产管理。我中心定期对资产进行清查盘点，做到账实相符。</w:t>
      </w:r>
    </w:p>
    <w:p w14:paraId="7CDE773F">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4、信息公开情况。严格按照预决算信息公开原则，在每年预决算下达的20天内，在县政府政府网站进行了公开。</w:t>
      </w:r>
    </w:p>
    <w:p w14:paraId="2EB9884B">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5、非税收入情况。我中心不涉及非税</w:t>
      </w:r>
    </w:p>
    <w:p w14:paraId="4B6DC9D0">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5FFC8563">
      <w:pPr>
        <w:widowControl/>
        <w:adjustRightInd w:val="0"/>
        <w:snapToGrid w:val="0"/>
        <w:spacing w:line="580" w:lineRule="exact"/>
        <w:ind w:firstLine="640" w:firstLineChars="200"/>
        <w:contextualSpacing/>
        <w:jc w:val="left"/>
        <w:rPr>
          <w:rFonts w:hint="eastAsia"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rPr>
        <w:t>我</w:t>
      </w:r>
      <w:r>
        <w:rPr>
          <w:rFonts w:hint="eastAsia" w:ascii="仿宋_GB2312" w:eastAsia="仿宋_GB2312" w:cs="宋体"/>
          <w:color w:val="000000"/>
          <w:sz w:val="32"/>
          <w:szCs w:val="32"/>
          <w:shd w:val="clear" w:color="auto" w:fill="FFFFFF"/>
          <w:lang w:val="en-US" w:eastAsia="zh-CN"/>
        </w:rPr>
        <w:t>中心</w:t>
      </w:r>
      <w:r>
        <w:rPr>
          <w:rFonts w:hint="eastAsia" w:ascii="仿宋_GB2312" w:eastAsia="仿宋_GB2312" w:cs="宋体"/>
          <w:color w:val="000000"/>
          <w:sz w:val="32"/>
          <w:szCs w:val="32"/>
          <w:shd w:val="clear" w:color="auto" w:fill="FFFFFF"/>
        </w:rPr>
        <w:t>理清工作思路，明确</w:t>
      </w:r>
      <w:r>
        <w:rPr>
          <w:rFonts w:ascii="仿宋_GB2312" w:eastAsia="仿宋_GB2312" w:cs="宋体"/>
          <w:color w:val="000000"/>
          <w:sz w:val="32"/>
          <w:szCs w:val="32"/>
          <w:shd w:val="clear" w:color="auto" w:fill="FFFFFF"/>
          <w:lang w:val="en-US" w:eastAsia="zh-CN"/>
        </w:rPr>
        <w:t>监测</w:t>
      </w:r>
      <w:r>
        <w:rPr>
          <w:rFonts w:hint="eastAsia" w:ascii="仿宋_GB2312" w:eastAsia="仿宋_GB2312" w:cs="宋体"/>
          <w:color w:val="000000"/>
          <w:sz w:val="32"/>
          <w:szCs w:val="32"/>
          <w:shd w:val="clear" w:color="auto" w:fill="FFFFFF"/>
        </w:rPr>
        <w:t>工作重点，科学谋划工作措施,</w:t>
      </w:r>
      <w:r>
        <w:rPr>
          <w:rFonts w:hint="eastAsia" w:ascii="仿宋_GB2312" w:eastAsia="仿宋_GB2312" w:cs="宋体"/>
          <w:bCs/>
          <w:color w:val="000000"/>
          <w:sz w:val="32"/>
          <w:szCs w:val="32"/>
          <w:shd w:val="clear" w:color="auto" w:fill="FFFFFF"/>
        </w:rPr>
        <w:t xml:space="preserve"> </w:t>
      </w:r>
      <w:r>
        <w:rPr>
          <w:rFonts w:hint="eastAsia" w:ascii="仿宋_GB2312" w:eastAsia="仿宋_GB2312" w:cs="宋体"/>
          <w:color w:val="000000"/>
          <w:sz w:val="32"/>
          <w:szCs w:val="32"/>
          <w:shd w:val="clear" w:color="auto" w:fill="FFFFFF"/>
        </w:rPr>
        <w:t>坚持以习近平总书记系列重要讲话以及省委、州委、县委有关重大决策部署为引领，</w:t>
      </w:r>
      <w:r>
        <w:rPr>
          <w:rFonts w:hint="eastAsia" w:ascii="仿宋_GB2312" w:eastAsia="仿宋_GB2312" w:cs="宋体"/>
          <w:color w:val="000000"/>
          <w:kern w:val="0"/>
          <w:sz w:val="32"/>
          <w:szCs w:val="32"/>
          <w:shd w:val="clear" w:color="auto" w:fill="FFFFFF"/>
        </w:rPr>
        <w:t>坚持客观总结，</w:t>
      </w:r>
      <w:r>
        <w:rPr>
          <w:rFonts w:hint="eastAsia" w:ascii="仿宋_GB2312" w:eastAsia="仿宋_GB2312" w:cs="宋体"/>
          <w:color w:val="000000"/>
          <w:sz w:val="32"/>
          <w:szCs w:val="32"/>
          <w:shd w:val="clear" w:color="auto" w:fill="FFFFFF"/>
        </w:rPr>
        <w:t>提前科学谋划推动</w:t>
      </w:r>
      <w:r>
        <w:rPr>
          <w:rFonts w:ascii="仿宋_GB2312" w:eastAsia="仿宋_GB2312" w:cs="宋体"/>
          <w:color w:val="000000"/>
          <w:sz w:val="32"/>
          <w:szCs w:val="32"/>
          <w:shd w:val="clear" w:color="auto" w:fill="FFFFFF"/>
        </w:rPr>
        <w:t>202</w:t>
      </w:r>
      <w:r>
        <w:rPr>
          <w:rFonts w:hint="eastAsia" w:ascii="仿宋_GB2312" w:eastAsia="仿宋_GB2312" w:cs="宋体"/>
          <w:color w:val="000000"/>
          <w:sz w:val="32"/>
          <w:szCs w:val="32"/>
          <w:shd w:val="clear" w:color="auto" w:fill="FFFFFF"/>
          <w:lang w:val="en-US" w:eastAsia="zh-CN"/>
        </w:rPr>
        <w:t>3</w:t>
      </w:r>
      <w:r>
        <w:rPr>
          <w:rFonts w:hint="eastAsia" w:ascii="仿宋_GB2312" w:eastAsia="仿宋_GB2312" w:cs="宋体"/>
          <w:color w:val="000000"/>
          <w:sz w:val="32"/>
          <w:szCs w:val="32"/>
          <w:shd w:val="clear" w:color="auto" w:fill="FFFFFF"/>
        </w:rPr>
        <w:t>年的</w:t>
      </w:r>
      <w:r>
        <w:rPr>
          <w:rFonts w:ascii="仿宋_GB2312" w:eastAsia="仿宋_GB2312" w:cs="宋体"/>
          <w:color w:val="000000"/>
          <w:sz w:val="32"/>
          <w:szCs w:val="32"/>
          <w:shd w:val="clear" w:color="auto" w:fill="FFFFFF"/>
          <w:lang w:val="en-US" w:eastAsia="zh-CN"/>
        </w:rPr>
        <w:t>监测</w:t>
      </w:r>
      <w:r>
        <w:rPr>
          <w:rFonts w:hint="eastAsia" w:ascii="仿宋_GB2312" w:eastAsia="仿宋_GB2312" w:cs="宋体"/>
          <w:color w:val="000000"/>
          <w:sz w:val="32"/>
          <w:szCs w:val="32"/>
          <w:shd w:val="clear" w:color="auto" w:fill="FFFFFF"/>
        </w:rPr>
        <w:t>工作，确立了全县</w:t>
      </w:r>
      <w:r>
        <w:rPr>
          <w:rFonts w:ascii="仿宋_GB2312" w:eastAsia="仿宋_GB2312" w:cs="宋体"/>
          <w:color w:val="000000"/>
          <w:sz w:val="32"/>
          <w:szCs w:val="32"/>
          <w:shd w:val="clear" w:color="auto" w:fill="FFFFFF"/>
          <w:lang w:val="en-US" w:eastAsia="zh-CN"/>
        </w:rPr>
        <w:t>监测</w:t>
      </w:r>
      <w:r>
        <w:rPr>
          <w:rFonts w:hint="eastAsia" w:ascii="仿宋_GB2312" w:eastAsia="仿宋_GB2312" w:cs="宋体"/>
          <w:color w:val="000000"/>
          <w:sz w:val="32"/>
          <w:szCs w:val="32"/>
          <w:shd w:val="clear" w:color="auto" w:fill="FFFFFF"/>
          <w:lang w:val="en-US" w:eastAsia="zh-CN"/>
        </w:rPr>
        <w:t>中心</w:t>
      </w:r>
      <w:r>
        <w:rPr>
          <w:rFonts w:hint="eastAsia" w:ascii="仿宋_GB2312" w:eastAsia="仿宋_GB2312" w:cs="宋体"/>
          <w:color w:val="000000"/>
          <w:sz w:val="32"/>
          <w:szCs w:val="32"/>
          <w:shd w:val="clear" w:color="auto" w:fill="FFFFFF"/>
        </w:rPr>
        <w:t>机关“围绕</w:t>
      </w:r>
      <w:r>
        <w:rPr>
          <w:rFonts w:hint="eastAsia" w:ascii="仿宋_GB2312" w:eastAsia="仿宋_GB2312" w:cs="宋体"/>
          <w:bCs/>
          <w:color w:val="000000"/>
          <w:sz w:val="32"/>
          <w:szCs w:val="32"/>
          <w:shd w:val="clear" w:color="auto" w:fill="FFFFFF"/>
        </w:rPr>
        <w:t>灾后恢复重建、脱贫攻坚、</w:t>
      </w:r>
      <w:r>
        <w:rPr>
          <w:rFonts w:ascii="仿宋_GB2312" w:eastAsia="仿宋_GB2312" w:cs="宋体"/>
          <w:bCs/>
          <w:color w:val="000000"/>
          <w:sz w:val="32"/>
          <w:szCs w:val="32"/>
          <w:shd w:val="clear" w:color="auto" w:fill="FFFFFF"/>
        </w:rPr>
        <w:t>监测</w:t>
      </w:r>
      <w:r>
        <w:rPr>
          <w:rFonts w:hint="eastAsia" w:ascii="仿宋_GB2312" w:eastAsia="仿宋_GB2312" w:cs="宋体"/>
          <w:bCs/>
          <w:color w:val="000000"/>
          <w:sz w:val="32"/>
          <w:szCs w:val="32"/>
          <w:shd w:val="clear" w:color="auto" w:fill="FFFFFF"/>
        </w:rPr>
        <w:t>三项中心工作，</w:t>
      </w:r>
      <w:r>
        <w:rPr>
          <w:rFonts w:hint="eastAsia" w:ascii="仿宋_GB2312" w:eastAsia="仿宋_GB2312" w:cs="宋体"/>
          <w:color w:val="000000"/>
          <w:sz w:val="32"/>
          <w:szCs w:val="32"/>
          <w:shd w:val="clear" w:color="auto" w:fill="FFFFFF"/>
        </w:rPr>
        <w:t>主动作为、主动进攻、主动担当，确保</w:t>
      </w:r>
      <w:r>
        <w:rPr>
          <w:rFonts w:ascii="仿宋_GB2312" w:eastAsia="仿宋_GB2312" w:cs="宋体"/>
          <w:color w:val="000000"/>
          <w:sz w:val="32"/>
          <w:szCs w:val="32"/>
          <w:shd w:val="clear" w:color="auto" w:fill="FFFFFF"/>
        </w:rPr>
        <w:t>节能产品的认证、指导和无线电站（台）技术指标测定等工作</w:t>
      </w:r>
      <w:r>
        <w:rPr>
          <w:rFonts w:hint="eastAsia" w:ascii="仿宋_GB2312" w:eastAsia="仿宋_GB2312" w:cs="宋体"/>
          <w:color w:val="000000"/>
          <w:sz w:val="32"/>
          <w:szCs w:val="32"/>
          <w:shd w:val="clear" w:color="auto" w:fill="FFFFFF"/>
          <w:lang w:val="en-US" w:eastAsia="zh-CN"/>
        </w:rPr>
        <w:t>顺利完成</w:t>
      </w:r>
    </w:p>
    <w:p w14:paraId="4C9C26E2">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22D032C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54CF0EA9">
      <w:pPr>
        <w:widowControl/>
        <w:adjustRightInd w:val="0"/>
        <w:snapToGrid w:val="0"/>
        <w:spacing w:line="580" w:lineRule="exact"/>
        <w:ind w:firstLine="56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s="仿宋_GB2312"/>
          <w:color w:val="000000"/>
          <w:kern w:val="0"/>
          <w:sz w:val="28"/>
          <w:szCs w:val="28"/>
          <w:lang w:val="zh-CN" w:eastAsia="zh-CN" w:bidi="ar-SA"/>
        </w:rPr>
        <w:t>从整体上看，</w:t>
      </w:r>
      <w:r>
        <w:rPr>
          <w:rFonts w:hint="eastAsia" w:ascii="仿宋_GB2312" w:eastAsia="仿宋_GB2312" w:cs="仿宋_GB2312"/>
          <w:color w:val="000000"/>
          <w:kern w:val="0"/>
          <w:sz w:val="28"/>
          <w:szCs w:val="28"/>
          <w:lang w:val="en-US" w:eastAsia="zh-CN" w:bidi="ar-SA"/>
        </w:rPr>
        <w:t>20</w:t>
      </w:r>
      <w:r>
        <w:rPr>
          <w:rFonts w:ascii="仿宋_GB2312" w:eastAsia="仿宋_GB2312" w:cs="仿宋_GB2312"/>
          <w:color w:val="000000"/>
          <w:kern w:val="0"/>
          <w:sz w:val="28"/>
          <w:szCs w:val="28"/>
          <w:lang w:val="en-US" w:eastAsia="zh-CN" w:bidi="ar-SA"/>
        </w:rPr>
        <w:t>2</w:t>
      </w:r>
      <w:r>
        <w:rPr>
          <w:rFonts w:hint="eastAsia" w:ascii="仿宋_GB2312" w:eastAsia="仿宋_GB2312" w:cs="仿宋_GB2312"/>
          <w:color w:val="000000"/>
          <w:kern w:val="0"/>
          <w:sz w:val="28"/>
          <w:szCs w:val="28"/>
          <w:lang w:val="en-US" w:eastAsia="zh-CN" w:bidi="ar-SA"/>
        </w:rPr>
        <w:t>3</w:t>
      </w:r>
      <w:r>
        <w:rPr>
          <w:rFonts w:hint="eastAsia" w:ascii="仿宋_GB2312" w:eastAsia="仿宋_GB2312" w:cs="仿宋_GB2312"/>
          <w:color w:val="000000"/>
          <w:kern w:val="0"/>
          <w:sz w:val="28"/>
          <w:szCs w:val="28"/>
          <w:lang w:val="zh-CN" w:eastAsia="zh-CN" w:bidi="ar-SA"/>
        </w:rPr>
        <w:t>年我中心资金维护决策正确，资金管理规范，政策决策有力，有效发挥了财政资金使用效率。在人员经费支出上，严格执行县委、县政府的各项制度。在项目经费的的使用上，严格按照项目资金实施方案执行。三公经费的使用严格按照预算执行。</w:t>
      </w:r>
    </w:p>
    <w:p w14:paraId="711BBF68">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）存在问题。</w:t>
      </w:r>
    </w:p>
    <w:p w14:paraId="3A3CEBB5">
      <w:pPr>
        <w:widowControl/>
        <w:numPr>
          <w:ilvl w:val="0"/>
          <w:numId w:val="0"/>
        </w:numPr>
        <w:adjustRightInd w:val="0"/>
        <w:snapToGrid w:val="0"/>
        <w:spacing w:line="580" w:lineRule="exact"/>
        <w:ind w:left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lang w:val="en-US" w:eastAsia="zh-CN" w:bidi="ar-SA"/>
        </w:rPr>
        <w:t>在项目资金支付的力度上应加强。</w:t>
      </w:r>
    </w:p>
    <w:p w14:paraId="2DFEFF7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14:paraId="2B77FE28">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14:paraId="0CFFF462">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en-US" w:eastAsia="zh-CN" w:bidi="ar-SA"/>
        </w:rPr>
        <w:t>一是严格按照财务规定程序，加大项目资金支付力度。</w:t>
      </w:r>
    </w:p>
    <w:p w14:paraId="37E192CF">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bidi="ar-SA"/>
        </w:rPr>
        <w:t>二是</w:t>
      </w:r>
      <w:r>
        <w:rPr>
          <w:rFonts w:hint="eastAsia" w:ascii="仿宋_GB2312" w:eastAsia="仿宋_GB2312" w:cs="宋体"/>
          <w:color w:val="000000"/>
          <w:kern w:val="0"/>
          <w:sz w:val="32"/>
          <w:szCs w:val="32"/>
          <w:shd w:val="clear" w:color="auto" w:fill="FFFFFF"/>
          <w:lang w:val="zh-CN" w:eastAsia="zh-CN" w:bidi="ar-SA"/>
        </w:rPr>
        <w:t>加强年初预算的编制工作，提高预算编制的准确性和细化性。</w:t>
      </w:r>
    </w:p>
    <w:p w14:paraId="444BF773">
      <w:pPr>
        <w:pStyle w:val="5"/>
        <w:spacing w:before="93"/>
        <w:rPr>
          <w:rFonts w:hAnsi="Calibri" w:cs="仿宋"/>
          <w:sz w:val="32"/>
          <w:szCs w:val="32"/>
        </w:rPr>
      </w:pPr>
    </w:p>
    <w:p w14:paraId="6F28D0E7">
      <w:pPr>
        <w:pStyle w:val="5"/>
        <w:spacing w:before="93"/>
        <w:rPr>
          <w:rFonts w:hAnsi="Calibri" w:cs="仿宋"/>
          <w:sz w:val="32"/>
          <w:szCs w:val="32"/>
        </w:rPr>
      </w:pPr>
    </w:p>
    <w:p w14:paraId="72987C82">
      <w:pPr>
        <w:pStyle w:val="5"/>
        <w:spacing w:before="93"/>
        <w:rPr>
          <w:rFonts w:hAnsi="Calibri" w:cs="仿宋"/>
          <w:sz w:val="32"/>
          <w:szCs w:val="32"/>
        </w:rPr>
      </w:pPr>
    </w:p>
    <w:p w14:paraId="47506B98">
      <w:pPr>
        <w:pStyle w:val="5"/>
        <w:spacing w:before="93"/>
        <w:rPr>
          <w:rFonts w:hAnsi="Calibri" w:cs="仿宋"/>
          <w:sz w:val="32"/>
          <w:szCs w:val="32"/>
        </w:rPr>
      </w:pPr>
    </w:p>
    <w:p w14:paraId="7BB4C850">
      <w:pPr>
        <w:pStyle w:val="5"/>
        <w:spacing w:before="93"/>
        <w:rPr>
          <w:rFonts w:hAnsi="Calibri" w:cs="仿宋"/>
          <w:sz w:val="32"/>
          <w:szCs w:val="32"/>
        </w:rPr>
      </w:pPr>
    </w:p>
    <w:p w14:paraId="7099115B">
      <w:pPr>
        <w:pStyle w:val="5"/>
        <w:spacing w:before="93"/>
        <w:rPr>
          <w:rFonts w:hAnsi="Calibri" w:cs="仿宋"/>
          <w:sz w:val="32"/>
          <w:szCs w:val="32"/>
        </w:rPr>
      </w:pPr>
    </w:p>
    <w:p w14:paraId="23749CEA">
      <w:pPr>
        <w:pStyle w:val="5"/>
        <w:spacing w:before="93"/>
        <w:rPr>
          <w:rFonts w:hAnsi="Calibri" w:cs="仿宋"/>
          <w:sz w:val="32"/>
          <w:szCs w:val="32"/>
        </w:rPr>
      </w:pPr>
    </w:p>
    <w:p w14:paraId="6695DA75">
      <w:pPr>
        <w:pStyle w:val="5"/>
        <w:spacing w:before="93"/>
        <w:rPr>
          <w:rFonts w:hAnsi="Calibri" w:cs="仿宋"/>
          <w:sz w:val="32"/>
          <w:szCs w:val="32"/>
        </w:rPr>
      </w:pPr>
    </w:p>
    <w:p w14:paraId="5594992B">
      <w:pPr>
        <w:pStyle w:val="5"/>
        <w:spacing w:before="93"/>
        <w:rPr>
          <w:rFonts w:hAnsi="Calibri" w:cs="仿宋"/>
          <w:sz w:val="32"/>
          <w:szCs w:val="32"/>
        </w:rPr>
      </w:pPr>
    </w:p>
    <w:p w14:paraId="01CF5196">
      <w:pPr>
        <w:pStyle w:val="5"/>
        <w:spacing w:before="93"/>
        <w:rPr>
          <w:rFonts w:hAnsi="Calibri" w:cs="仿宋"/>
          <w:sz w:val="32"/>
          <w:szCs w:val="32"/>
        </w:rPr>
      </w:pPr>
    </w:p>
    <w:p w14:paraId="4098E473">
      <w:pPr>
        <w:pStyle w:val="5"/>
        <w:spacing w:before="93"/>
        <w:rPr>
          <w:rFonts w:hAnsi="Calibri" w:cs="仿宋"/>
          <w:sz w:val="32"/>
          <w:szCs w:val="32"/>
        </w:rPr>
      </w:pPr>
    </w:p>
    <w:p w14:paraId="51D31636">
      <w:pPr>
        <w:pStyle w:val="5"/>
        <w:spacing w:before="93"/>
        <w:rPr>
          <w:rFonts w:hAnsi="Calibri" w:cs="仿宋"/>
          <w:sz w:val="32"/>
          <w:szCs w:val="32"/>
        </w:rPr>
      </w:pPr>
    </w:p>
    <w:p w14:paraId="5FF79C44">
      <w:pPr>
        <w:spacing w:line="600" w:lineRule="exact"/>
        <w:jc w:val="center"/>
        <w:outlineLvl w:val="0"/>
        <w:rPr>
          <w:rFonts w:ascii="仿宋" w:hAnsi="仿宋" w:eastAsia="仿宋"/>
        </w:rPr>
      </w:pPr>
      <w:r>
        <w:rPr>
          <w:rFonts w:hint="eastAsia" w:ascii="黑体" w:hAnsi="黑体" w:eastAsia="黑体"/>
          <w:sz w:val="44"/>
          <w:szCs w:val="44"/>
        </w:rPr>
        <w:t>第</w:t>
      </w:r>
      <w:r>
        <w:rPr>
          <w:rStyle w:val="27"/>
          <w:rFonts w:hint="eastAsia" w:ascii="黑体" w:hAnsi="黑体" w:eastAsia="黑体"/>
          <w:b w:val="0"/>
        </w:rPr>
        <w:t>五部分 附表</w:t>
      </w:r>
      <w:bookmarkEnd w:id="60"/>
      <w:bookmarkEnd w:id="63"/>
      <w:bookmarkStart w:id="66" w:name="_Toc15396619"/>
    </w:p>
    <w:p w14:paraId="304E390A">
      <w:pPr>
        <w:pStyle w:val="3"/>
        <w:rPr>
          <w:rFonts w:ascii="仿宋" w:hAnsi="仿宋" w:eastAsia="仿宋"/>
        </w:rPr>
      </w:pPr>
      <w:r>
        <w:rPr>
          <w:rFonts w:hint="eastAsia" w:ascii="仿宋" w:hAnsi="仿宋" w:eastAsia="仿宋"/>
          <w:b w:val="0"/>
        </w:rPr>
        <w:t>一、收</w:t>
      </w:r>
      <w:r>
        <w:rPr>
          <w:rStyle w:val="28"/>
          <w:rFonts w:hint="eastAsia" w:ascii="仿宋" w:hAnsi="仿宋" w:eastAsia="仿宋"/>
          <w:b w:val="0"/>
          <w:bCs w:val="0"/>
        </w:rPr>
        <w:t>入支出决算总表</w:t>
      </w:r>
      <w:bookmarkEnd w:id="66"/>
    </w:p>
    <w:p w14:paraId="6F0C3175">
      <w:pPr>
        <w:pStyle w:val="3"/>
        <w:rPr>
          <w:rFonts w:ascii="仿宋" w:hAnsi="仿宋" w:eastAsia="仿宋"/>
        </w:rPr>
      </w:pPr>
      <w:bookmarkStart w:id="67" w:name="_Toc15396620"/>
      <w:r>
        <w:rPr>
          <w:rFonts w:hint="eastAsia" w:ascii="仿宋" w:hAnsi="仿宋" w:eastAsia="仿宋"/>
          <w:b w:val="0"/>
        </w:rPr>
        <w:t>二、收</w:t>
      </w:r>
      <w:r>
        <w:rPr>
          <w:rStyle w:val="28"/>
          <w:rFonts w:hint="eastAsia" w:ascii="仿宋" w:hAnsi="仿宋" w:eastAsia="仿宋"/>
          <w:b w:val="0"/>
          <w:bCs w:val="0"/>
        </w:rPr>
        <w:t>入决算表</w:t>
      </w:r>
      <w:bookmarkEnd w:id="67"/>
    </w:p>
    <w:p w14:paraId="4BFB8522">
      <w:pPr>
        <w:pStyle w:val="3"/>
        <w:rPr>
          <w:rFonts w:ascii="仿宋" w:hAnsi="仿宋" w:eastAsia="仿宋"/>
        </w:rPr>
      </w:pPr>
      <w:bookmarkStart w:id="68" w:name="_Toc15396621"/>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68"/>
    </w:p>
    <w:p w14:paraId="127B49E3">
      <w:pPr>
        <w:pStyle w:val="3"/>
        <w:rPr>
          <w:rFonts w:ascii="仿宋" w:hAnsi="仿宋" w:eastAsia="仿宋"/>
          <w:b w:val="0"/>
        </w:rPr>
      </w:pPr>
      <w:bookmarkStart w:id="69" w:name="_Toc15396622"/>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69"/>
    </w:p>
    <w:p w14:paraId="0C7500C0">
      <w:pPr>
        <w:pStyle w:val="3"/>
        <w:rPr>
          <w:rStyle w:val="28"/>
          <w:rFonts w:ascii="仿宋" w:hAnsi="仿宋" w:eastAsia="仿宋"/>
          <w:b w:val="0"/>
          <w:bCs w:val="0"/>
        </w:rPr>
      </w:pPr>
      <w:bookmarkStart w:id="70"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70"/>
      <w:bookmarkStart w:id="71" w:name="_Toc15396624"/>
    </w:p>
    <w:p w14:paraId="279044D8">
      <w:pPr>
        <w:pStyle w:val="3"/>
        <w:rPr>
          <w:rFonts w:ascii="仿宋" w:hAnsi="仿宋" w:eastAsia="仿宋"/>
        </w:rPr>
      </w:pPr>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71"/>
    </w:p>
    <w:p w14:paraId="491FCD9B">
      <w:pPr>
        <w:pStyle w:val="3"/>
        <w:rPr>
          <w:rFonts w:ascii="仿宋" w:hAnsi="仿宋" w:eastAsia="仿宋"/>
        </w:rPr>
      </w:pPr>
      <w:bookmarkStart w:id="72" w:name="_Toc15396625"/>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72"/>
    </w:p>
    <w:p w14:paraId="5F762067">
      <w:pPr>
        <w:pStyle w:val="3"/>
        <w:rPr>
          <w:rFonts w:ascii="仿宋" w:hAnsi="仿宋" w:eastAsia="仿宋"/>
        </w:rPr>
      </w:pPr>
      <w:bookmarkStart w:id="73" w:name="_Toc1539662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73"/>
    </w:p>
    <w:p w14:paraId="74C09874">
      <w:pPr>
        <w:pStyle w:val="3"/>
        <w:rPr>
          <w:rFonts w:ascii="仿宋" w:hAnsi="仿宋" w:eastAsia="仿宋"/>
        </w:rPr>
      </w:pPr>
      <w:bookmarkStart w:id="74" w:name="_Toc15396627"/>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74"/>
    </w:p>
    <w:p w14:paraId="0BD3BEDE">
      <w:pPr>
        <w:pStyle w:val="3"/>
        <w:rPr>
          <w:rFonts w:ascii="仿宋" w:hAnsi="仿宋" w:eastAsia="仿宋"/>
        </w:rPr>
      </w:pPr>
      <w:bookmarkStart w:id="75" w:name="_Toc15396628"/>
      <w:r>
        <w:rPr>
          <w:rStyle w:val="28"/>
          <w:rFonts w:hint="eastAsia" w:ascii="仿宋" w:hAnsi="仿宋" w:eastAsia="仿宋"/>
          <w:b w:val="0"/>
          <w:bCs w:val="0"/>
        </w:rPr>
        <w:t>十、</w:t>
      </w:r>
      <w:bookmarkEnd w:id="75"/>
      <w:r>
        <w:rPr>
          <w:rFonts w:hint="eastAsia" w:ascii="仿宋" w:hAnsi="仿宋" w:eastAsia="仿宋"/>
          <w:b w:val="0"/>
        </w:rPr>
        <w:t>政</w:t>
      </w:r>
      <w:r>
        <w:rPr>
          <w:rStyle w:val="28"/>
          <w:rFonts w:hint="eastAsia" w:ascii="仿宋" w:hAnsi="仿宋" w:eastAsia="仿宋"/>
          <w:b w:val="0"/>
          <w:bCs w:val="0"/>
        </w:rPr>
        <w:t>府性基金预算财政拨款收入支出决算表</w:t>
      </w:r>
    </w:p>
    <w:p w14:paraId="55F3B15D">
      <w:pPr>
        <w:pStyle w:val="3"/>
        <w:rPr>
          <w:rFonts w:ascii="仿宋" w:hAnsi="仿宋" w:eastAsia="仿宋"/>
        </w:rPr>
      </w:pPr>
      <w:bookmarkStart w:id="76" w:name="_Toc15396629"/>
      <w:r>
        <w:rPr>
          <w:rStyle w:val="28"/>
          <w:rFonts w:hint="eastAsia" w:ascii="仿宋" w:hAnsi="仿宋" w:eastAsia="仿宋"/>
          <w:b w:val="0"/>
          <w:bCs w:val="0"/>
        </w:rPr>
        <w:t>十一、</w:t>
      </w:r>
      <w:bookmarkEnd w:id="76"/>
      <w:r>
        <w:rPr>
          <w:rFonts w:hint="eastAsia" w:ascii="仿宋" w:hAnsi="仿宋" w:eastAsia="仿宋"/>
          <w:b w:val="0"/>
        </w:rPr>
        <w:t>国</w:t>
      </w:r>
      <w:r>
        <w:rPr>
          <w:rStyle w:val="28"/>
          <w:rFonts w:hint="eastAsia" w:ascii="仿宋" w:hAnsi="仿宋" w:eastAsia="仿宋"/>
          <w:b w:val="0"/>
          <w:bCs w:val="0"/>
        </w:rPr>
        <w:t>有资本经营预算财政拨款收入支出决算表</w:t>
      </w:r>
    </w:p>
    <w:p w14:paraId="25FD5C44">
      <w:pPr>
        <w:pStyle w:val="3"/>
        <w:rPr>
          <w:rFonts w:ascii="仿宋" w:hAnsi="仿宋" w:eastAsia="仿宋"/>
        </w:rPr>
      </w:pPr>
      <w:bookmarkStart w:id="77" w:name="_Toc15396630"/>
      <w:r>
        <w:rPr>
          <w:rStyle w:val="28"/>
          <w:rFonts w:hint="eastAsia" w:ascii="仿宋" w:hAnsi="仿宋" w:eastAsia="仿宋"/>
          <w:b w:val="0"/>
          <w:bCs w:val="0"/>
        </w:rPr>
        <w:t>十二、</w:t>
      </w:r>
      <w:bookmarkEnd w:id="77"/>
      <w:r>
        <w:rPr>
          <w:rStyle w:val="28"/>
          <w:rFonts w:hint="eastAsia" w:ascii="仿宋" w:hAnsi="仿宋" w:eastAsia="仿宋"/>
          <w:b w:val="0"/>
          <w:bCs w:val="0"/>
        </w:rPr>
        <w:t>国有资本经营预算财政拨款支出决算表</w:t>
      </w:r>
    </w:p>
    <w:p w14:paraId="3243AE75">
      <w:pPr>
        <w:pStyle w:val="3"/>
        <w:rPr>
          <w:rFonts w:eastAsia="仿宋"/>
        </w:rPr>
      </w:pPr>
      <w:bookmarkStart w:id="78" w:name="_Toc15396631"/>
      <w:r>
        <w:rPr>
          <w:rStyle w:val="28"/>
          <w:rFonts w:hint="eastAsia" w:ascii="仿宋" w:hAnsi="仿宋" w:eastAsia="仿宋"/>
          <w:b w:val="0"/>
          <w:bCs w:val="0"/>
        </w:rPr>
        <w:t>十三、</w:t>
      </w:r>
      <w:bookmarkEnd w:id="78"/>
      <w:r>
        <w:rPr>
          <w:rStyle w:val="28"/>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12F5B782">
        <w:pPr>
          <w:pStyle w:val="9"/>
          <w:jc w:val="center"/>
        </w:pPr>
        <w:r>
          <w:fldChar w:fldCharType="begin"/>
        </w:r>
        <w:r>
          <w:instrText xml:space="preserve">PAGE   \* MERGEFORMAT</w:instrText>
        </w:r>
        <w:r>
          <w:fldChar w:fldCharType="separate"/>
        </w:r>
        <w:r>
          <w:rPr>
            <w:lang w:val="zh-CN"/>
          </w:rPr>
          <w:t>17</w:t>
        </w:r>
        <w:r>
          <w:fldChar w:fldCharType="end"/>
        </w:r>
      </w:p>
    </w:sdtContent>
  </w:sdt>
  <w:p w14:paraId="21F2875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5063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BE0C7C3"/>
    <w:multiLevelType w:val="singleLevel"/>
    <w:tmpl w:val="DBE0C7C3"/>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818A09A"/>
    <w:multiLevelType w:val="singleLevel"/>
    <w:tmpl w:val="3818A09A"/>
    <w:lvl w:ilvl="0" w:tentative="0">
      <w:start w:val="1"/>
      <w:numFmt w:val="chineseCounting"/>
      <w:suff w:val="nothing"/>
      <w:lvlText w:val="%1、"/>
      <w:lvlJc w:val="left"/>
      <w:rPr>
        <w:rFonts w:hint="eastAsia"/>
      </w:rPr>
    </w:lvl>
  </w:abstractNum>
  <w:abstractNum w:abstractNumId="5">
    <w:nsid w:val="3D3D4EA2"/>
    <w:multiLevelType w:val="singleLevel"/>
    <w:tmpl w:val="3D3D4EA2"/>
    <w:lvl w:ilvl="0" w:tentative="0">
      <w:start w:val="3"/>
      <w:numFmt w:val="decimal"/>
      <w:lvlText w:val="%1."/>
      <w:lvlJc w:val="left"/>
      <w:pPr>
        <w:tabs>
          <w:tab w:val="left" w:pos="312"/>
        </w:tabs>
      </w:pPr>
    </w:lvl>
  </w:abstractNum>
  <w:abstractNum w:abstractNumId="6">
    <w:nsid w:val="6844F031"/>
    <w:multiLevelType w:val="singleLevel"/>
    <w:tmpl w:val="6844F031"/>
    <w:lvl w:ilvl="0" w:tentative="0">
      <w:start w:val="3"/>
      <w:numFmt w:val="chineseCounting"/>
      <w:suff w:val="nothing"/>
      <w:lvlText w:val="（%1）"/>
      <w:lvlJc w:val="left"/>
      <w:rPr>
        <w:rFonts w:hint="eastAsia"/>
      </w:rPr>
    </w:lvl>
  </w:abstractNum>
  <w:num w:numId="1">
    <w:abstractNumId w:val="4"/>
  </w:num>
  <w:num w:numId="2">
    <w:abstractNumId w:val="3"/>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FjMDc4NjYwZDExNmRkYmRlMDg0M2I2MzBlYjJkM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30E8"/>
    <w:rsid w:val="00AB64C9"/>
    <w:rsid w:val="00AC3C6A"/>
    <w:rsid w:val="00AD5620"/>
    <w:rsid w:val="00AD656B"/>
    <w:rsid w:val="00AD7C1B"/>
    <w:rsid w:val="00AE16BA"/>
    <w:rsid w:val="00AE1EBE"/>
    <w:rsid w:val="00B03C9D"/>
    <w:rsid w:val="00B060AE"/>
    <w:rsid w:val="00B10263"/>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7FD4"/>
    <w:rsid w:val="00FD3CC1"/>
    <w:rsid w:val="00FF1E02"/>
    <w:rsid w:val="00FF30B4"/>
    <w:rsid w:val="03DC2831"/>
    <w:rsid w:val="05B9052D"/>
    <w:rsid w:val="081B5E94"/>
    <w:rsid w:val="0A2032A3"/>
    <w:rsid w:val="0B8A37D8"/>
    <w:rsid w:val="0F5FFB2F"/>
    <w:rsid w:val="0FFFCF60"/>
    <w:rsid w:val="10C055FF"/>
    <w:rsid w:val="118107EC"/>
    <w:rsid w:val="11DD6519"/>
    <w:rsid w:val="16BB723D"/>
    <w:rsid w:val="18015F3F"/>
    <w:rsid w:val="18F733EE"/>
    <w:rsid w:val="1B6C00C4"/>
    <w:rsid w:val="1BE8440E"/>
    <w:rsid w:val="1D155CEE"/>
    <w:rsid w:val="1FDBBF84"/>
    <w:rsid w:val="20F57F95"/>
    <w:rsid w:val="240371BF"/>
    <w:rsid w:val="25711CC6"/>
    <w:rsid w:val="25C741E6"/>
    <w:rsid w:val="276F80C0"/>
    <w:rsid w:val="27842671"/>
    <w:rsid w:val="29FD04D3"/>
    <w:rsid w:val="2ABE7A3E"/>
    <w:rsid w:val="2AFF09B6"/>
    <w:rsid w:val="2B764647"/>
    <w:rsid w:val="2C2626CE"/>
    <w:rsid w:val="2CA234A8"/>
    <w:rsid w:val="2EFA178C"/>
    <w:rsid w:val="2EFDF86C"/>
    <w:rsid w:val="2F9D17E1"/>
    <w:rsid w:val="30B46D73"/>
    <w:rsid w:val="319F7F4E"/>
    <w:rsid w:val="323112C7"/>
    <w:rsid w:val="356A28F1"/>
    <w:rsid w:val="35780FBB"/>
    <w:rsid w:val="357C035A"/>
    <w:rsid w:val="35F02979"/>
    <w:rsid w:val="368E000D"/>
    <w:rsid w:val="36CA3A99"/>
    <w:rsid w:val="370A44F9"/>
    <w:rsid w:val="383D272C"/>
    <w:rsid w:val="39AE70AB"/>
    <w:rsid w:val="3A4DCE41"/>
    <w:rsid w:val="3BCB56FA"/>
    <w:rsid w:val="3C0C0783"/>
    <w:rsid w:val="3EE7C2F4"/>
    <w:rsid w:val="3F371B56"/>
    <w:rsid w:val="3F792ED8"/>
    <w:rsid w:val="3F9F3A96"/>
    <w:rsid w:val="3FECA4B2"/>
    <w:rsid w:val="3FF58C48"/>
    <w:rsid w:val="42FF6694"/>
    <w:rsid w:val="48BF60AB"/>
    <w:rsid w:val="493C27E9"/>
    <w:rsid w:val="496F39ED"/>
    <w:rsid w:val="49FF41D3"/>
    <w:rsid w:val="4BE068DB"/>
    <w:rsid w:val="4BF6002B"/>
    <w:rsid w:val="4BFFC6BE"/>
    <w:rsid w:val="4ECE2238"/>
    <w:rsid w:val="4F053468"/>
    <w:rsid w:val="4F4641AC"/>
    <w:rsid w:val="51181B78"/>
    <w:rsid w:val="51DB4B86"/>
    <w:rsid w:val="51F64DB0"/>
    <w:rsid w:val="55333C3E"/>
    <w:rsid w:val="581B3CFC"/>
    <w:rsid w:val="582147BC"/>
    <w:rsid w:val="59AD6BD6"/>
    <w:rsid w:val="5E875C48"/>
    <w:rsid w:val="5F67802D"/>
    <w:rsid w:val="5F7DC4F2"/>
    <w:rsid w:val="5FB36814"/>
    <w:rsid w:val="5FBB8E56"/>
    <w:rsid w:val="5FFB5535"/>
    <w:rsid w:val="60A54AAB"/>
    <w:rsid w:val="619012B7"/>
    <w:rsid w:val="61A11716"/>
    <w:rsid w:val="61A90E53"/>
    <w:rsid w:val="63027F93"/>
    <w:rsid w:val="64CA39A1"/>
    <w:rsid w:val="660364FC"/>
    <w:rsid w:val="66B15F58"/>
    <w:rsid w:val="68662D72"/>
    <w:rsid w:val="69630ADE"/>
    <w:rsid w:val="69BD5F13"/>
    <w:rsid w:val="69FB0B4B"/>
    <w:rsid w:val="6BFFE1FB"/>
    <w:rsid w:val="6C4A05C8"/>
    <w:rsid w:val="6D3B1A89"/>
    <w:rsid w:val="6DB7D8A3"/>
    <w:rsid w:val="6EC78701"/>
    <w:rsid w:val="6F7A5481"/>
    <w:rsid w:val="6FD11419"/>
    <w:rsid w:val="6FFE07A9"/>
    <w:rsid w:val="709F1517"/>
    <w:rsid w:val="71BF4EC2"/>
    <w:rsid w:val="72734D90"/>
    <w:rsid w:val="73E75B71"/>
    <w:rsid w:val="7412278C"/>
    <w:rsid w:val="75183646"/>
    <w:rsid w:val="75DDCDA9"/>
    <w:rsid w:val="75FF44B1"/>
    <w:rsid w:val="76424E1E"/>
    <w:rsid w:val="769837CC"/>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5833</Words>
  <Characters>6268</Characters>
  <Lines>41</Lines>
  <Paragraphs>11</Paragraphs>
  <TotalTime>13</TotalTime>
  <ScaleCrop>false</ScaleCrop>
  <LinksUpToDate>false</LinksUpToDate>
  <CharactersWithSpaces>6293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2024-10-23T01:42:00Z</dcterms:created>
  <dc:creator>曹颖</dc:creator>
  <cp:lastModifiedBy>长青</cp:lastModifiedBy>
  <cp:lastPrinted>2023-08-03T02:35:00Z</cp:lastPrinted>
  <dcterms:modified xsi:type="dcterms:W3CDTF">2024-10-25T03:02:06Z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F7341F34FDE14BABA6ACE90189DC3D02_12</vt:lpwstr>
  </property>
</Properties>
</file>