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44665">
      <w:pPr>
        <w:pStyle w:val="9"/>
        <w:shd w:val="clear" w:color="auto" w:fill="FFFFFF"/>
        <w:jc w:val="center"/>
        <w:rPr>
          <w:sz w:val="42"/>
          <w:szCs w:val="42"/>
        </w:rPr>
      </w:pPr>
    </w:p>
    <w:p w14:paraId="24081269">
      <w:pPr>
        <w:pStyle w:val="9"/>
        <w:shd w:val="clear" w:color="auto" w:fill="FFFFFF"/>
        <w:jc w:val="center"/>
        <w:rPr>
          <w:rFonts w:hint="eastAsia" w:ascii="黑体" w:hAnsi="黑体" w:eastAsia="黑体" w:cs="黑体"/>
          <w:sz w:val="52"/>
          <w:szCs w:val="52"/>
        </w:rPr>
      </w:pPr>
    </w:p>
    <w:p w14:paraId="39FE52D9">
      <w:pPr>
        <w:pStyle w:val="9"/>
        <w:shd w:val="clear" w:color="auto" w:fill="FFFFFF"/>
        <w:jc w:val="center"/>
        <w:rPr>
          <w:rFonts w:hint="eastAsia" w:ascii="黑体" w:hAnsi="黑体" w:eastAsia="黑体" w:cs="黑体"/>
          <w:sz w:val="52"/>
          <w:szCs w:val="52"/>
        </w:rPr>
      </w:pPr>
      <w:r>
        <w:rPr>
          <w:rFonts w:hint="eastAsia" w:ascii="黑体" w:hAnsi="黑体" w:eastAsia="黑体" w:cs="黑体"/>
          <w:sz w:val="52"/>
          <w:szCs w:val="52"/>
        </w:rPr>
        <w:t>2022年度</w:t>
      </w:r>
      <w:bookmarkStart w:id="0" w:name="_Toc25045"/>
      <w:r>
        <w:rPr>
          <w:rFonts w:hint="eastAsia" w:ascii="黑体" w:hAnsi="黑体" w:eastAsia="黑体" w:cs="黑体"/>
          <w:sz w:val="52"/>
          <w:szCs w:val="52"/>
        </w:rPr>
        <w:t>四川省</w:t>
      </w:r>
    </w:p>
    <w:p w14:paraId="1407D2BE">
      <w:pPr>
        <w:pStyle w:val="9"/>
        <w:shd w:val="clear" w:color="auto" w:fill="FFFFFF"/>
        <w:jc w:val="center"/>
        <w:outlineLvl w:val="0"/>
        <w:rPr>
          <w:rFonts w:hint="eastAsia" w:ascii="黑体" w:hAnsi="黑体" w:eastAsia="黑体" w:cs="黑体"/>
          <w:sz w:val="52"/>
          <w:szCs w:val="52"/>
        </w:rPr>
      </w:pPr>
      <w:bookmarkStart w:id="1" w:name="_Toc5381"/>
      <w:r>
        <w:rPr>
          <w:rFonts w:hint="eastAsia" w:ascii="黑体" w:hAnsi="黑体" w:eastAsia="黑体" w:cs="黑体"/>
          <w:sz w:val="52"/>
          <w:szCs w:val="52"/>
        </w:rPr>
        <w:t>阿坝州九寨沟县财政局</w:t>
      </w:r>
      <w:bookmarkEnd w:id="0"/>
      <w:bookmarkEnd w:id="1"/>
    </w:p>
    <w:p w14:paraId="51B65714">
      <w:pPr>
        <w:pStyle w:val="9"/>
        <w:shd w:val="clear" w:color="auto" w:fill="FFFFFF"/>
        <w:jc w:val="center"/>
        <w:rPr>
          <w:rFonts w:hint="eastAsia" w:ascii="黑体" w:hAnsi="黑体" w:eastAsia="黑体" w:cs="黑体"/>
          <w:sz w:val="52"/>
          <w:szCs w:val="52"/>
        </w:rPr>
      </w:pPr>
      <w:r>
        <w:rPr>
          <w:rFonts w:hint="eastAsia" w:ascii="黑体" w:hAnsi="黑体" w:eastAsia="黑体" w:cs="黑体"/>
          <w:sz w:val="52"/>
          <w:szCs w:val="52"/>
        </w:rPr>
        <w:t>单位决算</w:t>
      </w:r>
    </w:p>
    <w:p w14:paraId="6AC7A69A">
      <w:pPr>
        <w:pStyle w:val="9"/>
        <w:shd w:val="clear" w:color="auto" w:fill="FFFFFF"/>
        <w:jc w:val="center"/>
      </w:pPr>
      <w:r>
        <w:t> </w:t>
      </w:r>
    </w:p>
    <w:p w14:paraId="1C97B0B9">
      <w:pPr>
        <w:pStyle w:val="9"/>
        <w:shd w:val="clear" w:color="auto" w:fill="FFFFFF"/>
        <w:jc w:val="center"/>
      </w:pPr>
      <w:r>
        <w:t> </w:t>
      </w:r>
    </w:p>
    <w:p w14:paraId="65B41AB6">
      <w:pPr>
        <w:pStyle w:val="9"/>
        <w:shd w:val="clear" w:color="auto" w:fill="FFFFFF"/>
        <w:jc w:val="center"/>
      </w:pPr>
      <w:r>
        <w:t> </w:t>
      </w:r>
    </w:p>
    <w:p w14:paraId="12360454">
      <w:pPr>
        <w:pStyle w:val="9"/>
        <w:shd w:val="clear" w:color="auto" w:fill="FFFFFF"/>
        <w:jc w:val="center"/>
      </w:pPr>
      <w:r>
        <w:t> </w:t>
      </w:r>
    </w:p>
    <w:p w14:paraId="1757769A">
      <w:pPr>
        <w:pStyle w:val="9"/>
        <w:shd w:val="clear" w:color="auto" w:fill="FFFFFF"/>
        <w:jc w:val="center"/>
      </w:pPr>
      <w:r>
        <w:t> </w:t>
      </w:r>
    </w:p>
    <w:p w14:paraId="2DEAF406">
      <w:pPr>
        <w:pStyle w:val="9"/>
        <w:shd w:val="clear" w:color="auto" w:fill="FFFFFF"/>
        <w:jc w:val="center"/>
      </w:pPr>
      <w:r>
        <w:t> </w:t>
      </w:r>
    </w:p>
    <w:p w14:paraId="589FE63C">
      <w:pPr>
        <w:pStyle w:val="9"/>
        <w:shd w:val="clear" w:color="auto" w:fill="FFFFFF"/>
        <w:jc w:val="center"/>
      </w:pPr>
      <w:r>
        <w:t> </w:t>
      </w:r>
    </w:p>
    <w:p w14:paraId="7365CC10">
      <w:pPr>
        <w:pStyle w:val="9"/>
        <w:shd w:val="clear" w:color="auto" w:fill="FFFFFF"/>
        <w:jc w:val="center"/>
      </w:pPr>
      <w:r>
        <w:t>已经保密审查、内容审定，同意对外公开</w:t>
      </w:r>
    </w:p>
    <w:p w14:paraId="75B54B85">
      <w:pPr>
        <w:pStyle w:val="9"/>
        <w:shd w:val="clear" w:color="auto" w:fill="FFFFFF"/>
      </w:pPr>
      <w:r>
        <w:t> </w:t>
      </w:r>
    </w:p>
    <w:p w14:paraId="494FE420">
      <w:pPr>
        <w:pStyle w:val="9"/>
        <w:shd w:val="clear" w:color="auto" w:fill="FFFFFF"/>
      </w:pPr>
      <w:r>
        <w:t> </w:t>
      </w:r>
    </w:p>
    <w:p w14:paraId="4C387547">
      <w:pPr>
        <w:pStyle w:val="9"/>
        <w:shd w:val="clear" w:color="auto" w:fill="FFFFFF"/>
        <w:jc w:val="center"/>
      </w:pPr>
      <w:r>
        <w:t> </w:t>
      </w:r>
    </w:p>
    <w:p w14:paraId="0DE341FF">
      <w:pPr>
        <w:pStyle w:val="9"/>
        <w:shd w:val="clear" w:color="auto" w:fill="FFFFFF"/>
      </w:pPr>
      <w:r>
        <w:t> </w:t>
      </w:r>
    </w:p>
    <w:p w14:paraId="4A1AD0F3">
      <w:pPr>
        <w:pStyle w:val="9"/>
        <w:shd w:val="clear" w:color="auto" w:fill="FFFFFF"/>
        <w:jc w:val="center"/>
        <w:rPr>
          <w:rFonts w:hint="eastAsia" w:ascii="黑体" w:hAnsi="黑体" w:eastAsia="黑体" w:cs="黑体"/>
          <w:sz w:val="52"/>
          <w:szCs w:val="52"/>
        </w:rPr>
      </w:pPr>
    </w:p>
    <w:p w14:paraId="7867E514">
      <w:pPr>
        <w:pStyle w:val="9"/>
        <w:shd w:val="clear" w:color="auto" w:fill="FFFFFF"/>
        <w:jc w:val="center"/>
        <w:rPr>
          <w:rFonts w:hint="eastAsia" w:ascii="黑体" w:hAnsi="黑体" w:eastAsia="黑体" w:cs="黑体"/>
          <w:sz w:val="52"/>
          <w:szCs w:val="52"/>
        </w:rPr>
        <w:sectPr>
          <w:footerReference r:id="rId3" w:type="default"/>
          <w:pgSz w:w="11907" w:h="16840"/>
          <w:pgMar w:top="1440" w:right="1800" w:bottom="1440" w:left="1800" w:header="851" w:footer="992" w:gutter="0"/>
          <w:pgNumType w:fmt="decimal" w:start="1"/>
          <w:cols w:space="425" w:num="1"/>
          <w:docGrid w:type="lines" w:linePitch="312" w:charSpace="0"/>
        </w:sectPr>
      </w:pPr>
    </w:p>
    <w:p w14:paraId="41513C97">
      <w:pPr>
        <w:pStyle w:val="9"/>
        <w:shd w:val="clear" w:color="auto" w:fill="FFFFFF"/>
        <w:jc w:val="center"/>
        <w:rPr>
          <w:rFonts w:hint="eastAsia" w:ascii="黑体" w:hAnsi="黑体" w:eastAsia="黑体" w:cs="黑体"/>
          <w:sz w:val="52"/>
          <w:szCs w:val="52"/>
        </w:rPr>
      </w:pPr>
      <w:r>
        <w:rPr>
          <w:rFonts w:hint="eastAsia" w:ascii="黑体" w:hAnsi="黑体" w:eastAsia="黑体" w:cs="黑体"/>
          <w:sz w:val="52"/>
          <w:szCs w:val="52"/>
        </w:rPr>
        <w:t> 目</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录</w:t>
      </w:r>
    </w:p>
    <w:p w14:paraId="6A6D8CF9">
      <w:pPr>
        <w:pStyle w:val="9"/>
        <w:shd w:val="clear" w:color="auto" w:fill="FFFFFF"/>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公开时间：2023年  </w:t>
      </w:r>
      <w:r>
        <w:rPr>
          <w:rFonts w:hint="eastAsia" w:asciiTheme="minorEastAsia" w:hAnsiTheme="minorEastAsia" w:eastAsiaTheme="minorEastAsia" w:cstheme="minorEastAsia"/>
          <w:sz w:val="32"/>
          <w:szCs w:val="32"/>
          <w:lang w:val="en-US" w:eastAsia="zh-CN"/>
        </w:rPr>
        <w:t>9</w:t>
      </w:r>
      <w:r>
        <w:rPr>
          <w:rFonts w:hint="eastAsia" w:asciiTheme="minorEastAsia" w:hAnsiTheme="minorEastAsia" w:eastAsiaTheme="minorEastAsia" w:cstheme="minorEastAsia"/>
          <w:sz w:val="32"/>
          <w:szCs w:val="32"/>
        </w:rPr>
        <w:t> 月 </w:t>
      </w:r>
    </w:p>
    <w:p w14:paraId="2F89F467">
      <w:pPr>
        <w:pStyle w:val="9"/>
        <w:shd w:val="clear" w:color="auto" w:fill="FFFFFF"/>
        <w:jc w:val="center"/>
        <w:rPr>
          <w:sz w:val="42"/>
          <w:szCs w:val="42"/>
        </w:rPr>
      </w:pPr>
    </w:p>
    <w:sdt>
      <w:sdtPr>
        <w:rPr>
          <w:rFonts w:ascii="宋体" w:hAnsi="宋体" w:eastAsia="宋体" w:cs="宋体"/>
          <w:sz w:val="21"/>
          <w:szCs w:val="24"/>
          <w:lang w:val="en-US" w:eastAsia="zh-CN" w:bidi="ar-SA"/>
        </w:rPr>
        <w:id w:val="147451233"/>
        <w15:color w:val="DBDBDB"/>
        <w:docPartObj>
          <w:docPartGallery w:val="Table of Contents"/>
          <w:docPartUnique/>
        </w:docPartObj>
      </w:sdtPr>
      <w:sdtEndPr>
        <w:rPr>
          <w:rFonts w:ascii="宋体" w:hAnsi="宋体" w:eastAsia="宋体" w:cs="宋体"/>
          <w:sz w:val="21"/>
          <w:szCs w:val="24"/>
          <w:lang w:val="en-US" w:eastAsia="zh-CN" w:bidi="ar-SA"/>
        </w:rPr>
      </w:sdtEndPr>
      <w:sdtContent>
        <w:p w14:paraId="61F94649">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AF1764E">
          <w:pPr>
            <w:pStyle w:val="17"/>
            <w:tabs>
              <w:tab w:val="right" w:leader="dot" w:pos="8307"/>
            </w:tabs>
          </w:pPr>
          <w:r>
            <w:fldChar w:fldCharType="begin"/>
          </w:r>
          <w:r>
            <w:instrText xml:space="preserve">TOC \o "1-1" \h \u </w:instrText>
          </w:r>
          <w:r>
            <w:fldChar w:fldCharType="separate"/>
          </w:r>
          <w:r>
            <w:fldChar w:fldCharType="begin"/>
          </w:r>
          <w:r>
            <w:instrText xml:space="preserve"> HYPERLINK \l _Toc5381 </w:instrText>
          </w:r>
          <w:r>
            <w:fldChar w:fldCharType="separate"/>
          </w:r>
          <w:r>
            <w:rPr>
              <w:rFonts w:hint="eastAsia" w:ascii="黑体" w:hAnsi="黑体" w:eastAsia="黑体" w:cs="黑体"/>
              <w:szCs w:val="52"/>
            </w:rPr>
            <w:t>阿坝州九寨沟县财政局</w:t>
          </w:r>
          <w:r>
            <w:tab/>
          </w:r>
          <w:r>
            <w:fldChar w:fldCharType="begin"/>
          </w:r>
          <w:r>
            <w:instrText xml:space="preserve"> PAGEREF _Toc5381 \h </w:instrText>
          </w:r>
          <w:r>
            <w:fldChar w:fldCharType="separate"/>
          </w:r>
          <w:r>
            <w:t>1</w:t>
          </w:r>
          <w:r>
            <w:fldChar w:fldCharType="end"/>
          </w:r>
          <w:r>
            <w:fldChar w:fldCharType="end"/>
          </w:r>
        </w:p>
        <w:p w14:paraId="02878007">
          <w:pPr>
            <w:pStyle w:val="17"/>
            <w:tabs>
              <w:tab w:val="right" w:leader="dot" w:pos="8307"/>
            </w:tabs>
          </w:pPr>
          <w:r>
            <w:fldChar w:fldCharType="begin"/>
          </w:r>
          <w:r>
            <w:instrText xml:space="preserve"> HYPERLINK \l _Toc27175 </w:instrText>
          </w:r>
          <w:r>
            <w:fldChar w:fldCharType="separate"/>
          </w:r>
          <w:r>
            <w:rPr>
              <w:rFonts w:hint="eastAsia" w:asciiTheme="minorEastAsia" w:hAnsiTheme="minorEastAsia" w:eastAsiaTheme="minorEastAsia" w:cstheme="minorEastAsia"/>
              <w:szCs w:val="32"/>
            </w:rPr>
            <w:t>第一部分 单位概况</w:t>
          </w:r>
          <w:r>
            <w:tab/>
          </w:r>
          <w:r>
            <w:fldChar w:fldCharType="begin"/>
          </w:r>
          <w:r>
            <w:instrText xml:space="preserve"> PAGEREF _Toc27175 \h </w:instrText>
          </w:r>
          <w:r>
            <w:fldChar w:fldCharType="separate"/>
          </w:r>
          <w:r>
            <w:t>2</w:t>
          </w:r>
          <w:r>
            <w:fldChar w:fldCharType="end"/>
          </w:r>
          <w:r>
            <w:fldChar w:fldCharType="end"/>
          </w:r>
        </w:p>
        <w:p w14:paraId="1BC8D7F7">
          <w:pPr>
            <w:pStyle w:val="17"/>
            <w:tabs>
              <w:tab w:val="right" w:leader="dot" w:pos="8307"/>
            </w:tabs>
          </w:pPr>
          <w:r>
            <w:fldChar w:fldCharType="begin"/>
          </w:r>
          <w:r>
            <w:instrText xml:space="preserve"> HYPERLINK \l _Toc30210 </w:instrText>
          </w:r>
          <w:r>
            <w:fldChar w:fldCharType="separate"/>
          </w:r>
          <w:r>
            <w:rPr>
              <w:rFonts w:hint="eastAsia" w:asciiTheme="minorEastAsia" w:hAnsiTheme="minorEastAsia" w:eastAsiaTheme="minorEastAsia" w:cstheme="minorEastAsia"/>
              <w:szCs w:val="32"/>
            </w:rPr>
            <w:t>第二部分 2022年度单位决算情况说明</w:t>
          </w:r>
          <w:r>
            <w:tab/>
          </w:r>
          <w:r>
            <w:fldChar w:fldCharType="begin"/>
          </w:r>
          <w:r>
            <w:instrText xml:space="preserve"> PAGEREF _Toc30210 \h </w:instrText>
          </w:r>
          <w:r>
            <w:fldChar w:fldCharType="separate"/>
          </w:r>
          <w:r>
            <w:t>2</w:t>
          </w:r>
          <w:r>
            <w:fldChar w:fldCharType="end"/>
          </w:r>
          <w:r>
            <w:fldChar w:fldCharType="end"/>
          </w:r>
        </w:p>
        <w:p w14:paraId="3122826A">
          <w:pPr>
            <w:pStyle w:val="17"/>
            <w:tabs>
              <w:tab w:val="right" w:leader="dot" w:pos="8307"/>
            </w:tabs>
          </w:pPr>
          <w:r>
            <w:fldChar w:fldCharType="begin"/>
          </w:r>
          <w:r>
            <w:instrText xml:space="preserve"> HYPERLINK \l _Toc5791 </w:instrText>
          </w:r>
          <w:r>
            <w:fldChar w:fldCharType="separate"/>
          </w:r>
          <w:r>
            <w:rPr>
              <w:rFonts w:hint="eastAsia" w:ascii="黑体" w:hAnsi="黑体" w:eastAsia="黑体" w:cs="黑体"/>
              <w:szCs w:val="52"/>
            </w:rPr>
            <w:t>第一部分 单位概况</w:t>
          </w:r>
          <w:r>
            <w:tab/>
          </w:r>
          <w:r>
            <w:fldChar w:fldCharType="begin"/>
          </w:r>
          <w:r>
            <w:instrText xml:space="preserve"> PAGEREF _Toc5791 \h </w:instrText>
          </w:r>
          <w:r>
            <w:fldChar w:fldCharType="separate"/>
          </w:r>
          <w:r>
            <w:t>5</w:t>
          </w:r>
          <w:r>
            <w:fldChar w:fldCharType="end"/>
          </w:r>
          <w:r>
            <w:fldChar w:fldCharType="end"/>
          </w:r>
        </w:p>
        <w:p w14:paraId="561418AE">
          <w:pPr>
            <w:pStyle w:val="17"/>
            <w:tabs>
              <w:tab w:val="right" w:leader="dot" w:pos="8307"/>
            </w:tabs>
          </w:pPr>
          <w:r>
            <w:fldChar w:fldCharType="begin"/>
          </w:r>
          <w:r>
            <w:instrText xml:space="preserve"> HYPERLINK \l _Toc30317 </w:instrText>
          </w:r>
          <w:r>
            <w:fldChar w:fldCharType="separate"/>
          </w:r>
          <w:r>
            <w:rPr>
              <w:rFonts w:hint="eastAsia" w:asciiTheme="minorEastAsia" w:hAnsiTheme="minorEastAsia" w:eastAsiaTheme="minorEastAsia" w:cstheme="minorEastAsia"/>
              <w:szCs w:val="32"/>
              <w:lang w:val="en-US" w:eastAsia="zh-CN"/>
            </w:rPr>
            <w:t>九寨沟县国库支付中心</w:t>
          </w:r>
          <w:r>
            <w:tab/>
          </w:r>
          <w:r>
            <w:fldChar w:fldCharType="begin"/>
          </w:r>
          <w:r>
            <w:instrText xml:space="preserve"> PAGEREF _Toc30317 \h </w:instrText>
          </w:r>
          <w:r>
            <w:fldChar w:fldCharType="separate"/>
          </w:r>
          <w:r>
            <w:t>8</w:t>
          </w:r>
          <w:r>
            <w:fldChar w:fldCharType="end"/>
          </w:r>
          <w:r>
            <w:fldChar w:fldCharType="end"/>
          </w:r>
        </w:p>
        <w:p w14:paraId="4DD4B1C2">
          <w:pPr>
            <w:pStyle w:val="17"/>
            <w:tabs>
              <w:tab w:val="right" w:leader="dot" w:pos="8307"/>
            </w:tabs>
          </w:pPr>
          <w:r>
            <w:fldChar w:fldCharType="begin"/>
          </w:r>
          <w:r>
            <w:instrText xml:space="preserve"> HYPERLINK \l _Toc10112 </w:instrText>
          </w:r>
          <w:r>
            <w:fldChar w:fldCharType="separate"/>
          </w:r>
          <w:r>
            <w:rPr>
              <w:rFonts w:hint="eastAsia" w:asciiTheme="minorEastAsia" w:hAnsiTheme="minorEastAsia" w:eastAsiaTheme="minorEastAsia" w:cstheme="minorEastAsia"/>
              <w:bCs/>
              <w:szCs w:val="48"/>
            </w:rPr>
            <w:t>第二部分 2022年度单位决算情况说明</w:t>
          </w:r>
          <w:r>
            <w:tab/>
          </w:r>
          <w:r>
            <w:fldChar w:fldCharType="begin"/>
          </w:r>
          <w:r>
            <w:instrText xml:space="preserve"> PAGEREF _Toc10112 \h </w:instrText>
          </w:r>
          <w:r>
            <w:fldChar w:fldCharType="separate"/>
          </w:r>
          <w:r>
            <w:t>9</w:t>
          </w:r>
          <w:r>
            <w:fldChar w:fldCharType="end"/>
          </w:r>
          <w:r>
            <w:fldChar w:fldCharType="end"/>
          </w:r>
        </w:p>
        <w:p w14:paraId="3D8531B3">
          <w:pPr>
            <w:pStyle w:val="17"/>
            <w:tabs>
              <w:tab w:val="right" w:leader="dot" w:pos="8307"/>
            </w:tabs>
          </w:pPr>
          <w:r>
            <w:fldChar w:fldCharType="begin"/>
          </w:r>
          <w:r>
            <w:instrText xml:space="preserve"> HYPERLINK \l _Toc8834 </w:instrText>
          </w:r>
          <w:r>
            <w:fldChar w:fldCharType="separate"/>
          </w:r>
          <w:r>
            <w:rPr>
              <w:rFonts w:hint="eastAsia" w:ascii="黑体" w:hAnsi="黑体" w:eastAsia="黑体" w:cs="黑体"/>
              <w:szCs w:val="52"/>
            </w:rPr>
            <w:t>第三部分 名词解释</w:t>
          </w:r>
          <w:r>
            <w:tab/>
          </w:r>
          <w:r>
            <w:fldChar w:fldCharType="begin"/>
          </w:r>
          <w:r>
            <w:instrText xml:space="preserve"> PAGEREF _Toc8834 \h </w:instrText>
          </w:r>
          <w:r>
            <w:fldChar w:fldCharType="separate"/>
          </w:r>
          <w:r>
            <w:t>16</w:t>
          </w:r>
          <w:r>
            <w:fldChar w:fldCharType="end"/>
          </w:r>
          <w:r>
            <w:fldChar w:fldCharType="end"/>
          </w:r>
        </w:p>
        <w:p w14:paraId="7D8D3BEB">
          <w:pPr>
            <w:pStyle w:val="17"/>
            <w:tabs>
              <w:tab w:val="right" w:leader="dot" w:pos="8307"/>
            </w:tabs>
          </w:pPr>
          <w:r>
            <w:fldChar w:fldCharType="begin"/>
          </w:r>
          <w:r>
            <w:instrText xml:space="preserve"> HYPERLINK \l _Toc18361 </w:instrText>
          </w:r>
          <w:r>
            <w:fldChar w:fldCharType="separate"/>
          </w:r>
          <w:r>
            <w:rPr>
              <w:rFonts w:hint="eastAsia" w:ascii="黑体" w:hAnsi="黑体" w:eastAsia="黑体" w:cs="黑体"/>
              <w:szCs w:val="52"/>
            </w:rPr>
            <w:t>第四部分 附件</w:t>
          </w:r>
          <w:r>
            <w:tab/>
          </w:r>
          <w:r>
            <w:fldChar w:fldCharType="begin"/>
          </w:r>
          <w:r>
            <w:instrText xml:space="preserve"> PAGEREF _Toc18361 \h </w:instrText>
          </w:r>
          <w:r>
            <w:fldChar w:fldCharType="separate"/>
          </w:r>
          <w:r>
            <w:t>21</w:t>
          </w:r>
          <w:r>
            <w:fldChar w:fldCharType="end"/>
          </w:r>
          <w:r>
            <w:fldChar w:fldCharType="end"/>
          </w:r>
        </w:p>
        <w:p w14:paraId="01CC5E33">
          <w:pPr>
            <w:pStyle w:val="17"/>
            <w:tabs>
              <w:tab w:val="right" w:leader="dot" w:pos="8307"/>
            </w:tabs>
          </w:pPr>
          <w:r>
            <w:fldChar w:fldCharType="begin"/>
          </w:r>
          <w:r>
            <w:instrText xml:space="preserve"> HYPERLINK \l _Toc4750 </w:instrText>
          </w:r>
          <w:r>
            <w:fldChar w:fldCharType="separate"/>
          </w:r>
          <w:r>
            <w:rPr>
              <w:rFonts w:hint="eastAsia" w:ascii="黑体" w:hAnsi="黑体" w:eastAsia="黑体" w:cs="黑体"/>
              <w:bCs w:val="0"/>
              <w:szCs w:val="52"/>
              <w:lang w:val="en-US" w:eastAsia="zh-CN"/>
            </w:rPr>
            <w:t>附件</w:t>
          </w:r>
          <w:r>
            <w:tab/>
          </w:r>
          <w:r>
            <w:fldChar w:fldCharType="begin"/>
          </w:r>
          <w:r>
            <w:instrText xml:space="preserve"> PAGEREF _Toc4750 \h </w:instrText>
          </w:r>
          <w:r>
            <w:fldChar w:fldCharType="separate"/>
          </w:r>
          <w:r>
            <w:t>21</w:t>
          </w:r>
          <w:r>
            <w:fldChar w:fldCharType="end"/>
          </w:r>
          <w:r>
            <w:fldChar w:fldCharType="end"/>
          </w:r>
        </w:p>
        <w:p w14:paraId="1672488B">
          <w:pPr>
            <w:pStyle w:val="17"/>
            <w:tabs>
              <w:tab w:val="right" w:leader="dot" w:pos="8307"/>
            </w:tabs>
          </w:pPr>
          <w:r>
            <w:fldChar w:fldCharType="begin"/>
          </w:r>
          <w:r>
            <w:instrText xml:space="preserve"> HYPERLINK \l _Toc19224 </w:instrText>
          </w:r>
          <w:r>
            <w:fldChar w:fldCharType="separate"/>
          </w:r>
          <w:r>
            <w:rPr>
              <w:rFonts w:hint="eastAsia" w:ascii="黑体" w:hAnsi="黑体" w:eastAsia="黑体" w:cs="黑体"/>
              <w:szCs w:val="52"/>
            </w:rPr>
            <w:t>第五部分 附表</w:t>
          </w:r>
          <w:r>
            <w:tab/>
          </w:r>
          <w:r>
            <w:fldChar w:fldCharType="begin"/>
          </w:r>
          <w:r>
            <w:instrText xml:space="preserve"> PAGEREF _Toc19224 \h </w:instrText>
          </w:r>
          <w:r>
            <w:fldChar w:fldCharType="separate"/>
          </w:r>
          <w:r>
            <w:t>42</w:t>
          </w:r>
          <w:r>
            <w:fldChar w:fldCharType="end"/>
          </w:r>
          <w:r>
            <w:fldChar w:fldCharType="end"/>
          </w:r>
        </w:p>
        <w:p w14:paraId="65D3F59C">
          <w:r>
            <w:fldChar w:fldCharType="end"/>
          </w:r>
        </w:p>
      </w:sdtContent>
    </w:sdt>
    <w:p w14:paraId="5BDCEF49">
      <w:pPr>
        <w:pStyle w:val="9"/>
        <w:shd w:val="clear" w:color="auto" w:fill="FFFFFF"/>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p>
    <w:p w14:paraId="4BCDB77E">
      <w:pPr>
        <w:pStyle w:val="9"/>
        <w:shd w:val="clear" w:color="auto" w:fill="FFFFFF"/>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p>
    <w:p w14:paraId="23A8B7FE">
      <w:pPr>
        <w:pStyle w:val="9"/>
        <w:shd w:val="clear" w:color="auto" w:fill="FFFFFF"/>
        <w:outlineLvl w:val="0"/>
        <w:rPr>
          <w:rFonts w:hint="eastAsia" w:asciiTheme="minorEastAsia" w:hAnsiTheme="minorEastAsia" w:eastAsiaTheme="minorEastAsia" w:cstheme="minorEastAsia"/>
          <w:sz w:val="32"/>
          <w:szCs w:val="32"/>
        </w:rPr>
      </w:pPr>
      <w:bookmarkStart w:id="2" w:name="_Toc27175"/>
      <w:bookmarkStart w:id="3" w:name="_Toc11359"/>
      <w:r>
        <w:rPr>
          <w:rFonts w:hint="eastAsia" w:asciiTheme="minorEastAsia" w:hAnsiTheme="minorEastAsia" w:eastAsiaTheme="minorEastAsia" w:cstheme="minorEastAsia"/>
          <w:sz w:val="32"/>
          <w:szCs w:val="32"/>
        </w:rPr>
        <w:t>第一部分 单位概况</w:t>
      </w:r>
      <w:bookmarkEnd w:id="2"/>
      <w:bookmarkEnd w:id="3"/>
    </w:p>
    <w:p w14:paraId="5C99D525">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一、主要职责</w:t>
      </w:r>
    </w:p>
    <w:p w14:paraId="1684F077">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二、机构设置</w:t>
      </w:r>
    </w:p>
    <w:p w14:paraId="2FF326D7">
      <w:pPr>
        <w:pStyle w:val="9"/>
        <w:shd w:val="clear" w:color="auto" w:fill="FFFFFF"/>
        <w:outlineLvl w:val="0"/>
        <w:rPr>
          <w:rFonts w:hint="eastAsia" w:asciiTheme="minorEastAsia" w:hAnsiTheme="minorEastAsia" w:eastAsiaTheme="minorEastAsia" w:cstheme="minorEastAsia"/>
          <w:sz w:val="32"/>
          <w:szCs w:val="32"/>
        </w:rPr>
      </w:pPr>
      <w:bookmarkStart w:id="4" w:name="_Toc9839"/>
      <w:bookmarkStart w:id="5" w:name="_Toc30210"/>
      <w:r>
        <w:rPr>
          <w:rFonts w:hint="eastAsia" w:asciiTheme="minorEastAsia" w:hAnsiTheme="minorEastAsia" w:eastAsiaTheme="minorEastAsia" w:cstheme="minorEastAsia"/>
          <w:sz w:val="32"/>
          <w:szCs w:val="32"/>
        </w:rPr>
        <w:t>第二部分 2022年度单位决算情况说明</w:t>
      </w:r>
      <w:bookmarkEnd w:id="4"/>
      <w:bookmarkEnd w:id="5"/>
    </w:p>
    <w:p w14:paraId="314B66D2">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一、收入支出决算总体情况说明</w:t>
      </w:r>
    </w:p>
    <w:p w14:paraId="3B23650F">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二、收入决算情况说明</w:t>
      </w:r>
    </w:p>
    <w:p w14:paraId="65BC3A56">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三、支出决算情况说明</w:t>
      </w:r>
    </w:p>
    <w:p w14:paraId="34265BDB">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四、财政拨款收入支出决算总体情况说明</w:t>
      </w:r>
    </w:p>
    <w:p w14:paraId="1A9F6818">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五、一般公共预算财政拨款支出决算情况说明</w:t>
      </w:r>
    </w:p>
    <w:p w14:paraId="7C254196">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六、一般公共预算财政拨款基本支出决算情况说明</w:t>
      </w:r>
    </w:p>
    <w:p w14:paraId="00E4EDDB">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七、财政拨款“三公”经费支出决算情况说明</w:t>
      </w:r>
    </w:p>
    <w:p w14:paraId="1CB4AB0B">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八、政府性基金预算支出决算情况说明</w:t>
      </w:r>
    </w:p>
    <w:p w14:paraId="5D2DD5A8">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九、国有资本经营预算支出决算情况说明</w:t>
      </w:r>
    </w:p>
    <w:p w14:paraId="1C01D5F5">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十、其他重要事项的情况说明 </w:t>
      </w:r>
    </w:p>
    <w:p w14:paraId="763A67C0">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第三部分 名词解释</w:t>
      </w:r>
    </w:p>
    <w:p w14:paraId="79F7CBA3">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第四部分 附件</w:t>
      </w:r>
    </w:p>
    <w:p w14:paraId="349465AB">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第五部分 附表</w:t>
      </w:r>
    </w:p>
    <w:p w14:paraId="57D0024C">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一、收入支出决算总表</w:t>
      </w:r>
    </w:p>
    <w:p w14:paraId="28067052">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二、收入决算表</w:t>
      </w:r>
    </w:p>
    <w:p w14:paraId="274B0EB2">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三、支出决算表</w:t>
      </w:r>
    </w:p>
    <w:p w14:paraId="6C9543C8">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四、财政拨款收入支出决算总表</w:t>
      </w:r>
    </w:p>
    <w:p w14:paraId="356F071E">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五、财政拨款支出决算明细表</w:t>
      </w:r>
    </w:p>
    <w:p w14:paraId="30ABCFAE">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六、一般公共预算财政拨款支出决算表</w:t>
      </w:r>
    </w:p>
    <w:p w14:paraId="509B6F80">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七、一般公共预算财政拨款支出决算明细表</w:t>
      </w:r>
    </w:p>
    <w:p w14:paraId="00F4E4CB">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八、一般公共预算财政拨款基本支出决算表</w:t>
      </w:r>
    </w:p>
    <w:p w14:paraId="0F1DB831">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九、一般公共预算财政拨款项目支出决算表</w:t>
      </w:r>
    </w:p>
    <w:p w14:paraId="55A82C15">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十、政府性基金预算财政拨款收入支出决算表</w:t>
      </w:r>
    </w:p>
    <w:p w14:paraId="15B54C14">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十一、国有资本经营预算财政拨款收入支出决算表</w:t>
      </w:r>
    </w:p>
    <w:p w14:paraId="59F0F15B">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十二、国有资本经营预算财政拨款支出决算表</w:t>
      </w:r>
    </w:p>
    <w:p w14:paraId="3B156EED">
      <w:pPr>
        <w:pStyle w:val="9"/>
        <w:shd w:val="clear" w:color="auto" w:fill="FFFFFF"/>
        <w:ind w:left="42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十三、财政拨款“三公”经费支出决算表</w:t>
      </w:r>
    </w:p>
    <w:p w14:paraId="7DDE287E">
      <w:pPr>
        <w:pStyle w:val="9"/>
        <w:shd w:val="clear" w:color="auto" w:fill="FFFFFF"/>
        <w:rPr>
          <w:rFonts w:hint="eastAsia" w:asciiTheme="minorEastAsia" w:hAnsiTheme="minorEastAsia" w:eastAsiaTheme="minorEastAsia" w:cstheme="minorEastAsia"/>
          <w:sz w:val="32"/>
          <w:szCs w:val="32"/>
        </w:rPr>
      </w:pPr>
    </w:p>
    <w:p w14:paraId="0021160B">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p>
    <w:p w14:paraId="02EFD40C">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p>
    <w:p w14:paraId="2589A6DD">
      <w:pPr>
        <w:pStyle w:val="2"/>
        <w:shd w:val="clear" w:color="auto" w:fill="FFFFFF"/>
        <w:jc w:val="center"/>
        <w:outlineLvl w:val="9"/>
        <w:rPr>
          <w:rFonts w:hint="eastAsia" w:asciiTheme="minorEastAsia" w:hAnsiTheme="minorEastAsia" w:eastAsiaTheme="minorEastAsia" w:cstheme="minorEastAsia"/>
          <w:sz w:val="32"/>
          <w:szCs w:val="32"/>
        </w:rPr>
      </w:pPr>
    </w:p>
    <w:p w14:paraId="4B163381">
      <w:pPr>
        <w:pStyle w:val="2"/>
        <w:shd w:val="clear" w:color="auto" w:fill="FFFFFF"/>
        <w:jc w:val="center"/>
        <w:outlineLvl w:val="9"/>
        <w:rPr>
          <w:rFonts w:hint="eastAsia" w:asciiTheme="minorEastAsia" w:hAnsiTheme="minorEastAsia" w:eastAsiaTheme="minorEastAsia" w:cstheme="minorEastAsia"/>
          <w:sz w:val="32"/>
          <w:szCs w:val="32"/>
        </w:rPr>
      </w:pPr>
    </w:p>
    <w:p w14:paraId="5A26517E">
      <w:pPr>
        <w:pStyle w:val="2"/>
        <w:shd w:val="clear" w:color="auto" w:fill="FFFFFF"/>
        <w:jc w:val="center"/>
        <w:outlineLvl w:val="9"/>
        <w:rPr>
          <w:rFonts w:hint="eastAsia" w:asciiTheme="minorEastAsia" w:hAnsiTheme="minorEastAsia" w:eastAsiaTheme="minorEastAsia" w:cstheme="minorEastAsia"/>
          <w:sz w:val="32"/>
          <w:szCs w:val="32"/>
        </w:rPr>
      </w:pPr>
    </w:p>
    <w:p w14:paraId="162B8050">
      <w:pPr>
        <w:pStyle w:val="2"/>
        <w:shd w:val="clear" w:color="auto" w:fill="FFFFFF"/>
        <w:ind w:firstLine="1566" w:firstLineChars="300"/>
        <w:jc w:val="both"/>
        <w:rPr>
          <w:rFonts w:hint="eastAsia" w:asciiTheme="minorEastAsia" w:hAnsiTheme="minorEastAsia" w:eastAsiaTheme="minorEastAsia" w:cstheme="minorEastAsia"/>
          <w:sz w:val="32"/>
          <w:szCs w:val="32"/>
        </w:rPr>
      </w:pPr>
      <w:bookmarkStart w:id="6" w:name="_Toc5791"/>
      <w:bookmarkStart w:id="7" w:name="_Toc3303"/>
      <w:r>
        <w:rPr>
          <w:rFonts w:hint="eastAsia" w:ascii="黑体" w:hAnsi="黑体" w:eastAsia="黑体" w:cs="黑体"/>
          <w:sz w:val="52"/>
          <w:szCs w:val="52"/>
        </w:rPr>
        <w:t>第一部分 单位概况</w:t>
      </w:r>
      <w:bookmarkEnd w:id="6"/>
      <w:bookmarkEnd w:id="7"/>
    </w:p>
    <w:p w14:paraId="29390A24">
      <w:pPr>
        <w:pStyle w:val="3"/>
        <w:numPr>
          <w:ilvl w:val="0"/>
          <w:numId w:val="1"/>
        </w:numPr>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主要职责</w:t>
      </w:r>
    </w:p>
    <w:p w14:paraId="1ABA52EA">
      <w:pPr>
        <w:pStyle w:val="3"/>
        <w:numPr>
          <w:ilvl w:val="0"/>
          <w:numId w:val="2"/>
        </w:numPr>
        <w:shd w:val="clear" w:color="auto" w:fill="FFFFFF"/>
        <w:outlineLvl w:val="2"/>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sz w:val="32"/>
          <w:szCs w:val="32"/>
        </w:rPr>
        <w:t>主要职能。</w:t>
      </w:r>
    </w:p>
    <w:p w14:paraId="127D9064">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14:paraId="149F8057">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贯彻执行财政、税收、财务、会计管理的法律法规和规章。提出全县性财税立法规划建议，按照管理权限管理全县税政事项。</w:t>
      </w:r>
    </w:p>
    <w:p w14:paraId="1D456CB3">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14:paraId="325B7B65">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4.</w:t>
      </w:r>
      <w:r>
        <w:rPr>
          <w:rFonts w:hint="eastAsia" w:asciiTheme="minorEastAsia" w:hAnsiTheme="minorEastAsia" w:eastAsiaTheme="minorEastAsia" w:cstheme="minorEastAsia"/>
          <w:sz w:val="32"/>
          <w:szCs w:val="32"/>
        </w:rPr>
        <w:t>按分工负责政府非税收入管理。负责政府性基金管理，按规定管理行政事业性收费等其他非税收入。管理财政票据。贯彻落实彩票管理政策和有关办法，监管彩票市场，按规定管理彩票基金。</w:t>
      </w:r>
    </w:p>
    <w:p w14:paraId="2DEF7FD7">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组织制定全县国库管理制度、国库集中收付制度，指导和监督国库业务，开展国库现金管理工作。贯彻执行政府财务报告编制办法并组织实施。负责制定政府采购制度并监督管理。</w:t>
      </w:r>
    </w:p>
    <w:p w14:paraId="17194E11">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贯彻执行地方政府债务管理制度和政策，制定具体管理办法，执行地方政府债余额限额计划，统一管理政府外债，防范财政风险。</w:t>
      </w:r>
    </w:p>
    <w:p w14:paraId="660D260C">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7.</w:t>
      </w:r>
      <w:r>
        <w:rPr>
          <w:rFonts w:hint="eastAsia" w:asciiTheme="minorEastAsia" w:hAnsiTheme="minorEastAsia" w:eastAsiaTheme="minorEastAsia" w:cstheme="minorEastAsia"/>
          <w:sz w:val="32"/>
          <w:szCs w:val="32"/>
        </w:rPr>
        <w:t>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14:paraId="39BF4A58">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8.</w:t>
      </w:r>
      <w:r>
        <w:rPr>
          <w:rFonts w:hint="eastAsia" w:asciiTheme="minorEastAsia" w:hAnsiTheme="minorEastAsia" w:eastAsiaTheme="minorEastAsia" w:cstheme="minorEastAsia"/>
          <w:sz w:val="32"/>
          <w:szCs w:val="32"/>
        </w:rPr>
        <w:t>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14:paraId="2DB7CED4">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9.</w:t>
      </w:r>
      <w:r>
        <w:rPr>
          <w:rFonts w:hint="eastAsia" w:asciiTheme="minorEastAsia" w:hAnsiTheme="minorEastAsia" w:eastAsiaTheme="minorEastAsia" w:cstheme="minorEastAsia"/>
          <w:sz w:val="32"/>
          <w:szCs w:val="32"/>
        </w:rPr>
        <w:t>负责审核并汇总编制全县社会保险基金预决算草案，会同有关部门拟订有关资金（基金）财务管理制度，承担社会保险基金财政监管工作。</w:t>
      </w:r>
    </w:p>
    <w:p w14:paraId="2A65E125">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负责办理和监督县级财政的经济发展支出、县级政府性投资项目的财政拨款，负责投资评审管理工作，参与拟订县级基建投资有关政策，执行基建财务管理制度。</w:t>
      </w:r>
    </w:p>
    <w:p w14:paraId="04559775">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管理外国政府和国际金融机构贷（赠）款项目的有关业务，参与财经领域的国际交流与合作。</w:t>
      </w:r>
    </w:p>
    <w:p w14:paraId="3627F63E">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12.</w:t>
      </w:r>
      <w:r>
        <w:rPr>
          <w:rFonts w:hint="eastAsia" w:asciiTheme="minorEastAsia" w:hAnsiTheme="minorEastAsia" w:eastAsiaTheme="minorEastAsia" w:cstheme="minorEastAsia"/>
          <w:sz w:val="32"/>
          <w:szCs w:val="32"/>
        </w:rPr>
        <w:t>负责管理全县会计工作，监督和规范会计行为，组织实施国家统一的会计制度，指导和管理社会审计。依法管理资产评估有关工作。</w:t>
      </w:r>
    </w:p>
    <w:p w14:paraId="2A761E0D">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13.</w:t>
      </w:r>
      <w:r>
        <w:rPr>
          <w:rFonts w:hint="eastAsia" w:asciiTheme="minorEastAsia" w:hAnsiTheme="minorEastAsia" w:eastAsiaTheme="minorEastAsia" w:cstheme="minorEastAsia"/>
          <w:sz w:val="32"/>
          <w:szCs w:val="32"/>
        </w:rPr>
        <w:t>负责职责范围内的安全生产和职业健康、生态环境保护、审批服务便民化等工作。</w:t>
      </w:r>
    </w:p>
    <w:p w14:paraId="5BF4CD1E">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14.</w:t>
      </w:r>
      <w:r>
        <w:rPr>
          <w:rFonts w:hint="eastAsia" w:asciiTheme="minorEastAsia" w:hAnsiTheme="minorEastAsia" w:eastAsiaTheme="minorEastAsia" w:cstheme="minorEastAsia"/>
          <w:sz w:val="32"/>
          <w:szCs w:val="32"/>
        </w:rPr>
        <w:t>完成县委、县政府交办的其他任务。</w:t>
      </w:r>
    </w:p>
    <w:p w14:paraId="45D3F69D">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（二）2022年重点工作完成情况。</w:t>
      </w:r>
    </w:p>
    <w:p w14:paraId="64C16CE3">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年财政工作在县委、县政府的正确领导下，紧紧围绕县委、县政府中心工作，多措并举，实现了财政收入稳步增长，不断提高财政保障能力，促进了全县经济、社会事业的持续健康发展。</w:t>
      </w:r>
    </w:p>
    <w:p w14:paraId="43A7B2A7">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四川省阿坝州九寨沟县财政局下属二级单位</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个，其中行政单位</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个，参照公务员法管理的事业单位</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个，其他事业单位</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股级</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个。</w:t>
      </w:r>
    </w:p>
    <w:p w14:paraId="629FD1DE">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纳入四川省阿坝州九寨沟县财政局2022年度部门决算编制范围的二级预算单位包括：</w:t>
      </w:r>
    </w:p>
    <w:p w14:paraId="2BEDAE75">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九寨沟县财政局</w:t>
      </w:r>
    </w:p>
    <w:p w14:paraId="4BF0E674">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bookmarkStart w:id="8" w:name="_Toc30317"/>
      <w:r>
        <w:rPr>
          <w:rFonts w:hint="eastAsia" w:asciiTheme="minorEastAsia" w:hAnsiTheme="minorEastAsia" w:eastAsiaTheme="minorEastAsia" w:cstheme="minorEastAsia"/>
          <w:sz w:val="32"/>
          <w:szCs w:val="32"/>
          <w:lang w:val="en-US" w:eastAsia="zh-CN"/>
        </w:rPr>
        <w:t>九寨沟县国库支付中心</w:t>
      </w:r>
      <w:bookmarkEnd w:id="8"/>
    </w:p>
    <w:p w14:paraId="2CECB331">
      <w:pPr>
        <w:pStyle w:val="9"/>
        <w:shd w:val="clear" w:color="auto" w:fill="FFFFFF"/>
        <w:ind w:firstLine="640" w:firstLineChars="200"/>
        <w:rPr>
          <w:rFonts w:hint="eastAsia" w:asciiTheme="minorEastAsia" w:hAnsiTheme="minorEastAsia" w:eastAsiaTheme="minorEastAsia" w:cstheme="minorEastAsia"/>
          <w:sz w:val="32"/>
          <w:szCs w:val="32"/>
        </w:rPr>
      </w:pPr>
      <w:bookmarkStart w:id="9" w:name="_Toc30322"/>
    </w:p>
    <w:p w14:paraId="6858ABB4">
      <w:pPr>
        <w:pStyle w:val="9"/>
        <w:shd w:val="clear" w:color="auto" w:fill="FFFFFF"/>
        <w:outlineLvl w:val="9"/>
        <w:rPr>
          <w:rFonts w:hint="eastAsia" w:asciiTheme="minorEastAsia" w:hAnsiTheme="minorEastAsia" w:eastAsiaTheme="minorEastAsia" w:cstheme="minorEastAsia"/>
          <w:b/>
          <w:bCs/>
          <w:sz w:val="48"/>
          <w:szCs w:val="48"/>
        </w:rPr>
      </w:pPr>
    </w:p>
    <w:p w14:paraId="20FBBD9C">
      <w:pPr>
        <w:pStyle w:val="9"/>
        <w:shd w:val="clear" w:color="auto" w:fill="FFFFFF"/>
        <w:outlineLvl w:val="9"/>
        <w:rPr>
          <w:rFonts w:hint="eastAsia" w:asciiTheme="minorEastAsia" w:hAnsiTheme="minorEastAsia" w:eastAsiaTheme="minorEastAsia" w:cstheme="minorEastAsia"/>
          <w:b/>
          <w:bCs/>
          <w:sz w:val="48"/>
          <w:szCs w:val="48"/>
        </w:rPr>
      </w:pPr>
    </w:p>
    <w:p w14:paraId="08E3394A">
      <w:pPr>
        <w:pStyle w:val="9"/>
        <w:shd w:val="clear" w:color="auto" w:fill="FFFFFF"/>
        <w:outlineLvl w:val="9"/>
        <w:rPr>
          <w:rFonts w:hint="eastAsia" w:asciiTheme="minorEastAsia" w:hAnsiTheme="minorEastAsia" w:eastAsiaTheme="minorEastAsia" w:cstheme="minorEastAsia"/>
          <w:b/>
          <w:bCs/>
          <w:sz w:val="48"/>
          <w:szCs w:val="48"/>
        </w:rPr>
      </w:pPr>
    </w:p>
    <w:p w14:paraId="27CE77B0">
      <w:pPr>
        <w:pStyle w:val="9"/>
        <w:shd w:val="clear" w:color="auto" w:fill="FFFFFF"/>
        <w:outlineLvl w:val="9"/>
        <w:rPr>
          <w:rFonts w:hint="eastAsia" w:asciiTheme="minorEastAsia" w:hAnsiTheme="minorEastAsia" w:eastAsiaTheme="minorEastAsia" w:cstheme="minorEastAsia"/>
          <w:b/>
          <w:bCs/>
          <w:sz w:val="48"/>
          <w:szCs w:val="48"/>
        </w:rPr>
      </w:pPr>
    </w:p>
    <w:p w14:paraId="3F1817F7">
      <w:pPr>
        <w:pStyle w:val="9"/>
        <w:shd w:val="clear" w:color="auto" w:fill="FFFFFF"/>
        <w:outlineLvl w:val="9"/>
        <w:rPr>
          <w:rFonts w:hint="eastAsia" w:asciiTheme="minorEastAsia" w:hAnsiTheme="minorEastAsia" w:eastAsiaTheme="minorEastAsia" w:cstheme="minorEastAsia"/>
          <w:b/>
          <w:bCs/>
          <w:sz w:val="48"/>
          <w:szCs w:val="48"/>
        </w:rPr>
      </w:pPr>
    </w:p>
    <w:p w14:paraId="23D560D5">
      <w:pPr>
        <w:pStyle w:val="9"/>
        <w:shd w:val="clear" w:color="auto" w:fill="FFFFFF"/>
        <w:outlineLvl w:val="9"/>
        <w:rPr>
          <w:rFonts w:hint="eastAsia" w:asciiTheme="minorEastAsia" w:hAnsiTheme="minorEastAsia" w:eastAsiaTheme="minorEastAsia" w:cstheme="minorEastAsia"/>
          <w:b/>
          <w:bCs/>
          <w:sz w:val="48"/>
          <w:szCs w:val="48"/>
        </w:rPr>
      </w:pPr>
    </w:p>
    <w:p w14:paraId="45C42992">
      <w:pPr>
        <w:pStyle w:val="9"/>
        <w:shd w:val="clear" w:color="auto" w:fill="FFFFFF"/>
        <w:outlineLvl w:val="9"/>
        <w:rPr>
          <w:rFonts w:hint="eastAsia" w:asciiTheme="minorEastAsia" w:hAnsiTheme="minorEastAsia" w:eastAsiaTheme="minorEastAsia" w:cstheme="minorEastAsia"/>
          <w:b/>
          <w:bCs/>
          <w:sz w:val="48"/>
          <w:szCs w:val="48"/>
        </w:rPr>
      </w:pPr>
    </w:p>
    <w:p w14:paraId="2EAC7BB5">
      <w:pPr>
        <w:pStyle w:val="9"/>
        <w:shd w:val="clear" w:color="auto" w:fill="FFFFFF"/>
        <w:outlineLvl w:val="9"/>
        <w:rPr>
          <w:rFonts w:hint="eastAsia" w:asciiTheme="minorEastAsia" w:hAnsiTheme="minorEastAsia" w:eastAsiaTheme="minorEastAsia" w:cstheme="minorEastAsia"/>
          <w:b/>
          <w:bCs/>
          <w:sz w:val="48"/>
          <w:szCs w:val="48"/>
        </w:rPr>
      </w:pPr>
    </w:p>
    <w:p w14:paraId="7AE5E00B">
      <w:pPr>
        <w:pStyle w:val="9"/>
        <w:shd w:val="clear" w:color="auto" w:fill="FFFFFF"/>
        <w:outlineLvl w:val="0"/>
        <w:rPr>
          <w:rFonts w:hint="eastAsia" w:asciiTheme="minorEastAsia" w:hAnsiTheme="minorEastAsia" w:eastAsiaTheme="minorEastAsia" w:cstheme="minorEastAsia"/>
          <w:b/>
          <w:bCs/>
          <w:sz w:val="48"/>
          <w:szCs w:val="48"/>
        </w:rPr>
      </w:pPr>
      <w:bookmarkStart w:id="10" w:name="_Toc10112"/>
      <w:r>
        <w:rPr>
          <w:rFonts w:hint="eastAsia" w:asciiTheme="minorEastAsia" w:hAnsiTheme="minorEastAsia" w:eastAsiaTheme="minorEastAsia" w:cstheme="minorEastAsia"/>
          <w:b/>
          <w:bCs/>
          <w:sz w:val="48"/>
          <w:szCs w:val="48"/>
        </w:rPr>
        <w:t>第二部分 2022年度单位决算情况说明</w:t>
      </w:r>
      <w:bookmarkEnd w:id="9"/>
      <w:bookmarkEnd w:id="10"/>
    </w:p>
    <w:p w14:paraId="18FBE4E9">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sz w:val="32"/>
          <w:szCs w:val="32"/>
        </w:rPr>
        <w:t> </w:t>
      </w:r>
      <w:r>
        <w:rPr>
          <w:rFonts w:hint="eastAsia" w:asciiTheme="minorEastAsia" w:hAnsiTheme="minorEastAsia" w:eastAsiaTheme="minorEastAsia" w:cstheme="minorEastAsia"/>
          <w:b/>
          <w:bCs/>
          <w:sz w:val="32"/>
          <w:szCs w:val="32"/>
        </w:rPr>
        <w:t>一、收入支出决算总体情况说明</w:t>
      </w:r>
    </w:p>
    <w:p w14:paraId="2C5321D7">
      <w:pPr>
        <w:pStyle w:val="9"/>
        <w:shd w:val="clear" w:color="auto" w:fill="FFFFFF"/>
        <w:ind w:firstLine="640" w:firstLineChars="200"/>
        <w:rPr>
          <w:rFonts w:hint="default"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2022年度收、支总计1,094.61万元。与2021年相比，收、支总计各增加-63.21万元，增长-5.46%。主要变动原因是</w:t>
      </w:r>
      <w:r>
        <w:rPr>
          <w:rFonts w:hint="eastAsia" w:asciiTheme="minorEastAsia" w:hAnsiTheme="minorEastAsia" w:eastAsiaTheme="minorEastAsia" w:cstheme="minorEastAsia"/>
          <w:sz w:val="32"/>
          <w:szCs w:val="32"/>
          <w:lang w:val="en-US" w:eastAsia="zh-CN"/>
        </w:rPr>
        <w:t>厉行节约。</w:t>
      </w:r>
    </w:p>
    <w:p w14:paraId="0045A8DC">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二、收入决算情况说明</w:t>
      </w:r>
    </w:p>
    <w:p w14:paraId="62CBBDC4">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2022年本年收入合计547.32万元，其中：一般公共预算财政拨款收入547.32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21EC994F">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三、支出决算情况说明</w:t>
      </w:r>
    </w:p>
    <w:p w14:paraId="258F2AEB">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2022年本年支出合计1,094.61万元，其中：基本支出640.38万元，占58.50%；项目支出454.23万元，占41.50%；上缴上级支出0.00万元，占0.00%；经营支出0.00万元，占经营支出0.00万元，占 0.00%；对附属单位补助支出0.00万元，占0.00%。 </w:t>
      </w:r>
    </w:p>
    <w:p w14:paraId="2330268D">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四、财政拨款收入支出决算总体情况说明</w:t>
      </w:r>
    </w:p>
    <w:p w14:paraId="26F7676B">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2022年财政拨款收、支总计1,094.61万元。与2021年相比，财政拨款收、支总计各增加/减少-63.21万元，增长-5.46%。主要变动原因</w:t>
      </w:r>
      <w:r>
        <w:rPr>
          <w:rFonts w:hint="eastAsia" w:asciiTheme="minorEastAsia" w:hAnsiTheme="minorEastAsia" w:eastAsiaTheme="minorEastAsia" w:cstheme="minorEastAsia"/>
          <w:sz w:val="32"/>
          <w:szCs w:val="32"/>
          <w:lang w:val="en-US" w:eastAsia="zh-CN"/>
        </w:rPr>
        <w:t>是厉行节约。</w:t>
      </w:r>
      <w:r>
        <w:rPr>
          <w:rFonts w:hint="eastAsia" w:asciiTheme="minorEastAsia" w:hAnsiTheme="minorEastAsia" w:eastAsiaTheme="minorEastAsia" w:cstheme="minorEastAsia"/>
          <w:sz w:val="32"/>
          <w:szCs w:val="32"/>
        </w:rPr>
        <w:t> </w:t>
      </w:r>
    </w:p>
    <w:p w14:paraId="45BD9914">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五、</w:t>
      </w:r>
      <w:r>
        <w:rPr>
          <w:rStyle w:val="12"/>
          <w:rFonts w:hint="eastAsia" w:asciiTheme="minorEastAsia" w:hAnsiTheme="minorEastAsia" w:eastAsiaTheme="minorEastAsia" w:cstheme="minorEastAsia"/>
          <w:b/>
          <w:bCs/>
          <w:sz w:val="32"/>
          <w:szCs w:val="32"/>
        </w:rPr>
        <w:t>一</w:t>
      </w:r>
      <w:r>
        <w:rPr>
          <w:rFonts w:hint="eastAsia" w:asciiTheme="minorEastAsia" w:hAnsiTheme="minorEastAsia" w:eastAsiaTheme="minorEastAsia" w:cstheme="minorEastAsia"/>
          <w:b/>
          <w:bCs/>
          <w:sz w:val="32"/>
          <w:szCs w:val="32"/>
        </w:rPr>
        <w:t>般公共预算财政拨款支出决算情况说明</w:t>
      </w:r>
    </w:p>
    <w:p w14:paraId="61E67882">
      <w:pPr>
        <w:pStyle w:val="9"/>
        <w:shd w:val="clear" w:color="auto" w:fill="FFFFFF"/>
        <w:outlineLvl w:val="2"/>
        <w:rPr>
          <w:rFonts w:hint="eastAsia" w:asciiTheme="minorEastAsia" w:hAnsiTheme="minorEastAsia" w:eastAsiaTheme="minorEastAsia" w:cstheme="minorEastAsia"/>
          <w:sz w:val="32"/>
          <w:szCs w:val="32"/>
        </w:rPr>
      </w:pPr>
      <w:r>
        <w:rPr>
          <w:rStyle w:val="12"/>
          <w:rFonts w:hint="eastAsia" w:asciiTheme="minorEastAsia" w:hAnsiTheme="minorEastAsia" w:eastAsiaTheme="minorEastAsia" w:cstheme="minorEastAsia"/>
          <w:sz w:val="32"/>
          <w:szCs w:val="32"/>
        </w:rPr>
        <w:t>（一）一般公共预算财政拨款支出决算总体情况</w:t>
      </w:r>
    </w:p>
    <w:p w14:paraId="15E9C980">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2022年一般公共预算财政拨款支出1,094.61万元，占本年支出合计的100.00%。与2021年相比，一般公共预算财政拨款支出增加-63.21万元，增长-5.46%。主要变动原因是</w:t>
      </w:r>
      <w:r>
        <w:rPr>
          <w:rFonts w:hint="eastAsia" w:asciiTheme="minorEastAsia" w:hAnsiTheme="minorEastAsia" w:eastAsiaTheme="minorEastAsia" w:cstheme="minorEastAsia"/>
          <w:sz w:val="32"/>
          <w:szCs w:val="32"/>
          <w:lang w:val="en-US" w:eastAsia="zh-CN"/>
        </w:rPr>
        <w:t>厉行节约。</w:t>
      </w:r>
      <w:r>
        <w:rPr>
          <w:rFonts w:hint="eastAsia" w:asciiTheme="minorEastAsia" w:hAnsiTheme="minorEastAsia" w:eastAsiaTheme="minorEastAsia" w:cstheme="minorEastAsia"/>
          <w:sz w:val="32"/>
          <w:szCs w:val="32"/>
        </w:rPr>
        <w:t> </w:t>
      </w:r>
    </w:p>
    <w:p w14:paraId="1CCC6CBB">
      <w:pPr>
        <w:pStyle w:val="9"/>
        <w:shd w:val="clear" w:color="auto" w:fill="FFFFFF"/>
        <w:outlineLvl w:val="2"/>
        <w:rPr>
          <w:rFonts w:hint="eastAsia" w:asciiTheme="minorEastAsia" w:hAnsiTheme="minorEastAsia" w:eastAsiaTheme="minorEastAsia" w:cstheme="minorEastAsia"/>
          <w:sz w:val="32"/>
          <w:szCs w:val="32"/>
        </w:rPr>
      </w:pPr>
      <w:r>
        <w:rPr>
          <w:rStyle w:val="12"/>
          <w:rFonts w:hint="eastAsia" w:asciiTheme="minorEastAsia" w:hAnsiTheme="minorEastAsia" w:eastAsiaTheme="minorEastAsia" w:cstheme="minorEastAsia"/>
          <w:sz w:val="32"/>
          <w:szCs w:val="32"/>
        </w:rPr>
        <w:t>（二）一般公共预算财政拨款支出决算结构情况</w:t>
      </w:r>
    </w:p>
    <w:p w14:paraId="2AF790AA">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2022年一般公共预算财政拨款支出1,094.61万元，主要用于以下方面:一般公共服务（类）支出975.68万元，占89.13%；教育支出（类）0.00万元，占0.00%；科学技术（类）支出0.00万元，占0.00%；文化旅游体育与传媒（类）支出0.00万元，占0.00%；社会保障和就业（类）支出59.22万元，占5.41%；卫生健康支出26.32万元，占2.40%；住房保障支出33.39万元，占3.05%。</w:t>
      </w:r>
    </w:p>
    <w:p w14:paraId="710A120E">
      <w:pPr>
        <w:pStyle w:val="9"/>
        <w:shd w:val="clear" w:color="auto" w:fill="FFFFFF"/>
        <w:outlineLvl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r>
        <w:rPr>
          <w:rStyle w:val="12"/>
          <w:rFonts w:hint="eastAsia" w:asciiTheme="minorEastAsia" w:hAnsiTheme="minorEastAsia" w:eastAsiaTheme="minorEastAsia" w:cstheme="minorEastAsia"/>
          <w:sz w:val="32"/>
          <w:szCs w:val="32"/>
        </w:rPr>
        <w:t>（三）一般公共预算财政拨款支出决算具体情况</w:t>
      </w:r>
    </w:p>
    <w:p w14:paraId="6CA6DE4D">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2022年一般公共预算支出决算数为1,094.61，完成预算100.00%。其中：</w:t>
      </w:r>
    </w:p>
    <w:p w14:paraId="162B295F">
      <w:pPr>
        <w:pStyle w:val="9"/>
        <w:shd w:val="clear" w:color="auto" w:fill="FFFFFF"/>
        <w:ind w:firstLine="640" w:firstLineChars="200"/>
        <w:rPr>
          <w:rFonts w:hint="eastAsia" w:asciiTheme="minorEastAsia" w:hAnsiTheme="minorEastAsia" w:eastAsiaTheme="minorEastAsia" w:cstheme="minorEastAsia"/>
          <w:sz w:val="32"/>
          <w:szCs w:val="32"/>
          <w:lang w:val="en-US"/>
        </w:rPr>
      </w:pPr>
      <w:r>
        <w:rPr>
          <w:rFonts w:hint="eastAsia" w:asciiTheme="minorEastAsia" w:hAnsiTheme="minorEastAsia" w:eastAsiaTheme="minorEastAsia" w:cstheme="minorEastAsia"/>
          <w:sz w:val="32"/>
          <w:szCs w:val="32"/>
        </w:rPr>
        <w:t>1.一般公共服务（</w:t>
      </w:r>
      <w:r>
        <w:rPr>
          <w:rFonts w:hint="eastAsia" w:asciiTheme="minorEastAsia" w:hAnsiTheme="minorEastAsia" w:eastAsiaTheme="minorEastAsia" w:cstheme="minorEastAsia"/>
          <w:sz w:val="32"/>
          <w:szCs w:val="32"/>
          <w:lang w:val="en-US" w:eastAsia="zh-CN"/>
        </w:rPr>
        <w:t>201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财政事务</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06</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行政运行</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01</w:t>
      </w:r>
      <w:r>
        <w:rPr>
          <w:rFonts w:hint="eastAsia" w:asciiTheme="minorEastAsia" w:hAnsiTheme="minorEastAsia" w:eastAsiaTheme="minorEastAsia" w:cstheme="minorEastAsia"/>
          <w:sz w:val="32"/>
          <w:szCs w:val="32"/>
        </w:rPr>
        <w:t>）: 支出决算为</w:t>
      </w:r>
      <w:r>
        <w:rPr>
          <w:rFonts w:hint="eastAsia" w:asciiTheme="minorEastAsia" w:hAnsiTheme="minorEastAsia" w:eastAsiaTheme="minorEastAsia" w:cstheme="minorEastAsia"/>
          <w:sz w:val="32"/>
          <w:szCs w:val="32"/>
          <w:lang w:val="en-US" w:eastAsia="zh-CN"/>
        </w:rPr>
        <w:t>521.46</w:t>
      </w:r>
      <w:r>
        <w:rPr>
          <w:rFonts w:hint="eastAsia" w:asciiTheme="minorEastAsia" w:hAnsiTheme="minorEastAsia" w:eastAsiaTheme="minorEastAsia" w:cstheme="minorEastAsia"/>
          <w:sz w:val="32"/>
          <w:szCs w:val="32"/>
        </w:rPr>
        <w:t>万元，完成预算</w:t>
      </w:r>
      <w:r>
        <w:rPr>
          <w:rFonts w:hint="eastAsia" w:asciiTheme="minorEastAsia" w:hAnsiTheme="minorEastAsia" w:eastAsiaTheme="minorEastAsia" w:cstheme="minorEastAsia"/>
          <w:sz w:val="32"/>
          <w:szCs w:val="32"/>
          <w:lang w:val="en-US" w:eastAsia="zh-CN"/>
        </w:rPr>
        <w:t>100%</w:t>
      </w:r>
    </w:p>
    <w:p w14:paraId="58CCA452">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.社会保障和就业（</w:t>
      </w:r>
      <w:r>
        <w:rPr>
          <w:rFonts w:hint="eastAsia" w:asciiTheme="minorEastAsia" w:hAnsiTheme="minorEastAsia" w:eastAsiaTheme="minorEastAsia" w:cstheme="minorEastAsia"/>
          <w:sz w:val="32"/>
          <w:szCs w:val="32"/>
          <w:lang w:val="en-US" w:eastAsia="zh-CN"/>
        </w:rPr>
        <w:t>208</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行政和事业单位养老</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05</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行政和事业单位基本养老保险缴费</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05</w:t>
      </w:r>
      <w:r>
        <w:rPr>
          <w:rFonts w:hint="eastAsia" w:asciiTheme="minorEastAsia" w:hAnsiTheme="minorEastAsia" w:eastAsiaTheme="minorEastAsia" w:cstheme="minorEastAsia"/>
          <w:sz w:val="32"/>
          <w:szCs w:val="32"/>
        </w:rPr>
        <w:t>）: 支出决算为</w:t>
      </w:r>
      <w:r>
        <w:rPr>
          <w:rFonts w:hint="eastAsia" w:asciiTheme="minorEastAsia" w:hAnsiTheme="minorEastAsia" w:eastAsiaTheme="minorEastAsia" w:cstheme="minorEastAsia"/>
          <w:sz w:val="32"/>
          <w:szCs w:val="32"/>
          <w:lang w:val="en-US" w:eastAsia="zh-CN"/>
        </w:rPr>
        <w:t>39.48</w:t>
      </w:r>
      <w:r>
        <w:rPr>
          <w:rFonts w:hint="eastAsia" w:asciiTheme="minorEastAsia" w:hAnsiTheme="minorEastAsia" w:eastAsiaTheme="minorEastAsia" w:cstheme="minorEastAsia"/>
          <w:sz w:val="32"/>
          <w:szCs w:val="32"/>
        </w:rPr>
        <w:t>万元，完成预算</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p>
    <w:p w14:paraId="574B5C81">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.社会保障和就业（</w:t>
      </w:r>
      <w:r>
        <w:rPr>
          <w:rFonts w:hint="eastAsia" w:asciiTheme="minorEastAsia" w:hAnsiTheme="minorEastAsia" w:eastAsiaTheme="minorEastAsia" w:cstheme="minorEastAsia"/>
          <w:sz w:val="32"/>
          <w:szCs w:val="32"/>
          <w:lang w:val="en-US" w:eastAsia="zh-CN"/>
        </w:rPr>
        <w:t>208</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行政和事业单位养老</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05</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行政和事业单位职业年金缴费</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06</w:t>
      </w:r>
      <w:r>
        <w:rPr>
          <w:rFonts w:hint="eastAsia" w:asciiTheme="minorEastAsia" w:hAnsiTheme="minorEastAsia" w:eastAsiaTheme="minorEastAsia" w:cstheme="minorEastAsia"/>
          <w:sz w:val="32"/>
          <w:szCs w:val="32"/>
        </w:rPr>
        <w:t>）: 支出决算为</w:t>
      </w:r>
      <w:r>
        <w:rPr>
          <w:rFonts w:hint="eastAsia" w:asciiTheme="minorEastAsia" w:hAnsiTheme="minorEastAsia" w:eastAsiaTheme="minorEastAsia" w:cstheme="minorEastAsia"/>
          <w:sz w:val="32"/>
          <w:szCs w:val="32"/>
          <w:lang w:val="en-US" w:eastAsia="zh-CN"/>
        </w:rPr>
        <w:t>19.74</w:t>
      </w:r>
      <w:r>
        <w:rPr>
          <w:rFonts w:hint="eastAsia" w:asciiTheme="minorEastAsia" w:hAnsiTheme="minorEastAsia" w:eastAsiaTheme="minorEastAsia" w:cstheme="minorEastAsia"/>
          <w:sz w:val="32"/>
          <w:szCs w:val="32"/>
        </w:rPr>
        <w:t>万元，完成预算</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w:t>
      </w:r>
    </w:p>
    <w:p w14:paraId="4B5B4371">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4</w:t>
      </w:r>
      <w:r>
        <w:rPr>
          <w:rFonts w:hint="eastAsia" w:asciiTheme="minorEastAsia" w:hAnsiTheme="minorEastAsia" w:eastAsiaTheme="minorEastAsia" w:cstheme="minorEastAsia"/>
          <w:sz w:val="32"/>
          <w:szCs w:val="32"/>
        </w:rPr>
        <w:t>.卫生健康（210）行政事业单位医疗（11）行政单位医疗（01）:支出决算为</w:t>
      </w:r>
      <w:r>
        <w:rPr>
          <w:rFonts w:hint="eastAsia" w:asciiTheme="minorEastAsia" w:hAnsiTheme="minorEastAsia" w:eastAsiaTheme="minorEastAsia" w:cstheme="minorEastAsia"/>
          <w:sz w:val="32"/>
          <w:szCs w:val="32"/>
          <w:lang w:val="en-US" w:eastAsia="zh-CN"/>
        </w:rPr>
        <w:t>18.94</w:t>
      </w:r>
      <w:r>
        <w:rPr>
          <w:rFonts w:hint="eastAsia" w:asciiTheme="minorEastAsia" w:hAnsiTheme="minorEastAsia" w:eastAsiaTheme="minorEastAsia" w:cstheme="minorEastAsia"/>
          <w:sz w:val="32"/>
          <w:szCs w:val="32"/>
        </w:rPr>
        <w:t xml:space="preserve">万元，完成预算100%。 </w:t>
      </w:r>
    </w:p>
    <w:p w14:paraId="2AE51D78">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卫生健康（210）行政事业单位医疗（11）</w:t>
      </w:r>
      <w:r>
        <w:rPr>
          <w:rFonts w:hint="eastAsia" w:asciiTheme="minorEastAsia" w:hAnsiTheme="minorEastAsia" w:eastAsiaTheme="minorEastAsia" w:cstheme="minorEastAsia"/>
          <w:sz w:val="32"/>
          <w:szCs w:val="32"/>
          <w:lang w:val="en-US" w:eastAsia="zh-CN"/>
        </w:rPr>
        <w:t>公务员医疗补助</w:t>
      </w:r>
      <w:r>
        <w:rPr>
          <w:rFonts w:hint="eastAsia" w:asciiTheme="minorEastAsia" w:hAnsiTheme="minorEastAsia" w:eastAsiaTheme="minorEastAsia" w:cstheme="minorEastAsia"/>
          <w:sz w:val="32"/>
          <w:szCs w:val="32"/>
        </w:rPr>
        <w:t>（0</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）:支出决算为</w:t>
      </w:r>
      <w:r>
        <w:rPr>
          <w:rFonts w:hint="eastAsia" w:asciiTheme="minorEastAsia" w:hAnsiTheme="minorEastAsia" w:eastAsiaTheme="minorEastAsia" w:cstheme="minorEastAsia"/>
          <w:sz w:val="32"/>
          <w:szCs w:val="32"/>
          <w:lang w:val="en-US" w:eastAsia="zh-CN"/>
        </w:rPr>
        <w:t>7.37</w:t>
      </w:r>
      <w:r>
        <w:rPr>
          <w:rFonts w:hint="eastAsia" w:asciiTheme="minorEastAsia" w:hAnsiTheme="minorEastAsia" w:eastAsiaTheme="minorEastAsia" w:cstheme="minorEastAsia"/>
          <w:sz w:val="32"/>
          <w:szCs w:val="32"/>
        </w:rPr>
        <w:t>万元，完成预算100%</w:t>
      </w:r>
      <w:r>
        <w:rPr>
          <w:rFonts w:hint="eastAsia" w:asciiTheme="minorEastAsia" w:hAnsiTheme="minorEastAsia" w:eastAsiaTheme="minorEastAsia" w:cstheme="minorEastAsia"/>
          <w:sz w:val="32"/>
          <w:szCs w:val="32"/>
          <w:lang w:eastAsia="zh-CN"/>
        </w:rPr>
        <w:t>。</w:t>
      </w:r>
    </w:p>
    <w:p w14:paraId="0CF580BE">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住房保障（221）住房改革支出（02）住房公积金（01）：支出决算为</w:t>
      </w:r>
      <w:r>
        <w:rPr>
          <w:rFonts w:hint="eastAsia" w:asciiTheme="minorEastAsia" w:hAnsiTheme="minorEastAsia" w:eastAsiaTheme="minorEastAsia" w:cstheme="minorEastAsia"/>
          <w:sz w:val="32"/>
          <w:szCs w:val="32"/>
          <w:lang w:val="en-US" w:eastAsia="zh-CN"/>
        </w:rPr>
        <w:t>33.39</w:t>
      </w:r>
      <w:r>
        <w:rPr>
          <w:rFonts w:hint="eastAsia" w:asciiTheme="minorEastAsia" w:hAnsiTheme="minorEastAsia" w:eastAsiaTheme="minorEastAsia" w:cstheme="minorEastAsia"/>
          <w:sz w:val="32"/>
          <w:szCs w:val="32"/>
        </w:rPr>
        <w:t>万元，完成预算100%。 </w:t>
      </w:r>
    </w:p>
    <w:p w14:paraId="7F5B8B62">
      <w:pPr>
        <w:pStyle w:val="9"/>
        <w:shd w:val="clear" w:color="auto" w:fill="FFFFFF"/>
        <w:outlineLvl w:val="1"/>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六</w:t>
      </w:r>
      <w:r>
        <w:rPr>
          <w:rStyle w:val="12"/>
          <w:rFonts w:hint="eastAsia" w:asciiTheme="minorEastAsia" w:hAnsiTheme="minorEastAsia" w:eastAsiaTheme="minorEastAsia" w:cstheme="minorEastAsia"/>
          <w:b/>
          <w:bCs/>
          <w:sz w:val="32"/>
          <w:szCs w:val="32"/>
        </w:rPr>
        <w:t>、一</w:t>
      </w:r>
      <w:r>
        <w:rPr>
          <w:rFonts w:hint="eastAsia" w:asciiTheme="minorEastAsia" w:hAnsiTheme="minorEastAsia" w:eastAsiaTheme="minorEastAsia" w:cstheme="minorEastAsia"/>
          <w:b/>
          <w:bCs/>
          <w:sz w:val="32"/>
          <w:szCs w:val="32"/>
        </w:rPr>
        <w:t>般公共预算财政拨款基本支出决算情况说明  </w:t>
      </w:r>
      <w:r>
        <w:rPr>
          <w:rFonts w:hint="eastAsia" w:asciiTheme="minorEastAsia" w:hAnsiTheme="minorEastAsia" w:eastAsiaTheme="minorEastAsia" w:cstheme="minorEastAsia"/>
          <w:sz w:val="32"/>
          <w:szCs w:val="32"/>
        </w:rPr>
        <w:t> </w:t>
      </w:r>
    </w:p>
    <w:p w14:paraId="5B06E880">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一般公共预算财政拨款基本支出640.38万元，其中：人员经费504.22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3B8019E6">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用经费136.16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FF9EC5D">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七、“三公”经费财政拨款支出决算情况说明</w:t>
      </w:r>
    </w:p>
    <w:p w14:paraId="7C9BE5BF">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（一）“三公”经费财政拨款支出决算总体情况说明</w:t>
      </w:r>
    </w:p>
    <w:p w14:paraId="3FBF46DD">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2022年“三公”经费财政拨款支出决算为12.83万元，完成预算100.00%，决算数与预算数持平。</w:t>
      </w:r>
    </w:p>
    <w:p w14:paraId="28D80661">
      <w:pPr>
        <w:pStyle w:val="9"/>
        <w:shd w:val="clear" w:color="auto" w:fill="FFFFFF"/>
        <w:outlineLvl w:val="2"/>
        <w:rPr>
          <w:rFonts w:hint="eastAsia" w:asciiTheme="minorEastAsia" w:hAnsiTheme="minorEastAsia" w:eastAsiaTheme="minorEastAsia" w:cstheme="minorEastAsia"/>
          <w:sz w:val="32"/>
          <w:szCs w:val="32"/>
        </w:rPr>
      </w:pPr>
      <w:r>
        <w:rPr>
          <w:rStyle w:val="12"/>
          <w:rFonts w:hint="eastAsia" w:asciiTheme="minorEastAsia" w:hAnsiTheme="minorEastAsia" w:eastAsiaTheme="minorEastAsia" w:cstheme="minorEastAsia"/>
          <w:sz w:val="32"/>
          <w:szCs w:val="32"/>
        </w:rPr>
        <w:t>（二）“三公”经费财政拨款支出决算具体情况说明</w:t>
      </w:r>
    </w:p>
    <w:p w14:paraId="6ED25C92">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2022年“三公”经费财政拨款支出决算中，因公出国（境）费支出决算0.00万元，占0.00%；公务用车购置及运行维护费支出决算12.36万元，占96.34%；公务接待费支出决算0.47万元，占3.66%。具体情况如下：</w:t>
      </w:r>
    </w:p>
    <w:p w14:paraId="731C1D09">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因公出国（境）经费支出0.00万元，完成预算0.00%。全年安排因公出国（境）团组0次，出国（境）0人。因公出国（境）支出决算比2021年增加0.00万元，增长0.00%。 </w:t>
      </w:r>
    </w:p>
    <w:p w14:paraId="787BA654">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2.公务用车购置及运行维护费支出12.36万元,完成预算100.00%。公务用车购置及运行维护费支出决算比2021年增加-0.72万元，增长-5.49%。主要原因是厉行节约</w:t>
      </w:r>
      <w:bookmarkStart w:id="18" w:name="_GoBack"/>
      <w:bookmarkEnd w:id="18"/>
      <w:r>
        <w:rPr>
          <w:rFonts w:hint="eastAsia" w:asciiTheme="minorEastAsia" w:hAnsiTheme="minorEastAsia" w:eastAsiaTheme="minorEastAsia" w:cstheme="minorEastAsia"/>
          <w:sz w:val="32"/>
          <w:szCs w:val="32"/>
          <w:lang w:val="en-US" w:eastAsia="zh-CN"/>
        </w:rPr>
        <w:t>。</w:t>
      </w:r>
    </w:p>
    <w:p w14:paraId="627AA30B">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其中：公务用车购置支出0.00万元。全年按规定更新购置公务用车0辆，其中：轿车0辆、金额0万元，越野车0辆、金额0万元，载客汽车0辆、金额0万元。截至2022年12月底，单位共有公务用车1辆，其中：轿车0辆、越野车1辆、载客汽车0辆。</w:t>
      </w:r>
    </w:p>
    <w:p w14:paraId="66911228">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公务用车运行维护费支出12.36万元。因公出差、培训、会议、下乡等所需的公务用车燃料费、维修费、过路过桥费、保险费等支出。</w:t>
      </w:r>
    </w:p>
    <w:p w14:paraId="422FA003">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3.公务接待费支出0.47万元，完成预算100%。公务接待费支出决算比2021年增加0.07万元，增长18.32%。主要原因是其中：国内公务接待支出0.47万元，主要用于开展业务活动开支的交通费、住宿费、用餐费等。国内公务接待5批次，85人次（不包括陪同人员），共计支出0.47万元。外事接待支出0.00万元，外事接待0批次，0人，共计支出0.00万元。</w:t>
      </w:r>
    </w:p>
    <w:p w14:paraId="50474623">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八、政府性基金预算支出决算情况说明</w:t>
      </w:r>
    </w:p>
    <w:p w14:paraId="2B03DDFA">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2022年政府性基金预算财政拨款支出0.00万元。</w:t>
      </w:r>
    </w:p>
    <w:p w14:paraId="5E61A1BF">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九、国有资本经营预算支出决算情况说明</w:t>
      </w:r>
    </w:p>
    <w:p w14:paraId="31B983F6">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2022年国有资本经营预算财政拨款支出0.00万元。</w:t>
      </w:r>
    </w:p>
    <w:p w14:paraId="72D636A8">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十、其他重要事项的情况说明</w:t>
      </w:r>
    </w:p>
    <w:p w14:paraId="6F50A234">
      <w:pPr>
        <w:pStyle w:val="9"/>
        <w:shd w:val="clear" w:color="auto" w:fill="FFFFFF"/>
        <w:outlineLvl w:val="2"/>
        <w:rPr>
          <w:rFonts w:hint="eastAsia" w:asciiTheme="minorEastAsia" w:hAnsiTheme="minorEastAsia" w:eastAsiaTheme="minorEastAsia" w:cstheme="minorEastAsia"/>
          <w:sz w:val="32"/>
          <w:szCs w:val="32"/>
        </w:rPr>
      </w:pPr>
      <w:r>
        <w:rPr>
          <w:rStyle w:val="12"/>
          <w:rFonts w:hint="eastAsia" w:asciiTheme="minorEastAsia" w:hAnsiTheme="minorEastAsia" w:eastAsiaTheme="minorEastAsia" w:cstheme="minorEastAsia"/>
          <w:sz w:val="32"/>
          <w:szCs w:val="32"/>
        </w:rPr>
        <w:t>（一）机关运行经费支出情况</w:t>
      </w:r>
    </w:p>
    <w:p w14:paraId="2AE87A23">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2022年，四川省阿坝州九寨沟县财政局机关运行经费支出136.16万元，比2021年增加38.67万元，增长39.67%。主要原因是增加了办公设备采购，差旅费等支出。</w:t>
      </w:r>
    </w:p>
    <w:p w14:paraId="42CA984F">
      <w:pPr>
        <w:pStyle w:val="9"/>
        <w:shd w:val="clear" w:color="auto" w:fill="FFFFFF"/>
        <w:outlineLvl w:val="2"/>
        <w:rPr>
          <w:rFonts w:hint="eastAsia" w:asciiTheme="minorEastAsia" w:hAnsiTheme="minorEastAsia" w:eastAsiaTheme="minorEastAsia" w:cstheme="minorEastAsia"/>
          <w:sz w:val="32"/>
          <w:szCs w:val="32"/>
        </w:rPr>
      </w:pPr>
      <w:r>
        <w:rPr>
          <w:rStyle w:val="12"/>
          <w:rFonts w:hint="eastAsia" w:asciiTheme="minorEastAsia" w:hAnsiTheme="minorEastAsia" w:eastAsiaTheme="minorEastAsia" w:cstheme="minorEastAsia"/>
          <w:sz w:val="32"/>
          <w:szCs w:val="32"/>
        </w:rPr>
        <w:t>（二）政府采购支出情况</w:t>
      </w:r>
    </w:p>
    <w:p w14:paraId="2CAF2DD0">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四川省阿坝州九寨沟县财政局政府采购支出总额399.39万元，其中：政府采购货物支出7.16万元、政府采购工程支出0.00万元、政府采购服务支出392.23万元。主要用于预算绩效评介服务和。授予中小企业合同金额392.23万元，占政府采购支出总额的98.21%，其中：授予小微企业合同金额0.00万元，占政府采购支出总额的0.00%。</w:t>
      </w:r>
    </w:p>
    <w:p w14:paraId="39ECEAEE">
      <w:pPr>
        <w:pStyle w:val="9"/>
        <w:shd w:val="clear" w:color="auto" w:fill="FFFFFF"/>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（三）国有资产占有使用情况</w:t>
      </w:r>
    </w:p>
    <w:p w14:paraId="036DEA24">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截至2022年12月31日，四川省阿坝州九寨沟县财政局共有车辆1辆，其中：主要领导干部用车0辆、机要通信用车0辆、应急保障用车0辆、其他用车1辆，其他用车主要是用于单位职工出差、培训、会议、下乡等一般公务用车，单价100万元（含）以上设备（</w:t>
      </w:r>
      <w:r>
        <w:rPr>
          <w:rFonts w:hint="eastAsia" w:asciiTheme="minorEastAsia" w:hAnsiTheme="minorEastAsia" w:eastAsiaTheme="minorEastAsia" w:cstheme="minorEastAsia"/>
          <w:sz w:val="32"/>
          <w:szCs w:val="32"/>
        </w:rPr>
        <w:t>不含车辆）0台。</w:t>
      </w:r>
    </w:p>
    <w:p w14:paraId="1C915839">
      <w:pPr>
        <w:pStyle w:val="9"/>
        <w:shd w:val="clear" w:color="auto" w:fill="FFFFFF"/>
        <w:outlineLvl w:val="2"/>
        <w:rPr>
          <w:rFonts w:hint="eastAsia" w:asciiTheme="minorEastAsia" w:hAnsiTheme="minorEastAsia" w:eastAsiaTheme="minorEastAsia" w:cstheme="minorEastAsia"/>
          <w:sz w:val="32"/>
          <w:szCs w:val="32"/>
        </w:rPr>
      </w:pPr>
      <w:r>
        <w:rPr>
          <w:rStyle w:val="12"/>
          <w:rFonts w:hint="eastAsia" w:asciiTheme="minorEastAsia" w:hAnsiTheme="minorEastAsia" w:eastAsiaTheme="minorEastAsia" w:cstheme="minorEastAsia"/>
          <w:sz w:val="32"/>
          <w:szCs w:val="32"/>
        </w:rPr>
        <w:t>（四）预算绩效管理情况</w:t>
      </w:r>
    </w:p>
    <w:p w14:paraId="60094B16">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根据预算绩效管理要求，本部门在2022年度预算编制阶段，组织对中介机构委托评审项目等1个项目开展了预算事前绩效评估，对1个项目编制了绩效目标，预算执行过程中，选取1个项目开展绩效监控，组织对1个项目开展绩效自评，绩效自评表详见第四部分附件。</w:t>
      </w:r>
    </w:p>
    <w:p w14:paraId="494783DA">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p>
    <w:p w14:paraId="3266FD33">
      <w:pPr>
        <w:pStyle w:val="9"/>
        <w:shd w:val="clear" w:color="auto" w:fill="FFFFFF"/>
        <w:ind w:firstLine="1566" w:firstLineChars="300"/>
        <w:outlineLvl w:val="9"/>
        <w:rPr>
          <w:rStyle w:val="12"/>
          <w:rFonts w:hint="eastAsia" w:ascii="黑体" w:hAnsi="黑体" w:eastAsia="黑体" w:cs="黑体"/>
          <w:sz w:val="52"/>
          <w:szCs w:val="52"/>
        </w:rPr>
      </w:pPr>
      <w:bookmarkStart w:id="11" w:name="_Toc21034"/>
    </w:p>
    <w:p w14:paraId="5620478A">
      <w:pPr>
        <w:pStyle w:val="9"/>
        <w:shd w:val="clear" w:color="auto" w:fill="FFFFFF"/>
        <w:ind w:firstLine="1566" w:firstLineChars="300"/>
        <w:outlineLvl w:val="0"/>
        <w:rPr>
          <w:rFonts w:hint="eastAsia" w:ascii="黑体" w:hAnsi="黑体" w:eastAsia="黑体" w:cs="黑体"/>
          <w:sz w:val="52"/>
          <w:szCs w:val="52"/>
        </w:rPr>
      </w:pPr>
      <w:bookmarkStart w:id="12" w:name="_Toc8834"/>
      <w:r>
        <w:rPr>
          <w:rStyle w:val="12"/>
          <w:rFonts w:hint="eastAsia" w:ascii="黑体" w:hAnsi="黑体" w:eastAsia="黑体" w:cs="黑体"/>
          <w:sz w:val="52"/>
          <w:szCs w:val="52"/>
        </w:rPr>
        <w:t>第三部分 名词解释</w:t>
      </w:r>
      <w:bookmarkEnd w:id="11"/>
      <w:bookmarkEnd w:id="12"/>
    </w:p>
    <w:p w14:paraId="27D14692">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1.财政拨款收入：指单位从同级财政部门取得的财政预算资金。</w:t>
      </w:r>
    </w:p>
    <w:p w14:paraId="0D356B1F">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2.事业收入：指事业单位开展专业业务活动及辅助活动取得的收入。</w:t>
      </w:r>
    </w:p>
    <w:p w14:paraId="6580B4D0">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3.经营收入：指事业单位在专业业务活动及其辅助活动之外开展非独立核算经营活动取得的收入。</w:t>
      </w:r>
    </w:p>
    <w:p w14:paraId="19FF05B2">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4.其他收入：指单位取得的除上述收入以外的各项收入。 </w:t>
      </w:r>
    </w:p>
    <w:p w14:paraId="022D9BF3">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79D4B0C">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6.年初结转和结余：指以前年度尚未完成、结转到本年按有关规定继续使用的资金。 </w:t>
      </w:r>
    </w:p>
    <w:p w14:paraId="2D3A1C9C">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7.结余分配：指事业单位按照事业单位会计制度的规定从非财政补助结余中分配的事业基金和职工福利基金等。</w:t>
      </w:r>
    </w:p>
    <w:p w14:paraId="16BF2847">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8、年末结转和结余：指单位按有关规定结转到下年或以后年度继续使用的资金。</w:t>
      </w:r>
    </w:p>
    <w:p w14:paraId="1D58F842">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9.一般公共服务（</w:t>
      </w:r>
      <w:r>
        <w:rPr>
          <w:rFonts w:hint="eastAsia" w:asciiTheme="minorEastAsia" w:hAnsiTheme="minorEastAsia" w:eastAsiaTheme="minorEastAsia" w:cstheme="minorEastAsia"/>
          <w:sz w:val="32"/>
          <w:szCs w:val="32"/>
          <w:lang w:val="en-US" w:eastAsia="zh-CN"/>
        </w:rPr>
        <w:t>201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财政事务</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06</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行政运行</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01</w:t>
      </w:r>
      <w:r>
        <w:rPr>
          <w:rFonts w:hint="eastAsia" w:asciiTheme="minorEastAsia" w:hAnsiTheme="minorEastAsia" w:eastAsiaTheme="minorEastAsia" w:cstheme="minorEastAsia"/>
          <w:sz w:val="32"/>
          <w:szCs w:val="32"/>
        </w:rPr>
        <w:t>）：指</w:t>
      </w:r>
      <w:r>
        <w:rPr>
          <w:rFonts w:hint="eastAsia" w:asciiTheme="minorEastAsia" w:hAnsiTheme="minorEastAsia" w:eastAsiaTheme="minorEastAsia" w:cstheme="minorEastAsia"/>
          <w:sz w:val="32"/>
          <w:szCs w:val="32"/>
          <w:lang w:val="en-US" w:eastAsia="zh-CN"/>
        </w:rPr>
        <w:t>反映政府财政事务支出，反映行政单位（包括实行公务员管理的事业单位）的基本支出</w:t>
      </w:r>
      <w:r>
        <w:rPr>
          <w:rFonts w:hint="eastAsia" w:asciiTheme="minorEastAsia" w:hAnsiTheme="minorEastAsia" w:eastAsiaTheme="minorEastAsia" w:cstheme="minorEastAsia"/>
          <w:sz w:val="32"/>
          <w:szCs w:val="32"/>
        </w:rPr>
        <w:t>。</w:t>
      </w:r>
    </w:p>
    <w:p w14:paraId="2632D534">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一般公共服务（</w:t>
      </w:r>
      <w:r>
        <w:rPr>
          <w:rFonts w:hint="eastAsia" w:asciiTheme="minorEastAsia" w:hAnsiTheme="minorEastAsia" w:eastAsiaTheme="minorEastAsia" w:cstheme="minorEastAsia"/>
          <w:sz w:val="32"/>
          <w:szCs w:val="32"/>
          <w:lang w:val="en-US" w:eastAsia="zh-CN"/>
        </w:rPr>
        <w:t>201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财政事务</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06</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一般行政管理事务(02):反映行政单位（包括实行公务员管理的事业单位）末单独设置的项级科目的其他项目支出。</w:t>
      </w:r>
    </w:p>
    <w:p w14:paraId="0CE29010">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11.</w:t>
      </w:r>
      <w:r>
        <w:rPr>
          <w:rFonts w:hint="eastAsia" w:asciiTheme="minorEastAsia" w:hAnsiTheme="minorEastAsia" w:eastAsiaTheme="minorEastAsia" w:cstheme="minorEastAsia"/>
          <w:sz w:val="32"/>
          <w:szCs w:val="32"/>
        </w:rPr>
        <w:t>一般公共服务（</w:t>
      </w:r>
      <w:r>
        <w:rPr>
          <w:rFonts w:hint="eastAsia" w:asciiTheme="minorEastAsia" w:hAnsiTheme="minorEastAsia" w:eastAsiaTheme="minorEastAsia" w:cstheme="minorEastAsia"/>
          <w:sz w:val="32"/>
          <w:szCs w:val="32"/>
          <w:lang w:val="en-US" w:eastAsia="zh-CN"/>
        </w:rPr>
        <w:t>201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财政事务</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06</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财政委托业务支出(08):反映财政委托评审机构进行财政投资评审和委托建设银行等机构代理业务发生的支出。</w:t>
      </w:r>
    </w:p>
    <w:p w14:paraId="77A1FBE4">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12.</w:t>
      </w:r>
      <w:r>
        <w:rPr>
          <w:rFonts w:hint="eastAsia" w:asciiTheme="minorEastAsia" w:hAnsiTheme="minorEastAsia" w:eastAsiaTheme="minorEastAsia" w:cstheme="minorEastAsia"/>
          <w:sz w:val="32"/>
          <w:szCs w:val="32"/>
        </w:rPr>
        <w:t>一般公共服务（</w:t>
      </w:r>
      <w:r>
        <w:rPr>
          <w:rFonts w:hint="eastAsia" w:asciiTheme="minorEastAsia" w:hAnsiTheme="minorEastAsia" w:eastAsiaTheme="minorEastAsia" w:cstheme="minorEastAsia"/>
          <w:sz w:val="32"/>
          <w:szCs w:val="32"/>
          <w:lang w:val="en-US" w:eastAsia="zh-CN"/>
        </w:rPr>
        <w:t>201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财政事务</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06</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其他财政事务支出(08)：反映除上述项目以处其他财政事务方面的支出。</w:t>
      </w:r>
    </w:p>
    <w:p w14:paraId="00D5E332">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13</w:t>
      </w:r>
      <w:r>
        <w:rPr>
          <w:rFonts w:hint="eastAsia" w:asciiTheme="minorEastAsia" w:hAnsiTheme="minorEastAsia" w:eastAsiaTheme="minorEastAsia" w:cstheme="minorEastAsia"/>
          <w:sz w:val="32"/>
          <w:szCs w:val="32"/>
        </w:rPr>
        <w:t>.社会保障和就业（</w:t>
      </w:r>
      <w:r>
        <w:rPr>
          <w:rFonts w:hint="eastAsia" w:asciiTheme="minorEastAsia" w:hAnsiTheme="minorEastAsia" w:eastAsiaTheme="minorEastAsia" w:cstheme="minorEastAsia"/>
          <w:sz w:val="32"/>
          <w:szCs w:val="32"/>
          <w:lang w:val="en-US" w:eastAsia="zh-CN"/>
        </w:rPr>
        <w:t>208</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行政事业单位离退休（05）机关事业单位养老保险缴费支出</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05</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是指反映机关事业单位实施养老保险制度由单位缴纳的基本养老保险费支出</w:t>
      </w:r>
      <w:r>
        <w:rPr>
          <w:rFonts w:hint="eastAsia" w:asciiTheme="minorEastAsia" w:hAnsiTheme="minorEastAsia" w:eastAsiaTheme="minorEastAsia" w:cstheme="minorEastAsia"/>
          <w:sz w:val="32"/>
          <w:szCs w:val="32"/>
        </w:rPr>
        <w:t>。</w:t>
      </w:r>
    </w:p>
    <w:p w14:paraId="48E15C6C">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14、</w:t>
      </w:r>
      <w:r>
        <w:rPr>
          <w:rFonts w:hint="eastAsia" w:asciiTheme="minorEastAsia" w:hAnsiTheme="minorEastAsia" w:eastAsiaTheme="minorEastAsia" w:cstheme="minorEastAsia"/>
          <w:sz w:val="32"/>
          <w:szCs w:val="32"/>
        </w:rPr>
        <w:t>社会保障和就业（</w:t>
      </w:r>
      <w:r>
        <w:rPr>
          <w:rFonts w:hint="eastAsia" w:asciiTheme="minorEastAsia" w:hAnsiTheme="minorEastAsia" w:eastAsiaTheme="minorEastAsia" w:cstheme="minorEastAsia"/>
          <w:sz w:val="32"/>
          <w:szCs w:val="32"/>
          <w:lang w:val="en-US" w:eastAsia="zh-CN"/>
        </w:rPr>
        <w:t>208</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行政事业单位离退休（05）机关事业单位职业年金缴费支出（06)是指反映机关事业单位实施养老保险制度由单位实际缴纳的职业年金的支出</w:t>
      </w:r>
      <w:r>
        <w:rPr>
          <w:rFonts w:hint="eastAsia" w:asciiTheme="minorEastAsia" w:hAnsiTheme="minorEastAsia" w:eastAsiaTheme="minorEastAsia" w:cstheme="minorEastAsia"/>
          <w:sz w:val="32"/>
          <w:szCs w:val="32"/>
        </w:rPr>
        <w:t>。</w:t>
      </w:r>
    </w:p>
    <w:p w14:paraId="7A725A6D">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15</w:t>
      </w:r>
      <w:r>
        <w:rPr>
          <w:rFonts w:hint="eastAsia" w:asciiTheme="minorEastAsia" w:hAnsiTheme="minorEastAsia" w:eastAsiaTheme="minorEastAsia" w:cstheme="minorEastAsia"/>
          <w:sz w:val="32"/>
          <w:szCs w:val="32"/>
        </w:rPr>
        <w:t>.卫生健康（</w:t>
      </w:r>
      <w:r>
        <w:rPr>
          <w:rFonts w:hint="eastAsia" w:asciiTheme="minorEastAsia" w:hAnsiTheme="minorEastAsia" w:eastAsiaTheme="minorEastAsia" w:cstheme="minorEastAsia"/>
          <w:sz w:val="32"/>
          <w:szCs w:val="32"/>
          <w:lang w:val="en-US" w:eastAsia="zh-CN"/>
        </w:rPr>
        <w:t>210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卫生健康管理事务</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其他卫生健康管理事务支出</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99</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是指反映其他用于卫生健康管理事务方面的支出</w:t>
      </w:r>
      <w:r>
        <w:rPr>
          <w:rFonts w:hint="eastAsia" w:asciiTheme="minorEastAsia" w:hAnsiTheme="minorEastAsia" w:eastAsiaTheme="minorEastAsia" w:cstheme="minorEastAsia"/>
          <w:sz w:val="32"/>
          <w:szCs w:val="32"/>
        </w:rPr>
        <w:t>。</w:t>
      </w:r>
    </w:p>
    <w:p w14:paraId="321158C5">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16.</w:t>
      </w:r>
      <w:r>
        <w:rPr>
          <w:rFonts w:hint="eastAsia" w:asciiTheme="minorEastAsia" w:hAnsiTheme="minorEastAsia" w:eastAsiaTheme="minorEastAsia" w:cstheme="minorEastAsia"/>
          <w:sz w:val="32"/>
          <w:szCs w:val="32"/>
        </w:rPr>
        <w:t>卫生健康（</w:t>
      </w:r>
      <w:r>
        <w:rPr>
          <w:rFonts w:hint="eastAsia" w:asciiTheme="minorEastAsia" w:hAnsiTheme="minorEastAsia" w:eastAsiaTheme="minorEastAsia" w:cstheme="minorEastAsia"/>
          <w:sz w:val="32"/>
          <w:szCs w:val="32"/>
          <w:lang w:val="en-US" w:eastAsia="zh-CN"/>
        </w:rPr>
        <w:t>210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行政事业单位医疗</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行政单位医疗</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是指反映财政部门安排的行政单位（包括实行公务员管理的事业单位）基本医疗保险缴费经费，未参加医疗保险的行政单位的公费医疗经费，按国家规定享受离休人员待遇的医疗经费。</w:t>
      </w:r>
    </w:p>
    <w:p w14:paraId="3003092B">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17.</w:t>
      </w:r>
      <w:r>
        <w:rPr>
          <w:rFonts w:hint="eastAsia" w:asciiTheme="minorEastAsia" w:hAnsiTheme="minorEastAsia" w:eastAsiaTheme="minorEastAsia" w:cstheme="minorEastAsia"/>
          <w:sz w:val="32"/>
          <w:szCs w:val="32"/>
        </w:rPr>
        <w:t>卫生健康（</w:t>
      </w:r>
      <w:r>
        <w:rPr>
          <w:rFonts w:hint="eastAsia" w:asciiTheme="minorEastAsia" w:hAnsiTheme="minorEastAsia" w:eastAsiaTheme="minorEastAsia" w:cstheme="minorEastAsia"/>
          <w:sz w:val="32"/>
          <w:szCs w:val="32"/>
          <w:lang w:val="en-US" w:eastAsia="zh-CN"/>
        </w:rPr>
        <w:t>210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行政事业单位医疗</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公务员医疗补助</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03</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是指反映财政部门安排的公务员医疗补助经费。</w:t>
      </w:r>
    </w:p>
    <w:p w14:paraId="243D6F66">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18.</w:t>
      </w:r>
      <w:r>
        <w:rPr>
          <w:rFonts w:hint="eastAsia" w:asciiTheme="minorEastAsia" w:hAnsiTheme="minorEastAsia" w:eastAsiaTheme="minorEastAsia" w:cstheme="minorEastAsia"/>
          <w:sz w:val="32"/>
          <w:szCs w:val="32"/>
        </w:rPr>
        <w:t>卫生健康（</w:t>
      </w:r>
      <w:r>
        <w:rPr>
          <w:rFonts w:hint="eastAsia" w:asciiTheme="minorEastAsia" w:hAnsiTheme="minorEastAsia" w:eastAsiaTheme="minorEastAsia" w:cstheme="minorEastAsia"/>
          <w:sz w:val="32"/>
          <w:szCs w:val="32"/>
          <w:lang w:val="en-US" w:eastAsia="zh-CN"/>
        </w:rPr>
        <w:t>210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行政事业单位医疗</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其他行政事业单位医疗支出:反映除上述项目以外的其他用于行政事业单位医疗方面的支出。</w:t>
      </w:r>
    </w:p>
    <w:p w14:paraId="0B3DD9B3">
      <w:pPr>
        <w:pStyle w:val="9"/>
        <w:shd w:val="clear" w:color="auto" w:fill="FFFFFF"/>
        <w:ind w:firstLine="640" w:firstLineChars="200"/>
        <w:rPr>
          <w:rFonts w:hint="eastAsia" w:asciiTheme="minorEastAsia" w:hAnsiTheme="minorEastAsia" w:eastAsiaTheme="minorEastAsia" w:cstheme="minorEastAsia"/>
          <w:sz w:val="32"/>
          <w:szCs w:val="32"/>
          <w:lang w:val="en-US"/>
        </w:rPr>
      </w:pPr>
      <w:r>
        <w:rPr>
          <w:rFonts w:hint="eastAsia" w:asciiTheme="minorEastAsia" w:hAnsiTheme="minorEastAsia" w:eastAsiaTheme="minorEastAsia" w:cstheme="minorEastAsia"/>
          <w:sz w:val="32"/>
          <w:szCs w:val="32"/>
          <w:lang w:val="en-US" w:eastAsia="zh-CN"/>
        </w:rPr>
        <w:t>19.住房保障支出（221）住房改革支出（02）住房公积金（01）是指反映行政事业单位按人力资源和社会保障部、财政部规定的基本工资和津贴补贴以及规定比例为职工缴纳的住房公积金。</w:t>
      </w:r>
    </w:p>
    <w:p w14:paraId="535A8A6B">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20</w:t>
      </w:r>
      <w:r>
        <w:rPr>
          <w:rFonts w:hint="eastAsia" w:asciiTheme="minorEastAsia" w:hAnsiTheme="minorEastAsia" w:eastAsiaTheme="minorEastAsia" w:cstheme="minorEastAsia"/>
          <w:sz w:val="32"/>
          <w:szCs w:val="32"/>
        </w:rPr>
        <w:t>.基本支出：指为保障机构正常运转、完成日常工作任务而发生的人员支出和公用支出。</w:t>
      </w:r>
    </w:p>
    <w:p w14:paraId="3BC6BD5E">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21</w:t>
      </w:r>
      <w:r>
        <w:rPr>
          <w:rFonts w:hint="eastAsia" w:asciiTheme="minorEastAsia" w:hAnsiTheme="minorEastAsia" w:eastAsiaTheme="minorEastAsia" w:cstheme="minorEastAsia"/>
          <w:sz w:val="32"/>
          <w:szCs w:val="32"/>
        </w:rPr>
        <w:t xml:space="preserve">.项目支出：指在基本支出之外为完成特定行政任务和事业发展目标所发生的支出。 </w:t>
      </w:r>
    </w:p>
    <w:p w14:paraId="1FF6A3BD">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22</w:t>
      </w:r>
      <w:r>
        <w:rPr>
          <w:rFonts w:hint="eastAsia" w:asciiTheme="minorEastAsia" w:hAnsiTheme="minorEastAsia" w:eastAsiaTheme="minorEastAsia" w:cstheme="minorEastAsia"/>
          <w:sz w:val="32"/>
          <w:szCs w:val="32"/>
        </w:rPr>
        <w:t>.经营支出：指事业单位在专业业务活动及其辅助活动之外开展非独立核算经营活动发生的支出。</w:t>
      </w:r>
    </w:p>
    <w:p w14:paraId="6F661462">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23</w:t>
      </w:r>
      <w:r>
        <w:rPr>
          <w:rFonts w:hint="eastAsia" w:asciiTheme="minorEastAsia" w:hAnsiTheme="minorEastAsia" w:eastAsiaTheme="minorEastAsia" w:cstheme="minor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42DAEA6">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CFB250">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p>
    <w:p w14:paraId="694CC8D4">
      <w:pPr>
        <w:pStyle w:val="9"/>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p>
    <w:p w14:paraId="4B41146A">
      <w:pPr>
        <w:pStyle w:val="9"/>
        <w:shd w:val="clear" w:color="auto" w:fill="FFFFFF"/>
        <w:ind w:firstLine="640" w:firstLineChars="200"/>
        <w:rPr>
          <w:rFonts w:hint="eastAsia" w:asciiTheme="minorEastAsia" w:hAnsiTheme="minorEastAsia" w:eastAsiaTheme="minorEastAsia" w:cstheme="minorEastAsia"/>
          <w:sz w:val="32"/>
          <w:szCs w:val="32"/>
        </w:rPr>
      </w:pPr>
    </w:p>
    <w:p w14:paraId="5D8A7643">
      <w:pPr>
        <w:pStyle w:val="9"/>
        <w:shd w:val="clear" w:color="auto" w:fill="FFFFFF"/>
        <w:ind w:firstLine="640" w:firstLineChars="200"/>
        <w:rPr>
          <w:rFonts w:hint="eastAsia" w:asciiTheme="minorEastAsia" w:hAnsiTheme="minorEastAsia" w:eastAsiaTheme="minorEastAsia" w:cstheme="minorEastAsia"/>
          <w:sz w:val="32"/>
          <w:szCs w:val="32"/>
        </w:rPr>
      </w:pPr>
    </w:p>
    <w:p w14:paraId="074633B7">
      <w:pPr>
        <w:pStyle w:val="9"/>
        <w:shd w:val="clear" w:color="auto" w:fill="FFFFFF"/>
        <w:ind w:firstLine="640" w:firstLineChars="200"/>
        <w:rPr>
          <w:rFonts w:hint="eastAsia" w:asciiTheme="minorEastAsia" w:hAnsiTheme="minorEastAsia" w:eastAsiaTheme="minorEastAsia" w:cstheme="minorEastAsia"/>
          <w:sz w:val="32"/>
          <w:szCs w:val="32"/>
        </w:rPr>
      </w:pPr>
    </w:p>
    <w:p w14:paraId="151DC64F">
      <w:pPr>
        <w:pStyle w:val="9"/>
        <w:shd w:val="clear" w:color="auto" w:fill="FFFFFF"/>
        <w:jc w:val="center"/>
        <w:rPr>
          <w:rStyle w:val="12"/>
          <w:rFonts w:hint="eastAsia" w:asciiTheme="minorEastAsia" w:hAnsiTheme="minorEastAsia" w:eastAsiaTheme="minorEastAsia" w:cstheme="minorEastAsia"/>
          <w:sz w:val="32"/>
          <w:szCs w:val="32"/>
        </w:rPr>
      </w:pPr>
    </w:p>
    <w:p w14:paraId="6705F304">
      <w:pPr>
        <w:pStyle w:val="9"/>
        <w:shd w:val="clear" w:color="auto" w:fill="FFFFFF"/>
        <w:jc w:val="center"/>
        <w:rPr>
          <w:rStyle w:val="12"/>
          <w:rFonts w:hint="eastAsia" w:asciiTheme="minorEastAsia" w:hAnsiTheme="minorEastAsia" w:eastAsiaTheme="minorEastAsia" w:cstheme="minorEastAsia"/>
          <w:sz w:val="32"/>
          <w:szCs w:val="32"/>
        </w:rPr>
      </w:pPr>
    </w:p>
    <w:p w14:paraId="7B1713B8">
      <w:pPr>
        <w:pStyle w:val="9"/>
        <w:shd w:val="clear" w:color="auto" w:fill="FFFFFF"/>
        <w:jc w:val="center"/>
        <w:outlineLvl w:val="9"/>
        <w:rPr>
          <w:rStyle w:val="12"/>
          <w:rFonts w:hint="eastAsia" w:ascii="黑体" w:hAnsi="黑体" w:eastAsia="黑体" w:cs="黑体"/>
          <w:sz w:val="52"/>
          <w:szCs w:val="52"/>
        </w:rPr>
      </w:pPr>
      <w:bookmarkStart w:id="13" w:name="_Toc26724"/>
    </w:p>
    <w:p w14:paraId="0930A2BC">
      <w:pPr>
        <w:pStyle w:val="9"/>
        <w:shd w:val="clear" w:color="auto" w:fill="FFFFFF"/>
        <w:jc w:val="center"/>
        <w:outlineLvl w:val="9"/>
        <w:rPr>
          <w:rStyle w:val="12"/>
          <w:rFonts w:hint="eastAsia" w:ascii="黑体" w:hAnsi="黑体" w:eastAsia="黑体" w:cs="黑体"/>
          <w:sz w:val="52"/>
          <w:szCs w:val="52"/>
        </w:rPr>
      </w:pPr>
    </w:p>
    <w:p w14:paraId="30384110">
      <w:pPr>
        <w:pStyle w:val="9"/>
        <w:shd w:val="clear" w:color="auto" w:fill="FFFFFF"/>
        <w:jc w:val="center"/>
        <w:outlineLvl w:val="9"/>
        <w:rPr>
          <w:rStyle w:val="12"/>
          <w:rFonts w:hint="eastAsia" w:ascii="黑体" w:hAnsi="黑体" w:eastAsia="黑体" w:cs="黑体"/>
          <w:sz w:val="52"/>
          <w:szCs w:val="52"/>
        </w:rPr>
      </w:pPr>
    </w:p>
    <w:p w14:paraId="697DCE90">
      <w:pPr>
        <w:pStyle w:val="9"/>
        <w:shd w:val="clear" w:color="auto" w:fill="FFFFFF"/>
        <w:jc w:val="center"/>
        <w:outlineLvl w:val="9"/>
        <w:rPr>
          <w:rStyle w:val="12"/>
          <w:rFonts w:hint="eastAsia" w:ascii="黑体" w:hAnsi="黑体" w:eastAsia="黑体" w:cs="黑体"/>
          <w:sz w:val="52"/>
          <w:szCs w:val="52"/>
        </w:rPr>
      </w:pPr>
    </w:p>
    <w:p w14:paraId="529E6CE3">
      <w:pPr>
        <w:pStyle w:val="9"/>
        <w:shd w:val="clear" w:color="auto" w:fill="FFFFFF"/>
        <w:jc w:val="center"/>
        <w:outlineLvl w:val="9"/>
        <w:rPr>
          <w:rStyle w:val="12"/>
          <w:rFonts w:hint="eastAsia" w:ascii="黑体" w:hAnsi="黑体" w:eastAsia="黑体" w:cs="黑体"/>
          <w:sz w:val="52"/>
          <w:szCs w:val="52"/>
        </w:rPr>
      </w:pPr>
    </w:p>
    <w:p w14:paraId="0ECF2108">
      <w:pPr>
        <w:pStyle w:val="9"/>
        <w:numPr>
          <w:ilvl w:val="0"/>
          <w:numId w:val="3"/>
        </w:numPr>
        <w:shd w:val="clear" w:color="auto" w:fill="FFFFFF"/>
        <w:jc w:val="center"/>
        <w:outlineLvl w:val="0"/>
        <w:rPr>
          <w:rStyle w:val="12"/>
          <w:rFonts w:hint="eastAsia" w:ascii="黑体" w:hAnsi="黑体" w:eastAsia="黑体" w:cs="黑体"/>
          <w:sz w:val="52"/>
          <w:szCs w:val="52"/>
        </w:rPr>
      </w:pPr>
      <w:bookmarkStart w:id="14" w:name="_Toc18361"/>
      <w:r>
        <w:rPr>
          <w:rStyle w:val="12"/>
          <w:rFonts w:hint="eastAsia" w:ascii="黑体" w:hAnsi="黑体" w:eastAsia="黑体" w:cs="黑体"/>
          <w:sz w:val="52"/>
          <w:szCs w:val="52"/>
        </w:rPr>
        <w:t>附件</w:t>
      </w:r>
      <w:bookmarkEnd w:id="13"/>
      <w:bookmarkEnd w:id="14"/>
    </w:p>
    <w:p w14:paraId="5A3FAF87">
      <w:pPr>
        <w:pStyle w:val="9"/>
        <w:numPr>
          <w:ilvl w:val="0"/>
          <w:numId w:val="0"/>
        </w:numPr>
        <w:shd w:val="clear" w:color="auto" w:fill="FFFFFF"/>
        <w:jc w:val="both"/>
        <w:outlineLvl w:val="0"/>
        <w:rPr>
          <w:rStyle w:val="12"/>
          <w:rFonts w:hint="default" w:ascii="黑体" w:hAnsi="黑体" w:eastAsia="黑体" w:cs="黑体"/>
          <w:b w:val="0"/>
          <w:bCs w:val="0"/>
          <w:sz w:val="52"/>
          <w:szCs w:val="52"/>
          <w:lang w:val="en-US" w:eastAsia="zh-CN"/>
        </w:rPr>
      </w:pPr>
      <w:bookmarkStart w:id="15" w:name="_Toc4750"/>
      <w:r>
        <w:rPr>
          <w:rStyle w:val="12"/>
          <w:rFonts w:hint="eastAsia" w:ascii="黑体" w:hAnsi="黑体" w:eastAsia="黑体" w:cs="黑体"/>
          <w:b w:val="0"/>
          <w:bCs w:val="0"/>
          <w:sz w:val="52"/>
          <w:szCs w:val="52"/>
          <w:lang w:val="en-US" w:eastAsia="zh-CN"/>
        </w:rPr>
        <w:t>附件</w:t>
      </w:r>
      <w:bookmarkEnd w:id="15"/>
    </w:p>
    <w:p w14:paraId="6D4BBAFB">
      <w:pPr>
        <w:pStyle w:val="9"/>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部门预算项目支出绩效自评表（2022年度）</w:t>
      </w: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935"/>
        <w:gridCol w:w="568"/>
        <w:gridCol w:w="398"/>
        <w:gridCol w:w="982"/>
        <w:gridCol w:w="718"/>
        <w:gridCol w:w="2267"/>
        <w:gridCol w:w="507"/>
        <w:gridCol w:w="507"/>
        <w:gridCol w:w="474"/>
        <w:gridCol w:w="474"/>
      </w:tblGrid>
      <w:tr w14:paraId="7E050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8" w:hRule="atLeast"/>
        </w:trPr>
        <w:tc>
          <w:tcPr>
            <w:tcW w:w="0" w:type="auto"/>
            <w:tcBorders>
              <w:top w:val="nil"/>
              <w:left w:val="nil"/>
              <w:bottom w:val="nil"/>
              <w:right w:val="nil"/>
            </w:tcBorders>
            <w:shd w:val="clear" w:color="auto" w:fill="auto"/>
            <w:vAlign w:val="center"/>
          </w:tcPr>
          <w:p w14:paraId="358662BA">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附件2-1</w:t>
            </w:r>
          </w:p>
        </w:tc>
        <w:tc>
          <w:tcPr>
            <w:tcW w:w="0" w:type="auto"/>
            <w:tcBorders>
              <w:top w:val="nil"/>
              <w:left w:val="nil"/>
              <w:bottom w:val="nil"/>
              <w:right w:val="nil"/>
            </w:tcBorders>
            <w:shd w:val="clear" w:color="auto" w:fill="auto"/>
            <w:vAlign w:val="center"/>
          </w:tcPr>
          <w:p w14:paraId="5B8434BF">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06E90EF6">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0E71741B">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19F1FDE7">
            <w:pPr>
              <w:jc w:val="left"/>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0FA2E8DE">
            <w:pPr>
              <w:jc w:val="left"/>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4C8A0C15">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vAlign w:val="center"/>
          </w:tcPr>
          <w:p w14:paraId="2B1C2D66">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697A14E7">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67F64AA1">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5AA0D318">
            <w:pPr>
              <w:rPr>
                <w:rFonts w:hint="eastAsia" w:ascii="宋体" w:hAnsi="宋体" w:eastAsia="宋体" w:cs="宋体"/>
                <w:i w:val="0"/>
                <w:iCs w:val="0"/>
                <w:color w:val="000000"/>
                <w:sz w:val="24"/>
                <w:szCs w:val="24"/>
                <w:u w:val="none"/>
              </w:rPr>
            </w:pPr>
          </w:p>
        </w:tc>
      </w:tr>
      <w:tr w14:paraId="09D9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gridSpan w:val="11"/>
            <w:tcBorders>
              <w:top w:val="nil"/>
              <w:left w:val="nil"/>
              <w:bottom w:val="single" w:color="000000" w:sz="4" w:space="0"/>
              <w:right w:val="nil"/>
            </w:tcBorders>
            <w:shd w:val="clear" w:color="auto" w:fill="auto"/>
            <w:vAlign w:val="center"/>
          </w:tcPr>
          <w:p w14:paraId="48A82C84">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2023年县级部门整体支出绩效评价指标体系</w:t>
            </w:r>
          </w:p>
          <w:p w14:paraId="57C2252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（适用于有专项预算的部门）</w:t>
            </w:r>
          </w:p>
        </w:tc>
      </w:tr>
      <w:tr w14:paraId="09466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74845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绩效指标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593E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指标分值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2733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指标解释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124C5">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评分方法</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613E206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评价要点及说明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2A0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定量评价标准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FB9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C5A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EBB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3E1610">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441FA">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26E45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三级指标</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988B6">
            <w:pPr>
              <w:jc w:val="center"/>
              <w:rPr>
                <w:rFonts w:hint="eastAsia" w:ascii="宋体" w:hAnsi="宋体" w:eastAsia="宋体" w:cs="宋体"/>
                <w:b/>
                <w:bCs/>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8BCD0">
            <w:pPr>
              <w:jc w:val="center"/>
              <w:rPr>
                <w:rFonts w:hint="eastAsia" w:ascii="宋体" w:hAnsi="宋体" w:eastAsia="宋体" w:cs="宋体"/>
                <w:b/>
                <w:bCs/>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BEEA3">
            <w:pPr>
              <w:jc w:val="center"/>
              <w:rPr>
                <w:rFonts w:hint="eastAsia" w:ascii="宋体" w:hAnsi="宋体" w:eastAsia="宋体" w:cs="宋体"/>
                <w:b/>
                <w:bCs/>
                <w:i w:val="0"/>
                <w:iCs w:val="0"/>
                <w:color w:val="000000"/>
                <w:sz w:val="15"/>
                <w:szCs w:val="15"/>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61A7151B">
            <w:pPr>
              <w:jc w:val="center"/>
              <w:rPr>
                <w:rFonts w:hint="eastAsia" w:ascii="宋体" w:hAnsi="宋体" w:eastAsia="宋体" w:cs="宋体"/>
                <w:b/>
                <w:bCs/>
                <w:i w:val="0"/>
                <w:iCs w:val="0"/>
                <w:color w:val="000000"/>
                <w:sz w:val="15"/>
                <w:szCs w:val="15"/>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404B20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样本均值</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243F32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其他标准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90758">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FEBDC">
            <w:pPr>
              <w:jc w:val="center"/>
              <w:rPr>
                <w:rFonts w:hint="eastAsia" w:ascii="宋体" w:hAnsi="宋体" w:eastAsia="宋体" w:cs="宋体"/>
                <w:b/>
                <w:bCs/>
                <w:i w:val="0"/>
                <w:iCs w:val="0"/>
                <w:color w:val="000000"/>
                <w:sz w:val="24"/>
                <w:szCs w:val="24"/>
                <w:u w:val="none"/>
              </w:rPr>
            </w:pPr>
          </w:p>
        </w:tc>
      </w:tr>
      <w:tr w14:paraId="02912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0C0F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部门预算总体绩效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BA75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目标管理</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（15分）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2EBA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目标制定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FB2C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18C1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部门年初绩效目标编制质量。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E414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直接换算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008C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根据财政厅组织开展对部门绩效目标编制在科学合理、规范完整、细化量化(成本指标设置情况)、与预算安排相匹配等方面情况的会审结果换算得分。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5706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1199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CB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65D38">
            <w:pPr>
              <w:jc w:val="center"/>
              <w:rPr>
                <w:rFonts w:hint="eastAsia" w:ascii="宋体" w:hAnsi="宋体" w:eastAsia="宋体" w:cs="宋体"/>
                <w:i w:val="0"/>
                <w:iCs w:val="0"/>
                <w:color w:val="000000"/>
                <w:sz w:val="24"/>
                <w:szCs w:val="24"/>
                <w:u w:val="none"/>
              </w:rPr>
            </w:pPr>
          </w:p>
        </w:tc>
      </w:tr>
      <w:tr w14:paraId="32ECF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924FD">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B2514">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92C31">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505AA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DA41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预算编制阶段人大反馈绩效目标质量审查情况。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038A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9FD7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每反馈一个问题扣0.5分，扣完为止。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6F52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1DA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52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27CB0">
            <w:pPr>
              <w:jc w:val="center"/>
              <w:rPr>
                <w:rFonts w:hint="eastAsia" w:ascii="宋体" w:hAnsi="宋体" w:eastAsia="宋体" w:cs="宋体"/>
                <w:i w:val="0"/>
                <w:iCs w:val="0"/>
                <w:color w:val="000000"/>
                <w:sz w:val="24"/>
                <w:szCs w:val="24"/>
                <w:u w:val="none"/>
              </w:rPr>
            </w:pPr>
          </w:p>
        </w:tc>
      </w:tr>
      <w:tr w14:paraId="0B85B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9A4F3">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97EFD">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1C001">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47F3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E0CC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部门绩效目标制定是否纳入本部门集体决策范围。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8E66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AE7D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部门绩效目标制定纳入本部门党组（委）会（办公会）集体决策范围，并有相关佐证材料的得2分，否则不得分。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1F396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F5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CD8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38792">
            <w:pPr>
              <w:jc w:val="center"/>
              <w:rPr>
                <w:rFonts w:hint="eastAsia" w:ascii="宋体" w:hAnsi="宋体" w:eastAsia="宋体" w:cs="宋体"/>
                <w:i w:val="0"/>
                <w:iCs w:val="0"/>
                <w:color w:val="000000"/>
                <w:sz w:val="24"/>
                <w:szCs w:val="24"/>
                <w:u w:val="none"/>
              </w:rPr>
            </w:pPr>
          </w:p>
        </w:tc>
      </w:tr>
      <w:tr w14:paraId="1DEF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8D590">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5B02D">
            <w:pPr>
              <w:jc w:val="center"/>
              <w:rPr>
                <w:rFonts w:hint="eastAsia" w:ascii="宋体" w:hAnsi="宋体" w:eastAsia="宋体" w:cs="宋体"/>
                <w:i w:val="0"/>
                <w:iCs w:val="0"/>
                <w:color w:val="000000"/>
                <w:sz w:val="15"/>
                <w:szCs w:val="15"/>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51AFA7C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目标实现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ABF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2EC27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部门整体绩效目标中数量指标、成本指标的完成情况。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8124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1661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对照部门年初整体支出绩效目标编制和完成情况，计算指标得分=绩效目标数量指标、成本指标完成的指标个数/全部数量指标、成本指标指标个数×3。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9447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453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4F9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623D3">
            <w:pPr>
              <w:jc w:val="center"/>
              <w:rPr>
                <w:rFonts w:hint="eastAsia" w:ascii="宋体" w:hAnsi="宋体" w:eastAsia="宋体" w:cs="宋体"/>
                <w:i w:val="0"/>
                <w:iCs w:val="0"/>
                <w:color w:val="000000"/>
                <w:sz w:val="24"/>
                <w:szCs w:val="24"/>
                <w:u w:val="none"/>
              </w:rPr>
            </w:pPr>
          </w:p>
        </w:tc>
      </w:tr>
      <w:tr w14:paraId="4DB9F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6BC30">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E47AF">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F9AD5E6">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AAD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3E4FA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部门整体绩效目标实现程度与预期目标的偏离情况。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F0958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7A33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9"/>
                <w:sz w:val="15"/>
                <w:szCs w:val="15"/>
                <w:lang w:val="en-US" w:eastAsia="zh-CN" w:bidi="ar"/>
              </w:rPr>
              <w:t>部门年初整体支出绩效目标实际完成值偏离预期指标30%以上（含30%）的，均不计分。该项指标得分=已完成预期指标值的数量指标、成本指标中偏离度在30%内的指标个数/已完成预期指标值的数量指标、成本指标个数</w:t>
            </w:r>
            <w:r>
              <w:rPr>
                <w:rStyle w:val="20"/>
                <w:sz w:val="15"/>
                <w:szCs w:val="15"/>
                <w:lang w:val="en-US" w:eastAsia="zh-CN" w:bidi="ar"/>
              </w:rPr>
              <w:t>×</w:t>
            </w:r>
            <w:r>
              <w:rPr>
                <w:rStyle w:val="19"/>
                <w:sz w:val="15"/>
                <w:szCs w:val="15"/>
                <w:lang w:val="en-US" w:eastAsia="zh-CN" w:bidi="ar"/>
              </w:rPr>
              <w:t>2。</w:t>
            </w:r>
            <w:r>
              <w:rPr>
                <w:rStyle w:val="19"/>
                <w:sz w:val="15"/>
                <w:szCs w:val="15"/>
                <w:lang w:val="en-US" w:eastAsia="zh-CN" w:bidi="ar"/>
              </w:rPr>
              <w:br w:type="textWrapping"/>
            </w:r>
            <w:r>
              <w:rPr>
                <w:rStyle w:val="19"/>
                <w:sz w:val="15"/>
                <w:szCs w:val="15"/>
                <w:lang w:val="en-US" w:eastAsia="zh-CN" w:bidi="ar"/>
              </w:rPr>
              <w:t>偏离度=|（绩效指标实际完成值-设定预期指标值）/设定预期指标值|。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6280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AC14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32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AE5F5">
            <w:pPr>
              <w:jc w:val="center"/>
              <w:rPr>
                <w:rFonts w:hint="eastAsia" w:ascii="宋体" w:hAnsi="宋体" w:eastAsia="宋体" w:cs="宋体"/>
                <w:i w:val="0"/>
                <w:iCs w:val="0"/>
                <w:color w:val="000000"/>
                <w:sz w:val="24"/>
                <w:szCs w:val="24"/>
                <w:u w:val="none"/>
              </w:rPr>
            </w:pPr>
          </w:p>
        </w:tc>
      </w:tr>
      <w:tr w14:paraId="75DFA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2" w:hRule="atLeast"/>
        </w:trPr>
        <w:tc>
          <w:tcPr>
            <w:tcW w:w="0" w:type="auto"/>
            <w:tcBorders>
              <w:top w:val="single" w:color="000000" w:sz="4" w:space="0"/>
              <w:left w:val="single" w:color="000000" w:sz="4" w:space="0"/>
              <w:right w:val="single" w:color="000000" w:sz="4" w:space="0"/>
            </w:tcBorders>
            <w:shd w:val="clear" w:color="auto" w:fill="auto"/>
            <w:vAlign w:val="center"/>
          </w:tcPr>
          <w:p w14:paraId="543DBF90">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36918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过程控制</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96C4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执行进度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AB06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7300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部门在6、9、11月的预算执行情况。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05BB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0068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部门预算项目预算执行进度在6、9、11月应达到序时进度的80%、90%、90%，即实际支出进度分别达到40%、67.5%、82.5%。                                                     6、9、11月部门预算执行进度达到目标进度的分别得1分、1分、2分，未达到目标进度的按其实际进度占目标进度的比重计算得分。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3D54F">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E283E">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0C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029C2">
            <w:pPr>
              <w:jc w:val="center"/>
              <w:rPr>
                <w:rFonts w:hint="eastAsia" w:ascii="宋体" w:hAnsi="宋体" w:eastAsia="宋体" w:cs="宋体"/>
                <w:i w:val="0"/>
                <w:iCs w:val="0"/>
                <w:color w:val="000000"/>
                <w:sz w:val="24"/>
                <w:szCs w:val="24"/>
                <w:u w:val="none"/>
              </w:rPr>
            </w:pPr>
          </w:p>
        </w:tc>
      </w:tr>
      <w:tr w14:paraId="6742E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0" w:type="auto"/>
            <w:vMerge w:val="restart"/>
            <w:tcBorders>
              <w:top w:val="single" w:color="000000" w:sz="4" w:space="0"/>
              <w:left w:val="single" w:color="000000" w:sz="4" w:space="0"/>
              <w:right w:val="single" w:color="000000" w:sz="4" w:space="0"/>
            </w:tcBorders>
            <w:shd w:val="clear" w:color="auto" w:fill="auto"/>
            <w:vAlign w:val="center"/>
          </w:tcPr>
          <w:p w14:paraId="2BDAE05D">
            <w:pPr>
              <w:jc w:val="center"/>
              <w:rPr>
                <w:rFonts w:hint="eastAsia" w:ascii="宋体" w:hAnsi="宋体" w:eastAsia="宋体" w:cs="宋体"/>
                <w:i w:val="0"/>
                <w:iCs w:val="0"/>
                <w:color w:val="000000"/>
                <w:sz w:val="15"/>
                <w:szCs w:val="15"/>
                <w:u w:val="none"/>
              </w:rPr>
            </w:pP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63BE387">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EE01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同步调整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9D72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8A52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部门预算执行中，预算调整和绩效目标调整同步实现情况。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D4577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28DA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对照年度预算执行过程中部门预算项目绩效目标管理情况，在调整预算时未同步调整绩效目标的，每有一个项目扣0.5分，扣完为止。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（重点核实范围为部门机关及至少2个下属单位的所有纳入绩效目标管理的部门预算项目）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4972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AE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65E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E3AC3">
            <w:pPr>
              <w:jc w:val="center"/>
              <w:rPr>
                <w:rFonts w:hint="eastAsia" w:ascii="宋体" w:hAnsi="宋体" w:eastAsia="宋体" w:cs="宋体"/>
                <w:i w:val="0"/>
                <w:iCs w:val="0"/>
                <w:color w:val="000000"/>
                <w:sz w:val="24"/>
                <w:szCs w:val="24"/>
                <w:u w:val="none"/>
              </w:rPr>
            </w:pPr>
          </w:p>
        </w:tc>
      </w:tr>
      <w:tr w14:paraId="732FC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D6208">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03417">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E186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及时处置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B4877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0FFF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部门绩效运行监控处置情况。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DFC2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直接换算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80A83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根据财政厅组织开展对绩效运行监控及时提出预算收回、调整处置意见并加以落实等方面情况的会审结果换算得分。</w:t>
            </w:r>
          </w:p>
        </w:tc>
        <w:tc>
          <w:tcPr>
            <w:tcW w:w="0" w:type="auto"/>
            <w:tcBorders>
              <w:top w:val="nil"/>
              <w:left w:val="nil"/>
              <w:bottom w:val="nil"/>
              <w:right w:val="nil"/>
            </w:tcBorders>
            <w:shd w:val="clear" w:color="auto" w:fill="auto"/>
            <w:vAlign w:val="center"/>
          </w:tcPr>
          <w:p w14:paraId="3A17F1DC">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F93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39E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AFD20">
            <w:pPr>
              <w:jc w:val="center"/>
              <w:rPr>
                <w:rFonts w:hint="eastAsia" w:ascii="宋体" w:hAnsi="宋体" w:eastAsia="宋体" w:cs="宋体"/>
                <w:i w:val="0"/>
                <w:iCs w:val="0"/>
                <w:color w:val="000000"/>
                <w:sz w:val="24"/>
                <w:szCs w:val="24"/>
                <w:u w:val="none"/>
              </w:rPr>
            </w:pPr>
          </w:p>
        </w:tc>
      </w:tr>
      <w:tr w14:paraId="78D10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14035">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4647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完成效率</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（5分）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CA606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预算结余率</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（低效无效率）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A92C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7F95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部门预算项目年终预算结余情况。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A364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EECB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指标得分=部门预算项目预算结余率小于10%的项目数/部门预算项目总数×5。</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（重点核实范围为部门机关及至少2个下属单位的所有纳入绩效目标管理的部门预算项目）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B6C2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8FDD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08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FF7F0">
            <w:pPr>
              <w:jc w:val="center"/>
              <w:rPr>
                <w:rFonts w:hint="eastAsia" w:ascii="宋体" w:hAnsi="宋体" w:eastAsia="宋体" w:cs="宋体"/>
                <w:i w:val="0"/>
                <w:iCs w:val="0"/>
                <w:color w:val="000000"/>
                <w:sz w:val="24"/>
                <w:szCs w:val="24"/>
                <w:u w:val="none"/>
              </w:rPr>
            </w:pPr>
          </w:p>
        </w:tc>
      </w:tr>
      <w:tr w14:paraId="0A02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14:paraId="2CF4C9D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项目绩效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（20分）</w:t>
            </w:r>
          </w:p>
        </w:tc>
        <w:tc>
          <w:tcPr>
            <w:tcW w:w="0" w:type="auto"/>
            <w:gridSpan w:val="6"/>
            <w:tcBorders>
              <w:top w:val="single" w:color="000000" w:sz="4" w:space="0"/>
              <w:left w:val="single" w:color="000000" w:sz="4" w:space="0"/>
              <w:bottom w:val="single" w:color="000000" w:sz="4" w:space="0"/>
              <w:right w:val="nil"/>
            </w:tcBorders>
            <w:shd w:val="clear" w:color="auto" w:fill="auto"/>
            <w:vAlign w:val="center"/>
          </w:tcPr>
          <w:p w14:paraId="3170FFE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财政重点绩效评价组结合部门管理的特定目标类部门预算项目数量，选取部分特定目标类部门预算项目实施评价并打分，将形成的项目评价分数的平均分（百分制）按20%的比例换算得分。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B706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BB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36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F9A07">
            <w:pPr>
              <w:jc w:val="center"/>
              <w:rPr>
                <w:rFonts w:hint="eastAsia" w:ascii="宋体" w:hAnsi="宋体" w:eastAsia="宋体" w:cs="宋体"/>
                <w:i w:val="0"/>
                <w:iCs w:val="0"/>
                <w:color w:val="000000"/>
                <w:sz w:val="24"/>
                <w:szCs w:val="24"/>
                <w:u w:val="none"/>
              </w:rPr>
            </w:pPr>
          </w:p>
        </w:tc>
      </w:tr>
      <w:tr w14:paraId="3AA72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14:paraId="08CB39E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专项预算绩效（30分）</w:t>
            </w:r>
          </w:p>
        </w:tc>
        <w:tc>
          <w:tcPr>
            <w:tcW w:w="0" w:type="auto"/>
            <w:gridSpan w:val="6"/>
            <w:tcBorders>
              <w:top w:val="nil"/>
              <w:left w:val="single" w:color="000000" w:sz="4" w:space="0"/>
              <w:bottom w:val="single" w:color="000000" w:sz="4" w:space="0"/>
              <w:right w:val="nil"/>
            </w:tcBorders>
            <w:shd w:val="clear" w:color="auto" w:fill="auto"/>
            <w:vAlign w:val="center"/>
          </w:tcPr>
          <w:p w14:paraId="2010E20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根据专项预算项目自评报告质量评审结果换算得分。 （有两个以上专项预算项目的，以平均分换算得分）。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B6F95">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92F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45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F91E6">
            <w:pPr>
              <w:jc w:val="center"/>
              <w:rPr>
                <w:rFonts w:hint="eastAsia" w:ascii="宋体" w:hAnsi="宋体" w:eastAsia="宋体" w:cs="宋体"/>
                <w:i w:val="0"/>
                <w:iCs w:val="0"/>
                <w:color w:val="000000"/>
                <w:sz w:val="24"/>
                <w:szCs w:val="24"/>
                <w:u w:val="none"/>
              </w:rPr>
            </w:pPr>
          </w:p>
        </w:tc>
      </w:tr>
      <w:tr w14:paraId="3EEF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EFE8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绩效结果应用（14分）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9908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内部应用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BBFDB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预算挂钩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EE4D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0F7C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部门内部绩效结果与预算挂钩情况。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08F3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5DBCDC4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将内设机构和下属单位绩效管理情况纳入内部考核体系，得1分。建立对内设机构和下属单位预算绩效挂钩机制，有正式文件依据且实行预算挂钩的，得3分；无正式文件依据但实行预算挂钩的，得2分；有正式文件依据但未实行预算挂钩的，得1分；既无正式文件依据且未实行预算挂钩的，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416C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E89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3F4B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8E936">
            <w:pPr>
              <w:jc w:val="center"/>
              <w:rPr>
                <w:rFonts w:hint="eastAsia" w:ascii="宋体" w:hAnsi="宋体" w:eastAsia="宋体" w:cs="宋体"/>
                <w:i w:val="0"/>
                <w:iCs w:val="0"/>
                <w:color w:val="000000"/>
                <w:sz w:val="24"/>
                <w:szCs w:val="24"/>
                <w:u w:val="none"/>
              </w:rPr>
            </w:pPr>
          </w:p>
        </w:tc>
      </w:tr>
      <w:tr w14:paraId="4E4A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DB8B6">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BE8A1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信息公开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FCDF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2886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ECC8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部门是否按要求将部门整体绩效自评情况和自行组织的评价情况向社会公开。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8BF0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0BCD0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按绩效自评公开要求将相关绩效信息随同决算公开的，得4分，否则不得分。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BE30E">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2DF4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9A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291CB">
            <w:pPr>
              <w:jc w:val="center"/>
              <w:rPr>
                <w:rFonts w:hint="eastAsia" w:ascii="宋体" w:hAnsi="宋体" w:eastAsia="宋体" w:cs="宋体"/>
                <w:i w:val="0"/>
                <w:iCs w:val="0"/>
                <w:color w:val="000000"/>
                <w:sz w:val="24"/>
                <w:szCs w:val="24"/>
                <w:u w:val="none"/>
              </w:rPr>
            </w:pPr>
          </w:p>
        </w:tc>
      </w:tr>
      <w:tr w14:paraId="6163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89A74">
            <w:pPr>
              <w:jc w:val="center"/>
              <w:rPr>
                <w:rFonts w:hint="eastAsia" w:ascii="宋体" w:hAnsi="宋体" w:eastAsia="宋体" w:cs="宋体"/>
                <w:i w:val="0"/>
                <w:iCs w:val="0"/>
                <w:color w:val="000000"/>
                <w:sz w:val="15"/>
                <w:szCs w:val="15"/>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FB4D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整改反馈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3900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问题整改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FF25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5A25B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部门根据绩效管理结果整改问题、完善政策、改进管理的情况。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BB57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F83D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针对绩效管理过程中（包括绩效目标核查、绩效监控核查和重点绩效评价）提出的问题进行全面整改，得3分，否则视整改落实情况酌情扣分。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E75A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99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26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61034">
            <w:pPr>
              <w:jc w:val="center"/>
              <w:rPr>
                <w:rFonts w:hint="eastAsia" w:ascii="宋体" w:hAnsi="宋体" w:eastAsia="宋体" w:cs="宋体"/>
                <w:i w:val="0"/>
                <w:iCs w:val="0"/>
                <w:color w:val="000000"/>
                <w:sz w:val="24"/>
                <w:szCs w:val="24"/>
                <w:u w:val="none"/>
              </w:rPr>
            </w:pPr>
          </w:p>
        </w:tc>
      </w:tr>
      <w:tr w14:paraId="41D3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F4384">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65C6B">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C84BF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应用反馈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E74A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BD3A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部门按要求及时向财政部门反馈问题整改及结果应用情况。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AE61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A843F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部门在规定时间内向财政部门反馈问题整改及绩效结果应用报告，报告内容翔实、问题整改到位、结果应用充分的，得3分，否则视反馈报告质量酌情扣分。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16EE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0BB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4A3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480E">
            <w:pPr>
              <w:jc w:val="center"/>
              <w:rPr>
                <w:rFonts w:hint="eastAsia" w:ascii="宋体" w:hAnsi="宋体" w:eastAsia="宋体" w:cs="宋体"/>
                <w:i w:val="0"/>
                <w:iCs w:val="0"/>
                <w:color w:val="000000"/>
                <w:sz w:val="24"/>
                <w:szCs w:val="24"/>
                <w:u w:val="none"/>
              </w:rPr>
            </w:pPr>
          </w:p>
        </w:tc>
      </w:tr>
      <w:tr w14:paraId="3EA1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91FD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自评质量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92A3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自评质量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BCF8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79A2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E148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部门整体支出自评准确率。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EE68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分级评分法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0EC956">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部门整体支出自评得分与评价组抽查得分差异在10%以内的，不扣分；在10%-15%之间的，扣2分，在15%-30%的，扣4分，在20%以上的，扣6分。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CB8D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B79AC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65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370B1">
            <w:pPr>
              <w:jc w:val="center"/>
              <w:rPr>
                <w:rFonts w:hint="eastAsia" w:ascii="宋体" w:hAnsi="宋体" w:eastAsia="宋体" w:cs="宋体"/>
                <w:i w:val="0"/>
                <w:iCs w:val="0"/>
                <w:color w:val="000000"/>
                <w:sz w:val="24"/>
                <w:szCs w:val="24"/>
                <w:u w:val="none"/>
              </w:rPr>
            </w:pPr>
          </w:p>
        </w:tc>
      </w:tr>
      <w:tr w14:paraId="24468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2" w:hRule="atLeast"/>
        </w:trPr>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14D0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扣分项（5分）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B4DD7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9042D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根据审计监督、财会监督和决算审查结果反映部门上一年度部门预算管理是否符合相关财政财务管理规定。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24960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982DB">
            <w:pPr>
              <w:keepNext w:val="0"/>
              <w:keepLines w:val="0"/>
              <w:widowControl/>
              <w:suppressLineNumbers w:val="0"/>
              <w:jc w:val="both"/>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依据评价年度审计监督、财会监督和决算审查结果，反映部门预算管理是否符合相关财政财务管理制度规定以及有关专项资金管理办法的规定；资金的拨付是否有完整的审批程序和手续；重大项目开支是否经过评估论证；是否符合部门预算批复的用途；是否存在未落实党政机关过紧日子相关要求等情况。每有一个问题点扣0.5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04DAB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FFA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44619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CAD5C">
            <w:pPr>
              <w:jc w:val="center"/>
              <w:rPr>
                <w:rFonts w:hint="eastAsia" w:ascii="宋体" w:hAnsi="宋体" w:eastAsia="宋体" w:cs="宋体"/>
                <w:i w:val="0"/>
                <w:iCs w:val="0"/>
                <w:color w:val="000000"/>
                <w:sz w:val="24"/>
                <w:szCs w:val="24"/>
                <w:u w:val="none"/>
              </w:rPr>
            </w:pPr>
          </w:p>
        </w:tc>
      </w:tr>
      <w:tr w14:paraId="516A4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7F0E9">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AC4E6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6C6B8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被评价单位配合评价工作情况。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F35D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0964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财政重点绩效评价工作开展过程中，评价组发现被评价对象拖延推诿、提交资料不及时等拒不配合评价工作的，经报财政厅复核确认后按0.5分/次予以扣分，扣完为止。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060E5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E0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A3053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FBB73">
            <w:pPr>
              <w:jc w:val="center"/>
              <w:rPr>
                <w:rFonts w:hint="eastAsia" w:ascii="宋体" w:hAnsi="宋体" w:eastAsia="宋体" w:cs="宋体"/>
                <w:i w:val="0"/>
                <w:iCs w:val="0"/>
                <w:color w:val="000000"/>
                <w:sz w:val="24"/>
                <w:szCs w:val="24"/>
                <w:u w:val="none"/>
              </w:rPr>
            </w:pPr>
          </w:p>
        </w:tc>
      </w:tr>
      <w:tr w14:paraId="26ADB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65A3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6911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5A6E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5BD2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412DE">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0415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17AF9">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DC63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AD5A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BC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3D1D1">
            <w:pPr>
              <w:jc w:val="center"/>
              <w:rPr>
                <w:rFonts w:hint="eastAsia" w:ascii="宋体" w:hAnsi="宋体" w:eastAsia="宋体" w:cs="宋体"/>
                <w:i w:val="0"/>
                <w:iCs w:val="0"/>
                <w:color w:val="000000"/>
                <w:sz w:val="24"/>
                <w:szCs w:val="24"/>
                <w:u w:val="none"/>
              </w:rPr>
            </w:pPr>
          </w:p>
        </w:tc>
      </w:tr>
    </w:tbl>
    <w:p w14:paraId="33678662"/>
    <w:p w14:paraId="47067CA7">
      <w:pPr>
        <w:pStyle w:val="9"/>
        <w:shd w:val="clear" w:color="auto" w:fill="FFFFFF"/>
        <w:jc w:val="center"/>
        <w:rPr>
          <w:rFonts w:hint="eastAsia" w:asciiTheme="minorEastAsia" w:hAnsiTheme="minorEastAsia" w:eastAsiaTheme="minorEastAsia" w:cstheme="minorEastAsia"/>
          <w:sz w:val="32"/>
          <w:szCs w:val="32"/>
        </w:rPr>
      </w:pPr>
    </w:p>
    <w:p w14:paraId="49B5DD5B">
      <w:pPr>
        <w:pStyle w:val="9"/>
        <w:shd w:val="clear" w:color="auto" w:fill="FFFFFF"/>
        <w:jc w:val="center"/>
        <w:rPr>
          <w:rFonts w:hint="eastAsia" w:asciiTheme="minorEastAsia" w:hAnsiTheme="minorEastAsia" w:eastAsiaTheme="minorEastAsia" w:cstheme="minorEastAsia"/>
          <w:sz w:val="32"/>
          <w:szCs w:val="32"/>
        </w:rPr>
        <w:sectPr>
          <w:footerReference r:id="rId4" w:type="default"/>
          <w:pgSz w:w="11907" w:h="16840"/>
          <w:pgMar w:top="1440" w:right="1800" w:bottom="1440" w:left="1800" w:header="851" w:footer="992" w:gutter="0"/>
          <w:pgNumType w:fmt="decimal"/>
          <w:cols w:space="425" w:num="1"/>
          <w:docGrid w:type="lines" w:linePitch="312" w:charSpace="0"/>
        </w:sectPr>
      </w:pPr>
    </w:p>
    <w:tbl>
      <w:tblPr>
        <w:tblStyle w:val="10"/>
        <w:tblW w:w="13926" w:type="dxa"/>
        <w:tblInd w:w="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576"/>
        <w:gridCol w:w="420"/>
        <w:gridCol w:w="405"/>
        <w:gridCol w:w="609"/>
        <w:gridCol w:w="495"/>
        <w:gridCol w:w="4041"/>
        <w:gridCol w:w="420"/>
        <w:gridCol w:w="465"/>
        <w:gridCol w:w="420"/>
        <w:gridCol w:w="236"/>
        <w:gridCol w:w="139"/>
        <w:gridCol w:w="405"/>
        <w:gridCol w:w="375"/>
        <w:gridCol w:w="30"/>
        <w:gridCol w:w="174"/>
        <w:gridCol w:w="201"/>
        <w:gridCol w:w="120"/>
        <w:gridCol w:w="375"/>
        <w:gridCol w:w="105"/>
        <w:gridCol w:w="360"/>
        <w:gridCol w:w="15"/>
        <w:gridCol w:w="345"/>
        <w:gridCol w:w="15"/>
        <w:gridCol w:w="360"/>
        <w:gridCol w:w="240"/>
        <w:gridCol w:w="375"/>
        <w:gridCol w:w="300"/>
        <w:gridCol w:w="375"/>
        <w:gridCol w:w="960"/>
      </w:tblGrid>
      <w:tr w14:paraId="65BFD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13926" w:type="dxa"/>
            <w:gridSpan w:val="30"/>
            <w:tcBorders>
              <w:top w:val="nil"/>
              <w:left w:val="nil"/>
              <w:bottom w:val="nil"/>
              <w:right w:val="nil"/>
            </w:tcBorders>
            <w:shd w:val="clear" w:color="auto" w:fill="auto"/>
            <w:noWrap/>
            <w:vAlign w:val="center"/>
          </w:tcPr>
          <w:p w14:paraId="2A8D50CE">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36"/>
                <w:szCs w:val="36"/>
                <w:u w:val="none"/>
              </w:rPr>
            </w:pPr>
            <w:r>
              <w:rPr>
                <w:rFonts w:hint="eastAsia" w:ascii="方正小标宋简体" w:hAnsi="方正小标宋简体" w:eastAsia="方正小标宋简体" w:cs="方正小标宋简体"/>
                <w:b/>
                <w:bCs/>
                <w:i w:val="0"/>
                <w:iCs w:val="0"/>
                <w:color w:val="000000"/>
                <w:kern w:val="0"/>
                <w:sz w:val="36"/>
                <w:szCs w:val="36"/>
                <w:u w:val="none"/>
                <w:lang w:val="en-US" w:eastAsia="zh-CN" w:bidi="ar"/>
              </w:rPr>
              <w:t>九寨沟县财政局2022年中介机构委托评审资金项目评价指标体系</w:t>
            </w:r>
          </w:p>
        </w:tc>
      </w:tr>
      <w:tr w14:paraId="57F2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trPr>
        <w:tc>
          <w:tcPr>
            <w:tcW w:w="15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511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w:t>
            </w:r>
          </w:p>
        </w:tc>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81F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指标分值</w:t>
            </w:r>
          </w:p>
        </w:tc>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C05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指标解释</w:t>
            </w: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0A2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评分方法</w:t>
            </w:r>
          </w:p>
        </w:tc>
        <w:tc>
          <w:tcPr>
            <w:tcW w:w="4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A6D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评价要点及说明</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A5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评价方式</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18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评价属性</w:t>
            </w:r>
          </w:p>
        </w:tc>
        <w:tc>
          <w:tcPr>
            <w:tcW w:w="1779" w:type="dxa"/>
            <w:gridSpan w:val="7"/>
            <w:tcBorders>
              <w:top w:val="single" w:color="000000" w:sz="4" w:space="0"/>
              <w:left w:val="single" w:color="000000" w:sz="4" w:space="0"/>
              <w:bottom w:val="nil"/>
              <w:right w:val="single" w:color="000000" w:sz="4" w:space="0"/>
            </w:tcBorders>
            <w:shd w:val="clear" w:color="auto" w:fill="auto"/>
            <w:vAlign w:val="center"/>
          </w:tcPr>
          <w:p w14:paraId="62E10B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定量评价标准</w:t>
            </w:r>
          </w:p>
        </w:tc>
        <w:tc>
          <w:tcPr>
            <w:tcW w:w="281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35633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评分得分</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4F0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FC03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A8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98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0D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03514">
            <w:pPr>
              <w:jc w:val="center"/>
              <w:rPr>
                <w:rFonts w:hint="eastAsia" w:ascii="宋体" w:hAnsi="宋体" w:eastAsia="宋体" w:cs="宋体"/>
                <w:b/>
                <w:bCs/>
                <w:i w:val="0"/>
                <w:iCs w:val="0"/>
                <w:color w:val="000000"/>
                <w:sz w:val="22"/>
                <w:szCs w:val="22"/>
                <w:u w:val="none"/>
              </w:rPr>
            </w:pPr>
          </w:p>
        </w:tc>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1C23A">
            <w:pPr>
              <w:jc w:val="center"/>
              <w:rPr>
                <w:rFonts w:hint="eastAsia" w:ascii="宋体" w:hAnsi="宋体" w:eastAsia="宋体" w:cs="宋体"/>
                <w:b/>
                <w:bCs/>
                <w:i w:val="0"/>
                <w:iCs w:val="0"/>
                <w:color w:val="000000"/>
                <w:sz w:val="22"/>
                <w:szCs w:val="22"/>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116C5">
            <w:pPr>
              <w:jc w:val="center"/>
              <w:rPr>
                <w:rFonts w:hint="eastAsia" w:ascii="宋体" w:hAnsi="宋体" w:eastAsia="宋体" w:cs="宋体"/>
                <w:b/>
                <w:bCs/>
                <w:i w:val="0"/>
                <w:iCs w:val="0"/>
                <w:color w:val="000000"/>
                <w:sz w:val="22"/>
                <w:szCs w:val="22"/>
                <w:u w:val="none"/>
              </w:rPr>
            </w:pPr>
          </w:p>
        </w:tc>
        <w:tc>
          <w:tcPr>
            <w:tcW w:w="4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52F4">
            <w:pPr>
              <w:jc w:val="center"/>
              <w:rPr>
                <w:rFonts w:hint="eastAsia" w:ascii="宋体" w:hAnsi="宋体" w:eastAsia="宋体" w:cs="宋体"/>
                <w:b/>
                <w:bCs/>
                <w:i w:val="0"/>
                <w:iCs w:val="0"/>
                <w:color w:val="000000"/>
                <w:sz w:val="22"/>
                <w:szCs w:val="22"/>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78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整体评价</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EF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样本评价</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DE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定性评价</w:t>
            </w: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AD8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定量评价</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9D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国家标准</w:t>
            </w: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2B8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行业标准</w:t>
            </w: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450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地方标准</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DA5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申报标准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55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历史均值</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F2D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样本均值</w:t>
            </w: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31F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其他标准</w:t>
            </w:r>
          </w:p>
        </w:tc>
        <w:tc>
          <w:tcPr>
            <w:tcW w:w="675" w:type="dxa"/>
            <w:gridSpan w:val="2"/>
            <w:tcBorders>
              <w:top w:val="single" w:color="000000" w:sz="4" w:space="0"/>
              <w:left w:val="single" w:color="000000" w:sz="4" w:space="0"/>
              <w:right w:val="single" w:color="000000" w:sz="4" w:space="0"/>
            </w:tcBorders>
            <w:shd w:val="clear" w:color="auto" w:fill="auto"/>
            <w:vAlign w:val="center"/>
          </w:tcPr>
          <w:p w14:paraId="085B8D3F">
            <w:pPr>
              <w:jc w:val="center"/>
              <w:rPr>
                <w:rFonts w:hint="eastAsia" w:ascii="宋体" w:hAnsi="宋体" w:eastAsia="宋体" w:cs="宋体"/>
                <w:b/>
                <w:bCs/>
                <w:i w:val="0"/>
                <w:iCs w:val="0"/>
                <w:color w:val="000000"/>
                <w:sz w:val="22"/>
                <w:szCs w:val="22"/>
                <w:u w:val="none"/>
              </w:rPr>
            </w:pPr>
          </w:p>
        </w:tc>
        <w:tc>
          <w:tcPr>
            <w:tcW w:w="1335" w:type="dxa"/>
            <w:gridSpan w:val="2"/>
            <w:tcBorders>
              <w:top w:val="single" w:color="000000" w:sz="4" w:space="0"/>
              <w:left w:val="single" w:color="000000" w:sz="4" w:space="0"/>
              <w:right w:val="single" w:color="000000" w:sz="4" w:space="0"/>
            </w:tcBorders>
            <w:shd w:val="clear" w:color="auto" w:fill="auto"/>
            <w:vAlign w:val="center"/>
          </w:tcPr>
          <w:p w14:paraId="27C7E75B">
            <w:pPr>
              <w:jc w:val="center"/>
              <w:rPr>
                <w:rFonts w:hint="eastAsia" w:ascii="宋体" w:hAnsi="宋体" w:eastAsia="宋体" w:cs="宋体"/>
                <w:b/>
                <w:bCs/>
                <w:i w:val="0"/>
                <w:iCs w:val="0"/>
                <w:color w:val="000000"/>
                <w:sz w:val="22"/>
                <w:szCs w:val="22"/>
                <w:u w:val="none"/>
              </w:rPr>
            </w:pPr>
          </w:p>
        </w:tc>
      </w:tr>
      <w:tr w14:paraId="03A40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9" w:hRule="atLeast"/>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C1F90">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Style w:val="21"/>
                <w:lang w:val="en-US" w:eastAsia="zh-CN" w:bidi="ar"/>
              </w:rPr>
              <w:t>项目决策</w:t>
            </w:r>
            <w:r>
              <w:rPr>
                <w:rStyle w:val="21"/>
                <w:lang w:val="en-US" w:eastAsia="zh-CN" w:bidi="ar"/>
              </w:rPr>
              <w:br w:type="textWrapping"/>
            </w:r>
            <w:r>
              <w:rPr>
                <w:rStyle w:val="21"/>
                <w:lang w:val="en-US" w:eastAsia="zh-CN" w:bidi="ar"/>
              </w:rPr>
              <w:t>（30分</w:t>
            </w:r>
            <w:r>
              <w:rPr>
                <w:rStyle w:val="22"/>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7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决策程序</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0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程序规范</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8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E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部门预算项目设立是否与部门职能职责相符、是否充分履行项目申报论证程序。</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A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缺（错）项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6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1.项目申报未经过部门集体决策的扣5分；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2.未纳入部门（单位）项目库或未履行部门（单位）入库审批程序的扣5分；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3.纳入项目库的项目未按规定完成可行性研究论证、制定具体实施计划等各项前期工作或预算测算不够清晰的，酌情扣分，最多扣5分；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4.500万元以上的新增项目或增幅达到20%或500万元以上的延续项目，未开展事前绩效评估的扣5分；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5.如项目为新建信息化项目，项目申报论证未履行相关程序的，缺1项程序扣2分，扣完为止。</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A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9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E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9E7E">
            <w:pPr>
              <w:rPr>
                <w:rFonts w:hint="eastAsia" w:ascii="宋体" w:hAnsi="宋体" w:eastAsia="宋体" w:cs="宋体"/>
                <w:i w:val="0"/>
                <w:iCs w:val="0"/>
                <w:color w:val="000000"/>
                <w:sz w:val="22"/>
                <w:szCs w:val="22"/>
                <w:u w:val="none"/>
              </w:rPr>
            </w:pPr>
          </w:p>
        </w:tc>
        <w:tc>
          <w:tcPr>
            <w:tcW w:w="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4F6EF">
            <w:pPr>
              <w:jc w:val="center"/>
              <w:rPr>
                <w:rFonts w:hint="eastAsia" w:ascii="宋体" w:hAnsi="宋体" w:eastAsia="宋体" w:cs="宋体"/>
                <w:i w:val="0"/>
                <w:iCs w:val="0"/>
                <w:color w:val="000000"/>
                <w:sz w:val="22"/>
                <w:szCs w:val="22"/>
                <w:u w:val="none"/>
              </w:rPr>
            </w:pPr>
          </w:p>
        </w:tc>
        <w:tc>
          <w:tcPr>
            <w:tcW w:w="4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7D9B">
            <w:pPr>
              <w:rPr>
                <w:rFonts w:hint="eastAsia" w:ascii="宋体" w:hAnsi="宋体" w:eastAsia="宋体" w:cs="宋体"/>
                <w:i w:val="0"/>
                <w:iCs w:val="0"/>
                <w:color w:val="000000"/>
                <w:sz w:val="22"/>
                <w:szCs w:val="22"/>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74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4DA1">
            <w:pP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5945">
            <w:pP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6F25">
            <w:pPr>
              <w:rPr>
                <w:rFonts w:hint="eastAsia" w:ascii="宋体" w:hAnsi="宋体" w:eastAsia="宋体" w:cs="宋体"/>
                <w:i w:val="0"/>
                <w:iCs w:val="0"/>
                <w:color w:val="000000"/>
                <w:sz w:val="22"/>
                <w:szCs w:val="22"/>
                <w:u w:val="none"/>
              </w:rPr>
            </w:pPr>
          </w:p>
        </w:tc>
        <w:tc>
          <w:tcPr>
            <w:tcW w:w="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727DE">
            <w:pPr>
              <w:jc w:val="center"/>
              <w:rPr>
                <w:rFonts w:hint="eastAsia" w:ascii="宋体" w:hAnsi="宋体" w:eastAsia="宋体" w:cs="宋体"/>
                <w:i w:val="0"/>
                <w:iCs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3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D7F0">
            <w:pPr>
              <w:jc w:val="center"/>
              <w:rPr>
                <w:rFonts w:hint="eastAsia" w:ascii="宋体" w:hAnsi="宋体" w:eastAsia="宋体" w:cs="宋体"/>
                <w:i w:val="0"/>
                <w:iCs w:val="0"/>
                <w:color w:val="000000"/>
                <w:sz w:val="22"/>
                <w:szCs w:val="22"/>
                <w:u w:val="none"/>
              </w:rPr>
            </w:pPr>
          </w:p>
        </w:tc>
      </w:tr>
      <w:tr w14:paraId="704C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D1F02">
            <w:pPr>
              <w:jc w:val="center"/>
              <w:rPr>
                <w:rFonts w:hint="eastAsia" w:ascii="等线" w:hAnsi="等线" w:eastAsia="等线" w:cs="等线"/>
                <w:b/>
                <w:bCs/>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D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目标制定</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F8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编制质量</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5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36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项目绩效目标制定是否符合科学合理、规范完整、量化细化、预算匹配的要求。</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9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缺（错）项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3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1.绩效目标是否符合有关中长期工作规划、部门“三定”方案确定的职责；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2.绩效目标是否细化分解为具体的绩效指标，指标设置是否高度关联、重点突出、量化易评；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3.绩效目标是否与年度任务数或计划数相对应；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4.绩效目标是否与预算确定的项目投资额或资金量相匹配。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绩效目标制定不符合科学合理、规范完整、量化细化、预算匹配要求的，发现一处扣1分，扣完为止。</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72E9">
            <w:pPr>
              <w:jc w:val="cente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D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3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76775">
            <w:pPr>
              <w:jc w:val="center"/>
              <w:rPr>
                <w:rFonts w:hint="eastAsia" w:ascii="宋体" w:hAnsi="宋体" w:eastAsia="宋体" w:cs="宋体"/>
                <w:i w:val="0"/>
                <w:iCs w:val="0"/>
                <w:color w:val="000000"/>
                <w:sz w:val="22"/>
                <w:szCs w:val="22"/>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B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BE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A9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52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E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4BAA">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B22C">
            <w:pPr>
              <w:rPr>
                <w:rFonts w:hint="eastAsia" w:ascii="宋体" w:hAnsi="宋体" w:eastAsia="宋体" w:cs="宋体"/>
                <w:i w:val="0"/>
                <w:iCs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E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35" w:type="dxa"/>
            <w:gridSpan w:val="2"/>
            <w:vMerge w:val="restart"/>
            <w:tcBorders>
              <w:top w:val="single" w:color="000000" w:sz="4" w:space="0"/>
              <w:left w:val="single" w:color="000000" w:sz="4" w:space="0"/>
              <w:right w:val="single" w:color="000000" w:sz="4" w:space="0"/>
            </w:tcBorders>
            <w:shd w:val="clear" w:color="auto" w:fill="auto"/>
            <w:noWrap/>
            <w:vAlign w:val="center"/>
          </w:tcPr>
          <w:p w14:paraId="40D96C42">
            <w:pPr>
              <w:jc w:val="center"/>
              <w:rPr>
                <w:rFonts w:hint="eastAsia" w:ascii="宋体" w:hAnsi="宋体" w:eastAsia="宋体" w:cs="宋体"/>
                <w:i w:val="0"/>
                <w:iCs w:val="0"/>
                <w:color w:val="000000"/>
                <w:sz w:val="22"/>
                <w:szCs w:val="22"/>
                <w:u w:val="none"/>
              </w:rPr>
            </w:pPr>
          </w:p>
        </w:tc>
      </w:tr>
      <w:tr w14:paraId="0CDF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70" w:type="dxa"/>
            <w:vMerge w:val="restart"/>
            <w:tcBorders>
              <w:top w:val="single" w:color="000000" w:sz="4" w:space="0"/>
              <w:left w:val="single" w:color="000000" w:sz="4" w:space="0"/>
              <w:bottom w:val="nil"/>
              <w:right w:val="single" w:color="000000" w:sz="4" w:space="0"/>
            </w:tcBorders>
            <w:shd w:val="clear" w:color="auto" w:fill="auto"/>
            <w:vAlign w:val="center"/>
          </w:tcPr>
          <w:p w14:paraId="7452D22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Style w:val="22"/>
                <w:lang w:val="en-US" w:eastAsia="zh-CN" w:bidi="ar"/>
              </w:rPr>
              <w:t>项目执行</w:t>
            </w:r>
            <w:r>
              <w:rPr>
                <w:rStyle w:val="22"/>
                <w:lang w:val="en-US" w:eastAsia="zh-CN" w:bidi="ar"/>
              </w:rPr>
              <w:br w:type="textWrapping"/>
            </w:r>
            <w:r>
              <w:rPr>
                <w:rStyle w:val="22"/>
                <w:lang w:val="en-US" w:eastAsia="zh-CN" w:bidi="ar"/>
              </w:rPr>
              <w:t>（30分）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F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执行同向</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6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目标匹配</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A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7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项目实际列支内容是否与项目绩效目标设置方向相符。</w:t>
            </w:r>
          </w:p>
        </w:tc>
        <w:tc>
          <w:tcPr>
            <w:tcW w:w="495" w:type="dxa"/>
            <w:tcBorders>
              <w:top w:val="nil"/>
              <w:left w:val="nil"/>
              <w:bottom w:val="nil"/>
              <w:right w:val="nil"/>
            </w:tcBorders>
            <w:shd w:val="clear" w:color="auto" w:fill="auto"/>
            <w:vAlign w:val="center"/>
          </w:tcPr>
          <w:p w14:paraId="38E13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缺（错）项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6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项目实际列支内容与绩效目标设置方向不相符的，发现一处扣2.5分，扣完为止。</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C17B">
            <w:pPr>
              <w:jc w:val="cente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9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0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BA4E">
            <w:pPr>
              <w:rPr>
                <w:rFonts w:hint="eastAsia" w:ascii="宋体" w:hAnsi="宋体" w:eastAsia="宋体" w:cs="宋体"/>
                <w:i w:val="0"/>
                <w:iCs w:val="0"/>
                <w:color w:val="000000"/>
                <w:sz w:val="22"/>
                <w:szCs w:val="22"/>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B48A">
            <w:pP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7790">
            <w:pPr>
              <w:rPr>
                <w:rFonts w:hint="eastAsia" w:ascii="宋体" w:hAnsi="宋体" w:eastAsia="宋体" w:cs="宋体"/>
                <w:i w:val="0"/>
                <w:iCs w:val="0"/>
                <w:color w:val="000000"/>
                <w:sz w:val="22"/>
                <w:szCs w:val="22"/>
                <w:u w:val="none"/>
              </w:rPr>
            </w:pP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CE06">
            <w:pPr>
              <w:rPr>
                <w:rFonts w:hint="eastAsia" w:ascii="宋体" w:hAnsi="宋体" w:eastAsia="宋体" w:cs="宋体"/>
                <w:i w:val="0"/>
                <w:iCs w:val="0"/>
                <w:color w:val="000000"/>
                <w:sz w:val="22"/>
                <w:szCs w:val="22"/>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048A">
            <w:pP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84B7">
            <w:pP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3467">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77C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E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4EEF">
            <w:pPr>
              <w:jc w:val="center"/>
              <w:rPr>
                <w:rFonts w:hint="eastAsia" w:ascii="宋体" w:hAnsi="宋体" w:eastAsia="宋体" w:cs="宋体"/>
                <w:i w:val="0"/>
                <w:iCs w:val="0"/>
                <w:color w:val="000000"/>
                <w:sz w:val="22"/>
                <w:szCs w:val="22"/>
                <w:u w:val="none"/>
              </w:rPr>
            </w:pPr>
          </w:p>
        </w:tc>
      </w:tr>
      <w:tr w14:paraId="12D5C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70" w:type="dxa"/>
            <w:vMerge w:val="continue"/>
            <w:tcBorders>
              <w:top w:val="single" w:color="000000" w:sz="4" w:space="0"/>
              <w:left w:val="single" w:color="000000" w:sz="4" w:space="0"/>
              <w:bottom w:val="nil"/>
              <w:right w:val="single" w:color="000000" w:sz="4" w:space="0"/>
            </w:tcBorders>
            <w:shd w:val="clear" w:color="auto" w:fill="auto"/>
            <w:vAlign w:val="center"/>
          </w:tcPr>
          <w:p w14:paraId="4FD52CB6">
            <w:pPr>
              <w:rPr>
                <w:rFonts w:hint="eastAsia" w:ascii="宋体" w:hAnsi="宋体" w:eastAsia="宋体" w:cs="宋体"/>
                <w:b/>
                <w:bCs/>
                <w:i w:val="0"/>
                <w:iCs w:val="0"/>
                <w:color w:val="000000"/>
                <w:sz w:val="22"/>
                <w:szCs w:val="22"/>
                <w:u w:val="none"/>
              </w:rPr>
            </w:pPr>
          </w:p>
        </w:tc>
        <w:tc>
          <w:tcPr>
            <w:tcW w:w="576" w:type="dxa"/>
            <w:tcBorders>
              <w:top w:val="single" w:color="000000" w:sz="4" w:space="0"/>
              <w:left w:val="single" w:color="000000" w:sz="4" w:space="0"/>
              <w:bottom w:val="nil"/>
              <w:right w:val="single" w:color="000000" w:sz="4" w:space="0"/>
            </w:tcBorders>
            <w:shd w:val="clear" w:color="auto" w:fill="auto"/>
            <w:vAlign w:val="center"/>
          </w:tcPr>
          <w:p w14:paraId="54543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项目调整</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E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预算调整</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1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F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申请项目预算调整是否程序规范，依据充分。</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D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缺（错）项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B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未按照规定程序申请项目预算调整的，不得分；申请预算调整依据不充分的，酌情扣分，扣完为止。</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F7EF">
            <w:pPr>
              <w:jc w:val="cente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F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2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D03B">
            <w:pPr>
              <w:rPr>
                <w:rFonts w:hint="eastAsia" w:ascii="宋体" w:hAnsi="宋体" w:eastAsia="宋体" w:cs="宋体"/>
                <w:i w:val="0"/>
                <w:iCs w:val="0"/>
                <w:color w:val="000000"/>
                <w:sz w:val="22"/>
                <w:szCs w:val="22"/>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9D438">
            <w:pP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E3F5">
            <w:pPr>
              <w:rPr>
                <w:rFonts w:hint="eastAsia" w:ascii="宋体" w:hAnsi="宋体" w:eastAsia="宋体" w:cs="宋体"/>
                <w:i w:val="0"/>
                <w:iCs w:val="0"/>
                <w:color w:val="000000"/>
                <w:sz w:val="22"/>
                <w:szCs w:val="22"/>
                <w:u w:val="none"/>
              </w:rPr>
            </w:pP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17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C416">
            <w:pP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7B96">
            <w:pP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3286">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4C21">
            <w:pPr>
              <w:rPr>
                <w:rFonts w:hint="eastAsia" w:ascii="宋体" w:hAnsi="宋体" w:eastAsia="宋体" w:cs="宋体"/>
                <w:i w:val="0"/>
                <w:iCs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E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F4F1">
            <w:pPr>
              <w:jc w:val="center"/>
              <w:rPr>
                <w:rFonts w:hint="eastAsia" w:ascii="宋体" w:hAnsi="宋体" w:eastAsia="宋体" w:cs="宋体"/>
                <w:i w:val="0"/>
                <w:iCs w:val="0"/>
                <w:color w:val="000000"/>
                <w:sz w:val="22"/>
                <w:szCs w:val="22"/>
                <w:u w:val="none"/>
              </w:rPr>
            </w:pPr>
          </w:p>
        </w:tc>
      </w:tr>
      <w:tr w14:paraId="716D3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70" w:type="dxa"/>
            <w:vMerge w:val="continue"/>
            <w:tcBorders>
              <w:top w:val="single" w:color="000000" w:sz="4" w:space="0"/>
              <w:left w:val="single" w:color="000000" w:sz="4" w:space="0"/>
              <w:bottom w:val="nil"/>
              <w:right w:val="single" w:color="000000" w:sz="4" w:space="0"/>
            </w:tcBorders>
            <w:shd w:val="clear" w:color="auto" w:fill="auto"/>
            <w:vAlign w:val="center"/>
          </w:tcPr>
          <w:p w14:paraId="6C8CF5FD">
            <w:pPr>
              <w:rPr>
                <w:rFonts w:hint="eastAsia" w:ascii="宋体" w:hAnsi="宋体" w:eastAsia="宋体" w:cs="宋体"/>
                <w:b/>
                <w:bCs/>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7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B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执行进度</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D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DE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部门预算项目在6、9、11月的预算执行情况。</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B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5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部门预算项目预算执行进度在6、9、11月应达到序时进度的80%、90%、90%，即实际支出进度分别达到40%、67.5%、82.5%。                                                     6、9、11月部门预算执行进度达到目标进度的分别得1分、1分、2分，未达到目标进度的按其实际进度占目标进度的比重计算得分。</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E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CC93">
            <w:pPr>
              <w:jc w:val="center"/>
              <w:rPr>
                <w:rFonts w:hint="eastAsia" w:ascii="宋体" w:hAnsi="宋体" w:eastAsia="宋体" w:cs="宋体"/>
                <w:i w:val="0"/>
                <w:iCs w:val="0"/>
                <w:color w:val="000000"/>
                <w:sz w:val="22"/>
                <w:szCs w:val="22"/>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1420">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75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4F87">
            <w:pP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642A">
            <w:pPr>
              <w:rPr>
                <w:rFonts w:hint="eastAsia" w:ascii="宋体" w:hAnsi="宋体" w:eastAsia="宋体" w:cs="宋体"/>
                <w:i w:val="0"/>
                <w:iCs w:val="0"/>
                <w:color w:val="000000"/>
                <w:sz w:val="22"/>
                <w:szCs w:val="22"/>
                <w:u w:val="none"/>
              </w:rPr>
            </w:pP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B7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CDD7">
            <w:pP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1B2F">
            <w:pPr>
              <w:jc w:val="cente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DF87">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DE0958">
            <w:pPr>
              <w:jc w:val="center"/>
              <w:rPr>
                <w:rFonts w:hint="eastAsia" w:ascii="宋体" w:hAnsi="宋体" w:eastAsia="宋体" w:cs="宋体"/>
                <w:i w:val="0"/>
                <w:iCs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2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B076">
            <w:pPr>
              <w:jc w:val="center"/>
              <w:rPr>
                <w:rFonts w:hint="eastAsia" w:ascii="宋体" w:hAnsi="宋体" w:eastAsia="宋体" w:cs="宋体"/>
                <w:i w:val="0"/>
                <w:iCs w:val="0"/>
                <w:color w:val="000000"/>
                <w:sz w:val="22"/>
                <w:szCs w:val="22"/>
                <w:u w:val="none"/>
              </w:rPr>
            </w:pPr>
          </w:p>
        </w:tc>
      </w:tr>
      <w:tr w14:paraId="52BD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70" w:type="dxa"/>
            <w:vMerge w:val="continue"/>
            <w:tcBorders>
              <w:top w:val="single" w:color="000000" w:sz="4" w:space="0"/>
              <w:left w:val="single" w:color="000000" w:sz="4" w:space="0"/>
              <w:bottom w:val="nil"/>
              <w:right w:val="single" w:color="000000" w:sz="4" w:space="0"/>
            </w:tcBorders>
            <w:shd w:val="clear" w:color="auto" w:fill="auto"/>
            <w:vAlign w:val="center"/>
          </w:tcPr>
          <w:p w14:paraId="2910C4CD">
            <w:pPr>
              <w:rPr>
                <w:rFonts w:hint="eastAsia" w:ascii="宋体" w:hAnsi="宋体" w:eastAsia="宋体" w:cs="宋体"/>
                <w:b/>
                <w:bCs/>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9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预算结余</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F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预算结余率</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E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F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部门预算项目年终预算结余情况。</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D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5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指标得分=（1-预算结余率/0.1）×6分</w:t>
            </w:r>
            <w:r>
              <w:rPr>
                <w:rStyle w:val="23"/>
                <w:lang w:val="en-US" w:eastAsia="zh-CN" w:bidi="ar"/>
              </w:rPr>
              <w:br w:type="textWrapping"/>
            </w:r>
            <w:r>
              <w:rPr>
                <w:rStyle w:val="23"/>
                <w:lang w:val="en-US" w:eastAsia="zh-CN" w:bidi="ar"/>
              </w:rPr>
              <w:t>预算结余率大于等于0.1，指标得0分                             预算结余率=结余金额/省级财政资金预算数×100%</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8BCF">
            <w:pP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E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03B1">
            <w:pPr>
              <w:jc w:val="cente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6B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70CA8">
            <w:pP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2174">
            <w:pPr>
              <w:rPr>
                <w:rFonts w:hint="eastAsia" w:ascii="宋体" w:hAnsi="宋体" w:eastAsia="宋体" w:cs="宋体"/>
                <w:i w:val="0"/>
                <w:iCs w:val="0"/>
                <w:color w:val="000000"/>
                <w:sz w:val="22"/>
                <w:szCs w:val="22"/>
                <w:u w:val="none"/>
              </w:rPr>
            </w:pP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22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96B5">
            <w:pP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CDD7">
            <w:pPr>
              <w:jc w:val="cente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12D1">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C74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8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6D39">
            <w:pPr>
              <w:jc w:val="center"/>
              <w:rPr>
                <w:rFonts w:hint="eastAsia" w:ascii="宋体" w:hAnsi="宋体" w:eastAsia="宋体" w:cs="宋体"/>
                <w:i w:val="0"/>
                <w:iCs w:val="0"/>
                <w:color w:val="000000"/>
                <w:sz w:val="22"/>
                <w:szCs w:val="22"/>
                <w:u w:val="none"/>
              </w:rPr>
            </w:pPr>
          </w:p>
        </w:tc>
      </w:tr>
      <w:tr w14:paraId="69FFE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6BF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2"/>
                <w:lang w:val="en-US" w:eastAsia="zh-CN" w:bidi="ar"/>
              </w:rPr>
              <w:t>目标实现</w:t>
            </w:r>
            <w:r>
              <w:rPr>
                <w:rStyle w:val="22"/>
                <w:lang w:val="en-US" w:eastAsia="zh-CN" w:bidi="ar"/>
              </w:rPr>
              <w:br w:type="textWrapping"/>
            </w:r>
            <w:r>
              <w:rPr>
                <w:rStyle w:val="22"/>
                <w:lang w:val="en-US" w:eastAsia="zh-CN" w:bidi="ar"/>
              </w:rPr>
              <w:t>（15分）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D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目标完成</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F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目标完成率</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9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2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部门预算项目绩效目标中数量指标完成情况。</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4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B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对照部门预算项目支出绩效目标编制情况，计算指标得分=绩效目标数量指标完成的指标个数/全部数量指标个数*8分。</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29C2">
            <w:pP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9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66A3">
            <w:pPr>
              <w:jc w:val="cente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30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F665">
            <w:pP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71F1">
            <w:pPr>
              <w:rPr>
                <w:rFonts w:hint="eastAsia" w:ascii="宋体" w:hAnsi="宋体" w:eastAsia="宋体" w:cs="宋体"/>
                <w:i w:val="0"/>
                <w:iCs w:val="0"/>
                <w:color w:val="000000"/>
                <w:sz w:val="22"/>
                <w:szCs w:val="22"/>
                <w:u w:val="none"/>
              </w:rPr>
            </w:pP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1714">
            <w:pPr>
              <w:rPr>
                <w:rFonts w:hint="eastAsia" w:ascii="宋体" w:hAnsi="宋体" w:eastAsia="宋体" w:cs="宋体"/>
                <w:i w:val="0"/>
                <w:iCs w:val="0"/>
                <w:color w:val="000000"/>
                <w:sz w:val="22"/>
                <w:szCs w:val="22"/>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F07A">
            <w:pP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0675">
            <w:pPr>
              <w:jc w:val="cente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B381">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F2E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8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8BD5">
            <w:pPr>
              <w:jc w:val="center"/>
              <w:rPr>
                <w:rFonts w:hint="eastAsia" w:ascii="宋体" w:hAnsi="宋体" w:eastAsia="宋体" w:cs="宋体"/>
                <w:i w:val="0"/>
                <w:iCs w:val="0"/>
                <w:color w:val="000000"/>
                <w:sz w:val="22"/>
                <w:szCs w:val="22"/>
                <w:u w:val="none"/>
              </w:rPr>
            </w:pPr>
          </w:p>
        </w:tc>
      </w:tr>
      <w:tr w14:paraId="353A8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11C68">
            <w:pPr>
              <w:jc w:val="center"/>
              <w:rPr>
                <w:rFonts w:hint="eastAsia" w:ascii="宋体" w:hAnsi="宋体" w:eastAsia="宋体" w:cs="宋体"/>
                <w:b/>
                <w:bCs/>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96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目标偏离</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1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偏离程度</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9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8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部门预算项目绩效目标实现程度与预期目标的偏离情况。</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0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E9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部门年初整体支出绩效目标实际完成值偏离预期指标30%以上（含30%）的，均不计分。该项指标得分=已完成预期指标值的数量指标中偏离度在30%内的指标个数/已完成预期指标值的数量指标个数</w:t>
            </w:r>
            <w:r>
              <w:rPr>
                <w:rStyle w:val="24"/>
                <w:lang w:val="en-US" w:eastAsia="zh-CN" w:bidi="ar"/>
              </w:rPr>
              <w:t>×</w:t>
            </w:r>
            <w:r>
              <w:rPr>
                <w:rStyle w:val="23"/>
                <w:lang w:val="en-US" w:eastAsia="zh-CN" w:bidi="ar"/>
              </w:rPr>
              <w:t>7。</w:t>
            </w:r>
            <w:r>
              <w:rPr>
                <w:rStyle w:val="23"/>
                <w:lang w:val="en-US" w:eastAsia="zh-CN" w:bidi="ar"/>
              </w:rPr>
              <w:br w:type="textWrapping"/>
            </w:r>
            <w:r>
              <w:rPr>
                <w:rStyle w:val="23"/>
                <w:lang w:val="en-US" w:eastAsia="zh-CN" w:bidi="ar"/>
              </w:rPr>
              <w:t>偏离度=|（绩效指标实际完成值-设定预期指标值）/设定预期指标值|。</w:t>
            </w: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4078">
            <w:pP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9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DDFF">
            <w:pPr>
              <w:jc w:val="cente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08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70CD">
            <w:pP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37E5">
            <w:pPr>
              <w:rPr>
                <w:rFonts w:hint="eastAsia" w:ascii="宋体" w:hAnsi="宋体" w:eastAsia="宋体" w:cs="宋体"/>
                <w:i w:val="0"/>
                <w:iCs w:val="0"/>
                <w:color w:val="000000"/>
                <w:sz w:val="22"/>
                <w:szCs w:val="22"/>
                <w:u w:val="none"/>
              </w:rPr>
            </w:pP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50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8F31">
            <w:pP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3906">
            <w:pPr>
              <w:jc w:val="cente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C9DF">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DE8B">
            <w:pPr>
              <w:rPr>
                <w:rFonts w:hint="eastAsia" w:ascii="宋体" w:hAnsi="宋体" w:eastAsia="宋体" w:cs="宋体"/>
                <w:i w:val="0"/>
                <w:iCs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2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1C47">
            <w:pPr>
              <w:jc w:val="center"/>
              <w:rPr>
                <w:rFonts w:hint="eastAsia" w:ascii="宋体" w:hAnsi="宋体" w:eastAsia="宋体" w:cs="宋体"/>
                <w:i w:val="0"/>
                <w:iCs w:val="0"/>
                <w:color w:val="000000"/>
                <w:sz w:val="22"/>
                <w:szCs w:val="22"/>
                <w:u w:val="none"/>
              </w:rPr>
            </w:pPr>
          </w:p>
        </w:tc>
      </w:tr>
      <w:tr w14:paraId="77AF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B0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2"/>
                <w:lang w:val="en-US" w:eastAsia="zh-CN" w:bidi="ar"/>
              </w:rPr>
              <w:t>项目效果</w:t>
            </w:r>
            <w:r>
              <w:rPr>
                <w:rStyle w:val="22"/>
                <w:lang w:val="en-US" w:eastAsia="zh-CN" w:bidi="ar"/>
              </w:rPr>
              <w:br w:type="textWrapping"/>
            </w:r>
            <w:r>
              <w:rPr>
                <w:rStyle w:val="22"/>
                <w:lang w:val="en-US" w:eastAsia="zh-CN" w:bidi="ar"/>
              </w:rPr>
              <w:t>(25分）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C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目标实现</w:t>
            </w:r>
          </w:p>
        </w:tc>
        <w:tc>
          <w:tcPr>
            <w:tcW w:w="59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483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评价组根据部门预算项目绩效目标设定的效益指标、成本指标、满意度指标细化设置三级指标，主要评价效益指标、成本指标的实际完成情况，以及部门是否针对满意度指标开展满意度调查。</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C40B">
            <w:pPr>
              <w:jc w:val="cente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6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D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56A71">
            <w:pPr>
              <w:jc w:val="center"/>
              <w:rPr>
                <w:rFonts w:hint="eastAsia" w:ascii="宋体" w:hAnsi="宋体" w:eastAsia="宋体" w:cs="宋体"/>
                <w:i w:val="0"/>
                <w:iCs w:val="0"/>
                <w:color w:val="000000"/>
                <w:sz w:val="22"/>
                <w:szCs w:val="22"/>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A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34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30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9F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B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C106">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B43982">
            <w:pPr>
              <w:jc w:val="center"/>
              <w:rPr>
                <w:rFonts w:hint="eastAsia" w:ascii="宋体" w:hAnsi="宋体" w:eastAsia="宋体" w:cs="宋体"/>
                <w:i w:val="0"/>
                <w:iCs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B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3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BFD4">
            <w:pPr>
              <w:jc w:val="center"/>
              <w:rPr>
                <w:rFonts w:hint="eastAsia" w:ascii="宋体" w:hAnsi="宋体" w:eastAsia="宋体" w:cs="宋体"/>
                <w:i w:val="0"/>
                <w:iCs w:val="0"/>
                <w:color w:val="000000"/>
                <w:sz w:val="22"/>
                <w:szCs w:val="22"/>
                <w:u w:val="none"/>
              </w:rPr>
            </w:pPr>
          </w:p>
        </w:tc>
      </w:tr>
      <w:tr w14:paraId="675A5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C18A">
            <w:pPr>
              <w:jc w:val="center"/>
              <w:rPr>
                <w:rFonts w:hint="eastAsia" w:ascii="宋体" w:hAnsi="宋体" w:eastAsia="宋体" w:cs="宋体"/>
                <w:b/>
                <w:bCs/>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1486">
            <w:pPr>
              <w:jc w:val="center"/>
              <w:rPr>
                <w:rFonts w:hint="eastAsia" w:ascii="宋体" w:hAnsi="宋体" w:eastAsia="宋体" w:cs="宋体"/>
                <w:i w:val="0"/>
                <w:iCs w:val="0"/>
                <w:color w:val="000000"/>
                <w:sz w:val="22"/>
                <w:szCs w:val="22"/>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834C">
            <w:pPr>
              <w:jc w:val="left"/>
              <w:rPr>
                <w:rFonts w:hint="eastAsia" w:ascii="宋体" w:hAnsi="宋体" w:eastAsia="宋体" w:cs="宋体"/>
                <w:i w:val="0"/>
                <w:iCs w:val="0"/>
                <w:color w:val="000000"/>
                <w:sz w:val="22"/>
                <w:szCs w:val="22"/>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8E89">
            <w:pPr>
              <w:jc w:val="left"/>
              <w:rPr>
                <w:rFonts w:hint="eastAsia" w:ascii="宋体" w:hAnsi="宋体" w:eastAsia="宋体" w:cs="宋体"/>
                <w:i w:val="0"/>
                <w:iCs w:val="0"/>
                <w:color w:val="000000"/>
                <w:sz w:val="22"/>
                <w:szCs w:val="22"/>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B485">
            <w:pPr>
              <w:jc w:val="left"/>
              <w:rPr>
                <w:rFonts w:hint="eastAsia" w:ascii="宋体" w:hAnsi="宋体" w:eastAsia="宋体" w:cs="宋体"/>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8DC7">
            <w:pPr>
              <w:jc w:val="left"/>
              <w:rPr>
                <w:rFonts w:hint="eastAsia" w:ascii="宋体" w:hAnsi="宋体" w:eastAsia="宋体" w:cs="宋体"/>
                <w:i w:val="0"/>
                <w:iCs w:val="0"/>
                <w:color w:val="000000"/>
                <w:sz w:val="22"/>
                <w:szCs w:val="22"/>
                <w:u w:val="none"/>
              </w:rPr>
            </w:pPr>
          </w:p>
        </w:tc>
        <w:tc>
          <w:tcPr>
            <w:tcW w:w="4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F29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F5EE">
            <w:pPr>
              <w:jc w:val="center"/>
              <w:rPr>
                <w:rFonts w:hint="eastAsia" w:ascii="宋体" w:hAnsi="宋体" w:eastAsia="宋体" w:cs="宋体"/>
                <w:i w:val="0"/>
                <w:iCs w:val="0"/>
                <w:color w:val="000000"/>
                <w:sz w:val="22"/>
                <w:szCs w:val="22"/>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E39E">
            <w:pPr>
              <w:jc w:val="center"/>
              <w:rPr>
                <w:rFonts w:hint="eastAsia" w:ascii="宋体" w:hAnsi="宋体" w:eastAsia="宋体" w:cs="宋体"/>
                <w:i w:val="0"/>
                <w:iCs w:val="0"/>
                <w:color w:val="000000"/>
                <w:sz w:val="22"/>
                <w:szCs w:val="22"/>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485B">
            <w:pPr>
              <w:jc w:val="cente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1D306">
            <w:pPr>
              <w:jc w:val="center"/>
              <w:rPr>
                <w:rFonts w:hint="eastAsia" w:ascii="宋体" w:hAnsi="宋体" w:eastAsia="宋体" w:cs="宋体"/>
                <w:i w:val="0"/>
                <w:iCs w:val="0"/>
                <w:color w:val="000000"/>
                <w:sz w:val="22"/>
                <w:szCs w:val="22"/>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2298">
            <w:pPr>
              <w:jc w:val="cente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00FA1">
            <w:pPr>
              <w:jc w:val="center"/>
              <w:rPr>
                <w:rFonts w:hint="eastAsia" w:ascii="宋体" w:hAnsi="宋体" w:eastAsia="宋体" w:cs="宋体"/>
                <w:i w:val="0"/>
                <w:iCs w:val="0"/>
                <w:color w:val="000000"/>
                <w:sz w:val="22"/>
                <w:szCs w:val="22"/>
                <w:u w:val="none"/>
              </w:rPr>
            </w:pPr>
          </w:p>
        </w:tc>
        <w:tc>
          <w:tcPr>
            <w:tcW w:w="4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A9A1D0">
            <w:pPr>
              <w:jc w:val="center"/>
              <w:rPr>
                <w:rFonts w:hint="eastAsia" w:ascii="宋体" w:hAnsi="宋体" w:eastAsia="宋体" w:cs="宋体"/>
                <w:i w:val="0"/>
                <w:iCs w:val="0"/>
                <w:color w:val="000000"/>
                <w:sz w:val="22"/>
                <w:szCs w:val="22"/>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B8A0D">
            <w:pPr>
              <w:jc w:val="cente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DADB">
            <w:pPr>
              <w:jc w:val="center"/>
              <w:rPr>
                <w:rFonts w:hint="eastAsia" w:ascii="宋体" w:hAnsi="宋体" w:eastAsia="宋体" w:cs="宋体"/>
                <w:i w:val="0"/>
                <w:iCs w:val="0"/>
                <w:color w:val="000000"/>
                <w:sz w:val="22"/>
                <w:szCs w:val="22"/>
                <w:u w:val="none"/>
              </w:rPr>
            </w:pP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8BC7">
            <w:pPr>
              <w:rPr>
                <w:rFonts w:hint="eastAsia" w:ascii="宋体" w:hAnsi="宋体" w:eastAsia="宋体" w:cs="宋体"/>
                <w:i w:val="0"/>
                <w:iCs w:val="0"/>
                <w:color w:val="000000"/>
                <w:sz w:val="22"/>
                <w:szCs w:val="22"/>
                <w:u w:val="none"/>
              </w:rPr>
            </w:pPr>
          </w:p>
        </w:tc>
        <w:tc>
          <w:tcPr>
            <w:tcW w:w="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735A2">
            <w:pPr>
              <w:jc w:val="center"/>
              <w:rPr>
                <w:rFonts w:hint="eastAsia" w:ascii="宋体" w:hAnsi="宋体" w:eastAsia="宋体" w:cs="宋体"/>
                <w:i w:val="0"/>
                <w:iCs w:val="0"/>
                <w:color w:val="000000"/>
                <w:sz w:val="22"/>
                <w:szCs w:val="22"/>
                <w:u w:val="none"/>
              </w:rPr>
            </w:pP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3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260C">
            <w:pPr>
              <w:jc w:val="center"/>
              <w:rPr>
                <w:rFonts w:hint="eastAsia" w:ascii="宋体" w:hAnsi="宋体" w:eastAsia="宋体" w:cs="宋体"/>
                <w:i w:val="0"/>
                <w:iCs w:val="0"/>
                <w:color w:val="000000"/>
                <w:sz w:val="22"/>
                <w:szCs w:val="22"/>
                <w:u w:val="none"/>
              </w:rPr>
            </w:pPr>
          </w:p>
        </w:tc>
      </w:tr>
    </w:tbl>
    <w:p w14:paraId="22256755"/>
    <w:p w14:paraId="6AF82A6C">
      <w:pPr>
        <w:pStyle w:val="9"/>
        <w:shd w:val="clear" w:color="auto" w:fill="FFFFFF"/>
        <w:jc w:val="center"/>
        <w:rPr>
          <w:rFonts w:hint="eastAsia" w:asciiTheme="minorEastAsia" w:hAnsiTheme="minorEastAsia" w:eastAsiaTheme="minorEastAsia" w:cstheme="minorEastAsia"/>
          <w:sz w:val="32"/>
          <w:szCs w:val="32"/>
        </w:rPr>
        <w:sectPr>
          <w:pgSz w:w="16840" w:h="11907" w:orient="landscape"/>
          <w:pgMar w:top="1800" w:right="1440" w:bottom="1800" w:left="1440" w:header="851" w:footer="992" w:gutter="0"/>
          <w:pgNumType w:fmt="decimal"/>
          <w:cols w:space="425" w:num="1"/>
          <w:docGrid w:type="lines" w:linePitch="312" w:charSpace="0"/>
        </w:sectPr>
      </w:pPr>
    </w:p>
    <w:p w14:paraId="7030B5F0">
      <w:pPr>
        <w:pStyle w:val="9"/>
        <w:shd w:val="clear" w:color="auto" w:fill="FFFFFF"/>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2022年</w:t>
      </w:r>
      <w:r>
        <w:rPr>
          <w:rFonts w:hint="eastAsia" w:asciiTheme="minorEastAsia" w:hAnsiTheme="minorEastAsia" w:eastAsiaTheme="minorEastAsia" w:cstheme="minorEastAsia"/>
          <w:b/>
          <w:bCs/>
          <w:sz w:val="36"/>
          <w:szCs w:val="36"/>
          <w:lang w:val="en-US" w:eastAsia="zh-CN"/>
        </w:rPr>
        <w:t>财政局</w:t>
      </w:r>
      <w:r>
        <w:rPr>
          <w:rFonts w:hint="eastAsia" w:asciiTheme="minorEastAsia" w:hAnsiTheme="minorEastAsia" w:eastAsiaTheme="minorEastAsia" w:cstheme="minorEastAsia"/>
          <w:b/>
          <w:bCs/>
          <w:sz w:val="36"/>
          <w:szCs w:val="36"/>
        </w:rPr>
        <w:t>部门</w:t>
      </w:r>
    </w:p>
    <w:p w14:paraId="259E5DB5">
      <w:pPr>
        <w:pStyle w:val="9"/>
        <w:shd w:val="clear" w:color="auto" w:fill="FFFFFF"/>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整体</w:t>
      </w:r>
      <w:r>
        <w:rPr>
          <w:rFonts w:hint="eastAsia" w:asciiTheme="minorEastAsia" w:hAnsiTheme="minorEastAsia" w:eastAsiaTheme="minorEastAsia" w:cstheme="minorEastAsia"/>
          <w:b/>
          <w:bCs/>
          <w:sz w:val="36"/>
          <w:szCs w:val="36"/>
          <w:lang w:val="en-US" w:eastAsia="zh-CN"/>
        </w:rPr>
        <w:t>支出</w:t>
      </w:r>
      <w:r>
        <w:rPr>
          <w:rFonts w:hint="eastAsia" w:asciiTheme="minorEastAsia" w:hAnsiTheme="minorEastAsia" w:eastAsiaTheme="minorEastAsia" w:cstheme="minorEastAsia"/>
          <w:b/>
          <w:bCs/>
          <w:sz w:val="36"/>
          <w:szCs w:val="36"/>
        </w:rPr>
        <w:t>绩效评价</w:t>
      </w:r>
      <w:r>
        <w:rPr>
          <w:rFonts w:hint="eastAsia" w:asciiTheme="minorEastAsia" w:hAnsiTheme="minorEastAsia" w:eastAsiaTheme="minorEastAsia" w:cstheme="minorEastAsia"/>
          <w:b/>
          <w:bCs/>
          <w:sz w:val="36"/>
          <w:szCs w:val="36"/>
          <w:lang w:val="en-US" w:eastAsia="zh-CN"/>
        </w:rPr>
        <w:t>自评</w:t>
      </w:r>
      <w:r>
        <w:rPr>
          <w:rFonts w:hint="eastAsia" w:asciiTheme="minorEastAsia" w:hAnsiTheme="minorEastAsia" w:eastAsiaTheme="minorEastAsia" w:cstheme="minorEastAsia"/>
          <w:b/>
          <w:bCs/>
          <w:sz w:val="36"/>
          <w:szCs w:val="36"/>
        </w:rPr>
        <w:t>报告</w:t>
      </w:r>
    </w:p>
    <w:p w14:paraId="276B3B14">
      <w:pPr>
        <w:widowControl/>
        <w:adjustRightInd w:val="0"/>
        <w:snapToGrid w:val="0"/>
        <w:spacing w:line="580" w:lineRule="exact"/>
        <w:ind w:firstLine="640" w:firstLineChars="200"/>
        <w:contextualSpacing/>
        <w:jc w:val="left"/>
        <w:outlineLvl w:val="1"/>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rPr>
        <w:t>一、</w:t>
      </w:r>
      <w:r>
        <w:rPr>
          <w:rFonts w:hint="eastAsia" w:asciiTheme="minorEastAsia" w:hAnsiTheme="minorEastAsia" w:eastAsiaTheme="minorEastAsia" w:cstheme="minorEastAsia"/>
          <w:color w:val="000000"/>
          <w:kern w:val="0"/>
          <w:sz w:val="32"/>
          <w:szCs w:val="32"/>
          <w:shd w:val="clear" w:color="auto" w:fill="FFFFFF"/>
          <w:lang w:val="zh-CN"/>
        </w:rPr>
        <w:t>部门（单位）概况</w:t>
      </w:r>
    </w:p>
    <w:p w14:paraId="1E3CBE98">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outlineLvl w:val="2"/>
        <w:rPr>
          <w:rFonts w:hint="eastAsia" w:asciiTheme="minorEastAsia" w:hAnsiTheme="minorEastAsia" w:eastAsiaTheme="minorEastAsia" w:cstheme="minorEastAsia"/>
          <w:b/>
          <w:bCs/>
          <w:color w:val="000000"/>
          <w:kern w:val="0"/>
          <w:sz w:val="32"/>
          <w:szCs w:val="32"/>
          <w:shd w:val="clear" w:color="auto" w:fill="FFFFFF"/>
          <w:lang w:val="zh-CN"/>
        </w:rPr>
      </w:pPr>
      <w:r>
        <w:rPr>
          <w:rFonts w:hint="eastAsia" w:asciiTheme="minorEastAsia" w:hAnsiTheme="minorEastAsia" w:eastAsiaTheme="minorEastAsia" w:cstheme="minorEastAsia"/>
          <w:b/>
          <w:bCs/>
          <w:color w:val="000000"/>
          <w:kern w:val="0"/>
          <w:sz w:val="32"/>
          <w:szCs w:val="32"/>
          <w:shd w:val="clear" w:color="auto" w:fill="FFFFFF"/>
          <w:lang w:val="zh-CN"/>
        </w:rPr>
        <w:t>（一）机构组成。</w:t>
      </w:r>
    </w:p>
    <w:p w14:paraId="0FE2FDD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b w:val="0"/>
          <w:bCs w:val="0"/>
          <w:color w:val="000000"/>
          <w:kern w:val="0"/>
          <w:sz w:val="32"/>
          <w:szCs w:val="32"/>
          <w:shd w:val="clear" w:color="auto" w:fill="FFFFFF"/>
          <w:lang w:val="en-US" w:eastAsia="zh-CN"/>
        </w:rPr>
      </w:pPr>
      <w:r>
        <w:rPr>
          <w:rFonts w:hint="eastAsia" w:asciiTheme="minorEastAsia" w:hAnsiTheme="minorEastAsia" w:eastAsiaTheme="minorEastAsia" w:cstheme="minorEastAsia"/>
          <w:sz w:val="32"/>
          <w:szCs w:val="32"/>
          <w:lang w:val="en-US" w:eastAsia="zh-CN" w:bidi="ar-SA"/>
        </w:rPr>
        <w:t>九寨沟县财政局（简称县财政局）是九寨沟县人民政府工作部门，为正科级，下设办公室室、预算股、国库股、法规和资产管理股、政府采购监督管理股、经建和金融股、行政政法和教科文股、社会保障股、自然资源环境和农业农村股、财政监督和绩效评价股、投资评审中心等</w:t>
      </w:r>
      <w:r>
        <w:rPr>
          <w:rFonts w:hint="eastAsia" w:asciiTheme="minorEastAsia" w:hAnsiTheme="minorEastAsia" w:eastAsiaTheme="minorEastAsia" w:cstheme="minorEastAsia"/>
          <w:b w:val="0"/>
          <w:bCs w:val="0"/>
          <w:sz w:val="32"/>
          <w:szCs w:val="32"/>
          <w:lang w:val="en-US" w:eastAsia="zh-CN"/>
        </w:rPr>
        <w:t>。</w:t>
      </w:r>
    </w:p>
    <w:p w14:paraId="1CAB91C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643" w:firstLineChars="200"/>
        <w:contextualSpacing/>
        <w:jc w:val="left"/>
        <w:textAlignment w:val="auto"/>
        <w:outlineLvl w:val="2"/>
        <w:rPr>
          <w:rFonts w:hint="eastAsia" w:asciiTheme="minorEastAsia" w:hAnsiTheme="minorEastAsia" w:eastAsiaTheme="minorEastAsia" w:cstheme="minorEastAsia"/>
          <w:b/>
          <w:bCs/>
          <w:color w:val="000000"/>
          <w:kern w:val="0"/>
          <w:sz w:val="32"/>
          <w:szCs w:val="32"/>
          <w:shd w:val="clear" w:color="auto" w:fill="FFFFFF"/>
          <w:lang w:val="zh-CN"/>
        </w:rPr>
      </w:pPr>
      <w:r>
        <w:rPr>
          <w:rFonts w:hint="eastAsia" w:asciiTheme="minorEastAsia" w:hAnsiTheme="minorEastAsia" w:eastAsiaTheme="minorEastAsia" w:cstheme="minorEastAsia"/>
          <w:b/>
          <w:bCs/>
          <w:color w:val="000000"/>
          <w:kern w:val="0"/>
          <w:sz w:val="32"/>
          <w:szCs w:val="32"/>
          <w:shd w:val="clear" w:color="auto" w:fill="FFFFFF"/>
          <w:lang w:val="en-US" w:eastAsia="zh-CN"/>
        </w:rPr>
        <w:t>(二)</w:t>
      </w:r>
      <w:r>
        <w:rPr>
          <w:rFonts w:hint="eastAsia" w:asciiTheme="minorEastAsia" w:hAnsiTheme="minorEastAsia" w:eastAsiaTheme="minorEastAsia" w:cstheme="minorEastAsia"/>
          <w:b/>
          <w:bCs/>
          <w:color w:val="000000"/>
          <w:kern w:val="0"/>
          <w:sz w:val="32"/>
          <w:szCs w:val="32"/>
          <w:shd w:val="clear" w:color="auto" w:fill="FFFFFF"/>
          <w:lang w:val="zh-CN"/>
        </w:rPr>
        <w:t>机构职能。</w:t>
      </w:r>
    </w:p>
    <w:p w14:paraId="636B468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1.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14:paraId="2D28203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2.贯彻执行财政、税收、财务、会计管理的法律法规和规章。提出全县性财税立法规划建议，按照管理权限管理全县税政事项。</w:t>
      </w:r>
    </w:p>
    <w:p w14:paraId="6A39327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3.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14:paraId="7FC3CE5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4.按分工负责政府非税收入管理。负责政府性基金管理，按规定管理行政事业性收费等其他非税收入。管理财政票据。贯彻落实彩票管理政策和有关办法，监管彩票市场，按规定管理彩票基金。</w:t>
      </w:r>
    </w:p>
    <w:p w14:paraId="4D6585D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5.组织制定全县国库管理制度、国库集中收付制度，指导和监督国库业务，开展国库现金管理工作。贯彻执行政府财务报告编制办法并组织实施。负责制定政府采购制度并监督管理。</w:t>
      </w:r>
    </w:p>
    <w:p w14:paraId="2E8D295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6.贯彻执行地方政府债务管理制度和政策，制定具体管理办法，执行地方政府债余额限额计划，统一管理政府外债，防范财政风险。</w:t>
      </w:r>
    </w:p>
    <w:p w14:paraId="542090E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7.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14:paraId="2EA3FED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14:paraId="10A74C7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9.负责审核并汇总编制全县社会保险基金预决算草案，会同有关部门拟订有关资金（基金）财务管理制度，承担社会保险基金财政监管工作。</w:t>
      </w:r>
    </w:p>
    <w:p w14:paraId="072F642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10.负责办理和监督县级财政的经济发展支出、县级政府性投资项目的财政拨款，负责投资评审管理工作，参与拟订县级基建投资有关政策，执行基建财务管理制度。</w:t>
      </w:r>
    </w:p>
    <w:p w14:paraId="09885E2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11.管理外国政府和国际金融机构贷（赠）款项目的有关业务，参与财经领域的国际交流与合作。</w:t>
      </w:r>
    </w:p>
    <w:p w14:paraId="631AE27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12.负责管理全县会计工作，监督和规范会计行为，组织实施国家统一的会计制度，指导和管理社会审计。依法管理资产评估有关工作。</w:t>
      </w:r>
    </w:p>
    <w:p w14:paraId="599A16B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13.负责职责范围内的安全生产和职业健康、生态环境保护、审批服务便民化等工作。</w:t>
      </w:r>
    </w:p>
    <w:p w14:paraId="7D15118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sz w:val="32"/>
          <w:szCs w:val="32"/>
          <w:lang w:val="en-US" w:eastAsia="zh-CN" w:bidi="ar-SA"/>
        </w:rPr>
        <w:t>14.完成县委、县政府交办的其他任务。</w:t>
      </w:r>
    </w:p>
    <w:p w14:paraId="2CCA8136">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outlineLvl w:val="2"/>
        <w:rPr>
          <w:rFonts w:hint="eastAsia" w:asciiTheme="minorEastAsia" w:hAnsiTheme="minorEastAsia" w:eastAsiaTheme="minorEastAsia" w:cstheme="minorEastAsia"/>
          <w:b/>
          <w:bCs/>
          <w:color w:val="000000"/>
          <w:kern w:val="0"/>
          <w:sz w:val="32"/>
          <w:szCs w:val="32"/>
          <w:shd w:val="clear" w:color="auto" w:fill="FFFFFF"/>
          <w:lang w:val="zh-CN"/>
        </w:rPr>
      </w:pPr>
      <w:r>
        <w:rPr>
          <w:rFonts w:hint="eastAsia" w:asciiTheme="minorEastAsia" w:hAnsiTheme="minorEastAsia" w:eastAsiaTheme="minorEastAsia" w:cstheme="minorEastAsia"/>
          <w:b/>
          <w:bCs/>
          <w:color w:val="000000"/>
          <w:kern w:val="0"/>
          <w:sz w:val="32"/>
          <w:szCs w:val="32"/>
          <w:shd w:val="clear" w:color="auto" w:fill="FFFFFF"/>
          <w:lang w:val="zh-CN"/>
        </w:rPr>
        <w:t>（三）人员概况。</w:t>
      </w:r>
    </w:p>
    <w:p w14:paraId="614AB362">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heme="minorEastAsia" w:hAnsiTheme="minorEastAsia" w:eastAsiaTheme="minorEastAsia" w:cstheme="minorEastAsia"/>
          <w:b w:val="0"/>
          <w:bCs w:val="0"/>
          <w:color w:val="000000"/>
          <w:kern w:val="0"/>
          <w:sz w:val="32"/>
          <w:szCs w:val="32"/>
          <w:shd w:val="clear" w:color="auto" w:fill="FFFFFF"/>
          <w:lang w:val="en-US" w:eastAsia="zh-CN"/>
        </w:rPr>
      </w:pPr>
      <w:r>
        <w:rPr>
          <w:rFonts w:hint="eastAsia" w:asciiTheme="minorEastAsia" w:hAnsiTheme="minorEastAsia" w:eastAsiaTheme="minorEastAsia" w:cstheme="minorEastAsia"/>
          <w:sz w:val="32"/>
          <w:szCs w:val="32"/>
          <w:lang w:val="en-US" w:eastAsia="zh-CN" w:bidi="ar-SA"/>
        </w:rPr>
        <w:t>县财政局行政编制18名。其中，局长1名，副局长2名，股级领导职数10名。机关工勤人员编制2名。事业编制7名。2022年12月月末实有人数共计25人，退休16人</w:t>
      </w:r>
      <w:r>
        <w:rPr>
          <w:rFonts w:hint="eastAsia" w:asciiTheme="minorEastAsia" w:hAnsiTheme="minorEastAsia" w:eastAsiaTheme="minorEastAsia" w:cstheme="minorEastAsia"/>
          <w:b w:val="0"/>
          <w:bCs w:val="0"/>
          <w:sz w:val="32"/>
          <w:szCs w:val="32"/>
          <w:lang w:val="en-US" w:eastAsia="zh-CN"/>
        </w:rPr>
        <w:t>。</w:t>
      </w:r>
    </w:p>
    <w:p w14:paraId="0AC41F50">
      <w:pPr>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firstLine="643" w:firstLineChars="200"/>
        <w:contextualSpacing/>
        <w:jc w:val="left"/>
        <w:textAlignment w:val="auto"/>
        <w:outlineLvl w:val="1"/>
        <w:rPr>
          <w:rFonts w:hint="eastAsia" w:asciiTheme="minorEastAsia" w:hAnsiTheme="minorEastAsia" w:eastAsiaTheme="minorEastAsia" w:cstheme="minorEastAsia"/>
          <w:b/>
          <w:bCs/>
          <w:color w:val="000000"/>
          <w:kern w:val="0"/>
          <w:sz w:val="32"/>
          <w:szCs w:val="32"/>
          <w:shd w:val="clear" w:color="auto" w:fill="FFFFFF"/>
        </w:rPr>
      </w:pPr>
      <w:r>
        <w:rPr>
          <w:rFonts w:hint="eastAsia" w:asciiTheme="minorEastAsia" w:hAnsiTheme="minorEastAsia" w:eastAsiaTheme="minorEastAsia" w:cstheme="minorEastAsia"/>
          <w:b/>
          <w:bCs/>
          <w:color w:val="000000"/>
          <w:kern w:val="0"/>
          <w:sz w:val="32"/>
          <w:szCs w:val="32"/>
          <w:shd w:val="clear" w:color="auto" w:fill="FFFFFF"/>
        </w:rPr>
        <w:t>部门财政资金收支情况</w:t>
      </w:r>
    </w:p>
    <w:p w14:paraId="3A22D886">
      <w:pPr>
        <w:keepNext w:val="0"/>
        <w:keepLines w:val="0"/>
        <w:pageBreakBefore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32"/>
          <w:szCs w:val="32"/>
          <w:lang w:val="en-US" w:eastAsia="zh-CN" w:bidi="ar-SA"/>
        </w:rPr>
      </w:pPr>
      <w:r>
        <w:rPr>
          <w:rFonts w:hint="eastAsia" w:asciiTheme="minorEastAsia" w:hAnsiTheme="minorEastAsia" w:eastAsiaTheme="minorEastAsia" w:cstheme="minorEastAsia"/>
          <w:b w:val="0"/>
          <w:bCs w:val="0"/>
          <w:color w:val="000000"/>
          <w:kern w:val="0"/>
          <w:sz w:val="32"/>
          <w:szCs w:val="32"/>
          <w:shd w:val="clear" w:color="auto" w:fill="FFFFFF"/>
          <w:lang w:val="en-US" w:eastAsia="zh-CN"/>
        </w:rPr>
        <w:t xml:space="preserve">    </w:t>
      </w:r>
      <w:r>
        <w:rPr>
          <w:rFonts w:hint="eastAsia" w:asciiTheme="minorEastAsia" w:hAnsiTheme="minorEastAsia" w:eastAsiaTheme="minorEastAsia" w:cstheme="minorEastAsia"/>
          <w:sz w:val="32"/>
          <w:szCs w:val="32"/>
          <w:lang w:val="en-US" w:eastAsia="zh-CN" w:bidi="ar-SA"/>
        </w:rPr>
        <w:t>按照综合预算的原则，财政局所有收入和支出均纳入部门预算管理。收入包括：一般公共预算拨款收入，支出包括：一般公共服务支出、社会保障和就业支出、医疗卫生与计划生育支出、住房保障支出。财政局2022年年初预算882.68万元，上年结余589.45万元，支出1472.13万元。</w:t>
      </w:r>
    </w:p>
    <w:p w14:paraId="698110C2">
      <w:pPr>
        <w:keepNext w:val="0"/>
        <w:keepLines w:val="0"/>
        <w:pageBreakBefore w:val="0"/>
        <w:widowControl/>
        <w:kinsoku/>
        <w:wordWrap/>
        <w:overflowPunct/>
        <w:topLinePunct w:val="0"/>
        <w:autoSpaceDE/>
        <w:autoSpaceDN/>
        <w:bidi w:val="0"/>
        <w:adjustRightInd w:val="0"/>
        <w:snapToGrid w:val="0"/>
        <w:spacing w:line="360" w:lineRule="auto"/>
        <w:contextualSpacing/>
        <w:jc w:val="left"/>
        <w:textAlignment w:val="auto"/>
        <w:outlineLvl w:val="2"/>
        <w:rPr>
          <w:rFonts w:hint="eastAsia" w:asciiTheme="minorEastAsia" w:hAnsiTheme="minorEastAsia" w:eastAsiaTheme="minorEastAsia" w:cstheme="minorEastAsia"/>
          <w:b/>
          <w:bCs/>
          <w:color w:val="000000"/>
          <w:kern w:val="0"/>
          <w:sz w:val="32"/>
          <w:szCs w:val="32"/>
          <w:shd w:val="clear" w:color="auto" w:fill="FFFFFF"/>
          <w:lang w:val="zh-CN"/>
        </w:rPr>
      </w:pPr>
      <w:r>
        <w:rPr>
          <w:rFonts w:hint="eastAsia" w:asciiTheme="minorEastAsia" w:hAnsiTheme="minorEastAsia" w:eastAsiaTheme="minorEastAsia" w:cstheme="minorEastAsia"/>
          <w:b/>
          <w:bCs/>
          <w:color w:val="000000"/>
          <w:kern w:val="0"/>
          <w:sz w:val="32"/>
          <w:szCs w:val="32"/>
          <w:shd w:val="clear" w:color="auto" w:fill="FFFFFF"/>
          <w:lang w:val="zh-CN"/>
        </w:rPr>
        <w:t>（一）部门财政资金收入情况。</w:t>
      </w:r>
    </w:p>
    <w:p w14:paraId="465CCAD2">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heme="minorEastAsia" w:hAnsiTheme="minorEastAsia" w:eastAsiaTheme="minorEastAsia" w:cstheme="minorEastAsia"/>
          <w:b w:val="0"/>
          <w:bCs w:val="0"/>
          <w:sz w:val="32"/>
          <w:szCs w:val="32"/>
          <w:shd w:val="clear" w:color="auto" w:fill="FFFFFF"/>
          <w:lang w:val="en-US" w:eastAsia="zh-CN"/>
        </w:rPr>
      </w:pPr>
      <w:r>
        <w:rPr>
          <w:rFonts w:hint="eastAsia" w:asciiTheme="minorEastAsia" w:hAnsiTheme="minorEastAsia" w:eastAsiaTheme="minorEastAsia" w:cstheme="minorEastAsia"/>
          <w:b w:val="0"/>
          <w:bCs w:val="0"/>
          <w:sz w:val="32"/>
          <w:szCs w:val="32"/>
          <w:shd w:val="clear" w:color="auto" w:fill="FFFFFF"/>
          <w:lang w:val="en-US" w:eastAsia="zh-CN"/>
        </w:rPr>
        <w:t>财政局</w:t>
      </w:r>
      <w:r>
        <w:rPr>
          <w:rFonts w:hint="eastAsia" w:asciiTheme="minorEastAsia" w:hAnsiTheme="minorEastAsia" w:eastAsiaTheme="minorEastAsia" w:cstheme="minorEastAsia"/>
          <w:b w:val="0"/>
          <w:bCs w:val="0"/>
          <w:sz w:val="32"/>
          <w:szCs w:val="32"/>
          <w:shd w:val="clear" w:color="auto" w:fill="FFFFFF"/>
        </w:rPr>
        <w:t>202</w:t>
      </w:r>
      <w:r>
        <w:rPr>
          <w:rFonts w:hint="eastAsia" w:asciiTheme="minorEastAsia" w:hAnsiTheme="minorEastAsia" w:eastAsiaTheme="minorEastAsia" w:cstheme="minorEastAsia"/>
          <w:b w:val="0"/>
          <w:bCs w:val="0"/>
          <w:sz w:val="32"/>
          <w:szCs w:val="32"/>
          <w:shd w:val="clear" w:color="auto" w:fill="FFFFFF"/>
          <w:lang w:val="en-US" w:eastAsia="zh-CN"/>
        </w:rPr>
        <w:t>2</w:t>
      </w:r>
      <w:r>
        <w:rPr>
          <w:rFonts w:hint="eastAsia" w:asciiTheme="minorEastAsia" w:hAnsiTheme="minorEastAsia" w:eastAsiaTheme="minorEastAsia" w:cstheme="minorEastAsia"/>
          <w:b w:val="0"/>
          <w:bCs w:val="0"/>
          <w:sz w:val="32"/>
          <w:szCs w:val="32"/>
          <w:shd w:val="clear" w:color="auto" w:fill="FFFFFF"/>
        </w:rPr>
        <w:t>年</w:t>
      </w:r>
      <w:r>
        <w:rPr>
          <w:rFonts w:hint="eastAsia" w:asciiTheme="minorEastAsia" w:hAnsiTheme="minorEastAsia" w:eastAsiaTheme="minorEastAsia" w:cstheme="minorEastAsia"/>
          <w:b w:val="0"/>
          <w:bCs w:val="0"/>
          <w:sz w:val="32"/>
          <w:szCs w:val="32"/>
          <w:shd w:val="clear" w:color="auto" w:fill="FFFFFF"/>
          <w:lang w:val="en-US" w:eastAsia="zh-CN"/>
        </w:rPr>
        <w:t>年初</w:t>
      </w:r>
      <w:r>
        <w:rPr>
          <w:rFonts w:hint="eastAsia" w:asciiTheme="minorEastAsia" w:hAnsiTheme="minorEastAsia" w:eastAsiaTheme="minorEastAsia" w:cstheme="minorEastAsia"/>
          <w:b w:val="0"/>
          <w:bCs w:val="0"/>
          <w:sz w:val="32"/>
          <w:szCs w:val="32"/>
          <w:shd w:val="clear" w:color="auto" w:fill="FFFFFF"/>
        </w:rPr>
        <w:t>收入预算</w:t>
      </w:r>
      <w:r>
        <w:rPr>
          <w:rFonts w:hint="eastAsia" w:asciiTheme="minorEastAsia" w:hAnsiTheme="minorEastAsia" w:eastAsiaTheme="minorEastAsia" w:cstheme="minorEastAsia"/>
          <w:b w:val="0"/>
          <w:bCs w:val="0"/>
          <w:sz w:val="32"/>
          <w:szCs w:val="32"/>
          <w:shd w:val="clear" w:color="auto" w:fill="FFFFFF"/>
          <w:lang w:val="en-US" w:eastAsia="zh-CN"/>
        </w:rPr>
        <w:t>882.68</w:t>
      </w:r>
      <w:r>
        <w:rPr>
          <w:rFonts w:hint="eastAsia" w:asciiTheme="minorEastAsia" w:hAnsiTheme="minorEastAsia" w:eastAsiaTheme="minorEastAsia" w:cstheme="minorEastAsia"/>
          <w:b w:val="0"/>
          <w:bCs w:val="0"/>
          <w:sz w:val="32"/>
          <w:szCs w:val="32"/>
          <w:shd w:val="clear" w:color="auto" w:fill="FFFFFF"/>
        </w:rPr>
        <w:t>万元，一般公共预算</w:t>
      </w:r>
      <w:r>
        <w:rPr>
          <w:rFonts w:hint="eastAsia" w:asciiTheme="minorEastAsia" w:hAnsiTheme="minorEastAsia" w:eastAsiaTheme="minorEastAsia" w:cstheme="minorEastAsia"/>
          <w:b w:val="0"/>
          <w:bCs w:val="0"/>
          <w:sz w:val="32"/>
          <w:szCs w:val="32"/>
          <w:shd w:val="clear" w:color="auto" w:fill="FFFFFF"/>
          <w:lang w:val="en-US" w:eastAsia="zh-CN"/>
        </w:rPr>
        <w:t>财政</w:t>
      </w:r>
      <w:r>
        <w:rPr>
          <w:rFonts w:hint="eastAsia" w:asciiTheme="minorEastAsia" w:hAnsiTheme="minorEastAsia" w:eastAsiaTheme="minorEastAsia" w:cstheme="minorEastAsia"/>
          <w:b w:val="0"/>
          <w:bCs w:val="0"/>
          <w:sz w:val="32"/>
          <w:szCs w:val="32"/>
          <w:shd w:val="clear" w:color="auto" w:fill="FFFFFF"/>
        </w:rPr>
        <w:t>拨款收入</w:t>
      </w:r>
      <w:r>
        <w:rPr>
          <w:rFonts w:hint="eastAsia" w:asciiTheme="minorEastAsia" w:hAnsiTheme="minorEastAsia" w:eastAsiaTheme="minorEastAsia" w:cstheme="minorEastAsia"/>
          <w:b w:val="0"/>
          <w:bCs w:val="0"/>
          <w:color w:val="333333"/>
          <w:sz w:val="32"/>
          <w:szCs w:val="32"/>
          <w:lang w:val="en-US" w:eastAsia="zh-CN"/>
        </w:rPr>
        <w:t>882.68</w:t>
      </w:r>
      <w:r>
        <w:rPr>
          <w:rFonts w:hint="eastAsia" w:asciiTheme="minorEastAsia" w:hAnsiTheme="minorEastAsia" w:eastAsiaTheme="minorEastAsia" w:cstheme="minorEastAsia"/>
          <w:b w:val="0"/>
          <w:bCs w:val="0"/>
          <w:sz w:val="32"/>
          <w:szCs w:val="32"/>
          <w:shd w:val="clear" w:color="auto" w:fill="FFFFFF"/>
        </w:rPr>
        <w:t>万元，占</w:t>
      </w:r>
      <w:r>
        <w:rPr>
          <w:rFonts w:hint="eastAsia" w:asciiTheme="minorEastAsia" w:hAnsiTheme="minorEastAsia" w:eastAsiaTheme="minorEastAsia" w:cstheme="minorEastAsia"/>
          <w:b w:val="0"/>
          <w:bCs w:val="0"/>
          <w:sz w:val="32"/>
          <w:szCs w:val="32"/>
          <w:shd w:val="clear" w:color="auto" w:fill="FFFFFF"/>
          <w:lang w:val="en-US" w:eastAsia="zh-CN"/>
        </w:rPr>
        <w:t>59.96</w:t>
      </w:r>
      <w:r>
        <w:rPr>
          <w:rFonts w:hint="eastAsia" w:asciiTheme="minorEastAsia" w:hAnsiTheme="minorEastAsia" w:eastAsiaTheme="minorEastAsia" w:cstheme="minorEastAsia"/>
          <w:b w:val="0"/>
          <w:bCs w:val="0"/>
          <w:sz w:val="32"/>
          <w:szCs w:val="32"/>
          <w:shd w:val="clear" w:color="auto" w:fill="FFFFFF"/>
        </w:rPr>
        <w:t>%</w:t>
      </w:r>
      <w:r>
        <w:rPr>
          <w:rFonts w:hint="eastAsia" w:asciiTheme="minorEastAsia" w:hAnsiTheme="minorEastAsia" w:eastAsiaTheme="minorEastAsia" w:cstheme="minorEastAsia"/>
          <w:b w:val="0"/>
          <w:bCs w:val="0"/>
          <w:sz w:val="32"/>
          <w:szCs w:val="32"/>
          <w:shd w:val="clear" w:color="auto" w:fill="FFFFFF"/>
          <w:lang w:eastAsia="zh-CN"/>
        </w:rPr>
        <w:t>，</w:t>
      </w:r>
      <w:r>
        <w:rPr>
          <w:rFonts w:hint="eastAsia" w:asciiTheme="minorEastAsia" w:hAnsiTheme="minorEastAsia" w:eastAsiaTheme="minorEastAsia" w:cstheme="minorEastAsia"/>
          <w:b w:val="0"/>
          <w:bCs w:val="0"/>
          <w:sz w:val="32"/>
          <w:szCs w:val="32"/>
          <w:shd w:val="clear" w:color="auto" w:fill="FFFFFF"/>
          <w:lang w:val="en-US" w:eastAsia="zh-CN"/>
        </w:rPr>
        <w:t>上年结余589.45万元，占40.04%</w:t>
      </w:r>
      <w:r>
        <w:rPr>
          <w:rFonts w:hint="eastAsia" w:asciiTheme="minorEastAsia" w:hAnsiTheme="minorEastAsia" w:eastAsiaTheme="minorEastAsia" w:cstheme="minorEastAsia"/>
          <w:b w:val="0"/>
          <w:bCs w:val="0"/>
          <w:sz w:val="32"/>
          <w:szCs w:val="32"/>
          <w:shd w:val="clear" w:color="auto" w:fill="FFFFFF"/>
        </w:rPr>
        <w:t>。</w:t>
      </w:r>
      <w:r>
        <w:rPr>
          <w:rFonts w:hint="eastAsia" w:asciiTheme="minorEastAsia" w:hAnsiTheme="minorEastAsia" w:eastAsiaTheme="minorEastAsia" w:cstheme="minorEastAsia"/>
          <w:b w:val="0"/>
          <w:bCs w:val="0"/>
          <w:sz w:val="32"/>
          <w:szCs w:val="32"/>
          <w:shd w:val="clear" w:color="auto" w:fill="FFFFFF"/>
          <w:lang w:val="en-US" w:eastAsia="zh-CN"/>
        </w:rPr>
        <w:t>其中：一般公共服务支出675.02万元，社会保障和就业支出103.95万元，卫生健康支出44.69万元，住房保障支出59.01万元。</w:t>
      </w:r>
    </w:p>
    <w:p w14:paraId="67F38A56">
      <w:pPr>
        <w:keepNext w:val="0"/>
        <w:keepLines w:val="0"/>
        <w:pageBreakBefore w:val="0"/>
        <w:widowControl/>
        <w:numPr>
          <w:ilvl w:val="0"/>
          <w:numId w:val="5"/>
        </w:numPr>
        <w:kinsoku/>
        <w:wordWrap/>
        <w:overflowPunct/>
        <w:topLinePunct w:val="0"/>
        <w:autoSpaceDE/>
        <w:autoSpaceDN/>
        <w:bidi w:val="0"/>
        <w:adjustRightInd w:val="0"/>
        <w:snapToGrid w:val="0"/>
        <w:spacing w:line="360" w:lineRule="auto"/>
        <w:ind w:left="-640" w:leftChars="0" w:firstLine="640" w:firstLineChars="0"/>
        <w:contextualSpacing/>
        <w:jc w:val="left"/>
        <w:textAlignment w:val="auto"/>
        <w:outlineLvl w:val="2"/>
        <w:rPr>
          <w:rFonts w:hint="eastAsia" w:asciiTheme="minorEastAsia" w:hAnsiTheme="minorEastAsia" w:eastAsiaTheme="minorEastAsia" w:cstheme="minorEastAsia"/>
          <w:b/>
          <w:bCs/>
          <w:color w:val="000000"/>
          <w:kern w:val="0"/>
          <w:sz w:val="32"/>
          <w:szCs w:val="32"/>
          <w:shd w:val="clear" w:color="auto" w:fill="FFFFFF"/>
          <w:lang w:val="zh-CN"/>
        </w:rPr>
      </w:pPr>
      <w:r>
        <w:rPr>
          <w:rFonts w:hint="eastAsia" w:asciiTheme="minorEastAsia" w:hAnsiTheme="minorEastAsia" w:eastAsiaTheme="minorEastAsia" w:cstheme="minorEastAsia"/>
          <w:b/>
          <w:bCs/>
          <w:color w:val="000000"/>
          <w:kern w:val="0"/>
          <w:sz w:val="32"/>
          <w:szCs w:val="32"/>
          <w:shd w:val="clear" w:color="auto" w:fill="FFFFFF"/>
          <w:lang w:val="zh-CN"/>
        </w:rPr>
        <w:t>部门财政资金支出情况。</w:t>
      </w:r>
    </w:p>
    <w:p w14:paraId="0704CF11">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heme="minorEastAsia" w:hAnsiTheme="minorEastAsia" w:eastAsiaTheme="minorEastAsia" w:cstheme="minorEastAsia"/>
          <w:b w:val="0"/>
          <w:bCs w:val="0"/>
          <w:sz w:val="32"/>
          <w:szCs w:val="32"/>
          <w:shd w:val="clear" w:color="auto" w:fill="FFFFFF"/>
          <w:lang w:val="en-US" w:eastAsia="zh-CN"/>
        </w:rPr>
      </w:pPr>
      <w:r>
        <w:rPr>
          <w:rFonts w:hint="eastAsia" w:asciiTheme="minorEastAsia" w:hAnsiTheme="minorEastAsia" w:eastAsiaTheme="minorEastAsia" w:cstheme="minorEastAsia"/>
          <w:b w:val="0"/>
          <w:bCs w:val="0"/>
          <w:color w:val="000000"/>
          <w:kern w:val="0"/>
          <w:sz w:val="32"/>
          <w:szCs w:val="32"/>
          <w:shd w:val="clear" w:color="auto" w:fill="FFFFFF"/>
          <w:lang w:val="en-US" w:eastAsia="zh-CN"/>
        </w:rPr>
        <w:t xml:space="preserve"> </w:t>
      </w:r>
      <w:r>
        <w:rPr>
          <w:rFonts w:hint="eastAsia" w:asciiTheme="minorEastAsia" w:hAnsiTheme="minorEastAsia" w:eastAsiaTheme="minorEastAsia" w:cstheme="minorEastAsia"/>
          <w:b w:val="0"/>
          <w:bCs w:val="0"/>
          <w:sz w:val="32"/>
          <w:szCs w:val="32"/>
          <w:shd w:val="clear" w:color="auto" w:fill="FFFFFF"/>
          <w:lang w:val="en-US" w:eastAsia="zh-CN"/>
        </w:rPr>
        <w:t>财政局</w:t>
      </w:r>
      <w:r>
        <w:rPr>
          <w:rFonts w:hint="eastAsia" w:asciiTheme="minorEastAsia" w:hAnsiTheme="minorEastAsia" w:eastAsiaTheme="minorEastAsia" w:cstheme="minorEastAsia"/>
          <w:b w:val="0"/>
          <w:bCs w:val="0"/>
          <w:sz w:val="32"/>
          <w:szCs w:val="32"/>
          <w:shd w:val="clear" w:color="auto" w:fill="FFFFFF"/>
        </w:rPr>
        <w:t>202</w:t>
      </w:r>
      <w:r>
        <w:rPr>
          <w:rFonts w:hint="eastAsia" w:asciiTheme="minorEastAsia" w:hAnsiTheme="minorEastAsia" w:eastAsiaTheme="minorEastAsia" w:cstheme="minorEastAsia"/>
          <w:b w:val="0"/>
          <w:bCs w:val="0"/>
          <w:sz w:val="32"/>
          <w:szCs w:val="32"/>
          <w:shd w:val="clear" w:color="auto" w:fill="FFFFFF"/>
          <w:lang w:val="en-US" w:eastAsia="zh-CN"/>
        </w:rPr>
        <w:t>2</w:t>
      </w:r>
      <w:r>
        <w:rPr>
          <w:rFonts w:hint="eastAsia" w:asciiTheme="minorEastAsia" w:hAnsiTheme="minorEastAsia" w:eastAsiaTheme="minorEastAsia" w:cstheme="minorEastAsia"/>
          <w:b w:val="0"/>
          <w:bCs w:val="0"/>
          <w:sz w:val="32"/>
          <w:szCs w:val="32"/>
          <w:shd w:val="clear" w:color="auto" w:fill="FFFFFF"/>
        </w:rPr>
        <w:t>年</w:t>
      </w:r>
      <w:r>
        <w:rPr>
          <w:rFonts w:hint="eastAsia" w:asciiTheme="minorEastAsia" w:hAnsiTheme="minorEastAsia" w:eastAsiaTheme="minorEastAsia" w:cstheme="minorEastAsia"/>
          <w:b w:val="0"/>
          <w:bCs w:val="0"/>
          <w:sz w:val="32"/>
          <w:szCs w:val="32"/>
          <w:shd w:val="clear" w:color="auto" w:fill="FFFFFF"/>
          <w:lang w:val="en-US" w:eastAsia="zh-CN"/>
        </w:rPr>
        <w:t>累计支出</w:t>
      </w:r>
      <w:r>
        <w:rPr>
          <w:rFonts w:hint="eastAsia" w:asciiTheme="minorEastAsia" w:hAnsiTheme="minorEastAsia" w:eastAsiaTheme="minorEastAsia" w:cstheme="minorEastAsia"/>
          <w:b w:val="0"/>
          <w:bCs w:val="0"/>
          <w:sz w:val="32"/>
          <w:szCs w:val="32"/>
          <w:shd w:val="clear" w:color="auto" w:fill="FFFFFF"/>
        </w:rPr>
        <w:t>预算</w:t>
      </w:r>
      <w:r>
        <w:rPr>
          <w:rFonts w:hint="eastAsia" w:asciiTheme="minorEastAsia" w:hAnsiTheme="minorEastAsia" w:eastAsiaTheme="minorEastAsia" w:cstheme="minorEastAsia"/>
          <w:b w:val="0"/>
          <w:bCs w:val="0"/>
          <w:sz w:val="32"/>
          <w:szCs w:val="32"/>
          <w:shd w:val="clear" w:color="auto" w:fill="FFFFFF"/>
          <w:lang w:val="en-US" w:eastAsia="zh-CN"/>
        </w:rPr>
        <w:t>1472.13</w:t>
      </w:r>
      <w:r>
        <w:rPr>
          <w:rFonts w:hint="eastAsia" w:asciiTheme="minorEastAsia" w:hAnsiTheme="minorEastAsia" w:eastAsiaTheme="minorEastAsia" w:cstheme="minorEastAsia"/>
          <w:b w:val="0"/>
          <w:bCs w:val="0"/>
          <w:sz w:val="32"/>
          <w:szCs w:val="32"/>
          <w:shd w:val="clear" w:color="auto" w:fill="FFFFFF"/>
        </w:rPr>
        <w:t>万元，其中：基本支出</w:t>
      </w:r>
      <w:r>
        <w:rPr>
          <w:rFonts w:hint="eastAsia" w:asciiTheme="minorEastAsia" w:hAnsiTheme="minorEastAsia" w:eastAsiaTheme="minorEastAsia" w:cstheme="minorEastAsia"/>
          <w:b w:val="0"/>
          <w:bCs w:val="0"/>
          <w:sz w:val="32"/>
          <w:szCs w:val="32"/>
          <w:shd w:val="clear" w:color="auto" w:fill="FFFFFF"/>
          <w:lang w:val="en-US" w:eastAsia="zh-CN"/>
        </w:rPr>
        <w:t>1017.9</w:t>
      </w:r>
      <w:r>
        <w:rPr>
          <w:rFonts w:hint="eastAsia" w:asciiTheme="minorEastAsia" w:hAnsiTheme="minorEastAsia" w:eastAsiaTheme="minorEastAsia" w:cstheme="minorEastAsia"/>
          <w:b w:val="0"/>
          <w:bCs w:val="0"/>
          <w:sz w:val="32"/>
          <w:szCs w:val="32"/>
          <w:shd w:val="clear" w:color="auto" w:fill="FFFFFF"/>
        </w:rPr>
        <w:t>万元，占</w:t>
      </w:r>
      <w:r>
        <w:rPr>
          <w:rFonts w:hint="eastAsia" w:asciiTheme="minorEastAsia" w:hAnsiTheme="minorEastAsia" w:eastAsiaTheme="minorEastAsia" w:cstheme="minorEastAsia"/>
          <w:b w:val="0"/>
          <w:bCs w:val="0"/>
          <w:sz w:val="32"/>
          <w:szCs w:val="32"/>
          <w:shd w:val="clear" w:color="auto" w:fill="FFFFFF"/>
          <w:lang w:val="en-US" w:eastAsia="zh-CN"/>
        </w:rPr>
        <w:t>69.14</w:t>
      </w:r>
      <w:r>
        <w:rPr>
          <w:rFonts w:hint="eastAsia" w:asciiTheme="minorEastAsia" w:hAnsiTheme="minorEastAsia" w:eastAsiaTheme="minorEastAsia" w:cstheme="minorEastAsia"/>
          <w:b w:val="0"/>
          <w:bCs w:val="0"/>
          <w:sz w:val="32"/>
          <w:szCs w:val="32"/>
          <w:shd w:val="clear" w:color="auto" w:fill="FFFFFF"/>
        </w:rPr>
        <w:t>%。</w:t>
      </w:r>
      <w:r>
        <w:rPr>
          <w:rFonts w:hint="eastAsia" w:asciiTheme="minorEastAsia" w:hAnsiTheme="minorEastAsia" w:eastAsiaTheme="minorEastAsia" w:cstheme="minorEastAsia"/>
          <w:b w:val="0"/>
          <w:bCs w:val="0"/>
          <w:sz w:val="32"/>
          <w:szCs w:val="32"/>
          <w:shd w:val="clear" w:color="auto" w:fill="FFFFFF"/>
          <w:lang w:val="en-US" w:eastAsia="zh-CN"/>
        </w:rPr>
        <w:t>项目支出454.23万元，占30.86%。工资性支出830.15万元，商品和服务支出606.43万元，对个人和家庭补助支出28.39万元。</w:t>
      </w:r>
    </w:p>
    <w:p w14:paraId="2C2F8656">
      <w:pPr>
        <w:keepNext w:val="0"/>
        <w:keepLines w:val="0"/>
        <w:pageBreakBefore w:val="0"/>
        <w:widowControl/>
        <w:numPr>
          <w:ilvl w:val="0"/>
          <w:numId w:val="6"/>
        </w:numPr>
        <w:kinsoku/>
        <w:wordWrap/>
        <w:overflowPunct/>
        <w:topLinePunct w:val="0"/>
        <w:autoSpaceDE/>
        <w:autoSpaceDN/>
        <w:bidi w:val="0"/>
        <w:adjustRightInd w:val="0"/>
        <w:snapToGrid w:val="0"/>
        <w:spacing w:line="520" w:lineRule="exact"/>
        <w:ind w:firstLine="640" w:firstLineChars="200"/>
        <w:contextualSpacing/>
        <w:jc w:val="left"/>
        <w:textAlignment w:val="auto"/>
        <w:outlineLvl w:val="1"/>
        <w:rPr>
          <w:rFonts w:hint="eastAsia" w:asciiTheme="minorEastAsia" w:hAnsiTheme="minorEastAsia" w:eastAsiaTheme="minorEastAsia" w:cstheme="minorEastAsia"/>
          <w:color w:val="000000"/>
          <w:kern w:val="0"/>
          <w:sz w:val="32"/>
          <w:szCs w:val="32"/>
          <w:shd w:val="clear" w:color="auto" w:fill="FFFFFF"/>
        </w:rPr>
      </w:pPr>
      <w:r>
        <w:rPr>
          <w:rFonts w:hint="eastAsia" w:asciiTheme="minorEastAsia" w:hAnsiTheme="minorEastAsia" w:eastAsiaTheme="minorEastAsia" w:cstheme="minorEastAsia"/>
          <w:b w:val="0"/>
          <w:bCs w:val="0"/>
          <w:color w:val="000000"/>
          <w:kern w:val="0"/>
          <w:sz w:val="32"/>
          <w:szCs w:val="32"/>
          <w:shd w:val="clear" w:color="auto" w:fill="FFFFFF"/>
        </w:rPr>
        <w:t>部门整体预算绩效管理情况</w:t>
      </w:r>
    </w:p>
    <w:p w14:paraId="0C10787A">
      <w:pPr>
        <w:keepNext w:val="0"/>
        <w:keepLines w:val="0"/>
        <w:pageBreakBefore w:val="0"/>
        <w:widowControl/>
        <w:numPr>
          <w:ilvl w:val="0"/>
          <w:numId w:val="0"/>
        </w:numPr>
        <w:kinsoku/>
        <w:wordWrap/>
        <w:overflowPunct/>
        <w:topLinePunct w:val="0"/>
        <w:autoSpaceDE/>
        <w:autoSpaceDN/>
        <w:bidi w:val="0"/>
        <w:adjustRightInd w:val="0"/>
        <w:snapToGrid w:val="0"/>
        <w:spacing w:line="520" w:lineRule="exact"/>
        <w:ind w:firstLine="640" w:firstLineChars="200"/>
        <w:contextualSpacing/>
        <w:jc w:val="left"/>
        <w:textAlignment w:val="auto"/>
        <w:outlineLvl w:val="2"/>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lang w:val="zh-CN"/>
        </w:rPr>
        <w:t>（一）部门预算管理。</w:t>
      </w:r>
    </w:p>
    <w:p w14:paraId="66C1E808">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contextualSpacing/>
        <w:jc w:val="left"/>
        <w:textAlignment w:val="auto"/>
        <w:rPr>
          <w:rFonts w:hint="eastAsia" w:asciiTheme="minorEastAsia" w:hAnsiTheme="minorEastAsia" w:eastAsiaTheme="minorEastAsia" w:cstheme="minorEastAsia"/>
          <w:color w:val="000000"/>
          <w:kern w:val="0"/>
          <w:sz w:val="32"/>
          <w:szCs w:val="32"/>
          <w:shd w:val="clear" w:color="auto" w:fill="FFFFFF"/>
          <w:lang w:val="en-US" w:eastAsia="zh-CN"/>
        </w:rPr>
      </w:pPr>
      <w:r>
        <w:rPr>
          <w:rFonts w:hint="eastAsia" w:asciiTheme="minorEastAsia" w:hAnsiTheme="minorEastAsia" w:eastAsiaTheme="minorEastAsia" w:cstheme="minorEastAsia"/>
          <w:color w:val="000000"/>
          <w:kern w:val="0"/>
          <w:sz w:val="32"/>
          <w:szCs w:val="32"/>
          <w:shd w:val="clear" w:color="auto" w:fill="FFFFFF"/>
          <w:lang w:val="en-US" w:eastAsia="zh-CN"/>
        </w:rPr>
        <w:t>1.人员类。截止2022年12月实际到位资金830.15万元，实际支付资金830.15万元，资金结余0万元；支付率100%。</w:t>
      </w:r>
    </w:p>
    <w:p w14:paraId="126E7B92">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contextualSpacing/>
        <w:jc w:val="left"/>
        <w:textAlignment w:val="auto"/>
        <w:rPr>
          <w:rFonts w:hint="eastAsia" w:asciiTheme="minorEastAsia" w:hAnsiTheme="minorEastAsia" w:eastAsiaTheme="minorEastAsia" w:cstheme="minorEastAsia"/>
          <w:color w:val="000000"/>
          <w:kern w:val="0"/>
          <w:sz w:val="32"/>
          <w:szCs w:val="32"/>
          <w:shd w:val="clear" w:color="auto" w:fill="FFFFFF"/>
          <w:lang w:val="en-US" w:eastAsia="zh-CN"/>
        </w:rPr>
      </w:pPr>
      <w:r>
        <w:rPr>
          <w:rFonts w:hint="eastAsia" w:asciiTheme="minorEastAsia" w:hAnsiTheme="minorEastAsia" w:eastAsiaTheme="minorEastAsia" w:cstheme="minorEastAsia"/>
          <w:color w:val="000000"/>
          <w:kern w:val="0"/>
          <w:sz w:val="32"/>
          <w:szCs w:val="32"/>
          <w:shd w:val="clear" w:color="auto" w:fill="FFFFFF"/>
          <w:lang w:val="en-US" w:eastAsia="zh-CN"/>
        </w:rPr>
        <w:t>2.运转类。截止2022年12月实际到位资金152.2万元，实际支付152.2万元，资金结余0万元；支付率100%。</w:t>
      </w:r>
    </w:p>
    <w:p w14:paraId="274313C0">
      <w:pPr>
        <w:pStyle w:val="5"/>
        <w:keepNext w:val="0"/>
        <w:keepLines w:val="0"/>
        <w:pageBreakBefore w:val="0"/>
        <w:kinsoku/>
        <w:wordWrap/>
        <w:overflowPunct/>
        <w:topLinePunct w:val="0"/>
        <w:autoSpaceDE/>
        <w:autoSpaceDN/>
        <w:bidi w:val="0"/>
        <w:spacing w:line="520" w:lineRule="exact"/>
        <w:ind w:left="0" w:leftChars="0" w:firstLine="640" w:firstLineChars="200"/>
        <w:textAlignment w:val="auto"/>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lang w:val="en-US" w:eastAsia="zh-CN" w:bidi="ar-SA"/>
        </w:rPr>
        <w:t>3.特定目标类。截止2022年12月实际到位资金454.23万元，实际支付454.23万元，资金结余0万元；支付率100%。</w:t>
      </w:r>
    </w:p>
    <w:p w14:paraId="02089719">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contextualSpacing/>
        <w:jc w:val="left"/>
        <w:textAlignment w:val="auto"/>
        <w:outlineLvl w:val="2"/>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lang w:val="zh-CN"/>
        </w:rPr>
        <w:t>（二）结</w:t>
      </w:r>
      <w:r>
        <w:rPr>
          <w:rFonts w:hint="eastAsia" w:asciiTheme="minorEastAsia" w:hAnsiTheme="minorEastAsia" w:eastAsiaTheme="minorEastAsia" w:cstheme="minorEastAsia"/>
          <w:color w:val="auto"/>
          <w:kern w:val="0"/>
          <w:sz w:val="32"/>
          <w:szCs w:val="32"/>
          <w:shd w:val="clear" w:color="auto" w:fill="FFFFFF"/>
          <w:lang w:val="zh-CN"/>
        </w:rPr>
        <w:t>果应用情况。</w:t>
      </w:r>
    </w:p>
    <w:p w14:paraId="710A3A5C">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contextualSpacing/>
        <w:jc w:val="left"/>
        <w:textAlignment w:val="auto"/>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lang w:val="zh-CN" w:eastAsia="zh-CN" w:bidi="ar-SA"/>
        </w:rPr>
        <w:t>202</w:t>
      </w:r>
      <w:r>
        <w:rPr>
          <w:rFonts w:hint="eastAsia" w:asciiTheme="minorEastAsia" w:hAnsiTheme="minorEastAsia" w:eastAsiaTheme="minorEastAsia" w:cstheme="minorEastAsia"/>
          <w:color w:val="000000"/>
          <w:kern w:val="0"/>
          <w:sz w:val="32"/>
          <w:szCs w:val="32"/>
          <w:shd w:val="clear" w:color="auto" w:fill="FFFFFF"/>
          <w:lang w:val="en-US" w:eastAsia="zh-CN" w:bidi="ar-SA"/>
        </w:rPr>
        <w:t>2</w:t>
      </w:r>
      <w:r>
        <w:rPr>
          <w:rFonts w:hint="eastAsia" w:asciiTheme="minorEastAsia" w:hAnsiTheme="minorEastAsia" w:eastAsiaTheme="minorEastAsia" w:cstheme="minorEastAsia"/>
          <w:color w:val="000000"/>
          <w:kern w:val="0"/>
          <w:sz w:val="32"/>
          <w:szCs w:val="32"/>
          <w:shd w:val="clear" w:color="auto" w:fill="FFFFFF"/>
          <w:lang w:val="zh-CN" w:eastAsia="zh-CN" w:bidi="ar-SA"/>
        </w:rPr>
        <w:t>年度单位整体支出资金使用符合政策要求，合理合法，使用有效，管理较规范。本单位履职及履职效益情况良好，一是对各项支出严格按照预算额度进行控制，努力节约经费；二是各项工作均能按时完成，质量较高</w:t>
      </w:r>
      <w:r>
        <w:rPr>
          <w:rFonts w:hint="eastAsia" w:asciiTheme="minorEastAsia" w:hAnsiTheme="minorEastAsia" w:eastAsiaTheme="minorEastAsia" w:cstheme="minorEastAsia"/>
          <w:color w:val="000000"/>
          <w:kern w:val="0"/>
          <w:sz w:val="32"/>
          <w:szCs w:val="32"/>
          <w:shd w:val="clear" w:color="auto" w:fill="FFFFFF"/>
          <w:lang w:val="zh-CN"/>
        </w:rPr>
        <w:t>。</w:t>
      </w:r>
    </w:p>
    <w:p w14:paraId="2AEEFE0E">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contextualSpacing/>
        <w:jc w:val="left"/>
        <w:textAlignment w:val="auto"/>
        <w:outlineLvl w:val="1"/>
        <w:rPr>
          <w:rFonts w:hint="eastAsia" w:asciiTheme="minorEastAsia" w:hAnsiTheme="minorEastAsia" w:eastAsiaTheme="minorEastAsia" w:cstheme="minorEastAsia"/>
          <w:color w:val="000000"/>
          <w:kern w:val="0"/>
          <w:sz w:val="32"/>
          <w:szCs w:val="32"/>
          <w:shd w:val="clear" w:color="auto" w:fill="FFFFFF"/>
        </w:rPr>
      </w:pPr>
      <w:r>
        <w:rPr>
          <w:rFonts w:hint="eastAsia" w:asciiTheme="minorEastAsia" w:hAnsiTheme="minorEastAsia" w:eastAsiaTheme="minorEastAsia" w:cstheme="minorEastAsia"/>
          <w:color w:val="000000"/>
          <w:kern w:val="0"/>
          <w:sz w:val="32"/>
          <w:szCs w:val="32"/>
          <w:shd w:val="clear" w:color="auto" w:fill="FFFFFF"/>
        </w:rPr>
        <w:t>四、评价结论及建议</w:t>
      </w:r>
    </w:p>
    <w:p w14:paraId="42777AE9">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contextualSpacing/>
        <w:jc w:val="left"/>
        <w:textAlignment w:val="auto"/>
        <w:outlineLvl w:val="2"/>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lang w:val="zh-CN"/>
        </w:rPr>
        <w:t>（一）评价结论。</w:t>
      </w:r>
    </w:p>
    <w:p w14:paraId="1718809C">
      <w:pPr>
        <w:keepNext w:val="0"/>
        <w:keepLines w:val="0"/>
        <w:pageBreakBefore w:val="0"/>
        <w:widowControl/>
        <w:kinsoku/>
        <w:wordWrap/>
        <w:overflowPunct/>
        <w:topLinePunct w:val="0"/>
        <w:autoSpaceDE/>
        <w:autoSpaceDN/>
        <w:bidi w:val="0"/>
        <w:adjustRightInd w:val="0"/>
        <w:snapToGrid w:val="0"/>
        <w:spacing w:line="520" w:lineRule="exact"/>
        <w:ind w:firstLine="960" w:firstLineChars="300"/>
        <w:contextualSpacing/>
        <w:jc w:val="left"/>
        <w:textAlignment w:val="auto"/>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color w:val="000000"/>
          <w:kern w:val="0"/>
          <w:sz w:val="32"/>
          <w:szCs w:val="32"/>
          <w:shd w:val="clear" w:color="auto" w:fill="FFFFFF"/>
          <w:lang w:val="zh-CN"/>
        </w:rPr>
        <w:t>202</w:t>
      </w:r>
      <w:r>
        <w:rPr>
          <w:rFonts w:hint="eastAsia" w:asciiTheme="minorEastAsia" w:hAnsiTheme="minorEastAsia" w:eastAsiaTheme="minorEastAsia" w:cstheme="minorEastAsia"/>
          <w:color w:val="000000"/>
          <w:kern w:val="0"/>
          <w:sz w:val="32"/>
          <w:szCs w:val="32"/>
          <w:shd w:val="clear" w:color="auto" w:fill="FFFFFF"/>
          <w:lang w:val="en-US" w:eastAsia="zh-CN"/>
        </w:rPr>
        <w:t>2</w:t>
      </w:r>
      <w:r>
        <w:rPr>
          <w:rFonts w:hint="eastAsia" w:asciiTheme="minorEastAsia" w:hAnsiTheme="minorEastAsia" w:eastAsiaTheme="minorEastAsia" w:cstheme="minorEastAsia"/>
          <w:color w:val="000000"/>
          <w:kern w:val="0"/>
          <w:sz w:val="32"/>
          <w:szCs w:val="32"/>
          <w:shd w:val="clear" w:color="auto" w:fill="FFFFFF"/>
          <w:lang w:val="zh-CN"/>
        </w:rPr>
        <w:t>年度单位整体支出资金使用符合政策要求，合理合法，使用有效，管理较规范。本单位履职及履职效益情况良好，一是对各项支出严格按照预算额度进行控制，努力节约经费；二是各项工作均能按时完成，质量较高。</w:t>
      </w:r>
    </w:p>
    <w:p w14:paraId="31CADD00">
      <w:pPr>
        <w:keepNext w:val="0"/>
        <w:keepLines w:val="0"/>
        <w:pageBreakBefore w:val="0"/>
        <w:widowControl/>
        <w:numPr>
          <w:ilvl w:val="0"/>
          <w:numId w:val="7"/>
        </w:numPr>
        <w:kinsoku/>
        <w:wordWrap/>
        <w:overflowPunct/>
        <w:topLinePunct w:val="0"/>
        <w:autoSpaceDE/>
        <w:autoSpaceDN/>
        <w:bidi w:val="0"/>
        <w:adjustRightInd w:val="0"/>
        <w:snapToGrid w:val="0"/>
        <w:spacing w:line="520" w:lineRule="exact"/>
        <w:ind w:firstLine="640" w:firstLineChars="200"/>
        <w:contextualSpacing/>
        <w:jc w:val="left"/>
        <w:textAlignment w:val="auto"/>
        <w:outlineLvl w:val="2"/>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lang w:val="zh-CN"/>
        </w:rPr>
        <w:t>存在问题。</w:t>
      </w:r>
    </w:p>
    <w:p w14:paraId="7178B886">
      <w:pPr>
        <w:keepNext w:val="0"/>
        <w:keepLines w:val="0"/>
        <w:pageBreakBefore w:val="0"/>
        <w:widowControl/>
        <w:numPr>
          <w:ilvl w:val="0"/>
          <w:numId w:val="0"/>
        </w:numPr>
        <w:kinsoku/>
        <w:wordWrap/>
        <w:overflowPunct/>
        <w:topLinePunct w:val="0"/>
        <w:autoSpaceDE/>
        <w:autoSpaceDN/>
        <w:bidi w:val="0"/>
        <w:adjustRightInd w:val="0"/>
        <w:snapToGrid w:val="0"/>
        <w:spacing w:line="520" w:lineRule="exact"/>
        <w:ind w:firstLine="1600" w:firstLineChars="500"/>
        <w:contextualSpacing/>
        <w:jc w:val="left"/>
        <w:textAlignment w:val="auto"/>
        <w:rPr>
          <w:rFonts w:hint="eastAsia" w:asciiTheme="minorEastAsia" w:hAnsiTheme="minorEastAsia" w:eastAsiaTheme="minorEastAsia" w:cstheme="minorEastAsia"/>
          <w:color w:val="000000"/>
          <w:kern w:val="0"/>
          <w:sz w:val="32"/>
          <w:szCs w:val="32"/>
          <w:shd w:val="clear" w:color="auto" w:fill="FFFFFF"/>
          <w:lang w:val="zh-CN"/>
        </w:rPr>
      </w:pPr>
      <w:r>
        <w:rPr>
          <w:rFonts w:hint="eastAsia" w:asciiTheme="minorEastAsia" w:hAnsiTheme="minorEastAsia" w:eastAsiaTheme="minorEastAsia" w:cstheme="minorEastAsia"/>
          <w:color w:val="000000"/>
          <w:kern w:val="0"/>
          <w:sz w:val="32"/>
          <w:szCs w:val="32"/>
          <w:shd w:val="clear" w:color="auto" w:fill="FFFFFF"/>
          <w:lang w:val="zh-CN"/>
        </w:rPr>
        <w:t>无</w:t>
      </w:r>
    </w:p>
    <w:p w14:paraId="0569FCA5">
      <w:pPr>
        <w:pStyle w:val="16"/>
        <w:keepNext w:val="0"/>
        <w:keepLines w:val="0"/>
        <w:pageBreakBefore w:val="0"/>
        <w:widowControl w:val="0"/>
        <w:numPr>
          <w:ilvl w:val="0"/>
          <w:numId w:val="7"/>
        </w:numPr>
        <w:kinsoku/>
        <w:wordWrap/>
        <w:overflowPunct/>
        <w:topLinePunct w:val="0"/>
        <w:autoSpaceDE/>
        <w:autoSpaceDN/>
        <w:bidi w:val="0"/>
        <w:spacing w:line="600" w:lineRule="exact"/>
        <w:ind w:left="0" w:leftChars="0"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000000"/>
          <w:kern w:val="0"/>
          <w:sz w:val="32"/>
          <w:szCs w:val="32"/>
          <w:shd w:val="clear" w:color="auto" w:fill="FFFFFF"/>
          <w:lang w:val="zh-CN"/>
        </w:rPr>
        <w:t>改进建议。</w:t>
      </w:r>
      <w:r>
        <w:rPr>
          <w:rFonts w:hint="eastAsia" w:asciiTheme="minorEastAsia" w:hAnsiTheme="minorEastAsia" w:eastAsiaTheme="minorEastAsia" w:cstheme="minorEastAsia"/>
          <w:color w:val="000000"/>
          <w:kern w:val="0"/>
          <w:sz w:val="32"/>
          <w:szCs w:val="32"/>
          <w:shd w:val="clear" w:color="auto" w:fill="FFFFFF"/>
          <w:lang w:val="zh-CN"/>
        </w:rPr>
        <w:br w:type="textWrapping"/>
      </w:r>
      <w:r>
        <w:rPr>
          <w:rFonts w:hint="eastAsia" w:asciiTheme="minorEastAsia" w:hAnsiTheme="minorEastAsia" w:eastAsiaTheme="minorEastAsia" w:cstheme="minorEastAsia"/>
          <w:color w:val="000000"/>
          <w:kern w:val="0"/>
          <w:sz w:val="32"/>
          <w:szCs w:val="32"/>
          <w:shd w:val="clear" w:color="auto" w:fill="FFFFFF"/>
          <w:lang w:val="en-US" w:eastAsia="zh-CN"/>
        </w:rPr>
        <w:t xml:space="preserve">    </w:t>
      </w:r>
      <w:r>
        <w:rPr>
          <w:rFonts w:hint="eastAsia" w:asciiTheme="minorEastAsia" w:hAnsiTheme="minorEastAsia" w:eastAsiaTheme="minorEastAsia" w:cstheme="minorEastAsia"/>
          <w:b w:val="0"/>
          <w:bCs w:val="0"/>
          <w:sz w:val="32"/>
          <w:szCs w:val="32"/>
          <w:lang w:val="en-US" w:eastAsia="zh-CN"/>
        </w:rPr>
        <w:t>科学合理编制预算，严格执行预算。鉴于财政局工作任务繁重，重点工作任务重，年初财政预算要尽量足额，以便在预算执行中，严格按照预算科目支出，为各项工作顺利开展，提供资金保证。</w:t>
      </w:r>
      <w:r>
        <w:rPr>
          <w:rFonts w:hint="eastAsia" w:asciiTheme="minorEastAsia" w:hAnsiTheme="minorEastAsia" w:eastAsiaTheme="minorEastAsia" w:cstheme="minorEastAsia"/>
          <w:sz w:val="32"/>
          <w:szCs w:val="32"/>
        </w:rPr>
        <w:t> </w:t>
      </w:r>
    </w:p>
    <w:p w14:paraId="0EB49225">
      <w:pPr>
        <w:pStyle w:val="16"/>
        <w:keepNext w:val="0"/>
        <w:keepLines w:val="0"/>
        <w:pageBreakBefore w:val="0"/>
        <w:widowControl w:val="0"/>
        <w:numPr>
          <w:ilvl w:val="0"/>
          <w:numId w:val="0"/>
        </w:numPr>
        <w:kinsoku/>
        <w:wordWrap/>
        <w:overflowPunct/>
        <w:topLinePunct w:val="0"/>
        <w:autoSpaceDE/>
        <w:autoSpaceDN/>
        <w:bidi w:val="0"/>
        <w:spacing w:line="600" w:lineRule="exact"/>
        <w:ind w:leftChars="200"/>
        <w:jc w:val="both"/>
        <w:textAlignment w:val="auto"/>
        <w:rPr>
          <w:rFonts w:hint="eastAsia" w:asciiTheme="minorEastAsia" w:hAnsiTheme="minorEastAsia" w:eastAsiaTheme="minorEastAsia" w:cstheme="minorEastAsia"/>
          <w:color w:val="auto"/>
          <w:sz w:val="32"/>
          <w:szCs w:val="32"/>
          <w:lang w:val="en-US" w:eastAsia="zh-CN"/>
        </w:rPr>
      </w:pPr>
    </w:p>
    <w:p w14:paraId="0786E332">
      <w:pPr>
        <w:pStyle w:val="16"/>
        <w:keepNext w:val="0"/>
        <w:keepLines w:val="0"/>
        <w:pageBreakBefore w:val="0"/>
        <w:widowControl w:val="0"/>
        <w:numPr>
          <w:ilvl w:val="0"/>
          <w:numId w:val="0"/>
        </w:numPr>
        <w:kinsoku/>
        <w:wordWrap/>
        <w:overflowPunct/>
        <w:topLinePunct w:val="0"/>
        <w:autoSpaceDE/>
        <w:autoSpaceDN/>
        <w:bidi w:val="0"/>
        <w:spacing w:line="600" w:lineRule="exact"/>
        <w:jc w:val="both"/>
        <w:textAlignment w:val="auto"/>
        <w:rPr>
          <w:rFonts w:hint="eastAsia" w:asciiTheme="minorEastAsia" w:hAnsiTheme="minorEastAsia" w:eastAsiaTheme="minorEastAsia" w:cstheme="minorEastAsia"/>
          <w:color w:val="auto"/>
          <w:sz w:val="32"/>
          <w:szCs w:val="32"/>
          <w:lang w:val="en-US" w:eastAsia="zh-CN"/>
        </w:rPr>
      </w:pPr>
    </w:p>
    <w:p w14:paraId="4B17765A">
      <w:pPr>
        <w:pStyle w:val="16"/>
        <w:keepNext w:val="0"/>
        <w:keepLines w:val="0"/>
        <w:pageBreakBefore w:val="0"/>
        <w:widowControl w:val="0"/>
        <w:numPr>
          <w:ilvl w:val="0"/>
          <w:numId w:val="0"/>
        </w:numPr>
        <w:kinsoku/>
        <w:wordWrap/>
        <w:overflowPunct/>
        <w:topLinePunct w:val="0"/>
        <w:autoSpaceDE/>
        <w:autoSpaceDN/>
        <w:bidi w:val="0"/>
        <w:spacing w:line="600" w:lineRule="exact"/>
        <w:ind w:firstLine="1606" w:firstLineChars="500"/>
        <w:jc w:val="both"/>
        <w:textAlignment w:val="auto"/>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color w:val="auto"/>
          <w:sz w:val="32"/>
          <w:szCs w:val="32"/>
          <w:lang w:val="en-US" w:eastAsia="zh-CN"/>
        </w:rPr>
        <w:t>九寨沟县财政局2022年中介机构</w:t>
      </w:r>
    </w:p>
    <w:p w14:paraId="47022799">
      <w:pPr>
        <w:pStyle w:val="16"/>
        <w:keepNext w:val="0"/>
        <w:keepLines w:val="0"/>
        <w:pageBreakBefore w:val="0"/>
        <w:widowControl w:val="0"/>
        <w:numPr>
          <w:ilvl w:val="0"/>
          <w:numId w:val="0"/>
        </w:numPr>
        <w:kinsoku/>
        <w:wordWrap/>
        <w:overflowPunct/>
        <w:topLinePunct w:val="0"/>
        <w:autoSpaceDE/>
        <w:autoSpaceDN/>
        <w:bidi w:val="0"/>
        <w:spacing w:line="600" w:lineRule="exact"/>
        <w:ind w:firstLine="964" w:firstLineChars="300"/>
        <w:jc w:val="both"/>
        <w:textAlignment w:val="auto"/>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lang w:val="en-US" w:eastAsia="zh-CN"/>
        </w:rPr>
        <w:t>委托评审</w:t>
      </w:r>
      <w:r>
        <w:rPr>
          <w:rFonts w:hint="eastAsia" w:asciiTheme="minorEastAsia" w:hAnsiTheme="minorEastAsia" w:eastAsiaTheme="minorEastAsia" w:cstheme="minorEastAsia"/>
          <w:b/>
          <w:bCs/>
          <w:color w:val="auto"/>
          <w:sz w:val="32"/>
          <w:szCs w:val="32"/>
          <w:lang w:eastAsia="zh-CN"/>
        </w:rPr>
        <w:t>专项预算项目支出</w:t>
      </w:r>
      <w:r>
        <w:rPr>
          <w:rFonts w:hint="eastAsia" w:asciiTheme="minorEastAsia" w:hAnsiTheme="minorEastAsia" w:eastAsiaTheme="minorEastAsia" w:cstheme="minorEastAsia"/>
          <w:b/>
          <w:bCs/>
          <w:color w:val="auto"/>
          <w:sz w:val="32"/>
          <w:szCs w:val="32"/>
        </w:rPr>
        <w:t>绩效自评报告</w:t>
      </w:r>
    </w:p>
    <w:p w14:paraId="60B24AE0">
      <w:pPr>
        <w:pStyle w:val="16"/>
        <w:keepNext w:val="0"/>
        <w:keepLines w:val="0"/>
        <w:pageBreakBefore w:val="0"/>
        <w:widowControl w:val="0"/>
        <w:kinsoku/>
        <w:wordWrap/>
        <w:overflowPunct/>
        <w:topLinePunct w:val="0"/>
        <w:autoSpaceDE/>
        <w:autoSpaceDN/>
        <w:bidi w:val="0"/>
        <w:spacing w:line="600" w:lineRule="exact"/>
        <w:ind w:firstLine="640"/>
        <w:jc w:val="center"/>
        <w:textAlignment w:val="auto"/>
        <w:rPr>
          <w:rFonts w:hint="eastAsia" w:asciiTheme="minorEastAsia" w:hAnsiTheme="minorEastAsia" w:eastAsiaTheme="minorEastAsia" w:cstheme="minorEastAsia"/>
          <w:color w:val="auto"/>
          <w:kern w:val="2"/>
          <w:sz w:val="32"/>
          <w:szCs w:val="32"/>
        </w:rPr>
      </w:pPr>
    </w:p>
    <w:p w14:paraId="6D26DEE6">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outlineLvl w:val="1"/>
        <w:rPr>
          <w:rFonts w:hint="eastAsia" w:asciiTheme="minorEastAsia" w:hAnsiTheme="minorEastAsia" w:eastAsiaTheme="minorEastAsia" w:cstheme="minorEastAsia"/>
          <w:b/>
          <w:bCs/>
          <w:color w:val="auto"/>
          <w:sz w:val="32"/>
          <w:szCs w:val="32"/>
          <w:lang w:val="zh-CN"/>
        </w:rPr>
      </w:pPr>
      <w:r>
        <w:rPr>
          <w:rFonts w:hint="eastAsia" w:asciiTheme="minorEastAsia" w:hAnsiTheme="minorEastAsia" w:eastAsiaTheme="minorEastAsia" w:cstheme="minorEastAsia"/>
          <w:b/>
          <w:bCs/>
          <w:color w:val="auto"/>
          <w:sz w:val="32"/>
          <w:szCs w:val="32"/>
        </w:rPr>
        <w:t>一、</w:t>
      </w:r>
      <w:r>
        <w:rPr>
          <w:rFonts w:hint="eastAsia" w:asciiTheme="minorEastAsia" w:hAnsiTheme="minorEastAsia" w:eastAsiaTheme="minorEastAsia" w:cstheme="minorEastAsia"/>
          <w:b/>
          <w:bCs/>
          <w:color w:val="auto"/>
          <w:sz w:val="32"/>
          <w:szCs w:val="32"/>
          <w:lang w:val="zh-CN"/>
        </w:rPr>
        <w:t>项目概况</w:t>
      </w:r>
    </w:p>
    <w:p w14:paraId="4B9C8FA9">
      <w:pPr>
        <w:numPr>
          <w:ilvl w:val="0"/>
          <w:numId w:val="0"/>
        </w:numPr>
        <w:adjustRightInd w:val="0"/>
        <w:snapToGrid w:val="0"/>
        <w:spacing w:line="560" w:lineRule="exact"/>
        <w:ind w:firstLine="643" w:firstLineChars="200"/>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（一）项目资金申报及批复情况。</w:t>
      </w:r>
    </w:p>
    <w:p w14:paraId="2E1616ED">
      <w:pPr>
        <w:numPr>
          <w:ilvl w:val="0"/>
          <w:numId w:val="0"/>
        </w:numPr>
        <w:adjustRightInd w:val="0"/>
        <w:snapToGrid w:val="0"/>
        <w:spacing w:line="560" w:lineRule="exact"/>
        <w:ind w:firstLine="640" w:firstLineChars="200"/>
        <w:rPr>
          <w:rFonts w:hint="eastAsia" w:asciiTheme="minorEastAsia" w:hAnsiTheme="minorEastAsia" w:eastAsiaTheme="minorEastAsia" w:cstheme="minorEastAsia"/>
          <w:color w:val="auto"/>
          <w:sz w:val="32"/>
          <w:szCs w:val="32"/>
          <w:lang w:val="zh-CN"/>
        </w:rPr>
      </w:pPr>
      <w:r>
        <w:rPr>
          <w:rFonts w:hint="eastAsia" w:asciiTheme="minorEastAsia" w:hAnsiTheme="minorEastAsia" w:eastAsiaTheme="minorEastAsia" w:cstheme="minorEastAsia"/>
          <w:color w:val="auto"/>
          <w:sz w:val="32"/>
          <w:szCs w:val="32"/>
          <w:lang w:val="zh-CN" w:eastAsia="zh-CN"/>
        </w:rPr>
        <w:t>县财政下达资金后，由</w:t>
      </w:r>
      <w:r>
        <w:rPr>
          <w:rFonts w:hint="eastAsia" w:asciiTheme="minorEastAsia" w:hAnsiTheme="minorEastAsia" w:eastAsiaTheme="minorEastAsia" w:cstheme="minorEastAsia"/>
          <w:color w:val="auto"/>
          <w:sz w:val="32"/>
          <w:szCs w:val="32"/>
          <w:lang w:val="en-US" w:eastAsia="zh-CN"/>
        </w:rPr>
        <w:t>财政</w:t>
      </w:r>
      <w:r>
        <w:rPr>
          <w:rFonts w:hint="eastAsia" w:asciiTheme="minorEastAsia" w:hAnsiTheme="minorEastAsia" w:eastAsiaTheme="minorEastAsia" w:cstheme="minorEastAsia"/>
          <w:color w:val="auto"/>
          <w:sz w:val="32"/>
          <w:szCs w:val="32"/>
          <w:lang w:val="zh-CN" w:eastAsia="zh-CN"/>
        </w:rPr>
        <w:t>局相关项目股室制定项目实施方案，并通过三重一大决议后，</w:t>
      </w:r>
      <w:r>
        <w:rPr>
          <w:rFonts w:hint="eastAsia" w:asciiTheme="minorEastAsia" w:hAnsiTheme="minorEastAsia" w:eastAsiaTheme="minorEastAsia" w:cstheme="minorEastAsia"/>
          <w:color w:val="auto"/>
          <w:sz w:val="32"/>
          <w:szCs w:val="32"/>
          <w:lang w:val="en-US" w:eastAsia="zh-CN"/>
        </w:rPr>
        <w:t>按项目进度拨付款项</w:t>
      </w:r>
      <w:r>
        <w:rPr>
          <w:rFonts w:hint="eastAsia" w:asciiTheme="minorEastAsia" w:hAnsiTheme="minorEastAsia" w:eastAsiaTheme="minorEastAsia" w:cstheme="minorEastAsia"/>
          <w:color w:val="auto"/>
          <w:sz w:val="32"/>
          <w:szCs w:val="32"/>
          <w:lang w:val="zh-CN" w:eastAsia="zh-CN"/>
        </w:rPr>
        <w:t>。</w:t>
      </w:r>
    </w:p>
    <w:p w14:paraId="191873C8">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640" w:leftChars="0" w:firstLine="1280" w:firstLineChars="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项目绩效目标。</w:t>
      </w:r>
    </w:p>
    <w:p w14:paraId="66948258">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总体目标保障预算绩效、投资评审各项工作顺利开展，加强预算监督管理，保障财政资金安全高效。</w:t>
      </w:r>
    </w:p>
    <w:p w14:paraId="3623FAD3">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640" w:leftChars="0" w:firstLine="1280" w:firstLineChars="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项目资金申报相符性。</w:t>
      </w:r>
    </w:p>
    <w:p w14:paraId="1D1E3DBD">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项目申报内容与具体实施内容相符、申报目标合理可行。</w:t>
      </w:r>
    </w:p>
    <w:p w14:paraId="4332130E">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outlineLvl w:val="1"/>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二、项目实施及管理情况</w:t>
      </w:r>
    </w:p>
    <w:p w14:paraId="716B95F2">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（一）资金计划、到位及使用情况。</w:t>
      </w:r>
    </w:p>
    <w:p w14:paraId="4B77711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3"/>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1．资金计划及到位。</w:t>
      </w:r>
    </w:p>
    <w:p w14:paraId="2271DC2A">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lang w:val="zh-CN" w:eastAsia="zh-CN"/>
        </w:rPr>
        <w:t>）202</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val="zh-CN" w:eastAsia="zh-CN"/>
        </w:rPr>
        <w:t>年</w:t>
      </w:r>
      <w:r>
        <w:rPr>
          <w:rFonts w:hint="eastAsia" w:asciiTheme="minorEastAsia" w:hAnsiTheme="minorEastAsia" w:eastAsiaTheme="minorEastAsia" w:cstheme="minorEastAsia"/>
          <w:sz w:val="32"/>
          <w:szCs w:val="32"/>
          <w:lang w:val="en-US" w:eastAsia="zh-CN"/>
        </w:rPr>
        <w:t>7</w:t>
      </w:r>
      <w:r>
        <w:rPr>
          <w:rFonts w:hint="eastAsia" w:asciiTheme="minorEastAsia" w:hAnsiTheme="minorEastAsia" w:eastAsiaTheme="minorEastAsia" w:cstheme="minorEastAsia"/>
          <w:sz w:val="32"/>
          <w:szCs w:val="32"/>
          <w:lang w:val="zh-CN" w:eastAsia="zh-CN"/>
        </w:rPr>
        <w:t>月县财政局下达</w:t>
      </w:r>
      <w:r>
        <w:rPr>
          <w:rFonts w:hint="eastAsia" w:asciiTheme="minorEastAsia" w:hAnsiTheme="minorEastAsia" w:eastAsiaTheme="minorEastAsia" w:cstheme="minorEastAsia"/>
          <w:sz w:val="32"/>
          <w:szCs w:val="32"/>
          <w:lang w:val="en-US" w:eastAsia="zh-CN"/>
        </w:rPr>
        <w:t>九</w:t>
      </w:r>
      <w:r>
        <w:rPr>
          <w:rFonts w:hint="eastAsia" w:asciiTheme="minorEastAsia" w:hAnsiTheme="minorEastAsia" w:eastAsiaTheme="minorEastAsia" w:cstheme="minorEastAsia"/>
          <w:sz w:val="32"/>
          <w:szCs w:val="32"/>
          <w:lang w:val="zh-CN" w:eastAsia="zh-CN"/>
        </w:rPr>
        <w:t>财</w:t>
      </w:r>
      <w:r>
        <w:rPr>
          <w:rFonts w:hint="eastAsia" w:asciiTheme="minorEastAsia" w:hAnsiTheme="minorEastAsia" w:eastAsiaTheme="minorEastAsia" w:cstheme="minorEastAsia"/>
          <w:sz w:val="32"/>
          <w:szCs w:val="32"/>
          <w:lang w:val="en-US" w:eastAsia="zh-CN"/>
        </w:rPr>
        <w:t>预[2022]257</w:t>
      </w:r>
      <w:r>
        <w:rPr>
          <w:rFonts w:hint="eastAsia" w:asciiTheme="minorEastAsia" w:hAnsiTheme="minorEastAsia" w:eastAsiaTheme="minorEastAsia" w:cstheme="minorEastAsia"/>
          <w:sz w:val="32"/>
          <w:szCs w:val="32"/>
          <w:lang w:val="zh-CN" w:eastAsia="zh-CN"/>
        </w:rPr>
        <w:t>号文，</w:t>
      </w:r>
      <w:r>
        <w:rPr>
          <w:rFonts w:hint="eastAsia" w:asciiTheme="minorEastAsia" w:hAnsiTheme="minorEastAsia" w:eastAsiaTheme="minorEastAsia" w:cstheme="minorEastAsia"/>
          <w:sz w:val="32"/>
          <w:szCs w:val="32"/>
          <w:lang w:val="en-US" w:eastAsia="zh-CN"/>
        </w:rPr>
        <w:t>2022年财政评审服务费277.23</w:t>
      </w:r>
      <w:r>
        <w:rPr>
          <w:rFonts w:hint="eastAsia" w:asciiTheme="minorEastAsia" w:hAnsiTheme="minorEastAsia" w:eastAsiaTheme="minorEastAsia" w:cstheme="minorEastAsia"/>
          <w:sz w:val="32"/>
          <w:szCs w:val="32"/>
          <w:lang w:val="zh-CN" w:eastAsia="zh-CN"/>
        </w:rPr>
        <w:t>万元。</w:t>
      </w:r>
    </w:p>
    <w:p w14:paraId="4A4A8F4F">
      <w:pPr>
        <w:keepNext w:val="0"/>
        <w:keepLines w:val="0"/>
        <w:pageBreakBefore w:val="0"/>
        <w:widowControl w:val="0"/>
        <w:numPr>
          <w:ilvl w:val="0"/>
          <w:numId w:val="9"/>
        </w:numPr>
        <w:kinsoku/>
        <w:wordWrap/>
        <w:overflowPunct/>
        <w:topLinePunct w:val="0"/>
        <w:autoSpaceDE/>
        <w:autoSpaceDN/>
        <w:bidi w:val="0"/>
        <w:adjustRightInd w:val="0"/>
        <w:snapToGrid w:val="0"/>
        <w:spacing w:line="600" w:lineRule="exact"/>
        <w:ind w:firstLine="640" w:firstLineChars="200"/>
        <w:textAlignment w:val="auto"/>
        <w:outlineLvl w:val="3"/>
        <w:rPr>
          <w:rFonts w:hint="eastAsia" w:asciiTheme="minorEastAsia" w:hAnsiTheme="minorEastAsia" w:eastAsiaTheme="minorEastAsia" w:cstheme="minorEastAsia"/>
          <w:color w:val="auto"/>
          <w:sz w:val="32"/>
          <w:szCs w:val="32"/>
          <w:lang w:val="zh-CN"/>
        </w:rPr>
      </w:pPr>
      <w:r>
        <w:rPr>
          <w:rFonts w:hint="eastAsia" w:asciiTheme="minorEastAsia" w:hAnsiTheme="minorEastAsia" w:eastAsiaTheme="minorEastAsia" w:cstheme="minorEastAsia"/>
          <w:color w:val="auto"/>
          <w:sz w:val="32"/>
          <w:szCs w:val="32"/>
          <w:lang w:val="zh-CN"/>
        </w:rPr>
        <w:t>资金使用。</w:t>
      </w:r>
    </w:p>
    <w:p w14:paraId="3ECCF967">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截止</w:t>
      </w:r>
      <w:r>
        <w:rPr>
          <w:rFonts w:hint="eastAsia" w:asciiTheme="minorEastAsia" w:hAnsiTheme="minorEastAsia" w:eastAsiaTheme="minorEastAsia" w:cstheme="minorEastAsia"/>
          <w:sz w:val="32"/>
          <w:szCs w:val="32"/>
          <w:lang w:val="en-US" w:eastAsia="zh-CN"/>
        </w:rPr>
        <w:t>2022年12月该</w:t>
      </w:r>
      <w:r>
        <w:rPr>
          <w:rFonts w:hint="eastAsia" w:asciiTheme="minorEastAsia" w:hAnsiTheme="minorEastAsia" w:eastAsiaTheme="minorEastAsia" w:cstheme="minorEastAsia"/>
          <w:sz w:val="32"/>
          <w:szCs w:val="32"/>
          <w:lang w:val="zh-CN" w:eastAsia="zh-CN"/>
        </w:rPr>
        <w:t>项目资金实际支出</w:t>
      </w:r>
      <w:r>
        <w:rPr>
          <w:rFonts w:hint="eastAsia" w:asciiTheme="minorEastAsia" w:hAnsiTheme="minorEastAsia" w:eastAsiaTheme="minorEastAsia" w:cstheme="minorEastAsia"/>
          <w:sz w:val="32"/>
          <w:szCs w:val="32"/>
          <w:lang w:val="en-US" w:eastAsia="zh-CN"/>
        </w:rPr>
        <w:t>277.23万元</w:t>
      </w:r>
      <w:r>
        <w:rPr>
          <w:rFonts w:hint="eastAsia" w:asciiTheme="minorEastAsia" w:hAnsiTheme="minorEastAsia" w:eastAsiaTheme="minorEastAsia" w:cstheme="minorEastAsia"/>
          <w:sz w:val="32"/>
          <w:szCs w:val="32"/>
          <w:lang w:val="zh-CN" w:eastAsia="zh-CN"/>
        </w:rPr>
        <w:t>，资金结余</w:t>
      </w:r>
      <w:r>
        <w:rPr>
          <w:rFonts w:hint="eastAsia" w:asciiTheme="minorEastAsia" w:hAnsiTheme="minorEastAsia" w:eastAsiaTheme="minorEastAsia" w:cstheme="minorEastAsia"/>
          <w:sz w:val="32"/>
          <w:szCs w:val="32"/>
          <w:lang w:val="en-US" w:eastAsia="zh-CN"/>
        </w:rPr>
        <w:t>0万元，支付率100%；该项目资金支付按照合同约定合规合法进行支付</w:t>
      </w:r>
      <w:r>
        <w:rPr>
          <w:rFonts w:hint="eastAsia" w:asciiTheme="minorEastAsia" w:hAnsiTheme="minorEastAsia" w:eastAsiaTheme="minorEastAsia" w:cstheme="minorEastAsia"/>
          <w:sz w:val="32"/>
          <w:szCs w:val="32"/>
          <w:lang w:val="zh-CN" w:eastAsia="zh-CN"/>
        </w:rPr>
        <w:t>。</w:t>
      </w:r>
    </w:p>
    <w:p w14:paraId="46CD2506">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（二）项目财务管理情况。</w:t>
      </w:r>
    </w:p>
    <w:p w14:paraId="2E0B0B87">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outlineLvl w:val="9"/>
        <w:rPr>
          <w:rFonts w:hint="eastAsia" w:asciiTheme="minorEastAsia" w:hAnsiTheme="minorEastAsia" w:eastAsiaTheme="minorEastAsia" w:cstheme="minorEastAsia"/>
          <w:b/>
          <w:sz w:val="32"/>
          <w:szCs w:val="32"/>
          <w:lang w:val="en-US" w:eastAsia="zh-CN"/>
        </w:rPr>
      </w:pPr>
      <w:r>
        <w:rPr>
          <w:rFonts w:hint="eastAsia" w:asciiTheme="minorEastAsia" w:hAnsiTheme="minorEastAsia" w:eastAsiaTheme="minorEastAsia" w:cstheme="minorEastAsia"/>
          <w:b/>
          <w:sz w:val="32"/>
          <w:szCs w:val="32"/>
          <w:lang w:val="en-US" w:eastAsia="zh-CN"/>
        </w:rPr>
        <w:t xml:space="preserve">  </w:t>
      </w:r>
      <w:r>
        <w:rPr>
          <w:rFonts w:hint="eastAsia" w:asciiTheme="minorEastAsia" w:hAnsiTheme="minorEastAsia" w:eastAsiaTheme="minorEastAsia" w:cstheme="minorEastAsia"/>
          <w:b w:val="0"/>
          <w:bCs/>
          <w:sz w:val="32"/>
          <w:szCs w:val="32"/>
          <w:lang w:val="en-US" w:eastAsia="zh-CN"/>
        </w:rPr>
        <w:t>项目资金是符合国家财经法规和财务管理制度及有关专项资金管理办法规定；资金拨付是有完整的审批程序和手续；是符合项目预算批复或合同规定用途；不存在截留、挤占、挪用、虚列支出等情况。</w:t>
      </w:r>
    </w:p>
    <w:p w14:paraId="75FE040C">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（三）项目组织实施情况。</w:t>
      </w:r>
    </w:p>
    <w:p w14:paraId="6C597EC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val="0"/>
          <w:bCs/>
          <w:sz w:val="32"/>
          <w:szCs w:val="32"/>
          <w:lang w:val="en-US" w:eastAsia="zh-CN"/>
        </w:rPr>
        <w:t>委托业务费是通过各股室负责人按照各自股室的工作职能职责提出预算安排，财务室汇总后经过局班子共同商量讨论，并与股室再次核实后上报项目预算。项目是</w:t>
      </w:r>
      <w:r>
        <w:rPr>
          <w:rFonts w:hint="eastAsia" w:asciiTheme="minorEastAsia" w:hAnsiTheme="minorEastAsia" w:eastAsiaTheme="minorEastAsia" w:cstheme="minorEastAsia"/>
          <w:b w:val="0"/>
          <w:bCs/>
          <w:sz w:val="32"/>
          <w:szCs w:val="32"/>
          <w:lang w:eastAsia="zh-CN"/>
        </w:rPr>
        <w:t>经过事前评估或可行性论证，是符合专项设立的基本规范和程序要求。项目设立是属于部门职责相符，是属于公共财政支持范围，</w:t>
      </w:r>
      <w:r>
        <w:rPr>
          <w:rFonts w:hint="eastAsia" w:asciiTheme="minorEastAsia" w:hAnsiTheme="minorEastAsia" w:eastAsiaTheme="minorEastAsia" w:cstheme="minorEastAsia"/>
          <w:b w:val="0"/>
          <w:bCs/>
          <w:sz w:val="32"/>
          <w:szCs w:val="32"/>
          <w:lang w:val="en-US" w:eastAsia="zh-CN"/>
        </w:rPr>
        <w:t>是</w:t>
      </w:r>
      <w:r>
        <w:rPr>
          <w:rFonts w:hint="eastAsia" w:asciiTheme="minorEastAsia" w:hAnsiTheme="minorEastAsia" w:eastAsiaTheme="minorEastAsia" w:cstheme="minorEastAsia"/>
          <w:b w:val="0"/>
          <w:bCs/>
          <w:sz w:val="32"/>
          <w:szCs w:val="32"/>
          <w:lang w:eastAsia="zh-CN"/>
        </w:rPr>
        <w:t>符合地方事权支出责任划分原则，</w:t>
      </w:r>
      <w:r>
        <w:rPr>
          <w:rFonts w:hint="eastAsia" w:asciiTheme="minorEastAsia" w:hAnsiTheme="minorEastAsia" w:eastAsiaTheme="minorEastAsia" w:cstheme="minorEastAsia"/>
          <w:b w:val="0"/>
          <w:bCs/>
          <w:sz w:val="32"/>
          <w:szCs w:val="32"/>
          <w:lang w:val="en-US" w:eastAsia="zh-CN"/>
        </w:rPr>
        <w:t>不存在</w:t>
      </w:r>
      <w:r>
        <w:rPr>
          <w:rFonts w:hint="eastAsia" w:asciiTheme="minorEastAsia" w:hAnsiTheme="minorEastAsia" w:eastAsiaTheme="minorEastAsia" w:cstheme="minorEastAsia"/>
          <w:b w:val="0"/>
          <w:bCs/>
          <w:sz w:val="32"/>
          <w:szCs w:val="32"/>
          <w:lang w:eastAsia="zh-CN"/>
        </w:rPr>
        <w:t>与相关部门同类项目或部门内部相关项目重复。</w:t>
      </w:r>
    </w:p>
    <w:p w14:paraId="5993BD20">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outlineLvl w:val="1"/>
        <w:rPr>
          <w:rFonts w:hint="eastAsia" w:asciiTheme="minorEastAsia" w:hAnsiTheme="minorEastAsia" w:eastAsiaTheme="minorEastAsia" w:cstheme="minorEastAsia"/>
          <w:b/>
          <w:bCs/>
          <w:color w:val="auto"/>
          <w:sz w:val="32"/>
          <w:szCs w:val="32"/>
          <w:lang w:val="zh-CN"/>
        </w:rPr>
      </w:pPr>
      <w:r>
        <w:rPr>
          <w:rFonts w:hint="eastAsia" w:asciiTheme="minorEastAsia" w:hAnsiTheme="minorEastAsia" w:eastAsiaTheme="minorEastAsia" w:cstheme="minorEastAsia"/>
          <w:b/>
          <w:bCs/>
          <w:color w:val="auto"/>
          <w:sz w:val="32"/>
          <w:szCs w:val="32"/>
        </w:rPr>
        <w:t>三、项目绩效情况</w:t>
      </w:r>
      <w:r>
        <w:rPr>
          <w:rFonts w:hint="eastAsia" w:asciiTheme="minorEastAsia" w:hAnsiTheme="minorEastAsia" w:eastAsiaTheme="minorEastAsia" w:cstheme="minorEastAsia"/>
          <w:b/>
          <w:bCs/>
          <w:color w:val="auto"/>
          <w:sz w:val="32"/>
          <w:szCs w:val="32"/>
          <w:lang w:val="zh-CN"/>
        </w:rPr>
        <w:tab/>
      </w:r>
    </w:p>
    <w:p w14:paraId="2867803E">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（一）项目完成情况。</w:t>
      </w:r>
    </w:p>
    <w:p w14:paraId="054609B0">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zh-CN" w:eastAsia="zh-CN"/>
        </w:rPr>
        <w:t>该项目</w:t>
      </w:r>
      <w:r>
        <w:rPr>
          <w:rFonts w:hint="eastAsia" w:asciiTheme="minorEastAsia" w:hAnsiTheme="minorEastAsia" w:eastAsiaTheme="minorEastAsia" w:cstheme="minorEastAsia"/>
          <w:b w:val="0"/>
          <w:bCs/>
          <w:sz w:val="32"/>
          <w:szCs w:val="32"/>
          <w:lang w:val="en-US" w:eastAsia="zh-CN"/>
        </w:rPr>
        <w:t>2022年共计评审94个项目</w:t>
      </w:r>
      <w:r>
        <w:rPr>
          <w:rFonts w:hint="eastAsia" w:asciiTheme="minorEastAsia" w:hAnsiTheme="minorEastAsia" w:eastAsiaTheme="minorEastAsia" w:cstheme="minorEastAsia"/>
          <w:sz w:val="32"/>
          <w:szCs w:val="32"/>
          <w:lang w:val="zh-CN" w:eastAsia="zh-CN"/>
        </w:rPr>
        <w:t>。</w:t>
      </w:r>
      <w:r>
        <w:rPr>
          <w:rFonts w:hint="eastAsia" w:asciiTheme="minorEastAsia" w:hAnsiTheme="minorEastAsia" w:eastAsiaTheme="minorEastAsia" w:cstheme="minorEastAsia"/>
          <w:sz w:val="32"/>
          <w:szCs w:val="32"/>
          <w:lang w:val="en-US" w:eastAsia="zh-CN"/>
        </w:rPr>
        <w:t>2022年工作项目已全部完成。</w:t>
      </w:r>
    </w:p>
    <w:p w14:paraId="354C001E">
      <w:pPr>
        <w:numPr>
          <w:ilvl w:val="0"/>
          <w:numId w:val="0"/>
        </w:numPr>
        <w:snapToGrid w:val="0"/>
        <w:spacing w:line="600" w:lineRule="exact"/>
        <w:ind w:firstLine="643" w:firstLineChars="200"/>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w:t>
      </w:r>
      <w:r>
        <w:rPr>
          <w:rFonts w:hint="eastAsia" w:asciiTheme="minorEastAsia" w:hAnsiTheme="minorEastAsia" w:eastAsiaTheme="minorEastAsia" w:cstheme="minorEastAsia"/>
          <w:b/>
          <w:color w:val="auto"/>
          <w:sz w:val="32"/>
          <w:szCs w:val="32"/>
          <w:lang w:val="en-US" w:eastAsia="zh-CN"/>
        </w:rPr>
        <w:t>二</w:t>
      </w:r>
      <w:r>
        <w:rPr>
          <w:rFonts w:hint="eastAsia" w:asciiTheme="minorEastAsia" w:hAnsiTheme="minorEastAsia" w:eastAsiaTheme="minorEastAsia" w:cstheme="minorEastAsia"/>
          <w:b/>
          <w:color w:val="auto"/>
          <w:sz w:val="32"/>
          <w:szCs w:val="32"/>
          <w:lang w:val="zh-CN"/>
        </w:rPr>
        <w:t>）项目效益情况。</w:t>
      </w:r>
    </w:p>
    <w:p w14:paraId="2F4A6031">
      <w:pPr>
        <w:numPr>
          <w:ilvl w:val="0"/>
          <w:numId w:val="0"/>
        </w:numPr>
        <w:snapToGrid w:val="0"/>
        <w:spacing w:line="600" w:lineRule="exact"/>
        <w:ind w:firstLine="640" w:firstLineChars="200"/>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val="0"/>
          <w:bCs/>
          <w:sz w:val="32"/>
          <w:szCs w:val="32"/>
          <w:lang w:val="en-US" w:eastAsia="zh-CN"/>
        </w:rPr>
        <w:t>2022年共计评审94个项目，送审金额98631.28万元，审定金额93705.41万元，审减金额5000万元，审减率5.07%。</w:t>
      </w:r>
    </w:p>
    <w:p w14:paraId="6A088494">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outlineLvl w:val="1"/>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四、问题及建议</w:t>
      </w:r>
    </w:p>
    <w:p w14:paraId="3FDB1C1A">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（一）存在的问题。</w:t>
      </w:r>
    </w:p>
    <w:p w14:paraId="7F8FEBAC">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无</w:t>
      </w:r>
    </w:p>
    <w:p w14:paraId="14328B2F">
      <w:pPr>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firstLine="643" w:firstLineChars="200"/>
        <w:textAlignment w:val="auto"/>
        <w:outlineLvl w:val="2"/>
        <w:rPr>
          <w:rFonts w:hint="eastAsia" w:asciiTheme="minorEastAsia" w:hAnsiTheme="minorEastAsia" w:eastAsiaTheme="minorEastAsia" w:cstheme="minorEastAsia"/>
          <w:b/>
          <w:color w:val="auto"/>
          <w:sz w:val="32"/>
          <w:szCs w:val="32"/>
          <w:lang w:val="zh-CN"/>
        </w:rPr>
      </w:pPr>
      <w:r>
        <w:rPr>
          <w:rFonts w:hint="eastAsia" w:asciiTheme="minorEastAsia" w:hAnsiTheme="minorEastAsia" w:eastAsiaTheme="minorEastAsia" w:cstheme="minorEastAsia"/>
          <w:b/>
          <w:color w:val="auto"/>
          <w:sz w:val="32"/>
          <w:szCs w:val="32"/>
          <w:lang w:val="zh-CN"/>
        </w:rPr>
        <w:t>相关建议。</w:t>
      </w:r>
    </w:p>
    <w:p w14:paraId="25575ECD">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无</w:t>
      </w:r>
    </w:p>
    <w:p w14:paraId="3FB6EA14">
      <w:pPr>
        <w:pStyle w:val="9"/>
        <w:shd w:val="clear" w:color="auto" w:fill="FFFFFF"/>
        <w:outlineLvl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（一）部门财政资金收入情况。</w:t>
      </w:r>
    </w:p>
    <w:p w14:paraId="6D428D8D">
      <w:pPr>
        <w:pStyle w:val="9"/>
        <w:shd w:val="clear" w:color="auto" w:fill="FFFFFF"/>
        <w:ind w:firstLine="320" w:firstLineChars="1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2022年本年收入合计882.68万元，其中：一般公共预算财政拨款收入882.68万元，</w:t>
      </w:r>
      <w:r>
        <w:rPr>
          <w:rFonts w:hint="eastAsia" w:asciiTheme="minorEastAsia" w:hAnsiTheme="minorEastAsia" w:eastAsiaTheme="minorEastAsia" w:cstheme="minorEastAsia"/>
          <w:sz w:val="32"/>
          <w:szCs w:val="32"/>
          <w:lang w:val="en-US" w:eastAsia="zh-CN"/>
        </w:rPr>
        <w:t>占收入的100%，主要包括：财政事务行政运行632.02万元，占比71.60%，财政事务一般行政管理事务43万元，占比4.87%，社会保障和就业支出103.95万元占比11.78%，卫生健康支出44.69万元，占比5.06%，住房和保障支出59.01万元，占比6.68%，</w:t>
      </w:r>
    </w:p>
    <w:p w14:paraId="5EB81EDB">
      <w:pPr>
        <w:pStyle w:val="9"/>
        <w:numPr>
          <w:ilvl w:val="0"/>
          <w:numId w:val="11"/>
        </w:numPr>
        <w:shd w:val="clear" w:color="auto" w:fill="FFFFFF"/>
        <w:outlineLvl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部门财政资金支出情况。</w:t>
      </w:r>
    </w:p>
    <w:p w14:paraId="6592A476">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2022年本年支出合计1,472.13万元，其中：基本支出1,017.90万元，占69.14%；项目支出454.23万元，占30.86%</w:t>
      </w:r>
    </w:p>
    <w:p w14:paraId="426E9CA0">
      <w:pPr>
        <w:pStyle w:val="9"/>
        <w:numPr>
          <w:ilvl w:val="0"/>
          <w:numId w:val="12"/>
        </w:numPr>
        <w:shd w:val="clear" w:color="auto" w:fill="FFFFFF"/>
        <w:outlineLvl w:val="1"/>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部门整体预算绩效管理情况</w:t>
      </w:r>
    </w:p>
    <w:p w14:paraId="7EE241A3">
      <w:pPr>
        <w:widowControl/>
        <w:numPr>
          <w:ilvl w:val="0"/>
          <w:numId w:val="13"/>
        </w:numPr>
        <w:adjustRightInd w:val="0"/>
        <w:snapToGrid w:val="0"/>
        <w:spacing w:line="480" w:lineRule="exact"/>
        <w:ind w:left="17" w:leftChars="0" w:hanging="17" w:firstLineChars="0"/>
        <w:jc w:val="left"/>
        <w:outlineLvl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部门预算项目绩效管理。</w:t>
      </w:r>
    </w:p>
    <w:p w14:paraId="5C45C7D7">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lang w:val="zh-CN"/>
        </w:rPr>
        <w:t>预算编制情况。</w:t>
      </w:r>
    </w:p>
    <w:p w14:paraId="5331583C">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sz w:val="32"/>
          <w:szCs w:val="32"/>
          <w:lang w:val="zh-CN"/>
        </w:rPr>
        <w:t>我局202</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val="zh-CN"/>
        </w:rPr>
        <w:t>年预算编制严格按照《中华人民共和国预算法》的要求，按照相关填报口径做到科学合理的细化预算编制。</w:t>
      </w:r>
    </w:p>
    <w:p w14:paraId="4C0D89EC">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val="zh-CN"/>
        </w:rPr>
        <w:t>执行管理情况。</w:t>
      </w:r>
      <w:r>
        <w:rPr>
          <w:rFonts w:hint="eastAsia" w:asciiTheme="minorEastAsia" w:hAnsiTheme="minorEastAsia" w:eastAsiaTheme="minorEastAsia" w:cstheme="minorEastAsia"/>
          <w:sz w:val="32"/>
          <w:szCs w:val="32"/>
          <w:lang w:val="zh-CN"/>
        </w:rPr>
        <w:tab/>
      </w:r>
    </w:p>
    <w:p w14:paraId="4B7F1E22">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sz w:val="32"/>
          <w:szCs w:val="32"/>
          <w:lang w:val="zh-CN"/>
        </w:rPr>
        <w:t>一是202</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val="zh-CN"/>
        </w:rPr>
        <w:t>我局所有预算内资金都严格纳入预算管理一体化系统管理，日常支出都严格履行了我局的报账程序。</w:t>
      </w:r>
    </w:p>
    <w:p w14:paraId="5DAE9838">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sz w:val="32"/>
          <w:szCs w:val="32"/>
          <w:lang w:val="zh-CN"/>
        </w:rPr>
        <w:t>二</w:t>
      </w:r>
      <w:r>
        <w:rPr>
          <w:rFonts w:hint="eastAsia" w:asciiTheme="minorEastAsia" w:hAnsiTheme="minorEastAsia" w:eastAsiaTheme="minorEastAsia" w:cstheme="minorEastAsia"/>
          <w:sz w:val="32"/>
          <w:szCs w:val="32"/>
          <w:lang w:val="zh-CN" w:eastAsia="zh-CN"/>
        </w:rPr>
        <w:t>是</w:t>
      </w:r>
      <w:r>
        <w:rPr>
          <w:rFonts w:hint="eastAsia" w:asciiTheme="minorEastAsia" w:hAnsiTheme="minorEastAsia" w:eastAsiaTheme="minorEastAsia" w:cstheme="minorEastAsia"/>
          <w:sz w:val="32"/>
          <w:szCs w:val="32"/>
          <w:lang w:val="zh-CN"/>
        </w:rPr>
        <w:t>执行进度情况。202</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val="zh-CN"/>
        </w:rPr>
        <w:t>年基本支出年初预算为</w:t>
      </w:r>
      <w:r>
        <w:rPr>
          <w:rFonts w:hint="eastAsia" w:asciiTheme="minorEastAsia" w:hAnsiTheme="minorEastAsia" w:eastAsiaTheme="minorEastAsia" w:cstheme="minorEastAsia"/>
          <w:sz w:val="32"/>
          <w:szCs w:val="32"/>
          <w:lang w:val="en-US" w:eastAsia="zh-CN"/>
        </w:rPr>
        <w:t>882.68万</w:t>
      </w:r>
      <w:r>
        <w:rPr>
          <w:rFonts w:hint="eastAsia" w:asciiTheme="minorEastAsia" w:hAnsiTheme="minorEastAsia" w:eastAsiaTheme="minorEastAsia" w:cstheme="minorEastAsia"/>
          <w:sz w:val="32"/>
          <w:szCs w:val="32"/>
          <w:lang w:val="zh-CN"/>
        </w:rPr>
        <w:t>元，调整预算数为</w:t>
      </w:r>
      <w:r>
        <w:rPr>
          <w:rFonts w:hint="eastAsia" w:asciiTheme="minorEastAsia" w:hAnsiTheme="minorEastAsia" w:eastAsiaTheme="minorEastAsia" w:cstheme="minorEastAsia"/>
          <w:sz w:val="32"/>
          <w:szCs w:val="32"/>
          <w:lang w:val="en-US" w:eastAsia="zh-CN"/>
        </w:rPr>
        <w:t>135.22万</w:t>
      </w:r>
      <w:r>
        <w:rPr>
          <w:rFonts w:hint="eastAsia" w:asciiTheme="minorEastAsia" w:hAnsiTheme="minorEastAsia" w:eastAsiaTheme="minorEastAsia" w:cstheme="minorEastAsia"/>
          <w:sz w:val="32"/>
          <w:szCs w:val="32"/>
          <w:lang w:val="zh-CN"/>
        </w:rPr>
        <w:t>元。项目支出年初预算数为0元，调整预算数为</w:t>
      </w:r>
      <w:r>
        <w:rPr>
          <w:rFonts w:hint="eastAsia" w:asciiTheme="minorEastAsia" w:hAnsiTheme="minorEastAsia" w:eastAsiaTheme="minorEastAsia" w:cstheme="minorEastAsia"/>
          <w:sz w:val="32"/>
          <w:szCs w:val="32"/>
          <w:lang w:val="en-US" w:eastAsia="zh-CN"/>
        </w:rPr>
        <w:t>454.23万</w:t>
      </w:r>
      <w:r>
        <w:rPr>
          <w:rFonts w:hint="eastAsia" w:asciiTheme="minorEastAsia" w:hAnsiTheme="minorEastAsia" w:eastAsiaTheme="minorEastAsia" w:cstheme="minorEastAsia"/>
          <w:sz w:val="32"/>
          <w:szCs w:val="32"/>
          <w:lang w:val="zh-CN"/>
        </w:rPr>
        <w:t>元。202</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val="zh-CN"/>
        </w:rPr>
        <w:t>年预算执行率为100%。</w:t>
      </w:r>
    </w:p>
    <w:p w14:paraId="15FDC90B">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sz w:val="32"/>
          <w:szCs w:val="32"/>
          <w:lang w:val="zh-CN"/>
        </w:rPr>
        <w:t>三是三公经费执行情况。202</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lang w:val="zh-CN"/>
        </w:rPr>
        <w:t>年三公经费预算数为</w:t>
      </w:r>
      <w:r>
        <w:rPr>
          <w:rFonts w:hint="eastAsia" w:asciiTheme="minorEastAsia" w:hAnsiTheme="minorEastAsia" w:eastAsiaTheme="minorEastAsia" w:cstheme="minorEastAsia"/>
          <w:sz w:val="32"/>
          <w:szCs w:val="32"/>
          <w:lang w:val="en-US" w:eastAsia="zh-CN"/>
        </w:rPr>
        <w:t>16.59万</w:t>
      </w:r>
      <w:r>
        <w:rPr>
          <w:rFonts w:hint="eastAsia" w:asciiTheme="minorEastAsia" w:hAnsiTheme="minorEastAsia" w:eastAsiaTheme="minorEastAsia" w:cstheme="minorEastAsia"/>
          <w:sz w:val="32"/>
          <w:szCs w:val="32"/>
          <w:lang w:val="zh-CN"/>
        </w:rPr>
        <w:t>元，实际支出</w:t>
      </w:r>
      <w:r>
        <w:rPr>
          <w:rFonts w:hint="eastAsia" w:asciiTheme="minorEastAsia" w:hAnsiTheme="minorEastAsia" w:eastAsiaTheme="minorEastAsia" w:cstheme="minorEastAsia"/>
          <w:sz w:val="32"/>
          <w:szCs w:val="32"/>
          <w:lang w:val="en-US" w:eastAsia="zh-CN"/>
        </w:rPr>
        <w:t>16.59</w:t>
      </w:r>
      <w:r>
        <w:rPr>
          <w:rFonts w:hint="eastAsia" w:asciiTheme="minorEastAsia" w:hAnsiTheme="minorEastAsia" w:eastAsiaTheme="minorEastAsia" w:cstheme="minorEastAsia"/>
          <w:sz w:val="32"/>
          <w:szCs w:val="32"/>
          <w:lang w:val="zh-CN"/>
        </w:rPr>
        <w:t>元，没有超预算。</w:t>
      </w:r>
    </w:p>
    <w:p w14:paraId="248339DF">
      <w:pPr>
        <w:pStyle w:val="9"/>
        <w:numPr>
          <w:ilvl w:val="0"/>
          <w:numId w:val="0"/>
        </w:numPr>
        <w:shd w:val="clear" w:color="auto" w:fill="FFFFFF"/>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（二）结果应用情况。</w:t>
      </w:r>
    </w:p>
    <w:p w14:paraId="4B9A9E5E">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lang w:val="zh-CN"/>
        </w:rPr>
      </w:pPr>
      <w:r>
        <w:rPr>
          <w:rFonts w:hint="eastAsia" w:asciiTheme="minorEastAsia" w:hAnsiTheme="minorEastAsia" w:eastAsiaTheme="minorEastAsia" w:cstheme="minorEastAsia"/>
          <w:sz w:val="32"/>
          <w:szCs w:val="32"/>
          <w:lang w:val="zh-CN"/>
        </w:rPr>
        <w:t>部门预算绩效评价结果应用的制度建设不断推进</w:t>
      </w:r>
      <w:r>
        <w:rPr>
          <w:rFonts w:hint="eastAsia" w:asciiTheme="minorEastAsia" w:hAnsiTheme="minorEastAsia" w:eastAsiaTheme="minorEastAsia" w:cstheme="minorEastAsia"/>
          <w:sz w:val="32"/>
          <w:szCs w:val="32"/>
          <w:lang w:val="zh-CN" w:eastAsia="zh-CN"/>
        </w:rPr>
        <w:t>。</w:t>
      </w:r>
      <w:r>
        <w:rPr>
          <w:rFonts w:hint="eastAsia" w:asciiTheme="minorEastAsia" w:hAnsiTheme="minorEastAsia" w:eastAsiaTheme="minorEastAsia" w:cstheme="minorEastAsia"/>
          <w:sz w:val="32"/>
          <w:szCs w:val="32"/>
          <w:lang w:val="zh-CN"/>
        </w:rPr>
        <w:t>项目支出绩效评价结果应用的制度建设日益完善。政策性支出绩效评价结果应用的制度建设开始起步。部门整体支出绩效评价结果应用的制度建设逐步推进。</w:t>
      </w:r>
    </w:p>
    <w:p w14:paraId="19659AEC">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预算绩效评价结果公开制度的实施，有利于打破行政管理的封闭性，打造透明预算，从而使各利益相关方了解预算资金使用的安全性、效益性，并发挥其监督作用。</w:t>
      </w:r>
    </w:p>
    <w:p w14:paraId="32D948E5">
      <w:pPr>
        <w:pStyle w:val="9"/>
        <w:numPr>
          <w:ilvl w:val="0"/>
          <w:numId w:val="0"/>
        </w:numPr>
        <w:shd w:val="clear" w:color="auto" w:fill="FFFFFF"/>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绩效评价结果的质量参差不齐</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尚未形成统一、科学的绩效指标体系。</w:t>
      </w:r>
      <w:r>
        <w:rPr>
          <w:rFonts w:hint="eastAsia" w:asciiTheme="minorEastAsia" w:hAnsiTheme="minorEastAsia" w:eastAsiaTheme="minorEastAsia" w:cstheme="minorEastAsia"/>
          <w:sz w:val="32"/>
          <w:szCs w:val="32"/>
          <w:lang w:val="zh-CN"/>
        </w:rPr>
        <w:t>。</w:t>
      </w:r>
    </w:p>
    <w:p w14:paraId="437343A4">
      <w:pPr>
        <w:pStyle w:val="9"/>
        <w:shd w:val="clear" w:color="auto" w:fill="FFFFFF"/>
        <w:outlineLvl w:val="1"/>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四、评价结论及建议</w:t>
      </w:r>
    </w:p>
    <w:p w14:paraId="41E46F40">
      <w:pPr>
        <w:pStyle w:val="9"/>
        <w:shd w:val="clear" w:color="auto" w:fill="FFFFFF"/>
        <w:outlineLvl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（一）评价结论。</w:t>
      </w:r>
    </w:p>
    <w:p w14:paraId="382B315C">
      <w:pPr>
        <w:pStyle w:val="9"/>
        <w:shd w:val="clear" w:color="auto" w:fill="FFFFFF"/>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良</w:t>
      </w:r>
    </w:p>
    <w:p w14:paraId="3E8C65E6">
      <w:pPr>
        <w:numPr>
          <w:ilvl w:val="0"/>
          <w:numId w:val="13"/>
        </w:numPr>
        <w:pBdr>
          <w:bottom w:val="single" w:color="FFFFFF" w:sz="4" w:space="31"/>
        </w:pBdr>
        <w:tabs>
          <w:tab w:val="left" w:pos="1440"/>
        </w:tabs>
        <w:adjustRightInd w:val="0"/>
        <w:snapToGrid w:val="0"/>
        <w:spacing w:line="576" w:lineRule="exact"/>
        <w:ind w:left="17" w:leftChars="0" w:hanging="17" w:firstLineChars="0"/>
        <w:jc w:val="left"/>
        <w:outlineLvl w:val="2"/>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rPr>
        <w:t>存在问题。</w:t>
      </w:r>
    </w:p>
    <w:p w14:paraId="1DD02E35">
      <w:pPr>
        <w:numPr>
          <w:ilvl w:val="0"/>
          <w:numId w:val="0"/>
        </w:numPr>
        <w:pBdr>
          <w:bottom w:val="single" w:color="FFFFFF" w:sz="4" w:space="31"/>
        </w:pBdr>
        <w:tabs>
          <w:tab w:val="left" w:pos="1440"/>
        </w:tabs>
        <w:adjustRightInd w:val="0"/>
        <w:snapToGrid w:val="0"/>
        <w:spacing w:line="576" w:lineRule="exact"/>
        <w:ind w:left="-17" w:leftChars="0" w:firstLine="640" w:firstLineChars="200"/>
        <w:jc w:val="left"/>
        <w:outlineLvl w:val="2"/>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预算编制欠严谨。2022年初财政批复预算支出与实际支出有一定差距，存在支出预算调整的现象。由于年初预算不足，加上上级临时交办了一些任务，一些无法预计和列入年初预算的支出，需要在年度中间进行预算追加和调整.</w:t>
      </w:r>
    </w:p>
    <w:p w14:paraId="72A7C67B">
      <w:pPr>
        <w:pStyle w:val="9"/>
        <w:numPr>
          <w:ilvl w:val="0"/>
          <w:numId w:val="13"/>
        </w:numPr>
        <w:shd w:val="clear" w:color="auto" w:fill="FFFFFF"/>
        <w:ind w:left="17" w:leftChars="0" w:hanging="17" w:firstLineChars="0"/>
        <w:rPr>
          <w:rFonts w:hint="eastAsia" w:asciiTheme="minorEastAsia" w:hAnsiTheme="minorEastAsia" w:eastAsiaTheme="minorEastAsia" w:cstheme="minorEastAsia"/>
          <w:b/>
          <w:bCs/>
          <w:sz w:val="32"/>
          <w:szCs w:val="32"/>
          <w:lang w:val="zh-CN" w:eastAsia="zh-CN"/>
        </w:rPr>
      </w:pPr>
      <w:r>
        <w:rPr>
          <w:rFonts w:hint="eastAsia" w:asciiTheme="minorEastAsia" w:hAnsiTheme="minorEastAsia" w:eastAsiaTheme="minorEastAsia" w:cstheme="minorEastAsia"/>
          <w:b/>
          <w:bCs/>
          <w:sz w:val="32"/>
          <w:szCs w:val="32"/>
        </w:rPr>
        <w:t>改进建议。</w:t>
      </w:r>
    </w:p>
    <w:p w14:paraId="074BB888">
      <w:pPr>
        <w:pStyle w:val="9"/>
        <w:numPr>
          <w:ilvl w:val="0"/>
          <w:numId w:val="0"/>
        </w:numPr>
        <w:shd w:val="clear" w:color="auto" w:fill="FFFFFF"/>
        <w:ind w:left="-17" w:leftChars="0" w:firstLine="640" w:firstLineChars="200"/>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en-US" w:eastAsia="zh-CN"/>
        </w:rPr>
        <w:t>科学合理编制预算，严格执行预算。鉴于财政局工作任务繁重，重点工作任务重，年初财政预算要尽量足额，以便在预算执行中，严格按照预算科目支出，为各项工作顺利开展，提供资金保证。</w:t>
      </w:r>
    </w:p>
    <w:p w14:paraId="6DDE5E11">
      <w:pPr>
        <w:pStyle w:val="9"/>
        <w:shd w:val="clear" w:color="auto" w:fill="FFFFFF"/>
        <w:ind w:firstLine="1044" w:firstLineChars="200"/>
        <w:outlineLvl w:val="9"/>
        <w:rPr>
          <w:rStyle w:val="12"/>
          <w:rFonts w:hint="eastAsia" w:ascii="黑体" w:hAnsi="黑体" w:eastAsia="黑体" w:cs="黑体"/>
          <w:sz w:val="52"/>
          <w:szCs w:val="52"/>
        </w:rPr>
      </w:pPr>
      <w:bookmarkStart w:id="16" w:name="_Toc4672"/>
    </w:p>
    <w:p w14:paraId="21BC1585">
      <w:pPr>
        <w:pStyle w:val="9"/>
        <w:shd w:val="clear" w:color="auto" w:fill="FFFFFF"/>
        <w:ind w:firstLine="1044" w:firstLineChars="200"/>
        <w:outlineLvl w:val="9"/>
        <w:rPr>
          <w:rStyle w:val="12"/>
          <w:rFonts w:hint="eastAsia" w:ascii="黑体" w:hAnsi="黑体" w:eastAsia="黑体" w:cs="黑体"/>
          <w:sz w:val="52"/>
          <w:szCs w:val="52"/>
        </w:rPr>
      </w:pPr>
    </w:p>
    <w:p w14:paraId="254076C5">
      <w:pPr>
        <w:pStyle w:val="9"/>
        <w:shd w:val="clear" w:color="auto" w:fill="FFFFFF"/>
        <w:ind w:firstLine="1044" w:firstLineChars="200"/>
        <w:outlineLvl w:val="9"/>
        <w:rPr>
          <w:rStyle w:val="12"/>
          <w:rFonts w:hint="eastAsia" w:ascii="黑体" w:hAnsi="黑体" w:eastAsia="黑体" w:cs="黑体"/>
          <w:sz w:val="52"/>
          <w:szCs w:val="52"/>
        </w:rPr>
      </w:pPr>
    </w:p>
    <w:p w14:paraId="46070867">
      <w:pPr>
        <w:pStyle w:val="9"/>
        <w:shd w:val="clear" w:color="auto" w:fill="FFFFFF"/>
        <w:ind w:firstLine="1566" w:firstLineChars="300"/>
        <w:outlineLvl w:val="0"/>
        <w:rPr>
          <w:rFonts w:hint="eastAsia" w:ascii="黑体" w:hAnsi="黑体" w:eastAsia="黑体" w:cs="黑体"/>
          <w:sz w:val="52"/>
          <w:szCs w:val="52"/>
        </w:rPr>
      </w:pPr>
      <w:bookmarkStart w:id="17" w:name="_Toc19224"/>
      <w:r>
        <w:rPr>
          <w:rStyle w:val="12"/>
          <w:rFonts w:hint="eastAsia" w:ascii="黑体" w:hAnsi="黑体" w:eastAsia="黑体" w:cs="黑体"/>
          <w:sz w:val="52"/>
          <w:szCs w:val="52"/>
        </w:rPr>
        <w:t>第五部分 附表</w:t>
      </w:r>
      <w:bookmarkEnd w:id="16"/>
      <w:bookmarkEnd w:id="17"/>
    </w:p>
    <w:p w14:paraId="07D54E66">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一、收入支出决算总表</w:t>
      </w:r>
    </w:p>
    <w:p w14:paraId="10B181F1">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二、收入决算表</w:t>
      </w:r>
    </w:p>
    <w:p w14:paraId="640E011B">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三、支出决算表</w:t>
      </w:r>
    </w:p>
    <w:p w14:paraId="341C1F0C">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四、财政拨款收入支出决算总表</w:t>
      </w:r>
    </w:p>
    <w:p w14:paraId="3157A781">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五、财政拨款支出决算明细表</w:t>
      </w:r>
    </w:p>
    <w:p w14:paraId="1D4CD71C">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六、一般公共预算财政拨款支出决算表</w:t>
      </w:r>
    </w:p>
    <w:p w14:paraId="7E666E74">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七、一般公共预算财政拨款支出决算明细表</w:t>
      </w:r>
    </w:p>
    <w:p w14:paraId="34D3ACE1">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八、一般公共预算财政拨款基本支出决算表</w:t>
      </w:r>
    </w:p>
    <w:p w14:paraId="7AB20C89">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九、一般公共预算财政拨款项目支出决算表</w:t>
      </w:r>
    </w:p>
    <w:p w14:paraId="1EEC4969">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十、政府性基金预算财政拨款收入支出决算表</w:t>
      </w:r>
    </w:p>
    <w:p w14:paraId="3113562F">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十一、国有资本经营预算财政拨款收入支出决算表</w:t>
      </w:r>
    </w:p>
    <w:p w14:paraId="210D811A">
      <w:pPr>
        <w:pStyle w:val="3"/>
        <w:shd w:val="clear" w:color="auto" w:fill="FFFFFF"/>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十二、国有资本经营预算财政拨款支出决算表</w:t>
      </w:r>
    </w:p>
    <w:p w14:paraId="379F2E04">
      <w:pPr>
        <w:pStyle w:val="3"/>
        <w:shd w:val="clear" w:color="auto" w:fill="FFFFFF"/>
      </w:pPr>
      <w:r>
        <w:rPr>
          <w:rFonts w:hint="eastAsia" w:asciiTheme="minorEastAsia" w:hAnsiTheme="minorEastAsia" w:eastAsiaTheme="minorEastAsia" w:cstheme="minorEastAsia"/>
          <w:sz w:val="32"/>
          <w:szCs w:val="32"/>
        </w:rPr>
        <w:t>十三、财政拨款“三公”经费支出决</w:t>
      </w:r>
      <w:r>
        <w:t>算表</w:t>
      </w:r>
    </w:p>
    <w:sectPr>
      <w:pgSz w:w="11907" w:h="16840"/>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汉仪细圆B5">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6FFD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4166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B4166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C52C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3196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583196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5BC15"/>
    <w:multiLevelType w:val="singleLevel"/>
    <w:tmpl w:val="A575BC15"/>
    <w:lvl w:ilvl="0" w:tentative="0">
      <w:start w:val="1"/>
      <w:numFmt w:val="chineseCounting"/>
      <w:suff w:val="nothing"/>
      <w:lvlText w:val="%1、"/>
      <w:lvlJc w:val="left"/>
      <w:rPr>
        <w:rFonts w:hint="eastAsia"/>
      </w:rPr>
    </w:lvl>
  </w:abstractNum>
  <w:abstractNum w:abstractNumId="1">
    <w:nsid w:val="A871FFB6"/>
    <w:multiLevelType w:val="singleLevel"/>
    <w:tmpl w:val="A871FFB6"/>
    <w:lvl w:ilvl="0" w:tentative="0">
      <w:start w:val="2"/>
      <w:numFmt w:val="chineseCounting"/>
      <w:suff w:val="nothing"/>
      <w:lvlText w:val="（%1）"/>
      <w:lvlJc w:val="left"/>
      <w:pPr>
        <w:ind w:left="-640"/>
      </w:pPr>
      <w:rPr>
        <w:rFonts w:hint="eastAsia"/>
      </w:rPr>
    </w:lvl>
  </w:abstractNum>
  <w:abstractNum w:abstractNumId="2">
    <w:nsid w:val="CA5F89B0"/>
    <w:multiLevelType w:val="singleLevel"/>
    <w:tmpl w:val="CA5F89B0"/>
    <w:lvl w:ilvl="0" w:tentative="0">
      <w:start w:val="2"/>
      <w:numFmt w:val="chineseCounting"/>
      <w:suff w:val="nothing"/>
      <w:lvlText w:val="（%1）"/>
      <w:lvlJc w:val="left"/>
      <w:rPr>
        <w:rFonts w:hint="eastAsia"/>
      </w:rPr>
    </w:lvl>
  </w:abstractNum>
  <w:abstractNum w:abstractNumId="3">
    <w:nsid w:val="CA884C4F"/>
    <w:multiLevelType w:val="singleLevel"/>
    <w:tmpl w:val="CA884C4F"/>
    <w:lvl w:ilvl="0" w:tentative="0">
      <w:start w:val="2"/>
      <w:numFmt w:val="chineseCounting"/>
      <w:suff w:val="nothing"/>
      <w:lvlText w:val="（%1）"/>
      <w:lvlJc w:val="left"/>
      <w:rPr>
        <w:rFonts w:hint="eastAsia"/>
      </w:rPr>
    </w:lvl>
  </w:abstractNum>
  <w:abstractNum w:abstractNumId="4">
    <w:nsid w:val="D442F5A2"/>
    <w:multiLevelType w:val="singleLevel"/>
    <w:tmpl w:val="D442F5A2"/>
    <w:lvl w:ilvl="0" w:tentative="0">
      <w:start w:val="3"/>
      <w:numFmt w:val="chineseCounting"/>
      <w:suff w:val="nothing"/>
      <w:lvlText w:val="%1、"/>
      <w:lvlJc w:val="left"/>
      <w:rPr>
        <w:rFonts w:hint="eastAsia"/>
      </w:rPr>
    </w:lvl>
  </w:abstractNum>
  <w:abstractNum w:abstractNumId="5">
    <w:nsid w:val="E0C71C04"/>
    <w:multiLevelType w:val="singleLevel"/>
    <w:tmpl w:val="E0C71C04"/>
    <w:lvl w:ilvl="0" w:tentative="0">
      <w:start w:val="3"/>
      <w:numFmt w:val="chineseCounting"/>
      <w:suff w:val="nothing"/>
      <w:lvlText w:val="%1、"/>
      <w:lvlJc w:val="left"/>
      <w:rPr>
        <w:rFonts w:hint="eastAsia"/>
      </w:rPr>
    </w:lvl>
  </w:abstractNum>
  <w:abstractNum w:abstractNumId="6">
    <w:nsid w:val="E351A8CF"/>
    <w:multiLevelType w:val="singleLevel"/>
    <w:tmpl w:val="E351A8CF"/>
    <w:lvl w:ilvl="0" w:tentative="0">
      <w:start w:val="2"/>
      <w:numFmt w:val="decimal"/>
      <w:suff w:val="nothing"/>
      <w:lvlText w:val="%1．"/>
      <w:lvlJc w:val="left"/>
    </w:lvl>
  </w:abstractNum>
  <w:abstractNum w:abstractNumId="7">
    <w:nsid w:val="E6E6822E"/>
    <w:multiLevelType w:val="singleLevel"/>
    <w:tmpl w:val="E6E6822E"/>
    <w:lvl w:ilvl="0" w:tentative="0">
      <w:start w:val="4"/>
      <w:numFmt w:val="chineseCounting"/>
      <w:suff w:val="space"/>
      <w:lvlText w:val="第%1部分"/>
      <w:lvlJc w:val="left"/>
      <w:rPr>
        <w:rFonts w:hint="eastAsia"/>
      </w:rPr>
    </w:lvl>
  </w:abstractNum>
  <w:abstractNum w:abstractNumId="8">
    <w:nsid w:val="F9396728"/>
    <w:multiLevelType w:val="singleLevel"/>
    <w:tmpl w:val="F9396728"/>
    <w:lvl w:ilvl="0" w:tentative="0">
      <w:start w:val="2"/>
      <w:numFmt w:val="chineseCounting"/>
      <w:suff w:val="nothing"/>
      <w:lvlText w:val="（%1）"/>
      <w:lvlJc w:val="left"/>
      <w:rPr>
        <w:rFonts w:hint="eastAsia"/>
      </w:rPr>
    </w:lvl>
  </w:abstractNum>
  <w:abstractNum w:abstractNumId="9">
    <w:nsid w:val="000ECC92"/>
    <w:multiLevelType w:val="singleLevel"/>
    <w:tmpl w:val="000ECC92"/>
    <w:lvl w:ilvl="0" w:tentative="0">
      <w:start w:val="1"/>
      <w:numFmt w:val="chineseCounting"/>
      <w:suff w:val="nothing"/>
      <w:lvlText w:val="（%1）"/>
      <w:lvlJc w:val="left"/>
      <w:pPr>
        <w:ind w:left="17" w:hanging="17"/>
      </w:pPr>
      <w:rPr>
        <w:rFonts w:hint="eastAsia"/>
      </w:rPr>
    </w:lvl>
  </w:abstractNum>
  <w:abstractNum w:abstractNumId="10">
    <w:nsid w:val="0A89AEAE"/>
    <w:multiLevelType w:val="singleLevel"/>
    <w:tmpl w:val="0A89AEAE"/>
    <w:lvl w:ilvl="0" w:tentative="0">
      <w:start w:val="1"/>
      <w:numFmt w:val="chineseCounting"/>
      <w:suff w:val="nothing"/>
      <w:lvlText w:val="（%1）"/>
      <w:lvlJc w:val="left"/>
      <w:rPr>
        <w:rFonts w:hint="eastAsia"/>
      </w:rPr>
    </w:lvl>
  </w:abstractNum>
  <w:abstractNum w:abstractNumId="11">
    <w:nsid w:val="26E209DA"/>
    <w:multiLevelType w:val="singleLevel"/>
    <w:tmpl w:val="26E209DA"/>
    <w:lvl w:ilvl="0" w:tentative="0">
      <w:start w:val="2"/>
      <w:numFmt w:val="chineseCounting"/>
      <w:suff w:val="nothing"/>
      <w:lvlText w:val="（%1）"/>
      <w:lvlJc w:val="left"/>
      <w:pPr>
        <w:ind w:left="-640"/>
      </w:pPr>
      <w:rPr>
        <w:rFonts w:hint="eastAsia"/>
      </w:rPr>
    </w:lvl>
  </w:abstractNum>
  <w:abstractNum w:abstractNumId="12">
    <w:nsid w:val="324CA98D"/>
    <w:multiLevelType w:val="singleLevel"/>
    <w:tmpl w:val="324CA98D"/>
    <w:lvl w:ilvl="0" w:tentative="0">
      <w:start w:val="2"/>
      <w:numFmt w:val="chineseCounting"/>
      <w:suff w:val="nothing"/>
      <w:lvlText w:val="%1、"/>
      <w:lvlJc w:val="left"/>
      <w:rPr>
        <w:rFonts w:hint="eastAsia"/>
      </w:rPr>
    </w:lvl>
  </w:abstractNum>
  <w:num w:numId="1">
    <w:abstractNumId w:val="0"/>
  </w:num>
  <w:num w:numId="2">
    <w:abstractNumId w:val="10"/>
  </w:num>
  <w:num w:numId="3">
    <w:abstractNumId w:val="7"/>
  </w:num>
  <w:num w:numId="4">
    <w:abstractNumId w:val="12"/>
  </w:num>
  <w:num w:numId="5">
    <w:abstractNumId w:val="11"/>
  </w:num>
  <w:num w:numId="6">
    <w:abstractNumId w:val="5"/>
  </w:num>
  <w:num w:numId="7">
    <w:abstractNumId w:val="8"/>
  </w:num>
  <w:num w:numId="8">
    <w:abstractNumId w:val="1"/>
  </w:num>
  <w:num w:numId="9">
    <w:abstractNumId w:val="6"/>
  </w:num>
  <w:num w:numId="10">
    <w:abstractNumId w:val="3"/>
  </w:num>
  <w:num w:numId="11">
    <w:abstractNumId w:val="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SnapToGridInCell/>
    <w:doNotWrapTextWithPunct/>
    <w:doNotUseEastAsianBreakRules/>
    <w:growAutofit/>
    <w:useFELayout/>
    <w:doNotUseIndentAsNumberingTabStop/>
    <w:compatSetting w:name="compatibilityMode" w:uri="http://schemas.microsoft.com/office/word" w:val="14"/>
  </w:compat>
  <w:docVars>
    <w:docVar w:name="commondata" w:val="eyJoZGlkIjoiYjQ3MGY2ZTFjZWJmZDNlNjJlODE0OGMwYjNhMzI3MDkifQ=="/>
  </w:docVars>
  <w:rsids>
    <w:rsidRoot w:val="007E6D15"/>
    <w:rsid w:val="00556D8C"/>
    <w:rsid w:val="007E6D15"/>
    <w:rsid w:val="166D14E3"/>
    <w:rsid w:val="1E1D0FDB"/>
    <w:rsid w:val="2603435B"/>
    <w:rsid w:val="488D5D96"/>
    <w:rsid w:val="49CB1CFD"/>
    <w:rsid w:val="4C950BB4"/>
    <w:rsid w:val="4FE71192"/>
    <w:rsid w:val="567E100A"/>
    <w:rsid w:val="5ECC7329"/>
    <w:rsid w:val="5F0D0843"/>
    <w:rsid w:val="62A42602"/>
    <w:rsid w:val="62E264AB"/>
    <w:rsid w:val="68B11915"/>
    <w:rsid w:val="6F1F4F9E"/>
    <w:rsid w:val="741236BC"/>
    <w:rsid w:val="761050D9"/>
    <w:rsid w:val="773A0DE5"/>
    <w:rsid w:val="7DC30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link w:val="13"/>
    <w:qFormat/>
    <w:uiPriority w:val="9"/>
    <w:pPr>
      <w:spacing w:before="100" w:beforeAutospacing="1" w:after="100" w:afterAutospacing="1"/>
      <w:outlineLvl w:val="0"/>
    </w:pPr>
    <w:rPr>
      <w:b/>
      <w:bCs/>
      <w:kern w:val="36"/>
      <w:sz w:val="48"/>
      <w:szCs w:val="48"/>
    </w:rPr>
  </w:style>
  <w:style w:type="paragraph" w:styleId="3">
    <w:name w:val="heading 2"/>
    <w:basedOn w:val="1"/>
    <w:next w:val="1"/>
    <w:link w:val="14"/>
    <w:qFormat/>
    <w:uiPriority w:val="9"/>
    <w:pPr>
      <w:spacing w:before="100" w:beforeAutospacing="1" w:after="100" w:afterAutospacing="1"/>
      <w:outlineLvl w:val="1"/>
    </w:pPr>
    <w:rPr>
      <w:b/>
      <w:bCs/>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0"/>
    <w:pPr>
      <w:spacing w:after="120"/>
      <w:ind w:left="200" w:leftChars="200"/>
    </w:pPr>
  </w:style>
  <w:style w:type="paragraph" w:styleId="5">
    <w:name w:val="Body Text First Indent 2"/>
    <w:basedOn w:val="4"/>
    <w:next w:val="1"/>
    <w:qFormat/>
    <w:uiPriority w:val="0"/>
    <w:pPr>
      <w:ind w:firstLine="200" w:firstLineChars="200"/>
    </w:p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semiHidden/>
    <w:unhideWhenUsed/>
    <w:qFormat/>
    <w:uiPriority w:val="39"/>
  </w:style>
  <w:style w:type="paragraph" w:styleId="9">
    <w:name w:val="Normal (Web)"/>
    <w:basedOn w:val="1"/>
    <w:semiHidden/>
    <w:unhideWhenUsed/>
    <w:qFormat/>
    <w:uiPriority w:val="99"/>
    <w:pPr>
      <w:spacing w:before="100" w:beforeAutospacing="1" w:after="100" w:afterAutospacing="1"/>
    </w:pPr>
  </w:style>
  <w:style w:type="character" w:styleId="12">
    <w:name w:val="Strong"/>
    <w:basedOn w:val="11"/>
    <w:qFormat/>
    <w:uiPriority w:val="22"/>
    <w:rPr>
      <w:b/>
      <w:bCs/>
    </w:rPr>
  </w:style>
  <w:style w:type="character" w:customStyle="1" w:styleId="13">
    <w:name w:val="标题 1 Char"/>
    <w:basedOn w:val="11"/>
    <w:link w:val="2"/>
    <w:qFormat/>
    <w:uiPriority w:val="9"/>
    <w:rPr>
      <w:rFonts w:ascii="宋体" w:hAnsi="宋体" w:eastAsia="宋体" w:cs="宋体"/>
      <w:b/>
      <w:bCs/>
      <w:kern w:val="44"/>
      <w:sz w:val="44"/>
      <w:szCs w:val="44"/>
    </w:rPr>
  </w:style>
  <w:style w:type="character" w:customStyle="1" w:styleId="14">
    <w:name w:val="标题 2 Char"/>
    <w:basedOn w:val="11"/>
    <w:link w:val="3"/>
    <w:semiHidden/>
    <w:qFormat/>
    <w:uiPriority w:val="9"/>
    <w:rPr>
      <w:rFonts w:asciiTheme="majorHAnsi" w:hAnsiTheme="majorHAnsi" w:eastAsiaTheme="majorEastAsia" w:cstheme="majorBidi"/>
      <w:b/>
      <w:bCs/>
      <w:sz w:val="32"/>
      <w:szCs w:val="32"/>
    </w:rPr>
  </w:style>
  <w:style w:type="paragraph" w:customStyle="1" w:styleId="1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character" w:customStyle="1" w:styleId="19">
    <w:name w:val="font101"/>
    <w:basedOn w:val="11"/>
    <w:qFormat/>
    <w:uiPriority w:val="0"/>
    <w:rPr>
      <w:rFonts w:hint="eastAsia" w:ascii="宋体" w:hAnsi="宋体" w:eastAsia="宋体" w:cs="宋体"/>
      <w:color w:val="000000"/>
      <w:sz w:val="24"/>
      <w:szCs w:val="24"/>
      <w:u w:val="none"/>
    </w:rPr>
  </w:style>
  <w:style w:type="character" w:customStyle="1" w:styleId="20">
    <w:name w:val="font111"/>
    <w:basedOn w:val="11"/>
    <w:qFormat/>
    <w:uiPriority w:val="0"/>
    <w:rPr>
      <w:rFonts w:ascii="汉仪细圆B5" w:hAnsi="汉仪细圆B5" w:eastAsia="汉仪细圆B5" w:cs="汉仪细圆B5"/>
      <w:color w:val="000000"/>
      <w:sz w:val="24"/>
      <w:szCs w:val="24"/>
      <w:u w:val="none"/>
    </w:rPr>
  </w:style>
  <w:style w:type="character" w:customStyle="1" w:styleId="21">
    <w:name w:val="font31"/>
    <w:basedOn w:val="11"/>
    <w:qFormat/>
    <w:uiPriority w:val="0"/>
    <w:rPr>
      <w:rFonts w:hint="eastAsia" w:ascii="等线" w:hAnsi="等线" w:eastAsia="等线" w:cs="等线"/>
      <w:b/>
      <w:bCs/>
      <w:color w:val="000000"/>
      <w:sz w:val="22"/>
      <w:szCs w:val="22"/>
      <w:u w:val="none"/>
    </w:rPr>
  </w:style>
  <w:style w:type="character" w:customStyle="1" w:styleId="22">
    <w:name w:val="font21"/>
    <w:basedOn w:val="11"/>
    <w:qFormat/>
    <w:uiPriority w:val="0"/>
    <w:rPr>
      <w:rFonts w:hint="eastAsia" w:ascii="宋体" w:hAnsi="宋体" w:eastAsia="宋体" w:cs="宋体"/>
      <w:b/>
      <w:bCs/>
      <w:color w:val="000000"/>
      <w:sz w:val="22"/>
      <w:szCs w:val="22"/>
      <w:u w:val="none"/>
    </w:rPr>
  </w:style>
  <w:style w:type="character" w:customStyle="1" w:styleId="23">
    <w:name w:val="font01"/>
    <w:basedOn w:val="11"/>
    <w:qFormat/>
    <w:uiPriority w:val="0"/>
    <w:rPr>
      <w:rFonts w:hint="eastAsia" w:ascii="宋体" w:hAnsi="宋体" w:eastAsia="宋体" w:cs="宋体"/>
      <w:color w:val="000000"/>
      <w:sz w:val="22"/>
      <w:szCs w:val="22"/>
      <w:u w:val="none"/>
    </w:rPr>
  </w:style>
  <w:style w:type="character" w:customStyle="1" w:styleId="24">
    <w:name w:val="font61"/>
    <w:basedOn w:val="11"/>
    <w:qFormat/>
    <w:uiPriority w:val="0"/>
    <w:rPr>
      <w:rFonts w:ascii="汉仪细圆B5" w:hAnsi="汉仪细圆B5" w:eastAsia="汉仪细圆B5" w:cs="汉仪细圆B5"/>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42</Pages>
  <Words>5976</Words>
  <Characters>6691</Characters>
  <Lines>44</Lines>
  <Paragraphs>12</Paragraphs>
  <TotalTime>1</TotalTime>
  <ScaleCrop>false</ScaleCrop>
  <LinksUpToDate>false</LinksUpToDate>
  <CharactersWithSpaces>6792</CharactersWithSpaces>
  <Application>WPS Office_12.1.0.20305_F1E327BC-269C-435d-A152-05C5408002CA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2023-09-27T08:23:00Z</dcterms:created>
  <dc:creator>dell</dc:creator>
  <cp:lastModifiedBy>帅裂苍穹的帅</cp:lastModifiedBy>
  <dcterms:modified xsi:type="dcterms:W3CDTF">2025-04-09T06:46:43Z</dcterms:modified>
  <dc:title>2022年单位决算公开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007FB76E56A64335B1EDE4C672658DEF_12</vt:lpwstr>
  </property>
  <property fmtid="{D5CDD505-2E9C-101B-9397-08002B2CF9AE}" pid="4" name="KSOTemplateDocerSaveRecord">
    <vt:lpwstr>eyJoZGlkIjoiYTczNWRkN2M4MzI5NGNjMzhmMjhhOWZhZjQ5ZDk2ZDYiLCJ1c2VySWQiOiI0MTA2NTQxOTcifQ==</vt:lpwstr>
  </property>
</Properties>
</file>