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7D8E3">
      <w:pPr>
        <w:pStyle w:val="10"/>
        <w:shd w:val="clear" w:color="auto" w:fill="FFFFFF"/>
        <w:jc w:val="center"/>
        <w:rPr>
          <w:rFonts w:hint="default" w:ascii="黑体" w:hAnsi="黑体" w:eastAsia="黑体" w:cs="黑体"/>
          <w:sz w:val="52"/>
          <w:szCs w:val="52"/>
          <w:lang w:val="en-US" w:eastAsia="zh-CN"/>
        </w:rPr>
      </w:pPr>
    </w:p>
    <w:p w14:paraId="26C3C64F">
      <w:pPr>
        <w:pStyle w:val="10"/>
        <w:shd w:val="clear" w:color="auto" w:fill="FFFFFF"/>
        <w:jc w:val="center"/>
        <w:rPr>
          <w:rFonts w:hint="eastAsia" w:ascii="黑体" w:hAnsi="黑体" w:eastAsia="黑体" w:cs="黑体"/>
          <w:sz w:val="52"/>
          <w:szCs w:val="52"/>
        </w:rPr>
      </w:pPr>
    </w:p>
    <w:p w14:paraId="6748EBB5">
      <w:pPr>
        <w:pStyle w:val="10"/>
        <w:shd w:val="clear" w:color="auto" w:fill="FFFFFF"/>
        <w:jc w:val="center"/>
        <w:rPr>
          <w:rFonts w:hint="eastAsia" w:ascii="黑体" w:hAnsi="黑体" w:eastAsia="黑体" w:cs="黑体"/>
          <w:sz w:val="52"/>
          <w:szCs w:val="52"/>
        </w:rPr>
      </w:pPr>
      <w:r>
        <w:rPr>
          <w:rFonts w:hint="eastAsia" w:ascii="黑体" w:hAnsi="黑体" w:eastAsia="黑体" w:cs="黑体"/>
          <w:sz w:val="52"/>
          <w:szCs w:val="52"/>
        </w:rPr>
        <w:t>2022年度</w:t>
      </w:r>
    </w:p>
    <w:p w14:paraId="775260AA">
      <w:pPr>
        <w:pStyle w:val="10"/>
        <w:shd w:val="clear" w:color="auto" w:fill="FFFFFF"/>
        <w:jc w:val="center"/>
        <w:outlineLvl w:val="0"/>
        <w:rPr>
          <w:rFonts w:hint="eastAsia" w:ascii="黑体" w:hAnsi="黑体" w:eastAsia="黑体" w:cs="黑体"/>
          <w:sz w:val="52"/>
          <w:szCs w:val="52"/>
        </w:rPr>
      </w:pPr>
      <w:bookmarkStart w:id="0" w:name="_Toc16670"/>
      <w:r>
        <w:rPr>
          <w:rFonts w:hint="eastAsia" w:ascii="黑体" w:hAnsi="黑体" w:eastAsia="黑体" w:cs="黑体"/>
          <w:sz w:val="52"/>
          <w:szCs w:val="52"/>
        </w:rPr>
        <w:t>四川省阿坝州九寨沟县</w:t>
      </w:r>
      <w:bookmarkEnd w:id="0"/>
    </w:p>
    <w:p w14:paraId="49943FC8">
      <w:pPr>
        <w:pStyle w:val="10"/>
        <w:shd w:val="clear" w:color="auto" w:fill="FFFFFF"/>
        <w:jc w:val="center"/>
        <w:outlineLvl w:val="0"/>
      </w:pPr>
      <w:bookmarkStart w:id="1" w:name="_Toc5392"/>
      <w:r>
        <w:rPr>
          <w:rFonts w:hint="eastAsia" w:ascii="黑体" w:hAnsi="黑体" w:eastAsia="黑体" w:cs="黑体"/>
          <w:sz w:val="52"/>
          <w:szCs w:val="52"/>
        </w:rPr>
        <w:t>财政国库支付中心部门决算</w:t>
      </w:r>
      <w:bookmarkEnd w:id="1"/>
    </w:p>
    <w:p w14:paraId="05A3AAFE">
      <w:pPr>
        <w:pStyle w:val="10"/>
        <w:shd w:val="clear" w:color="auto" w:fill="FFFFFF"/>
        <w:jc w:val="center"/>
      </w:pPr>
      <w:r>
        <w:t> </w:t>
      </w:r>
    </w:p>
    <w:p w14:paraId="30AEF818">
      <w:pPr>
        <w:pStyle w:val="10"/>
        <w:shd w:val="clear" w:color="auto" w:fill="FFFFFF"/>
        <w:jc w:val="center"/>
      </w:pPr>
      <w:r>
        <w:t> </w:t>
      </w:r>
    </w:p>
    <w:p w14:paraId="50925B2D">
      <w:pPr>
        <w:pStyle w:val="10"/>
        <w:shd w:val="clear" w:color="auto" w:fill="FFFFFF"/>
        <w:jc w:val="center"/>
      </w:pPr>
      <w:r>
        <w:t> </w:t>
      </w:r>
    </w:p>
    <w:p w14:paraId="6480DE1B">
      <w:pPr>
        <w:pStyle w:val="10"/>
        <w:shd w:val="clear" w:color="auto" w:fill="FFFFFF"/>
        <w:jc w:val="center"/>
      </w:pPr>
      <w:r>
        <w:t> </w:t>
      </w:r>
    </w:p>
    <w:p w14:paraId="4311B173">
      <w:pPr>
        <w:pStyle w:val="10"/>
        <w:shd w:val="clear" w:color="auto" w:fill="FFFFFF"/>
        <w:jc w:val="center"/>
      </w:pPr>
      <w:r>
        <w:t> </w:t>
      </w:r>
    </w:p>
    <w:p w14:paraId="3B395050">
      <w:pPr>
        <w:pStyle w:val="10"/>
        <w:shd w:val="clear" w:color="auto" w:fill="FFFFFF"/>
        <w:jc w:val="center"/>
      </w:pPr>
      <w:r>
        <w:t> </w:t>
      </w:r>
    </w:p>
    <w:p w14:paraId="1923A69E">
      <w:pPr>
        <w:pStyle w:val="10"/>
        <w:shd w:val="clear" w:color="auto" w:fill="FFFFFF"/>
        <w:jc w:val="center"/>
      </w:pPr>
      <w:r>
        <w:t> </w:t>
      </w:r>
    </w:p>
    <w:p w14:paraId="37668DFE">
      <w:pPr>
        <w:pStyle w:val="10"/>
        <w:shd w:val="clear" w:color="auto" w:fill="FFFFFF"/>
        <w:jc w:val="center"/>
      </w:pPr>
      <w:r>
        <w:t>已经保密审查、内容审定，同意对外公开</w:t>
      </w:r>
    </w:p>
    <w:p w14:paraId="200630D4">
      <w:pPr>
        <w:pStyle w:val="10"/>
        <w:shd w:val="clear" w:color="auto" w:fill="FFFFFF"/>
      </w:pPr>
      <w:r>
        <w:t> </w:t>
      </w:r>
    </w:p>
    <w:p w14:paraId="46DAAC56">
      <w:pPr>
        <w:pStyle w:val="10"/>
        <w:shd w:val="clear" w:color="auto" w:fill="FFFFFF"/>
      </w:pPr>
      <w:r>
        <w:t> </w:t>
      </w:r>
    </w:p>
    <w:p w14:paraId="5E919864">
      <w:pPr>
        <w:pStyle w:val="10"/>
        <w:shd w:val="clear" w:color="auto" w:fill="FFFFFF"/>
        <w:jc w:val="center"/>
      </w:pPr>
      <w:r>
        <w:t> </w:t>
      </w:r>
    </w:p>
    <w:p w14:paraId="69CA61D3">
      <w:pPr>
        <w:pStyle w:val="10"/>
        <w:shd w:val="clear" w:color="auto" w:fill="FFFFFF"/>
      </w:pPr>
      <w:r>
        <w:t> </w:t>
      </w:r>
    </w:p>
    <w:p w14:paraId="5594EFEE">
      <w:pPr>
        <w:pStyle w:val="10"/>
        <w:shd w:val="clear" w:color="auto" w:fill="FFFFFF"/>
        <w:jc w:val="center"/>
      </w:pPr>
      <w:r>
        <w:t> </w:t>
      </w:r>
    </w:p>
    <w:p w14:paraId="1B5941B5">
      <w:pPr>
        <w:pStyle w:val="10"/>
        <w:shd w:val="clear" w:color="auto" w:fill="FFFFFF"/>
        <w:jc w:val="center"/>
      </w:pPr>
      <w:r>
        <w:t> </w:t>
      </w:r>
    </w:p>
    <w:p w14:paraId="532A2277">
      <w:pPr>
        <w:pStyle w:val="10"/>
        <w:shd w:val="clear" w:color="auto" w:fill="FFFFFF"/>
        <w:jc w:val="center"/>
      </w:pPr>
      <w:r>
        <w:t> </w:t>
      </w:r>
    </w:p>
    <w:p w14:paraId="1D621205">
      <w:pPr>
        <w:pStyle w:val="10"/>
        <w:shd w:val="clear" w:color="auto" w:fill="FFFFFF"/>
        <w:jc w:val="center"/>
        <w:rPr>
          <w:sz w:val="52"/>
          <w:szCs w:val="52"/>
        </w:rPr>
      </w:pPr>
      <w:r>
        <w:rPr/>
        <w:br w:type="textWrapping" w:clear="all"/>
      </w:r>
      <w:r>
        <w:rPr>
          <w:sz w:val="52"/>
          <w:szCs w:val="52"/>
        </w:rPr>
        <w:t>目</w:t>
      </w:r>
      <w:r>
        <w:rPr>
          <w:rFonts w:hint="eastAsia"/>
          <w:sz w:val="52"/>
          <w:szCs w:val="52"/>
          <w:lang w:val="en-US" w:eastAsia="zh-CN"/>
        </w:rPr>
        <w:t xml:space="preserve"> </w:t>
      </w:r>
      <w:r>
        <w:rPr>
          <w:sz w:val="52"/>
          <w:szCs w:val="52"/>
        </w:rPr>
        <w:t>录</w:t>
      </w:r>
    </w:p>
    <w:p w14:paraId="0BC38D5A">
      <w:pPr>
        <w:pStyle w:val="10"/>
        <w:shd w:val="clear" w:color="auto" w:fill="FFFFFF"/>
        <w:jc w:val="center"/>
      </w:pPr>
      <w:r>
        <w:t>公开时间：2023年</w:t>
      </w:r>
      <w:r>
        <w:rPr>
          <w:rFonts w:hint="eastAsia"/>
          <w:lang w:val="en-US" w:eastAsia="zh-CN"/>
        </w:rPr>
        <w:t>9</w:t>
      </w:r>
      <w:r>
        <w:t>月</w:t>
      </w:r>
    </w:p>
    <w:p w14:paraId="5FFB438F">
      <w:pPr>
        <w:pStyle w:val="10"/>
        <w:shd w:val="clear" w:color="auto" w:fill="FFFFFF"/>
        <w:jc w:val="center"/>
      </w:pPr>
    </w:p>
    <w:sdt>
      <w:sdtPr>
        <w:rPr>
          <w:rFonts w:ascii="宋体" w:hAnsi="宋体" w:eastAsia="宋体" w:cs="宋体"/>
          <w:sz w:val="21"/>
          <w:szCs w:val="24"/>
          <w:lang w:val="en-US" w:eastAsia="zh-CN" w:bidi="ar-SA"/>
        </w:rPr>
        <w:id w:val="147465947"/>
        <w15:color w:val="DBDBDB"/>
        <w:docPartObj>
          <w:docPartGallery w:val="Table of Contents"/>
          <w:docPartUnique/>
        </w:docPartObj>
      </w:sdtPr>
      <w:sdtEndPr>
        <w:rPr>
          <w:rFonts w:ascii="宋体" w:hAnsi="宋体" w:eastAsia="宋体" w:cs="宋体"/>
          <w:sz w:val="24"/>
          <w:szCs w:val="24"/>
          <w:lang w:val="en-US" w:eastAsia="zh-CN" w:bidi="ar-SA"/>
        </w:rPr>
      </w:sdtEndPr>
      <w:sdtContent>
        <w:p w14:paraId="7619A099">
          <w:pPr>
            <w:spacing w:before="0" w:beforeLines="0" w:after="0" w:afterLines="0" w:line="240" w:lineRule="auto"/>
            <w:ind w:left="0" w:leftChars="0" w:right="0" w:rightChars="0" w:firstLine="0" w:firstLineChars="0"/>
            <w:jc w:val="center"/>
          </w:pPr>
        </w:p>
        <w:p w14:paraId="0BFEAEBE">
          <w:pPr>
            <w:pStyle w:val="9"/>
            <w:tabs>
              <w:tab w:val="right" w:leader="dot" w:pos="8307"/>
            </w:tabs>
          </w:pPr>
          <w:r>
            <w:fldChar w:fldCharType="begin"/>
          </w:r>
          <w:r>
            <w:instrText xml:space="preserve">TOC \o "1-1" \h \u </w:instrText>
          </w:r>
          <w:r>
            <w:fldChar w:fldCharType="separate"/>
          </w:r>
          <w:r>
            <w:fldChar w:fldCharType="begin"/>
          </w:r>
          <w:r>
            <w:instrText xml:space="preserve"> HYPERLINK \l _Toc16670 </w:instrText>
          </w:r>
          <w:r>
            <w:fldChar w:fldCharType="separate"/>
          </w:r>
          <w:r>
            <w:rPr>
              <w:rFonts w:hint="eastAsia" w:ascii="黑体" w:hAnsi="黑体" w:eastAsia="黑体" w:cs="黑体"/>
              <w:szCs w:val="52"/>
            </w:rPr>
            <w:t>四川省阿坝州九寨沟县</w:t>
          </w:r>
          <w:r>
            <w:tab/>
          </w:r>
          <w:r>
            <w:fldChar w:fldCharType="begin"/>
          </w:r>
          <w:r>
            <w:instrText xml:space="preserve"> PAGEREF _Toc16670 \h </w:instrText>
          </w:r>
          <w:r>
            <w:fldChar w:fldCharType="separate"/>
          </w:r>
          <w:r>
            <w:t>1</w:t>
          </w:r>
          <w:r>
            <w:fldChar w:fldCharType="end"/>
          </w:r>
          <w:r>
            <w:fldChar w:fldCharType="end"/>
          </w:r>
        </w:p>
        <w:p w14:paraId="1279EF97">
          <w:pPr>
            <w:pStyle w:val="9"/>
            <w:tabs>
              <w:tab w:val="right" w:leader="dot" w:pos="8307"/>
            </w:tabs>
          </w:pPr>
          <w:r>
            <w:fldChar w:fldCharType="begin"/>
          </w:r>
          <w:r>
            <w:instrText xml:space="preserve"> HYPERLINK \l _Toc5392 </w:instrText>
          </w:r>
          <w:r>
            <w:fldChar w:fldCharType="separate"/>
          </w:r>
          <w:r>
            <w:rPr>
              <w:rFonts w:hint="eastAsia" w:ascii="黑体" w:hAnsi="黑体" w:eastAsia="黑体" w:cs="黑体"/>
              <w:szCs w:val="52"/>
            </w:rPr>
            <w:t>财政国库支付中心部门决算</w:t>
          </w:r>
          <w:r>
            <w:tab/>
          </w:r>
          <w:r>
            <w:fldChar w:fldCharType="begin"/>
          </w:r>
          <w:r>
            <w:instrText xml:space="preserve"> PAGEREF _Toc5392 \h </w:instrText>
          </w:r>
          <w:r>
            <w:fldChar w:fldCharType="separate"/>
          </w:r>
          <w:r>
            <w:t>1</w:t>
          </w:r>
          <w:r>
            <w:fldChar w:fldCharType="end"/>
          </w:r>
          <w:r>
            <w:fldChar w:fldCharType="end"/>
          </w:r>
        </w:p>
        <w:p w14:paraId="1DA0BB92">
          <w:pPr>
            <w:pStyle w:val="9"/>
            <w:tabs>
              <w:tab w:val="right" w:leader="dot" w:pos="8307"/>
            </w:tabs>
          </w:pPr>
          <w:r>
            <w:fldChar w:fldCharType="begin"/>
          </w:r>
          <w:r>
            <w:instrText xml:space="preserve"> HYPERLINK \l _Toc874 </w:instrText>
          </w:r>
          <w:r>
            <w:fldChar w:fldCharType="separate"/>
          </w:r>
          <w:r>
            <w:t>第一部分 部门概况</w:t>
          </w:r>
          <w:r>
            <w:tab/>
          </w:r>
          <w:r>
            <w:fldChar w:fldCharType="begin"/>
          </w:r>
          <w:r>
            <w:instrText xml:space="preserve"> PAGEREF _Toc874 \h </w:instrText>
          </w:r>
          <w:r>
            <w:fldChar w:fldCharType="separate"/>
          </w:r>
          <w:r>
            <w:t>2</w:t>
          </w:r>
          <w:r>
            <w:fldChar w:fldCharType="end"/>
          </w:r>
          <w:r>
            <w:fldChar w:fldCharType="end"/>
          </w:r>
        </w:p>
        <w:p w14:paraId="6A67BAED">
          <w:pPr>
            <w:pStyle w:val="9"/>
            <w:tabs>
              <w:tab w:val="right" w:leader="dot" w:pos="8307"/>
            </w:tabs>
          </w:pPr>
          <w:r>
            <w:fldChar w:fldCharType="begin"/>
          </w:r>
          <w:r>
            <w:instrText xml:space="preserve"> HYPERLINK \l _Toc28858 </w:instrText>
          </w:r>
          <w:r>
            <w:fldChar w:fldCharType="separate"/>
          </w:r>
          <w:r>
            <w:t>第二部分 2022年度部门决算情况说明</w:t>
          </w:r>
          <w:r>
            <w:tab/>
          </w:r>
          <w:r>
            <w:fldChar w:fldCharType="begin"/>
          </w:r>
          <w:r>
            <w:instrText xml:space="preserve"> PAGEREF _Toc28858 \h </w:instrText>
          </w:r>
          <w:r>
            <w:fldChar w:fldCharType="separate"/>
          </w:r>
          <w:r>
            <w:t>2</w:t>
          </w:r>
          <w:r>
            <w:fldChar w:fldCharType="end"/>
          </w:r>
          <w:r>
            <w:fldChar w:fldCharType="end"/>
          </w:r>
        </w:p>
        <w:p w14:paraId="1C3E345B">
          <w:pPr>
            <w:pStyle w:val="9"/>
            <w:tabs>
              <w:tab w:val="right" w:leader="dot" w:pos="8307"/>
            </w:tabs>
          </w:pPr>
          <w:r>
            <w:fldChar w:fldCharType="begin"/>
          </w:r>
          <w:r>
            <w:instrText xml:space="preserve"> HYPERLINK \l _Toc23265 </w:instrText>
          </w:r>
          <w:r>
            <w:fldChar w:fldCharType="separate"/>
          </w:r>
          <w:r>
            <w:t>第一部分 部门概况</w:t>
          </w:r>
          <w:r>
            <w:tab/>
          </w:r>
          <w:r>
            <w:fldChar w:fldCharType="begin"/>
          </w:r>
          <w:r>
            <w:instrText xml:space="preserve"> PAGEREF _Toc23265 \h </w:instrText>
          </w:r>
          <w:r>
            <w:fldChar w:fldCharType="separate"/>
          </w:r>
          <w:r>
            <w:t>4</w:t>
          </w:r>
          <w:r>
            <w:fldChar w:fldCharType="end"/>
          </w:r>
          <w:r>
            <w:fldChar w:fldCharType="end"/>
          </w:r>
        </w:p>
        <w:p w14:paraId="3D9E323D">
          <w:pPr>
            <w:pStyle w:val="9"/>
            <w:tabs>
              <w:tab w:val="right" w:leader="dot" w:pos="8307"/>
            </w:tabs>
          </w:pPr>
          <w:r>
            <w:fldChar w:fldCharType="begin"/>
          </w:r>
          <w:r>
            <w:instrText xml:space="preserve"> HYPERLINK \l _Toc13458 </w:instrText>
          </w:r>
          <w:r>
            <w:fldChar w:fldCharType="separate"/>
          </w:r>
          <w:r>
            <w:t>第二部分 2022年度部门决算情况说明</w:t>
          </w:r>
          <w:r>
            <w:tab/>
          </w:r>
          <w:r>
            <w:fldChar w:fldCharType="begin"/>
          </w:r>
          <w:r>
            <w:instrText xml:space="preserve"> PAGEREF _Toc13458 \h </w:instrText>
          </w:r>
          <w:r>
            <w:fldChar w:fldCharType="separate"/>
          </w:r>
          <w:r>
            <w:t>6</w:t>
          </w:r>
          <w:r>
            <w:fldChar w:fldCharType="end"/>
          </w:r>
          <w:r>
            <w:fldChar w:fldCharType="end"/>
          </w:r>
        </w:p>
        <w:p w14:paraId="490BEA64">
          <w:pPr>
            <w:pStyle w:val="9"/>
            <w:tabs>
              <w:tab w:val="right" w:leader="dot" w:pos="8307"/>
            </w:tabs>
          </w:pPr>
          <w:r>
            <w:fldChar w:fldCharType="begin"/>
          </w:r>
          <w:r>
            <w:instrText xml:space="preserve"> HYPERLINK \l _Toc5057 </w:instrText>
          </w:r>
          <w:r>
            <w:fldChar w:fldCharType="separate"/>
          </w:r>
          <w:r>
            <w:rPr>
              <w:rFonts w:hint="eastAsia" w:ascii="黑体" w:hAnsi="黑体" w:eastAsia="黑体" w:cs="黑体"/>
              <w:szCs w:val="48"/>
            </w:rPr>
            <w:t>第三部分 名词解释</w:t>
          </w:r>
          <w:r>
            <w:tab/>
          </w:r>
          <w:r>
            <w:fldChar w:fldCharType="begin"/>
          </w:r>
          <w:r>
            <w:instrText xml:space="preserve"> PAGEREF _Toc5057 \h </w:instrText>
          </w:r>
          <w:r>
            <w:fldChar w:fldCharType="separate"/>
          </w:r>
          <w:r>
            <w:t>14</w:t>
          </w:r>
          <w:r>
            <w:fldChar w:fldCharType="end"/>
          </w:r>
          <w:r>
            <w:fldChar w:fldCharType="end"/>
          </w:r>
        </w:p>
        <w:p w14:paraId="5D92351D">
          <w:pPr>
            <w:pStyle w:val="9"/>
            <w:tabs>
              <w:tab w:val="right" w:leader="dot" w:pos="8307"/>
            </w:tabs>
          </w:pPr>
          <w:r>
            <w:fldChar w:fldCharType="begin"/>
          </w:r>
          <w:r>
            <w:instrText xml:space="preserve"> HYPERLINK \l _Toc21348 </w:instrText>
          </w:r>
          <w:r>
            <w:fldChar w:fldCharType="separate"/>
          </w:r>
          <w:r>
            <w:rPr>
              <w:rFonts w:hint="eastAsia" w:ascii="黑体" w:hAnsi="黑体" w:eastAsia="黑体" w:cs="黑体"/>
              <w:szCs w:val="52"/>
            </w:rPr>
            <w:t>第四部分 附件</w:t>
          </w:r>
          <w:r>
            <w:tab/>
          </w:r>
          <w:r>
            <w:fldChar w:fldCharType="begin"/>
          </w:r>
          <w:r>
            <w:instrText xml:space="preserve"> PAGEREF _Toc21348 \h </w:instrText>
          </w:r>
          <w:r>
            <w:fldChar w:fldCharType="separate"/>
          </w:r>
          <w:r>
            <w:t>18</w:t>
          </w:r>
          <w:r>
            <w:fldChar w:fldCharType="end"/>
          </w:r>
          <w:r>
            <w:fldChar w:fldCharType="end"/>
          </w:r>
        </w:p>
        <w:p w14:paraId="4E96597B">
          <w:pPr>
            <w:pStyle w:val="9"/>
            <w:tabs>
              <w:tab w:val="right" w:leader="dot" w:pos="8307"/>
            </w:tabs>
          </w:pPr>
          <w:r>
            <w:fldChar w:fldCharType="begin"/>
          </w:r>
          <w:r>
            <w:instrText xml:space="preserve"> HYPERLINK \l _Toc22295 </w:instrText>
          </w:r>
          <w:r>
            <w:fldChar w:fldCharType="separate"/>
          </w:r>
          <w:r>
            <w:rPr>
              <w:rFonts w:hint="eastAsia" w:ascii="黑体" w:hAnsi="黑体" w:eastAsia="黑体" w:cs="黑体"/>
              <w:szCs w:val="52"/>
            </w:rPr>
            <w:t>第五部分 附表</w:t>
          </w:r>
          <w:r>
            <w:tab/>
          </w:r>
          <w:r>
            <w:fldChar w:fldCharType="begin"/>
          </w:r>
          <w:r>
            <w:instrText xml:space="preserve"> PAGEREF _Toc22295 \h </w:instrText>
          </w:r>
          <w:r>
            <w:fldChar w:fldCharType="separate"/>
          </w:r>
          <w:r>
            <w:t>24</w:t>
          </w:r>
          <w:r>
            <w:fldChar w:fldCharType="end"/>
          </w:r>
          <w:r>
            <w:fldChar w:fldCharType="end"/>
          </w:r>
        </w:p>
        <w:p w14:paraId="5B9D93DE">
          <w:pPr>
            <w:pStyle w:val="10"/>
            <w:shd w:val="clear" w:color="auto" w:fill="FFFFFF"/>
            <w:jc w:val="center"/>
          </w:pPr>
          <w:r>
            <w:fldChar w:fldCharType="end"/>
          </w:r>
        </w:p>
      </w:sdtContent>
    </w:sdt>
    <w:p w14:paraId="750254C3">
      <w:pPr>
        <w:pStyle w:val="10"/>
        <w:shd w:val="clear" w:color="auto" w:fill="FFFFFF"/>
        <w:jc w:val="center"/>
      </w:pPr>
      <w:r>
        <w:t> </w:t>
      </w:r>
    </w:p>
    <w:p w14:paraId="0FDCE42A">
      <w:pPr>
        <w:pStyle w:val="10"/>
        <w:shd w:val="clear" w:color="auto" w:fill="FFFFFF"/>
      </w:pPr>
      <w:r>
        <w:t> </w:t>
      </w:r>
    </w:p>
    <w:p w14:paraId="1F8CF769">
      <w:pPr>
        <w:pStyle w:val="10"/>
        <w:shd w:val="clear" w:color="auto" w:fill="FFFFFF"/>
        <w:outlineLvl w:val="0"/>
      </w:pPr>
      <w:bookmarkStart w:id="2" w:name="_Toc874"/>
      <w:r>
        <w:t>第一部分 部门概况</w:t>
      </w:r>
      <w:bookmarkEnd w:id="2"/>
    </w:p>
    <w:p w14:paraId="12E71A8C">
      <w:pPr>
        <w:pStyle w:val="10"/>
        <w:shd w:val="clear" w:color="auto" w:fill="FFFFFF"/>
        <w:ind w:left="420"/>
      </w:pPr>
      <w:r>
        <w:t>一、基本职能及主要工作</w:t>
      </w:r>
    </w:p>
    <w:p w14:paraId="2A0AA805">
      <w:pPr>
        <w:pStyle w:val="10"/>
        <w:shd w:val="clear" w:color="auto" w:fill="FFFFFF"/>
        <w:ind w:left="420"/>
      </w:pPr>
      <w:r>
        <w:t>二、机构设置</w:t>
      </w:r>
    </w:p>
    <w:p w14:paraId="582B839C">
      <w:pPr>
        <w:pStyle w:val="10"/>
        <w:shd w:val="clear" w:color="auto" w:fill="FFFFFF"/>
        <w:outlineLvl w:val="0"/>
      </w:pPr>
      <w:bookmarkStart w:id="3" w:name="_Toc28858"/>
      <w:r>
        <w:t>第二部分 2022年度部门决算情况说明</w:t>
      </w:r>
      <w:bookmarkEnd w:id="3"/>
    </w:p>
    <w:p w14:paraId="59FDAFF6">
      <w:pPr>
        <w:pStyle w:val="10"/>
        <w:shd w:val="clear" w:color="auto" w:fill="FFFFFF"/>
        <w:ind w:left="420"/>
      </w:pPr>
      <w:r>
        <w:t>一、收入支出决算总体情况说明</w:t>
      </w:r>
    </w:p>
    <w:p w14:paraId="63712B7B">
      <w:pPr>
        <w:pStyle w:val="10"/>
        <w:shd w:val="clear" w:color="auto" w:fill="FFFFFF"/>
        <w:ind w:left="420"/>
      </w:pPr>
      <w:r>
        <w:t>二、收入决算情况说明</w:t>
      </w:r>
    </w:p>
    <w:p w14:paraId="7B0FB007">
      <w:pPr>
        <w:pStyle w:val="10"/>
        <w:shd w:val="clear" w:color="auto" w:fill="FFFFFF"/>
        <w:ind w:left="420"/>
      </w:pPr>
      <w:r>
        <w:t>三、支出决算情况说明</w:t>
      </w:r>
    </w:p>
    <w:p w14:paraId="6EC3BB39">
      <w:pPr>
        <w:pStyle w:val="10"/>
        <w:shd w:val="clear" w:color="auto" w:fill="FFFFFF"/>
        <w:ind w:left="420"/>
      </w:pPr>
      <w:r>
        <w:t>四、财政拨款收入支出决算总体情况说明</w:t>
      </w:r>
    </w:p>
    <w:p w14:paraId="7524CE00">
      <w:pPr>
        <w:pStyle w:val="10"/>
        <w:shd w:val="clear" w:color="auto" w:fill="FFFFFF"/>
        <w:ind w:left="420"/>
      </w:pPr>
      <w:r>
        <w:t>五、一般公共预算财政拨款支出决算情况说明</w:t>
      </w:r>
    </w:p>
    <w:p w14:paraId="6F6ADB3B">
      <w:pPr>
        <w:pStyle w:val="10"/>
        <w:shd w:val="clear" w:color="auto" w:fill="FFFFFF"/>
        <w:ind w:left="420"/>
      </w:pPr>
      <w:r>
        <w:t>六、一般公共预算财政拨款基本支出决算情况说明</w:t>
      </w:r>
    </w:p>
    <w:p w14:paraId="1EDDB58B">
      <w:pPr>
        <w:pStyle w:val="10"/>
        <w:shd w:val="clear" w:color="auto" w:fill="FFFFFF"/>
        <w:ind w:left="420"/>
      </w:pPr>
      <w:r>
        <w:t>七、财政拨款“三公”经费支出决算情况说明</w:t>
      </w:r>
    </w:p>
    <w:p w14:paraId="0649E875">
      <w:pPr>
        <w:pStyle w:val="10"/>
        <w:shd w:val="clear" w:color="auto" w:fill="FFFFFF"/>
        <w:ind w:left="420"/>
      </w:pPr>
      <w:r>
        <w:t>八、政府性基金预算支出决算情况说明</w:t>
      </w:r>
    </w:p>
    <w:p w14:paraId="45FF5F11">
      <w:pPr>
        <w:pStyle w:val="10"/>
        <w:shd w:val="clear" w:color="auto" w:fill="FFFFFF"/>
      </w:pPr>
      <w:r>
        <w:t>  九、国有资本经营预算支出决算情况说明</w:t>
      </w:r>
    </w:p>
    <w:p w14:paraId="2A801C3C">
      <w:pPr>
        <w:pStyle w:val="10"/>
        <w:shd w:val="clear" w:color="auto" w:fill="FFFFFF"/>
      </w:pPr>
      <w:r>
        <w:t>  十、其他重要事项的情况说明 </w:t>
      </w:r>
    </w:p>
    <w:p w14:paraId="3E6870E7">
      <w:pPr>
        <w:pStyle w:val="10"/>
        <w:shd w:val="clear" w:color="auto" w:fill="FFFFFF"/>
      </w:pPr>
      <w:r>
        <w:t>第三部分 名词解释</w:t>
      </w:r>
    </w:p>
    <w:p w14:paraId="5B6ABD3C">
      <w:pPr>
        <w:pStyle w:val="10"/>
        <w:shd w:val="clear" w:color="auto" w:fill="FFFFFF"/>
      </w:pPr>
      <w:r>
        <w:t>第四部分 附件</w:t>
      </w:r>
    </w:p>
    <w:p w14:paraId="15E9C9C7">
      <w:pPr>
        <w:pStyle w:val="10"/>
        <w:shd w:val="clear" w:color="auto" w:fill="FFFFFF"/>
      </w:pPr>
      <w:r>
        <w:t>第五部分 附表</w:t>
      </w:r>
    </w:p>
    <w:p w14:paraId="1B1407C1">
      <w:pPr>
        <w:pStyle w:val="10"/>
        <w:shd w:val="clear" w:color="auto" w:fill="FFFFFF"/>
        <w:ind w:left="420"/>
      </w:pPr>
      <w:r>
        <w:t>一、收入支出决算总表</w:t>
      </w:r>
    </w:p>
    <w:p w14:paraId="4269C7B8">
      <w:pPr>
        <w:pStyle w:val="10"/>
        <w:shd w:val="clear" w:color="auto" w:fill="FFFFFF"/>
        <w:ind w:left="420"/>
      </w:pPr>
      <w:r>
        <w:t>二、收入决算表</w:t>
      </w:r>
    </w:p>
    <w:p w14:paraId="388535EC">
      <w:pPr>
        <w:pStyle w:val="10"/>
        <w:shd w:val="clear" w:color="auto" w:fill="FFFFFF"/>
        <w:ind w:left="420"/>
      </w:pPr>
      <w:r>
        <w:t>三、支出决算表</w:t>
      </w:r>
    </w:p>
    <w:p w14:paraId="56931572">
      <w:pPr>
        <w:pStyle w:val="10"/>
        <w:shd w:val="clear" w:color="auto" w:fill="FFFFFF"/>
        <w:ind w:left="420"/>
      </w:pPr>
      <w:r>
        <w:t>四、财政拨款收入支出决算总表</w:t>
      </w:r>
    </w:p>
    <w:p w14:paraId="479983FB">
      <w:pPr>
        <w:pStyle w:val="10"/>
        <w:shd w:val="clear" w:color="auto" w:fill="FFFFFF"/>
        <w:ind w:left="420"/>
      </w:pPr>
      <w:r>
        <w:t>五、财政拨款支出决算明细表</w:t>
      </w:r>
    </w:p>
    <w:p w14:paraId="4F42938C">
      <w:pPr>
        <w:pStyle w:val="10"/>
        <w:shd w:val="clear" w:color="auto" w:fill="FFFFFF"/>
        <w:ind w:left="420"/>
      </w:pPr>
      <w:r>
        <w:t>六、一般公共预算财政拨款支出决算表</w:t>
      </w:r>
    </w:p>
    <w:p w14:paraId="24611B64">
      <w:pPr>
        <w:pStyle w:val="10"/>
        <w:shd w:val="clear" w:color="auto" w:fill="FFFFFF"/>
        <w:ind w:left="420"/>
      </w:pPr>
      <w:r>
        <w:t>七、一般公共预算财政拨款支出决算明细表</w:t>
      </w:r>
    </w:p>
    <w:p w14:paraId="5204AFA9">
      <w:pPr>
        <w:pStyle w:val="10"/>
        <w:shd w:val="clear" w:color="auto" w:fill="FFFFFF"/>
        <w:ind w:left="420"/>
      </w:pPr>
      <w:r>
        <w:t>八、一般公共预算财政拨款基本支出决算表</w:t>
      </w:r>
    </w:p>
    <w:p w14:paraId="0F0EF79D">
      <w:pPr>
        <w:pStyle w:val="10"/>
        <w:shd w:val="clear" w:color="auto" w:fill="FFFFFF"/>
        <w:ind w:left="420"/>
      </w:pPr>
      <w:r>
        <w:t>九、一般公共预算财政拨款项目支出决算表</w:t>
      </w:r>
    </w:p>
    <w:p w14:paraId="2E15A9DD">
      <w:pPr>
        <w:pStyle w:val="10"/>
        <w:shd w:val="clear" w:color="auto" w:fill="FFFFFF"/>
        <w:ind w:left="420"/>
      </w:pPr>
      <w:r>
        <w:t>十、政府性基金预算财政拨款收入支出决算表</w:t>
      </w:r>
    </w:p>
    <w:p w14:paraId="3159A5B8">
      <w:pPr>
        <w:pStyle w:val="10"/>
        <w:shd w:val="clear" w:color="auto" w:fill="FFFFFF"/>
        <w:ind w:left="420"/>
      </w:pPr>
      <w:r>
        <w:t>十一、国有资本经营预算财政拨款收入支出决算表</w:t>
      </w:r>
    </w:p>
    <w:p w14:paraId="0B5F2519">
      <w:pPr>
        <w:pStyle w:val="10"/>
        <w:shd w:val="clear" w:color="auto" w:fill="FFFFFF"/>
        <w:ind w:left="420"/>
      </w:pPr>
      <w:r>
        <w:t>十二、国有资本经营预算财政拨款支出决算表</w:t>
      </w:r>
    </w:p>
    <w:p w14:paraId="61FB0794">
      <w:pPr>
        <w:pStyle w:val="10"/>
        <w:shd w:val="clear" w:color="auto" w:fill="FFFFFF"/>
        <w:ind w:left="420"/>
      </w:pPr>
      <w:r>
        <w:t>十三、财政拨款“三公”经费支出决算表</w:t>
      </w:r>
    </w:p>
    <w:p w14:paraId="4C48BB84">
      <w:pPr>
        <w:pStyle w:val="10"/>
        <w:shd w:val="clear" w:color="auto" w:fill="FFFFFF"/>
      </w:pPr>
      <w:r>
        <w:t>(注：请部门根据实际注明页码)</w:t>
      </w:r>
    </w:p>
    <w:p w14:paraId="5ED3A47B">
      <w:pPr>
        <w:pStyle w:val="10"/>
        <w:shd w:val="clear" w:color="auto" w:fill="FFFFFF"/>
      </w:pPr>
      <w:r>
        <w:t> </w:t>
      </w:r>
    </w:p>
    <w:p w14:paraId="717B9BDE">
      <w:pPr>
        <w:pStyle w:val="10"/>
        <w:shd w:val="clear" w:color="auto" w:fill="FFFFFF"/>
      </w:pPr>
      <w:r>
        <w:t> </w:t>
      </w:r>
    </w:p>
    <w:p w14:paraId="10C55B03">
      <w:pPr>
        <w:pStyle w:val="4"/>
        <w:shd w:val="clear" w:color="auto" w:fill="FFFFFF"/>
        <w:jc w:val="center"/>
      </w:pPr>
      <w:bookmarkStart w:id="4" w:name="_Toc23265"/>
      <w:r>
        <w:t>第一部分 部门概况</w:t>
      </w:r>
      <w:bookmarkEnd w:id="4"/>
    </w:p>
    <w:p w14:paraId="0C29CB32">
      <w:pPr>
        <w:pStyle w:val="10"/>
        <w:shd w:val="clear" w:color="auto" w:fill="FFFFFF"/>
      </w:pPr>
      <w:r>
        <w:t> </w:t>
      </w:r>
    </w:p>
    <w:p w14:paraId="39F2D107">
      <w:pPr>
        <w:pStyle w:val="5"/>
        <w:shd w:val="clear" w:color="auto" w:fill="FFFFFF"/>
      </w:pPr>
      <w:r>
        <w:t>一、基本职能及主要工作</w:t>
      </w:r>
    </w:p>
    <w:p w14:paraId="67B7DE46">
      <w:pPr>
        <w:pageBreakBefore w:val="0"/>
        <w:kinsoku/>
        <w:wordWrap/>
        <w:overflowPunct/>
        <w:topLinePunct w:val="0"/>
        <w:autoSpaceDE/>
        <w:autoSpaceDN/>
        <w:bidi w:val="0"/>
        <w:spacing w:line="240" w:lineRule="auto"/>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（一）主要职能</w:t>
      </w:r>
      <w:r>
        <w:rPr>
          <w:rFonts w:hint="eastAsia" w:ascii="黑体" w:hAnsi="黑体" w:eastAsia="黑体" w:cs="黑体"/>
          <w:sz w:val="32"/>
          <w:szCs w:val="32"/>
          <w:lang w:val="en-US" w:eastAsia="zh-CN"/>
        </w:rPr>
        <w:t xml:space="preserve"> </w:t>
      </w:r>
    </w:p>
    <w:p w14:paraId="6A457766">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1.具体办理财政支付业务。根据财政批复的预算单位用款计划，审核预算单位的直接、授权支付申请，及时办理单位财政支付业务。</w:t>
      </w:r>
    </w:p>
    <w:p w14:paraId="5452F14E">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2.管理和使用国库单一账户体系有关账户，包括财政零余额账户、预算单位零余额账户等；负责办理财政零余额账户的开设、变更和撤销等事宜。</w:t>
      </w:r>
    </w:p>
    <w:p w14:paraId="4FBFBD96">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3.按照国库股批复的单位用款计划，及时向代理银行发送用款额度，定期与代理银行核对用款额度余额。</w:t>
      </w:r>
    </w:p>
    <w:p w14:paraId="7B0788B0">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4.负责国库集中支付中心的账务核算；定期与国库科、代理银行、预算单位对账。</w:t>
      </w:r>
    </w:p>
    <w:p w14:paraId="7AF2099C">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5.负责财政零余额账户、预算单位零余额账户的资金清算工作。</w:t>
      </w:r>
    </w:p>
    <w:p w14:paraId="6EC5D73F">
      <w:pPr>
        <w:pageBreakBefore w:val="0"/>
        <w:widowControl/>
        <w:numPr>
          <w:ilvl w:val="0"/>
          <w:numId w:val="0"/>
        </w:numPr>
        <w:kinsoku/>
        <w:wordWrap/>
        <w:overflowPunct/>
        <w:topLinePunct w:val="0"/>
        <w:autoSpaceDE/>
        <w:autoSpaceDN/>
        <w:bidi w:val="0"/>
        <w:adjustRightInd w:val="0"/>
        <w:snapToGrid w:val="0"/>
        <w:spacing w:line="240" w:lineRule="auto"/>
        <w:ind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sz w:val="32"/>
          <w:szCs w:val="32"/>
        </w:rPr>
        <w:t>6.集中管理国库集中收付制度使用的各种凭证和票据。</w:t>
      </w:r>
    </w:p>
    <w:p w14:paraId="57637C26">
      <w:pPr>
        <w:pStyle w:val="6"/>
        <w:pageBreakBefore w:val="0"/>
        <w:numPr>
          <w:ilvl w:val="0"/>
          <w:numId w:val="0"/>
        </w:numPr>
        <w:kinsoku/>
        <w:wordWrap/>
        <w:overflowPunct/>
        <w:topLinePunct w:val="0"/>
        <w:autoSpaceDE/>
        <w:autoSpaceDN/>
        <w:bidi w:val="0"/>
        <w:adjustRightInd w:val="0"/>
        <w:snapToGrid w:val="0"/>
        <w:spacing w:before="93" w:line="240" w:lineRule="auto"/>
        <w:textAlignment w:val="auto"/>
        <w:outlineLvl w:val="2"/>
        <w:rPr>
          <w:rFonts w:hint="eastAsia" w:ascii="黑体" w:hAnsi="黑体" w:eastAsia="黑体" w:cs="黑体"/>
          <w:sz w:val="32"/>
          <w:szCs w:val="32"/>
        </w:rPr>
      </w:pPr>
      <w:r>
        <w:rPr>
          <w:rFonts w:hint="eastAsia" w:ascii="黑体" w:hAnsi="黑体" w:eastAsia="黑体" w:cs="黑体"/>
          <w:sz w:val="32"/>
          <w:szCs w:val="32"/>
        </w:rPr>
        <w:t>（二）2022年重点工作完成情况。</w:t>
      </w:r>
    </w:p>
    <w:p w14:paraId="362C62F2">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加强集中支付支出管理。</w:t>
      </w:r>
    </w:p>
    <w:p w14:paraId="3F55ADC7">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推进落实财政直接支付动态预警管理，提高财政直接支付审核效率。严格执行财政资金集中支付程序，把好审核关，建立健全突发应急支付体系，准确开具资金支付凭证，安全高效支付财政资金。</w:t>
      </w:r>
    </w:p>
    <w:p w14:paraId="4EA699BF">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Pr>
        <w:t>进一步规范和严格执行县级财政报账制，严格按照《四川省财政扶贫资金管理办法》和《四川省扶贫资金县级财政报账制实施办法》、“九寨沟县财政专项扶贫资金管理实施细则”执行，确保扶贫资金安全、有效使用。</w:t>
      </w:r>
    </w:p>
    <w:p w14:paraId="7ECE43AE">
      <w:pPr>
        <w:pageBreakBefore w:val="0"/>
        <w:kinsoku/>
        <w:wordWrap/>
        <w:overflowPunct/>
        <w:topLinePunct w:val="0"/>
        <w:autoSpaceDE/>
        <w:autoSpaceDN/>
        <w:bidi w:val="0"/>
        <w:spacing w:line="240" w:lineRule="auto"/>
        <w:ind w:firstLine="643" w:firstLineChars="200"/>
        <w:textAlignment w:val="auto"/>
        <w:rPr>
          <w:rFonts w:hint="eastAsia" w:ascii="仿宋_GB2312" w:hAnsi="仿宋_GB2312" w:eastAsia="仿宋_GB2312" w:cs="仿宋_GB2312"/>
          <w:b/>
          <w:bCs w:val="0"/>
          <w:color w:val="000000"/>
          <w:sz w:val="32"/>
          <w:szCs w:val="32"/>
          <w:lang w:eastAsia="zh-CN"/>
        </w:rPr>
      </w:pPr>
      <w:r>
        <w:rPr>
          <w:rFonts w:hint="eastAsia" w:ascii="仿宋_GB2312" w:hAnsi="仿宋_GB2312" w:eastAsia="仿宋_GB2312" w:cs="仿宋_GB2312"/>
          <w:b/>
          <w:bCs w:val="0"/>
          <w:color w:val="000000"/>
          <w:sz w:val="32"/>
          <w:szCs w:val="32"/>
        </w:rPr>
        <w:t>二、机构设置</w:t>
      </w:r>
    </w:p>
    <w:p w14:paraId="601D8F86">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四川省阿坝州九寨沟县财政国库支付中心下属二级单位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14:paraId="43D0D544">
      <w:pPr>
        <w:pageBreakBefore w:val="0"/>
        <w:widowControl/>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纳入</w:t>
      </w:r>
      <w:r>
        <w:rPr>
          <w:rFonts w:hint="eastAsia" w:ascii="仿宋_GB2312" w:hAnsi="仿宋_GB2312" w:eastAsia="仿宋_GB2312" w:cs="仿宋_GB2312"/>
          <w:color w:val="000000"/>
          <w:sz w:val="32"/>
          <w:szCs w:val="32"/>
          <w:lang w:val="en-US" w:eastAsia="zh-CN"/>
        </w:rPr>
        <w:t>支付中心</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年度部门决算编制范围的</w:t>
      </w:r>
      <w:r>
        <w:rPr>
          <w:rFonts w:hint="eastAsia" w:ascii="仿宋_GB2312" w:hAnsi="仿宋_GB2312" w:eastAsia="仿宋_GB2312" w:cs="仿宋_GB2312"/>
          <w:color w:val="000000"/>
          <w:sz w:val="32"/>
          <w:szCs w:val="32"/>
          <w:lang w:val="en-US" w:eastAsia="zh-CN"/>
        </w:rPr>
        <w:t>本单位没有</w:t>
      </w:r>
      <w:r>
        <w:rPr>
          <w:rFonts w:hint="eastAsia" w:ascii="仿宋_GB2312" w:hAnsi="仿宋_GB2312" w:eastAsia="仿宋_GB2312" w:cs="仿宋_GB2312"/>
          <w:color w:val="000000"/>
          <w:sz w:val="32"/>
          <w:szCs w:val="32"/>
        </w:rPr>
        <w:t>二级预算单位</w:t>
      </w:r>
      <w:r>
        <w:rPr>
          <w:rFonts w:hint="eastAsia" w:ascii="仿宋_GB2312" w:hAnsi="仿宋_GB2312" w:eastAsia="仿宋_GB2312" w:cs="仿宋_GB2312"/>
          <w:color w:val="000000"/>
          <w:sz w:val="32"/>
          <w:szCs w:val="32"/>
          <w:lang w:eastAsia="zh-CN"/>
        </w:rPr>
        <w:t>。</w:t>
      </w:r>
    </w:p>
    <w:p w14:paraId="0EFED3D9">
      <w:pPr>
        <w:pStyle w:val="10"/>
        <w:shd w:val="clear" w:color="auto" w:fill="FFFFFF"/>
      </w:pPr>
      <w:r>
        <w:t> </w:t>
      </w:r>
    </w:p>
    <w:p w14:paraId="77BF46A9">
      <w:pPr>
        <w:pStyle w:val="10"/>
        <w:shd w:val="clear" w:color="auto" w:fill="FFFFFF"/>
      </w:pPr>
      <w:r>
        <w:t> </w:t>
      </w:r>
    </w:p>
    <w:p w14:paraId="54751645">
      <w:pPr>
        <w:pStyle w:val="4"/>
        <w:shd w:val="clear" w:color="auto" w:fill="FFFFFF"/>
        <w:jc w:val="center"/>
        <w:outlineLvl w:val="9"/>
      </w:pPr>
    </w:p>
    <w:p w14:paraId="4C7D5B5A">
      <w:pPr>
        <w:pStyle w:val="4"/>
        <w:shd w:val="clear" w:color="auto" w:fill="FFFFFF"/>
        <w:jc w:val="center"/>
        <w:outlineLvl w:val="9"/>
      </w:pPr>
    </w:p>
    <w:p w14:paraId="023F7174">
      <w:pPr>
        <w:pStyle w:val="4"/>
        <w:shd w:val="clear" w:color="auto" w:fill="FFFFFF"/>
        <w:jc w:val="center"/>
        <w:outlineLvl w:val="9"/>
      </w:pPr>
    </w:p>
    <w:p w14:paraId="79843951">
      <w:pPr>
        <w:pStyle w:val="4"/>
        <w:shd w:val="clear" w:color="auto" w:fill="FFFFFF"/>
        <w:jc w:val="center"/>
      </w:pPr>
    </w:p>
    <w:p w14:paraId="54A9EFF4">
      <w:pPr>
        <w:pStyle w:val="4"/>
        <w:shd w:val="clear" w:color="auto" w:fill="FFFFFF"/>
        <w:jc w:val="center"/>
      </w:pPr>
    </w:p>
    <w:p w14:paraId="2EE6BFED">
      <w:pPr>
        <w:pStyle w:val="4"/>
        <w:shd w:val="clear" w:color="auto" w:fill="FFFFFF"/>
        <w:jc w:val="center"/>
      </w:pPr>
    </w:p>
    <w:p w14:paraId="7BFC917F">
      <w:pPr>
        <w:pStyle w:val="4"/>
        <w:shd w:val="clear" w:color="auto" w:fill="FFFFFF"/>
        <w:jc w:val="center"/>
      </w:pPr>
    </w:p>
    <w:p w14:paraId="41A4B02A">
      <w:pPr>
        <w:pStyle w:val="4"/>
        <w:numPr>
          <w:ilvl w:val="0"/>
          <w:numId w:val="1"/>
        </w:numPr>
        <w:shd w:val="clear" w:color="auto" w:fill="FFFFFF"/>
        <w:jc w:val="center"/>
      </w:pPr>
      <w:bookmarkStart w:id="5" w:name="_Toc13458"/>
      <w:r>
        <w:t>2022年度部门决算情况说明</w:t>
      </w:r>
      <w:bookmarkEnd w:id="5"/>
    </w:p>
    <w:p w14:paraId="2E498C9B">
      <w:pPr>
        <w:pStyle w:val="10"/>
        <w:shd w:val="clear" w:color="auto" w:fill="FFFFFF"/>
      </w:pPr>
      <w:r>
        <w:t> </w:t>
      </w:r>
    </w:p>
    <w:p w14:paraId="7E8C100E">
      <w:pPr>
        <w:pStyle w:val="10"/>
        <w:shd w:val="clear" w:color="auto" w:fill="FFFFFF"/>
        <w:rPr>
          <w:rFonts w:hint="eastAsia" w:ascii="黑体" w:hAnsi="黑体" w:eastAsia="黑体" w:cs="黑体"/>
          <w:sz w:val="32"/>
          <w:szCs w:val="32"/>
        </w:rPr>
      </w:pPr>
      <w:r>
        <w:rPr>
          <w:rFonts w:hint="eastAsia" w:ascii="黑体" w:hAnsi="黑体" w:eastAsia="黑体" w:cs="黑体"/>
          <w:sz w:val="32"/>
          <w:szCs w:val="32"/>
        </w:rPr>
        <w:t>一、收入支出决算总体情况说明</w:t>
      </w:r>
    </w:p>
    <w:p w14:paraId="1FAFEFBC">
      <w:pPr>
        <w:pStyle w:val="10"/>
        <w:shd w:val="clear" w:color="auto" w:fill="FFFFFF"/>
        <w:ind w:firstLine="640" w:firstLineChars="200"/>
        <w:rPr>
          <w:rFonts w:hint="eastAsia" w:eastAsia="宋体"/>
          <w:lang w:eastAsia="zh-CN"/>
        </w:rPr>
      </w:pPr>
      <w:r>
        <w:rPr>
          <w:rFonts w:hint="eastAsia" w:ascii="方正仿宋_GBK" w:hAnsi="方正仿宋_GBK" w:eastAsia="方正仿宋_GBK" w:cs="方正仿宋_GBK"/>
          <w:sz w:val="32"/>
          <w:szCs w:val="32"/>
        </w:rPr>
        <w:t>2022年度收、支总计377.53万元。与2021年相比，收、支总计各增加24.45万元，增长6.92%。主要变动原因是</w:t>
      </w:r>
      <w:r>
        <w:rPr>
          <w:rFonts w:hint="eastAsia" w:ascii="方正仿宋_GBK" w:hAnsi="方正仿宋_GBK" w:eastAsia="方正仿宋_GBK" w:cs="方正仿宋_GBK"/>
          <w:sz w:val="32"/>
          <w:szCs w:val="32"/>
          <w:lang w:val="en-US" w:eastAsia="zh-CN"/>
        </w:rPr>
        <w:t>人员增加。</w:t>
      </w:r>
    </w:p>
    <w:p w14:paraId="43A981EC">
      <w:pPr>
        <w:pStyle w:val="10"/>
        <w:shd w:val="clear" w:color="auto" w:fill="FFFFFF"/>
        <w:rPr>
          <w:rFonts w:hint="eastAsia" w:ascii="黑体" w:hAnsi="黑体" w:eastAsia="黑体" w:cs="黑体"/>
          <w:sz w:val="32"/>
          <w:szCs w:val="32"/>
        </w:rPr>
      </w:pPr>
      <w:r>
        <w:rPr>
          <w:rFonts w:hint="eastAsia" w:ascii="黑体" w:hAnsi="黑体" w:eastAsia="黑体" w:cs="黑体"/>
          <w:sz w:val="32"/>
          <w:szCs w:val="32"/>
        </w:rPr>
        <w:t>二、收入决算情况说明</w:t>
      </w:r>
    </w:p>
    <w:p w14:paraId="3EB7A48A">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本年收入合计335.36万元，其中：一般公共预算财政拨款收入335.36万元，占100.00%；政府性基金预算财政拨款收入0.00万元，占0.00%；国有资本经营预算财政拨款收入0.00万元，占0.00%；上级补助收入0.00万元，占0.00%；事业收入0.00万元，占0.00%%；经营收入0.00万元，占0.00%%；附属单位上缴收入0.00万元，占0.00%；其他收入0.00万元，占0.00%。 </w:t>
      </w:r>
    </w:p>
    <w:p w14:paraId="3EF885C0">
      <w:pPr>
        <w:pStyle w:val="10"/>
        <w:shd w:val="clear" w:color="auto" w:fill="FFFFFF"/>
        <w:rPr>
          <w:rFonts w:hint="eastAsia" w:ascii="黑体" w:hAnsi="黑体" w:eastAsia="黑体" w:cs="黑体"/>
          <w:sz w:val="32"/>
          <w:szCs w:val="32"/>
        </w:rPr>
      </w:pPr>
      <w:r>
        <w:rPr>
          <w:rFonts w:hint="eastAsia" w:ascii="黑体" w:hAnsi="黑体" w:eastAsia="黑体" w:cs="黑体"/>
          <w:sz w:val="32"/>
          <w:szCs w:val="32"/>
        </w:rPr>
        <w:t>三、支出决算情况说明</w:t>
      </w:r>
    </w:p>
    <w:p w14:paraId="44BA2E10">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2022年本年支出合计377.53万元，其中：基本支出377.53万元，占100.00%；项目支出0.00万元，占0.00%；上缴上级支出0.00万元，占0.00%；经营支出0.00万元，占经营支出0.00万元，占 0.00%；对附属单位补助支出0.00万元，占0.00%。</w:t>
      </w:r>
    </w:p>
    <w:p w14:paraId="7CE24AA9">
      <w:pPr>
        <w:pStyle w:val="10"/>
        <w:shd w:val="clear" w:color="auto" w:fill="FFFFFF"/>
        <w:rPr>
          <w:rFonts w:hint="eastAsia" w:ascii="黑体" w:hAnsi="黑体" w:eastAsia="黑体" w:cs="黑体"/>
          <w:sz w:val="32"/>
          <w:szCs w:val="32"/>
        </w:rPr>
      </w:pPr>
      <w:r>
        <w:rPr>
          <w:rFonts w:hint="eastAsia" w:ascii="黑体" w:hAnsi="黑体" w:eastAsia="黑体" w:cs="黑体"/>
          <w:sz w:val="32"/>
          <w:szCs w:val="32"/>
        </w:rPr>
        <w:t>四、财政拨款收入支出决算总体情况说明</w:t>
      </w:r>
    </w:p>
    <w:p w14:paraId="05A52D7E">
      <w:pPr>
        <w:pStyle w:val="10"/>
        <w:shd w:val="clear" w:color="auto" w:fill="FFFFFF"/>
        <w:ind w:firstLine="640" w:firstLineChars="200"/>
        <w:rPr>
          <w:rFonts w:hint="default" w:eastAsia="宋体"/>
          <w:lang w:val="en-US" w:eastAsia="zh-CN"/>
        </w:rPr>
      </w:pPr>
      <w:r>
        <w:rPr>
          <w:rFonts w:hint="eastAsia" w:ascii="仿宋_GB2312" w:hAnsi="仿宋_GB2312" w:eastAsia="仿宋_GB2312" w:cs="仿宋_GB2312"/>
          <w:sz w:val="32"/>
          <w:szCs w:val="32"/>
        </w:rPr>
        <w:t>2022年财政拨款收、支总计377.53万元。与2021年相比，财政拨款收、支总计各增加/减少24.45万元，增长6.92%。主要变动原因是</w:t>
      </w:r>
      <w:r>
        <w:rPr>
          <w:rFonts w:hint="eastAsia" w:ascii="仿宋_GB2312" w:hAnsi="仿宋_GB2312" w:eastAsia="仿宋_GB2312" w:cs="仿宋_GB2312"/>
          <w:sz w:val="32"/>
          <w:szCs w:val="32"/>
          <w:lang w:val="en-US" w:eastAsia="zh-CN"/>
        </w:rPr>
        <w:t>人员增加。</w:t>
      </w:r>
    </w:p>
    <w:p w14:paraId="3BE558E6">
      <w:pPr>
        <w:pStyle w:val="10"/>
        <w:shd w:val="clear" w:color="auto" w:fill="FFFFFF"/>
        <w:rPr>
          <w:rFonts w:hint="eastAsia" w:ascii="黑体" w:hAnsi="黑体" w:eastAsia="黑体" w:cs="黑体"/>
          <w:sz w:val="32"/>
          <w:szCs w:val="32"/>
        </w:rPr>
      </w:pPr>
      <w:r>
        <w:rPr>
          <w:rFonts w:hint="eastAsia" w:ascii="黑体" w:hAnsi="黑体" w:eastAsia="黑体" w:cs="黑体"/>
          <w:sz w:val="32"/>
          <w:szCs w:val="32"/>
        </w:rPr>
        <w:t>五、</w:t>
      </w:r>
      <w:r>
        <w:rPr>
          <w:rStyle w:val="13"/>
          <w:rFonts w:hint="eastAsia" w:ascii="黑体" w:hAnsi="黑体" w:eastAsia="黑体" w:cs="黑体"/>
          <w:sz w:val="32"/>
          <w:szCs w:val="32"/>
        </w:rPr>
        <w:t>一</w:t>
      </w:r>
      <w:r>
        <w:rPr>
          <w:rFonts w:hint="eastAsia" w:ascii="黑体" w:hAnsi="黑体" w:eastAsia="黑体" w:cs="黑体"/>
          <w:sz w:val="32"/>
          <w:szCs w:val="32"/>
        </w:rPr>
        <w:t>般公共预算财政拨款支出决算情况说明</w:t>
      </w:r>
    </w:p>
    <w:p w14:paraId="317F79B5">
      <w:pPr>
        <w:pStyle w:val="10"/>
        <w:shd w:val="clear" w:color="auto" w:fill="FFFFFF"/>
        <w:rPr>
          <w:rFonts w:hint="eastAsia" w:ascii="黑体" w:hAnsi="黑体" w:eastAsia="黑体" w:cs="黑体"/>
          <w:sz w:val="32"/>
          <w:szCs w:val="32"/>
        </w:rPr>
      </w:pPr>
      <w:r>
        <w:rPr>
          <w:rStyle w:val="13"/>
          <w:rFonts w:hint="eastAsia" w:ascii="黑体" w:hAnsi="黑体" w:eastAsia="黑体" w:cs="黑体"/>
          <w:sz w:val="32"/>
          <w:szCs w:val="32"/>
        </w:rPr>
        <w:t>（一）一般公共预算财政拨款支出决算总体情况</w:t>
      </w:r>
    </w:p>
    <w:p w14:paraId="097DFDD4">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2022年一般公共预算财政拨款支出377.53万元，占本年支出合计的100.00%。与2021年相比，一般公共预算财政拨款支出增加24.45万元，增长6.92%。主要变动原因是</w:t>
      </w:r>
      <w:r>
        <w:rPr>
          <w:rFonts w:hint="eastAsia" w:ascii="仿宋_GB2312" w:hAnsi="仿宋_GB2312" w:eastAsia="仿宋_GB2312" w:cs="仿宋_GB2312"/>
          <w:sz w:val="32"/>
          <w:szCs w:val="32"/>
          <w:lang w:val="en-US" w:eastAsia="zh-CN"/>
        </w:rPr>
        <w:t>人员增加。</w:t>
      </w:r>
      <w:r>
        <w:rPr>
          <w:rFonts w:hint="eastAsia" w:ascii="仿宋_GB2312" w:hAnsi="仿宋_GB2312" w:eastAsia="仿宋_GB2312" w:cs="仿宋_GB2312"/>
          <w:sz w:val="32"/>
          <w:szCs w:val="32"/>
        </w:rPr>
        <w:t> </w:t>
      </w:r>
    </w:p>
    <w:p w14:paraId="182D368C">
      <w:pPr>
        <w:pStyle w:val="10"/>
        <w:shd w:val="clear" w:color="auto" w:fill="FFFFFF"/>
        <w:rPr>
          <w:rFonts w:hint="eastAsia" w:ascii="黑体" w:hAnsi="黑体" w:eastAsia="黑体" w:cs="黑体"/>
          <w:sz w:val="32"/>
          <w:szCs w:val="32"/>
        </w:rPr>
      </w:pPr>
      <w:r>
        <w:rPr>
          <w:rStyle w:val="13"/>
          <w:rFonts w:hint="eastAsia" w:ascii="黑体" w:hAnsi="黑体" w:eastAsia="黑体" w:cs="黑体"/>
          <w:sz w:val="32"/>
          <w:szCs w:val="32"/>
        </w:rPr>
        <w:t>（二）一般公共预算财政拨款支出决算结构情况</w:t>
      </w:r>
    </w:p>
    <w:p w14:paraId="06469281">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2022年一般公共预算财政拨款支出377.53万元，主要用于以下方面:</w:t>
      </w:r>
      <w:r>
        <w:rPr>
          <w:rStyle w:val="13"/>
          <w:rFonts w:hint="eastAsia" w:ascii="仿宋_GB2312" w:hAnsi="仿宋_GB2312" w:eastAsia="仿宋_GB2312" w:cs="仿宋_GB2312"/>
          <w:sz w:val="32"/>
          <w:szCs w:val="32"/>
        </w:rPr>
        <w:t>一般公共服务（类）</w:t>
      </w:r>
      <w:r>
        <w:rPr>
          <w:rFonts w:hint="eastAsia" w:ascii="仿宋_GB2312" w:hAnsi="仿宋_GB2312" w:eastAsia="仿宋_GB2312" w:cs="仿宋_GB2312"/>
          <w:sz w:val="32"/>
          <w:szCs w:val="32"/>
        </w:rPr>
        <w:t>支出288.79万元，占76.49%；</w:t>
      </w:r>
      <w:r>
        <w:rPr>
          <w:rStyle w:val="13"/>
          <w:rFonts w:hint="eastAsia" w:ascii="仿宋_GB2312" w:hAnsi="仿宋_GB2312" w:eastAsia="仿宋_GB2312" w:cs="仿宋_GB2312"/>
          <w:sz w:val="32"/>
          <w:szCs w:val="32"/>
        </w:rPr>
        <w:t>教育支出（类）</w:t>
      </w:r>
      <w:r>
        <w:rPr>
          <w:rFonts w:hint="eastAsia" w:ascii="仿宋_GB2312" w:hAnsi="仿宋_GB2312" w:eastAsia="仿宋_GB2312" w:cs="仿宋_GB2312"/>
          <w:sz w:val="32"/>
          <w:szCs w:val="32"/>
        </w:rPr>
        <w:t>0.00万元，占0.00%；</w:t>
      </w:r>
      <w:r>
        <w:rPr>
          <w:rStyle w:val="13"/>
          <w:rFonts w:hint="eastAsia" w:ascii="仿宋_GB2312" w:hAnsi="仿宋_GB2312" w:eastAsia="仿宋_GB2312" w:cs="仿宋_GB2312"/>
          <w:sz w:val="32"/>
          <w:szCs w:val="32"/>
        </w:rPr>
        <w:t>科学技术（类）</w:t>
      </w:r>
      <w:r>
        <w:rPr>
          <w:rFonts w:hint="eastAsia" w:ascii="仿宋_GB2312" w:hAnsi="仿宋_GB2312" w:eastAsia="仿宋_GB2312" w:cs="仿宋_GB2312"/>
          <w:sz w:val="32"/>
          <w:szCs w:val="32"/>
        </w:rPr>
        <w:t>支出0.00万元，占0.00%；</w:t>
      </w:r>
      <w:r>
        <w:rPr>
          <w:rStyle w:val="13"/>
          <w:rFonts w:hint="eastAsia" w:ascii="仿宋_GB2312" w:hAnsi="仿宋_GB2312" w:eastAsia="仿宋_GB2312" w:cs="仿宋_GB2312"/>
          <w:sz w:val="32"/>
          <w:szCs w:val="32"/>
        </w:rPr>
        <w:t>文化旅游体育与传媒（类）支出0.00万元，占0.00%；社会保障和就业（类）</w:t>
      </w:r>
      <w:r>
        <w:rPr>
          <w:rFonts w:hint="eastAsia" w:ascii="仿宋_GB2312" w:hAnsi="仿宋_GB2312" w:eastAsia="仿宋_GB2312" w:cs="仿宋_GB2312"/>
          <w:sz w:val="32"/>
          <w:szCs w:val="32"/>
        </w:rPr>
        <w:t>支出44.73万元，占11.85%；</w:t>
      </w:r>
      <w:r>
        <w:rPr>
          <w:rStyle w:val="13"/>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rPr>
        <w:t>18.38万元，占4.87%；住房保障支出25.63万元，占6.79%。</w:t>
      </w:r>
    </w:p>
    <w:p w14:paraId="10ECAB00">
      <w:pPr>
        <w:pStyle w:val="10"/>
        <w:shd w:val="clear" w:color="auto" w:fill="FFFFFF"/>
        <w:rPr>
          <w:rFonts w:hint="eastAsia" w:ascii="黑体" w:hAnsi="黑体" w:eastAsia="黑体" w:cs="黑体"/>
          <w:sz w:val="32"/>
          <w:szCs w:val="32"/>
        </w:rPr>
      </w:pPr>
      <w:r>
        <w:rPr>
          <w:rFonts w:hint="eastAsia" w:ascii="仿宋_GB2312" w:hAnsi="仿宋_GB2312" w:eastAsia="仿宋_GB2312" w:cs="仿宋_GB2312"/>
          <w:sz w:val="32"/>
          <w:szCs w:val="32"/>
        </w:rPr>
        <w:t> </w:t>
      </w:r>
      <w:r>
        <w:rPr>
          <w:rStyle w:val="13"/>
          <w:rFonts w:hint="eastAsia" w:ascii="黑体" w:hAnsi="黑体" w:eastAsia="黑体" w:cs="黑体"/>
          <w:sz w:val="32"/>
          <w:szCs w:val="32"/>
        </w:rPr>
        <w:t>（三）一般公共预算财政拨款支出决算具体情况</w:t>
      </w:r>
    </w:p>
    <w:p w14:paraId="6D7C3DE0">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2022年一般公共预算支出决算数为377.53，完成预算100.00%。其中：</w:t>
      </w:r>
    </w:p>
    <w:p w14:paraId="6F70D4A2">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1.一般公共服务（类）</w:t>
      </w:r>
      <w:r>
        <w:rPr>
          <w:rFonts w:hint="eastAsia" w:ascii="仿宋_GB2312" w:hAnsi="仿宋_GB2312" w:eastAsia="仿宋_GB2312" w:cs="仿宋_GB2312"/>
          <w:sz w:val="32"/>
          <w:szCs w:val="32"/>
          <w:lang w:val="en-US" w:eastAsia="zh-CN"/>
        </w:rPr>
        <w:t>财政事务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行政运行</w:t>
      </w:r>
      <w:r>
        <w:rPr>
          <w:rFonts w:hint="eastAsia" w:ascii="仿宋_GB2312" w:hAnsi="仿宋_GB2312" w:eastAsia="仿宋_GB2312" w:cs="仿宋_GB2312"/>
          <w:sz w:val="32"/>
          <w:szCs w:val="32"/>
        </w:rPr>
        <w:t>（项）: 支出决算为</w:t>
      </w:r>
      <w:r>
        <w:rPr>
          <w:rFonts w:hint="eastAsia" w:ascii="仿宋_GB2312" w:hAnsi="仿宋_GB2312" w:eastAsia="仿宋_GB2312" w:cs="仿宋_GB2312"/>
          <w:sz w:val="32"/>
          <w:szCs w:val="32"/>
          <w:lang w:val="en-US" w:eastAsia="zh-CN"/>
        </w:rPr>
        <w:t>288.79</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p>
    <w:p w14:paraId="7EA8F42F">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.社会保障和就业（类）</w:t>
      </w:r>
      <w:r>
        <w:rPr>
          <w:rFonts w:hint="eastAsia" w:ascii="仿宋_GB2312" w:hAnsi="仿宋_GB2312" w:eastAsia="仿宋_GB2312" w:cs="仿宋_GB2312"/>
          <w:sz w:val="32"/>
          <w:szCs w:val="32"/>
          <w:lang w:val="en-US" w:eastAsia="zh-CN"/>
        </w:rPr>
        <w:t>行政事业单位养老支出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机关事业单位基本养老保险缴费支出</w:t>
      </w:r>
      <w:r>
        <w:rPr>
          <w:rFonts w:hint="eastAsia" w:ascii="仿宋_GB2312" w:hAnsi="仿宋_GB2312" w:eastAsia="仿宋_GB2312" w:cs="仿宋_GB2312"/>
          <w:sz w:val="32"/>
          <w:szCs w:val="32"/>
        </w:rPr>
        <w:t>（项）: 支出决算为</w:t>
      </w:r>
      <w:r>
        <w:rPr>
          <w:rFonts w:hint="eastAsia" w:ascii="仿宋_GB2312" w:hAnsi="仿宋_GB2312" w:eastAsia="仿宋_GB2312" w:cs="仿宋_GB2312"/>
          <w:sz w:val="32"/>
          <w:szCs w:val="32"/>
          <w:lang w:val="en-US" w:eastAsia="zh-CN"/>
        </w:rPr>
        <w:t>29.82</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p>
    <w:p w14:paraId="7980658F">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3.社会</w:t>
      </w:r>
      <w:r>
        <w:rPr>
          <w:rFonts w:hint="eastAsia" w:ascii="仿宋_GB2312" w:hAnsi="仿宋_GB2312" w:eastAsia="仿宋_GB2312" w:cs="仿宋_GB2312"/>
          <w:sz w:val="32"/>
          <w:szCs w:val="32"/>
        </w:rPr>
        <w:t>保障和就业（类）</w:t>
      </w:r>
      <w:r>
        <w:rPr>
          <w:rFonts w:hint="eastAsia" w:ascii="仿宋_GB2312" w:hAnsi="仿宋_GB2312" w:eastAsia="仿宋_GB2312" w:cs="仿宋_GB2312"/>
          <w:sz w:val="32"/>
          <w:szCs w:val="32"/>
          <w:lang w:val="en-US" w:eastAsia="zh-CN"/>
        </w:rPr>
        <w:t>行政事业单位养老支出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机关事业单位职业年金缴费支出</w:t>
      </w:r>
      <w:r>
        <w:rPr>
          <w:rFonts w:hint="eastAsia" w:ascii="仿宋_GB2312" w:hAnsi="仿宋_GB2312" w:eastAsia="仿宋_GB2312" w:cs="仿宋_GB2312"/>
          <w:sz w:val="32"/>
          <w:szCs w:val="32"/>
        </w:rPr>
        <w:t>（项）: 支出决算为</w:t>
      </w:r>
      <w:r>
        <w:rPr>
          <w:rFonts w:hint="eastAsia" w:ascii="仿宋_GB2312" w:hAnsi="仿宋_GB2312" w:eastAsia="仿宋_GB2312" w:cs="仿宋_GB2312"/>
          <w:sz w:val="32"/>
          <w:szCs w:val="32"/>
          <w:lang w:val="en-US" w:eastAsia="zh-CN"/>
        </w:rPr>
        <w:t>14.91</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p>
    <w:p w14:paraId="10F1AC0F">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.卫生健康（类）</w:t>
      </w:r>
      <w:r>
        <w:rPr>
          <w:rFonts w:hint="eastAsia" w:ascii="仿宋_GB2312" w:hAnsi="仿宋_GB2312" w:eastAsia="仿宋_GB2312" w:cs="仿宋_GB2312"/>
          <w:sz w:val="32"/>
          <w:szCs w:val="32"/>
          <w:lang w:val="en-US" w:eastAsia="zh-CN"/>
        </w:rPr>
        <w:t>行政事业单位医疗</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行政单位医疗</w:t>
      </w:r>
      <w:r>
        <w:rPr>
          <w:rFonts w:hint="eastAsia" w:ascii="仿宋_GB2312" w:hAnsi="仿宋_GB2312" w:eastAsia="仿宋_GB2312" w:cs="仿宋_GB2312"/>
          <w:sz w:val="32"/>
          <w:szCs w:val="32"/>
        </w:rPr>
        <w:t>（项）:支出决算为</w:t>
      </w:r>
      <w:r>
        <w:rPr>
          <w:rFonts w:hint="eastAsia" w:ascii="仿宋_GB2312" w:hAnsi="仿宋_GB2312" w:eastAsia="仿宋_GB2312" w:cs="仿宋_GB2312"/>
          <w:sz w:val="32"/>
          <w:szCs w:val="32"/>
          <w:lang w:val="en-US" w:eastAsia="zh-CN"/>
        </w:rPr>
        <w:t>14.25</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p>
    <w:p w14:paraId="313E5EEB">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.卫生健康（类）</w:t>
      </w:r>
      <w:r>
        <w:rPr>
          <w:rFonts w:hint="eastAsia" w:ascii="仿宋_GB2312" w:hAnsi="仿宋_GB2312" w:eastAsia="仿宋_GB2312" w:cs="仿宋_GB2312"/>
          <w:sz w:val="32"/>
          <w:szCs w:val="32"/>
          <w:lang w:val="en-US" w:eastAsia="zh-CN"/>
        </w:rPr>
        <w:t>行政事业单位医疗</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公务员医疗补助</w:t>
      </w:r>
      <w:r>
        <w:rPr>
          <w:rFonts w:hint="eastAsia" w:ascii="仿宋_GB2312" w:hAnsi="仿宋_GB2312" w:eastAsia="仿宋_GB2312" w:cs="仿宋_GB2312"/>
          <w:sz w:val="32"/>
          <w:szCs w:val="32"/>
        </w:rPr>
        <w:t>（项）:支出决算为</w:t>
      </w:r>
      <w:r>
        <w:rPr>
          <w:rFonts w:hint="eastAsia" w:ascii="仿宋_GB2312" w:hAnsi="仿宋_GB2312" w:eastAsia="仿宋_GB2312" w:cs="仿宋_GB2312"/>
          <w:sz w:val="32"/>
          <w:szCs w:val="32"/>
          <w:lang w:val="en-US" w:eastAsia="zh-CN"/>
        </w:rPr>
        <w:t>4.13</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%，决算数等于预算数。</w:t>
      </w:r>
    </w:p>
    <w:p w14:paraId="6AF205F1">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6.住房保障支出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住房改革支出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住房公积金</w:t>
      </w:r>
      <w:r>
        <w:rPr>
          <w:rFonts w:hint="eastAsia" w:ascii="仿宋_GB2312" w:hAnsi="仿宋_GB2312" w:eastAsia="仿宋_GB2312" w:cs="仿宋_GB2312"/>
          <w:sz w:val="32"/>
          <w:szCs w:val="32"/>
        </w:rPr>
        <w:t>（项）:支出决算为</w:t>
      </w:r>
      <w:r>
        <w:rPr>
          <w:rFonts w:hint="eastAsia" w:ascii="仿宋_GB2312" w:hAnsi="仿宋_GB2312" w:eastAsia="仿宋_GB2312" w:cs="仿宋_GB2312"/>
          <w:sz w:val="32"/>
          <w:szCs w:val="32"/>
          <w:lang w:val="en-US" w:eastAsia="zh-CN"/>
        </w:rPr>
        <w:t>25.63</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p>
    <w:p w14:paraId="034633F9">
      <w:pPr>
        <w:pStyle w:val="10"/>
        <w:shd w:val="clear" w:color="auto" w:fill="FFFFFF"/>
        <w:rPr>
          <w:rFonts w:hint="eastAsia" w:ascii="黑体" w:hAnsi="黑体" w:eastAsia="黑体" w:cs="黑体"/>
          <w:sz w:val="32"/>
          <w:szCs w:val="32"/>
        </w:rPr>
      </w:pPr>
      <w:r>
        <w:rPr>
          <w:rFonts w:hint="eastAsia" w:ascii="黑体" w:hAnsi="黑体" w:eastAsia="黑体" w:cs="黑体"/>
          <w:sz w:val="32"/>
          <w:szCs w:val="32"/>
        </w:rPr>
        <w:t>六</w:t>
      </w:r>
      <w:r>
        <w:rPr>
          <w:rStyle w:val="13"/>
          <w:rFonts w:hint="eastAsia" w:ascii="黑体" w:hAnsi="黑体" w:eastAsia="黑体" w:cs="黑体"/>
          <w:sz w:val="32"/>
          <w:szCs w:val="32"/>
        </w:rPr>
        <w:t>、一</w:t>
      </w:r>
      <w:r>
        <w:rPr>
          <w:rFonts w:hint="eastAsia" w:ascii="黑体" w:hAnsi="黑体" w:eastAsia="黑体" w:cs="黑体"/>
          <w:sz w:val="32"/>
          <w:szCs w:val="32"/>
        </w:rPr>
        <w:t>般公共预算财政拨款基本支出决算情况说明   </w:t>
      </w:r>
    </w:p>
    <w:p w14:paraId="04D81E33">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基本支出377.53万元，其中：人员经费354.33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07B7B9D9">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用经费23.20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FA36562">
      <w:pPr>
        <w:pStyle w:val="10"/>
        <w:shd w:val="clear" w:color="auto" w:fill="FFFFFF"/>
        <w:rPr>
          <w:rFonts w:hint="eastAsia" w:ascii="黑体" w:hAnsi="黑体" w:eastAsia="黑体" w:cs="黑体"/>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七、“三公”经费财政拨款支出决算情况说明</w:t>
      </w:r>
    </w:p>
    <w:p w14:paraId="774CBAC6">
      <w:pPr>
        <w:pStyle w:val="10"/>
        <w:shd w:val="clear" w:color="auto" w:fill="FFFFFF"/>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rPr>
        <w:t>（一）“三公”经费财政拨款支出决算总体情况说明</w:t>
      </w:r>
    </w:p>
    <w:p w14:paraId="36C658A2">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2022年“三公”经费财政拨款支出决算为3.09万元，完成预算100.00%，决算数</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预算数持平。</w:t>
      </w:r>
    </w:p>
    <w:p w14:paraId="5B7E6E28">
      <w:pPr>
        <w:pStyle w:val="10"/>
        <w:shd w:val="clear" w:color="auto" w:fill="FFFFFF"/>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rPr>
        <w:t>（二）“三公”经费财政拨款支出决算具体情况说明</w:t>
      </w:r>
    </w:p>
    <w:p w14:paraId="7921572D">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2022年“三公”经费财政拨款支出决算中，因公出国（境）费支出决算0.00万元，占0.00%；公务用车购置及运行维护费支出决算3.00万元，占97.09%；公务接待费支出决算0.09万元，占2.91%。具体情况如下：</w:t>
      </w:r>
    </w:p>
    <w:p w14:paraId="37D53795">
      <w:pPr>
        <w:pStyle w:val="10"/>
        <w:shd w:val="clear" w:color="auto" w:fill="FFFFFF"/>
        <w:ind w:firstLine="643" w:firstLineChars="200"/>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rPr>
        <w:t>1.因公出国（境）经费支出</w:t>
      </w:r>
      <w:r>
        <w:rPr>
          <w:rFonts w:hint="eastAsia" w:ascii="仿宋_GB2312" w:hAnsi="仿宋_GB2312" w:eastAsia="仿宋_GB2312" w:cs="仿宋_GB2312"/>
          <w:sz w:val="32"/>
          <w:szCs w:val="32"/>
        </w:rPr>
        <w:t>0.00万元，</w:t>
      </w:r>
      <w:r>
        <w:rPr>
          <w:rStyle w:val="13"/>
          <w:rFonts w:hint="eastAsia" w:ascii="仿宋_GB2312" w:hAnsi="仿宋_GB2312" w:eastAsia="仿宋_GB2312" w:cs="仿宋_GB2312"/>
          <w:sz w:val="32"/>
          <w:szCs w:val="32"/>
        </w:rPr>
        <w:t>完成预算0.00%。</w:t>
      </w:r>
      <w:r>
        <w:rPr>
          <w:rFonts w:hint="eastAsia" w:ascii="仿宋_GB2312" w:hAnsi="仿宋_GB2312" w:eastAsia="仿宋_GB2312" w:cs="仿宋_GB2312"/>
          <w:sz w:val="32"/>
          <w:szCs w:val="32"/>
        </w:rPr>
        <w:t>全年安排因公出国（境）团组0次，出国（境）0人。因公出国（境）支出决算比2021年增加0.00万元，增长0.00%。</w:t>
      </w:r>
    </w:p>
    <w:p w14:paraId="75B0742C">
      <w:pPr>
        <w:spacing w:line="600" w:lineRule="exact"/>
        <w:ind w:firstLine="640"/>
        <w:rPr>
          <w:rFonts w:hint="eastAsia" w:ascii="仿宋_GB2312" w:hAnsi="仿宋_GB2312" w:eastAsia="仿宋_GB2312" w:cs="仿宋_GB2312"/>
          <w:b/>
          <w:color w:val="000000"/>
          <w:sz w:val="32"/>
          <w:szCs w:val="32"/>
        </w:rPr>
      </w:pPr>
      <w:r>
        <w:rPr>
          <w:rStyle w:val="13"/>
          <w:rFonts w:hint="eastAsia" w:ascii="仿宋_GB2312" w:hAnsi="仿宋_GB2312" w:eastAsia="仿宋_GB2312" w:cs="仿宋_GB2312"/>
          <w:sz w:val="32"/>
          <w:szCs w:val="32"/>
        </w:rPr>
        <w:t>2.公务用车购置及运行维护费支出</w:t>
      </w:r>
      <w:r>
        <w:rPr>
          <w:rFonts w:hint="eastAsia" w:ascii="仿宋_GB2312" w:hAnsi="仿宋_GB2312" w:eastAsia="仿宋_GB2312" w:cs="仿宋_GB2312"/>
          <w:sz w:val="32"/>
          <w:szCs w:val="32"/>
        </w:rPr>
        <w:t>3.00万元,</w:t>
      </w:r>
      <w:r>
        <w:rPr>
          <w:rStyle w:val="13"/>
          <w:rFonts w:hint="eastAsia" w:ascii="仿宋_GB2312" w:hAnsi="仿宋_GB2312" w:eastAsia="仿宋_GB2312" w:cs="仿宋_GB2312"/>
          <w:sz w:val="32"/>
          <w:szCs w:val="32"/>
        </w:rPr>
        <w:t>完成预算100.00%。</w:t>
      </w:r>
      <w:r>
        <w:rPr>
          <w:rFonts w:hint="eastAsia" w:ascii="仿宋_GB2312" w:hAnsi="仿宋_GB2312" w:eastAsia="仿宋_GB2312" w:cs="仿宋_GB2312"/>
          <w:sz w:val="32"/>
          <w:szCs w:val="32"/>
        </w:rPr>
        <w:t>公务用车购置及运行维护费支出决算比2021年增加0.29万元，增长10.91%。主要原因是</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val="en-US" w:eastAsia="zh-CN"/>
        </w:rPr>
        <w:t>车辆老化，维修费用增加，燃油涨价等</w:t>
      </w:r>
      <w:r>
        <w:rPr>
          <w:rFonts w:hint="eastAsia" w:ascii="仿宋_GB2312" w:hAnsi="仿宋_GB2312" w:eastAsia="仿宋_GB2312" w:cs="仿宋_GB2312"/>
          <w:color w:val="000000"/>
          <w:sz w:val="32"/>
          <w:szCs w:val="32"/>
        </w:rPr>
        <w:t>。</w:t>
      </w:r>
    </w:p>
    <w:p w14:paraId="7BAEF52D">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w:t>
      </w:r>
      <w:r>
        <w:rPr>
          <w:rStyle w:val="13"/>
          <w:rFonts w:hint="eastAsia" w:ascii="仿宋_GB2312" w:hAnsi="仿宋_GB2312" w:eastAsia="仿宋_GB2312" w:cs="仿宋_GB2312"/>
          <w:sz w:val="32"/>
          <w:szCs w:val="32"/>
        </w:rPr>
        <w:t>公务用车购置支出</w:t>
      </w:r>
      <w:r>
        <w:rPr>
          <w:rFonts w:hint="eastAsia" w:ascii="仿宋_GB2312" w:hAnsi="仿宋_GB2312" w:eastAsia="仿宋_GB2312" w:cs="仿宋_GB2312"/>
          <w:sz w:val="32"/>
          <w:szCs w:val="32"/>
        </w:rPr>
        <w:t>0.00万元。全年按规定更新购置公务用车0辆，其中：轿车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万元，越野车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万元。截至202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年12月底，单位共有公务用车0辆，其中：轿车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辆、越野车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14:paraId="3C13F13A">
      <w:pPr>
        <w:spacing w:line="600" w:lineRule="exact"/>
        <w:ind w:firstLine="640"/>
        <w:rPr>
          <w:rFonts w:hint="default" w:ascii="仿宋_GB2312" w:hAnsi="仿宋_GB2312" w:eastAsia="仿宋_GB2312" w:cs="仿宋_GB2312"/>
          <w:sz w:val="32"/>
          <w:szCs w:val="32"/>
          <w:lang w:val="en-US" w:eastAsia="zh-CN"/>
        </w:rPr>
      </w:pPr>
      <w:r>
        <w:rPr>
          <w:rStyle w:val="13"/>
          <w:rFonts w:hint="eastAsia" w:ascii="仿宋_GB2312" w:hAnsi="仿宋_GB2312" w:eastAsia="仿宋_GB2312" w:cs="仿宋_GB2312"/>
          <w:sz w:val="32"/>
          <w:szCs w:val="32"/>
        </w:rPr>
        <w:t>公务用车运行维护费支出</w:t>
      </w:r>
      <w:r>
        <w:rPr>
          <w:rFonts w:hint="eastAsia" w:ascii="仿宋_GB2312" w:hAnsi="仿宋_GB2312" w:eastAsia="仿宋_GB2312" w:cs="仿宋_GB2312"/>
          <w:sz w:val="32"/>
          <w:szCs w:val="32"/>
        </w:rPr>
        <w:t>3.00万元。</w:t>
      </w:r>
      <w:r>
        <w:rPr>
          <w:rFonts w:hint="eastAsia" w:ascii="仿宋_GB2312" w:hAnsi="仿宋_GB2312" w:eastAsia="仿宋_GB2312" w:cs="仿宋_GB2312"/>
          <w:sz w:val="32"/>
          <w:szCs w:val="32"/>
          <w:lang w:val="en-US" w:eastAsia="zh-CN"/>
        </w:rPr>
        <w:t>主要用于</w:t>
      </w:r>
      <w:r>
        <w:rPr>
          <w:rFonts w:hint="eastAsia" w:ascii="仿宋_GB2312" w:hAnsi="仿宋_GB2312" w:eastAsia="仿宋_GB2312" w:cs="仿宋_GB2312"/>
          <w:color w:val="000000"/>
          <w:sz w:val="32"/>
          <w:szCs w:val="32"/>
          <w:lang w:val="en-US" w:eastAsia="zh-CN"/>
        </w:rPr>
        <w:t>因公出差、培训、会议、下乡</w:t>
      </w:r>
      <w:r>
        <w:rPr>
          <w:rFonts w:hint="eastAsia" w:ascii="仿宋_GB2312" w:hAnsi="仿宋_GB2312" w:eastAsia="仿宋_GB2312" w:cs="仿宋_GB2312"/>
          <w:sz w:val="32"/>
          <w:szCs w:val="32"/>
        </w:rPr>
        <w:t>等所需的公务用车燃料费、维修费、过路过桥费、保险费等支出。</w:t>
      </w:r>
      <w:r>
        <w:rPr>
          <w:rFonts w:hint="eastAsia" w:ascii="仿宋_GB2312" w:hAnsi="仿宋_GB2312" w:eastAsia="仿宋_GB2312" w:cs="仿宋_GB2312"/>
          <w:sz w:val="32"/>
          <w:szCs w:val="32"/>
          <w:lang w:val="en-US" w:eastAsia="zh-CN"/>
        </w:rPr>
        <w:t xml:space="preserve">                           </w:t>
      </w:r>
    </w:p>
    <w:p w14:paraId="09CA5EBC">
      <w:pPr>
        <w:pStyle w:val="10"/>
        <w:numPr>
          <w:ilvl w:val="0"/>
          <w:numId w:val="2"/>
        </w:numPr>
        <w:shd w:val="clear" w:color="auto" w:fill="FFFFFF"/>
        <w:rPr>
          <w:rFonts w:hint="eastAsia" w:ascii="仿宋_GB2312" w:hAnsi="仿宋_GB2312" w:eastAsia="仿宋_GB2312" w:cs="仿宋_GB2312"/>
          <w:sz w:val="32"/>
          <w:szCs w:val="32"/>
          <w:lang w:val="en-US" w:eastAsia="zh-CN"/>
        </w:rPr>
      </w:pPr>
      <w:r>
        <w:rPr>
          <w:rStyle w:val="13"/>
          <w:rFonts w:hint="eastAsia" w:ascii="仿宋_GB2312" w:hAnsi="仿宋_GB2312" w:eastAsia="仿宋_GB2312" w:cs="仿宋_GB2312"/>
          <w:sz w:val="32"/>
          <w:szCs w:val="32"/>
        </w:rPr>
        <w:t>公务接待费支出</w:t>
      </w:r>
      <w:r>
        <w:rPr>
          <w:rFonts w:hint="eastAsia" w:ascii="仿宋_GB2312" w:hAnsi="仿宋_GB2312" w:eastAsia="仿宋_GB2312" w:cs="仿宋_GB2312"/>
          <w:sz w:val="32"/>
          <w:szCs w:val="32"/>
        </w:rPr>
        <w:t>0.09万元，</w:t>
      </w:r>
      <w:r>
        <w:rPr>
          <w:rStyle w:val="13"/>
          <w:rFonts w:hint="eastAsia" w:ascii="仿宋_GB2312" w:hAnsi="仿宋_GB2312" w:eastAsia="仿宋_GB2312" w:cs="仿宋_GB2312"/>
          <w:sz w:val="32"/>
          <w:szCs w:val="32"/>
        </w:rPr>
        <w:t>完成预算100%。</w:t>
      </w:r>
      <w:r>
        <w:rPr>
          <w:rFonts w:hint="eastAsia" w:ascii="仿宋_GB2312" w:hAnsi="仿宋_GB2312" w:eastAsia="仿宋_GB2312" w:cs="仿宋_GB2312"/>
          <w:sz w:val="32"/>
          <w:szCs w:val="32"/>
        </w:rPr>
        <w:t>公务接待费支出决算比2021年增加0.08万元，增长636.80%。</w:t>
      </w:r>
      <w:r>
        <w:rPr>
          <w:rFonts w:hint="eastAsia" w:ascii="仿宋_GB2312" w:hAnsi="仿宋_GB2312" w:eastAsia="仿宋_GB2312" w:cs="仿宋_GB2312"/>
          <w:sz w:val="32"/>
          <w:szCs w:val="32"/>
          <w:lang w:val="en-US" w:eastAsia="zh-CN"/>
        </w:rPr>
        <w:t>上级调研工作开支</w:t>
      </w:r>
      <w:r>
        <w:rPr>
          <w:rFonts w:hint="eastAsia" w:ascii="仿宋_GB2312" w:hAnsi="仿宋_GB2312" w:eastAsia="仿宋_GB2312" w:cs="仿宋_GB2312"/>
          <w:sz w:val="32"/>
          <w:szCs w:val="32"/>
        </w:rPr>
        <w:t>。其中：</w:t>
      </w:r>
      <w:r>
        <w:rPr>
          <w:rStyle w:val="13"/>
          <w:rFonts w:hint="eastAsia" w:ascii="仿宋_GB2312" w:hAnsi="仿宋_GB2312" w:eastAsia="仿宋_GB2312" w:cs="仿宋_GB2312"/>
          <w:sz w:val="32"/>
          <w:szCs w:val="32"/>
        </w:rPr>
        <w:t>国内公务接待支出</w:t>
      </w:r>
      <w:r>
        <w:rPr>
          <w:rFonts w:hint="eastAsia" w:ascii="仿宋_GB2312" w:hAnsi="仿宋_GB2312" w:eastAsia="仿宋_GB2312" w:cs="仿宋_GB2312"/>
          <w:sz w:val="32"/>
          <w:szCs w:val="32"/>
        </w:rPr>
        <w:t>0.09万元，主要</w:t>
      </w:r>
      <w:r>
        <w:rPr>
          <w:rFonts w:hint="eastAsia" w:ascii="仿宋_GB2312" w:hAnsi="仿宋_GB2312" w:eastAsia="仿宋_GB2312" w:cs="仿宋_GB2312"/>
          <w:color w:val="000000"/>
          <w:sz w:val="32"/>
          <w:szCs w:val="32"/>
        </w:rPr>
        <w:t>用于</w:t>
      </w:r>
      <w:r>
        <w:rPr>
          <w:rFonts w:hint="eastAsia" w:ascii="仿宋_GB2312" w:hAnsi="仿宋_GB2312" w:eastAsia="仿宋_GB2312" w:cs="仿宋_GB2312"/>
          <w:color w:val="000000"/>
          <w:sz w:val="32"/>
          <w:szCs w:val="32"/>
          <w:lang w:val="en-US" w:eastAsia="zh-CN"/>
        </w:rPr>
        <w:t>上级调研工作开支</w:t>
      </w:r>
      <w:r>
        <w:rPr>
          <w:rFonts w:hint="eastAsia" w:ascii="仿宋_GB2312" w:hAnsi="仿宋_GB2312" w:eastAsia="仿宋_GB2312" w:cs="仿宋_GB2312"/>
          <w:color w:val="000000"/>
          <w:sz w:val="32"/>
          <w:szCs w:val="32"/>
        </w:rPr>
        <w:t>(执行公务、开展业务活动开支的交通费、住宿费、用餐费等)</w:t>
      </w:r>
      <w:r>
        <w:rPr>
          <w:rFonts w:hint="eastAsia" w:ascii="仿宋_GB2312" w:hAnsi="仿宋_GB2312" w:eastAsia="仿宋_GB2312" w:cs="仿宋_GB2312"/>
          <w:sz w:val="32"/>
          <w:szCs w:val="32"/>
        </w:rPr>
        <w:t>。国内公务接待2批次，16人次（不包括陪同人员），共计支出0.09万元，</w:t>
      </w:r>
      <w:r>
        <w:rPr>
          <w:rFonts w:hint="eastAsia" w:ascii="仿宋_GB2312" w:hAnsi="仿宋_GB2312" w:eastAsia="仿宋_GB2312" w:cs="仿宋_GB2312"/>
          <w:sz w:val="32"/>
          <w:szCs w:val="32"/>
          <w:lang w:val="en-US" w:eastAsia="zh-CN"/>
        </w:rPr>
        <w:t>用于上级调研工作开支</w:t>
      </w:r>
    </w:p>
    <w:p w14:paraId="477B79E1">
      <w:pPr>
        <w:pStyle w:val="10"/>
        <w:numPr>
          <w:ilvl w:val="0"/>
          <w:numId w:val="0"/>
        </w:numPr>
        <w:shd w:val="clear" w:color="auto" w:fill="FFFFFF"/>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rPr>
        <w:t>外事接待支出</w:t>
      </w:r>
      <w:r>
        <w:rPr>
          <w:rFonts w:hint="eastAsia" w:ascii="仿宋_GB2312" w:hAnsi="仿宋_GB2312" w:eastAsia="仿宋_GB2312" w:cs="仿宋_GB2312"/>
          <w:sz w:val="32"/>
          <w:szCs w:val="32"/>
        </w:rPr>
        <w:t>0.00万元，外事接待0批次，0人，共计支出0.00万元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w:t>
      </w:r>
    </w:p>
    <w:p w14:paraId="4DFBAF5E">
      <w:pPr>
        <w:pStyle w:val="10"/>
        <w:shd w:val="clear" w:color="auto" w:fill="FFFFFF"/>
        <w:rPr>
          <w:rFonts w:hint="eastAsia" w:ascii="黑体" w:hAnsi="黑体" w:eastAsia="黑体" w:cs="黑体"/>
          <w:sz w:val="32"/>
          <w:szCs w:val="32"/>
        </w:rPr>
      </w:pPr>
      <w:r>
        <w:rPr>
          <w:rFonts w:hint="eastAsia" w:ascii="黑体" w:hAnsi="黑体" w:eastAsia="黑体" w:cs="黑体"/>
          <w:sz w:val="32"/>
          <w:szCs w:val="32"/>
        </w:rPr>
        <w:t>八、政府性基金预算支出决算情况说明</w:t>
      </w:r>
    </w:p>
    <w:p w14:paraId="46101E4D">
      <w:pPr>
        <w:pStyle w:val="10"/>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2022年政府性基金预算财政拨款支出0.00万元。</w:t>
      </w:r>
    </w:p>
    <w:p w14:paraId="1B8D9D4C">
      <w:pPr>
        <w:pStyle w:val="10"/>
        <w:shd w:val="clear" w:color="auto" w:fill="FFFFFF"/>
        <w:rPr>
          <w:rFonts w:hint="eastAsia" w:ascii="黑体" w:hAnsi="黑体" w:eastAsia="黑体" w:cs="黑体"/>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九、国有资本经营预算支出决算情况说明</w:t>
      </w:r>
    </w:p>
    <w:p w14:paraId="642C0010">
      <w:pPr>
        <w:pStyle w:val="10"/>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2022年国有资本经营预算财政拨款支出0.00万元。</w:t>
      </w:r>
    </w:p>
    <w:p w14:paraId="4ECED432">
      <w:pPr>
        <w:pStyle w:val="10"/>
        <w:shd w:val="clear" w:color="auto" w:fill="FFFFFF"/>
        <w:rPr>
          <w:rFonts w:hint="eastAsia" w:ascii="黑体" w:hAnsi="黑体" w:eastAsia="黑体" w:cs="黑体"/>
          <w:sz w:val="32"/>
          <w:szCs w:val="32"/>
        </w:rPr>
      </w:pPr>
      <w:r>
        <w:rPr>
          <w:rFonts w:hint="eastAsia" w:ascii="黑体" w:hAnsi="黑体" w:eastAsia="黑体" w:cs="黑体"/>
          <w:sz w:val="32"/>
          <w:szCs w:val="32"/>
        </w:rPr>
        <w:t>十、其他重要事项的情况说明</w:t>
      </w:r>
    </w:p>
    <w:p w14:paraId="51750F0B">
      <w:pPr>
        <w:pStyle w:val="10"/>
        <w:shd w:val="clear" w:color="auto" w:fill="FFFFFF"/>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rPr>
        <w:t>（一）机关运行经费支出情况</w:t>
      </w:r>
    </w:p>
    <w:p w14:paraId="261A43E2">
      <w:pPr>
        <w:spacing w:line="600" w:lineRule="exact"/>
        <w:ind w:firstLine="640" w:firstLineChars="200"/>
        <w:rPr>
          <w:rFonts w:hint="eastAsia" w:ascii="仿宋_GB2312" w:hAnsi="仿宋_GB2312" w:eastAsia="仿宋_GB2312" w:cs="仿宋_GB2312"/>
          <w:b/>
          <w:color w:val="FF0000"/>
          <w:sz w:val="32"/>
          <w:szCs w:val="32"/>
        </w:rPr>
      </w:pPr>
      <w:r>
        <w:rPr>
          <w:rFonts w:hint="eastAsia" w:ascii="仿宋_GB2312" w:hAnsi="仿宋_GB2312" w:eastAsia="仿宋_GB2312" w:cs="仿宋_GB2312"/>
          <w:sz w:val="32"/>
          <w:szCs w:val="32"/>
        </w:rPr>
        <w:t>2022年，四川省阿坝州九寨沟县财政国库支付中心机关运行经费支出23.20万元，比2021年增加2.85万元，增长14.00%。主要原因是</w:t>
      </w:r>
      <w:r>
        <w:rPr>
          <w:rFonts w:hint="eastAsia" w:ascii="仿宋_GB2312" w:hAnsi="仿宋_GB2312" w:eastAsia="仿宋_GB2312" w:cs="仿宋_GB2312"/>
          <w:color w:val="000000"/>
          <w:sz w:val="32"/>
          <w:szCs w:val="32"/>
          <w:lang w:val="en-US" w:eastAsia="zh-CN"/>
        </w:rPr>
        <w:t>办公费和公务用车运行维护费增加。</w:t>
      </w:r>
    </w:p>
    <w:p w14:paraId="54216DC6">
      <w:pPr>
        <w:pStyle w:val="10"/>
        <w:shd w:val="clear" w:color="auto" w:fill="FFFFFF"/>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rPr>
        <w:t>（二）政府采购支出情况</w:t>
      </w:r>
    </w:p>
    <w:p w14:paraId="38FA0352">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四川省阿坝州九寨沟县财政国库支付中心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14:paraId="515F110A">
      <w:pPr>
        <w:pStyle w:val="10"/>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Style w:val="13"/>
          <w:rFonts w:hint="eastAsia" w:ascii="仿宋_GB2312" w:hAnsi="仿宋_GB2312" w:eastAsia="仿宋_GB2312" w:cs="仿宋_GB2312"/>
          <w:sz w:val="32"/>
          <w:szCs w:val="32"/>
        </w:rPr>
        <w:t>（三）国有资产占有使用情况</w:t>
      </w:r>
    </w:p>
    <w:p w14:paraId="4FC34AA7">
      <w:pPr>
        <w:pStyle w:val="10"/>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截至2022年12月31日，四川省阿坝州九寨沟县财政国库支付中心共有车辆0辆，其中：主要领导干部用车0辆、机要通信用车0辆、应急保障用车0辆、其他用车0辆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其他用车主要是用于</w:t>
      </w:r>
      <w:r>
        <w:rPr>
          <w:rFonts w:hint="eastAsia" w:ascii="仿宋_GB2312" w:hAnsi="仿宋_GB2312" w:eastAsia="仿宋_GB2312" w:cs="仿宋_GB2312"/>
          <w:color w:val="000000"/>
          <w:sz w:val="32"/>
          <w:szCs w:val="32"/>
          <w:lang w:val="en-US" w:eastAsia="zh-CN"/>
        </w:rPr>
        <w:t>单位职工出差、培训、会议、下乡等一般公务用车。</w:t>
      </w:r>
      <w:r>
        <w:rPr>
          <w:rFonts w:hint="eastAsia" w:ascii="仿宋_GB2312" w:hAnsi="仿宋_GB2312" w:eastAsia="仿宋_GB2312" w:cs="仿宋_GB2312"/>
          <w:sz w:val="32"/>
          <w:szCs w:val="32"/>
        </w:rPr>
        <w:t>单价100万元（含）以上设备（不含车辆）0台（套）。</w:t>
      </w:r>
    </w:p>
    <w:p w14:paraId="7DE833E3">
      <w:pPr>
        <w:pStyle w:val="10"/>
        <w:shd w:val="clear" w:color="auto" w:fill="FFFFFF"/>
        <w:rPr>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rPr>
        <w:t>（四）预算绩效管理情况</w:t>
      </w:r>
    </w:p>
    <w:p w14:paraId="0F5DD500">
      <w:pPr>
        <w:pStyle w:val="2"/>
        <w:keepNext w:val="0"/>
        <w:keepLines w:val="0"/>
        <w:pageBreakBefore w:val="0"/>
        <w:numPr>
          <w:ilvl w:val="0"/>
          <w:numId w:val="0"/>
        </w:numPr>
        <w:kinsoku/>
        <w:wordWrap/>
        <w:overflowPunct/>
        <w:topLinePunct w:val="0"/>
        <w:autoSpaceDE/>
        <w:autoSpaceDN/>
        <w:bidi w:val="0"/>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本部门按要求对2022年部门整体支出开展绩效自评，从评价情况来看2022年制定的绩效目标能基本实现目标完成。</w:t>
      </w:r>
      <w:r>
        <w:rPr>
          <w:rFonts w:hint="eastAsia" w:ascii="仿宋_GB2312" w:hAnsi="仿宋_GB2312" w:eastAsia="仿宋_GB2312" w:cs="仿宋_GB2312"/>
          <w:kern w:val="2"/>
          <w:sz w:val="32"/>
          <w:szCs w:val="32"/>
          <w:lang w:val="zh-CN" w:eastAsia="zh-CN" w:bidi="ar-SA"/>
        </w:rPr>
        <w:t>存在问题：</w:t>
      </w:r>
      <w:r>
        <w:rPr>
          <w:rFonts w:hint="eastAsia" w:ascii="仿宋_GB2312" w:hAnsi="仿宋_GB2312" w:eastAsia="仿宋_GB2312" w:cs="仿宋_GB2312"/>
          <w:kern w:val="2"/>
          <w:sz w:val="32"/>
          <w:szCs w:val="32"/>
          <w:lang w:val="en-US" w:eastAsia="zh-CN" w:bidi="ar-SA"/>
        </w:rPr>
        <w:t>预算编制欠严谨。2022年初财政批复预算支出与实际支出有一定差距，存在支出预算调整的现象。由于年初预算不足，加上上级临时交办了一些任务，一些无法预计和列入年初预算的支出，需要在年度中间进行预算追加和调整。</w:t>
      </w:r>
      <w:r>
        <w:rPr>
          <w:rFonts w:hint="eastAsia" w:ascii="仿宋_GB2312" w:hAnsi="仿宋_GB2312" w:eastAsia="仿宋_GB2312" w:cs="仿宋_GB2312"/>
          <w:kern w:val="2"/>
          <w:sz w:val="32"/>
          <w:szCs w:val="32"/>
          <w:lang w:val="zh-CN" w:eastAsia="zh-CN" w:bidi="ar-SA"/>
        </w:rPr>
        <w:t>改进建议：</w:t>
      </w:r>
      <w:r>
        <w:rPr>
          <w:rFonts w:hint="eastAsia" w:ascii="仿宋_GB2312" w:hAnsi="仿宋_GB2312" w:eastAsia="仿宋_GB2312" w:cs="仿宋_GB2312"/>
          <w:kern w:val="2"/>
          <w:sz w:val="32"/>
          <w:szCs w:val="32"/>
          <w:lang w:val="en-US" w:eastAsia="zh-CN" w:bidi="ar-SA"/>
        </w:rPr>
        <w:t>科学合理编制预算，严格执行预算。鉴于财政局工作任务繁重，重点工作任务重，年初财政预算要尽量足额，以便在预算执行中，严格按照预算科目支出，为各项工作顺利开展，提供资金保证。</w:t>
      </w:r>
    </w:p>
    <w:p w14:paraId="06601F53">
      <w:pPr>
        <w:spacing w:line="580" w:lineRule="exact"/>
        <w:ind w:left="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.部门绩效评价结果。</w:t>
      </w:r>
    </w:p>
    <w:p w14:paraId="0B40B79C">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财政局</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年部门整体支出绩效评价报告》见附件（附件1）。</w:t>
      </w:r>
    </w:p>
    <w:p w14:paraId="3906B196">
      <w:pPr>
        <w:spacing w:line="580" w:lineRule="exact"/>
        <w:ind w:firstLine="643" w:firstLineChars="200"/>
        <w:rPr>
          <w:rFonts w:hint="eastAsia" w:ascii="仿宋_GB2312" w:hAnsi="仿宋_GB2312" w:eastAsia="仿宋_GB2312" w:cs="仿宋_GB2312"/>
          <w:b/>
          <w:color w:val="000000"/>
          <w:sz w:val="32"/>
          <w:szCs w:val="32"/>
        </w:rPr>
      </w:pPr>
    </w:p>
    <w:p w14:paraId="0D4B4B6D">
      <w:pPr>
        <w:pStyle w:val="10"/>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62A14DBC">
      <w:pPr>
        <w:pStyle w:val="10"/>
        <w:shd w:val="clear" w:color="auto" w:fill="FFFFFF"/>
        <w:ind w:firstLine="1446" w:firstLineChars="300"/>
        <w:jc w:val="both"/>
        <w:outlineLvl w:val="0"/>
        <w:rPr>
          <w:rFonts w:hint="eastAsia" w:ascii="黑体" w:hAnsi="黑体" w:eastAsia="黑体" w:cs="黑体"/>
          <w:sz w:val="48"/>
          <w:szCs w:val="48"/>
        </w:rPr>
      </w:pPr>
      <w:bookmarkStart w:id="6" w:name="_Toc5057"/>
      <w:r>
        <w:rPr>
          <w:rStyle w:val="13"/>
          <w:rFonts w:hint="eastAsia" w:ascii="黑体" w:hAnsi="黑体" w:eastAsia="黑体" w:cs="黑体"/>
          <w:sz w:val="48"/>
          <w:szCs w:val="48"/>
        </w:rPr>
        <w:t>第三部分 名词解释</w:t>
      </w:r>
      <w:bookmarkEnd w:id="6"/>
    </w:p>
    <w:p w14:paraId="1AAC6BA6">
      <w:pPr>
        <w:pStyle w:val="10"/>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4E5269E7">
      <w:pPr>
        <w:pStyle w:val="1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14:paraId="3964D0D5">
      <w:pPr>
        <w:pStyle w:val="1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14:paraId="0F4DEF2F">
      <w:pPr>
        <w:pStyle w:val="1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14:paraId="4F487816">
      <w:pPr>
        <w:pStyle w:val="1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14:paraId="1D3E145A">
      <w:pPr>
        <w:pStyle w:val="1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6606F909">
      <w:pPr>
        <w:pStyle w:val="1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14:paraId="312F33EE">
      <w:pPr>
        <w:pStyle w:val="1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14:paraId="66F4CD15">
      <w:pPr>
        <w:pStyle w:val="1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14:paraId="439FA393">
      <w:p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9.</w:t>
      </w:r>
      <w:r>
        <w:rPr>
          <w:rStyle w:val="13"/>
          <w:rFonts w:hint="eastAsia" w:ascii="仿宋_GB2312" w:hAnsi="仿宋_GB2312" w:eastAsia="仿宋_GB2312" w:cs="仿宋_GB2312"/>
          <w:b w:val="0"/>
          <w:bCs w:val="0"/>
          <w:color w:val="000000"/>
          <w:sz w:val="32"/>
          <w:szCs w:val="32"/>
        </w:rPr>
        <w:t>一般公共服务（</w:t>
      </w:r>
      <w:r>
        <w:rPr>
          <w:rStyle w:val="13"/>
          <w:rFonts w:hint="eastAsia" w:ascii="仿宋_GB2312" w:hAnsi="仿宋_GB2312" w:eastAsia="仿宋_GB2312" w:cs="仿宋_GB2312"/>
          <w:b w:val="0"/>
          <w:bCs w:val="0"/>
          <w:color w:val="000000"/>
          <w:sz w:val="32"/>
          <w:szCs w:val="32"/>
          <w:lang w:val="en-US" w:eastAsia="zh-CN"/>
        </w:rPr>
        <w:t>201</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财政事务</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06</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行政运行</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01</w:t>
      </w:r>
      <w:r>
        <w:rPr>
          <w:rStyle w:val="13"/>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b w:val="0"/>
          <w:bCs w:val="0"/>
          <w:color w:val="000000"/>
          <w:sz w:val="32"/>
          <w:szCs w:val="32"/>
          <w:lang w:val="en-US" w:eastAsia="zh-CN"/>
        </w:rPr>
        <w:t>反映政府财政事务支出，反映行政单位（包括实行公务员管理的事业单位）的基本支出</w:t>
      </w:r>
      <w:r>
        <w:rPr>
          <w:rFonts w:hint="eastAsia" w:ascii="仿宋_GB2312" w:hAnsi="仿宋_GB2312" w:eastAsia="仿宋_GB2312" w:cs="仿宋_GB2312"/>
          <w:b w:val="0"/>
          <w:bCs w:val="0"/>
          <w:color w:val="000000"/>
          <w:sz w:val="32"/>
          <w:szCs w:val="32"/>
        </w:rPr>
        <w:t>。</w:t>
      </w:r>
    </w:p>
    <w:p w14:paraId="10244F7A">
      <w:pPr>
        <w:pStyle w:val="2"/>
        <w:ind w:left="0" w:leftChars="0" w:firstLine="640" w:firstLineChars="0"/>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10.</w:t>
      </w:r>
      <w:r>
        <w:rPr>
          <w:rStyle w:val="13"/>
          <w:rFonts w:hint="eastAsia" w:ascii="仿宋_GB2312" w:hAnsi="仿宋_GB2312" w:eastAsia="仿宋_GB2312" w:cs="仿宋_GB2312"/>
          <w:b w:val="0"/>
          <w:bCs w:val="0"/>
          <w:color w:val="000000"/>
          <w:sz w:val="32"/>
          <w:szCs w:val="32"/>
        </w:rPr>
        <w:t>一般公共服务（</w:t>
      </w:r>
      <w:r>
        <w:rPr>
          <w:rStyle w:val="13"/>
          <w:rFonts w:hint="eastAsia" w:ascii="仿宋_GB2312" w:hAnsi="仿宋_GB2312" w:eastAsia="仿宋_GB2312" w:cs="仿宋_GB2312"/>
          <w:b w:val="0"/>
          <w:bCs w:val="0"/>
          <w:color w:val="000000"/>
          <w:sz w:val="32"/>
          <w:szCs w:val="32"/>
          <w:lang w:val="en-US" w:eastAsia="zh-CN"/>
        </w:rPr>
        <w:t>201</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财政事务</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06</w:t>
      </w:r>
      <w:r>
        <w:rPr>
          <w:rStyle w:val="13"/>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val="en-US" w:eastAsia="zh-CN"/>
        </w:rPr>
        <w:t>一般行政管理事务(02):反映行政单位（包括实行公务员管理的事业单位）末单独设置的项级科目的其他项目支出。</w:t>
      </w:r>
    </w:p>
    <w:p w14:paraId="2908EDA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    11.</w:t>
      </w:r>
      <w:r>
        <w:rPr>
          <w:rStyle w:val="13"/>
          <w:rFonts w:hint="eastAsia" w:ascii="仿宋_GB2312" w:hAnsi="仿宋_GB2312" w:eastAsia="仿宋_GB2312" w:cs="仿宋_GB2312"/>
          <w:b w:val="0"/>
          <w:bCs w:val="0"/>
          <w:color w:val="000000"/>
          <w:sz w:val="32"/>
          <w:szCs w:val="32"/>
        </w:rPr>
        <w:t>一般公共服务（</w:t>
      </w:r>
      <w:r>
        <w:rPr>
          <w:rStyle w:val="13"/>
          <w:rFonts w:hint="eastAsia" w:ascii="仿宋_GB2312" w:hAnsi="仿宋_GB2312" w:eastAsia="仿宋_GB2312" w:cs="仿宋_GB2312"/>
          <w:b w:val="0"/>
          <w:bCs w:val="0"/>
          <w:color w:val="000000"/>
          <w:sz w:val="32"/>
          <w:szCs w:val="32"/>
          <w:lang w:val="en-US" w:eastAsia="zh-CN"/>
        </w:rPr>
        <w:t>201</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财政事务</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06</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财政委托业务支出(08):反映财政委托评审机构进行财政投资评审和委托建设银行等机构代理业务发生的支出。</w:t>
      </w:r>
    </w:p>
    <w:p w14:paraId="5ADB7A61">
      <w:pPr>
        <w:spacing w:line="600" w:lineRule="exact"/>
        <w:ind w:firstLine="640" w:firstLineChars="200"/>
        <w:rPr>
          <w:rStyle w:val="13"/>
          <w:rFonts w:hint="eastAsia" w:ascii="仿宋_GB2312" w:hAnsi="仿宋_GB2312" w:eastAsia="仿宋_GB2312" w:cs="仿宋_GB2312"/>
          <w:b w:val="0"/>
          <w:bCs w:val="0"/>
          <w:color w:val="000000"/>
          <w:sz w:val="32"/>
          <w:szCs w:val="32"/>
          <w:lang w:val="en-US" w:eastAsia="zh-CN"/>
        </w:rPr>
      </w:pPr>
      <w:r>
        <w:rPr>
          <w:rStyle w:val="13"/>
          <w:rFonts w:hint="eastAsia" w:ascii="仿宋_GB2312" w:hAnsi="仿宋_GB2312" w:eastAsia="仿宋_GB2312" w:cs="仿宋_GB2312"/>
          <w:b w:val="0"/>
          <w:bCs w:val="0"/>
          <w:color w:val="000000"/>
          <w:sz w:val="32"/>
          <w:szCs w:val="32"/>
          <w:lang w:val="en-US" w:eastAsia="zh-CN"/>
        </w:rPr>
        <w:t>12.</w:t>
      </w:r>
      <w:r>
        <w:rPr>
          <w:rStyle w:val="13"/>
          <w:rFonts w:hint="eastAsia" w:ascii="仿宋_GB2312" w:hAnsi="仿宋_GB2312" w:eastAsia="仿宋_GB2312" w:cs="仿宋_GB2312"/>
          <w:b w:val="0"/>
          <w:bCs w:val="0"/>
          <w:color w:val="000000"/>
          <w:sz w:val="32"/>
          <w:szCs w:val="32"/>
        </w:rPr>
        <w:t>一般公共服务（</w:t>
      </w:r>
      <w:r>
        <w:rPr>
          <w:rStyle w:val="13"/>
          <w:rFonts w:hint="eastAsia" w:ascii="仿宋_GB2312" w:hAnsi="仿宋_GB2312" w:eastAsia="仿宋_GB2312" w:cs="仿宋_GB2312"/>
          <w:b w:val="0"/>
          <w:bCs w:val="0"/>
          <w:color w:val="000000"/>
          <w:sz w:val="32"/>
          <w:szCs w:val="32"/>
          <w:lang w:val="en-US" w:eastAsia="zh-CN"/>
        </w:rPr>
        <w:t>201</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财政事务</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06</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其他财政事务支出(08)：反映除上述项目以处其他财政事务方面的支出。</w:t>
      </w:r>
    </w:p>
    <w:p w14:paraId="32D561D5">
      <w:pPr>
        <w:spacing w:line="600" w:lineRule="exact"/>
        <w:ind w:firstLine="640" w:firstLineChars="200"/>
        <w:rPr>
          <w:rStyle w:val="13"/>
          <w:rFonts w:hint="eastAsia" w:ascii="仿宋_GB2312" w:hAnsi="仿宋_GB2312" w:eastAsia="仿宋_GB2312" w:cs="仿宋_GB2312"/>
          <w:b w:val="0"/>
          <w:bCs w:val="0"/>
          <w:color w:val="000000"/>
          <w:sz w:val="32"/>
          <w:szCs w:val="32"/>
        </w:rPr>
      </w:pPr>
      <w:r>
        <w:rPr>
          <w:rStyle w:val="13"/>
          <w:rFonts w:hint="eastAsia" w:ascii="仿宋_GB2312" w:hAnsi="仿宋_GB2312" w:eastAsia="仿宋_GB2312" w:cs="仿宋_GB2312"/>
          <w:b w:val="0"/>
          <w:bCs w:val="0"/>
          <w:color w:val="000000"/>
          <w:sz w:val="32"/>
          <w:szCs w:val="32"/>
          <w:lang w:val="en-US" w:eastAsia="zh-CN"/>
        </w:rPr>
        <w:t>13</w:t>
      </w:r>
      <w:r>
        <w:rPr>
          <w:rStyle w:val="13"/>
          <w:rFonts w:hint="eastAsia" w:ascii="仿宋_GB2312" w:hAnsi="仿宋_GB2312" w:eastAsia="仿宋_GB2312" w:cs="仿宋_GB2312"/>
          <w:b w:val="0"/>
          <w:bCs w:val="0"/>
          <w:color w:val="000000"/>
          <w:sz w:val="32"/>
          <w:szCs w:val="32"/>
        </w:rPr>
        <w:t>.社会保障和就业（</w:t>
      </w:r>
      <w:r>
        <w:rPr>
          <w:rStyle w:val="13"/>
          <w:rFonts w:hint="eastAsia" w:ascii="仿宋_GB2312" w:hAnsi="仿宋_GB2312" w:eastAsia="仿宋_GB2312" w:cs="仿宋_GB2312"/>
          <w:b w:val="0"/>
          <w:bCs w:val="0"/>
          <w:color w:val="000000"/>
          <w:sz w:val="32"/>
          <w:szCs w:val="32"/>
          <w:lang w:val="en-US" w:eastAsia="zh-CN"/>
        </w:rPr>
        <w:t>208</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行政事业单位离退休（05）机关事业单位养老保险缴费支出</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05</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是指反映机关事业单位实施养老保险制度由单位缴纳的基本养老保险费支出</w:t>
      </w:r>
      <w:r>
        <w:rPr>
          <w:rStyle w:val="13"/>
          <w:rFonts w:hint="eastAsia" w:ascii="仿宋_GB2312" w:hAnsi="仿宋_GB2312" w:eastAsia="仿宋_GB2312" w:cs="仿宋_GB2312"/>
          <w:b w:val="0"/>
          <w:bCs w:val="0"/>
          <w:color w:val="000000"/>
          <w:sz w:val="32"/>
          <w:szCs w:val="32"/>
        </w:rPr>
        <w:t>。</w:t>
      </w:r>
    </w:p>
    <w:p w14:paraId="58180AD9">
      <w:pPr>
        <w:spacing w:line="600" w:lineRule="exact"/>
        <w:ind w:firstLine="640" w:firstLineChars="200"/>
        <w:rPr>
          <w:rStyle w:val="13"/>
          <w:rFonts w:hint="eastAsia" w:ascii="仿宋_GB2312" w:hAnsi="仿宋_GB2312" w:eastAsia="仿宋_GB2312" w:cs="仿宋_GB2312"/>
          <w:b w:val="0"/>
          <w:bCs w:val="0"/>
          <w:color w:val="000000"/>
          <w:sz w:val="32"/>
          <w:szCs w:val="32"/>
        </w:rPr>
      </w:pPr>
      <w:r>
        <w:rPr>
          <w:rStyle w:val="13"/>
          <w:rFonts w:hint="eastAsia" w:ascii="仿宋_GB2312" w:hAnsi="仿宋_GB2312" w:eastAsia="仿宋_GB2312" w:cs="仿宋_GB2312"/>
          <w:b w:val="0"/>
          <w:bCs w:val="0"/>
          <w:color w:val="000000"/>
          <w:sz w:val="32"/>
          <w:szCs w:val="32"/>
          <w:lang w:val="en-US" w:eastAsia="zh-CN"/>
        </w:rPr>
        <w:t>14、</w:t>
      </w:r>
      <w:r>
        <w:rPr>
          <w:rStyle w:val="13"/>
          <w:rFonts w:hint="eastAsia" w:ascii="仿宋_GB2312" w:hAnsi="仿宋_GB2312" w:eastAsia="仿宋_GB2312" w:cs="仿宋_GB2312"/>
          <w:b w:val="0"/>
          <w:bCs w:val="0"/>
          <w:color w:val="000000"/>
          <w:sz w:val="32"/>
          <w:szCs w:val="32"/>
        </w:rPr>
        <w:t>社会保障和就业（</w:t>
      </w:r>
      <w:r>
        <w:rPr>
          <w:rStyle w:val="13"/>
          <w:rFonts w:hint="eastAsia" w:ascii="仿宋_GB2312" w:hAnsi="仿宋_GB2312" w:eastAsia="仿宋_GB2312" w:cs="仿宋_GB2312"/>
          <w:b w:val="0"/>
          <w:bCs w:val="0"/>
          <w:color w:val="000000"/>
          <w:sz w:val="32"/>
          <w:szCs w:val="32"/>
          <w:lang w:val="en-US" w:eastAsia="zh-CN"/>
        </w:rPr>
        <w:t>208</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行政事业单位离退休（05）机关事业单位职业年金缴费支出（06)是指反映机关事业单位实施养老保险制度由单位实际缴纳的职业年金的支出</w:t>
      </w:r>
      <w:r>
        <w:rPr>
          <w:rStyle w:val="13"/>
          <w:rFonts w:hint="eastAsia" w:ascii="仿宋_GB2312" w:hAnsi="仿宋_GB2312" w:eastAsia="仿宋_GB2312" w:cs="仿宋_GB2312"/>
          <w:b w:val="0"/>
          <w:bCs w:val="0"/>
          <w:color w:val="000000"/>
          <w:sz w:val="32"/>
          <w:szCs w:val="32"/>
        </w:rPr>
        <w:t>。</w:t>
      </w:r>
    </w:p>
    <w:p w14:paraId="31F05742">
      <w:pPr>
        <w:spacing w:line="600" w:lineRule="exact"/>
        <w:ind w:firstLine="640" w:firstLineChars="200"/>
        <w:rPr>
          <w:rStyle w:val="13"/>
          <w:rFonts w:hint="eastAsia" w:ascii="仿宋_GB2312" w:hAnsi="仿宋_GB2312" w:eastAsia="仿宋_GB2312" w:cs="仿宋_GB2312"/>
          <w:b w:val="0"/>
          <w:bCs w:val="0"/>
          <w:color w:val="000000"/>
          <w:sz w:val="32"/>
          <w:szCs w:val="32"/>
        </w:rPr>
      </w:pPr>
      <w:r>
        <w:rPr>
          <w:rStyle w:val="13"/>
          <w:rFonts w:hint="eastAsia" w:ascii="仿宋_GB2312" w:hAnsi="仿宋_GB2312" w:eastAsia="仿宋_GB2312" w:cs="仿宋_GB2312"/>
          <w:b w:val="0"/>
          <w:bCs w:val="0"/>
          <w:color w:val="000000"/>
          <w:sz w:val="32"/>
          <w:szCs w:val="32"/>
          <w:lang w:val="en-US" w:eastAsia="zh-CN"/>
        </w:rPr>
        <w:t>15</w:t>
      </w:r>
      <w:r>
        <w:rPr>
          <w:rStyle w:val="13"/>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210</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卫生健康管理事务</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01</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其他卫生健康管理事务支出</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99</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是指反映其他用于卫生健康管理事务方面的支出</w:t>
      </w:r>
      <w:r>
        <w:rPr>
          <w:rStyle w:val="13"/>
          <w:rFonts w:hint="eastAsia" w:ascii="仿宋_GB2312" w:hAnsi="仿宋_GB2312" w:eastAsia="仿宋_GB2312" w:cs="仿宋_GB2312"/>
          <w:b w:val="0"/>
          <w:bCs w:val="0"/>
          <w:color w:val="000000"/>
          <w:sz w:val="32"/>
          <w:szCs w:val="32"/>
        </w:rPr>
        <w:t>。</w:t>
      </w:r>
    </w:p>
    <w:p w14:paraId="25894A0C">
      <w:pPr>
        <w:spacing w:line="600" w:lineRule="exact"/>
        <w:ind w:firstLine="640" w:firstLineChars="200"/>
        <w:rPr>
          <w:rStyle w:val="13"/>
          <w:rFonts w:hint="eastAsia" w:ascii="仿宋_GB2312" w:hAnsi="仿宋_GB2312" w:eastAsia="仿宋_GB2312" w:cs="仿宋_GB2312"/>
          <w:b w:val="0"/>
          <w:bCs w:val="0"/>
          <w:color w:val="000000"/>
          <w:sz w:val="32"/>
          <w:szCs w:val="32"/>
          <w:lang w:val="en-US" w:eastAsia="zh-CN"/>
        </w:rPr>
      </w:pPr>
      <w:r>
        <w:rPr>
          <w:rStyle w:val="13"/>
          <w:rFonts w:hint="eastAsia" w:ascii="仿宋_GB2312" w:hAnsi="仿宋_GB2312" w:eastAsia="仿宋_GB2312" w:cs="仿宋_GB2312"/>
          <w:b w:val="0"/>
          <w:bCs w:val="0"/>
          <w:color w:val="000000"/>
          <w:sz w:val="32"/>
          <w:szCs w:val="32"/>
          <w:lang w:val="en-US" w:eastAsia="zh-CN"/>
        </w:rPr>
        <w:t>16.</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210</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行政事业单位医疗</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11</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行政单位医疗</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01</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是指反映财政部门安排的行政单位（包括实行公务员管理的事业单位）基本医疗保险缴费经费，未参加医疗保险的行政单位的公费医疗经费，按国家规定享受离休人员待遇的医疗经费。</w:t>
      </w:r>
    </w:p>
    <w:p w14:paraId="2C9EF8B3">
      <w:pPr>
        <w:spacing w:line="600" w:lineRule="exact"/>
        <w:ind w:firstLine="640" w:firstLineChars="200"/>
        <w:rPr>
          <w:rStyle w:val="13"/>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210</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行政事业单位医疗</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11</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公务员医疗补助</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03</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是指反映财政部门安排的公务员医疗补助经费。</w:t>
      </w:r>
    </w:p>
    <w:p w14:paraId="26E576B0">
      <w:pPr>
        <w:pStyle w:val="2"/>
        <w:ind w:left="0" w:leftChars="0" w:firstLine="0" w:firstLineChars="0"/>
        <w:rPr>
          <w:rStyle w:val="13"/>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18.</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210</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行政事业单位医疗</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11</w:t>
      </w:r>
      <w:r>
        <w:rPr>
          <w:rStyle w:val="13"/>
          <w:rFonts w:hint="eastAsia" w:ascii="仿宋_GB2312" w:hAnsi="仿宋_GB2312" w:eastAsia="仿宋_GB2312" w:cs="仿宋_GB2312"/>
          <w:b w:val="0"/>
          <w:bCs w:val="0"/>
          <w:color w:val="000000"/>
          <w:sz w:val="32"/>
          <w:szCs w:val="32"/>
        </w:rPr>
        <w:t>）</w:t>
      </w:r>
      <w:r>
        <w:rPr>
          <w:rStyle w:val="13"/>
          <w:rFonts w:hint="eastAsia" w:ascii="仿宋_GB2312" w:hAnsi="仿宋_GB2312" w:eastAsia="仿宋_GB2312" w:cs="仿宋_GB2312"/>
          <w:b w:val="0"/>
          <w:bCs w:val="0"/>
          <w:color w:val="000000"/>
          <w:sz w:val="32"/>
          <w:szCs w:val="32"/>
          <w:lang w:val="en-US" w:eastAsia="zh-CN"/>
        </w:rPr>
        <w:t>其他行政事业单位医疗支出:反映除上述项目以外的其他用于行政事业单位医疗方面的支出。</w:t>
      </w:r>
    </w:p>
    <w:p w14:paraId="1EADD53D">
      <w:pPr>
        <w:pStyle w:val="2"/>
        <w:ind w:left="0" w:leftChars="0" w:firstLine="640" w:firstLineChars="200"/>
        <w:rPr>
          <w:rStyle w:val="13"/>
          <w:rFonts w:hint="eastAsia" w:ascii="仿宋_GB2312" w:hAnsi="仿宋_GB2312" w:eastAsia="仿宋_GB2312" w:cs="仿宋_GB2312"/>
          <w:b w:val="0"/>
          <w:bCs w:val="0"/>
          <w:color w:val="000000"/>
          <w:sz w:val="32"/>
          <w:szCs w:val="32"/>
          <w:lang w:val="en-US"/>
        </w:rPr>
      </w:pPr>
      <w:r>
        <w:rPr>
          <w:rFonts w:hint="eastAsia" w:ascii="仿宋_GB2312" w:hAnsi="仿宋_GB2312" w:eastAsia="仿宋_GB2312" w:cs="仿宋_GB2312"/>
          <w:b w:val="0"/>
          <w:bCs w:val="0"/>
          <w:color w:val="000000"/>
          <w:sz w:val="32"/>
          <w:szCs w:val="32"/>
          <w:lang w:val="en-US" w:eastAsia="zh-CN"/>
        </w:rPr>
        <w:t>19.住房保障支出（221）住房改革支出（02）住房公积金（01）是指反映行政事业单位按人力资源和社会保障部、财政部规定的基本工资和津贴补贴以及规定比例为职工缴纳的住房公积金。</w:t>
      </w:r>
    </w:p>
    <w:p w14:paraId="3D967773">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.基本支出：指为保障机构正常运转、完成日常工作</w:t>
      </w:r>
      <w:r>
        <w:rPr>
          <w:rFonts w:hint="eastAsia" w:ascii="仿宋_GB2312" w:hAnsi="仿宋_GB2312" w:eastAsia="仿宋_GB2312" w:cs="仿宋_GB2312"/>
          <w:color w:val="000000"/>
          <w:sz w:val="32"/>
          <w:szCs w:val="32"/>
        </w:rPr>
        <w:t>任务而发生的人员支出和公用支出。</w:t>
      </w:r>
    </w:p>
    <w:p w14:paraId="37EC0360">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14:paraId="519447E4">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14:paraId="62326D21">
      <w:pPr>
        <w:pStyle w:val="1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9E9A0B6">
      <w:pPr>
        <w:pStyle w:val="16"/>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7877BD9">
      <w:pPr>
        <w:pStyle w:val="10"/>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63147532">
      <w:pPr>
        <w:pStyle w:val="10"/>
        <w:shd w:val="clear" w:color="auto" w:fill="FFFFFF"/>
        <w:jc w:val="center"/>
        <w:outlineLvl w:val="0"/>
        <w:rPr>
          <w:rStyle w:val="13"/>
          <w:rFonts w:hint="eastAsia" w:ascii="仿宋_GB2312" w:hAnsi="仿宋_GB2312" w:eastAsia="仿宋_GB2312" w:cs="仿宋_GB2312"/>
          <w:sz w:val="32"/>
          <w:szCs w:val="32"/>
        </w:rPr>
      </w:pPr>
    </w:p>
    <w:p w14:paraId="1879667B">
      <w:pPr>
        <w:pStyle w:val="10"/>
        <w:shd w:val="clear" w:color="auto" w:fill="FFFFFF"/>
        <w:jc w:val="center"/>
        <w:outlineLvl w:val="0"/>
        <w:rPr>
          <w:rStyle w:val="13"/>
          <w:rFonts w:hint="eastAsia" w:ascii="仿宋_GB2312" w:hAnsi="仿宋_GB2312" w:eastAsia="仿宋_GB2312" w:cs="仿宋_GB2312"/>
          <w:sz w:val="32"/>
          <w:szCs w:val="32"/>
        </w:rPr>
      </w:pPr>
    </w:p>
    <w:p w14:paraId="7F557829">
      <w:pPr>
        <w:pStyle w:val="10"/>
        <w:shd w:val="clear" w:color="auto" w:fill="FFFFFF"/>
        <w:jc w:val="center"/>
        <w:outlineLvl w:val="0"/>
        <w:rPr>
          <w:rStyle w:val="13"/>
          <w:rFonts w:hint="eastAsia" w:ascii="仿宋_GB2312" w:hAnsi="仿宋_GB2312" w:eastAsia="仿宋_GB2312" w:cs="仿宋_GB2312"/>
          <w:sz w:val="32"/>
          <w:szCs w:val="32"/>
        </w:rPr>
      </w:pPr>
    </w:p>
    <w:p w14:paraId="4965A3E4">
      <w:pPr>
        <w:pStyle w:val="10"/>
        <w:shd w:val="clear" w:color="auto" w:fill="FFFFFF"/>
        <w:jc w:val="center"/>
        <w:outlineLvl w:val="0"/>
        <w:rPr>
          <w:rStyle w:val="13"/>
          <w:rFonts w:hint="eastAsia" w:ascii="仿宋_GB2312" w:hAnsi="仿宋_GB2312" w:eastAsia="仿宋_GB2312" w:cs="仿宋_GB2312"/>
          <w:sz w:val="32"/>
          <w:szCs w:val="32"/>
        </w:rPr>
      </w:pPr>
    </w:p>
    <w:p w14:paraId="76D53641">
      <w:pPr>
        <w:pStyle w:val="10"/>
        <w:shd w:val="clear" w:color="auto" w:fill="FFFFFF"/>
        <w:jc w:val="center"/>
        <w:outlineLvl w:val="0"/>
        <w:rPr>
          <w:rStyle w:val="13"/>
          <w:rFonts w:hint="eastAsia" w:ascii="仿宋_GB2312" w:hAnsi="仿宋_GB2312" w:eastAsia="仿宋_GB2312" w:cs="仿宋_GB2312"/>
          <w:sz w:val="32"/>
          <w:szCs w:val="32"/>
        </w:rPr>
      </w:pPr>
    </w:p>
    <w:p w14:paraId="237F716B">
      <w:pPr>
        <w:pStyle w:val="10"/>
        <w:shd w:val="clear" w:color="auto" w:fill="FFFFFF"/>
        <w:jc w:val="center"/>
        <w:outlineLvl w:val="0"/>
        <w:rPr>
          <w:rStyle w:val="13"/>
          <w:rFonts w:hint="eastAsia" w:ascii="仿宋_GB2312" w:hAnsi="仿宋_GB2312" w:eastAsia="仿宋_GB2312" w:cs="仿宋_GB2312"/>
          <w:sz w:val="32"/>
          <w:szCs w:val="32"/>
        </w:rPr>
      </w:pPr>
    </w:p>
    <w:p w14:paraId="7D8D329C">
      <w:pPr>
        <w:pStyle w:val="10"/>
        <w:shd w:val="clear" w:color="auto" w:fill="FFFFFF"/>
        <w:jc w:val="center"/>
        <w:outlineLvl w:val="0"/>
        <w:rPr>
          <w:rFonts w:hint="eastAsia" w:ascii="黑体" w:hAnsi="黑体" w:eastAsia="黑体" w:cs="黑体"/>
          <w:sz w:val="52"/>
          <w:szCs w:val="52"/>
        </w:rPr>
      </w:pPr>
      <w:bookmarkStart w:id="7" w:name="_Toc21348"/>
      <w:r>
        <w:rPr>
          <w:rStyle w:val="13"/>
          <w:rFonts w:hint="eastAsia" w:ascii="黑体" w:hAnsi="黑体" w:eastAsia="黑体" w:cs="黑体"/>
          <w:sz w:val="52"/>
          <w:szCs w:val="52"/>
        </w:rPr>
        <w:t>第四部分 附件</w:t>
      </w:r>
      <w:bookmarkEnd w:id="7"/>
    </w:p>
    <w:p w14:paraId="741AAE28">
      <w:pPr>
        <w:pStyle w:val="10"/>
        <w:shd w:val="clear" w:color="auto" w:fill="FFFFFF"/>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p>
    <w:p w14:paraId="41C9BAB9">
      <w:pPr>
        <w:pStyle w:val="10"/>
        <w:shd w:val="clear" w:color="auto" w:fill="FFFFFF"/>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w:t>
      </w:r>
      <w:r>
        <w:rPr>
          <w:rFonts w:hint="eastAsia" w:ascii="仿宋_GB2312" w:hAnsi="仿宋_GB2312" w:eastAsia="仿宋_GB2312" w:cs="仿宋_GB2312"/>
          <w:sz w:val="32"/>
          <w:szCs w:val="32"/>
          <w:lang w:val="en-US" w:eastAsia="zh-CN"/>
        </w:rPr>
        <w:t>财政局</w:t>
      </w:r>
      <w:r>
        <w:rPr>
          <w:rFonts w:hint="eastAsia" w:ascii="仿宋_GB2312" w:hAnsi="仿宋_GB2312" w:eastAsia="仿宋_GB2312" w:cs="仿宋_GB2312"/>
          <w:sz w:val="32"/>
          <w:szCs w:val="32"/>
        </w:rPr>
        <w:t>部门整体绩效评价报告</w:t>
      </w:r>
    </w:p>
    <w:p w14:paraId="4C1E1707">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一、</w:t>
      </w:r>
      <w:r>
        <w:rPr>
          <w:rFonts w:hint="eastAsia" w:ascii="仿宋_GB2312" w:hAnsi="仿宋_GB2312" w:eastAsia="仿宋_GB2312" w:cs="仿宋_GB2312"/>
          <w:color w:val="000000"/>
          <w:kern w:val="0"/>
          <w:sz w:val="32"/>
          <w:szCs w:val="32"/>
          <w:shd w:val="clear" w:color="auto" w:fill="FFFFFF"/>
          <w:lang w:val="zh-CN"/>
        </w:rPr>
        <w:t>部门（单位）概况</w:t>
      </w:r>
    </w:p>
    <w:p w14:paraId="605A09FA">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14:paraId="084DDBD0">
      <w:pPr>
        <w:widowControl/>
        <w:numPr>
          <w:ilvl w:val="0"/>
          <w:numId w:val="0"/>
        </w:numPr>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val="0"/>
          <w:bCs w:val="0"/>
          <w:sz w:val="32"/>
          <w:szCs w:val="32"/>
        </w:rPr>
        <w:t>九寨沟县</w:t>
      </w:r>
      <w:r>
        <w:rPr>
          <w:rFonts w:hint="eastAsia" w:ascii="仿宋_GB2312" w:hAnsi="仿宋_GB2312" w:eastAsia="仿宋_GB2312" w:cs="仿宋_GB2312"/>
          <w:b w:val="0"/>
          <w:bCs w:val="0"/>
          <w:sz w:val="32"/>
          <w:szCs w:val="32"/>
          <w:lang w:val="en-US" w:eastAsia="zh-CN"/>
        </w:rPr>
        <w:t>国库集中支付中心</w:t>
      </w:r>
      <w:r>
        <w:rPr>
          <w:rFonts w:hint="eastAsia" w:ascii="仿宋_GB2312" w:hAnsi="仿宋_GB2312" w:eastAsia="仿宋_GB2312" w:cs="仿宋_GB2312"/>
          <w:b w:val="0"/>
          <w:bCs w:val="0"/>
          <w:sz w:val="32"/>
          <w:szCs w:val="32"/>
        </w:rPr>
        <w:t>（简称</w:t>
      </w:r>
      <w:r>
        <w:rPr>
          <w:rFonts w:hint="eastAsia" w:ascii="仿宋_GB2312" w:hAnsi="仿宋_GB2312" w:eastAsia="仿宋_GB2312" w:cs="仿宋_GB2312"/>
          <w:b w:val="0"/>
          <w:bCs w:val="0"/>
          <w:sz w:val="32"/>
          <w:szCs w:val="32"/>
          <w:lang w:val="en-US" w:eastAsia="zh-CN"/>
        </w:rPr>
        <w:t>支付中心</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color w:val="000000"/>
          <w:kern w:val="0"/>
          <w:sz w:val="32"/>
          <w:szCs w:val="32"/>
          <w:shd w:val="clear" w:color="auto" w:fill="FFFFFF"/>
          <w:lang w:val="en-US" w:eastAsia="zh-CN"/>
        </w:rPr>
        <w:t>支付中心属机关参公单位，主要由资金组、审核组、县级报账组等构成，主要任务</w:t>
      </w:r>
      <w:r>
        <w:rPr>
          <w:rFonts w:hint="eastAsia" w:ascii="仿宋_GB2312" w:hAnsi="仿宋_GB2312" w:eastAsia="仿宋_GB2312" w:cs="仿宋_GB2312"/>
          <w:bCs/>
          <w:color w:val="000000"/>
          <w:sz w:val="32"/>
          <w:szCs w:val="32"/>
        </w:rPr>
        <w:t>配合财政各部门建立并完善国库单一账户体系，受理预算单位支付申请，办理财政集中收付业务，负责国库制度改革后财政各类资金的审核、支付和会计核算工作。</w:t>
      </w:r>
    </w:p>
    <w:p w14:paraId="1E955BE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仿宋_GB2312" w:hAnsi="仿宋_GB2312" w:eastAsia="仿宋_GB2312" w:cs="仿宋_GB2312"/>
          <w:b w:val="0"/>
          <w:bCs w:val="0"/>
          <w:color w:val="000000"/>
          <w:kern w:val="0"/>
          <w:sz w:val="32"/>
          <w:szCs w:val="32"/>
          <w:shd w:val="clear" w:color="auto" w:fill="FFFFFF"/>
          <w:lang w:val="en-US" w:eastAsia="zh-CN"/>
        </w:rPr>
      </w:pPr>
    </w:p>
    <w:p w14:paraId="3AADA4F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(二)</w:t>
      </w:r>
      <w:r>
        <w:rPr>
          <w:rFonts w:hint="eastAsia" w:ascii="仿宋_GB2312" w:hAnsi="仿宋_GB2312" w:eastAsia="仿宋_GB2312" w:cs="仿宋_GB2312"/>
          <w:b/>
          <w:bCs/>
          <w:color w:val="000000"/>
          <w:kern w:val="0"/>
          <w:sz w:val="32"/>
          <w:szCs w:val="32"/>
          <w:shd w:val="clear" w:color="auto" w:fill="FFFFFF"/>
          <w:lang w:val="zh-CN"/>
        </w:rPr>
        <w:t>机构职能。</w:t>
      </w:r>
    </w:p>
    <w:p w14:paraId="02CB6B3C">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color w:val="000000"/>
          <w:kern w:val="0"/>
          <w:sz w:val="32"/>
          <w:szCs w:val="32"/>
          <w:shd w:val="clear" w:color="auto" w:fill="FFFFFF"/>
          <w:lang w:val="en-US" w:eastAsia="zh-CN"/>
        </w:rPr>
        <w:t xml:space="preserve"> </w:t>
      </w:r>
      <w:r>
        <w:rPr>
          <w:rFonts w:hint="eastAsia" w:ascii="仿宋_GB2312" w:hAnsi="仿宋_GB2312" w:eastAsia="仿宋_GB2312" w:cs="仿宋_GB2312"/>
          <w:bCs/>
          <w:color w:val="000000"/>
          <w:sz w:val="32"/>
          <w:szCs w:val="32"/>
        </w:rPr>
        <w:t>1.具体办理财政支付业务。根据财政批复的预算单位用款计划，审核预算单位的直接、授权支付申请，及时办理单位财政支付业务。</w:t>
      </w:r>
    </w:p>
    <w:p w14:paraId="7FC5253E">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2.管理和使用国库单一账户体系有关账户，包括财政零余额账户、预算单位零余额账户等；负责办理财政零余额账户的开设、变更和撤销等事宜。</w:t>
      </w:r>
    </w:p>
    <w:p w14:paraId="1041ADAF">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3.按照国库股批复的单位用款计划，及时向代理银行发送用款额度，定期与代理银行核对用款额度余额。</w:t>
      </w:r>
    </w:p>
    <w:p w14:paraId="7BC79167">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4.负责国库集中支付中心的账务核算；定期与国库科、代理银行、预算单位对账。</w:t>
      </w:r>
    </w:p>
    <w:p w14:paraId="67CF763E">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5.负责财政零余额账户、预算单位零余额账户的资金清算工作。</w:t>
      </w:r>
    </w:p>
    <w:p w14:paraId="2AD94295">
      <w:pPr>
        <w:widowControl/>
        <w:numPr>
          <w:ilvl w:val="0"/>
          <w:numId w:val="0"/>
        </w:numPr>
        <w:adjustRightInd w:val="0"/>
        <w:snapToGrid w:val="0"/>
        <w:spacing w:line="580" w:lineRule="exact"/>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bCs/>
          <w:color w:val="000000"/>
          <w:sz w:val="32"/>
          <w:szCs w:val="32"/>
        </w:rPr>
        <w:t>6.集中管理国库集中收付制度使用的各种凭证和票据。</w:t>
      </w:r>
    </w:p>
    <w:p w14:paraId="06126FE2">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（三）人员概况。</w:t>
      </w:r>
    </w:p>
    <w:p w14:paraId="2E16C60D">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sz w:val="32"/>
          <w:szCs w:val="32"/>
        </w:rPr>
        <w:t>参公编制22人。</w:t>
      </w:r>
      <w:r>
        <w:rPr>
          <w:rFonts w:hint="eastAsia" w:ascii="仿宋_GB2312" w:hAnsi="仿宋_GB2312" w:eastAsia="仿宋_GB2312" w:cs="仿宋_GB2312"/>
          <w:sz w:val="32"/>
          <w:szCs w:val="32"/>
          <w:lang w:val="en-US" w:eastAsia="zh-CN"/>
        </w:rPr>
        <w:t>2022年年末</w:t>
      </w:r>
      <w:r>
        <w:rPr>
          <w:rFonts w:hint="eastAsia" w:ascii="仿宋_GB2312" w:hAnsi="仿宋_GB2312" w:eastAsia="仿宋_GB2312" w:cs="仿宋_GB2312"/>
          <w:sz w:val="32"/>
          <w:szCs w:val="32"/>
        </w:rPr>
        <w:t>实有在职人数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退休人员4人。</w:t>
      </w:r>
    </w:p>
    <w:p w14:paraId="0E7E3AF3">
      <w:pPr>
        <w:keepNext w:val="0"/>
        <w:keepLines w:val="0"/>
        <w:pageBreakBefore w:val="0"/>
        <w:widowControl/>
        <w:numPr>
          <w:ilvl w:val="0"/>
          <w:numId w:val="3"/>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仿宋_GB2312" w:hAnsi="仿宋_GB2312" w:eastAsia="仿宋_GB2312" w:cs="仿宋_GB2312"/>
          <w:b w:val="0"/>
          <w:bCs w:val="0"/>
          <w:color w:val="000000"/>
          <w:kern w:val="0"/>
          <w:sz w:val="32"/>
          <w:szCs w:val="32"/>
          <w:shd w:val="clear" w:color="auto" w:fill="FFFFFF"/>
        </w:rPr>
      </w:pPr>
      <w:r>
        <w:rPr>
          <w:rFonts w:hint="eastAsia" w:ascii="仿宋_GB2312" w:hAnsi="仿宋_GB2312" w:eastAsia="仿宋_GB2312" w:cs="仿宋_GB2312"/>
          <w:b w:val="0"/>
          <w:bCs w:val="0"/>
          <w:color w:val="000000"/>
          <w:kern w:val="0"/>
          <w:sz w:val="32"/>
          <w:szCs w:val="32"/>
          <w:shd w:val="clear" w:color="auto" w:fill="FFFFFF"/>
        </w:rPr>
        <w:t>部门财政资金收支情况</w:t>
      </w:r>
    </w:p>
    <w:p w14:paraId="514B6465">
      <w:pPr>
        <w:keepNext w:val="0"/>
        <w:keepLines w:val="0"/>
        <w:pageBreakBefore w:val="0"/>
        <w:kinsoku/>
        <w:wordWrap/>
        <w:overflowPunct/>
        <w:topLinePunct w:val="0"/>
        <w:autoSpaceDE/>
        <w:autoSpaceDN/>
        <w:bidi w:val="0"/>
        <w:spacing w:line="360" w:lineRule="auto"/>
        <w:textAlignment w:val="auto"/>
        <w:rPr>
          <w:rFonts w:hint="eastAsia" w:ascii="仿宋_GB2312" w:hAnsi="仿宋_GB2312" w:eastAsia="仿宋_GB2312" w:cs="仿宋_GB2312"/>
          <w:b w:val="0"/>
          <w:bCs w:val="0"/>
          <w:sz w:val="32"/>
          <w:szCs w:val="32"/>
          <w:shd w:val="clear" w:color="auto" w:fill="FFFFFF"/>
        </w:rPr>
      </w:pPr>
      <w:r>
        <w:rPr>
          <w:rFonts w:hint="eastAsia" w:ascii="仿宋_GB2312" w:hAnsi="仿宋_GB2312" w:eastAsia="仿宋_GB2312" w:cs="仿宋_GB2312"/>
          <w:b w:val="0"/>
          <w:bCs w:val="0"/>
          <w:color w:val="000000"/>
          <w:kern w:val="0"/>
          <w:sz w:val="32"/>
          <w:szCs w:val="32"/>
          <w:shd w:val="clear" w:color="auto" w:fill="FFFFFF"/>
          <w:lang w:val="en-US" w:eastAsia="zh-CN"/>
        </w:rPr>
        <w:t xml:space="preserve">    </w:t>
      </w:r>
      <w:r>
        <w:rPr>
          <w:rFonts w:hint="eastAsia" w:ascii="仿宋_GB2312" w:hAnsi="仿宋_GB2312" w:eastAsia="仿宋_GB2312" w:cs="仿宋_GB2312"/>
          <w:b w:val="0"/>
          <w:bCs w:val="0"/>
          <w:sz w:val="32"/>
          <w:szCs w:val="32"/>
          <w:shd w:val="clear" w:color="auto" w:fill="FFFFFF"/>
        </w:rPr>
        <w:t>按照综合预算的原则，</w:t>
      </w:r>
      <w:r>
        <w:rPr>
          <w:rFonts w:hint="eastAsia" w:ascii="仿宋_GB2312" w:hAnsi="仿宋_GB2312" w:eastAsia="仿宋_GB2312" w:cs="仿宋_GB2312"/>
          <w:b w:val="0"/>
          <w:bCs w:val="0"/>
          <w:sz w:val="32"/>
          <w:szCs w:val="32"/>
          <w:shd w:val="clear" w:color="auto" w:fill="FFFFFF"/>
          <w:lang w:val="en-US" w:eastAsia="zh-CN"/>
        </w:rPr>
        <w:t>支付中心全部</w:t>
      </w:r>
      <w:r>
        <w:rPr>
          <w:rFonts w:hint="eastAsia" w:ascii="仿宋_GB2312" w:hAnsi="仿宋_GB2312" w:eastAsia="仿宋_GB2312" w:cs="仿宋_GB2312"/>
          <w:b w:val="0"/>
          <w:bCs w:val="0"/>
          <w:sz w:val="32"/>
          <w:szCs w:val="32"/>
          <w:shd w:val="clear" w:color="auto" w:fill="FFFFFF"/>
        </w:rPr>
        <w:t>收入和支出均纳入部门预算管理。收入包括：一般公共预算拨款收入，支出包括：一般公共服务支出、社会保障和就业支出、医疗卫生与计划生育支出、住房保障支出。</w:t>
      </w:r>
      <w:r>
        <w:rPr>
          <w:rFonts w:hint="eastAsia" w:ascii="仿宋_GB2312" w:hAnsi="仿宋_GB2312" w:eastAsia="仿宋_GB2312" w:cs="仿宋_GB2312"/>
          <w:b w:val="0"/>
          <w:bCs w:val="0"/>
          <w:sz w:val="32"/>
          <w:szCs w:val="32"/>
          <w:shd w:val="clear" w:color="auto" w:fill="FFFFFF"/>
          <w:lang w:val="en-US" w:eastAsia="zh-CN"/>
        </w:rPr>
        <w:t>支付中心</w:t>
      </w:r>
      <w:r>
        <w:rPr>
          <w:rFonts w:hint="eastAsia" w:ascii="仿宋_GB2312" w:hAnsi="仿宋_GB2312" w:eastAsia="仿宋_GB2312" w:cs="仿宋_GB2312"/>
          <w:b w:val="0"/>
          <w:bCs w:val="0"/>
          <w:sz w:val="32"/>
          <w:szCs w:val="32"/>
          <w:shd w:val="clear" w:color="auto" w:fill="FFFFFF"/>
        </w:rPr>
        <w:t>202</w:t>
      </w:r>
      <w:r>
        <w:rPr>
          <w:rFonts w:hint="eastAsia" w:ascii="仿宋_GB2312" w:hAnsi="仿宋_GB2312" w:eastAsia="仿宋_GB2312" w:cs="仿宋_GB2312"/>
          <w:b w:val="0"/>
          <w:bCs w:val="0"/>
          <w:sz w:val="32"/>
          <w:szCs w:val="32"/>
          <w:shd w:val="clear" w:color="auto" w:fill="FFFFFF"/>
          <w:lang w:val="en-US" w:eastAsia="zh-CN"/>
        </w:rPr>
        <w:t>2</w:t>
      </w:r>
      <w:r>
        <w:rPr>
          <w:rFonts w:hint="eastAsia" w:ascii="仿宋_GB2312" w:hAnsi="仿宋_GB2312" w:eastAsia="仿宋_GB2312" w:cs="仿宋_GB2312"/>
          <w:b w:val="0"/>
          <w:bCs w:val="0"/>
          <w:sz w:val="32"/>
          <w:szCs w:val="32"/>
          <w:shd w:val="clear" w:color="auto" w:fill="FFFFFF"/>
        </w:rPr>
        <w:t>年收</w:t>
      </w:r>
      <w:r>
        <w:rPr>
          <w:rFonts w:hint="eastAsia" w:ascii="仿宋_GB2312" w:hAnsi="仿宋_GB2312" w:eastAsia="仿宋_GB2312" w:cs="仿宋_GB2312"/>
          <w:b w:val="0"/>
          <w:bCs w:val="0"/>
          <w:sz w:val="32"/>
          <w:szCs w:val="32"/>
          <w:shd w:val="clear" w:color="auto" w:fill="FFFFFF"/>
          <w:lang w:val="en-US" w:eastAsia="zh-CN"/>
        </w:rPr>
        <w:t>入</w:t>
      </w:r>
      <w:r>
        <w:rPr>
          <w:rFonts w:hint="eastAsia" w:ascii="仿宋_GB2312" w:hAnsi="仿宋_GB2312" w:eastAsia="仿宋_GB2312" w:cs="仿宋_GB2312"/>
          <w:b w:val="0"/>
          <w:bCs w:val="0"/>
          <w:sz w:val="32"/>
          <w:szCs w:val="32"/>
          <w:shd w:val="clear" w:color="auto" w:fill="FFFFFF"/>
        </w:rPr>
        <w:t>预算</w:t>
      </w:r>
      <w:r>
        <w:rPr>
          <w:rFonts w:hint="eastAsia" w:ascii="仿宋_GB2312" w:hAnsi="仿宋_GB2312" w:eastAsia="仿宋_GB2312" w:cs="仿宋_GB2312"/>
          <w:b w:val="0"/>
          <w:bCs w:val="0"/>
          <w:sz w:val="32"/>
          <w:szCs w:val="32"/>
          <w:shd w:val="clear" w:color="auto" w:fill="FFFFFF"/>
          <w:lang w:val="en-US" w:eastAsia="zh-CN"/>
        </w:rPr>
        <w:t>377.53</w:t>
      </w:r>
      <w:r>
        <w:rPr>
          <w:rFonts w:hint="eastAsia" w:ascii="仿宋_GB2312" w:hAnsi="仿宋_GB2312" w:eastAsia="仿宋_GB2312" w:cs="仿宋_GB2312"/>
          <w:b w:val="0"/>
          <w:bCs w:val="0"/>
          <w:sz w:val="32"/>
          <w:szCs w:val="32"/>
          <w:shd w:val="clear" w:color="auto" w:fill="FFFFFF"/>
        </w:rPr>
        <w:t>万元</w:t>
      </w:r>
      <w:r>
        <w:rPr>
          <w:rFonts w:hint="eastAsia" w:ascii="仿宋_GB2312" w:hAnsi="仿宋_GB2312" w:eastAsia="仿宋_GB2312" w:cs="仿宋_GB2312"/>
          <w:b w:val="0"/>
          <w:bCs w:val="0"/>
          <w:sz w:val="32"/>
          <w:szCs w:val="32"/>
          <w:shd w:val="clear" w:color="auto" w:fill="FFFFFF"/>
          <w:lang w:val="en-US" w:eastAsia="zh-CN"/>
        </w:rPr>
        <w:t>，支出377.53万元</w:t>
      </w:r>
      <w:r>
        <w:rPr>
          <w:rFonts w:hint="eastAsia" w:ascii="仿宋_GB2312" w:hAnsi="仿宋_GB2312" w:eastAsia="仿宋_GB2312" w:cs="仿宋_GB2312"/>
          <w:b w:val="0"/>
          <w:bCs w:val="0"/>
          <w:sz w:val="32"/>
          <w:szCs w:val="32"/>
          <w:shd w:val="clear" w:color="auto" w:fill="FFFFFF"/>
        </w:rPr>
        <w:t>。</w:t>
      </w:r>
    </w:p>
    <w:p w14:paraId="40CC1548">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（一）部门财政资金收入情况。</w:t>
      </w:r>
    </w:p>
    <w:p w14:paraId="1B055AF4">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sz w:val="32"/>
          <w:szCs w:val="32"/>
          <w:shd w:val="clear" w:color="auto" w:fill="FFFFFF"/>
          <w:lang w:val="en-US" w:eastAsia="zh-CN"/>
        </w:rPr>
      </w:pPr>
      <w:r>
        <w:rPr>
          <w:rFonts w:hint="eastAsia" w:ascii="仿宋_GB2312" w:hAnsi="仿宋_GB2312" w:eastAsia="仿宋_GB2312" w:cs="仿宋_GB2312"/>
          <w:b w:val="0"/>
          <w:bCs w:val="0"/>
          <w:sz w:val="32"/>
          <w:szCs w:val="32"/>
          <w:shd w:val="clear" w:color="auto" w:fill="FFFFFF"/>
          <w:lang w:val="en-US" w:eastAsia="zh-CN"/>
        </w:rPr>
        <w:t>支付中心</w:t>
      </w:r>
      <w:r>
        <w:rPr>
          <w:rFonts w:hint="eastAsia" w:ascii="仿宋_GB2312" w:hAnsi="仿宋_GB2312" w:eastAsia="仿宋_GB2312" w:cs="仿宋_GB2312"/>
          <w:b w:val="0"/>
          <w:bCs w:val="0"/>
          <w:sz w:val="32"/>
          <w:szCs w:val="32"/>
          <w:shd w:val="clear" w:color="auto" w:fill="FFFFFF"/>
        </w:rPr>
        <w:t>202</w:t>
      </w:r>
      <w:r>
        <w:rPr>
          <w:rFonts w:hint="eastAsia" w:ascii="仿宋_GB2312" w:hAnsi="仿宋_GB2312" w:eastAsia="仿宋_GB2312" w:cs="仿宋_GB2312"/>
          <w:b w:val="0"/>
          <w:bCs w:val="0"/>
          <w:sz w:val="32"/>
          <w:szCs w:val="32"/>
          <w:shd w:val="clear" w:color="auto" w:fill="FFFFFF"/>
          <w:lang w:val="en-US" w:eastAsia="zh-CN"/>
        </w:rPr>
        <w:t>2</w:t>
      </w:r>
      <w:r>
        <w:rPr>
          <w:rFonts w:hint="eastAsia" w:ascii="仿宋_GB2312" w:hAnsi="仿宋_GB2312" w:eastAsia="仿宋_GB2312" w:cs="仿宋_GB2312"/>
          <w:b w:val="0"/>
          <w:bCs w:val="0"/>
          <w:sz w:val="32"/>
          <w:szCs w:val="32"/>
          <w:shd w:val="clear" w:color="auto" w:fill="FFFFFF"/>
        </w:rPr>
        <w:t>年收入预算</w:t>
      </w:r>
      <w:r>
        <w:rPr>
          <w:rFonts w:hint="eastAsia" w:ascii="仿宋_GB2312" w:hAnsi="仿宋_GB2312" w:eastAsia="仿宋_GB2312" w:cs="仿宋_GB2312"/>
          <w:b w:val="0"/>
          <w:bCs w:val="0"/>
          <w:sz w:val="32"/>
          <w:szCs w:val="32"/>
          <w:shd w:val="clear" w:color="auto" w:fill="FFFFFF"/>
          <w:lang w:val="en-US" w:eastAsia="zh-CN"/>
        </w:rPr>
        <w:t>377.53</w:t>
      </w:r>
      <w:r>
        <w:rPr>
          <w:rFonts w:hint="eastAsia" w:ascii="仿宋_GB2312" w:hAnsi="仿宋_GB2312" w:eastAsia="仿宋_GB2312" w:cs="仿宋_GB2312"/>
          <w:b w:val="0"/>
          <w:bCs w:val="0"/>
          <w:sz w:val="32"/>
          <w:szCs w:val="32"/>
          <w:shd w:val="clear" w:color="auto" w:fill="FFFFFF"/>
        </w:rPr>
        <w:t>万元，一般公共预算</w:t>
      </w:r>
      <w:r>
        <w:rPr>
          <w:rFonts w:hint="eastAsia" w:ascii="仿宋_GB2312" w:hAnsi="仿宋_GB2312" w:eastAsia="仿宋_GB2312" w:cs="仿宋_GB2312"/>
          <w:b w:val="0"/>
          <w:bCs w:val="0"/>
          <w:sz w:val="32"/>
          <w:szCs w:val="32"/>
          <w:shd w:val="clear" w:color="auto" w:fill="FFFFFF"/>
          <w:lang w:val="en-US" w:eastAsia="zh-CN"/>
        </w:rPr>
        <w:t>财政</w:t>
      </w:r>
      <w:r>
        <w:rPr>
          <w:rFonts w:hint="eastAsia" w:ascii="仿宋_GB2312" w:hAnsi="仿宋_GB2312" w:eastAsia="仿宋_GB2312" w:cs="仿宋_GB2312"/>
          <w:b w:val="0"/>
          <w:bCs w:val="0"/>
          <w:sz w:val="32"/>
          <w:szCs w:val="32"/>
          <w:shd w:val="clear" w:color="auto" w:fill="FFFFFF"/>
        </w:rPr>
        <w:t>拨款收入</w:t>
      </w:r>
      <w:r>
        <w:rPr>
          <w:rFonts w:hint="eastAsia" w:ascii="仿宋_GB2312" w:hAnsi="仿宋_GB2312" w:eastAsia="仿宋_GB2312" w:cs="仿宋_GB2312"/>
          <w:b w:val="0"/>
          <w:bCs w:val="0"/>
          <w:color w:val="333333"/>
          <w:sz w:val="32"/>
          <w:szCs w:val="32"/>
          <w:lang w:val="en-US" w:eastAsia="zh-CN"/>
        </w:rPr>
        <w:t>377.53</w:t>
      </w:r>
      <w:r>
        <w:rPr>
          <w:rFonts w:hint="eastAsia" w:ascii="仿宋_GB2312" w:hAnsi="仿宋_GB2312" w:eastAsia="仿宋_GB2312" w:cs="仿宋_GB2312"/>
          <w:b w:val="0"/>
          <w:bCs w:val="0"/>
          <w:sz w:val="32"/>
          <w:szCs w:val="32"/>
          <w:shd w:val="clear" w:color="auto" w:fill="FFFFFF"/>
        </w:rPr>
        <w:t>万元，占</w:t>
      </w:r>
      <w:r>
        <w:rPr>
          <w:rFonts w:hint="eastAsia" w:ascii="仿宋_GB2312" w:hAnsi="仿宋_GB2312" w:eastAsia="仿宋_GB2312" w:cs="仿宋_GB2312"/>
          <w:b w:val="0"/>
          <w:bCs w:val="0"/>
          <w:sz w:val="32"/>
          <w:szCs w:val="32"/>
          <w:shd w:val="clear" w:color="auto" w:fill="FFFFFF"/>
          <w:lang w:val="en-US" w:eastAsia="zh-CN"/>
        </w:rPr>
        <w:t>100</w:t>
      </w:r>
      <w:r>
        <w:rPr>
          <w:rFonts w:hint="eastAsia" w:ascii="仿宋_GB2312" w:hAnsi="仿宋_GB2312" w:eastAsia="仿宋_GB2312" w:cs="仿宋_GB2312"/>
          <w:b w:val="0"/>
          <w:bCs w:val="0"/>
          <w:sz w:val="32"/>
          <w:szCs w:val="32"/>
          <w:shd w:val="clear" w:color="auto" w:fill="FFFFFF"/>
        </w:rPr>
        <w:t>%</w:t>
      </w:r>
      <w:r>
        <w:rPr>
          <w:rFonts w:hint="eastAsia" w:ascii="仿宋_GB2312" w:hAnsi="仿宋_GB2312" w:eastAsia="仿宋_GB2312" w:cs="仿宋_GB2312"/>
          <w:b w:val="0"/>
          <w:bCs w:val="0"/>
          <w:sz w:val="32"/>
          <w:szCs w:val="32"/>
          <w:shd w:val="clear" w:color="auto" w:fill="FFFFFF"/>
          <w:lang w:eastAsia="zh-CN"/>
        </w:rPr>
        <w:t>。</w:t>
      </w:r>
      <w:r>
        <w:rPr>
          <w:rFonts w:hint="eastAsia" w:ascii="仿宋_GB2312" w:hAnsi="仿宋_GB2312" w:eastAsia="仿宋_GB2312" w:cs="仿宋_GB2312"/>
          <w:b w:val="0"/>
          <w:bCs w:val="0"/>
          <w:sz w:val="32"/>
          <w:szCs w:val="32"/>
          <w:shd w:val="clear" w:color="auto" w:fill="FFFFFF"/>
          <w:lang w:val="en-US" w:eastAsia="zh-CN"/>
        </w:rPr>
        <w:t>其中：一般公共服务支出288.79万元，社会保障和就业支出44.73万元，卫生健康支出14.91万元，住房保障支出25.63万元。</w:t>
      </w:r>
    </w:p>
    <w:p w14:paraId="41FC34B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w:t>
      </w:r>
      <w:r>
        <w:rPr>
          <w:rFonts w:hint="eastAsia" w:ascii="仿宋_GB2312" w:hAnsi="仿宋_GB2312" w:eastAsia="仿宋_GB2312" w:cs="仿宋_GB2312"/>
          <w:b/>
          <w:bCs/>
          <w:color w:val="000000"/>
          <w:kern w:val="0"/>
          <w:sz w:val="32"/>
          <w:szCs w:val="32"/>
          <w:shd w:val="clear" w:color="auto" w:fill="FFFFFF"/>
          <w:lang w:val="en-US" w:eastAsia="zh-CN"/>
        </w:rPr>
        <w:t>二）</w:t>
      </w:r>
      <w:r>
        <w:rPr>
          <w:rFonts w:hint="eastAsia" w:ascii="仿宋_GB2312" w:hAnsi="仿宋_GB2312" w:eastAsia="仿宋_GB2312" w:cs="仿宋_GB2312"/>
          <w:b/>
          <w:bCs/>
          <w:color w:val="000000"/>
          <w:kern w:val="0"/>
          <w:sz w:val="32"/>
          <w:szCs w:val="32"/>
          <w:shd w:val="clear" w:color="auto" w:fill="FFFFFF"/>
          <w:lang w:val="zh-CN"/>
        </w:rPr>
        <w:t>部门财政资金支出情况。</w:t>
      </w:r>
    </w:p>
    <w:p w14:paraId="38FA4265">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 xml:space="preserve"> </w:t>
      </w:r>
      <w:r>
        <w:rPr>
          <w:rFonts w:hint="eastAsia" w:ascii="仿宋_GB2312" w:hAnsi="仿宋_GB2312" w:eastAsia="仿宋_GB2312" w:cs="仿宋_GB2312"/>
          <w:b w:val="0"/>
          <w:bCs w:val="0"/>
          <w:sz w:val="32"/>
          <w:szCs w:val="32"/>
          <w:shd w:val="clear" w:color="auto" w:fill="FFFFFF"/>
          <w:lang w:val="en-US" w:eastAsia="zh-CN"/>
        </w:rPr>
        <w:t>支付中心</w:t>
      </w:r>
      <w:r>
        <w:rPr>
          <w:rFonts w:hint="eastAsia" w:ascii="仿宋_GB2312" w:hAnsi="仿宋_GB2312" w:eastAsia="仿宋_GB2312" w:cs="仿宋_GB2312"/>
          <w:b w:val="0"/>
          <w:bCs w:val="0"/>
          <w:sz w:val="32"/>
          <w:szCs w:val="32"/>
          <w:shd w:val="clear" w:color="auto" w:fill="FFFFFF"/>
        </w:rPr>
        <w:t>202</w:t>
      </w:r>
      <w:r>
        <w:rPr>
          <w:rFonts w:hint="eastAsia" w:ascii="仿宋_GB2312" w:hAnsi="仿宋_GB2312" w:eastAsia="仿宋_GB2312" w:cs="仿宋_GB2312"/>
          <w:b w:val="0"/>
          <w:bCs w:val="0"/>
          <w:sz w:val="32"/>
          <w:szCs w:val="32"/>
          <w:shd w:val="clear" w:color="auto" w:fill="FFFFFF"/>
          <w:lang w:val="en-US" w:eastAsia="zh-CN"/>
        </w:rPr>
        <w:t>2</w:t>
      </w:r>
      <w:r>
        <w:rPr>
          <w:rFonts w:hint="eastAsia" w:ascii="仿宋_GB2312" w:hAnsi="仿宋_GB2312" w:eastAsia="仿宋_GB2312" w:cs="仿宋_GB2312"/>
          <w:b w:val="0"/>
          <w:bCs w:val="0"/>
          <w:sz w:val="32"/>
          <w:szCs w:val="32"/>
          <w:shd w:val="clear" w:color="auto" w:fill="FFFFFF"/>
        </w:rPr>
        <w:t>年</w:t>
      </w:r>
      <w:r>
        <w:rPr>
          <w:rFonts w:hint="eastAsia" w:ascii="仿宋_GB2312" w:hAnsi="仿宋_GB2312" w:eastAsia="仿宋_GB2312" w:cs="仿宋_GB2312"/>
          <w:b w:val="0"/>
          <w:bCs w:val="0"/>
          <w:sz w:val="32"/>
          <w:szCs w:val="32"/>
          <w:shd w:val="clear" w:color="auto" w:fill="FFFFFF"/>
          <w:lang w:val="en-US" w:eastAsia="zh-CN"/>
        </w:rPr>
        <w:t>累计支出</w:t>
      </w:r>
      <w:r>
        <w:rPr>
          <w:rFonts w:hint="eastAsia" w:ascii="仿宋_GB2312" w:hAnsi="仿宋_GB2312" w:eastAsia="仿宋_GB2312" w:cs="仿宋_GB2312"/>
          <w:b w:val="0"/>
          <w:bCs w:val="0"/>
          <w:sz w:val="32"/>
          <w:szCs w:val="32"/>
          <w:shd w:val="clear" w:color="auto" w:fill="FFFFFF"/>
        </w:rPr>
        <w:t>预算</w:t>
      </w:r>
      <w:r>
        <w:rPr>
          <w:rFonts w:hint="eastAsia" w:ascii="仿宋_GB2312" w:hAnsi="仿宋_GB2312" w:eastAsia="仿宋_GB2312" w:cs="仿宋_GB2312"/>
          <w:b w:val="0"/>
          <w:bCs w:val="0"/>
          <w:sz w:val="32"/>
          <w:szCs w:val="32"/>
          <w:shd w:val="clear" w:color="auto" w:fill="FFFFFF"/>
          <w:lang w:val="en-US" w:eastAsia="zh-CN"/>
        </w:rPr>
        <w:t>377.53</w:t>
      </w:r>
      <w:r>
        <w:rPr>
          <w:rFonts w:hint="eastAsia" w:ascii="仿宋_GB2312" w:hAnsi="仿宋_GB2312" w:eastAsia="仿宋_GB2312" w:cs="仿宋_GB2312"/>
          <w:b w:val="0"/>
          <w:bCs w:val="0"/>
          <w:sz w:val="32"/>
          <w:szCs w:val="32"/>
          <w:shd w:val="clear" w:color="auto" w:fill="FFFFFF"/>
        </w:rPr>
        <w:t>万元，其中：基本支出</w:t>
      </w:r>
      <w:r>
        <w:rPr>
          <w:rFonts w:hint="eastAsia" w:ascii="仿宋_GB2312" w:hAnsi="仿宋_GB2312" w:eastAsia="仿宋_GB2312" w:cs="仿宋_GB2312"/>
          <w:b w:val="0"/>
          <w:bCs w:val="0"/>
          <w:sz w:val="32"/>
          <w:szCs w:val="32"/>
          <w:shd w:val="clear" w:color="auto" w:fill="FFFFFF"/>
          <w:lang w:val="en-US" w:eastAsia="zh-CN"/>
        </w:rPr>
        <w:t>377.53</w:t>
      </w:r>
      <w:r>
        <w:rPr>
          <w:rFonts w:hint="eastAsia" w:ascii="仿宋_GB2312" w:hAnsi="仿宋_GB2312" w:eastAsia="仿宋_GB2312" w:cs="仿宋_GB2312"/>
          <w:b w:val="0"/>
          <w:bCs w:val="0"/>
          <w:sz w:val="32"/>
          <w:szCs w:val="32"/>
          <w:shd w:val="clear" w:color="auto" w:fill="FFFFFF"/>
        </w:rPr>
        <w:t>万元，占</w:t>
      </w:r>
      <w:r>
        <w:rPr>
          <w:rFonts w:hint="eastAsia" w:ascii="仿宋_GB2312" w:hAnsi="仿宋_GB2312" w:eastAsia="仿宋_GB2312" w:cs="仿宋_GB2312"/>
          <w:b w:val="0"/>
          <w:bCs w:val="0"/>
          <w:sz w:val="32"/>
          <w:szCs w:val="32"/>
          <w:shd w:val="clear" w:color="auto" w:fill="FFFFFF"/>
          <w:lang w:val="en-US" w:eastAsia="zh-CN"/>
        </w:rPr>
        <w:t>100</w:t>
      </w:r>
      <w:r>
        <w:rPr>
          <w:rFonts w:hint="eastAsia" w:ascii="仿宋_GB2312" w:hAnsi="仿宋_GB2312" w:eastAsia="仿宋_GB2312" w:cs="仿宋_GB2312"/>
          <w:b w:val="0"/>
          <w:bCs w:val="0"/>
          <w:sz w:val="32"/>
          <w:szCs w:val="32"/>
          <w:shd w:val="clear" w:color="auto" w:fill="FFFFFF"/>
        </w:rPr>
        <w:t>%。</w:t>
      </w:r>
      <w:r>
        <w:rPr>
          <w:rFonts w:hint="eastAsia" w:ascii="仿宋_GB2312" w:hAnsi="仿宋_GB2312" w:eastAsia="仿宋_GB2312" w:cs="仿宋_GB2312"/>
          <w:b w:val="0"/>
          <w:bCs w:val="0"/>
          <w:sz w:val="32"/>
          <w:szCs w:val="32"/>
          <w:shd w:val="clear" w:color="auto" w:fill="FFFFFF"/>
          <w:lang w:val="en-US" w:eastAsia="zh-CN"/>
        </w:rPr>
        <w:t>项目支出0万元，占0%。工资性支出345.85万元，商品和服务支出23.20万元，对个人和家庭补助支出8.48万元，资本性支出0万元。</w:t>
      </w:r>
    </w:p>
    <w:p w14:paraId="3F02393A">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仿宋_GB2312" w:hAnsi="仿宋_GB2312" w:eastAsia="仿宋_GB2312" w:cs="仿宋_GB2312"/>
          <w:b w:val="0"/>
          <w:bCs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rPr>
        <w:t>三、</w:t>
      </w:r>
      <w:r>
        <w:rPr>
          <w:rFonts w:hint="eastAsia" w:ascii="仿宋_GB2312" w:hAnsi="仿宋_GB2312" w:eastAsia="仿宋_GB2312" w:cs="仿宋_GB2312"/>
          <w:b w:val="0"/>
          <w:bCs w:val="0"/>
          <w:sz w:val="32"/>
          <w:szCs w:val="32"/>
          <w:shd w:val="clear" w:color="auto" w:fill="FFFFFF"/>
          <w:lang w:val="en-US" w:eastAsia="zh-CN"/>
        </w:rPr>
        <w:t>部门整体预算绩效管理情况（根据适用指标体系进行调整，关联到有专项预算的部门，专项预算项目自评报告根据要求另行单独报送）</w:t>
      </w:r>
    </w:p>
    <w:p w14:paraId="257C49F7">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（一）部门预算管理。</w:t>
      </w:r>
    </w:p>
    <w:p w14:paraId="465EA524">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1.绩效目标制定</w:t>
      </w:r>
      <w:bookmarkStart w:id="9" w:name="_GoBack"/>
      <w:bookmarkEnd w:id="9"/>
    </w:p>
    <w:p w14:paraId="01C66D35">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目标一：不断改进和完善我县财政集中支付及有关实施办法，进一步规范办理程序，规范财政性资金支出行为，会同财政各股室对财政性资金集中支付过程实施管理和监督，加强财政支出管理，确保财政性资金支付准确、及时、安全。</w:t>
      </w:r>
    </w:p>
    <w:p w14:paraId="00375555">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目标二：加强集中支付管理，推进落实财政直接支付动态预警管理，提高财政直接支付审核效率。</w:t>
      </w:r>
    </w:p>
    <w:p w14:paraId="18658662">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目标三：加强队伍管理、内部管理、机关管理，确保干部、资金、机关“三个安全”。</w:t>
      </w:r>
    </w:p>
    <w:p w14:paraId="3923DD87">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shd w:val="clear" w:color="auto" w:fill="FFFFFF"/>
          <w:lang w:val="en-US" w:eastAsia="zh-CN"/>
        </w:rPr>
        <w:t>目标四：协助财政局做好监督检查各项工作。</w:t>
      </w:r>
    </w:p>
    <w:p w14:paraId="2BADCBFA">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rPr>
        <w:t>2.目标实现</w:t>
      </w:r>
    </w:p>
    <w:p w14:paraId="4A296FBC">
      <w:pPr>
        <w:pStyle w:val="6"/>
        <w:numPr>
          <w:ilvl w:val="0"/>
          <w:numId w:val="0"/>
        </w:numPr>
        <w:adjustRightInd w:val="0"/>
        <w:snapToGrid w:val="0"/>
        <w:spacing w:before="93" w:line="600" w:lineRule="exact"/>
        <w:ind w:firstLine="640" w:firstLineChars="200"/>
        <w:outlineLvl w:val="2"/>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加强集中支付支出管理。</w:t>
      </w:r>
    </w:p>
    <w:p w14:paraId="7FF879F9">
      <w:pPr>
        <w:pStyle w:val="6"/>
        <w:numPr>
          <w:ilvl w:val="0"/>
          <w:numId w:val="0"/>
        </w:numPr>
        <w:adjustRightInd w:val="0"/>
        <w:snapToGrid w:val="0"/>
        <w:spacing w:before="93" w:line="600" w:lineRule="exact"/>
        <w:ind w:firstLine="640" w:firstLineChars="200"/>
        <w:outlineLvl w:val="2"/>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推进落实财政直接支付动态预警管理，提高财政直接支付审核效率。严格执行财政资金集中支付程序，把好审核关，建立健全突发应急支付体系，准确开具资金支付凭证，安全高效支付财政资金。</w:t>
      </w:r>
    </w:p>
    <w:p w14:paraId="086F21EC">
      <w:pPr>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进一步规范和严格执行县级财政报账制，严格按照《四川省财政扶贫资金管理办法》和《四川省扶贫资金县级财政报账制实施办法》、“九寨沟县财政专项扶贫资金管理实施细则”执行，确保扶贫资金安全、有效使用。</w:t>
      </w:r>
    </w:p>
    <w:p w14:paraId="0016E39B">
      <w:pPr>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开通疫情防控资金拨付的绿色通道、优化报账流程、确保防控资金的安全、及时、准确支付。</w:t>
      </w:r>
    </w:p>
    <w:p w14:paraId="0D0E97BD">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4）协助配合县财政局参与多次监督检查各项工作。</w:t>
      </w:r>
    </w:p>
    <w:p w14:paraId="010188F4">
      <w:pPr>
        <w:numPr>
          <w:ilvl w:val="0"/>
          <w:numId w:val="0"/>
        </w:numPr>
        <w:pBdr>
          <w:bottom w:val="single" w:color="FFFFFF" w:sz="4" w:space="31"/>
        </w:pBdr>
        <w:tabs>
          <w:tab w:val="left" w:pos="1440"/>
        </w:tabs>
        <w:adjustRightInd w:val="0"/>
        <w:snapToGrid w:val="0"/>
        <w:spacing w:line="576" w:lineRule="exact"/>
        <w:ind w:firstLine="640" w:firstLineChars="200"/>
        <w:outlineLvl w:val="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3.预算编制准确</w:t>
      </w:r>
    </w:p>
    <w:p w14:paraId="2D15ECC1">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2022年支付中心部门基本预算批复一般公共预算拨款收入335.36万元，其中工资福利支出312.16万元，商品和服务支出23.2万元。项目支出0万元，2022年含量调整预算数377.53万元。2022年财政局出决算共计377.53万元，支出比例100%。 </w:t>
      </w:r>
    </w:p>
    <w:p w14:paraId="6842B079">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4.支出控制</w:t>
      </w:r>
    </w:p>
    <w:p w14:paraId="4BBCB81B">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计算部门日常公用经费、项目支出中“办公费、印刷费、水费、电费、物业管理费”等科目年初预算数与决算数偏差程度不存在偏差，主要是因为支付中心2022年度没有项目支出 。</w:t>
      </w:r>
    </w:p>
    <w:p w14:paraId="57A0EFD9">
      <w:pPr>
        <w:numPr>
          <w:ilvl w:val="0"/>
          <w:numId w:val="0"/>
        </w:numPr>
        <w:pBdr>
          <w:bottom w:val="single" w:color="FFFFFF" w:sz="4" w:space="31"/>
        </w:pBdr>
        <w:tabs>
          <w:tab w:val="left" w:pos="1440"/>
        </w:tabs>
        <w:adjustRightInd w:val="0"/>
        <w:snapToGrid w:val="0"/>
        <w:spacing w:line="576" w:lineRule="exact"/>
        <w:ind w:firstLine="640" w:firstLineChars="200"/>
        <w:outlineLvl w:val="2"/>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en-US" w:eastAsia="zh-CN"/>
        </w:rPr>
        <w:t>5.</w:t>
      </w:r>
      <w:r>
        <w:rPr>
          <w:rFonts w:hint="eastAsia" w:ascii="仿宋_GB2312" w:hAnsi="仿宋_GB2312" w:eastAsia="仿宋_GB2312" w:cs="仿宋_GB2312"/>
          <w:b w:val="0"/>
          <w:bCs w:val="0"/>
          <w:color w:val="000000"/>
          <w:kern w:val="0"/>
          <w:sz w:val="32"/>
          <w:szCs w:val="32"/>
          <w:shd w:val="clear" w:color="auto" w:fill="FFFFFF"/>
          <w:lang w:val="zh-CN"/>
        </w:rPr>
        <w:t>预算动态调整</w:t>
      </w:r>
    </w:p>
    <w:p w14:paraId="07C9E1C0">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评价部门开展绩效运行监控后，将绩效监控结果应用到预算调整的情况表现为部门绩效监控调整取消额与结余注销额均为零时。 </w:t>
      </w:r>
    </w:p>
    <w:p w14:paraId="407E007A">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6.执行进度                                         </w:t>
      </w:r>
    </w:p>
    <w:p w14:paraId="4E062D81">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部门预算执行进度达到序时进度的100%， 执行进度能够按要求达到序时推进进度。  </w:t>
      </w:r>
    </w:p>
    <w:p w14:paraId="4B3C4050">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7.预算完成情况   </w:t>
      </w:r>
    </w:p>
    <w:p w14:paraId="3001AC16">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此指标评价部门预算项目年终预算执行情况，支付中心2022年没有预算项目。</w:t>
      </w:r>
    </w:p>
    <w:p w14:paraId="262C56A4">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en-US" w:eastAsia="zh-CN"/>
        </w:rPr>
        <w:t>8.</w:t>
      </w:r>
      <w:r>
        <w:rPr>
          <w:rFonts w:hint="eastAsia" w:ascii="仿宋_GB2312" w:hAnsi="仿宋_GB2312" w:eastAsia="仿宋_GB2312" w:cs="仿宋_GB2312"/>
          <w:b w:val="0"/>
          <w:bCs w:val="0"/>
          <w:color w:val="000000"/>
          <w:kern w:val="0"/>
          <w:sz w:val="32"/>
          <w:szCs w:val="32"/>
          <w:shd w:val="clear" w:color="auto" w:fill="FFFFFF"/>
          <w:lang w:val="zh-CN"/>
        </w:rPr>
        <w:t>违规记录</w:t>
      </w:r>
    </w:p>
    <w:p w14:paraId="01ABF69D">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根据审计监督、财政检查结果未出现反映支付中心上一年度部门预算管理存在违规记录。</w:t>
      </w:r>
    </w:p>
    <w:p w14:paraId="38F488BD">
      <w:pPr>
        <w:numPr>
          <w:ilvl w:val="0"/>
          <w:numId w:val="0"/>
        </w:numPr>
        <w:pBdr>
          <w:bottom w:val="single" w:color="FFFFFF" w:sz="4" w:space="31"/>
        </w:pBdr>
        <w:tabs>
          <w:tab w:val="left" w:pos="1440"/>
        </w:tabs>
        <w:adjustRightInd w:val="0"/>
        <w:snapToGrid w:val="0"/>
        <w:spacing w:line="576" w:lineRule="exact"/>
        <w:ind w:leftChars="0" w:firstLine="643" w:firstLineChars="200"/>
        <w:jc w:val="left"/>
        <w:outlineLvl w:val="2"/>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w:t>
      </w:r>
      <w:r>
        <w:rPr>
          <w:rFonts w:hint="eastAsia" w:ascii="仿宋_GB2312" w:hAnsi="仿宋_GB2312" w:eastAsia="仿宋_GB2312" w:cs="仿宋_GB2312"/>
          <w:b/>
          <w:bCs/>
          <w:color w:val="000000"/>
          <w:kern w:val="0"/>
          <w:sz w:val="32"/>
          <w:szCs w:val="32"/>
          <w:shd w:val="clear" w:color="auto" w:fill="FFFFFF"/>
          <w:lang w:val="en-US" w:eastAsia="zh-CN"/>
        </w:rPr>
        <w:t>三）</w:t>
      </w:r>
      <w:r>
        <w:rPr>
          <w:rFonts w:hint="eastAsia" w:ascii="仿宋_GB2312" w:hAnsi="仿宋_GB2312" w:eastAsia="仿宋_GB2312" w:cs="仿宋_GB2312"/>
          <w:b/>
          <w:bCs/>
          <w:color w:val="000000"/>
          <w:kern w:val="0"/>
          <w:sz w:val="32"/>
          <w:szCs w:val="32"/>
          <w:shd w:val="clear" w:color="auto" w:fill="FFFFFF"/>
          <w:lang w:val="zh-CN"/>
        </w:rPr>
        <w:t>结果应用情况。</w:t>
      </w:r>
    </w:p>
    <w:p w14:paraId="01C73259">
      <w:pPr>
        <w:numPr>
          <w:ilvl w:val="0"/>
          <w:numId w:val="0"/>
        </w:numPr>
        <w:pBdr>
          <w:bottom w:val="single" w:color="FFFFFF" w:sz="4" w:space="31"/>
        </w:pBdr>
        <w:tabs>
          <w:tab w:val="left" w:pos="1440"/>
        </w:tabs>
        <w:adjustRightInd w:val="0"/>
        <w:snapToGrid w:val="0"/>
        <w:spacing w:line="576" w:lineRule="exact"/>
        <w:ind w:leftChars="0" w:firstLine="640" w:firstLineChars="200"/>
        <w:jc w:val="left"/>
        <w:outlineLvl w:val="2"/>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1.绩效自评公开</w:t>
      </w:r>
    </w:p>
    <w:p w14:paraId="27F54827">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2022年度部门整体绩效评价还末到时间将部门整体绩效自评情况和自行组织的评价情况向社会公开。</w:t>
      </w:r>
    </w:p>
    <w:p w14:paraId="1404A512">
      <w:pPr>
        <w:numPr>
          <w:ilvl w:val="0"/>
          <w:numId w:val="0"/>
        </w:numPr>
        <w:pBdr>
          <w:bottom w:val="single" w:color="FFFFFF" w:sz="4" w:space="31"/>
        </w:pBdr>
        <w:tabs>
          <w:tab w:val="left" w:pos="1440"/>
        </w:tabs>
        <w:adjustRightInd w:val="0"/>
        <w:snapToGrid w:val="0"/>
        <w:spacing w:line="576" w:lineRule="exact"/>
        <w:ind w:firstLine="960" w:firstLineChars="300"/>
        <w:jc w:val="left"/>
        <w:outlineLvl w:val="2"/>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2.评价结果整改</w:t>
      </w:r>
    </w:p>
    <w:p w14:paraId="38DF3B32">
      <w:pPr>
        <w:numPr>
          <w:ilvl w:val="0"/>
          <w:numId w:val="0"/>
        </w:numPr>
        <w:pBdr>
          <w:bottom w:val="single" w:color="FFFFFF" w:sz="4" w:space="31"/>
        </w:pBdr>
        <w:tabs>
          <w:tab w:val="left" w:pos="1440"/>
        </w:tabs>
        <w:adjustRightInd w:val="0"/>
        <w:snapToGrid w:val="0"/>
        <w:spacing w:line="576" w:lineRule="exact"/>
        <w:ind w:firstLine="960" w:firstLineChars="300"/>
        <w:jc w:val="left"/>
        <w:outlineLvl w:val="2"/>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无</w:t>
      </w:r>
    </w:p>
    <w:p w14:paraId="1B159343">
      <w:pPr>
        <w:numPr>
          <w:ilvl w:val="0"/>
          <w:numId w:val="0"/>
        </w:numPr>
        <w:pBdr>
          <w:bottom w:val="single" w:color="FFFFFF" w:sz="4" w:space="31"/>
        </w:pBdr>
        <w:tabs>
          <w:tab w:val="left" w:pos="1440"/>
        </w:tabs>
        <w:adjustRightInd w:val="0"/>
        <w:snapToGrid w:val="0"/>
        <w:spacing w:line="576" w:lineRule="exact"/>
        <w:ind w:firstLine="960" w:firstLineChars="300"/>
        <w:jc w:val="left"/>
        <w:outlineLvl w:val="2"/>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3.应用结果反馈</w:t>
      </w:r>
    </w:p>
    <w:p w14:paraId="74CDDC78">
      <w:pPr>
        <w:numPr>
          <w:ilvl w:val="0"/>
          <w:numId w:val="0"/>
        </w:numPr>
        <w:pBdr>
          <w:bottom w:val="single" w:color="FFFFFF" w:sz="4" w:space="31"/>
        </w:pBdr>
        <w:tabs>
          <w:tab w:val="left" w:pos="1440"/>
        </w:tabs>
        <w:adjustRightInd w:val="0"/>
        <w:snapToGrid w:val="0"/>
        <w:spacing w:line="576" w:lineRule="exact"/>
        <w:ind w:firstLine="960" w:firstLineChars="300"/>
        <w:jc w:val="left"/>
        <w:outlineLvl w:val="2"/>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支付中心2022年还末到规定时间内向财政部门反馈应用绩效结果报告的。</w:t>
      </w:r>
    </w:p>
    <w:p w14:paraId="75D57DD3">
      <w:pPr>
        <w:numPr>
          <w:ilvl w:val="0"/>
          <w:numId w:val="3"/>
        </w:numPr>
        <w:pBdr>
          <w:bottom w:val="single" w:color="FFFFFF" w:sz="4" w:space="31"/>
        </w:pBdr>
        <w:tabs>
          <w:tab w:val="left" w:pos="1440"/>
        </w:tabs>
        <w:adjustRightInd w:val="0"/>
        <w:snapToGrid w:val="0"/>
        <w:spacing w:line="576" w:lineRule="exact"/>
        <w:ind w:left="0" w:leftChars="0" w:firstLine="640" w:firstLineChars="200"/>
        <w:jc w:val="left"/>
        <w:outlineLvl w:val="2"/>
        <w:rPr>
          <w:rFonts w:hint="eastAsia" w:ascii="仿宋_GB2312" w:hAnsi="仿宋_GB2312" w:eastAsia="仿宋_GB2312" w:cs="仿宋_GB2312"/>
          <w:b w:val="0"/>
          <w:bCs w:val="0"/>
          <w:color w:val="000000"/>
          <w:kern w:val="0"/>
          <w:sz w:val="32"/>
          <w:szCs w:val="32"/>
          <w:shd w:val="clear" w:color="auto" w:fill="FFFFFF"/>
        </w:rPr>
      </w:pPr>
      <w:r>
        <w:rPr>
          <w:rFonts w:hint="eastAsia" w:ascii="仿宋_GB2312" w:hAnsi="仿宋_GB2312" w:eastAsia="仿宋_GB2312" w:cs="仿宋_GB2312"/>
          <w:b w:val="0"/>
          <w:bCs w:val="0"/>
          <w:color w:val="000000"/>
          <w:kern w:val="0"/>
          <w:sz w:val="32"/>
          <w:szCs w:val="32"/>
          <w:shd w:val="clear" w:color="auto" w:fill="FFFFFF"/>
        </w:rPr>
        <w:t>评价结论及建议</w:t>
      </w:r>
    </w:p>
    <w:p w14:paraId="5CA677C7">
      <w:pPr>
        <w:numPr>
          <w:ilvl w:val="0"/>
          <w:numId w:val="4"/>
        </w:numPr>
        <w:pBdr>
          <w:bottom w:val="single" w:color="FFFFFF" w:sz="4" w:space="31"/>
        </w:pBdr>
        <w:tabs>
          <w:tab w:val="left" w:pos="1440"/>
        </w:tabs>
        <w:adjustRightInd w:val="0"/>
        <w:snapToGrid w:val="0"/>
        <w:spacing w:line="576" w:lineRule="exact"/>
        <w:ind w:firstLine="643" w:firstLineChars="200"/>
        <w:jc w:val="left"/>
        <w:outlineLvl w:val="2"/>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评价结论。</w:t>
      </w:r>
    </w:p>
    <w:p w14:paraId="31E86232">
      <w:pPr>
        <w:numPr>
          <w:ilvl w:val="0"/>
          <w:numId w:val="0"/>
        </w:numPr>
        <w:pBdr>
          <w:bottom w:val="single" w:color="FFFFFF" w:sz="4" w:space="31"/>
        </w:pBdr>
        <w:tabs>
          <w:tab w:val="left" w:pos="1440"/>
        </w:tabs>
        <w:adjustRightInd w:val="0"/>
        <w:snapToGrid w:val="0"/>
        <w:spacing w:line="576" w:lineRule="exact"/>
        <w:ind w:firstLine="960" w:firstLineChars="300"/>
        <w:jc w:val="left"/>
        <w:outlineLvl w:val="2"/>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优。</w:t>
      </w:r>
    </w:p>
    <w:p w14:paraId="27EDDA3E">
      <w:pPr>
        <w:numPr>
          <w:ilvl w:val="0"/>
          <w:numId w:val="4"/>
        </w:numPr>
        <w:pBdr>
          <w:bottom w:val="single" w:color="FFFFFF" w:sz="4" w:space="31"/>
        </w:pBdr>
        <w:tabs>
          <w:tab w:val="left" w:pos="1440"/>
        </w:tabs>
        <w:adjustRightInd w:val="0"/>
        <w:snapToGrid w:val="0"/>
        <w:spacing w:line="576" w:lineRule="exact"/>
        <w:ind w:left="0" w:leftChars="0" w:firstLine="643" w:firstLineChars="200"/>
        <w:jc w:val="left"/>
        <w:outlineLvl w:val="2"/>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存在问题。</w:t>
      </w:r>
    </w:p>
    <w:p w14:paraId="44A8D092">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预算编制欠严谨。2022年初财政批复预算支出与实际支出有一定差距，存在支出预算调整的现象。由于年初预算不足，加上上级临时交办了一些任务，一些无法预计和列入年初预算的支出，需要在年度中间进行预算追加和调整.</w:t>
      </w:r>
    </w:p>
    <w:p w14:paraId="18E39D30">
      <w:pPr>
        <w:numPr>
          <w:ilvl w:val="0"/>
          <w:numId w:val="0"/>
        </w:numPr>
        <w:pBdr>
          <w:bottom w:val="single" w:color="FFFFFF" w:sz="4" w:space="31"/>
        </w:pBdr>
        <w:tabs>
          <w:tab w:val="left" w:pos="1440"/>
        </w:tabs>
        <w:adjustRightInd w:val="0"/>
        <w:snapToGrid w:val="0"/>
        <w:spacing w:line="576" w:lineRule="exact"/>
        <w:ind w:firstLine="643" w:firstLineChars="200"/>
        <w:jc w:val="left"/>
        <w:outlineLvl w:val="2"/>
        <w:rPr>
          <w:rFonts w:hint="eastAsia" w:ascii="仿宋_GB2312" w:hAnsi="仿宋_GB2312" w:eastAsia="仿宋_GB2312" w:cs="仿宋_GB2312"/>
          <w:b w:val="0"/>
          <w:bCs w:val="0"/>
          <w:color w:val="000000"/>
          <w:kern w:val="0"/>
          <w:sz w:val="32"/>
          <w:szCs w:val="32"/>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rPr>
        <w:t>(三)</w:t>
      </w:r>
      <w:r>
        <w:rPr>
          <w:rFonts w:hint="eastAsia" w:ascii="仿宋_GB2312" w:hAnsi="仿宋_GB2312" w:eastAsia="仿宋_GB2312" w:cs="仿宋_GB2312"/>
          <w:b/>
          <w:bCs/>
          <w:color w:val="000000"/>
          <w:kern w:val="0"/>
          <w:sz w:val="32"/>
          <w:szCs w:val="32"/>
          <w:shd w:val="clear" w:color="auto" w:fill="FFFFFF"/>
          <w:lang w:val="zh-CN"/>
        </w:rPr>
        <w:t>改进建议。</w:t>
      </w:r>
    </w:p>
    <w:p w14:paraId="1DA84ED9">
      <w:pPr>
        <w:numPr>
          <w:ilvl w:val="0"/>
          <w:numId w:val="0"/>
        </w:numPr>
        <w:pBdr>
          <w:bottom w:val="single" w:color="FFFFFF" w:sz="4" w:space="31"/>
        </w:pBdr>
        <w:tabs>
          <w:tab w:val="left" w:pos="1440"/>
        </w:tabs>
        <w:adjustRightInd w:val="0"/>
        <w:snapToGrid w:val="0"/>
        <w:spacing w:line="576" w:lineRule="exact"/>
        <w:ind w:firstLine="640" w:firstLineChars="200"/>
        <w:jc w:val="left"/>
        <w:outlineLvl w:val="2"/>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sz w:val="32"/>
          <w:szCs w:val="32"/>
          <w:lang w:val="en-US" w:eastAsia="zh-CN"/>
        </w:rPr>
        <w:t>科学合理编制预算，严格执行预算。鉴于财政局工作任务繁重，重点工作任务重，年初财政预算要尽量足额，以便在预算执行中，严格按照预算科目支出，为各项工作顺利开展，提供资金保证。</w:t>
      </w:r>
    </w:p>
    <w:p w14:paraId="0E93B679">
      <w:pPr>
        <w:pStyle w:val="2"/>
        <w:rPr>
          <w:rFonts w:hint="eastAsia" w:ascii="仿宋_GB2312" w:hAnsi="仿宋_GB2312" w:eastAsia="仿宋_GB2312" w:cs="仿宋_GB2312"/>
          <w:sz w:val="32"/>
          <w:szCs w:val="32"/>
          <w:lang w:val="en-US" w:eastAsia="zh-CN"/>
        </w:rPr>
      </w:pPr>
    </w:p>
    <w:p w14:paraId="3C28822F">
      <w:pPr>
        <w:spacing w:line="58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br w:type="page"/>
      </w:r>
    </w:p>
    <w:p w14:paraId="39D9CBF1">
      <w:pPr>
        <w:pStyle w:val="10"/>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434096DE">
      <w:pPr>
        <w:pStyle w:val="10"/>
        <w:shd w:val="clear" w:color="auto" w:fill="FFFFFF"/>
        <w:jc w:val="center"/>
        <w:outlineLvl w:val="0"/>
        <w:rPr>
          <w:rFonts w:hint="eastAsia" w:ascii="黑体" w:hAnsi="黑体" w:eastAsia="黑体" w:cs="黑体"/>
          <w:sz w:val="52"/>
          <w:szCs w:val="52"/>
        </w:rPr>
      </w:pPr>
      <w:bookmarkStart w:id="8" w:name="_Toc22295"/>
      <w:r>
        <w:rPr>
          <w:rStyle w:val="13"/>
          <w:rFonts w:hint="eastAsia" w:ascii="黑体" w:hAnsi="黑体" w:eastAsia="黑体" w:cs="黑体"/>
          <w:sz w:val="52"/>
          <w:szCs w:val="52"/>
        </w:rPr>
        <w:t>第五部分 附表</w:t>
      </w:r>
      <w:bookmarkEnd w:id="8"/>
    </w:p>
    <w:p w14:paraId="532DF3D4">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79C6B87B">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3DBE96F6">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7E9688C5">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1462E5C5">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14:paraId="496812C8">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14:paraId="36A422C9">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14:paraId="7EC6B27E">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p>
    <w:p w14:paraId="000E0B21">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14:paraId="0C8BB86C">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十、政府性基金预算财政拨款收入支出决算表</w:t>
      </w:r>
    </w:p>
    <w:p w14:paraId="12F20B43">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十一、国有资本经营预算财政拨款收入支出决算表</w:t>
      </w:r>
    </w:p>
    <w:p w14:paraId="2B2529D5">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十二、国有资本经营预算财政拨款支出决算表</w:t>
      </w:r>
    </w:p>
    <w:p w14:paraId="70E25C08">
      <w:pPr>
        <w:pStyle w:val="5"/>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十三、财政拨款“三公”经费支出决算表</w:t>
      </w:r>
    </w:p>
    <w:sectPr>
      <w:footerReference r:id="rId3" w:type="default"/>
      <w:pgSz w:w="11907"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733F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AB48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8AB48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AE45B0"/>
    <w:multiLevelType w:val="singleLevel"/>
    <w:tmpl w:val="D4AE45B0"/>
    <w:lvl w:ilvl="0" w:tentative="0">
      <w:start w:val="1"/>
      <w:numFmt w:val="chineseCounting"/>
      <w:suff w:val="nothing"/>
      <w:lvlText w:val="（%1）"/>
      <w:lvlJc w:val="left"/>
      <w:rPr>
        <w:rFonts w:hint="eastAsia"/>
      </w:rPr>
    </w:lvl>
  </w:abstractNum>
  <w:abstractNum w:abstractNumId="1">
    <w:nsid w:val="DA3D0D52"/>
    <w:multiLevelType w:val="singleLevel"/>
    <w:tmpl w:val="DA3D0D52"/>
    <w:lvl w:ilvl="0" w:tentative="0">
      <w:start w:val="3"/>
      <w:numFmt w:val="decimal"/>
      <w:lvlText w:val="%1."/>
      <w:lvlJc w:val="left"/>
      <w:pPr>
        <w:tabs>
          <w:tab w:val="left" w:pos="312"/>
        </w:tabs>
      </w:pPr>
    </w:lvl>
  </w:abstractNum>
  <w:abstractNum w:abstractNumId="2">
    <w:nsid w:val="01EF5DA9"/>
    <w:multiLevelType w:val="singleLevel"/>
    <w:tmpl w:val="01EF5DA9"/>
    <w:lvl w:ilvl="0" w:tentative="0">
      <w:start w:val="2"/>
      <w:numFmt w:val="chineseCounting"/>
      <w:suff w:val="space"/>
      <w:lvlText w:val="第%1部分"/>
      <w:lvlJc w:val="left"/>
      <w:rPr>
        <w:rFonts w:hint="eastAsia"/>
      </w:rPr>
    </w:lvl>
  </w:abstractNum>
  <w:abstractNum w:abstractNumId="3">
    <w:nsid w:val="324CA98D"/>
    <w:multiLevelType w:val="singleLevel"/>
    <w:tmpl w:val="324CA98D"/>
    <w:lvl w:ilvl="0" w:tentative="0">
      <w:start w:val="2"/>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noPunctuationKerning w:val="1"/>
  <w:characterSpacingControl w:val="doNotCompress"/>
  <w:compat>
    <w:doNotSnapToGridInCell/>
    <w:doNotWrapTextWithPunct/>
    <w:doNotUseEastAsianBreakRules/>
    <w:growAutofit/>
    <w:useFELayout/>
    <w:compatSetting w:name="compatibilityMode" w:uri="http://schemas.microsoft.com/office/word" w:val="14"/>
  </w:compat>
  <w:docVars>
    <w:docVar w:name="commondata" w:val="eyJoZGlkIjoiYjQ3MGY2ZTFjZWJmZDNlNjJlODE0OGMwYjNhMzI3MDkifQ=="/>
  </w:docVars>
  <w:rsids>
    <w:rsidRoot w:val="00BA6CD3"/>
    <w:rsid w:val="00BA6CD3"/>
    <w:rsid w:val="02D5540E"/>
    <w:rsid w:val="0B9250A7"/>
    <w:rsid w:val="10500BF0"/>
    <w:rsid w:val="145E0C1D"/>
    <w:rsid w:val="1DCD471E"/>
    <w:rsid w:val="22273E8A"/>
    <w:rsid w:val="23EF08B1"/>
    <w:rsid w:val="5F0A47B5"/>
    <w:rsid w:val="6DBE17F4"/>
    <w:rsid w:val="705E4766"/>
    <w:rsid w:val="7C3E4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4">
    <w:name w:val="heading 1"/>
    <w:basedOn w:val="1"/>
    <w:link w:val="14"/>
    <w:qFormat/>
    <w:uiPriority w:val="9"/>
    <w:pPr>
      <w:spacing w:before="100" w:beforeAutospacing="1" w:after="100" w:afterAutospacing="1"/>
      <w:outlineLvl w:val="0"/>
    </w:pPr>
    <w:rPr>
      <w:b/>
      <w:bCs/>
      <w:kern w:val="36"/>
      <w:sz w:val="48"/>
      <w:szCs w:val="48"/>
    </w:rPr>
  </w:style>
  <w:style w:type="paragraph" w:styleId="5">
    <w:name w:val="heading 2"/>
    <w:basedOn w:val="1"/>
    <w:link w:val="15"/>
    <w:qFormat/>
    <w:uiPriority w:val="9"/>
    <w:pPr>
      <w:spacing w:before="100" w:beforeAutospacing="1" w:after="100" w:afterAutospacing="1"/>
      <w:outlineLvl w:val="1"/>
    </w:pPr>
    <w:rPr>
      <w:b/>
      <w:bCs/>
      <w:sz w:val="36"/>
      <w:szCs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6">
    <w:name w:val="Body Text"/>
    <w:basedOn w:val="1"/>
    <w:qFormat/>
    <w:uiPriority w:val="99"/>
    <w:pPr>
      <w:spacing w:beforeLines="30"/>
    </w:pPr>
    <w:rPr>
      <w:rFonts w:ascii="仿宋_GB2312" w:eastAsia="仿宋_GB2312"/>
      <w:kern w:val="0"/>
      <w:sz w:val="24"/>
      <w:szCs w:val="20"/>
      <w:lang w:val="zh-CN" w:eastAsia="zh-CN"/>
    </w:r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semiHidden/>
    <w:unhideWhenUsed/>
    <w:uiPriority w:val="39"/>
  </w:style>
  <w:style w:type="paragraph" w:styleId="10">
    <w:name w:val="Normal (Web)"/>
    <w:basedOn w:val="1"/>
    <w:unhideWhenUsed/>
    <w:qFormat/>
    <w:uiPriority w:val="99"/>
    <w:pPr>
      <w:spacing w:before="100" w:beforeAutospacing="1" w:after="100" w:afterAutospacing="1"/>
    </w:pPr>
  </w:style>
  <w:style w:type="character" w:styleId="13">
    <w:name w:val="Strong"/>
    <w:basedOn w:val="12"/>
    <w:qFormat/>
    <w:uiPriority w:val="22"/>
    <w:rPr>
      <w:b/>
      <w:bCs/>
    </w:rPr>
  </w:style>
  <w:style w:type="character" w:customStyle="1" w:styleId="14">
    <w:name w:val="标题 1 Char"/>
    <w:basedOn w:val="12"/>
    <w:link w:val="4"/>
    <w:qFormat/>
    <w:uiPriority w:val="9"/>
    <w:rPr>
      <w:rFonts w:ascii="宋体" w:hAnsi="宋体" w:eastAsia="宋体" w:cs="宋体"/>
      <w:b/>
      <w:bCs/>
      <w:kern w:val="44"/>
      <w:sz w:val="44"/>
      <w:szCs w:val="44"/>
    </w:rPr>
  </w:style>
  <w:style w:type="character" w:customStyle="1" w:styleId="15">
    <w:name w:val="标题 2 Char"/>
    <w:basedOn w:val="12"/>
    <w:link w:val="5"/>
    <w:semiHidden/>
    <w:qFormat/>
    <w:uiPriority w:val="9"/>
    <w:rPr>
      <w:rFonts w:asciiTheme="majorHAnsi" w:hAnsiTheme="majorHAnsi" w:eastAsiaTheme="majorEastAsia" w:cstheme="majorBidi"/>
      <w:b/>
      <w:bCs/>
      <w:sz w:val="32"/>
      <w:szCs w:val="32"/>
    </w:rPr>
  </w:style>
  <w:style w:type="paragraph" w:customStyle="1" w:styleId="1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7">
    <w:name w:val="WPSOffice手动目录 1"/>
    <w:qFormat/>
    <w:uiPriority w:val="0"/>
    <w:pPr>
      <w:ind w:leftChars="0"/>
    </w:pPr>
    <w:rPr>
      <w:rFonts w:ascii="Times New Roman" w:hAnsi="Times New Roman" w:cs="Times New Roman" w:eastAsiaTheme="minorEastAsia"/>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7644</Words>
  <Characters>8446</Characters>
  <Lines>61</Lines>
  <Paragraphs>17</Paragraphs>
  <TotalTime>1</TotalTime>
  <ScaleCrop>false</ScaleCrop>
  <LinksUpToDate>false</LinksUpToDate>
  <CharactersWithSpaces>8634</CharactersWithSpaces>
  <Application>WPS Office_12.1.0.20305_F1E327BC-269C-435d-A152-05C5408002CA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2023-09-27T08:22:00Z</dcterms:created>
  <dc:creator>dell</dc:creator>
  <cp:lastModifiedBy>帅裂苍穹的帅</cp:lastModifiedBy>
  <dcterms:modified xsi:type="dcterms:W3CDTF">2025-04-09T06:31:28Z</dcterms:modified>
  <dc:title>2022年部门决算公开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CE9F28D60E2746138CDA2FB1BF370033_12</vt:lpwstr>
  </property>
  <property fmtid="{D5CDD505-2E9C-101B-9397-08002B2CF9AE}" pid="4" name="KSOTemplateDocerSaveRecord">
    <vt:lpwstr>eyJoZGlkIjoiYTczNWRkN2M4MzI5NGNjMzhmMjhhOWZhZjQ5ZDk2ZDYiLCJ1c2VySWQiOiI0MTA2NTQxOTcifQ==</vt:lpwstr>
  </property>
</Properties>
</file>