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shd w:val="clear" w:color="auto" w:fill="FFFFFF"/>
        <w:jc w:val="center"/>
        <w:rPr>
          <w:sz w:val="42"/>
          <w:szCs w:val="42"/>
        </w:rPr>
      </w:pPr>
    </w:p>
    <w:p>
      <w:pPr>
        <w:pStyle w:val="10"/>
        <w:shd w:val="clear" w:color="auto" w:fill="FFFFFF"/>
        <w:jc w:val="center"/>
        <w:rPr>
          <w:sz w:val="42"/>
          <w:szCs w:val="42"/>
        </w:rPr>
      </w:pPr>
    </w:p>
    <w:p>
      <w:pPr>
        <w:pStyle w:val="10"/>
        <w:shd w:val="clear" w:color="auto" w:fill="FFFFFF"/>
        <w:jc w:val="center"/>
        <w:rPr>
          <w:rFonts w:hint="eastAsia" w:ascii="黑体" w:hAnsi="黑体" w:eastAsia="黑体" w:cs="黑体"/>
          <w:sz w:val="84"/>
          <w:szCs w:val="84"/>
        </w:rPr>
      </w:pPr>
      <w:r>
        <w:rPr>
          <w:rFonts w:hint="eastAsia" w:ascii="黑体" w:hAnsi="黑体" w:eastAsia="黑体" w:cs="黑体"/>
          <w:sz w:val="84"/>
          <w:szCs w:val="84"/>
        </w:rPr>
        <w:t>2022年度</w:t>
      </w:r>
    </w:p>
    <w:p>
      <w:pPr>
        <w:pStyle w:val="10"/>
        <w:shd w:val="clear" w:color="auto" w:fill="FFFFFF"/>
        <w:jc w:val="center"/>
        <w:outlineLvl w:val="0"/>
        <w:rPr>
          <w:rFonts w:hint="eastAsia" w:ascii="黑体" w:hAnsi="黑体" w:eastAsia="黑体" w:cs="黑体"/>
          <w:sz w:val="84"/>
          <w:szCs w:val="84"/>
        </w:rPr>
      </w:pPr>
      <w:bookmarkStart w:id="0" w:name="_Toc20986"/>
      <w:r>
        <w:rPr>
          <w:rFonts w:hint="eastAsia" w:ascii="黑体" w:hAnsi="黑体" w:eastAsia="黑体" w:cs="黑体"/>
          <w:sz w:val="84"/>
          <w:szCs w:val="84"/>
        </w:rPr>
        <w:t>四川省阿坝州九寨沟县财政局部门决算</w:t>
      </w:r>
      <w:bookmarkEnd w:id="0"/>
    </w:p>
    <w:p>
      <w:pPr>
        <w:pStyle w:val="10"/>
        <w:shd w:val="clear" w:color="auto" w:fill="FFFFFF"/>
        <w:jc w:val="center"/>
      </w:pPr>
      <w:r>
        <w:t> </w:t>
      </w:r>
    </w:p>
    <w:p>
      <w:pPr>
        <w:pStyle w:val="10"/>
        <w:shd w:val="clear" w:color="auto" w:fill="FFFFFF"/>
        <w:jc w:val="center"/>
      </w:pPr>
      <w:r>
        <w:t> </w:t>
      </w:r>
    </w:p>
    <w:p>
      <w:pPr>
        <w:pStyle w:val="10"/>
        <w:shd w:val="clear" w:color="auto" w:fill="FFFFFF"/>
        <w:jc w:val="center"/>
      </w:pPr>
      <w:r>
        <w:t> </w:t>
      </w:r>
    </w:p>
    <w:p>
      <w:pPr>
        <w:pStyle w:val="10"/>
        <w:shd w:val="clear" w:color="auto" w:fill="FFFFFF"/>
        <w:jc w:val="center"/>
      </w:pPr>
      <w:r>
        <w:t> </w:t>
      </w:r>
    </w:p>
    <w:p>
      <w:pPr>
        <w:pStyle w:val="10"/>
        <w:shd w:val="clear" w:color="auto" w:fill="FFFFFF"/>
        <w:jc w:val="center"/>
      </w:pPr>
      <w:r>
        <w:t> </w:t>
      </w:r>
    </w:p>
    <w:p>
      <w:pPr>
        <w:pStyle w:val="10"/>
        <w:shd w:val="clear" w:color="auto" w:fill="FFFFFF"/>
        <w:jc w:val="center"/>
      </w:pPr>
      <w:r>
        <w:t> </w:t>
      </w:r>
    </w:p>
    <w:p>
      <w:pPr>
        <w:pStyle w:val="10"/>
        <w:shd w:val="clear" w:color="auto" w:fill="FFFFFF"/>
        <w:jc w:val="center"/>
      </w:pPr>
      <w:r>
        <w:t> </w:t>
      </w:r>
    </w:p>
    <w:p>
      <w:pPr>
        <w:pStyle w:val="10"/>
        <w:shd w:val="clear" w:color="auto" w:fill="FFFFFF"/>
        <w:jc w:val="center"/>
      </w:pPr>
      <w:r>
        <w:t>已经保密审查、内容审定，同意对外公开</w:t>
      </w:r>
    </w:p>
    <w:p>
      <w:pPr>
        <w:pStyle w:val="10"/>
        <w:shd w:val="clear" w:color="auto" w:fill="FFFFFF"/>
      </w:pPr>
      <w:r>
        <w:t> </w:t>
      </w:r>
    </w:p>
    <w:p>
      <w:pPr>
        <w:pStyle w:val="10"/>
        <w:shd w:val="clear" w:color="auto" w:fill="FFFFFF"/>
      </w:pPr>
      <w:r>
        <w:t> </w:t>
      </w:r>
    </w:p>
    <w:p>
      <w:pPr>
        <w:pStyle w:val="10"/>
        <w:shd w:val="clear" w:color="auto" w:fill="FFFFFF"/>
        <w:jc w:val="center"/>
      </w:pPr>
      <w:r>
        <w:t> </w:t>
      </w:r>
    </w:p>
    <w:p>
      <w:pPr>
        <w:pStyle w:val="10"/>
        <w:shd w:val="clear" w:color="auto" w:fill="FFFFFF"/>
      </w:pPr>
      <w:r>
        <w:t> </w:t>
      </w:r>
    </w:p>
    <w:p>
      <w:pPr>
        <w:pStyle w:val="10"/>
        <w:shd w:val="clear" w:color="auto" w:fill="FFFFFF"/>
        <w:jc w:val="center"/>
      </w:pPr>
      <w:r>
        <w:t> </w:t>
      </w:r>
    </w:p>
    <w:p>
      <w:pPr>
        <w:pStyle w:val="10"/>
        <w:shd w:val="clear" w:color="auto" w:fill="FFFFFF"/>
        <w:jc w:val="center"/>
      </w:pPr>
      <w:r>
        <w:t> </w:t>
      </w:r>
    </w:p>
    <w:p>
      <w:pPr>
        <w:pStyle w:val="10"/>
        <w:shd w:val="clear" w:color="auto" w:fill="FFFFFF"/>
        <w:jc w:val="center"/>
      </w:pPr>
      <w:r>
        <w:t> </w:t>
      </w:r>
    </w:p>
    <w:p>
      <w:pPr>
        <w:pStyle w:val="10"/>
        <w:shd w:val="clear" w:color="auto" w:fill="FFFFFF"/>
        <w:jc w:val="center"/>
        <w:rPr>
          <w:rFonts w:hint="eastAsia" w:ascii="黑体" w:hAnsi="黑体" w:eastAsia="黑体" w:cs="黑体"/>
          <w:sz w:val="52"/>
          <w:szCs w:val="52"/>
        </w:rPr>
      </w:pPr>
      <w:r>
        <w:rPr>
          <w:rFonts w:hint="eastAsia" w:ascii="黑体" w:hAnsi="黑体" w:eastAsia="黑体" w:cs="黑体"/>
          <w:sz w:val="52"/>
          <w:szCs w:val="52"/>
        </w:rPr>
        <w:t>目</w:t>
      </w:r>
      <w:r>
        <w:rPr>
          <w:rFonts w:hint="eastAsia" w:ascii="黑体" w:hAnsi="黑体" w:eastAsia="黑体" w:cs="黑体"/>
          <w:sz w:val="52"/>
          <w:szCs w:val="52"/>
          <w:lang w:val="en-US" w:eastAsia="zh-CN"/>
        </w:rPr>
        <w:t xml:space="preserve"> </w:t>
      </w:r>
      <w:r>
        <w:rPr>
          <w:rFonts w:hint="eastAsia" w:ascii="黑体" w:hAnsi="黑体" w:eastAsia="黑体" w:cs="黑体"/>
          <w:sz w:val="52"/>
          <w:szCs w:val="52"/>
        </w:rPr>
        <w:t>录</w:t>
      </w:r>
    </w:p>
    <w:p>
      <w:pPr>
        <w:pStyle w:val="10"/>
        <w:shd w:val="clear" w:color="auto" w:fill="FFFFFF"/>
        <w:jc w:val="center"/>
      </w:pPr>
      <w:r>
        <w:t> </w:t>
      </w:r>
      <w:bookmarkStart w:id="9" w:name="_GoBack"/>
      <w:bookmarkEnd w:id="9"/>
    </w:p>
    <w:p>
      <w:pPr>
        <w:pStyle w:val="10"/>
        <w:shd w:val="clear" w:color="auto" w:fill="FFFFFF"/>
        <w:jc w:val="center"/>
      </w:pPr>
      <w:r>
        <w:t>公开时间：2023年</w:t>
      </w:r>
      <w:r>
        <w:rPr>
          <w:rFonts w:hint="eastAsia"/>
          <w:lang w:val="en-US" w:eastAsia="zh-CN"/>
        </w:rPr>
        <w:t>9</w:t>
      </w:r>
      <w:r>
        <w:t>月</w:t>
      </w:r>
    </w:p>
    <w:p>
      <w:pPr>
        <w:pStyle w:val="10"/>
        <w:shd w:val="clear" w:color="auto" w:fill="FFFFFF"/>
      </w:pPr>
      <w:r>
        <w:t> </w:t>
      </w:r>
    </w:p>
    <w:sdt>
      <w:sdtPr>
        <w:rPr>
          <w:rFonts w:ascii="宋体" w:hAnsi="宋体" w:eastAsia="宋体" w:cs="宋体"/>
          <w:sz w:val="21"/>
          <w:szCs w:val="24"/>
          <w:lang w:val="en-US" w:eastAsia="zh-CN" w:bidi="ar-SA"/>
        </w:rPr>
        <w:id w:val="147451400"/>
        <w15:color w:val="DBDBDB"/>
        <w:docPartObj>
          <w:docPartGallery w:val="Table of Contents"/>
          <w:docPartUnique/>
        </w:docPartObj>
      </w:sdt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6"/>
            <w:tabs>
              <w:tab w:val="right" w:leader="dot" w:pos="8307"/>
            </w:tabs>
          </w:pPr>
          <w:r>
            <w:fldChar w:fldCharType="begin"/>
          </w:r>
          <w:r>
            <w:instrText xml:space="preserve">TOC \o "1-1" \h \u </w:instrText>
          </w:r>
          <w:r>
            <w:fldChar w:fldCharType="separate"/>
          </w:r>
          <w:r>
            <w:fldChar w:fldCharType="begin"/>
          </w:r>
          <w:r>
            <w:instrText xml:space="preserve"> HYPERLINK \l _Toc20986 </w:instrText>
          </w:r>
          <w:r>
            <w:fldChar w:fldCharType="separate"/>
          </w:r>
          <w:r>
            <w:rPr>
              <w:rFonts w:hint="eastAsia" w:ascii="黑体" w:hAnsi="黑体" w:eastAsia="黑体" w:cs="黑体"/>
              <w:szCs w:val="84"/>
            </w:rPr>
            <w:t>四川省阿坝州九寨沟县财政局部门决算</w:t>
          </w:r>
          <w:r>
            <w:tab/>
          </w:r>
          <w:r>
            <w:fldChar w:fldCharType="begin"/>
          </w:r>
          <w:r>
            <w:instrText xml:space="preserve"> PAGEREF _Toc20986 \h </w:instrText>
          </w:r>
          <w:r>
            <w:fldChar w:fldCharType="separate"/>
          </w:r>
          <w:r>
            <w:t>1</w:t>
          </w:r>
          <w:r>
            <w:fldChar w:fldCharType="end"/>
          </w:r>
          <w:r>
            <w:fldChar w:fldCharType="end"/>
          </w:r>
        </w:p>
        <w:p>
          <w:pPr>
            <w:pStyle w:val="16"/>
            <w:tabs>
              <w:tab w:val="right" w:leader="dot" w:pos="8307"/>
            </w:tabs>
          </w:pPr>
          <w:r>
            <w:fldChar w:fldCharType="begin"/>
          </w:r>
          <w:r>
            <w:instrText xml:space="preserve"> HYPERLINK \l _Toc20079 </w:instrText>
          </w:r>
          <w:r>
            <w:fldChar w:fldCharType="separate"/>
          </w:r>
          <w:r>
            <w:rPr>
              <w:rFonts w:hint="eastAsia"/>
            </w:rPr>
            <w:t xml:space="preserve">第一部分 </w:t>
          </w:r>
          <w:r>
            <w:t>部门概况</w:t>
          </w:r>
          <w:r>
            <w:tab/>
          </w:r>
          <w:r>
            <w:fldChar w:fldCharType="begin"/>
          </w:r>
          <w:r>
            <w:instrText xml:space="preserve"> PAGEREF _Toc20079 \h </w:instrText>
          </w:r>
          <w:r>
            <w:fldChar w:fldCharType="separate"/>
          </w:r>
          <w:r>
            <w:t>2</w:t>
          </w:r>
          <w:r>
            <w:fldChar w:fldCharType="end"/>
          </w:r>
          <w:r>
            <w:fldChar w:fldCharType="end"/>
          </w:r>
        </w:p>
        <w:p>
          <w:pPr>
            <w:pStyle w:val="16"/>
            <w:tabs>
              <w:tab w:val="right" w:leader="dot" w:pos="8307"/>
            </w:tabs>
          </w:pPr>
          <w:r>
            <w:fldChar w:fldCharType="begin"/>
          </w:r>
          <w:r>
            <w:instrText xml:space="preserve"> HYPERLINK \l _Toc11383 </w:instrText>
          </w:r>
          <w:r>
            <w:fldChar w:fldCharType="separate"/>
          </w:r>
          <w:r>
            <w:t>一、基本职能及主要工作</w:t>
          </w:r>
          <w:r>
            <w:tab/>
          </w:r>
          <w:r>
            <w:fldChar w:fldCharType="begin"/>
          </w:r>
          <w:r>
            <w:instrText xml:space="preserve"> PAGEREF _Toc11383 \h </w:instrText>
          </w:r>
          <w:r>
            <w:fldChar w:fldCharType="separate"/>
          </w:r>
          <w:r>
            <w:t>2</w:t>
          </w:r>
          <w:r>
            <w:fldChar w:fldCharType="end"/>
          </w:r>
          <w:r>
            <w:fldChar w:fldCharType="end"/>
          </w:r>
        </w:p>
        <w:p>
          <w:pPr>
            <w:pStyle w:val="16"/>
            <w:tabs>
              <w:tab w:val="right" w:leader="dot" w:pos="8307"/>
            </w:tabs>
          </w:pPr>
          <w:r>
            <w:fldChar w:fldCharType="begin"/>
          </w:r>
          <w:r>
            <w:instrText xml:space="preserve"> HYPERLINK \l _Toc11031 </w:instrText>
          </w:r>
          <w:r>
            <w:fldChar w:fldCharType="separate"/>
          </w:r>
          <w:r>
            <w:t>第二部分 2022年度部门决算情况说明</w:t>
          </w:r>
          <w:r>
            <w:tab/>
          </w:r>
          <w:r>
            <w:fldChar w:fldCharType="begin"/>
          </w:r>
          <w:r>
            <w:instrText xml:space="preserve"> PAGEREF _Toc11031 \h </w:instrText>
          </w:r>
          <w:r>
            <w:fldChar w:fldCharType="separate"/>
          </w:r>
          <w:r>
            <w:t>2</w:t>
          </w:r>
          <w:r>
            <w:fldChar w:fldCharType="end"/>
          </w:r>
          <w:r>
            <w:fldChar w:fldCharType="end"/>
          </w:r>
        </w:p>
        <w:p>
          <w:pPr>
            <w:pStyle w:val="16"/>
            <w:tabs>
              <w:tab w:val="right" w:leader="dot" w:pos="8307"/>
            </w:tabs>
          </w:pPr>
          <w:r>
            <w:fldChar w:fldCharType="begin"/>
          </w:r>
          <w:r>
            <w:instrText xml:space="preserve"> HYPERLINK \l _Toc27710 </w:instrText>
          </w:r>
          <w:r>
            <w:fldChar w:fldCharType="separate"/>
          </w:r>
          <w:r>
            <w:t>第一部分 部门概况</w:t>
          </w:r>
          <w:r>
            <w:tab/>
          </w:r>
          <w:r>
            <w:fldChar w:fldCharType="begin"/>
          </w:r>
          <w:r>
            <w:instrText xml:space="preserve"> PAGEREF _Toc27710 \h </w:instrText>
          </w:r>
          <w:r>
            <w:fldChar w:fldCharType="separate"/>
          </w:r>
          <w:r>
            <w:t>3</w:t>
          </w:r>
          <w:r>
            <w:fldChar w:fldCharType="end"/>
          </w:r>
          <w:r>
            <w:fldChar w:fldCharType="end"/>
          </w:r>
        </w:p>
        <w:p>
          <w:pPr>
            <w:pStyle w:val="16"/>
            <w:tabs>
              <w:tab w:val="right" w:leader="dot" w:pos="8307"/>
            </w:tabs>
          </w:pPr>
          <w:r>
            <w:fldChar w:fldCharType="begin"/>
          </w:r>
          <w:r>
            <w:instrText xml:space="preserve"> HYPERLINK \l _Toc7203 </w:instrText>
          </w:r>
          <w:r>
            <w:fldChar w:fldCharType="separate"/>
          </w:r>
          <w:r>
            <w:rPr>
              <w:rFonts w:hint="eastAsia" w:ascii="Times New Roman" w:hAnsi="Times New Roman" w:eastAsia="仿宋_GB2312" w:cs="Times New Roman"/>
              <w:szCs w:val="32"/>
              <w:lang w:val="en-US" w:eastAsia="zh-CN"/>
            </w:rPr>
            <w:t>九寨沟县国库支付中心</w:t>
          </w:r>
          <w:r>
            <w:tab/>
          </w:r>
          <w:r>
            <w:fldChar w:fldCharType="begin"/>
          </w:r>
          <w:r>
            <w:instrText xml:space="preserve"> PAGEREF _Toc7203 \h </w:instrText>
          </w:r>
          <w:r>
            <w:fldChar w:fldCharType="separate"/>
          </w:r>
          <w:r>
            <w:t>7</w:t>
          </w:r>
          <w:r>
            <w:fldChar w:fldCharType="end"/>
          </w:r>
          <w:r>
            <w:fldChar w:fldCharType="end"/>
          </w:r>
        </w:p>
        <w:p>
          <w:pPr>
            <w:pStyle w:val="16"/>
            <w:tabs>
              <w:tab w:val="right" w:leader="dot" w:pos="8307"/>
            </w:tabs>
          </w:pPr>
          <w:r>
            <w:fldChar w:fldCharType="begin"/>
          </w:r>
          <w:r>
            <w:instrText xml:space="preserve"> HYPERLINK \l _Toc29465 </w:instrText>
          </w:r>
          <w:r>
            <w:fldChar w:fldCharType="separate"/>
          </w:r>
          <w:r>
            <w:rPr>
              <w:rFonts w:hint="eastAsia" w:asciiTheme="minorEastAsia" w:hAnsiTheme="minorEastAsia" w:eastAsiaTheme="minorEastAsia" w:cstheme="minorEastAsia"/>
              <w:szCs w:val="30"/>
            </w:rPr>
            <w:t> </w:t>
          </w:r>
          <w:r>
            <w:rPr>
              <w:rFonts w:hint="eastAsia" w:ascii="黑体" w:hAnsi="黑体" w:eastAsia="黑体" w:cs="黑体"/>
              <w:szCs w:val="44"/>
            </w:rPr>
            <w:t>第二部分 2022年度部门决算情况说明</w:t>
          </w:r>
          <w:r>
            <w:tab/>
          </w:r>
          <w:r>
            <w:fldChar w:fldCharType="begin"/>
          </w:r>
          <w:r>
            <w:instrText xml:space="preserve"> PAGEREF _Toc29465 \h </w:instrText>
          </w:r>
          <w:r>
            <w:fldChar w:fldCharType="separate"/>
          </w:r>
          <w:r>
            <w:t>7</w:t>
          </w:r>
          <w:r>
            <w:fldChar w:fldCharType="end"/>
          </w:r>
          <w:r>
            <w:fldChar w:fldCharType="end"/>
          </w:r>
        </w:p>
        <w:p>
          <w:pPr>
            <w:pStyle w:val="16"/>
            <w:tabs>
              <w:tab w:val="right" w:leader="dot" w:pos="8307"/>
            </w:tabs>
          </w:pPr>
          <w:r>
            <w:fldChar w:fldCharType="begin"/>
          </w:r>
          <w:r>
            <w:instrText xml:space="preserve"> HYPERLINK \l _Toc14387 </w:instrText>
          </w:r>
          <w:r>
            <w:fldChar w:fldCharType="separate"/>
          </w:r>
          <w:r>
            <w:rPr>
              <w:rFonts w:hint="eastAsia" w:asciiTheme="minorEastAsia" w:hAnsiTheme="minorEastAsia" w:eastAsiaTheme="minorEastAsia" w:cstheme="minorEastAsia"/>
              <w:szCs w:val="30"/>
            </w:rPr>
            <w:t> </w:t>
          </w:r>
          <w:r>
            <w:rPr>
              <w:rFonts w:hint="eastAsia" w:ascii="黑体" w:hAnsi="黑体" w:eastAsia="黑体" w:cs="黑体"/>
              <w:szCs w:val="44"/>
            </w:rPr>
            <w:t>第三部分 名词解释</w:t>
          </w:r>
          <w:r>
            <w:tab/>
          </w:r>
          <w:r>
            <w:fldChar w:fldCharType="begin"/>
          </w:r>
          <w:r>
            <w:instrText xml:space="preserve"> PAGEREF _Toc14387 \h </w:instrText>
          </w:r>
          <w:r>
            <w:fldChar w:fldCharType="separate"/>
          </w:r>
          <w:r>
            <w:t>15</w:t>
          </w:r>
          <w:r>
            <w:fldChar w:fldCharType="end"/>
          </w:r>
          <w:r>
            <w:fldChar w:fldCharType="end"/>
          </w:r>
        </w:p>
        <w:p>
          <w:pPr>
            <w:pStyle w:val="16"/>
            <w:tabs>
              <w:tab w:val="right" w:leader="dot" w:pos="8307"/>
            </w:tabs>
          </w:pPr>
          <w:r>
            <w:fldChar w:fldCharType="begin"/>
          </w:r>
          <w:r>
            <w:instrText xml:space="preserve"> HYPERLINK \l _Toc20769 </w:instrText>
          </w:r>
          <w:r>
            <w:fldChar w:fldCharType="separate"/>
          </w:r>
          <w:r>
            <w:rPr>
              <w:rFonts w:hint="eastAsia" w:ascii="黑体" w:hAnsi="黑体" w:eastAsia="黑体" w:cs="黑体"/>
              <w:szCs w:val="44"/>
            </w:rPr>
            <w:t>第五部分 附表</w:t>
          </w:r>
          <w:r>
            <w:tab/>
          </w:r>
          <w:r>
            <w:fldChar w:fldCharType="begin"/>
          </w:r>
          <w:r>
            <w:instrText xml:space="preserve"> PAGEREF _Toc20769 \h </w:instrText>
          </w:r>
          <w:r>
            <w:fldChar w:fldCharType="separate"/>
          </w:r>
          <w:r>
            <w:t>36</w:t>
          </w:r>
          <w:r>
            <w:fldChar w:fldCharType="end"/>
          </w:r>
          <w:r>
            <w:fldChar w:fldCharType="end"/>
          </w:r>
        </w:p>
        <w:p>
          <w:r>
            <w:fldChar w:fldCharType="end"/>
          </w:r>
        </w:p>
      </w:sdtContent>
    </w:sdt>
    <w:p>
      <w:pPr>
        <w:pStyle w:val="10"/>
        <w:numPr>
          <w:ilvl w:val="0"/>
          <w:numId w:val="1"/>
        </w:numPr>
        <w:shd w:val="clear" w:color="auto" w:fill="FFFFFF"/>
        <w:outlineLvl w:val="0"/>
      </w:pPr>
      <w:bookmarkStart w:id="1" w:name="_Toc20079"/>
      <w:r>
        <w:t>部门概况</w:t>
      </w:r>
      <w:bookmarkEnd w:id="1"/>
    </w:p>
    <w:p>
      <w:pPr>
        <w:pStyle w:val="10"/>
        <w:numPr>
          <w:ilvl w:val="0"/>
          <w:numId w:val="0"/>
        </w:numPr>
        <w:shd w:val="clear" w:color="auto" w:fill="FFFFFF"/>
        <w:ind w:firstLine="480" w:firstLineChars="200"/>
        <w:outlineLvl w:val="0"/>
      </w:pPr>
      <w:bookmarkStart w:id="2" w:name="_Toc11383"/>
      <w:r>
        <w:t>一、基本职能及主要工作</w:t>
      </w:r>
      <w:bookmarkEnd w:id="2"/>
    </w:p>
    <w:p>
      <w:pPr>
        <w:pStyle w:val="10"/>
        <w:shd w:val="clear" w:color="auto" w:fill="FFFFFF"/>
        <w:outlineLvl w:val="0"/>
      </w:pPr>
      <w:bookmarkStart w:id="3" w:name="_Toc11031"/>
      <w:r>
        <w:t>第二部分 2022年度部门决算情况说明</w:t>
      </w:r>
      <w:bookmarkEnd w:id="3"/>
    </w:p>
    <w:p>
      <w:pPr>
        <w:pStyle w:val="10"/>
        <w:shd w:val="clear" w:color="auto" w:fill="FFFFFF"/>
        <w:ind w:left="420"/>
      </w:pPr>
      <w:r>
        <w:t>一、收入支出决算总体情况说明</w:t>
      </w:r>
    </w:p>
    <w:p>
      <w:pPr>
        <w:pStyle w:val="10"/>
        <w:shd w:val="clear" w:color="auto" w:fill="FFFFFF"/>
        <w:ind w:left="420"/>
      </w:pPr>
      <w:r>
        <w:t>二、收入决算情况说明</w:t>
      </w:r>
    </w:p>
    <w:p>
      <w:pPr>
        <w:pStyle w:val="10"/>
        <w:shd w:val="clear" w:color="auto" w:fill="FFFFFF"/>
        <w:ind w:left="420"/>
      </w:pPr>
      <w:r>
        <w:t>三、支出决算情况说明</w:t>
      </w:r>
    </w:p>
    <w:p>
      <w:pPr>
        <w:pStyle w:val="10"/>
        <w:shd w:val="clear" w:color="auto" w:fill="FFFFFF"/>
        <w:ind w:left="420"/>
      </w:pPr>
      <w:r>
        <w:t>四、财政拨款收入支出决算总体情况说明</w:t>
      </w:r>
    </w:p>
    <w:p>
      <w:pPr>
        <w:pStyle w:val="10"/>
        <w:shd w:val="clear" w:color="auto" w:fill="FFFFFF"/>
        <w:ind w:left="420"/>
      </w:pPr>
      <w:r>
        <w:t>五、一般公共预算财政拨款支出决算情况说明</w:t>
      </w:r>
    </w:p>
    <w:p>
      <w:pPr>
        <w:pStyle w:val="10"/>
        <w:shd w:val="clear" w:color="auto" w:fill="FFFFFF"/>
        <w:ind w:left="420"/>
      </w:pPr>
      <w:r>
        <w:t>六、一般公共预算财政拨款基本支出决算情况说明</w:t>
      </w:r>
    </w:p>
    <w:p>
      <w:pPr>
        <w:pStyle w:val="10"/>
        <w:shd w:val="clear" w:color="auto" w:fill="FFFFFF"/>
        <w:ind w:left="420"/>
      </w:pPr>
      <w:r>
        <w:t>七、财政拨款“三公”经费支出决算情况说明</w:t>
      </w:r>
    </w:p>
    <w:p>
      <w:pPr>
        <w:pStyle w:val="10"/>
        <w:shd w:val="clear" w:color="auto" w:fill="FFFFFF"/>
        <w:ind w:left="420"/>
      </w:pPr>
      <w:r>
        <w:t>八、政府性基金预算支出决算情况说明</w:t>
      </w:r>
    </w:p>
    <w:p>
      <w:pPr>
        <w:pStyle w:val="10"/>
        <w:shd w:val="clear" w:color="auto" w:fill="FFFFFF"/>
      </w:pPr>
      <w:r>
        <w:t>  九、国有资本经营预算支出决算情况说明</w:t>
      </w:r>
    </w:p>
    <w:p>
      <w:pPr>
        <w:pStyle w:val="10"/>
        <w:shd w:val="clear" w:color="auto" w:fill="FFFFFF"/>
      </w:pPr>
      <w:r>
        <w:t> </w:t>
      </w:r>
      <w:r>
        <w:rPr>
          <w:rFonts w:hint="eastAsia"/>
          <w:lang w:val="en-US" w:eastAsia="zh-CN"/>
        </w:rPr>
        <w:t xml:space="preserve"> </w:t>
      </w:r>
      <w:r>
        <w:t xml:space="preserve"> 十、其他重要事项的情况说明 </w:t>
      </w:r>
    </w:p>
    <w:p>
      <w:pPr>
        <w:pStyle w:val="10"/>
        <w:shd w:val="clear" w:color="auto" w:fill="FFFFFF"/>
      </w:pPr>
      <w:r>
        <w:t>第三部分 名词解释</w:t>
      </w:r>
    </w:p>
    <w:p>
      <w:pPr>
        <w:pStyle w:val="10"/>
        <w:shd w:val="clear" w:color="auto" w:fill="FFFFFF"/>
      </w:pPr>
      <w:r>
        <w:t>第四部分 附件</w:t>
      </w:r>
    </w:p>
    <w:p>
      <w:pPr>
        <w:pStyle w:val="10"/>
        <w:shd w:val="clear" w:color="auto" w:fill="FFFFFF"/>
      </w:pPr>
      <w:r>
        <w:t>第五部分 附表</w:t>
      </w:r>
    </w:p>
    <w:p>
      <w:pPr>
        <w:pStyle w:val="10"/>
        <w:shd w:val="clear" w:color="auto" w:fill="FFFFFF"/>
        <w:ind w:left="420"/>
      </w:pPr>
      <w:r>
        <w:t>一、收入支出决算总表</w:t>
      </w:r>
    </w:p>
    <w:p>
      <w:pPr>
        <w:pStyle w:val="10"/>
        <w:shd w:val="clear" w:color="auto" w:fill="FFFFFF"/>
        <w:ind w:left="420"/>
      </w:pPr>
      <w:r>
        <w:t>二、收入决算表</w:t>
      </w:r>
    </w:p>
    <w:p>
      <w:pPr>
        <w:pStyle w:val="10"/>
        <w:shd w:val="clear" w:color="auto" w:fill="FFFFFF"/>
        <w:ind w:left="420"/>
      </w:pPr>
      <w:r>
        <w:t>三、支出决算表</w:t>
      </w:r>
    </w:p>
    <w:p>
      <w:pPr>
        <w:pStyle w:val="10"/>
        <w:shd w:val="clear" w:color="auto" w:fill="FFFFFF"/>
        <w:ind w:left="420"/>
      </w:pPr>
      <w:r>
        <w:t>四、财政拨款收入支出决算总表</w:t>
      </w:r>
    </w:p>
    <w:p>
      <w:pPr>
        <w:pStyle w:val="10"/>
        <w:shd w:val="clear" w:color="auto" w:fill="FFFFFF"/>
        <w:ind w:left="420"/>
      </w:pPr>
      <w:r>
        <w:t>五、财政拨款支出决算明细表</w:t>
      </w:r>
    </w:p>
    <w:p>
      <w:pPr>
        <w:pStyle w:val="10"/>
        <w:shd w:val="clear" w:color="auto" w:fill="FFFFFF"/>
        <w:ind w:left="420"/>
      </w:pPr>
      <w:r>
        <w:t>六、一般公共预算财政拨款支出决算表</w:t>
      </w:r>
    </w:p>
    <w:p>
      <w:pPr>
        <w:pStyle w:val="10"/>
        <w:shd w:val="clear" w:color="auto" w:fill="FFFFFF"/>
        <w:ind w:left="420"/>
      </w:pPr>
      <w:r>
        <w:t>七、一般公共预算财政拨款支出决算明细表</w:t>
      </w:r>
    </w:p>
    <w:p>
      <w:pPr>
        <w:pStyle w:val="10"/>
        <w:shd w:val="clear" w:color="auto" w:fill="FFFFFF"/>
        <w:ind w:left="420"/>
      </w:pPr>
      <w:r>
        <w:t>八、一般公共预算财政拨款基本支出决算表</w:t>
      </w:r>
    </w:p>
    <w:p>
      <w:pPr>
        <w:pStyle w:val="10"/>
        <w:shd w:val="clear" w:color="auto" w:fill="FFFFFF"/>
        <w:ind w:left="420"/>
      </w:pPr>
      <w:r>
        <w:t>九、一般公共预算财政拨款项目支出决算表</w:t>
      </w:r>
    </w:p>
    <w:p>
      <w:pPr>
        <w:pStyle w:val="10"/>
        <w:shd w:val="clear" w:color="auto" w:fill="FFFFFF"/>
        <w:ind w:left="420"/>
      </w:pPr>
      <w:r>
        <w:t>十、政府性基金预算财政拨款收入支出决算表</w:t>
      </w:r>
    </w:p>
    <w:p>
      <w:pPr>
        <w:pStyle w:val="10"/>
        <w:shd w:val="clear" w:color="auto" w:fill="FFFFFF"/>
        <w:ind w:left="420"/>
      </w:pPr>
      <w:r>
        <w:t>十一、国有资本经营预算财政拨款收入支出决算表</w:t>
      </w:r>
    </w:p>
    <w:p>
      <w:pPr>
        <w:pStyle w:val="10"/>
        <w:shd w:val="clear" w:color="auto" w:fill="FFFFFF"/>
        <w:ind w:left="420"/>
      </w:pPr>
      <w:r>
        <w:t>十二、国有资本经营预算财政拨款支出决算表</w:t>
      </w:r>
    </w:p>
    <w:p>
      <w:pPr>
        <w:pStyle w:val="10"/>
        <w:shd w:val="clear" w:color="auto" w:fill="FFFFFF"/>
        <w:ind w:left="420"/>
      </w:pPr>
      <w:r>
        <w:t>十三、财政拨款“三公”经费支出决算表</w:t>
      </w:r>
    </w:p>
    <w:p>
      <w:pPr>
        <w:pStyle w:val="10"/>
        <w:shd w:val="clear" w:color="auto" w:fill="FFFFFF"/>
      </w:pPr>
    </w:p>
    <w:p>
      <w:pPr>
        <w:pStyle w:val="10"/>
        <w:shd w:val="clear" w:color="auto" w:fill="FFFFFF"/>
      </w:pPr>
      <w:r>
        <w:t> </w:t>
      </w:r>
    </w:p>
    <w:p>
      <w:pPr>
        <w:pStyle w:val="10"/>
        <w:shd w:val="clear" w:color="auto" w:fill="FFFFFF"/>
      </w:pPr>
      <w:r>
        <w:t> </w:t>
      </w:r>
    </w:p>
    <w:p>
      <w:pPr>
        <w:pStyle w:val="2"/>
        <w:shd w:val="clear" w:color="auto" w:fill="FFFFFF"/>
        <w:jc w:val="center"/>
        <w:outlineLvl w:val="9"/>
      </w:pPr>
    </w:p>
    <w:p>
      <w:pPr>
        <w:pStyle w:val="2"/>
        <w:shd w:val="clear" w:color="auto" w:fill="FFFFFF"/>
        <w:jc w:val="center"/>
      </w:pPr>
      <w:bookmarkStart w:id="4" w:name="_Toc27710"/>
      <w:r>
        <w:t>第一部分 部门概况</w:t>
      </w:r>
      <w:bookmarkEnd w:id="4"/>
    </w:p>
    <w:p>
      <w:pPr>
        <w:pStyle w:val="10"/>
        <w:shd w:val="clear" w:color="auto" w:fill="FFFFFF"/>
      </w:pPr>
      <w:r>
        <w:t> </w:t>
      </w:r>
    </w:p>
    <w:p>
      <w:pPr>
        <w:pStyle w:val="3"/>
        <w:shd w:val="clear" w:color="auto" w:fill="FFFFFF"/>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一、基本职能及主要工作</w:t>
      </w:r>
    </w:p>
    <w:p>
      <w:pPr>
        <w:pStyle w:val="6"/>
        <w:ind w:left="0" w:leftChars="0" w:firstLine="0" w:firstLineChars="0"/>
        <w:rPr>
          <w:rFonts w:hint="eastAsia" w:asciiTheme="minorEastAsia" w:hAnsiTheme="minorEastAsia" w:eastAsiaTheme="minorEastAsia" w:cstheme="minorEastAsia"/>
          <w:sz w:val="30"/>
          <w:szCs w:val="30"/>
          <w:lang w:val="en-US" w:eastAsia="zh-CN"/>
        </w:rPr>
      </w:pPr>
      <w:r>
        <w:rPr>
          <w:rFonts w:hint="eastAsia" w:ascii="黑体" w:hAnsi="黑体" w:eastAsia="黑体" w:cs="黑体"/>
          <w:sz w:val="30"/>
          <w:szCs w:val="30"/>
        </w:rPr>
        <w:t>（一）主要职能</w:t>
      </w:r>
      <w:r>
        <w:rPr>
          <w:rFonts w:hint="eastAsia" w:asciiTheme="minorEastAsia" w:hAnsiTheme="minorEastAsia" w:eastAsiaTheme="minorEastAsia" w:cstheme="minorEastAsia"/>
          <w:sz w:val="30"/>
          <w:szCs w:val="30"/>
        </w:rPr>
        <w:t>。</w:t>
      </w:r>
    </w:p>
    <w:p>
      <w:pPr>
        <w:pStyle w:val="10"/>
        <w:shd w:val="clear" w:color="auto" w:fill="FFFFFF"/>
        <w:ind w:firstLine="900" w:firstLineChars="300"/>
        <w:rPr>
          <w:rFonts w:hint="eastAsia" w:ascii="Times New Roman" w:hAnsi="Times New Roman" w:eastAsia="仿宋_GB2312" w:cs="Times New Roman"/>
          <w:color w:val="auto"/>
          <w:sz w:val="32"/>
          <w:szCs w:val="32"/>
          <w:lang w:val="en-US" w:eastAsia="zh-CN"/>
        </w:rPr>
      </w:pPr>
      <w:r>
        <w:rPr>
          <w:rFonts w:hint="eastAsia" w:asciiTheme="minorEastAsia" w:hAnsiTheme="minorEastAsia" w:eastAsiaTheme="minorEastAsia" w:cstheme="minorEastAsia"/>
          <w:b w:val="0"/>
          <w:bCs w:val="0"/>
          <w:sz w:val="30"/>
          <w:szCs w:val="30"/>
          <w:lang w:val="en-US" w:eastAsia="zh-CN"/>
        </w:rPr>
        <w:t>1</w:t>
      </w:r>
      <w:r>
        <w:rPr>
          <w:rFonts w:hint="eastAsia" w:ascii="Times New Roman" w:hAnsi="Times New Roman" w:eastAsia="仿宋_GB2312" w:cs="Times New Roman"/>
          <w:color w:val="auto"/>
          <w:sz w:val="32"/>
          <w:szCs w:val="32"/>
          <w:lang w:val="en-US" w:eastAsia="zh-CN"/>
        </w:rPr>
        <w:t>.拟订全县财税发展战略、规划、政策和改革方案并组织实施。分析预测宏观经济形势，参与制定宏观经济政策，提出运用财税政策实施宏观调控和综合平衡社会财力的建议。贯彻落实国家与企业的分配政策，完善鼓励公益事业发展的财税政策。</w:t>
      </w:r>
    </w:p>
    <w:p>
      <w:pPr>
        <w:pStyle w:val="10"/>
        <w:shd w:val="clear" w:color="auto" w:fill="FFFFFF"/>
        <w:ind w:firstLine="960" w:firstLineChars="3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2.贯彻执行财政、税收、财务、会计管理的法律法规和规章。提出全县性财税立法规划建议，按照管理权限管理全县税政事项。</w:t>
      </w:r>
    </w:p>
    <w:p>
      <w:pPr>
        <w:pStyle w:val="10"/>
        <w:shd w:val="clear" w:color="auto" w:fill="FFFFFF"/>
        <w:ind w:firstLine="960" w:firstLineChars="3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3.负责管理各项财政收支。编制年度县级预决算草案并组织执行。组织制定经费开支标准、定额，审核批复部门（单位）年度预决算。受县政府委托，向县人大及其常委会报告财政预算执行和决算等情况。负责政府投资基金县级财政出资的资产管理。负责县级预决算公开。负责全面实施预算绩效管理。</w:t>
      </w:r>
    </w:p>
    <w:p>
      <w:pPr>
        <w:pStyle w:val="10"/>
        <w:shd w:val="clear" w:color="auto" w:fill="FFFFFF"/>
        <w:ind w:firstLine="960" w:firstLineChars="3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4.按分工负责政府非税收入管理。负责政府性基金管理，按规定管理行政事业性收费等其他非税收入。管理财政票据。贯彻落实彩票管理政策和有关办法，监管彩票市场，按规定管理彩票基金。</w:t>
      </w:r>
    </w:p>
    <w:p>
      <w:pPr>
        <w:pStyle w:val="10"/>
        <w:shd w:val="clear" w:color="auto" w:fill="FFFFFF"/>
        <w:ind w:firstLine="960" w:firstLineChars="3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5.组织制定全县国库管理制度、国库集中收付制度，指导和监督国库业务，开展国库现金管理工作。贯彻执行政府财务报告编制办法并组织实施。负责制定政府采购制度并监督管理。</w:t>
      </w:r>
    </w:p>
    <w:p>
      <w:pPr>
        <w:pStyle w:val="10"/>
        <w:shd w:val="clear" w:color="auto" w:fill="FFFFFF"/>
        <w:ind w:firstLine="960" w:firstLineChars="3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6.贯彻执行地方政府债务管理制度和政策，制定具体管理办法，执行地方政府债余额限额计划，统一管理政府外债，防范财政风险。</w:t>
      </w:r>
    </w:p>
    <w:p>
      <w:pPr>
        <w:pStyle w:val="10"/>
        <w:shd w:val="clear" w:color="auto" w:fill="FFFFFF"/>
        <w:ind w:firstLine="960" w:firstLineChars="3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7.牵头编制全县国有资产管理情况报告。根据县政府授权，集中统一履行县级国有金融资本出资人职责。制定县级国有金融资本管理制度。拟订全县行政事业单位国有资产管理制度并组织实施。制定需要全县统一规定的开支标准和支出政策。</w:t>
      </w:r>
    </w:p>
    <w:p>
      <w:pPr>
        <w:pStyle w:val="10"/>
        <w:shd w:val="clear" w:color="auto" w:fill="FFFFFF"/>
        <w:ind w:firstLine="960" w:firstLineChars="3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8.负责审核并汇总编制全县国有资本经营预决算草案。制定国有资本经营预算制度和办法，收取县本级企业国有资本收益。组织实施企业财务制度，负责财政预算内行政事业单位和社会团体的非贸易外汇和财政预算内的国际收支管理。</w:t>
      </w:r>
    </w:p>
    <w:p>
      <w:pPr>
        <w:pStyle w:val="10"/>
        <w:shd w:val="clear" w:color="auto" w:fill="FFFFFF"/>
        <w:ind w:firstLine="960" w:firstLineChars="3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9.负责审核并汇总编制全县社会保险基金预决算草案，会同有关部门拟订有关资金（基金）财务管理制度，承担社会保险基金财政监管工作。</w:t>
      </w:r>
    </w:p>
    <w:p>
      <w:pPr>
        <w:pStyle w:val="10"/>
        <w:shd w:val="clear" w:color="auto" w:fill="FFFFFF"/>
        <w:ind w:firstLine="960" w:firstLineChars="3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10.负责办理和监督县级财政的经济发展支出、县级政府性投资项目的财政拨款，负责投资评审管理工作，参与拟订县级基建投资有关政策，执行基建财务管理制度。</w:t>
      </w:r>
    </w:p>
    <w:p>
      <w:pPr>
        <w:pStyle w:val="10"/>
        <w:shd w:val="clear" w:color="auto" w:fill="FFFFFF"/>
        <w:ind w:firstLine="960" w:firstLineChars="3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11.管理外国政府和国际金融机构贷（赠）款项目的有关业务，参与财经领域的国际交流与合作。</w:t>
      </w:r>
    </w:p>
    <w:p>
      <w:pPr>
        <w:pStyle w:val="10"/>
        <w:shd w:val="clear" w:color="auto" w:fill="FFFFFF"/>
        <w:ind w:firstLine="960" w:firstLineChars="3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12.负责管理全县会计工作，监督和规范会计行为，组织实施国家统一的会计制度，指导和管理社会审计。依法管理资产评估有关工作。</w:t>
      </w:r>
    </w:p>
    <w:p>
      <w:pPr>
        <w:pStyle w:val="10"/>
        <w:shd w:val="clear" w:color="auto" w:fill="FFFFFF"/>
        <w:ind w:firstLine="960" w:firstLineChars="3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13.负责职责范围内的安全生产和职业健康、生态环境保护、审批服务便民化等工作。</w:t>
      </w:r>
    </w:p>
    <w:p>
      <w:pPr>
        <w:pStyle w:val="10"/>
        <w:shd w:val="clear" w:color="auto" w:fill="FFFFFF"/>
        <w:ind w:firstLine="960" w:firstLineChars="3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14.完成县委、县政府交办的其他任务。</w:t>
      </w:r>
    </w:p>
    <w:p>
      <w:pPr>
        <w:pStyle w:val="10"/>
        <w:shd w:val="clear" w:color="auto" w:fill="FFFFFF"/>
        <w:ind w:firstLine="960" w:firstLineChars="300"/>
        <w:rPr>
          <w:rFonts w:hint="eastAsia" w:asciiTheme="minorEastAsia" w:hAnsiTheme="minorEastAsia" w:eastAsiaTheme="minorEastAsia" w:cstheme="minorEastAsia"/>
          <w:b w:val="0"/>
          <w:bCs w:val="0"/>
          <w:caps w:val="0"/>
          <w:smallCaps w:val="0"/>
          <w:color w:val="auto"/>
          <w:kern w:val="2"/>
          <w:sz w:val="30"/>
          <w:szCs w:val="30"/>
          <w:u w:val="none"/>
          <w:vertAlign w:val="baseline"/>
          <w:lang w:val="en-US" w:eastAsia="zh-CN"/>
        </w:rPr>
      </w:pPr>
      <w:r>
        <w:rPr>
          <w:rFonts w:hint="eastAsia" w:ascii="Times New Roman" w:hAnsi="Times New Roman" w:eastAsia="仿宋_GB2312" w:cs="Times New Roman"/>
          <w:color w:val="auto"/>
          <w:sz w:val="32"/>
          <w:szCs w:val="32"/>
          <w:lang w:val="en-US" w:eastAsia="zh-CN"/>
        </w:rPr>
        <w:t>财政工作在县委、县政府的正确领导下，紧紧围绕县委、县政府中心工作，多措并举，实现了财政收入稳步增长，不断提高财政保障能力，促进了全县经济、社会事业的持续健康</w:t>
      </w:r>
      <w:r>
        <w:rPr>
          <w:rFonts w:hint="eastAsia" w:asciiTheme="minorEastAsia" w:hAnsiTheme="minorEastAsia" w:eastAsiaTheme="minorEastAsia" w:cstheme="minorEastAsia"/>
          <w:sz w:val="30"/>
          <w:szCs w:val="30"/>
        </w:rPr>
        <w:t>发展。</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60" w:lineRule="exact"/>
        <w:ind w:right="0"/>
        <w:jc w:val="both"/>
        <w:outlineLvl w:val="9"/>
        <w:rPr>
          <w:rFonts w:hint="eastAsia" w:ascii="黑体" w:hAnsi="黑体" w:eastAsia="黑体" w:cs="黑体"/>
          <w:sz w:val="30"/>
          <w:szCs w:val="30"/>
        </w:rPr>
      </w:pPr>
      <w:r>
        <w:rPr>
          <w:rFonts w:hint="eastAsia" w:ascii="黑体" w:hAnsi="黑体" w:eastAsia="黑体" w:cs="黑体"/>
          <w:sz w:val="30"/>
          <w:szCs w:val="30"/>
          <w:lang w:eastAsia="zh-CN"/>
        </w:rPr>
        <w:t>（</w:t>
      </w:r>
      <w:r>
        <w:rPr>
          <w:rFonts w:hint="eastAsia" w:ascii="黑体" w:hAnsi="黑体" w:eastAsia="黑体" w:cs="黑体"/>
          <w:sz w:val="30"/>
          <w:szCs w:val="30"/>
        </w:rPr>
        <w:t>二）</w:t>
      </w:r>
      <w:r>
        <w:rPr>
          <w:rFonts w:hint="eastAsia" w:ascii="黑体" w:hAnsi="黑体" w:eastAsia="黑体" w:cs="黑体"/>
          <w:sz w:val="30"/>
          <w:szCs w:val="30"/>
          <w:lang w:eastAsia="zh-CN"/>
        </w:rPr>
        <w:t>、</w:t>
      </w:r>
      <w:r>
        <w:rPr>
          <w:rFonts w:hint="eastAsia" w:ascii="黑体" w:hAnsi="黑体" w:eastAsia="黑体" w:cs="黑体"/>
          <w:sz w:val="30"/>
          <w:szCs w:val="30"/>
        </w:rPr>
        <w:t>2022年重点工作完成情况。</w:t>
      </w:r>
    </w:p>
    <w:p>
      <w:pPr>
        <w:pStyle w:val="10"/>
        <w:shd w:val="clear" w:color="auto" w:fill="FFFFFF"/>
        <w:ind w:firstLine="960" w:firstLineChars="300"/>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2022年，面对经济下行压力和疫情持续反复带来的不利影响，县财政局坚持以习近平新时代中国特色社会主义思想为指导，在县委、县政府的正确领导下，认真落实中央、省、州和县关于促进经济发展各项政策措施，紧紧围绕我县“五大工程”和“三地一典范”总体战略，充分发挥财政职能作用，高效统筹做好疫情防控和支持经济发展工作，坚决兜牢“六稳”“六保”底线，为全县经济社会高质量发展提供了坚实保障，</w:t>
      </w:r>
    </w:p>
    <w:p>
      <w:pPr>
        <w:pStyle w:val="3"/>
        <w:shd w:val="clear" w:color="auto" w:fill="FFFFFF"/>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二、机构设置</w:t>
      </w:r>
    </w:p>
    <w:p>
      <w:pPr>
        <w:pStyle w:val="10"/>
        <w:shd w:val="clear" w:color="auto" w:fill="FFFFFF"/>
        <w:ind w:firstLine="960" w:firstLineChars="3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四川省阿坝州九寨沟县财政局下属二级单位2个，其中行政单位0个，参照公务员法管理的事业单位1个，其他事业单位（股级）1个。</w:t>
      </w:r>
    </w:p>
    <w:p>
      <w:pPr>
        <w:pStyle w:val="10"/>
        <w:shd w:val="clear" w:color="auto" w:fill="FFFFFF"/>
        <w:ind w:firstLine="960" w:firstLineChars="3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纳入四川省阿坝州九寨沟县财政局2022年度部门决算编制范围的二级预算单位包括：</w:t>
      </w:r>
    </w:p>
    <w:p>
      <w:pPr>
        <w:pStyle w:val="10"/>
        <w:shd w:val="clear" w:color="auto" w:fill="FFFFFF"/>
        <w:ind w:firstLine="960" w:firstLineChars="3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九寨沟县财政局</w:t>
      </w:r>
    </w:p>
    <w:p>
      <w:pPr>
        <w:pStyle w:val="10"/>
        <w:shd w:val="clear" w:color="auto" w:fill="FFFFFF"/>
        <w:ind w:firstLine="960" w:firstLineChars="300"/>
        <w:outlineLvl w:val="0"/>
        <w:rPr>
          <w:rFonts w:hint="eastAsia" w:ascii="Times New Roman" w:hAnsi="Times New Roman" w:eastAsia="仿宋_GB2312" w:cs="Times New Roman"/>
          <w:color w:val="auto"/>
          <w:sz w:val="32"/>
          <w:szCs w:val="32"/>
          <w:lang w:val="en-US" w:eastAsia="zh-CN"/>
        </w:rPr>
      </w:pPr>
      <w:bookmarkStart w:id="5" w:name="_Toc7203"/>
      <w:r>
        <w:rPr>
          <w:rFonts w:hint="eastAsia" w:ascii="Times New Roman" w:hAnsi="Times New Roman" w:eastAsia="仿宋_GB2312" w:cs="Times New Roman"/>
          <w:color w:val="auto"/>
          <w:sz w:val="32"/>
          <w:szCs w:val="32"/>
          <w:lang w:val="en-US" w:eastAsia="zh-CN"/>
        </w:rPr>
        <w:t>九寨沟县国库支付中心</w:t>
      </w:r>
      <w:bookmarkEnd w:id="5"/>
    </w:p>
    <w:p>
      <w:pPr>
        <w:pStyle w:val="10"/>
        <w:shd w:val="clear" w:color="auto" w:fill="FFFFFF"/>
        <w:outlineLvl w:val="0"/>
        <w:rPr>
          <w:rFonts w:hint="eastAsia" w:ascii="黑体" w:hAnsi="黑体" w:eastAsia="黑体" w:cs="黑体"/>
          <w:sz w:val="44"/>
          <w:szCs w:val="44"/>
        </w:rPr>
      </w:pPr>
      <w:bookmarkStart w:id="6" w:name="_Toc29465"/>
      <w:r>
        <w:rPr>
          <w:rFonts w:hint="eastAsia" w:asciiTheme="minorEastAsia" w:hAnsiTheme="minorEastAsia" w:eastAsiaTheme="minorEastAsia" w:cstheme="minorEastAsia"/>
          <w:sz w:val="30"/>
          <w:szCs w:val="30"/>
        </w:rPr>
        <w:t> </w:t>
      </w:r>
      <w:r>
        <w:rPr>
          <w:rFonts w:hint="eastAsia" w:ascii="黑体" w:hAnsi="黑体" w:eastAsia="黑体" w:cs="黑体"/>
          <w:sz w:val="44"/>
          <w:szCs w:val="44"/>
        </w:rPr>
        <w:t>第二部分 2022年度部门决算情况说明</w:t>
      </w:r>
      <w:bookmarkEnd w:id="6"/>
    </w:p>
    <w:p>
      <w:pPr>
        <w:pStyle w:val="10"/>
        <w:shd w:val="clear" w:color="auto" w:fill="FFFFFF"/>
        <w:rPr>
          <w:rFonts w:hint="eastAsia" w:ascii="黑体" w:hAnsi="黑体" w:eastAsia="黑体" w:cs="黑体"/>
          <w:sz w:val="30"/>
          <w:szCs w:val="30"/>
        </w:rPr>
      </w:pPr>
      <w:r>
        <w:rPr>
          <w:rFonts w:hint="eastAsia" w:ascii="黑体" w:hAnsi="黑体" w:eastAsia="黑体" w:cs="黑体"/>
          <w:sz w:val="30"/>
          <w:szCs w:val="30"/>
        </w:rPr>
        <w:t>一、收入支出决算总体情况说明</w:t>
      </w:r>
    </w:p>
    <w:p>
      <w:pPr>
        <w:pStyle w:val="10"/>
        <w:shd w:val="clear" w:color="auto" w:fill="FFFFFF"/>
        <w:ind w:firstLine="640" w:firstLineChars="200"/>
        <w:rPr>
          <w:rFonts w:hint="eastAsia" w:asciiTheme="minorEastAsia" w:hAnsiTheme="minorEastAsia" w:eastAsiaTheme="minorEastAsia" w:cstheme="minorEastAsia"/>
          <w:sz w:val="30"/>
          <w:szCs w:val="30"/>
          <w:lang w:val="en-US" w:eastAsia="zh-CN"/>
        </w:rPr>
      </w:pPr>
      <w:r>
        <w:rPr>
          <w:rFonts w:hint="eastAsia" w:ascii="Times New Roman" w:hAnsi="Times New Roman" w:eastAsia="仿宋_GB2312" w:cs="Times New Roman"/>
          <w:color w:val="auto"/>
          <w:sz w:val="32"/>
          <w:szCs w:val="32"/>
          <w:lang w:val="en-US" w:eastAsia="zh-CN"/>
        </w:rPr>
        <w:t>2022年度收入882.68万元，支出1,472.13万元，收支总额2354.81万元。2021年度收入959.99万元，支出1510.89万元，收支总额2470.88万元与2021年相比，收、支总计减少116.07万元，减少4.69%。主要变动原因是厉行节约。</w:t>
      </w:r>
    </w:p>
    <w:p>
      <w:pPr>
        <w:pStyle w:val="10"/>
        <w:shd w:val="clear" w:color="auto" w:fill="FFFFFF"/>
        <w:rPr>
          <w:rFonts w:hint="eastAsia" w:ascii="黑体" w:hAnsi="黑体" w:eastAsia="黑体" w:cs="黑体"/>
          <w:sz w:val="30"/>
          <w:szCs w:val="30"/>
        </w:rPr>
      </w:pPr>
      <w:r>
        <w:rPr>
          <w:rFonts w:hint="eastAsia" w:ascii="黑体" w:hAnsi="黑体" w:eastAsia="黑体" w:cs="黑体"/>
          <w:sz w:val="30"/>
          <w:szCs w:val="30"/>
        </w:rPr>
        <w:t>二、收入决算情况说明</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2022年本年收入合计882.68万元，其中：一般公共预算财政拨款收入882.68万元，占100.00%；政府性基金预算财政拨款收入0.00万元，占0.00%；国有资本经营预算财政拨款收入0.00万元，占0.00%；上级补助收入0.00万元，占0.00%；事业收入0.00万元，占0.00%%；经营收入0.00万元，占0.00%%；附属单位上缴收入0.00万元，占0.00%；其他收入0.00万元，占0.00%。</w:t>
      </w:r>
    </w:p>
    <w:p>
      <w:pPr>
        <w:pStyle w:val="10"/>
        <w:shd w:val="clear" w:color="auto" w:fill="FFFFFF"/>
        <w:rPr>
          <w:rFonts w:hint="eastAsia" w:ascii="黑体" w:hAnsi="黑体" w:eastAsia="黑体" w:cs="黑体"/>
          <w:sz w:val="30"/>
          <w:szCs w:val="30"/>
        </w:rPr>
      </w:pPr>
      <w:r>
        <w:rPr>
          <w:rFonts w:hint="eastAsia" w:ascii="黑体" w:hAnsi="黑体" w:eastAsia="黑体" w:cs="黑体"/>
          <w:sz w:val="30"/>
          <w:szCs w:val="30"/>
        </w:rPr>
        <w:t> 三、支出决算情况说明</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2022年本年支出合计1,472.13万元，其中：基本支出1,017.90万元，占69.14%；项目支出454.23万元，占30.86%；上缴上级支出0.00万元，占0.00%；经营支出0.00万元，占经营支出0.00万元，占 0.00%；对附属单位补助支出0.00万元，占0.00%。 </w:t>
      </w:r>
    </w:p>
    <w:p>
      <w:pPr>
        <w:pStyle w:val="10"/>
        <w:shd w:val="clear" w:color="auto" w:fill="FFFFFF"/>
        <w:rPr>
          <w:rFonts w:hint="eastAsia" w:ascii="黑体" w:hAnsi="黑体" w:eastAsia="黑体" w:cs="黑体"/>
          <w:sz w:val="30"/>
          <w:szCs w:val="30"/>
        </w:rPr>
      </w:pPr>
      <w:r>
        <w:rPr>
          <w:rFonts w:hint="eastAsia" w:ascii="黑体" w:hAnsi="黑体" w:eastAsia="黑体" w:cs="黑体"/>
          <w:sz w:val="30"/>
          <w:szCs w:val="30"/>
        </w:rPr>
        <w:t>四、财政拨款收入支出决算总体情况说明</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2022年财政拨款收、支总计2354.81万元。与2021年收、支总计相比，财政拨款收、支总计减少116.07万元，减少4.69%。主要变动原因是厉行节约。</w:t>
      </w:r>
    </w:p>
    <w:p>
      <w:pPr>
        <w:pStyle w:val="10"/>
        <w:shd w:val="clear" w:color="auto" w:fill="FFFFFF"/>
        <w:rPr>
          <w:rFonts w:hint="eastAsia" w:ascii="黑体" w:hAnsi="黑体" w:eastAsia="黑体" w:cs="黑体"/>
          <w:sz w:val="30"/>
          <w:szCs w:val="30"/>
        </w:rPr>
      </w:pPr>
      <w:r>
        <w:rPr>
          <w:rFonts w:hint="eastAsia" w:ascii="黑体" w:hAnsi="黑体" w:eastAsia="黑体" w:cs="黑体"/>
          <w:sz w:val="30"/>
          <w:szCs w:val="30"/>
        </w:rPr>
        <w:t>五、</w:t>
      </w:r>
      <w:r>
        <w:rPr>
          <w:rStyle w:val="13"/>
          <w:rFonts w:hint="eastAsia" w:ascii="黑体" w:hAnsi="黑体" w:eastAsia="黑体" w:cs="黑体"/>
          <w:sz w:val="30"/>
          <w:szCs w:val="30"/>
        </w:rPr>
        <w:t>一</w:t>
      </w:r>
      <w:r>
        <w:rPr>
          <w:rFonts w:hint="eastAsia" w:ascii="黑体" w:hAnsi="黑体" w:eastAsia="黑体" w:cs="黑体"/>
          <w:sz w:val="30"/>
          <w:szCs w:val="30"/>
        </w:rPr>
        <w:t>般公共预算财政拨款支出决算情况说明</w:t>
      </w:r>
    </w:p>
    <w:p>
      <w:pPr>
        <w:pStyle w:val="10"/>
        <w:shd w:val="clear" w:color="auto" w:fill="FFFFFF"/>
        <w:rPr>
          <w:rFonts w:hint="eastAsia" w:asciiTheme="minorEastAsia" w:hAnsiTheme="minorEastAsia" w:eastAsiaTheme="minorEastAsia" w:cstheme="minorEastAsia"/>
          <w:sz w:val="30"/>
          <w:szCs w:val="30"/>
        </w:rPr>
      </w:pPr>
      <w:r>
        <w:rPr>
          <w:rStyle w:val="13"/>
          <w:rFonts w:hint="eastAsia" w:asciiTheme="minorEastAsia" w:hAnsiTheme="minorEastAsia" w:eastAsiaTheme="minorEastAsia" w:cstheme="minorEastAsia"/>
          <w:sz w:val="30"/>
          <w:szCs w:val="30"/>
        </w:rPr>
        <w:t>（一）一般公共预算财政拨款支出决算总体情况</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2022年一般公共预算财政拨款支出1,472.13万元，占本年支出合计的100.00%。与2021年支出1510.89万元相比，一般公共预算财政拨款支出减少38.76万元，减少2.56%。主要变动原因是厉行节约。</w:t>
      </w:r>
    </w:p>
    <w:p>
      <w:pPr>
        <w:pStyle w:val="10"/>
        <w:shd w:val="clear" w:color="auto" w:fill="FFFFFF"/>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 </w:t>
      </w:r>
      <w:r>
        <w:rPr>
          <w:rStyle w:val="13"/>
          <w:rFonts w:hint="eastAsia" w:asciiTheme="minorEastAsia" w:hAnsiTheme="minorEastAsia" w:eastAsiaTheme="minorEastAsia" w:cstheme="minorEastAsia"/>
          <w:sz w:val="30"/>
          <w:szCs w:val="30"/>
        </w:rPr>
        <w:t>（二）一般公共预算财政拨款支出决算结构情况</w:t>
      </w:r>
    </w:p>
    <w:p>
      <w:pPr>
        <w:pStyle w:val="10"/>
        <w:shd w:val="clear" w:color="auto" w:fill="FFFFFF"/>
        <w:ind w:firstLine="600" w:firstLineChars="200"/>
        <w:rPr>
          <w:rFonts w:hint="eastAsia" w:ascii="Times New Roman" w:hAnsi="Times New Roman" w:eastAsia="仿宋_GB2312" w:cs="Times New Roman"/>
          <w:color w:val="auto"/>
          <w:sz w:val="32"/>
          <w:szCs w:val="32"/>
          <w:lang w:val="en-US" w:eastAsia="zh-CN"/>
        </w:rPr>
      </w:pPr>
      <w:r>
        <w:rPr>
          <w:rFonts w:hint="eastAsia" w:asciiTheme="minorEastAsia" w:hAnsiTheme="minorEastAsia" w:eastAsiaTheme="minorEastAsia" w:cstheme="minorEastAsia"/>
          <w:sz w:val="30"/>
          <w:szCs w:val="30"/>
        </w:rPr>
        <w:t>2</w:t>
      </w:r>
      <w:r>
        <w:rPr>
          <w:rFonts w:hint="eastAsia" w:ascii="Times New Roman" w:hAnsi="Times New Roman" w:eastAsia="仿宋_GB2312" w:cs="Times New Roman"/>
          <w:color w:val="auto"/>
          <w:sz w:val="32"/>
          <w:szCs w:val="32"/>
          <w:lang w:val="en-US" w:eastAsia="zh-CN"/>
        </w:rPr>
        <w:t>022年一般公共预算财政拨款支出1,472.13万元，主要用于以下方面:一般公共服务（类）支出1,264.47万元，占85.89%；教育支出（类）0.00万元，占0.00%；科学技术（类）支出0.00万元，占0.00%；文化旅游体育与传媒（类）支出0.00万元，占0.00%；社会保障和就业（类）支出103.95万元，占7.06%；卫生健康支出44.69万元，占3.04%；住房保障支出59.01万元，占4.01%；。</w:t>
      </w:r>
    </w:p>
    <w:p>
      <w:pPr>
        <w:pStyle w:val="10"/>
        <w:shd w:val="clear" w:color="auto" w:fill="FFFFFF"/>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（三）一般公共预算财政拨款支出决算具体情况</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2022年一般公共预算支出决算数为1,472.13，完成预算100.00%。其中：</w:t>
      </w:r>
    </w:p>
    <w:p>
      <w:pPr>
        <w:pStyle w:val="10"/>
        <w:shd w:val="clear" w:color="auto" w:fill="FFFFFF"/>
        <w:ind w:firstLine="640" w:firstLineChars="200"/>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1.一般公共服务（201）财政事务（06）行政运行（01）: 支出决算为810.25万元，完成预算100%</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2.一般公共服务（201）财政事务（06）一般行政管理事务（02）: 支出决算为62万元，完成预算100%</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3.一般公共服务（201）财政事务（06）财政委托业务（08）: 支出决算为392.23万元，完成预算100%</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4.社会保障和就业（208）行政和事业单位养老（05）行政和事业单位基本养老保险缴费（05）: 支出决算为69.30万元，完成预算100%。</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5.社会保障和就业（208）行政和事业单位养老（05）行政和事业单位职业年金缴费（06）: 支出决算为34.65万元，完成预算100%。</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 xml:space="preserve">6.卫生健康（210）行政事业单位医疗（11）行政单位医疗（01）:支出决算为33.19万元，完成预算100%。 </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7.卫生健康（210）行政事业单位医疗（11）公务员医疗补助（03）:支出决算为11.5万元，完成预算100%。</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8.住房保障（221）住房改革支出（02）住房公积金（01）：支出决算为56.75万元，完成预算100%。 </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六、一般公共预算财政拨款基本支出决算情况说明   </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2022年一般公共预算财政拨款基本支出1,017.90万元，其中：人员经费858.54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公用经费159.36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Style w:val="10"/>
        <w:shd w:val="clear" w:color="auto" w:fill="FFFFFF"/>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七、“三公”经费财政拨款支出决算情况说明</w:t>
      </w:r>
    </w:p>
    <w:p>
      <w:pPr>
        <w:pStyle w:val="10"/>
        <w:shd w:val="clear" w:color="auto" w:fill="FFFFFF"/>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（一）“三公”经费财政拨款支出决算总体情况说明</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2022年“三公”经费财政拨款支出决算为15.92万元，完成预算100.00%，决算数与预算数持平。</w:t>
      </w:r>
    </w:p>
    <w:p>
      <w:pPr>
        <w:pStyle w:val="10"/>
        <w:shd w:val="clear" w:color="auto" w:fill="FFFFFF"/>
        <w:rPr>
          <w:rFonts w:hint="eastAsia" w:ascii="黑体" w:hAnsi="黑体" w:eastAsia="黑体" w:cs="黑体"/>
          <w:sz w:val="30"/>
          <w:szCs w:val="30"/>
        </w:rPr>
      </w:pPr>
      <w:r>
        <w:rPr>
          <w:rStyle w:val="13"/>
          <w:rFonts w:hint="eastAsia" w:ascii="黑体" w:hAnsi="黑体" w:eastAsia="黑体" w:cs="黑体"/>
          <w:sz w:val="30"/>
          <w:szCs w:val="30"/>
        </w:rPr>
        <w:t>（二）“三公”经费财政拨款支出决算具体情况说明</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2022年“三公”经费财政拨款支出决算中，因公出国（境）费支出决算0.00万元，占0.00%；公务用车购置及运行维护费支出决算15.36万元，占96.48%；公务接待费支出决算0.56万元，占3.52%。具体情况如下：</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因公出国（境）经费支出0.00万元，完成预算0.00%。全年安排因公出国（境）团组0次，出国（境）0人。因公出（境）支出决算与2021年比较无变化。</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2.公务用车购置及运行维护费支出15.36万元,完成预算100.00%。公务用车购置及运行维护费支出决算比2021年支出13.08万元增加2.28万元，增长17.43%。主要原因是车辆老化，维修费用增加，燃油涨价等。</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其中：公务用车购置支出0.00万元。全年按规定更新购置公务用车0辆，截至2022年12月底，单位共有公务用车1辆，其中：轿车0辆、越野车1辆、载客汽车0辆。</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公务用车运行维护费支出15.36万元。主要用于因公出差、培训、会议、下乡等所需的公务用车燃料费、维修费、过路过桥费、保险费等支出。</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3.公务接待费支出0.56万元，完成预算100%。公务接待费支出决算比2021年增加0.16万元，增长40%。主要原因是各项检查及招投标费专家用餐费用增加。其中：国内公务接待支出0.56万元，主要用于各项检查及招投标费专家用餐(执行公务、开展业务活动开支的交通费、住宿费、用餐费等)。国内公务接待7批次，101人次（不包括陪同人员），共计支出0.56万元，具体内容包括：各项检查及招投标费专家用餐。</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外事接待支出0.00万元，外事接待0批次，0人，共计支出0.00万元。</w:t>
      </w:r>
    </w:p>
    <w:p>
      <w:pPr>
        <w:pStyle w:val="10"/>
        <w:shd w:val="clear" w:color="auto" w:fill="FFFFFF"/>
        <w:rPr>
          <w:rFonts w:hint="eastAsia" w:ascii="黑体" w:hAnsi="黑体" w:eastAsia="黑体" w:cs="黑体"/>
          <w:sz w:val="30"/>
          <w:szCs w:val="30"/>
        </w:rPr>
      </w:pPr>
      <w:r>
        <w:rPr>
          <w:rFonts w:hint="eastAsia" w:ascii="黑体" w:hAnsi="黑体" w:eastAsia="黑体" w:cs="黑体"/>
          <w:sz w:val="30"/>
          <w:szCs w:val="30"/>
        </w:rPr>
        <w:t>八、政府性基金预算支出决算情况说明</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2022年政府性基金预算财政拨款支出0.00万元。</w:t>
      </w:r>
    </w:p>
    <w:p>
      <w:pPr>
        <w:pStyle w:val="10"/>
        <w:shd w:val="clear" w:color="auto" w:fill="FFFFFF"/>
        <w:rPr>
          <w:rFonts w:hint="eastAsia" w:ascii="黑体" w:hAnsi="黑体" w:eastAsia="黑体" w:cs="黑体"/>
          <w:sz w:val="30"/>
          <w:szCs w:val="30"/>
        </w:rPr>
      </w:pPr>
      <w:r>
        <w:rPr>
          <w:rFonts w:hint="eastAsia" w:ascii="黑体" w:hAnsi="黑体" w:eastAsia="黑体" w:cs="黑体"/>
          <w:sz w:val="30"/>
          <w:szCs w:val="30"/>
        </w:rPr>
        <w:t>九、国有资本经营预算支出决算情况说明</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2022年国有资本经营预算财政拨款支出0.00万元。</w:t>
      </w:r>
    </w:p>
    <w:p>
      <w:pPr>
        <w:pStyle w:val="10"/>
        <w:shd w:val="clear" w:color="auto" w:fill="FFFFFF"/>
        <w:jc w:val="both"/>
        <w:rPr>
          <w:rFonts w:hint="eastAsia" w:ascii="黑体" w:hAnsi="黑体" w:eastAsia="黑体" w:cs="黑体"/>
          <w:sz w:val="30"/>
          <w:szCs w:val="30"/>
        </w:rPr>
      </w:pPr>
      <w:r>
        <w:rPr>
          <w:rFonts w:hint="eastAsia" w:ascii="黑体" w:hAnsi="黑体" w:eastAsia="黑体" w:cs="黑体"/>
          <w:sz w:val="30"/>
          <w:szCs w:val="30"/>
        </w:rPr>
        <w:t>十、其他重要事项的情况说明</w:t>
      </w:r>
    </w:p>
    <w:p>
      <w:pPr>
        <w:pStyle w:val="10"/>
        <w:shd w:val="clear" w:color="auto" w:fill="FFFFFF"/>
        <w:rPr>
          <w:rStyle w:val="13"/>
          <w:rFonts w:hint="eastAsia" w:asciiTheme="minorEastAsia" w:hAnsiTheme="minorEastAsia" w:eastAsiaTheme="minorEastAsia" w:cstheme="minorEastAsia"/>
          <w:sz w:val="30"/>
          <w:szCs w:val="30"/>
        </w:rPr>
      </w:pPr>
      <w:r>
        <w:rPr>
          <w:rStyle w:val="13"/>
          <w:rFonts w:hint="eastAsia" w:asciiTheme="minorEastAsia" w:hAnsiTheme="minorEastAsia" w:eastAsiaTheme="minorEastAsia" w:cstheme="minorEastAsia"/>
          <w:sz w:val="30"/>
          <w:szCs w:val="30"/>
        </w:rPr>
        <w:t>（一）机关运行经费支出情况</w:t>
      </w:r>
    </w:p>
    <w:p>
      <w:pPr>
        <w:pStyle w:val="10"/>
        <w:shd w:val="clear" w:color="auto" w:fill="FFFFFF"/>
        <w:ind w:firstLine="640" w:firstLineChars="200"/>
        <w:rPr>
          <w:rFonts w:hint="eastAsia" w:ascii="仿宋_GB2312" w:hAnsi="仿宋_GB2312" w:eastAsia="仿宋_GB2312" w:cs="仿宋_GB2312"/>
          <w:b/>
          <w:color w:val="FF0000"/>
          <w:sz w:val="32"/>
          <w:szCs w:val="32"/>
        </w:rPr>
      </w:pPr>
      <w:r>
        <w:rPr>
          <w:rFonts w:hint="eastAsia" w:ascii="Times New Roman" w:hAnsi="Times New Roman" w:eastAsia="仿宋_GB2312" w:cs="Times New Roman"/>
          <w:color w:val="auto"/>
          <w:sz w:val="32"/>
          <w:szCs w:val="32"/>
          <w:lang w:val="en-US" w:eastAsia="zh-CN"/>
        </w:rPr>
        <w:t>2022年，四川省阿坝州九寨沟县财政局机关运行经费支出159.36万元，比2021年增加61.87万元，增长63.46%。主要原因是办公费和公务用车运行维护费增加</w:t>
      </w:r>
      <w:r>
        <w:rPr>
          <w:rFonts w:hint="eastAsia" w:ascii="仿宋_GB2312" w:hAnsi="仿宋_GB2312" w:eastAsia="仿宋_GB2312" w:cs="仿宋_GB2312"/>
          <w:color w:val="000000"/>
          <w:sz w:val="32"/>
          <w:szCs w:val="32"/>
          <w:lang w:val="en-US" w:eastAsia="zh-CN"/>
        </w:rPr>
        <w:t>。</w:t>
      </w:r>
    </w:p>
    <w:p>
      <w:pPr>
        <w:pStyle w:val="10"/>
        <w:shd w:val="clear" w:color="auto" w:fill="FFFFFF"/>
        <w:rPr>
          <w:rFonts w:hint="eastAsia" w:asciiTheme="minorEastAsia" w:hAnsiTheme="minorEastAsia" w:eastAsiaTheme="minorEastAsia" w:cstheme="minorEastAsia"/>
          <w:sz w:val="30"/>
          <w:szCs w:val="30"/>
        </w:rPr>
      </w:pPr>
      <w:r>
        <w:rPr>
          <w:rStyle w:val="13"/>
          <w:rFonts w:hint="eastAsia" w:asciiTheme="minorEastAsia" w:hAnsiTheme="minorEastAsia" w:eastAsiaTheme="minorEastAsia" w:cstheme="minorEastAsia"/>
          <w:sz w:val="30"/>
          <w:szCs w:val="30"/>
        </w:rPr>
        <w:t>（二）政府采购支出情况</w:t>
      </w:r>
    </w:p>
    <w:p>
      <w:pPr>
        <w:pStyle w:val="10"/>
        <w:shd w:val="clear" w:color="auto" w:fill="FFFFFF"/>
        <w:ind w:firstLine="640" w:firstLineChars="200"/>
        <w:rPr>
          <w:rFonts w:hint="eastAsia" w:asciiTheme="minorEastAsia" w:hAnsiTheme="minorEastAsia" w:eastAsiaTheme="minorEastAsia" w:cstheme="minorEastAsia"/>
          <w:sz w:val="30"/>
          <w:szCs w:val="30"/>
        </w:rPr>
      </w:pPr>
      <w:r>
        <w:rPr>
          <w:rFonts w:hint="eastAsia" w:ascii="Times New Roman" w:hAnsi="Times New Roman" w:eastAsia="仿宋_GB2312" w:cs="Times New Roman"/>
          <w:color w:val="auto"/>
          <w:sz w:val="32"/>
          <w:szCs w:val="32"/>
          <w:lang w:val="en-US" w:eastAsia="zh-CN"/>
        </w:rPr>
        <w:t>2022年，四川省阿坝州九寨沟县财政局政府采购支出总额399.39万元，其中：政府采购货物支出7.16万元、政府采购工程支出0.00万元、政府采购服务支出392.23万元。主要用于预算评审费用、绩效评价费用等。授予中小企业合同金额392.23万元，占政府采购支出总额的98.21%，其中：授予小微企业合同金额0.00万元，占政府采购支出总额的0.00%。</w:t>
      </w:r>
    </w:p>
    <w:p>
      <w:pPr>
        <w:pStyle w:val="10"/>
        <w:shd w:val="clear" w:color="auto" w:fill="FFFFFF"/>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 </w:t>
      </w:r>
      <w:r>
        <w:rPr>
          <w:rStyle w:val="13"/>
          <w:rFonts w:hint="eastAsia" w:asciiTheme="minorEastAsia" w:hAnsiTheme="minorEastAsia" w:eastAsiaTheme="minorEastAsia" w:cstheme="minorEastAsia"/>
          <w:sz w:val="30"/>
          <w:szCs w:val="30"/>
        </w:rPr>
        <w:t>（三）国有资产占有使用情况</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截至2022年12月31日，四川省阿坝州九寨沟县财政局共有车辆1辆，其中：主要领导干部用车0辆、机要通信用车0辆、应急保障用车0辆、其他用车1辆，其他用车主要是用于单位职工出差、培训、会议、下乡等一般公务用车。单价100万元（含）以上设备（不含车辆）0台（套）。</w:t>
      </w:r>
    </w:p>
    <w:p>
      <w:pPr>
        <w:pStyle w:val="10"/>
        <w:shd w:val="clear" w:color="auto" w:fill="FFFFFF"/>
        <w:rPr>
          <w:rFonts w:hint="eastAsia" w:asciiTheme="minorEastAsia" w:hAnsiTheme="minorEastAsia" w:eastAsiaTheme="minorEastAsia" w:cstheme="minorEastAsia"/>
          <w:sz w:val="30"/>
          <w:szCs w:val="30"/>
        </w:rPr>
      </w:pPr>
      <w:r>
        <w:rPr>
          <w:rStyle w:val="13"/>
          <w:rFonts w:hint="eastAsia" w:asciiTheme="minorEastAsia" w:hAnsiTheme="minorEastAsia" w:eastAsiaTheme="minorEastAsia" w:cstheme="minorEastAsia"/>
          <w:sz w:val="30"/>
          <w:szCs w:val="30"/>
        </w:rPr>
        <w:t>（四）预算绩效管理情况</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根据预算绩效管理要求，本部门在2022年度预算编制阶段，组织对中介机构委托评审项目开展了预算事前绩效评估，对1个项目编制了绩效目标，预算执行过程中，选取1个项目开展绩效监控。</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组织对2022年度一般公共预算、政府性基金预算、国有资本经营预算、社会保险基金预算以及资本资产、债券资金等全面开展绩效自评，形成财政部门整体绩效自评报告、中介机构委托评审项目等专项预算项目绩效自评报告，其中，九寨沟县财政局部门整体（含部门预算项目）绩效自评得分为94分，绩效自评综述：</w:t>
      </w:r>
      <w:r>
        <w:rPr>
          <w:rFonts w:hint="eastAsia" w:ascii="Times New Roman" w:hAnsi="Times New Roman" w:eastAsia="仿宋_GB2312" w:cs="Times New Roman"/>
          <w:color w:val="auto"/>
          <w:sz w:val="32"/>
          <w:szCs w:val="32"/>
          <w:lang w:val="zh-CN" w:eastAsia="zh-CN"/>
        </w:rPr>
        <w:t>从整体上看，202</w:t>
      </w:r>
      <w:r>
        <w:rPr>
          <w:rFonts w:hint="eastAsia" w:ascii="Times New Roman" w:hAnsi="Times New Roman" w:eastAsia="仿宋_GB2312" w:cs="Times New Roman"/>
          <w:color w:val="auto"/>
          <w:sz w:val="32"/>
          <w:szCs w:val="32"/>
          <w:lang w:val="en-US" w:eastAsia="zh-CN"/>
        </w:rPr>
        <w:t>2</w:t>
      </w:r>
      <w:r>
        <w:rPr>
          <w:rFonts w:hint="eastAsia" w:ascii="Times New Roman" w:hAnsi="Times New Roman" w:eastAsia="仿宋_GB2312" w:cs="Times New Roman"/>
          <w:color w:val="auto"/>
          <w:sz w:val="32"/>
          <w:szCs w:val="32"/>
          <w:lang w:val="zh-CN" w:eastAsia="zh-CN"/>
        </w:rPr>
        <w:t>年我局资金维护决策正确，资金管理规范，决策有力，有效发挥了财政资金使用效率。在人员经费支出上，严格执行县委、政府的各项制度。在项目经费的使用上，严格按照项目资金实施方案执行。三公经费的使用严格按照预算执行。</w:t>
      </w:r>
      <w:r>
        <w:rPr>
          <w:rFonts w:hint="eastAsia" w:ascii="Times New Roman" w:hAnsi="Times New Roman" w:eastAsia="仿宋_GB2312" w:cs="Times New Roman"/>
          <w:color w:val="auto"/>
          <w:sz w:val="32"/>
          <w:szCs w:val="32"/>
          <w:lang w:val="en-US" w:eastAsia="zh-CN"/>
        </w:rPr>
        <w:t>2022年财政专项资金支出、2022年中介机构委托评审项目支出绩效自评专项预算项目绩效自评得分为100分，绩效自评报告详见附件。</w:t>
      </w:r>
    </w:p>
    <w:p>
      <w:pPr>
        <w:pStyle w:val="10"/>
        <w:shd w:val="clear" w:color="auto" w:fill="FFFFFF"/>
        <w:ind w:firstLine="600" w:firstLineChars="200"/>
        <w:outlineLvl w:val="0"/>
        <w:rPr>
          <w:rFonts w:hint="eastAsia" w:ascii="黑体" w:hAnsi="黑体" w:eastAsia="黑体" w:cs="黑体"/>
          <w:sz w:val="44"/>
          <w:szCs w:val="44"/>
        </w:rPr>
      </w:pPr>
      <w:bookmarkStart w:id="7" w:name="_Toc14387"/>
      <w:r>
        <w:rPr>
          <w:rFonts w:hint="eastAsia" w:asciiTheme="minorEastAsia" w:hAnsiTheme="minorEastAsia" w:eastAsiaTheme="minorEastAsia" w:cstheme="minorEastAsia"/>
          <w:sz w:val="30"/>
          <w:szCs w:val="30"/>
        </w:rPr>
        <w:t> </w:t>
      </w:r>
      <w:r>
        <w:rPr>
          <w:rStyle w:val="13"/>
          <w:rFonts w:hint="eastAsia" w:ascii="黑体" w:hAnsi="黑体" w:eastAsia="黑体" w:cs="黑体"/>
          <w:sz w:val="44"/>
          <w:szCs w:val="44"/>
        </w:rPr>
        <w:t>第三部分 名词解释</w:t>
      </w:r>
      <w:bookmarkEnd w:id="7"/>
    </w:p>
    <w:p>
      <w:pPr>
        <w:pStyle w:val="10"/>
        <w:shd w:val="clear" w:color="auto" w:fill="FFFFFF"/>
        <w:ind w:firstLine="600" w:firstLineChars="200"/>
        <w:rPr>
          <w:rFonts w:hint="eastAsia" w:ascii="Times New Roman" w:hAnsi="Times New Roman" w:eastAsia="仿宋_GB2312" w:cs="Times New Roman"/>
          <w:color w:val="auto"/>
          <w:sz w:val="32"/>
          <w:szCs w:val="32"/>
          <w:lang w:val="en-US" w:eastAsia="zh-CN"/>
        </w:rPr>
      </w:pPr>
      <w:r>
        <w:rPr>
          <w:rFonts w:hint="eastAsia" w:asciiTheme="minorEastAsia" w:hAnsiTheme="minorEastAsia" w:eastAsiaTheme="minorEastAsia" w:cstheme="minorEastAsia"/>
          <w:sz w:val="30"/>
          <w:szCs w:val="30"/>
        </w:rPr>
        <w:t> </w:t>
      </w:r>
      <w:r>
        <w:rPr>
          <w:rFonts w:hint="eastAsia" w:ascii="Times New Roman" w:hAnsi="Times New Roman" w:eastAsia="仿宋_GB2312" w:cs="Times New Roman"/>
          <w:color w:val="auto"/>
          <w:sz w:val="32"/>
          <w:szCs w:val="32"/>
          <w:lang w:val="en-US" w:eastAsia="zh-CN"/>
        </w:rPr>
        <w:t xml:space="preserve"> 1.财政拨款收入：指单位从同级财政部门取得的财政预算资金。</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2.事业收入：指事业单位开展专业业务活动及辅助活动取得的收入。</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3.经营收入：指事业单位在专业业务活动及其辅助活动之外开展非独立核算经营活动取得的收入。</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 xml:space="preserve">4.其他收入：指单位取得的除上述收入以外的各项收入。 </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 xml:space="preserve">6.年初结转和结余：指以前年度尚未完成、结转到本年按有关规定继续使用的资金。 </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7.结余分配：指事业单位按照事业单位会计制度的规定从非财政补助结余中分配的事业基金和职工福利基金等。</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8、年末结转和结余：指单位按有关规定结转到下年或以后年度继续使用的资金。</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9.一般公共服务（201）财政事务（06）行政运行（01）：指反映政府财政事务支出，反映行政单位（包括实行公务员管理的事业单位）的基本支出。</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10.一般公共服务（201）财政事务（06）一般行政管理事务(02):反映行政单位（包括实行公务员管理的事业单位）末单独设置的项级科目的其他项目支出。</w:t>
      </w:r>
    </w:p>
    <w:p>
      <w:pPr>
        <w:pStyle w:val="10"/>
        <w:shd w:val="clear" w:color="auto" w:fill="FFFFFF"/>
        <w:ind w:firstLine="640" w:firstLineChars="200"/>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 xml:space="preserve">    11.一般公共服务（201）财政事务（06）财政委托业务支出(08):反映财政委托评审机构进行财政投资评审和委托建设银行等机构代理业务发生的支出。</w:t>
      </w:r>
    </w:p>
    <w:p>
      <w:pPr>
        <w:pStyle w:val="10"/>
        <w:shd w:val="clear" w:color="auto" w:fill="FFFFFF"/>
        <w:ind w:firstLine="640" w:firstLineChars="200"/>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12.一般公共服务（201）财政事务（06）其他财政事务支出(08)：反映除上述项目以处其他财政事务方面的支出。</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13.社会保障和就业（208）行政事业单位离退休（05）机关事业单位养老保险缴费支出（05）是指反映机关事业单位实施养老保险制度由单位缴纳的基本养老保险费支出。</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14、社会保障和就业（208）行政事业单位离退休（05）机关事业单位职业年金缴费支出（06)是指反映机关事业单位实施养老保险制度由单位实际缴纳的职业年金的支出。</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15.卫生健康（210）卫生健康管理事务（01）其他卫生健康管理事务支出（99）是指反映其他用于卫生健康管理事务方面的支出。</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16.卫生健康（210）行政事业单位医疗（11）行政单位医疗（01）是指反映财政部门安排的行政单位（包括实行公务员管理的事业单位）基本医疗保险缴费经费，未参加医疗保险的行政单位的公费医疗经费，按国家规定享受离休人员待遇的医疗经费。</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17.卫生健康（210）行政事业单位医疗（11）公务员医疗补助（03）是指反映财政部门安排的公务员医疗补助经费。</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 xml:space="preserve">      18.卫生健康（210）行政事业单位医疗（11）其他行政事业单位医疗支出:反映除上述项目以外的其他用于行政事业单位医疗方面的支出。</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19.住房保障支出（221）住房改革支出（02）住房公积金（01）是指反映行政事业单位按人力资源和社会保障部、财政部规定的基本工资和津贴补贴以及规定比例为职工缴纳的住房公积金。</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20.基本支出：指为保障机构正常运转、完成日常工作任务而发生的人员支出和公用支出。</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 xml:space="preserve">21.项目支出：指在基本支出之外为完成特定行政任务和事业发展目标所发生的支出。 </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22.经营支出：指事业单位在专业业务活动及其辅助活动之外开展非独立核算经营活动发生的支出。</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23.“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0"/>
        <w:shd w:val="clear" w:color="auto" w:fill="FFFFFF"/>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 </w:t>
      </w:r>
    </w:p>
    <w:p>
      <w:pPr>
        <w:pStyle w:val="10"/>
        <w:shd w:val="clear" w:color="auto" w:fill="FFFFFF"/>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 </w:t>
      </w:r>
    </w:p>
    <w:p>
      <w:pPr>
        <w:pStyle w:val="10"/>
        <w:shd w:val="clear" w:color="auto" w:fill="FFFFFF"/>
        <w:rPr>
          <w:rStyle w:val="13"/>
          <w:rFonts w:hint="eastAsia" w:ascii="黑体" w:hAnsi="黑体" w:eastAsia="黑体" w:cs="黑体"/>
          <w:sz w:val="44"/>
          <w:szCs w:val="44"/>
        </w:rPr>
      </w:pPr>
      <w:r>
        <w:rPr>
          <w:rStyle w:val="13"/>
          <w:rFonts w:hint="eastAsia" w:ascii="黑体" w:hAnsi="黑体" w:eastAsia="黑体" w:cs="黑体"/>
          <w:sz w:val="44"/>
          <w:szCs w:val="44"/>
        </w:rPr>
        <w:t>附件</w:t>
      </w:r>
    </w:p>
    <w:p>
      <w:pPr>
        <w:pStyle w:val="10"/>
        <w:shd w:val="clear" w:color="auto" w:fill="FFFFFF"/>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部门预算项目支出绩效自评表（2022年度）</w:t>
      </w:r>
    </w:p>
    <w:tbl>
      <w:tblPr>
        <w:tblStyle w:val="11"/>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0"/>
        <w:gridCol w:w="935"/>
        <w:gridCol w:w="568"/>
        <w:gridCol w:w="398"/>
        <w:gridCol w:w="982"/>
        <w:gridCol w:w="718"/>
        <w:gridCol w:w="2267"/>
        <w:gridCol w:w="507"/>
        <w:gridCol w:w="507"/>
        <w:gridCol w:w="474"/>
        <w:gridCol w:w="4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8" w:hRule="atLeast"/>
        </w:trPr>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附件2-1</w:t>
            </w:r>
          </w:p>
        </w:tc>
        <w:tc>
          <w:tcPr>
            <w:tcW w:w="0" w:type="auto"/>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0" w:type="auto"/>
            <w:gridSpan w:val="11"/>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r>
              <w:rPr>
                <w:rFonts w:hint="eastAsia" w:ascii="宋体" w:hAnsi="宋体" w:eastAsia="宋体" w:cs="宋体"/>
                <w:b/>
                <w:bCs/>
                <w:i w:val="0"/>
                <w:iCs w:val="0"/>
                <w:color w:val="000000"/>
                <w:kern w:val="0"/>
                <w:sz w:val="40"/>
                <w:szCs w:val="40"/>
                <w:u w:val="none"/>
                <w:lang w:val="en-US" w:eastAsia="zh-CN" w:bidi="ar"/>
              </w:rPr>
              <w:t>2023年县级部门整体支出绩效评价指标体系</w:t>
            </w:r>
          </w:p>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（适用于有专项预算的部门）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绩效指标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指标分值</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指标解释</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评分方法</w:t>
            </w:r>
          </w:p>
        </w:tc>
        <w:tc>
          <w:tcPr>
            <w:tcW w:w="0" w:type="auto"/>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评价要点及说明</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定量评价标准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评分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三级指标</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5"/>
                <w:szCs w:val="15"/>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5"/>
                <w:szCs w:val="15"/>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5"/>
                <w:szCs w:val="15"/>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5"/>
                <w:szCs w:val="15"/>
                <w:u w:val="none"/>
              </w:rPr>
            </w:pPr>
          </w:p>
        </w:tc>
        <w:tc>
          <w:tcPr>
            <w:tcW w:w="0" w:type="auto"/>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样本均值</w:t>
            </w:r>
          </w:p>
        </w:tc>
        <w:tc>
          <w:tcPr>
            <w:tcW w:w="0" w:type="auto"/>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其他标准</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部门预算总体绩效</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（30分）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目标管理</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（15分）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目标制定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部门年初绩效目标编制质量。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直接换算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根据财政厅组织开展对部门绩效目标编制在科学合理、规范完整、细化量化(成本指标设置情况)、与预算安排相匹配等方面情况的会审结果换算得分。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预算编制阶段人大反馈绩效目标质量审查情况。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缺（错）项扣分法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每反馈一个问题扣0.5分，扣完为止。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部门绩效目标制定是否纳入本部门集体决策范围。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“是否”评分法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部门绩效目标制定纳入本部门党组（委）会（办公会）集体决策范围，并有相关佐证材料的得2分，否则不得分。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目标实现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部门整体绩效目标中数量指标、成本指标的完成情况。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对照部门年初整体支出绩效目标编制和完成情况，计算指标得分=绩效目标数量指标、成本指标完成的指标个数/全部数量指标、成本指标指标个数×3。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部门整体绩效目标实现程度与预期目标的偏离情况。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20"/>
                <w:sz w:val="15"/>
                <w:szCs w:val="15"/>
                <w:lang w:val="en-US" w:eastAsia="zh-CN" w:bidi="ar"/>
              </w:rPr>
              <w:t>部门年初整体支出绩效目标实际完成值偏离预期指标30%以上（含30%）的，均不计分。该项指标得分=已完成预期指标值的数量指标、成本指标中偏离度在30%内的指标个数/已完成预期指标值的数量指标、成本指标个数</w:t>
            </w:r>
            <w:r>
              <w:rPr>
                <w:rStyle w:val="21"/>
                <w:sz w:val="15"/>
                <w:szCs w:val="15"/>
                <w:lang w:val="en-US" w:eastAsia="zh-CN" w:bidi="ar"/>
              </w:rPr>
              <w:t>×</w:t>
            </w:r>
            <w:r>
              <w:rPr>
                <w:rStyle w:val="20"/>
                <w:sz w:val="15"/>
                <w:szCs w:val="15"/>
                <w:lang w:val="en-US" w:eastAsia="zh-CN" w:bidi="ar"/>
              </w:rPr>
              <w:t>2。</w:t>
            </w:r>
            <w:r>
              <w:rPr>
                <w:rStyle w:val="20"/>
                <w:sz w:val="15"/>
                <w:szCs w:val="15"/>
                <w:lang w:val="en-US" w:eastAsia="zh-CN" w:bidi="ar"/>
              </w:rPr>
              <w:br w:type="textWrapping"/>
            </w:r>
            <w:r>
              <w:rPr>
                <w:rStyle w:val="20"/>
                <w:sz w:val="15"/>
                <w:szCs w:val="15"/>
                <w:lang w:val="en-US" w:eastAsia="zh-CN" w:bidi="ar"/>
              </w:rPr>
              <w:t>偏离度=|（绩效指标实际完成值-设定预期指标值）/设定预期指标值|。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2" w:hRule="atLeast"/>
        </w:trPr>
        <w:tc>
          <w:tcPr>
            <w:tcW w:w="0" w:type="auto"/>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                                                                             过程控制</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执行进度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部门在6、9、11月的预算执行情况。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部门预算项目预算执行进度在6、9、11月应达到序时进度的80%、90%、90%，即实际支出进度分别达到40%、67.5%、82.5%。                                                     6、9、11月部门预算执行进度达到目标进度的分别得1分、1分、2分，未达到目标进度的按其实际进度占目标进度的比重计算得分。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0" w:type="auto"/>
            <w:vMerge w:val="restart"/>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0" w:type="auto"/>
            <w:vMerge w:val="restart"/>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同步调整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部门预算执行中，预算调整和绩效目标调整同步实现情况。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缺（错）项扣分法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对照年度预算执行过程中部门预算项目绩效目标管理情况，在调整预算时未同步调整绩效目标的，每有一个项目扣0.5分，扣完为止。</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（重点核实范围为部门机关及至少2个下属单位的所有纳入绩效目标管理的部门预算项目）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及时处置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部门绩效运行监控处置情况。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直接换算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根据财政厅组织开展对绩效运行监控及时提出预算收回、调整处置意见并加以落实等方面情况的会审结果换算得分。</w:t>
            </w:r>
          </w:p>
        </w:tc>
        <w:tc>
          <w:tcPr>
            <w:tcW w:w="0" w:type="auto"/>
            <w:tcBorders>
              <w:top w:val="nil"/>
              <w:left w:val="nil"/>
              <w:bottom w:val="nil"/>
              <w:right w:val="nil"/>
            </w:tcBorders>
            <w:shd w:val="clear" w:color="auto" w:fill="auto"/>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完成效率</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（5分）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预算结余率</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（低效无效率）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部门预算项目年终预算结余情况。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指标得分=部门预算项目预算结余率小于10%的项目数/部门预算项目总数×5。</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（重点核实范围为部门机关及至少2个下属单位的所有纳入绩效目标管理的部门预算项目）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0" w:type="auto"/>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部门预算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项目绩效</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（20分）</w:t>
            </w:r>
          </w:p>
        </w:tc>
        <w:tc>
          <w:tcPr>
            <w:tcW w:w="0" w:type="auto"/>
            <w:gridSpan w:val="6"/>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财政重点绩效评价组结合部门管理的特定目标类部门预算项目数量，选取部分特定目标类部门预算项目实施评价并打分，将形成的项目评价分数的平均分（百分制）按20%的比例换算得分。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0" w:type="auto"/>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专项预算绩效（30分）</w:t>
            </w:r>
          </w:p>
        </w:tc>
        <w:tc>
          <w:tcPr>
            <w:tcW w:w="0" w:type="auto"/>
            <w:gridSpan w:val="6"/>
            <w:tcBorders>
              <w:top w:val="nil"/>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根据专项预算项目自评报告质量评审结果换算得分。 （有两个以上专项预算项目的，以平均分换算得分）。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绩效结果应用（14分）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内部应用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（4分）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预算挂钩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部门内部绩效结果与预算挂钩情况。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“是否”评分法</w:t>
            </w:r>
          </w:p>
        </w:tc>
        <w:tc>
          <w:tcPr>
            <w:tcW w:w="0" w:type="auto"/>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将内设机构和下属单位绩效管理情况纳入内部考核体系，得1分。建立对内设机构和下属单位预算绩效挂钩机制，有正式文件依据且实行预算挂钩的，得3分；无正式文件依据但实行预算挂钩的，得2分；有正式文件依据但未实行预算挂钩的，得1分；既无正式文件依据且未实行预算挂钩的，不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信息公开</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（4分）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自评公开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部门是否按要求将部门整体绩效自评情况和自行组织的评价情况向社会公开。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“是否”评分法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按绩效自评公开要求将相关绩效信息随同决算公开的，得4分，否则不得分。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整改反馈</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（6分）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问题整改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部门根据绩效管理结果整改问题、完善政策、改进管理的情况。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缺（错）项扣分法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针对绩效管理过程中（包括绩效目标核查、绩效监控核查和重点绩效评价）提出的问题进行全面整改，得3分，否则视整改落实情况酌情扣分。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应用反馈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部门按要求及时向财政部门反馈问题整改及结果应用情况。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“是否”评分法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部门在规定时间内向财政部门反馈问题整改及绩效结果应用报告，报告内容翔实、问题整改到位、结果应用充分的，得3分，否则视反馈报告质量酌情扣分。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自评质量</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（6分）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自评质量</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（6分）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自评质量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部门整体支出自评准确率。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分级评分法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部门整体支出自评得分与评价组抽查得分差异在10%以内的，不扣分；在10%-15%之间的，扣2分，在15%-30%的，扣4分，在20%以上的，扣6分。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22" w:hRule="atLeast"/>
        </w:trPr>
        <w:tc>
          <w:tcPr>
            <w:tcW w:w="0" w:type="auto"/>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扣分项（5分）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根据审计监督、财会监督和决算审查结果反映部门上一年度部门预算管理是否符合相关财政财务管理规定。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缺（错）项扣分法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依据评价年度审计监督、财会监督和决算审查结果，反映部门预算管理是否符合相关财政财务管理制度规定以及有关专项资金管理办法的规定；资金的拨付是否有完整的审批程序和手续；重大项目开支是否经过评估论证；是否符合部门预算批复的用途；是否存在未落实党政机关过紧日子相关要求等情况。每有一个问题点扣0.5分，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被评价单位配合评价工作情况。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缺（错）项扣分法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财政重点绩效评价工作开展过程中，评价组发现被评价对象拖延推诿、提交资料不及时等拒不配合评价工作的，经报财政厅复核确认后按0.5分/次予以扣分，扣完为止。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6"/>
                <w:szCs w:val="36"/>
                <w:u w:val="none"/>
              </w:rPr>
            </w:pPr>
            <w:r>
              <w:rPr>
                <w:rFonts w:hint="eastAsia" w:ascii="宋体" w:hAnsi="宋体" w:eastAsia="宋体" w:cs="宋体"/>
                <w:i w:val="0"/>
                <w:iCs w:val="0"/>
                <w:color w:val="000000"/>
                <w:kern w:val="0"/>
                <w:sz w:val="36"/>
                <w:szCs w:val="36"/>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bl>
    <w:p>
      <w:pPr>
        <w:pStyle w:val="10"/>
        <w:numPr>
          <w:ilvl w:val="0"/>
          <w:numId w:val="0"/>
        </w:numPr>
        <w:shd w:val="clear" w:color="auto" w:fill="FFFFFF"/>
        <w:jc w:val="both"/>
        <w:outlineLvl w:val="9"/>
        <w:rPr>
          <w:rStyle w:val="13"/>
          <w:rFonts w:hint="eastAsia" w:ascii="黑体" w:hAnsi="黑体" w:eastAsia="黑体" w:cs="黑体"/>
          <w:sz w:val="44"/>
          <w:szCs w:val="44"/>
        </w:rPr>
      </w:pPr>
    </w:p>
    <w:p>
      <w:pPr>
        <w:pStyle w:val="10"/>
        <w:shd w:val="clear" w:color="auto" w:fill="FFFFFF"/>
        <w:rPr>
          <w:rFonts w:hint="eastAsia" w:asciiTheme="minorEastAsia" w:hAnsiTheme="minorEastAsia" w:eastAsiaTheme="minorEastAsia" w:cstheme="minorEastAsia"/>
          <w:sz w:val="30"/>
          <w:szCs w:val="30"/>
        </w:rPr>
      </w:pPr>
    </w:p>
    <w:p>
      <w:pPr>
        <w:pStyle w:val="10"/>
        <w:shd w:val="clear" w:color="auto" w:fill="FFFFFF"/>
        <w:rPr>
          <w:rFonts w:hint="eastAsia" w:asciiTheme="minorEastAsia" w:hAnsiTheme="minorEastAsia" w:eastAsiaTheme="minorEastAsia" w:cstheme="minorEastAsia"/>
          <w:sz w:val="30"/>
          <w:szCs w:val="30"/>
        </w:rPr>
      </w:pPr>
    </w:p>
    <w:p>
      <w:pPr>
        <w:pStyle w:val="10"/>
        <w:shd w:val="clear" w:color="auto" w:fill="FFFFFF"/>
        <w:rPr>
          <w:rFonts w:hint="eastAsia" w:asciiTheme="minorEastAsia" w:hAnsiTheme="minorEastAsia" w:eastAsiaTheme="minorEastAsia" w:cstheme="minorEastAsia"/>
          <w:sz w:val="30"/>
          <w:szCs w:val="30"/>
        </w:rPr>
      </w:pPr>
    </w:p>
    <w:p>
      <w:pPr>
        <w:pStyle w:val="10"/>
        <w:shd w:val="clear" w:color="auto" w:fill="FFFFFF"/>
        <w:rPr>
          <w:rFonts w:hint="eastAsia" w:asciiTheme="minorEastAsia" w:hAnsiTheme="minorEastAsia" w:eastAsiaTheme="minorEastAsia" w:cstheme="minorEastAsia"/>
          <w:sz w:val="30"/>
          <w:szCs w:val="30"/>
        </w:rPr>
      </w:pPr>
    </w:p>
    <w:p>
      <w:pPr>
        <w:pStyle w:val="10"/>
        <w:shd w:val="clear" w:color="auto" w:fill="FFFFFF"/>
        <w:rPr>
          <w:rFonts w:hint="eastAsia" w:asciiTheme="minorEastAsia" w:hAnsiTheme="minorEastAsia" w:eastAsiaTheme="minorEastAsia" w:cstheme="minorEastAsia"/>
          <w:sz w:val="30"/>
          <w:szCs w:val="30"/>
        </w:rPr>
      </w:pPr>
    </w:p>
    <w:tbl>
      <w:tblPr>
        <w:tblStyle w:val="11"/>
        <w:tblW w:w="16037" w:type="dxa"/>
        <w:tblInd w:w="2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11"/>
        <w:gridCol w:w="285"/>
        <w:gridCol w:w="360"/>
        <w:gridCol w:w="435"/>
        <w:gridCol w:w="540"/>
        <w:gridCol w:w="435"/>
        <w:gridCol w:w="3285"/>
        <w:gridCol w:w="570"/>
        <w:gridCol w:w="330"/>
        <w:gridCol w:w="285"/>
        <w:gridCol w:w="300"/>
        <w:gridCol w:w="315"/>
        <w:gridCol w:w="315"/>
        <w:gridCol w:w="255"/>
        <w:gridCol w:w="240"/>
        <w:gridCol w:w="375"/>
        <w:gridCol w:w="60"/>
        <w:gridCol w:w="240"/>
        <w:gridCol w:w="165"/>
        <w:gridCol w:w="210"/>
        <w:gridCol w:w="195"/>
        <w:gridCol w:w="435"/>
        <w:gridCol w:w="60"/>
        <w:gridCol w:w="480"/>
        <w:gridCol w:w="90"/>
        <w:gridCol w:w="270"/>
        <w:gridCol w:w="360"/>
        <w:gridCol w:w="615"/>
        <w:gridCol w:w="236"/>
        <w:gridCol w:w="38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5"/>
          <w:wAfter w:w="5366" w:type="dxa"/>
          <w:trHeight w:val="729" w:hRule="atLeast"/>
        </w:trPr>
        <w:tc>
          <w:tcPr>
            <w:tcW w:w="10671" w:type="dxa"/>
            <w:gridSpan w:val="25"/>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简体" w:hAnsi="方正小标宋简体" w:eastAsia="方正小标宋简体" w:cs="方正小标宋简体"/>
                <w:b/>
                <w:bCs/>
                <w:i w:val="0"/>
                <w:iCs w:val="0"/>
                <w:color w:val="000000"/>
                <w:sz w:val="36"/>
                <w:szCs w:val="36"/>
                <w:u w:val="none"/>
              </w:rPr>
            </w:pPr>
            <w:r>
              <w:rPr>
                <w:rFonts w:hint="eastAsia" w:ascii="方正小标宋简体" w:hAnsi="方正小标宋简体" w:eastAsia="方正小标宋简体" w:cs="方正小标宋简体"/>
                <w:b/>
                <w:bCs/>
                <w:i w:val="0"/>
                <w:iCs w:val="0"/>
                <w:color w:val="000000"/>
                <w:kern w:val="0"/>
                <w:sz w:val="36"/>
                <w:szCs w:val="36"/>
                <w:u w:val="none"/>
                <w:lang w:val="en-US" w:eastAsia="zh-CN" w:bidi="ar"/>
              </w:rPr>
              <w:t>九寨沟县财政局2022年中介机构委托评审资金项目评价指标体系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5"/>
          <w:wAfter w:w="5366" w:type="dxa"/>
          <w:trHeight w:val="729" w:hRule="atLeast"/>
        </w:trPr>
        <w:tc>
          <w:tcPr>
            <w:tcW w:w="1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绩效指标</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指标分值</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指标解释</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评分方法</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评价要点及说明</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评价方式</w:t>
            </w:r>
          </w:p>
        </w:tc>
        <w:tc>
          <w:tcPr>
            <w:tcW w:w="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评价属性</w:t>
            </w:r>
          </w:p>
        </w:tc>
        <w:tc>
          <w:tcPr>
            <w:tcW w:w="2760" w:type="dxa"/>
            <w:gridSpan w:val="11"/>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定量评价标准</w:t>
            </w:r>
          </w:p>
        </w:tc>
        <w:tc>
          <w:tcPr>
            <w:tcW w:w="6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评分得分</w:t>
            </w:r>
          </w:p>
        </w:tc>
        <w:tc>
          <w:tcPr>
            <w:tcW w:w="6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5"/>
          <w:wAfter w:w="5366" w:type="dxa"/>
          <w:trHeight w:val="54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一级指标</w:t>
            </w:r>
          </w:p>
        </w:tc>
        <w:tc>
          <w:tcPr>
            <w:tcW w:w="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二级指标</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三级指标</w:t>
            </w:r>
          </w:p>
        </w:tc>
        <w:tc>
          <w:tcPr>
            <w:tcW w:w="435"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40"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35"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3285" w:type="dxa"/>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整体评价</w:t>
            </w:r>
          </w:p>
        </w:tc>
        <w:tc>
          <w:tcPr>
            <w:tcW w:w="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样本评价</w:t>
            </w:r>
          </w:p>
        </w:tc>
        <w:tc>
          <w:tcPr>
            <w:tcW w:w="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定性评价</w:t>
            </w:r>
          </w:p>
        </w:tc>
        <w:tc>
          <w:tcPr>
            <w:tcW w:w="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定量评价</w:t>
            </w:r>
          </w:p>
        </w:tc>
        <w:tc>
          <w:tcPr>
            <w:tcW w:w="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国家标准</w:t>
            </w:r>
          </w:p>
        </w:tc>
        <w:tc>
          <w:tcPr>
            <w:tcW w:w="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行业标准</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地方标准</w:t>
            </w:r>
          </w:p>
        </w:tc>
        <w:tc>
          <w:tcPr>
            <w:tcW w:w="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申报标准</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历史均值</w:t>
            </w:r>
          </w:p>
        </w:tc>
        <w:tc>
          <w:tcPr>
            <w:tcW w:w="3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样本均值</w:t>
            </w:r>
          </w:p>
        </w:tc>
        <w:tc>
          <w:tcPr>
            <w:tcW w:w="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其他标准</w:t>
            </w:r>
          </w:p>
        </w:tc>
        <w:tc>
          <w:tcPr>
            <w:tcW w:w="630" w:type="dxa"/>
            <w:gridSpan w:val="2"/>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630" w:type="dxa"/>
            <w:gridSpan w:val="3"/>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5"/>
          <w:wAfter w:w="5366" w:type="dxa"/>
          <w:trHeight w:val="5069"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等线" w:hAnsi="等线" w:eastAsia="等线" w:cs="等线"/>
                <w:b/>
                <w:bCs/>
                <w:i w:val="0"/>
                <w:iCs w:val="0"/>
                <w:color w:val="000000"/>
                <w:sz w:val="22"/>
                <w:szCs w:val="22"/>
                <w:u w:val="none"/>
              </w:rPr>
            </w:pPr>
            <w:r>
              <w:rPr>
                <w:rStyle w:val="22"/>
                <w:lang w:val="en-US" w:eastAsia="zh-CN" w:bidi="ar"/>
              </w:rPr>
              <w:t>项目决策</w:t>
            </w:r>
            <w:r>
              <w:rPr>
                <w:rStyle w:val="22"/>
                <w:lang w:val="en-US" w:eastAsia="zh-CN" w:bidi="ar"/>
              </w:rPr>
              <w:br w:type="textWrapping"/>
            </w:r>
            <w:r>
              <w:rPr>
                <w:rStyle w:val="22"/>
                <w:lang w:val="en-US" w:eastAsia="zh-CN" w:bidi="ar"/>
              </w:rPr>
              <w:t>（30分</w:t>
            </w:r>
            <w:r>
              <w:rPr>
                <w:rStyle w:val="23"/>
                <w:lang w:val="en-US" w:eastAsia="zh-CN" w:bidi="ar"/>
              </w:rPr>
              <w:t>）</w:t>
            </w:r>
          </w:p>
        </w:tc>
        <w:tc>
          <w:tcPr>
            <w:tcW w:w="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决策程序</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程序规范</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部门预算项目设立是否与部门职能职责相符、是否充分履行项目申报论证程序。</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缺（错）项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扣分法</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1.项目申报未经过部门集体决策的扣5分；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2.未纳入部门（单位）项目库或未履行部门（单位）入库审批程序的扣5分；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3.纳入项目库的项目未按规定完成可行性研究论证、制定具体实施计划等各项前期工作或预算测算不够清晰的，酌情扣分，最多扣5分；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4.500万元以上的新增项目或增幅达到20%或500万元以上的延续项目，未开展事前绩效评估的扣5分；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5.如项目为新建信息化项目，项目申报论证未履行相关程序的，缺1项程序扣2分，扣完为止。</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3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63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5"/>
          <w:wAfter w:w="5366" w:type="dxa"/>
          <w:trHeight w:val="236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等线" w:hAnsi="等线" w:eastAsia="等线" w:cs="等线"/>
                <w:b/>
                <w:bCs/>
                <w:i w:val="0"/>
                <w:iCs w:val="0"/>
                <w:color w:val="000000"/>
                <w:sz w:val="22"/>
                <w:szCs w:val="22"/>
                <w:u w:val="none"/>
              </w:rPr>
            </w:pPr>
          </w:p>
        </w:tc>
        <w:tc>
          <w:tcPr>
            <w:tcW w:w="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目标制定</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编制质量</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项目绩效目标制定是否符合科学合理、规范完整、量化细化、预算匹配的要求。</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缺（错）项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扣分法</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1.绩效目标是否符合有关中长期工作规划、部门“三定”方案确定的职责；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2.绩效目标是否细化分解为具体的绩效指标，指标设置是否高度关联、重点突出、量化易评；</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3.绩效目标是否与年度任务数或计划数相对应；</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4.绩效目标是否与预算确定的项目投资额或资金量相匹配。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绩效目标制定不符合科学合理、规范完整、量化细化、预算匹配要求的，发现一处扣1分，扣完为止。</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3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30" w:type="dxa"/>
            <w:gridSpan w:val="3"/>
            <w:vMerge w:val="restart"/>
            <w:tcBorders>
              <w:top w:val="single" w:color="000000" w:sz="4" w:space="0"/>
              <w:left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5"/>
          <w:wAfter w:w="5366" w:type="dxa"/>
          <w:trHeight w:val="720" w:hRule="atLeast"/>
        </w:trPr>
        <w:tc>
          <w:tcPr>
            <w:tcW w:w="411"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Style w:val="23"/>
                <w:lang w:val="en-US" w:eastAsia="zh-CN" w:bidi="ar"/>
              </w:rPr>
              <w:t>项目执行</w:t>
            </w:r>
            <w:r>
              <w:rPr>
                <w:rStyle w:val="23"/>
                <w:lang w:val="en-US" w:eastAsia="zh-CN" w:bidi="ar"/>
              </w:rPr>
              <w:br w:type="textWrapping"/>
            </w:r>
            <w:r>
              <w:rPr>
                <w:rStyle w:val="23"/>
                <w:lang w:val="en-US" w:eastAsia="zh-CN" w:bidi="ar"/>
              </w:rPr>
              <w:t>（30分）</w:t>
            </w:r>
          </w:p>
        </w:tc>
        <w:tc>
          <w:tcPr>
            <w:tcW w:w="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执行同向</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目标匹配</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项目实际列支内容是否与项目绩效目标设置方向相符。</w:t>
            </w:r>
          </w:p>
        </w:tc>
        <w:tc>
          <w:tcPr>
            <w:tcW w:w="43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缺（错）项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扣分法</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项目实际列支内容与绩效目标设置方向不相符的，发现一处扣2.5分，扣完为止。</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3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3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5"/>
          <w:wAfter w:w="5366" w:type="dxa"/>
          <w:trHeight w:val="960" w:hRule="atLeast"/>
        </w:trPr>
        <w:tc>
          <w:tcPr>
            <w:tcW w:w="411" w:type="dxa"/>
            <w:vMerge w:val="continue"/>
            <w:tcBorders>
              <w:top w:val="single" w:color="000000" w:sz="4" w:space="0"/>
              <w:left w:val="single" w:color="000000" w:sz="4" w:space="0"/>
              <w:bottom w:val="nil"/>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c>
          <w:tcPr>
            <w:tcW w:w="28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项目调整</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预算调整</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申请项目预算调整是否程序规范，依据充分。</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缺（错）项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扣分法</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未按照规定程序申请项目预算调整的，不得分；申请预算调整依据不充分的，酌情扣分，扣完为止。</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3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3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5"/>
          <w:wAfter w:w="5366" w:type="dxa"/>
          <w:trHeight w:val="1620" w:hRule="atLeast"/>
        </w:trPr>
        <w:tc>
          <w:tcPr>
            <w:tcW w:w="411" w:type="dxa"/>
            <w:vMerge w:val="continue"/>
            <w:tcBorders>
              <w:top w:val="single" w:color="000000" w:sz="4" w:space="0"/>
              <w:left w:val="single" w:color="000000" w:sz="4" w:space="0"/>
              <w:bottom w:val="nil"/>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c>
          <w:tcPr>
            <w:tcW w:w="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预算执行</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执行进度</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部门预算项目在6、9、11月的预算执行情况。</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比率分值法</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部门预算项目预算执行进度在6、9、11月应达到序时进度的80%、90%、90%，即实际支出进度分别达到40%、67.5%、82.5%。                                                     6、9、11月部门预算执行进度达到目标进度的分别得1分、1分、2分，未达到目标进度的按其实际进度占目标进度的比重计算得分。</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3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3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5"/>
          <w:wAfter w:w="5366" w:type="dxa"/>
          <w:trHeight w:val="980" w:hRule="atLeast"/>
        </w:trPr>
        <w:tc>
          <w:tcPr>
            <w:tcW w:w="411" w:type="dxa"/>
            <w:vMerge w:val="continue"/>
            <w:tcBorders>
              <w:top w:val="single" w:color="000000" w:sz="4" w:space="0"/>
              <w:left w:val="single" w:color="000000" w:sz="4" w:space="0"/>
              <w:bottom w:val="nil"/>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c>
          <w:tcPr>
            <w:tcW w:w="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预算结余</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预算结余率</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部门预算项目年终预算结余情况。</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比率分值法</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4"/>
                <w:lang w:val="en-US" w:eastAsia="zh-CN" w:bidi="ar"/>
              </w:rPr>
              <w:t>指标得分=（1-预算结余率/0.1）×6分</w:t>
            </w:r>
            <w:r>
              <w:rPr>
                <w:rStyle w:val="24"/>
                <w:lang w:val="en-US" w:eastAsia="zh-CN" w:bidi="ar"/>
              </w:rPr>
              <w:br w:type="textWrapping"/>
            </w:r>
            <w:r>
              <w:rPr>
                <w:rStyle w:val="24"/>
                <w:lang w:val="en-US" w:eastAsia="zh-CN" w:bidi="ar"/>
              </w:rPr>
              <w:t>预算结余率大于等于0.1，指标得0分                             预算结余率=结余金额/省级财政资金预算数×100%</w:t>
            </w: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3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3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5"/>
          <w:wAfter w:w="5366" w:type="dxa"/>
          <w:trHeight w:val="980" w:hRule="atLeast"/>
        </w:trPr>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Style w:val="23"/>
                <w:lang w:val="en-US" w:eastAsia="zh-CN" w:bidi="ar"/>
              </w:rPr>
              <w:t>目标实现</w:t>
            </w:r>
            <w:r>
              <w:rPr>
                <w:rStyle w:val="23"/>
                <w:lang w:val="en-US" w:eastAsia="zh-CN" w:bidi="ar"/>
              </w:rPr>
              <w:br w:type="textWrapping"/>
            </w:r>
            <w:r>
              <w:rPr>
                <w:rStyle w:val="23"/>
                <w:lang w:val="en-US" w:eastAsia="zh-CN" w:bidi="ar"/>
              </w:rPr>
              <w:t>（15分）</w:t>
            </w:r>
          </w:p>
        </w:tc>
        <w:tc>
          <w:tcPr>
            <w:tcW w:w="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目标完成</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目标完成率</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部门预算项目绩效目标中数量指标完成情况。</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比率分值法</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对照部门预算项目支出绩效目标编制情况，计算指标得分=绩效目标数量指标完成的指标个数/全部数量指标个数*8分。</w:t>
            </w: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3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63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5"/>
          <w:wAfter w:w="5366" w:type="dxa"/>
          <w:trHeight w:val="1620" w:hRule="atLeast"/>
        </w:trPr>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目标偏离</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偏离程度</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部门预算项目绩效目标实现程度与预期目标的偏离情况。</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比率分值法</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4"/>
                <w:lang w:val="en-US" w:eastAsia="zh-CN" w:bidi="ar"/>
              </w:rPr>
              <w:t>部门年初整体支出绩效目标实际完成值偏离预期指标30%以上（含30%）的，均不计分。该项指标得分=已完成预期指标值的数量指标中偏离度在30%内的指标个数/已完成预期指标值的数量指标个数</w:t>
            </w:r>
            <w:r>
              <w:rPr>
                <w:rStyle w:val="25"/>
                <w:lang w:val="en-US" w:eastAsia="zh-CN" w:bidi="ar"/>
              </w:rPr>
              <w:t>×</w:t>
            </w:r>
            <w:r>
              <w:rPr>
                <w:rStyle w:val="24"/>
                <w:lang w:val="en-US" w:eastAsia="zh-CN" w:bidi="ar"/>
              </w:rPr>
              <w:t>7。</w:t>
            </w:r>
            <w:r>
              <w:rPr>
                <w:rStyle w:val="24"/>
                <w:lang w:val="en-US" w:eastAsia="zh-CN" w:bidi="ar"/>
              </w:rPr>
              <w:br w:type="textWrapping"/>
            </w:r>
            <w:r>
              <w:rPr>
                <w:rStyle w:val="24"/>
                <w:lang w:val="en-US" w:eastAsia="zh-CN" w:bidi="ar"/>
              </w:rPr>
              <w:t>偏离度=|（绩效指标实际完成值-设定预期指标值）/设定预期指标值|。</w:t>
            </w: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3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63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Style w:val="23"/>
                <w:lang w:val="en-US" w:eastAsia="zh-CN" w:bidi="ar"/>
              </w:rPr>
              <w:t>项目效果</w:t>
            </w:r>
            <w:r>
              <w:rPr>
                <w:rStyle w:val="23"/>
                <w:lang w:val="en-US" w:eastAsia="zh-CN" w:bidi="ar"/>
              </w:rPr>
              <w:br w:type="textWrapping"/>
            </w:r>
            <w:r>
              <w:rPr>
                <w:rStyle w:val="23"/>
                <w:lang w:val="en-US" w:eastAsia="zh-CN" w:bidi="ar"/>
              </w:rPr>
              <w:t>(25分）</w:t>
            </w:r>
          </w:p>
        </w:tc>
        <w:tc>
          <w:tcPr>
            <w:tcW w:w="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目标实现</w:t>
            </w:r>
          </w:p>
        </w:tc>
        <w:tc>
          <w:tcPr>
            <w:tcW w:w="50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4"/>
                <w:lang w:val="en-US" w:eastAsia="zh-CN" w:bidi="ar"/>
              </w:rPr>
              <w:t>评价组根据部门预算项目绩效目标设定的效益指标、成本指标、满意度指标细化设置三级指标，主要评价效益指标、成本指标的实际完成情况，以及部门是否针对满意度指标开展满意度调查。</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7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3885" w:type="dxa"/>
            <w:tcBorders>
              <w:top w:val="single" w:color="000000" w:sz="4" w:space="0"/>
              <w:left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5"/>
          <w:wAfter w:w="5366" w:type="dxa"/>
          <w:trHeight w:val="600" w:hRule="atLeast"/>
        </w:trPr>
        <w:tc>
          <w:tcPr>
            <w:tcW w:w="4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合计</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3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63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bl>
    <w:p/>
    <w:p>
      <w:pPr>
        <w:pStyle w:val="10"/>
        <w:shd w:val="clear" w:color="auto" w:fill="FFFFFF"/>
        <w:rPr>
          <w:rFonts w:hint="eastAsia" w:asciiTheme="minorEastAsia" w:hAnsiTheme="minorEastAsia" w:eastAsiaTheme="minorEastAsia" w:cstheme="minorEastAsia"/>
          <w:sz w:val="30"/>
          <w:szCs w:val="30"/>
        </w:rPr>
      </w:pPr>
    </w:p>
    <w:p>
      <w:pPr>
        <w:pStyle w:val="10"/>
        <w:shd w:val="clear" w:color="auto" w:fill="FFFFFF"/>
        <w:rPr>
          <w:rFonts w:hint="eastAsia" w:asciiTheme="minorEastAsia" w:hAnsiTheme="minorEastAsia" w:eastAsiaTheme="minorEastAsia" w:cstheme="minorEastAsia"/>
          <w:sz w:val="30"/>
          <w:szCs w:val="30"/>
        </w:rPr>
      </w:pPr>
    </w:p>
    <w:p>
      <w:pPr>
        <w:pStyle w:val="10"/>
        <w:shd w:val="clear" w:color="auto" w:fill="FFFFFF"/>
        <w:rPr>
          <w:rFonts w:hint="eastAsia" w:asciiTheme="minorEastAsia" w:hAnsiTheme="minorEastAsia" w:eastAsiaTheme="minorEastAsia" w:cstheme="minorEastAsia"/>
          <w:sz w:val="30"/>
          <w:szCs w:val="30"/>
        </w:rPr>
      </w:pPr>
    </w:p>
    <w:p>
      <w:pPr>
        <w:pStyle w:val="10"/>
        <w:shd w:val="clear" w:color="auto" w:fill="FFFFFF"/>
        <w:rPr>
          <w:rFonts w:hint="eastAsia" w:asciiTheme="minorEastAsia" w:hAnsiTheme="minorEastAsia" w:eastAsiaTheme="minorEastAsia" w:cstheme="minorEastAsia"/>
          <w:sz w:val="30"/>
          <w:szCs w:val="30"/>
        </w:rPr>
      </w:pPr>
    </w:p>
    <w:p>
      <w:pPr>
        <w:pStyle w:val="10"/>
        <w:shd w:val="clear" w:color="auto" w:fill="FFFFFF"/>
        <w:rPr>
          <w:rFonts w:hint="eastAsia" w:asciiTheme="minorEastAsia" w:hAnsiTheme="minorEastAsia" w:eastAsiaTheme="minorEastAsia" w:cstheme="minorEastAsia"/>
          <w:sz w:val="30"/>
          <w:szCs w:val="30"/>
        </w:rPr>
      </w:pPr>
    </w:p>
    <w:p>
      <w:pPr>
        <w:pStyle w:val="10"/>
        <w:shd w:val="clear" w:color="auto" w:fill="FFFFFF"/>
        <w:rPr>
          <w:rFonts w:hint="eastAsia" w:asciiTheme="minorEastAsia" w:hAnsiTheme="minorEastAsia" w:eastAsiaTheme="minorEastAsia" w:cstheme="minorEastAsia"/>
          <w:sz w:val="30"/>
          <w:szCs w:val="30"/>
        </w:rPr>
      </w:pPr>
    </w:p>
    <w:p>
      <w:pPr>
        <w:pStyle w:val="10"/>
        <w:shd w:val="clear" w:color="auto" w:fill="FFFFFF"/>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附件</w:t>
      </w:r>
    </w:p>
    <w:p>
      <w:pPr>
        <w:pStyle w:val="10"/>
        <w:shd w:val="clear" w:color="auto" w:fill="FFFFFF"/>
        <w:ind w:firstLine="2200" w:firstLineChars="500"/>
        <w:rPr>
          <w:rFonts w:hint="eastAsia" w:ascii="黑体" w:hAnsi="黑体" w:eastAsia="黑体" w:cs="黑体"/>
          <w:sz w:val="44"/>
          <w:szCs w:val="44"/>
        </w:rPr>
      </w:pPr>
      <w:r>
        <w:rPr>
          <w:rFonts w:hint="eastAsia" w:ascii="黑体" w:hAnsi="黑体" w:eastAsia="黑体" w:cs="黑体"/>
          <w:sz w:val="44"/>
          <w:szCs w:val="44"/>
        </w:rPr>
        <w:t>2022年</w:t>
      </w:r>
      <w:r>
        <w:rPr>
          <w:rFonts w:hint="eastAsia" w:ascii="黑体" w:hAnsi="黑体" w:eastAsia="黑体" w:cs="黑体"/>
          <w:sz w:val="44"/>
          <w:szCs w:val="44"/>
          <w:lang w:val="en-US" w:eastAsia="zh-CN"/>
        </w:rPr>
        <w:t>财政局</w:t>
      </w:r>
      <w:r>
        <w:rPr>
          <w:rFonts w:hint="eastAsia" w:ascii="黑体" w:hAnsi="黑体" w:eastAsia="黑体" w:cs="黑体"/>
          <w:sz w:val="44"/>
          <w:szCs w:val="44"/>
        </w:rPr>
        <w:t>部门</w:t>
      </w:r>
    </w:p>
    <w:p>
      <w:pPr>
        <w:pStyle w:val="10"/>
        <w:shd w:val="clear" w:color="auto" w:fill="FFFFFF"/>
        <w:jc w:val="center"/>
        <w:rPr>
          <w:rFonts w:hint="eastAsia" w:ascii="黑体" w:hAnsi="黑体" w:eastAsia="黑体" w:cs="黑体"/>
          <w:sz w:val="44"/>
          <w:szCs w:val="44"/>
        </w:rPr>
      </w:pPr>
      <w:r>
        <w:rPr>
          <w:rFonts w:hint="eastAsia" w:ascii="黑体" w:hAnsi="黑体" w:eastAsia="黑体" w:cs="黑体"/>
          <w:sz w:val="44"/>
          <w:szCs w:val="44"/>
        </w:rPr>
        <w:t>整体</w:t>
      </w:r>
      <w:r>
        <w:rPr>
          <w:rFonts w:hint="eastAsia" w:ascii="黑体" w:hAnsi="黑体" w:eastAsia="黑体" w:cs="黑体"/>
          <w:sz w:val="44"/>
          <w:szCs w:val="44"/>
          <w:lang w:val="en-US" w:eastAsia="zh-CN"/>
        </w:rPr>
        <w:t>支出</w:t>
      </w:r>
      <w:r>
        <w:rPr>
          <w:rFonts w:hint="eastAsia" w:ascii="黑体" w:hAnsi="黑体" w:eastAsia="黑体" w:cs="黑体"/>
          <w:sz w:val="44"/>
          <w:szCs w:val="44"/>
        </w:rPr>
        <w:t>绩效评价</w:t>
      </w:r>
      <w:r>
        <w:rPr>
          <w:rFonts w:hint="eastAsia" w:ascii="黑体" w:hAnsi="黑体" w:eastAsia="黑体" w:cs="黑体"/>
          <w:sz w:val="44"/>
          <w:szCs w:val="44"/>
          <w:lang w:val="en-US" w:eastAsia="zh-CN"/>
        </w:rPr>
        <w:t>自评</w:t>
      </w:r>
      <w:r>
        <w:rPr>
          <w:rFonts w:hint="eastAsia" w:ascii="黑体" w:hAnsi="黑体" w:eastAsia="黑体" w:cs="黑体"/>
          <w:sz w:val="44"/>
          <w:szCs w:val="44"/>
        </w:rPr>
        <w:t>报告</w:t>
      </w:r>
    </w:p>
    <w:p>
      <w:pPr>
        <w:widowControl/>
        <w:adjustRightInd w:val="0"/>
        <w:snapToGrid w:val="0"/>
        <w:spacing w:line="580" w:lineRule="exact"/>
        <w:ind w:firstLine="480" w:firstLineChars="200"/>
        <w:contextualSpacing/>
        <w:jc w:val="left"/>
        <w:rPr>
          <w:rFonts w:ascii="黑体" w:eastAsia="黑体" w:cs="宋体"/>
          <w:color w:val="000000"/>
          <w:kern w:val="0"/>
          <w:szCs w:val="32"/>
          <w:shd w:val="clear" w:color="auto" w:fill="FFFFFF"/>
          <w:lang w:val="zh-CN"/>
        </w:rPr>
      </w:pPr>
      <w:r>
        <w:rPr>
          <w:rFonts w:hint="eastAsia" w:ascii="黑体" w:eastAsia="黑体" w:cs="宋体"/>
          <w:color w:val="000000"/>
          <w:kern w:val="0"/>
          <w:szCs w:val="32"/>
          <w:shd w:val="clear" w:color="auto" w:fill="FFFFFF"/>
        </w:rPr>
        <w:t>一、</w:t>
      </w:r>
      <w:r>
        <w:rPr>
          <w:rFonts w:hint="eastAsia" w:ascii="黑体" w:eastAsia="黑体" w:cs="宋体"/>
          <w:color w:val="000000"/>
          <w:kern w:val="0"/>
          <w:szCs w:val="32"/>
          <w:shd w:val="clear" w:color="auto" w:fill="FFFFFF"/>
          <w:lang w:val="zh-CN"/>
        </w:rPr>
        <w:t>部门（单位）概况</w:t>
      </w:r>
    </w:p>
    <w:p>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（一）机构组成。</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九寨沟县财政局（简称县财政局）是九寨沟县人民政府工作部门，为正科级，下设办公室室、预算股、国库股、法规和资产管理股、政府采购监督管理股、经建和金融股、行政政法和教科文股、社会保障股、自然资源环境和农业农村股、财政监督和绩效评价股、投资评审中心等。</w:t>
      </w:r>
    </w:p>
    <w:p>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Chars="0" w:firstLine="643"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cs="仿宋_GB2312"/>
          <w:b/>
          <w:bCs/>
          <w:color w:val="000000"/>
          <w:kern w:val="0"/>
          <w:sz w:val="32"/>
          <w:szCs w:val="32"/>
          <w:shd w:val="clear" w:color="auto" w:fill="FFFFFF"/>
          <w:lang w:val="en-US" w:eastAsia="zh-CN"/>
        </w:rPr>
        <w:t>(二)</w:t>
      </w:r>
      <w:r>
        <w:rPr>
          <w:rFonts w:hint="eastAsia" w:ascii="仿宋_GB2312" w:hAnsi="仿宋_GB2312" w:eastAsia="仿宋_GB2312" w:cs="仿宋_GB2312"/>
          <w:b/>
          <w:bCs/>
          <w:color w:val="000000"/>
          <w:kern w:val="0"/>
          <w:sz w:val="32"/>
          <w:szCs w:val="32"/>
          <w:shd w:val="clear" w:color="auto" w:fill="FFFFFF"/>
          <w:lang w:val="zh-CN"/>
        </w:rPr>
        <w:t>机构职能。</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拟订全县财税发展战略、规划、政策和改革方案并组织实施。分析预测宏观经济形势，参与制定宏观经济政策，提出运用财税政策实施宏观调控和综合平衡社会财力的建议。贯彻落实国家与企业的分配政策，完善鼓励公益事业发展的财税政策。</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2.贯彻执行财政、税收、财务、会计管理的法律法规和规章。提出全县性财税立法规划建议，按照管理权限管理全县税政事项。</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3.负责管理各项财政收支。编制年度县级预决算草案并组织执行。组织制定经费开支标准、定额，审核批复部门（单位）年度预决算。受县政府委托，向县人大及其常委会报告财政预算执行和决算等情况。负责政府投资基金县级财政出资的资产管理。负责县级预决算公开。负责全面实施预算绩效管理。</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4.按分工负责政府非税收入管理。负责政府性基金管理，按规定管理行政事业性收费等其他非税收入。管理财政票据。贯彻落实彩票管理政策和有关办法，监管彩票市场，按规定管理彩票基金。</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5.组织制定全县国库管理制度、国库集中收付制度，指导和监督国库业务，开展国库现金管理工作。贯彻执行政府财务报告编制办法并组织实施。负责制定政府采购制度并监督管理。</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6.贯彻执行地方政府债务管理制度和政策，制定具体管理办法，执行地方政府债余额限额计划，统一管理政府外债，防范财政风险。</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7.牵头编制全县国有资产管理情况报告。根据县政府授权，集中统一履行县级国有金融资本出资人职责。制定县级国有金融资本管理制度。拟订全县行政事业单位国有资产管理制度并组织实施。制定需要全县统一规定的开支标准和支出政策。</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8.负责审核并汇总编制全县国有资本经营预决算草案。制定国有资本经营预算制度和办法，收取县本级企业国有资本收益。组织实施企业财务制度，负责财政预算内行政事业单位和社会团体的非贸易外汇和财政预算内的国际收支管理。</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9.负责审核并汇总编制全县社会保险基金预决算草案，会同有关部门拟订有关资金（基金）财务管理制度，承担社会保险基金财政监管工作。</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10.负责办理和监督县级财政的经济发展支出、县级政府性投资项目的财政拨款，负责投资评审管理工作，参与拟订县级基建投资有关政策，执行基建财务管理制度。</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11.管理外国政府和国际金融机构贷（赠）款项目的有关业务，参与财经领域的国际交流与合作。</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12.负责管理全县会计工作，监督和规范会计行为，组织实施国家统一的会计制度，指导和管理社会审计。依法管理资产评估有关工作。</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13.负责职责范围内的安全生产和职业健康、生态环境保护、审批服务便民化等工作。</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14.完成县委、县政府交办的其他任务。</w:t>
      </w:r>
    </w:p>
    <w:p>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（三）人员概况。</w:t>
      </w:r>
    </w:p>
    <w:p>
      <w:pPr>
        <w:pStyle w:val="10"/>
        <w:shd w:val="clear" w:color="auto" w:fill="FFFFFF"/>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县财政局行政编制18名。其中，局长1名，副局长2名，股级领导职数10名。机关工勤人员编制2名。事业编制7名。2022年12月月末实有人数共计25人，退休16人。</w:t>
      </w:r>
    </w:p>
    <w:p>
      <w:pPr>
        <w:keepNext w:val="0"/>
        <w:keepLines w:val="0"/>
        <w:pageBreakBefore w:val="0"/>
        <w:widowControl/>
        <w:numPr>
          <w:ilvl w:val="0"/>
          <w:numId w:val="2"/>
        </w:numPr>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黑体" w:hAnsi="黑体" w:eastAsia="黑体" w:cs="黑体"/>
          <w:b w:val="0"/>
          <w:bCs w:val="0"/>
          <w:color w:val="000000"/>
          <w:kern w:val="0"/>
          <w:sz w:val="32"/>
          <w:szCs w:val="32"/>
          <w:shd w:val="clear" w:color="auto" w:fill="FFFFFF"/>
        </w:rPr>
      </w:pPr>
      <w:r>
        <w:rPr>
          <w:rFonts w:hint="eastAsia" w:ascii="黑体" w:hAnsi="黑体" w:eastAsia="黑体" w:cs="黑体"/>
          <w:b w:val="0"/>
          <w:bCs w:val="0"/>
          <w:color w:val="000000"/>
          <w:kern w:val="0"/>
          <w:sz w:val="32"/>
          <w:szCs w:val="32"/>
          <w:shd w:val="clear" w:color="auto" w:fill="FFFFFF"/>
        </w:rPr>
        <w:t>部门财政资金收支情况</w:t>
      </w:r>
    </w:p>
    <w:p>
      <w:pPr>
        <w:keepNext w:val="0"/>
        <w:keepLines w:val="0"/>
        <w:pageBreakBefore w:val="0"/>
        <w:kinsoku/>
        <w:wordWrap/>
        <w:overflowPunct/>
        <w:topLinePunct w:val="0"/>
        <w:autoSpaceDE/>
        <w:autoSpaceDN/>
        <w:bidi w:val="0"/>
        <w:spacing w:line="360" w:lineRule="auto"/>
        <w:textAlignment w:val="auto"/>
        <w:rPr>
          <w:rFonts w:hint="eastAsia" w:ascii="Times New Roman" w:hAnsi="Times New Roman" w:eastAsia="仿宋_GB2312" w:cs="Times New Roman"/>
          <w:color w:val="auto"/>
          <w:sz w:val="32"/>
          <w:szCs w:val="32"/>
          <w:lang w:val="en-US" w:eastAsia="zh-CN" w:bidi="ar-SA"/>
        </w:rPr>
      </w:pPr>
      <w:r>
        <w:rPr>
          <w:rFonts w:hint="eastAsia" w:ascii="仿宋_GB2312" w:hAnsi="仿宋_GB2312" w:eastAsia="仿宋_GB2312" w:cs="仿宋_GB2312"/>
          <w:b w:val="0"/>
          <w:bCs w:val="0"/>
          <w:color w:val="000000"/>
          <w:kern w:val="0"/>
          <w:sz w:val="32"/>
          <w:szCs w:val="32"/>
          <w:shd w:val="clear" w:color="auto" w:fill="FFFFFF"/>
          <w:lang w:val="en-US" w:eastAsia="zh-CN"/>
        </w:rPr>
        <w:t xml:space="preserve">    </w:t>
      </w:r>
      <w:r>
        <w:rPr>
          <w:rFonts w:hint="eastAsia" w:ascii="Times New Roman" w:hAnsi="Times New Roman" w:eastAsia="仿宋_GB2312" w:cs="Times New Roman"/>
          <w:color w:val="auto"/>
          <w:sz w:val="32"/>
          <w:szCs w:val="32"/>
          <w:lang w:val="en-US" w:eastAsia="zh-CN" w:bidi="ar-SA"/>
        </w:rPr>
        <w:t>按照综合预算的原则，财政局所有收入和支出均纳入部门预算管理。收入包括：一般公共预算拨款收入，支出包括：一般公共服务支出、社会保障和就业支出、医疗卫生与计划生育支出、住房保障支出。财政局2022年年初预算882.68万元，上年结余589.45万元，支出1472.13万元。</w:t>
      </w:r>
    </w:p>
    <w:p>
      <w:pPr>
        <w:keepNext w:val="0"/>
        <w:keepLines w:val="0"/>
        <w:pageBreakBefore w:val="0"/>
        <w:widowControl/>
        <w:kinsoku/>
        <w:wordWrap/>
        <w:overflowPunct/>
        <w:topLinePunct w:val="0"/>
        <w:autoSpaceDE/>
        <w:autoSpaceDN/>
        <w:bidi w:val="0"/>
        <w:adjustRightInd w:val="0"/>
        <w:snapToGrid w:val="0"/>
        <w:spacing w:line="360" w:lineRule="auto"/>
        <w:contextualSpacing/>
        <w:jc w:val="left"/>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（一）部门财政资金收入情况。</w:t>
      </w:r>
    </w:p>
    <w:p>
      <w:pPr>
        <w:keepNext w:val="0"/>
        <w:keepLines w:val="0"/>
        <w:pageBreakBefore w:val="0"/>
        <w:kinsoku/>
        <w:wordWrap/>
        <w:overflowPunct/>
        <w:topLinePunct w:val="0"/>
        <w:autoSpaceDE/>
        <w:autoSpaceDN/>
        <w:bidi w:val="0"/>
        <w:spacing w:line="360" w:lineRule="auto"/>
        <w:ind w:firstLine="640" w:firstLineChars="200"/>
        <w:textAlignment w:val="auto"/>
        <w:rPr>
          <w:rFonts w:hint="eastAsia" w:ascii="仿宋_GB2312" w:hAnsi="仿宋_GB2312" w:eastAsia="仿宋_GB2312" w:cs="仿宋_GB2312"/>
          <w:b w:val="0"/>
          <w:bCs w:val="0"/>
          <w:sz w:val="32"/>
          <w:szCs w:val="32"/>
          <w:shd w:val="clear" w:color="auto" w:fill="FFFFFF"/>
          <w:lang w:val="en-US" w:eastAsia="zh-CN"/>
        </w:rPr>
      </w:pPr>
      <w:r>
        <w:rPr>
          <w:rFonts w:hint="eastAsia" w:ascii="Times New Roman" w:hAnsi="Times New Roman" w:eastAsia="仿宋_GB2312" w:cs="Times New Roman"/>
          <w:color w:val="auto"/>
          <w:sz w:val="32"/>
          <w:szCs w:val="32"/>
          <w:lang w:val="en-US" w:eastAsia="zh-CN" w:bidi="ar-SA"/>
        </w:rPr>
        <w:t>财政局2022年年初收入预算882.68万元，一般公共预算财政拨款收入882.68万元，占59.96%，上年结余589.45万元，占40.04%。其中：一般公共服务支出675.02万元，社会保障和就业支出103.95万元，卫生健康支出44.69万元，住房保障支出59.01万元。</w:t>
      </w:r>
    </w:p>
    <w:p>
      <w:pPr>
        <w:keepNext w:val="0"/>
        <w:keepLines w:val="0"/>
        <w:pageBreakBefore w:val="0"/>
        <w:widowControl/>
        <w:numPr>
          <w:ilvl w:val="0"/>
          <w:numId w:val="3"/>
        </w:numPr>
        <w:kinsoku/>
        <w:wordWrap/>
        <w:overflowPunct/>
        <w:topLinePunct w:val="0"/>
        <w:autoSpaceDE/>
        <w:autoSpaceDN/>
        <w:bidi w:val="0"/>
        <w:adjustRightInd w:val="0"/>
        <w:snapToGrid w:val="0"/>
        <w:spacing w:line="360" w:lineRule="auto"/>
        <w:ind w:left="-640" w:leftChars="0" w:firstLine="640" w:firstLineChars="0"/>
        <w:contextualSpacing/>
        <w:jc w:val="left"/>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部门财政资金支出情况。</w:t>
      </w:r>
    </w:p>
    <w:p>
      <w:pPr>
        <w:keepNext w:val="0"/>
        <w:keepLines w:val="0"/>
        <w:pageBreakBefore w:val="0"/>
        <w:kinsoku/>
        <w:wordWrap/>
        <w:overflowPunct/>
        <w:topLinePunct w:val="0"/>
        <w:autoSpaceDE/>
        <w:autoSpaceDN/>
        <w:bidi w:val="0"/>
        <w:spacing w:line="360" w:lineRule="auto"/>
        <w:ind w:firstLine="640" w:firstLineChars="200"/>
        <w:textAlignment w:val="auto"/>
        <w:rPr>
          <w:rFonts w:hint="eastAsia" w:ascii="仿宋_GB2312" w:hAnsi="仿宋_GB2312" w:eastAsia="仿宋_GB2312" w:cs="仿宋_GB2312"/>
          <w:b w:val="0"/>
          <w:bCs w:val="0"/>
          <w:sz w:val="32"/>
          <w:szCs w:val="32"/>
          <w:shd w:val="clear" w:color="auto" w:fill="FFFFFF"/>
          <w:lang w:val="en-US" w:eastAsia="zh-CN"/>
        </w:rPr>
      </w:pPr>
      <w:r>
        <w:rPr>
          <w:rFonts w:hint="eastAsia" w:ascii="Times New Roman" w:hAnsi="Times New Roman" w:eastAsia="仿宋_GB2312" w:cs="Times New Roman"/>
          <w:color w:val="auto"/>
          <w:sz w:val="32"/>
          <w:szCs w:val="32"/>
          <w:lang w:val="en-US" w:eastAsia="zh-CN" w:bidi="ar-SA"/>
        </w:rPr>
        <w:t xml:space="preserve"> 财政局2022年累计支出预算1472.13万元，其中：基本支出1017.9万元，占69.14%。项目支出454.23万元，占30.86%。工资性支出830.15万元，商品和服务支出606.43万元，对个人和家庭补助支出28.39万元</w:t>
      </w:r>
      <w:r>
        <w:rPr>
          <w:rFonts w:hint="eastAsia" w:ascii="仿宋_GB2312" w:hAnsi="仿宋_GB2312" w:eastAsia="仿宋_GB2312" w:cs="仿宋_GB2312"/>
          <w:b w:val="0"/>
          <w:bCs w:val="0"/>
          <w:sz w:val="32"/>
          <w:szCs w:val="32"/>
          <w:shd w:val="clear" w:color="auto" w:fill="FFFFFF"/>
          <w:lang w:val="en-US"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20" w:lineRule="exact"/>
        <w:contextualSpacing/>
        <w:jc w:val="left"/>
        <w:textAlignment w:val="auto"/>
        <w:rPr>
          <w:rFonts w:hint="eastAsia" w:ascii="黑体" w:eastAsia="黑体" w:cs="宋体"/>
          <w:color w:val="000000"/>
          <w:kern w:val="0"/>
          <w:szCs w:val="32"/>
          <w:shd w:val="clear" w:color="auto" w:fill="FFFFFF"/>
        </w:rPr>
      </w:pPr>
      <w:r>
        <w:rPr>
          <w:rFonts w:hint="eastAsia" w:ascii="黑体" w:hAnsi="黑体" w:eastAsia="黑体" w:cs="黑体"/>
          <w:b w:val="0"/>
          <w:bCs w:val="0"/>
          <w:color w:val="000000"/>
          <w:kern w:val="0"/>
          <w:sz w:val="32"/>
          <w:szCs w:val="32"/>
          <w:shd w:val="clear" w:color="auto" w:fill="FFFFFF"/>
          <w:lang w:val="en-US" w:eastAsia="zh-CN"/>
        </w:rPr>
        <w:t>三、</w:t>
      </w:r>
      <w:r>
        <w:rPr>
          <w:rFonts w:hint="eastAsia" w:ascii="黑体" w:hAnsi="黑体" w:eastAsia="黑体" w:cs="黑体"/>
          <w:b w:val="0"/>
          <w:bCs w:val="0"/>
          <w:color w:val="000000"/>
          <w:kern w:val="0"/>
          <w:sz w:val="32"/>
          <w:szCs w:val="32"/>
          <w:shd w:val="clear" w:color="auto" w:fill="FFFFFF"/>
        </w:rPr>
        <w:t>部门整体预算绩效管理情况</w:t>
      </w:r>
    </w:p>
    <w:p>
      <w:pPr>
        <w:keepNext w:val="0"/>
        <w:keepLines w:val="0"/>
        <w:pageBreakBefore w:val="0"/>
        <w:widowControl/>
        <w:numPr>
          <w:ilvl w:val="0"/>
          <w:numId w:val="0"/>
        </w:numPr>
        <w:kinsoku/>
        <w:wordWrap/>
        <w:overflowPunct/>
        <w:topLinePunct w:val="0"/>
        <w:autoSpaceDE/>
        <w:autoSpaceDN/>
        <w:bidi w:val="0"/>
        <w:adjustRightInd w:val="0"/>
        <w:snapToGrid w:val="0"/>
        <w:spacing w:line="520" w:lineRule="exact"/>
        <w:ind w:firstLine="560" w:firstLineChars="200"/>
        <w:contextualSpacing/>
        <w:jc w:val="left"/>
        <w:textAlignment w:val="auto"/>
        <w:rPr>
          <w:rFonts w:hint="eastAsia" w:asciiTheme="minorEastAsia" w:hAnsiTheme="minorEastAsia" w:eastAsiaTheme="minorEastAsia" w:cstheme="minorEastAsia"/>
          <w:color w:val="000000"/>
          <w:kern w:val="0"/>
          <w:sz w:val="28"/>
          <w:szCs w:val="28"/>
          <w:shd w:val="clear" w:color="auto" w:fill="FFFFFF"/>
          <w:lang w:val="zh-CN"/>
        </w:rPr>
      </w:pPr>
      <w:r>
        <w:rPr>
          <w:rFonts w:hint="eastAsia" w:asciiTheme="minorEastAsia" w:hAnsiTheme="minorEastAsia" w:eastAsiaTheme="minorEastAsia" w:cstheme="minorEastAsia"/>
          <w:color w:val="000000"/>
          <w:kern w:val="0"/>
          <w:sz w:val="28"/>
          <w:szCs w:val="28"/>
          <w:shd w:val="clear" w:color="auto" w:fill="FFFFFF"/>
          <w:lang w:val="zh-CN"/>
        </w:rPr>
        <w:t>（一）部门预算管理。</w:t>
      </w:r>
    </w:p>
    <w:p>
      <w:pPr>
        <w:keepNext w:val="0"/>
        <w:keepLines w:val="0"/>
        <w:pageBreakBefore w:val="0"/>
        <w:kinsoku/>
        <w:wordWrap/>
        <w:overflowPunct/>
        <w:topLinePunct w:val="0"/>
        <w:autoSpaceDE/>
        <w:autoSpaceDN/>
        <w:bidi w:val="0"/>
        <w:spacing w:line="360" w:lineRule="auto"/>
        <w:ind w:firstLine="640" w:firstLineChars="200"/>
        <w:textAlignment w:val="auto"/>
        <w:rPr>
          <w:rFonts w:hint="eastAsia" w:ascii="Times New Roman" w:hAnsi="Times New Roman" w:eastAsia="仿宋_GB2312" w:cs="Times New Roman"/>
          <w:color w:val="auto"/>
          <w:sz w:val="32"/>
          <w:szCs w:val="32"/>
          <w:lang w:val="en-US" w:eastAsia="zh-CN" w:bidi="ar-SA"/>
        </w:rPr>
      </w:pPr>
      <w:r>
        <w:rPr>
          <w:rFonts w:hint="eastAsia" w:ascii="Times New Roman" w:hAnsi="Times New Roman" w:eastAsia="仿宋_GB2312" w:cs="Times New Roman"/>
          <w:color w:val="auto"/>
          <w:sz w:val="32"/>
          <w:szCs w:val="32"/>
          <w:lang w:val="en-US" w:eastAsia="zh-CN" w:bidi="ar-SA"/>
        </w:rPr>
        <w:t>1.人员类。截止2022年12月实际到位资金830.15万元，实际支付资金830.15万元，资金结余0万元；支付率100%。</w:t>
      </w:r>
    </w:p>
    <w:p>
      <w:pPr>
        <w:keepNext w:val="0"/>
        <w:keepLines w:val="0"/>
        <w:pageBreakBefore w:val="0"/>
        <w:kinsoku/>
        <w:wordWrap/>
        <w:overflowPunct/>
        <w:topLinePunct w:val="0"/>
        <w:autoSpaceDE/>
        <w:autoSpaceDN/>
        <w:bidi w:val="0"/>
        <w:spacing w:line="360" w:lineRule="auto"/>
        <w:ind w:firstLine="640" w:firstLineChars="200"/>
        <w:textAlignment w:val="auto"/>
        <w:rPr>
          <w:rFonts w:hint="eastAsia" w:ascii="Times New Roman" w:hAnsi="Times New Roman" w:eastAsia="仿宋_GB2312" w:cs="Times New Roman"/>
          <w:color w:val="auto"/>
          <w:sz w:val="32"/>
          <w:szCs w:val="32"/>
          <w:lang w:val="en-US" w:eastAsia="zh-CN" w:bidi="ar-SA"/>
        </w:rPr>
      </w:pPr>
      <w:r>
        <w:rPr>
          <w:rFonts w:hint="eastAsia" w:ascii="Times New Roman" w:hAnsi="Times New Roman" w:eastAsia="仿宋_GB2312" w:cs="Times New Roman"/>
          <w:color w:val="auto"/>
          <w:sz w:val="32"/>
          <w:szCs w:val="32"/>
          <w:lang w:val="en-US" w:eastAsia="zh-CN" w:bidi="ar-SA"/>
        </w:rPr>
        <w:t>2.运转类。截止2022年12月实际到位资金152.2万元，实际支付152.2万元，资金结余0万元；支付率100%。</w:t>
      </w:r>
    </w:p>
    <w:p>
      <w:pPr>
        <w:keepNext w:val="0"/>
        <w:keepLines w:val="0"/>
        <w:pageBreakBefore w:val="0"/>
        <w:kinsoku/>
        <w:wordWrap/>
        <w:overflowPunct/>
        <w:topLinePunct w:val="0"/>
        <w:autoSpaceDE/>
        <w:autoSpaceDN/>
        <w:bidi w:val="0"/>
        <w:spacing w:line="360" w:lineRule="auto"/>
        <w:ind w:firstLine="640" w:firstLineChars="200"/>
        <w:textAlignment w:val="auto"/>
        <w:rPr>
          <w:rFonts w:hint="eastAsia" w:ascii="Times New Roman" w:hAnsi="Times New Roman" w:eastAsia="仿宋_GB2312" w:cs="Times New Roman"/>
          <w:color w:val="auto"/>
          <w:sz w:val="32"/>
          <w:szCs w:val="32"/>
          <w:lang w:val="zh-CN" w:eastAsia="zh-CN" w:bidi="ar-SA"/>
        </w:rPr>
      </w:pPr>
      <w:r>
        <w:rPr>
          <w:rFonts w:hint="eastAsia" w:ascii="Times New Roman" w:hAnsi="Times New Roman" w:eastAsia="仿宋_GB2312" w:cs="Times New Roman"/>
          <w:color w:val="auto"/>
          <w:sz w:val="32"/>
          <w:szCs w:val="32"/>
          <w:lang w:val="en-US" w:eastAsia="zh-CN" w:bidi="ar-SA"/>
        </w:rPr>
        <w:t>3.特定目标类。截止2022年12月实际到位资金454.23万元，实际支付454.23万元，资金结余0万元；支付率100%。</w:t>
      </w:r>
    </w:p>
    <w:p>
      <w:pPr>
        <w:keepNext w:val="0"/>
        <w:keepLines w:val="0"/>
        <w:pageBreakBefore w:val="0"/>
        <w:widowControl/>
        <w:kinsoku/>
        <w:wordWrap/>
        <w:overflowPunct/>
        <w:topLinePunct w:val="0"/>
        <w:autoSpaceDE/>
        <w:autoSpaceDN/>
        <w:bidi w:val="0"/>
        <w:adjustRightInd w:val="0"/>
        <w:snapToGrid w:val="0"/>
        <w:spacing w:line="520" w:lineRule="exact"/>
        <w:ind w:firstLine="562" w:firstLineChars="200"/>
        <w:contextualSpacing/>
        <w:jc w:val="left"/>
        <w:textAlignment w:val="auto"/>
        <w:rPr>
          <w:rFonts w:hint="eastAsia" w:asciiTheme="minorEastAsia" w:hAnsiTheme="minorEastAsia" w:eastAsiaTheme="minorEastAsia" w:cstheme="minorEastAsia"/>
          <w:color w:val="000000"/>
          <w:kern w:val="0"/>
          <w:sz w:val="28"/>
          <w:szCs w:val="28"/>
          <w:shd w:val="clear" w:color="auto" w:fill="FFFFFF"/>
          <w:lang w:val="zh-CN"/>
        </w:rPr>
      </w:pPr>
      <w:r>
        <w:rPr>
          <w:rFonts w:hint="eastAsia" w:asciiTheme="minorEastAsia" w:hAnsiTheme="minorEastAsia" w:eastAsiaTheme="minorEastAsia" w:cstheme="minorEastAsia"/>
          <w:b/>
          <w:bCs/>
          <w:color w:val="000000"/>
          <w:kern w:val="0"/>
          <w:sz w:val="28"/>
          <w:szCs w:val="28"/>
          <w:shd w:val="clear" w:color="auto" w:fill="FFFFFF"/>
          <w:lang w:val="zh-CN"/>
        </w:rPr>
        <w:t>（二）结</w:t>
      </w:r>
      <w:r>
        <w:rPr>
          <w:rFonts w:hint="eastAsia" w:asciiTheme="minorEastAsia" w:hAnsiTheme="minorEastAsia" w:eastAsiaTheme="minorEastAsia" w:cstheme="minorEastAsia"/>
          <w:b/>
          <w:bCs/>
          <w:color w:val="auto"/>
          <w:kern w:val="0"/>
          <w:sz w:val="28"/>
          <w:szCs w:val="28"/>
          <w:shd w:val="clear" w:color="auto" w:fill="FFFFFF"/>
          <w:lang w:val="zh-CN"/>
        </w:rPr>
        <w:t>果应用情况</w:t>
      </w:r>
      <w:r>
        <w:rPr>
          <w:rFonts w:hint="eastAsia" w:asciiTheme="minorEastAsia" w:hAnsiTheme="minorEastAsia" w:eastAsiaTheme="minorEastAsia" w:cstheme="minorEastAsia"/>
          <w:color w:val="auto"/>
          <w:kern w:val="0"/>
          <w:sz w:val="28"/>
          <w:szCs w:val="28"/>
          <w:shd w:val="clear" w:color="auto" w:fill="FFFFFF"/>
          <w:lang w:val="zh-CN"/>
        </w:rPr>
        <w:t>。</w:t>
      </w:r>
    </w:p>
    <w:p>
      <w:pPr>
        <w:keepNext w:val="0"/>
        <w:keepLines w:val="0"/>
        <w:pageBreakBefore w:val="0"/>
        <w:kinsoku/>
        <w:wordWrap/>
        <w:overflowPunct/>
        <w:topLinePunct w:val="0"/>
        <w:autoSpaceDE/>
        <w:autoSpaceDN/>
        <w:bidi w:val="0"/>
        <w:spacing w:line="360" w:lineRule="auto"/>
        <w:ind w:firstLine="640" w:firstLineChars="200"/>
        <w:textAlignment w:val="auto"/>
        <w:rPr>
          <w:rFonts w:hint="eastAsia" w:ascii="仿宋_GB2312" w:hAnsi="仿宋_GB2312" w:eastAsia="仿宋_GB2312" w:cs="仿宋_GB2312"/>
          <w:b w:val="0"/>
          <w:bCs w:val="0"/>
          <w:sz w:val="32"/>
          <w:szCs w:val="32"/>
          <w:shd w:val="clear" w:color="auto" w:fill="FFFFFF"/>
          <w:lang w:val="zh-CN" w:eastAsia="zh-CN"/>
        </w:rPr>
      </w:pPr>
      <w:r>
        <w:rPr>
          <w:rFonts w:hint="eastAsia" w:ascii="Times New Roman" w:hAnsi="Times New Roman" w:eastAsia="仿宋_GB2312" w:cs="Times New Roman"/>
          <w:color w:val="auto"/>
          <w:sz w:val="32"/>
          <w:szCs w:val="32"/>
          <w:lang w:val="zh-CN" w:eastAsia="zh-CN" w:bidi="ar-SA"/>
        </w:rPr>
        <w:t>202</w:t>
      </w:r>
      <w:r>
        <w:rPr>
          <w:rFonts w:hint="eastAsia" w:ascii="Times New Roman" w:hAnsi="Times New Roman" w:eastAsia="仿宋_GB2312" w:cs="Times New Roman"/>
          <w:color w:val="auto"/>
          <w:sz w:val="32"/>
          <w:szCs w:val="32"/>
          <w:lang w:val="en-US" w:eastAsia="zh-CN" w:bidi="ar-SA"/>
        </w:rPr>
        <w:t>2</w:t>
      </w:r>
      <w:r>
        <w:rPr>
          <w:rFonts w:hint="eastAsia" w:ascii="Times New Roman" w:hAnsi="Times New Roman" w:eastAsia="仿宋_GB2312" w:cs="Times New Roman"/>
          <w:color w:val="auto"/>
          <w:sz w:val="32"/>
          <w:szCs w:val="32"/>
          <w:lang w:val="zh-CN" w:eastAsia="zh-CN" w:bidi="ar-SA"/>
        </w:rPr>
        <w:t>年度单位整体支出资金使用符合政策要求，合理合法，使用有效，管理较规范。本单位履职及履职效益情况良好，一是对各项支出严格按照预算额度进行控制，努力节约经费；二是各项工作均能按时完成，质量较高。</w:t>
      </w:r>
    </w:p>
    <w:p>
      <w:pPr>
        <w:keepNext w:val="0"/>
        <w:keepLines w:val="0"/>
        <w:pageBreakBefore w:val="0"/>
        <w:widowControl/>
        <w:kinsoku/>
        <w:wordWrap/>
        <w:overflowPunct/>
        <w:topLinePunct w:val="0"/>
        <w:autoSpaceDE/>
        <w:autoSpaceDN/>
        <w:bidi w:val="0"/>
        <w:adjustRightInd w:val="0"/>
        <w:snapToGrid w:val="0"/>
        <w:spacing w:line="520" w:lineRule="exact"/>
        <w:ind w:firstLine="560" w:firstLineChars="200"/>
        <w:contextualSpacing/>
        <w:jc w:val="left"/>
        <w:textAlignment w:val="auto"/>
        <w:rPr>
          <w:rFonts w:hint="eastAsia" w:asciiTheme="minorEastAsia" w:hAnsiTheme="minorEastAsia" w:eastAsiaTheme="minorEastAsia" w:cstheme="minorEastAsia"/>
          <w:color w:val="000000"/>
          <w:kern w:val="0"/>
          <w:sz w:val="28"/>
          <w:szCs w:val="28"/>
          <w:shd w:val="clear" w:color="auto" w:fill="FFFFFF"/>
        </w:rPr>
      </w:pPr>
      <w:r>
        <w:rPr>
          <w:rFonts w:hint="eastAsia" w:asciiTheme="minorEastAsia" w:hAnsiTheme="minorEastAsia" w:eastAsiaTheme="minorEastAsia" w:cstheme="minorEastAsia"/>
          <w:color w:val="000000"/>
          <w:kern w:val="0"/>
          <w:sz w:val="28"/>
          <w:szCs w:val="28"/>
          <w:shd w:val="clear" w:color="auto" w:fill="FFFFFF"/>
        </w:rPr>
        <w:t>四、评价结论及建议</w:t>
      </w:r>
    </w:p>
    <w:p>
      <w:pPr>
        <w:keepNext w:val="0"/>
        <w:keepLines w:val="0"/>
        <w:pageBreakBefore w:val="0"/>
        <w:widowControl/>
        <w:kinsoku/>
        <w:wordWrap/>
        <w:overflowPunct/>
        <w:topLinePunct w:val="0"/>
        <w:autoSpaceDE/>
        <w:autoSpaceDN/>
        <w:bidi w:val="0"/>
        <w:adjustRightInd w:val="0"/>
        <w:snapToGrid w:val="0"/>
        <w:spacing w:line="520" w:lineRule="exact"/>
        <w:ind w:firstLine="560" w:firstLineChars="200"/>
        <w:contextualSpacing/>
        <w:jc w:val="left"/>
        <w:textAlignment w:val="auto"/>
        <w:rPr>
          <w:rFonts w:hint="eastAsia" w:asciiTheme="minorEastAsia" w:hAnsiTheme="minorEastAsia" w:eastAsiaTheme="minorEastAsia" w:cstheme="minorEastAsia"/>
          <w:color w:val="000000"/>
          <w:kern w:val="0"/>
          <w:sz w:val="28"/>
          <w:szCs w:val="28"/>
          <w:shd w:val="clear" w:color="auto" w:fill="FFFFFF"/>
          <w:lang w:val="zh-CN"/>
        </w:rPr>
      </w:pPr>
      <w:r>
        <w:rPr>
          <w:rFonts w:hint="eastAsia" w:asciiTheme="minorEastAsia" w:hAnsiTheme="minorEastAsia" w:eastAsiaTheme="minorEastAsia" w:cstheme="minorEastAsia"/>
          <w:color w:val="000000"/>
          <w:kern w:val="0"/>
          <w:sz w:val="28"/>
          <w:szCs w:val="28"/>
          <w:shd w:val="clear" w:color="auto" w:fill="FFFFFF"/>
          <w:lang w:val="zh-CN"/>
        </w:rPr>
        <w:t>（一）评价结论。</w:t>
      </w:r>
    </w:p>
    <w:p>
      <w:pPr>
        <w:keepNext w:val="0"/>
        <w:keepLines w:val="0"/>
        <w:pageBreakBefore w:val="0"/>
        <w:kinsoku/>
        <w:wordWrap/>
        <w:overflowPunct/>
        <w:topLinePunct w:val="0"/>
        <w:autoSpaceDE/>
        <w:autoSpaceDN/>
        <w:bidi w:val="0"/>
        <w:spacing w:line="360" w:lineRule="auto"/>
        <w:ind w:firstLine="640" w:firstLineChars="200"/>
        <w:textAlignment w:val="auto"/>
        <w:rPr>
          <w:rFonts w:hint="eastAsia" w:ascii="Times New Roman" w:hAnsi="Times New Roman" w:eastAsia="仿宋_GB2312" w:cs="Times New Roman"/>
          <w:color w:val="auto"/>
          <w:sz w:val="32"/>
          <w:szCs w:val="32"/>
          <w:lang w:val="zh-CN" w:eastAsia="zh-CN" w:bidi="ar-SA"/>
        </w:rPr>
      </w:pPr>
      <w:r>
        <w:rPr>
          <w:rFonts w:hint="eastAsia" w:ascii="Times New Roman" w:hAnsi="Times New Roman" w:eastAsia="仿宋_GB2312" w:cs="Times New Roman"/>
          <w:color w:val="auto"/>
          <w:sz w:val="32"/>
          <w:szCs w:val="32"/>
          <w:lang w:val="zh-CN" w:eastAsia="zh-CN" w:bidi="ar-SA"/>
        </w:rPr>
        <w:t>202</w:t>
      </w:r>
      <w:r>
        <w:rPr>
          <w:rFonts w:hint="eastAsia" w:ascii="Times New Roman" w:hAnsi="Times New Roman" w:eastAsia="仿宋_GB2312" w:cs="Times New Roman"/>
          <w:color w:val="auto"/>
          <w:sz w:val="32"/>
          <w:szCs w:val="32"/>
          <w:lang w:val="en-US" w:eastAsia="zh-CN" w:bidi="ar-SA"/>
        </w:rPr>
        <w:t>2</w:t>
      </w:r>
      <w:r>
        <w:rPr>
          <w:rFonts w:hint="eastAsia" w:ascii="Times New Roman" w:hAnsi="Times New Roman" w:eastAsia="仿宋_GB2312" w:cs="Times New Roman"/>
          <w:color w:val="auto"/>
          <w:sz w:val="32"/>
          <w:szCs w:val="32"/>
          <w:lang w:val="zh-CN" w:eastAsia="zh-CN" w:bidi="ar-SA"/>
        </w:rPr>
        <w:t>年度单位整体支出资金使用符合政策要求，合理合法，使用有效，管理较规范。本单位履职及履职效益情况良好，一是对各项支出严格按照预算额度进行控制，努力节约经费；二是各项工作均能按时完成，质量较高。</w:t>
      </w:r>
    </w:p>
    <w:p>
      <w:pPr>
        <w:keepNext w:val="0"/>
        <w:keepLines w:val="0"/>
        <w:pageBreakBefore w:val="0"/>
        <w:kinsoku/>
        <w:wordWrap/>
        <w:overflowPunct/>
        <w:topLinePunct w:val="0"/>
        <w:autoSpaceDE/>
        <w:autoSpaceDN/>
        <w:bidi w:val="0"/>
        <w:spacing w:line="360" w:lineRule="auto"/>
        <w:ind w:firstLine="640" w:firstLineChars="200"/>
        <w:textAlignment w:val="auto"/>
        <w:rPr>
          <w:rFonts w:hint="eastAsia" w:ascii="Times New Roman" w:hAnsi="Times New Roman" w:eastAsia="仿宋_GB2312" w:cs="Times New Roman"/>
          <w:color w:val="auto"/>
          <w:sz w:val="32"/>
          <w:szCs w:val="32"/>
          <w:lang w:val="zh-CN" w:eastAsia="zh-CN" w:bidi="ar-SA"/>
        </w:rPr>
      </w:pPr>
      <w:r>
        <w:rPr>
          <w:rFonts w:hint="eastAsia" w:ascii="Times New Roman" w:hAnsi="Times New Roman" w:eastAsia="仿宋_GB2312" w:cs="Times New Roman"/>
          <w:color w:val="auto"/>
          <w:sz w:val="32"/>
          <w:szCs w:val="32"/>
          <w:lang w:val="zh-CN" w:eastAsia="zh-CN" w:bidi="ar-SA"/>
        </w:rPr>
        <w:t>存在问题。</w:t>
      </w:r>
    </w:p>
    <w:p>
      <w:pPr>
        <w:keepNext w:val="0"/>
        <w:keepLines w:val="0"/>
        <w:pageBreakBefore w:val="0"/>
        <w:kinsoku/>
        <w:wordWrap/>
        <w:overflowPunct/>
        <w:topLinePunct w:val="0"/>
        <w:autoSpaceDE/>
        <w:autoSpaceDN/>
        <w:bidi w:val="0"/>
        <w:spacing w:line="360" w:lineRule="auto"/>
        <w:ind w:firstLine="640" w:firstLineChars="200"/>
        <w:textAlignment w:val="auto"/>
        <w:rPr>
          <w:rFonts w:hint="eastAsia" w:ascii="Times New Roman" w:hAnsi="Times New Roman" w:eastAsia="仿宋_GB2312" w:cs="Times New Roman"/>
          <w:color w:val="auto"/>
          <w:sz w:val="32"/>
          <w:szCs w:val="32"/>
          <w:lang w:val="zh-CN" w:eastAsia="zh-CN" w:bidi="ar-SA"/>
        </w:rPr>
      </w:pPr>
      <w:r>
        <w:rPr>
          <w:rFonts w:hint="eastAsia" w:ascii="Times New Roman" w:hAnsi="Times New Roman" w:eastAsia="仿宋_GB2312" w:cs="Times New Roman"/>
          <w:color w:val="auto"/>
          <w:sz w:val="32"/>
          <w:szCs w:val="32"/>
          <w:lang w:val="zh-CN" w:eastAsia="zh-CN" w:bidi="ar-SA"/>
        </w:rPr>
        <w:t>无</w:t>
      </w:r>
    </w:p>
    <w:p>
      <w:pPr>
        <w:keepNext w:val="0"/>
        <w:keepLines w:val="0"/>
        <w:pageBreakBefore w:val="0"/>
        <w:kinsoku/>
        <w:wordWrap/>
        <w:overflowPunct/>
        <w:topLinePunct w:val="0"/>
        <w:autoSpaceDE/>
        <w:autoSpaceDN/>
        <w:bidi w:val="0"/>
        <w:spacing w:line="360" w:lineRule="auto"/>
        <w:ind w:firstLine="640" w:firstLineChars="200"/>
        <w:textAlignment w:val="auto"/>
        <w:rPr>
          <w:rFonts w:hint="eastAsia" w:ascii="Times New Roman" w:hAnsi="Times New Roman" w:eastAsia="仿宋_GB2312" w:cs="Times New Roman"/>
          <w:color w:val="auto"/>
          <w:sz w:val="32"/>
          <w:szCs w:val="32"/>
          <w:lang w:val="zh-CN" w:eastAsia="zh-CN" w:bidi="ar-SA"/>
        </w:rPr>
      </w:pPr>
      <w:r>
        <w:rPr>
          <w:rFonts w:hint="eastAsia" w:ascii="Times New Roman" w:hAnsi="Times New Roman" w:eastAsia="仿宋_GB2312" w:cs="Times New Roman"/>
          <w:color w:val="auto"/>
          <w:sz w:val="32"/>
          <w:szCs w:val="32"/>
          <w:lang w:val="zh-CN" w:eastAsia="zh-CN" w:bidi="ar-SA"/>
        </w:rPr>
        <w:t>改进建议。</w:t>
      </w:r>
      <w:r>
        <w:rPr>
          <w:rFonts w:hint="eastAsia" w:ascii="Times New Roman" w:hAnsi="Times New Roman" w:eastAsia="仿宋_GB2312" w:cs="Times New Roman"/>
          <w:color w:val="auto"/>
          <w:sz w:val="32"/>
          <w:szCs w:val="32"/>
          <w:lang w:val="zh-CN" w:eastAsia="zh-CN" w:bidi="ar-SA"/>
        </w:rPr>
        <w:br w:type="textWrapping"/>
      </w:r>
      <w:r>
        <w:rPr>
          <w:rFonts w:hint="eastAsia" w:ascii="Times New Roman" w:hAnsi="Times New Roman" w:eastAsia="仿宋_GB2312" w:cs="Times New Roman"/>
          <w:color w:val="auto"/>
          <w:sz w:val="32"/>
          <w:szCs w:val="32"/>
          <w:lang w:val="en-US" w:eastAsia="zh-CN" w:bidi="ar-SA"/>
        </w:rPr>
        <w:t xml:space="preserve">    科学合理编制预算，严格执行预算。鉴于财政局工作任务繁重，重点工作任务重，年初财政预算要尽量足额，以便在预算执行中，严格按照预算科目支出，为各项工作顺利开展，提供资金保证。</w:t>
      </w:r>
      <w:r>
        <w:rPr>
          <w:rFonts w:hint="eastAsia" w:ascii="Times New Roman" w:hAnsi="Times New Roman" w:eastAsia="仿宋_GB2312" w:cs="Times New Roman"/>
          <w:color w:val="auto"/>
          <w:sz w:val="32"/>
          <w:szCs w:val="32"/>
          <w:lang w:val="zh-CN" w:eastAsia="zh-CN" w:bidi="ar-SA"/>
        </w:rPr>
        <w:t> </w:t>
      </w:r>
    </w:p>
    <w:p>
      <w:pPr>
        <w:pStyle w:val="19"/>
        <w:keepNext w:val="0"/>
        <w:keepLines w:val="0"/>
        <w:pageBreakBefore w:val="0"/>
        <w:widowControl w:val="0"/>
        <w:numPr>
          <w:ilvl w:val="0"/>
          <w:numId w:val="0"/>
        </w:numPr>
        <w:kinsoku/>
        <w:wordWrap/>
        <w:overflowPunct/>
        <w:topLinePunct w:val="0"/>
        <w:autoSpaceDE/>
        <w:autoSpaceDN/>
        <w:bidi w:val="0"/>
        <w:spacing w:line="600" w:lineRule="exact"/>
        <w:ind w:leftChars="200"/>
        <w:jc w:val="both"/>
        <w:textAlignment w:val="auto"/>
        <w:rPr>
          <w:rFonts w:hint="eastAsia" w:ascii="方正小标宋简体" w:eastAsia="方正小标宋简体"/>
          <w:color w:val="auto"/>
          <w:sz w:val="44"/>
          <w:szCs w:val="44"/>
          <w:lang w:val="en-US" w:eastAsia="zh-CN"/>
        </w:rPr>
      </w:pPr>
    </w:p>
    <w:p>
      <w:pPr>
        <w:pStyle w:val="19"/>
        <w:keepNext w:val="0"/>
        <w:keepLines w:val="0"/>
        <w:pageBreakBefore w:val="0"/>
        <w:widowControl w:val="0"/>
        <w:numPr>
          <w:ilvl w:val="0"/>
          <w:numId w:val="0"/>
        </w:numPr>
        <w:kinsoku/>
        <w:wordWrap/>
        <w:overflowPunct/>
        <w:topLinePunct w:val="0"/>
        <w:autoSpaceDE/>
        <w:autoSpaceDN/>
        <w:bidi w:val="0"/>
        <w:spacing w:line="600" w:lineRule="exact"/>
        <w:ind w:firstLine="880" w:firstLineChars="200"/>
        <w:jc w:val="both"/>
        <w:textAlignment w:val="auto"/>
        <w:rPr>
          <w:rFonts w:hint="eastAsia" w:ascii="方正小标宋简体" w:eastAsia="方正小标宋简体"/>
          <w:color w:val="auto"/>
          <w:sz w:val="44"/>
          <w:szCs w:val="44"/>
          <w:lang w:val="en-US" w:eastAsia="zh-CN"/>
        </w:rPr>
      </w:pPr>
      <w:r>
        <w:rPr>
          <w:rFonts w:hint="eastAsia" w:ascii="方正小标宋简体" w:eastAsia="方正小标宋简体"/>
          <w:color w:val="auto"/>
          <w:sz w:val="44"/>
          <w:szCs w:val="44"/>
          <w:lang w:val="en-US" w:eastAsia="zh-CN"/>
        </w:rPr>
        <w:t>九寨沟县财政局2022年中介机构</w:t>
      </w:r>
    </w:p>
    <w:p>
      <w:pPr>
        <w:pStyle w:val="19"/>
        <w:keepNext w:val="0"/>
        <w:keepLines w:val="0"/>
        <w:pageBreakBefore w:val="0"/>
        <w:widowControl w:val="0"/>
        <w:numPr>
          <w:ilvl w:val="0"/>
          <w:numId w:val="0"/>
        </w:numPr>
        <w:kinsoku/>
        <w:wordWrap/>
        <w:overflowPunct/>
        <w:topLinePunct w:val="0"/>
        <w:autoSpaceDE/>
        <w:autoSpaceDN/>
        <w:bidi w:val="0"/>
        <w:spacing w:line="600" w:lineRule="exact"/>
        <w:jc w:val="both"/>
        <w:textAlignment w:val="auto"/>
        <w:rPr>
          <w:rFonts w:hint="eastAsia" w:ascii="方正小标宋简体" w:eastAsia="方正小标宋简体"/>
          <w:color w:val="auto"/>
          <w:sz w:val="44"/>
          <w:szCs w:val="44"/>
        </w:rPr>
      </w:pPr>
      <w:r>
        <w:rPr>
          <w:rFonts w:hint="eastAsia" w:ascii="方正小标宋简体" w:eastAsia="方正小标宋简体"/>
          <w:color w:val="auto"/>
          <w:sz w:val="44"/>
          <w:szCs w:val="44"/>
          <w:lang w:val="en-US" w:eastAsia="zh-CN"/>
        </w:rPr>
        <w:t>委托评审</w:t>
      </w:r>
      <w:r>
        <w:rPr>
          <w:rFonts w:hint="eastAsia" w:ascii="方正小标宋简体" w:eastAsia="方正小标宋简体"/>
          <w:color w:val="auto"/>
          <w:sz w:val="44"/>
          <w:szCs w:val="44"/>
          <w:lang w:eastAsia="zh-CN"/>
        </w:rPr>
        <w:t>专项预算项目支出</w:t>
      </w:r>
      <w:r>
        <w:rPr>
          <w:rFonts w:hint="eastAsia" w:ascii="方正小标宋简体" w:eastAsia="方正小标宋简体"/>
          <w:color w:val="auto"/>
          <w:sz w:val="44"/>
          <w:szCs w:val="44"/>
        </w:rPr>
        <w:t>绩效自评报告</w:t>
      </w:r>
    </w:p>
    <w:p>
      <w:pPr>
        <w:pStyle w:val="19"/>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Theme="minorEastAsia" w:hAnsiTheme="minorEastAsia" w:eastAsiaTheme="minorEastAsia" w:cstheme="minorEastAsia"/>
          <w:color w:val="auto"/>
          <w:sz w:val="28"/>
          <w:szCs w:val="28"/>
          <w:lang w:val="zh-CN"/>
        </w:rPr>
      </w:pPr>
      <w:r>
        <w:rPr>
          <w:rFonts w:hint="eastAsia" w:asciiTheme="minorEastAsia" w:hAnsiTheme="minorEastAsia" w:eastAsiaTheme="minorEastAsia" w:cstheme="minorEastAsia"/>
          <w:color w:val="auto"/>
          <w:sz w:val="28"/>
          <w:szCs w:val="28"/>
        </w:rPr>
        <w:t>一、</w:t>
      </w:r>
      <w:r>
        <w:rPr>
          <w:rFonts w:hint="eastAsia" w:asciiTheme="minorEastAsia" w:hAnsiTheme="minorEastAsia" w:eastAsiaTheme="minorEastAsia" w:cstheme="minorEastAsia"/>
          <w:color w:val="auto"/>
          <w:sz w:val="28"/>
          <w:szCs w:val="28"/>
          <w:lang w:val="zh-CN"/>
        </w:rPr>
        <w:t>项目概况</w:t>
      </w:r>
    </w:p>
    <w:p>
      <w:pPr>
        <w:numPr>
          <w:ilvl w:val="0"/>
          <w:numId w:val="0"/>
        </w:numPr>
        <w:adjustRightInd w:val="0"/>
        <w:snapToGrid w:val="0"/>
        <w:spacing w:line="560" w:lineRule="exact"/>
        <w:ind w:firstLine="562" w:firstLineChars="200"/>
        <w:rPr>
          <w:rFonts w:hint="eastAsia" w:asciiTheme="minorEastAsia" w:hAnsiTheme="minorEastAsia" w:eastAsiaTheme="minorEastAsia" w:cstheme="minorEastAsia"/>
          <w:b/>
          <w:color w:val="auto"/>
          <w:sz w:val="28"/>
          <w:szCs w:val="28"/>
          <w:lang w:val="zh-CN"/>
        </w:rPr>
      </w:pPr>
      <w:r>
        <w:rPr>
          <w:rFonts w:hint="eastAsia" w:asciiTheme="minorEastAsia" w:hAnsiTheme="minorEastAsia" w:eastAsiaTheme="minorEastAsia" w:cstheme="minorEastAsia"/>
          <w:b/>
          <w:color w:val="auto"/>
          <w:sz w:val="28"/>
          <w:szCs w:val="28"/>
          <w:lang w:val="zh-CN"/>
        </w:rPr>
        <w:t>（一）项目资金申报及批复情况。</w:t>
      </w:r>
    </w:p>
    <w:p>
      <w:pPr>
        <w:numPr>
          <w:ilvl w:val="0"/>
          <w:numId w:val="0"/>
        </w:numPr>
        <w:adjustRightInd w:val="0"/>
        <w:snapToGrid w:val="0"/>
        <w:spacing w:line="560" w:lineRule="exact"/>
        <w:ind w:firstLine="640" w:firstLineChars="200"/>
        <w:rPr>
          <w:rFonts w:hint="eastAsia" w:asciiTheme="minorEastAsia" w:hAnsiTheme="minorEastAsia" w:eastAsiaTheme="minorEastAsia" w:cstheme="minorEastAsia"/>
          <w:color w:val="auto"/>
          <w:sz w:val="28"/>
          <w:szCs w:val="28"/>
          <w:lang w:val="zh-CN"/>
        </w:rPr>
      </w:pPr>
      <w:r>
        <w:rPr>
          <w:rFonts w:hint="eastAsia" w:ascii="Times New Roman" w:hAnsi="Times New Roman" w:eastAsia="仿宋_GB2312" w:cs="Times New Roman"/>
          <w:color w:val="auto"/>
          <w:sz w:val="32"/>
          <w:szCs w:val="32"/>
          <w:lang w:val="zh-CN" w:eastAsia="zh-CN" w:bidi="ar-SA"/>
        </w:rPr>
        <w:t>县财政下达资金后，由</w:t>
      </w:r>
      <w:r>
        <w:rPr>
          <w:rFonts w:hint="eastAsia" w:ascii="Times New Roman" w:hAnsi="Times New Roman" w:eastAsia="仿宋_GB2312" w:cs="Times New Roman"/>
          <w:color w:val="auto"/>
          <w:sz w:val="32"/>
          <w:szCs w:val="32"/>
          <w:lang w:val="en-US" w:eastAsia="zh-CN" w:bidi="ar-SA"/>
        </w:rPr>
        <w:t>财政</w:t>
      </w:r>
      <w:r>
        <w:rPr>
          <w:rFonts w:hint="eastAsia" w:ascii="Times New Roman" w:hAnsi="Times New Roman" w:eastAsia="仿宋_GB2312" w:cs="Times New Roman"/>
          <w:color w:val="auto"/>
          <w:sz w:val="32"/>
          <w:szCs w:val="32"/>
          <w:lang w:val="zh-CN" w:eastAsia="zh-CN" w:bidi="ar-SA"/>
        </w:rPr>
        <w:t>局相关项目股室制定项目实施方案，并通过三重一大决议后，</w:t>
      </w:r>
      <w:r>
        <w:rPr>
          <w:rFonts w:hint="eastAsia" w:ascii="Times New Roman" w:hAnsi="Times New Roman" w:eastAsia="仿宋_GB2312" w:cs="Times New Roman"/>
          <w:color w:val="auto"/>
          <w:sz w:val="32"/>
          <w:szCs w:val="32"/>
          <w:lang w:val="en-US" w:eastAsia="zh-CN" w:bidi="ar-SA"/>
        </w:rPr>
        <w:t>按项目进度拨付款项</w:t>
      </w:r>
      <w:r>
        <w:rPr>
          <w:rFonts w:hint="eastAsia" w:ascii="仿宋_GB2312" w:hAnsi="仿宋_GB2312" w:eastAsia="仿宋_GB2312" w:cs="仿宋_GB2312"/>
          <w:b w:val="0"/>
          <w:bCs w:val="0"/>
          <w:color w:val="auto"/>
          <w:kern w:val="0"/>
          <w:sz w:val="32"/>
          <w:szCs w:val="32"/>
          <w:shd w:val="clear" w:color="auto" w:fill="FFFFFF"/>
          <w:lang w:val="zh-CN" w:eastAsia="zh-CN" w:bidi="ar-SA"/>
        </w:rPr>
        <w:t>。</w:t>
      </w:r>
    </w:p>
    <w:p>
      <w:pPr>
        <w:keepNext w:val="0"/>
        <w:keepLines w:val="0"/>
        <w:pageBreakBefore w:val="0"/>
        <w:widowControl w:val="0"/>
        <w:numPr>
          <w:ilvl w:val="0"/>
          <w:numId w:val="4"/>
        </w:numPr>
        <w:kinsoku/>
        <w:wordWrap/>
        <w:overflowPunct/>
        <w:topLinePunct w:val="0"/>
        <w:autoSpaceDE/>
        <w:autoSpaceDN/>
        <w:bidi w:val="0"/>
        <w:adjustRightInd w:val="0"/>
        <w:snapToGrid w:val="0"/>
        <w:spacing w:line="600" w:lineRule="exact"/>
        <w:ind w:left="-640" w:leftChars="0" w:firstLine="1280" w:firstLineChars="0"/>
        <w:textAlignment w:val="auto"/>
        <w:rPr>
          <w:rFonts w:hint="eastAsia" w:asciiTheme="minorEastAsia" w:hAnsiTheme="minorEastAsia" w:eastAsiaTheme="minorEastAsia" w:cstheme="minorEastAsia"/>
          <w:b/>
          <w:color w:val="auto"/>
          <w:sz w:val="28"/>
          <w:szCs w:val="28"/>
          <w:lang w:val="zh-CN"/>
        </w:rPr>
      </w:pPr>
      <w:r>
        <w:rPr>
          <w:rFonts w:hint="eastAsia" w:asciiTheme="minorEastAsia" w:hAnsiTheme="minorEastAsia" w:eastAsiaTheme="minorEastAsia" w:cstheme="minorEastAsia"/>
          <w:b/>
          <w:color w:val="auto"/>
          <w:sz w:val="28"/>
          <w:szCs w:val="28"/>
          <w:lang w:val="zh-CN"/>
        </w:rPr>
        <w:t>项目绩效目标。</w:t>
      </w:r>
    </w:p>
    <w:p>
      <w:pPr>
        <w:numPr>
          <w:ilvl w:val="0"/>
          <w:numId w:val="0"/>
        </w:numPr>
        <w:adjustRightInd w:val="0"/>
        <w:snapToGrid w:val="0"/>
        <w:spacing w:line="560" w:lineRule="exact"/>
        <w:ind w:firstLine="640" w:firstLineChars="200"/>
        <w:rPr>
          <w:rFonts w:hint="eastAsia" w:ascii="仿宋_GB2312" w:hAnsi="仿宋_GB2312" w:eastAsia="仿宋_GB2312" w:cs="仿宋_GB2312"/>
          <w:b w:val="0"/>
          <w:bCs w:val="0"/>
          <w:color w:val="auto"/>
          <w:kern w:val="0"/>
          <w:sz w:val="32"/>
          <w:szCs w:val="32"/>
          <w:shd w:val="clear" w:color="auto" w:fill="FFFFFF"/>
          <w:lang w:val="en-US" w:eastAsia="zh-CN" w:bidi="ar-SA"/>
        </w:rPr>
      </w:pPr>
      <w:r>
        <w:rPr>
          <w:rFonts w:hint="eastAsia" w:ascii="Times New Roman" w:hAnsi="Times New Roman" w:eastAsia="仿宋_GB2312" w:cs="Times New Roman"/>
          <w:color w:val="auto"/>
          <w:sz w:val="32"/>
          <w:szCs w:val="32"/>
          <w:lang w:val="en-US" w:eastAsia="zh-CN" w:bidi="ar-SA"/>
        </w:rPr>
        <w:t>总体目标保障预算绩效、投资评审各项工作顺利开展，加强预算监督管理，保障财政资金安全高效</w:t>
      </w:r>
      <w:r>
        <w:rPr>
          <w:rFonts w:hint="eastAsia" w:ascii="仿宋_GB2312" w:hAnsi="仿宋_GB2312" w:eastAsia="仿宋_GB2312" w:cs="仿宋_GB2312"/>
          <w:b w:val="0"/>
          <w:bCs w:val="0"/>
          <w:color w:val="auto"/>
          <w:kern w:val="0"/>
          <w:sz w:val="32"/>
          <w:szCs w:val="32"/>
          <w:shd w:val="clear" w:color="auto" w:fill="FFFFFF"/>
          <w:lang w:val="en-US" w:eastAsia="zh-CN" w:bidi="ar-SA"/>
        </w:rPr>
        <w:t>。</w:t>
      </w:r>
    </w:p>
    <w:p>
      <w:pPr>
        <w:keepNext w:val="0"/>
        <w:keepLines w:val="0"/>
        <w:pageBreakBefore w:val="0"/>
        <w:widowControl w:val="0"/>
        <w:numPr>
          <w:ilvl w:val="0"/>
          <w:numId w:val="4"/>
        </w:numPr>
        <w:kinsoku/>
        <w:wordWrap/>
        <w:overflowPunct/>
        <w:topLinePunct w:val="0"/>
        <w:autoSpaceDE/>
        <w:autoSpaceDN/>
        <w:bidi w:val="0"/>
        <w:adjustRightInd w:val="0"/>
        <w:snapToGrid w:val="0"/>
        <w:spacing w:line="600" w:lineRule="exact"/>
        <w:ind w:left="-640" w:leftChars="0" w:firstLine="1280" w:firstLineChars="0"/>
        <w:textAlignment w:val="auto"/>
        <w:rPr>
          <w:rFonts w:hint="eastAsia" w:asciiTheme="minorEastAsia" w:hAnsiTheme="minorEastAsia" w:eastAsiaTheme="minorEastAsia" w:cstheme="minorEastAsia"/>
          <w:b/>
          <w:color w:val="auto"/>
          <w:sz w:val="28"/>
          <w:szCs w:val="28"/>
          <w:lang w:val="zh-CN"/>
        </w:rPr>
      </w:pPr>
      <w:r>
        <w:rPr>
          <w:rFonts w:hint="eastAsia" w:asciiTheme="minorEastAsia" w:hAnsiTheme="minorEastAsia" w:eastAsiaTheme="minorEastAsia" w:cstheme="minorEastAsia"/>
          <w:b/>
          <w:color w:val="auto"/>
          <w:sz w:val="28"/>
          <w:szCs w:val="28"/>
          <w:lang w:val="zh-CN"/>
        </w:rPr>
        <w:t>项目资金申报相符性。</w:t>
      </w:r>
    </w:p>
    <w:p>
      <w:pPr>
        <w:numPr>
          <w:ilvl w:val="0"/>
          <w:numId w:val="0"/>
        </w:numPr>
        <w:adjustRightInd w:val="0"/>
        <w:snapToGrid w:val="0"/>
        <w:spacing w:line="560" w:lineRule="exact"/>
        <w:ind w:firstLine="640" w:firstLineChars="200"/>
        <w:rPr>
          <w:rFonts w:hint="eastAsia" w:ascii="Times New Roman" w:hAnsi="Times New Roman" w:eastAsia="仿宋_GB2312" w:cs="Times New Roman"/>
          <w:color w:val="auto"/>
          <w:sz w:val="32"/>
          <w:szCs w:val="32"/>
          <w:lang w:val="zh-CN" w:eastAsia="zh-CN" w:bidi="ar-SA"/>
        </w:rPr>
      </w:pPr>
      <w:r>
        <w:rPr>
          <w:rFonts w:hint="eastAsia" w:ascii="Times New Roman" w:hAnsi="Times New Roman" w:eastAsia="仿宋_GB2312" w:cs="Times New Roman"/>
          <w:color w:val="auto"/>
          <w:sz w:val="32"/>
          <w:szCs w:val="32"/>
          <w:lang w:val="zh-CN" w:eastAsia="zh-CN" w:bidi="ar-SA"/>
        </w:rPr>
        <w:t>项目申报内容与具体实施内容相符、申报目标合理可行。</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562" w:firstLineChars="200"/>
        <w:textAlignment w:val="auto"/>
        <w:rPr>
          <w:rFonts w:hint="eastAsia" w:asciiTheme="minorEastAsia" w:hAnsiTheme="minorEastAsia" w:eastAsiaTheme="minorEastAsia" w:cstheme="minorEastAsia"/>
          <w:b/>
          <w:color w:val="auto"/>
          <w:sz w:val="28"/>
          <w:szCs w:val="28"/>
          <w:lang w:val="zh-CN"/>
        </w:rPr>
      </w:pPr>
      <w:r>
        <w:rPr>
          <w:rFonts w:hint="eastAsia" w:asciiTheme="minorEastAsia" w:hAnsiTheme="minorEastAsia" w:eastAsiaTheme="minorEastAsia" w:cstheme="minorEastAsia"/>
          <w:b/>
          <w:color w:val="auto"/>
          <w:sz w:val="28"/>
          <w:szCs w:val="28"/>
          <w:lang w:val="zh-CN"/>
        </w:rPr>
        <w:t>（一）资金计划、到位及使用情况。</w:t>
      </w:r>
    </w:p>
    <w:p>
      <w:pPr>
        <w:numPr>
          <w:ilvl w:val="0"/>
          <w:numId w:val="0"/>
        </w:numPr>
        <w:adjustRightInd w:val="0"/>
        <w:snapToGrid w:val="0"/>
        <w:spacing w:line="560" w:lineRule="exact"/>
        <w:ind w:firstLine="640" w:firstLineChars="200"/>
        <w:rPr>
          <w:rFonts w:hint="eastAsia" w:ascii="Times New Roman" w:hAnsi="Times New Roman" w:eastAsia="仿宋_GB2312" w:cs="Times New Roman"/>
          <w:color w:val="auto"/>
          <w:sz w:val="32"/>
          <w:szCs w:val="32"/>
          <w:lang w:val="zh-CN" w:eastAsia="zh-CN" w:bidi="ar-SA"/>
        </w:rPr>
      </w:pPr>
      <w:r>
        <w:rPr>
          <w:rFonts w:hint="eastAsia" w:ascii="Times New Roman" w:hAnsi="Times New Roman" w:eastAsia="仿宋_GB2312" w:cs="Times New Roman"/>
          <w:color w:val="auto"/>
          <w:sz w:val="32"/>
          <w:szCs w:val="32"/>
          <w:lang w:val="zh-CN" w:eastAsia="zh-CN" w:bidi="ar-SA"/>
        </w:rPr>
        <w:t>1．资金计划及到位。</w:t>
      </w:r>
    </w:p>
    <w:p>
      <w:pPr>
        <w:numPr>
          <w:ilvl w:val="0"/>
          <w:numId w:val="0"/>
        </w:numPr>
        <w:adjustRightInd w:val="0"/>
        <w:snapToGrid w:val="0"/>
        <w:spacing w:line="560" w:lineRule="exact"/>
        <w:ind w:firstLine="640" w:firstLineChars="200"/>
        <w:rPr>
          <w:rFonts w:hint="eastAsia" w:ascii="Times New Roman" w:hAnsi="Times New Roman" w:eastAsia="仿宋_GB2312" w:cs="Times New Roman"/>
          <w:color w:val="auto"/>
          <w:sz w:val="32"/>
          <w:szCs w:val="32"/>
          <w:lang w:val="zh-CN" w:eastAsia="zh-CN" w:bidi="ar-SA"/>
        </w:rPr>
      </w:pPr>
      <w:r>
        <w:rPr>
          <w:rFonts w:hint="eastAsia" w:ascii="Times New Roman" w:hAnsi="Times New Roman" w:eastAsia="仿宋_GB2312" w:cs="Times New Roman"/>
          <w:color w:val="auto"/>
          <w:sz w:val="32"/>
          <w:szCs w:val="32"/>
          <w:lang w:val="zh-CN" w:eastAsia="zh-CN" w:bidi="ar-SA"/>
        </w:rPr>
        <w:t>（</w:t>
      </w:r>
      <w:r>
        <w:rPr>
          <w:rFonts w:hint="eastAsia" w:ascii="Times New Roman" w:hAnsi="Times New Roman" w:eastAsia="仿宋_GB2312" w:cs="Times New Roman"/>
          <w:color w:val="auto"/>
          <w:sz w:val="32"/>
          <w:szCs w:val="32"/>
          <w:lang w:val="en-US" w:eastAsia="zh-CN" w:bidi="ar-SA"/>
        </w:rPr>
        <w:t>1</w:t>
      </w:r>
      <w:r>
        <w:rPr>
          <w:rFonts w:hint="eastAsia" w:ascii="Times New Roman" w:hAnsi="Times New Roman" w:eastAsia="仿宋_GB2312" w:cs="Times New Roman"/>
          <w:color w:val="auto"/>
          <w:sz w:val="32"/>
          <w:szCs w:val="32"/>
          <w:lang w:val="zh-CN" w:eastAsia="zh-CN" w:bidi="ar-SA"/>
        </w:rPr>
        <w:t>）202</w:t>
      </w:r>
      <w:r>
        <w:rPr>
          <w:rFonts w:hint="eastAsia" w:ascii="Times New Roman" w:hAnsi="Times New Roman" w:eastAsia="仿宋_GB2312" w:cs="Times New Roman"/>
          <w:color w:val="auto"/>
          <w:sz w:val="32"/>
          <w:szCs w:val="32"/>
          <w:lang w:val="en-US" w:eastAsia="zh-CN" w:bidi="ar-SA"/>
        </w:rPr>
        <w:t>2</w:t>
      </w:r>
      <w:r>
        <w:rPr>
          <w:rFonts w:hint="eastAsia" w:ascii="Times New Roman" w:hAnsi="Times New Roman" w:eastAsia="仿宋_GB2312" w:cs="Times New Roman"/>
          <w:color w:val="auto"/>
          <w:sz w:val="32"/>
          <w:szCs w:val="32"/>
          <w:lang w:val="zh-CN" w:eastAsia="zh-CN" w:bidi="ar-SA"/>
        </w:rPr>
        <w:t>年</w:t>
      </w:r>
      <w:r>
        <w:rPr>
          <w:rFonts w:hint="eastAsia" w:ascii="Times New Roman" w:hAnsi="Times New Roman" w:eastAsia="仿宋_GB2312" w:cs="Times New Roman"/>
          <w:color w:val="auto"/>
          <w:sz w:val="32"/>
          <w:szCs w:val="32"/>
          <w:lang w:val="en-US" w:eastAsia="zh-CN" w:bidi="ar-SA"/>
        </w:rPr>
        <w:t>7</w:t>
      </w:r>
      <w:r>
        <w:rPr>
          <w:rFonts w:hint="eastAsia" w:ascii="Times New Roman" w:hAnsi="Times New Roman" w:eastAsia="仿宋_GB2312" w:cs="Times New Roman"/>
          <w:color w:val="auto"/>
          <w:sz w:val="32"/>
          <w:szCs w:val="32"/>
          <w:lang w:val="zh-CN" w:eastAsia="zh-CN" w:bidi="ar-SA"/>
        </w:rPr>
        <w:t>月县财政局下达</w:t>
      </w:r>
      <w:r>
        <w:rPr>
          <w:rFonts w:hint="eastAsia" w:ascii="Times New Roman" w:hAnsi="Times New Roman" w:eastAsia="仿宋_GB2312" w:cs="Times New Roman"/>
          <w:color w:val="auto"/>
          <w:sz w:val="32"/>
          <w:szCs w:val="32"/>
          <w:lang w:val="en-US" w:eastAsia="zh-CN" w:bidi="ar-SA"/>
        </w:rPr>
        <w:t>九</w:t>
      </w:r>
      <w:r>
        <w:rPr>
          <w:rFonts w:hint="eastAsia" w:ascii="Times New Roman" w:hAnsi="Times New Roman" w:eastAsia="仿宋_GB2312" w:cs="Times New Roman"/>
          <w:color w:val="auto"/>
          <w:sz w:val="32"/>
          <w:szCs w:val="32"/>
          <w:lang w:val="zh-CN" w:eastAsia="zh-CN" w:bidi="ar-SA"/>
        </w:rPr>
        <w:t>财</w:t>
      </w:r>
      <w:r>
        <w:rPr>
          <w:rFonts w:hint="eastAsia" w:ascii="Times New Roman" w:hAnsi="Times New Roman" w:eastAsia="仿宋_GB2312" w:cs="Times New Roman"/>
          <w:color w:val="auto"/>
          <w:sz w:val="32"/>
          <w:szCs w:val="32"/>
          <w:lang w:val="en-US" w:eastAsia="zh-CN" w:bidi="ar-SA"/>
        </w:rPr>
        <w:t>预[2022]257</w:t>
      </w:r>
      <w:r>
        <w:rPr>
          <w:rFonts w:hint="eastAsia" w:ascii="Times New Roman" w:hAnsi="Times New Roman" w:eastAsia="仿宋_GB2312" w:cs="Times New Roman"/>
          <w:color w:val="auto"/>
          <w:sz w:val="32"/>
          <w:szCs w:val="32"/>
          <w:lang w:val="zh-CN" w:eastAsia="zh-CN" w:bidi="ar-SA"/>
        </w:rPr>
        <w:t>号文，</w:t>
      </w:r>
      <w:r>
        <w:rPr>
          <w:rFonts w:hint="eastAsia" w:ascii="Times New Roman" w:hAnsi="Times New Roman" w:eastAsia="仿宋_GB2312" w:cs="Times New Roman"/>
          <w:color w:val="auto"/>
          <w:sz w:val="32"/>
          <w:szCs w:val="32"/>
          <w:lang w:val="en-US" w:eastAsia="zh-CN" w:bidi="ar-SA"/>
        </w:rPr>
        <w:t>2022年财政评审服务费277.23</w:t>
      </w:r>
      <w:r>
        <w:rPr>
          <w:rFonts w:hint="eastAsia" w:ascii="Times New Roman" w:hAnsi="Times New Roman" w:eastAsia="仿宋_GB2312" w:cs="Times New Roman"/>
          <w:color w:val="auto"/>
          <w:sz w:val="32"/>
          <w:szCs w:val="32"/>
          <w:lang w:val="zh-CN" w:eastAsia="zh-CN" w:bidi="ar-SA"/>
        </w:rPr>
        <w:t>万元。</w:t>
      </w:r>
    </w:p>
    <w:p>
      <w:pPr>
        <w:numPr>
          <w:ilvl w:val="0"/>
          <w:numId w:val="0"/>
        </w:numPr>
        <w:adjustRightInd w:val="0"/>
        <w:snapToGrid w:val="0"/>
        <w:spacing w:line="560" w:lineRule="exact"/>
        <w:ind w:firstLine="640" w:firstLineChars="200"/>
        <w:rPr>
          <w:rFonts w:hint="eastAsia" w:ascii="Times New Roman" w:hAnsi="Times New Roman" w:eastAsia="仿宋_GB2312" w:cs="Times New Roman"/>
          <w:color w:val="auto"/>
          <w:sz w:val="32"/>
          <w:szCs w:val="32"/>
          <w:lang w:val="zh-CN" w:eastAsia="zh-CN" w:bidi="ar-SA"/>
        </w:rPr>
      </w:pPr>
      <w:r>
        <w:rPr>
          <w:rFonts w:hint="eastAsia" w:ascii="Times New Roman" w:hAnsi="Times New Roman" w:eastAsia="仿宋_GB2312" w:cs="Times New Roman"/>
          <w:color w:val="auto"/>
          <w:sz w:val="32"/>
          <w:szCs w:val="32"/>
          <w:lang w:val="zh-CN" w:eastAsia="zh-CN" w:bidi="ar-SA"/>
        </w:rPr>
        <w:t>资金使用。</w:t>
      </w:r>
    </w:p>
    <w:p>
      <w:pPr>
        <w:numPr>
          <w:ilvl w:val="0"/>
          <w:numId w:val="0"/>
        </w:numPr>
        <w:adjustRightInd w:val="0"/>
        <w:snapToGrid w:val="0"/>
        <w:spacing w:line="560" w:lineRule="exact"/>
        <w:ind w:firstLine="640" w:firstLineChars="200"/>
        <w:rPr>
          <w:rFonts w:hint="eastAsia" w:ascii="Times New Roman" w:hAnsi="Times New Roman" w:eastAsia="仿宋_GB2312" w:cs="Times New Roman"/>
          <w:color w:val="auto"/>
          <w:sz w:val="32"/>
          <w:szCs w:val="32"/>
          <w:lang w:val="zh-CN" w:eastAsia="zh-CN" w:bidi="ar-SA"/>
        </w:rPr>
      </w:pPr>
      <w:r>
        <w:rPr>
          <w:rFonts w:hint="eastAsia" w:ascii="Times New Roman" w:hAnsi="Times New Roman" w:eastAsia="仿宋_GB2312" w:cs="Times New Roman"/>
          <w:color w:val="auto"/>
          <w:sz w:val="32"/>
          <w:szCs w:val="32"/>
          <w:lang w:val="zh-CN" w:eastAsia="zh-CN" w:bidi="ar-SA"/>
        </w:rPr>
        <w:t>截止</w:t>
      </w:r>
      <w:r>
        <w:rPr>
          <w:rFonts w:hint="eastAsia" w:ascii="Times New Roman" w:hAnsi="Times New Roman" w:eastAsia="仿宋_GB2312" w:cs="Times New Roman"/>
          <w:color w:val="auto"/>
          <w:sz w:val="32"/>
          <w:szCs w:val="32"/>
          <w:lang w:val="en-US" w:eastAsia="zh-CN" w:bidi="ar-SA"/>
        </w:rPr>
        <w:t>2022年12月该</w:t>
      </w:r>
      <w:r>
        <w:rPr>
          <w:rFonts w:hint="eastAsia" w:ascii="Times New Roman" w:hAnsi="Times New Roman" w:eastAsia="仿宋_GB2312" w:cs="Times New Roman"/>
          <w:color w:val="auto"/>
          <w:sz w:val="32"/>
          <w:szCs w:val="32"/>
          <w:lang w:val="zh-CN" w:eastAsia="zh-CN" w:bidi="ar-SA"/>
        </w:rPr>
        <w:t>项目资金实际支出</w:t>
      </w:r>
      <w:r>
        <w:rPr>
          <w:rFonts w:hint="eastAsia" w:ascii="Times New Roman" w:hAnsi="Times New Roman" w:eastAsia="仿宋_GB2312" w:cs="Times New Roman"/>
          <w:color w:val="auto"/>
          <w:sz w:val="32"/>
          <w:szCs w:val="32"/>
          <w:lang w:val="en-US" w:eastAsia="zh-CN" w:bidi="ar-SA"/>
        </w:rPr>
        <w:t>277.23万元</w:t>
      </w:r>
      <w:r>
        <w:rPr>
          <w:rFonts w:hint="eastAsia" w:ascii="Times New Roman" w:hAnsi="Times New Roman" w:eastAsia="仿宋_GB2312" w:cs="Times New Roman"/>
          <w:color w:val="auto"/>
          <w:sz w:val="32"/>
          <w:szCs w:val="32"/>
          <w:lang w:val="zh-CN" w:eastAsia="zh-CN" w:bidi="ar-SA"/>
        </w:rPr>
        <w:t>，资金结余</w:t>
      </w:r>
      <w:r>
        <w:rPr>
          <w:rFonts w:hint="eastAsia" w:ascii="Times New Roman" w:hAnsi="Times New Roman" w:eastAsia="仿宋_GB2312" w:cs="Times New Roman"/>
          <w:color w:val="auto"/>
          <w:sz w:val="32"/>
          <w:szCs w:val="32"/>
          <w:lang w:val="en-US" w:eastAsia="zh-CN" w:bidi="ar-SA"/>
        </w:rPr>
        <w:t>0万元，支付率100%；该项目资金支付按照合同约定合规合法进行支付</w:t>
      </w:r>
      <w:r>
        <w:rPr>
          <w:rFonts w:hint="eastAsia" w:ascii="Times New Roman" w:hAnsi="Times New Roman" w:eastAsia="仿宋_GB2312" w:cs="Times New Roman"/>
          <w:color w:val="auto"/>
          <w:sz w:val="32"/>
          <w:szCs w:val="32"/>
          <w:lang w:val="zh-CN" w:eastAsia="zh-CN" w:bidi="ar-SA"/>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Theme="minorEastAsia" w:hAnsiTheme="minorEastAsia" w:eastAsiaTheme="minorEastAsia" w:cstheme="minorEastAsia"/>
          <w:b/>
          <w:color w:val="auto"/>
          <w:sz w:val="28"/>
          <w:szCs w:val="28"/>
          <w:lang w:val="zh-CN"/>
        </w:rPr>
      </w:pPr>
      <w:r>
        <w:rPr>
          <w:rFonts w:hint="eastAsia" w:asciiTheme="minorEastAsia" w:hAnsiTheme="minorEastAsia" w:eastAsiaTheme="minorEastAsia" w:cstheme="minorEastAsia"/>
          <w:b/>
          <w:color w:val="auto"/>
          <w:sz w:val="28"/>
          <w:szCs w:val="28"/>
          <w:lang w:val="zh-CN"/>
        </w:rPr>
        <w:t>（二）项目财务管理情况。</w:t>
      </w:r>
    </w:p>
    <w:p>
      <w:pPr>
        <w:numPr>
          <w:ilvl w:val="0"/>
          <w:numId w:val="0"/>
        </w:numPr>
        <w:adjustRightInd w:val="0"/>
        <w:snapToGrid w:val="0"/>
        <w:spacing w:line="560" w:lineRule="exact"/>
        <w:ind w:firstLine="640" w:firstLineChars="200"/>
        <w:rPr>
          <w:rFonts w:hint="eastAsia" w:ascii="Times New Roman" w:hAnsi="Times New Roman" w:eastAsia="仿宋_GB2312" w:cs="Times New Roman"/>
          <w:color w:val="auto"/>
          <w:sz w:val="32"/>
          <w:szCs w:val="32"/>
          <w:lang w:val="en-US" w:eastAsia="zh-CN" w:bidi="ar-SA"/>
        </w:rPr>
      </w:pPr>
      <w:r>
        <w:rPr>
          <w:rFonts w:hint="eastAsia" w:ascii="Times New Roman" w:hAnsi="Times New Roman" w:eastAsia="仿宋_GB2312" w:cs="Times New Roman"/>
          <w:color w:val="auto"/>
          <w:sz w:val="32"/>
          <w:szCs w:val="32"/>
          <w:lang w:val="en-US" w:eastAsia="zh-CN" w:bidi="ar-SA"/>
        </w:rPr>
        <w:t xml:space="preserve">  项目资金是符合国家财经法规和财务管理制度及有关专项资金管理办法规定；资金拨付是有完整的审批程序和手续；是符合项目预算批复或合同规定用途；不存在截留、挤占、挪用、虚列支出等情况。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Theme="minorEastAsia" w:hAnsiTheme="minorEastAsia" w:eastAsiaTheme="minorEastAsia" w:cstheme="minorEastAsia"/>
          <w:b/>
          <w:color w:val="auto"/>
          <w:sz w:val="28"/>
          <w:szCs w:val="28"/>
          <w:lang w:val="zh-CN"/>
        </w:rPr>
      </w:pPr>
      <w:r>
        <w:rPr>
          <w:rFonts w:hint="eastAsia" w:asciiTheme="minorEastAsia" w:hAnsiTheme="minorEastAsia" w:eastAsiaTheme="minorEastAsia" w:cstheme="minorEastAsia"/>
          <w:b/>
          <w:color w:val="auto"/>
          <w:sz w:val="28"/>
          <w:szCs w:val="28"/>
          <w:lang w:val="zh-CN"/>
        </w:rPr>
        <w:t>（三）项目组织实施情况。</w:t>
      </w:r>
    </w:p>
    <w:p>
      <w:pPr>
        <w:numPr>
          <w:ilvl w:val="0"/>
          <w:numId w:val="0"/>
        </w:numPr>
        <w:adjustRightInd w:val="0"/>
        <w:snapToGrid w:val="0"/>
        <w:spacing w:line="560" w:lineRule="exact"/>
        <w:ind w:firstLine="640" w:firstLineChars="200"/>
        <w:rPr>
          <w:rFonts w:hint="eastAsia" w:ascii="Times New Roman" w:hAnsi="Times New Roman" w:eastAsia="仿宋_GB2312" w:cs="Times New Roman"/>
          <w:color w:val="auto"/>
          <w:sz w:val="32"/>
          <w:szCs w:val="32"/>
          <w:lang w:val="en-US" w:eastAsia="zh-CN" w:bidi="ar-SA"/>
        </w:rPr>
      </w:pPr>
      <w:r>
        <w:rPr>
          <w:rFonts w:hint="eastAsia" w:ascii="Times New Roman" w:hAnsi="Times New Roman" w:eastAsia="仿宋_GB2312" w:cs="Times New Roman"/>
          <w:color w:val="auto"/>
          <w:sz w:val="32"/>
          <w:szCs w:val="32"/>
          <w:lang w:val="en-US" w:eastAsia="zh-CN" w:bidi="ar-SA"/>
        </w:rPr>
        <w:t>委托业务费是通过各股室负责人按照各自股室的工作职能职责提出预算安排，财务室汇总后经过局班子共同商量讨论，并与股室再次核实后上报项目预算。项目是经过事前评估或可行性论证，是符合专项设立的基本规范和程序要求。项目设立是属于部门职责相符，是属于公共财政支持范围，是符合地方事权支出责任划分原则，不存在与相关部门同类项目或部门内部相关项目重复。</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Theme="minorEastAsia" w:hAnsiTheme="minorEastAsia" w:eastAsiaTheme="minorEastAsia" w:cstheme="minorEastAsia"/>
          <w:color w:val="auto"/>
          <w:sz w:val="28"/>
          <w:szCs w:val="28"/>
          <w:lang w:val="zh-CN"/>
        </w:rPr>
      </w:pPr>
      <w:r>
        <w:rPr>
          <w:rFonts w:hint="eastAsia" w:asciiTheme="minorEastAsia" w:hAnsiTheme="minorEastAsia" w:eastAsiaTheme="minorEastAsia" w:cstheme="minorEastAsia"/>
          <w:color w:val="auto"/>
          <w:sz w:val="28"/>
          <w:szCs w:val="28"/>
        </w:rPr>
        <w:t>三、项目绩效情况</w:t>
      </w:r>
      <w:r>
        <w:rPr>
          <w:rFonts w:hint="eastAsia" w:asciiTheme="minorEastAsia" w:hAnsiTheme="minorEastAsia" w:eastAsiaTheme="minorEastAsia" w:cstheme="minorEastAsia"/>
          <w:color w:val="auto"/>
          <w:sz w:val="28"/>
          <w:szCs w:val="28"/>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Theme="minorEastAsia" w:hAnsiTheme="minorEastAsia" w:eastAsiaTheme="minorEastAsia" w:cstheme="minorEastAsia"/>
          <w:b/>
          <w:color w:val="auto"/>
          <w:sz w:val="28"/>
          <w:szCs w:val="28"/>
          <w:lang w:val="zh-CN"/>
        </w:rPr>
      </w:pPr>
      <w:r>
        <w:rPr>
          <w:rFonts w:hint="eastAsia" w:asciiTheme="minorEastAsia" w:hAnsiTheme="minorEastAsia" w:eastAsiaTheme="minorEastAsia" w:cstheme="minorEastAsia"/>
          <w:b/>
          <w:color w:val="auto"/>
          <w:sz w:val="28"/>
          <w:szCs w:val="28"/>
          <w:lang w:val="zh-CN"/>
        </w:rPr>
        <w:t>（一）项目完成情况。</w:t>
      </w:r>
    </w:p>
    <w:p>
      <w:pPr>
        <w:numPr>
          <w:ilvl w:val="0"/>
          <w:numId w:val="0"/>
        </w:numPr>
        <w:adjustRightInd w:val="0"/>
        <w:snapToGrid w:val="0"/>
        <w:spacing w:line="560" w:lineRule="exact"/>
        <w:ind w:firstLine="640" w:firstLineChars="200"/>
        <w:rPr>
          <w:rFonts w:hint="eastAsia" w:ascii="Times New Roman" w:hAnsi="Times New Roman" w:eastAsia="仿宋_GB2312" w:cs="Times New Roman"/>
          <w:color w:val="auto"/>
          <w:sz w:val="32"/>
          <w:szCs w:val="32"/>
          <w:lang w:val="en-US" w:eastAsia="zh-CN" w:bidi="ar-SA"/>
        </w:rPr>
      </w:pPr>
      <w:r>
        <w:rPr>
          <w:rFonts w:hint="eastAsia" w:ascii="Times New Roman" w:hAnsi="Times New Roman" w:eastAsia="仿宋_GB2312" w:cs="Times New Roman"/>
          <w:color w:val="auto"/>
          <w:sz w:val="32"/>
          <w:szCs w:val="32"/>
          <w:lang w:val="zh-CN" w:eastAsia="zh-CN" w:bidi="ar-SA"/>
        </w:rPr>
        <w:t>该项目</w:t>
      </w:r>
      <w:r>
        <w:rPr>
          <w:rFonts w:hint="eastAsia" w:ascii="Times New Roman" w:hAnsi="Times New Roman" w:eastAsia="仿宋_GB2312" w:cs="Times New Roman"/>
          <w:color w:val="auto"/>
          <w:sz w:val="32"/>
          <w:szCs w:val="32"/>
          <w:lang w:val="en-US" w:eastAsia="zh-CN" w:bidi="ar-SA"/>
        </w:rPr>
        <w:t>2022年共计评审94个项目</w:t>
      </w:r>
      <w:r>
        <w:rPr>
          <w:rFonts w:hint="eastAsia" w:ascii="Times New Roman" w:hAnsi="Times New Roman" w:eastAsia="仿宋_GB2312" w:cs="Times New Roman"/>
          <w:color w:val="auto"/>
          <w:sz w:val="32"/>
          <w:szCs w:val="32"/>
          <w:lang w:val="zh-CN" w:eastAsia="zh-CN" w:bidi="ar-SA"/>
        </w:rPr>
        <w:t>。</w:t>
      </w:r>
      <w:r>
        <w:rPr>
          <w:rFonts w:hint="eastAsia" w:ascii="Times New Roman" w:hAnsi="Times New Roman" w:eastAsia="仿宋_GB2312" w:cs="Times New Roman"/>
          <w:color w:val="auto"/>
          <w:sz w:val="32"/>
          <w:szCs w:val="32"/>
          <w:lang w:val="en-US" w:eastAsia="zh-CN" w:bidi="ar-SA"/>
        </w:rPr>
        <w:t>2022年工作项目已全部完成。</w:t>
      </w:r>
    </w:p>
    <w:p>
      <w:pPr>
        <w:numPr>
          <w:ilvl w:val="0"/>
          <w:numId w:val="0"/>
        </w:numPr>
        <w:snapToGrid w:val="0"/>
        <w:spacing w:line="600" w:lineRule="exact"/>
        <w:ind w:firstLine="562" w:firstLineChars="200"/>
        <w:rPr>
          <w:rFonts w:hint="eastAsia" w:asciiTheme="minorEastAsia" w:hAnsiTheme="minorEastAsia" w:eastAsiaTheme="minorEastAsia" w:cstheme="minorEastAsia"/>
          <w:b/>
          <w:color w:val="auto"/>
          <w:sz w:val="28"/>
          <w:szCs w:val="28"/>
          <w:lang w:val="zh-CN"/>
        </w:rPr>
      </w:pPr>
      <w:r>
        <w:rPr>
          <w:rFonts w:hint="eastAsia" w:asciiTheme="minorEastAsia" w:hAnsiTheme="minorEastAsia" w:eastAsiaTheme="minorEastAsia" w:cstheme="minorEastAsia"/>
          <w:b/>
          <w:color w:val="auto"/>
          <w:sz w:val="28"/>
          <w:szCs w:val="28"/>
          <w:lang w:val="zh-CN"/>
        </w:rPr>
        <w:t>（</w:t>
      </w:r>
      <w:r>
        <w:rPr>
          <w:rFonts w:hint="eastAsia" w:asciiTheme="minorEastAsia" w:hAnsiTheme="minorEastAsia" w:eastAsiaTheme="minorEastAsia" w:cstheme="minorEastAsia"/>
          <w:b/>
          <w:color w:val="auto"/>
          <w:sz w:val="28"/>
          <w:szCs w:val="28"/>
          <w:lang w:val="en-US" w:eastAsia="zh-CN"/>
        </w:rPr>
        <w:t>二</w:t>
      </w:r>
      <w:r>
        <w:rPr>
          <w:rFonts w:hint="eastAsia" w:asciiTheme="minorEastAsia" w:hAnsiTheme="minorEastAsia" w:eastAsiaTheme="minorEastAsia" w:cstheme="minorEastAsia"/>
          <w:b/>
          <w:color w:val="auto"/>
          <w:sz w:val="28"/>
          <w:szCs w:val="28"/>
          <w:lang w:val="zh-CN"/>
        </w:rPr>
        <w:t>）项目效益情况。</w:t>
      </w:r>
    </w:p>
    <w:p>
      <w:pPr>
        <w:numPr>
          <w:ilvl w:val="0"/>
          <w:numId w:val="0"/>
        </w:numPr>
        <w:adjustRightInd w:val="0"/>
        <w:snapToGrid w:val="0"/>
        <w:spacing w:line="560" w:lineRule="exact"/>
        <w:ind w:firstLine="640" w:firstLineChars="200"/>
        <w:rPr>
          <w:rFonts w:hint="eastAsia" w:ascii="Times New Roman" w:hAnsi="Times New Roman" w:eastAsia="仿宋_GB2312" w:cs="Times New Roman"/>
          <w:color w:val="auto"/>
          <w:sz w:val="32"/>
          <w:szCs w:val="32"/>
          <w:lang w:val="zh-CN" w:eastAsia="zh-CN" w:bidi="ar-SA"/>
        </w:rPr>
      </w:pPr>
      <w:r>
        <w:rPr>
          <w:rFonts w:hint="eastAsia" w:ascii="Times New Roman" w:hAnsi="Times New Roman" w:eastAsia="仿宋_GB2312" w:cs="Times New Roman"/>
          <w:color w:val="auto"/>
          <w:sz w:val="32"/>
          <w:szCs w:val="32"/>
          <w:lang w:val="en-US" w:eastAsia="zh-CN" w:bidi="ar-SA"/>
        </w:rPr>
        <w:t>2022年共计评审94个项目，送审金额98631.28万元，审定金额93705.41万元，审减金额5000万元，审减率5.07%。</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Theme="minorEastAsia" w:hAnsiTheme="minorEastAsia" w:eastAsiaTheme="minorEastAsia" w:cstheme="minorEastAsia"/>
          <w:b/>
          <w:color w:val="auto"/>
          <w:sz w:val="28"/>
          <w:szCs w:val="28"/>
          <w:lang w:val="zh-CN"/>
        </w:rPr>
      </w:pPr>
      <w:r>
        <w:rPr>
          <w:rFonts w:hint="eastAsia" w:asciiTheme="minorEastAsia" w:hAnsiTheme="minorEastAsia" w:eastAsiaTheme="minorEastAsia" w:cstheme="minorEastAsia"/>
          <w:b/>
          <w:color w:val="auto"/>
          <w:sz w:val="28"/>
          <w:szCs w:val="28"/>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asciiTheme="minorEastAsia" w:hAnsiTheme="minorEastAsia" w:eastAsiaTheme="minorEastAsia" w:cstheme="minorEastAsia"/>
          <w:sz w:val="28"/>
          <w:szCs w:val="28"/>
          <w:lang w:val="zh-CN" w:eastAsia="zh-CN"/>
        </w:rPr>
      </w:pPr>
      <w:r>
        <w:rPr>
          <w:rFonts w:hint="eastAsia" w:asciiTheme="minorEastAsia" w:hAnsiTheme="minorEastAsia" w:eastAsiaTheme="minorEastAsia" w:cstheme="minorEastAsia"/>
          <w:sz w:val="28"/>
          <w:szCs w:val="28"/>
          <w:lang w:val="zh-CN" w:eastAsia="zh-CN"/>
        </w:rPr>
        <w:t>无</w:t>
      </w:r>
    </w:p>
    <w:p>
      <w:pPr>
        <w:keepNext w:val="0"/>
        <w:keepLines w:val="0"/>
        <w:pageBreakBefore w:val="0"/>
        <w:widowControl w:val="0"/>
        <w:numPr>
          <w:ilvl w:val="0"/>
          <w:numId w:val="5"/>
        </w:numPr>
        <w:kinsoku/>
        <w:wordWrap/>
        <w:overflowPunct/>
        <w:topLinePunct w:val="0"/>
        <w:autoSpaceDE/>
        <w:autoSpaceDN/>
        <w:bidi w:val="0"/>
        <w:adjustRightInd w:val="0"/>
        <w:snapToGrid w:val="0"/>
        <w:spacing w:line="600" w:lineRule="exact"/>
        <w:ind w:left="0" w:leftChars="0" w:firstLine="562" w:firstLineChars="200"/>
        <w:textAlignment w:val="auto"/>
        <w:rPr>
          <w:rFonts w:hint="default" w:ascii="仿宋_GB2312" w:hAnsi="仿宋_GB2312" w:eastAsia="仿宋_GB2312" w:cs="仿宋_GB2312"/>
          <w:b w:val="0"/>
          <w:bCs w:val="0"/>
          <w:kern w:val="2"/>
          <w:sz w:val="32"/>
          <w:szCs w:val="32"/>
          <w:lang w:val="en-US" w:eastAsia="zh-CN" w:bidi="ar-SA"/>
        </w:rPr>
      </w:pPr>
      <w:r>
        <w:rPr>
          <w:rFonts w:hint="eastAsia" w:asciiTheme="minorEastAsia" w:hAnsiTheme="minorEastAsia" w:eastAsiaTheme="minorEastAsia" w:cstheme="minorEastAsia"/>
          <w:b/>
          <w:color w:val="auto"/>
          <w:sz w:val="28"/>
          <w:szCs w:val="28"/>
          <w:lang w:val="zh-CN"/>
        </w:rPr>
        <w:t>相关建议。</w:t>
      </w:r>
      <w:r>
        <w:rPr>
          <w:rFonts w:hint="eastAsia" w:ascii="仿宋_GB2312" w:hAnsi="仿宋_GB2312" w:eastAsia="仿宋_GB2312" w:cs="仿宋_GB2312"/>
          <w:b w:val="0"/>
          <w:bCs w:val="0"/>
          <w:kern w:val="2"/>
          <w:sz w:val="32"/>
          <w:szCs w:val="32"/>
          <w:lang w:val="en-US" w:eastAsia="zh-CN" w:bidi="ar-SA"/>
        </w:rPr>
        <w:t>无</w:t>
      </w:r>
    </w:p>
    <w:p>
      <w:pPr>
        <w:pStyle w:val="10"/>
        <w:shd w:val="clear" w:color="auto" w:fill="FFFFFF"/>
        <w:ind w:firstLine="1767" w:firstLineChars="400"/>
        <w:rPr>
          <w:rStyle w:val="13"/>
          <w:rFonts w:hint="eastAsia" w:ascii="黑体" w:hAnsi="黑体" w:eastAsia="黑体" w:cs="黑体"/>
          <w:sz w:val="44"/>
          <w:szCs w:val="44"/>
        </w:rPr>
      </w:pPr>
    </w:p>
    <w:p>
      <w:pPr>
        <w:pStyle w:val="10"/>
        <w:shd w:val="clear" w:color="auto" w:fill="FFFFFF"/>
        <w:ind w:firstLine="1767" w:firstLineChars="400"/>
        <w:rPr>
          <w:rStyle w:val="13"/>
          <w:rFonts w:hint="eastAsia" w:ascii="黑体" w:hAnsi="黑体" w:eastAsia="黑体" w:cs="黑体"/>
          <w:sz w:val="44"/>
          <w:szCs w:val="44"/>
        </w:rPr>
      </w:pPr>
    </w:p>
    <w:p>
      <w:pPr>
        <w:pStyle w:val="10"/>
        <w:shd w:val="clear" w:color="auto" w:fill="FFFFFF"/>
        <w:ind w:firstLine="1767" w:firstLineChars="400"/>
        <w:rPr>
          <w:rStyle w:val="13"/>
          <w:rFonts w:hint="eastAsia" w:ascii="黑体" w:hAnsi="黑体" w:eastAsia="黑体" w:cs="黑体"/>
          <w:sz w:val="44"/>
          <w:szCs w:val="44"/>
        </w:rPr>
      </w:pPr>
    </w:p>
    <w:p>
      <w:pPr>
        <w:pStyle w:val="10"/>
        <w:shd w:val="clear" w:color="auto" w:fill="FFFFFF"/>
        <w:ind w:firstLine="1767" w:firstLineChars="400"/>
        <w:rPr>
          <w:rStyle w:val="13"/>
          <w:rFonts w:hint="eastAsia" w:ascii="黑体" w:hAnsi="黑体" w:eastAsia="黑体" w:cs="黑体"/>
          <w:sz w:val="44"/>
          <w:szCs w:val="44"/>
        </w:rPr>
      </w:pPr>
    </w:p>
    <w:p>
      <w:pPr>
        <w:pStyle w:val="10"/>
        <w:shd w:val="clear" w:color="auto" w:fill="FFFFFF"/>
        <w:ind w:firstLine="1767" w:firstLineChars="400"/>
        <w:rPr>
          <w:rStyle w:val="13"/>
          <w:rFonts w:hint="eastAsia" w:ascii="黑体" w:hAnsi="黑体" w:eastAsia="黑体" w:cs="黑体"/>
          <w:sz w:val="44"/>
          <w:szCs w:val="44"/>
        </w:rPr>
      </w:pPr>
    </w:p>
    <w:p>
      <w:pPr>
        <w:pStyle w:val="10"/>
        <w:shd w:val="clear" w:color="auto" w:fill="FFFFFF"/>
        <w:ind w:firstLine="1767" w:firstLineChars="400"/>
        <w:rPr>
          <w:rStyle w:val="13"/>
          <w:rFonts w:hint="eastAsia" w:ascii="黑体" w:hAnsi="黑体" w:eastAsia="黑体" w:cs="黑体"/>
          <w:sz w:val="44"/>
          <w:szCs w:val="44"/>
        </w:rPr>
      </w:pPr>
    </w:p>
    <w:p>
      <w:pPr>
        <w:pStyle w:val="10"/>
        <w:shd w:val="clear" w:color="auto" w:fill="FFFFFF"/>
        <w:ind w:firstLine="1767" w:firstLineChars="400"/>
        <w:rPr>
          <w:rStyle w:val="13"/>
          <w:rFonts w:hint="eastAsia" w:ascii="黑体" w:hAnsi="黑体" w:eastAsia="黑体" w:cs="黑体"/>
          <w:sz w:val="44"/>
          <w:szCs w:val="44"/>
        </w:rPr>
      </w:pPr>
    </w:p>
    <w:p>
      <w:pPr>
        <w:pStyle w:val="10"/>
        <w:shd w:val="clear" w:color="auto" w:fill="FFFFFF"/>
        <w:ind w:firstLine="1767" w:firstLineChars="400"/>
        <w:rPr>
          <w:rStyle w:val="13"/>
          <w:rFonts w:hint="eastAsia" w:ascii="黑体" w:hAnsi="黑体" w:eastAsia="黑体" w:cs="黑体"/>
          <w:sz w:val="44"/>
          <w:szCs w:val="44"/>
        </w:rPr>
      </w:pPr>
    </w:p>
    <w:p>
      <w:pPr>
        <w:pStyle w:val="10"/>
        <w:shd w:val="clear" w:color="auto" w:fill="FFFFFF"/>
        <w:ind w:firstLine="1767" w:firstLineChars="400"/>
        <w:rPr>
          <w:rStyle w:val="13"/>
          <w:rFonts w:hint="eastAsia" w:ascii="黑体" w:hAnsi="黑体" w:eastAsia="黑体" w:cs="黑体"/>
          <w:sz w:val="44"/>
          <w:szCs w:val="44"/>
        </w:rPr>
      </w:pPr>
    </w:p>
    <w:p>
      <w:pPr>
        <w:pStyle w:val="10"/>
        <w:shd w:val="clear" w:color="auto" w:fill="FFFFFF"/>
        <w:ind w:firstLine="1767" w:firstLineChars="400"/>
        <w:outlineLvl w:val="0"/>
        <w:rPr>
          <w:rFonts w:hint="eastAsia" w:ascii="黑体" w:hAnsi="黑体" w:eastAsia="黑体" w:cs="黑体"/>
          <w:sz w:val="44"/>
          <w:szCs w:val="44"/>
        </w:rPr>
      </w:pPr>
      <w:bookmarkStart w:id="8" w:name="_Toc20769"/>
      <w:r>
        <w:rPr>
          <w:rStyle w:val="13"/>
          <w:rFonts w:hint="eastAsia" w:ascii="黑体" w:hAnsi="黑体" w:eastAsia="黑体" w:cs="黑体"/>
          <w:sz w:val="44"/>
          <w:szCs w:val="44"/>
        </w:rPr>
        <w:t>第五部分 附表</w:t>
      </w:r>
      <w:bookmarkEnd w:id="8"/>
    </w:p>
    <w:p>
      <w:pPr>
        <w:pStyle w:val="3"/>
        <w:shd w:val="clear" w:color="auto" w:fill="FFFFFF"/>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一、收入支出决算总表</w:t>
      </w:r>
    </w:p>
    <w:p>
      <w:pPr>
        <w:pStyle w:val="3"/>
        <w:shd w:val="clear" w:color="auto" w:fill="FFFFFF"/>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二、收入决算表</w:t>
      </w:r>
    </w:p>
    <w:p>
      <w:pPr>
        <w:pStyle w:val="3"/>
        <w:shd w:val="clear" w:color="auto" w:fill="FFFFFF"/>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三、支出决算表</w:t>
      </w:r>
    </w:p>
    <w:p>
      <w:pPr>
        <w:pStyle w:val="3"/>
        <w:shd w:val="clear" w:color="auto" w:fill="FFFFFF"/>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四、财政拨款收入支出决算总表</w:t>
      </w:r>
    </w:p>
    <w:p>
      <w:pPr>
        <w:pStyle w:val="3"/>
        <w:shd w:val="clear" w:color="auto" w:fill="FFFFFF"/>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五、财政拨款支出决算明细表</w:t>
      </w:r>
    </w:p>
    <w:p>
      <w:pPr>
        <w:pStyle w:val="3"/>
        <w:shd w:val="clear" w:color="auto" w:fill="FFFFFF"/>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六、一般公共预算财政拨款支出决算表</w:t>
      </w:r>
    </w:p>
    <w:p>
      <w:pPr>
        <w:pStyle w:val="3"/>
        <w:shd w:val="clear" w:color="auto" w:fill="FFFFFF"/>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七、一般公共预算财政拨款支出决算明细表</w:t>
      </w:r>
    </w:p>
    <w:p>
      <w:pPr>
        <w:pStyle w:val="3"/>
        <w:shd w:val="clear" w:color="auto" w:fill="FFFFFF"/>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八、一般公共预算财政拨款基本支出决算表</w:t>
      </w:r>
    </w:p>
    <w:p>
      <w:pPr>
        <w:pStyle w:val="3"/>
        <w:shd w:val="clear" w:color="auto" w:fill="FFFFFF"/>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九、一般公共预算财政拨款项目支出决算表</w:t>
      </w:r>
    </w:p>
    <w:p>
      <w:pPr>
        <w:pStyle w:val="3"/>
        <w:shd w:val="clear" w:color="auto" w:fill="FFFFFF"/>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十、政府性基金预算财政拨款收入支出决算表</w:t>
      </w:r>
    </w:p>
    <w:p>
      <w:pPr>
        <w:pStyle w:val="3"/>
        <w:shd w:val="clear" w:color="auto" w:fill="FFFFFF"/>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十一、国有资本经营预算财政拨款收入支出决算表</w:t>
      </w:r>
    </w:p>
    <w:p>
      <w:pPr>
        <w:pStyle w:val="3"/>
        <w:shd w:val="clear" w:color="auto" w:fill="FFFFFF"/>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十二、国有资本经营预算财政拨款支出决算表</w:t>
      </w:r>
    </w:p>
    <w:p>
      <w:pPr>
        <w:pStyle w:val="3"/>
        <w:shd w:val="clear" w:color="auto" w:fill="FFFFFF"/>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十三、财政拨款“三公”经费支出决算表</w:t>
      </w:r>
    </w:p>
    <w:sectPr>
      <w:footerReference r:id="rId3" w:type="default"/>
      <w:pgSz w:w="11907" w:h="16840"/>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
    <w:altName w:val="仿宋_GB2312"/>
    <w:panose1 w:val="00000000000000000000"/>
    <w:charset w:val="00"/>
    <w:family w:val="roman"/>
    <w:pitch w:val="default"/>
    <w:sig w:usb0="00000000" w:usb1="00000000" w:usb2="00000000" w:usb3="00000000" w:csb0="00000000" w:csb1="00000000"/>
  </w:font>
  <w:font w:name="汉仪细圆B5">
    <w:altName w:val="Segoe Print"/>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71FFB6"/>
    <w:multiLevelType w:val="singleLevel"/>
    <w:tmpl w:val="A871FFB6"/>
    <w:lvl w:ilvl="0" w:tentative="0">
      <w:start w:val="2"/>
      <w:numFmt w:val="chineseCounting"/>
      <w:suff w:val="nothing"/>
      <w:lvlText w:val="（%1）"/>
      <w:lvlJc w:val="left"/>
      <w:pPr>
        <w:ind w:left="-640"/>
      </w:pPr>
      <w:rPr>
        <w:rFonts w:hint="eastAsia"/>
      </w:rPr>
    </w:lvl>
  </w:abstractNum>
  <w:abstractNum w:abstractNumId="1">
    <w:nsid w:val="CA884C4F"/>
    <w:multiLevelType w:val="singleLevel"/>
    <w:tmpl w:val="CA884C4F"/>
    <w:lvl w:ilvl="0" w:tentative="0">
      <w:start w:val="2"/>
      <w:numFmt w:val="chineseCounting"/>
      <w:suff w:val="nothing"/>
      <w:lvlText w:val="（%1）"/>
      <w:lvlJc w:val="left"/>
      <w:rPr>
        <w:rFonts w:hint="eastAsia"/>
      </w:rPr>
    </w:lvl>
  </w:abstractNum>
  <w:abstractNum w:abstractNumId="2">
    <w:nsid w:val="26E209DA"/>
    <w:multiLevelType w:val="singleLevel"/>
    <w:tmpl w:val="26E209DA"/>
    <w:lvl w:ilvl="0" w:tentative="0">
      <w:start w:val="2"/>
      <w:numFmt w:val="chineseCounting"/>
      <w:suff w:val="nothing"/>
      <w:lvlText w:val="（%1）"/>
      <w:lvlJc w:val="left"/>
      <w:pPr>
        <w:ind w:left="-640"/>
      </w:pPr>
      <w:rPr>
        <w:rFonts w:hint="eastAsia"/>
      </w:rPr>
    </w:lvl>
  </w:abstractNum>
  <w:abstractNum w:abstractNumId="3">
    <w:nsid w:val="324CA98D"/>
    <w:multiLevelType w:val="singleLevel"/>
    <w:tmpl w:val="324CA98D"/>
    <w:lvl w:ilvl="0" w:tentative="0">
      <w:start w:val="2"/>
      <w:numFmt w:val="chineseCounting"/>
      <w:suff w:val="nothing"/>
      <w:lvlText w:val="%1、"/>
      <w:lvlJc w:val="left"/>
      <w:rPr>
        <w:rFonts w:hint="eastAsia"/>
      </w:rPr>
    </w:lvl>
  </w:abstractNum>
  <w:abstractNum w:abstractNumId="4">
    <w:nsid w:val="55922566"/>
    <w:multiLevelType w:val="singleLevel"/>
    <w:tmpl w:val="55922566"/>
    <w:lvl w:ilvl="0" w:tentative="0">
      <w:start w:val="1"/>
      <w:numFmt w:val="chineseCounting"/>
      <w:suff w:val="space"/>
      <w:lvlText w:val="第%1部分"/>
      <w:lvlJc w:val="left"/>
      <w:rPr>
        <w:rFonts w:hint="eastAsia"/>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noPunctuationKerning w:val="1"/>
  <w:characterSpacingControl w:val="doNotCompress"/>
  <w:compat>
    <w:doNotSnapToGridInCell/>
    <w:doNotWrapTextWithPunct/>
    <w:doNotUseEastAsianBreakRules/>
    <w:growAutofit/>
    <w:useFELayout/>
    <w:compatSetting w:name="compatibilityMode" w:uri="http://schemas.microsoft.com/office/word" w:val="14"/>
  </w:compat>
  <w:docVars>
    <w:docVar w:name="commondata" w:val="eyJoZGlkIjoiYjQ3MGY2ZTFjZWJmZDNlNjJlODE0OGMwYjNhMzI3MDkifQ=="/>
  </w:docVars>
  <w:rsids>
    <w:rsidRoot w:val="00CA56A6"/>
    <w:rsid w:val="001770B5"/>
    <w:rsid w:val="00CA56A6"/>
    <w:rsid w:val="094921B7"/>
    <w:rsid w:val="1108260C"/>
    <w:rsid w:val="11424C3D"/>
    <w:rsid w:val="12E00D0F"/>
    <w:rsid w:val="24C90335"/>
    <w:rsid w:val="2D0569E5"/>
    <w:rsid w:val="34395673"/>
    <w:rsid w:val="42D75148"/>
    <w:rsid w:val="46392DF5"/>
    <w:rsid w:val="48474CD2"/>
    <w:rsid w:val="551F65C4"/>
    <w:rsid w:val="6BD06AF6"/>
    <w:rsid w:val="7D3420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link w:val="14"/>
    <w:qFormat/>
    <w:uiPriority w:val="9"/>
    <w:pPr>
      <w:spacing w:before="100" w:beforeAutospacing="1" w:after="100" w:afterAutospacing="1"/>
      <w:outlineLvl w:val="0"/>
    </w:pPr>
    <w:rPr>
      <w:b/>
      <w:bCs/>
      <w:kern w:val="36"/>
      <w:sz w:val="48"/>
      <w:szCs w:val="48"/>
    </w:rPr>
  </w:style>
  <w:style w:type="paragraph" w:styleId="3">
    <w:name w:val="heading 2"/>
    <w:basedOn w:val="1"/>
    <w:link w:val="15"/>
    <w:qFormat/>
    <w:uiPriority w:val="9"/>
    <w:pPr>
      <w:spacing w:before="100" w:beforeAutospacing="1" w:after="100" w:afterAutospacing="1"/>
      <w:outlineLvl w:val="1"/>
    </w:pPr>
    <w:rPr>
      <w:b/>
      <w:bCs/>
      <w:sz w:val="36"/>
      <w:szCs w:val="36"/>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99"/>
    <w:pPr>
      <w:spacing w:beforeLines="30"/>
    </w:pPr>
    <w:rPr>
      <w:rFonts w:ascii="仿宋_GB2312" w:eastAsia="仿宋_GB2312"/>
      <w:kern w:val="0"/>
      <w:sz w:val="24"/>
      <w:szCs w:val="20"/>
      <w:lang w:val="zh-CN" w:eastAsia="zh-CN"/>
    </w:rPr>
  </w:style>
  <w:style w:type="paragraph" w:styleId="5">
    <w:name w:val="Body Text Indent"/>
    <w:basedOn w:val="1"/>
    <w:next w:val="6"/>
    <w:qFormat/>
    <w:uiPriority w:val="0"/>
    <w:pPr>
      <w:spacing w:after="120"/>
      <w:ind w:left="200" w:leftChars="200"/>
    </w:pPr>
  </w:style>
  <w:style w:type="paragraph" w:styleId="6">
    <w:name w:val="Body Text First Indent 2"/>
    <w:basedOn w:val="5"/>
    <w:next w:val="1"/>
    <w:qFormat/>
    <w:uiPriority w:val="0"/>
    <w:pPr>
      <w:ind w:firstLine="200" w:firstLineChars="200"/>
    </w:pPr>
  </w:style>
  <w:style w:type="paragraph" w:styleId="7">
    <w:name w:val="footer"/>
    <w:basedOn w:val="1"/>
    <w:semiHidden/>
    <w:unhideWhenUsed/>
    <w:qFormat/>
    <w:uiPriority w:val="99"/>
    <w:pPr>
      <w:tabs>
        <w:tab w:val="center" w:pos="4153"/>
        <w:tab w:val="right" w:pos="8306"/>
      </w:tabs>
      <w:snapToGrid w:val="0"/>
      <w:jc w:val="left"/>
    </w:pPr>
    <w:rPr>
      <w:sz w:val="18"/>
    </w:rPr>
  </w:style>
  <w:style w:type="paragraph" w:styleId="8">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semiHidden/>
    <w:unhideWhenUsed/>
    <w:qFormat/>
    <w:uiPriority w:val="39"/>
  </w:style>
  <w:style w:type="paragraph" w:styleId="10">
    <w:name w:val="Normal (Web)"/>
    <w:basedOn w:val="1"/>
    <w:unhideWhenUsed/>
    <w:qFormat/>
    <w:uiPriority w:val="99"/>
    <w:pPr>
      <w:spacing w:before="100" w:beforeAutospacing="1" w:after="100" w:afterAutospacing="1"/>
    </w:pPr>
  </w:style>
  <w:style w:type="character" w:styleId="13">
    <w:name w:val="Strong"/>
    <w:basedOn w:val="12"/>
    <w:qFormat/>
    <w:uiPriority w:val="22"/>
    <w:rPr>
      <w:b/>
      <w:bCs/>
    </w:rPr>
  </w:style>
  <w:style w:type="character" w:customStyle="1" w:styleId="14">
    <w:name w:val="标题 1 Char"/>
    <w:basedOn w:val="12"/>
    <w:link w:val="2"/>
    <w:qFormat/>
    <w:uiPriority w:val="9"/>
    <w:rPr>
      <w:rFonts w:ascii="宋体" w:hAnsi="宋体" w:eastAsia="宋体" w:cs="宋体"/>
      <w:b/>
      <w:bCs/>
      <w:kern w:val="44"/>
      <w:sz w:val="44"/>
      <w:szCs w:val="44"/>
    </w:rPr>
  </w:style>
  <w:style w:type="character" w:customStyle="1" w:styleId="15">
    <w:name w:val="标题 2 Char"/>
    <w:basedOn w:val="12"/>
    <w:link w:val="3"/>
    <w:semiHidden/>
    <w:qFormat/>
    <w:uiPriority w:val="9"/>
    <w:rPr>
      <w:rFonts w:asciiTheme="majorHAnsi" w:hAnsiTheme="majorHAnsi" w:eastAsiaTheme="majorEastAsia" w:cstheme="majorBidi"/>
      <w:b/>
      <w:bCs/>
      <w:sz w:val="32"/>
      <w:szCs w:val="32"/>
    </w:rPr>
  </w:style>
  <w:style w:type="paragraph" w:customStyle="1" w:styleId="16">
    <w:name w:val="WPSOffice手动目录 1"/>
    <w:qFormat/>
    <w:uiPriority w:val="0"/>
    <w:pPr>
      <w:ind w:leftChars="0"/>
    </w:pPr>
    <w:rPr>
      <w:rFonts w:ascii="Times New Roman" w:hAnsi="Times New Roman" w:cs="Times New Roman" w:eastAsiaTheme="minorEastAsia"/>
      <w:sz w:val="20"/>
      <w:szCs w:val="20"/>
    </w:rPr>
  </w:style>
  <w:style w:type="paragraph" w:customStyle="1" w:styleId="17">
    <w:name w:val="图表目录1"/>
    <w:next w:val="1"/>
    <w:qFormat/>
    <w:uiPriority w:val="0"/>
    <w:pPr>
      <w:widowControl w:val="0"/>
      <w:ind w:left="200" w:leftChars="200" w:hanging="200" w:hangingChars="200"/>
      <w:jc w:val="both"/>
    </w:pPr>
    <w:rPr>
      <w:rFonts w:ascii="Calibri" w:hAnsi="Calibri" w:eastAsia="仿宋_GB2312" w:cs="Times New Roman"/>
      <w:kern w:val="2"/>
      <w:sz w:val="32"/>
      <w:szCs w:val="24"/>
      <w:lang w:val="en-US" w:eastAsia="zh-CN" w:bidi="ar-SA"/>
    </w:rPr>
  </w:style>
  <w:style w:type="paragraph" w:customStyle="1" w:styleId="1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9">
    <w:name w:val="四号正文"/>
    <w:basedOn w:val="1"/>
    <w:qFormat/>
    <w:uiPriority w:val="0"/>
    <w:pPr>
      <w:spacing w:line="360" w:lineRule="auto"/>
    </w:pPr>
    <w:rPr>
      <w:rFonts w:ascii="??" w:hAnsi="??" w:eastAsia="宋体"/>
      <w:color w:val="000000"/>
      <w:kern w:val="0"/>
      <w:sz w:val="28"/>
      <w:szCs w:val="21"/>
      <w:lang w:val="zh-CN" w:eastAsia="zh-CN"/>
    </w:rPr>
  </w:style>
  <w:style w:type="character" w:customStyle="1" w:styleId="20">
    <w:name w:val="font101"/>
    <w:basedOn w:val="12"/>
    <w:qFormat/>
    <w:uiPriority w:val="0"/>
    <w:rPr>
      <w:rFonts w:hint="eastAsia" w:ascii="宋体" w:hAnsi="宋体" w:eastAsia="宋体" w:cs="宋体"/>
      <w:color w:val="000000"/>
      <w:sz w:val="24"/>
      <w:szCs w:val="24"/>
      <w:u w:val="none"/>
    </w:rPr>
  </w:style>
  <w:style w:type="character" w:customStyle="1" w:styleId="21">
    <w:name w:val="font111"/>
    <w:basedOn w:val="12"/>
    <w:qFormat/>
    <w:uiPriority w:val="0"/>
    <w:rPr>
      <w:rFonts w:ascii="汉仪细圆B5" w:hAnsi="汉仪细圆B5" w:eastAsia="汉仪细圆B5" w:cs="汉仪细圆B5"/>
      <w:color w:val="000000"/>
      <w:sz w:val="24"/>
      <w:szCs w:val="24"/>
      <w:u w:val="none"/>
    </w:rPr>
  </w:style>
  <w:style w:type="character" w:customStyle="1" w:styleId="22">
    <w:name w:val="font31"/>
    <w:basedOn w:val="12"/>
    <w:qFormat/>
    <w:uiPriority w:val="0"/>
    <w:rPr>
      <w:rFonts w:hint="eastAsia" w:ascii="等线" w:hAnsi="等线" w:eastAsia="等线" w:cs="等线"/>
      <w:b/>
      <w:bCs/>
      <w:color w:val="000000"/>
      <w:sz w:val="22"/>
      <w:szCs w:val="22"/>
      <w:u w:val="none"/>
    </w:rPr>
  </w:style>
  <w:style w:type="character" w:customStyle="1" w:styleId="23">
    <w:name w:val="font21"/>
    <w:basedOn w:val="12"/>
    <w:qFormat/>
    <w:uiPriority w:val="0"/>
    <w:rPr>
      <w:rFonts w:hint="eastAsia" w:ascii="宋体" w:hAnsi="宋体" w:eastAsia="宋体" w:cs="宋体"/>
      <w:b/>
      <w:bCs/>
      <w:color w:val="000000"/>
      <w:sz w:val="22"/>
      <w:szCs w:val="22"/>
      <w:u w:val="none"/>
    </w:rPr>
  </w:style>
  <w:style w:type="character" w:customStyle="1" w:styleId="24">
    <w:name w:val="font01"/>
    <w:basedOn w:val="12"/>
    <w:uiPriority w:val="0"/>
    <w:rPr>
      <w:rFonts w:hint="eastAsia" w:ascii="宋体" w:hAnsi="宋体" w:eastAsia="宋体" w:cs="宋体"/>
      <w:color w:val="000000"/>
      <w:sz w:val="22"/>
      <w:szCs w:val="22"/>
      <w:u w:val="none"/>
    </w:rPr>
  </w:style>
  <w:style w:type="character" w:customStyle="1" w:styleId="25">
    <w:name w:val="font61"/>
    <w:basedOn w:val="12"/>
    <w:qFormat/>
    <w:uiPriority w:val="0"/>
    <w:rPr>
      <w:rFonts w:ascii="汉仪细圆B5" w:hAnsi="汉仪细圆B5" w:eastAsia="汉仪细圆B5" w:cs="汉仪细圆B5"/>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16</Pages>
  <Words>7371</Words>
  <Characters>1277</Characters>
  <Lines>10</Lines>
  <Paragraphs>17</Paragraphs>
  <TotalTime>0</TotalTime>
  <ScaleCrop>false</ScaleCrop>
  <LinksUpToDate>false</LinksUpToDate>
  <CharactersWithSpaces>8631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2023-09-27T08:19:00Z</dcterms:created>
  <dc:creator>dell</dc:creator>
  <cp:lastModifiedBy>玉月冰</cp:lastModifiedBy>
  <dcterms:modified xsi:type="dcterms:W3CDTF">2023-10-16T07:46:57Z</dcterms:modified>
  <dc:title>2022年部门决算公开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A793BB84BA1948CCAE126CA3E341FD85_12</vt:lpwstr>
  </property>
</Properties>
</file>