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none" w:color="auto" w:sz="0" w:space="1"/>
          <w:bottom w:val="none" w:color="FFFFFF" w:sz="0" w:space="13"/>
          <w:right w:val="none" w:color="auto" w:sz="0" w:space="4"/>
        </w:pBdr>
        <w:autoSpaceDE w:val="0"/>
        <w:snapToGrid w:val="0"/>
        <w:spacing w:line="520" w:lineRule="exact"/>
        <w:ind w:firstLine="880" w:firstLineChars="200"/>
        <w:jc w:val="center"/>
        <w:rPr>
          <w:rFonts w:ascii="仿宋_GB2312" w:hAnsi="仿宋_GB2312" w:eastAsia="仿宋_GB2312" w:cs="仿宋_GB2312"/>
          <w:sz w:val="44"/>
          <w:szCs w:val="44"/>
        </w:rPr>
      </w:pPr>
    </w:p>
    <w:p>
      <w:pPr>
        <w:pBdr>
          <w:top w:val="none" w:color="auto" w:sz="0" w:space="1"/>
          <w:bottom w:val="none" w:color="FFFFFF" w:sz="0" w:space="13"/>
          <w:right w:val="none" w:color="auto" w:sz="0" w:space="4"/>
        </w:pBdr>
        <w:autoSpaceDE w:val="0"/>
        <w:snapToGrid w:val="0"/>
        <w:spacing w:line="520" w:lineRule="exact"/>
        <w:ind w:firstLine="602" w:firstLineChars="200"/>
        <w:jc w:val="center"/>
        <w:outlineLvl w:val="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九寨沟县财政局</w:t>
      </w:r>
    </w:p>
    <w:p>
      <w:pPr>
        <w:pBdr>
          <w:top w:val="none" w:color="auto" w:sz="0" w:space="1"/>
          <w:bottom w:val="none" w:color="FFFFFF" w:sz="0" w:space="13"/>
          <w:right w:val="none" w:color="auto" w:sz="0" w:space="4"/>
        </w:pBdr>
        <w:autoSpaceDE w:val="0"/>
        <w:snapToGrid w:val="0"/>
        <w:spacing w:line="520" w:lineRule="exact"/>
        <w:ind w:firstLine="602" w:firstLineChars="200"/>
        <w:jc w:val="center"/>
        <w:outlineLvl w:val="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202</w:t>
      </w:r>
      <w:r>
        <w:rPr>
          <w:rFonts w:hint="eastAsia" w:ascii="仿宋_GB2312" w:hAnsi="仿宋_GB2312" w:eastAsia="仿宋_GB2312" w:cs="仿宋_GB2312"/>
          <w:b/>
          <w:bCs/>
          <w:sz w:val="30"/>
          <w:szCs w:val="30"/>
          <w:lang w:val="en-US" w:eastAsia="zh-CN"/>
        </w:rPr>
        <w:t>5</w:t>
      </w:r>
      <w:r>
        <w:rPr>
          <w:rFonts w:hint="eastAsia" w:ascii="仿宋_GB2312" w:hAnsi="仿宋_GB2312" w:eastAsia="仿宋_GB2312" w:cs="仿宋_GB2312"/>
          <w:b/>
          <w:bCs/>
          <w:sz w:val="30"/>
          <w:szCs w:val="30"/>
        </w:rPr>
        <w:t>年部门预算编制说明</w:t>
      </w:r>
    </w:p>
    <w:p>
      <w:pPr>
        <w:pBdr>
          <w:top w:val="none" w:color="auto" w:sz="0" w:space="1"/>
          <w:bottom w:val="none" w:color="FFFFFF" w:sz="0" w:space="13"/>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p>
    <w:p>
      <w:pPr>
        <w:pBdr>
          <w:top w:val="none" w:color="auto" w:sz="0" w:space="1"/>
          <w:bottom w:val="none" w:color="FFFFFF" w:sz="0" w:space="13"/>
          <w:right w:val="none" w:color="auto" w:sz="0" w:space="4"/>
        </w:pBdr>
        <w:autoSpaceDE w:val="0"/>
        <w:snapToGrid w:val="0"/>
        <w:spacing w:line="520" w:lineRule="exact"/>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shd w:val="clear" w:color="auto" w:fill="FFFFFF"/>
        </w:rPr>
        <w:t>　</w:t>
      </w:r>
      <w:r>
        <w:rPr>
          <w:rFonts w:hint="eastAsia" w:ascii="仿宋_GB2312" w:hAnsi="仿宋_GB2312" w:eastAsia="仿宋_GB2312" w:cs="仿宋_GB2312"/>
          <w:b/>
          <w:bCs/>
          <w:sz w:val="30"/>
          <w:szCs w:val="30"/>
        </w:rPr>
        <w:t>一、基本职能及主要工作</w:t>
      </w:r>
    </w:p>
    <w:p>
      <w:pPr>
        <w:pBdr>
          <w:top w:val="none" w:color="auto" w:sz="0" w:space="1"/>
          <w:bottom w:val="none" w:color="FFFFFF" w:sz="0" w:space="13"/>
          <w:right w:val="none" w:color="auto" w:sz="0" w:space="4"/>
        </w:pBdr>
        <w:autoSpaceDE w:val="0"/>
        <w:snapToGrid w:val="0"/>
        <w:spacing w:line="520" w:lineRule="exact"/>
        <w:outlineLvl w:val="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　（一）主要职能</w:t>
      </w:r>
    </w:p>
    <w:p>
      <w:pPr>
        <w:pBdr>
          <w:top w:val="none" w:color="auto" w:sz="0" w:space="1"/>
          <w:bottom w:val="none" w:color="FFFFFF" w:sz="0" w:space="13"/>
          <w:right w:val="none" w:color="auto" w:sz="0" w:space="4"/>
        </w:pBdr>
        <w:autoSpaceDE w:val="0"/>
        <w:snapToGrid w:val="0"/>
        <w:spacing w:line="520" w:lineRule="exact"/>
        <w:ind w:firstLine="600" w:firstLineChars="200"/>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1.拟订全县财税发展战略、规划、政策和改革方案并组织实施。分析预测宏观经济形势，参与制定宏观经济政策，提出运用财税政策实施宏观调控和综合平衡社会财力的建议。贯彻落实国家与企业的分配政策，完善鼓励公益事业发展的财税政策。</w:t>
      </w:r>
    </w:p>
    <w:p>
      <w:pPr>
        <w:pBdr>
          <w:top w:val="none" w:color="auto" w:sz="0" w:space="1"/>
          <w:bottom w:val="none" w:color="FFFFFF" w:sz="0" w:space="13"/>
          <w:right w:val="none" w:color="auto" w:sz="0" w:space="4"/>
        </w:pBdr>
        <w:autoSpaceDE w:val="0"/>
        <w:snapToGrid w:val="0"/>
        <w:spacing w:line="520" w:lineRule="exact"/>
        <w:ind w:firstLine="600" w:firstLineChars="200"/>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2.贯彻执行财政、税收、财务、会计管理的法律法规和规章。提出全县性财税立法规划建议，按照管理权限管理全县税政事项。</w:t>
      </w:r>
    </w:p>
    <w:p>
      <w:pPr>
        <w:pBdr>
          <w:top w:val="none" w:color="auto" w:sz="0" w:space="1"/>
          <w:bottom w:val="none" w:color="FFFFFF" w:sz="0" w:space="13"/>
          <w:right w:val="none" w:color="auto" w:sz="0" w:space="4"/>
        </w:pBdr>
        <w:autoSpaceDE w:val="0"/>
        <w:snapToGrid w:val="0"/>
        <w:spacing w:line="520" w:lineRule="exact"/>
        <w:ind w:firstLine="600" w:firstLineChars="200"/>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3.负责管理各项财政收支。编制年度县级预决算草案并组织执行。组织制定经费开支标准、定额，审核批复部门（单位）年度预决算。受县政府委托，向县人大及其常委会报告财政预算执行和决算等情况。负责政府投资基金县级财政出资的资产管理。负责县级预决算公开。负责全面实施预算绩效管理。</w:t>
      </w:r>
    </w:p>
    <w:p>
      <w:pPr>
        <w:pBdr>
          <w:top w:val="none" w:color="auto" w:sz="0" w:space="1"/>
          <w:bottom w:val="none" w:color="FFFFFF" w:sz="0" w:space="13"/>
          <w:right w:val="none" w:color="auto" w:sz="0" w:space="4"/>
        </w:pBdr>
        <w:autoSpaceDE w:val="0"/>
        <w:snapToGrid w:val="0"/>
        <w:spacing w:line="520" w:lineRule="exact"/>
        <w:ind w:firstLine="600" w:firstLineChars="200"/>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4.按分工负责政府非税收入管理。负责政府性基金管理，按规定管理行政事业性收费等其他非税收入。管理财政票据。贯彻落实彩票管理政策和有关办法，监管彩票市场，按规定管理彩票基金。</w:t>
      </w:r>
    </w:p>
    <w:p>
      <w:pPr>
        <w:pBdr>
          <w:top w:val="none" w:color="auto" w:sz="0" w:space="1"/>
          <w:bottom w:val="none" w:color="FFFFFF" w:sz="0" w:space="13"/>
          <w:right w:val="none" w:color="auto" w:sz="0" w:space="4"/>
        </w:pBdr>
        <w:autoSpaceDE w:val="0"/>
        <w:snapToGrid w:val="0"/>
        <w:spacing w:line="520" w:lineRule="exact"/>
        <w:ind w:firstLine="600" w:firstLineChars="200"/>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5.组织制定全县国库管理制度、国库集中收付制度，指导和监督国库业务，开展国库现金管理工作。贯彻执行政府财务报告编制办法并组织实施。负责制定政府采购制度并监督管理。</w:t>
      </w:r>
    </w:p>
    <w:p>
      <w:pPr>
        <w:pBdr>
          <w:top w:val="none" w:color="auto" w:sz="0" w:space="1"/>
          <w:bottom w:val="none" w:color="FFFFFF" w:sz="0" w:space="13"/>
          <w:right w:val="none" w:color="auto" w:sz="0" w:space="4"/>
        </w:pBdr>
        <w:autoSpaceDE w:val="0"/>
        <w:snapToGrid w:val="0"/>
        <w:spacing w:line="520" w:lineRule="exact"/>
        <w:ind w:firstLine="600" w:firstLineChars="200"/>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6.贯彻执行地方政府债务管理制度和政策，制定具体管理办法，执行地方政府债余额限额计划，统一管理政府外债，防范财政风险。</w:t>
      </w:r>
    </w:p>
    <w:p>
      <w:pPr>
        <w:pBdr>
          <w:top w:val="none" w:color="auto" w:sz="0" w:space="1"/>
          <w:bottom w:val="none" w:color="FFFFFF" w:sz="0" w:space="13"/>
          <w:right w:val="none" w:color="auto" w:sz="0" w:space="4"/>
        </w:pBdr>
        <w:autoSpaceDE w:val="0"/>
        <w:snapToGrid w:val="0"/>
        <w:spacing w:line="520" w:lineRule="exact"/>
        <w:ind w:firstLine="600" w:firstLineChars="200"/>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7.牵头编制全县国有资产管理情况报告。根据县政府授权，集中统一履行县级国有金融资本出资人职责。制定县级国有金融资本管理制度。拟订全县行政事业单位国有资产管理制度并组织实施。制定需要全县统一规定的开支标准和支出政策。</w:t>
      </w:r>
    </w:p>
    <w:p>
      <w:pPr>
        <w:pBdr>
          <w:top w:val="none" w:color="auto" w:sz="0" w:space="1"/>
          <w:bottom w:val="none" w:color="FFFFFF" w:sz="0" w:space="13"/>
          <w:right w:val="none" w:color="auto" w:sz="0" w:space="4"/>
        </w:pBdr>
        <w:autoSpaceDE w:val="0"/>
        <w:snapToGrid w:val="0"/>
        <w:spacing w:line="520" w:lineRule="exact"/>
        <w:ind w:firstLine="600" w:firstLineChars="200"/>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8.负责审核并汇总编制全县国有资本经营预决算草案。制定国有资本经营预算制度和办法，收取县本级企业国有资本收益。组织实施企业财务制度，负责财政预算内行政事业单位和社会团体的非贸易外汇和财政预算内的国际收支管理。</w:t>
      </w:r>
    </w:p>
    <w:p>
      <w:pPr>
        <w:pBdr>
          <w:top w:val="none" w:color="auto" w:sz="0" w:space="1"/>
          <w:bottom w:val="none" w:color="FFFFFF" w:sz="0" w:space="13"/>
          <w:right w:val="none" w:color="auto" w:sz="0" w:space="4"/>
        </w:pBdr>
        <w:autoSpaceDE w:val="0"/>
        <w:snapToGrid w:val="0"/>
        <w:spacing w:line="520" w:lineRule="exact"/>
        <w:ind w:firstLine="600" w:firstLineChars="200"/>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9.负责审核并汇总编制全县社会保险基金预决算草案，会同有关部门拟订有关资金（基金）财务管理制度，承担社会保险基金财政监管工作。</w:t>
      </w:r>
    </w:p>
    <w:p>
      <w:pPr>
        <w:pBdr>
          <w:top w:val="none" w:color="auto" w:sz="0" w:space="1"/>
          <w:bottom w:val="none" w:color="FFFFFF" w:sz="0" w:space="13"/>
          <w:right w:val="none" w:color="auto" w:sz="0" w:space="4"/>
        </w:pBdr>
        <w:autoSpaceDE w:val="0"/>
        <w:snapToGrid w:val="0"/>
        <w:spacing w:line="520" w:lineRule="exact"/>
        <w:ind w:firstLine="600" w:firstLineChars="200"/>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10.负责办理和监督县级财政的经济发展支出、县级政府性投资项目的财政拨款，负责投资评审管理工作，参与拟订县级基建投资有关政策，执行基建财务管理制度。</w:t>
      </w:r>
    </w:p>
    <w:p>
      <w:pPr>
        <w:pBdr>
          <w:top w:val="none" w:color="auto" w:sz="0" w:space="1"/>
          <w:bottom w:val="none" w:color="FFFFFF" w:sz="0" w:space="13"/>
          <w:right w:val="none" w:color="auto" w:sz="0" w:space="4"/>
        </w:pBdr>
        <w:autoSpaceDE w:val="0"/>
        <w:snapToGrid w:val="0"/>
        <w:spacing w:line="520" w:lineRule="exact"/>
        <w:ind w:firstLine="600" w:firstLineChars="200"/>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11.管理外国政府和国际金融机构贷（赠）款项目的有关业务，参与财经领域的国际交流与合作。</w:t>
      </w:r>
    </w:p>
    <w:p>
      <w:pPr>
        <w:pBdr>
          <w:top w:val="none" w:color="auto" w:sz="0" w:space="1"/>
          <w:bottom w:val="none" w:color="FFFFFF" w:sz="0" w:space="13"/>
          <w:right w:val="none" w:color="auto" w:sz="0" w:space="4"/>
        </w:pBdr>
        <w:autoSpaceDE w:val="0"/>
        <w:snapToGrid w:val="0"/>
        <w:spacing w:line="520" w:lineRule="exact"/>
        <w:ind w:firstLine="600" w:firstLineChars="200"/>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12.负责管理全县会计工作，监督和规范会计行为，组织实施国家统一的会计制度，指导和管理社会审计。依法管理资产评估有关工作。</w:t>
      </w:r>
    </w:p>
    <w:p>
      <w:pPr>
        <w:pBdr>
          <w:top w:val="none" w:color="auto" w:sz="0" w:space="1"/>
          <w:bottom w:val="none" w:color="FFFFFF" w:sz="0" w:space="11"/>
          <w:right w:val="none" w:color="auto" w:sz="0" w:space="4"/>
        </w:pBdr>
        <w:autoSpaceDE w:val="0"/>
        <w:snapToGrid w:val="0"/>
        <w:spacing w:line="520" w:lineRule="exact"/>
        <w:ind w:firstLine="600" w:firstLineChars="200"/>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13.负责职责范围内的安全生产和职业健康、生态环境保护、审批服务便民化等工作。</w:t>
      </w:r>
    </w:p>
    <w:p>
      <w:pPr>
        <w:pBdr>
          <w:top w:val="none" w:color="auto" w:sz="0" w:space="1"/>
          <w:bottom w:val="none" w:color="FFFFFF" w:sz="0" w:space="11"/>
          <w:right w:val="none" w:color="auto" w:sz="0" w:space="4"/>
        </w:pBdr>
        <w:autoSpaceDE w:val="0"/>
        <w:snapToGrid w:val="0"/>
        <w:spacing w:line="520" w:lineRule="exact"/>
        <w:ind w:firstLine="600" w:firstLineChars="200"/>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14.完成县委、县政府交办的其他任务。</w:t>
      </w:r>
    </w:p>
    <w:p>
      <w:pPr>
        <w:pBdr>
          <w:top w:val="none" w:color="auto" w:sz="0" w:space="1"/>
          <w:bottom w:val="none" w:color="FFFFFF" w:sz="0" w:space="11"/>
          <w:right w:val="none" w:color="auto" w:sz="0" w:space="4"/>
        </w:pBdr>
        <w:autoSpaceDE w:val="0"/>
        <w:snapToGrid w:val="0"/>
        <w:spacing w:line="520" w:lineRule="exact"/>
        <w:ind w:firstLine="600" w:firstLineChars="200"/>
        <w:outlineLvl w:val="0"/>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（二）</w:t>
      </w:r>
      <w:r>
        <w:rPr>
          <w:rFonts w:hint="eastAsia" w:ascii="仿宋_GB2312" w:hAnsi="仿宋_GB2312" w:eastAsia="仿宋_GB2312" w:cs="仿宋_GB2312"/>
          <w:b/>
          <w:bCs/>
          <w:sz w:val="30"/>
          <w:szCs w:val="30"/>
        </w:rPr>
        <w:t>202</w:t>
      </w:r>
      <w:r>
        <w:rPr>
          <w:rFonts w:hint="eastAsia" w:ascii="仿宋_GB2312" w:hAnsi="仿宋_GB2312" w:eastAsia="仿宋_GB2312" w:cs="仿宋_GB2312"/>
          <w:b/>
          <w:bCs/>
          <w:sz w:val="30"/>
          <w:szCs w:val="30"/>
          <w:lang w:val="en-US" w:eastAsia="zh-CN"/>
        </w:rPr>
        <w:t>5</w:t>
      </w:r>
      <w:r>
        <w:rPr>
          <w:rFonts w:hint="eastAsia" w:ascii="仿宋_GB2312" w:hAnsi="仿宋_GB2312" w:eastAsia="仿宋_GB2312" w:cs="仿宋_GB2312"/>
          <w:b/>
          <w:bCs/>
          <w:sz w:val="30"/>
          <w:szCs w:val="30"/>
        </w:rPr>
        <w:t>年重点工作</w:t>
      </w:r>
    </w:p>
    <w:p>
      <w:pPr>
        <w:pBdr>
          <w:top w:val="none" w:color="auto" w:sz="0" w:space="1"/>
          <w:bottom w:val="none" w:color="FFFFFF" w:sz="0" w:space="11"/>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202</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年，我们将认真贯彻落实县委、县政府加快建成民族地区绿色发展脱贫奔康典范的决策部署，紧密围绕“十四五”期间财政增长任务，以问题为导向，努力平衡好财政收支矛盾，实现经济社会高质量发展。</w:t>
      </w:r>
    </w:p>
    <w:p>
      <w:pPr>
        <w:pBdr>
          <w:top w:val="none" w:color="auto" w:sz="0" w:space="1"/>
          <w:bottom w:val="none" w:color="FFFFFF" w:sz="0" w:space="11"/>
          <w:right w:val="none" w:color="auto" w:sz="0" w:space="4"/>
        </w:pBdr>
        <w:autoSpaceDE w:val="0"/>
        <w:snapToGrid w:val="0"/>
        <w:spacing w:line="520" w:lineRule="exact"/>
        <w:ind w:firstLine="600" w:firstLineChars="200"/>
        <w:outlineLvl w:val="1"/>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1.“全力以赴”稳定财政运行</w:t>
      </w:r>
    </w:p>
    <w:p>
      <w:pPr>
        <w:pBdr>
          <w:top w:val="none" w:color="auto" w:sz="0" w:space="1"/>
          <w:bottom w:val="none" w:color="FFFFFF" w:sz="0" w:space="11"/>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(1)牢固树立“过紧日子”理念，加大财政资金统筹，从严控制预算调剂事项，除上级重大决策部署外不再安排追加，通过节支改善财政收支平衡状况。</w:t>
      </w:r>
    </w:p>
    <w:p>
      <w:pPr>
        <w:pBdr>
          <w:top w:val="none" w:color="auto" w:sz="0" w:space="1"/>
          <w:bottom w:val="none" w:color="FFFFFF" w:sz="0" w:space="11"/>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(2)加强非税收入管理，积极盘活量资金，进一步缓解财政收支矛盾。</w:t>
      </w:r>
    </w:p>
    <w:p>
      <w:pPr>
        <w:pBdr>
          <w:top w:val="none" w:color="auto" w:sz="0" w:space="1"/>
          <w:bottom w:val="none" w:color="FFFFFF" w:sz="0" w:space="11"/>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(3)积极向上争取因灾减收等补助政策，增强综合财力，确保财政运行可持续。</w:t>
      </w:r>
    </w:p>
    <w:p>
      <w:pPr>
        <w:pBdr>
          <w:top w:val="none" w:color="auto" w:sz="0" w:space="1"/>
          <w:bottom w:val="none" w:color="FFFFFF" w:sz="0" w:space="11"/>
          <w:right w:val="none" w:color="auto" w:sz="0" w:space="4"/>
        </w:pBdr>
        <w:autoSpaceDE w:val="0"/>
        <w:snapToGrid w:val="0"/>
        <w:spacing w:line="520" w:lineRule="exact"/>
        <w:ind w:firstLine="600" w:firstLineChars="200"/>
        <w:outlineLvl w:val="1"/>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2.“多措并举”压减基本支出</w:t>
      </w:r>
    </w:p>
    <w:p>
      <w:pPr>
        <w:pBdr>
          <w:top w:val="none" w:color="auto" w:sz="0" w:space="1"/>
          <w:bottom w:val="none" w:color="FFFFFF" w:sz="0" w:space="11"/>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(4)全面加强日常公用经费和委托业务费支出管理，切实压减非急需、非刚性支出，从严控制临时增加，探索建立预算安排与预算执行、绩效挂钩机制，形成压减一般性支出的长效机制。</w:t>
      </w:r>
    </w:p>
    <w:p>
      <w:pPr>
        <w:pBdr>
          <w:top w:val="none" w:color="auto" w:sz="0" w:space="1"/>
          <w:bottom w:val="none" w:color="FFFFFF" w:sz="0" w:space="11"/>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(5)加强临聘人员支出管理，除公共安全、基本民生领域外，其余人员支出不纳入预算安排，各部门确需聘用的，在本单位公用经费中解决，由此导致公用经费出现缺口的，不再进行追加。</w:t>
      </w:r>
    </w:p>
    <w:p>
      <w:pPr>
        <w:pBdr>
          <w:top w:val="none" w:color="auto" w:sz="0" w:space="1"/>
          <w:bottom w:val="none" w:color="FFFFFF" w:sz="0" w:space="11"/>
          <w:right w:val="none" w:color="auto" w:sz="0" w:space="4"/>
        </w:pBdr>
        <w:autoSpaceDE w:val="0"/>
        <w:snapToGrid w:val="0"/>
        <w:spacing w:line="520" w:lineRule="exact"/>
        <w:ind w:firstLine="600" w:firstLineChars="200"/>
        <w:outlineLvl w:val="1"/>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3.“多管齐下”助推经济发展</w:t>
      </w:r>
    </w:p>
    <w:p>
      <w:pPr>
        <w:pBdr>
          <w:top w:val="none" w:color="auto" w:sz="0" w:space="1"/>
          <w:bottom w:val="none" w:color="FFFFFF" w:sz="0" w:space="11"/>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(6)持续强化“财政+金融”联动服务，继续扩大乡村振兴农业产业融资担保业务，缓解企业融资难融资贵、运行困难等。</w:t>
      </w:r>
    </w:p>
    <w:p>
      <w:pPr>
        <w:pBdr>
          <w:top w:val="none" w:color="auto" w:sz="0" w:space="1"/>
          <w:bottom w:val="none" w:color="FFFFFF" w:sz="0" w:space="11"/>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(7)优化政府采购领域营商环境，持续推进“政采贷”支持中小企业参与政府采购活动。</w:t>
      </w:r>
    </w:p>
    <w:p>
      <w:pPr>
        <w:pBdr>
          <w:top w:val="none" w:color="auto" w:sz="0" w:space="1"/>
          <w:bottom w:val="none" w:color="FFFFFF" w:sz="0" w:space="11"/>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(8)严格政府债券管理制度要求，加快已发行债券使用监管，尽快扩大有效投资，形成对经济的有效拉动。</w:t>
      </w:r>
    </w:p>
    <w:p>
      <w:pPr>
        <w:pBdr>
          <w:top w:val="none" w:color="auto" w:sz="0" w:space="1"/>
          <w:bottom w:val="none" w:color="FFFFFF" w:sz="0" w:space="11"/>
          <w:right w:val="none" w:color="auto" w:sz="0" w:space="4"/>
        </w:pBdr>
        <w:autoSpaceDE w:val="0"/>
        <w:snapToGrid w:val="0"/>
        <w:spacing w:line="520" w:lineRule="exact"/>
        <w:ind w:firstLine="600" w:firstLineChars="200"/>
        <w:outlineLvl w:val="1"/>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4.“驰而不息”推动财政改革</w:t>
      </w:r>
    </w:p>
    <w:p>
      <w:pPr>
        <w:pBdr>
          <w:top w:val="none" w:color="auto" w:sz="0" w:space="1"/>
          <w:bottom w:val="none" w:color="FFFFFF" w:sz="0" w:space="11"/>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(9)有序推进预算管理一体化系统建设，并以预算管理一体化为支撑，撬动财政体制机制各方面改革，提高项目储备、预算编制、预算调整和调剂、资金支付、会计核算、决算和报告等工作的标准化、自动化水平。</w:t>
      </w:r>
    </w:p>
    <w:p>
      <w:pPr>
        <w:pBdr>
          <w:top w:val="none" w:color="auto" w:sz="0" w:space="1"/>
          <w:bottom w:val="none" w:color="FFFFFF" w:sz="0" w:space="11"/>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(10)积极扩大绩效评价范围，加强各领域资金绩效评价，强化对预算编制、预算执行和单位财务会计管理及内控制度等方面的监督检查，确保资金安全运行、有效使用。</w:t>
      </w:r>
    </w:p>
    <w:p>
      <w:pPr>
        <w:pBdr>
          <w:top w:val="none" w:color="auto" w:sz="0" w:space="1"/>
          <w:bottom w:val="none" w:color="FFFFFF" w:sz="0" w:space="11"/>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(11)切实做好防范化解风险工作，紧盯地方政府债务常态化监测系统，有效化解存量，严控新增债务。</w:t>
      </w:r>
    </w:p>
    <w:p>
      <w:pPr>
        <w:pBdr>
          <w:top w:val="none" w:color="auto" w:sz="0" w:space="1"/>
          <w:bottom w:val="none" w:color="FFFFFF" w:sz="0" w:space="11"/>
          <w:right w:val="none" w:color="auto" w:sz="0" w:space="4"/>
        </w:pBdr>
        <w:autoSpaceDE w:val="0"/>
        <w:snapToGrid w:val="0"/>
        <w:spacing w:line="520" w:lineRule="exact"/>
        <w:ind w:firstLine="600" w:firstLineChars="200"/>
        <w:outlineLvl w:val="1"/>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5.“不遗余力”强化财政监督</w:t>
      </w:r>
    </w:p>
    <w:p>
      <w:pPr>
        <w:pBdr>
          <w:top w:val="none" w:color="auto" w:sz="0" w:space="1"/>
          <w:bottom w:val="none" w:color="FFFFFF" w:sz="0" w:space="11"/>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(12)将财政监督融入财政管理全过程，加大对重大财税政策和制度执行、重大财税改革实施和重大财政资金使用情况的监督检查力度。</w:t>
      </w:r>
    </w:p>
    <w:p>
      <w:pPr>
        <w:pBdr>
          <w:top w:val="none" w:color="auto" w:sz="0" w:space="1"/>
          <w:bottom w:val="none" w:color="FFFFFF" w:sz="0" w:space="11"/>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(13)加快内控制度体系建设，推动建立预算编制、执行和监督相互制约、相互协调的财政运行机制。</w:t>
      </w:r>
    </w:p>
    <w:p>
      <w:pPr>
        <w:pBdr>
          <w:top w:val="none" w:color="auto" w:sz="0" w:space="1"/>
          <w:bottom w:val="none" w:color="FFFFFF" w:sz="0" w:space="11"/>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(14)以建设法治财政为目标，抓住财政资金运行全流程监管核心，强化财政投资评审、政府采购、会计管理等管理工作。</w:t>
      </w:r>
    </w:p>
    <w:p>
      <w:pPr>
        <w:pBdr>
          <w:top w:val="none" w:color="auto" w:sz="0" w:space="1"/>
          <w:bottom w:val="none" w:color="FFFFFF" w:sz="0" w:space="11"/>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(15)进一步细化政府预决算和“三公”经费公开内容，扩大公开范围，规范公开方式、完善公开机制，提高预算透明度，广泛接受社会监督。</w:t>
      </w:r>
    </w:p>
    <w:p>
      <w:pPr>
        <w:pBdr>
          <w:top w:val="none" w:color="auto" w:sz="0" w:space="1"/>
          <w:bottom w:val="none" w:color="FFFFFF" w:sz="0" w:space="11"/>
          <w:right w:val="none" w:color="auto" w:sz="0" w:space="4"/>
        </w:pBdr>
        <w:autoSpaceDE w:val="0"/>
        <w:snapToGrid w:val="0"/>
        <w:spacing w:line="520" w:lineRule="exact"/>
        <w:ind w:firstLine="602" w:firstLineChars="200"/>
        <w:rPr>
          <w:rFonts w:hint="eastAsia" w:ascii="仿宋_GB2312" w:hAnsi="仿宋_GB2312" w:eastAsia="仿宋_GB2312" w:cs="仿宋_GB2312"/>
          <w:bCs/>
          <w:sz w:val="30"/>
          <w:szCs w:val="30"/>
        </w:rPr>
      </w:pPr>
      <w:r>
        <w:rPr>
          <w:rFonts w:hint="eastAsia" w:ascii="仿宋_GB2312" w:hAnsi="仿宋_GB2312" w:eastAsia="仿宋_GB2312" w:cs="仿宋_GB2312"/>
          <w:b/>
          <w:bCs/>
          <w:sz w:val="30"/>
          <w:szCs w:val="30"/>
        </w:rPr>
        <w:t>二、部门预算单位构成</w:t>
      </w:r>
      <w:r>
        <w:rPr>
          <w:rFonts w:hint="eastAsia" w:ascii="仿宋_GB2312" w:hAnsi="仿宋_GB2312" w:eastAsia="仿宋_GB2312" w:cs="仿宋_GB2312"/>
          <w:sz w:val="30"/>
          <w:szCs w:val="30"/>
        </w:rPr>
        <w:br w:type="textWrapping"/>
      </w:r>
      <w:r>
        <w:rPr>
          <w:rFonts w:hint="eastAsia" w:ascii="仿宋_GB2312" w:hAnsi="仿宋_GB2312" w:eastAsia="仿宋_GB2312" w:cs="仿宋_GB2312"/>
          <w:sz w:val="30"/>
          <w:szCs w:val="30"/>
        </w:rPr>
        <w:t>　　</w:t>
      </w:r>
      <w:bookmarkStart w:id="0" w:name="OLE_LINK1"/>
      <w:r>
        <w:rPr>
          <w:rFonts w:hint="eastAsia" w:ascii="仿宋_GB2312" w:hAnsi="仿宋_GB2312" w:eastAsia="仿宋_GB2312" w:cs="仿宋_GB2312"/>
          <w:sz w:val="30"/>
          <w:szCs w:val="30"/>
        </w:rPr>
        <w:t>202</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年</w:t>
      </w:r>
      <w:bookmarkEnd w:id="0"/>
      <w:r>
        <w:rPr>
          <w:rFonts w:hint="eastAsia" w:ascii="仿宋_GB2312" w:hAnsi="仿宋_GB2312" w:eastAsia="仿宋_GB2312" w:cs="仿宋_GB2312"/>
          <w:sz w:val="30"/>
          <w:szCs w:val="30"/>
        </w:rPr>
        <w:t>单位批准内设机构编制数10个，派出机构0个。下属二级单位1个，其中行政单位0个，参照公务员法管理的事业单位</w:t>
      </w:r>
      <w:r>
        <w:rPr>
          <w:rFonts w:hint="eastAsia" w:ascii="仿宋_GB2312" w:hAnsi="仿宋_GB2312" w:eastAsia="仿宋_GB2312" w:cs="仿宋_GB2312"/>
          <w:bCs/>
          <w:sz w:val="30"/>
          <w:szCs w:val="30"/>
        </w:rPr>
        <w:t>1</w:t>
      </w:r>
      <w:r>
        <w:rPr>
          <w:rFonts w:hint="eastAsia" w:ascii="仿宋_GB2312" w:hAnsi="仿宋_GB2312" w:eastAsia="仿宋_GB2312" w:cs="仿宋_GB2312"/>
          <w:sz w:val="30"/>
          <w:szCs w:val="30"/>
        </w:rPr>
        <w:t>个，其他事业单位0个。财政供养人员编制为</w:t>
      </w:r>
      <w:r>
        <w:rPr>
          <w:rFonts w:hint="eastAsia" w:ascii="仿宋_GB2312" w:hAnsi="仿宋_GB2312" w:eastAsia="仿宋_GB2312" w:cs="仿宋_GB2312"/>
          <w:sz w:val="30"/>
          <w:szCs w:val="30"/>
          <w:lang w:val="en-US" w:eastAsia="zh-CN"/>
        </w:rPr>
        <w:t>48</w:t>
      </w:r>
      <w:r>
        <w:rPr>
          <w:rFonts w:hint="eastAsia" w:ascii="仿宋_GB2312" w:hAnsi="仿宋_GB2312" w:eastAsia="仿宋_GB2312" w:cs="仿宋_GB2312"/>
          <w:sz w:val="30"/>
          <w:szCs w:val="30"/>
        </w:rPr>
        <w:t>名，其中行政编制18名，行政工勤编制2名，事业编制</w:t>
      </w:r>
      <w:r>
        <w:rPr>
          <w:rFonts w:hint="eastAsia" w:ascii="仿宋_GB2312" w:hAnsi="仿宋_GB2312" w:eastAsia="仿宋_GB2312" w:cs="仿宋_GB2312"/>
          <w:sz w:val="30"/>
          <w:szCs w:val="30"/>
          <w:lang w:val="en-US" w:eastAsia="zh-CN"/>
        </w:rPr>
        <w:t>11</w:t>
      </w:r>
      <w:r>
        <w:rPr>
          <w:rFonts w:hint="eastAsia" w:ascii="仿宋_GB2312" w:hAnsi="仿宋_GB2312" w:eastAsia="仿宋_GB2312" w:cs="仿宋_GB2312"/>
          <w:sz w:val="30"/>
          <w:szCs w:val="30"/>
        </w:rPr>
        <w:t>名；202</w:t>
      </w: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年实际财政供养人员</w:t>
      </w:r>
      <w:r>
        <w:rPr>
          <w:rFonts w:hint="eastAsia" w:ascii="仿宋_GB2312" w:hAnsi="仿宋_GB2312" w:eastAsia="仿宋_GB2312" w:cs="仿宋_GB2312"/>
          <w:sz w:val="30"/>
          <w:szCs w:val="30"/>
          <w:lang w:val="en-US" w:eastAsia="zh-CN"/>
        </w:rPr>
        <w:t>44</w:t>
      </w:r>
      <w:r>
        <w:rPr>
          <w:rFonts w:hint="eastAsia" w:ascii="仿宋_GB2312" w:hAnsi="仿宋_GB2312" w:eastAsia="仿宋_GB2312" w:cs="仿宋_GB2312"/>
          <w:sz w:val="30"/>
          <w:szCs w:val="30"/>
        </w:rPr>
        <w:t>人，其中行政1</w:t>
      </w: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t>人，行政工勤2人，事业</w:t>
      </w:r>
      <w:r>
        <w:rPr>
          <w:rFonts w:hint="eastAsia" w:ascii="仿宋_GB2312" w:hAnsi="仿宋_GB2312" w:eastAsia="仿宋_GB2312" w:cs="仿宋_GB2312"/>
          <w:sz w:val="30"/>
          <w:szCs w:val="30"/>
          <w:lang w:val="en-US" w:eastAsia="zh-CN"/>
        </w:rPr>
        <w:t>10</w:t>
      </w:r>
      <w:r>
        <w:rPr>
          <w:rFonts w:hint="eastAsia" w:ascii="仿宋_GB2312" w:hAnsi="仿宋_GB2312" w:eastAsia="仿宋_GB2312" w:cs="仿宋_GB2312"/>
          <w:sz w:val="30"/>
          <w:szCs w:val="30"/>
        </w:rPr>
        <w:t>人。下属二级单位参公编制2</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人，202</w:t>
      </w: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年年末实际供养人员</w:t>
      </w:r>
      <w:r>
        <w:rPr>
          <w:rFonts w:hint="eastAsia" w:ascii="仿宋_GB2312" w:hAnsi="仿宋_GB2312" w:eastAsia="仿宋_GB2312" w:cs="仿宋_GB2312"/>
          <w:sz w:val="30"/>
          <w:szCs w:val="30"/>
          <w:lang w:val="en-US" w:eastAsia="zh-CN"/>
        </w:rPr>
        <w:t>16</w:t>
      </w:r>
      <w:r>
        <w:rPr>
          <w:rFonts w:hint="eastAsia" w:ascii="仿宋_GB2312" w:hAnsi="仿宋_GB2312" w:eastAsia="仿宋_GB2312" w:cs="仿宋_GB2312"/>
          <w:sz w:val="30"/>
          <w:szCs w:val="30"/>
        </w:rPr>
        <w:t>人。</w:t>
      </w:r>
    </w:p>
    <w:p>
      <w:pPr>
        <w:pBdr>
          <w:top w:val="none" w:color="auto" w:sz="0" w:space="1"/>
          <w:bottom w:val="none" w:color="FFFFFF" w:sz="0" w:space="11"/>
          <w:right w:val="none" w:color="auto" w:sz="0" w:space="4"/>
        </w:pBdr>
        <w:autoSpaceDE w:val="0"/>
        <w:snapToGrid w:val="0"/>
        <w:spacing w:line="520" w:lineRule="exact"/>
        <w:ind w:firstLine="602" w:firstLineChars="20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三、收支预算情况说明</w:t>
      </w:r>
    </w:p>
    <w:p>
      <w:pPr>
        <w:pBdr>
          <w:top w:val="none" w:color="auto" w:sz="0" w:space="1"/>
          <w:bottom w:val="none" w:color="FFFFFF" w:sz="0" w:space="11"/>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bCs/>
          <w:sz w:val="30"/>
          <w:szCs w:val="30"/>
        </w:rPr>
        <w:t>按照综合预算的原则，九寨沟县财政局（本级）所有收入和支出均纳入部门预算管理。收入包括：一般公共预算拨款收入；支出包括：一般公共服务支出、社会保障和就业支出、卫生健康支出、住房保障支出。九寨沟县财政局202</w:t>
      </w:r>
      <w:r>
        <w:rPr>
          <w:rFonts w:hint="eastAsia" w:ascii="仿宋_GB2312" w:hAnsi="仿宋_GB2312" w:eastAsia="仿宋_GB2312" w:cs="仿宋_GB2312"/>
          <w:bCs/>
          <w:sz w:val="30"/>
          <w:szCs w:val="30"/>
          <w:lang w:val="en-US" w:eastAsia="zh-CN"/>
        </w:rPr>
        <w:t>5</w:t>
      </w:r>
      <w:r>
        <w:rPr>
          <w:rFonts w:hint="eastAsia" w:ascii="仿宋_GB2312" w:hAnsi="仿宋_GB2312" w:eastAsia="仿宋_GB2312" w:cs="仿宋_GB2312"/>
          <w:bCs/>
          <w:sz w:val="30"/>
          <w:szCs w:val="30"/>
        </w:rPr>
        <w:t>年收支总预算</w:t>
      </w:r>
      <w:r>
        <w:rPr>
          <w:rFonts w:hint="eastAsia" w:ascii="仿宋_GB2312" w:hAnsi="仿宋_GB2312" w:eastAsia="仿宋_GB2312" w:cs="仿宋_GB2312"/>
          <w:bCs/>
          <w:sz w:val="30"/>
          <w:szCs w:val="30"/>
          <w:lang w:val="en-US" w:eastAsia="zh-CN"/>
        </w:rPr>
        <w:t>1174.49</w:t>
      </w:r>
      <w:r>
        <w:rPr>
          <w:rFonts w:hint="eastAsia" w:ascii="仿宋_GB2312" w:hAnsi="仿宋_GB2312" w:eastAsia="仿宋_GB2312" w:cs="仿宋_GB2312"/>
          <w:bCs/>
          <w:sz w:val="30"/>
          <w:szCs w:val="30"/>
        </w:rPr>
        <w:t>万元。</w:t>
      </w:r>
    </w:p>
    <w:p>
      <w:pPr>
        <w:pStyle w:val="13"/>
        <w:numPr>
          <w:ilvl w:val="1"/>
          <w:numId w:val="1"/>
        </w:numPr>
        <w:pBdr>
          <w:top w:val="none" w:color="auto" w:sz="0" w:space="1"/>
          <w:bottom w:val="none" w:color="FFFFFF" w:sz="0" w:space="13"/>
          <w:right w:val="none" w:color="auto" w:sz="0" w:space="4"/>
        </w:pBdr>
        <w:autoSpaceDE w:val="0"/>
        <w:snapToGrid w:val="0"/>
        <w:spacing w:line="520" w:lineRule="exact"/>
        <w:ind w:left="1920" w:leftChars="0" w:firstLineChars="0"/>
        <w:outlineLvl w:val="0"/>
        <w:rPr>
          <w:rFonts w:hint="eastAsia" w:ascii="仿宋_GB2312" w:hAnsi="仿宋_GB2312" w:eastAsia="仿宋_GB2312" w:cs="仿宋_GB2312"/>
          <w:bCs/>
          <w:sz w:val="30"/>
          <w:szCs w:val="30"/>
        </w:rPr>
      </w:pPr>
      <w:r>
        <w:rPr>
          <w:rFonts w:hint="eastAsia" w:ascii="仿宋_GB2312" w:hAnsi="仿宋_GB2312" w:eastAsia="仿宋_GB2312" w:cs="仿宋_GB2312"/>
          <w:sz w:val="30"/>
          <w:szCs w:val="30"/>
        </w:rPr>
        <w:t>收入预算情况</w:t>
      </w:r>
    </w:p>
    <w:p>
      <w:pPr>
        <w:pBdr>
          <w:top w:val="none" w:color="auto" w:sz="0" w:space="1"/>
          <w:bottom w:val="none" w:color="FFFFFF" w:sz="0" w:space="13"/>
          <w:right w:val="none" w:color="auto" w:sz="0" w:space="4"/>
        </w:pBdr>
        <w:autoSpaceDE w:val="0"/>
        <w:snapToGrid w:val="0"/>
        <w:spacing w:line="520" w:lineRule="exact"/>
        <w:ind w:firstLine="600" w:firstLineChars="200"/>
        <w:rPr>
          <w:rFonts w:hint="eastAsia" w:ascii="仿宋_GB2312" w:hAnsi="仿宋_GB2312" w:eastAsia="仿宋_GB2312" w:cs="仿宋_GB2312"/>
          <w:bCs/>
          <w:sz w:val="30"/>
          <w:szCs w:val="30"/>
        </w:rPr>
      </w:pPr>
      <w:r>
        <w:rPr>
          <w:rFonts w:hint="eastAsia" w:ascii="仿宋_GB2312" w:hAnsi="仿宋_GB2312" w:eastAsia="仿宋_GB2312" w:cs="仿宋_GB2312"/>
          <w:sz w:val="30"/>
          <w:szCs w:val="30"/>
        </w:rPr>
        <w:t>202</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年部门收入预算总额为</w:t>
      </w:r>
      <w:r>
        <w:rPr>
          <w:rFonts w:hint="eastAsia" w:ascii="仿宋_GB2312" w:hAnsi="仿宋_GB2312" w:eastAsia="仿宋_GB2312" w:cs="仿宋_GB2312"/>
          <w:bCs/>
          <w:sz w:val="30"/>
          <w:szCs w:val="30"/>
          <w:lang w:val="en-US" w:eastAsia="zh-CN"/>
        </w:rPr>
        <w:t>1249.49</w:t>
      </w:r>
      <w:r>
        <w:rPr>
          <w:rFonts w:hint="eastAsia" w:ascii="仿宋_GB2312" w:hAnsi="仿宋_GB2312" w:eastAsia="仿宋_GB2312" w:cs="仿宋_GB2312"/>
          <w:sz w:val="30"/>
          <w:szCs w:val="30"/>
        </w:rPr>
        <w:t>万元，202</w:t>
      </w: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年收入预算（本级）</w:t>
      </w:r>
      <w:r>
        <w:rPr>
          <w:rFonts w:hint="eastAsia" w:ascii="仿宋_GB2312" w:hAnsi="仿宋_GB2312" w:eastAsia="仿宋_GB2312" w:cs="仿宋_GB2312"/>
          <w:sz w:val="30"/>
          <w:szCs w:val="30"/>
          <w:lang w:val="en-US" w:eastAsia="zh-CN"/>
        </w:rPr>
        <w:t>1070.05</w:t>
      </w:r>
      <w:r>
        <w:rPr>
          <w:rFonts w:hint="eastAsia" w:ascii="仿宋_GB2312" w:hAnsi="仿宋_GB2312" w:eastAsia="仿宋_GB2312" w:cs="仿宋_GB2312"/>
          <w:sz w:val="30"/>
          <w:szCs w:val="30"/>
        </w:rPr>
        <w:t>万元，较上年</w:t>
      </w:r>
      <w:r>
        <w:rPr>
          <w:rFonts w:hint="eastAsia" w:ascii="仿宋_GB2312" w:hAnsi="仿宋_GB2312" w:eastAsia="仿宋_GB2312" w:cs="仿宋_GB2312"/>
          <w:sz w:val="30"/>
          <w:szCs w:val="30"/>
          <w:lang w:val="en-US" w:eastAsia="zh-CN"/>
        </w:rPr>
        <w:t>增加179.44</w:t>
      </w:r>
      <w:r>
        <w:rPr>
          <w:rFonts w:hint="eastAsia" w:ascii="仿宋_GB2312" w:hAnsi="仿宋_GB2312" w:eastAsia="仿宋_GB2312" w:cs="仿宋_GB2312"/>
          <w:sz w:val="30"/>
          <w:szCs w:val="30"/>
        </w:rPr>
        <w:t>万元，</w:t>
      </w:r>
      <w:r>
        <w:rPr>
          <w:rFonts w:hint="eastAsia" w:ascii="仿宋_GB2312" w:hAnsi="仿宋_GB2312" w:eastAsia="仿宋_GB2312" w:cs="仿宋_GB2312"/>
          <w:sz w:val="30"/>
          <w:szCs w:val="30"/>
          <w:lang w:val="en-US" w:eastAsia="zh-CN"/>
        </w:rPr>
        <w:t>增加16.77</w:t>
      </w:r>
      <w:r>
        <w:rPr>
          <w:rFonts w:hint="eastAsia" w:ascii="仿宋_GB2312" w:hAnsi="仿宋_GB2312" w:eastAsia="仿宋_GB2312" w:cs="仿宋_GB2312"/>
          <w:sz w:val="30"/>
          <w:szCs w:val="30"/>
        </w:rPr>
        <w:t>%；其中：当年财政拨款收入</w:t>
      </w:r>
      <w:r>
        <w:rPr>
          <w:rFonts w:hint="eastAsia" w:ascii="仿宋_GB2312" w:hAnsi="仿宋_GB2312" w:eastAsia="仿宋_GB2312" w:cs="仿宋_GB2312"/>
          <w:bCs/>
          <w:sz w:val="30"/>
          <w:szCs w:val="30"/>
          <w:lang w:val="en-US" w:eastAsia="zh-CN"/>
        </w:rPr>
        <w:t>1174.49</w:t>
      </w:r>
      <w:r>
        <w:rPr>
          <w:rFonts w:hint="eastAsia" w:ascii="仿宋_GB2312" w:hAnsi="仿宋_GB2312" w:eastAsia="仿宋_GB2312" w:cs="仿宋_GB2312"/>
          <w:sz w:val="30"/>
          <w:szCs w:val="30"/>
        </w:rPr>
        <w:t>万元，其他收入0万元，上年结转收入</w:t>
      </w:r>
      <w:r>
        <w:rPr>
          <w:rFonts w:hint="eastAsia" w:ascii="仿宋_GB2312" w:hAnsi="仿宋_GB2312" w:eastAsia="仿宋_GB2312" w:cs="仿宋_GB2312"/>
          <w:sz w:val="30"/>
          <w:szCs w:val="30"/>
          <w:lang w:val="en-US" w:eastAsia="zh-CN"/>
        </w:rPr>
        <w:t>75</w:t>
      </w:r>
      <w:r>
        <w:rPr>
          <w:rFonts w:hint="eastAsia" w:ascii="仿宋_GB2312" w:hAnsi="仿宋_GB2312" w:eastAsia="仿宋_GB2312" w:cs="仿宋_GB2312"/>
          <w:sz w:val="30"/>
          <w:szCs w:val="30"/>
        </w:rPr>
        <w:t>万元。相应安排支出预算</w:t>
      </w:r>
      <w:r>
        <w:rPr>
          <w:rFonts w:hint="eastAsia" w:ascii="仿宋_GB2312" w:hAnsi="仿宋_GB2312" w:eastAsia="仿宋_GB2312" w:cs="仿宋_GB2312"/>
          <w:bCs/>
          <w:sz w:val="30"/>
          <w:szCs w:val="30"/>
          <w:lang w:val="en-US" w:eastAsia="zh-CN"/>
        </w:rPr>
        <w:t>1249.49</w:t>
      </w:r>
      <w:r>
        <w:rPr>
          <w:rFonts w:hint="eastAsia" w:ascii="仿宋_GB2312" w:hAnsi="仿宋_GB2312" w:eastAsia="仿宋_GB2312" w:cs="仿宋_GB2312"/>
          <w:sz w:val="30"/>
          <w:szCs w:val="30"/>
        </w:rPr>
        <w:t>万元。</w:t>
      </w:r>
    </w:p>
    <w:p>
      <w:pPr>
        <w:pBdr>
          <w:top w:val="none" w:color="auto" w:sz="0" w:space="1"/>
          <w:left w:val="none" w:color="auto" w:sz="0" w:space="1"/>
          <w:bottom w:val="none" w:color="FFFFFF" w:sz="0" w:space="13"/>
          <w:right w:val="none" w:color="auto" w:sz="0" w:space="4"/>
        </w:pBdr>
        <w:autoSpaceDE w:val="0"/>
        <w:snapToGrid w:val="0"/>
        <w:spacing w:line="520" w:lineRule="exact"/>
        <w:ind w:firstLine="600" w:firstLineChars="200"/>
        <w:outlineLvl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（二）支出预算情况</w:t>
      </w:r>
    </w:p>
    <w:p>
      <w:pPr>
        <w:pBdr>
          <w:top w:val="none" w:color="auto" w:sz="0" w:space="1"/>
          <w:left w:val="none" w:color="auto" w:sz="0" w:space="1"/>
          <w:bottom w:val="none" w:color="FFFFFF" w:sz="0" w:space="13"/>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九寨沟县财政局202</w:t>
      </w: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年支出预算</w:t>
      </w:r>
      <w:r>
        <w:rPr>
          <w:rFonts w:hint="eastAsia" w:ascii="仿宋_GB2312" w:hAnsi="仿宋_GB2312" w:eastAsia="仿宋_GB2312" w:cs="仿宋_GB2312"/>
          <w:sz w:val="30"/>
          <w:szCs w:val="30"/>
          <w:lang w:val="en-US" w:eastAsia="zh-CN"/>
        </w:rPr>
        <w:t>1070.05</w:t>
      </w:r>
      <w:r>
        <w:rPr>
          <w:rFonts w:hint="eastAsia" w:ascii="仿宋_GB2312" w:hAnsi="仿宋_GB2312" w:eastAsia="仿宋_GB2312" w:cs="仿宋_GB2312"/>
          <w:sz w:val="30"/>
          <w:szCs w:val="30"/>
        </w:rPr>
        <w:t>万元，202</w:t>
      </w:r>
      <w:r>
        <w:rPr>
          <w:rFonts w:hint="eastAsia" w:ascii="仿宋_GB2312" w:hAnsi="仿宋_GB2312" w:eastAsia="仿宋_GB2312" w:cs="仿宋_GB2312"/>
          <w:sz w:val="30"/>
          <w:szCs w:val="30"/>
          <w:lang w:val="en-US" w:eastAsia="zh-CN"/>
        </w:rPr>
        <w:t>5支出预算1249.49万元，</w:t>
      </w:r>
      <w:r>
        <w:rPr>
          <w:rFonts w:hint="eastAsia" w:ascii="仿宋_GB2312" w:hAnsi="仿宋_GB2312" w:eastAsia="仿宋_GB2312" w:cs="仿宋_GB2312"/>
          <w:sz w:val="30"/>
          <w:szCs w:val="30"/>
        </w:rPr>
        <w:t>年较上年</w:t>
      </w:r>
      <w:r>
        <w:rPr>
          <w:rFonts w:hint="eastAsia" w:ascii="仿宋_GB2312" w:hAnsi="仿宋_GB2312" w:eastAsia="仿宋_GB2312" w:cs="仿宋_GB2312"/>
          <w:sz w:val="30"/>
          <w:szCs w:val="30"/>
          <w:lang w:val="en-US" w:eastAsia="zh-CN"/>
        </w:rPr>
        <w:t>增加179.44</w:t>
      </w:r>
      <w:r>
        <w:rPr>
          <w:rFonts w:hint="eastAsia" w:ascii="仿宋_GB2312" w:hAnsi="仿宋_GB2312" w:eastAsia="仿宋_GB2312" w:cs="仿宋_GB2312"/>
          <w:sz w:val="30"/>
          <w:szCs w:val="30"/>
        </w:rPr>
        <w:t>万元，</w:t>
      </w:r>
      <w:r>
        <w:rPr>
          <w:rFonts w:hint="eastAsia" w:ascii="仿宋_GB2312" w:hAnsi="仿宋_GB2312" w:eastAsia="仿宋_GB2312" w:cs="仿宋_GB2312"/>
          <w:sz w:val="30"/>
          <w:szCs w:val="30"/>
          <w:lang w:val="en-US" w:eastAsia="zh-CN"/>
        </w:rPr>
        <w:t>增加16.77</w:t>
      </w:r>
      <w:r>
        <w:rPr>
          <w:rFonts w:hint="eastAsia" w:ascii="仿宋_GB2312" w:hAnsi="仿宋_GB2312" w:eastAsia="仿宋_GB2312" w:cs="仿宋_GB2312"/>
          <w:sz w:val="30"/>
          <w:szCs w:val="30"/>
        </w:rPr>
        <w:t>%。</w:t>
      </w:r>
    </w:p>
    <w:p>
      <w:pPr>
        <w:numPr>
          <w:ilvl w:val="0"/>
          <w:numId w:val="1"/>
        </w:numPr>
        <w:pBdr>
          <w:top w:val="none" w:color="auto" w:sz="0" w:space="1"/>
          <w:left w:val="none" w:color="auto" w:sz="0" w:space="1"/>
          <w:bottom w:val="none" w:color="FFFFFF" w:sz="0" w:space="13"/>
          <w:right w:val="none" w:color="auto" w:sz="0" w:space="4"/>
        </w:pBdr>
        <w:autoSpaceDE w:val="0"/>
        <w:snapToGrid w:val="0"/>
        <w:spacing w:line="520" w:lineRule="exact"/>
        <w:ind w:left="1363" w:leftChars="0" w:hanging="720" w:firstLineChars="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财政拨款收支预算情况说明</w:t>
      </w:r>
    </w:p>
    <w:p>
      <w:pPr>
        <w:numPr>
          <w:ilvl w:val="0"/>
          <w:numId w:val="0"/>
        </w:numPr>
        <w:pBdr>
          <w:top w:val="none" w:color="auto" w:sz="0" w:space="1"/>
          <w:left w:val="none" w:color="auto" w:sz="0" w:space="1"/>
          <w:bottom w:val="none" w:color="FFFFFF" w:sz="0" w:space="13"/>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九寨沟县财政局202</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年财政拨款收支总预算</w:t>
      </w:r>
      <w:r>
        <w:rPr>
          <w:rFonts w:hint="eastAsia" w:ascii="仿宋_GB2312" w:hAnsi="仿宋_GB2312" w:eastAsia="仿宋_GB2312" w:cs="仿宋_GB2312"/>
          <w:sz w:val="30"/>
          <w:szCs w:val="30"/>
          <w:lang w:val="en-US" w:eastAsia="zh-CN"/>
        </w:rPr>
        <w:t>1249.49</w:t>
      </w:r>
      <w:r>
        <w:rPr>
          <w:rFonts w:hint="eastAsia" w:ascii="仿宋_GB2312" w:hAnsi="仿宋_GB2312" w:eastAsia="仿宋_GB2312" w:cs="仿宋_GB2312"/>
          <w:sz w:val="30"/>
          <w:szCs w:val="30"/>
        </w:rPr>
        <w:t>万元。收入包括：本年一般公共预算拨款收入</w:t>
      </w:r>
      <w:r>
        <w:rPr>
          <w:rFonts w:hint="eastAsia" w:ascii="仿宋_GB2312" w:hAnsi="仿宋_GB2312" w:eastAsia="仿宋_GB2312" w:cs="仿宋_GB2312"/>
          <w:bCs/>
          <w:sz w:val="30"/>
          <w:szCs w:val="30"/>
          <w:lang w:val="en-US" w:eastAsia="zh-CN"/>
        </w:rPr>
        <w:t>1174.49</w:t>
      </w:r>
      <w:r>
        <w:rPr>
          <w:rFonts w:hint="eastAsia" w:ascii="仿宋_GB2312" w:hAnsi="仿宋_GB2312" w:eastAsia="仿宋_GB2312" w:cs="仿宋_GB2312"/>
          <w:sz w:val="30"/>
          <w:szCs w:val="30"/>
        </w:rPr>
        <w:t>万元、上年结转一般公共预算拨款收入</w:t>
      </w:r>
      <w:r>
        <w:rPr>
          <w:rFonts w:hint="eastAsia" w:ascii="仿宋_GB2312" w:hAnsi="仿宋_GB2312" w:eastAsia="仿宋_GB2312" w:cs="仿宋_GB2312"/>
          <w:sz w:val="30"/>
          <w:szCs w:val="30"/>
          <w:lang w:val="en-US" w:eastAsia="zh-CN"/>
        </w:rPr>
        <w:t>75万</w:t>
      </w:r>
      <w:r>
        <w:rPr>
          <w:rFonts w:hint="eastAsia" w:ascii="仿宋_GB2312" w:hAnsi="仿宋_GB2312" w:eastAsia="仿宋_GB2312" w:cs="仿宋_GB2312"/>
          <w:sz w:val="30"/>
          <w:szCs w:val="30"/>
        </w:rPr>
        <w:t>元；支出包括：一般公共服务支出</w:t>
      </w:r>
      <w:r>
        <w:rPr>
          <w:rFonts w:hint="eastAsia" w:ascii="仿宋_GB2312" w:hAnsi="仿宋_GB2312" w:eastAsia="仿宋_GB2312" w:cs="仿宋_GB2312"/>
          <w:sz w:val="30"/>
          <w:szCs w:val="30"/>
          <w:lang w:val="en-US" w:eastAsia="zh-CN"/>
        </w:rPr>
        <w:t>966.47</w:t>
      </w:r>
      <w:r>
        <w:rPr>
          <w:rFonts w:hint="eastAsia" w:ascii="仿宋_GB2312" w:hAnsi="仿宋_GB2312" w:eastAsia="仿宋_GB2312" w:cs="仿宋_GB2312"/>
          <w:sz w:val="30"/>
          <w:szCs w:val="30"/>
        </w:rPr>
        <w:t>万元、社会保障和就业支出</w:t>
      </w:r>
      <w:r>
        <w:rPr>
          <w:rFonts w:hint="eastAsia" w:ascii="仿宋_GB2312" w:hAnsi="仿宋_GB2312" w:eastAsia="仿宋_GB2312" w:cs="仿宋_GB2312"/>
          <w:sz w:val="30"/>
          <w:szCs w:val="30"/>
          <w:lang w:val="en-US" w:eastAsia="zh-CN"/>
        </w:rPr>
        <w:t>143.75</w:t>
      </w:r>
      <w:r>
        <w:rPr>
          <w:rFonts w:hint="eastAsia" w:ascii="仿宋_GB2312" w:hAnsi="仿宋_GB2312" w:eastAsia="仿宋_GB2312" w:cs="仿宋_GB2312"/>
          <w:sz w:val="30"/>
          <w:szCs w:val="30"/>
        </w:rPr>
        <w:t>万元、卫生健康支出</w:t>
      </w:r>
      <w:r>
        <w:rPr>
          <w:rFonts w:hint="eastAsia" w:ascii="仿宋_GB2312" w:hAnsi="仿宋_GB2312" w:eastAsia="仿宋_GB2312" w:cs="仿宋_GB2312"/>
          <w:sz w:val="30"/>
          <w:szCs w:val="30"/>
          <w:lang w:val="en-US" w:eastAsia="zh-CN"/>
        </w:rPr>
        <w:t>61.22</w:t>
      </w:r>
      <w:r>
        <w:rPr>
          <w:rFonts w:hint="eastAsia" w:ascii="仿宋_GB2312" w:hAnsi="仿宋_GB2312" w:eastAsia="仿宋_GB2312" w:cs="仿宋_GB2312"/>
          <w:sz w:val="30"/>
          <w:szCs w:val="30"/>
        </w:rPr>
        <w:t>万元、住房保障支出</w:t>
      </w:r>
      <w:r>
        <w:rPr>
          <w:rFonts w:hint="eastAsia" w:ascii="仿宋_GB2312" w:hAnsi="仿宋_GB2312" w:eastAsia="仿宋_GB2312" w:cs="仿宋_GB2312"/>
          <w:sz w:val="30"/>
          <w:szCs w:val="30"/>
          <w:lang w:val="en-US" w:eastAsia="zh-CN"/>
        </w:rPr>
        <w:t>78.05</w:t>
      </w:r>
      <w:r>
        <w:rPr>
          <w:rFonts w:hint="eastAsia" w:ascii="仿宋_GB2312" w:hAnsi="仿宋_GB2312" w:eastAsia="仿宋_GB2312" w:cs="仿宋_GB2312"/>
          <w:sz w:val="30"/>
          <w:szCs w:val="30"/>
        </w:rPr>
        <w:t>万元。</w:t>
      </w:r>
    </w:p>
    <w:p>
      <w:pPr>
        <w:pBdr>
          <w:top w:val="none" w:color="auto" w:sz="0" w:space="1"/>
          <w:bottom w:val="none" w:color="FFFFFF" w:sz="0" w:space="13"/>
          <w:right w:val="none" w:color="auto" w:sz="0" w:space="4"/>
        </w:pBdr>
        <w:autoSpaceDE w:val="0"/>
        <w:snapToGrid w:val="0"/>
        <w:spacing w:line="520" w:lineRule="exact"/>
        <w:ind w:firstLine="602" w:firstLineChars="20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五、一般公共预算当年拨款情况说明</w:t>
      </w:r>
    </w:p>
    <w:p>
      <w:pPr>
        <w:pBdr>
          <w:top w:val="none" w:color="auto" w:sz="0" w:space="1"/>
          <w:bottom w:val="none" w:color="FFFFFF" w:sz="0" w:space="13"/>
          <w:right w:val="none" w:color="auto" w:sz="0" w:space="4"/>
        </w:pBdr>
        <w:autoSpaceDE w:val="0"/>
        <w:snapToGrid w:val="0"/>
        <w:spacing w:line="520" w:lineRule="exact"/>
        <w:ind w:firstLine="600" w:firstLineChars="200"/>
        <w:outlineLvl w:val="0"/>
        <w:rPr>
          <w:rFonts w:hint="eastAsia" w:ascii="仿宋_GB2312" w:hAnsi="仿宋_GB2312" w:eastAsia="仿宋_GB2312" w:cs="仿宋_GB2312"/>
          <w:b/>
          <w:bCs/>
          <w:sz w:val="30"/>
          <w:szCs w:val="30"/>
        </w:rPr>
      </w:pPr>
      <w:r>
        <w:rPr>
          <w:rFonts w:hint="eastAsia" w:ascii="仿宋_GB2312" w:hAnsi="仿宋_GB2312" w:eastAsia="仿宋_GB2312" w:cs="仿宋_GB2312"/>
          <w:sz w:val="30"/>
          <w:szCs w:val="30"/>
        </w:rPr>
        <w:t>（一）一般公共预算当年拨款规模变化情况</w:t>
      </w:r>
    </w:p>
    <w:p>
      <w:pPr>
        <w:pBdr>
          <w:top w:val="none" w:color="auto" w:sz="0" w:space="1"/>
          <w:bottom w:val="none" w:color="FFFFFF" w:sz="0" w:space="13"/>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九寨沟县财政局202</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年一般公共预算当年拨款</w:t>
      </w:r>
      <w:r>
        <w:rPr>
          <w:rFonts w:hint="eastAsia" w:ascii="仿宋_GB2312" w:hAnsi="仿宋_GB2312" w:eastAsia="仿宋_GB2312" w:cs="仿宋_GB2312"/>
          <w:sz w:val="30"/>
          <w:szCs w:val="30"/>
          <w:lang w:val="en-US" w:eastAsia="zh-CN"/>
        </w:rPr>
        <w:t>1249.49</w:t>
      </w:r>
      <w:r>
        <w:rPr>
          <w:rFonts w:hint="eastAsia" w:ascii="仿宋_GB2312" w:hAnsi="仿宋_GB2312" w:eastAsia="仿宋_GB2312" w:cs="仿宋_GB2312"/>
          <w:sz w:val="30"/>
          <w:szCs w:val="30"/>
        </w:rPr>
        <w:t>万元，较上年</w:t>
      </w:r>
      <w:r>
        <w:rPr>
          <w:rFonts w:hint="eastAsia" w:ascii="仿宋_GB2312" w:hAnsi="仿宋_GB2312" w:eastAsia="仿宋_GB2312" w:cs="仿宋_GB2312"/>
          <w:sz w:val="30"/>
          <w:szCs w:val="30"/>
          <w:lang w:val="en-US" w:eastAsia="zh-CN"/>
        </w:rPr>
        <w:t>增加179.44</w:t>
      </w:r>
      <w:r>
        <w:rPr>
          <w:rFonts w:hint="eastAsia" w:ascii="仿宋_GB2312" w:hAnsi="仿宋_GB2312" w:eastAsia="仿宋_GB2312" w:cs="仿宋_GB2312"/>
          <w:sz w:val="30"/>
          <w:szCs w:val="30"/>
        </w:rPr>
        <w:t>万元，</w:t>
      </w:r>
      <w:r>
        <w:rPr>
          <w:rFonts w:hint="eastAsia" w:ascii="仿宋_GB2312" w:hAnsi="仿宋_GB2312" w:eastAsia="仿宋_GB2312" w:cs="仿宋_GB2312"/>
          <w:sz w:val="30"/>
          <w:szCs w:val="30"/>
          <w:lang w:val="en-US" w:eastAsia="zh-CN"/>
        </w:rPr>
        <w:t>增加16.77</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基本支出增加了179.44万元，其中：</w:t>
      </w:r>
      <w:r>
        <w:rPr>
          <w:rFonts w:hint="eastAsia" w:ascii="仿宋_GB2312" w:hAnsi="仿宋_GB2312" w:eastAsia="仿宋_GB2312" w:cs="仿宋_GB2312"/>
          <w:sz w:val="30"/>
          <w:szCs w:val="30"/>
        </w:rPr>
        <w:t>主要是</w:t>
      </w:r>
      <w:r>
        <w:rPr>
          <w:rFonts w:hint="eastAsia" w:ascii="仿宋_GB2312" w:hAnsi="仿宋_GB2312" w:eastAsia="仿宋_GB2312" w:cs="仿宋_GB2312"/>
          <w:sz w:val="30"/>
          <w:szCs w:val="30"/>
          <w:lang w:val="en-US" w:eastAsia="zh-CN"/>
        </w:rPr>
        <w:t>增加人员</w:t>
      </w:r>
      <w:r>
        <w:rPr>
          <w:rFonts w:hint="eastAsia" w:ascii="仿宋_GB2312" w:hAnsi="仿宋_GB2312" w:eastAsia="仿宋_GB2312" w:cs="仿宋_GB2312"/>
          <w:sz w:val="30"/>
          <w:szCs w:val="30"/>
        </w:rPr>
        <w:t>经费</w:t>
      </w:r>
      <w:r>
        <w:rPr>
          <w:rFonts w:hint="eastAsia" w:ascii="仿宋_GB2312" w:hAnsi="仿宋_GB2312" w:eastAsia="仿宋_GB2312" w:cs="仿宋_GB2312"/>
          <w:sz w:val="30"/>
          <w:szCs w:val="30"/>
          <w:lang w:val="en-US" w:eastAsia="zh-CN"/>
        </w:rPr>
        <w:t>78.75</w:t>
      </w:r>
      <w:r>
        <w:rPr>
          <w:rFonts w:hint="eastAsia" w:ascii="仿宋_GB2312" w:hAnsi="仿宋_GB2312" w:eastAsia="仿宋_GB2312" w:cs="仿宋_GB2312"/>
          <w:sz w:val="30"/>
          <w:szCs w:val="30"/>
        </w:rPr>
        <w:t>万元，</w:t>
      </w:r>
      <w:r>
        <w:rPr>
          <w:rFonts w:hint="eastAsia" w:ascii="仿宋_GB2312" w:hAnsi="仿宋_GB2312" w:eastAsia="仿宋_GB2312" w:cs="仿宋_GB2312"/>
          <w:sz w:val="30"/>
          <w:szCs w:val="30"/>
          <w:lang w:val="en-US" w:eastAsia="zh-CN"/>
        </w:rPr>
        <w:t>公用经费14.31万元。项目经费增加了11.38万元，</w:t>
      </w:r>
    </w:p>
    <w:p>
      <w:pPr>
        <w:pBdr>
          <w:top w:val="none" w:color="auto" w:sz="0" w:space="1"/>
          <w:bottom w:val="none" w:color="FFFFFF" w:sz="0" w:space="13"/>
          <w:right w:val="none" w:color="auto" w:sz="0" w:space="4"/>
        </w:pBdr>
        <w:autoSpaceDE w:val="0"/>
        <w:snapToGrid w:val="0"/>
        <w:spacing w:line="520" w:lineRule="exact"/>
        <w:ind w:firstLine="600" w:firstLineChars="200"/>
        <w:outlineLvl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（二）一般公共预算当年拨款结构情况</w:t>
      </w:r>
    </w:p>
    <w:p>
      <w:pPr>
        <w:pBdr>
          <w:top w:val="none" w:color="auto" w:sz="0" w:space="1"/>
          <w:bottom w:val="none" w:color="FFFFFF" w:sz="0" w:space="13"/>
          <w:right w:val="none" w:color="auto" w:sz="0" w:space="4"/>
        </w:pBdr>
        <w:autoSpaceDE w:val="0"/>
        <w:snapToGrid w:val="0"/>
        <w:spacing w:line="520" w:lineRule="exact"/>
        <w:ind w:firstLine="300" w:firstLineChars="1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一般公共服务支出</w:t>
      </w:r>
      <w:r>
        <w:rPr>
          <w:rFonts w:hint="eastAsia" w:ascii="仿宋_GB2312" w:hAnsi="仿宋_GB2312" w:eastAsia="仿宋_GB2312" w:cs="仿宋_GB2312"/>
          <w:sz w:val="30"/>
          <w:szCs w:val="30"/>
          <w:lang w:val="en-US" w:eastAsia="zh-CN"/>
        </w:rPr>
        <w:t>966.47</w:t>
      </w:r>
      <w:r>
        <w:rPr>
          <w:rFonts w:hint="eastAsia" w:ascii="仿宋_GB2312" w:hAnsi="仿宋_GB2312" w:eastAsia="仿宋_GB2312" w:cs="仿宋_GB2312"/>
          <w:sz w:val="30"/>
          <w:szCs w:val="30"/>
        </w:rPr>
        <w:t>万元，占</w:t>
      </w:r>
      <w:r>
        <w:rPr>
          <w:rFonts w:hint="eastAsia" w:ascii="仿宋_GB2312" w:hAnsi="仿宋_GB2312" w:eastAsia="仿宋_GB2312" w:cs="仿宋_GB2312"/>
          <w:sz w:val="30"/>
          <w:szCs w:val="30"/>
          <w:lang w:val="en-US" w:eastAsia="zh-CN"/>
        </w:rPr>
        <w:t>77.34</w:t>
      </w:r>
      <w:r>
        <w:rPr>
          <w:rFonts w:hint="eastAsia" w:ascii="仿宋_GB2312" w:hAnsi="仿宋_GB2312" w:eastAsia="仿宋_GB2312" w:cs="仿宋_GB2312"/>
          <w:sz w:val="30"/>
          <w:szCs w:val="30"/>
        </w:rPr>
        <w:t>%；社会保障和就业支出</w:t>
      </w:r>
      <w:r>
        <w:rPr>
          <w:rFonts w:hint="eastAsia" w:ascii="仿宋_GB2312" w:hAnsi="仿宋_GB2312" w:eastAsia="仿宋_GB2312" w:cs="仿宋_GB2312"/>
          <w:sz w:val="30"/>
          <w:szCs w:val="30"/>
          <w:lang w:val="en-US" w:eastAsia="zh-CN"/>
        </w:rPr>
        <w:t>143.75</w:t>
      </w:r>
      <w:r>
        <w:rPr>
          <w:rFonts w:hint="eastAsia" w:ascii="仿宋_GB2312" w:hAnsi="仿宋_GB2312" w:eastAsia="仿宋_GB2312" w:cs="仿宋_GB2312"/>
          <w:sz w:val="30"/>
          <w:szCs w:val="30"/>
        </w:rPr>
        <w:t>万元，占</w:t>
      </w:r>
      <w:r>
        <w:rPr>
          <w:rFonts w:hint="eastAsia" w:ascii="仿宋_GB2312" w:hAnsi="仿宋_GB2312" w:eastAsia="仿宋_GB2312" w:cs="仿宋_GB2312"/>
          <w:sz w:val="30"/>
          <w:szCs w:val="30"/>
          <w:lang w:val="en-US" w:eastAsia="zh-CN"/>
        </w:rPr>
        <w:t>11.48</w:t>
      </w:r>
      <w:r>
        <w:rPr>
          <w:rFonts w:hint="eastAsia" w:ascii="仿宋_GB2312" w:hAnsi="仿宋_GB2312" w:eastAsia="仿宋_GB2312" w:cs="仿宋_GB2312"/>
          <w:sz w:val="30"/>
          <w:szCs w:val="30"/>
        </w:rPr>
        <w:t>%；卫生健康支出</w:t>
      </w:r>
      <w:r>
        <w:rPr>
          <w:rFonts w:hint="eastAsia" w:ascii="仿宋_GB2312" w:hAnsi="仿宋_GB2312" w:eastAsia="仿宋_GB2312" w:cs="仿宋_GB2312"/>
          <w:sz w:val="30"/>
          <w:szCs w:val="30"/>
          <w:lang w:val="en-US" w:eastAsia="zh-CN"/>
        </w:rPr>
        <w:t>61.22</w:t>
      </w:r>
      <w:r>
        <w:rPr>
          <w:rFonts w:hint="eastAsia" w:ascii="仿宋_GB2312" w:hAnsi="仿宋_GB2312" w:eastAsia="仿宋_GB2312" w:cs="仿宋_GB2312"/>
          <w:sz w:val="30"/>
          <w:szCs w:val="30"/>
        </w:rPr>
        <w:t>万元，占</w:t>
      </w:r>
      <w:r>
        <w:rPr>
          <w:rFonts w:hint="eastAsia" w:ascii="仿宋_GB2312" w:hAnsi="仿宋_GB2312" w:eastAsia="仿宋_GB2312" w:cs="仿宋_GB2312"/>
          <w:sz w:val="30"/>
          <w:szCs w:val="30"/>
          <w:lang w:val="en-US" w:eastAsia="zh-CN"/>
        </w:rPr>
        <w:t>4.9</w:t>
      </w:r>
      <w:r>
        <w:rPr>
          <w:rFonts w:hint="eastAsia" w:ascii="仿宋_GB2312" w:hAnsi="仿宋_GB2312" w:eastAsia="仿宋_GB2312" w:cs="仿宋_GB2312"/>
          <w:sz w:val="30"/>
          <w:szCs w:val="30"/>
        </w:rPr>
        <w:t>%；住房保障支出</w:t>
      </w:r>
      <w:r>
        <w:rPr>
          <w:rFonts w:hint="eastAsia" w:ascii="仿宋_GB2312" w:hAnsi="仿宋_GB2312" w:eastAsia="仿宋_GB2312" w:cs="仿宋_GB2312"/>
          <w:sz w:val="30"/>
          <w:szCs w:val="30"/>
          <w:lang w:val="en-US" w:eastAsia="zh-CN"/>
        </w:rPr>
        <w:t>78.05</w:t>
      </w:r>
      <w:r>
        <w:rPr>
          <w:rFonts w:hint="eastAsia" w:ascii="仿宋_GB2312" w:hAnsi="仿宋_GB2312" w:eastAsia="仿宋_GB2312" w:cs="仿宋_GB2312"/>
          <w:sz w:val="30"/>
          <w:szCs w:val="30"/>
        </w:rPr>
        <w:t>万元，占</w:t>
      </w:r>
      <w:r>
        <w:rPr>
          <w:rFonts w:hint="eastAsia" w:ascii="仿宋_GB2312" w:hAnsi="仿宋_GB2312" w:eastAsia="仿宋_GB2312" w:cs="仿宋_GB2312"/>
          <w:sz w:val="30"/>
          <w:szCs w:val="30"/>
          <w:lang w:val="en-US" w:eastAsia="zh-CN"/>
        </w:rPr>
        <w:t>6.25</w:t>
      </w:r>
      <w:r>
        <w:rPr>
          <w:rFonts w:hint="eastAsia" w:ascii="仿宋_GB2312" w:hAnsi="仿宋_GB2312" w:eastAsia="仿宋_GB2312" w:cs="仿宋_GB2312"/>
          <w:sz w:val="30"/>
          <w:szCs w:val="30"/>
        </w:rPr>
        <w:t>%。</w:t>
      </w:r>
    </w:p>
    <w:p>
      <w:pPr>
        <w:pBdr>
          <w:top w:val="none" w:color="auto" w:sz="0" w:space="1"/>
          <w:bottom w:val="none" w:color="FFFFFF" w:sz="0" w:space="13"/>
          <w:right w:val="none" w:color="auto" w:sz="0" w:space="4"/>
        </w:pBdr>
        <w:autoSpaceDE w:val="0"/>
        <w:snapToGrid w:val="0"/>
        <w:spacing w:line="520" w:lineRule="exact"/>
        <w:ind w:firstLine="300" w:firstLineChars="100"/>
        <w:outlineLvl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（三）一般公共预算当年拨款具体使用情况</w:t>
      </w:r>
    </w:p>
    <w:p>
      <w:pPr>
        <w:pBdr>
          <w:top w:val="none" w:color="auto" w:sz="0" w:space="1"/>
          <w:bottom w:val="none" w:color="FFFFFF" w:sz="0" w:space="13"/>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1.一般公共服务支出：2010601-行政运行，202</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年预算数为</w:t>
      </w:r>
      <w:r>
        <w:rPr>
          <w:rFonts w:hint="eastAsia" w:ascii="仿宋_GB2312" w:hAnsi="仿宋_GB2312" w:eastAsia="仿宋_GB2312" w:cs="仿宋_GB2312"/>
          <w:sz w:val="30"/>
          <w:szCs w:val="30"/>
          <w:lang w:val="en-US" w:eastAsia="zh-CN"/>
        </w:rPr>
        <w:t>966.47</w:t>
      </w:r>
      <w:r>
        <w:rPr>
          <w:rFonts w:hint="eastAsia" w:ascii="仿宋_GB2312" w:hAnsi="仿宋_GB2312" w:eastAsia="仿宋_GB2312" w:cs="仿宋_GB2312"/>
          <w:sz w:val="30"/>
          <w:szCs w:val="30"/>
        </w:rPr>
        <w:t>万元；主要用于：本单位正常运转的基本支出，包括基本工资、津贴补贴、绩效、奖金等人员经费以及办公费、邮电费、差旅费、工会会费、福利费等日常公用经费及项目经费包括金财政网运行维护费、专项监督检查经费等。</w:t>
      </w:r>
    </w:p>
    <w:p>
      <w:pPr>
        <w:pBdr>
          <w:top w:val="none" w:color="auto" w:sz="0" w:space="1"/>
          <w:bottom w:val="none" w:color="FFFFFF" w:sz="0" w:space="13"/>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2.社会保障和就业支出：2080505-机关事业单位基本养老保险缴费支出：202</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年预算数为</w:t>
      </w:r>
      <w:r>
        <w:rPr>
          <w:rFonts w:hint="eastAsia" w:ascii="仿宋_GB2312" w:hAnsi="仿宋_GB2312" w:eastAsia="仿宋_GB2312" w:cs="仿宋_GB2312"/>
          <w:sz w:val="30"/>
          <w:szCs w:val="30"/>
          <w:lang w:val="en-US" w:eastAsia="zh-CN"/>
        </w:rPr>
        <w:t>91.73</w:t>
      </w:r>
      <w:r>
        <w:rPr>
          <w:rFonts w:hint="eastAsia" w:ascii="仿宋_GB2312" w:hAnsi="仿宋_GB2312" w:eastAsia="仿宋_GB2312" w:cs="仿宋_GB2312"/>
          <w:sz w:val="30"/>
          <w:szCs w:val="30"/>
        </w:rPr>
        <w:t>万元，主要用于本单位在职人员养老保险缴费；2080506-机关事业单位职业年金缴费</w:t>
      </w:r>
      <w:r>
        <w:rPr>
          <w:rFonts w:hint="eastAsia" w:ascii="仿宋_GB2312" w:hAnsi="仿宋_GB2312" w:eastAsia="仿宋_GB2312" w:cs="仿宋_GB2312"/>
          <w:sz w:val="30"/>
          <w:szCs w:val="30"/>
          <w:lang w:val="en-US" w:eastAsia="zh-CN"/>
        </w:rPr>
        <w:t>支出</w:t>
      </w:r>
      <w:r>
        <w:rPr>
          <w:rFonts w:hint="eastAsia" w:ascii="仿宋_GB2312" w:hAnsi="仿宋_GB2312" w:eastAsia="仿宋_GB2312" w:cs="仿宋_GB2312"/>
          <w:sz w:val="30"/>
          <w:szCs w:val="30"/>
        </w:rPr>
        <w:t>，202</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年预算数为</w:t>
      </w:r>
      <w:r>
        <w:rPr>
          <w:rFonts w:hint="eastAsia" w:ascii="仿宋_GB2312" w:hAnsi="仿宋_GB2312" w:eastAsia="仿宋_GB2312" w:cs="仿宋_GB2312"/>
          <w:sz w:val="30"/>
          <w:szCs w:val="30"/>
          <w:lang w:val="en-US" w:eastAsia="zh-CN"/>
        </w:rPr>
        <w:t>52.01</w:t>
      </w:r>
      <w:r>
        <w:rPr>
          <w:rFonts w:hint="eastAsia" w:ascii="仿宋_GB2312" w:hAnsi="仿宋_GB2312" w:eastAsia="仿宋_GB2312" w:cs="仿宋_GB2312"/>
          <w:sz w:val="30"/>
          <w:szCs w:val="30"/>
        </w:rPr>
        <w:t>万元，主要用于本单位在职人员职业年金缴费。</w:t>
      </w:r>
    </w:p>
    <w:p>
      <w:pPr>
        <w:pBdr>
          <w:top w:val="none" w:color="auto" w:sz="0" w:space="1"/>
          <w:bottom w:val="none" w:color="FFFFFF" w:sz="0" w:space="13"/>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3.卫生健康支出2101101-行政单位医疗，202</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年预算数为</w:t>
      </w:r>
      <w:r>
        <w:rPr>
          <w:rFonts w:hint="eastAsia" w:ascii="仿宋_GB2312" w:hAnsi="仿宋_GB2312" w:eastAsia="仿宋_GB2312" w:cs="仿宋_GB2312"/>
          <w:sz w:val="30"/>
          <w:szCs w:val="30"/>
          <w:lang w:val="en-US" w:eastAsia="zh-CN"/>
        </w:rPr>
        <w:t>45.51</w:t>
      </w:r>
      <w:r>
        <w:rPr>
          <w:rFonts w:hint="eastAsia" w:ascii="仿宋_GB2312" w:hAnsi="仿宋_GB2312" w:eastAsia="仿宋_GB2312" w:cs="仿宋_GB2312"/>
          <w:sz w:val="30"/>
          <w:szCs w:val="30"/>
        </w:rPr>
        <w:t>万元；2101103-公务员医疗补助，202</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年预算数为</w:t>
      </w:r>
      <w:r>
        <w:rPr>
          <w:rFonts w:hint="eastAsia" w:ascii="仿宋_GB2312" w:hAnsi="仿宋_GB2312" w:eastAsia="仿宋_GB2312" w:cs="仿宋_GB2312"/>
          <w:sz w:val="30"/>
          <w:szCs w:val="30"/>
          <w:lang w:val="en-US" w:eastAsia="zh-CN"/>
        </w:rPr>
        <w:t>15.70</w:t>
      </w:r>
      <w:r>
        <w:rPr>
          <w:rFonts w:hint="eastAsia" w:ascii="仿宋_GB2312" w:hAnsi="仿宋_GB2312" w:eastAsia="仿宋_GB2312" w:cs="仿宋_GB2312"/>
          <w:sz w:val="30"/>
          <w:szCs w:val="30"/>
        </w:rPr>
        <w:t>万元，主要用于：本单位在职职工基本医疗保险、失业保险、工伤保险缴费等支出。</w:t>
      </w:r>
    </w:p>
    <w:p>
      <w:pPr>
        <w:pBdr>
          <w:top w:val="none" w:color="auto" w:sz="0" w:space="1"/>
          <w:bottom w:val="none" w:color="FFFFFF" w:sz="0" w:space="13"/>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4.住房保障支出2210201-住房公积金，202</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年预算数为</w:t>
      </w:r>
      <w:r>
        <w:rPr>
          <w:rFonts w:hint="eastAsia" w:ascii="仿宋_GB2312" w:hAnsi="仿宋_GB2312" w:eastAsia="仿宋_GB2312" w:cs="仿宋_GB2312"/>
          <w:sz w:val="30"/>
          <w:szCs w:val="30"/>
          <w:lang w:val="en-US" w:eastAsia="zh-CN"/>
        </w:rPr>
        <w:t>78.05</w:t>
      </w:r>
      <w:r>
        <w:rPr>
          <w:rFonts w:hint="eastAsia" w:ascii="仿宋_GB2312" w:hAnsi="仿宋_GB2312" w:eastAsia="仿宋_GB2312" w:cs="仿宋_GB2312"/>
          <w:sz w:val="30"/>
          <w:szCs w:val="30"/>
        </w:rPr>
        <w:t>万元，主要用于：本单位在职职工住房公积金支出。</w:t>
      </w:r>
    </w:p>
    <w:p>
      <w:pPr>
        <w:pBdr>
          <w:top w:val="none" w:color="auto" w:sz="0" w:space="1"/>
          <w:bottom w:val="none" w:color="FFFFFF" w:sz="0" w:space="13"/>
          <w:right w:val="none" w:color="auto" w:sz="0" w:space="4"/>
        </w:pBdr>
        <w:autoSpaceDE w:val="0"/>
        <w:snapToGrid w:val="0"/>
        <w:spacing w:line="520" w:lineRule="exact"/>
        <w:ind w:firstLine="301" w:firstLineChars="10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　六、一般公共预算基本支出情况说明</w:t>
      </w:r>
    </w:p>
    <w:p>
      <w:pPr>
        <w:pBdr>
          <w:top w:val="none" w:color="auto" w:sz="0" w:space="1"/>
          <w:bottom w:val="none" w:color="FFFFFF" w:sz="0" w:space="13"/>
          <w:right w:val="none" w:color="auto" w:sz="0" w:space="4"/>
        </w:pBdr>
        <w:autoSpaceDE w:val="0"/>
        <w:snapToGrid w:val="0"/>
        <w:spacing w:line="520" w:lineRule="exact"/>
        <w:ind w:firstLine="300" w:firstLineChars="1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九寨沟县财政局202</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年一般公共预算基本支出</w:t>
      </w:r>
      <w:r>
        <w:rPr>
          <w:rFonts w:hint="eastAsia" w:ascii="仿宋_GB2312" w:hAnsi="仿宋_GB2312" w:eastAsia="仿宋_GB2312" w:cs="仿宋_GB2312"/>
          <w:sz w:val="30"/>
          <w:szCs w:val="30"/>
          <w:lang w:val="en-US" w:eastAsia="zh-CN"/>
        </w:rPr>
        <w:t>944.69</w:t>
      </w:r>
      <w:r>
        <w:rPr>
          <w:rFonts w:hint="eastAsia" w:ascii="仿宋_GB2312" w:hAnsi="仿宋_GB2312" w:eastAsia="仿宋_GB2312" w:cs="仿宋_GB2312"/>
          <w:sz w:val="30"/>
          <w:szCs w:val="30"/>
        </w:rPr>
        <w:t>万元，其中：</w:t>
      </w:r>
    </w:p>
    <w:p>
      <w:pPr>
        <w:pBdr>
          <w:top w:val="none" w:color="auto" w:sz="0" w:space="1"/>
          <w:bottom w:val="none" w:color="FFFFFF" w:sz="0" w:space="13"/>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人员经费</w:t>
      </w:r>
      <w:r>
        <w:rPr>
          <w:rFonts w:hint="eastAsia" w:ascii="仿宋_GB2312" w:hAnsi="仿宋_GB2312" w:eastAsia="仿宋_GB2312" w:cs="仿宋_GB2312"/>
          <w:sz w:val="30"/>
          <w:szCs w:val="30"/>
          <w:lang w:val="en-US" w:eastAsia="zh-CN"/>
        </w:rPr>
        <w:t>879.37</w:t>
      </w:r>
      <w:r>
        <w:rPr>
          <w:rFonts w:hint="eastAsia" w:ascii="仿宋_GB2312" w:hAnsi="仿宋_GB2312" w:eastAsia="仿宋_GB2312" w:cs="仿宋_GB2312"/>
          <w:sz w:val="30"/>
          <w:szCs w:val="30"/>
        </w:rPr>
        <w:t>万元，主要包括：基本工资、津贴补贴、社会保险缴费、绩效工资、机关事业单位基本养老保险缴费、职业年金缴费、其他工资福利支出、住房公积金、其他对个人和家庭的补助支出。</w:t>
      </w:r>
    </w:p>
    <w:p>
      <w:pPr>
        <w:pBdr>
          <w:top w:val="none" w:color="auto" w:sz="0" w:space="1"/>
          <w:bottom w:val="none" w:color="FFFFFF" w:sz="0" w:space="13"/>
          <w:right w:val="none" w:color="auto" w:sz="0" w:space="4"/>
        </w:pBdr>
        <w:autoSpaceDE w:val="0"/>
        <w:snapToGrid w:val="0"/>
        <w:spacing w:line="520" w:lineRule="exact"/>
        <w:ind w:firstLine="300" w:firstLineChars="1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公用经费</w:t>
      </w:r>
      <w:r>
        <w:rPr>
          <w:rFonts w:hint="eastAsia" w:ascii="仿宋_GB2312" w:hAnsi="仿宋_GB2312" w:eastAsia="仿宋_GB2312" w:cs="仿宋_GB2312"/>
          <w:sz w:val="30"/>
          <w:szCs w:val="30"/>
          <w:lang w:val="en-US" w:eastAsia="zh-CN"/>
        </w:rPr>
        <w:t>65.32</w:t>
      </w:r>
      <w:r>
        <w:rPr>
          <w:rFonts w:hint="eastAsia" w:ascii="仿宋_GB2312" w:hAnsi="仿宋_GB2312" w:eastAsia="仿宋_GB2312" w:cs="仿宋_GB2312"/>
          <w:sz w:val="30"/>
          <w:szCs w:val="30"/>
        </w:rPr>
        <w:t>万元，主要包括：办公费、印刷费、邮电费、差旅费、维修（护）费、会议费、培训费、公务接待费、工会经费、福利费、公务用车运行维护费、其他商品和服务支出等。</w:t>
      </w:r>
    </w:p>
    <w:p>
      <w:pPr>
        <w:pBdr>
          <w:top w:val="none" w:color="auto" w:sz="0" w:space="1"/>
          <w:bottom w:val="none" w:color="FFFFFF" w:sz="0" w:space="13"/>
          <w:right w:val="none" w:color="auto" w:sz="0" w:space="4"/>
        </w:pBdr>
        <w:autoSpaceDE w:val="0"/>
        <w:snapToGrid w:val="0"/>
        <w:spacing w:line="520" w:lineRule="exact"/>
        <w:ind w:firstLine="301" w:firstLineChars="10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七、一般公共预算项目支出情况说明</w:t>
      </w:r>
    </w:p>
    <w:p>
      <w:pPr>
        <w:pBdr>
          <w:top w:val="none" w:color="auto" w:sz="0" w:space="1"/>
          <w:bottom w:val="none" w:color="FFFFFF" w:sz="0" w:space="13"/>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九寨沟县财政局202</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年一般公共预算项目支出</w:t>
      </w:r>
      <w:r>
        <w:rPr>
          <w:rFonts w:hint="eastAsia" w:ascii="仿宋_GB2312" w:hAnsi="仿宋_GB2312" w:eastAsia="仿宋_GB2312" w:cs="仿宋_GB2312"/>
          <w:sz w:val="30"/>
          <w:szCs w:val="30"/>
          <w:lang w:val="en-US" w:eastAsia="zh-CN"/>
        </w:rPr>
        <w:t>304.8</w:t>
      </w:r>
      <w:r>
        <w:rPr>
          <w:rFonts w:hint="eastAsia" w:ascii="仿宋_GB2312" w:hAnsi="仿宋_GB2312" w:eastAsia="仿宋_GB2312" w:cs="仿宋_GB2312"/>
          <w:sz w:val="30"/>
          <w:szCs w:val="30"/>
        </w:rPr>
        <w:t>万元，其中：金财网运行维护费</w:t>
      </w:r>
      <w:r>
        <w:rPr>
          <w:rFonts w:hint="eastAsia" w:ascii="仿宋_GB2312" w:hAnsi="仿宋_GB2312" w:eastAsia="仿宋_GB2312" w:cs="仿宋_GB2312"/>
          <w:sz w:val="30"/>
          <w:szCs w:val="30"/>
          <w:lang w:val="en-US" w:eastAsia="zh-CN"/>
        </w:rPr>
        <w:t>40</w:t>
      </w:r>
      <w:r>
        <w:rPr>
          <w:rFonts w:hint="eastAsia" w:ascii="仿宋_GB2312" w:hAnsi="仿宋_GB2312" w:eastAsia="仿宋_GB2312" w:cs="仿宋_GB2312"/>
          <w:sz w:val="30"/>
          <w:szCs w:val="30"/>
        </w:rPr>
        <w:t>万元，全县固定资产、</w:t>
      </w:r>
      <w:r>
        <w:rPr>
          <w:rFonts w:hint="eastAsia" w:ascii="仿宋_GB2312" w:hAnsi="仿宋_GB2312" w:eastAsia="仿宋_GB2312" w:cs="仿宋_GB2312"/>
          <w:sz w:val="30"/>
          <w:szCs w:val="30"/>
          <w:lang w:val="en-US" w:eastAsia="zh-CN"/>
        </w:rPr>
        <w:t>票据服务系统10万元，预算一体化</w:t>
      </w:r>
      <w:r>
        <w:rPr>
          <w:rFonts w:hint="eastAsia" w:ascii="仿宋_GB2312" w:hAnsi="仿宋_GB2312" w:eastAsia="仿宋_GB2312" w:cs="仿宋_GB2312"/>
          <w:sz w:val="30"/>
          <w:szCs w:val="30"/>
        </w:rPr>
        <w:t>软件维护费</w:t>
      </w:r>
      <w:r>
        <w:rPr>
          <w:rFonts w:hint="eastAsia" w:ascii="仿宋_GB2312" w:hAnsi="仿宋_GB2312" w:eastAsia="仿宋_GB2312" w:cs="仿宋_GB2312"/>
          <w:sz w:val="30"/>
          <w:szCs w:val="30"/>
          <w:lang w:val="en-US" w:eastAsia="zh-CN"/>
        </w:rPr>
        <w:t>29.8</w:t>
      </w:r>
      <w:r>
        <w:rPr>
          <w:rFonts w:hint="eastAsia" w:ascii="仿宋_GB2312" w:hAnsi="仿宋_GB2312" w:eastAsia="仿宋_GB2312" w:cs="仿宋_GB2312"/>
          <w:sz w:val="30"/>
          <w:szCs w:val="30"/>
        </w:rPr>
        <w:t>万元，专项监督检查经费</w:t>
      </w:r>
      <w:r>
        <w:rPr>
          <w:rFonts w:hint="eastAsia" w:ascii="仿宋_GB2312" w:hAnsi="仿宋_GB2312" w:eastAsia="仿宋_GB2312" w:cs="仿宋_GB2312"/>
          <w:sz w:val="30"/>
          <w:szCs w:val="30"/>
          <w:lang w:val="en-US" w:eastAsia="zh-CN"/>
        </w:rPr>
        <w:t>80</w:t>
      </w:r>
      <w:r>
        <w:rPr>
          <w:rFonts w:hint="eastAsia" w:ascii="仿宋_GB2312" w:hAnsi="仿宋_GB2312" w:eastAsia="仿宋_GB2312" w:cs="仿宋_GB2312"/>
          <w:sz w:val="30"/>
          <w:szCs w:val="30"/>
        </w:rPr>
        <w:t>万元，</w:t>
      </w:r>
      <w:r>
        <w:rPr>
          <w:rFonts w:hint="eastAsia" w:ascii="仿宋_GB2312" w:hAnsi="仿宋_GB2312" w:eastAsia="仿宋_GB2312" w:cs="仿宋_GB2312"/>
          <w:sz w:val="30"/>
          <w:szCs w:val="30"/>
          <w:lang w:val="en-US" w:eastAsia="zh-CN"/>
        </w:rPr>
        <w:t>财政系统运维29.8万元，省级公务员平时考核试点工作经费20万元，财政系统自身建设75万元，财政干部职工能力提升费用30万元，政府采购一体化平台运营服务费10万元，金融工作经费10万元。</w:t>
      </w:r>
      <w:r>
        <w:rPr>
          <w:rFonts w:hint="eastAsia" w:ascii="仿宋_GB2312" w:hAnsi="仿宋_GB2312" w:eastAsia="仿宋_GB2312" w:cs="仿宋_GB2312"/>
          <w:sz w:val="30"/>
          <w:szCs w:val="30"/>
        </w:rPr>
        <w:t xml:space="preserve"> </w:t>
      </w:r>
    </w:p>
    <w:p>
      <w:pPr>
        <w:pBdr>
          <w:top w:val="none" w:color="auto" w:sz="0" w:space="1"/>
          <w:bottom w:val="none" w:color="FFFFFF" w:sz="0" w:space="13"/>
          <w:right w:val="none" w:color="auto" w:sz="0" w:space="4"/>
        </w:pBdr>
        <w:autoSpaceDE w:val="0"/>
        <w:snapToGrid w:val="0"/>
        <w:spacing w:line="520" w:lineRule="exact"/>
        <w:ind w:firstLine="301" w:firstLineChars="10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八、“三公”经费财政拨款预算安排情况说明</w:t>
      </w:r>
    </w:p>
    <w:p>
      <w:pPr>
        <w:pBdr>
          <w:top w:val="none" w:color="auto" w:sz="0" w:space="1"/>
          <w:bottom w:val="none" w:color="FFFFFF" w:sz="0" w:space="13"/>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九寨沟县财政局202</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年“三公”经费财政拨款预算数</w:t>
      </w:r>
      <w:r>
        <w:rPr>
          <w:rFonts w:hint="eastAsia" w:ascii="仿宋_GB2312" w:hAnsi="仿宋_GB2312" w:eastAsia="仿宋_GB2312" w:cs="仿宋_GB2312"/>
          <w:sz w:val="30"/>
          <w:szCs w:val="30"/>
          <w:lang w:val="en-US" w:eastAsia="zh-CN"/>
        </w:rPr>
        <w:t>32</w:t>
      </w:r>
      <w:r>
        <w:rPr>
          <w:rFonts w:hint="eastAsia" w:ascii="仿宋_GB2312" w:hAnsi="仿宋_GB2312" w:eastAsia="仿宋_GB2312" w:cs="仿宋_GB2312"/>
          <w:sz w:val="30"/>
          <w:szCs w:val="30"/>
        </w:rPr>
        <w:t>元，其中：因公出国（境）经费0万元，公务接待费</w:t>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万元，公务用车购置及运行维护费</w:t>
      </w:r>
      <w:r>
        <w:rPr>
          <w:rFonts w:hint="eastAsia" w:ascii="仿宋_GB2312" w:hAnsi="仿宋_GB2312" w:eastAsia="仿宋_GB2312" w:cs="仿宋_GB2312"/>
          <w:sz w:val="30"/>
          <w:szCs w:val="30"/>
          <w:lang w:val="en-US" w:eastAsia="zh-CN"/>
        </w:rPr>
        <w:t>31</w:t>
      </w:r>
      <w:r>
        <w:rPr>
          <w:rFonts w:hint="eastAsia" w:ascii="仿宋_GB2312" w:hAnsi="仿宋_GB2312" w:eastAsia="仿宋_GB2312" w:cs="仿宋_GB2312"/>
          <w:sz w:val="30"/>
          <w:szCs w:val="30"/>
        </w:rPr>
        <w:t>.00万元。</w:t>
      </w:r>
    </w:p>
    <w:p>
      <w:pPr>
        <w:pBdr>
          <w:top w:val="none" w:color="auto" w:sz="0" w:space="1"/>
          <w:bottom w:val="none" w:color="FFFFFF" w:sz="0" w:space="13"/>
          <w:right w:val="none" w:color="auto" w:sz="0" w:space="4"/>
        </w:pBdr>
        <w:autoSpaceDE w:val="0"/>
        <w:snapToGrid w:val="0"/>
        <w:spacing w:line="520" w:lineRule="exact"/>
        <w:ind w:firstLine="300" w:firstLineChars="1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（一）因公出国（境）经费0万元。</w:t>
      </w:r>
    </w:p>
    <w:p>
      <w:pPr>
        <w:pBdr>
          <w:top w:val="none" w:color="auto" w:sz="0" w:space="1"/>
          <w:bottom w:val="none" w:color="FFFFFF" w:sz="0" w:space="13"/>
          <w:right w:val="none" w:color="auto" w:sz="0" w:space="4"/>
        </w:pBdr>
        <w:autoSpaceDE w:val="0"/>
        <w:snapToGrid w:val="0"/>
        <w:spacing w:line="520" w:lineRule="exact"/>
        <w:ind w:firstLine="300" w:firstLineChars="1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（二）公务接待费</w:t>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万元，</w:t>
      </w:r>
      <w:r>
        <w:rPr>
          <w:rFonts w:hint="eastAsia" w:ascii="仿宋_GB2312" w:hAnsi="仿宋_GB2312" w:eastAsia="仿宋_GB2312" w:cs="仿宋_GB2312"/>
          <w:sz w:val="30"/>
          <w:szCs w:val="30"/>
          <w:lang w:val="en-US" w:eastAsia="zh-CN"/>
        </w:rPr>
        <w:t>与</w:t>
      </w:r>
      <w:r>
        <w:rPr>
          <w:rFonts w:hint="eastAsia" w:ascii="仿宋_GB2312" w:hAnsi="仿宋_GB2312" w:eastAsia="仿宋_GB2312" w:cs="仿宋_GB2312"/>
          <w:sz w:val="30"/>
          <w:szCs w:val="30"/>
        </w:rPr>
        <w:t>202</w:t>
      </w: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年预算</w:t>
      </w:r>
      <w:r>
        <w:rPr>
          <w:rFonts w:hint="eastAsia" w:ascii="仿宋_GB2312" w:hAnsi="仿宋_GB2312" w:eastAsia="仿宋_GB2312" w:cs="仿宋_GB2312"/>
          <w:sz w:val="30"/>
          <w:szCs w:val="30"/>
          <w:lang w:val="en-US" w:eastAsia="zh-CN"/>
        </w:rPr>
        <w:t>持平</w:t>
      </w:r>
      <w:r>
        <w:rPr>
          <w:rFonts w:hint="eastAsia" w:ascii="仿宋_GB2312" w:hAnsi="仿宋_GB2312" w:eastAsia="仿宋_GB2312" w:cs="仿宋_GB2312"/>
          <w:sz w:val="30"/>
          <w:szCs w:val="30"/>
        </w:rPr>
        <w:t>，202</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年公务接待费计划用于执行公务、考察调研、检查指导等公务活动开支的交通费、住宿费、用餐费等。</w:t>
      </w:r>
    </w:p>
    <w:p>
      <w:pPr>
        <w:pBdr>
          <w:top w:val="none" w:color="auto" w:sz="0" w:space="1"/>
          <w:bottom w:val="none" w:color="FFFFFF" w:sz="0" w:space="13"/>
          <w:right w:val="none" w:color="auto" w:sz="0" w:space="4"/>
        </w:pBdr>
        <w:autoSpaceDE w:val="0"/>
        <w:snapToGrid w:val="0"/>
        <w:spacing w:line="520" w:lineRule="exact"/>
        <w:ind w:firstLine="300" w:firstLineChars="1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（三）202</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年安排公务用车运行维护费</w:t>
      </w:r>
      <w:r>
        <w:rPr>
          <w:rFonts w:hint="eastAsia" w:ascii="仿宋_GB2312" w:hAnsi="仿宋_GB2312" w:eastAsia="仿宋_GB2312" w:cs="仿宋_GB2312"/>
          <w:sz w:val="30"/>
          <w:szCs w:val="30"/>
          <w:lang w:val="en-US" w:eastAsia="zh-CN"/>
        </w:rPr>
        <w:t>31</w:t>
      </w:r>
      <w:r>
        <w:rPr>
          <w:rFonts w:hint="eastAsia" w:ascii="仿宋_GB2312" w:hAnsi="仿宋_GB2312" w:eastAsia="仿宋_GB2312" w:cs="仿宋_GB2312"/>
          <w:sz w:val="30"/>
          <w:szCs w:val="30"/>
        </w:rPr>
        <w:t>.00万元，202</w:t>
      </w: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年公务用车</w:t>
      </w:r>
      <w:r>
        <w:rPr>
          <w:rFonts w:hint="eastAsia" w:ascii="仿宋_GB2312" w:hAnsi="仿宋_GB2312" w:eastAsia="仿宋_GB2312" w:cs="仿宋_GB2312"/>
          <w:sz w:val="30"/>
          <w:szCs w:val="30"/>
          <w:lang w:val="en-US" w:eastAsia="zh-CN"/>
        </w:rPr>
        <w:t>26</w:t>
      </w:r>
      <w:r>
        <w:rPr>
          <w:rFonts w:hint="eastAsia" w:ascii="仿宋_GB2312" w:hAnsi="仿宋_GB2312" w:eastAsia="仿宋_GB2312" w:cs="仿宋_GB2312"/>
          <w:sz w:val="30"/>
          <w:szCs w:val="30"/>
        </w:rPr>
        <w:t>.0万元，增加</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.0万元，增加</w:t>
      </w:r>
      <w:r>
        <w:rPr>
          <w:rFonts w:hint="eastAsia" w:ascii="仿宋_GB2312" w:hAnsi="仿宋_GB2312" w:eastAsia="仿宋_GB2312" w:cs="仿宋_GB2312"/>
          <w:sz w:val="30"/>
          <w:szCs w:val="30"/>
          <w:lang w:val="en-US" w:eastAsia="zh-CN"/>
        </w:rPr>
        <w:t>19.23</w:t>
      </w:r>
      <w:r>
        <w:rPr>
          <w:rFonts w:hint="eastAsia" w:ascii="仿宋_GB2312" w:hAnsi="仿宋_GB2312" w:eastAsia="仿宋_GB2312" w:cs="仿宋_GB2312"/>
          <w:sz w:val="30"/>
          <w:szCs w:val="30"/>
        </w:rPr>
        <w:t>%，增加原因车辆</w:t>
      </w:r>
      <w:r>
        <w:rPr>
          <w:rFonts w:hint="eastAsia" w:ascii="仿宋_GB2312" w:hAnsi="仿宋_GB2312" w:eastAsia="仿宋_GB2312" w:cs="仿宋_GB2312"/>
          <w:sz w:val="30"/>
          <w:szCs w:val="30"/>
          <w:lang w:val="en-US" w:eastAsia="zh-CN"/>
        </w:rPr>
        <w:t>增加</w:t>
      </w:r>
      <w:r>
        <w:rPr>
          <w:rFonts w:hint="eastAsia" w:ascii="仿宋_GB2312" w:hAnsi="仿宋_GB2312" w:eastAsia="仿宋_GB2312" w:cs="仿宋_GB2312"/>
          <w:sz w:val="30"/>
          <w:szCs w:val="30"/>
        </w:rPr>
        <w:t>、燃油费涨价，工作业务量增加等，费用主要用于2辆公务用车燃油、过路（桥）、维修、保险等方面支出，主要保障单位日常运转、出差下乡等工作。</w:t>
      </w:r>
    </w:p>
    <w:p>
      <w:pPr>
        <w:pBdr>
          <w:top w:val="none" w:color="auto" w:sz="0" w:space="1"/>
          <w:bottom w:val="none" w:color="FFFFFF" w:sz="0" w:space="13"/>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单位共有公务用车2辆，其中：越野车2辆，警车0辆.摩托车0辆。202</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年安排公务用车运行维护费</w:t>
      </w:r>
      <w:r>
        <w:rPr>
          <w:rFonts w:hint="eastAsia" w:ascii="仿宋_GB2312" w:hAnsi="仿宋_GB2312" w:eastAsia="仿宋_GB2312" w:cs="仿宋_GB2312"/>
          <w:sz w:val="30"/>
          <w:szCs w:val="30"/>
          <w:lang w:val="en-US" w:eastAsia="zh-CN"/>
        </w:rPr>
        <w:t>31</w:t>
      </w:r>
      <w:r>
        <w:rPr>
          <w:rFonts w:hint="eastAsia" w:ascii="仿宋_GB2312" w:hAnsi="仿宋_GB2312" w:eastAsia="仿宋_GB2312" w:cs="仿宋_GB2312"/>
          <w:sz w:val="30"/>
          <w:szCs w:val="30"/>
        </w:rPr>
        <w:t>.00万元。用于2辆公务用车燃油、维修、保险等方面支出。主要保障单位日常运转等工作。</w:t>
      </w:r>
    </w:p>
    <w:p>
      <w:pPr>
        <w:pBdr>
          <w:top w:val="none" w:color="auto" w:sz="0" w:space="1"/>
          <w:bottom w:val="none" w:color="FFFFFF" w:sz="0" w:space="13"/>
          <w:right w:val="none" w:color="auto" w:sz="0" w:space="4"/>
        </w:pBdr>
        <w:autoSpaceDE w:val="0"/>
        <w:snapToGrid w:val="0"/>
        <w:spacing w:line="520" w:lineRule="exact"/>
        <w:ind w:firstLine="602" w:firstLineChars="20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九、政府性基金预算支出情况说明</w:t>
      </w:r>
    </w:p>
    <w:p>
      <w:pPr>
        <w:pBdr>
          <w:top w:val="none" w:color="auto" w:sz="0" w:space="1"/>
          <w:bottom w:val="none" w:color="FFFFFF" w:sz="0" w:space="13"/>
          <w:right w:val="none" w:color="auto" w:sz="0" w:space="4"/>
        </w:pBdr>
        <w:autoSpaceDE w:val="0"/>
        <w:snapToGrid w:val="0"/>
        <w:spacing w:line="520" w:lineRule="exact"/>
        <w:ind w:firstLine="300" w:firstLineChars="1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九寨沟县财政局202</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年没有使用政府性基金预算拨款安排的支出。</w:t>
      </w:r>
    </w:p>
    <w:p>
      <w:pPr>
        <w:pBdr>
          <w:top w:val="none" w:color="auto" w:sz="0" w:space="1"/>
          <w:bottom w:val="none" w:color="FFFFFF" w:sz="0" w:space="13"/>
          <w:right w:val="none" w:color="auto" w:sz="0" w:space="4"/>
        </w:pBdr>
        <w:autoSpaceDE w:val="0"/>
        <w:snapToGrid w:val="0"/>
        <w:spacing w:line="520" w:lineRule="exact"/>
        <w:ind w:firstLine="602" w:firstLineChars="20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十、其他重要事项的情况说明</w:t>
      </w:r>
    </w:p>
    <w:p>
      <w:pPr>
        <w:pBdr>
          <w:top w:val="none" w:color="auto" w:sz="0" w:space="1"/>
          <w:bottom w:val="none" w:color="FFFFFF" w:sz="0" w:space="13"/>
          <w:right w:val="none" w:color="auto" w:sz="0" w:space="4"/>
        </w:pBdr>
        <w:autoSpaceDE w:val="0"/>
        <w:snapToGrid w:val="0"/>
        <w:spacing w:line="520" w:lineRule="exact"/>
        <w:ind w:firstLine="600" w:firstLineChars="200"/>
        <w:rPr>
          <w:rFonts w:hint="eastAsia" w:ascii="仿宋_GB2312" w:hAnsi="仿宋_GB2312" w:eastAsia="仿宋_GB2312" w:cs="仿宋_GB2312"/>
          <w:b/>
          <w:bCs/>
          <w:sz w:val="30"/>
          <w:szCs w:val="30"/>
        </w:rPr>
      </w:pPr>
      <w:r>
        <w:rPr>
          <w:rFonts w:hint="eastAsia" w:ascii="仿宋_GB2312" w:hAnsi="仿宋_GB2312" w:eastAsia="仿宋_GB2312" w:cs="仿宋_GB2312"/>
          <w:sz w:val="30"/>
          <w:szCs w:val="30"/>
        </w:rPr>
        <w:t>（一）机关运行经费</w:t>
      </w:r>
    </w:p>
    <w:p>
      <w:pPr>
        <w:pBdr>
          <w:top w:val="none" w:color="auto" w:sz="0" w:space="1"/>
          <w:bottom w:val="none" w:color="FFFFFF" w:sz="0" w:space="13"/>
          <w:right w:val="none" w:color="auto" w:sz="0" w:space="4"/>
        </w:pBdr>
        <w:autoSpaceDE w:val="0"/>
        <w:snapToGrid w:val="0"/>
        <w:spacing w:line="520" w:lineRule="exact"/>
        <w:ind w:firstLine="600" w:firstLineChars="200"/>
        <w:rPr>
          <w:rFonts w:hint="eastAsia" w:ascii="仿宋_GB2312" w:hAnsi="仿宋_GB2312" w:eastAsia="仿宋_GB2312" w:cs="仿宋_GB2312"/>
          <w:b/>
          <w:bCs/>
          <w:sz w:val="30"/>
          <w:szCs w:val="30"/>
        </w:rPr>
      </w:pPr>
      <w:r>
        <w:rPr>
          <w:rFonts w:hint="eastAsia" w:ascii="仿宋_GB2312" w:hAnsi="仿宋_GB2312" w:eastAsia="仿宋_GB2312" w:cs="仿宋_GB2312"/>
          <w:sz w:val="30"/>
          <w:szCs w:val="30"/>
        </w:rPr>
        <w:t> 202</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年，九寨沟县财政局机关运行经费财政拨款预算为</w:t>
      </w:r>
      <w:r>
        <w:rPr>
          <w:rFonts w:hint="eastAsia" w:ascii="仿宋_GB2312" w:hAnsi="仿宋_GB2312" w:eastAsia="仿宋_GB2312" w:cs="仿宋_GB2312"/>
          <w:sz w:val="30"/>
          <w:szCs w:val="30"/>
          <w:lang w:val="en-US" w:eastAsia="zh-CN"/>
        </w:rPr>
        <w:t>65.32</w:t>
      </w:r>
      <w:r>
        <w:rPr>
          <w:rFonts w:hint="eastAsia" w:ascii="仿宋_GB2312" w:hAnsi="仿宋_GB2312" w:eastAsia="仿宋_GB2312" w:cs="仿宋_GB2312"/>
          <w:sz w:val="30"/>
          <w:szCs w:val="30"/>
        </w:rPr>
        <w:t>万元。</w:t>
      </w:r>
    </w:p>
    <w:p>
      <w:pPr>
        <w:numPr>
          <w:ilvl w:val="0"/>
          <w:numId w:val="2"/>
        </w:numPr>
        <w:pBdr>
          <w:top w:val="none" w:color="auto" w:sz="0" w:space="1"/>
          <w:bottom w:val="none" w:color="FFFFFF" w:sz="0" w:space="13"/>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政府采购情况202</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年，九寨沟县财政局暂时未安排政府采购预算资金。</w:t>
      </w:r>
    </w:p>
    <w:p>
      <w:pPr>
        <w:numPr>
          <w:ilvl w:val="0"/>
          <w:numId w:val="2"/>
        </w:numPr>
        <w:pBdr>
          <w:top w:val="none" w:color="auto" w:sz="0" w:space="1"/>
          <w:bottom w:val="none" w:color="FFFFFF" w:sz="0" w:space="13"/>
          <w:right w:val="none" w:color="auto" w:sz="0" w:space="4"/>
        </w:pBdr>
        <w:autoSpaceDE w:val="0"/>
        <w:snapToGrid w:val="0"/>
        <w:spacing w:line="520" w:lineRule="exact"/>
        <w:ind w:left="0" w:leftChars="0"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国有资产占有使用情况</w:t>
      </w:r>
    </w:p>
    <w:p>
      <w:pPr>
        <w:numPr>
          <w:ilvl w:val="0"/>
          <w:numId w:val="0"/>
        </w:numPr>
        <w:pBdr>
          <w:top w:val="none" w:color="auto" w:sz="0" w:space="1"/>
          <w:bottom w:val="none" w:color="FFFFFF" w:sz="0" w:space="13"/>
          <w:right w:val="none" w:color="auto" w:sz="0" w:space="4"/>
        </w:pBdr>
        <w:autoSpaceDE w:val="0"/>
        <w:snapToGrid w:val="0"/>
        <w:spacing w:line="520" w:lineRule="exact"/>
        <w:ind w:leftChars="200"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截至202</w:t>
      </w: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年底，九寨沟县财政局共有公务用车</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辆，其中，一般公务用车</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辆；无单价50万元以上通用设备及单价100万元以上专用设备。</w:t>
      </w:r>
    </w:p>
    <w:p>
      <w:pPr>
        <w:numPr>
          <w:ilvl w:val="0"/>
          <w:numId w:val="3"/>
        </w:numPr>
        <w:pBdr>
          <w:top w:val="none" w:color="auto" w:sz="0" w:space="1"/>
          <w:left w:val="none" w:color="auto" w:sz="0" w:space="1"/>
          <w:bottom w:val="none" w:color="FFFFFF" w:sz="0" w:space="13"/>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绩效目标情况说明　</w:t>
      </w:r>
    </w:p>
    <w:p>
      <w:pPr>
        <w:numPr>
          <w:ilvl w:val="0"/>
          <w:numId w:val="0"/>
        </w:numPr>
        <w:pBdr>
          <w:top w:val="none" w:color="auto" w:sz="0" w:space="1"/>
          <w:left w:val="none" w:color="auto" w:sz="0" w:space="1"/>
          <w:bottom w:val="none" w:color="FFFFFF" w:sz="0" w:space="13"/>
          <w:right w:val="none" w:color="auto" w:sz="0" w:space="4"/>
        </w:pBdr>
        <w:autoSpaceDE w:val="0"/>
        <w:snapToGrid w:val="0"/>
        <w:spacing w:line="520" w:lineRule="exact"/>
        <w:ind w:firstLine="600" w:firstLineChars="200"/>
        <w:rPr>
          <w:rFonts w:hint="eastAsia" w:ascii="仿宋_GB2312" w:hAnsi="仿宋_GB2312" w:eastAsia="仿宋_GB2312" w:cs="仿宋_GB2312"/>
          <w:b/>
          <w:bCs/>
          <w:sz w:val="30"/>
          <w:szCs w:val="30"/>
        </w:rPr>
      </w:pPr>
      <w:r>
        <w:rPr>
          <w:rFonts w:hint="eastAsia" w:ascii="仿宋_GB2312" w:hAnsi="仿宋_GB2312" w:eastAsia="仿宋_GB2312" w:cs="仿宋_GB2312"/>
          <w:sz w:val="30"/>
          <w:szCs w:val="30"/>
        </w:rPr>
        <w:t>九寨沟县财政局202</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年收支总预算</w:t>
      </w:r>
      <w:r>
        <w:rPr>
          <w:rFonts w:hint="eastAsia" w:ascii="仿宋_GB2312" w:hAnsi="仿宋_GB2312" w:eastAsia="仿宋_GB2312" w:cs="仿宋_GB2312"/>
          <w:bCs/>
          <w:sz w:val="30"/>
          <w:szCs w:val="30"/>
          <w:lang w:val="en-US" w:eastAsia="zh-CN"/>
        </w:rPr>
        <w:t>1249.49</w:t>
      </w:r>
      <w:r>
        <w:rPr>
          <w:rFonts w:hint="eastAsia" w:ascii="仿宋_GB2312" w:hAnsi="仿宋_GB2312" w:eastAsia="仿宋_GB2312" w:cs="仿宋_GB2312"/>
          <w:sz w:val="30"/>
          <w:szCs w:val="30"/>
        </w:rPr>
        <w:t>万元，年度总体目标：正常开展九寨沟县财政局的各项日常工作，重点加强收入征管,完成收入目标任务;加强各项专项资金检查、管理；继续推进财政改革各项改革；保证民生,促进社会事业稳定发展；巩固脱贫攻坚成效,大力推进乡村振兴；加强财政队伍建设、内部管理、机关管理，确保干部、资金、机关安全等工作。</w:t>
      </w:r>
    </w:p>
    <w:p>
      <w:pPr>
        <w:pBdr>
          <w:top w:val="none" w:color="auto" w:sz="0" w:space="1"/>
          <w:bottom w:val="none" w:color="FFFFFF" w:sz="0" w:space="13"/>
          <w:right w:val="none" w:color="auto" w:sz="0" w:space="4"/>
        </w:pBdr>
        <w:autoSpaceDE w:val="0"/>
        <w:snapToGrid w:val="0"/>
        <w:spacing w:line="520" w:lineRule="exact"/>
        <w:ind w:firstLine="602" w:firstLineChars="200"/>
        <w:rPr>
          <w:rFonts w:hint="eastAsia" w:ascii="仿宋_GB2312" w:hAnsi="仿宋_GB2312" w:eastAsia="仿宋_GB2312" w:cs="仿宋_GB2312"/>
          <w:b/>
          <w:bCs/>
          <w:sz w:val="30"/>
          <w:szCs w:val="30"/>
        </w:rPr>
      </w:pPr>
    </w:p>
    <w:p>
      <w:pPr>
        <w:pBdr>
          <w:top w:val="none" w:color="auto" w:sz="0" w:space="1"/>
          <w:bottom w:val="none" w:color="FFFFFF" w:sz="0" w:space="13"/>
          <w:right w:val="none" w:color="auto" w:sz="0" w:space="4"/>
        </w:pBdr>
        <w:autoSpaceDE w:val="0"/>
        <w:snapToGrid w:val="0"/>
        <w:spacing w:line="520" w:lineRule="exact"/>
        <w:ind w:firstLine="602" w:firstLineChars="200"/>
        <w:rPr>
          <w:rFonts w:hint="eastAsia" w:ascii="仿宋_GB2312" w:hAnsi="仿宋_GB2312" w:eastAsia="仿宋_GB2312" w:cs="仿宋_GB2312"/>
          <w:b/>
          <w:bCs/>
          <w:sz w:val="30"/>
          <w:szCs w:val="30"/>
        </w:rPr>
      </w:pPr>
    </w:p>
    <w:p>
      <w:pPr>
        <w:pBdr>
          <w:top w:val="none" w:color="auto" w:sz="0" w:space="1"/>
          <w:bottom w:val="none" w:color="FFFFFF" w:sz="0" w:space="13"/>
          <w:right w:val="none" w:color="auto" w:sz="0" w:space="4"/>
        </w:pBdr>
        <w:autoSpaceDE w:val="0"/>
        <w:snapToGrid w:val="0"/>
        <w:spacing w:line="520" w:lineRule="exact"/>
        <w:ind w:firstLine="602" w:firstLineChars="200"/>
        <w:rPr>
          <w:rFonts w:hint="eastAsia" w:ascii="仿宋_GB2312" w:hAnsi="仿宋_GB2312" w:eastAsia="仿宋_GB2312" w:cs="仿宋_GB2312"/>
          <w:b/>
          <w:bCs/>
          <w:sz w:val="30"/>
          <w:szCs w:val="30"/>
        </w:rPr>
      </w:pPr>
    </w:p>
    <w:p>
      <w:pPr>
        <w:pBdr>
          <w:top w:val="none" w:color="auto" w:sz="0" w:space="1"/>
          <w:bottom w:val="none" w:color="FFFFFF" w:sz="0" w:space="13"/>
          <w:right w:val="none" w:color="auto" w:sz="0" w:space="4"/>
        </w:pBdr>
        <w:autoSpaceDE w:val="0"/>
        <w:snapToGrid w:val="0"/>
        <w:spacing w:line="520" w:lineRule="exact"/>
        <w:ind w:firstLine="602" w:firstLineChars="200"/>
        <w:rPr>
          <w:rFonts w:hint="eastAsia" w:ascii="仿宋_GB2312" w:hAnsi="仿宋_GB2312" w:eastAsia="仿宋_GB2312" w:cs="仿宋_GB2312"/>
          <w:b/>
          <w:bCs/>
          <w:sz w:val="30"/>
          <w:szCs w:val="30"/>
        </w:rPr>
      </w:pPr>
    </w:p>
    <w:p>
      <w:pPr>
        <w:pBdr>
          <w:top w:val="none" w:color="auto" w:sz="0" w:space="1"/>
          <w:bottom w:val="none" w:color="FFFFFF" w:sz="0" w:space="13"/>
          <w:right w:val="none" w:color="auto" w:sz="0" w:space="4"/>
        </w:pBdr>
        <w:autoSpaceDE w:val="0"/>
        <w:snapToGrid w:val="0"/>
        <w:spacing w:line="520" w:lineRule="exact"/>
        <w:ind w:firstLine="602" w:firstLineChars="200"/>
        <w:rPr>
          <w:rFonts w:hint="eastAsia" w:ascii="仿宋_GB2312" w:hAnsi="仿宋_GB2312" w:eastAsia="仿宋_GB2312" w:cs="仿宋_GB2312"/>
          <w:b/>
          <w:bCs/>
          <w:sz w:val="30"/>
          <w:szCs w:val="30"/>
        </w:rPr>
      </w:pPr>
    </w:p>
    <w:p>
      <w:pPr>
        <w:numPr>
          <w:ilvl w:val="0"/>
          <w:numId w:val="4"/>
        </w:numPr>
        <w:pBdr>
          <w:top w:val="none" w:color="auto" w:sz="0" w:space="1"/>
          <w:bottom w:val="none" w:color="FFFFFF" w:sz="0" w:space="13"/>
          <w:right w:val="none" w:color="auto" w:sz="0" w:space="4"/>
        </w:pBdr>
        <w:autoSpaceDE w:val="0"/>
        <w:snapToGrid w:val="0"/>
        <w:spacing w:line="520" w:lineRule="exact"/>
        <w:ind w:firstLine="602" w:firstLineChars="20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名词解释</w:t>
      </w:r>
    </w:p>
    <w:p>
      <w:pPr>
        <w:numPr>
          <w:ilvl w:val="0"/>
          <w:numId w:val="5"/>
        </w:numPr>
        <w:pBdr>
          <w:top w:val="none" w:color="auto" w:sz="0" w:space="1"/>
          <w:bottom w:val="none" w:color="FFFFFF" w:sz="0" w:space="13"/>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一般公共预算拨款收入：指县级财政当年拨付的资金。</w:t>
      </w:r>
    </w:p>
    <w:p>
      <w:pPr>
        <w:numPr>
          <w:ilvl w:val="0"/>
          <w:numId w:val="5"/>
        </w:numPr>
        <w:pBdr>
          <w:top w:val="none" w:color="auto" w:sz="0" w:space="1"/>
          <w:bottom w:val="none" w:color="FFFFFF" w:sz="0" w:space="13"/>
          <w:right w:val="none" w:color="auto" w:sz="0" w:space="4"/>
        </w:pBdr>
        <w:autoSpaceDE w:val="0"/>
        <w:snapToGrid w:val="0"/>
        <w:spacing w:line="520" w:lineRule="exact"/>
        <w:ind w:left="0" w:leftChars="0"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上年结转：指以前年度尚未完成，结转到本年仍按原规定用途继续使用的资金。</w:t>
      </w:r>
    </w:p>
    <w:p>
      <w:pPr>
        <w:numPr>
          <w:ilvl w:val="0"/>
          <w:numId w:val="5"/>
        </w:numPr>
        <w:pBdr>
          <w:top w:val="none" w:color="auto" w:sz="0" w:space="1"/>
          <w:bottom w:val="none" w:color="FFFFFF" w:sz="0" w:space="13"/>
          <w:right w:val="none" w:color="auto" w:sz="0" w:space="4"/>
        </w:pBdr>
        <w:autoSpaceDE w:val="0"/>
        <w:snapToGrid w:val="0"/>
        <w:spacing w:line="520" w:lineRule="exact"/>
        <w:ind w:left="0" w:leftChars="0"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一般公共服务支出（201）：反映政府提供一般公共服务支出；20106-财政事务，反映财政事务方面的支出；2010601-行政运行，反映行政单位（包括实行公务员管理的事业单位）的基本支出； 2010602-一般行政管理事务，反映行政单位（包括实行公务员管理的事业单位）未单独设置项级科目的其他项目支出；2010608-财政委托业务支出，反映财政委托业务支出，反映财政委托评审机构进行财政投资评审和委托建设银行等机构代理业务发生的支出；2010699-其他财政事务支出，反映除上述项目以外其他财政事务方面的支出。</w:t>
      </w:r>
    </w:p>
    <w:p>
      <w:pPr>
        <w:numPr>
          <w:ilvl w:val="0"/>
          <w:numId w:val="5"/>
        </w:numPr>
        <w:pBdr>
          <w:top w:val="none" w:color="auto" w:sz="0" w:space="1"/>
          <w:bottom w:val="none" w:color="FFFFFF" w:sz="0" w:space="13"/>
          <w:right w:val="none" w:color="auto" w:sz="0" w:space="4"/>
        </w:pBdr>
        <w:autoSpaceDE w:val="0"/>
        <w:snapToGrid w:val="0"/>
        <w:spacing w:line="520" w:lineRule="exact"/>
        <w:ind w:left="0" w:leftChars="0"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社会保障和就业支出（208）：反映政府在社会保障方面与就业方面的支出；2080505-机关事业单位基本养老保险缴费支出：反映机关事业单位实施养老保险制度并由单位缴纳的基本养老保险费支出； 2080506-机关事业单位职业年金缴费支出：反映机关事业单位实施养老保险制度由单位实际缴费的职业年金支出。 </w:t>
      </w:r>
    </w:p>
    <w:p>
      <w:pPr>
        <w:numPr>
          <w:ilvl w:val="0"/>
          <w:numId w:val="0"/>
        </w:numPr>
        <w:pBdr>
          <w:top w:val="none" w:color="auto" w:sz="0" w:space="1"/>
          <w:bottom w:val="none" w:color="FFFFFF" w:sz="0" w:space="13"/>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卫生健康支出(210)：反映政府卫生健康方面的支出；2101101-行政单位医疗：反映财政部门安排的行政单位（包括公务员管理的事业单位）基本医疗保险缴费、未参加医疗保险的行政单位的公费医疗经费，按国家规定享受离休人员、红军老战士待遇人员的医疗经费；2101103-公务员医疗补助：反映财政部门安排的公务员医疗补助经费。</w:t>
      </w:r>
    </w:p>
    <w:p>
      <w:pPr>
        <w:pBdr>
          <w:top w:val="none" w:color="auto" w:sz="0" w:space="1"/>
          <w:left w:val="none" w:color="auto" w:sz="0" w:space="1"/>
          <w:bottom w:val="none" w:color="FFFFFF" w:sz="0" w:space="13"/>
          <w:right w:val="none" w:color="auto" w:sz="0" w:space="4"/>
        </w:pBdr>
        <w:autoSpaceDE w:val="0"/>
        <w:snapToGrid w:val="0"/>
        <w:spacing w:line="520" w:lineRule="exact"/>
        <w:ind w:firstLine="300" w:firstLineChars="1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6.住房保障支出（221）：集中反映政府用于住房方面支出；2210201-住房公积金，反映行政事业单位按人力资源和社会保障部、财政部规定的基本工资和津贴以及规定比例为职工缴纳的住房公积金。</w:t>
      </w:r>
    </w:p>
    <w:p>
      <w:pPr>
        <w:pBdr>
          <w:top w:val="none" w:color="auto" w:sz="0" w:space="1"/>
          <w:left w:val="none" w:color="auto" w:sz="0" w:space="1"/>
          <w:bottom w:val="none" w:color="FFFFFF" w:sz="0" w:space="13"/>
          <w:right w:val="none" w:color="auto" w:sz="0" w:space="4"/>
        </w:pBdr>
        <w:autoSpaceDE w:val="0"/>
        <w:snapToGrid w:val="0"/>
        <w:spacing w:line="520" w:lineRule="exact"/>
        <w:ind w:firstLine="300" w:firstLineChars="1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7.基本支出：指为保证机构正常运转，完成日常工作任务而发生的人员支出和公用支出。</w:t>
      </w:r>
    </w:p>
    <w:p>
      <w:pPr>
        <w:pBdr>
          <w:top w:val="none" w:color="auto" w:sz="0" w:space="1"/>
          <w:left w:val="none" w:color="auto" w:sz="0" w:space="1"/>
          <w:bottom w:val="none" w:color="FFFFFF" w:sz="0" w:space="13"/>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8.项目支出：指在基本支出之外为完成特定行政任务和事业发展目标所发生的支出。</w:t>
      </w:r>
    </w:p>
    <w:p>
      <w:pPr>
        <w:pBdr>
          <w:top w:val="none" w:color="auto" w:sz="0" w:space="1"/>
          <w:left w:val="none" w:color="auto" w:sz="0" w:space="1"/>
          <w:bottom w:val="none" w:color="FFFFFF" w:sz="0" w:space="13"/>
          <w:right w:val="none" w:color="auto" w:sz="0" w:space="4"/>
        </w:pBdr>
        <w:autoSpaceDE w:val="0"/>
        <w:snapToGrid w:val="0"/>
        <w:spacing w:line="520" w:lineRule="exact"/>
        <w:ind w:firstLine="300" w:firstLineChars="1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9.“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Bdr>
          <w:top w:val="none" w:color="auto" w:sz="0" w:space="1"/>
          <w:left w:val="none" w:color="auto" w:sz="0" w:space="1"/>
          <w:bottom w:val="none" w:color="FFFFFF" w:sz="0" w:space="13"/>
          <w:right w:val="none" w:color="auto" w:sz="0" w:space="4"/>
        </w:pBdr>
        <w:autoSpaceDE w:val="0"/>
        <w:snapToGrid w:val="0"/>
        <w:spacing w:line="5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10．机关运行经费：为保障行政单位（包含参照公务员法管理的事业单位）运行用于购买货物和服务的各项资金。包括办公及印刷费、邮电费、差旅费、会议费一般设备购置费等费用开支。 </w:t>
      </w:r>
    </w:p>
    <w:p>
      <w:pPr>
        <w:pBdr>
          <w:top w:val="none" w:color="auto" w:sz="0" w:space="1"/>
          <w:left w:val="none" w:color="auto" w:sz="0" w:space="1"/>
          <w:bottom w:val="none" w:color="FFFFFF" w:sz="0" w:space="13"/>
          <w:right w:val="none" w:color="auto" w:sz="0" w:space="4"/>
        </w:pBdr>
        <w:autoSpaceDE w:val="0"/>
        <w:snapToGrid w:val="0"/>
        <w:spacing w:line="520" w:lineRule="exact"/>
        <w:ind w:firstLine="602" w:firstLineChars="20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 附件：九寨沟县财政局202</w:t>
      </w:r>
      <w:r>
        <w:rPr>
          <w:rFonts w:hint="eastAsia" w:ascii="仿宋_GB2312" w:hAnsi="仿宋_GB2312" w:eastAsia="仿宋_GB2312" w:cs="仿宋_GB2312"/>
          <w:b/>
          <w:bCs/>
          <w:sz w:val="30"/>
          <w:szCs w:val="30"/>
          <w:lang w:val="en-US" w:eastAsia="zh-CN"/>
        </w:rPr>
        <w:t>5</w:t>
      </w:r>
      <w:r>
        <w:rPr>
          <w:rFonts w:hint="eastAsia" w:ascii="仿宋_GB2312" w:hAnsi="仿宋_GB2312" w:eastAsia="仿宋_GB2312" w:cs="仿宋_GB2312"/>
          <w:b/>
          <w:bCs/>
          <w:sz w:val="30"/>
          <w:szCs w:val="30"/>
        </w:rPr>
        <w:t>年预算公开表</w:t>
      </w:r>
    </w:p>
    <w:p>
      <w:pPr>
        <w:rPr>
          <w:rFonts w:ascii="仿宋" w:hAnsi="仿宋" w:eastAsia="仿宋"/>
          <w:b/>
          <w:bCs/>
          <w:sz w:val="32"/>
          <w:szCs w:val="32"/>
        </w:rPr>
      </w:pPr>
      <w:r>
        <w:rPr>
          <w:rFonts w:ascii="仿宋" w:hAnsi="仿宋" w:eastAsia="仿宋"/>
          <w:b/>
          <w:bCs/>
          <w:sz w:val="32"/>
          <w:szCs w:val="32"/>
        </w:rPr>
        <w:br w:type="page"/>
      </w:r>
    </w:p>
    <w:tbl>
      <w:tblPr>
        <w:tblStyle w:val="8"/>
        <w:tblW w:w="917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3118"/>
        <w:gridCol w:w="1241"/>
        <w:gridCol w:w="3343"/>
        <w:gridCol w:w="15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3118" w:type="dxa"/>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241"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43" w:type="dxa"/>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76" w:type="dxa"/>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表1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0" w:type="auto"/>
            <w:gridSpan w:val="4"/>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2"/>
                <w:szCs w:val="32"/>
                <w:u w:val="none"/>
              </w:rPr>
            </w:pPr>
            <w:r>
              <w:rPr>
                <w:rFonts w:hint="eastAsia" w:ascii="黑体" w:hAnsi="宋体" w:eastAsia="黑体" w:cs="黑体"/>
                <w:b/>
                <w:i w:val="0"/>
                <w:color w:val="000000"/>
                <w:kern w:val="0"/>
                <w:sz w:val="32"/>
                <w:szCs w:val="32"/>
                <w:u w:val="none"/>
                <w:lang w:val="en-US" w:eastAsia="zh-CN" w:bidi="ar"/>
              </w:rPr>
              <w:t>部门收支总表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0" w:type="auto"/>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部门：</w:t>
            </w: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343"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    入</w:t>
            </w:r>
          </w:p>
        </w:tc>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预算数</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3118"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
                <w:lang w:val="en-US" w:eastAsia="zh-CN" w:bidi="ar"/>
              </w:rPr>
              <w:t xml:space="preserve">一、一般公共预算拨款收入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1,174.49</w:t>
            </w:r>
          </w:p>
        </w:tc>
        <w:tc>
          <w:tcPr>
            <w:tcW w:w="334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
                <w:lang w:val="en-US" w:eastAsia="zh-CN" w:bidi="ar"/>
              </w:rPr>
              <w:t>一、一般公共服务支出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966.47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3118"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
                <w:lang w:val="en-US" w:eastAsia="zh-CN" w:bidi="ar"/>
              </w:rPr>
              <w:t xml:space="preserve">二、政府性基金预算拨款收入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
                <w:lang w:val="en-US" w:eastAsia="zh-CN" w:bidi="ar"/>
              </w:rPr>
              <w:t>二、外交支出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3118"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
                <w:lang w:val="en-US" w:eastAsia="zh-CN" w:bidi="ar"/>
              </w:rPr>
              <w:t xml:space="preserve">三、国有资本经营预算拨款收入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
                <w:lang w:val="en-US" w:eastAsia="zh-CN" w:bidi="ar"/>
              </w:rPr>
              <w:t>三、国防支出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3118"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
                <w:lang w:val="en-US" w:eastAsia="zh-CN" w:bidi="ar"/>
              </w:rPr>
              <w:t xml:space="preserve">四、事业收入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
                <w:lang w:val="en-US" w:eastAsia="zh-CN" w:bidi="ar"/>
              </w:rPr>
              <w:t>四、公共安全支出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3118"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
                <w:lang w:val="en-US" w:eastAsia="zh-CN" w:bidi="ar"/>
              </w:rPr>
              <w:t xml:space="preserve">五、事业单位经营收入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
                <w:lang w:val="en-US" w:eastAsia="zh-CN" w:bidi="ar"/>
              </w:rPr>
              <w:t>五、教育支出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3118"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
                <w:lang w:val="en-US" w:eastAsia="zh-CN" w:bidi="ar"/>
              </w:rPr>
              <w:t xml:space="preserve">六、其他收入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
                <w:lang w:val="en-US" w:eastAsia="zh-CN" w:bidi="ar"/>
              </w:rPr>
              <w:t>六、科学技术支出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3118"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
                <w:lang w:val="en-US" w:eastAsia="zh-CN" w:bidi="ar"/>
              </w:rPr>
              <w:t>七、文化旅游体育与传媒支出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3118"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
                <w:lang w:val="en-US" w:eastAsia="zh-CN" w:bidi="ar"/>
              </w:rPr>
              <w:t>八、社会保障和就业支出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3118"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
                <w:lang w:val="en-US" w:eastAsia="zh-CN" w:bidi="ar"/>
              </w:rPr>
              <w:t>九、社会保险基金支出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3118"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
                <w:lang w:val="en-US" w:eastAsia="zh-CN" w:bidi="ar"/>
              </w:rPr>
              <w:t>十、卫生健康支出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3118"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
                <w:lang w:val="en-US" w:eastAsia="zh-CN" w:bidi="ar"/>
              </w:rPr>
              <w:t>十一、节能环保支出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3118"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
                <w:lang w:val="en-US" w:eastAsia="zh-CN" w:bidi="ar"/>
              </w:rPr>
              <w:t>十二、城乡社区支出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3118"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
                <w:lang w:val="en-US" w:eastAsia="zh-CN" w:bidi="ar"/>
              </w:rPr>
              <w:t>十三、农林水支出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3118"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
                <w:lang w:val="en-US" w:eastAsia="zh-CN" w:bidi="ar"/>
              </w:rPr>
              <w:t>十四、交通运输支出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3118"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
                <w:lang w:val="en-US" w:eastAsia="zh-CN" w:bidi="ar"/>
              </w:rPr>
              <w:t>十五、资源勘探工业信息等支出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3118"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
                <w:lang w:val="en-US" w:eastAsia="zh-CN" w:bidi="ar"/>
              </w:rPr>
              <w:t>十六、商业服务业等支出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3118"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
                <w:lang w:val="en-US" w:eastAsia="zh-CN" w:bidi="ar"/>
              </w:rPr>
              <w:t>十七、金融支出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3118"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
                <w:lang w:val="en-US" w:eastAsia="zh-CN" w:bidi="ar"/>
              </w:rPr>
              <w:t>十八、援助其他地区支出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3118"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
                <w:lang w:val="en-US" w:eastAsia="zh-CN" w:bidi="ar"/>
              </w:rPr>
              <w:t>十九、自然资源海洋气象等支出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3118"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
                <w:lang w:val="en-US" w:eastAsia="zh-CN" w:bidi="ar"/>
              </w:rPr>
              <w:t>二十、住房保障支出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3118"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
                <w:lang w:val="en-US" w:eastAsia="zh-CN" w:bidi="ar"/>
              </w:rPr>
              <w:t>二十一、粮油物资储备支出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3118"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
                <w:lang w:val="en-US" w:eastAsia="zh-CN" w:bidi="ar"/>
              </w:rPr>
              <w:t>二十二、国有资本经营预算支出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3118"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
                <w:lang w:val="en-US" w:eastAsia="zh-CN" w:bidi="ar"/>
              </w:rPr>
              <w:t>二十三、灾害防治及应急管理支出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3118"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
                <w:lang w:val="en-US" w:eastAsia="zh-CN" w:bidi="ar"/>
              </w:rPr>
              <w:t>二十四、其他支出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3118"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
                <w:lang w:val="en-US" w:eastAsia="zh-CN" w:bidi="ar"/>
              </w:rPr>
              <w:t>二十五、债务还本支出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3118"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
                <w:lang w:val="en-US" w:eastAsia="zh-CN" w:bidi="ar"/>
              </w:rPr>
              <w:t>二十六、债务付息支出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3118"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
                <w:lang w:val="en-US" w:eastAsia="zh-CN" w:bidi="ar"/>
              </w:rPr>
              <w:t>二十七、债务发行费用支出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3118"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34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
                <w:lang w:val="en-US" w:eastAsia="zh-CN" w:bidi="ar"/>
              </w:rPr>
              <w:t>二十八、抗疫特别国债安排的支出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3118"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Style w:val="16"/>
                <w:lang w:val="en-US" w:eastAsia="zh-CN" w:bidi="ar"/>
              </w:rPr>
              <w:t>本 年 收 入 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1,174.49</w:t>
            </w:r>
          </w:p>
        </w:tc>
        <w:tc>
          <w:tcPr>
            <w:tcW w:w="334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Style w:val="16"/>
                <w:lang w:val="en-US" w:eastAsia="zh-CN" w:bidi="ar"/>
              </w:rPr>
              <w:t>本 年 支 出 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1,249.49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七、上年结转</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  入  总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1,249.49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  出  总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1,249.49</w:t>
            </w:r>
          </w:p>
        </w:tc>
      </w:tr>
    </w:tbl>
    <w:p>
      <w:r>
        <w:br w:type="page"/>
      </w:r>
    </w:p>
    <w:p>
      <w:pPr>
        <w:pStyle w:val="2"/>
        <w:sectPr>
          <w:headerReference r:id="rId5" w:type="first"/>
          <w:footerReference r:id="rId8" w:type="first"/>
          <w:headerReference r:id="rId3" w:type="default"/>
          <w:footerReference r:id="rId6" w:type="default"/>
          <w:headerReference r:id="rId4" w:type="even"/>
          <w:footerReference r:id="rId7" w:type="even"/>
          <w:pgSz w:w="11906" w:h="16838"/>
          <w:pgMar w:top="618" w:right="1800" w:bottom="1440" w:left="1800" w:header="454" w:footer="992" w:gutter="0"/>
          <w:cols w:space="425" w:num="1"/>
          <w:docGrid w:type="lines" w:linePitch="312" w:charSpace="0"/>
        </w:sectPr>
      </w:pPr>
    </w:p>
    <w:tbl>
      <w:tblPr>
        <w:tblStyle w:val="8"/>
        <w:tblW w:w="1350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27"/>
        <w:gridCol w:w="1807"/>
        <w:gridCol w:w="1236"/>
        <w:gridCol w:w="961"/>
        <w:gridCol w:w="1132"/>
        <w:gridCol w:w="829"/>
        <w:gridCol w:w="973"/>
        <w:gridCol w:w="684"/>
        <w:gridCol w:w="1027"/>
        <w:gridCol w:w="605"/>
        <w:gridCol w:w="1000"/>
        <w:gridCol w:w="1118"/>
        <w:gridCol w:w="13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6" w:hRule="atLeast"/>
        </w:trPr>
        <w:tc>
          <w:tcPr>
            <w:tcW w:w="82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bookmarkStart w:id="1" w:name="_GoBack"/>
            <w:bookmarkEnd w:id="1"/>
          </w:p>
        </w:tc>
        <w:tc>
          <w:tcPr>
            <w:tcW w:w="1807"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236"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1"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13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29"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73"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8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027"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605"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0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118"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303"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表1-1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8" w:hRule="atLeast"/>
        </w:trPr>
        <w:tc>
          <w:tcPr>
            <w:tcW w:w="12199" w:type="dxa"/>
            <w:gridSpan w:val="12"/>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部门收入总表</w:t>
            </w:r>
          </w:p>
        </w:tc>
        <w:tc>
          <w:tcPr>
            <w:tcW w:w="1303" w:type="dxa"/>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1" w:hRule="atLeast"/>
        </w:trPr>
        <w:tc>
          <w:tcPr>
            <w:tcW w:w="827" w:type="dxa"/>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部门：</w:t>
            </w:r>
          </w:p>
        </w:tc>
        <w:tc>
          <w:tcPr>
            <w:tcW w:w="1807" w:type="dxa"/>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236" w:type="dxa"/>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1" w:type="dxa"/>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132" w:type="dxa"/>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29" w:type="dxa"/>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73" w:type="dxa"/>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84" w:type="dxa"/>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27" w:type="dxa"/>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05" w:type="dxa"/>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00" w:type="dxa"/>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118" w:type="dxa"/>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303" w:type="dxa"/>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7" w:hRule="atLeast"/>
        </w:trPr>
        <w:tc>
          <w:tcPr>
            <w:tcW w:w="2634" w:type="dxa"/>
            <w:gridSpan w:val="2"/>
            <w:tcBorders>
              <w:top w:val="single" w:color="C2C3C4" w:sz="4" w:space="0"/>
              <w:left w:val="single" w:color="C2C3C4" w:sz="4" w:space="0"/>
              <w:bottom w:val="single" w:color="C2C3C4" w:sz="4" w:space="0"/>
              <w:right w:val="single" w:color="C2C3C4" w:sz="4" w:space="0"/>
            </w:tcBorders>
            <w:shd w:val="clear" w:color="EFF2F7" w:fill="EFF2F7"/>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1236"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961"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上年结转</w:t>
            </w:r>
          </w:p>
        </w:tc>
        <w:tc>
          <w:tcPr>
            <w:tcW w:w="1132"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一般公共预算拨款收入</w:t>
            </w:r>
          </w:p>
        </w:tc>
        <w:tc>
          <w:tcPr>
            <w:tcW w:w="829"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政府性基金预算拨款收入</w:t>
            </w:r>
          </w:p>
        </w:tc>
        <w:tc>
          <w:tcPr>
            <w:tcW w:w="973"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国有资本经营预算拨款收入</w:t>
            </w:r>
          </w:p>
        </w:tc>
        <w:tc>
          <w:tcPr>
            <w:tcW w:w="684"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事业收入</w:t>
            </w:r>
          </w:p>
        </w:tc>
        <w:tc>
          <w:tcPr>
            <w:tcW w:w="1027"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 xml:space="preserve">事业单位经营收入 </w:t>
            </w:r>
          </w:p>
        </w:tc>
        <w:tc>
          <w:tcPr>
            <w:tcW w:w="605"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其他收入</w:t>
            </w:r>
          </w:p>
        </w:tc>
        <w:tc>
          <w:tcPr>
            <w:tcW w:w="1000"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上级补助收入</w:t>
            </w:r>
          </w:p>
        </w:tc>
        <w:tc>
          <w:tcPr>
            <w:tcW w:w="1118"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附属单位上缴收入</w:t>
            </w:r>
          </w:p>
        </w:tc>
        <w:tc>
          <w:tcPr>
            <w:tcW w:w="1303"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财政专户管理资金收入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7" w:hRule="atLeast"/>
        </w:trPr>
        <w:tc>
          <w:tcPr>
            <w:tcW w:w="827" w:type="dxa"/>
            <w:tcBorders>
              <w:top w:val="single" w:color="C2C3C4" w:sz="4" w:space="0"/>
              <w:left w:val="single" w:color="C2C3C4" w:sz="4" w:space="0"/>
              <w:bottom w:val="single" w:color="C2C3C4" w:sz="4" w:space="0"/>
              <w:right w:val="single" w:color="C2C3C4" w:sz="4" w:space="0"/>
            </w:tcBorders>
            <w:shd w:val="clear" w:color="EFF2F7" w:fill="EFF2F7"/>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单位代码</w:t>
            </w:r>
          </w:p>
        </w:tc>
        <w:tc>
          <w:tcPr>
            <w:tcW w:w="1807" w:type="dxa"/>
            <w:tcBorders>
              <w:top w:val="single" w:color="C2C3C4" w:sz="4" w:space="0"/>
              <w:left w:val="single" w:color="C2C3C4" w:sz="4" w:space="0"/>
              <w:bottom w:val="single" w:color="C2C3C4" w:sz="4" w:space="0"/>
              <w:right w:val="single" w:color="C2C3C4" w:sz="4" w:space="0"/>
            </w:tcBorders>
            <w:shd w:val="clear" w:color="EFF2F7" w:fill="EFF2F7"/>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单位名称（科目）</w:t>
            </w:r>
          </w:p>
        </w:tc>
        <w:tc>
          <w:tcPr>
            <w:tcW w:w="1236"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961"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132"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829"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973"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684"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027"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605"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000"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118"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303"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8" w:hRule="atLeast"/>
        </w:trPr>
        <w:tc>
          <w:tcPr>
            <w:tcW w:w="827"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07"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    计</w:t>
            </w:r>
          </w:p>
        </w:tc>
        <w:tc>
          <w:tcPr>
            <w:tcW w:w="1236"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1,249.49</w:t>
            </w:r>
          </w:p>
        </w:tc>
        <w:tc>
          <w:tcPr>
            <w:tcW w:w="961"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75.00</w:t>
            </w:r>
          </w:p>
        </w:tc>
        <w:tc>
          <w:tcPr>
            <w:tcW w:w="1132"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1,174.49</w:t>
            </w:r>
          </w:p>
        </w:tc>
        <w:tc>
          <w:tcPr>
            <w:tcW w:w="829"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973"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684"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1027"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605"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1000"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1118"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1303"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8" w:hRule="atLeast"/>
        </w:trPr>
        <w:tc>
          <w:tcPr>
            <w:tcW w:w="827"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807"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236"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1,249.49</w:t>
            </w:r>
          </w:p>
        </w:tc>
        <w:tc>
          <w:tcPr>
            <w:tcW w:w="961"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75.00</w:t>
            </w:r>
          </w:p>
        </w:tc>
        <w:tc>
          <w:tcPr>
            <w:tcW w:w="1132"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1,174.49</w:t>
            </w:r>
          </w:p>
        </w:tc>
        <w:tc>
          <w:tcPr>
            <w:tcW w:w="829"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73"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84"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27"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05"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00"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118"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03"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8" w:hRule="atLeast"/>
        </w:trPr>
        <w:tc>
          <w:tcPr>
            <w:tcW w:w="827"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106001</w:t>
            </w:r>
          </w:p>
        </w:tc>
        <w:tc>
          <w:tcPr>
            <w:tcW w:w="1807"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财政局</w:t>
            </w:r>
          </w:p>
        </w:tc>
        <w:tc>
          <w:tcPr>
            <w:tcW w:w="1236"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851.90</w:t>
            </w:r>
          </w:p>
        </w:tc>
        <w:tc>
          <w:tcPr>
            <w:tcW w:w="961"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75.00</w:t>
            </w:r>
          </w:p>
        </w:tc>
        <w:tc>
          <w:tcPr>
            <w:tcW w:w="1132"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776.90</w:t>
            </w:r>
          </w:p>
        </w:tc>
        <w:tc>
          <w:tcPr>
            <w:tcW w:w="829"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73"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84"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27"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05"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00"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118"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03"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8" w:hRule="atLeast"/>
        </w:trPr>
        <w:tc>
          <w:tcPr>
            <w:tcW w:w="827"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106002</w:t>
            </w:r>
          </w:p>
        </w:tc>
        <w:tc>
          <w:tcPr>
            <w:tcW w:w="1807"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财政国库支付中心</w:t>
            </w:r>
          </w:p>
        </w:tc>
        <w:tc>
          <w:tcPr>
            <w:tcW w:w="1236"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397.59</w:t>
            </w:r>
          </w:p>
        </w:tc>
        <w:tc>
          <w:tcPr>
            <w:tcW w:w="961"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132"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397.59</w:t>
            </w:r>
          </w:p>
        </w:tc>
        <w:tc>
          <w:tcPr>
            <w:tcW w:w="829"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73"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84"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27"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05"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00"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118"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303"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bl>
    <w:p>
      <w:pPr>
        <w:pStyle w:val="2"/>
        <w:sectPr>
          <w:pgSz w:w="16838" w:h="11906" w:orient="landscape"/>
          <w:pgMar w:top="1800" w:right="618" w:bottom="1800" w:left="1440" w:header="454" w:footer="992" w:gutter="0"/>
          <w:cols w:space="425" w:num="1"/>
          <w:docGrid w:type="lines" w:linePitch="312" w:charSpace="0"/>
        </w:sectPr>
      </w:pPr>
    </w:p>
    <w:tbl>
      <w:tblPr>
        <w:tblStyle w:val="8"/>
        <w:tblW w:w="1331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85"/>
        <w:gridCol w:w="569"/>
        <w:gridCol w:w="396"/>
        <w:gridCol w:w="398"/>
        <w:gridCol w:w="923"/>
        <w:gridCol w:w="4520"/>
        <w:gridCol w:w="2406"/>
        <w:gridCol w:w="1873"/>
        <w:gridCol w:w="20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185" w:type="dxa"/>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363" w:type="dxa"/>
            <w:gridSpan w:val="3"/>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923"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2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406"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873"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46"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表1-2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185" w:type="dxa"/>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3131" w:type="dxa"/>
            <w:gridSpan w:val="8"/>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部门支出总表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185" w:type="dxa"/>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806" w:type="dxa"/>
            <w:gridSpan w:val="5"/>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部门：</w:t>
            </w:r>
          </w:p>
        </w:tc>
        <w:tc>
          <w:tcPr>
            <w:tcW w:w="2406" w:type="dxa"/>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873" w:type="dxa"/>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46" w:type="dxa"/>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185" w:type="dxa"/>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6806" w:type="dxa"/>
            <w:gridSpan w:val="5"/>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2406" w:type="dxa"/>
            <w:vMerge w:val="restart"/>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1873" w:type="dxa"/>
            <w:vMerge w:val="restart"/>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2046" w:type="dxa"/>
            <w:vMerge w:val="restart"/>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185" w:type="dxa"/>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363" w:type="dxa"/>
            <w:gridSpan w:val="3"/>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科目编码</w:t>
            </w:r>
          </w:p>
        </w:tc>
        <w:tc>
          <w:tcPr>
            <w:tcW w:w="923" w:type="dxa"/>
            <w:vMerge w:val="restart"/>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单位代码</w:t>
            </w:r>
          </w:p>
        </w:tc>
        <w:tc>
          <w:tcPr>
            <w:tcW w:w="4520" w:type="dxa"/>
            <w:vMerge w:val="restart"/>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单位名称（科目）</w:t>
            </w:r>
          </w:p>
        </w:tc>
        <w:tc>
          <w:tcPr>
            <w:tcW w:w="2406" w:type="dxa"/>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73" w:type="dxa"/>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046" w:type="dxa"/>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185" w:type="dxa"/>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69" w:type="dxa"/>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类</w:t>
            </w:r>
          </w:p>
        </w:tc>
        <w:tc>
          <w:tcPr>
            <w:tcW w:w="396" w:type="dxa"/>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款</w:t>
            </w:r>
          </w:p>
        </w:tc>
        <w:tc>
          <w:tcPr>
            <w:tcW w:w="398" w:type="dxa"/>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w:t>
            </w:r>
          </w:p>
        </w:tc>
        <w:tc>
          <w:tcPr>
            <w:tcW w:w="923" w:type="dxa"/>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520" w:type="dxa"/>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406" w:type="dxa"/>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873" w:type="dxa"/>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046" w:type="dxa"/>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185" w:type="dxa"/>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b/>
                <w:i w:val="0"/>
                <w:color w:val="000000"/>
                <w:sz w:val="18"/>
                <w:szCs w:val="18"/>
                <w:u w:val="none"/>
              </w:rPr>
            </w:pPr>
          </w:p>
        </w:tc>
        <w:tc>
          <w:tcPr>
            <w:tcW w:w="569"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96"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98"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923"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4520"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    计</w:t>
            </w:r>
          </w:p>
        </w:tc>
        <w:tc>
          <w:tcPr>
            <w:tcW w:w="2406"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1,249.49</w:t>
            </w:r>
          </w:p>
        </w:tc>
        <w:tc>
          <w:tcPr>
            <w:tcW w:w="1873"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944.69</w:t>
            </w:r>
          </w:p>
        </w:tc>
        <w:tc>
          <w:tcPr>
            <w:tcW w:w="2046"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304.80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185" w:type="dxa"/>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69"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96"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98"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23"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520" w:type="dxa"/>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406"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1,249.49</w:t>
            </w:r>
          </w:p>
        </w:tc>
        <w:tc>
          <w:tcPr>
            <w:tcW w:w="1873"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944.69</w:t>
            </w:r>
          </w:p>
        </w:tc>
        <w:tc>
          <w:tcPr>
            <w:tcW w:w="2046"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304.80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185" w:type="dxa"/>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69"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96"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98"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23"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520" w:type="dxa"/>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7"/>
                <w:lang w:val="en-US" w:eastAsia="zh-CN" w:bidi="ar"/>
              </w:rPr>
              <w:t>财政局</w:t>
            </w:r>
          </w:p>
        </w:tc>
        <w:tc>
          <w:tcPr>
            <w:tcW w:w="2406"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851.90</w:t>
            </w:r>
          </w:p>
        </w:tc>
        <w:tc>
          <w:tcPr>
            <w:tcW w:w="1873"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587.10</w:t>
            </w:r>
          </w:p>
        </w:tc>
        <w:tc>
          <w:tcPr>
            <w:tcW w:w="2046"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264.80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185" w:type="dxa"/>
            <w:vMerge w:val="restart"/>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69"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396"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06</w:t>
            </w:r>
          </w:p>
        </w:tc>
        <w:tc>
          <w:tcPr>
            <w:tcW w:w="398"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923"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106001</w:t>
            </w:r>
          </w:p>
        </w:tc>
        <w:tc>
          <w:tcPr>
            <w:tcW w:w="4520" w:type="dxa"/>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7"/>
                <w:lang w:val="en-US" w:eastAsia="zh-CN" w:bidi="ar"/>
              </w:rPr>
              <w:t xml:space="preserve"> 行政运行</w:t>
            </w:r>
          </w:p>
        </w:tc>
        <w:tc>
          <w:tcPr>
            <w:tcW w:w="2406"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677.69</w:t>
            </w:r>
          </w:p>
        </w:tc>
        <w:tc>
          <w:tcPr>
            <w:tcW w:w="1873"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412.89</w:t>
            </w:r>
          </w:p>
        </w:tc>
        <w:tc>
          <w:tcPr>
            <w:tcW w:w="2046"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264.80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185" w:type="dxa"/>
            <w:vMerge w:val="continue"/>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69"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396"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w:t>
            </w:r>
          </w:p>
        </w:tc>
        <w:tc>
          <w:tcPr>
            <w:tcW w:w="398"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w:t>
            </w:r>
          </w:p>
        </w:tc>
        <w:tc>
          <w:tcPr>
            <w:tcW w:w="923"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106001</w:t>
            </w:r>
          </w:p>
        </w:tc>
        <w:tc>
          <w:tcPr>
            <w:tcW w:w="4520" w:type="dxa"/>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7"/>
                <w:lang w:val="en-US" w:eastAsia="zh-CN" w:bidi="ar"/>
              </w:rPr>
              <w:t xml:space="preserve"> 机关事业单位基本养老保险缴费支出</w:t>
            </w:r>
          </w:p>
        </w:tc>
        <w:tc>
          <w:tcPr>
            <w:tcW w:w="2406"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56.09</w:t>
            </w:r>
          </w:p>
        </w:tc>
        <w:tc>
          <w:tcPr>
            <w:tcW w:w="1873"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56.09</w:t>
            </w:r>
          </w:p>
        </w:tc>
        <w:tc>
          <w:tcPr>
            <w:tcW w:w="2046"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185" w:type="dxa"/>
            <w:vMerge w:val="continue"/>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69"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396"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w:t>
            </w:r>
          </w:p>
        </w:tc>
        <w:tc>
          <w:tcPr>
            <w:tcW w:w="398"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06</w:t>
            </w:r>
          </w:p>
        </w:tc>
        <w:tc>
          <w:tcPr>
            <w:tcW w:w="923"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106001</w:t>
            </w:r>
          </w:p>
        </w:tc>
        <w:tc>
          <w:tcPr>
            <w:tcW w:w="4520" w:type="dxa"/>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7"/>
                <w:lang w:val="en-US" w:eastAsia="zh-CN" w:bidi="ar"/>
              </w:rPr>
              <w:t xml:space="preserve"> 机关事业单位职业年金缴费支出</w:t>
            </w:r>
          </w:p>
        </w:tc>
        <w:tc>
          <w:tcPr>
            <w:tcW w:w="2406"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31.79</w:t>
            </w:r>
          </w:p>
        </w:tc>
        <w:tc>
          <w:tcPr>
            <w:tcW w:w="1873"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31.79</w:t>
            </w:r>
          </w:p>
        </w:tc>
        <w:tc>
          <w:tcPr>
            <w:tcW w:w="2046"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185" w:type="dxa"/>
            <w:vMerge w:val="continue"/>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69"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396"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398"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923"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106001</w:t>
            </w:r>
          </w:p>
        </w:tc>
        <w:tc>
          <w:tcPr>
            <w:tcW w:w="4520" w:type="dxa"/>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7"/>
                <w:lang w:val="en-US" w:eastAsia="zh-CN" w:bidi="ar"/>
              </w:rPr>
              <w:t xml:space="preserve"> 行政单位医疗</w:t>
            </w:r>
          </w:p>
        </w:tc>
        <w:tc>
          <w:tcPr>
            <w:tcW w:w="2406"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27.81</w:t>
            </w:r>
          </w:p>
        </w:tc>
        <w:tc>
          <w:tcPr>
            <w:tcW w:w="1873"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27.81</w:t>
            </w:r>
          </w:p>
        </w:tc>
        <w:tc>
          <w:tcPr>
            <w:tcW w:w="2046"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185" w:type="dxa"/>
            <w:vMerge w:val="continue"/>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69"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396"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398"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w:t>
            </w:r>
          </w:p>
        </w:tc>
        <w:tc>
          <w:tcPr>
            <w:tcW w:w="923"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106001</w:t>
            </w:r>
          </w:p>
        </w:tc>
        <w:tc>
          <w:tcPr>
            <w:tcW w:w="4520" w:type="dxa"/>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7"/>
                <w:lang w:val="en-US" w:eastAsia="zh-CN" w:bidi="ar"/>
              </w:rPr>
              <w:t xml:space="preserve"> 公务员医疗补助</w:t>
            </w:r>
          </w:p>
        </w:tc>
        <w:tc>
          <w:tcPr>
            <w:tcW w:w="2406"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10.84</w:t>
            </w:r>
          </w:p>
        </w:tc>
        <w:tc>
          <w:tcPr>
            <w:tcW w:w="1873"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10.84</w:t>
            </w:r>
          </w:p>
        </w:tc>
        <w:tc>
          <w:tcPr>
            <w:tcW w:w="2046"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185" w:type="dxa"/>
            <w:vMerge w:val="continue"/>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69"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w:t>
            </w:r>
          </w:p>
        </w:tc>
        <w:tc>
          <w:tcPr>
            <w:tcW w:w="396"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w:t>
            </w:r>
          </w:p>
        </w:tc>
        <w:tc>
          <w:tcPr>
            <w:tcW w:w="398"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923"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106001</w:t>
            </w:r>
          </w:p>
        </w:tc>
        <w:tc>
          <w:tcPr>
            <w:tcW w:w="4520" w:type="dxa"/>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7"/>
                <w:lang w:val="en-US" w:eastAsia="zh-CN" w:bidi="ar"/>
              </w:rPr>
              <w:t xml:space="preserve"> 住房公积金</w:t>
            </w:r>
          </w:p>
        </w:tc>
        <w:tc>
          <w:tcPr>
            <w:tcW w:w="2406"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47.69</w:t>
            </w:r>
          </w:p>
        </w:tc>
        <w:tc>
          <w:tcPr>
            <w:tcW w:w="1873"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47.69</w:t>
            </w:r>
          </w:p>
        </w:tc>
        <w:tc>
          <w:tcPr>
            <w:tcW w:w="2046"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185"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569"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96"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98"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23"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4520" w:type="dxa"/>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7"/>
                <w:lang w:val="en-US" w:eastAsia="zh-CN" w:bidi="ar"/>
              </w:rPr>
              <w:t>财政国库支付中心</w:t>
            </w:r>
          </w:p>
        </w:tc>
        <w:tc>
          <w:tcPr>
            <w:tcW w:w="2406"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397.59</w:t>
            </w:r>
          </w:p>
        </w:tc>
        <w:tc>
          <w:tcPr>
            <w:tcW w:w="1873"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357.59</w:t>
            </w:r>
          </w:p>
        </w:tc>
        <w:tc>
          <w:tcPr>
            <w:tcW w:w="2046"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185" w:type="dxa"/>
            <w:vMerge w:val="restart"/>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69"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396"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06</w:t>
            </w:r>
          </w:p>
        </w:tc>
        <w:tc>
          <w:tcPr>
            <w:tcW w:w="398"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923"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106002</w:t>
            </w:r>
          </w:p>
        </w:tc>
        <w:tc>
          <w:tcPr>
            <w:tcW w:w="4520" w:type="dxa"/>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7"/>
                <w:lang w:val="en-US" w:eastAsia="zh-CN" w:bidi="ar"/>
              </w:rPr>
              <w:t xml:space="preserve"> 行政运行</w:t>
            </w:r>
          </w:p>
        </w:tc>
        <w:tc>
          <w:tcPr>
            <w:tcW w:w="2406"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288.79</w:t>
            </w:r>
          </w:p>
        </w:tc>
        <w:tc>
          <w:tcPr>
            <w:tcW w:w="1873"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248.79</w:t>
            </w:r>
          </w:p>
        </w:tc>
        <w:tc>
          <w:tcPr>
            <w:tcW w:w="2046"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185" w:type="dxa"/>
            <w:vMerge w:val="continue"/>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69"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396"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w:t>
            </w:r>
          </w:p>
        </w:tc>
        <w:tc>
          <w:tcPr>
            <w:tcW w:w="398"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w:t>
            </w:r>
          </w:p>
        </w:tc>
        <w:tc>
          <w:tcPr>
            <w:tcW w:w="923"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106002</w:t>
            </w:r>
          </w:p>
        </w:tc>
        <w:tc>
          <w:tcPr>
            <w:tcW w:w="4520" w:type="dxa"/>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7"/>
                <w:lang w:val="en-US" w:eastAsia="zh-CN" w:bidi="ar"/>
              </w:rPr>
              <w:t xml:space="preserve"> 机关事业单位基本养老保险缴费支出</w:t>
            </w:r>
          </w:p>
        </w:tc>
        <w:tc>
          <w:tcPr>
            <w:tcW w:w="2406"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35.65</w:t>
            </w:r>
          </w:p>
        </w:tc>
        <w:tc>
          <w:tcPr>
            <w:tcW w:w="1873"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35.65</w:t>
            </w:r>
          </w:p>
        </w:tc>
        <w:tc>
          <w:tcPr>
            <w:tcW w:w="2046"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185" w:type="dxa"/>
            <w:vMerge w:val="continue"/>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69"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396"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w:t>
            </w:r>
          </w:p>
        </w:tc>
        <w:tc>
          <w:tcPr>
            <w:tcW w:w="398"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06</w:t>
            </w:r>
          </w:p>
        </w:tc>
        <w:tc>
          <w:tcPr>
            <w:tcW w:w="923"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106002</w:t>
            </w:r>
          </w:p>
        </w:tc>
        <w:tc>
          <w:tcPr>
            <w:tcW w:w="4520" w:type="dxa"/>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7"/>
                <w:lang w:val="en-US" w:eastAsia="zh-CN" w:bidi="ar"/>
              </w:rPr>
              <w:t xml:space="preserve"> 机关事业单位职业年金缴费支出</w:t>
            </w:r>
          </w:p>
        </w:tc>
        <w:tc>
          <w:tcPr>
            <w:tcW w:w="2406"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20.23</w:t>
            </w:r>
          </w:p>
        </w:tc>
        <w:tc>
          <w:tcPr>
            <w:tcW w:w="1873"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20.23</w:t>
            </w:r>
          </w:p>
        </w:tc>
        <w:tc>
          <w:tcPr>
            <w:tcW w:w="2046"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185" w:type="dxa"/>
            <w:vMerge w:val="continue"/>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69"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396"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398"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923"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106002</w:t>
            </w:r>
          </w:p>
        </w:tc>
        <w:tc>
          <w:tcPr>
            <w:tcW w:w="4520" w:type="dxa"/>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7"/>
                <w:lang w:val="en-US" w:eastAsia="zh-CN" w:bidi="ar"/>
              </w:rPr>
              <w:t xml:space="preserve"> 行政单位医疗</w:t>
            </w:r>
          </w:p>
        </w:tc>
        <w:tc>
          <w:tcPr>
            <w:tcW w:w="2406"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17.70</w:t>
            </w:r>
          </w:p>
        </w:tc>
        <w:tc>
          <w:tcPr>
            <w:tcW w:w="1873"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17.70</w:t>
            </w:r>
          </w:p>
        </w:tc>
        <w:tc>
          <w:tcPr>
            <w:tcW w:w="2046"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185" w:type="dxa"/>
            <w:vMerge w:val="continue"/>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69"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396"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398"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w:t>
            </w:r>
          </w:p>
        </w:tc>
        <w:tc>
          <w:tcPr>
            <w:tcW w:w="923"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106002</w:t>
            </w:r>
          </w:p>
        </w:tc>
        <w:tc>
          <w:tcPr>
            <w:tcW w:w="4520" w:type="dxa"/>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7"/>
                <w:lang w:val="en-US" w:eastAsia="zh-CN" w:bidi="ar"/>
              </w:rPr>
              <w:t xml:space="preserve"> 公务员医疗补助</w:t>
            </w:r>
          </w:p>
        </w:tc>
        <w:tc>
          <w:tcPr>
            <w:tcW w:w="2406"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4.87</w:t>
            </w:r>
          </w:p>
        </w:tc>
        <w:tc>
          <w:tcPr>
            <w:tcW w:w="1873"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4.87</w:t>
            </w:r>
          </w:p>
        </w:tc>
        <w:tc>
          <w:tcPr>
            <w:tcW w:w="2046"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185" w:type="dxa"/>
            <w:vMerge w:val="continue"/>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69"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w:t>
            </w:r>
          </w:p>
        </w:tc>
        <w:tc>
          <w:tcPr>
            <w:tcW w:w="396"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w:t>
            </w:r>
          </w:p>
        </w:tc>
        <w:tc>
          <w:tcPr>
            <w:tcW w:w="398"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923"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106002</w:t>
            </w:r>
          </w:p>
        </w:tc>
        <w:tc>
          <w:tcPr>
            <w:tcW w:w="4520" w:type="dxa"/>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7"/>
                <w:lang w:val="en-US" w:eastAsia="zh-CN" w:bidi="ar"/>
              </w:rPr>
              <w:t xml:space="preserve"> 住房公积金</w:t>
            </w:r>
          </w:p>
        </w:tc>
        <w:tc>
          <w:tcPr>
            <w:tcW w:w="2406"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30.36</w:t>
            </w:r>
          </w:p>
        </w:tc>
        <w:tc>
          <w:tcPr>
            <w:tcW w:w="1873"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30.36</w:t>
            </w:r>
          </w:p>
        </w:tc>
        <w:tc>
          <w:tcPr>
            <w:tcW w:w="2046"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bl>
    <w:p>
      <w:pPr>
        <w:pStyle w:val="2"/>
        <w:sectPr>
          <w:pgSz w:w="16838" w:h="11906" w:orient="landscape"/>
          <w:pgMar w:top="1800" w:right="618" w:bottom="1800" w:left="1440" w:header="454" w:footer="992" w:gutter="0"/>
          <w:cols w:space="425" w:num="1"/>
          <w:docGrid w:type="lines" w:linePitch="312" w:charSpace="0"/>
        </w:sectPr>
      </w:pPr>
    </w:p>
    <w:tbl>
      <w:tblPr>
        <w:tblStyle w:val="8"/>
        <w:tblW w:w="95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782"/>
        <w:gridCol w:w="677"/>
        <w:gridCol w:w="2929"/>
        <w:gridCol w:w="885"/>
        <w:gridCol w:w="937"/>
        <w:gridCol w:w="716"/>
        <w:gridCol w:w="6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782" w:type="dxa"/>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677" w:type="dxa"/>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929" w:type="dxa"/>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85"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937"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16"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630" w:type="dxa"/>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表2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9556" w:type="dxa"/>
            <w:gridSpan w:val="7"/>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2"/>
                <w:szCs w:val="32"/>
                <w:u w:val="none"/>
              </w:rPr>
            </w:pPr>
            <w:r>
              <w:rPr>
                <w:rFonts w:hint="eastAsia" w:ascii="黑体" w:hAnsi="宋体" w:eastAsia="黑体" w:cs="黑体"/>
                <w:b/>
                <w:i w:val="0"/>
                <w:color w:val="000000"/>
                <w:kern w:val="0"/>
                <w:sz w:val="32"/>
                <w:szCs w:val="32"/>
                <w:u w:val="none"/>
                <w:lang w:val="en-US" w:eastAsia="zh-CN" w:bidi="ar"/>
              </w:rPr>
              <w:t>财政拨款收支预算总表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3459" w:type="dxa"/>
            <w:gridSpan w:val="2"/>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部门：</w:t>
            </w:r>
          </w:p>
        </w:tc>
        <w:tc>
          <w:tcPr>
            <w:tcW w:w="2929"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85"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937"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16"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630" w:type="dxa"/>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ascii="宋体" w:hAnsi="宋体" w:eastAsia="宋体" w:cs="宋体"/>
                <w:i w:val="0"/>
                <w:color w:val="000000"/>
                <w:sz w:val="22"/>
                <w:szCs w:val="22"/>
                <w:u w:val="none"/>
              </w:rPr>
            </w:pPr>
            <w:r>
              <w:rPr>
                <w:rFonts w:ascii="宋体" w:hAnsi="宋体" w:eastAsia="宋体" w:cs="宋体"/>
                <w:i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3459" w:type="dxa"/>
            <w:gridSpan w:val="2"/>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    入</w:t>
            </w:r>
          </w:p>
        </w:tc>
        <w:tc>
          <w:tcPr>
            <w:tcW w:w="6097" w:type="dxa"/>
            <w:gridSpan w:val="5"/>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782"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677"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预算数</w:t>
            </w:r>
          </w:p>
        </w:tc>
        <w:tc>
          <w:tcPr>
            <w:tcW w:w="2929"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885"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937"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一般公共预算</w:t>
            </w:r>
          </w:p>
        </w:tc>
        <w:tc>
          <w:tcPr>
            <w:tcW w:w="716"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政府性基金预算</w:t>
            </w:r>
          </w:p>
        </w:tc>
        <w:tc>
          <w:tcPr>
            <w:tcW w:w="630"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国有资本经营预算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278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一、本年收入</w:t>
            </w:r>
          </w:p>
        </w:tc>
        <w:tc>
          <w:tcPr>
            <w:tcW w:w="67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1,174.49</w:t>
            </w:r>
          </w:p>
        </w:tc>
        <w:tc>
          <w:tcPr>
            <w:tcW w:w="292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一、本年支出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1,249.49</w:t>
            </w:r>
          </w:p>
        </w:tc>
        <w:tc>
          <w:tcPr>
            <w:tcW w:w="93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1,249.49</w:t>
            </w:r>
          </w:p>
        </w:tc>
        <w:tc>
          <w:tcPr>
            <w:tcW w:w="71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782"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一般公共预算拨款收入</w:t>
            </w:r>
          </w:p>
        </w:tc>
        <w:tc>
          <w:tcPr>
            <w:tcW w:w="67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1,174.49</w:t>
            </w:r>
          </w:p>
        </w:tc>
        <w:tc>
          <w:tcPr>
            <w:tcW w:w="2929"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一般公共服务支出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966.47</w:t>
            </w:r>
          </w:p>
        </w:tc>
        <w:tc>
          <w:tcPr>
            <w:tcW w:w="93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966.47</w:t>
            </w:r>
          </w:p>
        </w:tc>
        <w:tc>
          <w:tcPr>
            <w:tcW w:w="71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782"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政府性基金预算拨款收入</w:t>
            </w:r>
          </w:p>
        </w:tc>
        <w:tc>
          <w:tcPr>
            <w:tcW w:w="67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9"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外交支出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3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1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782"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国有资本经营预算拨款收入</w:t>
            </w:r>
          </w:p>
        </w:tc>
        <w:tc>
          <w:tcPr>
            <w:tcW w:w="67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9"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国防支出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3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1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78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二、上年结转</w:t>
            </w:r>
          </w:p>
        </w:tc>
        <w:tc>
          <w:tcPr>
            <w:tcW w:w="67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75.00</w:t>
            </w:r>
          </w:p>
        </w:tc>
        <w:tc>
          <w:tcPr>
            <w:tcW w:w="2929"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公共安全支出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3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1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782"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一般公共预算拨款收入</w:t>
            </w:r>
          </w:p>
        </w:tc>
        <w:tc>
          <w:tcPr>
            <w:tcW w:w="67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75.00</w:t>
            </w:r>
          </w:p>
        </w:tc>
        <w:tc>
          <w:tcPr>
            <w:tcW w:w="2929"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教育支出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3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1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782"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政府性基金预算拨款收入</w:t>
            </w:r>
          </w:p>
        </w:tc>
        <w:tc>
          <w:tcPr>
            <w:tcW w:w="67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9"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科学技术支出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3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1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782"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国有资本经营预算拨款收入</w:t>
            </w:r>
          </w:p>
        </w:tc>
        <w:tc>
          <w:tcPr>
            <w:tcW w:w="67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9"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文化旅游体育与传媒支出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3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1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2782"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67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9"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社会保障和就业支出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143.75</w:t>
            </w:r>
          </w:p>
        </w:tc>
        <w:tc>
          <w:tcPr>
            <w:tcW w:w="93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143.75</w:t>
            </w:r>
          </w:p>
        </w:tc>
        <w:tc>
          <w:tcPr>
            <w:tcW w:w="71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782"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67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9"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社会保险基金支出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3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1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782"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67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9"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卫生健康支出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61.22</w:t>
            </w:r>
          </w:p>
        </w:tc>
        <w:tc>
          <w:tcPr>
            <w:tcW w:w="93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61.22</w:t>
            </w:r>
          </w:p>
        </w:tc>
        <w:tc>
          <w:tcPr>
            <w:tcW w:w="71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782"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67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9"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节能环保支出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3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1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2782"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67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9"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城乡社区支出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3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1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782"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67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9"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农林水支出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3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1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2782"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67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9"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交通运输支出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3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1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782"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67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9"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资源勘探工业信息等支出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3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1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2782"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67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9"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商业服务业等支出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3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1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2782"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67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9"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金融支出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3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1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782"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67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9"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援助其他地区支出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3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1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782"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67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9"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自然资源海洋气象等支出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3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1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782"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67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9"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住房保障支出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78.05</w:t>
            </w:r>
          </w:p>
        </w:tc>
        <w:tc>
          <w:tcPr>
            <w:tcW w:w="93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78.05</w:t>
            </w:r>
          </w:p>
        </w:tc>
        <w:tc>
          <w:tcPr>
            <w:tcW w:w="71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782"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67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9"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粮油物资储备支出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3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1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782"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67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9"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国有资本经营预算支出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3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1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782"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67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9"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灾害防治及应急管理支出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3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1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2782"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67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9"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其他支出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3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1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782"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67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9"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债务还本支出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3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1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782"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67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9"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债务付息支出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3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1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782"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67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9"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债务发行费用支出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3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1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782"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w:t>
            </w:r>
          </w:p>
        </w:tc>
        <w:tc>
          <w:tcPr>
            <w:tcW w:w="67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929"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抗疫特别国债安排的支出</w:t>
            </w:r>
          </w:p>
        </w:tc>
        <w:tc>
          <w:tcPr>
            <w:tcW w:w="88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93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1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630"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bl>
    <w:p>
      <w:pPr>
        <w:sectPr>
          <w:pgSz w:w="11906" w:h="16838"/>
          <w:pgMar w:top="618" w:right="1800" w:bottom="1440" w:left="1800" w:header="454" w:footer="992" w:gutter="0"/>
          <w:cols w:space="425" w:num="1"/>
          <w:docGrid w:type="lines" w:linePitch="312" w:charSpace="0"/>
        </w:sectPr>
      </w:pPr>
    </w:p>
    <w:tbl>
      <w:tblPr>
        <w:tblStyle w:val="8"/>
        <w:tblW w:w="1507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40"/>
        <w:gridCol w:w="4"/>
        <w:gridCol w:w="245"/>
        <w:gridCol w:w="233"/>
        <w:gridCol w:w="151"/>
        <w:gridCol w:w="165"/>
        <w:gridCol w:w="447"/>
        <w:gridCol w:w="1132"/>
        <w:gridCol w:w="94"/>
        <w:gridCol w:w="549"/>
        <w:gridCol w:w="496"/>
        <w:gridCol w:w="509"/>
        <w:gridCol w:w="496"/>
        <w:gridCol w:w="402"/>
        <w:gridCol w:w="281"/>
        <w:gridCol w:w="295"/>
        <w:gridCol w:w="294"/>
        <w:gridCol w:w="84"/>
        <w:gridCol w:w="184"/>
        <w:gridCol w:w="322"/>
        <w:gridCol w:w="402"/>
        <w:gridCol w:w="332"/>
        <w:gridCol w:w="10"/>
        <w:gridCol w:w="234"/>
        <w:gridCol w:w="335"/>
        <w:gridCol w:w="321"/>
        <w:gridCol w:w="348"/>
        <w:gridCol w:w="349"/>
        <w:gridCol w:w="361"/>
        <w:gridCol w:w="294"/>
        <w:gridCol w:w="308"/>
        <w:gridCol w:w="200"/>
        <w:gridCol w:w="108"/>
        <w:gridCol w:w="414"/>
        <w:gridCol w:w="389"/>
        <w:gridCol w:w="361"/>
        <w:gridCol w:w="442"/>
        <w:gridCol w:w="322"/>
        <w:gridCol w:w="348"/>
        <w:gridCol w:w="453"/>
        <w:gridCol w:w="244"/>
        <w:gridCol w:w="156"/>
        <w:gridCol w:w="245"/>
        <w:gridCol w:w="389"/>
        <w:gridCol w:w="268"/>
        <w:gridCol w:w="457"/>
        <w:gridCol w:w="3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19" w:hRule="atLeast"/>
        </w:trPr>
        <w:tc>
          <w:tcPr>
            <w:tcW w:w="489" w:type="dxa"/>
            <w:gridSpan w:val="3"/>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rPr>
                <w:rFonts w:hint="eastAsia" w:ascii="仿宋_GB2312" w:hAnsi="宋体" w:eastAsia="仿宋_GB2312" w:cs="仿宋_GB2312"/>
                <w:i w:val="0"/>
                <w:color w:val="000000"/>
                <w:sz w:val="16"/>
                <w:szCs w:val="16"/>
                <w:u w:val="none"/>
              </w:rPr>
            </w:pPr>
          </w:p>
        </w:tc>
        <w:tc>
          <w:tcPr>
            <w:tcW w:w="384" w:type="dxa"/>
            <w:gridSpan w:val="2"/>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1838" w:type="dxa"/>
            <w:gridSpan w:val="4"/>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549" w:type="dxa"/>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496" w:type="dxa"/>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509" w:type="dxa"/>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496"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402"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281" w:type="dxa"/>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295"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294"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268" w:type="dxa"/>
            <w:gridSpan w:val="2"/>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322"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402"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332"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244" w:type="dxa"/>
            <w:gridSpan w:val="2"/>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335"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321"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348"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349"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361"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294"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308"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308" w:type="dxa"/>
            <w:gridSpan w:val="2"/>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414"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389"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361"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442"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322"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348"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453"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244"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401" w:type="dxa"/>
            <w:gridSpan w:val="2"/>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389"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268"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457"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366"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6"/>
                <w:szCs w:val="16"/>
                <w:u w:val="none"/>
              </w:rPr>
            </w:pPr>
            <w:r>
              <w:rPr>
                <w:rFonts w:ascii="宋体" w:hAnsi="宋体" w:eastAsia="宋体" w:cs="宋体"/>
                <w:i w:val="0"/>
                <w:color w:val="000000"/>
                <w:kern w:val="0"/>
                <w:sz w:val="16"/>
                <w:szCs w:val="16"/>
                <w:u w:val="none"/>
                <w:lang w:val="en-US" w:eastAsia="zh-CN" w:bidi="ar"/>
              </w:rPr>
              <w:t>表2-1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15079" w:type="dxa"/>
            <w:gridSpan w:val="47"/>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11"/>
                <w:szCs w:val="11"/>
                <w:u w:val="none"/>
              </w:rPr>
            </w:pPr>
            <w:r>
              <w:rPr>
                <w:rFonts w:hint="eastAsia" w:ascii="仿宋_GB2312" w:hAnsi="宋体" w:eastAsia="仿宋_GB2312" w:cs="仿宋_GB2312"/>
                <w:b/>
                <w:i w:val="0"/>
                <w:color w:val="000000"/>
                <w:kern w:val="0"/>
                <w:sz w:val="22"/>
                <w:szCs w:val="22"/>
                <w:u w:val="none"/>
                <w:lang w:val="en-US" w:eastAsia="zh-CN" w:bidi="ar"/>
              </w:rPr>
              <w:t>财政拨款支出预算表（部门经济分类科目）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9" w:hRule="atLeast"/>
        </w:trPr>
        <w:tc>
          <w:tcPr>
            <w:tcW w:w="2711" w:type="dxa"/>
            <w:gridSpan w:val="9"/>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部门：</w:t>
            </w:r>
          </w:p>
        </w:tc>
        <w:tc>
          <w:tcPr>
            <w:tcW w:w="549" w:type="dxa"/>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1"/>
                <w:szCs w:val="11"/>
                <w:u w:val="none"/>
              </w:rPr>
            </w:pPr>
          </w:p>
        </w:tc>
        <w:tc>
          <w:tcPr>
            <w:tcW w:w="496" w:type="dxa"/>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1"/>
                <w:szCs w:val="11"/>
                <w:u w:val="none"/>
              </w:rPr>
            </w:pPr>
          </w:p>
        </w:tc>
        <w:tc>
          <w:tcPr>
            <w:tcW w:w="509" w:type="dxa"/>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96" w:type="dxa"/>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1"/>
                <w:szCs w:val="11"/>
                <w:u w:val="none"/>
              </w:rPr>
            </w:pPr>
          </w:p>
        </w:tc>
        <w:tc>
          <w:tcPr>
            <w:tcW w:w="402" w:type="dxa"/>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1"/>
                <w:szCs w:val="11"/>
                <w:u w:val="none"/>
              </w:rPr>
            </w:pPr>
          </w:p>
        </w:tc>
        <w:tc>
          <w:tcPr>
            <w:tcW w:w="281" w:type="dxa"/>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1"/>
                <w:szCs w:val="11"/>
                <w:u w:val="none"/>
              </w:rPr>
            </w:pPr>
          </w:p>
        </w:tc>
        <w:tc>
          <w:tcPr>
            <w:tcW w:w="295" w:type="dxa"/>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1"/>
                <w:szCs w:val="11"/>
                <w:u w:val="none"/>
              </w:rPr>
            </w:pPr>
          </w:p>
        </w:tc>
        <w:tc>
          <w:tcPr>
            <w:tcW w:w="294" w:type="dxa"/>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1"/>
                <w:szCs w:val="11"/>
                <w:u w:val="none"/>
              </w:rPr>
            </w:pPr>
          </w:p>
        </w:tc>
        <w:tc>
          <w:tcPr>
            <w:tcW w:w="268" w:type="dxa"/>
            <w:gridSpan w:val="2"/>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1"/>
                <w:szCs w:val="11"/>
                <w:u w:val="none"/>
              </w:rPr>
            </w:pPr>
          </w:p>
        </w:tc>
        <w:tc>
          <w:tcPr>
            <w:tcW w:w="322" w:type="dxa"/>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1"/>
                <w:szCs w:val="11"/>
                <w:u w:val="none"/>
              </w:rPr>
            </w:pPr>
          </w:p>
        </w:tc>
        <w:tc>
          <w:tcPr>
            <w:tcW w:w="402" w:type="dxa"/>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1"/>
                <w:szCs w:val="11"/>
                <w:u w:val="none"/>
              </w:rPr>
            </w:pPr>
          </w:p>
        </w:tc>
        <w:tc>
          <w:tcPr>
            <w:tcW w:w="332" w:type="dxa"/>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1"/>
                <w:szCs w:val="11"/>
                <w:u w:val="none"/>
              </w:rPr>
            </w:pPr>
          </w:p>
        </w:tc>
        <w:tc>
          <w:tcPr>
            <w:tcW w:w="244" w:type="dxa"/>
            <w:gridSpan w:val="2"/>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1"/>
                <w:szCs w:val="11"/>
                <w:u w:val="none"/>
              </w:rPr>
            </w:pPr>
          </w:p>
        </w:tc>
        <w:tc>
          <w:tcPr>
            <w:tcW w:w="335" w:type="dxa"/>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1"/>
                <w:szCs w:val="11"/>
                <w:u w:val="none"/>
              </w:rPr>
            </w:pPr>
          </w:p>
        </w:tc>
        <w:tc>
          <w:tcPr>
            <w:tcW w:w="321" w:type="dxa"/>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1"/>
                <w:szCs w:val="11"/>
                <w:u w:val="none"/>
              </w:rPr>
            </w:pPr>
          </w:p>
        </w:tc>
        <w:tc>
          <w:tcPr>
            <w:tcW w:w="348" w:type="dxa"/>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1"/>
                <w:szCs w:val="11"/>
                <w:u w:val="none"/>
              </w:rPr>
            </w:pPr>
          </w:p>
        </w:tc>
        <w:tc>
          <w:tcPr>
            <w:tcW w:w="349" w:type="dxa"/>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1"/>
                <w:szCs w:val="11"/>
                <w:u w:val="none"/>
              </w:rPr>
            </w:pPr>
          </w:p>
        </w:tc>
        <w:tc>
          <w:tcPr>
            <w:tcW w:w="361" w:type="dxa"/>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1"/>
                <w:szCs w:val="11"/>
                <w:u w:val="none"/>
              </w:rPr>
            </w:pPr>
          </w:p>
        </w:tc>
        <w:tc>
          <w:tcPr>
            <w:tcW w:w="294" w:type="dxa"/>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1"/>
                <w:szCs w:val="11"/>
                <w:u w:val="none"/>
              </w:rPr>
            </w:pPr>
          </w:p>
        </w:tc>
        <w:tc>
          <w:tcPr>
            <w:tcW w:w="308" w:type="dxa"/>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1"/>
                <w:szCs w:val="11"/>
                <w:u w:val="none"/>
              </w:rPr>
            </w:pPr>
          </w:p>
        </w:tc>
        <w:tc>
          <w:tcPr>
            <w:tcW w:w="308" w:type="dxa"/>
            <w:gridSpan w:val="2"/>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1"/>
                <w:szCs w:val="11"/>
                <w:u w:val="none"/>
              </w:rPr>
            </w:pPr>
          </w:p>
        </w:tc>
        <w:tc>
          <w:tcPr>
            <w:tcW w:w="414" w:type="dxa"/>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1"/>
                <w:szCs w:val="11"/>
                <w:u w:val="none"/>
              </w:rPr>
            </w:pPr>
          </w:p>
        </w:tc>
        <w:tc>
          <w:tcPr>
            <w:tcW w:w="389" w:type="dxa"/>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1"/>
                <w:szCs w:val="11"/>
                <w:u w:val="none"/>
              </w:rPr>
            </w:pPr>
          </w:p>
        </w:tc>
        <w:tc>
          <w:tcPr>
            <w:tcW w:w="361" w:type="dxa"/>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1"/>
                <w:szCs w:val="11"/>
                <w:u w:val="none"/>
              </w:rPr>
            </w:pPr>
          </w:p>
        </w:tc>
        <w:tc>
          <w:tcPr>
            <w:tcW w:w="442" w:type="dxa"/>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1"/>
                <w:szCs w:val="11"/>
                <w:u w:val="none"/>
              </w:rPr>
            </w:pPr>
          </w:p>
        </w:tc>
        <w:tc>
          <w:tcPr>
            <w:tcW w:w="322" w:type="dxa"/>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1"/>
                <w:szCs w:val="11"/>
                <w:u w:val="none"/>
              </w:rPr>
            </w:pPr>
          </w:p>
        </w:tc>
        <w:tc>
          <w:tcPr>
            <w:tcW w:w="348" w:type="dxa"/>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1"/>
                <w:szCs w:val="11"/>
                <w:u w:val="none"/>
              </w:rPr>
            </w:pPr>
          </w:p>
        </w:tc>
        <w:tc>
          <w:tcPr>
            <w:tcW w:w="453" w:type="dxa"/>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1"/>
                <w:szCs w:val="11"/>
                <w:u w:val="none"/>
              </w:rPr>
            </w:pPr>
          </w:p>
        </w:tc>
        <w:tc>
          <w:tcPr>
            <w:tcW w:w="244" w:type="dxa"/>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1"/>
                <w:szCs w:val="11"/>
                <w:u w:val="none"/>
              </w:rPr>
            </w:pPr>
          </w:p>
        </w:tc>
        <w:tc>
          <w:tcPr>
            <w:tcW w:w="401" w:type="dxa"/>
            <w:gridSpan w:val="2"/>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1"/>
                <w:szCs w:val="11"/>
                <w:u w:val="none"/>
              </w:rPr>
            </w:pPr>
          </w:p>
        </w:tc>
        <w:tc>
          <w:tcPr>
            <w:tcW w:w="389" w:type="dxa"/>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1"/>
                <w:szCs w:val="11"/>
                <w:u w:val="none"/>
              </w:rPr>
            </w:pPr>
          </w:p>
        </w:tc>
        <w:tc>
          <w:tcPr>
            <w:tcW w:w="268" w:type="dxa"/>
            <w:tcBorders>
              <w:top w:val="single" w:color="FFFFFF" w:sz="4" w:space="0"/>
              <w:left w:val="single" w:color="FFFFFF" w:sz="4" w:space="0"/>
              <w:bottom w:val="nil"/>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1"/>
                <w:szCs w:val="11"/>
                <w:u w:val="none"/>
              </w:rPr>
            </w:pPr>
          </w:p>
        </w:tc>
        <w:tc>
          <w:tcPr>
            <w:tcW w:w="823" w:type="dxa"/>
            <w:gridSpan w:val="2"/>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1" w:hRule="atLeast"/>
        </w:trPr>
        <w:tc>
          <w:tcPr>
            <w:tcW w:w="2711" w:type="dxa"/>
            <w:gridSpan w:val="9"/>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11"/>
                <w:szCs w:val="11"/>
                <w:u w:val="none"/>
              </w:rPr>
            </w:pPr>
            <w:r>
              <w:rPr>
                <w:rFonts w:hint="eastAsia" w:ascii="仿宋_GB2312" w:hAnsi="宋体" w:eastAsia="仿宋_GB2312" w:cs="仿宋_GB2312"/>
                <w:b/>
                <w:i w:val="0"/>
                <w:color w:val="000000"/>
                <w:kern w:val="0"/>
                <w:sz w:val="11"/>
                <w:szCs w:val="11"/>
                <w:u w:val="none"/>
                <w:lang w:val="en-US" w:eastAsia="zh-CN" w:bidi="ar"/>
              </w:rPr>
              <w:t>项    目</w:t>
            </w:r>
          </w:p>
        </w:tc>
        <w:tc>
          <w:tcPr>
            <w:tcW w:w="549" w:type="dxa"/>
            <w:vMerge w:val="restart"/>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总计</w:t>
            </w:r>
          </w:p>
        </w:tc>
        <w:tc>
          <w:tcPr>
            <w:tcW w:w="3765" w:type="dxa"/>
            <w:gridSpan w:val="11"/>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省级当年财政拨款安排</w:t>
            </w:r>
          </w:p>
        </w:tc>
        <w:tc>
          <w:tcPr>
            <w:tcW w:w="3200" w:type="dxa"/>
            <w:gridSpan w:val="12"/>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中央提前通知专项转移支付等</w:t>
            </w:r>
          </w:p>
        </w:tc>
        <w:tc>
          <w:tcPr>
            <w:tcW w:w="4854" w:type="dxa"/>
            <w:gridSpan w:val="14"/>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上年结转安排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9" w:hRule="atLeast"/>
        </w:trPr>
        <w:tc>
          <w:tcPr>
            <w:tcW w:w="489" w:type="dxa"/>
            <w:gridSpan w:val="3"/>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11"/>
                <w:szCs w:val="11"/>
                <w:u w:val="none"/>
              </w:rPr>
            </w:pPr>
            <w:r>
              <w:rPr>
                <w:rFonts w:hint="eastAsia" w:ascii="仿宋_GB2312" w:hAnsi="宋体" w:eastAsia="仿宋_GB2312" w:cs="仿宋_GB2312"/>
                <w:b/>
                <w:i w:val="0"/>
                <w:color w:val="000000"/>
                <w:kern w:val="0"/>
                <w:sz w:val="11"/>
                <w:szCs w:val="11"/>
                <w:u w:val="none"/>
                <w:lang w:val="en-US" w:eastAsia="zh-CN" w:bidi="ar"/>
              </w:rPr>
              <w:t>科目编码</w:t>
            </w:r>
          </w:p>
        </w:tc>
        <w:tc>
          <w:tcPr>
            <w:tcW w:w="384" w:type="dxa"/>
            <w:gridSpan w:val="2"/>
            <w:vMerge w:val="restart"/>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单位代码</w:t>
            </w:r>
          </w:p>
        </w:tc>
        <w:tc>
          <w:tcPr>
            <w:tcW w:w="1838" w:type="dxa"/>
            <w:gridSpan w:val="4"/>
            <w:vMerge w:val="restart"/>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单位名称（科目）</w:t>
            </w:r>
          </w:p>
        </w:tc>
        <w:tc>
          <w:tcPr>
            <w:tcW w:w="549" w:type="dxa"/>
            <w:vMerge w:val="continue"/>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11"/>
                <w:szCs w:val="11"/>
                <w:u w:val="none"/>
              </w:rPr>
            </w:pPr>
          </w:p>
        </w:tc>
        <w:tc>
          <w:tcPr>
            <w:tcW w:w="496" w:type="dxa"/>
            <w:vMerge w:val="restart"/>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合计</w:t>
            </w:r>
          </w:p>
        </w:tc>
        <w:tc>
          <w:tcPr>
            <w:tcW w:w="1407" w:type="dxa"/>
            <w:gridSpan w:val="3"/>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一般公共预算拨款</w:t>
            </w:r>
          </w:p>
        </w:tc>
        <w:tc>
          <w:tcPr>
            <w:tcW w:w="870" w:type="dxa"/>
            <w:gridSpan w:val="3"/>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政府性基金安排</w:t>
            </w:r>
          </w:p>
        </w:tc>
        <w:tc>
          <w:tcPr>
            <w:tcW w:w="992" w:type="dxa"/>
            <w:gridSpan w:val="4"/>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国有资本经营预算安排</w:t>
            </w:r>
          </w:p>
        </w:tc>
        <w:tc>
          <w:tcPr>
            <w:tcW w:w="332" w:type="dxa"/>
            <w:vMerge w:val="restart"/>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合计</w:t>
            </w:r>
          </w:p>
        </w:tc>
        <w:tc>
          <w:tcPr>
            <w:tcW w:w="900" w:type="dxa"/>
            <w:gridSpan w:val="4"/>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一般公共预算拨款</w:t>
            </w:r>
          </w:p>
        </w:tc>
        <w:tc>
          <w:tcPr>
            <w:tcW w:w="1058" w:type="dxa"/>
            <w:gridSpan w:val="3"/>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政府性基金安排</w:t>
            </w:r>
          </w:p>
        </w:tc>
        <w:tc>
          <w:tcPr>
            <w:tcW w:w="910" w:type="dxa"/>
            <w:gridSpan w:val="4"/>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国有资本经营预算安排</w:t>
            </w:r>
          </w:p>
        </w:tc>
        <w:tc>
          <w:tcPr>
            <w:tcW w:w="414" w:type="dxa"/>
            <w:vMerge w:val="restart"/>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合计</w:t>
            </w:r>
          </w:p>
        </w:tc>
        <w:tc>
          <w:tcPr>
            <w:tcW w:w="1192" w:type="dxa"/>
            <w:gridSpan w:val="3"/>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一般公共预算拨款</w:t>
            </w:r>
          </w:p>
        </w:tc>
        <w:tc>
          <w:tcPr>
            <w:tcW w:w="1123" w:type="dxa"/>
            <w:gridSpan w:val="3"/>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政府性基金安排</w:t>
            </w:r>
          </w:p>
        </w:tc>
        <w:tc>
          <w:tcPr>
            <w:tcW w:w="1034" w:type="dxa"/>
            <w:gridSpan w:val="4"/>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国有资本经营预算安排</w:t>
            </w:r>
          </w:p>
        </w:tc>
        <w:tc>
          <w:tcPr>
            <w:tcW w:w="1091" w:type="dxa"/>
            <w:gridSpan w:val="3"/>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上年应返还额度结转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9"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11"/>
                <w:szCs w:val="11"/>
                <w:u w:val="none"/>
              </w:rPr>
            </w:pPr>
            <w:r>
              <w:rPr>
                <w:rFonts w:hint="eastAsia" w:ascii="仿宋_GB2312" w:hAnsi="宋体" w:eastAsia="仿宋_GB2312" w:cs="仿宋_GB2312"/>
                <w:b/>
                <w:i w:val="0"/>
                <w:color w:val="000000"/>
                <w:kern w:val="0"/>
                <w:sz w:val="11"/>
                <w:szCs w:val="11"/>
                <w:u w:val="none"/>
                <w:lang w:val="en-US" w:eastAsia="zh-CN" w:bidi="ar"/>
              </w:rPr>
              <w:t>类</w:t>
            </w:r>
          </w:p>
        </w:tc>
        <w:tc>
          <w:tcPr>
            <w:tcW w:w="245"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11"/>
                <w:szCs w:val="11"/>
                <w:u w:val="none"/>
              </w:rPr>
            </w:pPr>
            <w:r>
              <w:rPr>
                <w:rFonts w:hint="eastAsia" w:ascii="仿宋_GB2312" w:hAnsi="宋体" w:eastAsia="仿宋_GB2312" w:cs="仿宋_GB2312"/>
                <w:b/>
                <w:i w:val="0"/>
                <w:color w:val="000000"/>
                <w:kern w:val="0"/>
                <w:sz w:val="11"/>
                <w:szCs w:val="11"/>
                <w:u w:val="none"/>
                <w:lang w:val="en-US" w:eastAsia="zh-CN" w:bidi="ar"/>
              </w:rPr>
              <w:t>款</w:t>
            </w:r>
          </w:p>
        </w:tc>
        <w:tc>
          <w:tcPr>
            <w:tcW w:w="384" w:type="dxa"/>
            <w:gridSpan w:val="2"/>
            <w:vMerge w:val="continue"/>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11"/>
                <w:szCs w:val="11"/>
                <w:u w:val="none"/>
              </w:rPr>
            </w:pPr>
          </w:p>
        </w:tc>
        <w:tc>
          <w:tcPr>
            <w:tcW w:w="1838" w:type="dxa"/>
            <w:gridSpan w:val="4"/>
            <w:vMerge w:val="continue"/>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11"/>
                <w:szCs w:val="11"/>
                <w:u w:val="none"/>
              </w:rPr>
            </w:pPr>
          </w:p>
        </w:tc>
        <w:tc>
          <w:tcPr>
            <w:tcW w:w="549" w:type="dxa"/>
            <w:vMerge w:val="continue"/>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11"/>
                <w:szCs w:val="11"/>
                <w:u w:val="none"/>
              </w:rPr>
            </w:pPr>
          </w:p>
        </w:tc>
        <w:tc>
          <w:tcPr>
            <w:tcW w:w="496" w:type="dxa"/>
            <w:vMerge w:val="continue"/>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11"/>
                <w:szCs w:val="11"/>
                <w:u w:val="none"/>
              </w:rPr>
            </w:pPr>
          </w:p>
        </w:tc>
        <w:tc>
          <w:tcPr>
            <w:tcW w:w="509"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小计</w:t>
            </w:r>
          </w:p>
        </w:tc>
        <w:tc>
          <w:tcPr>
            <w:tcW w:w="496"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基本支出</w:t>
            </w:r>
          </w:p>
        </w:tc>
        <w:tc>
          <w:tcPr>
            <w:tcW w:w="402"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项目支出</w:t>
            </w:r>
          </w:p>
        </w:tc>
        <w:tc>
          <w:tcPr>
            <w:tcW w:w="281"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小计</w:t>
            </w:r>
          </w:p>
        </w:tc>
        <w:tc>
          <w:tcPr>
            <w:tcW w:w="295"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基本支出</w:t>
            </w:r>
          </w:p>
        </w:tc>
        <w:tc>
          <w:tcPr>
            <w:tcW w:w="294"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项目支出</w:t>
            </w:r>
          </w:p>
        </w:tc>
        <w:tc>
          <w:tcPr>
            <w:tcW w:w="268" w:type="dxa"/>
            <w:gridSpan w:val="2"/>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小计</w:t>
            </w:r>
          </w:p>
        </w:tc>
        <w:tc>
          <w:tcPr>
            <w:tcW w:w="322"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基本支出</w:t>
            </w:r>
          </w:p>
        </w:tc>
        <w:tc>
          <w:tcPr>
            <w:tcW w:w="402"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项目支出</w:t>
            </w:r>
          </w:p>
        </w:tc>
        <w:tc>
          <w:tcPr>
            <w:tcW w:w="332" w:type="dxa"/>
            <w:vMerge w:val="continue"/>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小计</w:t>
            </w:r>
          </w:p>
        </w:tc>
        <w:tc>
          <w:tcPr>
            <w:tcW w:w="335"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基本支出</w:t>
            </w:r>
          </w:p>
        </w:tc>
        <w:tc>
          <w:tcPr>
            <w:tcW w:w="321"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项目支出</w:t>
            </w:r>
          </w:p>
        </w:tc>
        <w:tc>
          <w:tcPr>
            <w:tcW w:w="348"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小计</w:t>
            </w:r>
          </w:p>
        </w:tc>
        <w:tc>
          <w:tcPr>
            <w:tcW w:w="349"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基本支出</w:t>
            </w:r>
          </w:p>
        </w:tc>
        <w:tc>
          <w:tcPr>
            <w:tcW w:w="361"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项目支出</w:t>
            </w:r>
          </w:p>
        </w:tc>
        <w:tc>
          <w:tcPr>
            <w:tcW w:w="294"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小计</w:t>
            </w:r>
          </w:p>
        </w:tc>
        <w:tc>
          <w:tcPr>
            <w:tcW w:w="308"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基本支出</w:t>
            </w:r>
          </w:p>
        </w:tc>
        <w:tc>
          <w:tcPr>
            <w:tcW w:w="308" w:type="dxa"/>
            <w:gridSpan w:val="2"/>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项目支出</w:t>
            </w:r>
          </w:p>
        </w:tc>
        <w:tc>
          <w:tcPr>
            <w:tcW w:w="414" w:type="dxa"/>
            <w:vMerge w:val="continue"/>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小计</w:t>
            </w:r>
          </w:p>
        </w:tc>
        <w:tc>
          <w:tcPr>
            <w:tcW w:w="361"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基本支出</w:t>
            </w:r>
          </w:p>
        </w:tc>
        <w:tc>
          <w:tcPr>
            <w:tcW w:w="442"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项目支出</w:t>
            </w:r>
          </w:p>
        </w:tc>
        <w:tc>
          <w:tcPr>
            <w:tcW w:w="322"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小计</w:t>
            </w:r>
          </w:p>
        </w:tc>
        <w:tc>
          <w:tcPr>
            <w:tcW w:w="348"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基本支出</w:t>
            </w:r>
          </w:p>
        </w:tc>
        <w:tc>
          <w:tcPr>
            <w:tcW w:w="453"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项目支出</w:t>
            </w:r>
          </w:p>
        </w:tc>
        <w:tc>
          <w:tcPr>
            <w:tcW w:w="244"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小计</w:t>
            </w:r>
          </w:p>
        </w:tc>
        <w:tc>
          <w:tcPr>
            <w:tcW w:w="401" w:type="dxa"/>
            <w:gridSpan w:val="2"/>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基本支出</w:t>
            </w:r>
          </w:p>
        </w:tc>
        <w:tc>
          <w:tcPr>
            <w:tcW w:w="389"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项目支出</w:t>
            </w:r>
          </w:p>
        </w:tc>
        <w:tc>
          <w:tcPr>
            <w:tcW w:w="268"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小计</w:t>
            </w:r>
          </w:p>
        </w:tc>
        <w:tc>
          <w:tcPr>
            <w:tcW w:w="457"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基本支出</w:t>
            </w:r>
          </w:p>
        </w:tc>
        <w:tc>
          <w:tcPr>
            <w:tcW w:w="366"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center"/>
              <w:rPr>
                <w:rFonts w:hint="eastAsia" w:ascii="仿宋_GB2312" w:hAnsi="宋体" w:eastAsia="仿宋_GB2312" w:cs="仿宋_GB2312"/>
                <w:b/>
                <w:i w:val="0"/>
                <w:color w:val="000000"/>
                <w:sz w:val="11"/>
                <w:szCs w:val="11"/>
                <w:u w:val="none"/>
              </w:rPr>
            </w:pPr>
          </w:p>
        </w:tc>
        <w:tc>
          <w:tcPr>
            <w:tcW w:w="24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center"/>
              <w:rPr>
                <w:rFonts w:hint="eastAsia" w:ascii="仿宋_GB2312" w:hAnsi="宋体" w:eastAsia="仿宋_GB2312" w:cs="仿宋_GB2312"/>
                <w:b/>
                <w:i w:val="0"/>
                <w:color w:val="000000"/>
                <w:sz w:val="11"/>
                <w:szCs w:val="11"/>
                <w:u w:val="none"/>
              </w:rPr>
            </w:pP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1"/>
                <w:szCs w:val="11"/>
                <w:u w:val="none"/>
              </w:rPr>
            </w:pPr>
          </w:p>
        </w:tc>
        <w:tc>
          <w:tcPr>
            <w:tcW w:w="1838" w:type="dxa"/>
            <w:gridSpan w:val="4"/>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合    计</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1,249.49</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1,174.49</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1,174.49</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944.69</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229.80</w:t>
            </w: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75.00</w:t>
            </w: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75.00</w:t>
            </w: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11"/>
                <w:szCs w:val="11"/>
                <w:u w:val="none"/>
              </w:rPr>
            </w:pPr>
            <w:r>
              <w:rPr>
                <w:rFonts w:hint="eastAsia" w:ascii="宋体" w:hAnsi="宋体" w:eastAsia="宋体" w:cs="宋体"/>
                <w:b/>
                <w:i w:val="0"/>
                <w:color w:val="000000"/>
                <w:kern w:val="0"/>
                <w:sz w:val="11"/>
                <w:szCs w:val="11"/>
                <w:u w:val="none"/>
                <w:lang w:val="en-US" w:eastAsia="zh-CN" w:bidi="ar"/>
              </w:rPr>
              <w:t>75.00</w:t>
            </w: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8"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11"/>
                <w:szCs w:val="11"/>
                <w:u w:val="none"/>
              </w:rPr>
            </w:pP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11"/>
                <w:szCs w:val="11"/>
                <w:u w:val="none"/>
              </w:rPr>
            </w:pP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1"/>
                <w:szCs w:val="11"/>
                <w:u w:val="none"/>
              </w:rPr>
            </w:pP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1"/>
                <w:szCs w:val="11"/>
                <w:u w:val="none"/>
              </w:rPr>
            </w:pP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1,249.49</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1,174.49</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1,174.49</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944.69</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229.80</w:t>
            </w: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75.00</w:t>
            </w: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75.00</w:t>
            </w: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75.00</w:t>
            </w: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11"/>
                <w:szCs w:val="11"/>
                <w:u w:val="none"/>
              </w:rPr>
            </w:pP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11"/>
                <w:szCs w:val="11"/>
                <w:u w:val="none"/>
              </w:rPr>
            </w:pP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1"/>
                <w:szCs w:val="11"/>
                <w:u w:val="none"/>
              </w:rPr>
            </w:pP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财政局</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851.90</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776.90</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776.90</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587.10</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189.80</w:t>
            </w: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75.00</w:t>
            </w: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75.00</w:t>
            </w: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75.00</w:t>
            </w: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2"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11"/>
                <w:szCs w:val="11"/>
                <w:u w:val="none"/>
              </w:rPr>
            </w:pP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11"/>
                <w:szCs w:val="11"/>
                <w:u w:val="none"/>
              </w:rPr>
            </w:pP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1"/>
                <w:szCs w:val="11"/>
                <w:u w:val="none"/>
              </w:rPr>
            </w:pP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工资福利支出</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547.34</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547.34</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547.34</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547.34</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2"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01</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基本工资</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122.52</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122.52</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122.52</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122.52</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02</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津贴补贴</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88.42</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88.42</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88.42</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88.42</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2"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02</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公务员规范津贴补贴</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60.44</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60.44</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60.44</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60.44</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2"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02</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艰苦边远地区津贴</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23.71</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23.71</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23.71</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23.71</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2"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02</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高海拔地区折算工龄补贴</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1.51</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1.51</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1.51</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1.51</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02</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乡镇工作补贴</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0.84</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0.84</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0.84</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0.84</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2"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02</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其他国家津补贴</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1.91</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1.91</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1.91</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1.91</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03</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奖金</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108.63</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108.63</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108.63</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108.63</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2"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03</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年终一次性奖金</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10.21</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10.21</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10.21</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10.21</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2"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03</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基础绩效奖</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98.42</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98.42</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98.42</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98.42</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2"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07</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绩效工资</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30.99</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30.99</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30.99</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30.99</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08</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机关事业单位基本养老保险缴费</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56.09</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56.09</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56.09</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56.09</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09</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职业年金缴费</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31.79</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31.79</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31.79</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31.79</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10</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职工基本医疗保险缴费</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27.81</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27.81</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27.81</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27.81</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11</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公务员医疗补助缴费</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10.84</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10.84</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10.84</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10.84</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12</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其他社会保障缴费</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1.37</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1.37</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1.37</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1.37</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12</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工伤保险</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0.56</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0.56</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0.56</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0.56</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12</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失业保险</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0.81</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0.81</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0.81</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0.81</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13</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住房公积金</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47.69</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47.69</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47.69</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47.69</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99</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其他工资福利支出</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21.21</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21.21</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21.21</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21.21</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99</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长聘人员经费</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13.44</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13.44</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13.44</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13.44</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99</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聘用人员养老保险</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3.46</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3.46</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3.46</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3.46</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99</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聘用人员医疗保险</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2.53</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2.53</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2.53</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2.53</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99</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聘用人员工伤保险</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0.03</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0.03</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0.03</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0.03</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99</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聘用人员失业保险</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0.13</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0.13</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0.13</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0.13</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99</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聘用人员住房公积金</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1.61</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1.61</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1.61</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1.61</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11"/>
                <w:szCs w:val="11"/>
                <w:u w:val="none"/>
              </w:rPr>
            </w:pP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11"/>
                <w:szCs w:val="11"/>
                <w:u w:val="none"/>
              </w:rPr>
            </w:pP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1"/>
                <w:szCs w:val="11"/>
                <w:u w:val="none"/>
              </w:rPr>
            </w:pP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商品和服务支出</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304.56</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229.56</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229.56</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39.76</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189.80</w:t>
            </w: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75.00</w:t>
            </w: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75.00</w:t>
            </w: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75.00</w:t>
            </w: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302</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01</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办公费</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102.00</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27.00</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27.00</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6.00</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21.00</w:t>
            </w: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75.00</w:t>
            </w: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75.00</w:t>
            </w: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75.00</w:t>
            </w: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302</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02</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印刷费</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1.00</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1.00</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1.00</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1.00</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302</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07</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邮电费</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43.70</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43.70</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43.70</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3.70</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40.00</w:t>
            </w: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302</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11</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差旅费</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26.00</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26.00</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26.00</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9.00</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17.00</w:t>
            </w: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302</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13</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维修（护）费</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49.80</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49.80</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49.80</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49.80</w:t>
            </w: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302</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16</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培训费</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39.05</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39.05</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39.05</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2.05</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37.00</w:t>
            </w: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302</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17</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公务接待费</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0.59</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0.59</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0.59</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0.59</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302</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27</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委托业务费</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10.00</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10.00</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10.00</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10.00</w:t>
            </w: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302</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28</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工会经费</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4.57</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4.57</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4.57</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4.57</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302</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29</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福利费</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6.85</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6.85</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6.85</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6.85</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302</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31</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106001</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公务用车运行维护费</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21.00</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21.00</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21.00</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6.00</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15.00</w:t>
            </w: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11"/>
                <w:szCs w:val="11"/>
                <w:u w:val="none"/>
              </w:rPr>
            </w:pP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11"/>
                <w:szCs w:val="11"/>
                <w:u w:val="none"/>
              </w:rPr>
            </w:pP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1"/>
                <w:szCs w:val="11"/>
                <w:u w:val="none"/>
              </w:rPr>
            </w:pP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财政国库支付中心</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397.59</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397.59</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397.59</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357.59</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40.00</w:t>
            </w: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11"/>
                <w:szCs w:val="11"/>
                <w:u w:val="none"/>
              </w:rPr>
            </w:pP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11"/>
                <w:szCs w:val="11"/>
                <w:u w:val="none"/>
              </w:rPr>
            </w:pP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1"/>
                <w:szCs w:val="11"/>
                <w:u w:val="none"/>
              </w:rPr>
            </w:pP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工资福利支出</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332.03</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332.03</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332.03</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332.03</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01</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106002</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基本工资</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79.26</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79.26</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79.26</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79.26</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02</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106002</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津贴补贴</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75.19</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75.19</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75.19</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75.19</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02</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106002</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公务员规范津贴补贴</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57.70</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57.70</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57.70</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57.70</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02</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106002</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艰苦边远地区津贴</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15.14</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15.14</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15.14</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15.14</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02</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106002</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高海拔地区折算工龄补贴</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0.27</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0.27</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0.27</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0.27</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02</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106002</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乡镇工作补贴</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0.84</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0.84</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0.84</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0.84</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02</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106002</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其他国家津补贴</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1.24</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1.24</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1.24</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1.24</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03</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106002</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奖金</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68.34</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68.34</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68.34</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68.34</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03</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106002</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年终一次性奖金</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6.61</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6.61</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6.61</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6.61</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03</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106002</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基础绩效奖</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61.74</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61.74</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61.74</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61.74</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08</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106002</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机关事业单位基本养老保险缴费</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35.65</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35.65</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35.65</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35.65</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09</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106002</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职业年金缴费</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20.23</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20.23</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20.23</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20.23</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10</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106002</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职工基本医疗保险缴费</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17.70</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17.70</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17.70</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17.70</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11</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106002</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公务员医疗补助缴费</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4.87</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4.87</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4.87</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4.87</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12</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106002</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其他社会保障缴费</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0.44</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0.44</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0.44</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0.44</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12</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106002</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工伤保险</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0.36</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0.36</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0.36</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0.36</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12</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106002</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失业保险</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0.08</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0.08</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0.08</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0.08</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301</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13</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106002</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住房公积金</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30.36</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30.36</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30.36</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30.36</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11"/>
                <w:szCs w:val="11"/>
                <w:u w:val="none"/>
              </w:rPr>
            </w:pP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center"/>
              <w:rPr>
                <w:rFonts w:hint="eastAsia" w:ascii="仿宋_GB2312" w:hAnsi="宋体" w:eastAsia="仿宋_GB2312" w:cs="仿宋_GB2312"/>
                <w:i w:val="0"/>
                <w:color w:val="000000"/>
                <w:sz w:val="11"/>
                <w:szCs w:val="11"/>
                <w:u w:val="none"/>
              </w:rPr>
            </w:pP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1"/>
                <w:szCs w:val="11"/>
                <w:u w:val="none"/>
              </w:rPr>
            </w:pP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商品和服务支出</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65.56</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65.56</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65.56</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25.56</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40.00</w:t>
            </w: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302</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01</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106002</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办公费</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16.00</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16.00</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16.00</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6.00</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10.00</w:t>
            </w: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302</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11</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106002</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差旅费</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20.00</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20.00</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20.00</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5.00</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15.00</w:t>
            </w: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302</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16</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106002</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培训费</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9.16</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9.16</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9.16</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4.16</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5.00</w:t>
            </w: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302</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17</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106002</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公务接待费</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0.41</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0.41</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0.41</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0.41</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302</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28</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106002</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工会经费</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2.92</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2.92</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2.92</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2.92</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302</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29</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106002</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福利费</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4.38</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4.38</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4.38</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4.38</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302</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31</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106002</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公务用车运行维护费</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10.00</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10.00</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10.00</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10.00</w:t>
            </w: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3" w:hRule="atLeast"/>
        </w:trPr>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302</w:t>
            </w:r>
          </w:p>
        </w:tc>
        <w:tc>
          <w:tcPr>
            <w:tcW w:w="245"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11"/>
                <w:szCs w:val="11"/>
                <w:u w:val="none"/>
              </w:rPr>
            </w:pPr>
            <w:r>
              <w:rPr>
                <w:rFonts w:hint="eastAsia" w:ascii="仿宋_GB2312" w:hAnsi="宋体" w:eastAsia="仿宋_GB2312" w:cs="仿宋_GB2312"/>
                <w:i w:val="0"/>
                <w:color w:val="000000"/>
                <w:kern w:val="0"/>
                <w:sz w:val="11"/>
                <w:szCs w:val="11"/>
                <w:u w:val="none"/>
                <w:lang w:val="en-US" w:eastAsia="zh-CN" w:bidi="ar"/>
              </w:rPr>
              <w:t>39</w:t>
            </w:r>
          </w:p>
        </w:tc>
        <w:tc>
          <w:tcPr>
            <w:tcW w:w="38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106002</w:t>
            </w:r>
          </w:p>
        </w:tc>
        <w:tc>
          <w:tcPr>
            <w:tcW w:w="1838" w:type="dxa"/>
            <w:gridSpan w:val="4"/>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Dialog . plain" w:hAnsi="Dialog . plain" w:eastAsia="Dialog . plain" w:cs="Dialog . plain"/>
                <w:i w:val="0"/>
                <w:color w:val="000000"/>
                <w:sz w:val="11"/>
                <w:szCs w:val="11"/>
                <w:u w:val="none"/>
              </w:rPr>
            </w:pPr>
            <w:r>
              <w:rPr>
                <w:rFonts w:hint="default" w:ascii="Dialog . plain" w:hAnsi="Dialog . plain" w:eastAsia="Dialog . plain" w:cs="Dialog . plain"/>
                <w:i w:val="0"/>
                <w:color w:val="000000"/>
                <w:kern w:val="0"/>
                <w:sz w:val="11"/>
                <w:szCs w:val="11"/>
                <w:u w:val="none"/>
                <w:lang w:val="en-US" w:eastAsia="zh-CN" w:bidi="ar"/>
              </w:rPr>
              <w:t xml:space="preserve">   </w:t>
            </w:r>
            <w:r>
              <w:rPr>
                <w:rStyle w:val="19"/>
                <w:sz w:val="11"/>
                <w:szCs w:val="11"/>
                <w:lang w:val="en-US" w:eastAsia="zh-CN" w:bidi="ar"/>
              </w:rPr>
              <w:t>其他交通费用</w:t>
            </w:r>
          </w:p>
        </w:tc>
        <w:tc>
          <w:tcPr>
            <w:tcW w:w="5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2.70</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2.70</w:t>
            </w:r>
          </w:p>
        </w:tc>
        <w:tc>
          <w:tcPr>
            <w:tcW w:w="50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2.70</w:t>
            </w:r>
          </w:p>
        </w:tc>
        <w:tc>
          <w:tcPr>
            <w:tcW w:w="49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1"/>
                <w:szCs w:val="11"/>
                <w:u w:val="none"/>
              </w:rPr>
            </w:pPr>
            <w:r>
              <w:rPr>
                <w:rFonts w:hint="eastAsia" w:ascii="宋体" w:hAnsi="宋体" w:eastAsia="宋体" w:cs="宋体"/>
                <w:i w:val="0"/>
                <w:color w:val="000000"/>
                <w:kern w:val="0"/>
                <w:sz w:val="11"/>
                <w:szCs w:val="11"/>
                <w:u w:val="none"/>
                <w:lang w:val="en-US" w:eastAsia="zh-CN" w:bidi="ar"/>
              </w:rPr>
              <w:t>2.70</w:t>
            </w: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8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35"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08"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1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4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22"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4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4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01" w:type="dxa"/>
            <w:gridSpan w:val="2"/>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c>
          <w:tcPr>
            <w:tcW w:w="36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5"/>
          <w:wAfter w:w="1725" w:type="dxa"/>
          <w:trHeight w:val="286" w:hRule="atLeast"/>
        </w:trPr>
        <w:tc>
          <w:tcPr>
            <w:tcW w:w="240" w:type="dxa"/>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245" w:type="dxa"/>
            <w:gridSpan w:val="6"/>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13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3500" w:type="dxa"/>
            <w:gridSpan w:val="10"/>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7237" w:type="dxa"/>
            <w:gridSpan w:val="24"/>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表3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5"/>
          <w:wAfter w:w="1725" w:type="dxa"/>
          <w:trHeight w:val="398" w:hRule="atLeast"/>
        </w:trPr>
        <w:tc>
          <w:tcPr>
            <w:tcW w:w="240" w:type="dxa"/>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3114" w:type="dxa"/>
            <w:gridSpan w:val="41"/>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一般公共预算支出预算表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5"/>
          <w:wAfter w:w="1725" w:type="dxa"/>
          <w:trHeight w:val="341" w:hRule="atLeast"/>
        </w:trPr>
        <w:tc>
          <w:tcPr>
            <w:tcW w:w="240" w:type="dxa"/>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5877" w:type="dxa"/>
            <w:gridSpan w:val="17"/>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250" w:type="dxa"/>
            <w:gridSpan w:val="5"/>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2750" w:type="dxa"/>
            <w:gridSpan w:val="9"/>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3237" w:type="dxa"/>
            <w:gridSpan w:val="10"/>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5"/>
          <w:wAfter w:w="1725" w:type="dxa"/>
          <w:trHeight w:val="427" w:hRule="atLeast"/>
        </w:trPr>
        <w:tc>
          <w:tcPr>
            <w:tcW w:w="24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5877" w:type="dxa"/>
            <w:gridSpan w:val="17"/>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    目</w:t>
            </w:r>
          </w:p>
        </w:tc>
        <w:tc>
          <w:tcPr>
            <w:tcW w:w="1250" w:type="dxa"/>
            <w:gridSpan w:val="5"/>
            <w:vMerge w:val="restart"/>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合计</w:t>
            </w:r>
          </w:p>
        </w:tc>
        <w:tc>
          <w:tcPr>
            <w:tcW w:w="2750" w:type="dxa"/>
            <w:gridSpan w:val="9"/>
            <w:vMerge w:val="restart"/>
            <w:tcBorders>
              <w:top w:val="single" w:color="C2C3C4" w:sz="4" w:space="0"/>
              <w:left w:val="single" w:color="C2C3C4" w:sz="4" w:space="0"/>
              <w:bottom w:val="single" w:color="C2C3C4" w:sz="4" w:space="0"/>
              <w:right w:val="single" w:color="C2C3C4" w:sz="4" w:space="0"/>
            </w:tcBorders>
            <w:shd w:val="clear" w:color="EFF2F7" w:fill="EFF2F7"/>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当年财政拨款安排</w:t>
            </w:r>
          </w:p>
        </w:tc>
        <w:tc>
          <w:tcPr>
            <w:tcW w:w="3237" w:type="dxa"/>
            <w:gridSpan w:val="10"/>
            <w:vMerge w:val="restart"/>
            <w:tcBorders>
              <w:top w:val="single" w:color="C2C3C4" w:sz="4" w:space="0"/>
              <w:left w:val="single" w:color="C2C3C4" w:sz="4" w:space="0"/>
              <w:bottom w:val="single" w:color="C2C3C4" w:sz="4" w:space="0"/>
              <w:right w:val="single" w:color="C2C3C4" w:sz="4" w:space="0"/>
            </w:tcBorders>
            <w:shd w:val="clear" w:color="EFF2F7" w:fill="EFF2F7"/>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上年结转安排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5"/>
          <w:wAfter w:w="1725" w:type="dxa"/>
          <w:trHeight w:val="427" w:hRule="atLeast"/>
        </w:trPr>
        <w:tc>
          <w:tcPr>
            <w:tcW w:w="240"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245" w:type="dxa"/>
            <w:gridSpan w:val="6"/>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科目编码</w:t>
            </w:r>
          </w:p>
        </w:tc>
        <w:tc>
          <w:tcPr>
            <w:tcW w:w="1132" w:type="dxa"/>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单位代码</w:t>
            </w:r>
          </w:p>
        </w:tc>
        <w:tc>
          <w:tcPr>
            <w:tcW w:w="3500" w:type="dxa"/>
            <w:gridSpan w:val="10"/>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单位名称（科目）</w:t>
            </w:r>
          </w:p>
        </w:tc>
        <w:tc>
          <w:tcPr>
            <w:tcW w:w="1250" w:type="dxa"/>
            <w:gridSpan w:val="5"/>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2750" w:type="dxa"/>
            <w:gridSpan w:val="9"/>
            <w:vMerge w:val="continue"/>
            <w:tcBorders>
              <w:top w:val="single" w:color="C2C3C4" w:sz="4" w:space="0"/>
              <w:left w:val="single" w:color="C2C3C4" w:sz="4" w:space="0"/>
              <w:bottom w:val="single" w:color="C2C3C4" w:sz="4" w:space="0"/>
              <w:right w:val="single" w:color="C2C3C4" w:sz="4" w:space="0"/>
            </w:tcBorders>
            <w:shd w:val="clear" w:color="EFF2F7" w:fill="EFF2F7"/>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3237" w:type="dxa"/>
            <w:gridSpan w:val="10"/>
            <w:vMerge w:val="continue"/>
            <w:tcBorders>
              <w:top w:val="single" w:color="C2C3C4" w:sz="4" w:space="0"/>
              <w:left w:val="single" w:color="C2C3C4" w:sz="4" w:space="0"/>
              <w:bottom w:val="single" w:color="C2C3C4" w:sz="4" w:space="0"/>
              <w:right w:val="single" w:color="C2C3C4" w:sz="4" w:space="0"/>
            </w:tcBorders>
            <w:shd w:val="clear" w:color="EFF2F7" w:fill="EFF2F7"/>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5"/>
          <w:wAfter w:w="1725" w:type="dxa"/>
          <w:trHeight w:val="427" w:hRule="atLeast"/>
        </w:trPr>
        <w:tc>
          <w:tcPr>
            <w:tcW w:w="240" w:type="dxa"/>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482" w:type="dxa"/>
            <w:gridSpan w:val="3"/>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类</w:t>
            </w:r>
          </w:p>
        </w:tc>
        <w:tc>
          <w:tcPr>
            <w:tcW w:w="316" w:type="dxa"/>
            <w:gridSpan w:val="2"/>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款</w:t>
            </w:r>
          </w:p>
        </w:tc>
        <w:tc>
          <w:tcPr>
            <w:tcW w:w="447" w:type="dxa"/>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w:t>
            </w:r>
          </w:p>
        </w:tc>
        <w:tc>
          <w:tcPr>
            <w:tcW w:w="1132" w:type="dxa"/>
            <w:tcBorders>
              <w:top w:val="single" w:color="C2C3C4" w:sz="4" w:space="0"/>
              <w:left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3500" w:type="dxa"/>
            <w:gridSpan w:val="10"/>
            <w:tcBorders>
              <w:top w:val="single" w:color="C2C3C4" w:sz="4" w:space="0"/>
              <w:left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250" w:type="dxa"/>
            <w:gridSpan w:val="5"/>
            <w:tcBorders>
              <w:top w:val="single" w:color="C2C3C4" w:sz="4" w:space="0"/>
              <w:left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2750" w:type="dxa"/>
            <w:gridSpan w:val="9"/>
            <w:tcBorders>
              <w:top w:val="single" w:color="C2C3C4" w:sz="4" w:space="0"/>
              <w:left w:val="single" w:color="C2C3C4" w:sz="4" w:space="0"/>
              <w:right w:val="single" w:color="C2C3C4" w:sz="4" w:space="0"/>
            </w:tcBorders>
            <w:shd w:val="clear" w:color="EFF2F7" w:fill="EFF2F7"/>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3237" w:type="dxa"/>
            <w:gridSpan w:val="10"/>
            <w:tcBorders>
              <w:top w:val="single" w:color="C2C3C4" w:sz="4" w:space="0"/>
              <w:left w:val="single" w:color="C2C3C4" w:sz="4" w:space="0"/>
              <w:right w:val="single" w:color="C2C3C4" w:sz="4" w:space="0"/>
            </w:tcBorders>
            <w:shd w:val="clear" w:color="EFF2F7" w:fill="EFF2F7"/>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5"/>
          <w:wAfter w:w="1725" w:type="dxa"/>
          <w:trHeight w:val="398" w:hRule="atLeast"/>
        </w:trPr>
        <w:tc>
          <w:tcPr>
            <w:tcW w:w="240" w:type="dxa"/>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b/>
                <w:i w:val="0"/>
                <w:color w:val="000000"/>
                <w:sz w:val="20"/>
                <w:szCs w:val="20"/>
                <w:u w:val="none"/>
              </w:rPr>
            </w:pPr>
          </w:p>
        </w:tc>
        <w:tc>
          <w:tcPr>
            <w:tcW w:w="482" w:type="dxa"/>
            <w:gridSpan w:val="3"/>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316" w:type="dxa"/>
            <w:gridSpan w:val="2"/>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447"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132"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3500" w:type="dxa"/>
            <w:gridSpan w:val="10"/>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合    计</w:t>
            </w:r>
          </w:p>
        </w:tc>
        <w:tc>
          <w:tcPr>
            <w:tcW w:w="1250" w:type="dxa"/>
            <w:gridSpan w:val="5"/>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1,249.49</w:t>
            </w:r>
          </w:p>
        </w:tc>
        <w:tc>
          <w:tcPr>
            <w:tcW w:w="2750" w:type="dxa"/>
            <w:gridSpan w:val="9"/>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1,174.49</w:t>
            </w:r>
          </w:p>
        </w:tc>
        <w:tc>
          <w:tcPr>
            <w:tcW w:w="3237" w:type="dxa"/>
            <w:gridSpan w:val="10"/>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75.00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5"/>
          <w:wAfter w:w="1725" w:type="dxa"/>
          <w:trHeight w:val="398" w:hRule="atLeast"/>
        </w:trPr>
        <w:tc>
          <w:tcPr>
            <w:tcW w:w="240" w:type="dxa"/>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482" w:type="dxa"/>
            <w:gridSpan w:val="3"/>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16" w:type="dxa"/>
            <w:gridSpan w:val="2"/>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447"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32"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500" w:type="dxa"/>
            <w:gridSpan w:val="10"/>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250" w:type="dxa"/>
            <w:gridSpan w:val="5"/>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1,249.49</w:t>
            </w:r>
          </w:p>
        </w:tc>
        <w:tc>
          <w:tcPr>
            <w:tcW w:w="2750" w:type="dxa"/>
            <w:gridSpan w:val="9"/>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1,174.49</w:t>
            </w:r>
          </w:p>
        </w:tc>
        <w:tc>
          <w:tcPr>
            <w:tcW w:w="3237" w:type="dxa"/>
            <w:gridSpan w:val="10"/>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5"/>
          <w:wAfter w:w="1725" w:type="dxa"/>
          <w:trHeight w:val="398" w:hRule="atLeast"/>
        </w:trPr>
        <w:tc>
          <w:tcPr>
            <w:tcW w:w="240" w:type="dxa"/>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482" w:type="dxa"/>
            <w:gridSpan w:val="3"/>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16" w:type="dxa"/>
            <w:gridSpan w:val="2"/>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447"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1132"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3500" w:type="dxa"/>
            <w:gridSpan w:val="10"/>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ascii="Dialog . plain" w:hAnsi="Dialog . plain" w:eastAsia="Dialog . plain" w:cs="Dialog . plain"/>
                <w:i w:val="0"/>
                <w:color w:val="000000"/>
                <w:kern w:val="0"/>
                <w:sz w:val="20"/>
                <w:szCs w:val="20"/>
                <w:u w:val="none"/>
                <w:lang w:val="en-US" w:eastAsia="zh-CN" w:bidi="ar"/>
              </w:rPr>
              <w:t>财政局部门</w:t>
            </w:r>
          </w:p>
        </w:tc>
        <w:tc>
          <w:tcPr>
            <w:tcW w:w="1250" w:type="dxa"/>
            <w:gridSpan w:val="5"/>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1,249.49</w:t>
            </w:r>
          </w:p>
        </w:tc>
        <w:tc>
          <w:tcPr>
            <w:tcW w:w="2750" w:type="dxa"/>
            <w:gridSpan w:val="9"/>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1,174.49</w:t>
            </w:r>
          </w:p>
        </w:tc>
        <w:tc>
          <w:tcPr>
            <w:tcW w:w="3237" w:type="dxa"/>
            <w:gridSpan w:val="10"/>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5"/>
          <w:wAfter w:w="1725" w:type="dxa"/>
          <w:trHeight w:val="398" w:hRule="atLeast"/>
        </w:trPr>
        <w:tc>
          <w:tcPr>
            <w:tcW w:w="240" w:type="dxa"/>
            <w:vMerge w:val="restart"/>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482" w:type="dxa"/>
            <w:gridSpan w:val="3"/>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w:t>
            </w:r>
          </w:p>
        </w:tc>
        <w:tc>
          <w:tcPr>
            <w:tcW w:w="316" w:type="dxa"/>
            <w:gridSpan w:val="2"/>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06</w:t>
            </w:r>
          </w:p>
        </w:tc>
        <w:tc>
          <w:tcPr>
            <w:tcW w:w="447"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01</w:t>
            </w:r>
          </w:p>
        </w:tc>
        <w:tc>
          <w:tcPr>
            <w:tcW w:w="1132"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106</w:t>
            </w:r>
          </w:p>
        </w:tc>
        <w:tc>
          <w:tcPr>
            <w:tcW w:w="3500" w:type="dxa"/>
            <w:gridSpan w:val="10"/>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ascii="Dialog . plain" w:hAnsi="Dialog . plain" w:eastAsia="Dialog . plain" w:cs="Dialog . plain"/>
                <w:i w:val="0"/>
                <w:color w:val="000000"/>
                <w:kern w:val="0"/>
                <w:sz w:val="20"/>
                <w:szCs w:val="20"/>
                <w:u w:val="none"/>
                <w:lang w:val="en-US" w:eastAsia="zh-CN" w:bidi="ar"/>
              </w:rPr>
              <w:t xml:space="preserve"> 行政运行</w:t>
            </w:r>
          </w:p>
        </w:tc>
        <w:tc>
          <w:tcPr>
            <w:tcW w:w="1250" w:type="dxa"/>
            <w:gridSpan w:val="5"/>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966.47</w:t>
            </w:r>
          </w:p>
        </w:tc>
        <w:tc>
          <w:tcPr>
            <w:tcW w:w="2750" w:type="dxa"/>
            <w:gridSpan w:val="9"/>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891.47</w:t>
            </w:r>
          </w:p>
        </w:tc>
        <w:tc>
          <w:tcPr>
            <w:tcW w:w="3237" w:type="dxa"/>
            <w:gridSpan w:val="10"/>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5"/>
          <w:wAfter w:w="1725" w:type="dxa"/>
          <w:trHeight w:val="398" w:hRule="atLeast"/>
        </w:trPr>
        <w:tc>
          <w:tcPr>
            <w:tcW w:w="240" w:type="dxa"/>
            <w:vMerge w:val="continue"/>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482" w:type="dxa"/>
            <w:gridSpan w:val="3"/>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w:t>
            </w:r>
          </w:p>
        </w:tc>
        <w:tc>
          <w:tcPr>
            <w:tcW w:w="316" w:type="dxa"/>
            <w:gridSpan w:val="2"/>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05</w:t>
            </w:r>
          </w:p>
        </w:tc>
        <w:tc>
          <w:tcPr>
            <w:tcW w:w="447"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05</w:t>
            </w:r>
          </w:p>
        </w:tc>
        <w:tc>
          <w:tcPr>
            <w:tcW w:w="1132"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106</w:t>
            </w:r>
          </w:p>
        </w:tc>
        <w:tc>
          <w:tcPr>
            <w:tcW w:w="3500" w:type="dxa"/>
            <w:gridSpan w:val="10"/>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ascii="Dialog . plain" w:hAnsi="Dialog . plain" w:eastAsia="Dialog . plain" w:cs="Dialog . plain"/>
                <w:i w:val="0"/>
                <w:color w:val="000000"/>
                <w:kern w:val="0"/>
                <w:sz w:val="20"/>
                <w:szCs w:val="20"/>
                <w:u w:val="none"/>
                <w:lang w:val="en-US" w:eastAsia="zh-CN" w:bidi="ar"/>
              </w:rPr>
              <w:t xml:space="preserve"> 机关事业单位基本养老保险缴费支出</w:t>
            </w:r>
          </w:p>
        </w:tc>
        <w:tc>
          <w:tcPr>
            <w:tcW w:w="1250" w:type="dxa"/>
            <w:gridSpan w:val="5"/>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91.73</w:t>
            </w:r>
          </w:p>
        </w:tc>
        <w:tc>
          <w:tcPr>
            <w:tcW w:w="2750" w:type="dxa"/>
            <w:gridSpan w:val="9"/>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91.73</w:t>
            </w:r>
          </w:p>
        </w:tc>
        <w:tc>
          <w:tcPr>
            <w:tcW w:w="3237" w:type="dxa"/>
            <w:gridSpan w:val="10"/>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5"/>
          <w:wAfter w:w="1725" w:type="dxa"/>
          <w:trHeight w:val="398" w:hRule="atLeast"/>
        </w:trPr>
        <w:tc>
          <w:tcPr>
            <w:tcW w:w="240" w:type="dxa"/>
            <w:vMerge w:val="continue"/>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482" w:type="dxa"/>
            <w:gridSpan w:val="3"/>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w:t>
            </w:r>
          </w:p>
        </w:tc>
        <w:tc>
          <w:tcPr>
            <w:tcW w:w="316" w:type="dxa"/>
            <w:gridSpan w:val="2"/>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05</w:t>
            </w:r>
          </w:p>
        </w:tc>
        <w:tc>
          <w:tcPr>
            <w:tcW w:w="447"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06</w:t>
            </w:r>
          </w:p>
        </w:tc>
        <w:tc>
          <w:tcPr>
            <w:tcW w:w="1132"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106</w:t>
            </w:r>
          </w:p>
        </w:tc>
        <w:tc>
          <w:tcPr>
            <w:tcW w:w="3500" w:type="dxa"/>
            <w:gridSpan w:val="10"/>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ascii="Dialog . plain" w:hAnsi="Dialog . plain" w:eastAsia="Dialog . plain" w:cs="Dialog . plain"/>
                <w:i w:val="0"/>
                <w:color w:val="000000"/>
                <w:kern w:val="0"/>
                <w:sz w:val="20"/>
                <w:szCs w:val="20"/>
                <w:u w:val="none"/>
                <w:lang w:val="en-US" w:eastAsia="zh-CN" w:bidi="ar"/>
              </w:rPr>
              <w:t xml:space="preserve"> 机关事业单位职业年金缴费支出</w:t>
            </w:r>
          </w:p>
        </w:tc>
        <w:tc>
          <w:tcPr>
            <w:tcW w:w="1250" w:type="dxa"/>
            <w:gridSpan w:val="5"/>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52.01</w:t>
            </w:r>
          </w:p>
        </w:tc>
        <w:tc>
          <w:tcPr>
            <w:tcW w:w="2750" w:type="dxa"/>
            <w:gridSpan w:val="9"/>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52.01</w:t>
            </w:r>
          </w:p>
        </w:tc>
        <w:tc>
          <w:tcPr>
            <w:tcW w:w="3237" w:type="dxa"/>
            <w:gridSpan w:val="10"/>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5"/>
          <w:wAfter w:w="1725" w:type="dxa"/>
          <w:trHeight w:val="398" w:hRule="atLeast"/>
        </w:trPr>
        <w:tc>
          <w:tcPr>
            <w:tcW w:w="240" w:type="dxa"/>
            <w:vMerge w:val="continue"/>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482" w:type="dxa"/>
            <w:gridSpan w:val="3"/>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w:t>
            </w:r>
          </w:p>
        </w:tc>
        <w:tc>
          <w:tcPr>
            <w:tcW w:w="316" w:type="dxa"/>
            <w:gridSpan w:val="2"/>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w:t>
            </w:r>
          </w:p>
        </w:tc>
        <w:tc>
          <w:tcPr>
            <w:tcW w:w="447"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01</w:t>
            </w:r>
          </w:p>
        </w:tc>
        <w:tc>
          <w:tcPr>
            <w:tcW w:w="1132"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106</w:t>
            </w:r>
          </w:p>
        </w:tc>
        <w:tc>
          <w:tcPr>
            <w:tcW w:w="3500" w:type="dxa"/>
            <w:gridSpan w:val="10"/>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ascii="Dialog . plain" w:hAnsi="Dialog . plain" w:eastAsia="Dialog . plain" w:cs="Dialog . plain"/>
                <w:i w:val="0"/>
                <w:color w:val="000000"/>
                <w:kern w:val="0"/>
                <w:sz w:val="20"/>
                <w:szCs w:val="20"/>
                <w:u w:val="none"/>
                <w:lang w:val="en-US" w:eastAsia="zh-CN" w:bidi="ar"/>
              </w:rPr>
              <w:t xml:space="preserve"> 行政单位医疗</w:t>
            </w:r>
          </w:p>
        </w:tc>
        <w:tc>
          <w:tcPr>
            <w:tcW w:w="1250" w:type="dxa"/>
            <w:gridSpan w:val="5"/>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45.51</w:t>
            </w:r>
          </w:p>
        </w:tc>
        <w:tc>
          <w:tcPr>
            <w:tcW w:w="2750" w:type="dxa"/>
            <w:gridSpan w:val="9"/>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45.51</w:t>
            </w:r>
          </w:p>
        </w:tc>
        <w:tc>
          <w:tcPr>
            <w:tcW w:w="3237" w:type="dxa"/>
            <w:gridSpan w:val="10"/>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5"/>
          <w:wAfter w:w="1725" w:type="dxa"/>
          <w:trHeight w:val="398" w:hRule="atLeast"/>
        </w:trPr>
        <w:tc>
          <w:tcPr>
            <w:tcW w:w="240" w:type="dxa"/>
            <w:vMerge w:val="continue"/>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482" w:type="dxa"/>
            <w:gridSpan w:val="3"/>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w:t>
            </w:r>
          </w:p>
        </w:tc>
        <w:tc>
          <w:tcPr>
            <w:tcW w:w="316" w:type="dxa"/>
            <w:gridSpan w:val="2"/>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w:t>
            </w:r>
          </w:p>
        </w:tc>
        <w:tc>
          <w:tcPr>
            <w:tcW w:w="447"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03</w:t>
            </w:r>
          </w:p>
        </w:tc>
        <w:tc>
          <w:tcPr>
            <w:tcW w:w="1132"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106</w:t>
            </w:r>
          </w:p>
        </w:tc>
        <w:tc>
          <w:tcPr>
            <w:tcW w:w="3500" w:type="dxa"/>
            <w:gridSpan w:val="10"/>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ascii="Dialog . plain" w:hAnsi="Dialog . plain" w:eastAsia="Dialog . plain" w:cs="Dialog . plain"/>
                <w:i w:val="0"/>
                <w:color w:val="000000"/>
                <w:kern w:val="0"/>
                <w:sz w:val="20"/>
                <w:szCs w:val="20"/>
                <w:u w:val="none"/>
                <w:lang w:val="en-US" w:eastAsia="zh-CN" w:bidi="ar"/>
              </w:rPr>
              <w:t xml:space="preserve"> 公务员医疗补助</w:t>
            </w:r>
          </w:p>
        </w:tc>
        <w:tc>
          <w:tcPr>
            <w:tcW w:w="1250" w:type="dxa"/>
            <w:gridSpan w:val="5"/>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15.70</w:t>
            </w:r>
          </w:p>
        </w:tc>
        <w:tc>
          <w:tcPr>
            <w:tcW w:w="2750" w:type="dxa"/>
            <w:gridSpan w:val="9"/>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15.70</w:t>
            </w:r>
          </w:p>
        </w:tc>
        <w:tc>
          <w:tcPr>
            <w:tcW w:w="3237" w:type="dxa"/>
            <w:gridSpan w:val="10"/>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5"/>
          <w:wAfter w:w="1725" w:type="dxa"/>
          <w:trHeight w:val="398" w:hRule="atLeast"/>
        </w:trPr>
        <w:tc>
          <w:tcPr>
            <w:tcW w:w="240" w:type="dxa"/>
            <w:vMerge w:val="continue"/>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482" w:type="dxa"/>
            <w:gridSpan w:val="3"/>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w:t>
            </w:r>
          </w:p>
        </w:tc>
        <w:tc>
          <w:tcPr>
            <w:tcW w:w="316" w:type="dxa"/>
            <w:gridSpan w:val="2"/>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02</w:t>
            </w:r>
          </w:p>
        </w:tc>
        <w:tc>
          <w:tcPr>
            <w:tcW w:w="447"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01</w:t>
            </w:r>
          </w:p>
        </w:tc>
        <w:tc>
          <w:tcPr>
            <w:tcW w:w="1132"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106</w:t>
            </w:r>
          </w:p>
        </w:tc>
        <w:tc>
          <w:tcPr>
            <w:tcW w:w="3500" w:type="dxa"/>
            <w:gridSpan w:val="10"/>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ascii="Dialog . plain" w:hAnsi="Dialog . plain" w:eastAsia="Dialog . plain" w:cs="Dialog . plain"/>
                <w:i w:val="0"/>
                <w:color w:val="000000"/>
                <w:kern w:val="0"/>
                <w:sz w:val="20"/>
                <w:szCs w:val="20"/>
                <w:u w:val="none"/>
                <w:lang w:val="en-US" w:eastAsia="zh-CN" w:bidi="ar"/>
              </w:rPr>
              <w:t xml:space="preserve"> 住房公积金</w:t>
            </w:r>
          </w:p>
        </w:tc>
        <w:tc>
          <w:tcPr>
            <w:tcW w:w="1250" w:type="dxa"/>
            <w:gridSpan w:val="5"/>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78.05</w:t>
            </w:r>
          </w:p>
        </w:tc>
        <w:tc>
          <w:tcPr>
            <w:tcW w:w="2750" w:type="dxa"/>
            <w:gridSpan w:val="9"/>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78.05</w:t>
            </w:r>
          </w:p>
        </w:tc>
        <w:tc>
          <w:tcPr>
            <w:tcW w:w="3237" w:type="dxa"/>
            <w:gridSpan w:val="10"/>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bl>
    <w:p>
      <w:pPr>
        <w:pStyle w:val="2"/>
        <w:sectPr>
          <w:pgSz w:w="16838" w:h="11906" w:orient="landscape"/>
          <w:pgMar w:top="1800" w:right="618" w:bottom="1800" w:left="1440" w:header="454" w:footer="992" w:gutter="0"/>
          <w:cols w:space="425" w:num="1"/>
          <w:docGrid w:type="lines" w:linePitch="312" w:charSpace="0"/>
        </w:sectPr>
      </w:pPr>
    </w:p>
    <w:tbl>
      <w:tblPr>
        <w:tblStyle w:val="8"/>
        <w:tblW w:w="97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54"/>
        <w:gridCol w:w="563"/>
        <w:gridCol w:w="640"/>
        <w:gridCol w:w="974"/>
        <w:gridCol w:w="3226"/>
        <w:gridCol w:w="1079"/>
        <w:gridCol w:w="1276"/>
        <w:gridCol w:w="17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90" w:hRule="atLeast"/>
        </w:trPr>
        <w:tc>
          <w:tcPr>
            <w:tcW w:w="254" w:type="dxa"/>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1203" w:type="dxa"/>
            <w:gridSpan w:val="2"/>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974"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3226"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1079" w:type="dxa"/>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1276" w:type="dxa"/>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1724"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3"/>
                <w:szCs w:val="13"/>
                <w:u w:val="none"/>
              </w:rPr>
            </w:pPr>
            <w:r>
              <w:rPr>
                <w:rFonts w:ascii="宋体" w:hAnsi="宋体" w:eastAsia="宋体" w:cs="宋体"/>
                <w:i w:val="0"/>
                <w:color w:val="000000"/>
                <w:kern w:val="0"/>
                <w:sz w:val="13"/>
                <w:szCs w:val="13"/>
                <w:u w:val="none"/>
                <w:lang w:val="en-US" w:eastAsia="zh-CN" w:bidi="ar"/>
              </w:rPr>
              <w:t>表3-1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7" w:hRule="atLeast"/>
        </w:trPr>
        <w:tc>
          <w:tcPr>
            <w:tcW w:w="254" w:type="dxa"/>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9482" w:type="dxa"/>
            <w:gridSpan w:val="7"/>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20"/>
                <w:szCs w:val="20"/>
                <w:u w:val="none"/>
                <w:lang w:val="en-US" w:eastAsia="zh-CN" w:bidi="ar"/>
              </w:rPr>
              <w:t>一般公共预算基本支出预算表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254" w:type="dxa"/>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403" w:type="dxa"/>
            <w:gridSpan w:val="4"/>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部门：</w:t>
            </w:r>
          </w:p>
        </w:tc>
        <w:tc>
          <w:tcPr>
            <w:tcW w:w="1079"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1276" w:type="dxa"/>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1724" w:type="dxa"/>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254" w:type="dxa"/>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403" w:type="dxa"/>
            <w:gridSpan w:val="4"/>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项    目</w:t>
            </w:r>
          </w:p>
        </w:tc>
        <w:tc>
          <w:tcPr>
            <w:tcW w:w="4079" w:type="dxa"/>
            <w:gridSpan w:val="3"/>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基本支出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254" w:type="dxa"/>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1203" w:type="dxa"/>
            <w:gridSpan w:val="2"/>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科目编码</w:t>
            </w:r>
          </w:p>
        </w:tc>
        <w:tc>
          <w:tcPr>
            <w:tcW w:w="974" w:type="dxa"/>
            <w:vMerge w:val="restart"/>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单位代码</w:t>
            </w:r>
          </w:p>
        </w:tc>
        <w:tc>
          <w:tcPr>
            <w:tcW w:w="3226" w:type="dxa"/>
            <w:vMerge w:val="restart"/>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单位名称（科目）</w:t>
            </w:r>
          </w:p>
        </w:tc>
        <w:tc>
          <w:tcPr>
            <w:tcW w:w="1079" w:type="dxa"/>
            <w:vMerge w:val="restart"/>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合计</w:t>
            </w:r>
          </w:p>
        </w:tc>
        <w:tc>
          <w:tcPr>
            <w:tcW w:w="1276" w:type="dxa"/>
            <w:vMerge w:val="restart"/>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人员经费</w:t>
            </w:r>
          </w:p>
        </w:tc>
        <w:tc>
          <w:tcPr>
            <w:tcW w:w="1724" w:type="dxa"/>
            <w:vMerge w:val="restart"/>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6" w:hRule="atLeast"/>
        </w:trPr>
        <w:tc>
          <w:tcPr>
            <w:tcW w:w="254"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类</w:t>
            </w:r>
          </w:p>
        </w:tc>
        <w:tc>
          <w:tcPr>
            <w:tcW w:w="640" w:type="dxa"/>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款</w:t>
            </w:r>
          </w:p>
        </w:tc>
        <w:tc>
          <w:tcPr>
            <w:tcW w:w="974" w:type="dxa"/>
            <w:vMerge w:val="continue"/>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13"/>
                <w:szCs w:val="13"/>
                <w:u w:val="none"/>
              </w:rPr>
            </w:pPr>
          </w:p>
        </w:tc>
        <w:tc>
          <w:tcPr>
            <w:tcW w:w="3226" w:type="dxa"/>
            <w:vMerge w:val="continue"/>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13"/>
                <w:szCs w:val="13"/>
                <w:u w:val="none"/>
              </w:rPr>
            </w:pPr>
          </w:p>
        </w:tc>
        <w:tc>
          <w:tcPr>
            <w:tcW w:w="1079" w:type="dxa"/>
            <w:vMerge w:val="continue"/>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13"/>
                <w:szCs w:val="13"/>
                <w:u w:val="none"/>
              </w:rPr>
            </w:pPr>
          </w:p>
        </w:tc>
        <w:tc>
          <w:tcPr>
            <w:tcW w:w="1276" w:type="dxa"/>
            <w:vMerge w:val="continue"/>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13"/>
                <w:szCs w:val="13"/>
                <w:u w:val="none"/>
              </w:rPr>
            </w:pPr>
          </w:p>
        </w:tc>
        <w:tc>
          <w:tcPr>
            <w:tcW w:w="1724" w:type="dxa"/>
            <w:vMerge w:val="continue"/>
            <w:tcBorders>
              <w:top w:val="single" w:color="C0C0C0" w:sz="4" w:space="0"/>
              <w:left w:val="single" w:color="C0C0C0" w:sz="4" w:space="0"/>
              <w:bottom w:val="single" w:color="C0C0C0" w:sz="4" w:space="0"/>
              <w:right w:val="single" w:color="C0C0C0"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90" w:hRule="atLeast"/>
        </w:trPr>
        <w:tc>
          <w:tcPr>
            <w:tcW w:w="254" w:type="dxa"/>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3"/>
                <w:szCs w:val="13"/>
                <w:u w:val="none"/>
              </w:rPr>
            </w:pPr>
          </w:p>
        </w:tc>
        <w:tc>
          <w:tcPr>
            <w:tcW w:w="640"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3"/>
                <w:szCs w:val="13"/>
                <w:u w:val="none"/>
              </w:rPr>
            </w:pP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3"/>
                <w:szCs w:val="13"/>
                <w:u w:val="none"/>
              </w:rPr>
            </w:pPr>
          </w:p>
        </w:tc>
        <w:tc>
          <w:tcPr>
            <w:tcW w:w="3226"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合    计</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944.69</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879.37</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65.32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98" w:hRule="atLeast"/>
        </w:trPr>
        <w:tc>
          <w:tcPr>
            <w:tcW w:w="254" w:type="dxa"/>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left"/>
              <w:rPr>
                <w:rFonts w:hint="eastAsia" w:ascii="宋体" w:hAnsi="宋体" w:eastAsia="宋体" w:cs="宋体"/>
                <w:i w:val="0"/>
                <w:color w:val="000000"/>
                <w:sz w:val="13"/>
                <w:szCs w:val="13"/>
                <w:u w:val="none"/>
              </w:rPr>
            </w:pP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3"/>
                <w:szCs w:val="13"/>
                <w:u w:val="none"/>
              </w:rPr>
            </w:pP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944.69</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879.37</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65.32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0" w:hRule="atLeast"/>
        </w:trPr>
        <w:tc>
          <w:tcPr>
            <w:tcW w:w="254" w:type="dxa"/>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106001</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财政局</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587.10</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547.34</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39.76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0" w:hRule="atLeast"/>
        </w:trPr>
        <w:tc>
          <w:tcPr>
            <w:tcW w:w="254" w:type="dxa"/>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工资福利支出</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547.34</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547.34</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8" w:hRule="atLeast"/>
        </w:trPr>
        <w:tc>
          <w:tcPr>
            <w:tcW w:w="254" w:type="dxa"/>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01</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30101</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基本工资</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122.52</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122.52</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90"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02</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30102</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津贴补贴</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88.42</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88.42</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98" w:hRule="atLeast"/>
        </w:trPr>
        <w:tc>
          <w:tcPr>
            <w:tcW w:w="254" w:type="dxa"/>
            <w:vMerge w:val="restart"/>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02</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3010201</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公务员规范津贴补贴</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60.44</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60.44</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0" w:hRule="atLeast"/>
        </w:trPr>
        <w:tc>
          <w:tcPr>
            <w:tcW w:w="254" w:type="dxa"/>
            <w:vMerge w:val="continue"/>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02</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3010202</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艰苦边远地区津贴</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23.71</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23.71</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0" w:hRule="atLeast"/>
        </w:trPr>
        <w:tc>
          <w:tcPr>
            <w:tcW w:w="254" w:type="dxa"/>
            <w:vMerge w:val="continue"/>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02</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3010203</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高海拔地区折算工龄补贴</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1.51</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1.51</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0" w:hRule="atLeast"/>
        </w:trPr>
        <w:tc>
          <w:tcPr>
            <w:tcW w:w="254" w:type="dxa"/>
            <w:vMerge w:val="continue"/>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02</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3010205</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乡镇工作补贴</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0.84</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0.84</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0" w:hRule="atLeast"/>
        </w:trPr>
        <w:tc>
          <w:tcPr>
            <w:tcW w:w="254" w:type="dxa"/>
            <w:vMerge w:val="continue"/>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02</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3010207</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其他国家津补贴</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1.91</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1.91</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5"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03</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30103</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奖金</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108.63</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108.63</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7" w:hRule="atLeast"/>
        </w:trPr>
        <w:tc>
          <w:tcPr>
            <w:tcW w:w="254" w:type="dxa"/>
            <w:vMerge w:val="restart"/>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03</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3010301</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年终一次性奖金</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10.21</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10.21</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vMerge w:val="continue"/>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03</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3010302</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基础绩效奖</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98.42</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98.42</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7"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07</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30107</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绩效工资</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30.99</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30.99</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08</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30108</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机关事业单位基本养老保险缴费</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56.09</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56.09</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09</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30109</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职业年金缴费</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31.79</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31.79</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10</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30110</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职工基本医疗保险缴费</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27.81</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27.81</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11</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30111</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公务员医疗补助缴费</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10.84</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10.84</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7"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12</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30112</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其他社会保障缴费</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1.37</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1.37</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vMerge w:val="restart"/>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12</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3011201</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工伤保险</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0.56</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0.56</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vMerge w:val="continue"/>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12</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3011202</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失业保险</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0.81</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0.81</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7"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13</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30113</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住房公积金</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47.69</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47.69</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99</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30199</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其他工资福利支出</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21.21</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21.21</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vMerge w:val="restart"/>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99</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3019901</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长聘人员经费</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13.44</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13.44</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vMerge w:val="continue"/>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99</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3019911</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聘用人员养老保险</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3.46</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3.46</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7" w:hRule="atLeast"/>
        </w:trPr>
        <w:tc>
          <w:tcPr>
            <w:tcW w:w="254" w:type="dxa"/>
            <w:vMerge w:val="continue"/>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99</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3019912</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聘用人员医疗保险</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2.53</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2.53</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vMerge w:val="continue"/>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99</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3019913</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聘用人员工伤保险</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0.03</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0.03</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vMerge w:val="continue"/>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99</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3019914</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聘用人员失业保险</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0.13</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0.13</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vMerge w:val="continue"/>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99</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3019915</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聘用人员住房公积金</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1.61</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1.61</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11"/>
                <w:szCs w:val="11"/>
                <w:u w:val="none"/>
              </w:rPr>
            </w:pP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11"/>
                <w:szCs w:val="11"/>
                <w:u w:val="none"/>
              </w:rPr>
            </w:pP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302</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商品和服务支出</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39.76</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39.76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7" w:hRule="atLeast"/>
        </w:trPr>
        <w:tc>
          <w:tcPr>
            <w:tcW w:w="254" w:type="dxa"/>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302</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01</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30201</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办公费</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6.00</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302</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02</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30202</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印刷费</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1.00</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302</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07</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30207</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邮电费</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3.70</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302</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11</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30211</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差旅费</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9.00</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302</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16</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30216</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培训费</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2.05</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7"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302</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17</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30217</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公务接待费</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0.59</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0.59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302</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28</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30228</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工会经费</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4.57</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4.57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302</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29</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30229</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福利费</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6.85</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6.85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302</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31</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30231</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公务用车运行维护费</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6.00</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b w:val="0"/>
                <w:bCs w:val="0"/>
                <w:i w:val="0"/>
                <w:color w:val="000000"/>
                <w:sz w:val="11"/>
                <w:szCs w:val="11"/>
                <w:u w:val="none"/>
              </w:rPr>
            </w:pP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b w:val="0"/>
                <w:bCs w:val="0"/>
                <w:i w:val="0"/>
                <w:color w:val="000000"/>
                <w:sz w:val="11"/>
                <w:szCs w:val="11"/>
                <w:u w:val="none"/>
              </w:rPr>
            </w:pP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106002</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财政国库支付中心</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357.59</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332.03</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25.56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b w:val="0"/>
                <w:bCs w:val="0"/>
                <w:i w:val="0"/>
                <w:color w:val="000000"/>
                <w:sz w:val="11"/>
                <w:szCs w:val="11"/>
                <w:u w:val="none"/>
              </w:rPr>
            </w:pP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b w:val="0"/>
                <w:bCs w:val="0"/>
                <w:i w:val="0"/>
                <w:color w:val="000000"/>
                <w:sz w:val="11"/>
                <w:szCs w:val="11"/>
                <w:u w:val="none"/>
              </w:rPr>
            </w:pP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工资福利支出</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332.03</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332.03</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01</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30101</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基本工资</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79.26</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79.26</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7"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02</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30102</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津贴补贴</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75.19</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75.19</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vMerge w:val="restart"/>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02</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3010201</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公务员规范津贴补贴</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57.70</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57.70</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vMerge w:val="continue"/>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02</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3010202</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艰苦边远地区津贴</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15.14</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15.14</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vMerge w:val="continue"/>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02</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3010203</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高海拔地区折算工龄补贴</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0.27</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0.27</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vMerge w:val="continue"/>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02</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3010205</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乡镇工作补贴</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0.84</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0.84</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vMerge w:val="continue"/>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02</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3010207</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其他国家津补贴</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1.24</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1.24</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03</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30103</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奖金</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68.34</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68.34</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vMerge w:val="restart"/>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03</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3010301</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年终一次性奖金</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6.61</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6.61</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vMerge w:val="continue"/>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03</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3010302</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基础绩效奖</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61.74</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61.74</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08</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30108</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机关事业单位基本养老保险缴费</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35.65</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35.65</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09</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30109</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职业年金缴费</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20.23</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20.23</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7"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10</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30110</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职工基本医疗保险缴费</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17.70</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17.70</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11</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30111</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公务员医疗补助缴费</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4.87</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4.87</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12</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30112</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其他社会保障缴费</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0.44</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0.44</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vMerge w:val="restart"/>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12</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3011201</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工伤保险</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0.36</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0.36</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vMerge w:val="continue"/>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sz w:val="11"/>
                <w:szCs w:val="11"/>
                <w:u w:val="none"/>
              </w:rPr>
            </w:pPr>
            <w:r>
              <w:rPr>
                <w:rStyle w:val="20"/>
                <w:rFonts w:hint="eastAsia" w:ascii="仿宋_GB2312" w:hAnsi="仿宋_GB2312" w:eastAsia="仿宋_GB2312" w:cs="仿宋_GB2312"/>
                <w:b w:val="0"/>
                <w:bCs w:val="0"/>
                <w:sz w:val="11"/>
                <w:szCs w:val="11"/>
                <w:lang w:val="en-US" w:eastAsia="zh-CN" w:bidi="ar"/>
              </w:rPr>
              <w:t>12</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3011202</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失业保险</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0.08</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0.08</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301</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13</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30113</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住房公积金</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30.36</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30.36</w:t>
            </w: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11"/>
                <w:szCs w:val="11"/>
                <w:u w:val="none"/>
              </w:rPr>
            </w:pP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jc w:val="center"/>
              <w:rPr>
                <w:rFonts w:hint="eastAsia" w:ascii="仿宋_GB2312" w:hAnsi="仿宋_GB2312" w:eastAsia="仿宋_GB2312" w:cs="仿宋_GB2312"/>
                <w:i w:val="0"/>
                <w:color w:val="000000"/>
                <w:sz w:val="11"/>
                <w:szCs w:val="11"/>
                <w:u w:val="none"/>
              </w:rPr>
            </w:pP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302</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13"/>
                <w:szCs w:val="13"/>
                <w:u w:val="none"/>
              </w:rPr>
            </w:pPr>
            <w:r>
              <w:rPr>
                <w:rStyle w:val="20"/>
                <w:sz w:val="13"/>
                <w:szCs w:val="13"/>
                <w:lang w:val="en-US" w:eastAsia="zh-CN" w:bidi="ar"/>
              </w:rPr>
              <w:t xml:space="preserve"> 商品和服务支出</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25.56</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25.56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302</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01</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30201</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办公费</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6.00</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302</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11</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30211</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差旅费</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5.00</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302</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16</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30216</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培训费</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4.16</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4.16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57"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302</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17</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30217</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公务接待费</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0.41</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0.41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302</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28</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30228</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工会经费</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2.92</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5"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302</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29</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30229</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福利费</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4.38</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4.38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8" w:hRule="atLeast"/>
        </w:trPr>
        <w:tc>
          <w:tcPr>
            <w:tcW w:w="25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63"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302</w:t>
            </w:r>
          </w:p>
        </w:tc>
        <w:tc>
          <w:tcPr>
            <w:tcW w:w="640"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11"/>
                <w:szCs w:val="11"/>
                <w:u w:val="none"/>
              </w:rPr>
            </w:pPr>
            <w:r>
              <w:rPr>
                <w:rStyle w:val="20"/>
                <w:rFonts w:hint="eastAsia" w:ascii="仿宋_GB2312" w:hAnsi="仿宋_GB2312" w:eastAsia="仿宋_GB2312" w:cs="仿宋_GB2312"/>
                <w:sz w:val="11"/>
                <w:szCs w:val="11"/>
                <w:lang w:val="en-US" w:eastAsia="zh-CN" w:bidi="ar"/>
              </w:rPr>
              <w:t>39</w:t>
            </w:r>
          </w:p>
        </w:tc>
        <w:tc>
          <w:tcPr>
            <w:tcW w:w="97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30239</w:t>
            </w:r>
          </w:p>
        </w:tc>
        <w:tc>
          <w:tcPr>
            <w:tcW w:w="3226" w:type="dxa"/>
            <w:tcBorders>
              <w:top w:val="single" w:color="C0C0C0" w:sz="4" w:space="0"/>
              <w:left w:val="single" w:color="C0C0C0" w:sz="4" w:space="0"/>
              <w:bottom w:val="single" w:color="C0C0C0" w:sz="4" w:space="0"/>
              <w:right w:val="single" w:color="C0C0C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Style w:val="20"/>
                <w:sz w:val="13"/>
                <w:szCs w:val="13"/>
                <w:lang w:val="en-US" w:eastAsia="zh-CN" w:bidi="ar"/>
              </w:rPr>
              <w:t xml:space="preserve">  其他交通费用</w:t>
            </w:r>
          </w:p>
        </w:tc>
        <w:tc>
          <w:tcPr>
            <w:tcW w:w="1079"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2.70</w:t>
            </w:r>
          </w:p>
        </w:tc>
        <w:tc>
          <w:tcPr>
            <w:tcW w:w="1276"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3"/>
                <w:szCs w:val="13"/>
                <w:u w:val="none"/>
              </w:rPr>
            </w:pPr>
          </w:p>
        </w:tc>
        <w:tc>
          <w:tcPr>
            <w:tcW w:w="1724" w:type="dxa"/>
            <w:tcBorders>
              <w:top w:val="single" w:color="C0C0C0" w:sz="4" w:space="0"/>
              <w:left w:val="single" w:color="C0C0C0" w:sz="4" w:space="0"/>
              <w:bottom w:val="single" w:color="C0C0C0" w:sz="4" w:space="0"/>
              <w:right w:val="single" w:color="C0C0C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2.70</w:t>
            </w:r>
          </w:p>
        </w:tc>
      </w:tr>
    </w:tbl>
    <w:p/>
    <w:p>
      <w:pPr>
        <w:pStyle w:val="2"/>
      </w:pPr>
    </w:p>
    <w:tbl>
      <w:tblPr>
        <w:tblStyle w:val="8"/>
        <w:tblW w:w="91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84"/>
        <w:gridCol w:w="925"/>
        <w:gridCol w:w="645"/>
        <w:gridCol w:w="644"/>
        <w:gridCol w:w="914"/>
        <w:gridCol w:w="3889"/>
        <w:gridCol w:w="19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6" w:hRule="atLeast"/>
        </w:trPr>
        <w:tc>
          <w:tcPr>
            <w:tcW w:w="184" w:type="dxa"/>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14" w:type="dxa"/>
            <w:gridSpan w:val="3"/>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885"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3915"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表3-2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8" w:hRule="atLeast"/>
        </w:trPr>
        <w:tc>
          <w:tcPr>
            <w:tcW w:w="0" w:type="auto"/>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gridSpan w:val="6"/>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一般公共预算项目支出预算表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1" w:hRule="atLeast"/>
        </w:trPr>
        <w:tc>
          <w:tcPr>
            <w:tcW w:w="0" w:type="auto"/>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gridSpan w:val="5"/>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7" w:hRule="atLeast"/>
        </w:trPr>
        <w:tc>
          <w:tcPr>
            <w:tcW w:w="184" w:type="dxa"/>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7" w:hRule="atLeast"/>
        </w:trPr>
        <w:tc>
          <w:tcPr>
            <w:tcW w:w="184" w:type="dxa"/>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b/>
                <w:i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304.80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8" w:hRule="atLeast"/>
        </w:trPr>
        <w:tc>
          <w:tcPr>
            <w:tcW w:w="184" w:type="dxa"/>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915" w:type="dxa"/>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304.80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8" w:hRule="atLeast"/>
        </w:trPr>
        <w:tc>
          <w:tcPr>
            <w:tcW w:w="184" w:type="dxa"/>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915" w:type="dxa"/>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财政局</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264.80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8" w:hRule="atLeast"/>
        </w:trPr>
        <w:tc>
          <w:tcPr>
            <w:tcW w:w="184" w:type="dxa"/>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915" w:type="dxa"/>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行政运行</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264.80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8" w:hRule="atLeast"/>
        </w:trPr>
        <w:tc>
          <w:tcPr>
            <w:tcW w:w="184" w:type="dxa"/>
            <w:vMerge w:val="restart"/>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106001</w:t>
            </w:r>
          </w:p>
        </w:tc>
        <w:tc>
          <w:tcPr>
            <w:tcW w:w="3915" w:type="dxa"/>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预算一体化运维经费</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8" w:hRule="atLeast"/>
        </w:trPr>
        <w:tc>
          <w:tcPr>
            <w:tcW w:w="184" w:type="dxa"/>
            <w:vMerge w:val="continue"/>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106001</w:t>
            </w:r>
          </w:p>
        </w:tc>
        <w:tc>
          <w:tcPr>
            <w:tcW w:w="3915" w:type="dxa"/>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财政金财网运行维护费</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8" w:hRule="atLeast"/>
        </w:trPr>
        <w:tc>
          <w:tcPr>
            <w:tcW w:w="184" w:type="dxa"/>
            <w:vMerge w:val="continue"/>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106001</w:t>
            </w:r>
          </w:p>
        </w:tc>
        <w:tc>
          <w:tcPr>
            <w:tcW w:w="3915" w:type="dxa"/>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财政监督检查工作经费</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8" w:hRule="atLeast"/>
        </w:trPr>
        <w:tc>
          <w:tcPr>
            <w:tcW w:w="184" w:type="dxa"/>
            <w:vMerge w:val="continue"/>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106001</w:t>
            </w:r>
          </w:p>
        </w:tc>
        <w:tc>
          <w:tcPr>
            <w:tcW w:w="3915" w:type="dxa"/>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资产和票据系统服务费</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8" w:hRule="atLeast"/>
        </w:trPr>
        <w:tc>
          <w:tcPr>
            <w:tcW w:w="184" w:type="dxa"/>
            <w:vMerge w:val="continue"/>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106001</w:t>
            </w:r>
          </w:p>
        </w:tc>
        <w:tc>
          <w:tcPr>
            <w:tcW w:w="3915" w:type="dxa"/>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财政干部职工能力提升费用</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8" w:hRule="atLeast"/>
        </w:trPr>
        <w:tc>
          <w:tcPr>
            <w:tcW w:w="184" w:type="dxa"/>
            <w:vMerge w:val="continue"/>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106001</w:t>
            </w:r>
          </w:p>
        </w:tc>
        <w:tc>
          <w:tcPr>
            <w:tcW w:w="3915" w:type="dxa"/>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省级公务员平时考核联系点工作经费</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8" w:hRule="atLeast"/>
        </w:trPr>
        <w:tc>
          <w:tcPr>
            <w:tcW w:w="184" w:type="dxa"/>
            <w:vMerge w:val="continue"/>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106001</w:t>
            </w:r>
          </w:p>
        </w:tc>
        <w:tc>
          <w:tcPr>
            <w:tcW w:w="3915" w:type="dxa"/>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财政系统自身建设</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8" w:hRule="atLeast"/>
        </w:trPr>
        <w:tc>
          <w:tcPr>
            <w:tcW w:w="184" w:type="dxa"/>
            <w:vMerge w:val="continue"/>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106001</w:t>
            </w:r>
          </w:p>
        </w:tc>
        <w:tc>
          <w:tcPr>
            <w:tcW w:w="3915" w:type="dxa"/>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政府采购一体化平台运营服务费</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8" w:hRule="atLeast"/>
        </w:trPr>
        <w:tc>
          <w:tcPr>
            <w:tcW w:w="184" w:type="dxa"/>
            <w:vMerge w:val="continue"/>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106001</w:t>
            </w:r>
          </w:p>
        </w:tc>
        <w:tc>
          <w:tcPr>
            <w:tcW w:w="3915" w:type="dxa"/>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金融工作经费</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8" w:hRule="atLeast"/>
        </w:trPr>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915" w:type="dxa"/>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财政国库支付中心</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8" w:hRule="atLeast"/>
        </w:trPr>
        <w:tc>
          <w:tcPr>
            <w:tcW w:w="184" w:type="dxa"/>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915" w:type="dxa"/>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行政运行</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8" w:hRule="atLeast"/>
        </w:trPr>
        <w:tc>
          <w:tcPr>
            <w:tcW w:w="184" w:type="dxa"/>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106002</w:t>
            </w:r>
          </w:p>
        </w:tc>
        <w:tc>
          <w:tcPr>
            <w:tcW w:w="3915" w:type="dxa"/>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财政业务专项监督检查</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40.00</w:t>
            </w:r>
          </w:p>
        </w:tc>
      </w:tr>
    </w:tbl>
    <w:p>
      <w:pPr>
        <w:sectPr>
          <w:pgSz w:w="11906" w:h="16838"/>
          <w:pgMar w:top="618" w:right="1800" w:bottom="1440" w:left="1800" w:header="454" w:footer="992" w:gutter="0"/>
          <w:cols w:space="425" w:num="1"/>
          <w:docGrid w:type="lines" w:linePitch="312" w:charSpace="0"/>
        </w:sectPr>
      </w:pPr>
    </w:p>
    <w:tbl>
      <w:tblPr>
        <w:tblStyle w:val="8"/>
        <w:tblW w:w="98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84"/>
        <w:gridCol w:w="914"/>
        <w:gridCol w:w="2007"/>
        <w:gridCol w:w="796"/>
        <w:gridCol w:w="921"/>
        <w:gridCol w:w="1263"/>
        <w:gridCol w:w="1106"/>
        <w:gridCol w:w="1079"/>
        <w:gridCol w:w="15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6" w:hRule="atLeast"/>
        </w:trPr>
        <w:tc>
          <w:tcPr>
            <w:tcW w:w="184" w:type="dxa"/>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14" w:type="dxa"/>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00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96"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21"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263"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106"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79"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570"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表3-3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8" w:hRule="atLeast"/>
        </w:trPr>
        <w:tc>
          <w:tcPr>
            <w:tcW w:w="184" w:type="dxa"/>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656" w:type="dxa"/>
            <w:gridSpan w:val="8"/>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一般公共预算“三公”经费支出预算表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1" w:hRule="atLeast"/>
        </w:trPr>
        <w:tc>
          <w:tcPr>
            <w:tcW w:w="184" w:type="dxa"/>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921" w:type="dxa"/>
            <w:gridSpan w:val="2"/>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部门：</w:t>
            </w:r>
          </w:p>
        </w:tc>
        <w:tc>
          <w:tcPr>
            <w:tcW w:w="796" w:type="dxa"/>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21" w:type="dxa"/>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63" w:type="dxa"/>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06" w:type="dxa"/>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79" w:type="dxa"/>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70" w:type="dxa"/>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7" w:hRule="atLeast"/>
        </w:trPr>
        <w:tc>
          <w:tcPr>
            <w:tcW w:w="184" w:type="dxa"/>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14" w:type="dxa"/>
            <w:vMerge w:val="restart"/>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单位编码</w:t>
            </w:r>
          </w:p>
        </w:tc>
        <w:tc>
          <w:tcPr>
            <w:tcW w:w="2007" w:type="dxa"/>
            <w:vMerge w:val="restart"/>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单位名称（科目）</w:t>
            </w:r>
          </w:p>
        </w:tc>
        <w:tc>
          <w:tcPr>
            <w:tcW w:w="6735" w:type="dxa"/>
            <w:gridSpan w:val="6"/>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当年财政拨款预算安排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7" w:hRule="atLeast"/>
        </w:trPr>
        <w:tc>
          <w:tcPr>
            <w:tcW w:w="184" w:type="dxa"/>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14" w:type="dxa"/>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007" w:type="dxa"/>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796" w:type="dxa"/>
            <w:vMerge w:val="restart"/>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921"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因公出国（境）费用</w:t>
            </w:r>
          </w:p>
        </w:tc>
        <w:tc>
          <w:tcPr>
            <w:tcW w:w="3448" w:type="dxa"/>
            <w:gridSpan w:val="3"/>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公务用车购置及运行费</w:t>
            </w:r>
          </w:p>
        </w:tc>
        <w:tc>
          <w:tcPr>
            <w:tcW w:w="1570" w:type="dxa"/>
            <w:vMerge w:val="restart"/>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7" w:hRule="atLeast"/>
        </w:trPr>
        <w:tc>
          <w:tcPr>
            <w:tcW w:w="184" w:type="dxa"/>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14" w:type="dxa"/>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007" w:type="dxa"/>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796" w:type="dxa"/>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921"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263" w:type="dxa"/>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1106" w:type="dxa"/>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公务用车购置费</w:t>
            </w:r>
          </w:p>
        </w:tc>
        <w:tc>
          <w:tcPr>
            <w:tcW w:w="1079" w:type="dxa"/>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公务用车运行费</w:t>
            </w:r>
          </w:p>
        </w:tc>
        <w:tc>
          <w:tcPr>
            <w:tcW w:w="1570" w:type="dxa"/>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8" w:hRule="atLeast"/>
        </w:trPr>
        <w:tc>
          <w:tcPr>
            <w:tcW w:w="184" w:type="dxa"/>
            <w:tcBorders>
              <w:top w:val="single" w:color="FFFFFF" w:sz="4" w:space="0"/>
              <w:left w:val="single" w:color="FFFFFF" w:sz="4" w:space="0"/>
              <w:bottom w:val="single" w:color="FFFFFF" w:sz="4" w:space="0"/>
              <w:right w:val="nil"/>
            </w:tcBorders>
            <w:shd w:val="clear" w:color="auto" w:fill="auto"/>
            <w:noWrap/>
            <w:tcMar>
              <w:top w:w="15" w:type="dxa"/>
              <w:left w:w="15" w:type="dxa"/>
              <w:right w:w="15" w:type="dxa"/>
            </w:tcMar>
            <w:vAlign w:val="center"/>
          </w:tcPr>
          <w:p>
            <w:pPr>
              <w:rPr>
                <w:rFonts w:hint="eastAsia" w:ascii="宋体" w:hAnsi="宋体" w:eastAsia="宋体" w:cs="宋体"/>
                <w:b/>
                <w:i w:val="0"/>
                <w:color w:val="000000"/>
                <w:sz w:val="18"/>
                <w:szCs w:val="18"/>
                <w:u w:val="none"/>
              </w:rPr>
            </w:pPr>
          </w:p>
        </w:tc>
        <w:tc>
          <w:tcPr>
            <w:tcW w:w="914"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007"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    计</w:t>
            </w:r>
          </w:p>
        </w:tc>
        <w:tc>
          <w:tcPr>
            <w:tcW w:w="796"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32.00</w:t>
            </w:r>
          </w:p>
        </w:tc>
        <w:tc>
          <w:tcPr>
            <w:tcW w:w="921"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1263"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31.00</w:t>
            </w:r>
          </w:p>
        </w:tc>
        <w:tc>
          <w:tcPr>
            <w:tcW w:w="1106"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1079"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31.00</w:t>
            </w:r>
          </w:p>
        </w:tc>
        <w:tc>
          <w:tcPr>
            <w:tcW w:w="1570"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8" w:hRule="atLeast"/>
        </w:trPr>
        <w:tc>
          <w:tcPr>
            <w:tcW w:w="184" w:type="dxa"/>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14"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007" w:type="dxa"/>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96"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32.00</w:t>
            </w:r>
          </w:p>
        </w:tc>
        <w:tc>
          <w:tcPr>
            <w:tcW w:w="921"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63"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w:t>
            </w:r>
          </w:p>
        </w:tc>
        <w:tc>
          <w:tcPr>
            <w:tcW w:w="1106"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79"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w:t>
            </w:r>
          </w:p>
        </w:tc>
        <w:tc>
          <w:tcPr>
            <w:tcW w:w="1570"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8" w:hRule="atLeast"/>
        </w:trPr>
        <w:tc>
          <w:tcPr>
            <w:tcW w:w="184" w:type="dxa"/>
            <w:vMerge w:val="restart"/>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14"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106001</w:t>
            </w:r>
          </w:p>
        </w:tc>
        <w:tc>
          <w:tcPr>
            <w:tcW w:w="2007" w:type="dxa"/>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财政局</w:t>
            </w:r>
          </w:p>
        </w:tc>
        <w:tc>
          <w:tcPr>
            <w:tcW w:w="796"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21.59</w:t>
            </w:r>
          </w:p>
        </w:tc>
        <w:tc>
          <w:tcPr>
            <w:tcW w:w="921"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63"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21.00</w:t>
            </w:r>
          </w:p>
        </w:tc>
        <w:tc>
          <w:tcPr>
            <w:tcW w:w="1106"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79"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21.00</w:t>
            </w:r>
          </w:p>
        </w:tc>
        <w:tc>
          <w:tcPr>
            <w:tcW w:w="1570"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8" w:hRule="atLeast"/>
        </w:trPr>
        <w:tc>
          <w:tcPr>
            <w:tcW w:w="184" w:type="dxa"/>
            <w:vMerge w:val="continue"/>
            <w:tcBorders>
              <w:top w:val="single" w:color="FFFFFF" w:sz="4" w:space="0"/>
              <w:left w:val="single" w:color="FFFFFF" w:sz="4" w:space="0"/>
              <w:bottom w:val="single" w:color="FFFFFF" w:sz="4" w:space="0"/>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14"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106002</w:t>
            </w:r>
          </w:p>
        </w:tc>
        <w:tc>
          <w:tcPr>
            <w:tcW w:w="2007" w:type="dxa"/>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ascii="Dialog . plain" w:hAnsi="Dialog . plain" w:eastAsia="Dialog . plain" w:cs="Dialog . plain"/>
                <w:i w:val="0"/>
                <w:color w:val="000000"/>
                <w:kern w:val="0"/>
                <w:sz w:val="22"/>
                <w:szCs w:val="22"/>
                <w:u w:val="none"/>
                <w:lang w:val="en-US" w:eastAsia="zh-CN" w:bidi="ar"/>
              </w:rPr>
              <w:t xml:space="preserve"> 财政国库支付中心</w:t>
            </w:r>
          </w:p>
        </w:tc>
        <w:tc>
          <w:tcPr>
            <w:tcW w:w="796"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10.41</w:t>
            </w:r>
          </w:p>
        </w:tc>
        <w:tc>
          <w:tcPr>
            <w:tcW w:w="921"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263"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06"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79"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570" w:type="dxa"/>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0.41</w:t>
            </w:r>
          </w:p>
        </w:tc>
      </w:tr>
    </w:tbl>
    <w:p>
      <w:pPr>
        <w:pStyle w:val="2"/>
        <w:sectPr>
          <w:pgSz w:w="11906" w:h="16838"/>
          <w:pgMar w:top="618" w:right="1800" w:bottom="1440" w:left="1800" w:header="454" w:footer="992" w:gutter="0"/>
          <w:cols w:space="425" w:num="1"/>
          <w:docGrid w:type="lines" w:linePitch="312" w:charSpace="0"/>
        </w:sectPr>
      </w:pPr>
    </w:p>
    <w:tbl>
      <w:tblPr>
        <w:tblStyle w:val="8"/>
        <w:tblW w:w="1339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048"/>
        <w:gridCol w:w="1048"/>
        <w:gridCol w:w="1048"/>
        <w:gridCol w:w="1707"/>
        <w:gridCol w:w="3187"/>
        <w:gridCol w:w="1386"/>
        <w:gridCol w:w="1745"/>
        <w:gridCol w:w="22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96" w:hRule="atLeast"/>
        </w:trPr>
        <w:tc>
          <w:tcPr>
            <w:tcW w:w="3144" w:type="dxa"/>
            <w:gridSpan w:val="3"/>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70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318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386"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45"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229"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表4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49"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 xml:space="preserve">政府性基金预算支出预算表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8" w:hRule="atLeast"/>
        </w:trPr>
        <w:tc>
          <w:tcPr>
            <w:tcW w:w="0" w:type="auto"/>
            <w:gridSpan w:val="5"/>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部门：</w:t>
            </w:r>
          </w:p>
        </w:tc>
        <w:tc>
          <w:tcPr>
            <w:tcW w:w="1386" w:type="dxa"/>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45" w:type="dxa"/>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本年政府性基金预算支出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单位名称（科目）</w:t>
            </w:r>
          </w:p>
        </w:tc>
        <w:tc>
          <w:tcPr>
            <w:tcW w:w="1386" w:type="dxa"/>
            <w:vMerge w:val="restart"/>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1745" w:type="dxa"/>
            <w:vMerge w:val="restart"/>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386" w:type="dxa"/>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745" w:type="dxa"/>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9"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    计</w:t>
            </w:r>
          </w:p>
        </w:tc>
        <w:tc>
          <w:tcPr>
            <w:tcW w:w="1386"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1745" w:type="dxa"/>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66"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9073" w:type="dxa"/>
            <w:gridSpan w:val="5"/>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40"/>
                <w:szCs w:val="40"/>
                <w:u w:val="none"/>
              </w:rPr>
            </w:pPr>
            <w:r>
              <w:rPr>
                <w:rFonts w:hint="eastAsia" w:ascii="宋体" w:hAnsi="宋体" w:eastAsia="宋体" w:cs="宋体"/>
                <w:i w:val="0"/>
                <w:color w:val="000000"/>
                <w:kern w:val="0"/>
                <w:sz w:val="40"/>
                <w:szCs w:val="40"/>
                <w:u w:val="none"/>
                <w:lang w:val="en-US" w:eastAsia="zh-CN" w:bidi="ar"/>
              </w:rPr>
              <w:t>此表无数据</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bl>
    <w:p/>
    <w:p>
      <w:pPr>
        <w:pStyle w:val="2"/>
      </w:pPr>
    </w:p>
    <w:tbl>
      <w:tblPr>
        <w:tblStyle w:val="8"/>
        <w:tblW w:w="13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320"/>
        <w:gridCol w:w="2172"/>
        <w:gridCol w:w="1568"/>
        <w:gridCol w:w="1718"/>
        <w:gridCol w:w="1538"/>
        <w:gridCol w:w="1635"/>
        <w:gridCol w:w="1679"/>
        <w:gridCol w:w="15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6" w:hRule="atLeast"/>
        </w:trPr>
        <w:tc>
          <w:tcPr>
            <w:tcW w:w="1320" w:type="dxa"/>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175"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575"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725"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545"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35"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680"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545"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表4-1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政府性基金预算“三公”经费支出预算表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1" w:hRule="atLeast"/>
        </w:trPr>
        <w:tc>
          <w:tcPr>
            <w:tcW w:w="0" w:type="auto"/>
            <w:gridSpan w:val="2"/>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7" w:hRule="atLeast"/>
        </w:trPr>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单位名称（科目）</w:t>
            </w:r>
          </w:p>
        </w:tc>
        <w:tc>
          <w:tcPr>
            <w:tcW w:w="0" w:type="auto"/>
            <w:gridSpan w:val="6"/>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当年财政拨款预算安排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7"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1725" w:type="dxa"/>
            <w:vMerge w:val="restart"/>
            <w:tcBorders>
              <w:top w:val="single" w:color="C2C3C4" w:sz="4" w:space="0"/>
              <w:left w:val="single" w:color="C2C3C4" w:sz="4" w:space="0"/>
              <w:bottom w:val="single" w:color="C2C3C4" w:sz="4" w:space="0"/>
              <w:right w:val="single" w:color="C2C3C4" w:sz="4" w:space="0"/>
            </w:tcBorders>
            <w:shd w:val="clear" w:color="EFF2F7" w:fill="EFF2F7"/>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因公出国（境）费用</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公务用车购置及运行费</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7"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725" w:type="dxa"/>
            <w:vMerge w:val="continue"/>
            <w:tcBorders>
              <w:top w:val="single" w:color="C2C3C4" w:sz="4" w:space="0"/>
              <w:left w:val="single" w:color="C2C3C4" w:sz="4" w:space="0"/>
              <w:bottom w:val="single" w:color="C2C3C4" w:sz="4" w:space="0"/>
              <w:right w:val="single" w:color="C2C3C4" w:sz="4" w:space="0"/>
            </w:tcBorders>
            <w:shd w:val="clear" w:color="EFF2F7" w:fill="EFF2F7"/>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公务用车购置费</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公务用车运行费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655" w:type="dxa"/>
            <w:gridSpan w:val="5"/>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40"/>
                <w:szCs w:val="40"/>
                <w:u w:val="none"/>
              </w:rPr>
            </w:pPr>
            <w:r>
              <w:rPr>
                <w:rFonts w:hint="eastAsia" w:ascii="宋体" w:hAnsi="宋体" w:eastAsia="宋体" w:cs="宋体"/>
                <w:i w:val="0"/>
                <w:color w:val="000000"/>
                <w:kern w:val="0"/>
                <w:sz w:val="40"/>
                <w:szCs w:val="40"/>
                <w:u w:val="none"/>
                <w:lang w:val="en-US" w:eastAsia="zh-CN" w:bidi="ar"/>
              </w:rPr>
              <w:t>此表无数据</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bl>
    <w:p/>
    <w:p>
      <w:pPr>
        <w:pStyle w:val="2"/>
      </w:pPr>
    </w:p>
    <w:p/>
    <w:p>
      <w:pPr>
        <w:pStyle w:val="2"/>
      </w:pPr>
    </w:p>
    <w:p/>
    <w:p>
      <w:pPr>
        <w:pStyle w:val="2"/>
      </w:pPr>
    </w:p>
    <w:p/>
    <w:p>
      <w:pPr>
        <w:pStyle w:val="2"/>
      </w:pPr>
    </w:p>
    <w:tbl>
      <w:tblPr>
        <w:tblStyle w:val="8"/>
        <w:tblW w:w="1335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974"/>
        <w:gridCol w:w="974"/>
        <w:gridCol w:w="973"/>
        <w:gridCol w:w="1206"/>
        <w:gridCol w:w="3515"/>
        <w:gridCol w:w="1824"/>
        <w:gridCol w:w="1820"/>
        <w:gridCol w:w="20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4" w:hRule="atLeast"/>
        </w:trPr>
        <w:tc>
          <w:tcPr>
            <w:tcW w:w="2921" w:type="dxa"/>
            <w:gridSpan w:val="3"/>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20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3515"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824"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820"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071" w:type="dxa"/>
            <w:tcBorders>
              <w:top w:val="single" w:color="FFFFFF" w:sz="4" w:space="0"/>
              <w:left w:val="single" w:color="FFFFFF" w:sz="4" w:space="0"/>
              <w:bottom w:val="single" w:color="FFFFFF" w:sz="4" w:space="0"/>
              <w:right w:val="single" w:color="FFFFFF"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表5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8"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国有资本经营预算支出预算表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1" w:hRule="atLeast"/>
        </w:trPr>
        <w:tc>
          <w:tcPr>
            <w:tcW w:w="0" w:type="auto"/>
            <w:gridSpan w:val="5"/>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9"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本年国有资本经营预算支出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Style w:val="15"/>
                <w:rFonts w:hint="eastAsia"/>
              </w:rPr>
            </w:pPr>
            <w:r>
              <w:rPr>
                <w:rStyle w:val="15"/>
                <w:rFonts w:hint="eastAsia"/>
                <w:lang w:val="en-US" w:eastAsia="zh-CN"/>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3"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30"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8365" w:type="dxa"/>
            <w:gridSpan w:val="4"/>
            <w:tcBorders>
              <w:top w:val="single" w:color="C2C3C4" w:sz="4" w:space="0"/>
              <w:left w:val="single" w:color="C2C3C4" w:sz="4" w:space="0"/>
              <w:bottom w:val="single" w:color="C2C3C4" w:sz="4" w:space="0"/>
              <w:right w:val="single" w:color="C2C3C4" w:sz="4" w:space="0"/>
            </w:tcBorders>
            <w:shd w:val="clear" w:color="FFFFFF"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40"/>
                <w:szCs w:val="40"/>
                <w:u w:val="none"/>
              </w:rPr>
            </w:pPr>
            <w:r>
              <w:rPr>
                <w:rFonts w:hint="eastAsia" w:ascii="宋体" w:hAnsi="宋体" w:eastAsia="宋体" w:cs="宋体"/>
                <w:i w:val="0"/>
                <w:color w:val="000000"/>
                <w:kern w:val="0"/>
                <w:sz w:val="40"/>
                <w:szCs w:val="40"/>
                <w:u w:val="none"/>
                <w:lang w:val="en-US" w:eastAsia="zh-CN" w:bidi="ar"/>
              </w:rPr>
              <w:t>此表无数据</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bl>
    <w:p/>
    <w:sectPr>
      <w:pgSz w:w="16838" w:h="11906" w:orient="landscape"/>
      <w:pgMar w:top="1800" w:right="618" w:bottom="1800" w:left="1440" w:header="454"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Dialog . plain">
    <w:altName w:val="Segoe Print"/>
    <w:panose1 w:val="00000000000000000000"/>
    <w:charset w:val="00"/>
    <w:family w:val="auto"/>
    <w:pitch w:val="default"/>
    <w:sig w:usb0="00000000" w:usb1="00000000" w:usb2="00000000" w:usb3="00000000" w:csb0="00000000" w:csb1="00000000"/>
  </w:font>
  <w:font w:name="Dialog . bold">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6705641"/>
      <w:docPartObj>
        <w:docPartGallery w:val="autotext"/>
      </w:docPartObj>
    </w:sdtPr>
    <w:sdtContent>
      <w:p>
        <w:pPr>
          <w:pStyle w:val="5"/>
          <w:jc w:val="right"/>
        </w:pPr>
        <w:r>
          <w:fldChar w:fldCharType="begin"/>
        </w:r>
        <w:r>
          <w:instrText xml:space="preserve">PAGE   \* MERGEFORMAT</w:instrText>
        </w:r>
        <w:r>
          <w:fldChar w:fldCharType="separate"/>
        </w:r>
        <w:r>
          <w:rPr>
            <w:lang w:val="zh-CN"/>
          </w:rPr>
          <w:t>1</w:t>
        </w:r>
        <w:r>
          <w:fldChar w:fldCharType="end"/>
        </w:r>
      </w:p>
    </w:sdtContent>
  </w:sdt>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2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BA8CF14"/>
    <w:multiLevelType w:val="singleLevel"/>
    <w:tmpl w:val="ABA8CF14"/>
    <w:lvl w:ilvl="0" w:tentative="0">
      <w:start w:val="1"/>
      <w:numFmt w:val="decimal"/>
      <w:lvlText w:val="%1."/>
      <w:lvlJc w:val="left"/>
      <w:pPr>
        <w:tabs>
          <w:tab w:val="left" w:pos="312"/>
        </w:tabs>
      </w:pPr>
    </w:lvl>
  </w:abstractNum>
  <w:abstractNum w:abstractNumId="1">
    <w:nsid w:val="10088DFB"/>
    <w:multiLevelType w:val="singleLevel"/>
    <w:tmpl w:val="10088DFB"/>
    <w:lvl w:ilvl="0" w:tentative="0">
      <w:start w:val="2"/>
      <w:numFmt w:val="chineseCounting"/>
      <w:suff w:val="nothing"/>
      <w:lvlText w:val="（%1）"/>
      <w:lvlJc w:val="left"/>
      <w:rPr>
        <w:rFonts w:hint="eastAsia"/>
      </w:rPr>
    </w:lvl>
  </w:abstractNum>
  <w:abstractNum w:abstractNumId="2">
    <w:nsid w:val="3306885C"/>
    <w:multiLevelType w:val="singleLevel"/>
    <w:tmpl w:val="3306885C"/>
    <w:lvl w:ilvl="0" w:tentative="0">
      <w:start w:val="11"/>
      <w:numFmt w:val="chineseCounting"/>
      <w:suff w:val="nothing"/>
      <w:lvlText w:val="%1、"/>
      <w:lvlJc w:val="left"/>
      <w:rPr>
        <w:rFonts w:hint="eastAsia"/>
      </w:rPr>
    </w:lvl>
  </w:abstractNum>
  <w:abstractNum w:abstractNumId="3">
    <w:nsid w:val="36F7F882"/>
    <w:multiLevelType w:val="singleLevel"/>
    <w:tmpl w:val="36F7F882"/>
    <w:lvl w:ilvl="0" w:tentative="0">
      <w:start w:val="4"/>
      <w:numFmt w:val="chineseCounting"/>
      <w:suff w:val="nothing"/>
      <w:lvlText w:val="（%1）"/>
      <w:lvlJc w:val="left"/>
      <w:rPr>
        <w:rFonts w:hint="eastAsia"/>
      </w:rPr>
    </w:lvl>
  </w:abstractNum>
  <w:abstractNum w:abstractNumId="4">
    <w:nsid w:val="37EC05DA"/>
    <w:multiLevelType w:val="multilevel"/>
    <w:tmpl w:val="37EC05DA"/>
    <w:lvl w:ilvl="0" w:tentative="0">
      <w:start w:val="3"/>
      <w:numFmt w:val="japaneseCounting"/>
      <w:lvlText w:val="%1、"/>
      <w:lvlJc w:val="left"/>
      <w:pPr>
        <w:ind w:left="1363" w:hanging="720"/>
      </w:pPr>
      <w:rPr>
        <w:rFonts w:hint="default"/>
        <w:b/>
      </w:rPr>
    </w:lvl>
    <w:lvl w:ilvl="1" w:tentative="0">
      <w:start w:val="1"/>
      <w:numFmt w:val="japaneseCounting"/>
      <w:lvlText w:val="（%2）"/>
      <w:lvlJc w:val="left"/>
      <w:pPr>
        <w:ind w:left="1920" w:hanging="1080"/>
      </w:pPr>
      <w:rPr>
        <w:rFonts w:hint="default"/>
      </w:r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embedSystemFonts/>
  <w:bordersDoNotSurroundHeader w:val="0"/>
  <w:bordersDoNotSurroundFooter w:val="0"/>
  <w:attachedTemplate r:id="rId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3A0"/>
    <w:rsid w:val="00021AA6"/>
    <w:rsid w:val="0004641D"/>
    <w:rsid w:val="00077A8B"/>
    <w:rsid w:val="0008492F"/>
    <w:rsid w:val="00087231"/>
    <w:rsid w:val="00100BDB"/>
    <w:rsid w:val="001170F8"/>
    <w:rsid w:val="00122876"/>
    <w:rsid w:val="001313A0"/>
    <w:rsid w:val="00133B8B"/>
    <w:rsid w:val="00186591"/>
    <w:rsid w:val="001C27EC"/>
    <w:rsid w:val="00200A01"/>
    <w:rsid w:val="0020139F"/>
    <w:rsid w:val="00226488"/>
    <w:rsid w:val="002C3424"/>
    <w:rsid w:val="002D015C"/>
    <w:rsid w:val="00312F84"/>
    <w:rsid w:val="00333250"/>
    <w:rsid w:val="00337C36"/>
    <w:rsid w:val="00344853"/>
    <w:rsid w:val="003562F2"/>
    <w:rsid w:val="00386C44"/>
    <w:rsid w:val="003904F7"/>
    <w:rsid w:val="003B28A3"/>
    <w:rsid w:val="003B54E4"/>
    <w:rsid w:val="003D27D3"/>
    <w:rsid w:val="003D71BF"/>
    <w:rsid w:val="003E20F1"/>
    <w:rsid w:val="00427104"/>
    <w:rsid w:val="00453D12"/>
    <w:rsid w:val="0046715B"/>
    <w:rsid w:val="00473996"/>
    <w:rsid w:val="00481617"/>
    <w:rsid w:val="004C764A"/>
    <w:rsid w:val="004D5BC9"/>
    <w:rsid w:val="004E4E42"/>
    <w:rsid w:val="004F2E55"/>
    <w:rsid w:val="00527001"/>
    <w:rsid w:val="005B05E1"/>
    <w:rsid w:val="005B22FC"/>
    <w:rsid w:val="005D317E"/>
    <w:rsid w:val="005D7AE6"/>
    <w:rsid w:val="006003F8"/>
    <w:rsid w:val="0060392B"/>
    <w:rsid w:val="006049AB"/>
    <w:rsid w:val="00633CEC"/>
    <w:rsid w:val="00652403"/>
    <w:rsid w:val="00672FF5"/>
    <w:rsid w:val="006953CE"/>
    <w:rsid w:val="006A360B"/>
    <w:rsid w:val="006A6494"/>
    <w:rsid w:val="006C01D7"/>
    <w:rsid w:val="006F0BB1"/>
    <w:rsid w:val="006F48E5"/>
    <w:rsid w:val="00713F79"/>
    <w:rsid w:val="00721E75"/>
    <w:rsid w:val="00723D63"/>
    <w:rsid w:val="00730DF9"/>
    <w:rsid w:val="00732B83"/>
    <w:rsid w:val="00732E6D"/>
    <w:rsid w:val="00780814"/>
    <w:rsid w:val="0079497C"/>
    <w:rsid w:val="007C75DE"/>
    <w:rsid w:val="00832998"/>
    <w:rsid w:val="00852109"/>
    <w:rsid w:val="00856AD3"/>
    <w:rsid w:val="00864119"/>
    <w:rsid w:val="00895A03"/>
    <w:rsid w:val="008A3E88"/>
    <w:rsid w:val="008B6C74"/>
    <w:rsid w:val="00921713"/>
    <w:rsid w:val="00932B07"/>
    <w:rsid w:val="0095777A"/>
    <w:rsid w:val="00964181"/>
    <w:rsid w:val="00965110"/>
    <w:rsid w:val="009669BB"/>
    <w:rsid w:val="00994FF7"/>
    <w:rsid w:val="009953AC"/>
    <w:rsid w:val="009C5F37"/>
    <w:rsid w:val="009E30A4"/>
    <w:rsid w:val="009E6C9F"/>
    <w:rsid w:val="009E7CA9"/>
    <w:rsid w:val="009F421F"/>
    <w:rsid w:val="00A25A62"/>
    <w:rsid w:val="00A43765"/>
    <w:rsid w:val="00A605A1"/>
    <w:rsid w:val="00A664D2"/>
    <w:rsid w:val="00A941D7"/>
    <w:rsid w:val="00A95609"/>
    <w:rsid w:val="00AD60DA"/>
    <w:rsid w:val="00B12106"/>
    <w:rsid w:val="00B24E90"/>
    <w:rsid w:val="00B27949"/>
    <w:rsid w:val="00B376E9"/>
    <w:rsid w:val="00B40786"/>
    <w:rsid w:val="00B42915"/>
    <w:rsid w:val="00B853EC"/>
    <w:rsid w:val="00B939B0"/>
    <w:rsid w:val="00B94EB1"/>
    <w:rsid w:val="00BC7739"/>
    <w:rsid w:val="00BD715F"/>
    <w:rsid w:val="00BF22AD"/>
    <w:rsid w:val="00C16B76"/>
    <w:rsid w:val="00C47E8A"/>
    <w:rsid w:val="00C63414"/>
    <w:rsid w:val="00C856D5"/>
    <w:rsid w:val="00C90EAA"/>
    <w:rsid w:val="00CC649C"/>
    <w:rsid w:val="00CD0799"/>
    <w:rsid w:val="00CD316A"/>
    <w:rsid w:val="00CD7ECF"/>
    <w:rsid w:val="00D00BBB"/>
    <w:rsid w:val="00D06084"/>
    <w:rsid w:val="00D22C36"/>
    <w:rsid w:val="00D22F94"/>
    <w:rsid w:val="00D24A78"/>
    <w:rsid w:val="00D311DE"/>
    <w:rsid w:val="00D77020"/>
    <w:rsid w:val="00D80A39"/>
    <w:rsid w:val="00DD005A"/>
    <w:rsid w:val="00DD663F"/>
    <w:rsid w:val="00DE4E22"/>
    <w:rsid w:val="00DE5EA8"/>
    <w:rsid w:val="00DF4509"/>
    <w:rsid w:val="00E13415"/>
    <w:rsid w:val="00E14057"/>
    <w:rsid w:val="00E2041F"/>
    <w:rsid w:val="00E2483B"/>
    <w:rsid w:val="00E3126C"/>
    <w:rsid w:val="00E31DD2"/>
    <w:rsid w:val="00E94FC5"/>
    <w:rsid w:val="00EB32F8"/>
    <w:rsid w:val="00EB4C94"/>
    <w:rsid w:val="00EB4CC2"/>
    <w:rsid w:val="00EB7BE1"/>
    <w:rsid w:val="00EC1B96"/>
    <w:rsid w:val="00ED0DEB"/>
    <w:rsid w:val="00EE2137"/>
    <w:rsid w:val="00F01AF6"/>
    <w:rsid w:val="00F03A56"/>
    <w:rsid w:val="00F2513B"/>
    <w:rsid w:val="00F25D57"/>
    <w:rsid w:val="00F37758"/>
    <w:rsid w:val="00F54244"/>
    <w:rsid w:val="00F64C5A"/>
    <w:rsid w:val="00F6514B"/>
    <w:rsid w:val="00F7275D"/>
    <w:rsid w:val="00F8508E"/>
    <w:rsid w:val="00F9412A"/>
    <w:rsid w:val="00FA2EB1"/>
    <w:rsid w:val="00FB4655"/>
    <w:rsid w:val="00FB5514"/>
    <w:rsid w:val="02A42A96"/>
    <w:rsid w:val="031D3BAF"/>
    <w:rsid w:val="04166F87"/>
    <w:rsid w:val="08C56DA1"/>
    <w:rsid w:val="0B735817"/>
    <w:rsid w:val="0CC253E7"/>
    <w:rsid w:val="0D046A30"/>
    <w:rsid w:val="0D8A0EC3"/>
    <w:rsid w:val="0E5C0761"/>
    <w:rsid w:val="106F43C2"/>
    <w:rsid w:val="11044709"/>
    <w:rsid w:val="125840E4"/>
    <w:rsid w:val="143F4444"/>
    <w:rsid w:val="14F5209B"/>
    <w:rsid w:val="196F21B9"/>
    <w:rsid w:val="1B4022A8"/>
    <w:rsid w:val="257F3ABE"/>
    <w:rsid w:val="26706A17"/>
    <w:rsid w:val="290078CE"/>
    <w:rsid w:val="2BEC1BC9"/>
    <w:rsid w:val="2C1F6C78"/>
    <w:rsid w:val="2EB7039D"/>
    <w:rsid w:val="311E2A8A"/>
    <w:rsid w:val="339D2D39"/>
    <w:rsid w:val="41B262CE"/>
    <w:rsid w:val="42FA79B4"/>
    <w:rsid w:val="430671A6"/>
    <w:rsid w:val="438B6F29"/>
    <w:rsid w:val="46D84940"/>
    <w:rsid w:val="47222C82"/>
    <w:rsid w:val="48556D82"/>
    <w:rsid w:val="4A962827"/>
    <w:rsid w:val="4B8C0E18"/>
    <w:rsid w:val="4E020C20"/>
    <w:rsid w:val="4F0923B9"/>
    <w:rsid w:val="57AF6E46"/>
    <w:rsid w:val="59117E24"/>
    <w:rsid w:val="5ADD7C0E"/>
    <w:rsid w:val="5CAE26C5"/>
    <w:rsid w:val="5FB51C2E"/>
    <w:rsid w:val="600E76FB"/>
    <w:rsid w:val="609F1A08"/>
    <w:rsid w:val="61845AB0"/>
    <w:rsid w:val="656107AB"/>
    <w:rsid w:val="69735EEF"/>
    <w:rsid w:val="6DF7714C"/>
    <w:rsid w:val="7123452D"/>
    <w:rsid w:val="719B23C5"/>
    <w:rsid w:val="748D6A45"/>
    <w:rsid w:val="760B5FA6"/>
    <w:rsid w:val="7669161B"/>
    <w:rsid w:val="781E1B99"/>
    <w:rsid w:val="7DAF57C5"/>
    <w:rsid w:val="7E0D40F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0" w:name="caption"/>
    <w:lsdException w:qFormat="1" w:uiPriority="99" w:semiHidden="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unhideWhenUsed/>
    <w:qFormat/>
    <w:uiPriority w:val="99"/>
    <w:pPr>
      <w:spacing w:before="100" w:beforeAutospacing="1" w:after="100" w:afterAutospacing="1"/>
      <w:ind w:left="200" w:leftChars="200" w:hanging="200" w:hangingChars="200"/>
    </w:pPr>
    <w:rPr>
      <w:kern w:val="0"/>
      <w:sz w:val="20"/>
      <w:szCs w:val="20"/>
    </w:rPr>
  </w:style>
  <w:style w:type="paragraph" w:styleId="3">
    <w:name w:val="Body Text"/>
    <w:basedOn w:val="1"/>
    <w:link w:val="11"/>
    <w:qFormat/>
    <w:uiPriority w:val="99"/>
    <w:pPr>
      <w:spacing w:beforeLines="30"/>
    </w:pPr>
    <w:rPr>
      <w:rFonts w:ascii="仿宋_GB2312" w:hAnsi="Times New Roman" w:eastAsia="仿宋_GB2312" w:cs="Times New Roman"/>
      <w:kern w:val="0"/>
      <w:sz w:val="30"/>
    </w:rPr>
  </w:style>
  <w:style w:type="paragraph" w:styleId="4">
    <w:name w:val="Balloon Text"/>
    <w:basedOn w:val="1"/>
    <w:link w:val="14"/>
    <w:semiHidden/>
    <w:unhideWhenUsed/>
    <w:qFormat/>
    <w:uiPriority w:val="0"/>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character" w:customStyle="1" w:styleId="10">
    <w:name w:val="页眉 Char"/>
    <w:basedOn w:val="9"/>
    <w:link w:val="6"/>
    <w:qFormat/>
    <w:uiPriority w:val="99"/>
    <w:rPr>
      <w:rFonts w:asciiTheme="minorHAnsi" w:hAnsiTheme="minorHAnsi" w:eastAsiaTheme="minorEastAsia" w:cstheme="minorBidi"/>
      <w:kern w:val="2"/>
      <w:sz w:val="18"/>
      <w:szCs w:val="18"/>
    </w:rPr>
  </w:style>
  <w:style w:type="character" w:customStyle="1" w:styleId="11">
    <w:name w:val="正文文本 Char"/>
    <w:basedOn w:val="9"/>
    <w:link w:val="3"/>
    <w:qFormat/>
    <w:uiPriority w:val="99"/>
    <w:rPr>
      <w:rFonts w:ascii="仿宋_GB2312" w:hAnsi="Times New Roman" w:eastAsia="仿宋_GB2312"/>
      <w:sz w:val="30"/>
      <w:szCs w:val="24"/>
    </w:rPr>
  </w:style>
  <w:style w:type="character" w:customStyle="1" w:styleId="12">
    <w:name w:val="页脚 Char"/>
    <w:basedOn w:val="9"/>
    <w:link w:val="5"/>
    <w:qFormat/>
    <w:uiPriority w:val="99"/>
    <w:rPr>
      <w:rFonts w:asciiTheme="minorHAnsi" w:hAnsiTheme="minorHAnsi" w:eastAsiaTheme="minorEastAsia" w:cstheme="minorBidi"/>
      <w:kern w:val="2"/>
      <w:sz w:val="18"/>
      <w:szCs w:val="18"/>
    </w:rPr>
  </w:style>
  <w:style w:type="paragraph" w:styleId="13">
    <w:name w:val="List Paragraph"/>
    <w:basedOn w:val="1"/>
    <w:unhideWhenUsed/>
    <w:qFormat/>
    <w:uiPriority w:val="99"/>
    <w:pPr>
      <w:ind w:firstLine="420" w:firstLineChars="200"/>
    </w:pPr>
  </w:style>
  <w:style w:type="character" w:customStyle="1" w:styleId="14">
    <w:name w:val="批注框文本 Char"/>
    <w:basedOn w:val="9"/>
    <w:link w:val="4"/>
    <w:semiHidden/>
    <w:qFormat/>
    <w:uiPriority w:val="0"/>
    <w:rPr>
      <w:rFonts w:asciiTheme="minorHAnsi" w:hAnsiTheme="minorHAnsi" w:eastAsiaTheme="minorEastAsia" w:cstheme="minorBidi"/>
      <w:kern w:val="2"/>
      <w:sz w:val="18"/>
      <w:szCs w:val="18"/>
    </w:rPr>
  </w:style>
  <w:style w:type="character" w:customStyle="1" w:styleId="15">
    <w:name w:val="font31"/>
    <w:basedOn w:val="9"/>
    <w:qFormat/>
    <w:uiPriority w:val="0"/>
    <w:rPr>
      <w:rFonts w:ascii="Dialog . plain" w:hAnsi="Dialog . plain" w:eastAsia="Dialog . plain" w:cs="Dialog . plain"/>
      <w:color w:val="000000"/>
      <w:sz w:val="22"/>
      <w:szCs w:val="22"/>
      <w:u w:val="none"/>
    </w:rPr>
  </w:style>
  <w:style w:type="character" w:customStyle="1" w:styleId="16">
    <w:name w:val="font41"/>
    <w:basedOn w:val="9"/>
    <w:qFormat/>
    <w:uiPriority w:val="0"/>
    <w:rPr>
      <w:rFonts w:ascii="Dialog . bold" w:hAnsi="Dialog . bold" w:eastAsia="Dialog . bold" w:cs="Dialog . bold"/>
      <w:color w:val="000000"/>
      <w:sz w:val="22"/>
      <w:szCs w:val="22"/>
      <w:u w:val="none"/>
    </w:rPr>
  </w:style>
  <w:style w:type="character" w:customStyle="1" w:styleId="17">
    <w:name w:val="font01"/>
    <w:basedOn w:val="9"/>
    <w:qFormat/>
    <w:uiPriority w:val="0"/>
    <w:rPr>
      <w:rFonts w:ascii="Dialog . plain" w:hAnsi="Dialog . plain" w:eastAsia="Dialog . plain" w:cs="Dialog . plain"/>
      <w:color w:val="000000"/>
      <w:sz w:val="22"/>
      <w:szCs w:val="22"/>
      <w:u w:val="none"/>
    </w:rPr>
  </w:style>
  <w:style w:type="character" w:customStyle="1" w:styleId="18">
    <w:name w:val="font11"/>
    <w:basedOn w:val="9"/>
    <w:qFormat/>
    <w:uiPriority w:val="0"/>
    <w:rPr>
      <w:rFonts w:hint="eastAsia" w:ascii="宋体" w:hAnsi="宋体" w:eastAsia="宋体" w:cs="宋体"/>
      <w:color w:val="000000"/>
      <w:sz w:val="18"/>
      <w:szCs w:val="18"/>
      <w:u w:val="none"/>
    </w:rPr>
  </w:style>
  <w:style w:type="character" w:customStyle="1" w:styleId="19">
    <w:name w:val="font51"/>
    <w:basedOn w:val="9"/>
    <w:qFormat/>
    <w:uiPriority w:val="0"/>
    <w:rPr>
      <w:rFonts w:hint="eastAsia" w:ascii="宋体" w:hAnsi="宋体" w:eastAsia="宋体" w:cs="宋体"/>
      <w:color w:val="000000"/>
      <w:sz w:val="16"/>
      <w:szCs w:val="16"/>
      <w:u w:val="none"/>
    </w:rPr>
  </w:style>
  <w:style w:type="character" w:customStyle="1" w:styleId="20">
    <w:name w:val="font61"/>
    <w:basedOn w:val="9"/>
    <w:qFormat/>
    <w:uiPriority w:val="0"/>
    <w:rPr>
      <w:rFonts w:ascii="Dialog . plain" w:hAnsi="Dialog . plain" w:eastAsia="Dialog . plain" w:cs="Dialog . plai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6130;&#21153;&#31867;\&#39044;&#31639;&#20844;&#24320;\2022&#24180;&#39044;&#31639;&#20844;&#24320;\&#20061;&#23528;&#27807;&#21439;&#36130;&#25919;&#23616;2022&#24180;&#37096;&#38376;&#39044;&#31639;&#20844;&#24320;&#32534;&#21046;&#35828;&#26126;%20-.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九寨沟县财政局2022年部门预算公开编制说明 -</Template>
  <Company>China</Company>
  <Pages>11</Pages>
  <Words>904</Words>
  <Characters>5156</Characters>
  <Lines>42</Lines>
  <Paragraphs>12</Paragraphs>
  <TotalTime>35</TotalTime>
  <ScaleCrop>false</ScaleCrop>
  <LinksUpToDate>false</LinksUpToDate>
  <CharactersWithSpaces>6048</CharactersWithSpaces>
  <Application>WPS Office_11.8.2.9015_F1E327BC-269C-435d-A152-05C5408002CA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2022-04-25T08:58:00Z</dcterms:created>
  <dc:creator>Administrator</dc:creator>
  <cp:lastModifiedBy>Administrator</cp:lastModifiedBy>
  <cp:lastPrinted>2019-01-16T01:45:00Z</cp:lastPrinted>
  <dcterms:modified xsi:type="dcterms:W3CDTF">2025-02-12T07:04:57Z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2052-11.8.2.9015</vt:lpwstr>
  </property>
  <property fmtid="{D5CDD505-2E9C-101B-9397-08002B2CF9AE}" pid="3" name="ICV">
    <vt:lpwstr>BB91CA9BD6C346FC8C82701D4CCF3B75</vt:lpwstr>
  </property>
</Properties>
</file>