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65F399">
      <w:pPr>
        <w:pStyle w:val="7"/>
        <w:rPr>
          <w:rFonts w:hint="eastAsia" w:ascii="Times New Roman" w:hAnsi="Times New Roman" w:eastAsia="方正小标宋简体" w:cs="Times New Roman"/>
          <w:color w:val="auto"/>
          <w:kern w:val="2"/>
          <w:sz w:val="72"/>
          <w:szCs w:val="72"/>
          <w:highlight w:val="none"/>
          <w:lang w:val="en-US" w:eastAsia="zh-CN" w:bidi="ar-SA"/>
        </w:rPr>
      </w:pPr>
      <w:bookmarkStart w:id="0" w:name="_Toc15396597"/>
      <w:bookmarkStart w:id="1" w:name="_Toc15396475"/>
      <w:bookmarkStart w:id="2" w:name="_Toc15377425"/>
      <w:bookmarkStart w:id="3" w:name="_Toc15378441"/>
      <w:bookmarkStart w:id="4" w:name="_Toc15377193"/>
      <w:bookmarkStart w:id="5" w:name="_Toc15306267"/>
    </w:p>
    <w:p w14:paraId="71FC5ECF">
      <w:pPr>
        <w:rPr>
          <w:rFonts w:ascii="Times New Roman" w:hAnsi="Times New Roman"/>
        </w:rPr>
      </w:pPr>
    </w:p>
    <w:p w14:paraId="6E64016D">
      <w:pPr>
        <w:pStyle w:val="7"/>
        <w:jc w:val="center"/>
        <w:rPr>
          <w:rFonts w:hint="eastAsia" w:ascii="Times New Roman" w:hAnsi="Times New Roman" w:eastAsia="方正小标宋简体" w:cs="Times New Roman"/>
          <w:color w:val="auto"/>
          <w:kern w:val="2"/>
          <w:sz w:val="44"/>
          <w:szCs w:val="44"/>
          <w:highlight w:val="none"/>
          <w:lang w:val="en-US" w:eastAsia="zh-CN" w:bidi="ar-SA"/>
        </w:rPr>
      </w:pPr>
    </w:p>
    <w:p w14:paraId="7F00CC53">
      <w:pPr>
        <w:pStyle w:val="7"/>
        <w:jc w:val="center"/>
        <w:rPr>
          <w:rFonts w:hint="eastAsia" w:ascii="Times New Roman" w:hAnsi="Times New Roman" w:eastAsia="方正小标宋简体" w:cs="Times New Roman"/>
          <w:color w:val="auto"/>
          <w:kern w:val="2"/>
          <w:sz w:val="44"/>
          <w:szCs w:val="44"/>
          <w:highlight w:val="none"/>
          <w:lang w:val="en-US" w:eastAsia="zh-CN" w:bidi="ar-SA"/>
        </w:rPr>
      </w:pPr>
      <w:bookmarkStart w:id="128" w:name="_GoBack"/>
      <w:bookmarkEnd w:id="128"/>
    </w:p>
    <w:p w14:paraId="5F77329C">
      <w:pPr>
        <w:pStyle w:val="7"/>
        <w:jc w:val="center"/>
        <w:rPr>
          <w:rFonts w:hint="eastAsia" w:ascii="Times New Roman" w:hAnsi="Times New Roman" w:eastAsia="方正小标宋简体" w:cs="Times New Roman"/>
          <w:color w:val="auto"/>
          <w:kern w:val="2"/>
          <w:sz w:val="44"/>
          <w:szCs w:val="44"/>
          <w:highlight w:val="none"/>
          <w:lang w:val="en-US" w:eastAsia="zh-CN" w:bidi="ar-SA"/>
        </w:rPr>
      </w:pPr>
    </w:p>
    <w:p w14:paraId="323E2A86">
      <w:pPr>
        <w:pStyle w:val="7"/>
        <w:jc w:val="center"/>
        <w:rPr>
          <w:rFonts w:hint="eastAsia" w:ascii="Times New Roman" w:hAnsi="Times New Roman" w:eastAsia="方正小标宋简体" w:cs="Times New Roman"/>
          <w:color w:val="auto"/>
          <w:kern w:val="2"/>
          <w:sz w:val="44"/>
          <w:szCs w:val="44"/>
          <w:highlight w:val="none"/>
          <w:lang w:val="en-US" w:eastAsia="zh-CN" w:bidi="ar-SA"/>
        </w:rPr>
      </w:pPr>
    </w:p>
    <w:bookmarkEnd w:id="0"/>
    <w:bookmarkEnd w:id="1"/>
    <w:bookmarkEnd w:id="2"/>
    <w:bookmarkEnd w:id="3"/>
    <w:bookmarkEnd w:id="4"/>
    <w:p w14:paraId="6140A896">
      <w:pPr>
        <w:pStyle w:val="7"/>
        <w:jc w:val="center"/>
        <w:rPr>
          <w:rFonts w:hint="eastAsia" w:ascii="Times New Roman" w:hAnsi="Times New Roman" w:eastAsia="方正小标宋简体" w:cs="Times New Roman"/>
          <w:b/>
          <w:bCs/>
          <w:color w:val="auto"/>
          <w:kern w:val="2"/>
          <w:sz w:val="72"/>
          <w:szCs w:val="72"/>
          <w:highlight w:val="none"/>
          <w:lang w:val="en-US" w:eastAsia="zh-CN" w:bidi="ar-SA"/>
        </w:rPr>
      </w:pPr>
      <w:bookmarkStart w:id="6" w:name="_Toc15396598"/>
      <w:bookmarkStart w:id="7" w:name="_Toc15378442"/>
      <w:bookmarkStart w:id="8" w:name="_Toc15396476"/>
      <w:bookmarkStart w:id="9" w:name="_Toc15377426"/>
      <w:bookmarkStart w:id="10" w:name="_Toc15377194"/>
      <w:r>
        <w:rPr>
          <w:rFonts w:hint="eastAsia" w:ascii="Times New Roman" w:hAnsi="Times New Roman" w:eastAsia="方正小标宋简体" w:cs="Times New Roman"/>
          <w:b/>
          <w:bCs/>
          <w:color w:val="auto"/>
          <w:kern w:val="2"/>
          <w:sz w:val="72"/>
          <w:szCs w:val="72"/>
          <w:highlight w:val="none"/>
          <w:lang w:val="en-US" w:eastAsia="zh-CN" w:bidi="ar-SA"/>
        </w:rPr>
        <w:t>2024年度</w:t>
      </w:r>
    </w:p>
    <w:p w14:paraId="2E4FC2B9">
      <w:pPr>
        <w:pStyle w:val="7"/>
        <w:jc w:val="center"/>
        <w:rPr>
          <w:rFonts w:hint="eastAsia" w:ascii="Times New Roman" w:eastAsia="方正小标宋简体" w:cs="Times New Roman"/>
          <w:b/>
          <w:bCs/>
          <w:color w:val="auto"/>
          <w:kern w:val="2"/>
          <w:sz w:val="72"/>
          <w:szCs w:val="72"/>
          <w:highlight w:val="none"/>
          <w:lang w:val="en-US" w:eastAsia="zh-CN" w:bidi="ar-SA"/>
        </w:rPr>
      </w:pPr>
      <w:r>
        <w:rPr>
          <w:rFonts w:hint="eastAsia" w:ascii="Times New Roman" w:hAnsi="Times New Roman" w:eastAsia="方正小标宋简体" w:cs="Times New Roman"/>
          <w:b/>
          <w:bCs/>
          <w:color w:val="auto"/>
          <w:kern w:val="2"/>
          <w:sz w:val="72"/>
          <w:szCs w:val="72"/>
          <w:highlight w:val="none"/>
          <w:lang w:val="en-US" w:eastAsia="zh-CN" w:bidi="ar-SA"/>
        </w:rPr>
        <w:t>四川省</w:t>
      </w:r>
      <w:bookmarkEnd w:id="5"/>
      <w:bookmarkStart w:id="11" w:name="_Toc15306268"/>
      <w:r>
        <w:rPr>
          <w:rFonts w:hint="eastAsia" w:ascii="Times New Roman" w:eastAsia="方正小标宋简体" w:cs="Times New Roman"/>
          <w:b/>
          <w:bCs/>
          <w:color w:val="auto"/>
          <w:kern w:val="2"/>
          <w:sz w:val="72"/>
          <w:szCs w:val="72"/>
          <w:highlight w:val="none"/>
          <w:lang w:val="en-US" w:eastAsia="zh-CN" w:bidi="ar-SA"/>
        </w:rPr>
        <w:t>九寨沟县</w:t>
      </w:r>
    </w:p>
    <w:p w14:paraId="28AA74A5">
      <w:pPr>
        <w:pStyle w:val="7"/>
        <w:jc w:val="center"/>
        <w:rPr>
          <w:rFonts w:hint="eastAsia" w:ascii="Times New Roman" w:eastAsia="方正小标宋简体" w:cs="Times New Roman"/>
          <w:b/>
          <w:bCs/>
          <w:color w:val="auto"/>
          <w:kern w:val="2"/>
          <w:sz w:val="72"/>
          <w:szCs w:val="72"/>
          <w:highlight w:val="none"/>
          <w:lang w:val="en-US" w:eastAsia="zh-CN" w:bidi="ar-SA"/>
        </w:rPr>
      </w:pPr>
      <w:r>
        <w:rPr>
          <w:rFonts w:hint="eastAsia" w:ascii="Times New Roman" w:eastAsia="方正小标宋简体" w:cs="Times New Roman"/>
          <w:b/>
          <w:bCs/>
          <w:color w:val="auto"/>
          <w:kern w:val="2"/>
          <w:sz w:val="72"/>
          <w:szCs w:val="72"/>
          <w:highlight w:val="none"/>
          <w:lang w:val="en-US" w:eastAsia="zh-CN" w:bidi="ar-SA"/>
        </w:rPr>
        <w:t>国库集中支付中心</w:t>
      </w:r>
    </w:p>
    <w:p w14:paraId="0D8731EE">
      <w:pPr>
        <w:pStyle w:val="7"/>
        <w:jc w:val="center"/>
        <w:rPr>
          <w:rFonts w:hint="default" w:ascii="Times New Roman" w:hAnsi="Times New Roman" w:eastAsia="方正小标宋简体" w:cs="Times New Roman"/>
          <w:b/>
          <w:bCs/>
          <w:color w:val="auto"/>
          <w:kern w:val="2"/>
          <w:sz w:val="72"/>
          <w:szCs w:val="72"/>
          <w:highlight w:val="none"/>
          <w:lang w:val="en-US" w:eastAsia="zh-CN" w:bidi="ar-SA"/>
        </w:rPr>
      </w:pPr>
      <w:r>
        <w:rPr>
          <w:rFonts w:hint="eastAsia" w:ascii="Times New Roman" w:eastAsia="方正小标宋简体" w:cs="Times New Roman"/>
          <w:b/>
          <w:bCs/>
          <w:color w:val="auto"/>
          <w:kern w:val="2"/>
          <w:sz w:val="72"/>
          <w:szCs w:val="72"/>
          <w:highlight w:val="none"/>
          <w:lang w:val="en-US" w:eastAsia="zh-CN" w:bidi="ar-SA"/>
        </w:rPr>
        <w:t>单位</w:t>
      </w:r>
      <w:r>
        <w:rPr>
          <w:rFonts w:hint="eastAsia" w:ascii="Times New Roman" w:hAnsi="Times New Roman" w:eastAsia="方正小标宋简体" w:cs="Times New Roman"/>
          <w:b/>
          <w:bCs/>
          <w:color w:val="auto"/>
          <w:kern w:val="2"/>
          <w:sz w:val="72"/>
          <w:szCs w:val="72"/>
          <w:highlight w:val="none"/>
          <w:lang w:val="en-US" w:eastAsia="zh-CN" w:bidi="ar-SA"/>
        </w:rPr>
        <w:t>决算</w:t>
      </w:r>
      <w:bookmarkEnd w:id="6"/>
      <w:bookmarkEnd w:id="7"/>
      <w:bookmarkEnd w:id="8"/>
      <w:bookmarkEnd w:id="9"/>
      <w:bookmarkEnd w:id="10"/>
      <w:bookmarkEnd w:id="11"/>
      <w:r>
        <w:rPr>
          <w:rFonts w:hint="eastAsia" w:ascii="Times New Roman" w:eastAsia="方正小标宋简体" w:cs="Times New Roman"/>
          <w:b/>
          <w:bCs/>
          <w:color w:val="auto"/>
          <w:kern w:val="2"/>
          <w:sz w:val="72"/>
          <w:szCs w:val="72"/>
          <w:highlight w:val="none"/>
          <w:lang w:val="en-US" w:eastAsia="zh-CN" w:bidi="ar-SA"/>
        </w:rPr>
        <w:t>公开</w:t>
      </w:r>
    </w:p>
    <w:p w14:paraId="2F4D286D">
      <w:pPr>
        <w:widowControl/>
        <w:jc w:val="center"/>
        <w:rPr>
          <w:rFonts w:hint="eastAsia" w:ascii="Times New Roman" w:hAnsi="Times New Roman" w:eastAsia="黑体"/>
          <w:color w:val="auto"/>
          <w:sz w:val="48"/>
          <w:szCs w:val="48"/>
          <w:highlight w:val="none"/>
        </w:rPr>
        <w:sectPr>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p>
    <w:p w14:paraId="3451E283">
      <w:pPr>
        <w:widowControl/>
        <w:jc w:val="center"/>
        <w:rPr>
          <w:rFonts w:ascii="Times New Roman" w:hAnsi="Times New Roman" w:eastAsia="黑体"/>
          <w:color w:val="auto"/>
          <w:sz w:val="48"/>
          <w:szCs w:val="48"/>
          <w:highlight w:val="none"/>
        </w:rPr>
      </w:pPr>
      <w:r>
        <w:rPr>
          <w:rFonts w:hint="eastAsia" w:ascii="Times New Roman" w:hAnsi="Times New Roman" w:eastAsia="黑体"/>
          <w:color w:val="auto"/>
          <w:sz w:val="48"/>
          <w:szCs w:val="48"/>
          <w:highlight w:val="none"/>
        </w:rPr>
        <w:t>目录</w:t>
      </w:r>
    </w:p>
    <w:p w14:paraId="2C512225">
      <w:pPr>
        <w:widowControl/>
        <w:jc w:val="center"/>
        <w:rPr>
          <w:rFonts w:ascii="Times New Roman" w:hAnsi="Times New Roman" w:eastAsia="黑体" w:cstheme="minorBidi"/>
          <w:color w:val="auto"/>
          <w:sz w:val="28"/>
          <w:szCs w:val="28"/>
          <w:highlight w:val="none"/>
        </w:rPr>
      </w:pPr>
    </w:p>
    <w:p w14:paraId="42604C6C">
      <w:pPr>
        <w:pStyle w:val="12"/>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 xml:space="preserve"> 10 </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 xml:space="preserve">17 </w:t>
      </w:r>
      <w:r>
        <w:rPr>
          <w:rFonts w:hint="eastAsia" w:ascii="Times New Roman" w:hAnsi="Times New Roman" w:eastAsia="仿宋_GB2312" w:cs="仿宋_GB2312"/>
          <w:color w:val="auto"/>
          <w:sz w:val="32"/>
          <w:szCs w:val="32"/>
          <w:highlight w:val="none"/>
        </w:rPr>
        <w:t>日</w:t>
      </w:r>
    </w:p>
    <w:p w14:paraId="5A277E20">
      <w:pPr>
        <w:rPr>
          <w:rFonts w:ascii="Times New Roman" w:hAnsi="Times New Roman"/>
          <w:color w:val="auto"/>
          <w:highlight w:val="none"/>
        </w:rPr>
      </w:pPr>
    </w:p>
    <w:sdt>
      <w:sdtPr>
        <w:rPr>
          <w:rFonts w:ascii="宋体" w:hAnsi="宋体" w:eastAsia="宋体" w:cs="Times New Roman"/>
          <w:kern w:val="2"/>
          <w:sz w:val="21"/>
          <w:szCs w:val="24"/>
          <w:lang w:val="en-US" w:eastAsia="zh-CN" w:bidi="ar-SA"/>
        </w:rPr>
        <w:id w:val="147460996"/>
        <w:docPartObj>
          <w:docPartGallery w:val="Table of Contents"/>
          <w:docPartUnique/>
        </w:docPartObj>
      </w:sdtPr>
      <w:sdtEndPr>
        <w:rPr>
          <w:rFonts w:ascii="宋体" w:hAnsi="宋体" w:eastAsia="宋体" w:cs="Times New Roman"/>
          <w:kern w:val="2"/>
          <w:sz w:val="20"/>
          <w:szCs w:val="20"/>
          <w:lang w:val="en-US" w:eastAsia="zh-CN" w:bidi="ar-SA"/>
        </w:rPr>
      </w:sdtEndPr>
      <w:sdtContent>
        <w:p w14:paraId="6D4DACD8">
          <w:pPr>
            <w:spacing w:before="0" w:beforeLines="0" w:after="0" w:afterLines="0" w:line="240" w:lineRule="auto"/>
            <w:ind w:left="0" w:leftChars="0" w:right="0" w:rightChars="0" w:firstLine="0" w:firstLineChars="0"/>
            <w:jc w:val="center"/>
          </w:pPr>
          <w:bookmarkStart w:id="12" w:name="_Toc8360_WPSOffice_Type2"/>
          <w:r>
            <w:rPr>
              <w:rFonts w:ascii="宋体" w:hAnsi="宋体" w:eastAsia="宋体"/>
              <w:sz w:val="21"/>
            </w:rPr>
            <w:t>目录</w:t>
          </w:r>
        </w:p>
        <w:p w14:paraId="0B6B8FEE">
          <w:pPr>
            <w:pStyle w:val="36"/>
            <w:tabs>
              <w:tab w:val="right" w:leader="dot" w:pos="8306"/>
            </w:tabs>
          </w:pPr>
          <w:r>
            <w:rPr>
              <w:b/>
              <w:bCs/>
            </w:rPr>
            <w:fldChar w:fldCharType="begin"/>
          </w:r>
          <w:r>
            <w:instrText xml:space="preserve"> HYPERLINK \l _Toc29463_WPSOffice_Level1 </w:instrText>
          </w:r>
          <w:r>
            <w:rPr>
              <w:b/>
              <w:bCs/>
            </w:rPr>
            <w:fldChar w:fldCharType="separate"/>
          </w:r>
          <w:sdt>
            <w:sdtPr>
              <w:rPr>
                <w:rFonts w:ascii="Times New Roman" w:hAnsi="Times New Roman" w:eastAsia="宋体" w:cs="Times New Roman"/>
                <w:b/>
                <w:bCs/>
                <w:kern w:val="2"/>
                <w:sz w:val="21"/>
                <w:szCs w:val="24"/>
                <w:lang w:val="en-US" w:eastAsia="zh-CN" w:bidi="ar-SA"/>
              </w:rPr>
              <w:id w:val="147480044"/>
              <w:placeholder>
                <w:docPart w:val="{554f57c6-1fbe-4976-9c5d-05bec7846482}"/>
              </w:placeholder>
            </w:sdtPr>
            <w:sdtEndPr>
              <w:rPr>
                <w:rFonts w:ascii="Times New Roman" w:hAnsi="Times New Roman" w:eastAsia="宋体" w:cs="Times New Roman"/>
                <w:b/>
                <w:bCs/>
                <w:kern w:val="2"/>
                <w:sz w:val="21"/>
                <w:szCs w:val="24"/>
                <w:lang w:val="en-US" w:eastAsia="zh-CN" w:bidi="ar-SA"/>
              </w:rPr>
            </w:sdtEndPr>
            <w:sdtContent>
              <w:r>
                <w:rPr>
                  <w:rFonts w:hint="eastAsia" w:ascii="Times New Roman" w:hAnsi="Times New Roman" w:eastAsia="方正小标宋简体" w:cs="方正小标宋简体"/>
                  <w:b/>
                  <w:bCs/>
                </w:rPr>
                <w:t>第一部分  部门概况</w:t>
              </w:r>
            </w:sdtContent>
          </w:sdt>
          <w:r>
            <w:rPr>
              <w:b/>
              <w:bCs/>
            </w:rPr>
            <w:tab/>
          </w:r>
          <w:bookmarkStart w:id="13" w:name="_Toc29463_WPSOffice_Level1Page"/>
          <w:r>
            <w:rPr>
              <w:b/>
              <w:bCs/>
            </w:rPr>
            <w:t>3</w:t>
          </w:r>
          <w:bookmarkEnd w:id="13"/>
          <w:r>
            <w:rPr>
              <w:b/>
              <w:bCs/>
            </w:rPr>
            <w:fldChar w:fldCharType="end"/>
          </w:r>
        </w:p>
        <w:p w14:paraId="451E4C57">
          <w:pPr>
            <w:pStyle w:val="37"/>
            <w:tabs>
              <w:tab w:val="right" w:leader="dot" w:pos="8306"/>
            </w:tabs>
          </w:pPr>
          <w:r>
            <w:fldChar w:fldCharType="begin"/>
          </w:r>
          <w:r>
            <w:instrText xml:space="preserve"> HYPERLINK \l _Toc8360_WPSOffice_Level2 </w:instrText>
          </w:r>
          <w:r>
            <w:fldChar w:fldCharType="separate"/>
          </w:r>
          <w:sdt>
            <w:sdtPr>
              <w:rPr>
                <w:rFonts w:ascii="Times New Roman" w:hAnsi="Times New Roman" w:eastAsia="宋体" w:cs="Times New Roman"/>
                <w:kern w:val="2"/>
                <w:sz w:val="21"/>
                <w:szCs w:val="24"/>
                <w:lang w:val="en-US" w:eastAsia="zh-CN" w:bidi="ar-SA"/>
              </w:rPr>
              <w:id w:val="147469336"/>
              <w:placeholder>
                <w:docPart w:val="{c93db40d-cfe8-4b2a-932a-87818fb83172}"/>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黑体" w:cstheme="majorBidi"/>
                </w:rPr>
                <w:t>一、 部门职责</w:t>
              </w:r>
            </w:sdtContent>
          </w:sdt>
          <w:r>
            <w:tab/>
          </w:r>
          <w:bookmarkStart w:id="14" w:name="_Toc8360_WPSOffice_Level2Page"/>
          <w:r>
            <w:t>3</w:t>
          </w:r>
          <w:bookmarkEnd w:id="14"/>
          <w:r>
            <w:fldChar w:fldCharType="end"/>
          </w:r>
        </w:p>
        <w:p w14:paraId="32C351F0">
          <w:pPr>
            <w:pStyle w:val="37"/>
            <w:tabs>
              <w:tab w:val="right" w:leader="dot" w:pos="8306"/>
            </w:tabs>
          </w:pPr>
          <w:r>
            <w:fldChar w:fldCharType="begin"/>
          </w:r>
          <w:r>
            <w:instrText xml:space="preserve"> HYPERLINK \l _Toc12892_WPSOffice_Level2 </w:instrText>
          </w:r>
          <w:r>
            <w:fldChar w:fldCharType="separate"/>
          </w:r>
          <w:sdt>
            <w:sdtPr>
              <w:rPr>
                <w:rFonts w:ascii="Times New Roman" w:hAnsi="Times New Roman" w:eastAsia="宋体" w:cs="Times New Roman"/>
                <w:kern w:val="2"/>
                <w:sz w:val="21"/>
                <w:szCs w:val="24"/>
                <w:lang w:val="en-US" w:eastAsia="zh-CN" w:bidi="ar-SA"/>
              </w:rPr>
              <w:id w:val="147456863"/>
              <w:placeholder>
                <w:docPart w:val="{44c352f9-3ebb-41a0-a4a6-6588ca388012}"/>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黑体" w:cstheme="majorBidi"/>
                </w:rPr>
                <w:t>二、机构设置</w:t>
              </w:r>
            </w:sdtContent>
          </w:sdt>
          <w:r>
            <w:tab/>
          </w:r>
          <w:bookmarkStart w:id="15" w:name="_Toc12892_WPSOffice_Level2Page"/>
          <w:r>
            <w:t>3</w:t>
          </w:r>
          <w:bookmarkEnd w:id="15"/>
          <w:r>
            <w:fldChar w:fldCharType="end"/>
          </w:r>
        </w:p>
        <w:p w14:paraId="26196400">
          <w:pPr>
            <w:pStyle w:val="36"/>
            <w:tabs>
              <w:tab w:val="right" w:leader="dot" w:pos="8306"/>
            </w:tabs>
          </w:pPr>
          <w:r>
            <w:rPr>
              <w:b/>
              <w:bCs/>
            </w:rPr>
            <w:fldChar w:fldCharType="begin"/>
          </w:r>
          <w:r>
            <w:instrText xml:space="preserve"> HYPERLINK \l _Toc8360_WPSOffice_Level1 </w:instrText>
          </w:r>
          <w:r>
            <w:rPr>
              <w:b/>
              <w:bCs/>
            </w:rPr>
            <w:fldChar w:fldCharType="separate"/>
          </w:r>
          <w:sdt>
            <w:sdtPr>
              <w:rPr>
                <w:rFonts w:ascii="Times New Roman" w:hAnsi="Times New Roman" w:eastAsia="宋体" w:cs="Times New Roman"/>
                <w:b/>
                <w:bCs/>
                <w:kern w:val="2"/>
                <w:sz w:val="21"/>
                <w:szCs w:val="24"/>
                <w:lang w:val="en-US" w:eastAsia="zh-CN" w:bidi="ar-SA"/>
              </w:rPr>
              <w:id w:val="147483321"/>
              <w:placeholder>
                <w:docPart w:val="{f45b70ff-6ec7-4fe1-89bc-41adbff059bb}"/>
              </w:placeholder>
            </w:sdtPr>
            <w:sdtEndPr>
              <w:rPr>
                <w:rFonts w:ascii="Times New Roman" w:hAnsi="Times New Roman" w:eastAsia="宋体" w:cs="Times New Roman"/>
                <w:b/>
                <w:bCs/>
                <w:kern w:val="2"/>
                <w:sz w:val="21"/>
                <w:szCs w:val="24"/>
                <w:lang w:val="en-US" w:eastAsia="zh-CN" w:bidi="ar-SA"/>
              </w:rPr>
            </w:sdtEndPr>
            <w:sdtContent>
              <w:r>
                <w:rPr>
                  <w:rFonts w:hint="eastAsia" w:ascii="Times New Roman" w:hAnsi="Times New Roman" w:eastAsia="方正小标宋简体" w:cs="方正小标宋简体"/>
                  <w:b/>
                  <w:bCs/>
                </w:rPr>
                <w:t>第二部分  2024年度部门决算情况说明</w:t>
              </w:r>
            </w:sdtContent>
          </w:sdt>
          <w:r>
            <w:rPr>
              <w:b/>
              <w:bCs/>
            </w:rPr>
            <w:tab/>
          </w:r>
          <w:bookmarkStart w:id="16" w:name="_Toc8360_WPSOffice_Level1Page"/>
          <w:r>
            <w:rPr>
              <w:b/>
              <w:bCs/>
            </w:rPr>
            <w:t>5</w:t>
          </w:r>
          <w:bookmarkEnd w:id="16"/>
          <w:r>
            <w:rPr>
              <w:b/>
              <w:bCs/>
            </w:rPr>
            <w:fldChar w:fldCharType="end"/>
          </w:r>
        </w:p>
        <w:p w14:paraId="7FBDB268">
          <w:pPr>
            <w:pStyle w:val="37"/>
            <w:tabs>
              <w:tab w:val="right" w:leader="dot" w:pos="8306"/>
            </w:tabs>
          </w:pPr>
          <w:r>
            <w:fldChar w:fldCharType="begin"/>
          </w:r>
          <w:r>
            <w:instrText xml:space="preserve"> HYPERLINK \l _Toc29530_WPSOffice_Level2 </w:instrText>
          </w:r>
          <w:r>
            <w:fldChar w:fldCharType="separate"/>
          </w:r>
          <w:sdt>
            <w:sdtPr>
              <w:rPr>
                <w:rFonts w:ascii="Times New Roman" w:hAnsi="Times New Roman" w:eastAsia="宋体" w:cs="Times New Roman"/>
                <w:kern w:val="2"/>
                <w:sz w:val="21"/>
                <w:szCs w:val="24"/>
                <w:lang w:val="en-US" w:eastAsia="zh-CN" w:bidi="ar-SA"/>
              </w:rPr>
              <w:id w:val="147455855"/>
              <w:placeholder>
                <w:docPart w:val="{67001dd2-e134-4a8b-bc4e-3c37fb33ed44}"/>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黑体" w:cs="Times New Roman"/>
                </w:rPr>
                <w:t>一、收</w:t>
              </w:r>
              <w:r>
                <w:rPr>
                  <w:rFonts w:hint="eastAsia" w:ascii="Times New Roman" w:hAnsi="Times New Roman" w:eastAsia="黑体" w:cstheme="majorBidi"/>
                </w:rPr>
                <w:t>入支出决算总体情况说明</w:t>
              </w:r>
            </w:sdtContent>
          </w:sdt>
          <w:r>
            <w:tab/>
          </w:r>
          <w:bookmarkStart w:id="17" w:name="_Toc29530_WPSOffice_Level2Page"/>
          <w:r>
            <w:t>5</w:t>
          </w:r>
          <w:bookmarkEnd w:id="17"/>
          <w:r>
            <w:fldChar w:fldCharType="end"/>
          </w:r>
        </w:p>
        <w:p w14:paraId="1F5F2B24">
          <w:pPr>
            <w:pStyle w:val="37"/>
            <w:tabs>
              <w:tab w:val="right" w:leader="dot" w:pos="8306"/>
            </w:tabs>
          </w:pPr>
          <w:r>
            <w:fldChar w:fldCharType="begin"/>
          </w:r>
          <w:r>
            <w:instrText xml:space="preserve"> HYPERLINK \l _Toc5824_WPSOffice_Level2 </w:instrText>
          </w:r>
          <w:r>
            <w:fldChar w:fldCharType="separate"/>
          </w:r>
          <w:sdt>
            <w:sdtPr>
              <w:rPr>
                <w:rFonts w:ascii="Times New Roman" w:hAnsi="Times New Roman" w:eastAsia="宋体" w:cs="Times New Roman"/>
                <w:kern w:val="2"/>
                <w:sz w:val="21"/>
                <w:szCs w:val="24"/>
                <w:lang w:val="en-US" w:eastAsia="zh-CN" w:bidi="ar-SA"/>
              </w:rPr>
              <w:id w:val="147472909"/>
              <w:placeholder>
                <w:docPart w:val="{0b62ae1e-3993-4b4a-9067-9b59b461413c}"/>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黑体" w:cs="Times New Roman"/>
                </w:rPr>
                <w:t>二、收入决算情况说明</w:t>
              </w:r>
            </w:sdtContent>
          </w:sdt>
          <w:r>
            <w:tab/>
          </w:r>
          <w:bookmarkStart w:id="18" w:name="_Toc5824_WPSOffice_Level2Page"/>
          <w:r>
            <w:t>5</w:t>
          </w:r>
          <w:bookmarkEnd w:id="18"/>
          <w:r>
            <w:fldChar w:fldCharType="end"/>
          </w:r>
        </w:p>
        <w:p w14:paraId="68870541">
          <w:pPr>
            <w:pStyle w:val="37"/>
            <w:tabs>
              <w:tab w:val="right" w:leader="dot" w:pos="8306"/>
            </w:tabs>
          </w:pPr>
          <w:r>
            <w:fldChar w:fldCharType="begin"/>
          </w:r>
          <w:r>
            <w:instrText xml:space="preserve"> HYPERLINK \l _Toc24412_WPSOffice_Level2 </w:instrText>
          </w:r>
          <w:r>
            <w:fldChar w:fldCharType="separate"/>
          </w:r>
          <w:sdt>
            <w:sdtPr>
              <w:rPr>
                <w:rFonts w:ascii="Times New Roman" w:hAnsi="Times New Roman" w:eastAsia="宋体" w:cs="Times New Roman"/>
                <w:kern w:val="2"/>
                <w:sz w:val="21"/>
                <w:szCs w:val="24"/>
                <w:lang w:val="en-US" w:eastAsia="zh-CN" w:bidi="ar-SA"/>
              </w:rPr>
              <w:id w:val="147461312"/>
              <w:placeholder>
                <w:docPart w:val="{39aed09b-8995-4fac-ba1e-82ff98ca58fb}"/>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黑体" w:cs="Times New Roman"/>
                </w:rPr>
                <w:t>三、支</w:t>
              </w:r>
              <w:r>
                <w:rPr>
                  <w:rFonts w:hint="eastAsia" w:ascii="Times New Roman" w:hAnsi="Times New Roman" w:eastAsia="黑体" w:cstheme="majorBidi"/>
                </w:rPr>
                <w:t>出决算情况说明</w:t>
              </w:r>
            </w:sdtContent>
          </w:sdt>
          <w:r>
            <w:tab/>
          </w:r>
          <w:bookmarkStart w:id="19" w:name="_Toc24412_WPSOffice_Level2Page"/>
          <w:r>
            <w:t>5</w:t>
          </w:r>
          <w:bookmarkEnd w:id="19"/>
          <w:r>
            <w:fldChar w:fldCharType="end"/>
          </w:r>
        </w:p>
        <w:p w14:paraId="6D3E2B9E">
          <w:pPr>
            <w:pStyle w:val="37"/>
            <w:tabs>
              <w:tab w:val="right" w:leader="dot" w:pos="8306"/>
            </w:tabs>
          </w:pPr>
          <w:r>
            <w:fldChar w:fldCharType="begin"/>
          </w:r>
          <w:r>
            <w:instrText xml:space="preserve"> HYPERLINK \l _Toc31566_WPSOffice_Level2 </w:instrText>
          </w:r>
          <w:r>
            <w:fldChar w:fldCharType="separate"/>
          </w:r>
          <w:sdt>
            <w:sdtPr>
              <w:rPr>
                <w:rFonts w:ascii="Times New Roman" w:hAnsi="Times New Roman" w:eastAsia="宋体" w:cs="Times New Roman"/>
                <w:kern w:val="2"/>
                <w:sz w:val="21"/>
                <w:szCs w:val="24"/>
                <w:lang w:val="en-US" w:eastAsia="zh-CN" w:bidi="ar-SA"/>
              </w:rPr>
              <w:id w:val="147469970"/>
              <w:placeholder>
                <w:docPart w:val="{fb558d88-ed57-4411-97a6-4af71167f3d9}"/>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黑体" w:cs="Times New Roman"/>
                </w:rPr>
                <w:t>四、财</w:t>
              </w:r>
              <w:r>
                <w:rPr>
                  <w:rFonts w:hint="eastAsia" w:ascii="Times New Roman" w:hAnsi="Times New Roman" w:eastAsia="黑体" w:cstheme="majorBidi"/>
                </w:rPr>
                <w:t>政拨款收入支出决算总体情况说明</w:t>
              </w:r>
            </w:sdtContent>
          </w:sdt>
          <w:r>
            <w:tab/>
          </w:r>
          <w:bookmarkStart w:id="20" w:name="_Toc31566_WPSOffice_Level2Page"/>
          <w:r>
            <w:t>5</w:t>
          </w:r>
          <w:bookmarkEnd w:id="20"/>
          <w:r>
            <w:fldChar w:fldCharType="end"/>
          </w:r>
        </w:p>
        <w:p w14:paraId="403B6F7F">
          <w:pPr>
            <w:pStyle w:val="37"/>
            <w:tabs>
              <w:tab w:val="right" w:leader="dot" w:pos="8306"/>
            </w:tabs>
          </w:pPr>
          <w:r>
            <w:fldChar w:fldCharType="begin"/>
          </w:r>
          <w:r>
            <w:instrText xml:space="preserve"> HYPERLINK \l _Toc23444_WPSOffice_Level2 </w:instrText>
          </w:r>
          <w:r>
            <w:fldChar w:fldCharType="separate"/>
          </w:r>
          <w:sdt>
            <w:sdtPr>
              <w:rPr>
                <w:rFonts w:ascii="Times New Roman" w:hAnsi="Times New Roman" w:eastAsia="宋体" w:cs="Times New Roman"/>
                <w:kern w:val="2"/>
                <w:sz w:val="21"/>
                <w:szCs w:val="24"/>
                <w:lang w:val="en-US" w:eastAsia="zh-CN" w:bidi="ar-SA"/>
              </w:rPr>
              <w:id w:val="147457713"/>
              <w:placeholder>
                <w:docPart w:val="{9f7e2fed-5c24-4c01-84f1-0bb3a38ebecc}"/>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黑体" w:cs="Times New Roman"/>
                </w:rPr>
                <w:t>五、一</w:t>
              </w:r>
              <w:r>
                <w:rPr>
                  <w:rFonts w:hint="eastAsia" w:ascii="Times New Roman" w:hAnsi="Times New Roman" w:eastAsia="黑体" w:cstheme="majorBidi"/>
                </w:rPr>
                <w:t>般公共预算财政拨款支出决算情况说明</w:t>
              </w:r>
            </w:sdtContent>
          </w:sdt>
          <w:r>
            <w:tab/>
          </w:r>
          <w:bookmarkStart w:id="21" w:name="_Toc23444_WPSOffice_Level2Page"/>
          <w:r>
            <w:t>6</w:t>
          </w:r>
          <w:bookmarkEnd w:id="21"/>
          <w:r>
            <w:fldChar w:fldCharType="end"/>
          </w:r>
        </w:p>
        <w:p w14:paraId="75BAA5FD">
          <w:pPr>
            <w:pStyle w:val="37"/>
            <w:tabs>
              <w:tab w:val="right" w:leader="dot" w:pos="8306"/>
            </w:tabs>
          </w:pPr>
          <w:r>
            <w:fldChar w:fldCharType="begin"/>
          </w:r>
          <w:r>
            <w:instrText xml:space="preserve"> HYPERLINK \l _Toc7710_WPSOffice_Level2 </w:instrText>
          </w:r>
          <w:r>
            <w:fldChar w:fldCharType="separate"/>
          </w:r>
          <w:sdt>
            <w:sdtPr>
              <w:rPr>
                <w:rFonts w:ascii="Times New Roman" w:hAnsi="Times New Roman" w:eastAsia="宋体" w:cs="Times New Roman"/>
                <w:kern w:val="2"/>
                <w:sz w:val="21"/>
                <w:szCs w:val="24"/>
                <w:lang w:val="en-US" w:eastAsia="zh-CN" w:bidi="ar-SA"/>
              </w:rPr>
              <w:id w:val="147467168"/>
              <w:placeholder>
                <w:docPart w:val="{87bbc0a4-a417-4891-b85e-e2ab253334ed}"/>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黑体" w:cs="Times New Roman"/>
                </w:rPr>
                <w:t>六、一</w:t>
              </w:r>
              <w:r>
                <w:rPr>
                  <w:rFonts w:hint="eastAsia" w:ascii="Times New Roman" w:hAnsi="Times New Roman" w:eastAsia="黑体" w:cstheme="majorBidi"/>
                </w:rPr>
                <w:t>般公共预算财政拨款基本支出决算情况说明</w:t>
              </w:r>
            </w:sdtContent>
          </w:sdt>
          <w:r>
            <w:tab/>
          </w:r>
          <w:bookmarkStart w:id="22" w:name="_Toc7710_WPSOffice_Level2Page"/>
          <w:r>
            <w:t>8</w:t>
          </w:r>
          <w:bookmarkEnd w:id="22"/>
          <w:r>
            <w:fldChar w:fldCharType="end"/>
          </w:r>
        </w:p>
        <w:p w14:paraId="791E6BC3">
          <w:pPr>
            <w:pStyle w:val="37"/>
            <w:tabs>
              <w:tab w:val="right" w:leader="dot" w:pos="8306"/>
            </w:tabs>
          </w:pPr>
          <w:r>
            <w:fldChar w:fldCharType="begin"/>
          </w:r>
          <w:r>
            <w:instrText xml:space="preserve"> HYPERLINK \l _Toc27997_WPSOffice_Level2 </w:instrText>
          </w:r>
          <w:r>
            <w:fldChar w:fldCharType="separate"/>
          </w:r>
          <w:sdt>
            <w:sdtPr>
              <w:rPr>
                <w:rFonts w:ascii="Times New Roman" w:hAnsi="Times New Roman" w:eastAsia="宋体" w:cs="Times New Roman"/>
                <w:kern w:val="2"/>
                <w:sz w:val="21"/>
                <w:szCs w:val="24"/>
                <w:lang w:val="en-US" w:eastAsia="zh-CN" w:bidi="ar-SA"/>
              </w:rPr>
              <w:id w:val="147462844"/>
              <w:placeholder>
                <w:docPart w:val="{19953c84-02ae-4c65-90eb-5b4c10b8bc96}"/>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黑体" w:cs="Times New Roman"/>
                </w:rPr>
                <w:t>七、</w:t>
              </w:r>
              <w:r>
                <w:rPr>
                  <w:rFonts w:hint="eastAsia" w:ascii="Times New Roman" w:hAnsi="Times New Roman" w:eastAsia="黑体" w:cstheme="majorBidi"/>
                </w:rPr>
                <w:t>财政拨款“三公”经费支出决算情况说明</w:t>
              </w:r>
            </w:sdtContent>
          </w:sdt>
          <w:r>
            <w:tab/>
          </w:r>
          <w:bookmarkStart w:id="23" w:name="_Toc27997_WPSOffice_Level2Page"/>
          <w:r>
            <w:t>8</w:t>
          </w:r>
          <w:bookmarkEnd w:id="23"/>
          <w:r>
            <w:fldChar w:fldCharType="end"/>
          </w:r>
        </w:p>
        <w:p w14:paraId="4BA93DDC">
          <w:pPr>
            <w:pStyle w:val="37"/>
            <w:tabs>
              <w:tab w:val="right" w:leader="dot" w:pos="8306"/>
            </w:tabs>
          </w:pPr>
          <w:r>
            <w:fldChar w:fldCharType="begin"/>
          </w:r>
          <w:r>
            <w:instrText xml:space="preserve"> HYPERLINK \l _Toc14391_WPSOffice_Level2 </w:instrText>
          </w:r>
          <w:r>
            <w:fldChar w:fldCharType="separate"/>
          </w:r>
          <w:sdt>
            <w:sdtPr>
              <w:rPr>
                <w:rFonts w:ascii="Times New Roman" w:hAnsi="Times New Roman" w:eastAsia="宋体" w:cs="Times New Roman"/>
                <w:kern w:val="2"/>
                <w:sz w:val="21"/>
                <w:szCs w:val="24"/>
                <w:lang w:val="en-US" w:eastAsia="zh-CN" w:bidi="ar-SA"/>
              </w:rPr>
              <w:id w:val="147462720"/>
              <w:placeholder>
                <w:docPart w:val="{d98e9220-23ef-40a4-b32c-6c28318430ad}"/>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黑体" w:cs="Times New Roman"/>
                </w:rPr>
                <w:t>八、</w:t>
              </w:r>
              <w:r>
                <w:rPr>
                  <w:rFonts w:hint="eastAsia" w:ascii="Times New Roman" w:hAnsi="Times New Roman" w:eastAsia="黑体" w:cstheme="majorBidi"/>
                </w:rPr>
                <w:t>政府性基金预算支出决算情况说明</w:t>
              </w:r>
            </w:sdtContent>
          </w:sdt>
          <w:r>
            <w:tab/>
          </w:r>
          <w:bookmarkStart w:id="24" w:name="_Toc14391_WPSOffice_Level2Page"/>
          <w:r>
            <w:t>9</w:t>
          </w:r>
          <w:bookmarkEnd w:id="24"/>
          <w:r>
            <w:fldChar w:fldCharType="end"/>
          </w:r>
        </w:p>
        <w:p w14:paraId="5497BE65">
          <w:pPr>
            <w:pStyle w:val="37"/>
            <w:tabs>
              <w:tab w:val="right" w:leader="dot" w:pos="8306"/>
            </w:tabs>
          </w:pPr>
          <w:r>
            <w:fldChar w:fldCharType="begin"/>
          </w:r>
          <w:r>
            <w:instrText xml:space="preserve"> HYPERLINK \l _Toc30291_WPSOffice_Level2 </w:instrText>
          </w:r>
          <w:r>
            <w:fldChar w:fldCharType="separate"/>
          </w:r>
          <w:sdt>
            <w:sdtPr>
              <w:rPr>
                <w:rFonts w:ascii="Times New Roman" w:hAnsi="Times New Roman" w:eastAsia="宋体" w:cs="Times New Roman"/>
                <w:kern w:val="2"/>
                <w:sz w:val="21"/>
                <w:szCs w:val="24"/>
                <w:lang w:val="en-US" w:eastAsia="zh-CN" w:bidi="ar-SA"/>
              </w:rPr>
              <w:id w:val="147472767"/>
              <w:placeholder>
                <w:docPart w:val="{eef4b213-1100-457e-b0ba-9ce53670909d}"/>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黑体" w:cstheme="majorBidi"/>
                </w:rPr>
                <w:t>九、国有资本经营预算支出决算情况说明</w:t>
              </w:r>
            </w:sdtContent>
          </w:sdt>
          <w:r>
            <w:tab/>
          </w:r>
          <w:bookmarkStart w:id="25" w:name="_Toc30291_WPSOffice_Level2Page"/>
          <w:r>
            <w:t>9</w:t>
          </w:r>
          <w:bookmarkEnd w:id="25"/>
          <w:r>
            <w:fldChar w:fldCharType="end"/>
          </w:r>
        </w:p>
        <w:p w14:paraId="52629F7F">
          <w:pPr>
            <w:pStyle w:val="37"/>
            <w:tabs>
              <w:tab w:val="right" w:leader="dot" w:pos="8306"/>
            </w:tabs>
          </w:pPr>
          <w:r>
            <w:fldChar w:fldCharType="begin"/>
          </w:r>
          <w:r>
            <w:instrText xml:space="preserve"> HYPERLINK \l _Toc18097_WPSOffice_Level2 </w:instrText>
          </w:r>
          <w:r>
            <w:fldChar w:fldCharType="separate"/>
          </w:r>
          <w:sdt>
            <w:sdtPr>
              <w:rPr>
                <w:rFonts w:ascii="Times New Roman" w:hAnsi="Times New Roman" w:eastAsia="宋体" w:cs="Times New Roman"/>
                <w:kern w:val="2"/>
                <w:sz w:val="21"/>
                <w:szCs w:val="24"/>
                <w:lang w:val="en-US" w:eastAsia="zh-CN" w:bidi="ar-SA"/>
              </w:rPr>
              <w:id w:val="147453296"/>
              <w:placeholder>
                <w:docPart w:val="{a5288103-07f5-4c6b-a4dc-25b361b0fb75}"/>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黑体" w:cstheme="majorBidi"/>
                </w:rPr>
                <w:t>十、其他重要事项的情况说明</w:t>
              </w:r>
            </w:sdtContent>
          </w:sdt>
          <w:r>
            <w:tab/>
          </w:r>
          <w:bookmarkStart w:id="26" w:name="_Toc18097_WPSOffice_Level2Page"/>
          <w:r>
            <w:t>9</w:t>
          </w:r>
          <w:bookmarkEnd w:id="26"/>
          <w:r>
            <w:fldChar w:fldCharType="end"/>
          </w:r>
        </w:p>
        <w:p w14:paraId="5CC1FC07">
          <w:pPr>
            <w:pStyle w:val="36"/>
            <w:tabs>
              <w:tab w:val="right" w:leader="dot" w:pos="8306"/>
            </w:tabs>
          </w:pPr>
          <w:r>
            <w:rPr>
              <w:b/>
              <w:bCs/>
            </w:rPr>
            <w:fldChar w:fldCharType="begin"/>
          </w:r>
          <w:r>
            <w:instrText xml:space="preserve"> HYPERLINK \l _Toc12892_WPSOffice_Level1 </w:instrText>
          </w:r>
          <w:r>
            <w:rPr>
              <w:b/>
              <w:bCs/>
            </w:rPr>
            <w:fldChar w:fldCharType="separate"/>
          </w:r>
          <w:sdt>
            <w:sdtPr>
              <w:rPr>
                <w:rFonts w:ascii="Times New Roman" w:hAnsi="Times New Roman" w:eastAsia="宋体" w:cs="Times New Roman"/>
                <w:b/>
                <w:bCs/>
                <w:kern w:val="2"/>
                <w:sz w:val="21"/>
                <w:szCs w:val="24"/>
                <w:lang w:val="en-US" w:eastAsia="zh-CN" w:bidi="ar-SA"/>
              </w:rPr>
              <w:id w:val="147475298"/>
              <w:placeholder>
                <w:docPart w:val="{c1759c64-8b7e-43d6-b395-58258faf12e0}"/>
              </w:placeholder>
            </w:sdtPr>
            <w:sdtEndPr>
              <w:rPr>
                <w:rFonts w:ascii="Times New Roman" w:hAnsi="Times New Roman" w:eastAsia="宋体" w:cs="Times New Roman"/>
                <w:b/>
                <w:bCs/>
                <w:kern w:val="2"/>
                <w:sz w:val="21"/>
                <w:szCs w:val="24"/>
                <w:lang w:val="en-US" w:eastAsia="zh-CN" w:bidi="ar-SA"/>
              </w:rPr>
            </w:sdtEndPr>
            <w:sdtContent>
              <w:r>
                <w:rPr>
                  <w:rFonts w:hint="eastAsia" w:ascii="Times New Roman" w:hAnsi="Times New Roman" w:eastAsia="黑体" w:cs="Times New Roman"/>
                  <w:b/>
                  <w:bCs/>
                </w:rPr>
                <w:t>第三部分  名词解释</w:t>
              </w:r>
            </w:sdtContent>
          </w:sdt>
          <w:r>
            <w:rPr>
              <w:b/>
              <w:bCs/>
            </w:rPr>
            <w:tab/>
          </w:r>
          <w:bookmarkStart w:id="27" w:name="_Toc12892_WPSOffice_Level1Page"/>
          <w:r>
            <w:rPr>
              <w:b/>
              <w:bCs/>
            </w:rPr>
            <w:t>10</w:t>
          </w:r>
          <w:bookmarkEnd w:id="27"/>
          <w:r>
            <w:rPr>
              <w:b/>
              <w:bCs/>
            </w:rPr>
            <w:fldChar w:fldCharType="end"/>
          </w:r>
        </w:p>
        <w:p w14:paraId="28A47911">
          <w:pPr>
            <w:pStyle w:val="36"/>
            <w:tabs>
              <w:tab w:val="right" w:leader="dot" w:pos="8306"/>
            </w:tabs>
          </w:pPr>
          <w:r>
            <w:rPr>
              <w:b/>
              <w:bCs/>
            </w:rPr>
            <w:fldChar w:fldCharType="begin"/>
          </w:r>
          <w:r>
            <w:instrText xml:space="preserve"> HYPERLINK \l _Toc29530_WPSOffice_Level1 </w:instrText>
          </w:r>
          <w:r>
            <w:rPr>
              <w:b/>
              <w:bCs/>
            </w:rPr>
            <w:fldChar w:fldCharType="separate"/>
          </w:r>
          <w:sdt>
            <w:sdtPr>
              <w:rPr>
                <w:rFonts w:ascii="Times New Roman" w:hAnsi="Times New Roman" w:eastAsia="宋体" w:cs="Times New Roman"/>
                <w:b/>
                <w:bCs/>
                <w:kern w:val="2"/>
                <w:sz w:val="21"/>
                <w:szCs w:val="24"/>
                <w:lang w:val="en-US" w:eastAsia="zh-CN" w:bidi="ar-SA"/>
              </w:rPr>
              <w:id w:val="147482566"/>
              <w:placeholder>
                <w:docPart w:val="{a1cf36a8-7906-4a3f-80e0-eb5ba81948cc}"/>
              </w:placeholder>
            </w:sdtPr>
            <w:sdtEndPr>
              <w:rPr>
                <w:rFonts w:ascii="Times New Roman" w:hAnsi="Times New Roman" w:eastAsia="宋体" w:cs="Times New Roman"/>
                <w:b/>
                <w:bCs/>
                <w:kern w:val="2"/>
                <w:sz w:val="21"/>
                <w:szCs w:val="24"/>
                <w:lang w:val="en-US" w:eastAsia="zh-CN" w:bidi="ar-SA"/>
              </w:rPr>
            </w:sdtEndPr>
            <w:sdtContent>
              <w:r>
                <w:rPr>
                  <w:rFonts w:hint="eastAsia" w:ascii="Times New Roman" w:hAnsi="Times New Roman" w:eastAsia="黑体" w:cs="Times New Roman"/>
                  <w:b/>
                  <w:bCs/>
                </w:rPr>
                <w:t>第四部分  附件</w:t>
              </w:r>
            </w:sdtContent>
          </w:sdt>
          <w:r>
            <w:rPr>
              <w:b/>
              <w:bCs/>
            </w:rPr>
            <w:tab/>
          </w:r>
          <w:bookmarkStart w:id="28" w:name="_Toc29530_WPSOffice_Level1Page"/>
          <w:r>
            <w:rPr>
              <w:b/>
              <w:bCs/>
            </w:rPr>
            <w:t>14</w:t>
          </w:r>
          <w:bookmarkEnd w:id="28"/>
          <w:r>
            <w:rPr>
              <w:b/>
              <w:bCs/>
            </w:rPr>
            <w:fldChar w:fldCharType="end"/>
          </w:r>
        </w:p>
        <w:p w14:paraId="7FB5065F">
          <w:pPr>
            <w:pStyle w:val="36"/>
            <w:tabs>
              <w:tab w:val="right" w:leader="dot" w:pos="8306"/>
            </w:tabs>
          </w:pPr>
          <w:r>
            <w:rPr>
              <w:b/>
              <w:bCs/>
            </w:rPr>
            <w:fldChar w:fldCharType="begin"/>
          </w:r>
          <w:r>
            <w:instrText xml:space="preserve"> HYPERLINK \l _Toc5824_WPSOffice_Level1 </w:instrText>
          </w:r>
          <w:r>
            <w:rPr>
              <w:b/>
              <w:bCs/>
            </w:rPr>
            <w:fldChar w:fldCharType="separate"/>
          </w:r>
          <w:sdt>
            <w:sdtPr>
              <w:rPr>
                <w:rFonts w:ascii="Times New Roman" w:hAnsi="Times New Roman" w:eastAsia="宋体" w:cs="Times New Roman"/>
                <w:b/>
                <w:bCs/>
                <w:kern w:val="2"/>
                <w:sz w:val="21"/>
                <w:szCs w:val="24"/>
                <w:lang w:val="en-US" w:eastAsia="zh-CN" w:bidi="ar-SA"/>
              </w:rPr>
              <w:id w:val="147463489"/>
              <w:placeholder>
                <w:docPart w:val="{a9e2a0bf-b0ba-437c-a7c1-586c293179fa}"/>
              </w:placeholder>
            </w:sdtPr>
            <w:sdtEndPr>
              <w:rPr>
                <w:rFonts w:ascii="Times New Roman" w:hAnsi="Times New Roman" w:eastAsia="宋体" w:cs="Times New Roman"/>
                <w:b/>
                <w:bCs/>
                <w:kern w:val="2"/>
                <w:sz w:val="21"/>
                <w:szCs w:val="24"/>
                <w:lang w:val="en-US" w:eastAsia="zh-CN" w:bidi="ar-SA"/>
              </w:rPr>
            </w:sdtEndPr>
            <w:sdtContent>
              <w:r>
                <w:rPr>
                  <w:rFonts w:hint="eastAsia" w:ascii="Times New Roman" w:hAnsi="Times New Roman" w:eastAsia="黑体" w:cs="Times New Roman"/>
                  <w:b/>
                  <w:bCs/>
                </w:rPr>
                <w:t>第五部分 附表</w:t>
              </w:r>
            </w:sdtContent>
          </w:sdt>
          <w:r>
            <w:rPr>
              <w:b/>
              <w:bCs/>
            </w:rPr>
            <w:tab/>
          </w:r>
          <w:bookmarkStart w:id="29" w:name="_Toc5824_WPSOffice_Level1Page"/>
          <w:r>
            <w:rPr>
              <w:b/>
              <w:bCs/>
            </w:rPr>
            <w:t>15</w:t>
          </w:r>
          <w:bookmarkEnd w:id="29"/>
          <w:r>
            <w:rPr>
              <w:b/>
              <w:bCs/>
            </w:rPr>
            <w:fldChar w:fldCharType="end"/>
          </w:r>
        </w:p>
        <w:p w14:paraId="32990B2E">
          <w:pPr>
            <w:pStyle w:val="37"/>
            <w:tabs>
              <w:tab w:val="right" w:leader="dot" w:pos="8306"/>
            </w:tabs>
          </w:pPr>
          <w:r>
            <w:fldChar w:fldCharType="begin"/>
          </w:r>
          <w:r>
            <w:instrText xml:space="preserve"> HYPERLINK \l _Toc16753_WPSOffice_Level2 </w:instrText>
          </w:r>
          <w:r>
            <w:fldChar w:fldCharType="separate"/>
          </w:r>
          <w:sdt>
            <w:sdtPr>
              <w:rPr>
                <w:rFonts w:ascii="Times New Roman" w:hAnsi="Times New Roman" w:eastAsia="宋体" w:cs="Times New Roman"/>
                <w:kern w:val="2"/>
                <w:sz w:val="21"/>
                <w:szCs w:val="24"/>
                <w:lang w:val="en-US" w:eastAsia="zh-CN" w:bidi="ar-SA"/>
              </w:rPr>
              <w:id w:val="147451121"/>
              <w:placeholder>
                <w:docPart w:val="{23455f10-e00d-4483-b005-82c13a3eb3a5}"/>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仿宋_GB2312" w:cs="仿宋_GB2312"/>
                </w:rPr>
                <w:t>一、收入支出决算总表</w:t>
              </w:r>
            </w:sdtContent>
          </w:sdt>
          <w:r>
            <w:tab/>
          </w:r>
          <w:bookmarkStart w:id="30" w:name="_Toc16753_WPSOffice_Level2Page"/>
          <w:r>
            <w:t>15</w:t>
          </w:r>
          <w:bookmarkEnd w:id="30"/>
          <w:r>
            <w:fldChar w:fldCharType="end"/>
          </w:r>
        </w:p>
        <w:p w14:paraId="74221650">
          <w:pPr>
            <w:pStyle w:val="37"/>
            <w:tabs>
              <w:tab w:val="right" w:leader="dot" w:pos="8306"/>
            </w:tabs>
          </w:pPr>
          <w:r>
            <w:fldChar w:fldCharType="begin"/>
          </w:r>
          <w:r>
            <w:instrText xml:space="preserve"> HYPERLINK \l _Toc10709_WPSOffice_Level2 </w:instrText>
          </w:r>
          <w:r>
            <w:fldChar w:fldCharType="separate"/>
          </w:r>
          <w:sdt>
            <w:sdtPr>
              <w:rPr>
                <w:rFonts w:ascii="Times New Roman" w:hAnsi="Times New Roman" w:eastAsia="宋体" w:cs="Times New Roman"/>
                <w:kern w:val="2"/>
                <w:sz w:val="21"/>
                <w:szCs w:val="24"/>
                <w:lang w:val="en-US" w:eastAsia="zh-CN" w:bidi="ar-SA"/>
              </w:rPr>
              <w:id w:val="147471691"/>
              <w:placeholder>
                <w:docPart w:val="{c338ad1f-4a6f-479b-a915-6aa9f3da3c4a}"/>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仿宋_GB2312" w:cs="仿宋_GB2312"/>
                </w:rPr>
                <w:t>二、收入决算表</w:t>
              </w:r>
            </w:sdtContent>
          </w:sdt>
          <w:r>
            <w:tab/>
          </w:r>
          <w:bookmarkStart w:id="31" w:name="_Toc10709_WPSOffice_Level2Page"/>
          <w:r>
            <w:t>15</w:t>
          </w:r>
          <w:bookmarkEnd w:id="31"/>
          <w:r>
            <w:fldChar w:fldCharType="end"/>
          </w:r>
        </w:p>
        <w:p w14:paraId="12F818D8">
          <w:pPr>
            <w:pStyle w:val="37"/>
            <w:tabs>
              <w:tab w:val="right" w:leader="dot" w:pos="8306"/>
            </w:tabs>
          </w:pPr>
          <w:r>
            <w:fldChar w:fldCharType="begin"/>
          </w:r>
          <w:r>
            <w:instrText xml:space="preserve"> HYPERLINK \l _Toc21038_WPSOffice_Level2 </w:instrText>
          </w:r>
          <w:r>
            <w:fldChar w:fldCharType="separate"/>
          </w:r>
          <w:sdt>
            <w:sdtPr>
              <w:rPr>
                <w:rFonts w:ascii="Times New Roman" w:hAnsi="Times New Roman" w:eastAsia="宋体" w:cs="Times New Roman"/>
                <w:kern w:val="2"/>
                <w:sz w:val="21"/>
                <w:szCs w:val="24"/>
                <w:lang w:val="en-US" w:eastAsia="zh-CN" w:bidi="ar-SA"/>
              </w:rPr>
              <w:id w:val="147463822"/>
              <w:placeholder>
                <w:docPart w:val="{bc68a96e-3860-48f8-87b7-3af4dee027d4}"/>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仿宋_GB2312" w:cs="仿宋_GB2312"/>
                </w:rPr>
                <w:t>三、支出决算表</w:t>
              </w:r>
            </w:sdtContent>
          </w:sdt>
          <w:r>
            <w:tab/>
          </w:r>
          <w:bookmarkStart w:id="32" w:name="_Toc21038_WPSOffice_Level2Page"/>
          <w:r>
            <w:t>15</w:t>
          </w:r>
          <w:bookmarkEnd w:id="32"/>
          <w:r>
            <w:fldChar w:fldCharType="end"/>
          </w:r>
        </w:p>
        <w:p w14:paraId="343FF570">
          <w:pPr>
            <w:pStyle w:val="37"/>
            <w:tabs>
              <w:tab w:val="right" w:leader="dot" w:pos="8306"/>
            </w:tabs>
          </w:pPr>
          <w:r>
            <w:fldChar w:fldCharType="begin"/>
          </w:r>
          <w:r>
            <w:instrText xml:space="preserve"> HYPERLINK \l _Toc12870_WPSOffice_Level2 </w:instrText>
          </w:r>
          <w:r>
            <w:fldChar w:fldCharType="separate"/>
          </w:r>
          <w:sdt>
            <w:sdtPr>
              <w:rPr>
                <w:rFonts w:ascii="Times New Roman" w:hAnsi="Times New Roman" w:eastAsia="宋体" w:cs="Times New Roman"/>
                <w:kern w:val="2"/>
                <w:sz w:val="21"/>
                <w:szCs w:val="24"/>
                <w:lang w:val="en-US" w:eastAsia="zh-CN" w:bidi="ar-SA"/>
              </w:rPr>
              <w:id w:val="147460647"/>
              <w:placeholder>
                <w:docPart w:val="{180c259c-df31-47d6-a51b-5e663f129b23}"/>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仿宋_GB2312" w:cs="仿宋_GB2312"/>
                </w:rPr>
                <w:t>四、财政拨款收入支出决算总表</w:t>
              </w:r>
            </w:sdtContent>
          </w:sdt>
          <w:r>
            <w:tab/>
          </w:r>
          <w:bookmarkStart w:id="33" w:name="_Toc12870_WPSOffice_Level2Page"/>
          <w:r>
            <w:t>15</w:t>
          </w:r>
          <w:bookmarkEnd w:id="33"/>
          <w:r>
            <w:fldChar w:fldCharType="end"/>
          </w:r>
        </w:p>
        <w:p w14:paraId="23911258">
          <w:pPr>
            <w:pStyle w:val="37"/>
            <w:tabs>
              <w:tab w:val="right" w:leader="dot" w:pos="8306"/>
            </w:tabs>
          </w:pPr>
          <w:r>
            <w:fldChar w:fldCharType="begin"/>
          </w:r>
          <w:r>
            <w:instrText xml:space="preserve"> HYPERLINK \l _Toc19840_WPSOffice_Level2 </w:instrText>
          </w:r>
          <w:r>
            <w:fldChar w:fldCharType="separate"/>
          </w:r>
          <w:sdt>
            <w:sdtPr>
              <w:rPr>
                <w:rFonts w:ascii="Times New Roman" w:hAnsi="Times New Roman" w:eastAsia="宋体" w:cs="Times New Roman"/>
                <w:kern w:val="2"/>
                <w:sz w:val="21"/>
                <w:szCs w:val="24"/>
                <w:lang w:val="en-US" w:eastAsia="zh-CN" w:bidi="ar-SA"/>
              </w:rPr>
              <w:id w:val="147457604"/>
              <w:placeholder>
                <w:docPart w:val="{68f81afc-910d-434b-9f1f-cc888f0493ff}"/>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仿宋_GB2312" w:cs="仿宋_GB2312"/>
                </w:rPr>
                <w:t>五、财政拨款支出决算明细表</w:t>
              </w:r>
            </w:sdtContent>
          </w:sdt>
          <w:r>
            <w:tab/>
          </w:r>
          <w:bookmarkStart w:id="34" w:name="_Toc19840_WPSOffice_Level2Page"/>
          <w:r>
            <w:t>15</w:t>
          </w:r>
          <w:bookmarkEnd w:id="34"/>
          <w:r>
            <w:fldChar w:fldCharType="end"/>
          </w:r>
        </w:p>
        <w:p w14:paraId="1D35060B">
          <w:pPr>
            <w:pStyle w:val="37"/>
            <w:tabs>
              <w:tab w:val="right" w:leader="dot" w:pos="8306"/>
            </w:tabs>
          </w:pPr>
          <w:r>
            <w:fldChar w:fldCharType="begin"/>
          </w:r>
          <w:r>
            <w:instrText xml:space="preserve"> HYPERLINK \l _Toc13441_WPSOffice_Level2 </w:instrText>
          </w:r>
          <w:r>
            <w:fldChar w:fldCharType="separate"/>
          </w:r>
          <w:sdt>
            <w:sdtPr>
              <w:rPr>
                <w:rFonts w:ascii="Times New Roman" w:hAnsi="Times New Roman" w:eastAsia="宋体" w:cs="Times New Roman"/>
                <w:kern w:val="2"/>
                <w:sz w:val="21"/>
                <w:szCs w:val="24"/>
                <w:lang w:val="en-US" w:eastAsia="zh-CN" w:bidi="ar-SA"/>
              </w:rPr>
              <w:id w:val="147471871"/>
              <w:placeholder>
                <w:docPart w:val="{9f3c1b1e-ea7b-4c7e-82f3-baacf5ef20e6}"/>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仿宋_GB2312" w:cs="仿宋_GB2312"/>
                </w:rPr>
                <w:t>六、一般公共预算财政拨款支出决算表</w:t>
              </w:r>
            </w:sdtContent>
          </w:sdt>
          <w:r>
            <w:tab/>
          </w:r>
          <w:bookmarkStart w:id="35" w:name="_Toc13441_WPSOffice_Level2Page"/>
          <w:r>
            <w:t>15</w:t>
          </w:r>
          <w:bookmarkEnd w:id="35"/>
          <w:r>
            <w:fldChar w:fldCharType="end"/>
          </w:r>
        </w:p>
        <w:p w14:paraId="0C226484">
          <w:pPr>
            <w:pStyle w:val="37"/>
            <w:tabs>
              <w:tab w:val="right" w:leader="dot" w:pos="8306"/>
            </w:tabs>
          </w:pPr>
          <w:r>
            <w:fldChar w:fldCharType="begin"/>
          </w:r>
          <w:r>
            <w:instrText xml:space="preserve"> HYPERLINK \l _Toc21478_WPSOffice_Level2 </w:instrText>
          </w:r>
          <w:r>
            <w:fldChar w:fldCharType="separate"/>
          </w:r>
          <w:sdt>
            <w:sdtPr>
              <w:rPr>
                <w:rFonts w:ascii="Times New Roman" w:hAnsi="Times New Roman" w:eastAsia="宋体" w:cs="Times New Roman"/>
                <w:kern w:val="2"/>
                <w:sz w:val="21"/>
                <w:szCs w:val="24"/>
                <w:lang w:val="en-US" w:eastAsia="zh-CN" w:bidi="ar-SA"/>
              </w:rPr>
              <w:id w:val="147462183"/>
              <w:placeholder>
                <w:docPart w:val="{a6203b3a-9564-4948-a132-a337641cb1da}"/>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仿宋_GB2312" w:cs="仿宋_GB2312"/>
                </w:rPr>
                <w:t>七、一般公共预算财政拨款支出决算明细表</w:t>
              </w:r>
            </w:sdtContent>
          </w:sdt>
          <w:r>
            <w:tab/>
          </w:r>
          <w:bookmarkStart w:id="36" w:name="_Toc21478_WPSOffice_Level2Page"/>
          <w:r>
            <w:t>15</w:t>
          </w:r>
          <w:bookmarkEnd w:id="36"/>
          <w:r>
            <w:fldChar w:fldCharType="end"/>
          </w:r>
        </w:p>
        <w:p w14:paraId="63AD610A">
          <w:pPr>
            <w:pStyle w:val="37"/>
            <w:tabs>
              <w:tab w:val="right" w:leader="dot" w:pos="8306"/>
            </w:tabs>
          </w:pPr>
          <w:r>
            <w:fldChar w:fldCharType="begin"/>
          </w:r>
          <w:r>
            <w:instrText xml:space="preserve"> HYPERLINK \l _Toc15658_WPSOffice_Level2 </w:instrText>
          </w:r>
          <w:r>
            <w:fldChar w:fldCharType="separate"/>
          </w:r>
          <w:sdt>
            <w:sdtPr>
              <w:rPr>
                <w:rFonts w:ascii="Times New Roman" w:hAnsi="Times New Roman" w:eastAsia="宋体" w:cs="Times New Roman"/>
                <w:kern w:val="2"/>
                <w:sz w:val="21"/>
                <w:szCs w:val="24"/>
                <w:lang w:val="en-US" w:eastAsia="zh-CN" w:bidi="ar-SA"/>
              </w:rPr>
              <w:id w:val="147459315"/>
              <w:placeholder>
                <w:docPart w:val="{f45cae57-e4d9-41e7-bfc5-9b111ce33290}"/>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仿宋_GB2312" w:cs="仿宋_GB2312"/>
                </w:rPr>
                <w:t>八、一般公共预算财政拨款基本支出决算表</w:t>
              </w:r>
            </w:sdtContent>
          </w:sdt>
          <w:r>
            <w:tab/>
          </w:r>
          <w:bookmarkStart w:id="37" w:name="_Toc15658_WPSOffice_Level2Page"/>
          <w:r>
            <w:t>15</w:t>
          </w:r>
          <w:bookmarkEnd w:id="37"/>
          <w:r>
            <w:fldChar w:fldCharType="end"/>
          </w:r>
        </w:p>
        <w:p w14:paraId="1A660FE9">
          <w:pPr>
            <w:pStyle w:val="37"/>
            <w:tabs>
              <w:tab w:val="right" w:leader="dot" w:pos="8306"/>
            </w:tabs>
          </w:pPr>
          <w:r>
            <w:fldChar w:fldCharType="begin"/>
          </w:r>
          <w:r>
            <w:instrText xml:space="preserve"> HYPERLINK \l _Toc7412_WPSOffice_Level2 </w:instrText>
          </w:r>
          <w:r>
            <w:fldChar w:fldCharType="separate"/>
          </w:r>
          <w:sdt>
            <w:sdtPr>
              <w:rPr>
                <w:rFonts w:ascii="Times New Roman" w:hAnsi="Times New Roman" w:eastAsia="宋体" w:cs="Times New Roman"/>
                <w:kern w:val="2"/>
                <w:sz w:val="21"/>
                <w:szCs w:val="24"/>
                <w:lang w:val="en-US" w:eastAsia="zh-CN" w:bidi="ar-SA"/>
              </w:rPr>
              <w:id w:val="147476182"/>
              <w:placeholder>
                <w:docPart w:val="{f655a4fc-16df-4ca2-9ffe-96d653886ff6}"/>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仿宋_GB2312" w:cs="仿宋_GB2312"/>
                </w:rPr>
                <w:t>九、一般公共预算财政拨款项目支出决算表</w:t>
              </w:r>
            </w:sdtContent>
          </w:sdt>
          <w:r>
            <w:tab/>
          </w:r>
          <w:bookmarkStart w:id="38" w:name="_Toc7412_WPSOffice_Level2Page"/>
          <w:r>
            <w:t>15</w:t>
          </w:r>
          <w:bookmarkEnd w:id="38"/>
          <w:r>
            <w:fldChar w:fldCharType="end"/>
          </w:r>
        </w:p>
        <w:p w14:paraId="01793394">
          <w:pPr>
            <w:pStyle w:val="37"/>
            <w:tabs>
              <w:tab w:val="right" w:leader="dot" w:pos="8306"/>
            </w:tabs>
          </w:pPr>
          <w:r>
            <w:fldChar w:fldCharType="begin"/>
          </w:r>
          <w:r>
            <w:instrText xml:space="preserve"> HYPERLINK \l _Toc5382_WPSOffice_Level2 </w:instrText>
          </w:r>
          <w:r>
            <w:fldChar w:fldCharType="separate"/>
          </w:r>
          <w:sdt>
            <w:sdtPr>
              <w:rPr>
                <w:rFonts w:ascii="Times New Roman" w:hAnsi="Times New Roman" w:eastAsia="宋体" w:cs="Times New Roman"/>
                <w:kern w:val="2"/>
                <w:sz w:val="21"/>
                <w:szCs w:val="24"/>
                <w:lang w:val="en-US" w:eastAsia="zh-CN" w:bidi="ar-SA"/>
              </w:rPr>
              <w:id w:val="147483179"/>
              <w:placeholder>
                <w:docPart w:val="{1a2f7f4c-b40a-4eb6-b6b1-b4c14aec235f}"/>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仿宋_GB2312" w:cs="仿宋_GB2312"/>
                </w:rPr>
                <w:t>十、政府性基金预算财政拨款收入支出决算表</w:t>
              </w:r>
            </w:sdtContent>
          </w:sdt>
          <w:r>
            <w:tab/>
          </w:r>
          <w:bookmarkStart w:id="39" w:name="_Toc5382_WPSOffice_Level2Page"/>
          <w:r>
            <w:t>15</w:t>
          </w:r>
          <w:bookmarkEnd w:id="39"/>
          <w:r>
            <w:fldChar w:fldCharType="end"/>
          </w:r>
        </w:p>
        <w:p w14:paraId="3EF90B26">
          <w:pPr>
            <w:pStyle w:val="37"/>
            <w:tabs>
              <w:tab w:val="right" w:leader="dot" w:pos="8306"/>
            </w:tabs>
          </w:pPr>
          <w:r>
            <w:fldChar w:fldCharType="begin"/>
          </w:r>
          <w:r>
            <w:instrText xml:space="preserve"> HYPERLINK \l _Toc26604_WPSOffice_Level2 </w:instrText>
          </w:r>
          <w:r>
            <w:fldChar w:fldCharType="separate"/>
          </w:r>
          <w:sdt>
            <w:sdtPr>
              <w:rPr>
                <w:rFonts w:ascii="Times New Roman" w:hAnsi="Times New Roman" w:eastAsia="宋体" w:cs="Times New Roman"/>
                <w:kern w:val="2"/>
                <w:sz w:val="21"/>
                <w:szCs w:val="24"/>
                <w:lang w:val="en-US" w:eastAsia="zh-CN" w:bidi="ar-SA"/>
              </w:rPr>
              <w:id w:val="147451843"/>
              <w:placeholder>
                <w:docPart w:val="{af64a848-cf4a-452d-81e7-615ab877741f}"/>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仿宋_GB2312" w:cs="仿宋_GB2312"/>
                </w:rPr>
                <w:t>十一、国有资本经营预算财政拨款收入支出决算表</w:t>
              </w:r>
            </w:sdtContent>
          </w:sdt>
          <w:r>
            <w:tab/>
          </w:r>
          <w:bookmarkStart w:id="40" w:name="_Toc26604_WPSOffice_Level2Page"/>
          <w:r>
            <w:t>15</w:t>
          </w:r>
          <w:bookmarkEnd w:id="40"/>
          <w:r>
            <w:fldChar w:fldCharType="end"/>
          </w:r>
        </w:p>
        <w:p w14:paraId="15072BD6">
          <w:pPr>
            <w:pStyle w:val="37"/>
            <w:tabs>
              <w:tab w:val="right" w:leader="dot" w:pos="8306"/>
            </w:tabs>
          </w:pPr>
          <w:r>
            <w:fldChar w:fldCharType="begin"/>
          </w:r>
          <w:r>
            <w:instrText xml:space="preserve"> HYPERLINK \l _Toc31129_WPSOffice_Level2 </w:instrText>
          </w:r>
          <w:r>
            <w:fldChar w:fldCharType="separate"/>
          </w:r>
          <w:sdt>
            <w:sdtPr>
              <w:rPr>
                <w:rFonts w:ascii="Times New Roman" w:hAnsi="Times New Roman" w:eastAsia="宋体" w:cs="Times New Roman"/>
                <w:kern w:val="2"/>
                <w:sz w:val="21"/>
                <w:szCs w:val="24"/>
                <w:lang w:val="en-US" w:eastAsia="zh-CN" w:bidi="ar-SA"/>
              </w:rPr>
              <w:id w:val="147466371"/>
              <w:placeholder>
                <w:docPart w:val="{e0a1d2f6-bd17-4b3b-abab-7de1f5f1c350}"/>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仿宋_GB2312" w:cs="仿宋_GB2312"/>
                </w:rPr>
                <w:t>十二、国有资本经营预算财政拨款支出决算表</w:t>
              </w:r>
            </w:sdtContent>
          </w:sdt>
          <w:r>
            <w:tab/>
          </w:r>
          <w:bookmarkStart w:id="41" w:name="_Toc31129_WPSOffice_Level2Page"/>
          <w:r>
            <w:t>15</w:t>
          </w:r>
          <w:bookmarkEnd w:id="41"/>
          <w:r>
            <w:fldChar w:fldCharType="end"/>
          </w:r>
        </w:p>
        <w:p w14:paraId="216B6983">
          <w:pPr>
            <w:pStyle w:val="37"/>
            <w:tabs>
              <w:tab w:val="right" w:leader="dot" w:pos="8306"/>
            </w:tabs>
          </w:pPr>
          <w:r>
            <w:fldChar w:fldCharType="begin"/>
          </w:r>
          <w:r>
            <w:instrText xml:space="preserve"> HYPERLINK \l _Toc12901_WPSOffice_Level2 </w:instrText>
          </w:r>
          <w:r>
            <w:fldChar w:fldCharType="separate"/>
          </w:r>
          <w:sdt>
            <w:sdtPr>
              <w:rPr>
                <w:rFonts w:ascii="Times New Roman" w:hAnsi="Times New Roman" w:eastAsia="宋体" w:cs="Times New Roman"/>
                <w:kern w:val="2"/>
                <w:sz w:val="21"/>
                <w:szCs w:val="24"/>
                <w:lang w:val="en-US" w:eastAsia="zh-CN" w:bidi="ar-SA"/>
              </w:rPr>
              <w:id w:val="147452089"/>
              <w:placeholder>
                <w:docPart w:val="{ea680bfe-8f7a-4910-b7fe-f51c81138dd9}"/>
              </w:placeholder>
            </w:sdtPr>
            <w:sdtEndPr>
              <w:rPr>
                <w:rFonts w:ascii="Times New Roman" w:hAnsi="Times New Roman" w:eastAsia="宋体" w:cs="Times New Roman"/>
                <w:kern w:val="2"/>
                <w:sz w:val="21"/>
                <w:szCs w:val="24"/>
                <w:lang w:val="en-US" w:eastAsia="zh-CN" w:bidi="ar-SA"/>
              </w:rPr>
            </w:sdtEndPr>
            <w:sdtContent>
              <w:r>
                <w:rPr>
                  <w:rFonts w:hint="eastAsia" w:ascii="Times New Roman" w:hAnsi="Times New Roman" w:eastAsia="仿宋_GB2312" w:cs="仿宋_GB2312"/>
                </w:rPr>
                <w:t>十三、财政拨款“三公”经费支出决算表</w:t>
              </w:r>
            </w:sdtContent>
          </w:sdt>
          <w:r>
            <w:tab/>
          </w:r>
          <w:bookmarkStart w:id="42" w:name="_Toc12901_WPSOffice_Level2Page"/>
          <w:r>
            <w:t>15</w:t>
          </w:r>
          <w:bookmarkEnd w:id="42"/>
          <w:r>
            <w:fldChar w:fldCharType="end"/>
          </w:r>
          <w:bookmarkEnd w:id="12"/>
        </w:p>
      </w:sdtContent>
    </w:sdt>
    <w:p w14:paraId="61AEAAB9">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3" w:firstLineChars="200"/>
        <w:jc w:val="left"/>
        <w:textAlignment w:val="auto"/>
        <w:rPr>
          <w:rFonts w:hint="eastAsia" w:ascii="Times New Roman" w:hAnsi="Times New Roman" w:eastAsia="仿宋_GB2312" w:cs="仿宋_GB2312"/>
          <w:b/>
          <w:bCs/>
          <w:color w:val="auto"/>
          <w:sz w:val="32"/>
          <w:szCs w:val="32"/>
          <w:highlight w:val="none"/>
          <w:lang w:eastAsia="zh-CN"/>
        </w:rPr>
      </w:pPr>
      <w:r>
        <w:rPr>
          <w:rFonts w:hint="eastAsia" w:ascii="Times New Roman" w:hAnsi="Times New Roman" w:eastAsia="仿宋_GB2312" w:cs="仿宋_GB2312"/>
          <w:b/>
          <w:bCs/>
          <w:color w:val="auto"/>
          <w:sz w:val="32"/>
          <w:szCs w:val="32"/>
          <w:highlight w:val="none"/>
          <w:lang w:eastAsia="zh-CN"/>
        </w:rPr>
        <w:t>（</w:t>
      </w:r>
      <w:r>
        <w:rPr>
          <w:rFonts w:hint="eastAsia" w:ascii="Times New Roman" w:hAnsi="Times New Roman" w:eastAsia="仿宋_GB2312" w:cs="仿宋_GB2312"/>
          <w:b/>
          <w:bCs/>
          <w:color w:val="auto"/>
          <w:sz w:val="32"/>
          <w:szCs w:val="32"/>
          <w:highlight w:val="none"/>
        </w:rPr>
        <w:t>注：请部门根据实际注明页码</w:t>
      </w:r>
      <w:r>
        <w:rPr>
          <w:rFonts w:hint="eastAsia" w:ascii="Times New Roman" w:hAnsi="Times New Roman" w:eastAsia="仿宋_GB2312" w:cs="仿宋_GB2312"/>
          <w:b/>
          <w:bCs/>
          <w:color w:val="auto"/>
          <w:sz w:val="32"/>
          <w:szCs w:val="32"/>
          <w:highlight w:val="none"/>
          <w:lang w:eastAsia="zh-CN"/>
        </w:rPr>
        <w:t>）</w:t>
      </w:r>
    </w:p>
    <w:p w14:paraId="5B55A501">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rPr>
      </w:pPr>
      <w:bookmarkStart w:id="43" w:name="_Toc15377196"/>
      <w:bookmarkStart w:id="44" w:name="_Toc15396599"/>
      <w:r>
        <w:rPr>
          <w:rFonts w:hint="eastAsia" w:ascii="Times New Roman" w:hAnsi="Times New Roman" w:eastAsia="仿宋_GB2312" w:cs="仿宋_GB2312"/>
          <w:b/>
          <w:color w:val="auto"/>
          <w:sz w:val="32"/>
          <w:szCs w:val="32"/>
          <w:highlight w:val="none"/>
        </w:rPr>
        <w:br w:type="page"/>
      </w:r>
    </w:p>
    <w:p w14:paraId="6B577C09">
      <w:pPr>
        <w:pStyle w:val="4"/>
        <w:jc w:val="center"/>
        <w:rPr>
          <w:rStyle w:val="29"/>
          <w:rFonts w:hint="eastAsia" w:ascii="Times New Roman" w:hAnsi="Times New Roman" w:eastAsia="方正小标宋简体" w:cs="方正小标宋简体"/>
          <w:b/>
          <w:bCs w:val="0"/>
          <w:color w:val="auto"/>
          <w:highlight w:val="none"/>
        </w:rPr>
      </w:pPr>
      <w:bookmarkStart w:id="45" w:name="_Toc29463_WPSOffice_Level1"/>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29"/>
          <w:rFonts w:hint="eastAsia" w:ascii="Times New Roman" w:hAnsi="Times New Roman" w:eastAsia="方正小标宋简体" w:cs="方正小标宋简体"/>
          <w:b w:val="0"/>
          <w:bCs w:val="0"/>
          <w:color w:val="auto"/>
          <w:highlight w:val="none"/>
        </w:rPr>
        <w:t>部门概况</w:t>
      </w:r>
      <w:bookmarkEnd w:id="43"/>
      <w:bookmarkEnd w:id="44"/>
      <w:bookmarkEnd w:id="45"/>
    </w:p>
    <w:p w14:paraId="0FE8B047">
      <w:pPr>
        <w:widowControl/>
        <w:jc w:val="left"/>
        <w:rPr>
          <w:rFonts w:ascii="Times New Roman" w:hAnsi="Times New Roman" w:eastAsia="黑体"/>
          <w:color w:val="auto"/>
          <w:sz w:val="32"/>
          <w:szCs w:val="32"/>
          <w:highlight w:val="none"/>
        </w:rPr>
      </w:pPr>
    </w:p>
    <w:p w14:paraId="4277FC42">
      <w:pPr>
        <w:pStyle w:val="5"/>
        <w:numPr>
          <w:ilvl w:val="0"/>
          <w:numId w:val="1"/>
        </w:numPr>
        <w:rPr>
          <w:rFonts w:hint="eastAsia" w:ascii="Times New Roman" w:hAnsi="Times New Roman" w:eastAsia="黑体"/>
          <w:b w:val="0"/>
          <w:color w:val="auto"/>
          <w:highlight w:val="none"/>
          <w:lang w:eastAsia="zh-CN"/>
        </w:rPr>
      </w:pPr>
      <w:bookmarkStart w:id="46" w:name="_Toc8360_WPSOffice_Level2"/>
      <w:r>
        <w:rPr>
          <w:rFonts w:hint="eastAsia" w:ascii="Times New Roman" w:hAnsi="Times New Roman" w:eastAsia="黑体"/>
          <w:b w:val="0"/>
          <w:color w:val="auto"/>
          <w:highlight w:val="none"/>
          <w:lang w:eastAsia="zh-CN"/>
        </w:rPr>
        <w:t>部门职责</w:t>
      </w:r>
      <w:bookmarkEnd w:id="46"/>
    </w:p>
    <w:p w14:paraId="04602BAF">
      <w:pPr>
        <w:pageBreakBefore w:val="0"/>
        <w:kinsoku/>
        <w:wordWrap/>
        <w:overflowPunct/>
        <w:topLinePunct w:val="0"/>
        <w:autoSpaceDE/>
        <w:autoSpaceDN/>
        <w:bidi w:val="0"/>
        <w:spacing w:line="240" w:lineRule="auto"/>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1.具体办理财政支付业务。根据财政批复的预算单位用款计划，审核预算单位的直接、授权支付申请，及时办理单位财政支付业务。</w:t>
      </w:r>
    </w:p>
    <w:p w14:paraId="3ED1757A">
      <w:pPr>
        <w:pageBreakBefore w:val="0"/>
        <w:kinsoku/>
        <w:wordWrap/>
        <w:overflowPunct/>
        <w:topLinePunct w:val="0"/>
        <w:autoSpaceDE/>
        <w:autoSpaceDN/>
        <w:bidi w:val="0"/>
        <w:spacing w:line="240" w:lineRule="auto"/>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2.管理和使用国库单一账户体系有关账户，包括财政零余额账户、预算单位零余额账户等；负责办理财政零余额账户的开设、变更和撤销等事宜。</w:t>
      </w:r>
    </w:p>
    <w:p w14:paraId="50F486AD">
      <w:pPr>
        <w:pageBreakBefore w:val="0"/>
        <w:kinsoku/>
        <w:wordWrap/>
        <w:overflowPunct/>
        <w:topLinePunct w:val="0"/>
        <w:autoSpaceDE/>
        <w:autoSpaceDN/>
        <w:bidi w:val="0"/>
        <w:spacing w:line="240" w:lineRule="auto"/>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3.按照国库股批复的单位用款计划，及时向代理银行发送用款额度，定期与代理银行核对用款额度余额。</w:t>
      </w:r>
    </w:p>
    <w:p w14:paraId="14C08F59">
      <w:pPr>
        <w:pageBreakBefore w:val="0"/>
        <w:kinsoku/>
        <w:wordWrap/>
        <w:overflowPunct/>
        <w:topLinePunct w:val="0"/>
        <w:autoSpaceDE/>
        <w:autoSpaceDN/>
        <w:bidi w:val="0"/>
        <w:spacing w:line="240" w:lineRule="auto"/>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4.负责国库集中支付中心的账务核算；定期与国库科、代理银行、预算单位对账。</w:t>
      </w:r>
    </w:p>
    <w:p w14:paraId="69F28474">
      <w:pPr>
        <w:pageBreakBefore w:val="0"/>
        <w:kinsoku/>
        <w:wordWrap/>
        <w:overflowPunct/>
        <w:topLinePunct w:val="0"/>
        <w:autoSpaceDE/>
        <w:autoSpaceDN/>
        <w:bidi w:val="0"/>
        <w:spacing w:line="240" w:lineRule="auto"/>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5.负责财政零余额账户、预算单位零余额账户的资金清算工作。</w:t>
      </w:r>
    </w:p>
    <w:p w14:paraId="2870E11A">
      <w:pPr>
        <w:pageBreakBefore w:val="0"/>
        <w:widowControl/>
        <w:numPr>
          <w:ilvl w:val="0"/>
          <w:numId w:val="0"/>
        </w:numPr>
        <w:kinsoku/>
        <w:wordWrap/>
        <w:overflowPunct/>
        <w:topLinePunct w:val="0"/>
        <w:autoSpaceDE/>
        <w:autoSpaceDN/>
        <w:bidi w:val="0"/>
        <w:adjustRightInd w:val="0"/>
        <w:snapToGrid w:val="0"/>
        <w:spacing w:line="240" w:lineRule="auto"/>
        <w:ind w:firstLine="640" w:firstLineChars="200"/>
        <w:contextualSpacing/>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color w:val="000000"/>
          <w:sz w:val="32"/>
          <w:szCs w:val="32"/>
        </w:rPr>
        <w:t>6.集中管理国库集中收付制度使用的各种凭证和票据。</w:t>
      </w:r>
    </w:p>
    <w:p w14:paraId="2B55A30E"/>
    <w:p w14:paraId="410C365B">
      <w:pPr>
        <w:numPr>
          <w:ilvl w:val="0"/>
          <w:numId w:val="0"/>
        </w:numPr>
        <w:rPr>
          <w:rFonts w:hint="eastAsia"/>
          <w:lang w:eastAsia="zh-CN"/>
        </w:rPr>
      </w:pPr>
    </w:p>
    <w:p w14:paraId="32787991">
      <w:pPr>
        <w:pStyle w:val="5"/>
        <w:rPr>
          <w:rStyle w:val="30"/>
          <w:rFonts w:ascii="Times New Roman" w:hAnsi="Times New Roman"/>
          <w:b w:val="0"/>
          <w:bCs w:val="0"/>
          <w:color w:val="auto"/>
          <w:highlight w:val="none"/>
        </w:rPr>
      </w:pPr>
      <w:bookmarkStart w:id="47" w:name="_Toc15396601"/>
      <w:bookmarkStart w:id="48" w:name="_Toc12892_WPSOffice_Level2"/>
      <w:bookmarkStart w:id="49" w:name="_Toc15377200"/>
      <w:r>
        <w:rPr>
          <w:rFonts w:hint="eastAsia" w:ascii="Times New Roman" w:hAnsi="Times New Roman" w:eastAsia="黑体"/>
          <w:b w:val="0"/>
          <w:color w:val="auto"/>
          <w:highlight w:val="none"/>
        </w:rPr>
        <w:t>二、机</w:t>
      </w:r>
      <w:r>
        <w:rPr>
          <w:rStyle w:val="30"/>
          <w:rFonts w:hint="eastAsia" w:ascii="Times New Roman" w:hAnsi="Times New Roman" w:eastAsia="黑体"/>
          <w:b w:val="0"/>
          <w:bCs w:val="0"/>
          <w:color w:val="auto"/>
          <w:highlight w:val="none"/>
        </w:rPr>
        <w:t>构设置</w:t>
      </w:r>
      <w:bookmarkEnd w:id="47"/>
      <w:bookmarkEnd w:id="48"/>
      <w:bookmarkEnd w:id="49"/>
    </w:p>
    <w:p w14:paraId="6A601CA0">
      <w:pPr>
        <w:ind w:firstLine="800" w:firstLineChars="250"/>
        <w:rPr>
          <w:rFonts w:hint="eastAsia" w:ascii="Times New Roman" w:hAnsi="Times New Roman"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九寨沟县财政国库支付中心</w:t>
      </w:r>
      <w:r>
        <w:rPr>
          <w:rFonts w:hint="eastAsia" w:ascii="Times New Roman" w:hAnsi="Times New Roman" w:eastAsia="仿宋_GB2312" w:cs="仿宋_GB2312"/>
          <w:color w:val="auto"/>
          <w:sz w:val="32"/>
          <w:szCs w:val="32"/>
          <w:highlight w:val="none"/>
        </w:rPr>
        <w:t>下属二级</w:t>
      </w:r>
      <w:r>
        <w:rPr>
          <w:rFonts w:hint="eastAsia" w:ascii="Times New Roman" w:hAnsi="Times New Roman" w:eastAsia="仿宋_GB2312" w:cs="仿宋_GB2312"/>
          <w:color w:val="auto"/>
          <w:sz w:val="32"/>
          <w:szCs w:val="32"/>
          <w:highlight w:val="none"/>
          <w:lang w:eastAsia="zh-CN"/>
        </w:rPr>
        <w:t>预算</w:t>
      </w:r>
      <w:r>
        <w:rPr>
          <w:rFonts w:hint="eastAsia" w:ascii="Times New Roman" w:hAnsi="Times New Roman" w:eastAsia="仿宋_GB2312" w:cs="仿宋_GB2312"/>
          <w:color w:val="auto"/>
          <w:sz w:val="32"/>
          <w:szCs w:val="32"/>
          <w:highlight w:val="none"/>
        </w:rPr>
        <w:t>单位</w:t>
      </w:r>
      <w:r>
        <w:rPr>
          <w:rFonts w:hint="eastAsia" w:eastAsia="仿宋_GB2312" w:cs="仿宋_GB2312"/>
          <w:color w:val="auto"/>
          <w:sz w:val="32"/>
          <w:szCs w:val="32"/>
          <w:highlight w:val="none"/>
          <w:lang w:val="en-US" w:eastAsia="zh-CN"/>
        </w:rPr>
        <w:t>0</w:t>
      </w:r>
      <w:r>
        <w:rPr>
          <w:rFonts w:hint="eastAsia" w:ascii="Times New Roman" w:hAnsi="Times New Roman" w:eastAsia="仿宋_GB2312" w:cs="仿宋_GB2312"/>
          <w:color w:val="auto"/>
          <w:sz w:val="32"/>
          <w:szCs w:val="32"/>
          <w:highlight w:val="none"/>
        </w:rPr>
        <w:t>个，</w:t>
      </w:r>
    </w:p>
    <w:p w14:paraId="20DA8F5B">
      <w:pPr>
        <w:pageBreakBefore w:val="0"/>
        <w:widowControl/>
        <w:kinsoku/>
        <w:wordWrap/>
        <w:overflowPunct/>
        <w:topLinePunct w:val="0"/>
        <w:autoSpaceDE/>
        <w:autoSpaceDN/>
        <w:bidi w:val="0"/>
        <w:spacing w:line="240" w:lineRule="auto"/>
        <w:ind w:firstLine="640" w:firstLineChars="200"/>
        <w:jc w:val="left"/>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纳入</w:t>
      </w:r>
      <w:r>
        <w:rPr>
          <w:rFonts w:hint="eastAsia" w:ascii="仿宋_GB2312" w:hAnsi="仿宋_GB2312" w:eastAsia="仿宋_GB2312" w:cs="仿宋_GB2312"/>
          <w:color w:val="000000"/>
          <w:sz w:val="32"/>
          <w:szCs w:val="32"/>
          <w:lang w:val="en-US" w:eastAsia="zh-CN"/>
        </w:rPr>
        <w:t>支付中心</w:t>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年度部门决算编制范围的</w:t>
      </w:r>
      <w:r>
        <w:rPr>
          <w:rFonts w:hint="eastAsia" w:ascii="仿宋_GB2312" w:hAnsi="仿宋_GB2312" w:eastAsia="仿宋_GB2312" w:cs="仿宋_GB2312"/>
          <w:color w:val="000000"/>
          <w:sz w:val="32"/>
          <w:szCs w:val="32"/>
          <w:lang w:val="en-US" w:eastAsia="zh-CN"/>
        </w:rPr>
        <w:t>本单位没有</w:t>
      </w:r>
      <w:r>
        <w:rPr>
          <w:rFonts w:hint="eastAsia" w:ascii="仿宋_GB2312" w:hAnsi="仿宋_GB2312" w:eastAsia="仿宋_GB2312" w:cs="仿宋_GB2312"/>
          <w:color w:val="000000"/>
          <w:sz w:val="32"/>
          <w:szCs w:val="32"/>
        </w:rPr>
        <w:t>二级预算单位</w:t>
      </w:r>
      <w:r>
        <w:rPr>
          <w:rFonts w:hint="eastAsia" w:ascii="仿宋_GB2312" w:hAnsi="仿宋_GB2312" w:eastAsia="仿宋_GB2312" w:cs="仿宋_GB2312"/>
          <w:color w:val="000000"/>
          <w:sz w:val="32"/>
          <w:szCs w:val="32"/>
          <w:lang w:eastAsia="zh-CN"/>
        </w:rPr>
        <w:t>。</w:t>
      </w:r>
    </w:p>
    <w:p w14:paraId="3D7F274C">
      <w:pPr>
        <w:numPr>
          <w:ilvl w:val="0"/>
          <w:numId w:val="0"/>
        </w:numPr>
        <w:ind w:leftChars="0"/>
      </w:pPr>
    </w:p>
    <w:p w14:paraId="7ADA020C">
      <w:pPr>
        <w:widowControl/>
        <w:jc w:val="left"/>
        <w:rPr>
          <w:rFonts w:ascii="Times New Roman" w:hAnsi="Times New Roman" w:eastAsia="仿宋"/>
          <w:color w:val="auto"/>
          <w:kern w:val="0"/>
          <w:sz w:val="32"/>
          <w:szCs w:val="32"/>
          <w:highlight w:val="none"/>
        </w:rPr>
      </w:pPr>
      <w:r>
        <w:rPr>
          <w:rFonts w:ascii="Times New Roman" w:hAnsi="Times New Roman" w:eastAsia="仿宋"/>
          <w:color w:val="auto"/>
          <w:sz w:val="32"/>
          <w:szCs w:val="32"/>
          <w:highlight w:val="none"/>
        </w:rPr>
        <w:br w:type="page"/>
      </w:r>
    </w:p>
    <w:p w14:paraId="4DBDFF0D">
      <w:pPr>
        <w:pStyle w:val="4"/>
        <w:jc w:val="center"/>
        <w:rPr>
          <w:rFonts w:hint="eastAsia" w:ascii="Times New Roman" w:hAnsi="Times New Roman" w:eastAsia="方正小标宋简体" w:cs="方正小标宋简体"/>
          <w:b w:val="0"/>
          <w:color w:val="auto"/>
          <w:highlight w:val="none"/>
        </w:rPr>
      </w:pPr>
      <w:bookmarkStart w:id="50" w:name="_Toc15377204"/>
      <w:bookmarkStart w:id="51" w:name="_Toc15396602"/>
      <w:bookmarkStart w:id="52" w:name="_Toc8360_WPSOffice_Level1"/>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50"/>
      <w:bookmarkEnd w:id="51"/>
      <w:bookmarkEnd w:id="52"/>
    </w:p>
    <w:p w14:paraId="18410D4A">
      <w:pPr>
        <w:rPr>
          <w:rFonts w:ascii="Times New Roman" w:hAnsi="Times New Roman"/>
          <w:color w:val="auto"/>
          <w:highlight w:val="none"/>
        </w:rPr>
      </w:pPr>
    </w:p>
    <w:p w14:paraId="6A73C112">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0"/>
          <w:rFonts w:hint="eastAsia" w:ascii="Times New Roman" w:hAnsi="Times New Roman" w:eastAsia="黑体"/>
          <w:b w:val="0"/>
          <w:color w:val="auto"/>
          <w:highlight w:val="none"/>
        </w:rPr>
      </w:pPr>
      <w:bookmarkStart w:id="53" w:name="_Toc15377205"/>
      <w:bookmarkStart w:id="54" w:name="_Toc29530_WPSOffice_Level2"/>
      <w:bookmarkStart w:id="55" w:name="_Toc15396603"/>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0"/>
          <w:rFonts w:hint="eastAsia" w:ascii="Times New Roman" w:hAnsi="Times New Roman" w:eastAsia="黑体"/>
          <w:b w:val="0"/>
          <w:color w:val="auto"/>
          <w:highlight w:val="none"/>
        </w:rPr>
        <w:t>入支出决算总体情况说明</w:t>
      </w:r>
      <w:bookmarkEnd w:id="53"/>
      <w:bookmarkEnd w:id="54"/>
      <w:bookmarkEnd w:id="55"/>
    </w:p>
    <w:p w14:paraId="2B37CC25">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eastAsia="zh-CN"/>
        </w:rPr>
        <w:t>2024年度收入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ascii="仿宋_GB2312" w:hAnsi="仿宋_GB2312" w:eastAsia="仿宋_GB2312" w:cs="仿宋_GB2312"/>
          <w:sz w:val="32"/>
          <w:szCs w:val="32"/>
        </w:rPr>
        <w:t>437.3</w:t>
      </w:r>
      <w:r>
        <w:rPr>
          <w:rFonts w:hint="eastAsia" w:ascii="Times New Roman" w:hAnsi="Times New Roman" w:eastAsia="仿宋_GB2312" w:cs="仿宋_GB2312"/>
          <w:color w:val="auto"/>
          <w:sz w:val="32"/>
          <w:szCs w:val="32"/>
          <w:highlight w:val="none"/>
        </w:rPr>
        <w:t>万元。与</w:t>
      </w:r>
      <w:r>
        <w:rPr>
          <w:rFonts w:hint="eastAsia" w:ascii="Times New Roman" w:hAnsi="Times New Roman" w:eastAsia="仿宋_GB2312" w:cs="仿宋_GB2312"/>
          <w:color w:val="auto"/>
          <w:sz w:val="32"/>
          <w:szCs w:val="32"/>
          <w:highlight w:val="none"/>
          <w:lang w:eastAsia="zh-CN"/>
        </w:rPr>
        <w:t>202</w:t>
      </w:r>
      <w:r>
        <w:rPr>
          <w:rFonts w:hint="eastAsia" w:ascii="Times New Roman" w:hAnsi="Times New Roman"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eastAsia="zh-CN"/>
        </w:rPr>
        <w:t>度</w:t>
      </w:r>
      <w:r>
        <w:rPr>
          <w:rFonts w:hint="eastAsia" w:ascii="Times New Roman" w:hAnsi="Times New Roman" w:eastAsia="仿宋_GB2312" w:cs="仿宋_GB2312"/>
          <w:color w:val="auto"/>
          <w:sz w:val="32"/>
          <w:szCs w:val="32"/>
          <w:highlight w:val="none"/>
        </w:rPr>
        <w:t>相比，</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总计各减少</w:t>
      </w:r>
      <w:r>
        <w:rPr>
          <w:rFonts w:hint="eastAsia" w:eastAsia="仿宋_GB2312" w:cs="仿宋_GB2312"/>
          <w:color w:val="auto"/>
          <w:sz w:val="32"/>
          <w:szCs w:val="32"/>
          <w:highlight w:val="none"/>
          <w:lang w:val="en-US" w:eastAsia="zh-CN"/>
        </w:rPr>
        <w:t>8.98</w:t>
      </w:r>
      <w:r>
        <w:rPr>
          <w:rFonts w:hint="eastAsia" w:ascii="Times New Roman" w:hAnsi="Times New Roman" w:eastAsia="仿宋_GB2312" w:cs="仿宋_GB2312"/>
          <w:color w:val="auto"/>
          <w:sz w:val="32"/>
          <w:szCs w:val="32"/>
          <w:highlight w:val="none"/>
        </w:rPr>
        <w:t>万元，下降</w:t>
      </w:r>
      <w:r>
        <w:rPr>
          <w:rFonts w:hint="eastAsia" w:eastAsia="仿宋_GB2312" w:cs="仿宋_GB2312"/>
          <w:color w:val="auto"/>
          <w:sz w:val="32"/>
          <w:szCs w:val="32"/>
          <w:highlight w:val="none"/>
          <w:lang w:val="en-US" w:eastAsia="zh-CN"/>
        </w:rPr>
        <w:t>2.01</w:t>
      </w:r>
      <w:r>
        <w:rPr>
          <w:rFonts w:hint="eastAsia" w:ascii="Times New Roman" w:hAnsi="Times New Roman" w:eastAsia="仿宋_GB2312" w:cs="仿宋_GB2312"/>
          <w:color w:val="auto"/>
          <w:sz w:val="32"/>
          <w:szCs w:val="32"/>
          <w:highlight w:val="none"/>
        </w:rPr>
        <w:t>%。主要变动原因是</w:t>
      </w:r>
      <w:r>
        <w:rPr>
          <w:rFonts w:hint="eastAsia" w:eastAsia="仿宋_GB2312" w:cs="仿宋_GB2312"/>
          <w:color w:val="auto"/>
          <w:sz w:val="32"/>
          <w:szCs w:val="32"/>
          <w:highlight w:val="none"/>
          <w:lang w:val="en-US" w:eastAsia="zh-CN"/>
        </w:rPr>
        <w:t>人员减少导致。</w:t>
      </w:r>
    </w:p>
    <w:p w14:paraId="2CDCC5C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（图1：</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决算总计变动情况图）（柱状图）</w:t>
      </w:r>
    </w:p>
    <w:p w14:paraId="59878A4F">
      <w:pPr>
        <w:pStyle w:val="2"/>
        <w:rPr>
          <w:rFonts w:hint="eastAsia" w:ascii="Times New Roman" w:hAnsi="Times New Roman" w:eastAsia="仿宋_GB2312" w:cs="仿宋_GB2312"/>
          <w:color w:val="auto"/>
          <w:sz w:val="32"/>
          <w:szCs w:val="32"/>
          <w:highlight w:val="none"/>
        </w:rPr>
      </w:pPr>
    </w:p>
    <w:p w14:paraId="49972A1E">
      <w:pPr>
        <w:rPr>
          <w:rFonts w:hint="eastAsia"/>
        </w:rPr>
      </w:pPr>
    </w:p>
    <w:p w14:paraId="1318F18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drawing>
          <wp:inline distT="0" distB="0" distL="114300" distR="114300">
            <wp:extent cx="5080000" cy="3810000"/>
            <wp:effectExtent l="4445" t="4445" r="20955" b="1460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51BD3DA">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56" w:name="_Toc15377206"/>
      <w:bookmarkStart w:id="57" w:name="_Toc15396604"/>
      <w:bookmarkStart w:id="58" w:name="_Toc5824_WPSOffice_Level2"/>
      <w:r>
        <w:rPr>
          <w:rFonts w:hint="eastAsia" w:ascii="Times New Roman" w:hAnsi="Times New Roman" w:eastAsia="黑体"/>
          <w:color w:val="auto"/>
          <w:sz w:val="32"/>
          <w:szCs w:val="32"/>
          <w:highlight w:val="none"/>
          <w:lang w:eastAsia="zh-CN"/>
        </w:rPr>
        <w:t>二、收入决算情况说明</w:t>
      </w:r>
      <w:bookmarkEnd w:id="56"/>
      <w:bookmarkEnd w:id="57"/>
      <w:bookmarkEnd w:id="58"/>
    </w:p>
    <w:p w14:paraId="33825C56">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2024年度本年收入合计</w:t>
      </w:r>
      <w:r>
        <w:rPr>
          <w:rFonts w:hint="eastAsia" w:ascii="仿宋_GB2312" w:hAnsi="仿宋_GB2312" w:eastAsia="仿宋_GB2312" w:cs="仿宋_GB2312"/>
          <w:sz w:val="32"/>
          <w:szCs w:val="32"/>
        </w:rPr>
        <w:t>403.89万元，其中：一般公共预算财政拨款收入403.89</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sz w:val="32"/>
          <w:szCs w:val="32"/>
          <w:highlight w:val="none"/>
          <w:lang w:eastAsia="zh-CN"/>
        </w:rPr>
        <w:t>%。</w:t>
      </w:r>
    </w:p>
    <w:p w14:paraId="5AA5A3D8">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（图2：收入决算结构图）（饼状图）</w:t>
      </w:r>
    </w:p>
    <w:p w14:paraId="46238800">
      <w:pPr>
        <w:pStyle w:val="2"/>
        <w:rPr>
          <w:rFonts w:hint="eastAsia" w:ascii="Times New Roman" w:hAnsi="Times New Roman" w:eastAsia="仿宋_GB2312" w:cs="仿宋_GB2312"/>
          <w:color w:val="auto"/>
          <w:sz w:val="32"/>
          <w:szCs w:val="32"/>
          <w:highlight w:val="none"/>
          <w:lang w:eastAsia="zh-CN"/>
        </w:rPr>
      </w:pPr>
    </w:p>
    <w:p w14:paraId="51EDC24F">
      <w:pPr>
        <w:rPr>
          <w:rFonts w:hint="eastAsia"/>
          <w:lang w:eastAsia="zh-CN"/>
        </w:rPr>
      </w:pPr>
    </w:p>
    <w:p w14:paraId="50302A61">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drawing>
          <wp:inline distT="0" distB="0" distL="114300" distR="114300">
            <wp:extent cx="5080000" cy="3810000"/>
            <wp:effectExtent l="4445" t="4445" r="20955" b="1460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2C56D3A">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0"/>
          <w:rFonts w:hint="eastAsia" w:ascii="Times New Roman" w:hAnsi="Times New Roman" w:eastAsia="黑体"/>
          <w:b w:val="0"/>
          <w:color w:val="auto"/>
          <w:highlight w:val="none"/>
        </w:rPr>
      </w:pPr>
      <w:bookmarkStart w:id="59" w:name="_Toc24412_WPSOffice_Level2"/>
      <w:bookmarkStart w:id="60" w:name="_Toc15377207"/>
      <w:bookmarkStart w:id="61" w:name="_Toc15396605"/>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0"/>
          <w:rFonts w:hint="eastAsia" w:ascii="Times New Roman" w:hAnsi="Times New Roman" w:eastAsia="黑体"/>
          <w:b w:val="0"/>
          <w:color w:val="auto"/>
          <w:highlight w:val="none"/>
        </w:rPr>
        <w:t>出决算情况说明</w:t>
      </w:r>
      <w:bookmarkEnd w:id="59"/>
      <w:bookmarkEnd w:id="60"/>
      <w:bookmarkEnd w:id="61"/>
    </w:p>
    <w:p w14:paraId="2F88407E">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2024年度本年支出合计</w:t>
      </w:r>
      <w:r>
        <w:rPr>
          <w:rFonts w:hint="eastAsia" w:ascii="仿宋_GB2312" w:hAnsi="仿宋_GB2312" w:eastAsia="仿宋_GB2312" w:cs="仿宋_GB2312"/>
          <w:sz w:val="32"/>
          <w:szCs w:val="32"/>
        </w:rPr>
        <w:t>437.3</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rPr>
        <w:t>437.3</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sz w:val="32"/>
          <w:szCs w:val="32"/>
          <w:highlight w:val="none"/>
          <w:lang w:eastAsia="zh-CN"/>
        </w:rPr>
        <w:t>%。</w:t>
      </w:r>
    </w:p>
    <w:p w14:paraId="2A9121DB">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（图3：支出决算结构图）（饼状图）</w:t>
      </w:r>
    </w:p>
    <w:p w14:paraId="7B43BD05">
      <w:pPr>
        <w:ind w:firstLine="800" w:firstLineChars="250"/>
        <w:rPr>
          <w:rFonts w:hint="eastAsia" w:ascii="Times New Roman" w:hAnsi="Times New Roman" w:eastAsia="仿宋_GB2312" w:cs="仿宋_GB2312"/>
          <w:color w:val="auto"/>
          <w:sz w:val="32"/>
          <w:szCs w:val="32"/>
          <w:highlight w:val="none"/>
          <w:lang w:eastAsia="zh-CN"/>
        </w:rPr>
      </w:pPr>
    </w:p>
    <w:p w14:paraId="6C115866">
      <w:pPr>
        <w:pStyle w:val="2"/>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drawing>
          <wp:inline distT="0" distB="0" distL="114300" distR="114300">
            <wp:extent cx="5080000" cy="3810000"/>
            <wp:effectExtent l="4445" t="4445" r="20955" b="1460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E622F80">
      <w:pPr>
        <w:rPr>
          <w:rFonts w:hint="eastAsia"/>
          <w:lang w:eastAsia="zh-CN"/>
        </w:rPr>
      </w:pPr>
    </w:p>
    <w:p w14:paraId="6C4EE106">
      <w:pPr>
        <w:spacing w:line="600" w:lineRule="exact"/>
        <w:ind w:firstLine="640" w:firstLineChars="200"/>
        <w:outlineLvl w:val="1"/>
        <w:rPr>
          <w:rStyle w:val="30"/>
          <w:rFonts w:ascii="Times New Roman" w:hAnsi="Times New Roman" w:eastAsia="黑体"/>
          <w:b w:val="0"/>
          <w:color w:val="auto"/>
          <w:highlight w:val="none"/>
        </w:rPr>
      </w:pPr>
      <w:bookmarkStart w:id="62" w:name="_Toc15377208"/>
      <w:bookmarkStart w:id="63" w:name="_Toc31566_WPSOffice_Level2"/>
      <w:bookmarkStart w:id="64" w:name="_Toc15396606"/>
      <w:r>
        <w:rPr>
          <w:rFonts w:hint="eastAsia" w:ascii="Times New Roman" w:hAnsi="Times New Roman" w:eastAsia="黑体"/>
          <w:color w:val="auto"/>
          <w:sz w:val="32"/>
          <w:szCs w:val="32"/>
          <w:highlight w:val="none"/>
        </w:rPr>
        <w:t>四、财</w:t>
      </w:r>
      <w:r>
        <w:rPr>
          <w:rStyle w:val="30"/>
          <w:rFonts w:hint="eastAsia" w:ascii="Times New Roman" w:hAnsi="Times New Roman" w:eastAsia="黑体"/>
          <w:b w:val="0"/>
          <w:color w:val="auto"/>
          <w:highlight w:val="none"/>
        </w:rPr>
        <w:t>政拨款收入支出决算总体情况说明</w:t>
      </w:r>
      <w:bookmarkEnd w:id="62"/>
      <w:bookmarkEnd w:id="63"/>
      <w:bookmarkEnd w:id="64"/>
    </w:p>
    <w:p w14:paraId="20C0DDDE">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2024年度财政拨款收入、支出总计均为</w:t>
      </w:r>
      <w:r>
        <w:rPr>
          <w:rFonts w:hint="eastAsia" w:ascii="仿宋_GB2312" w:hAnsi="仿宋_GB2312" w:eastAsia="仿宋_GB2312" w:cs="仿宋_GB2312"/>
          <w:sz w:val="32"/>
          <w:szCs w:val="32"/>
        </w:rPr>
        <w:t>437.3</w:t>
      </w:r>
      <w:r>
        <w:rPr>
          <w:rFonts w:hint="eastAsia" w:ascii="Times New Roman" w:hAnsi="Times New Roman" w:eastAsia="仿宋_GB2312" w:cs="仿宋_GB2312"/>
          <w:color w:val="auto"/>
          <w:kern w:val="2"/>
          <w:sz w:val="32"/>
          <w:szCs w:val="32"/>
          <w:highlight w:val="none"/>
          <w:lang w:val="en-US" w:eastAsia="zh-CN" w:bidi="ar-SA"/>
        </w:rPr>
        <w:t>万元。与2023年度相比，财政拨款收入总计、支出总计各减少</w:t>
      </w:r>
      <w:r>
        <w:rPr>
          <w:rFonts w:hint="eastAsia" w:eastAsia="仿宋_GB2312" w:cs="仿宋_GB2312"/>
          <w:color w:val="auto"/>
          <w:kern w:val="2"/>
          <w:sz w:val="32"/>
          <w:szCs w:val="32"/>
          <w:highlight w:val="none"/>
          <w:lang w:val="en-US" w:eastAsia="zh-CN" w:bidi="ar-SA"/>
        </w:rPr>
        <w:t>8.98</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2.01</w:t>
      </w:r>
      <w:r>
        <w:rPr>
          <w:rFonts w:hint="eastAsia" w:ascii="Times New Roman" w:hAnsi="Times New Roman" w:eastAsia="仿宋_GB2312" w:cs="仿宋_GB2312"/>
          <w:color w:val="auto"/>
          <w:kern w:val="2"/>
          <w:sz w:val="32"/>
          <w:szCs w:val="32"/>
          <w:highlight w:val="none"/>
          <w:lang w:val="en-US" w:eastAsia="zh-CN" w:bidi="ar-SA"/>
        </w:rPr>
        <w:t>%。主要变动原因是</w:t>
      </w:r>
      <w:r>
        <w:rPr>
          <w:rFonts w:hint="eastAsia" w:eastAsia="仿宋_GB2312" w:cs="仿宋_GB2312"/>
          <w:color w:val="auto"/>
          <w:kern w:val="2"/>
          <w:sz w:val="32"/>
          <w:szCs w:val="32"/>
          <w:highlight w:val="none"/>
          <w:lang w:val="en-US" w:eastAsia="zh-CN" w:bidi="ar-SA"/>
        </w:rPr>
        <w:t>人员减少导致。</w:t>
      </w:r>
    </w:p>
    <w:p w14:paraId="2AFB2CFE">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（图4：财政拨款收、支决算总计变动情况）（柱状图）</w:t>
      </w:r>
    </w:p>
    <w:p w14:paraId="0C568EEA">
      <w:pPr>
        <w:pStyle w:val="2"/>
        <w:rPr>
          <w:rFonts w:hint="eastAsia" w:ascii="Times New Roman" w:hAnsi="Times New Roman" w:eastAsia="仿宋_GB2312" w:cs="仿宋_GB2312"/>
          <w:color w:val="auto"/>
          <w:kern w:val="2"/>
          <w:sz w:val="32"/>
          <w:szCs w:val="32"/>
          <w:highlight w:val="none"/>
          <w:lang w:val="en-US" w:eastAsia="zh-CN" w:bidi="ar-SA"/>
        </w:rPr>
      </w:pPr>
    </w:p>
    <w:p w14:paraId="1B8D167F">
      <w:pPr>
        <w:rPr>
          <w:rFonts w:hint="eastAsia"/>
          <w:lang w:val="en-US" w:eastAsia="zh-CN"/>
        </w:rPr>
      </w:pPr>
    </w:p>
    <w:p w14:paraId="746AF746">
      <w:pPr>
        <w:spacing w:line="600" w:lineRule="exact"/>
        <w:rPr>
          <w:rFonts w:hint="eastAsia" w:ascii="Times New Roman" w:hAnsi="Times New Roman" w:eastAsia="仿宋_GB2312" w:cs="仿宋_GB2312"/>
          <w:color w:val="auto"/>
          <w:kern w:val="2"/>
          <w:sz w:val="32"/>
          <w:szCs w:val="32"/>
          <w:highlight w:val="none"/>
          <w:lang w:val="en-US" w:eastAsia="zh-CN" w:bidi="ar-SA"/>
        </w:rPr>
      </w:pPr>
    </w:p>
    <w:p w14:paraId="347B8A90">
      <w:pPr>
        <w:pStyle w:val="2"/>
        <w:rPr>
          <w:rFonts w:hint="eastAsia"/>
          <w:lang w:val="en-US" w:eastAsia="zh-CN"/>
        </w:rPr>
      </w:pPr>
      <w:r>
        <w:rPr>
          <w:rFonts w:hint="eastAsia"/>
          <w:lang w:val="en-US" w:eastAsia="zh-CN"/>
        </w:rPr>
        <w:drawing>
          <wp:inline distT="0" distB="0" distL="114300" distR="114300">
            <wp:extent cx="5080000" cy="3810000"/>
            <wp:effectExtent l="4445" t="4445" r="20955" b="1460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DDEDB73">
      <w:pPr>
        <w:pStyle w:val="2"/>
        <w:rPr>
          <w:rFonts w:hint="eastAsia"/>
          <w:lang w:val="en-US" w:eastAsia="zh-CN"/>
        </w:rPr>
      </w:pPr>
    </w:p>
    <w:p w14:paraId="13CA18E1">
      <w:pPr>
        <w:spacing w:line="600" w:lineRule="exact"/>
        <w:ind w:firstLine="640" w:firstLineChars="200"/>
        <w:outlineLvl w:val="1"/>
        <w:rPr>
          <w:rStyle w:val="30"/>
          <w:rFonts w:ascii="Times New Roman" w:hAnsi="Times New Roman" w:eastAsia="黑体"/>
          <w:b w:val="0"/>
          <w:color w:val="auto"/>
          <w:highlight w:val="none"/>
        </w:rPr>
      </w:pPr>
      <w:bookmarkStart w:id="65" w:name="_Toc23444_WPSOffice_Level2"/>
      <w:bookmarkStart w:id="66" w:name="_Toc15377209"/>
      <w:bookmarkStart w:id="67" w:name="_Toc15396607"/>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般公共预算财政拨款支出决算情况说明</w:t>
      </w:r>
      <w:bookmarkEnd w:id="65"/>
      <w:bookmarkEnd w:id="66"/>
      <w:bookmarkEnd w:id="67"/>
    </w:p>
    <w:p w14:paraId="0B54FF43">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68"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68"/>
    </w:p>
    <w:p w14:paraId="15343F7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437.3</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%。与2023年度相比，一般公共预算财政拨款支出减少8.98万元，下降2.01%。主要变动原因是</w:t>
      </w:r>
      <w:r>
        <w:rPr>
          <w:rFonts w:hint="eastAsia" w:eastAsia="仿宋_GB2312" w:cs="仿宋_GB2312"/>
          <w:color w:val="auto"/>
          <w:kern w:val="2"/>
          <w:sz w:val="32"/>
          <w:szCs w:val="32"/>
          <w:highlight w:val="none"/>
          <w:lang w:val="en-US" w:eastAsia="zh-CN" w:bidi="ar-SA"/>
        </w:rPr>
        <w:t>人员减少导致。</w:t>
      </w:r>
    </w:p>
    <w:p w14:paraId="168A4DA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（图5：一般公共预算财政拨款支出决算变动情况）（柱状图）</w:t>
      </w:r>
    </w:p>
    <w:p w14:paraId="25B4371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625F863E">
      <w:pPr>
        <w:pStyle w:val="2"/>
        <w:rPr>
          <w:rFonts w:hint="eastAsia" w:ascii="Times New Roman" w:hAnsi="Times New Roman" w:eastAsia="仿宋_GB2312" w:cs="仿宋_GB2312"/>
          <w:color w:val="auto"/>
          <w:kern w:val="2"/>
          <w:sz w:val="32"/>
          <w:szCs w:val="32"/>
          <w:highlight w:val="none"/>
          <w:lang w:val="en-US" w:eastAsia="zh-CN" w:bidi="ar-SA"/>
        </w:rPr>
      </w:pPr>
    </w:p>
    <w:p w14:paraId="30B3855D">
      <w:pPr>
        <w:rPr>
          <w:rFonts w:hint="eastAsia" w:ascii="Times New Roman" w:hAnsi="Times New Roman" w:eastAsia="仿宋_GB2312" w:cs="仿宋_GB2312"/>
          <w:color w:val="auto"/>
          <w:kern w:val="2"/>
          <w:sz w:val="32"/>
          <w:szCs w:val="32"/>
          <w:highlight w:val="none"/>
          <w:lang w:val="en-US" w:eastAsia="zh-CN" w:bidi="ar-SA"/>
        </w:rPr>
      </w:pPr>
    </w:p>
    <w:p w14:paraId="32DE82E8">
      <w:pPr>
        <w:pStyle w:val="2"/>
        <w:rPr>
          <w:rFonts w:hint="eastAsia"/>
          <w:lang w:val="en-US" w:eastAsia="zh-CN"/>
        </w:rPr>
      </w:pPr>
      <w:r>
        <w:rPr>
          <w:rFonts w:hint="eastAsia"/>
          <w:lang w:val="en-US" w:eastAsia="zh-CN"/>
        </w:rPr>
        <w:drawing>
          <wp:inline distT="0" distB="0" distL="114300" distR="114300">
            <wp:extent cx="5080000" cy="3810000"/>
            <wp:effectExtent l="4445" t="4445" r="20955" b="1460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50F3338">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69"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69"/>
    </w:p>
    <w:p w14:paraId="6D41DF10">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437.3</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，主要用于以下方面</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一般公共服务支出</w:t>
      </w:r>
      <w:r>
        <w:rPr>
          <w:rFonts w:hint="eastAsia" w:eastAsia="仿宋_GB2312" w:cs="仿宋_GB2312"/>
          <w:color w:val="auto"/>
          <w:kern w:val="2"/>
          <w:sz w:val="32"/>
          <w:szCs w:val="32"/>
          <w:highlight w:val="none"/>
          <w:lang w:val="en-US" w:eastAsia="zh-CN" w:bidi="ar-SA"/>
        </w:rPr>
        <w:t>320.66</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73.33</w:t>
      </w:r>
      <w:r>
        <w:rPr>
          <w:rFonts w:hint="eastAsia" w:ascii="Times New Roman" w:hAnsi="Times New Roman" w:eastAsia="仿宋_GB2312" w:cs="仿宋_GB2312"/>
          <w:color w:val="auto"/>
          <w:kern w:val="2"/>
          <w:sz w:val="32"/>
          <w:szCs w:val="32"/>
          <w:highlight w:val="none"/>
          <w:lang w:val="en-US" w:eastAsia="zh-CN" w:bidi="ar-SA"/>
        </w:rPr>
        <w:t>%；社会保障和就业支出</w:t>
      </w:r>
      <w:r>
        <w:rPr>
          <w:rFonts w:hint="eastAsia" w:eastAsia="仿宋_GB2312" w:cs="仿宋_GB2312"/>
          <w:color w:val="auto"/>
          <w:kern w:val="2"/>
          <w:sz w:val="32"/>
          <w:szCs w:val="32"/>
          <w:highlight w:val="none"/>
          <w:lang w:val="en-US" w:eastAsia="zh-CN" w:bidi="ar-SA"/>
        </w:rPr>
        <w:t>64.20</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14.68</w:t>
      </w:r>
      <w:r>
        <w:rPr>
          <w:rFonts w:hint="eastAsia" w:ascii="Times New Roman" w:hAnsi="Times New Roman" w:eastAsia="仿宋_GB2312" w:cs="仿宋_GB2312"/>
          <w:color w:val="auto"/>
          <w:kern w:val="2"/>
          <w:sz w:val="32"/>
          <w:szCs w:val="32"/>
          <w:highlight w:val="none"/>
          <w:lang w:val="en-US" w:eastAsia="zh-CN" w:bidi="ar-SA"/>
        </w:rPr>
        <w:t>%；卫生健康支出</w:t>
      </w:r>
      <w:r>
        <w:rPr>
          <w:rFonts w:hint="eastAsia" w:eastAsia="仿宋_GB2312" w:cs="仿宋_GB2312"/>
          <w:color w:val="auto"/>
          <w:kern w:val="2"/>
          <w:sz w:val="32"/>
          <w:szCs w:val="32"/>
          <w:highlight w:val="none"/>
          <w:lang w:val="en-US" w:eastAsia="zh-CN" w:bidi="ar-SA"/>
        </w:rPr>
        <w:t>22.79</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5.21</w:t>
      </w:r>
      <w:r>
        <w:rPr>
          <w:rFonts w:hint="eastAsia" w:ascii="Times New Roman" w:hAnsi="Times New Roman" w:eastAsia="仿宋_GB2312" w:cs="仿宋_GB2312"/>
          <w:color w:val="auto"/>
          <w:kern w:val="2"/>
          <w:sz w:val="32"/>
          <w:szCs w:val="32"/>
          <w:highlight w:val="none"/>
          <w:lang w:val="en-US" w:eastAsia="zh-CN" w:bidi="ar-SA"/>
        </w:rPr>
        <w:t>%；住房保障支出</w:t>
      </w:r>
      <w:r>
        <w:rPr>
          <w:rFonts w:hint="eastAsia" w:eastAsia="仿宋_GB2312" w:cs="仿宋_GB2312"/>
          <w:color w:val="auto"/>
          <w:kern w:val="2"/>
          <w:sz w:val="32"/>
          <w:szCs w:val="32"/>
          <w:highlight w:val="none"/>
          <w:lang w:val="en-US" w:eastAsia="zh-CN" w:bidi="ar-SA"/>
        </w:rPr>
        <w:t>29.66</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6.78</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（注：仅罗列本部门涉及的全部功能分类科目，至类级）</w:t>
      </w:r>
    </w:p>
    <w:p w14:paraId="39D0CF7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（图6：一般公共预算财政拨款支出决算结构）（饼状图）</w:t>
      </w:r>
    </w:p>
    <w:p w14:paraId="59C86ED8">
      <w:pPr>
        <w:pStyle w:val="2"/>
        <w:rPr>
          <w:rFonts w:hint="eastAsia" w:ascii="Times New Roman" w:hAnsi="Times New Roman" w:eastAsia="仿宋_GB2312" w:cs="仿宋_GB2312"/>
          <w:color w:val="auto"/>
          <w:kern w:val="2"/>
          <w:sz w:val="32"/>
          <w:szCs w:val="32"/>
          <w:highlight w:val="none"/>
          <w:lang w:val="en-US" w:eastAsia="zh-CN" w:bidi="ar-SA"/>
        </w:rPr>
      </w:pPr>
    </w:p>
    <w:p w14:paraId="71CD2B38">
      <w:pPr>
        <w:rPr>
          <w:rFonts w:hint="eastAsia" w:ascii="Times New Roman" w:hAnsi="Times New Roman" w:eastAsia="仿宋_GB2312" w:cs="仿宋_GB2312"/>
          <w:color w:val="auto"/>
          <w:kern w:val="2"/>
          <w:sz w:val="32"/>
          <w:szCs w:val="32"/>
          <w:highlight w:val="none"/>
          <w:lang w:val="en-US" w:eastAsia="zh-CN" w:bidi="ar-SA"/>
        </w:rPr>
      </w:pPr>
    </w:p>
    <w:p w14:paraId="2626E03B">
      <w:pPr>
        <w:pStyle w:val="2"/>
        <w:rPr>
          <w:rFonts w:hint="eastAsia"/>
          <w:lang w:val="en-US" w:eastAsia="zh-CN"/>
        </w:rPr>
      </w:pPr>
      <w:r>
        <w:rPr>
          <w:rFonts w:hint="eastAsia"/>
          <w:lang w:val="en-US" w:eastAsia="zh-CN"/>
        </w:rPr>
        <w:drawing>
          <wp:inline distT="0" distB="0" distL="114300" distR="114300">
            <wp:extent cx="5080000" cy="3810000"/>
            <wp:effectExtent l="4445" t="4445" r="20955" b="14605"/>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9ECF4D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5ED227FB">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70"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70"/>
    </w:p>
    <w:p w14:paraId="590924B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71" w:name="_Toc15377213"/>
      <w:bookmarkStart w:id="72" w:name="_Toc15378460"/>
      <w:bookmarkStart w:id="73" w:name="_Toc15377444"/>
      <w:r>
        <w:rPr>
          <w:rFonts w:hint="eastAsia" w:ascii="Times New Roman" w:hAnsi="Times New Roman" w:eastAsia="仿宋_GB2312" w:cs="仿宋_GB2312"/>
          <w:color w:val="auto"/>
          <w:kern w:val="2"/>
          <w:sz w:val="32"/>
          <w:szCs w:val="32"/>
          <w:highlight w:val="none"/>
          <w:lang w:val="en-US" w:eastAsia="zh-CN" w:bidi="ar-SA"/>
        </w:rPr>
        <w:t>2024年度一般公共预算财政拨款支出决算数为</w:t>
      </w:r>
      <w:r>
        <w:rPr>
          <w:rFonts w:hint="eastAsia" w:ascii="仿宋_GB2312" w:hAnsi="仿宋_GB2312" w:eastAsia="仿宋_GB2312" w:cs="仿宋_GB2312"/>
          <w:sz w:val="32"/>
          <w:szCs w:val="32"/>
        </w:rPr>
        <w:t>437.3</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%。其中：</w:t>
      </w:r>
      <w:bookmarkEnd w:id="71"/>
      <w:bookmarkEnd w:id="72"/>
      <w:bookmarkEnd w:id="73"/>
    </w:p>
    <w:p w14:paraId="5C856254">
      <w:pPr>
        <w:pStyle w:val="15"/>
        <w:shd w:val="clear" w:color="auto" w:fill="FFFFFF"/>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1.一般公共服务</w:t>
      </w:r>
      <w:r>
        <w:rPr>
          <w:rFonts w:hint="eastAsia" w:ascii="仿宋_GB2312" w:hAnsi="仿宋_GB2312" w:eastAsia="仿宋_GB2312" w:cs="仿宋_GB2312"/>
          <w:sz w:val="32"/>
          <w:szCs w:val="32"/>
          <w:lang w:val="en-US" w:eastAsia="zh-CN"/>
        </w:rPr>
        <w:t>201</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val="en-US" w:eastAsia="zh-CN"/>
        </w:rPr>
        <w:t>财政事务06</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val="en-US" w:eastAsia="zh-CN"/>
        </w:rPr>
        <w:t>行政运行01</w:t>
      </w:r>
      <w:r>
        <w:rPr>
          <w:rFonts w:hint="eastAsia" w:ascii="仿宋_GB2312" w:hAnsi="仿宋_GB2312" w:eastAsia="仿宋_GB2312" w:cs="仿宋_GB2312"/>
          <w:sz w:val="32"/>
          <w:szCs w:val="32"/>
        </w:rPr>
        <w:t>（项）: 支出决算为</w:t>
      </w:r>
      <w:r>
        <w:rPr>
          <w:rFonts w:hint="eastAsia" w:ascii="仿宋_GB2312" w:hAnsi="仿宋_GB2312" w:eastAsia="仿宋_GB2312" w:cs="仿宋_GB2312"/>
          <w:sz w:val="32"/>
          <w:szCs w:val="32"/>
          <w:lang w:val="en-US" w:eastAsia="zh-CN"/>
        </w:rPr>
        <w:t>320.66</w:t>
      </w:r>
      <w:r>
        <w:rPr>
          <w:rFonts w:hint="eastAsia" w:ascii="仿宋_GB2312" w:hAnsi="仿宋_GB2312" w:eastAsia="仿宋_GB2312" w:cs="仿宋_GB2312"/>
          <w:sz w:val="32"/>
          <w:szCs w:val="32"/>
        </w:rPr>
        <w:t>万元，完成预算</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%，决算数</w:t>
      </w:r>
      <w:r>
        <w:rPr>
          <w:rFonts w:hint="eastAsia" w:ascii="仿宋_GB2312" w:hAnsi="仿宋_GB2312" w:eastAsia="仿宋_GB2312" w:cs="仿宋_GB2312"/>
          <w:sz w:val="32"/>
          <w:szCs w:val="32"/>
          <w:lang w:val="en-US" w:eastAsia="zh-CN"/>
        </w:rPr>
        <w:t>与</w:t>
      </w:r>
      <w:r>
        <w:rPr>
          <w:rFonts w:hint="eastAsia" w:ascii="仿宋_GB2312" w:hAnsi="仿宋_GB2312" w:eastAsia="仿宋_GB2312" w:cs="仿宋_GB2312"/>
          <w:sz w:val="32"/>
          <w:szCs w:val="32"/>
        </w:rPr>
        <w:t>预算数</w:t>
      </w:r>
      <w:r>
        <w:rPr>
          <w:rFonts w:hint="eastAsia" w:ascii="仿宋_GB2312" w:hAnsi="仿宋_GB2312" w:eastAsia="仿宋_GB2312" w:cs="仿宋_GB2312"/>
          <w:sz w:val="32"/>
          <w:szCs w:val="32"/>
          <w:lang w:val="en-US" w:eastAsia="zh-CN"/>
        </w:rPr>
        <w:t>持平</w:t>
      </w:r>
      <w:r>
        <w:rPr>
          <w:rFonts w:hint="eastAsia" w:ascii="仿宋_GB2312" w:hAnsi="仿宋_GB2312" w:eastAsia="仿宋_GB2312" w:cs="仿宋_GB2312"/>
          <w:sz w:val="32"/>
          <w:szCs w:val="32"/>
        </w:rPr>
        <w:t>。</w:t>
      </w:r>
    </w:p>
    <w:p w14:paraId="331D2DDE">
      <w:pPr>
        <w:pStyle w:val="15"/>
        <w:shd w:val="clear" w:color="auto" w:fill="FFFFFF"/>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.社会保障和就业</w:t>
      </w:r>
      <w:r>
        <w:rPr>
          <w:rFonts w:hint="eastAsia" w:ascii="仿宋_GB2312" w:hAnsi="仿宋_GB2312" w:eastAsia="仿宋_GB2312" w:cs="仿宋_GB2312"/>
          <w:sz w:val="32"/>
          <w:szCs w:val="32"/>
          <w:lang w:val="en-US" w:eastAsia="zh-CN"/>
        </w:rPr>
        <w:t>208</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val="en-US" w:eastAsia="zh-CN"/>
        </w:rPr>
        <w:t>行政事业单位养老支出05</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val="en-US" w:eastAsia="zh-CN"/>
        </w:rPr>
        <w:t>机关事业单位基本养老保险缴费支出06</w:t>
      </w:r>
      <w:r>
        <w:rPr>
          <w:rFonts w:hint="eastAsia" w:ascii="仿宋_GB2312" w:hAnsi="仿宋_GB2312" w:eastAsia="仿宋_GB2312" w:cs="仿宋_GB2312"/>
          <w:sz w:val="32"/>
          <w:szCs w:val="32"/>
        </w:rPr>
        <w:t>（项）: 支出决算为</w:t>
      </w:r>
      <w:r>
        <w:rPr>
          <w:rFonts w:hint="eastAsia" w:ascii="仿宋_GB2312" w:hAnsi="仿宋_GB2312" w:eastAsia="仿宋_GB2312" w:cs="仿宋_GB2312"/>
          <w:sz w:val="32"/>
          <w:szCs w:val="32"/>
          <w:lang w:val="en-US" w:eastAsia="zh-CN"/>
        </w:rPr>
        <w:t>35.27</w:t>
      </w:r>
      <w:r>
        <w:rPr>
          <w:rFonts w:hint="eastAsia" w:ascii="仿宋_GB2312" w:hAnsi="仿宋_GB2312" w:eastAsia="仿宋_GB2312" w:cs="仿宋_GB2312"/>
          <w:sz w:val="32"/>
          <w:szCs w:val="32"/>
        </w:rPr>
        <w:t>万元，完成预算</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%，决算数</w:t>
      </w:r>
      <w:r>
        <w:rPr>
          <w:rFonts w:hint="eastAsia" w:ascii="仿宋_GB2312" w:hAnsi="仿宋_GB2312" w:eastAsia="仿宋_GB2312" w:cs="仿宋_GB2312"/>
          <w:sz w:val="32"/>
          <w:szCs w:val="32"/>
          <w:lang w:val="en-US" w:eastAsia="zh-CN"/>
        </w:rPr>
        <w:t>与</w:t>
      </w:r>
      <w:r>
        <w:rPr>
          <w:rFonts w:hint="eastAsia" w:ascii="仿宋_GB2312" w:hAnsi="仿宋_GB2312" w:eastAsia="仿宋_GB2312" w:cs="仿宋_GB2312"/>
          <w:sz w:val="32"/>
          <w:szCs w:val="32"/>
        </w:rPr>
        <w:t>预算数</w:t>
      </w:r>
      <w:r>
        <w:rPr>
          <w:rFonts w:hint="eastAsia" w:ascii="仿宋_GB2312" w:hAnsi="仿宋_GB2312" w:eastAsia="仿宋_GB2312" w:cs="仿宋_GB2312"/>
          <w:sz w:val="32"/>
          <w:szCs w:val="32"/>
          <w:lang w:val="en-US" w:eastAsia="zh-CN"/>
        </w:rPr>
        <w:t>持平</w:t>
      </w:r>
      <w:r>
        <w:rPr>
          <w:rFonts w:hint="eastAsia" w:ascii="仿宋_GB2312" w:hAnsi="仿宋_GB2312" w:eastAsia="仿宋_GB2312" w:cs="仿宋_GB2312"/>
          <w:sz w:val="32"/>
          <w:szCs w:val="32"/>
        </w:rPr>
        <w:t>。</w:t>
      </w:r>
    </w:p>
    <w:p w14:paraId="3E7B1504">
      <w:pPr>
        <w:pStyle w:val="15"/>
        <w:shd w:val="clear" w:color="auto" w:fill="FFFFFF"/>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3.社会</w:t>
      </w:r>
      <w:r>
        <w:rPr>
          <w:rFonts w:hint="eastAsia" w:ascii="仿宋_GB2312" w:hAnsi="仿宋_GB2312" w:eastAsia="仿宋_GB2312" w:cs="仿宋_GB2312"/>
          <w:sz w:val="32"/>
          <w:szCs w:val="32"/>
        </w:rPr>
        <w:t>保障和就业</w:t>
      </w:r>
      <w:r>
        <w:rPr>
          <w:rFonts w:hint="eastAsia" w:ascii="仿宋_GB2312" w:hAnsi="仿宋_GB2312" w:eastAsia="仿宋_GB2312" w:cs="仿宋_GB2312"/>
          <w:sz w:val="32"/>
          <w:szCs w:val="32"/>
          <w:lang w:val="en-US" w:eastAsia="zh-CN"/>
        </w:rPr>
        <w:t>208</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val="en-US" w:eastAsia="zh-CN"/>
        </w:rPr>
        <w:t>行政事业单位养老支出05</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val="en-US" w:eastAsia="zh-CN"/>
        </w:rPr>
        <w:t>机关事业单位职业年金缴费支出06</w:t>
      </w:r>
      <w:r>
        <w:rPr>
          <w:rFonts w:hint="eastAsia" w:ascii="仿宋_GB2312" w:hAnsi="仿宋_GB2312" w:eastAsia="仿宋_GB2312" w:cs="仿宋_GB2312"/>
          <w:sz w:val="32"/>
          <w:szCs w:val="32"/>
        </w:rPr>
        <w:t>（项）: 支出决算为</w:t>
      </w:r>
      <w:r>
        <w:rPr>
          <w:rFonts w:hint="eastAsia" w:ascii="仿宋_GB2312" w:hAnsi="仿宋_GB2312" w:eastAsia="仿宋_GB2312" w:cs="仿宋_GB2312"/>
          <w:sz w:val="32"/>
          <w:szCs w:val="32"/>
          <w:lang w:val="en-US" w:eastAsia="zh-CN"/>
        </w:rPr>
        <w:t>28.93</w:t>
      </w:r>
      <w:r>
        <w:rPr>
          <w:rFonts w:hint="eastAsia" w:ascii="仿宋_GB2312" w:hAnsi="仿宋_GB2312" w:eastAsia="仿宋_GB2312" w:cs="仿宋_GB2312"/>
          <w:sz w:val="32"/>
          <w:szCs w:val="32"/>
        </w:rPr>
        <w:t>万元，完成预算</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%，决算数</w:t>
      </w:r>
      <w:r>
        <w:rPr>
          <w:rFonts w:hint="eastAsia" w:ascii="仿宋_GB2312" w:hAnsi="仿宋_GB2312" w:eastAsia="仿宋_GB2312" w:cs="仿宋_GB2312"/>
          <w:sz w:val="32"/>
          <w:szCs w:val="32"/>
          <w:lang w:val="en-US" w:eastAsia="zh-CN"/>
        </w:rPr>
        <w:t>与</w:t>
      </w:r>
      <w:r>
        <w:rPr>
          <w:rFonts w:hint="eastAsia" w:ascii="仿宋_GB2312" w:hAnsi="仿宋_GB2312" w:eastAsia="仿宋_GB2312" w:cs="仿宋_GB2312"/>
          <w:sz w:val="32"/>
          <w:szCs w:val="32"/>
        </w:rPr>
        <w:t>预算数</w:t>
      </w:r>
      <w:r>
        <w:rPr>
          <w:rFonts w:hint="eastAsia" w:ascii="仿宋_GB2312" w:hAnsi="仿宋_GB2312" w:eastAsia="仿宋_GB2312" w:cs="仿宋_GB2312"/>
          <w:sz w:val="32"/>
          <w:szCs w:val="32"/>
          <w:lang w:val="en-US" w:eastAsia="zh-CN"/>
        </w:rPr>
        <w:t>持平</w:t>
      </w:r>
      <w:r>
        <w:rPr>
          <w:rFonts w:hint="eastAsia" w:ascii="仿宋_GB2312" w:hAnsi="仿宋_GB2312" w:eastAsia="仿宋_GB2312" w:cs="仿宋_GB2312"/>
          <w:sz w:val="32"/>
          <w:szCs w:val="32"/>
        </w:rPr>
        <w:t>。</w:t>
      </w:r>
    </w:p>
    <w:p w14:paraId="532E4B51">
      <w:pPr>
        <w:pStyle w:val="15"/>
        <w:shd w:val="clear" w:color="auto" w:fill="FFFFFF"/>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.卫生健康</w:t>
      </w:r>
      <w:r>
        <w:rPr>
          <w:rFonts w:hint="eastAsia" w:ascii="仿宋_GB2312" w:hAnsi="仿宋_GB2312" w:eastAsia="仿宋_GB2312" w:cs="仿宋_GB2312"/>
          <w:sz w:val="32"/>
          <w:szCs w:val="32"/>
          <w:lang w:val="en-US" w:eastAsia="zh-CN"/>
        </w:rPr>
        <w:t>210</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val="en-US" w:eastAsia="zh-CN"/>
        </w:rPr>
        <w:t>行政事业单位医疗11</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val="en-US" w:eastAsia="zh-CN"/>
        </w:rPr>
        <w:t>行政单位医疗01</w:t>
      </w:r>
      <w:r>
        <w:rPr>
          <w:rFonts w:hint="eastAsia" w:ascii="仿宋_GB2312" w:hAnsi="仿宋_GB2312" w:eastAsia="仿宋_GB2312" w:cs="仿宋_GB2312"/>
          <w:sz w:val="32"/>
          <w:szCs w:val="32"/>
        </w:rPr>
        <w:t>（项）:支出决算为</w:t>
      </w:r>
      <w:r>
        <w:rPr>
          <w:rFonts w:hint="eastAsia" w:ascii="仿宋_GB2312" w:hAnsi="仿宋_GB2312" w:eastAsia="仿宋_GB2312" w:cs="仿宋_GB2312"/>
          <w:sz w:val="32"/>
          <w:szCs w:val="32"/>
          <w:lang w:val="en-US" w:eastAsia="zh-CN"/>
        </w:rPr>
        <w:t>17.53</w:t>
      </w:r>
      <w:r>
        <w:rPr>
          <w:rFonts w:hint="eastAsia" w:ascii="仿宋_GB2312" w:hAnsi="仿宋_GB2312" w:eastAsia="仿宋_GB2312" w:cs="仿宋_GB2312"/>
          <w:sz w:val="32"/>
          <w:szCs w:val="32"/>
        </w:rPr>
        <w:t>万元，完成预算</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%，决算数</w:t>
      </w:r>
      <w:r>
        <w:rPr>
          <w:rFonts w:hint="eastAsia" w:ascii="仿宋_GB2312" w:hAnsi="仿宋_GB2312" w:eastAsia="仿宋_GB2312" w:cs="仿宋_GB2312"/>
          <w:sz w:val="32"/>
          <w:szCs w:val="32"/>
          <w:lang w:val="en-US" w:eastAsia="zh-CN"/>
        </w:rPr>
        <w:t>与</w:t>
      </w:r>
      <w:r>
        <w:rPr>
          <w:rFonts w:hint="eastAsia" w:ascii="仿宋_GB2312" w:hAnsi="仿宋_GB2312" w:eastAsia="仿宋_GB2312" w:cs="仿宋_GB2312"/>
          <w:sz w:val="32"/>
          <w:szCs w:val="32"/>
        </w:rPr>
        <w:t>预算数</w:t>
      </w:r>
      <w:r>
        <w:rPr>
          <w:rFonts w:hint="eastAsia" w:ascii="仿宋_GB2312" w:hAnsi="仿宋_GB2312" w:eastAsia="仿宋_GB2312" w:cs="仿宋_GB2312"/>
          <w:sz w:val="32"/>
          <w:szCs w:val="32"/>
          <w:lang w:val="en-US" w:eastAsia="zh-CN"/>
        </w:rPr>
        <w:t>持平</w:t>
      </w:r>
      <w:r>
        <w:rPr>
          <w:rFonts w:hint="eastAsia" w:ascii="仿宋_GB2312" w:hAnsi="仿宋_GB2312" w:eastAsia="仿宋_GB2312" w:cs="仿宋_GB2312"/>
          <w:sz w:val="32"/>
          <w:szCs w:val="32"/>
        </w:rPr>
        <w:t>。</w:t>
      </w:r>
    </w:p>
    <w:p w14:paraId="3B6ED045">
      <w:pPr>
        <w:pStyle w:val="15"/>
        <w:shd w:val="clear" w:color="auto" w:fill="FFFFFF"/>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.卫生健康</w:t>
      </w:r>
      <w:r>
        <w:rPr>
          <w:rFonts w:hint="eastAsia" w:ascii="仿宋_GB2312" w:hAnsi="仿宋_GB2312" w:eastAsia="仿宋_GB2312" w:cs="仿宋_GB2312"/>
          <w:sz w:val="32"/>
          <w:szCs w:val="32"/>
          <w:lang w:val="en-US" w:eastAsia="zh-CN"/>
        </w:rPr>
        <w:t>210</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val="en-US" w:eastAsia="zh-CN"/>
        </w:rPr>
        <w:t>行政事业单位医疗11</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val="en-US" w:eastAsia="zh-CN"/>
        </w:rPr>
        <w:t>公务员医疗补助03</w:t>
      </w:r>
      <w:r>
        <w:rPr>
          <w:rFonts w:hint="eastAsia" w:ascii="仿宋_GB2312" w:hAnsi="仿宋_GB2312" w:eastAsia="仿宋_GB2312" w:cs="仿宋_GB2312"/>
          <w:sz w:val="32"/>
          <w:szCs w:val="32"/>
        </w:rPr>
        <w:t>（项）:支出决算为</w:t>
      </w:r>
      <w:r>
        <w:rPr>
          <w:rFonts w:hint="eastAsia" w:ascii="仿宋_GB2312" w:hAnsi="仿宋_GB2312" w:eastAsia="仿宋_GB2312" w:cs="仿宋_GB2312"/>
          <w:sz w:val="32"/>
          <w:szCs w:val="32"/>
          <w:lang w:val="en-US" w:eastAsia="zh-CN"/>
        </w:rPr>
        <w:t>5.25</w:t>
      </w:r>
      <w:r>
        <w:rPr>
          <w:rFonts w:hint="eastAsia" w:ascii="仿宋_GB2312" w:hAnsi="仿宋_GB2312" w:eastAsia="仿宋_GB2312" w:cs="仿宋_GB2312"/>
          <w:sz w:val="32"/>
          <w:szCs w:val="32"/>
        </w:rPr>
        <w:t>万元，完成预算</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%，决算数等于预算数。</w:t>
      </w:r>
    </w:p>
    <w:p w14:paraId="2F63B795">
      <w:pPr>
        <w:pStyle w:val="15"/>
        <w:shd w:val="clear" w:color="auto" w:fill="FFFFFF"/>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6.住房保障支出221</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val="en-US" w:eastAsia="zh-CN"/>
        </w:rPr>
        <w:t>住房改革支出02</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val="en-US" w:eastAsia="zh-CN"/>
        </w:rPr>
        <w:t>住房公积金01</w:t>
      </w:r>
      <w:r>
        <w:rPr>
          <w:rFonts w:hint="eastAsia" w:ascii="仿宋_GB2312" w:hAnsi="仿宋_GB2312" w:eastAsia="仿宋_GB2312" w:cs="仿宋_GB2312"/>
          <w:sz w:val="32"/>
          <w:szCs w:val="32"/>
        </w:rPr>
        <w:t>（项）:支出决算为</w:t>
      </w:r>
      <w:r>
        <w:rPr>
          <w:rFonts w:hint="eastAsia" w:ascii="仿宋_GB2312" w:hAnsi="仿宋_GB2312" w:eastAsia="仿宋_GB2312" w:cs="仿宋_GB2312"/>
          <w:sz w:val="32"/>
          <w:szCs w:val="32"/>
          <w:lang w:val="en-US" w:eastAsia="zh-CN"/>
        </w:rPr>
        <w:t>29.66</w:t>
      </w:r>
      <w:r>
        <w:rPr>
          <w:rFonts w:hint="eastAsia" w:ascii="仿宋_GB2312" w:hAnsi="仿宋_GB2312" w:eastAsia="仿宋_GB2312" w:cs="仿宋_GB2312"/>
          <w:sz w:val="32"/>
          <w:szCs w:val="32"/>
        </w:rPr>
        <w:t>万元，完成预算</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%，决算数</w:t>
      </w:r>
      <w:r>
        <w:rPr>
          <w:rFonts w:hint="eastAsia" w:ascii="仿宋_GB2312" w:hAnsi="仿宋_GB2312" w:eastAsia="仿宋_GB2312" w:cs="仿宋_GB2312"/>
          <w:sz w:val="32"/>
          <w:szCs w:val="32"/>
          <w:lang w:val="en-US" w:eastAsia="zh-CN"/>
        </w:rPr>
        <w:t>与</w:t>
      </w:r>
      <w:r>
        <w:rPr>
          <w:rFonts w:hint="eastAsia" w:ascii="仿宋_GB2312" w:hAnsi="仿宋_GB2312" w:eastAsia="仿宋_GB2312" w:cs="仿宋_GB2312"/>
          <w:sz w:val="32"/>
          <w:szCs w:val="32"/>
        </w:rPr>
        <w:t>预算数</w:t>
      </w:r>
      <w:r>
        <w:rPr>
          <w:rFonts w:hint="eastAsia" w:ascii="仿宋_GB2312" w:hAnsi="仿宋_GB2312" w:eastAsia="仿宋_GB2312" w:cs="仿宋_GB2312"/>
          <w:sz w:val="32"/>
          <w:szCs w:val="32"/>
          <w:lang w:val="en-US" w:eastAsia="zh-CN"/>
        </w:rPr>
        <w:t>持平</w:t>
      </w:r>
      <w:r>
        <w:rPr>
          <w:rFonts w:hint="eastAsia" w:ascii="仿宋_GB2312" w:hAnsi="仿宋_GB2312" w:eastAsia="仿宋_GB2312" w:cs="仿宋_GB2312"/>
          <w:sz w:val="32"/>
          <w:szCs w:val="32"/>
        </w:rPr>
        <w:t>。</w:t>
      </w:r>
    </w:p>
    <w:p w14:paraId="33E02240">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（注：仅罗列本部门涉及的全部功能分类科目，至项级。上述“预算”口径为全年预算数。增减变动原因为决算数&lt;项级&gt;和全年预算数&lt;项级&gt;比较，与预算数持平可以不写原因）</w:t>
      </w:r>
    </w:p>
    <w:p w14:paraId="02C648A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3352CBF0">
      <w:pPr>
        <w:tabs>
          <w:tab w:val="right" w:pos="8306"/>
        </w:tabs>
        <w:spacing w:line="600" w:lineRule="exact"/>
        <w:ind w:firstLine="640"/>
        <w:outlineLvl w:val="1"/>
        <w:rPr>
          <w:rStyle w:val="30"/>
          <w:rFonts w:ascii="Times New Roman" w:hAnsi="Times New Roman"/>
          <w:color w:val="auto"/>
          <w:highlight w:val="none"/>
        </w:rPr>
      </w:pPr>
      <w:bookmarkStart w:id="74" w:name="_Toc15396608"/>
      <w:bookmarkStart w:id="75" w:name="_Toc15377214"/>
      <w:bookmarkStart w:id="76" w:name="_Toc7710_WPSOffice_Level2"/>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般公共预算财政拨款基本支出决算情况说明</w:t>
      </w:r>
      <w:bookmarkEnd w:id="74"/>
      <w:bookmarkEnd w:id="75"/>
      <w:bookmarkEnd w:id="76"/>
      <w:r>
        <w:rPr>
          <w:rStyle w:val="30"/>
          <w:rFonts w:ascii="Times New Roman" w:hAnsi="Times New Roman" w:eastAsia="黑体"/>
          <w:b w:val="0"/>
          <w:color w:val="auto"/>
          <w:highlight w:val="none"/>
        </w:rPr>
        <w:tab/>
      </w:r>
    </w:p>
    <w:p w14:paraId="3FDFF39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rPr>
        <w:t>437.3</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14:paraId="3F578CA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392.85</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公用经费</w:t>
      </w:r>
      <w:r>
        <w:rPr>
          <w:rFonts w:hint="eastAsia" w:ascii="仿宋_GB2312" w:hAnsi="仿宋_GB2312" w:eastAsia="仿宋_GB2312" w:cs="仿宋_GB2312"/>
          <w:sz w:val="32"/>
          <w:szCs w:val="32"/>
        </w:rPr>
        <w:t>44.45</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3AFFB108">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（注：仅罗列本部门实际支出涉及的经济分类科目）</w:t>
      </w:r>
    </w:p>
    <w:p w14:paraId="2B791CD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045BEB59">
      <w:pPr>
        <w:spacing w:line="600" w:lineRule="exact"/>
        <w:ind w:firstLine="640"/>
        <w:outlineLvl w:val="1"/>
        <w:rPr>
          <w:rStyle w:val="30"/>
          <w:rFonts w:ascii="Times New Roman" w:hAnsi="Times New Roman" w:eastAsia="黑体"/>
          <w:b w:val="0"/>
          <w:color w:val="auto"/>
          <w:highlight w:val="none"/>
        </w:rPr>
      </w:pPr>
      <w:bookmarkStart w:id="77" w:name="_Toc27997_WPSOffice_Level2"/>
      <w:bookmarkStart w:id="78" w:name="_Toc15377215"/>
      <w:bookmarkStart w:id="79" w:name="_Toc15396609"/>
      <w:r>
        <w:rPr>
          <w:rFonts w:hint="eastAsia" w:ascii="Times New Roman" w:hAnsi="Times New Roman" w:eastAsia="黑体"/>
          <w:color w:val="auto"/>
          <w:sz w:val="32"/>
          <w:szCs w:val="32"/>
          <w:highlight w:val="none"/>
        </w:rPr>
        <w:t>七、</w:t>
      </w:r>
      <w:r>
        <w:rPr>
          <w:rStyle w:val="30"/>
          <w:rFonts w:hint="eastAsia" w:ascii="Times New Roman" w:hAnsi="Times New Roman" w:eastAsia="黑体"/>
          <w:b w:val="0"/>
          <w:color w:val="auto"/>
          <w:highlight w:val="none"/>
        </w:rPr>
        <w:t>财政拨款</w:t>
      </w:r>
      <w:r>
        <w:rPr>
          <w:rStyle w:val="30"/>
          <w:rFonts w:hint="eastAsia" w:ascii="Times New Roman" w:hAnsi="Times New Roman" w:eastAsia="黑体"/>
          <w:color w:val="auto"/>
          <w:highlight w:val="none"/>
        </w:rPr>
        <w:t>“</w:t>
      </w:r>
      <w:r>
        <w:rPr>
          <w:rStyle w:val="30"/>
          <w:rFonts w:hint="eastAsia" w:ascii="Times New Roman" w:hAnsi="Times New Roman" w:eastAsia="黑体"/>
          <w:b w:val="0"/>
          <w:color w:val="auto"/>
          <w:highlight w:val="none"/>
        </w:rPr>
        <w:t>三公”经费支出决算情况说明</w:t>
      </w:r>
      <w:bookmarkEnd w:id="77"/>
      <w:bookmarkEnd w:id="78"/>
      <w:bookmarkEnd w:id="79"/>
    </w:p>
    <w:p w14:paraId="01ABEC74">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80"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80"/>
    </w:p>
    <w:p w14:paraId="3A3FD48F">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p>
    <w:p w14:paraId="7744FE4D">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（注：上述“预算”口径为全年预算数，包括一般公共预算和政府性基金预算财政拨款支出决算情况）</w:t>
      </w:r>
    </w:p>
    <w:p w14:paraId="7970CC15">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81"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81"/>
    </w:p>
    <w:p w14:paraId="7A2AB2DF">
      <w:pPr>
        <w:spacing w:line="600" w:lineRule="exact"/>
        <w:ind w:firstLine="640"/>
        <w:rPr>
          <w:rFonts w:hint="eastAsia"/>
          <w:lang w:val="en-US" w:eastAsia="zh-CN"/>
        </w:rPr>
      </w:pPr>
      <w:r>
        <w:rPr>
          <w:rFonts w:hint="eastAsia" w:ascii="仿宋_GB2312" w:hAnsi="仿宋_GB2312" w:eastAsia="仿宋_GB2312" w:cs="仿宋_GB2312"/>
          <w:color w:val="auto"/>
          <w:kern w:val="2"/>
          <w:sz w:val="32"/>
          <w:szCs w:val="32"/>
          <w:highlight w:val="none"/>
          <w:lang w:val="en-US" w:eastAsia="zh-CN" w:bidi="ar-SA"/>
        </w:rPr>
        <w:t>2024年度“三公”经费财政拨款支出决算</w:t>
      </w:r>
      <w:r>
        <w:rPr>
          <w:rFonts w:hint="eastAsia" w:ascii="Times New Roman" w:hAnsi="Times New Roman" w:eastAsia="仿宋_GB2312" w:cs="仿宋_GB2312"/>
          <w:color w:val="auto"/>
          <w:kern w:val="2"/>
          <w:sz w:val="32"/>
          <w:szCs w:val="32"/>
          <w:highlight w:val="none"/>
          <w:lang w:val="en-US" w:eastAsia="zh-CN" w:bidi="ar-SA"/>
        </w:rPr>
        <w:t>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（图7：“三公”经费财政拨款支出结构）（饼状图）</w:t>
      </w:r>
    </w:p>
    <w:p w14:paraId="40F37E20">
      <w:pPr>
        <w:numPr>
          <w:ilvl w:val="0"/>
          <w:numId w:val="2"/>
        </w:numPr>
        <w:spacing w:line="600" w:lineRule="exact"/>
        <w:ind w:firstLine="640"/>
        <w:rPr>
          <w:rFonts w:hint="eastAsia"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因公出国（境）经费支出</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w:t>
      </w:r>
      <w:r>
        <w:rPr>
          <w:rFonts w:hint="eastAsia" w:eastAsia="仿宋_GB2312" w:cs="仿宋_GB2312"/>
          <w:b/>
          <w:bCs/>
          <w:color w:val="auto"/>
          <w:kern w:val="2"/>
          <w:sz w:val="32"/>
          <w:szCs w:val="32"/>
          <w:highlight w:val="none"/>
          <w:lang w:val="en-US" w:eastAsia="zh-CN" w:bidi="ar-SA"/>
        </w:rPr>
        <w:t>。</w:t>
      </w:r>
    </w:p>
    <w:p w14:paraId="206B8CB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hAnsi="仿宋_GB2312" w:eastAsia="仿宋_GB2312" w:cs="仿宋_GB2312"/>
          <w:b/>
          <w:bCs/>
          <w:color w:val="auto"/>
          <w:kern w:val="2"/>
          <w:sz w:val="32"/>
          <w:szCs w:val="32"/>
          <w:highlight w:val="none"/>
          <w:lang w:val="en-US" w:eastAsia="zh-CN" w:bidi="ar-SA"/>
        </w:rPr>
        <w:t>0万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p>
    <w:p w14:paraId="01BC2F4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3.公务接待费支出</w:t>
      </w:r>
      <w:r>
        <w:rPr>
          <w:rFonts w:hint="eastAsia" w:ascii="仿宋_GB2312" w:hAnsi="仿宋_GB2312" w:eastAsia="仿宋_GB2312" w:cs="仿宋_GB2312"/>
          <w:b/>
          <w:bCs/>
          <w:color w:val="auto"/>
          <w:kern w:val="2"/>
          <w:sz w:val="32"/>
          <w:szCs w:val="32"/>
          <w:highlight w:val="none"/>
          <w:lang w:val="en-US" w:eastAsia="zh-CN" w:bidi="ar-SA"/>
        </w:rPr>
        <w:t>0万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p>
    <w:p w14:paraId="3F82ADF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82" w:name="_Toc15377218"/>
      <w:bookmarkStart w:id="83" w:name="_Toc15396610"/>
    </w:p>
    <w:p w14:paraId="09313B26">
      <w:pPr>
        <w:spacing w:line="600" w:lineRule="exact"/>
        <w:ind w:firstLine="640"/>
        <w:outlineLvl w:val="1"/>
        <w:rPr>
          <w:rStyle w:val="30"/>
          <w:rFonts w:ascii="Times New Roman" w:hAnsi="Times New Roman" w:eastAsia="黑体"/>
          <w:color w:val="auto"/>
          <w:highlight w:val="none"/>
        </w:rPr>
      </w:pPr>
      <w:bookmarkStart w:id="84" w:name="_Toc14391_WPSOffice_Level2"/>
      <w:r>
        <w:rPr>
          <w:rFonts w:hint="eastAsia" w:ascii="Times New Roman" w:hAnsi="Times New Roman" w:eastAsia="黑体"/>
          <w:color w:val="auto"/>
          <w:sz w:val="32"/>
          <w:szCs w:val="32"/>
          <w:highlight w:val="none"/>
        </w:rPr>
        <w:t>八、</w:t>
      </w:r>
      <w:r>
        <w:rPr>
          <w:rStyle w:val="30"/>
          <w:rFonts w:hint="eastAsia" w:ascii="Times New Roman" w:hAnsi="Times New Roman" w:eastAsia="黑体"/>
          <w:b w:val="0"/>
          <w:color w:val="auto"/>
          <w:highlight w:val="none"/>
        </w:rPr>
        <w:t>政府性基金预算支出决算情况说明</w:t>
      </w:r>
      <w:bookmarkEnd w:id="82"/>
      <w:bookmarkEnd w:id="83"/>
      <w:bookmarkEnd w:id="84"/>
    </w:p>
    <w:p w14:paraId="62B4E19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2024年度政府性基金预算财政拨款支出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p>
    <w:p w14:paraId="6BB48B5F">
      <w:pPr>
        <w:numPr>
          <w:ilvl w:val="0"/>
          <w:numId w:val="0"/>
        </w:numPr>
        <w:spacing w:line="600" w:lineRule="exact"/>
        <w:ind w:left="630" w:leftChars="0"/>
        <w:outlineLvl w:val="1"/>
        <w:rPr>
          <w:rStyle w:val="30"/>
          <w:rFonts w:ascii="Times New Roman" w:hAnsi="Times New Roman" w:eastAsia="黑体"/>
          <w:b w:val="0"/>
          <w:color w:val="auto"/>
          <w:highlight w:val="none"/>
        </w:rPr>
      </w:pPr>
      <w:bookmarkStart w:id="85" w:name="_Toc30291_WPSOffice_Level2"/>
      <w:bookmarkStart w:id="86" w:name="_Toc15377219"/>
      <w:bookmarkStart w:id="87" w:name="_Toc15396611"/>
      <w:r>
        <w:rPr>
          <w:rStyle w:val="30"/>
          <w:rFonts w:hint="eastAsia" w:ascii="Times New Roman" w:hAnsi="Times New Roman" w:eastAsia="黑体"/>
          <w:b w:val="0"/>
          <w:color w:val="auto"/>
          <w:highlight w:val="none"/>
          <w:lang w:eastAsia="zh-CN"/>
        </w:rPr>
        <w:t>九、</w:t>
      </w:r>
      <w:r>
        <w:rPr>
          <w:rStyle w:val="30"/>
          <w:rFonts w:hint="eastAsia" w:ascii="Times New Roman" w:hAnsi="Times New Roman" w:eastAsia="黑体"/>
          <w:b w:val="0"/>
          <w:color w:val="auto"/>
          <w:highlight w:val="none"/>
        </w:rPr>
        <w:t>国有资本经营预算支出决算情况说明</w:t>
      </w:r>
      <w:bookmarkEnd w:id="85"/>
      <w:bookmarkEnd w:id="86"/>
      <w:bookmarkEnd w:id="87"/>
    </w:p>
    <w:p w14:paraId="561D461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2024年度国有资本经营预算财政拨款支出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p>
    <w:p w14:paraId="21697814">
      <w:pPr>
        <w:numPr>
          <w:ilvl w:val="0"/>
          <w:numId w:val="0"/>
        </w:numPr>
        <w:spacing w:line="600" w:lineRule="exact"/>
        <w:ind w:left="630" w:leftChars="0"/>
        <w:outlineLvl w:val="1"/>
        <w:rPr>
          <w:rStyle w:val="30"/>
          <w:rFonts w:hint="eastAsia" w:ascii="Times New Roman" w:hAnsi="Times New Roman" w:eastAsia="黑体"/>
          <w:b w:val="0"/>
          <w:color w:val="auto"/>
          <w:highlight w:val="none"/>
        </w:rPr>
      </w:pPr>
      <w:bookmarkStart w:id="88" w:name="_Toc15396612"/>
      <w:bookmarkStart w:id="89" w:name="_Toc18097_WPSOffice_Level2"/>
      <w:bookmarkStart w:id="90" w:name="_Toc15377221"/>
      <w:r>
        <w:rPr>
          <w:rStyle w:val="30"/>
          <w:rFonts w:hint="eastAsia" w:ascii="Times New Roman" w:hAnsi="Times New Roman" w:eastAsia="黑体"/>
          <w:b w:val="0"/>
          <w:color w:val="auto"/>
          <w:highlight w:val="none"/>
          <w:lang w:eastAsia="zh-CN"/>
        </w:rPr>
        <w:t>十、</w:t>
      </w:r>
      <w:r>
        <w:rPr>
          <w:rStyle w:val="30"/>
          <w:rFonts w:hint="eastAsia" w:ascii="Times New Roman" w:hAnsi="Times New Roman" w:eastAsia="黑体"/>
          <w:b w:val="0"/>
          <w:color w:val="auto"/>
          <w:highlight w:val="none"/>
        </w:rPr>
        <w:t>其他重要事项的情况说明</w:t>
      </w:r>
      <w:bookmarkEnd w:id="88"/>
      <w:bookmarkEnd w:id="89"/>
      <w:bookmarkEnd w:id="90"/>
    </w:p>
    <w:p w14:paraId="37C85459">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91" w:name="_Toc15377222"/>
      <w:r>
        <w:rPr>
          <w:rFonts w:hint="eastAsia" w:ascii="Times New Roman" w:hAnsi="Times New Roman" w:eastAsia="楷体_GB2312" w:cs="楷体_GB2312"/>
          <w:b/>
          <w:color w:val="auto"/>
          <w:sz w:val="32"/>
          <w:szCs w:val="32"/>
          <w:highlight w:val="none"/>
        </w:rPr>
        <w:t>（一）机关运行经费支出情况</w:t>
      </w:r>
      <w:bookmarkEnd w:id="91"/>
    </w:p>
    <w:p w14:paraId="13B573D2">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rPr>
        <w:t>九寨沟县财政国库支付中心</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rPr>
        <w:t>44.45</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元，比2023年度减少</w:t>
      </w:r>
      <w:r>
        <w:rPr>
          <w:rFonts w:hint="eastAsia" w:eastAsia="仿宋_GB2312" w:cs="仿宋_GB2312"/>
          <w:color w:val="auto"/>
          <w:kern w:val="2"/>
          <w:sz w:val="32"/>
          <w:szCs w:val="32"/>
          <w:highlight w:val="none"/>
          <w:lang w:val="en-US" w:eastAsia="zh-CN" w:bidi="ar-SA"/>
        </w:rPr>
        <w:t>11.06</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19.92</w:t>
      </w:r>
      <w:r>
        <w:rPr>
          <w:rFonts w:hint="eastAsia" w:ascii="Times New Roman" w:hAnsi="Times New Roman" w:eastAsia="仿宋_GB2312" w:cs="仿宋_GB2312"/>
          <w:color w:val="auto"/>
          <w:kern w:val="2"/>
          <w:sz w:val="32"/>
          <w:szCs w:val="32"/>
          <w:highlight w:val="none"/>
          <w:lang w:val="en-US" w:eastAsia="zh-CN" w:bidi="ar-SA"/>
        </w:rPr>
        <w:t>%。主要原因</w:t>
      </w:r>
      <w:r>
        <w:rPr>
          <w:rFonts w:hint="eastAsia" w:eastAsia="仿宋_GB2312" w:cs="仿宋_GB2312"/>
          <w:color w:val="auto"/>
          <w:kern w:val="2"/>
          <w:sz w:val="32"/>
          <w:szCs w:val="32"/>
          <w:highlight w:val="none"/>
          <w:lang w:val="en-US" w:eastAsia="zh-CN" w:bidi="ar-SA"/>
        </w:rPr>
        <w:t>一是人员减少。二是厉行节约。</w:t>
      </w:r>
    </w:p>
    <w:p w14:paraId="0ABFC859">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92" w:name="_Toc15377223"/>
      <w:r>
        <w:rPr>
          <w:rFonts w:hint="eastAsia" w:ascii="Times New Roman" w:hAnsi="Times New Roman" w:eastAsia="楷体_GB2312" w:cs="楷体_GB2312"/>
          <w:b/>
          <w:color w:val="auto"/>
          <w:sz w:val="32"/>
          <w:szCs w:val="32"/>
          <w:highlight w:val="none"/>
        </w:rPr>
        <w:t>（二）政府采购支出情况</w:t>
      </w:r>
      <w:bookmarkEnd w:id="92"/>
    </w:p>
    <w:p w14:paraId="711F7EDA">
      <w:pPr>
        <w:spacing w:line="600" w:lineRule="exact"/>
        <w:ind w:firstLine="640" w:firstLineChars="200"/>
        <w:outlineLvl w:val="2"/>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九寨沟县财政国库支付中心</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bookmarkStart w:id="93" w:name="_Toc15377224"/>
    </w:p>
    <w:p w14:paraId="68182102">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（三）国有资产占有使用情况</w:t>
      </w:r>
      <w:bookmarkEnd w:id="93"/>
    </w:p>
    <w:p w14:paraId="562C8F4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rPr>
        <w:t>九寨沟县财政国库支付中心</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辆，其中：主要负责人用车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辆、机要通信用车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辆、其他用车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辆，其他用车主要是用于……。单价100万元（含）以上设备（不含车辆）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台（套）</w:t>
      </w:r>
      <w:r>
        <w:rPr>
          <w:rFonts w:hint="eastAsia" w:ascii="Times New Roman" w:hAnsi="Times New Roman" w:eastAsia="仿宋_GB2312" w:cs="仿宋_GB2312"/>
          <w:color w:val="auto"/>
          <w:kern w:val="2"/>
          <w:sz w:val="32"/>
          <w:szCs w:val="32"/>
          <w:highlight w:val="none"/>
          <w:lang w:val="en-US" w:eastAsia="zh-CN" w:bidi="ar-SA"/>
        </w:rPr>
        <w:t>。</w:t>
      </w:r>
    </w:p>
    <w:p w14:paraId="32F82EB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0902F313">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14:paraId="458CBCF6">
      <w:pPr>
        <w:spacing w:line="600" w:lineRule="exact"/>
        <w:ind w:firstLine="640"/>
        <w:rPr>
          <w:rFonts w:hint="eastAsia" w:ascii="仿宋_GB2312" w:eastAsia="仿宋_GB2312"/>
          <w:sz w:val="32"/>
          <w:szCs w:val="32"/>
          <w:lang w:val="en-US" w:eastAsia="zh-CN"/>
        </w:rPr>
      </w:pPr>
      <w:r>
        <w:rPr>
          <w:rFonts w:hint="eastAsia" w:ascii="仿宋_GB2312" w:eastAsia="仿宋_GB2312"/>
          <w:sz w:val="32"/>
          <w:szCs w:val="32"/>
        </w:rPr>
        <w:t>根据预算绩效管理要求，本单位在202</w:t>
      </w:r>
      <w:r>
        <w:rPr>
          <w:rFonts w:hint="eastAsia" w:ascii="仿宋_GB2312" w:eastAsia="仿宋_GB2312"/>
          <w:sz w:val="32"/>
          <w:szCs w:val="32"/>
          <w:lang w:val="en-US" w:eastAsia="zh-CN"/>
        </w:rPr>
        <w:t>4</w:t>
      </w:r>
      <w:r>
        <w:rPr>
          <w:rFonts w:hint="eastAsia" w:ascii="仿宋_GB2312" w:eastAsia="仿宋_GB2312"/>
          <w:sz w:val="32"/>
          <w:szCs w:val="32"/>
        </w:rPr>
        <w:t>年度</w:t>
      </w:r>
      <w:r>
        <w:rPr>
          <w:rFonts w:hint="eastAsia" w:ascii="仿宋_GB2312" w:eastAsia="仿宋_GB2312"/>
          <w:sz w:val="32"/>
          <w:szCs w:val="32"/>
          <w:lang w:val="en-US" w:eastAsia="zh-CN"/>
        </w:rPr>
        <w:t>无项目。</w:t>
      </w:r>
    </w:p>
    <w:p w14:paraId="1DEDD864">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w:t>
      </w:r>
      <w:r>
        <w:rPr>
          <w:rFonts w:hint="eastAsia" w:eastAsia="仿宋_GB2312" w:cs="仿宋_GB2312"/>
          <w:b/>
          <w:bCs/>
          <w:color w:val="auto"/>
          <w:kern w:val="2"/>
          <w:sz w:val="32"/>
          <w:szCs w:val="32"/>
          <w:highlight w:val="none"/>
          <w:lang w:val="en-US" w:eastAsia="zh-CN" w:bidi="ar-SA"/>
        </w:rPr>
        <w:t>注：</w:t>
      </w:r>
      <w:r>
        <w:rPr>
          <w:rFonts w:hint="eastAsia" w:ascii="Times New Roman" w:hAnsi="Times New Roman" w:eastAsia="仿宋_GB2312" w:cs="仿宋_GB2312"/>
          <w:b/>
          <w:bCs/>
          <w:color w:val="auto"/>
          <w:kern w:val="2"/>
          <w:sz w:val="32"/>
          <w:szCs w:val="32"/>
          <w:highlight w:val="none"/>
          <w:lang w:val="en-US" w:eastAsia="zh-CN" w:bidi="ar-SA"/>
        </w:rPr>
        <w:t>如不涉及，可根据实际修改表述。）</w:t>
      </w:r>
    </w:p>
    <w:p w14:paraId="064BC9E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27D67EF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5227CBB3">
      <w:pPr>
        <w:numPr>
          <w:ilvl w:val="0"/>
          <w:numId w:val="0"/>
        </w:numPr>
        <w:spacing w:line="600" w:lineRule="exact"/>
        <w:jc w:val="center"/>
        <w:outlineLvl w:val="0"/>
        <w:rPr>
          <w:rFonts w:hint="eastAsia" w:ascii="Times New Roman" w:hAnsi="Times New Roman" w:eastAsia="黑体"/>
          <w:color w:val="auto"/>
          <w:sz w:val="44"/>
          <w:szCs w:val="44"/>
          <w:highlight w:val="none"/>
        </w:rPr>
      </w:pPr>
      <w:bookmarkStart w:id="94" w:name="_Toc12892_WPSOffice_Level1"/>
      <w:bookmarkStart w:id="95" w:name="_Toc15396613"/>
      <w:bookmarkStart w:id="96" w:name="_Toc15377225"/>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94"/>
      <w:bookmarkEnd w:id="95"/>
      <w:bookmarkEnd w:id="96"/>
    </w:p>
    <w:p w14:paraId="6C988D79">
      <w:pPr>
        <w:spacing w:line="600" w:lineRule="exact"/>
        <w:jc w:val="left"/>
        <w:rPr>
          <w:rFonts w:ascii="Times New Roman" w:hAnsi="Times New Roman"/>
          <w:b/>
          <w:color w:val="auto"/>
          <w:sz w:val="44"/>
          <w:szCs w:val="44"/>
          <w:highlight w:val="none"/>
        </w:rPr>
      </w:pPr>
    </w:p>
    <w:p w14:paraId="769237E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1.财政拨款收入：指单位从同级财政部门取得的财政预算资金。</w:t>
      </w:r>
    </w:p>
    <w:p w14:paraId="75A85D9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2.事业收入：指事业单位开展专业业务活动及辅助活动取得的收入。如……（二级预算单位事业收入情况）等。</w:t>
      </w:r>
    </w:p>
    <w:p w14:paraId="12AD672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3.经营收入：指事业单位在专业业务活动及其辅助活动之外开展非独立核算经营活动取得的收入。如……（二级预算单位经营收入情况）等。</w:t>
      </w:r>
    </w:p>
    <w:p w14:paraId="031566C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4.其他收入：指单位取得的除上述收入以外的各项收入。主要是……（收入类型）等。 </w:t>
      </w:r>
    </w:p>
    <w:p w14:paraId="270B3C4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5.使用非财政拨款结余（含专用结余）：指事业单位使用以前年度积累的非财政拨款结余弥补当年收支差额的金额。 </w:t>
      </w:r>
    </w:p>
    <w:p w14:paraId="1FBD7D0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6.年初结转和结余：指以前年度尚未完成、结转到本年按有关规定继续使用的资金。 </w:t>
      </w:r>
    </w:p>
    <w:p w14:paraId="3270469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7.结余分配：指事业单位按照会计制度规定缴纳的所得税、提取的专用结余以及转入非财政拨款结余的金额等。</w:t>
      </w:r>
    </w:p>
    <w:p w14:paraId="16AC29C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8.年末结转和结余：指单位按有关规定结转到下年或以后年度继续使用的资金。</w:t>
      </w:r>
    </w:p>
    <w:p w14:paraId="75546C6D">
      <w:pPr>
        <w:ind w:firstLine="640" w:firstLineChars="200"/>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9.</w:t>
      </w:r>
      <w:r>
        <w:rPr>
          <w:rStyle w:val="18"/>
          <w:rFonts w:hint="eastAsia" w:ascii="仿宋_GB2312" w:hAnsi="仿宋_GB2312" w:eastAsia="仿宋_GB2312" w:cs="仿宋_GB2312"/>
          <w:b w:val="0"/>
          <w:bCs w:val="0"/>
          <w:color w:val="000000"/>
          <w:sz w:val="32"/>
          <w:szCs w:val="32"/>
        </w:rPr>
        <w:t>一般公共服务（</w:t>
      </w:r>
      <w:r>
        <w:rPr>
          <w:rStyle w:val="18"/>
          <w:rFonts w:hint="eastAsia" w:ascii="仿宋_GB2312" w:hAnsi="仿宋_GB2312" w:eastAsia="仿宋_GB2312" w:cs="仿宋_GB2312"/>
          <w:b w:val="0"/>
          <w:bCs w:val="0"/>
          <w:color w:val="000000"/>
          <w:sz w:val="32"/>
          <w:szCs w:val="32"/>
          <w:lang w:val="en-US" w:eastAsia="zh-CN"/>
        </w:rPr>
        <w:t>201</w:t>
      </w:r>
      <w:r>
        <w:rPr>
          <w:rStyle w:val="18"/>
          <w:rFonts w:hint="eastAsia" w:ascii="仿宋_GB2312" w:hAnsi="仿宋_GB2312" w:eastAsia="仿宋_GB2312" w:cs="仿宋_GB2312"/>
          <w:b w:val="0"/>
          <w:bCs w:val="0"/>
          <w:color w:val="000000"/>
          <w:sz w:val="32"/>
          <w:szCs w:val="32"/>
        </w:rPr>
        <w:t>）</w:t>
      </w:r>
      <w:r>
        <w:rPr>
          <w:rStyle w:val="18"/>
          <w:rFonts w:hint="eastAsia" w:ascii="仿宋_GB2312" w:hAnsi="仿宋_GB2312" w:eastAsia="仿宋_GB2312" w:cs="仿宋_GB2312"/>
          <w:b w:val="0"/>
          <w:bCs w:val="0"/>
          <w:color w:val="000000"/>
          <w:sz w:val="32"/>
          <w:szCs w:val="32"/>
          <w:lang w:val="en-US" w:eastAsia="zh-CN"/>
        </w:rPr>
        <w:t>财政事务</w:t>
      </w:r>
      <w:r>
        <w:rPr>
          <w:rStyle w:val="18"/>
          <w:rFonts w:hint="eastAsia" w:ascii="仿宋_GB2312" w:hAnsi="仿宋_GB2312" w:eastAsia="仿宋_GB2312" w:cs="仿宋_GB2312"/>
          <w:b w:val="0"/>
          <w:bCs w:val="0"/>
          <w:color w:val="000000"/>
          <w:sz w:val="32"/>
          <w:szCs w:val="32"/>
        </w:rPr>
        <w:t>（</w:t>
      </w:r>
      <w:r>
        <w:rPr>
          <w:rStyle w:val="18"/>
          <w:rFonts w:hint="eastAsia" w:ascii="仿宋_GB2312" w:hAnsi="仿宋_GB2312" w:eastAsia="仿宋_GB2312" w:cs="仿宋_GB2312"/>
          <w:b w:val="0"/>
          <w:bCs w:val="0"/>
          <w:color w:val="000000"/>
          <w:sz w:val="32"/>
          <w:szCs w:val="32"/>
          <w:lang w:val="en-US" w:eastAsia="zh-CN"/>
        </w:rPr>
        <w:t>06</w:t>
      </w:r>
      <w:r>
        <w:rPr>
          <w:rStyle w:val="18"/>
          <w:rFonts w:hint="eastAsia" w:ascii="仿宋_GB2312" w:hAnsi="仿宋_GB2312" w:eastAsia="仿宋_GB2312" w:cs="仿宋_GB2312"/>
          <w:b w:val="0"/>
          <w:bCs w:val="0"/>
          <w:color w:val="000000"/>
          <w:sz w:val="32"/>
          <w:szCs w:val="32"/>
        </w:rPr>
        <w:t>）</w:t>
      </w:r>
      <w:r>
        <w:rPr>
          <w:rStyle w:val="18"/>
          <w:rFonts w:hint="eastAsia" w:ascii="仿宋_GB2312" w:hAnsi="仿宋_GB2312" w:eastAsia="仿宋_GB2312" w:cs="仿宋_GB2312"/>
          <w:b w:val="0"/>
          <w:bCs w:val="0"/>
          <w:color w:val="000000"/>
          <w:sz w:val="32"/>
          <w:szCs w:val="32"/>
          <w:lang w:val="en-US" w:eastAsia="zh-CN"/>
        </w:rPr>
        <w:t>行政运行</w:t>
      </w:r>
      <w:r>
        <w:rPr>
          <w:rStyle w:val="18"/>
          <w:rFonts w:hint="eastAsia" w:ascii="仿宋_GB2312" w:hAnsi="仿宋_GB2312" w:eastAsia="仿宋_GB2312" w:cs="仿宋_GB2312"/>
          <w:b w:val="0"/>
          <w:bCs w:val="0"/>
          <w:color w:val="000000"/>
          <w:sz w:val="32"/>
          <w:szCs w:val="32"/>
        </w:rPr>
        <w:t>（</w:t>
      </w:r>
      <w:r>
        <w:rPr>
          <w:rStyle w:val="18"/>
          <w:rFonts w:hint="eastAsia" w:ascii="仿宋_GB2312" w:hAnsi="仿宋_GB2312" w:eastAsia="仿宋_GB2312" w:cs="仿宋_GB2312"/>
          <w:b w:val="0"/>
          <w:bCs w:val="0"/>
          <w:color w:val="000000"/>
          <w:sz w:val="32"/>
          <w:szCs w:val="32"/>
          <w:lang w:val="en-US" w:eastAsia="zh-CN"/>
        </w:rPr>
        <w:t>01</w:t>
      </w:r>
      <w:r>
        <w:rPr>
          <w:rStyle w:val="18"/>
          <w:rFonts w:hint="eastAsia" w:ascii="仿宋_GB2312" w:hAnsi="仿宋_GB2312" w:eastAsia="仿宋_GB2312" w:cs="仿宋_GB2312"/>
          <w:b w:val="0"/>
          <w:bCs w:val="0"/>
          <w:color w:val="000000"/>
          <w:sz w:val="32"/>
          <w:szCs w:val="32"/>
        </w:rPr>
        <w:t>）</w:t>
      </w:r>
      <w:r>
        <w:rPr>
          <w:rFonts w:hint="eastAsia" w:ascii="仿宋_GB2312" w:hAnsi="仿宋_GB2312" w:eastAsia="仿宋_GB2312" w:cs="仿宋_GB2312"/>
          <w:b w:val="0"/>
          <w:bCs w:val="0"/>
          <w:color w:val="000000"/>
          <w:sz w:val="32"/>
          <w:szCs w:val="32"/>
        </w:rPr>
        <w:t>：指</w:t>
      </w:r>
      <w:r>
        <w:rPr>
          <w:rFonts w:hint="eastAsia" w:ascii="仿宋_GB2312" w:hAnsi="仿宋_GB2312" w:eastAsia="仿宋_GB2312" w:cs="仿宋_GB2312"/>
          <w:b w:val="0"/>
          <w:bCs w:val="0"/>
          <w:color w:val="000000"/>
          <w:sz w:val="32"/>
          <w:szCs w:val="32"/>
          <w:lang w:val="en-US" w:eastAsia="zh-CN"/>
        </w:rPr>
        <w:t>反映政府财政事务支出，反映行政单位（包括实行公务员管理的事业单位）的基本支出</w:t>
      </w:r>
      <w:r>
        <w:rPr>
          <w:rFonts w:hint="eastAsia" w:ascii="仿宋_GB2312" w:hAnsi="仿宋_GB2312" w:eastAsia="仿宋_GB2312" w:cs="仿宋_GB2312"/>
          <w:b w:val="0"/>
          <w:bCs w:val="0"/>
          <w:color w:val="000000"/>
          <w:sz w:val="32"/>
          <w:szCs w:val="32"/>
        </w:rPr>
        <w:t>。</w:t>
      </w:r>
    </w:p>
    <w:p w14:paraId="21D6A958">
      <w:pPr>
        <w:spacing w:line="600" w:lineRule="exact"/>
        <w:ind w:firstLine="640" w:firstLineChars="200"/>
        <w:rPr>
          <w:rStyle w:val="18"/>
          <w:rFonts w:hint="eastAsia" w:ascii="仿宋_GB2312" w:hAnsi="仿宋_GB2312" w:eastAsia="仿宋_GB2312" w:cs="仿宋_GB2312"/>
          <w:b w:val="0"/>
          <w:bCs w:val="0"/>
          <w:color w:val="000000"/>
          <w:sz w:val="32"/>
          <w:szCs w:val="32"/>
        </w:rPr>
      </w:pPr>
      <w:r>
        <w:rPr>
          <w:rStyle w:val="18"/>
          <w:rFonts w:hint="eastAsia" w:ascii="仿宋_GB2312" w:hAnsi="仿宋_GB2312" w:eastAsia="仿宋_GB2312" w:cs="仿宋_GB2312"/>
          <w:b w:val="0"/>
          <w:bCs w:val="0"/>
          <w:color w:val="000000"/>
          <w:sz w:val="32"/>
          <w:szCs w:val="32"/>
          <w:lang w:val="en-US" w:eastAsia="zh-CN"/>
        </w:rPr>
        <w:t>10</w:t>
      </w:r>
      <w:r>
        <w:rPr>
          <w:rStyle w:val="18"/>
          <w:rFonts w:hint="eastAsia" w:ascii="仿宋_GB2312" w:hAnsi="仿宋_GB2312" w:eastAsia="仿宋_GB2312" w:cs="仿宋_GB2312"/>
          <w:b w:val="0"/>
          <w:bCs w:val="0"/>
          <w:color w:val="000000"/>
          <w:sz w:val="32"/>
          <w:szCs w:val="32"/>
        </w:rPr>
        <w:t>.社会保障和就业（</w:t>
      </w:r>
      <w:r>
        <w:rPr>
          <w:rStyle w:val="18"/>
          <w:rFonts w:hint="eastAsia" w:ascii="仿宋_GB2312" w:hAnsi="仿宋_GB2312" w:eastAsia="仿宋_GB2312" w:cs="仿宋_GB2312"/>
          <w:b w:val="0"/>
          <w:bCs w:val="0"/>
          <w:color w:val="000000"/>
          <w:sz w:val="32"/>
          <w:szCs w:val="32"/>
          <w:lang w:val="en-US" w:eastAsia="zh-CN"/>
        </w:rPr>
        <w:t>208</w:t>
      </w:r>
      <w:r>
        <w:rPr>
          <w:rStyle w:val="18"/>
          <w:rFonts w:hint="eastAsia" w:ascii="仿宋_GB2312" w:hAnsi="仿宋_GB2312" w:eastAsia="仿宋_GB2312" w:cs="仿宋_GB2312"/>
          <w:b w:val="0"/>
          <w:bCs w:val="0"/>
          <w:color w:val="000000"/>
          <w:sz w:val="32"/>
          <w:szCs w:val="32"/>
        </w:rPr>
        <w:t>）</w:t>
      </w:r>
      <w:r>
        <w:rPr>
          <w:rStyle w:val="18"/>
          <w:rFonts w:hint="eastAsia" w:ascii="仿宋_GB2312" w:hAnsi="仿宋_GB2312" w:eastAsia="仿宋_GB2312" w:cs="仿宋_GB2312"/>
          <w:b w:val="0"/>
          <w:bCs w:val="0"/>
          <w:color w:val="000000"/>
          <w:sz w:val="32"/>
          <w:szCs w:val="32"/>
          <w:lang w:val="en-US" w:eastAsia="zh-CN"/>
        </w:rPr>
        <w:t>行政事业单位离退休（05）机关事业单位养老保险缴费支出</w:t>
      </w:r>
      <w:r>
        <w:rPr>
          <w:rStyle w:val="18"/>
          <w:rFonts w:hint="eastAsia" w:ascii="仿宋_GB2312" w:hAnsi="仿宋_GB2312" w:eastAsia="仿宋_GB2312" w:cs="仿宋_GB2312"/>
          <w:b w:val="0"/>
          <w:bCs w:val="0"/>
          <w:color w:val="000000"/>
          <w:sz w:val="32"/>
          <w:szCs w:val="32"/>
        </w:rPr>
        <w:t>（</w:t>
      </w:r>
      <w:r>
        <w:rPr>
          <w:rStyle w:val="18"/>
          <w:rFonts w:hint="eastAsia" w:ascii="仿宋_GB2312" w:hAnsi="仿宋_GB2312" w:eastAsia="仿宋_GB2312" w:cs="仿宋_GB2312"/>
          <w:b w:val="0"/>
          <w:bCs w:val="0"/>
          <w:color w:val="000000"/>
          <w:sz w:val="32"/>
          <w:szCs w:val="32"/>
          <w:lang w:val="en-US" w:eastAsia="zh-CN"/>
        </w:rPr>
        <w:t>05</w:t>
      </w:r>
      <w:r>
        <w:rPr>
          <w:rStyle w:val="18"/>
          <w:rFonts w:hint="eastAsia" w:ascii="仿宋_GB2312" w:hAnsi="仿宋_GB2312" w:eastAsia="仿宋_GB2312" w:cs="仿宋_GB2312"/>
          <w:b w:val="0"/>
          <w:bCs w:val="0"/>
          <w:color w:val="000000"/>
          <w:sz w:val="32"/>
          <w:szCs w:val="32"/>
        </w:rPr>
        <w:t>）</w:t>
      </w:r>
      <w:r>
        <w:rPr>
          <w:rStyle w:val="18"/>
          <w:rFonts w:hint="eastAsia" w:ascii="仿宋_GB2312" w:hAnsi="仿宋_GB2312" w:eastAsia="仿宋_GB2312" w:cs="仿宋_GB2312"/>
          <w:b w:val="0"/>
          <w:bCs w:val="0"/>
          <w:color w:val="000000"/>
          <w:sz w:val="32"/>
          <w:szCs w:val="32"/>
          <w:lang w:val="en-US" w:eastAsia="zh-CN"/>
        </w:rPr>
        <w:t>是指反映机关事业单位实施养老保险制度由单位缴纳的基本养老保险费支出</w:t>
      </w:r>
      <w:r>
        <w:rPr>
          <w:rStyle w:val="18"/>
          <w:rFonts w:hint="eastAsia" w:ascii="仿宋_GB2312" w:hAnsi="仿宋_GB2312" w:eastAsia="仿宋_GB2312" w:cs="仿宋_GB2312"/>
          <w:b w:val="0"/>
          <w:bCs w:val="0"/>
          <w:color w:val="000000"/>
          <w:sz w:val="32"/>
          <w:szCs w:val="32"/>
        </w:rPr>
        <w:t>。</w:t>
      </w:r>
    </w:p>
    <w:p w14:paraId="1B8FF5C7">
      <w:pPr>
        <w:spacing w:line="600" w:lineRule="exact"/>
        <w:ind w:firstLine="640" w:firstLineChars="200"/>
        <w:rPr>
          <w:rStyle w:val="18"/>
          <w:rFonts w:hint="eastAsia" w:ascii="仿宋_GB2312" w:hAnsi="仿宋_GB2312" w:eastAsia="仿宋_GB2312" w:cs="仿宋_GB2312"/>
          <w:b w:val="0"/>
          <w:bCs w:val="0"/>
          <w:color w:val="000000"/>
          <w:sz w:val="32"/>
          <w:szCs w:val="32"/>
        </w:rPr>
      </w:pPr>
      <w:r>
        <w:rPr>
          <w:rStyle w:val="18"/>
          <w:rFonts w:hint="eastAsia" w:ascii="仿宋_GB2312" w:hAnsi="仿宋_GB2312" w:eastAsia="仿宋_GB2312" w:cs="仿宋_GB2312"/>
          <w:b w:val="0"/>
          <w:bCs w:val="0"/>
          <w:color w:val="000000"/>
          <w:sz w:val="32"/>
          <w:szCs w:val="32"/>
          <w:lang w:val="en-US" w:eastAsia="zh-CN"/>
        </w:rPr>
        <w:t>11、</w:t>
      </w:r>
      <w:r>
        <w:rPr>
          <w:rStyle w:val="18"/>
          <w:rFonts w:hint="eastAsia" w:ascii="仿宋_GB2312" w:hAnsi="仿宋_GB2312" w:eastAsia="仿宋_GB2312" w:cs="仿宋_GB2312"/>
          <w:b w:val="0"/>
          <w:bCs w:val="0"/>
          <w:color w:val="000000"/>
          <w:sz w:val="32"/>
          <w:szCs w:val="32"/>
        </w:rPr>
        <w:t>社会保障和就业（</w:t>
      </w:r>
      <w:r>
        <w:rPr>
          <w:rStyle w:val="18"/>
          <w:rFonts w:hint="eastAsia" w:ascii="仿宋_GB2312" w:hAnsi="仿宋_GB2312" w:eastAsia="仿宋_GB2312" w:cs="仿宋_GB2312"/>
          <w:b w:val="0"/>
          <w:bCs w:val="0"/>
          <w:color w:val="000000"/>
          <w:sz w:val="32"/>
          <w:szCs w:val="32"/>
          <w:lang w:val="en-US" w:eastAsia="zh-CN"/>
        </w:rPr>
        <w:t>208</w:t>
      </w:r>
      <w:r>
        <w:rPr>
          <w:rStyle w:val="18"/>
          <w:rFonts w:hint="eastAsia" w:ascii="仿宋_GB2312" w:hAnsi="仿宋_GB2312" w:eastAsia="仿宋_GB2312" w:cs="仿宋_GB2312"/>
          <w:b w:val="0"/>
          <w:bCs w:val="0"/>
          <w:color w:val="000000"/>
          <w:sz w:val="32"/>
          <w:szCs w:val="32"/>
        </w:rPr>
        <w:t>）</w:t>
      </w:r>
      <w:r>
        <w:rPr>
          <w:rStyle w:val="18"/>
          <w:rFonts w:hint="eastAsia" w:ascii="仿宋_GB2312" w:hAnsi="仿宋_GB2312" w:eastAsia="仿宋_GB2312" w:cs="仿宋_GB2312"/>
          <w:b w:val="0"/>
          <w:bCs w:val="0"/>
          <w:color w:val="000000"/>
          <w:sz w:val="32"/>
          <w:szCs w:val="32"/>
          <w:lang w:val="en-US" w:eastAsia="zh-CN"/>
        </w:rPr>
        <w:t>行政事业单位离退休（05）机关事业单位职业年金缴费支出（06)是指反映机关事业单位实施养老保险制度由单位实际缴纳的职业年金的支出</w:t>
      </w:r>
      <w:r>
        <w:rPr>
          <w:rStyle w:val="18"/>
          <w:rFonts w:hint="eastAsia" w:ascii="仿宋_GB2312" w:hAnsi="仿宋_GB2312" w:eastAsia="仿宋_GB2312" w:cs="仿宋_GB2312"/>
          <w:b w:val="0"/>
          <w:bCs w:val="0"/>
          <w:color w:val="000000"/>
          <w:sz w:val="32"/>
          <w:szCs w:val="32"/>
        </w:rPr>
        <w:t>。</w:t>
      </w:r>
    </w:p>
    <w:p w14:paraId="1EEF1AEE">
      <w:pPr>
        <w:spacing w:line="600" w:lineRule="exact"/>
        <w:ind w:firstLine="640" w:firstLineChars="200"/>
        <w:rPr>
          <w:rStyle w:val="18"/>
          <w:rFonts w:hint="eastAsia" w:ascii="仿宋_GB2312" w:hAnsi="仿宋_GB2312" w:eastAsia="仿宋_GB2312" w:cs="仿宋_GB2312"/>
          <w:b w:val="0"/>
          <w:bCs w:val="0"/>
          <w:color w:val="000000"/>
          <w:sz w:val="32"/>
          <w:szCs w:val="32"/>
          <w:lang w:val="en-US" w:eastAsia="zh-CN"/>
        </w:rPr>
      </w:pPr>
      <w:r>
        <w:rPr>
          <w:rStyle w:val="18"/>
          <w:rFonts w:hint="eastAsia" w:ascii="仿宋_GB2312" w:hAnsi="仿宋_GB2312" w:eastAsia="仿宋_GB2312" w:cs="仿宋_GB2312"/>
          <w:b w:val="0"/>
          <w:bCs w:val="0"/>
          <w:color w:val="000000"/>
          <w:sz w:val="32"/>
          <w:szCs w:val="32"/>
          <w:lang w:val="en-US" w:eastAsia="zh-CN"/>
        </w:rPr>
        <w:t>12.</w:t>
      </w:r>
      <w:r>
        <w:rPr>
          <w:rFonts w:hint="eastAsia" w:ascii="仿宋_GB2312" w:hAnsi="仿宋_GB2312" w:eastAsia="仿宋_GB2312" w:cs="仿宋_GB2312"/>
          <w:b w:val="0"/>
          <w:bCs w:val="0"/>
          <w:color w:val="000000" w:themeColor="text1"/>
          <w:sz w:val="32"/>
          <w:szCs w:val="32"/>
          <w14:textFill>
            <w14:solidFill>
              <w14:schemeClr w14:val="tx1"/>
            </w14:solidFill>
          </w14:textFill>
        </w:rPr>
        <w:t>卫生健康</w:t>
      </w:r>
      <w:r>
        <w:rPr>
          <w:rStyle w:val="18"/>
          <w:rFonts w:hint="eastAsia" w:ascii="仿宋_GB2312" w:hAnsi="仿宋_GB2312" w:eastAsia="仿宋_GB2312" w:cs="仿宋_GB2312"/>
          <w:b w:val="0"/>
          <w:bCs w:val="0"/>
          <w:color w:val="000000"/>
          <w:sz w:val="32"/>
          <w:szCs w:val="32"/>
        </w:rPr>
        <w:t>（</w:t>
      </w:r>
      <w:r>
        <w:rPr>
          <w:rStyle w:val="18"/>
          <w:rFonts w:hint="eastAsia" w:ascii="仿宋_GB2312" w:hAnsi="仿宋_GB2312" w:eastAsia="仿宋_GB2312" w:cs="仿宋_GB2312"/>
          <w:b w:val="0"/>
          <w:bCs w:val="0"/>
          <w:color w:val="000000"/>
          <w:sz w:val="32"/>
          <w:szCs w:val="32"/>
          <w:lang w:val="en-US" w:eastAsia="zh-CN"/>
        </w:rPr>
        <w:t>210</w:t>
      </w:r>
      <w:r>
        <w:rPr>
          <w:rStyle w:val="18"/>
          <w:rFonts w:hint="eastAsia" w:ascii="仿宋_GB2312" w:hAnsi="仿宋_GB2312" w:eastAsia="仿宋_GB2312" w:cs="仿宋_GB2312"/>
          <w:b w:val="0"/>
          <w:bCs w:val="0"/>
          <w:color w:val="000000"/>
          <w:sz w:val="32"/>
          <w:szCs w:val="32"/>
        </w:rPr>
        <w:t>）</w:t>
      </w:r>
      <w:r>
        <w:rPr>
          <w:rStyle w:val="18"/>
          <w:rFonts w:hint="eastAsia" w:ascii="仿宋_GB2312" w:hAnsi="仿宋_GB2312" w:eastAsia="仿宋_GB2312" w:cs="仿宋_GB2312"/>
          <w:b w:val="0"/>
          <w:bCs w:val="0"/>
          <w:color w:val="000000"/>
          <w:sz w:val="32"/>
          <w:szCs w:val="32"/>
          <w:lang w:val="en-US" w:eastAsia="zh-CN"/>
        </w:rPr>
        <w:t>行政事业单位医疗</w:t>
      </w:r>
      <w:r>
        <w:rPr>
          <w:rStyle w:val="18"/>
          <w:rFonts w:hint="eastAsia" w:ascii="仿宋_GB2312" w:hAnsi="仿宋_GB2312" w:eastAsia="仿宋_GB2312" w:cs="仿宋_GB2312"/>
          <w:b w:val="0"/>
          <w:bCs w:val="0"/>
          <w:color w:val="000000"/>
          <w:sz w:val="32"/>
          <w:szCs w:val="32"/>
        </w:rPr>
        <w:t>（</w:t>
      </w:r>
      <w:r>
        <w:rPr>
          <w:rStyle w:val="18"/>
          <w:rFonts w:hint="eastAsia" w:ascii="仿宋_GB2312" w:hAnsi="仿宋_GB2312" w:eastAsia="仿宋_GB2312" w:cs="仿宋_GB2312"/>
          <w:b w:val="0"/>
          <w:bCs w:val="0"/>
          <w:color w:val="000000"/>
          <w:sz w:val="32"/>
          <w:szCs w:val="32"/>
          <w:lang w:val="en-US" w:eastAsia="zh-CN"/>
        </w:rPr>
        <w:t>11</w:t>
      </w:r>
      <w:r>
        <w:rPr>
          <w:rStyle w:val="18"/>
          <w:rFonts w:hint="eastAsia" w:ascii="仿宋_GB2312" w:hAnsi="仿宋_GB2312" w:eastAsia="仿宋_GB2312" w:cs="仿宋_GB2312"/>
          <w:b w:val="0"/>
          <w:bCs w:val="0"/>
          <w:color w:val="000000"/>
          <w:sz w:val="32"/>
          <w:szCs w:val="32"/>
        </w:rPr>
        <w:t>）</w:t>
      </w:r>
      <w:r>
        <w:rPr>
          <w:rStyle w:val="18"/>
          <w:rFonts w:hint="eastAsia" w:ascii="仿宋_GB2312" w:hAnsi="仿宋_GB2312" w:eastAsia="仿宋_GB2312" w:cs="仿宋_GB2312"/>
          <w:b w:val="0"/>
          <w:bCs w:val="0"/>
          <w:color w:val="000000"/>
          <w:sz w:val="32"/>
          <w:szCs w:val="32"/>
          <w:lang w:val="en-US" w:eastAsia="zh-CN"/>
        </w:rPr>
        <w:t>行政单位医疗</w:t>
      </w:r>
      <w:r>
        <w:rPr>
          <w:rStyle w:val="18"/>
          <w:rFonts w:hint="eastAsia" w:ascii="仿宋_GB2312" w:hAnsi="仿宋_GB2312" w:eastAsia="仿宋_GB2312" w:cs="仿宋_GB2312"/>
          <w:b w:val="0"/>
          <w:bCs w:val="0"/>
          <w:color w:val="000000"/>
          <w:sz w:val="32"/>
          <w:szCs w:val="32"/>
        </w:rPr>
        <w:t>（</w:t>
      </w:r>
      <w:r>
        <w:rPr>
          <w:rStyle w:val="18"/>
          <w:rFonts w:hint="eastAsia" w:ascii="仿宋_GB2312" w:hAnsi="仿宋_GB2312" w:eastAsia="仿宋_GB2312" w:cs="仿宋_GB2312"/>
          <w:b w:val="0"/>
          <w:bCs w:val="0"/>
          <w:color w:val="000000"/>
          <w:sz w:val="32"/>
          <w:szCs w:val="32"/>
          <w:lang w:val="en-US" w:eastAsia="zh-CN"/>
        </w:rPr>
        <w:t>01</w:t>
      </w:r>
      <w:r>
        <w:rPr>
          <w:rStyle w:val="18"/>
          <w:rFonts w:hint="eastAsia" w:ascii="仿宋_GB2312" w:hAnsi="仿宋_GB2312" w:eastAsia="仿宋_GB2312" w:cs="仿宋_GB2312"/>
          <w:b w:val="0"/>
          <w:bCs w:val="0"/>
          <w:color w:val="000000"/>
          <w:sz w:val="32"/>
          <w:szCs w:val="32"/>
        </w:rPr>
        <w:t>）</w:t>
      </w:r>
      <w:r>
        <w:rPr>
          <w:rStyle w:val="18"/>
          <w:rFonts w:hint="eastAsia" w:ascii="仿宋_GB2312" w:hAnsi="仿宋_GB2312" w:eastAsia="仿宋_GB2312" w:cs="仿宋_GB2312"/>
          <w:b w:val="0"/>
          <w:bCs w:val="0"/>
          <w:color w:val="000000"/>
          <w:sz w:val="32"/>
          <w:szCs w:val="32"/>
          <w:lang w:val="en-US" w:eastAsia="zh-CN"/>
        </w:rPr>
        <w:t>是指反映财政部门安排的行政单位（包括实行公务员管理的事业单位）基本医疗保险缴费经费，未参加医疗保险的行政单位的公费医疗经费，按国家规定享受离休人员待遇的医疗经费。</w:t>
      </w:r>
    </w:p>
    <w:p w14:paraId="19F8109E">
      <w:pPr>
        <w:spacing w:line="600" w:lineRule="exact"/>
        <w:ind w:firstLine="640" w:firstLineChars="200"/>
        <w:rPr>
          <w:rStyle w:val="18"/>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13.</w:t>
      </w:r>
      <w:r>
        <w:rPr>
          <w:rFonts w:hint="eastAsia" w:ascii="仿宋_GB2312" w:hAnsi="仿宋_GB2312" w:eastAsia="仿宋_GB2312" w:cs="仿宋_GB2312"/>
          <w:b w:val="0"/>
          <w:bCs w:val="0"/>
          <w:color w:val="000000" w:themeColor="text1"/>
          <w:sz w:val="32"/>
          <w:szCs w:val="32"/>
          <w14:textFill>
            <w14:solidFill>
              <w14:schemeClr w14:val="tx1"/>
            </w14:solidFill>
          </w14:textFill>
        </w:rPr>
        <w:t>卫生健康</w:t>
      </w:r>
      <w:r>
        <w:rPr>
          <w:rStyle w:val="18"/>
          <w:rFonts w:hint="eastAsia" w:ascii="仿宋_GB2312" w:hAnsi="仿宋_GB2312" w:eastAsia="仿宋_GB2312" w:cs="仿宋_GB2312"/>
          <w:b w:val="0"/>
          <w:bCs w:val="0"/>
          <w:color w:val="000000"/>
          <w:sz w:val="32"/>
          <w:szCs w:val="32"/>
        </w:rPr>
        <w:t>（</w:t>
      </w:r>
      <w:r>
        <w:rPr>
          <w:rStyle w:val="18"/>
          <w:rFonts w:hint="eastAsia" w:ascii="仿宋_GB2312" w:hAnsi="仿宋_GB2312" w:eastAsia="仿宋_GB2312" w:cs="仿宋_GB2312"/>
          <w:b w:val="0"/>
          <w:bCs w:val="0"/>
          <w:color w:val="000000"/>
          <w:sz w:val="32"/>
          <w:szCs w:val="32"/>
          <w:lang w:val="en-US" w:eastAsia="zh-CN"/>
        </w:rPr>
        <w:t>210</w:t>
      </w:r>
      <w:r>
        <w:rPr>
          <w:rStyle w:val="18"/>
          <w:rFonts w:hint="eastAsia" w:ascii="仿宋_GB2312" w:hAnsi="仿宋_GB2312" w:eastAsia="仿宋_GB2312" w:cs="仿宋_GB2312"/>
          <w:b w:val="0"/>
          <w:bCs w:val="0"/>
          <w:color w:val="000000"/>
          <w:sz w:val="32"/>
          <w:szCs w:val="32"/>
        </w:rPr>
        <w:t>）</w:t>
      </w:r>
      <w:r>
        <w:rPr>
          <w:rStyle w:val="18"/>
          <w:rFonts w:hint="eastAsia" w:ascii="仿宋_GB2312" w:hAnsi="仿宋_GB2312" w:eastAsia="仿宋_GB2312" w:cs="仿宋_GB2312"/>
          <w:b w:val="0"/>
          <w:bCs w:val="0"/>
          <w:color w:val="000000"/>
          <w:sz w:val="32"/>
          <w:szCs w:val="32"/>
          <w:lang w:val="en-US" w:eastAsia="zh-CN"/>
        </w:rPr>
        <w:t>行政事业单位医疗</w:t>
      </w:r>
      <w:r>
        <w:rPr>
          <w:rStyle w:val="18"/>
          <w:rFonts w:hint="eastAsia" w:ascii="仿宋_GB2312" w:hAnsi="仿宋_GB2312" w:eastAsia="仿宋_GB2312" w:cs="仿宋_GB2312"/>
          <w:b w:val="0"/>
          <w:bCs w:val="0"/>
          <w:color w:val="000000"/>
          <w:sz w:val="32"/>
          <w:szCs w:val="32"/>
        </w:rPr>
        <w:t>（</w:t>
      </w:r>
      <w:r>
        <w:rPr>
          <w:rStyle w:val="18"/>
          <w:rFonts w:hint="eastAsia" w:ascii="仿宋_GB2312" w:hAnsi="仿宋_GB2312" w:eastAsia="仿宋_GB2312" w:cs="仿宋_GB2312"/>
          <w:b w:val="0"/>
          <w:bCs w:val="0"/>
          <w:color w:val="000000"/>
          <w:sz w:val="32"/>
          <w:szCs w:val="32"/>
          <w:lang w:val="en-US" w:eastAsia="zh-CN"/>
        </w:rPr>
        <w:t>11</w:t>
      </w:r>
      <w:r>
        <w:rPr>
          <w:rStyle w:val="18"/>
          <w:rFonts w:hint="eastAsia" w:ascii="仿宋_GB2312" w:hAnsi="仿宋_GB2312" w:eastAsia="仿宋_GB2312" w:cs="仿宋_GB2312"/>
          <w:b w:val="0"/>
          <w:bCs w:val="0"/>
          <w:color w:val="000000"/>
          <w:sz w:val="32"/>
          <w:szCs w:val="32"/>
        </w:rPr>
        <w:t>）</w:t>
      </w:r>
      <w:r>
        <w:rPr>
          <w:rStyle w:val="18"/>
          <w:rFonts w:hint="eastAsia" w:ascii="仿宋_GB2312" w:hAnsi="仿宋_GB2312" w:eastAsia="仿宋_GB2312" w:cs="仿宋_GB2312"/>
          <w:b w:val="0"/>
          <w:bCs w:val="0"/>
          <w:color w:val="000000"/>
          <w:sz w:val="32"/>
          <w:szCs w:val="32"/>
          <w:lang w:val="en-US" w:eastAsia="zh-CN"/>
        </w:rPr>
        <w:t>公务员医疗补助</w:t>
      </w:r>
      <w:r>
        <w:rPr>
          <w:rStyle w:val="18"/>
          <w:rFonts w:hint="eastAsia" w:ascii="仿宋_GB2312" w:hAnsi="仿宋_GB2312" w:eastAsia="仿宋_GB2312" w:cs="仿宋_GB2312"/>
          <w:b w:val="0"/>
          <w:bCs w:val="0"/>
          <w:color w:val="000000"/>
          <w:sz w:val="32"/>
          <w:szCs w:val="32"/>
        </w:rPr>
        <w:t>（</w:t>
      </w:r>
      <w:r>
        <w:rPr>
          <w:rStyle w:val="18"/>
          <w:rFonts w:hint="eastAsia" w:ascii="仿宋_GB2312" w:hAnsi="仿宋_GB2312" w:eastAsia="仿宋_GB2312" w:cs="仿宋_GB2312"/>
          <w:b w:val="0"/>
          <w:bCs w:val="0"/>
          <w:color w:val="000000"/>
          <w:sz w:val="32"/>
          <w:szCs w:val="32"/>
          <w:lang w:val="en-US" w:eastAsia="zh-CN"/>
        </w:rPr>
        <w:t>03</w:t>
      </w:r>
      <w:r>
        <w:rPr>
          <w:rStyle w:val="18"/>
          <w:rFonts w:hint="eastAsia" w:ascii="仿宋_GB2312" w:hAnsi="仿宋_GB2312" w:eastAsia="仿宋_GB2312" w:cs="仿宋_GB2312"/>
          <w:b w:val="0"/>
          <w:bCs w:val="0"/>
          <w:color w:val="000000"/>
          <w:sz w:val="32"/>
          <w:szCs w:val="32"/>
        </w:rPr>
        <w:t>）</w:t>
      </w:r>
      <w:r>
        <w:rPr>
          <w:rStyle w:val="18"/>
          <w:rFonts w:hint="eastAsia" w:ascii="仿宋_GB2312" w:hAnsi="仿宋_GB2312" w:eastAsia="仿宋_GB2312" w:cs="仿宋_GB2312"/>
          <w:b w:val="0"/>
          <w:bCs w:val="0"/>
          <w:color w:val="000000"/>
          <w:sz w:val="32"/>
          <w:szCs w:val="32"/>
          <w:lang w:val="en-US" w:eastAsia="zh-CN"/>
        </w:rPr>
        <w:t>是指反映财政部门安排的公务员医疗补助经费。</w:t>
      </w:r>
    </w:p>
    <w:p w14:paraId="0D70EB69">
      <w:pPr>
        <w:pStyle w:val="2"/>
        <w:ind w:left="0" w:leftChars="0" w:firstLine="0" w:firstLineChars="0"/>
        <w:rPr>
          <w:rStyle w:val="18"/>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sz w:val="32"/>
          <w:szCs w:val="32"/>
          <w:lang w:val="en-US" w:eastAsia="zh-CN"/>
        </w:rPr>
        <w:t xml:space="preserve">   </w:t>
      </w:r>
    </w:p>
    <w:p w14:paraId="64650547">
      <w:pPr>
        <w:pStyle w:val="2"/>
        <w:ind w:left="0" w:leftChars="0" w:firstLine="640" w:firstLineChars="200"/>
        <w:rPr>
          <w:rStyle w:val="18"/>
          <w:rFonts w:hint="eastAsia" w:ascii="仿宋_GB2312" w:hAnsi="仿宋_GB2312" w:eastAsia="仿宋_GB2312" w:cs="仿宋_GB2312"/>
          <w:b w:val="0"/>
          <w:bCs w:val="0"/>
          <w:color w:val="000000"/>
          <w:sz w:val="32"/>
          <w:szCs w:val="32"/>
          <w:lang w:val="en-US"/>
        </w:rPr>
      </w:pPr>
      <w:r>
        <w:rPr>
          <w:rFonts w:hint="eastAsia" w:ascii="仿宋_GB2312" w:hAnsi="仿宋_GB2312" w:eastAsia="仿宋_GB2312" w:cs="仿宋_GB2312"/>
          <w:b w:val="0"/>
          <w:bCs w:val="0"/>
          <w:color w:val="000000"/>
          <w:sz w:val="32"/>
          <w:szCs w:val="32"/>
          <w:lang w:val="en-US" w:eastAsia="zh-CN"/>
        </w:rPr>
        <w:t>1</w:t>
      </w:r>
      <w:r>
        <w:rPr>
          <w:rFonts w:hint="eastAsia" w:hAnsi="仿宋_GB2312" w:eastAsia="仿宋_GB2312" w:cs="仿宋_GB2312"/>
          <w:b w:val="0"/>
          <w:bCs w:val="0"/>
          <w:color w:val="000000"/>
          <w:sz w:val="32"/>
          <w:szCs w:val="32"/>
          <w:lang w:val="en-US" w:eastAsia="zh-CN"/>
        </w:rPr>
        <w:t>4</w:t>
      </w:r>
      <w:r>
        <w:rPr>
          <w:rFonts w:hint="eastAsia" w:ascii="仿宋_GB2312" w:hAnsi="仿宋_GB2312" w:eastAsia="仿宋_GB2312" w:cs="仿宋_GB2312"/>
          <w:b w:val="0"/>
          <w:bCs w:val="0"/>
          <w:color w:val="000000"/>
          <w:sz w:val="32"/>
          <w:szCs w:val="32"/>
          <w:lang w:val="en-US" w:eastAsia="zh-CN"/>
        </w:rPr>
        <w:t>.住房保障支出（221）住房改革支出（02）住房公积金（01）是指反映行政事业单位按人力资源和社会保障部、财政部规定的基本工资和津贴补贴以及规定比例为职工缴纳的住房公积金。</w:t>
      </w:r>
    </w:p>
    <w:p w14:paraId="3949565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w:t>
      </w:r>
      <w:r>
        <w:rPr>
          <w:rFonts w:hint="eastAsia" w:eastAsia="仿宋_GB2312" w:cs="仿宋_GB2312"/>
          <w:b/>
          <w:bCs/>
          <w:color w:val="auto"/>
          <w:kern w:val="2"/>
          <w:sz w:val="32"/>
          <w:szCs w:val="32"/>
          <w:highlight w:val="none"/>
          <w:lang w:val="en-US" w:eastAsia="zh-CN" w:bidi="ar-SA"/>
        </w:rPr>
        <w:t>注：</w:t>
      </w:r>
      <w:r>
        <w:rPr>
          <w:rFonts w:hint="eastAsia" w:ascii="Times New Roman" w:hAnsi="Times New Roman" w:eastAsia="仿宋_GB2312" w:cs="仿宋_GB2312"/>
          <w:b/>
          <w:bCs/>
          <w:color w:val="auto"/>
          <w:kern w:val="2"/>
          <w:sz w:val="32"/>
          <w:szCs w:val="32"/>
          <w:highlight w:val="none"/>
          <w:lang w:val="en-US" w:eastAsia="zh-CN" w:bidi="ar-SA"/>
        </w:rPr>
        <w:t>解释本部门决算报表中涉及的全部功能分类科目至项级，不涉及的科目请自行删除。请参照</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202</w:t>
      </w:r>
      <w:r>
        <w:rPr>
          <w:rFonts w:hint="eastAsia" w:eastAsia="仿宋_GB2312" w:cs="仿宋_GB2312"/>
          <w:b/>
          <w:bCs/>
          <w:color w:val="auto"/>
          <w:kern w:val="2"/>
          <w:sz w:val="32"/>
          <w:szCs w:val="32"/>
          <w:highlight w:val="none"/>
          <w:lang w:val="en-US" w:eastAsia="zh-CN" w:bidi="ar-SA"/>
        </w:rPr>
        <w:t>4</w:t>
      </w:r>
      <w:r>
        <w:rPr>
          <w:rFonts w:hint="eastAsia" w:ascii="Times New Roman" w:hAnsi="Times New Roman" w:eastAsia="仿宋_GB2312" w:cs="仿宋_GB2312"/>
          <w:b/>
          <w:bCs/>
          <w:color w:val="auto"/>
          <w:kern w:val="2"/>
          <w:sz w:val="32"/>
          <w:szCs w:val="32"/>
          <w:highlight w:val="none"/>
          <w:lang w:val="en-US" w:eastAsia="zh-CN" w:bidi="ar-SA"/>
        </w:rPr>
        <w:t>年政府收支分类科目</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增减内容）</w:t>
      </w:r>
    </w:p>
    <w:p w14:paraId="253C46C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15</w:t>
      </w:r>
      <w:r>
        <w:rPr>
          <w:rFonts w:hint="eastAsia" w:ascii="Times New Roman" w:hAnsi="Times New Roman" w:eastAsia="仿宋_GB2312" w:cs="仿宋_GB2312"/>
          <w:color w:val="auto"/>
          <w:kern w:val="2"/>
          <w:sz w:val="32"/>
          <w:szCs w:val="32"/>
          <w:highlight w:val="none"/>
          <w:lang w:val="en-US" w:eastAsia="zh-CN" w:bidi="ar-SA"/>
        </w:rPr>
        <w:t>.基本支出：指为保障机构正常运转、完成日常工作任务而发生的人员支出和公用支出。</w:t>
      </w:r>
    </w:p>
    <w:p w14:paraId="6EE4992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16</w:t>
      </w:r>
      <w:r>
        <w:rPr>
          <w:rFonts w:hint="eastAsia" w:ascii="Times New Roman" w:hAnsi="Times New Roman" w:eastAsia="仿宋_GB2312" w:cs="仿宋_GB2312"/>
          <w:color w:val="auto"/>
          <w:kern w:val="2"/>
          <w:sz w:val="32"/>
          <w:szCs w:val="32"/>
          <w:highlight w:val="none"/>
          <w:lang w:val="en-US" w:eastAsia="zh-CN" w:bidi="ar-SA"/>
        </w:rPr>
        <w:t xml:space="preserve">.项目支出：指在基本支出之外为完成特定行政任务和事业发展目标所发生的支出。 </w:t>
      </w:r>
    </w:p>
    <w:p w14:paraId="2C21F6F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17</w:t>
      </w:r>
      <w:r>
        <w:rPr>
          <w:rFonts w:hint="eastAsia" w:ascii="Times New Roman" w:hAnsi="Times New Roman" w:eastAsia="仿宋_GB2312" w:cs="仿宋_GB2312"/>
          <w:color w:val="auto"/>
          <w:kern w:val="2"/>
          <w:sz w:val="32"/>
          <w:szCs w:val="32"/>
          <w:highlight w:val="none"/>
          <w:lang w:val="en-US" w:eastAsia="zh-CN" w:bidi="ar-SA"/>
        </w:rPr>
        <w:t>.经营支出：指事业单位在专业业务活动及其辅助活动之外开展非独立核算经营活动发生的支出。</w:t>
      </w:r>
    </w:p>
    <w:p w14:paraId="3B2F25C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18</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三公</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211E18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19</w:t>
      </w:r>
      <w:r>
        <w:rPr>
          <w:rFonts w:hint="eastAsia" w:ascii="Times New Roman" w:hAnsi="Times New Roman" w:eastAsia="仿宋_GB2312" w:cs="仿宋_GB2312"/>
          <w:color w:val="auto"/>
          <w:kern w:val="2"/>
          <w:sz w:val="32"/>
          <w:szCs w:val="32"/>
          <w:highlight w:val="none"/>
          <w:lang w:val="en-US" w:eastAsia="zh-CN" w:bidi="ar-SA"/>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C761C7B">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（注：名词解释部分请根据各部门实际列支情况罗列，并根据本部门职责职能增减名词解释内容）</w:t>
      </w:r>
    </w:p>
    <w:p w14:paraId="17D10057">
      <w:pPr>
        <w:spacing w:line="600" w:lineRule="exact"/>
        <w:jc w:val="center"/>
        <w:rPr>
          <w:rStyle w:val="29"/>
          <w:rFonts w:hint="eastAsia" w:ascii="Times New Roman" w:hAnsi="Times New Roman" w:eastAsia="黑体"/>
          <w:b w:val="0"/>
          <w:color w:val="auto"/>
          <w:highlight w:val="none"/>
          <w:lang w:eastAsia="zh-CN"/>
        </w:rPr>
      </w:pPr>
      <w:bookmarkStart w:id="97" w:name="_Toc15377226"/>
      <w:r>
        <w:rPr>
          <w:rFonts w:hint="eastAsia" w:ascii="Times New Roman" w:hAnsi="Times New Roman" w:eastAsia="仿宋_GB2312" w:cs="仿宋_GB2312"/>
          <w:color w:val="auto"/>
          <w:kern w:val="2"/>
          <w:sz w:val="32"/>
          <w:szCs w:val="32"/>
          <w:highlight w:val="none"/>
          <w:lang w:val="en-US" w:eastAsia="zh-CN" w:bidi="ar-SA"/>
        </w:rPr>
        <w:br w:type="page"/>
      </w:r>
      <w:bookmarkStart w:id="98" w:name="_Toc15396614"/>
      <w:bookmarkStart w:id="99" w:name="_Toc29530_WPSOffice_Level1"/>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98"/>
      <w:bookmarkEnd w:id="99"/>
    </w:p>
    <w:p w14:paraId="5A104186">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FF0000"/>
          <w:sz w:val="32"/>
          <w:szCs w:val="32"/>
          <w:highlight w:val="none"/>
        </w:rPr>
      </w:pPr>
    </w:p>
    <w:p w14:paraId="15B80780">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方正小标宋简体"/>
          <w:color w:val="auto"/>
          <w:sz w:val="44"/>
          <w:szCs w:val="44"/>
          <w:highlight w:val="none"/>
          <w:lang w:val="en-US" w:eastAsia="zh-CN"/>
        </w:rPr>
      </w:pP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p>
    <w:p w14:paraId="74AF7A98">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p>
    <w:p w14:paraId="6B872A02">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00" w:name="_Toc15396618"/>
      <w:r>
        <w:rPr>
          <w:rFonts w:hint="eastAsia" w:ascii="Times New Roman" w:hAnsi="Times New Roman" w:eastAsia="仿宋_GB2312" w:cs="仿宋_GB2312"/>
          <w:color w:val="auto"/>
          <w:sz w:val="32"/>
          <w:szCs w:val="32"/>
          <w:highlight w:val="none"/>
        </w:rPr>
        <w:t>本单位在202</w:t>
      </w:r>
      <w:r>
        <w:rPr>
          <w:rFonts w:hint="eastAsia" w:ascii="Times New Roman" w:hAnsi="Times New Roman" w:eastAsia="仿宋_GB2312" w:cs="仿宋_GB2312"/>
          <w:color w:val="auto"/>
          <w:sz w:val="32"/>
          <w:szCs w:val="32"/>
          <w:highlight w:val="none"/>
          <w:lang w:val="en-US" w:eastAsia="zh-CN"/>
        </w:rPr>
        <w:t>4</w:t>
      </w:r>
      <w:r>
        <w:rPr>
          <w:rFonts w:hint="eastAsia" w:ascii="Times New Roman" w:hAnsi="Times New Roman" w:eastAsia="仿宋_GB2312" w:cs="仿宋_GB2312"/>
          <w:color w:val="auto"/>
          <w:sz w:val="32"/>
          <w:szCs w:val="32"/>
          <w:highlight w:val="none"/>
        </w:rPr>
        <w:t>年度</w:t>
      </w:r>
      <w:r>
        <w:rPr>
          <w:rFonts w:hint="eastAsia" w:ascii="Times New Roman" w:hAnsi="Times New Roman" w:eastAsia="仿宋_GB2312" w:cs="仿宋_GB2312"/>
          <w:color w:val="auto"/>
          <w:sz w:val="32"/>
          <w:szCs w:val="32"/>
          <w:highlight w:val="none"/>
          <w:lang w:val="en-US" w:eastAsia="zh-CN"/>
        </w:rPr>
        <w:t>无项目。</w:t>
      </w:r>
    </w:p>
    <w:p w14:paraId="20AE3DAB">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14:paraId="1CFA554B">
      <w:pPr>
        <w:widowControl/>
        <w:jc w:val="center"/>
        <w:rPr>
          <w:rFonts w:hint="eastAsia" w:ascii="Times New Roman" w:hAnsi="Times New Roman" w:eastAsia="黑体"/>
          <w:color w:val="auto"/>
          <w:sz w:val="44"/>
          <w:szCs w:val="44"/>
          <w:highlight w:val="none"/>
        </w:rPr>
      </w:pPr>
    </w:p>
    <w:p w14:paraId="7B6E91C9">
      <w:pPr>
        <w:widowControl/>
        <w:jc w:val="center"/>
        <w:rPr>
          <w:rFonts w:hint="eastAsia" w:ascii="Times New Roman" w:hAnsi="Times New Roman" w:eastAsia="黑体"/>
          <w:color w:val="auto"/>
          <w:sz w:val="44"/>
          <w:szCs w:val="44"/>
          <w:highlight w:val="none"/>
        </w:rPr>
      </w:pPr>
    </w:p>
    <w:p w14:paraId="7CEFD1C1">
      <w:pPr>
        <w:widowControl/>
        <w:jc w:val="center"/>
        <w:rPr>
          <w:rFonts w:hint="eastAsia" w:ascii="Times New Roman" w:hAnsi="Times New Roman" w:eastAsia="黑体"/>
          <w:color w:val="auto"/>
          <w:sz w:val="44"/>
          <w:szCs w:val="44"/>
          <w:highlight w:val="none"/>
        </w:rPr>
      </w:pPr>
    </w:p>
    <w:p w14:paraId="42EC75CD">
      <w:pPr>
        <w:widowControl/>
        <w:jc w:val="center"/>
        <w:rPr>
          <w:rFonts w:hint="eastAsia" w:ascii="Times New Roman" w:hAnsi="Times New Roman" w:eastAsia="黑体"/>
          <w:color w:val="auto"/>
          <w:sz w:val="44"/>
          <w:szCs w:val="44"/>
          <w:highlight w:val="none"/>
        </w:rPr>
      </w:pPr>
    </w:p>
    <w:p w14:paraId="7AB0D000">
      <w:pPr>
        <w:widowControl/>
        <w:jc w:val="center"/>
        <w:rPr>
          <w:rFonts w:hint="eastAsia" w:ascii="Times New Roman" w:hAnsi="Times New Roman" w:eastAsia="黑体"/>
          <w:color w:val="auto"/>
          <w:sz w:val="44"/>
          <w:szCs w:val="44"/>
          <w:highlight w:val="none"/>
        </w:rPr>
      </w:pPr>
    </w:p>
    <w:p w14:paraId="05607FF9">
      <w:pPr>
        <w:widowControl/>
        <w:jc w:val="center"/>
        <w:rPr>
          <w:rFonts w:hint="eastAsia" w:ascii="Times New Roman" w:hAnsi="Times New Roman" w:eastAsia="黑体"/>
          <w:color w:val="auto"/>
          <w:sz w:val="44"/>
          <w:szCs w:val="44"/>
          <w:highlight w:val="none"/>
        </w:rPr>
      </w:pPr>
    </w:p>
    <w:p w14:paraId="2DC3157D">
      <w:pPr>
        <w:widowControl/>
        <w:jc w:val="center"/>
        <w:rPr>
          <w:rFonts w:hint="eastAsia" w:ascii="Times New Roman" w:hAnsi="Times New Roman" w:eastAsia="黑体"/>
          <w:color w:val="auto"/>
          <w:sz w:val="44"/>
          <w:szCs w:val="44"/>
          <w:highlight w:val="none"/>
        </w:rPr>
      </w:pPr>
    </w:p>
    <w:p w14:paraId="5D81B535">
      <w:pPr>
        <w:widowControl/>
        <w:jc w:val="center"/>
        <w:rPr>
          <w:rFonts w:hint="eastAsia" w:ascii="Times New Roman" w:hAnsi="Times New Roman" w:eastAsia="黑体"/>
          <w:color w:val="auto"/>
          <w:sz w:val="44"/>
          <w:szCs w:val="44"/>
          <w:highlight w:val="none"/>
        </w:rPr>
      </w:pPr>
    </w:p>
    <w:p w14:paraId="11A497B2">
      <w:pPr>
        <w:widowControl/>
        <w:jc w:val="center"/>
        <w:rPr>
          <w:rFonts w:hint="eastAsia" w:ascii="Times New Roman" w:hAnsi="Times New Roman" w:eastAsia="黑体"/>
          <w:color w:val="auto"/>
          <w:sz w:val="44"/>
          <w:szCs w:val="44"/>
          <w:highlight w:val="none"/>
        </w:rPr>
      </w:pPr>
    </w:p>
    <w:p w14:paraId="1E4FAF5E">
      <w:pPr>
        <w:widowControl/>
        <w:jc w:val="center"/>
        <w:rPr>
          <w:rFonts w:hint="eastAsia" w:ascii="Times New Roman" w:hAnsi="Times New Roman" w:eastAsia="黑体"/>
          <w:color w:val="auto"/>
          <w:sz w:val="44"/>
          <w:szCs w:val="44"/>
          <w:highlight w:val="none"/>
        </w:rPr>
      </w:pPr>
    </w:p>
    <w:p w14:paraId="48E4ED84">
      <w:pPr>
        <w:widowControl/>
        <w:jc w:val="center"/>
        <w:rPr>
          <w:rFonts w:hint="eastAsia" w:ascii="Times New Roman" w:hAnsi="Times New Roman" w:eastAsia="黑体"/>
          <w:color w:val="auto"/>
          <w:sz w:val="44"/>
          <w:szCs w:val="44"/>
          <w:highlight w:val="none"/>
        </w:rPr>
      </w:pPr>
    </w:p>
    <w:p w14:paraId="4652E485">
      <w:pPr>
        <w:widowControl/>
        <w:jc w:val="center"/>
        <w:rPr>
          <w:rFonts w:hint="eastAsia" w:ascii="Times New Roman" w:hAnsi="Times New Roman" w:eastAsia="黑体"/>
          <w:color w:val="auto"/>
          <w:sz w:val="44"/>
          <w:szCs w:val="44"/>
          <w:highlight w:val="none"/>
        </w:rPr>
      </w:pPr>
    </w:p>
    <w:p w14:paraId="1D9C0474">
      <w:pPr>
        <w:widowControl/>
        <w:jc w:val="center"/>
        <w:rPr>
          <w:rFonts w:hint="eastAsia" w:ascii="Times New Roman" w:hAnsi="Times New Roman" w:eastAsia="黑体"/>
          <w:color w:val="auto"/>
          <w:sz w:val="44"/>
          <w:szCs w:val="44"/>
          <w:highlight w:val="none"/>
        </w:rPr>
      </w:pPr>
    </w:p>
    <w:p w14:paraId="6BBE13E6">
      <w:pPr>
        <w:widowControl/>
        <w:jc w:val="center"/>
        <w:rPr>
          <w:rFonts w:hint="eastAsia" w:ascii="Times New Roman" w:hAnsi="Times New Roman" w:eastAsia="黑体"/>
          <w:color w:val="auto"/>
          <w:sz w:val="44"/>
          <w:szCs w:val="44"/>
          <w:highlight w:val="none"/>
        </w:rPr>
      </w:pPr>
    </w:p>
    <w:p w14:paraId="1E5C2509">
      <w:pPr>
        <w:widowControl/>
        <w:jc w:val="center"/>
        <w:rPr>
          <w:rFonts w:hint="eastAsia" w:ascii="Times New Roman" w:hAnsi="Times New Roman" w:eastAsia="黑体"/>
          <w:color w:val="auto"/>
          <w:sz w:val="44"/>
          <w:szCs w:val="44"/>
          <w:highlight w:val="none"/>
        </w:rPr>
      </w:pPr>
    </w:p>
    <w:p w14:paraId="78E7A9BE">
      <w:pPr>
        <w:widowControl/>
        <w:jc w:val="center"/>
        <w:rPr>
          <w:rFonts w:hint="eastAsia" w:ascii="Times New Roman" w:hAnsi="Times New Roman" w:eastAsia="黑体"/>
          <w:color w:val="auto"/>
          <w:sz w:val="44"/>
          <w:szCs w:val="44"/>
          <w:highlight w:val="none"/>
        </w:rPr>
      </w:pPr>
    </w:p>
    <w:p w14:paraId="02C27207">
      <w:pPr>
        <w:widowControl/>
        <w:jc w:val="center"/>
        <w:rPr>
          <w:rFonts w:hint="eastAsia" w:ascii="Times New Roman" w:hAnsi="Times New Roman" w:eastAsia="仿宋"/>
          <w:b w:val="0"/>
          <w:color w:val="auto"/>
          <w:highlight w:val="none"/>
        </w:rPr>
      </w:pPr>
      <w:bookmarkStart w:id="101" w:name="_Toc5824_WPSOffice_Level1"/>
      <w:r>
        <w:rPr>
          <w:rFonts w:hint="eastAsia" w:ascii="Times New Roman" w:hAnsi="Times New Roman" w:eastAsia="黑体"/>
          <w:color w:val="auto"/>
          <w:sz w:val="44"/>
          <w:szCs w:val="44"/>
          <w:highlight w:val="none"/>
        </w:rPr>
        <w:t>第</w:t>
      </w:r>
      <w:r>
        <w:rPr>
          <w:rStyle w:val="29"/>
          <w:rFonts w:hint="eastAsia" w:ascii="Times New Roman" w:hAnsi="Times New Roman" w:eastAsia="黑体"/>
          <w:b w:val="0"/>
          <w:color w:val="auto"/>
          <w:highlight w:val="none"/>
        </w:rPr>
        <w:t>五部分 附表</w:t>
      </w:r>
      <w:bookmarkEnd w:id="97"/>
      <w:bookmarkEnd w:id="100"/>
      <w:bookmarkEnd w:id="101"/>
      <w:bookmarkStart w:id="102" w:name="_Toc15396619"/>
    </w:p>
    <w:p w14:paraId="795AF4AD">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14:paraId="40A07C5A">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03" w:name="_Toc16753_WPSOffice_Level2"/>
      <w:r>
        <w:rPr>
          <w:rFonts w:hint="eastAsia" w:ascii="Times New Roman" w:hAnsi="Times New Roman" w:eastAsia="仿宋_GB2312" w:cs="仿宋_GB2312"/>
          <w:color w:val="auto"/>
          <w:sz w:val="32"/>
          <w:szCs w:val="32"/>
          <w:highlight w:val="none"/>
        </w:rPr>
        <w:t>一、收入支出决算总表</w:t>
      </w:r>
      <w:bookmarkEnd w:id="102"/>
      <w:bookmarkEnd w:id="103"/>
    </w:p>
    <w:p w14:paraId="00C54B97">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04" w:name="_Toc10709_WPSOffice_Level2"/>
      <w:bookmarkStart w:id="105" w:name="_Toc15396620"/>
      <w:r>
        <w:rPr>
          <w:rFonts w:hint="eastAsia" w:ascii="Times New Roman" w:hAnsi="Times New Roman" w:eastAsia="仿宋_GB2312" w:cs="仿宋_GB2312"/>
          <w:color w:val="auto"/>
          <w:sz w:val="32"/>
          <w:szCs w:val="32"/>
          <w:highlight w:val="none"/>
        </w:rPr>
        <w:t>二、收入决算表</w:t>
      </w:r>
      <w:bookmarkEnd w:id="104"/>
      <w:bookmarkEnd w:id="105"/>
    </w:p>
    <w:p w14:paraId="2FF86D97">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06" w:name="_Toc15396621"/>
      <w:bookmarkStart w:id="107" w:name="_Toc21038_WPSOffice_Level2"/>
      <w:r>
        <w:rPr>
          <w:rFonts w:hint="eastAsia" w:ascii="Times New Roman" w:hAnsi="Times New Roman" w:eastAsia="仿宋_GB2312" w:cs="仿宋_GB2312"/>
          <w:color w:val="auto"/>
          <w:sz w:val="32"/>
          <w:szCs w:val="32"/>
          <w:highlight w:val="none"/>
        </w:rPr>
        <w:t>三、支出决算表</w:t>
      </w:r>
      <w:bookmarkEnd w:id="106"/>
      <w:bookmarkEnd w:id="107"/>
    </w:p>
    <w:p w14:paraId="168B5C37">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08" w:name="_Toc12870_WPSOffice_Level2"/>
      <w:bookmarkStart w:id="109" w:name="_Toc15396622"/>
      <w:r>
        <w:rPr>
          <w:rFonts w:hint="eastAsia" w:ascii="Times New Roman" w:hAnsi="Times New Roman" w:eastAsia="仿宋_GB2312" w:cs="仿宋_GB2312"/>
          <w:color w:val="auto"/>
          <w:sz w:val="32"/>
          <w:szCs w:val="32"/>
          <w:highlight w:val="none"/>
        </w:rPr>
        <w:t>四、财政拨款收入支出决算总表</w:t>
      </w:r>
      <w:bookmarkEnd w:id="108"/>
      <w:bookmarkEnd w:id="109"/>
    </w:p>
    <w:p w14:paraId="6A95D9F0">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10" w:name="_Toc19840_WPSOffice_Level2"/>
      <w:bookmarkStart w:id="111" w:name="_Toc15396623"/>
      <w:r>
        <w:rPr>
          <w:rFonts w:hint="eastAsia" w:ascii="Times New Roman" w:hAnsi="Times New Roman" w:eastAsia="仿宋_GB2312" w:cs="仿宋_GB2312"/>
          <w:color w:val="auto"/>
          <w:sz w:val="32"/>
          <w:szCs w:val="32"/>
          <w:highlight w:val="none"/>
        </w:rPr>
        <w:t>五、财政拨款支出决算明细表</w:t>
      </w:r>
      <w:bookmarkEnd w:id="110"/>
      <w:bookmarkEnd w:id="111"/>
      <w:bookmarkStart w:id="112" w:name="_Toc15396624"/>
    </w:p>
    <w:p w14:paraId="735ADB53">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13" w:name="_Toc13441_WPSOffice_Level2"/>
      <w:r>
        <w:rPr>
          <w:rFonts w:hint="eastAsia" w:ascii="Times New Roman" w:hAnsi="Times New Roman" w:eastAsia="仿宋_GB2312" w:cs="仿宋_GB2312"/>
          <w:color w:val="auto"/>
          <w:sz w:val="32"/>
          <w:szCs w:val="32"/>
          <w:highlight w:val="none"/>
        </w:rPr>
        <w:t>六、一般公共预算财政拨款支出决算表</w:t>
      </w:r>
      <w:bookmarkEnd w:id="112"/>
      <w:bookmarkEnd w:id="113"/>
    </w:p>
    <w:p w14:paraId="6A88625B">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14" w:name="_Toc15396625"/>
      <w:bookmarkStart w:id="115" w:name="_Toc21478_WPSOffice_Level2"/>
      <w:r>
        <w:rPr>
          <w:rFonts w:hint="eastAsia" w:ascii="Times New Roman" w:hAnsi="Times New Roman" w:eastAsia="仿宋_GB2312" w:cs="仿宋_GB2312"/>
          <w:color w:val="auto"/>
          <w:sz w:val="32"/>
          <w:szCs w:val="32"/>
          <w:highlight w:val="none"/>
        </w:rPr>
        <w:t>七、一般公共预算财政拨款支出决算明细表</w:t>
      </w:r>
      <w:bookmarkEnd w:id="114"/>
      <w:bookmarkEnd w:id="115"/>
    </w:p>
    <w:p w14:paraId="0C3602E4">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16" w:name="_Toc15396626"/>
      <w:bookmarkStart w:id="117" w:name="_Toc15658_WPSOffice_Level2"/>
      <w:r>
        <w:rPr>
          <w:rFonts w:hint="eastAsia" w:ascii="Times New Roman" w:hAnsi="Times New Roman" w:eastAsia="仿宋_GB2312" w:cs="仿宋_GB2312"/>
          <w:color w:val="auto"/>
          <w:sz w:val="32"/>
          <w:szCs w:val="32"/>
          <w:highlight w:val="none"/>
        </w:rPr>
        <w:t>八、一般公共预算财政拨款基本支出决算表</w:t>
      </w:r>
      <w:bookmarkEnd w:id="116"/>
      <w:bookmarkEnd w:id="117"/>
    </w:p>
    <w:p w14:paraId="26FCEF05">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18" w:name="_Toc7412_WPSOffice_Level2"/>
      <w:bookmarkStart w:id="119" w:name="_Toc15396627"/>
      <w:r>
        <w:rPr>
          <w:rFonts w:hint="eastAsia" w:ascii="Times New Roman" w:hAnsi="Times New Roman" w:eastAsia="仿宋_GB2312" w:cs="仿宋_GB2312"/>
          <w:color w:val="auto"/>
          <w:sz w:val="32"/>
          <w:szCs w:val="32"/>
          <w:highlight w:val="none"/>
        </w:rPr>
        <w:t>九、一般公共预算财政拨款项目支出决算表</w:t>
      </w:r>
      <w:bookmarkEnd w:id="118"/>
      <w:bookmarkEnd w:id="119"/>
    </w:p>
    <w:p w14:paraId="5BF9FCC9">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20" w:name="_Toc15396628"/>
      <w:bookmarkStart w:id="121" w:name="_Toc5382_WPSOffice_Level2"/>
      <w:r>
        <w:rPr>
          <w:rFonts w:hint="eastAsia" w:ascii="Times New Roman" w:hAnsi="Times New Roman" w:eastAsia="仿宋_GB2312" w:cs="仿宋_GB2312"/>
          <w:color w:val="auto"/>
          <w:sz w:val="32"/>
          <w:szCs w:val="32"/>
          <w:highlight w:val="none"/>
        </w:rPr>
        <w:t>十、</w:t>
      </w:r>
      <w:bookmarkEnd w:id="120"/>
      <w:r>
        <w:rPr>
          <w:rFonts w:hint="eastAsia" w:ascii="Times New Roman" w:hAnsi="Times New Roman" w:eastAsia="仿宋_GB2312" w:cs="仿宋_GB2312"/>
          <w:color w:val="auto"/>
          <w:sz w:val="32"/>
          <w:szCs w:val="32"/>
          <w:highlight w:val="none"/>
        </w:rPr>
        <w:t>政府性基金预算财政拨款收入支出决算表</w:t>
      </w:r>
      <w:bookmarkEnd w:id="121"/>
    </w:p>
    <w:p w14:paraId="22E545B2">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22" w:name="_Toc15396629"/>
      <w:bookmarkStart w:id="123" w:name="_Toc26604_WPSOffice_Level2"/>
      <w:r>
        <w:rPr>
          <w:rFonts w:hint="eastAsia" w:ascii="Times New Roman" w:hAnsi="Times New Roman" w:eastAsia="仿宋_GB2312" w:cs="仿宋_GB2312"/>
          <w:color w:val="auto"/>
          <w:sz w:val="32"/>
          <w:szCs w:val="32"/>
          <w:highlight w:val="none"/>
        </w:rPr>
        <w:t>十一、</w:t>
      </w:r>
      <w:bookmarkEnd w:id="122"/>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bookmarkEnd w:id="123"/>
    </w:p>
    <w:p w14:paraId="29E0463B">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124" w:name="_Toc15396630"/>
      <w:bookmarkStart w:id="125" w:name="_Toc31129_WPSOffice_Level2"/>
      <w:r>
        <w:rPr>
          <w:rFonts w:hint="eastAsia" w:ascii="Times New Roman" w:hAnsi="Times New Roman" w:eastAsia="仿宋_GB2312" w:cs="仿宋_GB2312"/>
          <w:color w:val="auto"/>
          <w:sz w:val="32"/>
          <w:szCs w:val="32"/>
          <w:highlight w:val="none"/>
        </w:rPr>
        <w:t>十二、</w:t>
      </w:r>
      <w:bookmarkEnd w:id="124"/>
      <w:r>
        <w:rPr>
          <w:rFonts w:hint="eastAsia" w:ascii="Times New Roman" w:hAnsi="Times New Roman" w:eastAsia="仿宋_GB2312" w:cs="仿宋_GB2312"/>
          <w:color w:val="auto"/>
          <w:sz w:val="32"/>
          <w:szCs w:val="32"/>
          <w:highlight w:val="none"/>
          <w:lang w:eastAsia="zh-CN"/>
        </w:rPr>
        <w:t>国有资本经营预算财政拨款支出决算表</w:t>
      </w:r>
      <w:bookmarkEnd w:id="125"/>
    </w:p>
    <w:p w14:paraId="1B714716">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126" w:name="_Toc15396631"/>
      <w:bookmarkStart w:id="127" w:name="_Toc12901_WPSOffice_Level2"/>
      <w:r>
        <w:rPr>
          <w:rFonts w:hint="eastAsia" w:ascii="Times New Roman" w:hAnsi="Times New Roman" w:eastAsia="仿宋_GB2312" w:cs="仿宋_GB2312"/>
          <w:color w:val="auto"/>
          <w:sz w:val="32"/>
          <w:szCs w:val="32"/>
          <w:highlight w:val="none"/>
        </w:rPr>
        <w:t>十三、</w:t>
      </w:r>
      <w:bookmarkEnd w:id="126"/>
      <w:r>
        <w:rPr>
          <w:rFonts w:hint="eastAsia" w:ascii="Times New Roman" w:hAnsi="Times New Roman" w:eastAsia="仿宋_GB2312" w:cs="仿宋_GB2312"/>
          <w:color w:val="auto"/>
          <w:sz w:val="32"/>
          <w:szCs w:val="32"/>
          <w:highlight w:val="none"/>
          <w:lang w:eastAsia="zh-CN"/>
        </w:rPr>
        <w:t>财政拨款“三公”经费支出决算表</w:t>
      </w:r>
      <w:bookmarkEnd w:id="127"/>
    </w:p>
    <w:p w14:paraId="053012E6">
      <w:pPr>
        <w:rPr>
          <w:rFonts w:hint="eastAsia" w:ascii="Times New Roman" w:hAnsi="Times New Roman"/>
          <w:lang w:eastAsia="zh-CN"/>
        </w:rPr>
      </w:pPr>
    </w:p>
    <w:sectPr>
      <w:footerReference r:id="rId6" w:type="first"/>
      <w:footerReference r:id="rId5" w:type="default"/>
      <w:pgSz w:w="11906" w:h="16838"/>
      <w:pgMar w:top="1440" w:right="1800" w:bottom="1440" w:left="1800" w:header="851" w:footer="992" w:gutter="0"/>
      <w:pgNumType w:fmt="decimal"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8395D">
    <w:pPr>
      <w:pStyle w:val="10"/>
      <w:jc w:val="center"/>
    </w:pPr>
  </w:p>
  <w:p w14:paraId="096F981F">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B216B">
    <w:pPr>
      <w:pStyle w:val="1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6295355">
                          <w:pPr>
                            <w:pStyle w:val="10"/>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mF77cAgAAJA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AqZhe+3AIAACQGAAAOAAAAAAAAAAEAIAAAAB8BAABkcnMvZTJvRG9jLnhtbFBLBQYA&#10;AAAABgAGAFkBAABtBgAAAAA=&#10;">
              <v:fill on="f" focussize="0,0"/>
              <v:stroke on="f" weight="0.5pt"/>
              <v:imagedata o:title=""/>
              <o:lock v:ext="edit" aspectratio="f"/>
              <v:textbox inset="0mm,0mm,0mm,0mm" style="mso-fit-shape-to-text:t;">
                <w:txbxContent>
                  <w:p w14:paraId="06295355">
                    <w:pPr>
                      <w:pStyle w:val="10"/>
                    </w:pPr>
                    <w:r>
                      <w:fldChar w:fldCharType="begin"/>
                    </w:r>
                    <w:r>
                      <w:instrText xml:space="preserve"> PAGE  \* MERGEFORMAT </w:instrText>
                    </w:r>
                    <w:r>
                      <w:fldChar w:fldCharType="separate"/>
                    </w:r>
                    <w:r>
                      <w:t>- 2 -</w:t>
                    </w:r>
                    <w:r>
                      <w:fldChar w:fldCharType="end"/>
                    </w:r>
                  </w:p>
                </w:txbxContent>
              </v:textbox>
            </v:shape>
          </w:pict>
        </mc:Fallback>
      </mc:AlternateContent>
    </w:r>
  </w:p>
  <w:p w14:paraId="2AEE2031">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7B1BB3">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0D306BE">
                          <w:pPr>
                            <w:pStyle w:val="10"/>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OH7cfd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E4ftx90CAAAmBgAADgAAAAAAAAABACAAAAAfAQAAZHJzL2Uyb0RvYy54bWxQSwUG&#10;AAAAAAYABgBZAQAAbgYAAAAA&#10;">
              <v:fill on="f" focussize="0,0"/>
              <v:stroke on="f" weight="0.5pt"/>
              <v:imagedata o:title=""/>
              <o:lock v:ext="edit" aspectratio="f"/>
              <v:textbox inset="0mm,0mm,0mm,0mm" style="mso-fit-shape-to-text:t;">
                <w:txbxContent>
                  <w:p w14:paraId="70D306BE">
                    <w:pPr>
                      <w:pStyle w:val="10"/>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4C5587">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2B891A"/>
    <w:multiLevelType w:val="singleLevel"/>
    <w:tmpl w:val="D22B891A"/>
    <w:lvl w:ilvl="0" w:tentative="0">
      <w:start w:val="1"/>
      <w:numFmt w:val="decimal"/>
      <w:lvlText w:val="%1."/>
      <w:lvlJc w:val="left"/>
      <w:pPr>
        <w:tabs>
          <w:tab w:val="left" w:pos="312"/>
        </w:tabs>
      </w:pPr>
    </w:lvl>
  </w:abstractNum>
  <w:abstractNum w:abstractNumId="1">
    <w:nsid w:val="018A7790"/>
    <w:multiLevelType w:val="singleLevel"/>
    <w:tmpl w:val="018A7790"/>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4916F1E"/>
    <w:rsid w:val="061E35DE"/>
    <w:rsid w:val="066E0107"/>
    <w:rsid w:val="07996F6E"/>
    <w:rsid w:val="07DFD8BA"/>
    <w:rsid w:val="09867E8F"/>
    <w:rsid w:val="0A2032A3"/>
    <w:rsid w:val="0CA8290A"/>
    <w:rsid w:val="0D35B1ED"/>
    <w:rsid w:val="0E254B6B"/>
    <w:rsid w:val="0F98263C"/>
    <w:rsid w:val="101860EC"/>
    <w:rsid w:val="101F47CC"/>
    <w:rsid w:val="10C055FF"/>
    <w:rsid w:val="11694EBD"/>
    <w:rsid w:val="11772AA4"/>
    <w:rsid w:val="118107EC"/>
    <w:rsid w:val="12E24EE2"/>
    <w:rsid w:val="13D50BC4"/>
    <w:rsid w:val="14B17F78"/>
    <w:rsid w:val="165E0673"/>
    <w:rsid w:val="16B831D5"/>
    <w:rsid w:val="16BB723D"/>
    <w:rsid w:val="17E50567"/>
    <w:rsid w:val="186504BB"/>
    <w:rsid w:val="19A445FC"/>
    <w:rsid w:val="1BE8440E"/>
    <w:rsid w:val="1D155CEE"/>
    <w:rsid w:val="1D1638FE"/>
    <w:rsid w:val="1E312DEB"/>
    <w:rsid w:val="1E740ACF"/>
    <w:rsid w:val="1FF35744"/>
    <w:rsid w:val="1FF6BC77"/>
    <w:rsid w:val="2186353C"/>
    <w:rsid w:val="23860B96"/>
    <w:rsid w:val="240371BF"/>
    <w:rsid w:val="244F3473"/>
    <w:rsid w:val="24C97D99"/>
    <w:rsid w:val="25A718F0"/>
    <w:rsid w:val="25BB59F6"/>
    <w:rsid w:val="260F557C"/>
    <w:rsid w:val="26970054"/>
    <w:rsid w:val="281408E2"/>
    <w:rsid w:val="29FD04D3"/>
    <w:rsid w:val="2BFF7BC6"/>
    <w:rsid w:val="2C8A61B5"/>
    <w:rsid w:val="2DF04E50"/>
    <w:rsid w:val="2E586DFA"/>
    <w:rsid w:val="2F040D46"/>
    <w:rsid w:val="2F6B035B"/>
    <w:rsid w:val="2FAE5751"/>
    <w:rsid w:val="2FB1A395"/>
    <w:rsid w:val="2FD9A7D8"/>
    <w:rsid w:val="2FDBF714"/>
    <w:rsid w:val="30AB6865"/>
    <w:rsid w:val="319F7F4E"/>
    <w:rsid w:val="32BD1EF1"/>
    <w:rsid w:val="3304709D"/>
    <w:rsid w:val="33A773CB"/>
    <w:rsid w:val="349D6851"/>
    <w:rsid w:val="36AA5135"/>
    <w:rsid w:val="36BE0DA7"/>
    <w:rsid w:val="376B6AA6"/>
    <w:rsid w:val="376D39B2"/>
    <w:rsid w:val="37E16F03"/>
    <w:rsid w:val="37F53A3B"/>
    <w:rsid w:val="389B6C89"/>
    <w:rsid w:val="38D469F0"/>
    <w:rsid w:val="39627CCD"/>
    <w:rsid w:val="397BAF1F"/>
    <w:rsid w:val="3AB79AF3"/>
    <w:rsid w:val="3AE834C0"/>
    <w:rsid w:val="3B7EF35A"/>
    <w:rsid w:val="3B9FDB6C"/>
    <w:rsid w:val="3BF5BC2F"/>
    <w:rsid w:val="3CEBA265"/>
    <w:rsid w:val="3D98207C"/>
    <w:rsid w:val="3DEE7CF3"/>
    <w:rsid w:val="3E740A63"/>
    <w:rsid w:val="3E78745D"/>
    <w:rsid w:val="3EE17838"/>
    <w:rsid w:val="3F55381A"/>
    <w:rsid w:val="3F7F7599"/>
    <w:rsid w:val="3FF4CAE0"/>
    <w:rsid w:val="3FF7B227"/>
    <w:rsid w:val="44E268DA"/>
    <w:rsid w:val="450D13D7"/>
    <w:rsid w:val="45506656"/>
    <w:rsid w:val="486A6C7A"/>
    <w:rsid w:val="4A380F9A"/>
    <w:rsid w:val="4A627F82"/>
    <w:rsid w:val="4B0E749A"/>
    <w:rsid w:val="4B2477C4"/>
    <w:rsid w:val="4B4F25DA"/>
    <w:rsid w:val="4BE068DB"/>
    <w:rsid w:val="4D577224"/>
    <w:rsid w:val="4DBF1CEB"/>
    <w:rsid w:val="4DF0007C"/>
    <w:rsid w:val="4EAB630A"/>
    <w:rsid w:val="4ECE2238"/>
    <w:rsid w:val="4F833267"/>
    <w:rsid w:val="4FE9BD67"/>
    <w:rsid w:val="4FFB052F"/>
    <w:rsid w:val="537E6D0A"/>
    <w:rsid w:val="53F74C96"/>
    <w:rsid w:val="55170BA8"/>
    <w:rsid w:val="553218C9"/>
    <w:rsid w:val="567E1AA5"/>
    <w:rsid w:val="56E47B74"/>
    <w:rsid w:val="57175D52"/>
    <w:rsid w:val="57BD3DD4"/>
    <w:rsid w:val="58BA5EE1"/>
    <w:rsid w:val="593A6F0F"/>
    <w:rsid w:val="5AF92295"/>
    <w:rsid w:val="5B250254"/>
    <w:rsid w:val="5BDD79E6"/>
    <w:rsid w:val="5BF561CA"/>
    <w:rsid w:val="5BFF5DFC"/>
    <w:rsid w:val="5CD71FC4"/>
    <w:rsid w:val="5D1F11B5"/>
    <w:rsid w:val="5D695134"/>
    <w:rsid w:val="5DAE1B18"/>
    <w:rsid w:val="5DE7D9E5"/>
    <w:rsid w:val="5ECEC941"/>
    <w:rsid w:val="5FBF9FF3"/>
    <w:rsid w:val="5FCD4E2C"/>
    <w:rsid w:val="5FEF394A"/>
    <w:rsid w:val="5FF67715"/>
    <w:rsid w:val="62BF3928"/>
    <w:rsid w:val="63B3701E"/>
    <w:rsid w:val="647F5392"/>
    <w:rsid w:val="65E66580"/>
    <w:rsid w:val="664B1D71"/>
    <w:rsid w:val="664B4E8E"/>
    <w:rsid w:val="67277B67"/>
    <w:rsid w:val="67AA3209"/>
    <w:rsid w:val="697B3C53"/>
    <w:rsid w:val="698D0931"/>
    <w:rsid w:val="6A7FE5F3"/>
    <w:rsid w:val="6B053271"/>
    <w:rsid w:val="6BDD78B3"/>
    <w:rsid w:val="6C4A05C8"/>
    <w:rsid w:val="6C8742B8"/>
    <w:rsid w:val="6DBF5E93"/>
    <w:rsid w:val="6DFF077E"/>
    <w:rsid w:val="6E714EF0"/>
    <w:rsid w:val="6E7E3605"/>
    <w:rsid w:val="6E7FDCC7"/>
    <w:rsid w:val="6ED6A62E"/>
    <w:rsid w:val="6EE00B15"/>
    <w:rsid w:val="6EEA562E"/>
    <w:rsid w:val="6F1D08C1"/>
    <w:rsid w:val="6F6FB3EB"/>
    <w:rsid w:val="6F8731EA"/>
    <w:rsid w:val="6FCE6052"/>
    <w:rsid w:val="6FD57C00"/>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FA497D"/>
    <w:rsid w:val="744731E5"/>
    <w:rsid w:val="74BBD01D"/>
    <w:rsid w:val="74ED5379"/>
    <w:rsid w:val="75DEEEC2"/>
    <w:rsid w:val="75E32345"/>
    <w:rsid w:val="76E3355F"/>
    <w:rsid w:val="76FF5125"/>
    <w:rsid w:val="776F6FFA"/>
    <w:rsid w:val="778769C8"/>
    <w:rsid w:val="77A75DCA"/>
    <w:rsid w:val="77DC22F5"/>
    <w:rsid w:val="783E271A"/>
    <w:rsid w:val="78616DE9"/>
    <w:rsid w:val="78E875D7"/>
    <w:rsid w:val="79086DAD"/>
    <w:rsid w:val="79D7FD79"/>
    <w:rsid w:val="79EE5BA4"/>
    <w:rsid w:val="7A894339"/>
    <w:rsid w:val="7AD284E8"/>
    <w:rsid w:val="7AFF7572"/>
    <w:rsid w:val="7B6C7DFB"/>
    <w:rsid w:val="7BBFBED0"/>
    <w:rsid w:val="7BC3E394"/>
    <w:rsid w:val="7C1F3737"/>
    <w:rsid w:val="7CBFC87B"/>
    <w:rsid w:val="7CFE0F48"/>
    <w:rsid w:val="7D272ABC"/>
    <w:rsid w:val="7D7EC23E"/>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firstLineChars="200"/>
    </w:pPr>
  </w:style>
  <w:style w:type="paragraph" w:styleId="3">
    <w:name w:val="Body Text Indent"/>
    <w:basedOn w:val="1"/>
    <w:next w:val="2"/>
    <w:qFormat/>
    <w:uiPriority w:val="0"/>
    <w:pPr>
      <w:spacing w:after="120"/>
      <w:ind w:leftChars="200"/>
    </w:pPr>
    <w:rPr>
      <w:rFonts w:ascii="仿宋_GB2312"/>
      <w:szCs w:val="32"/>
    </w:rPr>
  </w:style>
  <w:style w:type="paragraph" w:styleId="7">
    <w:name w:val="Body Text"/>
    <w:basedOn w:val="1"/>
    <w:link w:val="26"/>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2"/>
    <w:semiHidden/>
    <w:unhideWhenUsed/>
    <w:qFormat/>
    <w:uiPriority w:val="99"/>
    <w:rPr>
      <w:sz w:val="18"/>
      <w:szCs w:val="18"/>
    </w:rPr>
  </w:style>
  <w:style w:type="paragraph" w:styleId="10">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footnote text"/>
    <w:basedOn w:val="1"/>
    <w:next w:val="2"/>
    <w:semiHidden/>
    <w:qFormat/>
    <w:uiPriority w:val="0"/>
    <w:pPr>
      <w:snapToGrid w:val="0"/>
      <w:jc w:val="left"/>
    </w:pPr>
    <w:rPr>
      <w:sz w:val="18"/>
      <w:szCs w:val="18"/>
    </w:r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unhideWhenUsed/>
    <w:qFormat/>
    <w:uiPriority w:val="99"/>
    <w:pPr>
      <w:spacing w:before="100" w:beforeAutospacing="1" w:after="100" w:afterAutospacing="1"/>
    </w:p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character" w:customStyle="1" w:styleId="20">
    <w:name w:val="页眉 Char"/>
    <w:link w:val="11"/>
    <w:semiHidden/>
    <w:qFormat/>
    <w:locked/>
    <w:uiPriority w:val="99"/>
    <w:rPr>
      <w:sz w:val="18"/>
    </w:rPr>
  </w:style>
  <w:style w:type="paragraph" w:customStyle="1" w:styleId="21">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2">
    <w:name w:val="Header Char"/>
    <w:basedOn w:val="17"/>
    <w:semiHidden/>
    <w:qFormat/>
    <w:uiPriority w:val="99"/>
    <w:rPr>
      <w:rFonts w:ascii="Times New Roman" w:hAnsi="Times New Roman"/>
      <w:sz w:val="18"/>
      <w:szCs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Char"/>
    <w:link w:val="10"/>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Char"/>
    <w:link w:val="7"/>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7"/>
    <w:link w:val="4"/>
    <w:qFormat/>
    <w:uiPriority w:val="9"/>
    <w:rPr>
      <w:rFonts w:ascii="Times New Roman" w:hAnsi="Times New Roman"/>
      <w:b/>
      <w:bCs/>
      <w:kern w:val="44"/>
      <w:sz w:val="44"/>
      <w:szCs w:val="44"/>
    </w:rPr>
  </w:style>
  <w:style w:type="character" w:customStyle="1" w:styleId="30">
    <w:name w:val="标题 2 Char"/>
    <w:basedOn w:val="17"/>
    <w:link w:val="5"/>
    <w:qFormat/>
    <w:uiPriority w:val="9"/>
    <w:rPr>
      <w:rFonts w:asciiTheme="majorHAnsi" w:hAnsiTheme="majorHAnsi" w:eastAsiaTheme="majorEastAsia" w:cstheme="majorBidi"/>
      <w:b/>
      <w:bCs/>
      <w:kern w:val="2"/>
      <w:sz w:val="32"/>
      <w:szCs w:val="32"/>
    </w:rPr>
  </w:style>
  <w:style w:type="paragraph" w:customStyle="1" w:styleId="31">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7"/>
    <w:link w:val="9"/>
    <w:semiHidden/>
    <w:qFormat/>
    <w:uiPriority w:val="99"/>
    <w:rPr>
      <w:rFonts w:ascii="Times New Roman" w:hAnsi="Times New Roman"/>
      <w:kern w:val="2"/>
      <w:sz w:val="18"/>
      <w:szCs w:val="18"/>
    </w:rPr>
  </w:style>
  <w:style w:type="character" w:customStyle="1" w:styleId="33">
    <w:name w:val="标题 3 Char"/>
    <w:basedOn w:val="17"/>
    <w:link w:val="6"/>
    <w:qFormat/>
    <w:uiPriority w:val="9"/>
    <w:rPr>
      <w:rFonts w:ascii="Times New Roman" w:hAnsi="Times New Roman"/>
      <w:b/>
      <w:bCs/>
      <w:kern w:val="2"/>
      <w:sz w:val="32"/>
      <w:szCs w:val="32"/>
    </w:rPr>
  </w:style>
  <w:style w:type="paragraph" w:customStyle="1" w:styleId="34">
    <w:name w:val="TOC Heading"/>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eastAsia="宋体"/>
      <w:color w:val="000000"/>
      <w:kern w:val="0"/>
      <w:sz w:val="28"/>
      <w:szCs w:val="21"/>
      <w:lang w:val="zh-CN" w:eastAsia="zh-CN"/>
    </w:rPr>
  </w:style>
  <w:style w:type="paragraph" w:customStyle="1" w:styleId="36">
    <w:name w:val="WPSOffice手动目录 1"/>
    <w:qFormat/>
    <w:uiPriority w:val="0"/>
    <w:pPr>
      <w:ind w:leftChars="0"/>
    </w:pPr>
    <w:rPr>
      <w:rFonts w:asciiTheme="minorHAnsi" w:hAnsiTheme="minorHAnsi" w:eastAsiaTheme="minorEastAsia" w:cstheme="minorBidi"/>
      <w:sz w:val="20"/>
      <w:szCs w:val="20"/>
    </w:rPr>
  </w:style>
  <w:style w:type="paragraph" w:customStyle="1" w:styleId="37">
    <w:name w:val="WPSOffice手动目录 2"/>
    <w:qFormat/>
    <w:uiPriority w:val="0"/>
    <w:pPr>
      <w:ind w:leftChars="20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glossaryDocument" Target="glossary/document.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2023</c:v>
                </c:pt>
                <c:pt idx="1">
                  <c:v>2024</c:v>
                </c:pt>
              </c:numCache>
            </c:numRef>
          </c:cat>
          <c:val>
            <c:numRef>
              <c:f>Sheet1!$B$2:$B$3</c:f>
              <c:numCache>
                <c:formatCode>General</c:formatCode>
                <c:ptCount val="2"/>
                <c:pt idx="0">
                  <c:v>446.28</c:v>
                </c:pt>
                <c:pt idx="1">
                  <c:v>437.3</c:v>
                </c:pt>
              </c:numCache>
            </c:numRef>
          </c:val>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2023</c:v>
                </c:pt>
                <c:pt idx="1">
                  <c:v>2024</c:v>
                </c:pt>
              </c:numCache>
            </c:numRef>
          </c:cat>
          <c:val>
            <c:numRef>
              <c:f>Sheet1!$C$2:$C$3</c:f>
              <c:numCache>
                <c:formatCode>General</c:formatCode>
                <c:ptCount val="2"/>
                <c:pt idx="0">
                  <c:v>446.28</c:v>
                </c:pt>
                <c:pt idx="1">
                  <c:v>437.3</c:v>
                </c:pt>
              </c:numCache>
            </c:numRef>
          </c:val>
        </c:ser>
        <c:ser>
          <c:idx val="2"/>
          <c:order val="2"/>
          <c:tx>
            <c:strRef>
              <c:f>Sheet1!$D$1</c:f>
              <c:strCache>
                <c:ptCount val="1"/>
                <c:pt idx="0">
                  <c:v>减少</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2023</c:v>
                </c:pt>
                <c:pt idx="1">
                  <c:v>2024</c:v>
                </c:pt>
              </c:numCache>
            </c:numRef>
          </c:cat>
          <c:val>
            <c:numRef>
              <c:f>Sheet1!$D$2:$D$3</c:f>
              <c:numCache>
                <c:formatCode>General</c:formatCode>
                <c:ptCount val="2"/>
                <c:pt idx="0">
                  <c:v>0</c:v>
                </c:pt>
                <c:pt idx="1">
                  <c:v>8.98</c:v>
                </c:pt>
              </c:numCache>
            </c:numRef>
          </c:val>
        </c:ser>
        <c:dLbls>
          <c:showLegendKey val="0"/>
          <c:showVal val="1"/>
          <c:showCatName val="0"/>
          <c:showSerName val="0"/>
          <c:showPercent val="0"/>
          <c:showBubbleSize val="0"/>
        </c:dLbls>
        <c:gapWidth val="219"/>
        <c:overlap val="-27"/>
        <c:axId val="46634041"/>
        <c:axId val="931323986"/>
      </c:barChart>
      <c:catAx>
        <c:axId val="4663404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31323986"/>
        <c:crosses val="autoZero"/>
        <c:auto val="1"/>
        <c:lblAlgn val="ctr"/>
        <c:lblOffset val="100"/>
        <c:noMultiLvlLbl val="0"/>
      </c:catAx>
      <c:valAx>
        <c:axId val="93132398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6634041"/>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288468a-fc4f-432b-8523-ad64744639b7}"/>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列1</c:v>
                </c:pt>
              </c:strCache>
            </c:strRef>
          </c:tx>
          <c:spPr/>
          <c:explosion val="0"/>
          <c:dPt>
            <c:idx val="0"/>
            <c:bubble3D val="0"/>
            <c:spPr>
              <a:solidFill>
                <a:schemeClr val="accent1"/>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一般公共预算财政拨款收入</c:v>
                </c:pt>
              </c:strCache>
            </c:strRef>
          </c:cat>
          <c:val>
            <c:numRef>
              <c:f>Sheet1!$B$2</c:f>
              <c:numCache>
                <c:formatCode>0%</c:formatCode>
                <c:ptCount val="1"/>
                <c:pt idx="0">
                  <c:v>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596b424-7bdf-40a3-b926-da30701ed93f}"/>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列1</c:v>
                </c:pt>
              </c:strCache>
            </c:strRef>
          </c:tx>
          <c:spPr/>
          <c:explosion val="0"/>
          <c:dPt>
            <c:idx val="0"/>
            <c:bubble3D val="0"/>
            <c:spPr>
              <a:solidFill>
                <a:schemeClr val="accent1"/>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基本支出</c:v>
                </c:pt>
              </c:strCache>
            </c:strRef>
          </c:cat>
          <c:val>
            <c:numRef>
              <c:f>Sheet1!$B$2</c:f>
              <c:numCache>
                <c:formatCode>0%</c:formatCode>
                <c:ptCount val="1"/>
                <c:pt idx="0">
                  <c:v>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1323253-286d-4e5d-be64-17c89d1083e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2023</c:v>
                </c:pt>
                <c:pt idx="1">
                  <c:v>2024</c:v>
                </c:pt>
              </c:numCache>
            </c:numRef>
          </c:cat>
          <c:val>
            <c:numRef>
              <c:f>Sheet1!$B$2:$B$3</c:f>
              <c:numCache>
                <c:formatCode>General</c:formatCode>
                <c:ptCount val="2"/>
                <c:pt idx="0">
                  <c:v>446.28</c:v>
                </c:pt>
                <c:pt idx="1">
                  <c:v>437.3</c:v>
                </c:pt>
              </c:numCache>
            </c:numRef>
          </c:val>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2023</c:v>
                </c:pt>
                <c:pt idx="1">
                  <c:v>2024</c:v>
                </c:pt>
              </c:numCache>
            </c:numRef>
          </c:cat>
          <c:val>
            <c:numRef>
              <c:f>Sheet1!$C$2:$C$3</c:f>
              <c:numCache>
                <c:formatCode>General</c:formatCode>
                <c:ptCount val="2"/>
                <c:pt idx="0">
                  <c:v>446.28</c:v>
                </c:pt>
                <c:pt idx="1">
                  <c:v>437.3</c:v>
                </c:pt>
              </c:numCache>
            </c:numRef>
          </c:val>
        </c:ser>
        <c:ser>
          <c:idx val="2"/>
          <c:order val="2"/>
          <c:tx>
            <c:strRef>
              <c:f>Sheet1!$D$1</c:f>
              <c:strCache>
                <c:ptCount val="1"/>
                <c:pt idx="0">
                  <c:v>减少</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2023</c:v>
                </c:pt>
                <c:pt idx="1">
                  <c:v>2024</c:v>
                </c:pt>
              </c:numCache>
            </c:numRef>
          </c:cat>
          <c:val>
            <c:numRef>
              <c:f>Sheet1!$D$2:$D$3</c:f>
              <c:numCache>
                <c:formatCode>General</c:formatCode>
                <c:ptCount val="2"/>
                <c:pt idx="1">
                  <c:v>8.98</c:v>
                </c:pt>
              </c:numCache>
            </c:numRef>
          </c:val>
        </c:ser>
        <c:dLbls>
          <c:showLegendKey val="0"/>
          <c:showVal val="1"/>
          <c:showCatName val="0"/>
          <c:showSerName val="0"/>
          <c:showPercent val="0"/>
          <c:showBubbleSize val="0"/>
        </c:dLbls>
        <c:gapWidth val="219"/>
        <c:overlap val="-27"/>
        <c:axId val="762450972"/>
        <c:axId val="305524735"/>
      </c:barChart>
      <c:catAx>
        <c:axId val="76245097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5524735"/>
        <c:crosses val="autoZero"/>
        <c:auto val="1"/>
        <c:lblAlgn val="ctr"/>
        <c:lblOffset val="100"/>
        <c:noMultiLvlLbl val="0"/>
      </c:catAx>
      <c:valAx>
        <c:axId val="3055247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6245097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0af2ecc-9186-4075-a23f-62480514804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2023</c:v>
                </c:pt>
                <c:pt idx="1">
                  <c:v>2024</c:v>
                </c:pt>
              </c:numCache>
            </c:numRef>
          </c:cat>
          <c:val>
            <c:numRef>
              <c:f>Sheet1!$B$2:$B$3</c:f>
              <c:numCache>
                <c:formatCode>General</c:formatCode>
                <c:ptCount val="2"/>
                <c:pt idx="0">
                  <c:v>446.28</c:v>
                </c:pt>
                <c:pt idx="1">
                  <c:v>437.3</c:v>
                </c:pt>
              </c:numCache>
            </c:numRef>
          </c:val>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2023</c:v>
                </c:pt>
                <c:pt idx="1">
                  <c:v>2024</c:v>
                </c:pt>
              </c:numCache>
            </c:numRef>
          </c:cat>
          <c:val>
            <c:numRef>
              <c:f>Sheet1!$C$2:$C$3</c:f>
              <c:numCache>
                <c:formatCode>General</c:formatCode>
                <c:ptCount val="2"/>
                <c:pt idx="0">
                  <c:v>446.28</c:v>
                </c:pt>
                <c:pt idx="1">
                  <c:v>437.3</c:v>
                </c:pt>
              </c:numCache>
            </c:numRef>
          </c:val>
        </c:ser>
        <c:ser>
          <c:idx val="2"/>
          <c:order val="2"/>
          <c:tx>
            <c:strRef>
              <c:f>Sheet1!$D$1</c:f>
              <c:strCache>
                <c:ptCount val="1"/>
                <c:pt idx="0">
                  <c:v>减少</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2023</c:v>
                </c:pt>
                <c:pt idx="1">
                  <c:v>2024</c:v>
                </c:pt>
              </c:numCache>
            </c:numRef>
          </c:cat>
          <c:val>
            <c:numRef>
              <c:f>Sheet1!$D$2:$D$3</c:f>
              <c:numCache>
                <c:formatCode>General</c:formatCode>
                <c:ptCount val="2"/>
                <c:pt idx="1">
                  <c:v>8.98</c:v>
                </c:pt>
              </c:numCache>
            </c:numRef>
          </c:val>
        </c:ser>
        <c:dLbls>
          <c:showLegendKey val="0"/>
          <c:showVal val="1"/>
          <c:showCatName val="0"/>
          <c:showSerName val="0"/>
          <c:showPercent val="0"/>
          <c:showBubbleSize val="0"/>
        </c:dLbls>
        <c:gapWidth val="219"/>
        <c:overlap val="-27"/>
        <c:axId val="199273663"/>
        <c:axId val="556944177"/>
      </c:barChart>
      <c:catAx>
        <c:axId val="19927366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56944177"/>
        <c:crosses val="autoZero"/>
        <c:auto val="1"/>
        <c:lblAlgn val="ctr"/>
        <c:lblOffset val="100"/>
        <c:noMultiLvlLbl val="0"/>
      </c:catAx>
      <c:valAx>
        <c:axId val="55694417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9927366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f13f44d-4de2-4b2c-a0af-b57c4a11934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一般公共服务支出</c:v>
                </c:pt>
                <c:pt idx="1">
                  <c:v>社会保障和就业支出</c:v>
                </c:pt>
                <c:pt idx="2">
                  <c:v>卫生健康支出</c:v>
                </c:pt>
                <c:pt idx="3">
                  <c:v>住房保障支出</c:v>
                </c:pt>
              </c:strCache>
            </c:strRef>
          </c:cat>
          <c:val>
            <c:numRef>
              <c:f>Sheet1!$B$2:$B$5</c:f>
              <c:numCache>
                <c:formatCode>0.00%</c:formatCode>
                <c:ptCount val="4"/>
                <c:pt idx="0">
                  <c:v>0.7333</c:v>
                </c:pt>
                <c:pt idx="1">
                  <c:v>0.1468</c:v>
                </c:pt>
                <c:pt idx="2">
                  <c:v>0.0521</c:v>
                </c:pt>
                <c:pt idx="3">
                  <c:v>0.0678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81ac771-b1d3-41a6-812f-7fd8e9899853}"/>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554f57c6-1fbe-4976-9c5d-05bec7846482}"/>
        <w:style w:val=""/>
        <w:category>
          <w:name w:val="常规"/>
          <w:gallery w:val="placeholder"/>
        </w:category>
        <w:types>
          <w:type w:val="bbPlcHdr"/>
        </w:types>
        <w:behaviors>
          <w:behavior w:val="content"/>
        </w:behaviors>
        <w:description w:val=""/>
        <w:guid w:val="{554f57c6-1fbe-4976-9c5d-05bec7846482}"/>
      </w:docPartPr>
      <w:docPartBody>
        <w:p w14:paraId="7FFD5B1D">
          <w:r>
            <w:rPr>
              <w:color w:val="808080"/>
            </w:rPr>
            <w:t>单击此处输入文字。</w:t>
          </w:r>
        </w:p>
      </w:docPartBody>
    </w:docPart>
    <w:docPart>
      <w:docPartPr>
        <w:name w:val="{c93db40d-cfe8-4b2a-932a-87818fb83172}"/>
        <w:style w:val=""/>
        <w:category>
          <w:name w:val="常规"/>
          <w:gallery w:val="placeholder"/>
        </w:category>
        <w:types>
          <w:type w:val="bbPlcHdr"/>
        </w:types>
        <w:behaviors>
          <w:behavior w:val="content"/>
        </w:behaviors>
        <w:description w:val=""/>
        <w:guid w:val="{c93db40d-cfe8-4b2a-932a-87818fb83172}"/>
      </w:docPartPr>
      <w:docPartBody>
        <w:p w14:paraId="598888C1">
          <w:r>
            <w:rPr>
              <w:color w:val="808080"/>
            </w:rPr>
            <w:t>单击此处输入文字。</w:t>
          </w:r>
        </w:p>
      </w:docPartBody>
    </w:docPart>
    <w:docPart>
      <w:docPartPr>
        <w:name w:val="{44c352f9-3ebb-41a0-a4a6-6588ca388012}"/>
        <w:style w:val=""/>
        <w:category>
          <w:name w:val="常规"/>
          <w:gallery w:val="placeholder"/>
        </w:category>
        <w:types>
          <w:type w:val="bbPlcHdr"/>
        </w:types>
        <w:behaviors>
          <w:behavior w:val="content"/>
        </w:behaviors>
        <w:description w:val=""/>
        <w:guid w:val="{44c352f9-3ebb-41a0-a4a6-6588ca388012}"/>
      </w:docPartPr>
      <w:docPartBody>
        <w:p w14:paraId="1434ECF6">
          <w:r>
            <w:rPr>
              <w:color w:val="808080"/>
            </w:rPr>
            <w:t>单击此处输入文字。</w:t>
          </w:r>
        </w:p>
      </w:docPartBody>
    </w:docPart>
    <w:docPart>
      <w:docPartPr>
        <w:name w:val="{f45b70ff-6ec7-4fe1-89bc-41adbff059bb}"/>
        <w:style w:val=""/>
        <w:category>
          <w:name w:val="常规"/>
          <w:gallery w:val="placeholder"/>
        </w:category>
        <w:types>
          <w:type w:val="bbPlcHdr"/>
        </w:types>
        <w:behaviors>
          <w:behavior w:val="content"/>
        </w:behaviors>
        <w:description w:val=""/>
        <w:guid w:val="{f45b70ff-6ec7-4fe1-89bc-41adbff059bb}"/>
      </w:docPartPr>
      <w:docPartBody>
        <w:p w14:paraId="3DE36DDC">
          <w:r>
            <w:rPr>
              <w:color w:val="808080"/>
            </w:rPr>
            <w:t>单击此处输入文字。</w:t>
          </w:r>
        </w:p>
      </w:docPartBody>
    </w:docPart>
    <w:docPart>
      <w:docPartPr>
        <w:name w:val="{67001dd2-e134-4a8b-bc4e-3c37fb33ed44}"/>
        <w:style w:val=""/>
        <w:category>
          <w:name w:val="常规"/>
          <w:gallery w:val="placeholder"/>
        </w:category>
        <w:types>
          <w:type w:val="bbPlcHdr"/>
        </w:types>
        <w:behaviors>
          <w:behavior w:val="content"/>
        </w:behaviors>
        <w:description w:val=""/>
        <w:guid w:val="{67001dd2-e134-4a8b-bc4e-3c37fb33ed44}"/>
      </w:docPartPr>
      <w:docPartBody>
        <w:p w14:paraId="15637A7A">
          <w:r>
            <w:rPr>
              <w:color w:val="808080"/>
            </w:rPr>
            <w:t>单击此处输入文字。</w:t>
          </w:r>
        </w:p>
      </w:docPartBody>
    </w:docPart>
    <w:docPart>
      <w:docPartPr>
        <w:name w:val="{0b62ae1e-3993-4b4a-9067-9b59b461413c}"/>
        <w:style w:val=""/>
        <w:category>
          <w:name w:val="常规"/>
          <w:gallery w:val="placeholder"/>
        </w:category>
        <w:types>
          <w:type w:val="bbPlcHdr"/>
        </w:types>
        <w:behaviors>
          <w:behavior w:val="content"/>
        </w:behaviors>
        <w:description w:val=""/>
        <w:guid w:val="{0b62ae1e-3993-4b4a-9067-9b59b461413c}"/>
      </w:docPartPr>
      <w:docPartBody>
        <w:p w14:paraId="3F8C9BF5">
          <w:r>
            <w:rPr>
              <w:color w:val="808080"/>
            </w:rPr>
            <w:t>单击此处输入文字。</w:t>
          </w:r>
        </w:p>
      </w:docPartBody>
    </w:docPart>
    <w:docPart>
      <w:docPartPr>
        <w:name w:val="{39aed09b-8995-4fac-ba1e-82ff98ca58fb}"/>
        <w:style w:val=""/>
        <w:category>
          <w:name w:val="常规"/>
          <w:gallery w:val="placeholder"/>
        </w:category>
        <w:types>
          <w:type w:val="bbPlcHdr"/>
        </w:types>
        <w:behaviors>
          <w:behavior w:val="content"/>
        </w:behaviors>
        <w:description w:val=""/>
        <w:guid w:val="{39aed09b-8995-4fac-ba1e-82ff98ca58fb}"/>
      </w:docPartPr>
      <w:docPartBody>
        <w:p w14:paraId="2F07F32A">
          <w:r>
            <w:rPr>
              <w:color w:val="808080"/>
            </w:rPr>
            <w:t>单击此处输入文字。</w:t>
          </w:r>
        </w:p>
      </w:docPartBody>
    </w:docPart>
    <w:docPart>
      <w:docPartPr>
        <w:name w:val="{fb558d88-ed57-4411-97a6-4af71167f3d9}"/>
        <w:style w:val=""/>
        <w:category>
          <w:name w:val="常规"/>
          <w:gallery w:val="placeholder"/>
        </w:category>
        <w:types>
          <w:type w:val="bbPlcHdr"/>
        </w:types>
        <w:behaviors>
          <w:behavior w:val="content"/>
        </w:behaviors>
        <w:description w:val=""/>
        <w:guid w:val="{fb558d88-ed57-4411-97a6-4af71167f3d9}"/>
      </w:docPartPr>
      <w:docPartBody>
        <w:p w14:paraId="2ECCBCC3">
          <w:r>
            <w:rPr>
              <w:color w:val="808080"/>
            </w:rPr>
            <w:t>单击此处输入文字。</w:t>
          </w:r>
        </w:p>
      </w:docPartBody>
    </w:docPart>
    <w:docPart>
      <w:docPartPr>
        <w:name w:val="{9f7e2fed-5c24-4c01-84f1-0bb3a38ebecc}"/>
        <w:style w:val=""/>
        <w:category>
          <w:name w:val="常规"/>
          <w:gallery w:val="placeholder"/>
        </w:category>
        <w:types>
          <w:type w:val="bbPlcHdr"/>
        </w:types>
        <w:behaviors>
          <w:behavior w:val="content"/>
        </w:behaviors>
        <w:description w:val=""/>
        <w:guid w:val="{9f7e2fed-5c24-4c01-84f1-0bb3a38ebecc}"/>
      </w:docPartPr>
      <w:docPartBody>
        <w:p w14:paraId="1E566E46">
          <w:r>
            <w:rPr>
              <w:color w:val="808080"/>
            </w:rPr>
            <w:t>单击此处输入文字。</w:t>
          </w:r>
        </w:p>
      </w:docPartBody>
    </w:docPart>
    <w:docPart>
      <w:docPartPr>
        <w:name w:val="{87bbc0a4-a417-4891-b85e-e2ab253334ed}"/>
        <w:style w:val=""/>
        <w:category>
          <w:name w:val="常规"/>
          <w:gallery w:val="placeholder"/>
        </w:category>
        <w:types>
          <w:type w:val="bbPlcHdr"/>
        </w:types>
        <w:behaviors>
          <w:behavior w:val="content"/>
        </w:behaviors>
        <w:description w:val=""/>
        <w:guid w:val="{87bbc0a4-a417-4891-b85e-e2ab253334ed}"/>
      </w:docPartPr>
      <w:docPartBody>
        <w:p w14:paraId="0DAEB659">
          <w:r>
            <w:rPr>
              <w:color w:val="808080"/>
            </w:rPr>
            <w:t>单击此处输入文字。</w:t>
          </w:r>
        </w:p>
      </w:docPartBody>
    </w:docPart>
    <w:docPart>
      <w:docPartPr>
        <w:name w:val="{19953c84-02ae-4c65-90eb-5b4c10b8bc96}"/>
        <w:style w:val=""/>
        <w:category>
          <w:name w:val="常规"/>
          <w:gallery w:val="placeholder"/>
        </w:category>
        <w:types>
          <w:type w:val="bbPlcHdr"/>
        </w:types>
        <w:behaviors>
          <w:behavior w:val="content"/>
        </w:behaviors>
        <w:description w:val=""/>
        <w:guid w:val="{19953c84-02ae-4c65-90eb-5b4c10b8bc96}"/>
      </w:docPartPr>
      <w:docPartBody>
        <w:p w14:paraId="522A2C12">
          <w:r>
            <w:rPr>
              <w:color w:val="808080"/>
            </w:rPr>
            <w:t>单击此处输入文字。</w:t>
          </w:r>
        </w:p>
      </w:docPartBody>
    </w:docPart>
    <w:docPart>
      <w:docPartPr>
        <w:name w:val="{d98e9220-23ef-40a4-b32c-6c28318430ad}"/>
        <w:style w:val=""/>
        <w:category>
          <w:name w:val="常规"/>
          <w:gallery w:val="placeholder"/>
        </w:category>
        <w:types>
          <w:type w:val="bbPlcHdr"/>
        </w:types>
        <w:behaviors>
          <w:behavior w:val="content"/>
        </w:behaviors>
        <w:description w:val=""/>
        <w:guid w:val="{d98e9220-23ef-40a4-b32c-6c28318430ad}"/>
      </w:docPartPr>
      <w:docPartBody>
        <w:p w14:paraId="5BB2C6EB">
          <w:r>
            <w:rPr>
              <w:color w:val="808080"/>
            </w:rPr>
            <w:t>单击此处输入文字。</w:t>
          </w:r>
        </w:p>
      </w:docPartBody>
    </w:docPart>
    <w:docPart>
      <w:docPartPr>
        <w:name w:val="{eef4b213-1100-457e-b0ba-9ce53670909d}"/>
        <w:style w:val=""/>
        <w:category>
          <w:name w:val="常规"/>
          <w:gallery w:val="placeholder"/>
        </w:category>
        <w:types>
          <w:type w:val="bbPlcHdr"/>
        </w:types>
        <w:behaviors>
          <w:behavior w:val="content"/>
        </w:behaviors>
        <w:description w:val=""/>
        <w:guid w:val="{eef4b213-1100-457e-b0ba-9ce53670909d}"/>
      </w:docPartPr>
      <w:docPartBody>
        <w:p w14:paraId="78077A18">
          <w:r>
            <w:rPr>
              <w:color w:val="808080"/>
            </w:rPr>
            <w:t>单击此处输入文字。</w:t>
          </w:r>
        </w:p>
      </w:docPartBody>
    </w:docPart>
    <w:docPart>
      <w:docPartPr>
        <w:name w:val="{a5288103-07f5-4c6b-a4dc-25b361b0fb75}"/>
        <w:style w:val=""/>
        <w:category>
          <w:name w:val="常规"/>
          <w:gallery w:val="placeholder"/>
        </w:category>
        <w:types>
          <w:type w:val="bbPlcHdr"/>
        </w:types>
        <w:behaviors>
          <w:behavior w:val="content"/>
        </w:behaviors>
        <w:description w:val=""/>
        <w:guid w:val="{a5288103-07f5-4c6b-a4dc-25b361b0fb75}"/>
      </w:docPartPr>
      <w:docPartBody>
        <w:p w14:paraId="24FBD494">
          <w:r>
            <w:rPr>
              <w:color w:val="808080"/>
            </w:rPr>
            <w:t>单击此处输入文字。</w:t>
          </w:r>
        </w:p>
      </w:docPartBody>
    </w:docPart>
    <w:docPart>
      <w:docPartPr>
        <w:name w:val="{c1759c64-8b7e-43d6-b395-58258faf12e0}"/>
        <w:style w:val=""/>
        <w:category>
          <w:name w:val="常规"/>
          <w:gallery w:val="placeholder"/>
        </w:category>
        <w:types>
          <w:type w:val="bbPlcHdr"/>
        </w:types>
        <w:behaviors>
          <w:behavior w:val="content"/>
        </w:behaviors>
        <w:description w:val=""/>
        <w:guid w:val="{c1759c64-8b7e-43d6-b395-58258faf12e0}"/>
      </w:docPartPr>
      <w:docPartBody>
        <w:p w14:paraId="62757EFD">
          <w:r>
            <w:rPr>
              <w:color w:val="808080"/>
            </w:rPr>
            <w:t>单击此处输入文字。</w:t>
          </w:r>
        </w:p>
      </w:docPartBody>
    </w:docPart>
    <w:docPart>
      <w:docPartPr>
        <w:name w:val="{a1cf36a8-7906-4a3f-80e0-eb5ba81948cc}"/>
        <w:style w:val=""/>
        <w:category>
          <w:name w:val="常规"/>
          <w:gallery w:val="placeholder"/>
        </w:category>
        <w:types>
          <w:type w:val="bbPlcHdr"/>
        </w:types>
        <w:behaviors>
          <w:behavior w:val="content"/>
        </w:behaviors>
        <w:description w:val=""/>
        <w:guid w:val="{a1cf36a8-7906-4a3f-80e0-eb5ba81948cc}"/>
      </w:docPartPr>
      <w:docPartBody>
        <w:p w14:paraId="6771DB7E">
          <w:r>
            <w:rPr>
              <w:color w:val="808080"/>
            </w:rPr>
            <w:t>单击此处输入文字。</w:t>
          </w:r>
        </w:p>
      </w:docPartBody>
    </w:docPart>
    <w:docPart>
      <w:docPartPr>
        <w:name w:val="{a9e2a0bf-b0ba-437c-a7c1-586c293179fa}"/>
        <w:style w:val=""/>
        <w:category>
          <w:name w:val="常规"/>
          <w:gallery w:val="placeholder"/>
        </w:category>
        <w:types>
          <w:type w:val="bbPlcHdr"/>
        </w:types>
        <w:behaviors>
          <w:behavior w:val="content"/>
        </w:behaviors>
        <w:description w:val=""/>
        <w:guid w:val="{a9e2a0bf-b0ba-437c-a7c1-586c293179fa}"/>
      </w:docPartPr>
      <w:docPartBody>
        <w:p w14:paraId="3D3225D3">
          <w:r>
            <w:rPr>
              <w:color w:val="808080"/>
            </w:rPr>
            <w:t>单击此处输入文字。</w:t>
          </w:r>
        </w:p>
      </w:docPartBody>
    </w:docPart>
    <w:docPart>
      <w:docPartPr>
        <w:name w:val="{23455f10-e00d-4483-b005-82c13a3eb3a5}"/>
        <w:style w:val=""/>
        <w:category>
          <w:name w:val="常规"/>
          <w:gallery w:val="placeholder"/>
        </w:category>
        <w:types>
          <w:type w:val="bbPlcHdr"/>
        </w:types>
        <w:behaviors>
          <w:behavior w:val="content"/>
        </w:behaviors>
        <w:description w:val=""/>
        <w:guid w:val="{23455f10-e00d-4483-b005-82c13a3eb3a5}"/>
      </w:docPartPr>
      <w:docPartBody>
        <w:p w14:paraId="744406B8">
          <w:r>
            <w:rPr>
              <w:color w:val="808080"/>
            </w:rPr>
            <w:t>单击此处输入文字。</w:t>
          </w:r>
        </w:p>
      </w:docPartBody>
    </w:docPart>
    <w:docPart>
      <w:docPartPr>
        <w:name w:val="{c338ad1f-4a6f-479b-a915-6aa9f3da3c4a}"/>
        <w:style w:val=""/>
        <w:category>
          <w:name w:val="常规"/>
          <w:gallery w:val="placeholder"/>
        </w:category>
        <w:types>
          <w:type w:val="bbPlcHdr"/>
        </w:types>
        <w:behaviors>
          <w:behavior w:val="content"/>
        </w:behaviors>
        <w:description w:val=""/>
        <w:guid w:val="{c338ad1f-4a6f-479b-a915-6aa9f3da3c4a}"/>
      </w:docPartPr>
      <w:docPartBody>
        <w:p w14:paraId="154FB104">
          <w:r>
            <w:rPr>
              <w:color w:val="808080"/>
            </w:rPr>
            <w:t>单击此处输入文字。</w:t>
          </w:r>
        </w:p>
      </w:docPartBody>
    </w:docPart>
    <w:docPart>
      <w:docPartPr>
        <w:name w:val="{bc68a96e-3860-48f8-87b7-3af4dee027d4}"/>
        <w:style w:val=""/>
        <w:category>
          <w:name w:val="常规"/>
          <w:gallery w:val="placeholder"/>
        </w:category>
        <w:types>
          <w:type w:val="bbPlcHdr"/>
        </w:types>
        <w:behaviors>
          <w:behavior w:val="content"/>
        </w:behaviors>
        <w:description w:val=""/>
        <w:guid w:val="{bc68a96e-3860-48f8-87b7-3af4dee027d4}"/>
      </w:docPartPr>
      <w:docPartBody>
        <w:p w14:paraId="3F8ABC8B">
          <w:r>
            <w:rPr>
              <w:color w:val="808080"/>
            </w:rPr>
            <w:t>单击此处输入文字。</w:t>
          </w:r>
        </w:p>
      </w:docPartBody>
    </w:docPart>
    <w:docPart>
      <w:docPartPr>
        <w:name w:val="{180c259c-df31-47d6-a51b-5e663f129b23}"/>
        <w:style w:val=""/>
        <w:category>
          <w:name w:val="常规"/>
          <w:gallery w:val="placeholder"/>
        </w:category>
        <w:types>
          <w:type w:val="bbPlcHdr"/>
        </w:types>
        <w:behaviors>
          <w:behavior w:val="content"/>
        </w:behaviors>
        <w:description w:val=""/>
        <w:guid w:val="{180c259c-df31-47d6-a51b-5e663f129b23}"/>
      </w:docPartPr>
      <w:docPartBody>
        <w:p w14:paraId="6AA99FD9">
          <w:r>
            <w:rPr>
              <w:color w:val="808080"/>
            </w:rPr>
            <w:t>单击此处输入文字。</w:t>
          </w:r>
        </w:p>
      </w:docPartBody>
    </w:docPart>
    <w:docPart>
      <w:docPartPr>
        <w:name w:val="{68f81afc-910d-434b-9f1f-cc888f0493ff}"/>
        <w:style w:val=""/>
        <w:category>
          <w:name w:val="常规"/>
          <w:gallery w:val="placeholder"/>
        </w:category>
        <w:types>
          <w:type w:val="bbPlcHdr"/>
        </w:types>
        <w:behaviors>
          <w:behavior w:val="content"/>
        </w:behaviors>
        <w:description w:val=""/>
        <w:guid w:val="{68f81afc-910d-434b-9f1f-cc888f0493ff}"/>
      </w:docPartPr>
      <w:docPartBody>
        <w:p w14:paraId="0320AA27">
          <w:r>
            <w:rPr>
              <w:color w:val="808080"/>
            </w:rPr>
            <w:t>单击此处输入文字。</w:t>
          </w:r>
        </w:p>
      </w:docPartBody>
    </w:docPart>
    <w:docPart>
      <w:docPartPr>
        <w:name w:val="{9f3c1b1e-ea7b-4c7e-82f3-baacf5ef20e6}"/>
        <w:style w:val=""/>
        <w:category>
          <w:name w:val="常规"/>
          <w:gallery w:val="placeholder"/>
        </w:category>
        <w:types>
          <w:type w:val="bbPlcHdr"/>
        </w:types>
        <w:behaviors>
          <w:behavior w:val="content"/>
        </w:behaviors>
        <w:description w:val=""/>
        <w:guid w:val="{9f3c1b1e-ea7b-4c7e-82f3-baacf5ef20e6}"/>
      </w:docPartPr>
      <w:docPartBody>
        <w:p w14:paraId="4B7FF8BE">
          <w:r>
            <w:rPr>
              <w:color w:val="808080"/>
            </w:rPr>
            <w:t>单击此处输入文字。</w:t>
          </w:r>
        </w:p>
      </w:docPartBody>
    </w:docPart>
    <w:docPart>
      <w:docPartPr>
        <w:name w:val="{a6203b3a-9564-4948-a132-a337641cb1da}"/>
        <w:style w:val=""/>
        <w:category>
          <w:name w:val="常规"/>
          <w:gallery w:val="placeholder"/>
        </w:category>
        <w:types>
          <w:type w:val="bbPlcHdr"/>
        </w:types>
        <w:behaviors>
          <w:behavior w:val="content"/>
        </w:behaviors>
        <w:description w:val=""/>
        <w:guid w:val="{a6203b3a-9564-4948-a132-a337641cb1da}"/>
      </w:docPartPr>
      <w:docPartBody>
        <w:p w14:paraId="3FCFD31E">
          <w:r>
            <w:rPr>
              <w:color w:val="808080"/>
            </w:rPr>
            <w:t>单击此处输入文字。</w:t>
          </w:r>
        </w:p>
      </w:docPartBody>
    </w:docPart>
    <w:docPart>
      <w:docPartPr>
        <w:name w:val="{f45cae57-e4d9-41e7-bfc5-9b111ce33290}"/>
        <w:style w:val=""/>
        <w:category>
          <w:name w:val="常规"/>
          <w:gallery w:val="placeholder"/>
        </w:category>
        <w:types>
          <w:type w:val="bbPlcHdr"/>
        </w:types>
        <w:behaviors>
          <w:behavior w:val="content"/>
        </w:behaviors>
        <w:description w:val=""/>
        <w:guid w:val="{f45cae57-e4d9-41e7-bfc5-9b111ce33290}"/>
      </w:docPartPr>
      <w:docPartBody>
        <w:p w14:paraId="3F5ACE63">
          <w:r>
            <w:rPr>
              <w:color w:val="808080"/>
            </w:rPr>
            <w:t>单击此处输入文字。</w:t>
          </w:r>
        </w:p>
      </w:docPartBody>
    </w:docPart>
    <w:docPart>
      <w:docPartPr>
        <w:name w:val="{f655a4fc-16df-4ca2-9ffe-96d653886ff6}"/>
        <w:style w:val=""/>
        <w:category>
          <w:name w:val="常规"/>
          <w:gallery w:val="placeholder"/>
        </w:category>
        <w:types>
          <w:type w:val="bbPlcHdr"/>
        </w:types>
        <w:behaviors>
          <w:behavior w:val="content"/>
        </w:behaviors>
        <w:description w:val=""/>
        <w:guid w:val="{f655a4fc-16df-4ca2-9ffe-96d653886ff6}"/>
      </w:docPartPr>
      <w:docPartBody>
        <w:p w14:paraId="2DE2CC0A">
          <w:r>
            <w:rPr>
              <w:color w:val="808080"/>
            </w:rPr>
            <w:t>单击此处输入文字。</w:t>
          </w:r>
        </w:p>
      </w:docPartBody>
    </w:docPart>
    <w:docPart>
      <w:docPartPr>
        <w:name w:val="{1a2f7f4c-b40a-4eb6-b6b1-b4c14aec235f}"/>
        <w:style w:val=""/>
        <w:category>
          <w:name w:val="常规"/>
          <w:gallery w:val="placeholder"/>
        </w:category>
        <w:types>
          <w:type w:val="bbPlcHdr"/>
        </w:types>
        <w:behaviors>
          <w:behavior w:val="content"/>
        </w:behaviors>
        <w:description w:val=""/>
        <w:guid w:val="{1a2f7f4c-b40a-4eb6-b6b1-b4c14aec235f}"/>
      </w:docPartPr>
      <w:docPartBody>
        <w:p w14:paraId="7907ED86">
          <w:r>
            <w:rPr>
              <w:color w:val="808080"/>
            </w:rPr>
            <w:t>单击此处输入文字。</w:t>
          </w:r>
        </w:p>
      </w:docPartBody>
    </w:docPart>
    <w:docPart>
      <w:docPartPr>
        <w:name w:val="{af64a848-cf4a-452d-81e7-615ab877741f}"/>
        <w:style w:val=""/>
        <w:category>
          <w:name w:val="常规"/>
          <w:gallery w:val="placeholder"/>
        </w:category>
        <w:types>
          <w:type w:val="bbPlcHdr"/>
        </w:types>
        <w:behaviors>
          <w:behavior w:val="content"/>
        </w:behaviors>
        <w:description w:val=""/>
        <w:guid w:val="{af64a848-cf4a-452d-81e7-615ab877741f}"/>
      </w:docPartPr>
      <w:docPartBody>
        <w:p w14:paraId="7D8AD4AB">
          <w:r>
            <w:rPr>
              <w:color w:val="808080"/>
            </w:rPr>
            <w:t>单击此处输入文字。</w:t>
          </w:r>
        </w:p>
      </w:docPartBody>
    </w:docPart>
    <w:docPart>
      <w:docPartPr>
        <w:name w:val="{e0a1d2f6-bd17-4b3b-abab-7de1f5f1c350}"/>
        <w:style w:val=""/>
        <w:category>
          <w:name w:val="常规"/>
          <w:gallery w:val="placeholder"/>
        </w:category>
        <w:types>
          <w:type w:val="bbPlcHdr"/>
        </w:types>
        <w:behaviors>
          <w:behavior w:val="content"/>
        </w:behaviors>
        <w:description w:val=""/>
        <w:guid w:val="{e0a1d2f6-bd17-4b3b-abab-7de1f5f1c350}"/>
      </w:docPartPr>
      <w:docPartBody>
        <w:p w14:paraId="514751BA">
          <w:r>
            <w:rPr>
              <w:color w:val="808080"/>
            </w:rPr>
            <w:t>单击此处输入文字。</w:t>
          </w:r>
        </w:p>
      </w:docPartBody>
    </w:docPart>
    <w:docPart>
      <w:docPartPr>
        <w:name w:val="{ea680bfe-8f7a-4910-b7fe-f51c81138dd9}"/>
        <w:style w:val=""/>
        <w:category>
          <w:name w:val="常规"/>
          <w:gallery w:val="placeholder"/>
        </w:category>
        <w:types>
          <w:type w:val="bbPlcHdr"/>
        </w:types>
        <w:behaviors>
          <w:behavior w:val="content"/>
        </w:behaviors>
        <w:description w:val=""/>
        <w:guid w:val="{ea680bfe-8f7a-4910-b7fe-f51c81138dd9}"/>
      </w:docPartPr>
      <w:docPartBody>
        <w:p w14:paraId="7F3A7563">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18</Pages>
  <Words>4510</Words>
  <Characters>4878</Characters>
  <Lines>61</Lines>
  <Paragraphs>17</Paragraphs>
  <TotalTime>0</TotalTime>
  <ScaleCrop>false</ScaleCrop>
  <LinksUpToDate>false</LinksUpToDate>
  <CharactersWithSpaces>5004</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帅裂苍穹的帅</cp:lastModifiedBy>
  <cp:lastPrinted>2025-08-06T17:34:00Z</cp:lastPrinted>
  <dcterms:modified xsi:type="dcterms:W3CDTF">2025-10-21T08:18:45Z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DE96DA16AA9E495FB71C4A49233B148B</vt:lpwstr>
  </property>
  <property fmtid="{D5CDD505-2E9C-101B-9397-08002B2CF9AE}" pid="4" name="KSOTemplateDocerSaveRecord">
    <vt:lpwstr>eyJoZGlkIjoiYTczNWRkN2M4MzI5NGNjMzhmMjhhOWZhZjQ5ZDk2ZDYiLCJ1c2VySWQiOiI0MTA2NTQxOTcifQ==</vt:lpwstr>
  </property>
</Properties>
</file>